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1"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CA35DF" w14:paraId="1712ACB5" w14:textId="77777777" w:rsidTr="00B456A0">
        <w:trPr>
          <w:trHeight w:hRule="exact" w:val="810"/>
        </w:trPr>
        <w:tc>
          <w:tcPr>
            <w:tcW w:w="1266" w:type="dxa"/>
            <w:tcBorders>
              <w:top w:val="nil"/>
              <w:bottom w:val="single" w:sz="4" w:space="0" w:color="auto"/>
            </w:tcBorders>
            <w:shd w:val="clear" w:color="auto" w:fill="auto"/>
          </w:tcPr>
          <w:p w14:paraId="57DA98B0" w14:textId="77777777" w:rsidR="00712059" w:rsidRPr="00CA35DF" w:rsidRDefault="00712059" w:rsidP="002F4949">
            <w:pPr>
              <w:kinsoku w:val="0"/>
              <w:overflowPunct w:val="0"/>
              <w:autoSpaceDE w:val="0"/>
              <w:autoSpaceDN w:val="0"/>
              <w:adjustRightInd w:val="0"/>
              <w:snapToGrid w:val="0"/>
              <w:spacing w:after="80" w:line="480" w:lineRule="exact"/>
              <w:rPr>
                <w:rFonts w:hint="cs"/>
                <w:szCs w:val="40"/>
                <w:rtl/>
              </w:rPr>
            </w:pPr>
          </w:p>
        </w:tc>
        <w:tc>
          <w:tcPr>
            <w:tcW w:w="4767" w:type="dxa"/>
            <w:tcBorders>
              <w:top w:val="nil"/>
              <w:bottom w:val="single" w:sz="4" w:space="0" w:color="auto"/>
            </w:tcBorders>
            <w:shd w:val="clear" w:color="auto" w:fill="auto"/>
            <w:vAlign w:val="bottom"/>
          </w:tcPr>
          <w:p w14:paraId="78206CAE" w14:textId="77777777" w:rsidR="006B3E27" w:rsidRPr="00CA35DF" w:rsidRDefault="006B3E27" w:rsidP="00E2697F">
            <w:pPr>
              <w:spacing w:after="80" w:line="480" w:lineRule="exact"/>
              <w:ind w:left="57"/>
              <w:rPr>
                <w:sz w:val="30"/>
                <w:szCs w:val="30"/>
                <w:rtl/>
              </w:rPr>
            </w:pPr>
            <w:r w:rsidRPr="00CA35DF">
              <w:rPr>
                <w:rFonts w:hint="cs"/>
                <w:sz w:val="30"/>
                <w:szCs w:val="30"/>
                <w:rtl/>
              </w:rPr>
              <w:t>الأمم المتحدة</w:t>
            </w:r>
          </w:p>
        </w:tc>
        <w:tc>
          <w:tcPr>
            <w:tcW w:w="3598" w:type="dxa"/>
            <w:tcBorders>
              <w:top w:val="nil"/>
              <w:bottom w:val="single" w:sz="4" w:space="0" w:color="auto"/>
            </w:tcBorders>
            <w:shd w:val="clear" w:color="auto" w:fill="auto"/>
            <w:vAlign w:val="bottom"/>
          </w:tcPr>
          <w:p w14:paraId="0EF639C3" w14:textId="2AEE33C3" w:rsidR="006B3E27" w:rsidRPr="00931A20" w:rsidRDefault="00931A20" w:rsidP="00931A20">
            <w:pPr>
              <w:bidi w:val="0"/>
              <w:rPr>
                <w:szCs w:val="20"/>
              </w:rPr>
            </w:pPr>
            <w:r w:rsidRPr="00931A20">
              <w:rPr>
                <w:sz w:val="40"/>
                <w:szCs w:val="20"/>
              </w:rPr>
              <w:t>CAT</w:t>
            </w:r>
            <w:r>
              <w:rPr>
                <w:szCs w:val="20"/>
              </w:rPr>
              <w:t>/C/</w:t>
            </w:r>
            <w:r w:rsidRPr="007F3524">
              <w:rPr>
                <w:szCs w:val="20"/>
              </w:rPr>
              <w:t>71</w:t>
            </w:r>
            <w:r>
              <w:rPr>
                <w:szCs w:val="20"/>
              </w:rPr>
              <w:t>/D/</w:t>
            </w:r>
            <w:r w:rsidRPr="007F3524">
              <w:rPr>
                <w:szCs w:val="20"/>
              </w:rPr>
              <w:t>792</w:t>
            </w:r>
            <w:r>
              <w:rPr>
                <w:szCs w:val="20"/>
              </w:rPr>
              <w:t>/</w:t>
            </w:r>
            <w:r w:rsidRPr="007F3524">
              <w:rPr>
                <w:szCs w:val="20"/>
              </w:rPr>
              <w:t>2016</w:t>
            </w:r>
          </w:p>
        </w:tc>
      </w:tr>
      <w:tr w:rsidR="006B3E27" w:rsidRPr="00CA35DF" w14:paraId="4F9178EA" w14:textId="77777777" w:rsidTr="00B456A0">
        <w:trPr>
          <w:trHeight w:hRule="exact" w:val="2835"/>
        </w:trPr>
        <w:tc>
          <w:tcPr>
            <w:tcW w:w="1266" w:type="dxa"/>
            <w:tcBorders>
              <w:top w:val="nil"/>
              <w:bottom w:val="single" w:sz="12" w:space="0" w:color="auto"/>
            </w:tcBorders>
            <w:shd w:val="clear" w:color="auto" w:fill="auto"/>
          </w:tcPr>
          <w:p w14:paraId="42785E71" w14:textId="77777777" w:rsidR="006B3E27" w:rsidRPr="00CA35DF" w:rsidRDefault="00261289" w:rsidP="00CA35DF">
            <w:pPr>
              <w:jc w:val="center"/>
              <w:rPr>
                <w:rtl/>
              </w:rPr>
            </w:pPr>
            <w:r w:rsidRPr="00CA35DF">
              <w:rPr>
                <w:noProof/>
                <w:rtl/>
              </w:rPr>
              <w:drawing>
                <wp:inline distT="0" distB="0" distL="0" distR="0" wp14:anchorId="7F1DB0A1" wp14:editId="310E145D">
                  <wp:extent cx="629920" cy="611505"/>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920" cy="611505"/>
                          </a:xfrm>
                          <a:prstGeom prst="rect">
                            <a:avLst/>
                          </a:prstGeom>
                          <a:noFill/>
                        </pic:spPr>
                      </pic:pic>
                    </a:graphicData>
                  </a:graphic>
                </wp:inline>
              </w:drawing>
            </w:r>
          </w:p>
        </w:tc>
        <w:tc>
          <w:tcPr>
            <w:tcW w:w="4767" w:type="dxa"/>
            <w:tcBorders>
              <w:top w:val="nil"/>
              <w:bottom w:val="single" w:sz="12" w:space="0" w:color="auto"/>
            </w:tcBorders>
            <w:shd w:val="clear" w:color="auto" w:fill="auto"/>
          </w:tcPr>
          <w:p w14:paraId="1ECBE1DB" w14:textId="77777777" w:rsidR="00A67AF5" w:rsidRPr="007F3524" w:rsidRDefault="00817373" w:rsidP="00D3653E">
            <w:pPr>
              <w:spacing w:before="120" w:after="40" w:line="580" w:lineRule="exact"/>
              <w:ind w:left="57"/>
              <w:rPr>
                <w:b/>
                <w:bCs/>
                <w:sz w:val="42"/>
                <w:szCs w:val="42"/>
              </w:rPr>
            </w:pPr>
            <w:r w:rsidRPr="007F3524">
              <w:rPr>
                <w:rFonts w:hint="cs"/>
                <w:b/>
                <w:bCs/>
                <w:sz w:val="42"/>
                <w:szCs w:val="4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shd w:val="clear" w:color="auto" w:fill="auto"/>
          </w:tcPr>
          <w:p w14:paraId="53D704F8" w14:textId="77777777" w:rsidR="00A955C4" w:rsidRPr="00A955C4" w:rsidRDefault="00A955C4" w:rsidP="00A955C4">
            <w:pPr>
              <w:bidi w:val="0"/>
              <w:spacing w:before="240" w:line="240" w:lineRule="auto"/>
              <w:jc w:val="left"/>
              <w:rPr>
                <w:rFonts w:eastAsia="SimSun" w:cs="Times New Roman"/>
                <w:szCs w:val="20"/>
                <w:lang w:val="en-GB" w:eastAsia="zh-CN"/>
              </w:rPr>
            </w:pPr>
            <w:r w:rsidRPr="00A955C4">
              <w:rPr>
                <w:rFonts w:eastAsia="SimSun" w:cs="Times New Roman"/>
                <w:szCs w:val="20"/>
                <w:lang w:val="en-GB" w:eastAsia="zh-CN"/>
              </w:rPr>
              <w:t>Distr.: General</w:t>
            </w:r>
          </w:p>
          <w:p w14:paraId="7AE6905B" w14:textId="77777777" w:rsidR="00A955C4" w:rsidRPr="00A955C4" w:rsidRDefault="00A955C4" w:rsidP="00A955C4">
            <w:pPr>
              <w:bidi w:val="0"/>
              <w:spacing w:line="240" w:lineRule="auto"/>
              <w:jc w:val="left"/>
              <w:rPr>
                <w:rFonts w:eastAsia="SimSun" w:cs="Times New Roman"/>
                <w:szCs w:val="20"/>
                <w:lang w:val="en-GB" w:eastAsia="zh-CN"/>
              </w:rPr>
            </w:pPr>
            <w:r w:rsidRPr="007F3524">
              <w:rPr>
                <w:rFonts w:eastAsia="SimSun" w:cs="Times New Roman"/>
                <w:szCs w:val="20"/>
                <w:lang w:val="en-GB" w:eastAsia="zh-CN"/>
              </w:rPr>
              <w:t>31</w:t>
            </w:r>
            <w:r w:rsidRPr="00A955C4">
              <w:rPr>
                <w:rFonts w:eastAsia="SimSun" w:cs="Times New Roman"/>
                <w:szCs w:val="20"/>
                <w:lang w:val="en-GB" w:eastAsia="zh-CN"/>
              </w:rPr>
              <w:t xml:space="preserve"> August </w:t>
            </w:r>
            <w:r w:rsidRPr="007F3524">
              <w:rPr>
                <w:rFonts w:eastAsia="SimSun" w:cs="Times New Roman"/>
                <w:szCs w:val="20"/>
                <w:lang w:val="en-GB" w:eastAsia="zh-CN"/>
              </w:rPr>
              <w:t>2021</w:t>
            </w:r>
          </w:p>
          <w:p w14:paraId="7A3CF355" w14:textId="54FE3528" w:rsidR="00A955C4" w:rsidRPr="00A955C4" w:rsidRDefault="00A955C4" w:rsidP="00A955C4">
            <w:pPr>
              <w:bidi w:val="0"/>
              <w:spacing w:line="240" w:lineRule="auto"/>
              <w:jc w:val="left"/>
              <w:rPr>
                <w:rFonts w:eastAsia="SimSun" w:cs="Times New Roman"/>
                <w:szCs w:val="20"/>
                <w:lang w:eastAsia="zh-CN"/>
              </w:rPr>
            </w:pPr>
            <w:r>
              <w:rPr>
                <w:rFonts w:eastAsia="SimSun" w:cs="Times New Roman"/>
                <w:szCs w:val="20"/>
                <w:lang w:val="en-GB" w:eastAsia="zh-CN"/>
              </w:rPr>
              <w:t>Arabic</w:t>
            </w:r>
          </w:p>
          <w:p w14:paraId="0EA44902" w14:textId="0F5002E3" w:rsidR="00931A20" w:rsidRPr="00A955C4" w:rsidRDefault="00A955C4" w:rsidP="00A955C4">
            <w:pPr>
              <w:bidi w:val="0"/>
              <w:spacing w:line="240" w:lineRule="exact"/>
              <w:jc w:val="left"/>
              <w:rPr>
                <w:szCs w:val="20"/>
                <w:lang w:val="en-GB"/>
              </w:rPr>
            </w:pPr>
            <w:r w:rsidRPr="00A955C4">
              <w:rPr>
                <w:rFonts w:eastAsia="SimSun" w:cs="Times New Roman"/>
                <w:szCs w:val="20"/>
                <w:lang w:val="en-GB" w:eastAsia="zh-CN"/>
              </w:rPr>
              <w:t>Original: English</w:t>
            </w:r>
          </w:p>
        </w:tc>
      </w:tr>
    </w:tbl>
    <w:p w14:paraId="29E11AF9" w14:textId="77777777" w:rsidR="00A955C4" w:rsidRPr="007F3524" w:rsidRDefault="00A955C4" w:rsidP="00A955C4">
      <w:pPr>
        <w:pStyle w:val="SingleTxtGA"/>
        <w:spacing w:before="120" w:after="0"/>
        <w:ind w:left="0"/>
        <w:rPr>
          <w:b/>
          <w:bCs/>
          <w:sz w:val="26"/>
          <w:szCs w:val="26"/>
        </w:rPr>
      </w:pPr>
      <w:r w:rsidRPr="007F3524">
        <w:rPr>
          <w:b/>
          <w:bCs/>
          <w:sz w:val="26"/>
          <w:szCs w:val="26"/>
          <w:rtl/>
        </w:rPr>
        <w:t>لجنة مناهضة التعذيب</w:t>
      </w:r>
    </w:p>
    <w:p w14:paraId="0D5271AF" w14:textId="2851CFFA" w:rsidR="00A955C4" w:rsidRPr="007F3524" w:rsidRDefault="00A955C4" w:rsidP="00A955C4">
      <w:pPr>
        <w:pStyle w:val="HChGA"/>
      </w:pPr>
      <w:r w:rsidRPr="007F3524">
        <w:rPr>
          <w:rtl/>
        </w:rPr>
        <w:tab/>
      </w:r>
      <w:r w:rsidRPr="007F3524">
        <w:rPr>
          <w:rtl/>
        </w:rPr>
        <w:tab/>
        <w:t>قرار اعتمدته اللجنة بموجب المادة 22 من الاتفاقية بشأن البلاغ رقم</w:t>
      </w:r>
      <w:r w:rsidRPr="007F3524">
        <w:rPr>
          <w:rFonts w:hint="cs"/>
          <w:rtl/>
        </w:rPr>
        <w:t> </w:t>
      </w:r>
      <w:r w:rsidRPr="007F3524">
        <w:rPr>
          <w:rtl/>
        </w:rPr>
        <w:t>792/2016</w:t>
      </w:r>
      <w:r w:rsidR="00232E96" w:rsidRPr="007F3524">
        <w:rPr>
          <w:rStyle w:val="FootnoteReference"/>
          <w:rFonts w:ascii="Times New Roman Bold" w:hAnsi="Times New Roman Bold"/>
          <w:position w:val="4"/>
          <w:sz w:val="22"/>
          <w:szCs w:val="22"/>
          <w:vertAlign w:val="baseline"/>
          <w:rtl/>
        </w:rPr>
        <w:footnoteReference w:customMarkFollows="1" w:id="1"/>
        <w:t>*</w:t>
      </w:r>
      <w:r w:rsidR="00232E96" w:rsidRPr="007F3524">
        <w:rPr>
          <w:rFonts w:ascii="Times New Roman Bold" w:hAnsi="Times New Roman Bold" w:hint="cs"/>
          <w:position w:val="4"/>
          <w:rtl/>
        </w:rPr>
        <w:t xml:space="preserve"> </w:t>
      </w:r>
      <w:r w:rsidR="00232E96" w:rsidRPr="007F3524">
        <w:rPr>
          <w:rStyle w:val="FootnoteReference"/>
          <w:rFonts w:ascii="Times New Roman Bold" w:hAnsi="Times New Roman Bold"/>
          <w:position w:val="4"/>
          <w:sz w:val="22"/>
          <w:szCs w:val="22"/>
          <w:vertAlign w:val="baseline"/>
          <w:rtl/>
        </w:rPr>
        <w:footnoteReference w:customMarkFollows="1" w:id="2"/>
        <w:t>**</w:t>
      </w:r>
    </w:p>
    <w:p w14:paraId="2EE01121" w14:textId="462F1882" w:rsidR="00A955C4" w:rsidRPr="00A955C4" w:rsidRDefault="00A955C4" w:rsidP="00A955C4">
      <w:pPr>
        <w:pStyle w:val="SingleTxtGA"/>
        <w:tabs>
          <w:tab w:val="clear" w:pos="1928"/>
          <w:tab w:val="clear" w:pos="2608"/>
          <w:tab w:val="clear" w:pos="3289"/>
          <w:tab w:val="clear" w:pos="3969"/>
          <w:tab w:val="clear" w:pos="4649"/>
          <w:tab w:val="clear" w:pos="5330"/>
        </w:tabs>
        <w:ind w:left="4649" w:hanging="2721"/>
      </w:pPr>
      <w:r w:rsidRPr="007F3524">
        <w:rPr>
          <w:i/>
          <w:iCs/>
          <w:rtl/>
        </w:rPr>
        <w:t>بلاغ مقدّم من:</w:t>
      </w:r>
      <w:r>
        <w:rPr>
          <w:rtl/>
        </w:rPr>
        <w:tab/>
      </w:r>
      <w:r w:rsidRPr="00A955C4">
        <w:rPr>
          <w:rtl/>
        </w:rPr>
        <w:t xml:space="preserve">ه. س. (يمثلها المجلس </w:t>
      </w:r>
      <w:proofErr w:type="spellStart"/>
      <w:r w:rsidRPr="00A955C4">
        <w:rPr>
          <w:rtl/>
        </w:rPr>
        <w:t>الدانمركي</w:t>
      </w:r>
      <w:proofErr w:type="spellEnd"/>
      <w:r w:rsidRPr="00A955C4">
        <w:rPr>
          <w:rtl/>
        </w:rPr>
        <w:t xml:space="preserve"> للاجئين)</w:t>
      </w:r>
    </w:p>
    <w:p w14:paraId="64FDEE8F" w14:textId="3F67E2B8" w:rsidR="00A955C4" w:rsidRPr="00A955C4" w:rsidRDefault="00A955C4" w:rsidP="00A955C4">
      <w:pPr>
        <w:pStyle w:val="SingleTxtGA"/>
        <w:tabs>
          <w:tab w:val="clear" w:pos="1928"/>
          <w:tab w:val="clear" w:pos="2608"/>
          <w:tab w:val="clear" w:pos="3289"/>
          <w:tab w:val="clear" w:pos="3969"/>
          <w:tab w:val="clear" w:pos="4649"/>
          <w:tab w:val="clear" w:pos="5330"/>
        </w:tabs>
        <w:ind w:left="4649" w:hanging="2721"/>
      </w:pPr>
      <w:r w:rsidRPr="007F3524">
        <w:rPr>
          <w:i/>
          <w:iCs/>
          <w:rtl/>
        </w:rPr>
        <w:t>الشخص المدعى أنه ضحية:</w:t>
      </w:r>
      <w:r>
        <w:rPr>
          <w:rtl/>
        </w:rPr>
        <w:tab/>
      </w:r>
      <w:r w:rsidRPr="00A955C4">
        <w:rPr>
          <w:rtl/>
        </w:rPr>
        <w:t>صاحبة الشكوى</w:t>
      </w:r>
    </w:p>
    <w:p w14:paraId="7CB5E067" w14:textId="73AED834" w:rsidR="00A955C4" w:rsidRPr="00A955C4" w:rsidRDefault="00A955C4" w:rsidP="00A955C4">
      <w:pPr>
        <w:pStyle w:val="SingleTxtGA"/>
        <w:tabs>
          <w:tab w:val="clear" w:pos="1928"/>
          <w:tab w:val="clear" w:pos="2608"/>
          <w:tab w:val="clear" w:pos="3289"/>
          <w:tab w:val="clear" w:pos="3969"/>
          <w:tab w:val="clear" w:pos="4649"/>
          <w:tab w:val="clear" w:pos="5330"/>
        </w:tabs>
        <w:ind w:left="4649" w:hanging="2721"/>
      </w:pPr>
      <w:r w:rsidRPr="007F3524">
        <w:rPr>
          <w:i/>
          <w:iCs/>
          <w:rtl/>
        </w:rPr>
        <w:t>الدولة الطرف:</w:t>
      </w:r>
      <w:r>
        <w:rPr>
          <w:rtl/>
        </w:rPr>
        <w:tab/>
      </w:r>
      <w:r w:rsidRPr="00A955C4">
        <w:rPr>
          <w:rtl/>
        </w:rPr>
        <w:t>الدانمرك</w:t>
      </w:r>
    </w:p>
    <w:p w14:paraId="686EC44E" w14:textId="6EDE9C60" w:rsidR="00A955C4" w:rsidRPr="00A955C4" w:rsidRDefault="00A955C4" w:rsidP="00A955C4">
      <w:pPr>
        <w:pStyle w:val="SingleTxtGA"/>
        <w:tabs>
          <w:tab w:val="clear" w:pos="1928"/>
          <w:tab w:val="clear" w:pos="2608"/>
          <w:tab w:val="clear" w:pos="3289"/>
          <w:tab w:val="clear" w:pos="3969"/>
          <w:tab w:val="clear" w:pos="4649"/>
          <w:tab w:val="clear" w:pos="5330"/>
        </w:tabs>
        <w:ind w:left="4649" w:hanging="2721"/>
      </w:pPr>
      <w:r w:rsidRPr="007F3524">
        <w:rPr>
          <w:i/>
          <w:iCs/>
          <w:rtl/>
        </w:rPr>
        <w:t>تاريخ تقديم الشكوى:</w:t>
      </w:r>
      <w:r>
        <w:rPr>
          <w:rtl/>
        </w:rPr>
        <w:tab/>
      </w:r>
      <w:r w:rsidRPr="007F3524">
        <w:rPr>
          <w:rtl/>
        </w:rPr>
        <w:t>19</w:t>
      </w:r>
      <w:r w:rsidRPr="00A955C4">
        <w:rPr>
          <w:rtl/>
        </w:rPr>
        <w:t xml:space="preserve"> كانون الأول/ديسمبر </w:t>
      </w:r>
      <w:r w:rsidRPr="007F3524">
        <w:rPr>
          <w:rtl/>
        </w:rPr>
        <w:t>2016</w:t>
      </w:r>
      <w:r w:rsidRPr="00A955C4">
        <w:rPr>
          <w:rtl/>
        </w:rPr>
        <w:t xml:space="preserve"> (تاريخ الرسالة الأولى)</w:t>
      </w:r>
    </w:p>
    <w:p w14:paraId="7C6DCBF5" w14:textId="61579763" w:rsidR="00A955C4" w:rsidRPr="00A955C4" w:rsidRDefault="00A955C4" w:rsidP="00A955C4">
      <w:pPr>
        <w:pStyle w:val="SingleTxtGA"/>
        <w:tabs>
          <w:tab w:val="clear" w:pos="1928"/>
          <w:tab w:val="clear" w:pos="2608"/>
          <w:tab w:val="clear" w:pos="3289"/>
          <w:tab w:val="clear" w:pos="3969"/>
          <w:tab w:val="clear" w:pos="4649"/>
          <w:tab w:val="clear" w:pos="5330"/>
        </w:tabs>
        <w:ind w:left="4649" w:hanging="2721"/>
      </w:pPr>
      <w:r w:rsidRPr="007F3524">
        <w:rPr>
          <w:i/>
          <w:iCs/>
          <w:rtl/>
        </w:rPr>
        <w:t>الوثائق المرجعية:</w:t>
      </w:r>
      <w:r>
        <w:rPr>
          <w:rtl/>
        </w:rPr>
        <w:tab/>
      </w:r>
      <w:r w:rsidRPr="00A955C4">
        <w:rPr>
          <w:spacing w:val="-4"/>
          <w:rtl/>
        </w:rPr>
        <w:t xml:space="preserve">القرارات المتخذة بموجب المادتين </w:t>
      </w:r>
      <w:r w:rsidRPr="007F3524">
        <w:rPr>
          <w:spacing w:val="-4"/>
          <w:rtl/>
        </w:rPr>
        <w:t>114</w:t>
      </w:r>
      <w:r w:rsidRPr="00A955C4">
        <w:rPr>
          <w:spacing w:val="-4"/>
          <w:rtl/>
        </w:rPr>
        <w:t xml:space="preserve"> و</w:t>
      </w:r>
      <w:r w:rsidRPr="007F3524">
        <w:rPr>
          <w:spacing w:val="-4"/>
          <w:rtl/>
        </w:rPr>
        <w:t>115</w:t>
      </w:r>
      <w:r w:rsidRPr="00A955C4">
        <w:rPr>
          <w:spacing w:val="-4"/>
          <w:rtl/>
        </w:rPr>
        <w:t xml:space="preserve"> من النظام</w:t>
      </w:r>
      <w:r w:rsidRPr="00A955C4">
        <w:rPr>
          <w:rtl/>
        </w:rPr>
        <w:t xml:space="preserve"> الداخلي للجنة، والمحالة إلى الدولة الطرف في </w:t>
      </w:r>
      <w:r w:rsidRPr="007F3524">
        <w:rPr>
          <w:rtl/>
        </w:rPr>
        <w:t>20</w:t>
      </w:r>
      <w:r w:rsidRPr="00A955C4">
        <w:rPr>
          <w:rtl/>
        </w:rPr>
        <w:t xml:space="preserve"> </w:t>
      </w:r>
      <w:r w:rsidRPr="00A955C4">
        <w:rPr>
          <w:spacing w:val="-4"/>
          <w:rtl/>
        </w:rPr>
        <w:t xml:space="preserve">كانون الأول/ديسمبر </w:t>
      </w:r>
      <w:r w:rsidRPr="007F3524">
        <w:rPr>
          <w:spacing w:val="-4"/>
          <w:rtl/>
        </w:rPr>
        <w:t>2016</w:t>
      </w:r>
      <w:r w:rsidRPr="00A955C4">
        <w:rPr>
          <w:spacing w:val="-4"/>
          <w:rtl/>
        </w:rPr>
        <w:t xml:space="preserve"> (لم تصدر في شكل وثيقة).</w:t>
      </w:r>
    </w:p>
    <w:p w14:paraId="1B367E3A" w14:textId="69B6D496" w:rsidR="00A955C4" w:rsidRPr="00A955C4" w:rsidRDefault="00A955C4" w:rsidP="00A955C4">
      <w:pPr>
        <w:pStyle w:val="SingleTxtGA"/>
        <w:tabs>
          <w:tab w:val="clear" w:pos="1928"/>
          <w:tab w:val="clear" w:pos="2608"/>
          <w:tab w:val="clear" w:pos="3289"/>
          <w:tab w:val="clear" w:pos="3969"/>
          <w:tab w:val="clear" w:pos="4649"/>
          <w:tab w:val="clear" w:pos="5330"/>
        </w:tabs>
        <w:ind w:left="4649" w:hanging="2721"/>
      </w:pPr>
      <w:r w:rsidRPr="007F3524">
        <w:rPr>
          <w:i/>
          <w:iCs/>
          <w:rtl/>
        </w:rPr>
        <w:t>تاريخ اعتماد القرار:</w:t>
      </w:r>
      <w:r>
        <w:rPr>
          <w:rtl/>
        </w:rPr>
        <w:tab/>
      </w:r>
      <w:r w:rsidRPr="007F3524">
        <w:rPr>
          <w:rtl/>
        </w:rPr>
        <w:t>19</w:t>
      </w:r>
      <w:r w:rsidRPr="00A955C4">
        <w:rPr>
          <w:rtl/>
        </w:rPr>
        <w:t xml:space="preserve"> تموز/يوليه </w:t>
      </w:r>
      <w:r w:rsidRPr="007F3524">
        <w:rPr>
          <w:rtl/>
        </w:rPr>
        <w:t>2021</w:t>
      </w:r>
    </w:p>
    <w:p w14:paraId="1495333E" w14:textId="3D5D1AB7" w:rsidR="00A955C4" w:rsidRPr="00A955C4" w:rsidRDefault="00A955C4" w:rsidP="00A955C4">
      <w:pPr>
        <w:pStyle w:val="SingleTxtGA"/>
        <w:tabs>
          <w:tab w:val="clear" w:pos="1928"/>
          <w:tab w:val="clear" w:pos="2608"/>
          <w:tab w:val="clear" w:pos="3289"/>
          <w:tab w:val="clear" w:pos="3969"/>
          <w:tab w:val="clear" w:pos="4649"/>
          <w:tab w:val="clear" w:pos="5330"/>
        </w:tabs>
        <w:ind w:left="4649" w:hanging="2721"/>
      </w:pPr>
      <w:r w:rsidRPr="007F3524">
        <w:rPr>
          <w:i/>
          <w:iCs/>
          <w:rtl/>
        </w:rPr>
        <w:t>الموضوع:</w:t>
      </w:r>
      <w:r>
        <w:rPr>
          <w:rtl/>
        </w:rPr>
        <w:tab/>
      </w:r>
      <w:r w:rsidRPr="00A955C4">
        <w:rPr>
          <w:rtl/>
        </w:rPr>
        <w:t>الترحيل إلى أوغندا</w:t>
      </w:r>
    </w:p>
    <w:p w14:paraId="3ADB7F88" w14:textId="5CC19DC7" w:rsidR="00A955C4" w:rsidRPr="00A955C4" w:rsidRDefault="00A955C4" w:rsidP="00A955C4">
      <w:pPr>
        <w:pStyle w:val="SingleTxtGA"/>
        <w:tabs>
          <w:tab w:val="clear" w:pos="1928"/>
          <w:tab w:val="clear" w:pos="2608"/>
          <w:tab w:val="clear" w:pos="3289"/>
          <w:tab w:val="clear" w:pos="3969"/>
          <w:tab w:val="clear" w:pos="4649"/>
          <w:tab w:val="clear" w:pos="5330"/>
        </w:tabs>
        <w:ind w:left="4649" w:hanging="2721"/>
      </w:pPr>
      <w:r w:rsidRPr="007F3524">
        <w:rPr>
          <w:i/>
          <w:iCs/>
          <w:rtl/>
        </w:rPr>
        <w:t>المسألة الإجرائية:</w:t>
      </w:r>
      <w:r>
        <w:rPr>
          <w:rtl/>
        </w:rPr>
        <w:tab/>
      </w:r>
      <w:r w:rsidRPr="00A955C4">
        <w:rPr>
          <w:rtl/>
        </w:rPr>
        <w:t xml:space="preserve">المقبولية - </w:t>
      </w:r>
      <w:r w:rsidRPr="00A955C4">
        <w:rPr>
          <w:rFonts w:hint="cs"/>
          <w:rtl/>
        </w:rPr>
        <w:t>ادعاءات</w:t>
      </w:r>
      <w:r w:rsidRPr="00A955C4">
        <w:rPr>
          <w:rtl/>
        </w:rPr>
        <w:t xml:space="preserve"> </w:t>
      </w:r>
      <w:r w:rsidRPr="00A955C4">
        <w:rPr>
          <w:rFonts w:hint="cs"/>
          <w:rtl/>
        </w:rPr>
        <w:t>ظاهرة</w:t>
      </w:r>
      <w:r w:rsidRPr="00A955C4">
        <w:rPr>
          <w:rtl/>
        </w:rPr>
        <w:t xml:space="preserve"> </w:t>
      </w:r>
      <w:r w:rsidRPr="00A955C4">
        <w:rPr>
          <w:rFonts w:hint="cs"/>
          <w:rtl/>
        </w:rPr>
        <w:t>البطلان</w:t>
      </w:r>
    </w:p>
    <w:p w14:paraId="11B84C1E" w14:textId="5ED43782" w:rsidR="00A955C4" w:rsidRPr="00A955C4" w:rsidRDefault="00A955C4" w:rsidP="00A955C4">
      <w:pPr>
        <w:pStyle w:val="SingleTxtGA"/>
        <w:tabs>
          <w:tab w:val="clear" w:pos="1928"/>
          <w:tab w:val="clear" w:pos="2608"/>
          <w:tab w:val="clear" w:pos="3289"/>
          <w:tab w:val="clear" w:pos="3969"/>
          <w:tab w:val="clear" w:pos="4649"/>
          <w:tab w:val="clear" w:pos="5330"/>
        </w:tabs>
        <w:ind w:left="4649" w:hanging="2721"/>
      </w:pPr>
      <w:r w:rsidRPr="007F3524">
        <w:rPr>
          <w:i/>
          <w:iCs/>
          <w:rtl/>
        </w:rPr>
        <w:t>المسائل الموضوعية:</w:t>
      </w:r>
      <w:r>
        <w:rPr>
          <w:rtl/>
        </w:rPr>
        <w:tab/>
      </w:r>
      <w:r w:rsidRPr="00A955C4">
        <w:rPr>
          <w:rtl/>
        </w:rPr>
        <w:t>عدم الإعادة القسرية؛ التعذيب</w:t>
      </w:r>
    </w:p>
    <w:p w14:paraId="664CC7DA" w14:textId="4B972312" w:rsidR="00A955C4" w:rsidRPr="00A955C4" w:rsidRDefault="00A955C4" w:rsidP="00A955C4">
      <w:pPr>
        <w:pStyle w:val="SingleTxtGA"/>
        <w:tabs>
          <w:tab w:val="clear" w:pos="1928"/>
          <w:tab w:val="clear" w:pos="2608"/>
          <w:tab w:val="clear" w:pos="3289"/>
          <w:tab w:val="clear" w:pos="3969"/>
          <w:tab w:val="clear" w:pos="4649"/>
          <w:tab w:val="clear" w:pos="5330"/>
        </w:tabs>
        <w:ind w:left="4649" w:hanging="2721"/>
      </w:pPr>
      <w:r w:rsidRPr="007F3524">
        <w:rPr>
          <w:i/>
          <w:iCs/>
          <w:rtl/>
        </w:rPr>
        <w:t>مادة الاتفاقية:</w:t>
      </w:r>
      <w:r>
        <w:rPr>
          <w:rtl/>
        </w:rPr>
        <w:tab/>
      </w:r>
      <w:r w:rsidRPr="007F3524">
        <w:rPr>
          <w:rtl/>
        </w:rPr>
        <w:t>3</w:t>
      </w:r>
    </w:p>
    <w:p w14:paraId="2A9BF5CD" w14:textId="77777777" w:rsidR="00A955C4" w:rsidRPr="00A955C4" w:rsidRDefault="00A955C4" w:rsidP="00A955C4">
      <w:pPr>
        <w:pStyle w:val="SingleTxtGA"/>
        <w:rPr>
          <w:lang w:val="en-US"/>
        </w:rPr>
      </w:pPr>
      <w:r w:rsidRPr="007F3524">
        <w:rPr>
          <w:rtl/>
          <w:lang w:val="en-US"/>
        </w:rPr>
        <w:t>1</w:t>
      </w:r>
      <w:r w:rsidRPr="00A955C4">
        <w:rPr>
          <w:rtl/>
          <w:lang w:val="en-US"/>
        </w:rPr>
        <w:t>-</w:t>
      </w:r>
      <w:r w:rsidRPr="007F3524">
        <w:rPr>
          <w:rtl/>
          <w:lang w:val="en-US"/>
        </w:rPr>
        <w:t>1</w:t>
      </w:r>
      <w:r w:rsidRPr="00A955C4">
        <w:rPr>
          <w:rtl/>
          <w:lang w:val="en-US"/>
        </w:rPr>
        <w:tab/>
        <w:t xml:space="preserve">صاحبة الشكوى هي ه. س.، وهي مواطنة من أوغندا وُلدت في عام </w:t>
      </w:r>
      <w:r w:rsidRPr="007F3524">
        <w:rPr>
          <w:rtl/>
          <w:lang w:val="en-US"/>
        </w:rPr>
        <w:t>1977</w:t>
      </w:r>
      <w:r w:rsidRPr="00A955C4">
        <w:rPr>
          <w:rtl/>
          <w:lang w:val="en-US"/>
        </w:rPr>
        <w:t xml:space="preserve">. وتدعي أن الدولة الطرف ستنتهك حقوقها المنصوص عليها في المادة </w:t>
      </w:r>
      <w:r w:rsidRPr="007F3524">
        <w:rPr>
          <w:rtl/>
          <w:lang w:val="en-US"/>
        </w:rPr>
        <w:t>3</w:t>
      </w:r>
      <w:r w:rsidRPr="00A955C4">
        <w:rPr>
          <w:rtl/>
          <w:lang w:val="en-US"/>
        </w:rPr>
        <w:t xml:space="preserve"> من الاتفاقية، إذا أُعيدت إلى أوغندا. وقد أصدرت </w:t>
      </w:r>
      <w:r w:rsidRPr="00232E96">
        <w:rPr>
          <w:spacing w:val="-4"/>
          <w:rtl/>
          <w:lang w:val="en-US"/>
        </w:rPr>
        <w:t xml:space="preserve">الدولة الطرف الإعلان المنصوص عليه في الفقرة </w:t>
      </w:r>
      <w:r w:rsidRPr="007F3524">
        <w:rPr>
          <w:spacing w:val="-4"/>
          <w:rtl/>
          <w:lang w:val="en-US"/>
        </w:rPr>
        <w:t>22</w:t>
      </w:r>
      <w:r w:rsidRPr="00232E96">
        <w:rPr>
          <w:spacing w:val="-4"/>
          <w:rtl/>
          <w:lang w:val="en-US"/>
        </w:rPr>
        <w:t>(</w:t>
      </w:r>
      <w:r w:rsidRPr="007F3524">
        <w:rPr>
          <w:spacing w:val="-4"/>
          <w:rtl/>
          <w:lang w:val="en-US"/>
        </w:rPr>
        <w:t>1</w:t>
      </w:r>
      <w:r w:rsidRPr="00232E96">
        <w:rPr>
          <w:spacing w:val="-4"/>
          <w:rtl/>
          <w:lang w:val="en-US"/>
        </w:rPr>
        <w:t xml:space="preserve">) من الاتفاقية، وذلك اعتباراً من </w:t>
      </w:r>
      <w:r w:rsidRPr="007F3524">
        <w:rPr>
          <w:spacing w:val="-4"/>
          <w:rtl/>
          <w:lang w:val="en-US"/>
        </w:rPr>
        <w:t>27</w:t>
      </w:r>
      <w:r w:rsidRPr="00232E96">
        <w:rPr>
          <w:spacing w:val="-4"/>
          <w:rtl/>
          <w:lang w:val="en-US"/>
        </w:rPr>
        <w:t xml:space="preserve"> أيار/مايو </w:t>
      </w:r>
      <w:r w:rsidRPr="007F3524">
        <w:rPr>
          <w:spacing w:val="-4"/>
          <w:rtl/>
          <w:lang w:val="en-US"/>
        </w:rPr>
        <w:t>1987</w:t>
      </w:r>
      <w:r w:rsidRPr="00232E96">
        <w:rPr>
          <w:spacing w:val="-4"/>
          <w:rtl/>
          <w:lang w:val="en-US"/>
        </w:rPr>
        <w:t>.</w:t>
      </w:r>
      <w:r w:rsidRPr="00A955C4">
        <w:rPr>
          <w:rtl/>
          <w:lang w:val="en-US"/>
        </w:rPr>
        <w:t xml:space="preserve"> ويمثل صاحبة الشكوى محام، هو المجلس </w:t>
      </w:r>
      <w:proofErr w:type="spellStart"/>
      <w:r w:rsidRPr="00A955C4">
        <w:rPr>
          <w:rtl/>
          <w:lang w:val="en-US"/>
        </w:rPr>
        <w:t>الدانمركي</w:t>
      </w:r>
      <w:proofErr w:type="spellEnd"/>
      <w:r w:rsidRPr="00A955C4">
        <w:rPr>
          <w:rtl/>
          <w:lang w:val="en-US"/>
        </w:rPr>
        <w:t xml:space="preserve"> للاجئين.</w:t>
      </w:r>
    </w:p>
    <w:p w14:paraId="3C3179C3" w14:textId="77777777" w:rsidR="00A955C4" w:rsidRPr="00A955C4" w:rsidRDefault="00A955C4" w:rsidP="00A955C4">
      <w:pPr>
        <w:pStyle w:val="SingleTxtGA"/>
        <w:rPr>
          <w:lang w:val="en-US"/>
        </w:rPr>
      </w:pPr>
      <w:r w:rsidRPr="007F3524">
        <w:rPr>
          <w:rtl/>
          <w:lang w:val="en-US"/>
        </w:rPr>
        <w:lastRenderedPageBreak/>
        <w:t>1</w:t>
      </w:r>
      <w:r w:rsidRPr="00A955C4">
        <w:rPr>
          <w:rtl/>
          <w:lang w:val="en-US"/>
        </w:rPr>
        <w:t>-</w:t>
      </w:r>
      <w:r w:rsidRPr="007F3524">
        <w:rPr>
          <w:rtl/>
          <w:lang w:val="en-US"/>
        </w:rPr>
        <w:t>2</w:t>
      </w:r>
      <w:r w:rsidRPr="00A955C4">
        <w:rPr>
          <w:rtl/>
          <w:lang w:val="en-US"/>
        </w:rPr>
        <w:tab/>
        <w:t xml:space="preserve">وفي </w:t>
      </w:r>
      <w:r w:rsidRPr="007F3524">
        <w:rPr>
          <w:rtl/>
          <w:lang w:val="en-US"/>
        </w:rPr>
        <w:t>19</w:t>
      </w:r>
      <w:r w:rsidRPr="00A955C4">
        <w:rPr>
          <w:rtl/>
          <w:lang w:val="en-US"/>
        </w:rPr>
        <w:t xml:space="preserve"> كانون الأول/ديسمبر </w:t>
      </w:r>
      <w:r w:rsidRPr="007F3524">
        <w:rPr>
          <w:rtl/>
          <w:lang w:val="en-US"/>
        </w:rPr>
        <w:t>2016</w:t>
      </w:r>
      <w:r w:rsidRPr="00A955C4">
        <w:rPr>
          <w:rtl/>
          <w:lang w:val="en-US"/>
        </w:rPr>
        <w:t xml:space="preserve">، طلبت صاحبة الشكوى إلى اللجنة منحها تدابير مؤقتة. وفي </w:t>
      </w:r>
      <w:r w:rsidRPr="007F3524">
        <w:rPr>
          <w:rtl/>
          <w:lang w:val="en-US"/>
        </w:rPr>
        <w:t>20</w:t>
      </w:r>
      <w:r w:rsidRPr="00A955C4">
        <w:rPr>
          <w:rtl/>
          <w:lang w:val="en-US"/>
        </w:rPr>
        <w:t xml:space="preserve"> كانون الأول/ديسمبر </w:t>
      </w:r>
      <w:r w:rsidRPr="007F3524">
        <w:rPr>
          <w:rtl/>
          <w:lang w:val="en-US"/>
        </w:rPr>
        <w:t>2016</w:t>
      </w:r>
      <w:r w:rsidRPr="00A955C4">
        <w:rPr>
          <w:rtl/>
          <w:lang w:val="en-US"/>
        </w:rPr>
        <w:t xml:space="preserve">، طلبت اللجنة، عن طريق مقررها المعني بالشكاوى الجديدة والتدابير المؤقتة، إلى الدولة الطرف، عملاً بالمادة </w:t>
      </w:r>
      <w:r w:rsidRPr="007F3524">
        <w:rPr>
          <w:rtl/>
          <w:lang w:val="en-US"/>
        </w:rPr>
        <w:t>114</w:t>
      </w:r>
      <w:r w:rsidRPr="00A955C4">
        <w:rPr>
          <w:rtl/>
          <w:lang w:val="en-US"/>
        </w:rPr>
        <w:t xml:space="preserve"> من نظامها الداخلي، أن تمتنع عن إعادة صاحبة الشكوى إلى أوغندا ريثما تفرغ اللجنة من النظر في قضيتها. وفي </w:t>
      </w:r>
      <w:r w:rsidRPr="007F3524">
        <w:rPr>
          <w:rtl/>
          <w:lang w:val="en-US"/>
        </w:rPr>
        <w:t>21</w:t>
      </w:r>
      <w:r w:rsidRPr="00A955C4">
        <w:rPr>
          <w:rtl/>
          <w:lang w:val="en-US"/>
        </w:rPr>
        <w:t xml:space="preserve"> آذار/مارس </w:t>
      </w:r>
      <w:r w:rsidRPr="007F3524">
        <w:rPr>
          <w:rtl/>
          <w:lang w:val="en-US"/>
        </w:rPr>
        <w:t>2019</w:t>
      </w:r>
      <w:r w:rsidRPr="00A955C4">
        <w:rPr>
          <w:rtl/>
          <w:lang w:val="en-US"/>
        </w:rPr>
        <w:t>، رفضت اللجنة طلب الدولة الطرف رفع التدابير المؤقتة.</w:t>
      </w:r>
    </w:p>
    <w:p w14:paraId="511901D5" w14:textId="77777777" w:rsidR="00A955C4" w:rsidRPr="007F3524" w:rsidRDefault="00A955C4" w:rsidP="00A955C4">
      <w:pPr>
        <w:pStyle w:val="H23GA"/>
      </w:pPr>
      <w:r w:rsidRPr="007F3524">
        <w:rPr>
          <w:rtl/>
        </w:rPr>
        <w:tab/>
      </w:r>
      <w:r w:rsidRPr="007F3524">
        <w:rPr>
          <w:rtl/>
        </w:rPr>
        <w:tab/>
        <w:t>الوقائع كما عرضتها صاحبة الشكوى</w:t>
      </w:r>
    </w:p>
    <w:p w14:paraId="476839F8" w14:textId="00D36675" w:rsidR="00A955C4" w:rsidRPr="00A955C4" w:rsidRDefault="00A955C4" w:rsidP="00A955C4">
      <w:pPr>
        <w:pStyle w:val="SingleTxtGA"/>
        <w:rPr>
          <w:lang w:val="en-US"/>
        </w:rPr>
      </w:pPr>
      <w:r w:rsidRPr="007F3524">
        <w:rPr>
          <w:rtl/>
          <w:lang w:val="en-US"/>
        </w:rPr>
        <w:t>2</w:t>
      </w:r>
      <w:r w:rsidRPr="00A955C4">
        <w:rPr>
          <w:rtl/>
          <w:lang w:val="en-US"/>
        </w:rPr>
        <w:t>-</w:t>
      </w:r>
      <w:r w:rsidRPr="007F3524">
        <w:rPr>
          <w:rtl/>
          <w:lang w:val="en-US"/>
        </w:rPr>
        <w:t>1</w:t>
      </w:r>
      <w:r w:rsidRPr="00A955C4">
        <w:rPr>
          <w:rtl/>
          <w:lang w:val="en-US"/>
        </w:rPr>
        <w:tab/>
        <w:t xml:space="preserve">أدركت صاحبة الشكوى لأول مرة أنها كانت مثلية عندما كانت تبلغ </w:t>
      </w:r>
      <w:r w:rsidRPr="007F3524">
        <w:rPr>
          <w:rtl/>
          <w:lang w:val="en-US"/>
        </w:rPr>
        <w:t>14</w:t>
      </w:r>
      <w:r w:rsidRPr="00A955C4">
        <w:rPr>
          <w:rtl/>
          <w:lang w:val="en-US"/>
        </w:rPr>
        <w:t xml:space="preserve"> عاماً من العمر وأقامت علاقات جنسية مع فتيات منذ أن كانت تبلغ </w:t>
      </w:r>
      <w:r w:rsidRPr="007F3524">
        <w:rPr>
          <w:rtl/>
          <w:lang w:val="en-US"/>
        </w:rPr>
        <w:t>19</w:t>
      </w:r>
      <w:r w:rsidRPr="00A955C4">
        <w:rPr>
          <w:rtl/>
          <w:lang w:val="en-US"/>
        </w:rPr>
        <w:t xml:space="preserve"> عاماً من العمر. وارتادت المدرسة بين عامي </w:t>
      </w:r>
      <w:r w:rsidRPr="007F3524">
        <w:rPr>
          <w:rtl/>
          <w:lang w:val="en-US"/>
        </w:rPr>
        <w:t>1981</w:t>
      </w:r>
      <w:r w:rsidRPr="00A955C4">
        <w:rPr>
          <w:rtl/>
          <w:lang w:val="en-US"/>
        </w:rPr>
        <w:t xml:space="preserve"> و</w:t>
      </w:r>
      <w:r w:rsidRPr="007F3524">
        <w:rPr>
          <w:rtl/>
          <w:lang w:val="en-US"/>
        </w:rPr>
        <w:t>1996</w:t>
      </w:r>
      <w:r w:rsidRPr="00A955C4">
        <w:rPr>
          <w:rtl/>
          <w:lang w:val="en-US"/>
        </w:rPr>
        <w:t xml:space="preserve">. وخلال تلك الفترة، كانت لها علاقات مع فتاتين، م. ور. وفي عام </w:t>
      </w:r>
      <w:r w:rsidRPr="007F3524">
        <w:rPr>
          <w:rtl/>
          <w:lang w:val="en-US"/>
        </w:rPr>
        <w:t>1996</w:t>
      </w:r>
      <w:r w:rsidRPr="00A955C4">
        <w:rPr>
          <w:rtl/>
          <w:lang w:val="en-US"/>
        </w:rPr>
        <w:t>، وجدتها أسرتها مع ر. ونعت والد صاحبة الشكوى ر. ب</w:t>
      </w:r>
      <w:r>
        <w:rPr>
          <w:rFonts w:hint="cs"/>
          <w:rtl/>
          <w:lang w:val="en-US"/>
        </w:rPr>
        <w:t>‍</w:t>
      </w:r>
      <w:r>
        <w:rPr>
          <w:rFonts w:hint="eastAsia"/>
          <w:rtl/>
          <w:lang w:val="en-US"/>
        </w:rPr>
        <w:t> </w:t>
      </w:r>
      <w:r w:rsidRPr="00A955C4">
        <w:rPr>
          <w:rtl/>
          <w:lang w:val="en-US"/>
        </w:rPr>
        <w:t xml:space="preserve">"الشيطان" وطردها من المنزل. ومنذ تلك اللحظة، أُبقيت صاحبة الشكوى في المنزل، فيما كانت أسرتها تحاول إخفاء مثليتها الجنسية. ومع ذلك، اكتشف بعض السكان المحليين ذلك. وبصقوا وصرخوا في وجه صاحبة الشكوى وطلبوا منها الابتعاد عن الفتيات الأخريات. وفي عام </w:t>
      </w:r>
      <w:r w:rsidRPr="007F3524">
        <w:rPr>
          <w:rtl/>
          <w:lang w:val="en-US"/>
        </w:rPr>
        <w:t>1998</w:t>
      </w:r>
      <w:r w:rsidRPr="00A955C4">
        <w:rPr>
          <w:rtl/>
          <w:lang w:val="en-US"/>
        </w:rPr>
        <w:t>، اغتصب رجل صاحبة الشكوى، قائلاً لها مراراً إن المرأة ينبغي أن تكون مع رجل. وأخبرت صاحبة الشكوى والدها عن الحادث ولكنه لم يحرك ساكناً. وطردت الأسرة صاحبة الشكوى من منزلها وانقطع اتصال صاحبة الشكوى بأسرتها منذ ذلك الحين.</w:t>
      </w:r>
    </w:p>
    <w:p w14:paraId="0484C706" w14:textId="5E656211" w:rsidR="00232E96" w:rsidRPr="00A955C4" w:rsidRDefault="00A955C4" w:rsidP="00A955C4">
      <w:pPr>
        <w:pStyle w:val="SingleTxtGA"/>
        <w:rPr>
          <w:lang w:val="en-US"/>
        </w:rPr>
      </w:pPr>
      <w:r w:rsidRPr="007F3524">
        <w:rPr>
          <w:rtl/>
          <w:lang w:val="en-US"/>
        </w:rPr>
        <w:t>2</w:t>
      </w:r>
      <w:r w:rsidRPr="00A955C4">
        <w:rPr>
          <w:rtl/>
          <w:lang w:val="en-US"/>
        </w:rPr>
        <w:t>-</w:t>
      </w:r>
      <w:r w:rsidRPr="007F3524">
        <w:rPr>
          <w:rtl/>
          <w:lang w:val="en-US"/>
        </w:rPr>
        <w:t>2</w:t>
      </w:r>
      <w:r w:rsidRPr="00A955C4">
        <w:rPr>
          <w:rtl/>
          <w:lang w:val="en-US"/>
        </w:rPr>
        <w:tab/>
        <w:t xml:space="preserve">وانتقلت صاحبة الشكوى إلى بلدة ز، حيث عاشت مع صديقة مثلية تُدعى، ب.، لمدة تسع سنوات. وأخفت ميولها الجنسية من أجل تجنب الهجمات. وباعت هي وب. ملابس مستعملة في السوق المحلية. واشتبه بعض الرجال في أن صاحبة الشكوى مثلية وأطلقوا عليها اسم </w:t>
      </w:r>
      <w:r w:rsidRPr="007F3524">
        <w:rPr>
          <w:i/>
          <w:iCs/>
          <w:rtl/>
          <w:lang w:val="en-US"/>
        </w:rPr>
        <w:t>"</w:t>
      </w:r>
      <w:proofErr w:type="spellStart"/>
      <w:r w:rsidRPr="007F3524">
        <w:rPr>
          <w:i/>
          <w:iCs/>
          <w:rtl/>
          <w:lang w:val="en-US"/>
        </w:rPr>
        <w:t>بيسيغا</w:t>
      </w:r>
      <w:proofErr w:type="spellEnd"/>
      <w:r w:rsidRPr="007F3524">
        <w:rPr>
          <w:i/>
          <w:iCs/>
          <w:rtl/>
          <w:lang w:val="en-US"/>
        </w:rPr>
        <w:t>"</w:t>
      </w:r>
      <w:r w:rsidRPr="00232E96">
        <w:rPr>
          <w:vertAlign w:val="superscript"/>
          <w:rtl/>
          <w:lang w:val="en-US"/>
        </w:rPr>
        <w:t>(</w:t>
      </w:r>
      <w:r w:rsidR="00232E96" w:rsidRPr="007F3524">
        <w:rPr>
          <w:rStyle w:val="FootnoteReference"/>
          <w:szCs w:val="22"/>
          <w:lang w:val="en-US"/>
        </w:rPr>
        <w:footnoteReference w:id="3"/>
      </w:r>
      <w:r w:rsidR="00232E96" w:rsidRPr="00232E96">
        <w:rPr>
          <w:vertAlign w:val="superscript"/>
          <w:rtl/>
          <w:lang w:val="en-US"/>
        </w:rPr>
        <w:t>)</w:t>
      </w:r>
      <w:r w:rsidR="00232E96" w:rsidRPr="00A955C4">
        <w:rPr>
          <w:rtl/>
          <w:lang w:val="en-US"/>
        </w:rPr>
        <w:t>. وحاولت صاحبة الشكوى تجنب مواجهة هذه المجموعة من الرجال بتغيير طريقها من السوق وإليها، والاختباء والهرب منهم. ولم تغادر منزلها إلا عند الضرورة، وعندما كانت في المنزل، أقفلت الأبواب لتجنب التعرض للهجوم. وكانت تخشى الكشف عن مثليتها والتعرض للاغتصاب.</w:t>
      </w:r>
    </w:p>
    <w:p w14:paraId="74D3E22E" w14:textId="77777777" w:rsidR="00232E96" w:rsidRPr="00A955C4" w:rsidRDefault="00232E96" w:rsidP="00A955C4">
      <w:pPr>
        <w:pStyle w:val="SingleTxtGA"/>
        <w:rPr>
          <w:lang w:val="en-US"/>
        </w:rPr>
      </w:pPr>
      <w:r w:rsidRPr="007F3524">
        <w:rPr>
          <w:rtl/>
          <w:lang w:val="en-US"/>
        </w:rPr>
        <w:t>2</w:t>
      </w:r>
      <w:r w:rsidRPr="00A955C4">
        <w:rPr>
          <w:rtl/>
          <w:lang w:val="en-US"/>
        </w:rPr>
        <w:t>-</w:t>
      </w:r>
      <w:r w:rsidRPr="007F3524">
        <w:rPr>
          <w:rtl/>
          <w:lang w:val="en-US"/>
        </w:rPr>
        <w:t>3</w:t>
      </w:r>
      <w:r w:rsidRPr="00A955C4">
        <w:rPr>
          <w:rtl/>
          <w:lang w:val="en-US"/>
        </w:rPr>
        <w:tab/>
        <w:t xml:space="preserve">ولم تكن صاحبة الشكوى على علاقة في بلدة ز بسبب خطر التعرض للأذى باعتبارها مثلية. وفي بعض الأحيان، كانت وب. تذهبان إلى حانة يرتادها </w:t>
      </w:r>
      <w:proofErr w:type="spellStart"/>
      <w:r w:rsidRPr="00A955C4">
        <w:rPr>
          <w:rtl/>
          <w:lang w:val="en-US"/>
        </w:rPr>
        <w:t>مثليون</w:t>
      </w:r>
      <w:proofErr w:type="spellEnd"/>
      <w:r w:rsidRPr="00A955C4">
        <w:rPr>
          <w:rtl/>
          <w:lang w:val="en-US"/>
        </w:rPr>
        <w:t xml:space="preserve"> جنسياً آخرون. وكلما ذهبت إلى الحانة أو عادت منها، كانت صاحبة الشكوى منعزلة وحذرة للغاية. وكانت لديها ممارسات جنسية مع نساء قابلتهن في الحانة وذهبت أحياناً إلى المنزل معهن لكنهن لم يمكثن طوال الليل معاً خشيةً من أن يكتشف شخص ما ذلك.</w:t>
      </w:r>
    </w:p>
    <w:p w14:paraId="7F98F6F8" w14:textId="7DE1F2B1" w:rsidR="00232E96" w:rsidRPr="00A955C4" w:rsidRDefault="00232E96" w:rsidP="00A955C4">
      <w:pPr>
        <w:pStyle w:val="SingleTxtGA"/>
        <w:rPr>
          <w:lang w:val="en-US"/>
        </w:rPr>
      </w:pPr>
      <w:r w:rsidRPr="007F3524">
        <w:rPr>
          <w:rtl/>
          <w:lang w:val="en-US"/>
        </w:rPr>
        <w:t>2</w:t>
      </w:r>
      <w:r w:rsidRPr="00A955C4">
        <w:rPr>
          <w:rtl/>
          <w:lang w:val="en-US"/>
        </w:rPr>
        <w:t>-</w:t>
      </w:r>
      <w:r w:rsidRPr="007F3524">
        <w:rPr>
          <w:rtl/>
          <w:lang w:val="en-US"/>
        </w:rPr>
        <w:t>4</w:t>
      </w:r>
      <w:r w:rsidRPr="00A955C4">
        <w:rPr>
          <w:rtl/>
          <w:lang w:val="en-US"/>
        </w:rPr>
        <w:tab/>
        <w:t xml:space="preserve">وفي أيار/مايو </w:t>
      </w:r>
      <w:r w:rsidRPr="007F3524">
        <w:rPr>
          <w:rtl/>
          <w:lang w:val="en-US"/>
        </w:rPr>
        <w:t>2007</w:t>
      </w:r>
      <w:r w:rsidRPr="00A955C4">
        <w:rPr>
          <w:rtl/>
          <w:lang w:val="en-US"/>
        </w:rPr>
        <w:t xml:space="preserve">، التقت صاحبة الشكوى بامرأة تدعى أ. في حانة في بلدة ز وأقامت علاقة معها. وفي حزيران/يونيه </w:t>
      </w:r>
      <w:r w:rsidRPr="007F3524">
        <w:rPr>
          <w:rtl/>
          <w:lang w:val="en-US"/>
        </w:rPr>
        <w:t>2007</w:t>
      </w:r>
      <w:r w:rsidRPr="00A955C4">
        <w:rPr>
          <w:rtl/>
          <w:lang w:val="en-US"/>
        </w:rPr>
        <w:t xml:space="preserve">، فرّت صاحبة الشكوى من أوغندا إلى الدانمرك مع أ. لأنها لم تكن حرة </w:t>
      </w:r>
      <w:r w:rsidRPr="002608C2">
        <w:rPr>
          <w:spacing w:val="-2"/>
          <w:rtl/>
          <w:lang w:val="en-US"/>
        </w:rPr>
        <w:t xml:space="preserve">في العيش بصفتها مثلية في أوغندا وكانت تخشى أن تتعرض للاغتصاب والسجن بسبب ميولها </w:t>
      </w:r>
      <w:proofErr w:type="gramStart"/>
      <w:r w:rsidRPr="002608C2">
        <w:rPr>
          <w:spacing w:val="-2"/>
          <w:rtl/>
          <w:lang w:val="en-US"/>
        </w:rPr>
        <w:t>الجنسية</w:t>
      </w:r>
      <w:r w:rsidRPr="00232E96">
        <w:rPr>
          <w:vertAlign w:val="superscript"/>
          <w:rtl/>
          <w:lang w:val="en-US"/>
        </w:rPr>
        <w:t>(</w:t>
      </w:r>
      <w:proofErr w:type="gramEnd"/>
      <w:r w:rsidRPr="007F3524">
        <w:rPr>
          <w:rStyle w:val="FootnoteReference"/>
          <w:szCs w:val="22"/>
          <w:lang w:val="en-US"/>
        </w:rPr>
        <w:footnoteReference w:id="4"/>
      </w:r>
      <w:r w:rsidRPr="00232E96">
        <w:rPr>
          <w:vertAlign w:val="superscript"/>
          <w:rtl/>
          <w:lang w:val="en-US"/>
        </w:rPr>
        <w:t>)</w:t>
      </w:r>
      <w:r w:rsidRPr="00A955C4">
        <w:rPr>
          <w:rtl/>
          <w:lang w:val="en-US"/>
        </w:rPr>
        <w:t>.</w:t>
      </w:r>
    </w:p>
    <w:p w14:paraId="2A477677" w14:textId="65DEED01" w:rsidR="00232E96" w:rsidRPr="00A955C4" w:rsidRDefault="00232E96" w:rsidP="00A955C4">
      <w:pPr>
        <w:pStyle w:val="SingleTxtGA"/>
        <w:rPr>
          <w:lang w:val="en-US"/>
        </w:rPr>
      </w:pPr>
      <w:r w:rsidRPr="007F3524">
        <w:rPr>
          <w:rtl/>
          <w:lang w:val="en-US"/>
        </w:rPr>
        <w:t>2</w:t>
      </w:r>
      <w:r w:rsidRPr="00A955C4">
        <w:rPr>
          <w:rtl/>
          <w:lang w:val="en-US"/>
        </w:rPr>
        <w:t>-</w:t>
      </w:r>
      <w:r w:rsidRPr="007F3524">
        <w:rPr>
          <w:rtl/>
          <w:lang w:val="en-US"/>
        </w:rPr>
        <w:t>5</w:t>
      </w:r>
      <w:r w:rsidRPr="00A955C4">
        <w:rPr>
          <w:rtl/>
          <w:lang w:val="en-US"/>
        </w:rPr>
        <w:tab/>
        <w:t>ولم تطلب صاحبة الشكوى اللجوء لدى وصولها إلى الدانمرك لأنها لم تكن تعلم أنّ عليها أن تفعل شيئاً كي يُسمح لها بالبقاء في الدانمرك. وتشير إلى بيانيْن أدلى بهما طبيبان نفسيان مستقلان في</w:t>
      </w:r>
      <w:r w:rsidR="002608C2">
        <w:rPr>
          <w:rFonts w:hint="cs"/>
          <w:rtl/>
          <w:lang w:val="en-US"/>
        </w:rPr>
        <w:t> </w:t>
      </w:r>
      <w:proofErr w:type="gramStart"/>
      <w:r w:rsidRPr="00A955C4">
        <w:rPr>
          <w:rtl/>
          <w:lang w:val="en-US"/>
        </w:rPr>
        <w:t>الدانمرك</w:t>
      </w:r>
      <w:r w:rsidRPr="00232E96">
        <w:rPr>
          <w:vertAlign w:val="superscript"/>
          <w:rtl/>
          <w:lang w:val="en-US"/>
        </w:rPr>
        <w:t>(</w:t>
      </w:r>
      <w:proofErr w:type="gramEnd"/>
      <w:r w:rsidRPr="007F3524">
        <w:rPr>
          <w:rStyle w:val="FootnoteReference"/>
          <w:szCs w:val="22"/>
          <w:lang w:val="en-US"/>
        </w:rPr>
        <w:footnoteReference w:id="5"/>
      </w:r>
      <w:r w:rsidRPr="00232E96">
        <w:rPr>
          <w:vertAlign w:val="superscript"/>
          <w:rtl/>
          <w:lang w:val="en-US"/>
        </w:rPr>
        <w:t>)</w:t>
      </w:r>
      <w:r w:rsidRPr="00A955C4">
        <w:rPr>
          <w:rtl/>
          <w:lang w:val="en-US"/>
        </w:rPr>
        <w:t xml:space="preserve"> يفيدان بأنها سعيدة بتفويض أشخاص آخرين لاتخاذ قرارات هامة بشأن حياتها. </w:t>
      </w:r>
      <w:r w:rsidRPr="002608C2">
        <w:rPr>
          <w:spacing w:val="-4"/>
          <w:rtl/>
          <w:lang w:val="en-US"/>
        </w:rPr>
        <w:lastRenderedPageBreak/>
        <w:t>ووضعت</w:t>
      </w:r>
      <w:r w:rsidR="002608C2" w:rsidRPr="002608C2">
        <w:rPr>
          <w:rFonts w:hint="cs"/>
          <w:spacing w:val="-4"/>
          <w:rtl/>
          <w:lang w:val="en-US"/>
        </w:rPr>
        <w:t> </w:t>
      </w:r>
      <w:r w:rsidRPr="002608C2">
        <w:rPr>
          <w:spacing w:val="-4"/>
          <w:rtl/>
          <w:lang w:val="en-US"/>
        </w:rPr>
        <w:t>صاحبة الشكوى ثقتها الكاملة في أ.، التي لم توضح لها أنه يتعين عليها طلب اللجوء أو الحصول</w:t>
      </w:r>
      <w:r w:rsidRPr="00A955C4">
        <w:rPr>
          <w:rtl/>
          <w:lang w:val="en-US"/>
        </w:rPr>
        <w:t xml:space="preserve"> على تصريح إقامة في الدانمرك. وأخبرتها أ. أنها الآن بأمان في بلد لها حقوق فيه. وأثناء إقامتها مع أ.، ظلت صاحبة الشكوى معزولة، ولم تلتقِ بأسرة أ. أو أقاربها أو أصدقائها، ونادراً ما كان لديها أي شكل من أشكال الاتصال الاجتماعي.</w:t>
      </w:r>
    </w:p>
    <w:p w14:paraId="12987C24" w14:textId="77777777" w:rsidR="00232E96" w:rsidRPr="00A955C4" w:rsidRDefault="00232E96" w:rsidP="00A955C4">
      <w:pPr>
        <w:pStyle w:val="SingleTxtGA"/>
        <w:rPr>
          <w:lang w:val="en-US"/>
        </w:rPr>
      </w:pPr>
      <w:r w:rsidRPr="007F3524">
        <w:rPr>
          <w:rtl/>
          <w:lang w:val="en-US"/>
        </w:rPr>
        <w:t>2</w:t>
      </w:r>
      <w:r w:rsidRPr="00A955C4">
        <w:rPr>
          <w:rtl/>
          <w:lang w:val="en-US"/>
        </w:rPr>
        <w:t>-</w:t>
      </w:r>
      <w:r w:rsidRPr="007F3524">
        <w:rPr>
          <w:rtl/>
          <w:lang w:val="en-US"/>
        </w:rPr>
        <w:t>6</w:t>
      </w:r>
      <w:r w:rsidRPr="00A955C4">
        <w:rPr>
          <w:rtl/>
          <w:lang w:val="en-US"/>
        </w:rPr>
        <w:tab/>
        <w:t xml:space="preserve">وبعد أن عاشت صاحبة الشكوى مع أ. لمدة خمسة أو ستة أشهر، تُركت في حانة مع جواز سفرها الذي كان في حوزة </w:t>
      </w:r>
      <w:proofErr w:type="gramStart"/>
      <w:r w:rsidRPr="00A955C4">
        <w:rPr>
          <w:rtl/>
          <w:lang w:val="en-US"/>
        </w:rPr>
        <w:t>أ..</w:t>
      </w:r>
      <w:proofErr w:type="gramEnd"/>
      <w:r w:rsidRPr="00A955C4">
        <w:rPr>
          <w:rtl/>
          <w:lang w:val="en-US"/>
        </w:rPr>
        <w:t xml:space="preserve"> وبعد ذلك، عاشت في محيط المحطة المركزية في كوبنهاغن قبل أن يقدم لها زوجان أفريقيان مأوى مقابل القيام بواجبات منزلية. وجمعت زجاجات في الشوارع لكسب بعض المال. ولم تتحدث مع الزوجين عن تصاريح الإقامة. </w:t>
      </w:r>
    </w:p>
    <w:p w14:paraId="7EDF1A6F" w14:textId="77777777" w:rsidR="00232E96" w:rsidRPr="00A955C4" w:rsidRDefault="00232E96" w:rsidP="00A955C4">
      <w:pPr>
        <w:pStyle w:val="SingleTxtGA"/>
        <w:rPr>
          <w:lang w:val="en-US"/>
        </w:rPr>
      </w:pPr>
      <w:r w:rsidRPr="007F3524">
        <w:rPr>
          <w:rtl/>
          <w:lang w:val="en-US"/>
        </w:rPr>
        <w:t>2</w:t>
      </w:r>
      <w:r w:rsidRPr="00A955C4">
        <w:rPr>
          <w:rtl/>
          <w:lang w:val="en-US"/>
        </w:rPr>
        <w:t>-</w:t>
      </w:r>
      <w:r w:rsidRPr="007F3524">
        <w:rPr>
          <w:rtl/>
          <w:lang w:val="en-US"/>
        </w:rPr>
        <w:t>7</w:t>
      </w:r>
      <w:r w:rsidRPr="00A955C4">
        <w:rPr>
          <w:rtl/>
          <w:lang w:val="en-US"/>
        </w:rPr>
        <w:tab/>
        <w:t xml:space="preserve">ولم تعلم بوضعها غير القانوني إلا في </w:t>
      </w:r>
      <w:r w:rsidRPr="007F3524">
        <w:rPr>
          <w:rtl/>
          <w:lang w:val="en-US"/>
        </w:rPr>
        <w:t>15</w:t>
      </w:r>
      <w:r w:rsidRPr="00A955C4">
        <w:rPr>
          <w:rtl/>
          <w:lang w:val="en-US"/>
        </w:rPr>
        <w:t xml:space="preserve"> آذار/مارس </w:t>
      </w:r>
      <w:r w:rsidRPr="007F3524">
        <w:rPr>
          <w:rtl/>
          <w:lang w:val="en-US"/>
        </w:rPr>
        <w:t>2013</w:t>
      </w:r>
      <w:r w:rsidRPr="00A955C4">
        <w:rPr>
          <w:rtl/>
          <w:lang w:val="en-US"/>
        </w:rPr>
        <w:t xml:space="preserve">، عندما عثرت عليها الشرطة في شقة الزوجين وألقت القبض عليها بسبب بقائها بصورة غير قانونية في الدانمرك. ووُضعت صاحبة الشكوى رهن الاحتجاز لدى الشرطة حيث تقدمت بطلب اللجوء، وقابلها المركز </w:t>
      </w:r>
      <w:proofErr w:type="spellStart"/>
      <w:r w:rsidRPr="00A955C4">
        <w:rPr>
          <w:rtl/>
          <w:lang w:val="en-US"/>
        </w:rPr>
        <w:t>الدانمركي</w:t>
      </w:r>
      <w:proofErr w:type="spellEnd"/>
      <w:r w:rsidRPr="00A955C4">
        <w:rPr>
          <w:rtl/>
          <w:lang w:val="en-US"/>
        </w:rPr>
        <w:t xml:space="preserve"> لمكافحة الاتجار بالبشر، الذي اعترف بأنها ضحية للاتجار بالبشر. وأُفرج عن صاحبة الشكوى في اليوم التالي.</w:t>
      </w:r>
    </w:p>
    <w:p w14:paraId="50061EB7" w14:textId="05F655EA" w:rsidR="00232E96" w:rsidRPr="00E11327" w:rsidRDefault="00232E96" w:rsidP="00A955C4">
      <w:pPr>
        <w:pStyle w:val="SingleTxtGA"/>
        <w:rPr>
          <w:spacing w:val="4"/>
          <w:lang w:val="en-US"/>
        </w:rPr>
      </w:pPr>
      <w:r w:rsidRPr="007F3524">
        <w:rPr>
          <w:spacing w:val="4"/>
          <w:rtl/>
          <w:lang w:val="en-US"/>
        </w:rPr>
        <w:t>2</w:t>
      </w:r>
      <w:r w:rsidRPr="00E11327">
        <w:rPr>
          <w:spacing w:val="4"/>
          <w:rtl/>
          <w:lang w:val="en-US"/>
        </w:rPr>
        <w:t>-</w:t>
      </w:r>
      <w:r w:rsidRPr="007F3524">
        <w:rPr>
          <w:spacing w:val="4"/>
          <w:rtl/>
          <w:lang w:val="en-US"/>
        </w:rPr>
        <w:t>8</w:t>
      </w:r>
      <w:r w:rsidRPr="00E11327">
        <w:rPr>
          <w:spacing w:val="4"/>
          <w:rtl/>
          <w:lang w:val="en-US"/>
        </w:rPr>
        <w:tab/>
        <w:t xml:space="preserve">وفي </w:t>
      </w:r>
      <w:r w:rsidRPr="007F3524">
        <w:rPr>
          <w:spacing w:val="4"/>
          <w:rtl/>
          <w:lang w:val="en-US"/>
        </w:rPr>
        <w:t>7</w:t>
      </w:r>
      <w:r w:rsidRPr="00E11327">
        <w:rPr>
          <w:spacing w:val="4"/>
          <w:rtl/>
          <w:lang w:val="en-US"/>
        </w:rPr>
        <w:t xml:space="preserve"> تشرين الأول/أكتوبر </w:t>
      </w:r>
      <w:r w:rsidRPr="007F3524">
        <w:rPr>
          <w:spacing w:val="4"/>
          <w:rtl/>
          <w:lang w:val="en-US"/>
        </w:rPr>
        <w:t>2013</w:t>
      </w:r>
      <w:r w:rsidRPr="00E11327">
        <w:rPr>
          <w:spacing w:val="4"/>
          <w:rtl/>
          <w:lang w:val="en-US"/>
        </w:rPr>
        <w:t>، خلصت دائرة الهجرة الدانمركية إلى أن صاحبة الشكوى لم</w:t>
      </w:r>
      <w:r w:rsidR="00E11327" w:rsidRPr="00E11327">
        <w:rPr>
          <w:rFonts w:hint="cs"/>
          <w:spacing w:val="4"/>
          <w:rtl/>
          <w:lang w:val="en-US"/>
        </w:rPr>
        <w:t> </w:t>
      </w:r>
      <w:r w:rsidRPr="00E11327">
        <w:rPr>
          <w:spacing w:val="4"/>
          <w:rtl/>
          <w:lang w:val="en-US"/>
        </w:rPr>
        <w:t xml:space="preserve">تكن ضحية اتجار بالبشر. وفي </w:t>
      </w:r>
      <w:r w:rsidRPr="007F3524">
        <w:rPr>
          <w:spacing w:val="4"/>
          <w:rtl/>
          <w:lang w:val="en-US"/>
        </w:rPr>
        <w:t>10</w:t>
      </w:r>
      <w:r w:rsidRPr="00E11327">
        <w:rPr>
          <w:spacing w:val="4"/>
          <w:rtl/>
          <w:lang w:val="en-US"/>
        </w:rPr>
        <w:t xml:space="preserve"> نيسان/أبريل </w:t>
      </w:r>
      <w:r w:rsidRPr="007F3524">
        <w:rPr>
          <w:spacing w:val="4"/>
          <w:rtl/>
          <w:lang w:val="en-US"/>
        </w:rPr>
        <w:t>2014</w:t>
      </w:r>
      <w:r w:rsidRPr="00E11327">
        <w:rPr>
          <w:spacing w:val="4"/>
          <w:rtl/>
          <w:lang w:val="en-US"/>
        </w:rPr>
        <w:t xml:space="preserve">، رفضت دائرة الهجرة الدانمركية طلب اللجوء الذي قدمته صاحبة الشكوى. وفي </w:t>
      </w:r>
      <w:r w:rsidRPr="007F3524">
        <w:rPr>
          <w:spacing w:val="4"/>
          <w:rtl/>
          <w:lang w:val="en-US"/>
        </w:rPr>
        <w:t>15</w:t>
      </w:r>
      <w:r w:rsidRPr="00E11327">
        <w:rPr>
          <w:spacing w:val="4"/>
          <w:rtl/>
          <w:lang w:val="en-US"/>
        </w:rPr>
        <w:t xml:space="preserve"> نيسان/أبريل </w:t>
      </w:r>
      <w:r w:rsidRPr="007F3524">
        <w:rPr>
          <w:spacing w:val="4"/>
          <w:rtl/>
          <w:lang w:val="en-US"/>
        </w:rPr>
        <w:t>2014</w:t>
      </w:r>
      <w:r w:rsidRPr="00E11327">
        <w:rPr>
          <w:spacing w:val="4"/>
          <w:rtl/>
          <w:lang w:val="en-US"/>
        </w:rPr>
        <w:t xml:space="preserve">، اتصلت صاحبة الشكوى بمنظمة لجوء المثليات والمثليين ومزدوجي الميل الجنسي ومغايري الهوية الجنسانية، وهي منظمة تدافع عن حقوق طالبي اللجوء من المثليات والمثليين ومزدوجي الميل الجنسي ومغايري الهوية الجنسانية، وأصبحت عضواً نشطاً فيها. وفي </w:t>
      </w:r>
      <w:r w:rsidRPr="007F3524">
        <w:rPr>
          <w:spacing w:val="4"/>
          <w:rtl/>
          <w:lang w:val="en-US"/>
        </w:rPr>
        <w:t>30</w:t>
      </w:r>
      <w:r w:rsidRPr="00E11327">
        <w:rPr>
          <w:spacing w:val="4"/>
          <w:rtl/>
          <w:lang w:val="en-US"/>
        </w:rPr>
        <w:t xml:space="preserve"> أيلول/سبتمبر </w:t>
      </w:r>
      <w:r w:rsidRPr="007F3524">
        <w:rPr>
          <w:spacing w:val="4"/>
          <w:rtl/>
          <w:lang w:val="en-US"/>
        </w:rPr>
        <w:t>2014</w:t>
      </w:r>
      <w:r w:rsidRPr="00E11327">
        <w:rPr>
          <w:spacing w:val="4"/>
          <w:rtl/>
          <w:lang w:val="en-US"/>
        </w:rPr>
        <w:t xml:space="preserve">، أيد مجلس طعون اللاجئين </w:t>
      </w:r>
      <w:proofErr w:type="spellStart"/>
      <w:r w:rsidRPr="00E11327">
        <w:rPr>
          <w:spacing w:val="4"/>
          <w:rtl/>
          <w:lang w:val="en-US"/>
        </w:rPr>
        <w:t>الدانمركي</w:t>
      </w:r>
      <w:proofErr w:type="spellEnd"/>
      <w:r w:rsidRPr="00E11327">
        <w:rPr>
          <w:spacing w:val="4"/>
          <w:rtl/>
          <w:lang w:val="en-US"/>
        </w:rPr>
        <w:t xml:space="preserve"> رفض دائرة الهجرة الدانمركية طلب اللجوء الذي قدمته صاحبة الشكوى، إذ وجد أن رواية صاحبة الشكوى للوقائع غير موثوقة.</w:t>
      </w:r>
    </w:p>
    <w:p w14:paraId="15D53F34" w14:textId="7E8FA894" w:rsidR="00232E96" w:rsidRPr="00A955C4" w:rsidRDefault="00232E96" w:rsidP="00A955C4">
      <w:pPr>
        <w:pStyle w:val="SingleTxtGA"/>
        <w:rPr>
          <w:lang w:val="en-US"/>
        </w:rPr>
      </w:pPr>
      <w:r w:rsidRPr="007F3524">
        <w:rPr>
          <w:rtl/>
          <w:lang w:val="en-US"/>
        </w:rPr>
        <w:t>2</w:t>
      </w:r>
      <w:r w:rsidRPr="00A955C4">
        <w:rPr>
          <w:rtl/>
          <w:lang w:val="en-US"/>
        </w:rPr>
        <w:t>-</w:t>
      </w:r>
      <w:r w:rsidRPr="007F3524">
        <w:rPr>
          <w:rtl/>
          <w:lang w:val="en-US"/>
        </w:rPr>
        <w:t>9</w:t>
      </w:r>
      <w:r w:rsidRPr="00A955C4">
        <w:rPr>
          <w:rtl/>
          <w:lang w:val="en-US"/>
        </w:rPr>
        <w:tab/>
        <w:t xml:space="preserve">وأجرى المركز </w:t>
      </w:r>
      <w:proofErr w:type="spellStart"/>
      <w:r w:rsidRPr="00A955C4">
        <w:rPr>
          <w:rtl/>
          <w:lang w:val="en-US"/>
        </w:rPr>
        <w:t>الدانمركي</w:t>
      </w:r>
      <w:proofErr w:type="spellEnd"/>
      <w:r w:rsidRPr="00A955C4">
        <w:rPr>
          <w:rtl/>
          <w:lang w:val="en-US"/>
        </w:rPr>
        <w:t xml:space="preserve"> لمكافحة الاتجار بالبشر مقابلة جديدة معمقة في </w:t>
      </w:r>
      <w:r w:rsidRPr="007F3524">
        <w:rPr>
          <w:rtl/>
          <w:lang w:val="en-US"/>
        </w:rPr>
        <w:t>29</w:t>
      </w:r>
      <w:r w:rsidRPr="00A955C4">
        <w:rPr>
          <w:rtl/>
          <w:lang w:val="en-US"/>
        </w:rPr>
        <w:t xml:space="preserve"> تشرين الأول/</w:t>
      </w:r>
      <w:r w:rsidR="002608C2">
        <w:rPr>
          <w:rFonts w:hint="cs"/>
          <w:rtl/>
          <w:lang w:val="en-US"/>
        </w:rPr>
        <w:t xml:space="preserve"> </w:t>
      </w:r>
      <w:r w:rsidRPr="002608C2">
        <w:rPr>
          <w:spacing w:val="-4"/>
          <w:rtl/>
          <w:lang w:val="en-US"/>
        </w:rPr>
        <w:t xml:space="preserve">أكتوبر </w:t>
      </w:r>
      <w:r w:rsidRPr="007F3524">
        <w:rPr>
          <w:spacing w:val="-4"/>
          <w:rtl/>
          <w:lang w:val="en-US"/>
        </w:rPr>
        <w:t>2014</w:t>
      </w:r>
      <w:r w:rsidRPr="002608C2">
        <w:rPr>
          <w:spacing w:val="-4"/>
          <w:rtl/>
          <w:lang w:val="en-US"/>
        </w:rPr>
        <w:t xml:space="preserve">، بسبب خطأ في الترجمة الإنكليزية لقرار دائرة الهجرة الدانمركية الصادر في </w:t>
      </w:r>
      <w:r w:rsidRPr="007F3524">
        <w:rPr>
          <w:spacing w:val="-4"/>
          <w:rtl/>
          <w:lang w:val="en-US"/>
        </w:rPr>
        <w:t>7</w:t>
      </w:r>
      <w:r w:rsidRPr="002608C2">
        <w:rPr>
          <w:spacing w:val="-4"/>
          <w:rtl/>
          <w:lang w:val="en-US"/>
        </w:rPr>
        <w:t xml:space="preserve"> تشرين الأول/</w:t>
      </w:r>
      <w:r w:rsidR="002608C2">
        <w:rPr>
          <w:rFonts w:hint="cs"/>
          <w:rtl/>
          <w:lang w:val="en-US"/>
        </w:rPr>
        <w:t xml:space="preserve"> </w:t>
      </w:r>
      <w:r w:rsidRPr="00A955C4">
        <w:rPr>
          <w:rtl/>
          <w:lang w:val="en-US"/>
        </w:rPr>
        <w:t xml:space="preserve">أكتوبر </w:t>
      </w:r>
      <w:r w:rsidRPr="007F3524">
        <w:rPr>
          <w:rtl/>
          <w:lang w:val="en-US"/>
        </w:rPr>
        <w:t>2013</w:t>
      </w:r>
      <w:r w:rsidRPr="00A955C4">
        <w:rPr>
          <w:rtl/>
          <w:lang w:val="en-US"/>
        </w:rPr>
        <w:t xml:space="preserve">. وخلص المركز </w:t>
      </w:r>
      <w:proofErr w:type="spellStart"/>
      <w:r w:rsidRPr="00A955C4">
        <w:rPr>
          <w:rtl/>
          <w:lang w:val="en-US"/>
        </w:rPr>
        <w:t>الدانمركي</w:t>
      </w:r>
      <w:proofErr w:type="spellEnd"/>
      <w:r w:rsidRPr="00A955C4">
        <w:rPr>
          <w:rtl/>
          <w:lang w:val="en-US"/>
        </w:rPr>
        <w:t xml:space="preserve"> لمكافحة الاتجار بالبشر إلى وجود شبهة في الاتجار بالبشر لا</w:t>
      </w:r>
      <w:r w:rsidR="002608C2">
        <w:rPr>
          <w:rFonts w:hint="cs"/>
          <w:rtl/>
          <w:lang w:val="en-US"/>
        </w:rPr>
        <w:t> </w:t>
      </w:r>
      <w:r w:rsidRPr="00A955C4">
        <w:rPr>
          <w:rtl/>
          <w:lang w:val="en-US"/>
        </w:rPr>
        <w:t xml:space="preserve">يمكن تقييمها بالكامل لأغراض الإثبات. وفي </w:t>
      </w:r>
      <w:r w:rsidRPr="007F3524">
        <w:rPr>
          <w:rtl/>
          <w:lang w:val="en-US"/>
        </w:rPr>
        <w:t>27</w:t>
      </w:r>
      <w:r w:rsidRPr="00A955C4">
        <w:rPr>
          <w:rtl/>
          <w:lang w:val="en-US"/>
        </w:rPr>
        <w:t xml:space="preserve"> تشرين الثاني/نوفمبر </w:t>
      </w:r>
      <w:r w:rsidRPr="007F3524">
        <w:rPr>
          <w:rtl/>
          <w:lang w:val="en-US"/>
        </w:rPr>
        <w:t>2014</w:t>
      </w:r>
      <w:r w:rsidRPr="00A955C4">
        <w:rPr>
          <w:rtl/>
          <w:lang w:val="en-US"/>
        </w:rPr>
        <w:t>، اعترفت دائرة الهجرة الدانمركية بأن صاحبة الشكوى ضحية اتجار بالبشر.</w:t>
      </w:r>
    </w:p>
    <w:p w14:paraId="30E676DF" w14:textId="7B32CC70" w:rsidR="00232E96" w:rsidRPr="00A955C4" w:rsidRDefault="00232E96" w:rsidP="00A955C4">
      <w:pPr>
        <w:pStyle w:val="SingleTxtGA"/>
        <w:rPr>
          <w:lang w:val="en-US"/>
        </w:rPr>
      </w:pPr>
      <w:r w:rsidRPr="007F3524">
        <w:rPr>
          <w:rtl/>
          <w:lang w:val="en-US"/>
        </w:rPr>
        <w:t>2</w:t>
      </w:r>
      <w:r w:rsidRPr="00A955C4">
        <w:rPr>
          <w:rtl/>
          <w:lang w:val="en-US"/>
        </w:rPr>
        <w:t>-</w:t>
      </w:r>
      <w:r w:rsidRPr="007F3524">
        <w:rPr>
          <w:rtl/>
          <w:lang w:val="en-US"/>
        </w:rPr>
        <w:t>10</w:t>
      </w:r>
      <w:r w:rsidRPr="00A955C4">
        <w:rPr>
          <w:rtl/>
          <w:lang w:val="en-US"/>
        </w:rPr>
        <w:tab/>
        <w:t xml:space="preserve">وفي </w:t>
      </w:r>
      <w:r w:rsidRPr="007F3524">
        <w:rPr>
          <w:rtl/>
          <w:lang w:val="en-US"/>
        </w:rPr>
        <w:t>20</w:t>
      </w:r>
      <w:r w:rsidRPr="00A955C4">
        <w:rPr>
          <w:rtl/>
          <w:lang w:val="en-US"/>
        </w:rPr>
        <w:t xml:space="preserve"> تموز/يوليه </w:t>
      </w:r>
      <w:r w:rsidRPr="007F3524">
        <w:rPr>
          <w:rtl/>
          <w:lang w:val="en-US"/>
        </w:rPr>
        <w:t>2016</w:t>
      </w:r>
      <w:r w:rsidRPr="00A955C4">
        <w:rPr>
          <w:rtl/>
          <w:lang w:val="en-US"/>
        </w:rPr>
        <w:t xml:space="preserve">، طلب المجلس </w:t>
      </w:r>
      <w:proofErr w:type="spellStart"/>
      <w:r w:rsidRPr="00A955C4">
        <w:rPr>
          <w:rtl/>
          <w:lang w:val="en-US"/>
        </w:rPr>
        <w:t>الدانمركي</w:t>
      </w:r>
      <w:proofErr w:type="spellEnd"/>
      <w:r w:rsidRPr="00A955C4">
        <w:rPr>
          <w:rtl/>
          <w:lang w:val="en-US"/>
        </w:rPr>
        <w:t xml:space="preserve"> للاجئين إلى مجلس طعون اللاجئين إعادة فتح ملف قضية صاحبة الشكوى إذ بيَّن التشخيص أنها مصابة باضطرابات نفسية لاحقة للإصابة والنسيان الانفصالي، واعتُبرت ضحية اتجار بالبشر. وفي </w:t>
      </w:r>
      <w:r w:rsidRPr="007F3524">
        <w:rPr>
          <w:rtl/>
          <w:lang w:val="en-US"/>
        </w:rPr>
        <w:t>4</w:t>
      </w:r>
      <w:r w:rsidRPr="00A955C4">
        <w:rPr>
          <w:rtl/>
          <w:lang w:val="en-US"/>
        </w:rPr>
        <w:t xml:space="preserve"> آب/أغسطس </w:t>
      </w:r>
      <w:r w:rsidRPr="007F3524">
        <w:rPr>
          <w:rtl/>
          <w:lang w:val="en-US"/>
        </w:rPr>
        <w:t>2016</w:t>
      </w:r>
      <w:r w:rsidRPr="00A955C4">
        <w:rPr>
          <w:rtl/>
          <w:lang w:val="en-US"/>
        </w:rPr>
        <w:t>، أعاد المجلس فتح ملف القضية وقبِل رواية صاحبة الشكوى للوقائع ولكنه اعتبر أن خطر الاضطهاد غير كافٍ لمنح اللجوء. وفي</w:t>
      </w:r>
      <w:r w:rsidR="002608C2">
        <w:rPr>
          <w:rFonts w:hint="cs"/>
          <w:rtl/>
          <w:lang w:val="en-US"/>
        </w:rPr>
        <w:t> </w:t>
      </w:r>
      <w:r w:rsidRPr="007F3524">
        <w:rPr>
          <w:rtl/>
          <w:lang w:val="en-US"/>
        </w:rPr>
        <w:t>5</w:t>
      </w:r>
      <w:r w:rsidRPr="00A955C4">
        <w:rPr>
          <w:rtl/>
          <w:lang w:val="en-US"/>
        </w:rPr>
        <w:t xml:space="preserve"> كانون الأول/ديسمبر </w:t>
      </w:r>
      <w:r w:rsidRPr="007F3524">
        <w:rPr>
          <w:rtl/>
          <w:lang w:val="en-US"/>
        </w:rPr>
        <w:t>2016</w:t>
      </w:r>
      <w:r w:rsidRPr="00A955C4">
        <w:rPr>
          <w:rtl/>
          <w:lang w:val="en-US"/>
        </w:rPr>
        <w:t>، رفض طلب اللجوء الذي قدمته صاحبة الشكوى.</w:t>
      </w:r>
    </w:p>
    <w:p w14:paraId="146B1FB5" w14:textId="7518813C" w:rsidR="00232E96" w:rsidRPr="00A955C4" w:rsidRDefault="00232E96" w:rsidP="00A955C4">
      <w:pPr>
        <w:pStyle w:val="SingleTxtGA"/>
        <w:rPr>
          <w:lang w:val="en-US"/>
        </w:rPr>
      </w:pPr>
      <w:r w:rsidRPr="007F3524">
        <w:rPr>
          <w:rtl/>
          <w:lang w:val="en-US"/>
        </w:rPr>
        <w:t>2</w:t>
      </w:r>
      <w:r w:rsidRPr="00A955C4">
        <w:rPr>
          <w:rtl/>
          <w:lang w:val="en-US"/>
        </w:rPr>
        <w:t>-</w:t>
      </w:r>
      <w:r w:rsidRPr="007F3524">
        <w:rPr>
          <w:rtl/>
          <w:lang w:val="en-US"/>
        </w:rPr>
        <w:t>11</w:t>
      </w:r>
      <w:r w:rsidRPr="00A955C4">
        <w:rPr>
          <w:rtl/>
          <w:lang w:val="en-US"/>
        </w:rPr>
        <w:tab/>
        <w:t xml:space="preserve">وأدلت صاحبة الشكوى، بصفتها عضواً في منظمة اللاجئين من المثليات والمثليين ومزدوجي الميل الجنسي ومغايري الهوية الجنسانية، بعدد من البيانات العامة وشاركت في مسيرات ومناقشات فخر المثليين. وأجرت أيضاً مقابلات مع وسائل الإعلام الدانمركية دون الكشف عن هويتها. وفي </w:t>
      </w:r>
      <w:r w:rsidRPr="007F3524">
        <w:rPr>
          <w:rtl/>
          <w:lang w:val="en-US"/>
        </w:rPr>
        <w:t>15</w:t>
      </w:r>
      <w:r w:rsidRPr="00A955C4">
        <w:rPr>
          <w:rtl/>
          <w:lang w:val="en-US"/>
        </w:rPr>
        <w:t xml:space="preserve"> كانون الأول/ديسمبر </w:t>
      </w:r>
      <w:r w:rsidRPr="007F3524">
        <w:rPr>
          <w:rtl/>
          <w:lang w:val="en-US"/>
        </w:rPr>
        <w:t>2016</w:t>
      </w:r>
      <w:r w:rsidRPr="00A955C4">
        <w:rPr>
          <w:rtl/>
          <w:lang w:val="en-US"/>
        </w:rPr>
        <w:t xml:space="preserve">، نُشر مقال في منشور ثرثرة على الإنترنت في أوغندا يتضمن اسم صاحبة الشكوى وصورتها. وصوَّرها المقال على أنها "مثلية أوغندية كبيرة" تقرر ترحيلها من الدنمارك. </w:t>
      </w:r>
    </w:p>
    <w:p w14:paraId="6CAC1C4C" w14:textId="66D9DBD2" w:rsidR="00232E96" w:rsidRPr="00A955C4" w:rsidRDefault="00232E96" w:rsidP="00A955C4">
      <w:pPr>
        <w:pStyle w:val="SingleTxtGA"/>
        <w:rPr>
          <w:lang w:val="en-US"/>
        </w:rPr>
      </w:pPr>
      <w:r w:rsidRPr="007F3524">
        <w:rPr>
          <w:rtl/>
          <w:lang w:val="en-US"/>
        </w:rPr>
        <w:t>2</w:t>
      </w:r>
      <w:r w:rsidRPr="00A955C4">
        <w:rPr>
          <w:rtl/>
          <w:lang w:val="en-US"/>
        </w:rPr>
        <w:t>-</w:t>
      </w:r>
      <w:r w:rsidRPr="007F3524">
        <w:rPr>
          <w:rtl/>
          <w:lang w:val="en-US"/>
        </w:rPr>
        <w:t>12</w:t>
      </w:r>
      <w:r w:rsidRPr="00A955C4">
        <w:rPr>
          <w:rtl/>
          <w:lang w:val="en-US"/>
        </w:rPr>
        <w:tab/>
        <w:t xml:space="preserve">وفي </w:t>
      </w:r>
      <w:r w:rsidRPr="007F3524">
        <w:rPr>
          <w:rtl/>
          <w:lang w:val="en-US"/>
        </w:rPr>
        <w:t>30</w:t>
      </w:r>
      <w:r w:rsidRPr="00A955C4">
        <w:rPr>
          <w:rtl/>
          <w:lang w:val="en-US"/>
        </w:rPr>
        <w:t xml:space="preserve"> أيار/ مايو </w:t>
      </w:r>
      <w:r w:rsidRPr="007F3524">
        <w:rPr>
          <w:rtl/>
          <w:lang w:val="en-US"/>
        </w:rPr>
        <w:t>2017</w:t>
      </w:r>
      <w:r w:rsidRPr="00A955C4">
        <w:rPr>
          <w:rtl/>
          <w:lang w:val="en-US"/>
        </w:rPr>
        <w:t>، رفض مجلس طعون اللاجئين مرة أخرى طلب اللجوء.</w:t>
      </w:r>
    </w:p>
    <w:p w14:paraId="21C67CA2" w14:textId="77777777" w:rsidR="00232E96" w:rsidRPr="007F3524" w:rsidRDefault="00232E96" w:rsidP="002608C2">
      <w:pPr>
        <w:pStyle w:val="H23GA"/>
      </w:pPr>
      <w:r w:rsidRPr="007F3524">
        <w:rPr>
          <w:rtl/>
        </w:rPr>
        <w:lastRenderedPageBreak/>
        <w:tab/>
      </w:r>
      <w:r w:rsidRPr="007F3524">
        <w:rPr>
          <w:rtl/>
        </w:rPr>
        <w:tab/>
        <w:t>الشكوى</w:t>
      </w:r>
    </w:p>
    <w:p w14:paraId="56A8116A" w14:textId="77777777" w:rsidR="00232E96" w:rsidRPr="002608C2" w:rsidRDefault="00232E96" w:rsidP="00A955C4">
      <w:pPr>
        <w:pStyle w:val="SingleTxtGA"/>
        <w:rPr>
          <w:spacing w:val="-2"/>
          <w:lang w:val="en-US"/>
        </w:rPr>
      </w:pPr>
      <w:r w:rsidRPr="007F3524">
        <w:rPr>
          <w:rtl/>
          <w:lang w:val="en-US"/>
        </w:rPr>
        <w:t>3</w:t>
      </w:r>
      <w:r w:rsidRPr="00A955C4">
        <w:rPr>
          <w:rtl/>
          <w:lang w:val="en-US"/>
        </w:rPr>
        <w:t>-</w:t>
      </w:r>
      <w:r w:rsidRPr="007F3524">
        <w:rPr>
          <w:rtl/>
          <w:lang w:val="en-US"/>
        </w:rPr>
        <w:t>1</w:t>
      </w:r>
      <w:r w:rsidRPr="00A955C4">
        <w:rPr>
          <w:rtl/>
          <w:lang w:val="en-US"/>
        </w:rPr>
        <w:tab/>
        <w:t xml:space="preserve">تدعي صاحبة الشكوى أنها ستتعرض في أوغندا للاضطهاد على أيدي السكان المحليين والسلطات الأوغندية بسبب ميولها الجنسية. وتقول إن تجربتها السابقة في سوء المعاملة الخطيرة بسبب مثليتها الجنسية، إلى جانب الظروف العامة لحقوق الإنسان التي تواجه المثليين جنسياً في أوغندا، تثير </w:t>
      </w:r>
      <w:r w:rsidRPr="002608C2">
        <w:rPr>
          <w:spacing w:val="-2"/>
          <w:rtl/>
          <w:lang w:val="en-US"/>
        </w:rPr>
        <w:t xml:space="preserve">خطراً حقيقياً وشخصياً وقائماً بتعرضها للتعذيب إذا ما رُحِّلت إلى أوغندا، في انتهاك للمادة </w:t>
      </w:r>
      <w:r w:rsidRPr="007F3524">
        <w:rPr>
          <w:spacing w:val="-2"/>
          <w:rtl/>
          <w:lang w:val="en-US"/>
        </w:rPr>
        <w:t>3</w:t>
      </w:r>
      <w:r w:rsidRPr="002608C2">
        <w:rPr>
          <w:spacing w:val="-2"/>
          <w:rtl/>
          <w:lang w:val="en-US"/>
        </w:rPr>
        <w:t xml:space="preserve"> من الاتفاقية.</w:t>
      </w:r>
    </w:p>
    <w:p w14:paraId="08B1030D" w14:textId="5D14AD15" w:rsidR="00232E96" w:rsidRPr="00A955C4" w:rsidRDefault="00232E96" w:rsidP="00A955C4">
      <w:pPr>
        <w:pStyle w:val="SingleTxtGA"/>
        <w:rPr>
          <w:lang w:val="en-US"/>
        </w:rPr>
      </w:pPr>
      <w:r w:rsidRPr="007F3524">
        <w:rPr>
          <w:rtl/>
          <w:lang w:val="en-US"/>
        </w:rPr>
        <w:t>3</w:t>
      </w:r>
      <w:r w:rsidRPr="00A955C4">
        <w:rPr>
          <w:rtl/>
          <w:lang w:val="en-US"/>
        </w:rPr>
        <w:t>-</w:t>
      </w:r>
      <w:r w:rsidRPr="007F3524">
        <w:rPr>
          <w:rtl/>
          <w:lang w:val="en-US"/>
        </w:rPr>
        <w:t>2</w:t>
      </w:r>
      <w:r w:rsidRPr="00A955C4">
        <w:rPr>
          <w:rtl/>
          <w:lang w:val="en-US"/>
        </w:rPr>
        <w:tab/>
        <w:t xml:space="preserve">وتؤكد أن حالتها مماثلة للظروف التي أحاطت بقضية </w:t>
      </w:r>
      <w:r w:rsidRPr="007F3524">
        <w:rPr>
          <w:i/>
          <w:iCs/>
          <w:rtl/>
          <w:lang w:val="en-US"/>
        </w:rPr>
        <w:t xml:space="preserve">ج. ك. ضد </w:t>
      </w:r>
      <w:proofErr w:type="gramStart"/>
      <w:r w:rsidRPr="007F3524">
        <w:rPr>
          <w:i/>
          <w:iCs/>
          <w:rtl/>
          <w:lang w:val="en-US"/>
        </w:rPr>
        <w:t>كندا</w:t>
      </w:r>
      <w:r w:rsidRPr="00232E96">
        <w:rPr>
          <w:vertAlign w:val="superscript"/>
          <w:rtl/>
          <w:lang w:val="en-US"/>
        </w:rPr>
        <w:t>(</w:t>
      </w:r>
      <w:proofErr w:type="gramEnd"/>
      <w:r w:rsidRPr="007F3524">
        <w:rPr>
          <w:rStyle w:val="FootnoteReference"/>
          <w:szCs w:val="22"/>
          <w:lang w:val="en-US"/>
        </w:rPr>
        <w:footnoteReference w:id="6"/>
      </w:r>
      <w:r w:rsidRPr="00232E96">
        <w:rPr>
          <w:vertAlign w:val="superscript"/>
          <w:rtl/>
          <w:lang w:val="en-US"/>
        </w:rPr>
        <w:t>)</w:t>
      </w:r>
      <w:r w:rsidRPr="00A955C4">
        <w:rPr>
          <w:rtl/>
          <w:lang w:val="en-US"/>
        </w:rPr>
        <w:t xml:space="preserve"> فيما يتعلق بتعرضها سابقاً لسوء المعاملة الخطيرة على أساس ميولها الجنسية، وملامحها ونشاطها في منظمات تدافع عن حقوق المثليات والمثليين ومزدوجي الميل الجنسي ومغايري الهوية الجنسانية وحاملي صفات الجنسين، والوضع العام لحقوق الإنسان لهؤلاء الأشخاص في أوغندا.</w:t>
      </w:r>
    </w:p>
    <w:p w14:paraId="09CEC0A6" w14:textId="4ED3004C" w:rsidR="00232E96" w:rsidRPr="00A955C4" w:rsidRDefault="00232E96" w:rsidP="00A955C4">
      <w:pPr>
        <w:pStyle w:val="SingleTxtGA"/>
        <w:rPr>
          <w:lang w:val="en-US"/>
        </w:rPr>
      </w:pPr>
      <w:r w:rsidRPr="007F3524">
        <w:rPr>
          <w:rtl/>
          <w:lang w:val="en-US"/>
        </w:rPr>
        <w:t>3</w:t>
      </w:r>
      <w:r w:rsidRPr="00A955C4">
        <w:rPr>
          <w:rtl/>
          <w:lang w:val="en-US"/>
        </w:rPr>
        <w:t>-</w:t>
      </w:r>
      <w:r w:rsidRPr="007F3524">
        <w:rPr>
          <w:rtl/>
          <w:lang w:val="en-US"/>
        </w:rPr>
        <w:t>3</w:t>
      </w:r>
      <w:r w:rsidRPr="00A955C4">
        <w:rPr>
          <w:rtl/>
          <w:lang w:val="en-US"/>
        </w:rPr>
        <w:tab/>
        <w:t xml:space="preserve">وفيما يتعلق بتعرضها في السابق لسوء المعاملة، تشير صاحبة الشكوى إلى "الاغتصاب التصحيحي" الذي تعرضت له والتهديدات التي تلقتها من أفراد أسرتها والمجتمع المحلي في أوغندا بسبب ميولها الجنسية. وتدعي أنها عاشت، قبل فرارها من أوغندا، في خوف دائم من التعرض للاغتصاب وأخفت حياتها الجنسية لتجنب المزيد من سوء المعاملة. وفي هذا الصدد، تحيط صاحبة الشكوى، فيما يتعلق بحكم محكمة العدل التابعة للاتحاد الأوروبي في قضية </w:t>
      </w:r>
      <w:r w:rsidRPr="007F3524">
        <w:rPr>
          <w:i/>
          <w:iCs/>
          <w:rtl/>
          <w:lang w:val="en-US"/>
        </w:rPr>
        <w:t>س. وي. وز. ضد وزير الهجرة واللجوء (</w:t>
      </w:r>
      <w:r w:rsidRPr="007F3524">
        <w:rPr>
          <w:i/>
          <w:iCs/>
          <w:lang w:val="en-US"/>
        </w:rPr>
        <w:t xml:space="preserve">Minister </w:t>
      </w:r>
      <w:proofErr w:type="spellStart"/>
      <w:r w:rsidRPr="007F3524">
        <w:rPr>
          <w:i/>
          <w:iCs/>
          <w:lang w:val="en-US"/>
        </w:rPr>
        <w:t>voor</w:t>
      </w:r>
      <w:proofErr w:type="spellEnd"/>
      <w:r w:rsidRPr="007F3524">
        <w:rPr>
          <w:i/>
          <w:iCs/>
          <w:lang w:val="en-US"/>
        </w:rPr>
        <w:t xml:space="preserve"> </w:t>
      </w:r>
      <w:proofErr w:type="spellStart"/>
      <w:r w:rsidRPr="007F3524">
        <w:rPr>
          <w:i/>
          <w:iCs/>
          <w:lang w:val="en-US"/>
        </w:rPr>
        <w:t>Immigratie</w:t>
      </w:r>
      <w:proofErr w:type="spellEnd"/>
      <w:r w:rsidRPr="007F3524">
        <w:rPr>
          <w:i/>
          <w:iCs/>
          <w:lang w:val="en-US"/>
        </w:rPr>
        <w:t xml:space="preserve"> </w:t>
      </w:r>
      <w:proofErr w:type="spellStart"/>
      <w:r w:rsidRPr="007F3524">
        <w:rPr>
          <w:i/>
          <w:iCs/>
          <w:lang w:val="en-US"/>
        </w:rPr>
        <w:t>en</w:t>
      </w:r>
      <w:proofErr w:type="spellEnd"/>
      <w:r w:rsidRPr="007F3524">
        <w:rPr>
          <w:i/>
          <w:iCs/>
          <w:lang w:val="en-US"/>
        </w:rPr>
        <w:t xml:space="preserve"> </w:t>
      </w:r>
      <w:proofErr w:type="spellStart"/>
      <w:proofErr w:type="gramStart"/>
      <w:r w:rsidRPr="007F3524">
        <w:rPr>
          <w:i/>
          <w:iCs/>
          <w:lang w:val="en-US"/>
        </w:rPr>
        <w:t>Asiel</w:t>
      </w:r>
      <w:proofErr w:type="spellEnd"/>
      <w:r w:rsidRPr="007F3524">
        <w:rPr>
          <w:i/>
          <w:iCs/>
          <w:rtl/>
          <w:lang w:val="en-US"/>
        </w:rPr>
        <w:t>)</w:t>
      </w:r>
      <w:r w:rsidRPr="00A955C4">
        <w:rPr>
          <w:vertAlign w:val="superscript"/>
          <w:rtl/>
          <w:lang w:val="en-US"/>
        </w:rPr>
        <w:t>(</w:t>
      </w:r>
      <w:proofErr w:type="gramEnd"/>
      <w:r w:rsidRPr="007F3524">
        <w:rPr>
          <w:rStyle w:val="FootnoteReference"/>
          <w:rFonts w:ascii="Traditional Arabic" w:hAnsi="Traditional Arabic"/>
          <w:lang w:val="en-US"/>
        </w:rPr>
        <w:footnoteReference w:id="7"/>
      </w:r>
      <w:r w:rsidRPr="00A955C4">
        <w:rPr>
          <w:vertAlign w:val="superscript"/>
          <w:rtl/>
          <w:lang w:val="en-US"/>
        </w:rPr>
        <w:t>)</w:t>
      </w:r>
      <w:r w:rsidRPr="00A955C4">
        <w:rPr>
          <w:rtl/>
          <w:lang w:val="en-US"/>
        </w:rPr>
        <w:t>، علماً بأنه لا يمكن أن يُتوقع من المثليين إخفاء ميولهم الجنسية أو التحفظ في التعبير عنها في بلدهم الأصلي من أجل تجنب الاضطهاد.</w:t>
      </w:r>
    </w:p>
    <w:p w14:paraId="5BC15940" w14:textId="77777777" w:rsidR="00232E96" w:rsidRPr="00A955C4" w:rsidRDefault="00232E96" w:rsidP="00A955C4">
      <w:pPr>
        <w:pStyle w:val="SingleTxtGA"/>
        <w:rPr>
          <w:lang w:val="en-US"/>
        </w:rPr>
      </w:pPr>
      <w:r w:rsidRPr="007F3524">
        <w:rPr>
          <w:rtl/>
          <w:lang w:val="en-US"/>
        </w:rPr>
        <w:t>3</w:t>
      </w:r>
      <w:r w:rsidRPr="00A955C4">
        <w:rPr>
          <w:rtl/>
          <w:lang w:val="en-US"/>
        </w:rPr>
        <w:t>-</w:t>
      </w:r>
      <w:r w:rsidRPr="007F3524">
        <w:rPr>
          <w:rtl/>
          <w:lang w:val="en-US"/>
        </w:rPr>
        <w:t>4</w:t>
      </w:r>
      <w:r w:rsidRPr="00A955C4">
        <w:rPr>
          <w:rtl/>
          <w:lang w:val="en-US"/>
        </w:rPr>
        <w:tab/>
        <w:t xml:space="preserve">وتؤكد صاحبة الشكوى أنها تدافع منذ عام </w:t>
      </w:r>
      <w:r w:rsidRPr="007F3524">
        <w:rPr>
          <w:rtl/>
          <w:lang w:val="en-US"/>
        </w:rPr>
        <w:t>2014</w:t>
      </w:r>
      <w:r w:rsidRPr="00A955C4">
        <w:rPr>
          <w:rtl/>
          <w:lang w:val="en-US"/>
        </w:rPr>
        <w:t xml:space="preserve"> عن حقوق المثليات والمثليين ومزدوجي الميل الجنسي ومغايري الهوية الجنسانية وحاملي صفات الجنسين في الدانمرك، مما يزيد من الخطر الحقيقي والشخصي لتعرضها لسوء المعاملة في انتهاك للمادة </w:t>
      </w:r>
      <w:r w:rsidRPr="007F3524">
        <w:rPr>
          <w:rtl/>
          <w:lang w:val="en-US"/>
        </w:rPr>
        <w:t>3</w:t>
      </w:r>
      <w:r w:rsidRPr="00A955C4">
        <w:rPr>
          <w:rtl/>
          <w:lang w:val="en-US"/>
        </w:rPr>
        <w:t xml:space="preserve"> من الاتفاقية في حال ترحيلها. </w:t>
      </w:r>
    </w:p>
    <w:p w14:paraId="2389C7E4" w14:textId="6688E240" w:rsidR="00232E96" w:rsidRPr="00A955C4" w:rsidRDefault="00232E96" w:rsidP="00A955C4">
      <w:pPr>
        <w:pStyle w:val="SingleTxtGA"/>
        <w:rPr>
          <w:lang w:val="en-US"/>
        </w:rPr>
      </w:pPr>
      <w:r w:rsidRPr="007F3524">
        <w:rPr>
          <w:rtl/>
          <w:lang w:val="en-US"/>
        </w:rPr>
        <w:t>3</w:t>
      </w:r>
      <w:r w:rsidRPr="00A955C4">
        <w:rPr>
          <w:rtl/>
          <w:lang w:val="en-US"/>
        </w:rPr>
        <w:t>-</w:t>
      </w:r>
      <w:r w:rsidRPr="007F3524">
        <w:rPr>
          <w:rtl/>
          <w:lang w:val="en-US"/>
        </w:rPr>
        <w:t>5</w:t>
      </w:r>
      <w:r w:rsidRPr="00A955C4">
        <w:rPr>
          <w:rtl/>
          <w:lang w:val="en-US"/>
        </w:rPr>
        <w:tab/>
        <w:t xml:space="preserve">وتدعي أن المثليات والمثليين ومزدوجي الميل الجنسي ومغايري الهوية الجنسانية وحاملي صفات الجنسين في أوغندا، ولا سيما الناشطون، يواجهون خطر سوء المعاملة المنهجية في انتهاك للمادة </w:t>
      </w:r>
      <w:r w:rsidRPr="007F3524">
        <w:rPr>
          <w:rtl/>
          <w:lang w:val="en-US"/>
        </w:rPr>
        <w:t>3</w:t>
      </w:r>
      <w:r w:rsidRPr="00A955C4">
        <w:rPr>
          <w:rtl/>
          <w:lang w:val="en-US"/>
        </w:rPr>
        <w:t xml:space="preserve"> من الاتفاقية. وتذكر عدداً من التقارير التي نشرتها منظمات غير حكومية ومنظمات </w:t>
      </w:r>
      <w:proofErr w:type="gramStart"/>
      <w:r w:rsidRPr="00A955C4">
        <w:rPr>
          <w:rtl/>
          <w:lang w:val="en-US"/>
        </w:rPr>
        <w:t>حكومية</w:t>
      </w:r>
      <w:r w:rsidRPr="00232E96">
        <w:rPr>
          <w:vertAlign w:val="superscript"/>
          <w:rtl/>
          <w:lang w:val="en-US"/>
        </w:rPr>
        <w:t>(</w:t>
      </w:r>
      <w:proofErr w:type="gramEnd"/>
      <w:r w:rsidRPr="007F3524">
        <w:rPr>
          <w:rStyle w:val="FootnoteReference"/>
          <w:szCs w:val="22"/>
          <w:lang w:val="en-US"/>
        </w:rPr>
        <w:footnoteReference w:id="8"/>
      </w:r>
      <w:r w:rsidRPr="00232E96">
        <w:rPr>
          <w:vertAlign w:val="superscript"/>
          <w:rtl/>
          <w:lang w:val="en-US"/>
        </w:rPr>
        <w:t>)</w:t>
      </w:r>
      <w:r w:rsidRPr="00A955C4">
        <w:rPr>
          <w:rtl/>
          <w:lang w:val="en-US"/>
        </w:rPr>
        <w:t xml:space="preserve"> ووسائل إعلام في الفترة من </w:t>
      </w:r>
      <w:r w:rsidRPr="007F3524">
        <w:rPr>
          <w:rtl/>
          <w:lang w:val="en-US"/>
        </w:rPr>
        <w:t>2014</w:t>
      </w:r>
      <w:r w:rsidRPr="00A955C4">
        <w:rPr>
          <w:rtl/>
          <w:lang w:val="en-US"/>
        </w:rPr>
        <w:t xml:space="preserve"> إلى </w:t>
      </w:r>
      <w:r w:rsidRPr="007F3524">
        <w:rPr>
          <w:rtl/>
          <w:lang w:val="en-US"/>
        </w:rPr>
        <w:t>2016</w:t>
      </w:r>
      <w:r w:rsidRPr="00A955C4">
        <w:rPr>
          <w:rtl/>
          <w:lang w:val="en-US"/>
        </w:rPr>
        <w:t xml:space="preserve"> والتي تفيد بأن المثليات والمثليين ومزدوجي الميل الجنسي ومغايري الهوية الجنسانية وحاملي صفات الجنسين في أوغندا تعرضوا للتمييز والمضايقة والاعتداءات حتى بعدما ألغت المحكمة الدستورية الأوغندية قانون مكافحة المثلية الجنسية في آب/أغسطس </w:t>
      </w:r>
      <w:r w:rsidRPr="007F3524">
        <w:rPr>
          <w:rtl/>
          <w:lang w:val="en-US"/>
        </w:rPr>
        <w:t>2014</w:t>
      </w:r>
      <w:r w:rsidRPr="00A955C4">
        <w:rPr>
          <w:rtl/>
          <w:lang w:val="en-US"/>
        </w:rPr>
        <w:t xml:space="preserve">. وعلاوة على ذلك، تفيد تقارير بأن المثليات يتعرضن للاعتقال والسجن بموجب المادة </w:t>
      </w:r>
      <w:r w:rsidRPr="007F3524">
        <w:rPr>
          <w:rtl/>
          <w:lang w:val="en-US"/>
        </w:rPr>
        <w:t>145</w:t>
      </w:r>
      <w:r w:rsidRPr="00A955C4">
        <w:rPr>
          <w:rtl/>
          <w:lang w:val="en-US"/>
        </w:rPr>
        <w:t xml:space="preserve"> من قانون العقوبات، ويتعرضن للاعتداء الجسدي والاعتداء اللفظي، وقد يتعرضن "للاغتصاب التصحيحي". وأُفيد أيضاً بأن الشرطة الأوغندية ارتكبت انتهاكات لحقوق المثليات والمثليين ومزدوجي الميل الجنسي ومغايري الهوية الجنسانية وحاملي صفات الجنسين أو قَبِلت بارتكابها، مع أن ضباط الشرطة حموا في بعض الأحيان المثليات والمثليين ومزدوجي الميل الجنسي ومغايري الهوية الجنسانية وحاملي صفات الجنسين. وتدفع صاحبة الشكوى، في ظل هذه الخلفية، بأنها تواجه خطراً مستمراً بالتعرض لهذا النوع من "الاغتصاب العلاجي" الذي كانت بالفعل ضحيته. </w:t>
      </w:r>
    </w:p>
    <w:p w14:paraId="0902FD50" w14:textId="77777777" w:rsidR="00232E96" w:rsidRPr="007F3524" w:rsidRDefault="00232E96" w:rsidP="002608C2">
      <w:pPr>
        <w:pStyle w:val="H23GA"/>
      </w:pPr>
      <w:r w:rsidRPr="007F3524">
        <w:rPr>
          <w:rtl/>
        </w:rPr>
        <w:lastRenderedPageBreak/>
        <w:tab/>
      </w:r>
      <w:r w:rsidRPr="007F3524">
        <w:rPr>
          <w:rtl/>
        </w:rPr>
        <w:tab/>
        <w:t xml:space="preserve">ملاحظات الدولة الطرف بشأن مقبولية البلاغ وأسسه الموضوعية </w:t>
      </w:r>
    </w:p>
    <w:p w14:paraId="52BC96FD" w14:textId="38A7BF4D" w:rsidR="00232E96" w:rsidRPr="00A955C4" w:rsidRDefault="00232E96" w:rsidP="00A955C4">
      <w:pPr>
        <w:pStyle w:val="SingleTxtGA"/>
        <w:rPr>
          <w:lang w:val="en-US"/>
        </w:rPr>
      </w:pPr>
      <w:r w:rsidRPr="007F3524">
        <w:rPr>
          <w:rtl/>
          <w:lang w:val="en-US"/>
        </w:rPr>
        <w:t>4</w:t>
      </w:r>
      <w:r w:rsidRPr="00A955C4">
        <w:rPr>
          <w:rtl/>
          <w:lang w:val="en-US"/>
        </w:rPr>
        <w:t>-</w:t>
      </w:r>
      <w:r w:rsidRPr="007F3524">
        <w:rPr>
          <w:rtl/>
          <w:lang w:val="en-US"/>
        </w:rPr>
        <w:t>1</w:t>
      </w:r>
      <w:r w:rsidRPr="00A955C4">
        <w:rPr>
          <w:rtl/>
          <w:lang w:val="en-US"/>
        </w:rPr>
        <w:tab/>
        <w:t xml:space="preserve">تفيد الدولة الطرف في ملاحظاتها المؤرخة </w:t>
      </w:r>
      <w:r w:rsidRPr="007F3524">
        <w:rPr>
          <w:rtl/>
          <w:lang w:val="en-US"/>
        </w:rPr>
        <w:t>19</w:t>
      </w:r>
      <w:r w:rsidRPr="00A955C4">
        <w:rPr>
          <w:rtl/>
          <w:lang w:val="en-US"/>
        </w:rPr>
        <w:t xml:space="preserve"> كانون الثاني/يناير </w:t>
      </w:r>
      <w:r w:rsidRPr="007F3524">
        <w:rPr>
          <w:rtl/>
          <w:lang w:val="en-US"/>
        </w:rPr>
        <w:t>2018</w:t>
      </w:r>
      <w:r w:rsidRPr="00A955C4">
        <w:rPr>
          <w:rtl/>
          <w:lang w:val="en-US"/>
        </w:rPr>
        <w:t xml:space="preserve"> بأن مجلس طعون اللاجئين أعاد فتح ملف القضية واعتمد قراراً موضوعياً جديداً في </w:t>
      </w:r>
      <w:r w:rsidRPr="007F3524">
        <w:rPr>
          <w:rtl/>
          <w:lang w:val="en-US"/>
        </w:rPr>
        <w:t>30</w:t>
      </w:r>
      <w:r w:rsidRPr="00A955C4">
        <w:rPr>
          <w:rtl/>
          <w:lang w:val="en-US"/>
        </w:rPr>
        <w:t xml:space="preserve"> أيار/مايو </w:t>
      </w:r>
      <w:r w:rsidRPr="007F3524">
        <w:rPr>
          <w:rtl/>
          <w:lang w:val="en-US"/>
        </w:rPr>
        <w:t>2017</w:t>
      </w:r>
      <w:r w:rsidRPr="00A955C4">
        <w:rPr>
          <w:rtl/>
          <w:lang w:val="en-US"/>
        </w:rPr>
        <w:t xml:space="preserve">، وذلك عقب بلاغ صاحبة الشكوى إلى اللجنة. وتؤكد الدولة الطرف أن بلاغ صاحبة الشكوى لا يتضمن أي معلومات جديدة عن ظروفها الشخصية أو عن أسباب طلبها اللجوء بخلاف المعلومات التي سبق أن نظر فيها المجلس في قراراته المؤرخة </w:t>
      </w:r>
      <w:r w:rsidRPr="007F3524">
        <w:rPr>
          <w:rtl/>
          <w:lang w:val="en-US"/>
        </w:rPr>
        <w:t>30</w:t>
      </w:r>
      <w:r w:rsidRPr="00A955C4">
        <w:rPr>
          <w:rtl/>
          <w:lang w:val="en-US"/>
        </w:rPr>
        <w:t xml:space="preserve"> أيلول/سبتمبر </w:t>
      </w:r>
      <w:r w:rsidRPr="007F3524">
        <w:rPr>
          <w:rtl/>
          <w:lang w:val="en-US"/>
        </w:rPr>
        <w:t>2014</w:t>
      </w:r>
      <w:r w:rsidRPr="00A955C4">
        <w:rPr>
          <w:rtl/>
          <w:lang w:val="en-US"/>
        </w:rPr>
        <w:t xml:space="preserve"> و</w:t>
      </w:r>
      <w:r w:rsidRPr="007F3524">
        <w:rPr>
          <w:rtl/>
          <w:lang w:val="en-US"/>
        </w:rPr>
        <w:t>5</w:t>
      </w:r>
      <w:r w:rsidRPr="00A955C4">
        <w:rPr>
          <w:rtl/>
          <w:lang w:val="en-US"/>
        </w:rPr>
        <w:t xml:space="preserve"> كانون الأول/ديسمبر </w:t>
      </w:r>
      <w:r w:rsidRPr="007F3524">
        <w:rPr>
          <w:rtl/>
          <w:lang w:val="en-US"/>
        </w:rPr>
        <w:t>2016</w:t>
      </w:r>
      <w:r w:rsidRPr="00A955C4">
        <w:rPr>
          <w:rtl/>
          <w:lang w:val="en-US"/>
        </w:rPr>
        <w:t xml:space="preserve"> و</w:t>
      </w:r>
      <w:r w:rsidRPr="007F3524">
        <w:rPr>
          <w:rtl/>
          <w:lang w:val="en-US"/>
        </w:rPr>
        <w:t>30</w:t>
      </w:r>
      <w:r w:rsidRPr="00A955C4">
        <w:rPr>
          <w:rtl/>
          <w:lang w:val="en-US"/>
        </w:rPr>
        <w:t xml:space="preserve"> أيار/مايو </w:t>
      </w:r>
      <w:r w:rsidRPr="007F3524">
        <w:rPr>
          <w:rtl/>
          <w:lang w:val="en-US"/>
        </w:rPr>
        <w:t>2017</w:t>
      </w:r>
      <w:r w:rsidRPr="00A955C4">
        <w:rPr>
          <w:rtl/>
          <w:lang w:val="en-US"/>
        </w:rPr>
        <w:t xml:space="preserve">. وراعى المجلس، في قراره المؤرخ </w:t>
      </w:r>
      <w:r w:rsidRPr="007F3524">
        <w:rPr>
          <w:rtl/>
          <w:lang w:val="en-US"/>
        </w:rPr>
        <w:t>30</w:t>
      </w:r>
      <w:r w:rsidRPr="00A955C4">
        <w:rPr>
          <w:rtl/>
          <w:lang w:val="en-US"/>
        </w:rPr>
        <w:t xml:space="preserve"> أيار/مايو </w:t>
      </w:r>
      <w:r w:rsidRPr="007F3524">
        <w:rPr>
          <w:rtl/>
          <w:lang w:val="en-US"/>
        </w:rPr>
        <w:t>2017</w:t>
      </w:r>
      <w:r w:rsidRPr="00A955C4">
        <w:rPr>
          <w:rtl/>
          <w:lang w:val="en-US"/>
        </w:rPr>
        <w:t xml:space="preserve">، المعلومات الأساسية عن أوغندا التي أشارت إليها صاحبة الشكوى، فضلاً عن معلومات أساسية إضافية وأحدث عهداً. وتخلص الدولة الطرف إلى أن المجلس أنعم النظر في الأسس الموضوعية لجميع ادعاءات صاحبة الشكوى. ونظر المجلس، في تقييمه ما إذا كانت صاحبة الشكوى معرضة لسوء المعاملة بموجب المادة </w:t>
      </w:r>
      <w:r w:rsidRPr="007F3524">
        <w:rPr>
          <w:rtl/>
          <w:lang w:val="en-US"/>
        </w:rPr>
        <w:t>3</w:t>
      </w:r>
      <w:r w:rsidRPr="00A955C4">
        <w:rPr>
          <w:rtl/>
          <w:lang w:val="en-US"/>
        </w:rPr>
        <w:t xml:space="preserve"> من الاتفاقية في حال ترحيلها، فيما</w:t>
      </w:r>
      <w:r w:rsidR="002608C2">
        <w:rPr>
          <w:rFonts w:hint="cs"/>
          <w:rtl/>
          <w:lang w:val="en-US"/>
        </w:rPr>
        <w:t> </w:t>
      </w:r>
      <w:r w:rsidRPr="00A955C4">
        <w:rPr>
          <w:rtl/>
          <w:lang w:val="en-US"/>
        </w:rPr>
        <w:t xml:space="preserve">يلي: (أ) سوء المعاملة التي تعرضت لها صاحبة الشكوى في أوغندا وخطر التعرض لسوء المعاملة في حالة ترحيلها؛ و(ب) أنشطة صاحبة الشكوى في المنظمات التي تدافع عن حقوق المثليات والمثليين ومزدوجي الميل الجنسي ومغايري الهوية الجنسانية وحاملي صفات الجنسين في الدانمرك؛ و(ج) إدراج اسم صاحبة الشكوى وصورتها في مقال نُشر على موقع أوغندي على شبكة الإنترنت؛ و(د) الظروف العامة </w:t>
      </w:r>
      <w:proofErr w:type="spellStart"/>
      <w:r w:rsidRPr="00A955C4">
        <w:rPr>
          <w:rtl/>
          <w:lang w:val="en-US"/>
        </w:rPr>
        <w:t>للمثليات</w:t>
      </w:r>
      <w:proofErr w:type="spellEnd"/>
      <w:r w:rsidRPr="00A955C4">
        <w:rPr>
          <w:rtl/>
          <w:lang w:val="en-US"/>
        </w:rPr>
        <w:t xml:space="preserve"> في أوغندا، سواء في حد ذاتها أو مقترنة بالظروف الخاصة بصاحبة الشكوى.</w:t>
      </w:r>
    </w:p>
    <w:p w14:paraId="27F95934" w14:textId="7178550E" w:rsidR="00232E96" w:rsidRPr="00A955C4" w:rsidRDefault="00232E96" w:rsidP="00A955C4">
      <w:pPr>
        <w:pStyle w:val="SingleTxtGA"/>
        <w:rPr>
          <w:lang w:val="en-US"/>
        </w:rPr>
      </w:pPr>
      <w:r w:rsidRPr="007F3524">
        <w:rPr>
          <w:rtl/>
          <w:lang w:val="en-US"/>
        </w:rPr>
        <w:t>4</w:t>
      </w:r>
      <w:r w:rsidRPr="00A955C4">
        <w:rPr>
          <w:rtl/>
          <w:lang w:val="en-US"/>
        </w:rPr>
        <w:t>-</w:t>
      </w:r>
      <w:r w:rsidRPr="007F3524">
        <w:rPr>
          <w:rtl/>
          <w:lang w:val="en-US"/>
        </w:rPr>
        <w:t>2</w:t>
      </w:r>
      <w:r w:rsidRPr="00A955C4">
        <w:rPr>
          <w:rtl/>
          <w:lang w:val="en-US"/>
        </w:rPr>
        <w:tab/>
        <w:t>وترى الدولة الطرف أنه نظراً إلى أن السلطات المحلية درست ملف</w:t>
      </w:r>
      <w:r w:rsidR="002608C2">
        <w:rPr>
          <w:rtl/>
          <w:lang w:val="en-US"/>
        </w:rPr>
        <w:t xml:space="preserve"> </w:t>
      </w:r>
      <w:r w:rsidRPr="00A955C4">
        <w:rPr>
          <w:rtl/>
          <w:lang w:val="en-US"/>
        </w:rPr>
        <w:t>قضية صاحبة الشكوى دراسة دقيقة، ونظراً إلى الأسباب الإضافية التي ذكرتها صاحبة الشكوى في ملاحظاتها بشأن الأسس الموضوعية، فإنها لم تثبت وجود دعوى ظاهرة الوجاهة لأغراض المقبولية. وترى الدولة الطرف أن صاحبة الشكوى لم تثبت وجود أسباب وجيهة تدعو إلى الاعتقاد أنها ستكون عرضة لخطر التعذيب أو غيره من ضروب المعاملة أو العقوبة القاسية أو اللاإنسانية أو المهينة في حالة ترحيلها.</w:t>
      </w:r>
    </w:p>
    <w:p w14:paraId="23DFEBF2" w14:textId="77777777" w:rsidR="00232E96" w:rsidRPr="00A955C4" w:rsidRDefault="00232E96" w:rsidP="00A955C4">
      <w:pPr>
        <w:pStyle w:val="SingleTxtGA"/>
        <w:rPr>
          <w:lang w:val="en-US"/>
        </w:rPr>
      </w:pPr>
      <w:r w:rsidRPr="007F3524">
        <w:rPr>
          <w:rtl/>
          <w:lang w:val="en-US"/>
        </w:rPr>
        <w:t>4</w:t>
      </w:r>
      <w:r w:rsidRPr="00A955C4">
        <w:rPr>
          <w:rtl/>
          <w:lang w:val="en-US"/>
        </w:rPr>
        <w:t>-</w:t>
      </w:r>
      <w:r w:rsidRPr="007F3524">
        <w:rPr>
          <w:rtl/>
          <w:lang w:val="en-US"/>
        </w:rPr>
        <w:t>3</w:t>
      </w:r>
      <w:r w:rsidRPr="00A955C4">
        <w:rPr>
          <w:rtl/>
          <w:lang w:val="en-US"/>
        </w:rPr>
        <w:tab/>
        <w:t xml:space="preserve">وإذا رأت اللجنة أن البلاغ مقبول، فإن الدولة الطرف تؤكد أن صاحبة الشكوى لم تثبت بما فيه الكفاية أن عودتها إلى أوغندا ستشكل انتهاكاً للمادة </w:t>
      </w:r>
      <w:r w:rsidRPr="007F3524">
        <w:rPr>
          <w:rtl/>
          <w:lang w:val="en-US"/>
        </w:rPr>
        <w:t>3</w:t>
      </w:r>
      <w:r w:rsidRPr="00A955C4">
        <w:rPr>
          <w:rtl/>
          <w:lang w:val="en-US"/>
        </w:rPr>
        <w:t xml:space="preserve"> من الاتفاقية.</w:t>
      </w:r>
    </w:p>
    <w:p w14:paraId="606B6466" w14:textId="66CFE7F0" w:rsidR="00232E96" w:rsidRPr="00A955C4" w:rsidRDefault="00232E96" w:rsidP="00A955C4">
      <w:pPr>
        <w:pStyle w:val="SingleTxtGA"/>
        <w:rPr>
          <w:lang w:val="en-US"/>
        </w:rPr>
      </w:pPr>
      <w:r w:rsidRPr="007F3524">
        <w:rPr>
          <w:spacing w:val="-2"/>
          <w:rtl/>
          <w:lang w:val="en-US"/>
        </w:rPr>
        <w:t>4</w:t>
      </w:r>
      <w:r w:rsidRPr="002608C2">
        <w:rPr>
          <w:spacing w:val="-2"/>
          <w:rtl/>
          <w:lang w:val="en-US"/>
        </w:rPr>
        <w:t>-</w:t>
      </w:r>
      <w:r w:rsidRPr="007F3524">
        <w:rPr>
          <w:spacing w:val="-2"/>
          <w:rtl/>
          <w:lang w:val="en-US"/>
        </w:rPr>
        <w:t>4</w:t>
      </w:r>
      <w:r w:rsidRPr="002608C2">
        <w:rPr>
          <w:spacing w:val="-2"/>
          <w:rtl/>
          <w:lang w:val="en-US"/>
        </w:rPr>
        <w:tab/>
        <w:t xml:space="preserve">وتلاحظ الدولة الطرف أن التزاماتها بموجب المادة </w:t>
      </w:r>
      <w:r w:rsidRPr="007F3524">
        <w:rPr>
          <w:spacing w:val="-2"/>
          <w:rtl/>
          <w:lang w:val="en-US"/>
        </w:rPr>
        <w:t>3</w:t>
      </w:r>
      <w:r w:rsidRPr="002608C2">
        <w:rPr>
          <w:spacing w:val="-2"/>
          <w:rtl/>
          <w:lang w:val="en-US"/>
        </w:rPr>
        <w:t xml:space="preserve"> من الاتفاقية تؤكده أحكام المادة </w:t>
      </w:r>
      <w:r w:rsidRPr="007F3524">
        <w:rPr>
          <w:spacing w:val="-2"/>
          <w:rtl/>
          <w:lang w:val="en-US"/>
        </w:rPr>
        <w:t>7</w:t>
      </w:r>
      <w:r w:rsidRPr="002608C2">
        <w:rPr>
          <w:spacing w:val="-2"/>
          <w:rtl/>
          <w:lang w:val="en-US"/>
        </w:rPr>
        <w:t>(</w:t>
      </w:r>
      <w:r w:rsidRPr="007F3524">
        <w:rPr>
          <w:spacing w:val="-2"/>
          <w:rtl/>
          <w:lang w:val="en-US"/>
        </w:rPr>
        <w:t>1</w:t>
      </w:r>
      <w:r w:rsidRPr="002608C2">
        <w:rPr>
          <w:spacing w:val="-2"/>
          <w:rtl/>
          <w:lang w:val="en-US"/>
        </w:rPr>
        <w:t>)-(</w:t>
      </w:r>
      <w:r w:rsidRPr="007F3524">
        <w:rPr>
          <w:rtl/>
          <w:lang w:val="en-US"/>
        </w:rPr>
        <w:t>2</w:t>
      </w:r>
      <w:r w:rsidRPr="00A955C4">
        <w:rPr>
          <w:rtl/>
          <w:lang w:val="en-US"/>
        </w:rPr>
        <w:t xml:space="preserve">) من قانون الأجانب </w:t>
      </w:r>
      <w:proofErr w:type="spellStart"/>
      <w:r w:rsidRPr="00A955C4">
        <w:rPr>
          <w:rtl/>
          <w:lang w:val="en-US"/>
        </w:rPr>
        <w:t>الدانمركي</w:t>
      </w:r>
      <w:proofErr w:type="spellEnd"/>
      <w:r w:rsidRPr="00A955C4">
        <w:rPr>
          <w:rtl/>
          <w:lang w:val="en-US"/>
        </w:rPr>
        <w:t xml:space="preserve">، وأن السلطات المحلية تعتمد، لدى تقييمها خطر انتهاك المادة </w:t>
      </w:r>
      <w:r w:rsidRPr="007F3524">
        <w:rPr>
          <w:rtl/>
          <w:lang w:val="en-US"/>
        </w:rPr>
        <w:t>3</w:t>
      </w:r>
      <w:r w:rsidRPr="00A955C4">
        <w:rPr>
          <w:rtl/>
          <w:lang w:val="en-US"/>
        </w:rPr>
        <w:t xml:space="preserve"> من الاتفاقية، على المعايير التي وضعتها اللجنة في الفقرات من </w:t>
      </w:r>
      <w:r w:rsidRPr="007F3524">
        <w:rPr>
          <w:rtl/>
          <w:lang w:val="en-US"/>
        </w:rPr>
        <w:t>5</w:t>
      </w:r>
      <w:r w:rsidRPr="00A955C4">
        <w:rPr>
          <w:rtl/>
          <w:lang w:val="en-US"/>
        </w:rPr>
        <w:t xml:space="preserve"> إلى </w:t>
      </w:r>
      <w:r w:rsidRPr="007F3524">
        <w:rPr>
          <w:rtl/>
          <w:lang w:val="en-US"/>
        </w:rPr>
        <w:t>7</w:t>
      </w:r>
      <w:r w:rsidRPr="00A955C4">
        <w:rPr>
          <w:rtl/>
          <w:lang w:val="en-US"/>
        </w:rPr>
        <w:t xml:space="preserve"> من تعليقها العام رقم </w:t>
      </w:r>
      <w:r w:rsidRPr="007F3524">
        <w:rPr>
          <w:rtl/>
          <w:lang w:val="en-US"/>
        </w:rPr>
        <w:t>1</w:t>
      </w:r>
      <w:r w:rsidRPr="00A955C4">
        <w:rPr>
          <w:rtl/>
          <w:lang w:val="en-US"/>
        </w:rPr>
        <w:t>(</w:t>
      </w:r>
      <w:proofErr w:type="gramStart"/>
      <w:r w:rsidRPr="007F3524">
        <w:rPr>
          <w:rtl/>
          <w:lang w:val="en-US"/>
        </w:rPr>
        <w:t>1996</w:t>
      </w:r>
      <w:r w:rsidRPr="00A955C4">
        <w:rPr>
          <w:rtl/>
          <w:lang w:val="en-US"/>
        </w:rPr>
        <w:t>)</w:t>
      </w:r>
      <w:r w:rsidRPr="00A955C4">
        <w:rPr>
          <w:vertAlign w:val="superscript"/>
          <w:rtl/>
          <w:lang w:val="en-US"/>
        </w:rPr>
        <w:t>(</w:t>
      </w:r>
      <w:proofErr w:type="gramEnd"/>
      <w:r w:rsidRPr="007F3524">
        <w:rPr>
          <w:rStyle w:val="FootnoteReference"/>
          <w:sz w:val="30"/>
          <w:lang w:val="en-US"/>
        </w:rPr>
        <w:footnoteReference w:id="9"/>
      </w:r>
      <w:r w:rsidRPr="00A955C4">
        <w:rPr>
          <w:vertAlign w:val="superscript"/>
          <w:rtl/>
          <w:lang w:val="en-US"/>
        </w:rPr>
        <w:t>)</w:t>
      </w:r>
      <w:r w:rsidRPr="00A955C4">
        <w:rPr>
          <w:rtl/>
          <w:lang w:val="en-US"/>
        </w:rPr>
        <w:t xml:space="preserve"> وفي اجتهاداتها السابقة. ولم تفِ صاحبة الشكوى بالمعايير من أجل التوصل إلى وجود انتهاك للمادة </w:t>
      </w:r>
      <w:r w:rsidRPr="007F3524">
        <w:rPr>
          <w:rtl/>
          <w:lang w:val="en-US"/>
        </w:rPr>
        <w:t>3</w:t>
      </w:r>
      <w:r w:rsidRPr="00A955C4">
        <w:rPr>
          <w:rtl/>
          <w:lang w:val="en-US"/>
        </w:rPr>
        <w:t xml:space="preserve"> لأنها لم تقدم حججاً وجيهةً تثبت أنها ستواجه خطراً متوقعاً وحقيقياً وشخصياً قد يعرضها للتعذيب.</w:t>
      </w:r>
    </w:p>
    <w:p w14:paraId="12F793D2" w14:textId="5101C115" w:rsidR="00232E96" w:rsidRPr="00A955C4" w:rsidRDefault="00232E96" w:rsidP="00A955C4">
      <w:pPr>
        <w:pStyle w:val="SingleTxtGA"/>
        <w:rPr>
          <w:lang w:val="en-US"/>
        </w:rPr>
      </w:pPr>
      <w:r w:rsidRPr="007F3524">
        <w:rPr>
          <w:rtl/>
          <w:lang w:val="en-US"/>
        </w:rPr>
        <w:t>4</w:t>
      </w:r>
      <w:r w:rsidRPr="00A955C4">
        <w:rPr>
          <w:rtl/>
          <w:lang w:val="en-US"/>
        </w:rPr>
        <w:t>-</w:t>
      </w:r>
      <w:r w:rsidRPr="007F3524">
        <w:rPr>
          <w:rtl/>
          <w:lang w:val="en-US"/>
        </w:rPr>
        <w:t>5</w:t>
      </w:r>
      <w:r w:rsidRPr="00A955C4">
        <w:rPr>
          <w:rtl/>
          <w:lang w:val="en-US"/>
        </w:rPr>
        <w:tab/>
        <w:t xml:space="preserve">وبالإشارة إلى الفقرة </w:t>
      </w:r>
      <w:r w:rsidRPr="007F3524">
        <w:rPr>
          <w:rtl/>
          <w:lang w:val="en-US"/>
        </w:rPr>
        <w:t>9</w:t>
      </w:r>
      <w:r w:rsidRPr="00A955C4">
        <w:rPr>
          <w:rtl/>
          <w:lang w:val="en-US"/>
        </w:rPr>
        <w:t xml:space="preserve"> من تعليق اللجنة العام رقم </w:t>
      </w:r>
      <w:r w:rsidRPr="007F3524">
        <w:rPr>
          <w:rtl/>
          <w:lang w:val="en-US"/>
        </w:rPr>
        <w:t>1</w:t>
      </w:r>
      <w:r w:rsidRPr="00A955C4">
        <w:rPr>
          <w:rtl/>
          <w:lang w:val="en-US"/>
        </w:rPr>
        <w:t>(</w:t>
      </w:r>
      <w:r w:rsidRPr="007F3524">
        <w:rPr>
          <w:rtl/>
          <w:lang w:val="en-US"/>
        </w:rPr>
        <w:t>1996</w:t>
      </w:r>
      <w:r w:rsidRPr="00A955C4">
        <w:rPr>
          <w:rtl/>
          <w:lang w:val="en-US"/>
        </w:rPr>
        <w:t xml:space="preserve">)، ترى الدولة الطرف أن اللجنة ليست هيئة استئنافية أو شبه قضائية أو إدارية وأنه ينبغي إيلاء أهمية كبيرة للنتائج التي توصلت إليها أجهزة الدولة الطرف. وتوجه الدولة الطرف انتباه اللجنة إلى أن هيئتين نظرتا في قضية صاحبة الشكوى، بما في ذلك ثلاث مرات من جانب مجلس طعون اللاجئين في جلسات استماع شفوية أمام ثلاث لجان مختلفة. وأثناء الإجراءات المعروضة على المجلس، تمكنت صاحبة الشكوى من عرض آرائها خطياً وشفوياً بمساعدة محام. </w:t>
      </w:r>
    </w:p>
    <w:p w14:paraId="3EEE8EF2" w14:textId="77777777" w:rsidR="00232E96" w:rsidRPr="00A955C4" w:rsidRDefault="00232E96" w:rsidP="00A955C4">
      <w:pPr>
        <w:pStyle w:val="SingleTxtGA"/>
        <w:rPr>
          <w:lang w:val="en-US"/>
        </w:rPr>
      </w:pPr>
      <w:r w:rsidRPr="007F3524">
        <w:rPr>
          <w:rtl/>
          <w:lang w:val="en-US"/>
        </w:rPr>
        <w:t>4</w:t>
      </w:r>
      <w:r w:rsidRPr="00A955C4">
        <w:rPr>
          <w:rtl/>
          <w:lang w:val="en-US"/>
        </w:rPr>
        <w:t>-</w:t>
      </w:r>
      <w:r w:rsidRPr="007F3524">
        <w:rPr>
          <w:rtl/>
          <w:lang w:val="en-US"/>
        </w:rPr>
        <w:t>6</w:t>
      </w:r>
      <w:r w:rsidRPr="00A955C4">
        <w:rPr>
          <w:rtl/>
          <w:lang w:val="en-US"/>
        </w:rPr>
        <w:tab/>
        <w:t xml:space="preserve">وتضيف الدولة الطرف أن مجلس طعون اللاجئين أجرى فحصاً شاملاً ودقيقاً لبيانات صاحبة الشكوى وجميع المعلومات الأخرى المتاحة عن القضية، بما في ذلك بلاغ صاحبة الشكوى إلى اللجنة، </w:t>
      </w:r>
      <w:r w:rsidRPr="00A955C4">
        <w:rPr>
          <w:rtl/>
          <w:lang w:val="en-US"/>
        </w:rPr>
        <w:lastRenderedPageBreak/>
        <w:t xml:space="preserve">وأن تقييمات المجلس مبررة بشكل واضح وشامل ومثبتة بمواد أساسية من مصادر موثوقة وموضوعية. وتلاحظ الدولة الطرف أن المجلس أخذ في الاعتبار السجلات الطبية المُقدَّمة بشأن الصحة العقلية لصاحبة الشكوى. ونتيجة لذلك، لم يعر المجلس اهتماماً لأي تناقضات وعناصر غير محتملة في بيانات صاحبة الشكوى. وخلافاً لذلك، قَبِل المجلس أساساً في قراريه المؤرخين </w:t>
      </w:r>
      <w:r w:rsidRPr="007F3524">
        <w:rPr>
          <w:rtl/>
          <w:lang w:val="en-US"/>
        </w:rPr>
        <w:t>5</w:t>
      </w:r>
      <w:r w:rsidRPr="00A955C4">
        <w:rPr>
          <w:rtl/>
          <w:lang w:val="en-US"/>
        </w:rPr>
        <w:t xml:space="preserve"> كانون الأول/ديسمبر </w:t>
      </w:r>
      <w:r w:rsidRPr="007F3524">
        <w:rPr>
          <w:rtl/>
          <w:lang w:val="en-US"/>
        </w:rPr>
        <w:t>2016</w:t>
      </w:r>
      <w:r w:rsidRPr="00A955C4">
        <w:rPr>
          <w:rtl/>
          <w:lang w:val="en-US"/>
        </w:rPr>
        <w:t xml:space="preserve"> و</w:t>
      </w:r>
      <w:r w:rsidRPr="007F3524">
        <w:rPr>
          <w:rtl/>
          <w:lang w:val="en-US"/>
        </w:rPr>
        <w:t>30</w:t>
      </w:r>
      <w:r w:rsidRPr="00A955C4">
        <w:rPr>
          <w:rtl/>
          <w:lang w:val="en-US"/>
        </w:rPr>
        <w:t xml:space="preserve"> أيار/مايو </w:t>
      </w:r>
      <w:r w:rsidRPr="007F3524">
        <w:rPr>
          <w:rtl/>
          <w:lang w:val="en-US"/>
        </w:rPr>
        <w:t>2017</w:t>
      </w:r>
      <w:r w:rsidRPr="00A955C4">
        <w:rPr>
          <w:rtl/>
          <w:lang w:val="en-US"/>
        </w:rPr>
        <w:t xml:space="preserve"> رواية صاحبة الشكوى بشأن أسباب طلب اللجوء. وترى الدولة الطرف أن صاحبة الشكوى لم تحدد أي مخالفة في عملية اتخاذ المجلس للقرارات. وتخلص الدولة الطرف إلى أن بلاغ صاحبة الشكوى إلى اللجنة لا يعكس سوى عدم موافقتها على تقييم المجلس لظروفها المحددة وللمعلومات الأساسية الواردة في ملف القضية في محاولة لاستخدام اللجنة بوصفها هيئة استئناف.</w:t>
      </w:r>
    </w:p>
    <w:p w14:paraId="60EEA178" w14:textId="77777777" w:rsidR="00232E96" w:rsidRPr="00A955C4" w:rsidRDefault="00232E96" w:rsidP="00A955C4">
      <w:pPr>
        <w:pStyle w:val="SingleTxtGA"/>
        <w:rPr>
          <w:lang w:val="en-US"/>
        </w:rPr>
      </w:pPr>
      <w:r w:rsidRPr="007F3524">
        <w:rPr>
          <w:rtl/>
          <w:lang w:val="en-US"/>
        </w:rPr>
        <w:t>4</w:t>
      </w:r>
      <w:r w:rsidRPr="00A955C4">
        <w:rPr>
          <w:rtl/>
          <w:lang w:val="en-US"/>
        </w:rPr>
        <w:t>-</w:t>
      </w:r>
      <w:r w:rsidRPr="007F3524">
        <w:rPr>
          <w:rtl/>
          <w:lang w:val="en-US"/>
        </w:rPr>
        <w:t>7</w:t>
      </w:r>
      <w:r w:rsidRPr="00A955C4">
        <w:rPr>
          <w:rtl/>
          <w:lang w:val="en-US"/>
        </w:rPr>
        <w:tab/>
        <w:t xml:space="preserve">وتقول الدولة أيضاً إن رواية الوقائع التي قدمتها صاحبة الشكوى إلى اللجنة "ترسم صورة مختلفة" مقارنة بالأقوال التي أدلت بها في مقابلتين أجرتهما دائرة الهجرة الدانمركية، في </w:t>
      </w:r>
      <w:r w:rsidRPr="007F3524">
        <w:rPr>
          <w:rtl/>
          <w:lang w:val="en-US"/>
        </w:rPr>
        <w:t>7</w:t>
      </w:r>
      <w:r w:rsidRPr="00A955C4">
        <w:rPr>
          <w:rtl/>
          <w:lang w:val="en-US"/>
        </w:rPr>
        <w:t xml:space="preserve"> تشرين </w:t>
      </w:r>
      <w:r w:rsidRPr="001A176B">
        <w:rPr>
          <w:spacing w:val="-4"/>
          <w:rtl/>
          <w:lang w:val="en-US"/>
        </w:rPr>
        <w:t xml:space="preserve">الثاني/نوفمبر </w:t>
      </w:r>
      <w:r w:rsidRPr="007F3524">
        <w:rPr>
          <w:spacing w:val="-4"/>
          <w:rtl/>
          <w:lang w:val="en-US"/>
        </w:rPr>
        <w:t>2013</w:t>
      </w:r>
      <w:r w:rsidRPr="001A176B">
        <w:rPr>
          <w:spacing w:val="-4"/>
          <w:rtl/>
          <w:lang w:val="en-US"/>
        </w:rPr>
        <w:t xml:space="preserve"> و</w:t>
      </w:r>
      <w:r w:rsidRPr="007F3524">
        <w:rPr>
          <w:spacing w:val="-4"/>
          <w:rtl/>
          <w:lang w:val="en-US"/>
        </w:rPr>
        <w:t>24</w:t>
      </w:r>
      <w:r w:rsidRPr="001A176B">
        <w:rPr>
          <w:spacing w:val="-4"/>
          <w:rtl/>
          <w:lang w:val="en-US"/>
        </w:rPr>
        <w:t xml:space="preserve"> آذار/مارس </w:t>
      </w:r>
      <w:r w:rsidRPr="007F3524">
        <w:rPr>
          <w:spacing w:val="-4"/>
          <w:rtl/>
          <w:lang w:val="en-US"/>
        </w:rPr>
        <w:t>2014</w:t>
      </w:r>
      <w:r w:rsidRPr="001A176B">
        <w:rPr>
          <w:spacing w:val="-4"/>
          <w:rtl/>
          <w:lang w:val="en-US"/>
        </w:rPr>
        <w:t>، وفي ثلاث جلسات استماع شفوية أمام مجلس طعون اللاجئين</w:t>
      </w:r>
      <w:r w:rsidRPr="00A955C4">
        <w:rPr>
          <w:rtl/>
          <w:lang w:val="en-US"/>
        </w:rPr>
        <w:t xml:space="preserve">، في </w:t>
      </w:r>
      <w:r w:rsidRPr="007F3524">
        <w:rPr>
          <w:rtl/>
          <w:lang w:val="en-US"/>
        </w:rPr>
        <w:t>30</w:t>
      </w:r>
      <w:r w:rsidRPr="00A955C4">
        <w:rPr>
          <w:rtl/>
          <w:lang w:val="en-US"/>
        </w:rPr>
        <w:t xml:space="preserve"> أيلول/سبتمبر </w:t>
      </w:r>
      <w:r w:rsidRPr="007F3524">
        <w:rPr>
          <w:rtl/>
          <w:lang w:val="en-US"/>
        </w:rPr>
        <w:t>2014</w:t>
      </w:r>
      <w:r w:rsidRPr="00A955C4">
        <w:rPr>
          <w:rtl/>
          <w:lang w:val="en-US"/>
        </w:rPr>
        <w:t xml:space="preserve"> و</w:t>
      </w:r>
      <w:r w:rsidRPr="007F3524">
        <w:rPr>
          <w:rtl/>
          <w:lang w:val="en-US"/>
        </w:rPr>
        <w:t>5</w:t>
      </w:r>
      <w:r w:rsidRPr="00A955C4">
        <w:rPr>
          <w:rtl/>
          <w:lang w:val="en-US"/>
        </w:rPr>
        <w:t xml:space="preserve"> كانون الأول/ديسمبر </w:t>
      </w:r>
      <w:r w:rsidRPr="007F3524">
        <w:rPr>
          <w:rtl/>
          <w:lang w:val="en-US"/>
        </w:rPr>
        <w:t>2016</w:t>
      </w:r>
      <w:r w:rsidRPr="00A955C4">
        <w:rPr>
          <w:rtl/>
          <w:lang w:val="en-US"/>
        </w:rPr>
        <w:t xml:space="preserve"> و</w:t>
      </w:r>
      <w:r w:rsidRPr="007F3524">
        <w:rPr>
          <w:rtl/>
          <w:lang w:val="en-US"/>
        </w:rPr>
        <w:t>17</w:t>
      </w:r>
      <w:r w:rsidRPr="00A955C4">
        <w:rPr>
          <w:rtl/>
          <w:lang w:val="en-US"/>
        </w:rPr>
        <w:t xml:space="preserve"> أيار/مايو </w:t>
      </w:r>
      <w:r w:rsidRPr="007F3524">
        <w:rPr>
          <w:rtl/>
          <w:lang w:val="en-US"/>
        </w:rPr>
        <w:t>2017</w:t>
      </w:r>
      <w:r w:rsidRPr="00A955C4">
        <w:rPr>
          <w:rtl/>
          <w:lang w:val="en-US"/>
        </w:rPr>
        <w:t>.</w:t>
      </w:r>
    </w:p>
    <w:p w14:paraId="3DB56457" w14:textId="77777777" w:rsidR="00232E96" w:rsidRPr="00A955C4" w:rsidRDefault="00232E96" w:rsidP="00A955C4">
      <w:pPr>
        <w:pStyle w:val="SingleTxtGA"/>
        <w:rPr>
          <w:lang w:val="en-US"/>
        </w:rPr>
      </w:pPr>
      <w:r w:rsidRPr="007F3524">
        <w:rPr>
          <w:rtl/>
          <w:lang w:val="en-US"/>
        </w:rPr>
        <w:t>4</w:t>
      </w:r>
      <w:r w:rsidRPr="00A955C4">
        <w:rPr>
          <w:rtl/>
          <w:lang w:val="en-US"/>
        </w:rPr>
        <w:t>-</w:t>
      </w:r>
      <w:r w:rsidRPr="007F3524">
        <w:rPr>
          <w:rtl/>
          <w:lang w:val="en-US"/>
        </w:rPr>
        <w:t>8</w:t>
      </w:r>
      <w:r w:rsidRPr="00A955C4">
        <w:rPr>
          <w:rtl/>
          <w:lang w:val="en-US"/>
        </w:rPr>
        <w:tab/>
        <w:t xml:space="preserve">وذكرت صاحبة الشكوى أثناء إجراءات اللجوء، فيما يتعلق ببقائها في البلدة ز.، أنها وب. كانتا تخشيان الإبلاغ عنهما لدى السلطات، وكان الرجال الذين رفضتا تقربهم منهما يسألونهما ما إذا كانتا مثليتين، واشتبه فيهما سكان في القرية وأساؤوا التحدث عنهما. غير أن الوصف الذي قدمته صاحبة الشكوى بشأن الطريقة التي تعامل بها الرجال معها ومع ب. لا يشبه بأي حال من الأحوال المعلومات التي قدمتها إلى اللجنة. ولم تذكر في أي وقت من الأوقات للسلطات الدانمركية، كما فعلت مع اللجنة، أنها كانت تخشى استبعادها بصفتها مثلية وتعرضها للاغتصاب أو أنها لا تغادر منزلها إلا عند الضرورة، وعندما تكون في المنزل، تقفل الأبواب لمنع تعرضها للهجوم في منزلها. </w:t>
      </w:r>
    </w:p>
    <w:p w14:paraId="72D73F16" w14:textId="77777777" w:rsidR="00232E96" w:rsidRPr="00A955C4" w:rsidRDefault="00232E96" w:rsidP="00A955C4">
      <w:pPr>
        <w:pStyle w:val="SingleTxtGA"/>
        <w:rPr>
          <w:lang w:val="en-US"/>
        </w:rPr>
      </w:pPr>
      <w:r w:rsidRPr="007F3524">
        <w:rPr>
          <w:rtl/>
          <w:lang w:val="en-US"/>
        </w:rPr>
        <w:t>4</w:t>
      </w:r>
      <w:r w:rsidRPr="00A955C4">
        <w:rPr>
          <w:rtl/>
          <w:lang w:val="en-US"/>
        </w:rPr>
        <w:t>-</w:t>
      </w:r>
      <w:r w:rsidRPr="007F3524">
        <w:rPr>
          <w:rtl/>
          <w:lang w:val="en-US"/>
        </w:rPr>
        <w:t>9</w:t>
      </w:r>
      <w:r w:rsidRPr="00A955C4">
        <w:rPr>
          <w:rtl/>
          <w:lang w:val="en-US"/>
        </w:rPr>
        <w:tab/>
        <w:t xml:space="preserve">وأثناء إجراءات اللجوء، أفادت صاحبة الشكوى بأنها، بخلاف محاولات التقرب التي قام بها الرجال، لم تواجه أي مشاكل في البلدة ز. ولم تقدم أي معلومات عن أي ثرثرة فعلية أو أي نوع آخر من المشاكل الناجمة عن أسلوب حياتها. وعندما سئلت عما إذا كانت قد تعرضت لسوء المعاملة البدنية في البلدة ز.، أجابت بالنفي. وتلاحظ الدولة الطرف أيضاً أن أقوالها في بلاغها إلى اللجنة بشأن المخاطر التي تواجهها بسبب ذهابها إلى حانات يرتادها </w:t>
      </w:r>
      <w:proofErr w:type="spellStart"/>
      <w:r w:rsidRPr="00A955C4">
        <w:rPr>
          <w:rtl/>
          <w:lang w:val="en-US"/>
        </w:rPr>
        <w:t>مثليون</w:t>
      </w:r>
      <w:proofErr w:type="spellEnd"/>
      <w:r w:rsidRPr="00A955C4">
        <w:rPr>
          <w:rtl/>
          <w:lang w:val="en-US"/>
        </w:rPr>
        <w:t xml:space="preserve"> آخرون والعودة إلى المنزل مع نساء أخريات تختلف عن الأقوال التي أدلت بها لسلطات الهجرة الدانمركية. وعندما سئلت عما إذا كانت هناك أي مشاكل قد نشأت بسبب ارتيادها إلى الحانات المثلية، أجابت بالنفي وذكرت أنه حتى لو لم يكن الناس منفتحين بشأن مثليتهم الجنسية، فإنهم يعرفون مَن هو المثلي. وتؤكد الدولة الطرف أن صاحبة الشكوى وب. تمكنتا بلا مشاكل من العيش معاً في البلدة ز. لمدة تسع سنوات، وأن المحيطين بهما كانوا يعرفون أنهما يعيشان معاً، وأنهما لم يتعرضا لسوء المعاملة أو ما يشبه ذلك في أي وقت خلال هذه الفترة الطويلة. </w:t>
      </w:r>
    </w:p>
    <w:p w14:paraId="469C14E5" w14:textId="77777777" w:rsidR="00232E96" w:rsidRPr="00A955C4" w:rsidRDefault="00232E96" w:rsidP="00A955C4">
      <w:pPr>
        <w:pStyle w:val="SingleTxtGA"/>
        <w:rPr>
          <w:lang w:val="en-US"/>
        </w:rPr>
      </w:pPr>
      <w:r w:rsidRPr="007F3524">
        <w:rPr>
          <w:rtl/>
          <w:lang w:val="en-US"/>
        </w:rPr>
        <w:t>4</w:t>
      </w:r>
      <w:r w:rsidRPr="00A955C4">
        <w:rPr>
          <w:rtl/>
          <w:lang w:val="en-US"/>
        </w:rPr>
        <w:t>-</w:t>
      </w:r>
      <w:r w:rsidRPr="007F3524">
        <w:rPr>
          <w:rtl/>
          <w:lang w:val="en-US"/>
        </w:rPr>
        <w:t>10</w:t>
      </w:r>
      <w:r w:rsidRPr="00A955C4">
        <w:rPr>
          <w:rtl/>
          <w:lang w:val="en-US"/>
        </w:rPr>
        <w:tab/>
        <w:t xml:space="preserve"> وعلاوةً على ذلك، تعترض الدولة الطرف على الأقوال التي أدلت بها صاحبة الشكوى أمام اللجنة والتي تفيد بأنها فرت من أوغندا إلى الدانمرك لأنها لم تكن حرة في العيش بصفتها مثلية جنسياً وكانت تخشى التعرض للاغتصاب والسجن. وتشير الدولة الطرف إلى أقوال صاحبة الشكوى أمام مجلس طعون اللاجئين التي تفيد بأنها لم تحاول قط مغادرة أوغندا قبل لقاء أ.، وأن مغادرتهما كانت بمبادرة من </w:t>
      </w:r>
      <w:proofErr w:type="gramStart"/>
      <w:r w:rsidRPr="00A955C4">
        <w:rPr>
          <w:rtl/>
          <w:lang w:val="en-US"/>
        </w:rPr>
        <w:t>أ..</w:t>
      </w:r>
      <w:proofErr w:type="gramEnd"/>
      <w:r w:rsidRPr="00A955C4">
        <w:rPr>
          <w:rtl/>
          <w:lang w:val="en-US"/>
        </w:rPr>
        <w:t xml:space="preserve"> وذكرت صاحبة الشكوى أنها </w:t>
      </w:r>
      <w:proofErr w:type="spellStart"/>
      <w:r w:rsidRPr="00A955C4">
        <w:rPr>
          <w:rtl/>
          <w:lang w:val="en-US"/>
        </w:rPr>
        <w:t>وأ</w:t>
      </w:r>
      <w:proofErr w:type="spellEnd"/>
      <w:r w:rsidRPr="00A955C4">
        <w:rPr>
          <w:rtl/>
          <w:lang w:val="en-US"/>
        </w:rPr>
        <w:t>. كانتا معاً لمدة شهر قبل أن تقررا المغادرة وأنهما تحدثتا عن الرحلة كعاشقتين. وعندما سئلت صاحبة الشكوى عن سبب سفرها إلى الدانمرك، أجابت بأن أ. أظهرت حبها. وعندما سئلت صاحبة الشكوى عما إذا كان سبب مغادرتها مع أ. هو أن الناس في القرية قد تحدثوا عنها بسوء، أجابت بأنها لم تكن ترغب في الذهاب إلى السجن، وأن حبهما كان قوياً وأنهما تعرضتا للمضايقة.</w:t>
      </w:r>
    </w:p>
    <w:p w14:paraId="6CDA703A" w14:textId="3F8555A3" w:rsidR="00232E96" w:rsidRPr="00A955C4" w:rsidRDefault="00232E96" w:rsidP="00A955C4">
      <w:pPr>
        <w:pStyle w:val="SingleTxtGA"/>
        <w:rPr>
          <w:lang w:val="en-US"/>
        </w:rPr>
      </w:pPr>
      <w:r w:rsidRPr="007F3524">
        <w:rPr>
          <w:rtl/>
          <w:lang w:val="en-US"/>
        </w:rPr>
        <w:lastRenderedPageBreak/>
        <w:t>4</w:t>
      </w:r>
      <w:r w:rsidRPr="00A955C4">
        <w:rPr>
          <w:rtl/>
          <w:lang w:val="en-US"/>
        </w:rPr>
        <w:t>-</w:t>
      </w:r>
      <w:r w:rsidRPr="007F3524">
        <w:rPr>
          <w:rtl/>
          <w:lang w:val="en-US"/>
        </w:rPr>
        <w:t>11</w:t>
      </w:r>
      <w:r w:rsidRPr="00A955C4">
        <w:rPr>
          <w:rtl/>
          <w:lang w:val="en-US"/>
        </w:rPr>
        <w:tab/>
        <w:t xml:space="preserve">وتعترض الدولة الطرف أيضاً على بيان صاحبة الشكوى أمام اللجنة الذي قالت فيه إنها عاشت في البلدة ز. "لتجنب المزيد من سوء المعاملة من السلطات الأوغندية". ولم تذكر صاحبة الشكوى في أي </w:t>
      </w:r>
      <w:r w:rsidRPr="002608C2">
        <w:rPr>
          <w:spacing w:val="-2"/>
          <w:rtl/>
          <w:lang w:val="en-US"/>
        </w:rPr>
        <w:t xml:space="preserve">وقت من الأوقات للسلطات الدانمركية أنها واجهت مشاكل مع السلطات الأوغندية أو تعرضت لمضايقات منها. ويبدو من البيان الذي قدمته صاحبة الشكوى إلى مجلس طعون اللاجئين في </w:t>
      </w:r>
      <w:r w:rsidRPr="007F3524">
        <w:rPr>
          <w:spacing w:val="-2"/>
          <w:rtl/>
          <w:lang w:val="en-US"/>
        </w:rPr>
        <w:t>30</w:t>
      </w:r>
      <w:r w:rsidRPr="002608C2">
        <w:rPr>
          <w:spacing w:val="-2"/>
          <w:rtl/>
          <w:lang w:val="en-US"/>
        </w:rPr>
        <w:t xml:space="preserve"> أيلول/سبتمبر </w:t>
      </w:r>
      <w:r w:rsidRPr="007F3524">
        <w:rPr>
          <w:spacing w:val="-2"/>
          <w:rtl/>
          <w:lang w:val="en-US"/>
        </w:rPr>
        <w:t>2014</w:t>
      </w:r>
      <w:r w:rsidRPr="00A955C4">
        <w:rPr>
          <w:rtl/>
          <w:lang w:val="en-US"/>
        </w:rPr>
        <w:t xml:space="preserve"> أنها تعتقد أن المجلس المحلي في قرية والديها علم بمثليتها الجنسية قبل أن تبتعد عن والديها، ولكن الشرطة أو السلطات المحلية لم تتصل بها. وفي ضوء ما تقدم، لا يمكن أن تقبل الدولة الطرف رواية صاحبة الشكوى للوقائع أمام اللجنة. وينطبق هذا الأمر أيضاً على بيان صاحبة الشكوى أمام اللجنة الذي قالت فيه إنها عاشت في خوف دائم من التعرض للاغتصاب قبل فرارها من أوغندا وأنها أخفت حياتها الجنسية واتخذت الاحتياطات اللازمة لتجنب المزيد من سوء المعاملة.</w:t>
      </w:r>
    </w:p>
    <w:p w14:paraId="13105583" w14:textId="4B593186" w:rsidR="00232E96" w:rsidRPr="00A955C4" w:rsidRDefault="00232E96" w:rsidP="00A955C4">
      <w:pPr>
        <w:pStyle w:val="SingleTxtGA"/>
        <w:rPr>
          <w:lang w:val="en-US"/>
        </w:rPr>
      </w:pPr>
      <w:r w:rsidRPr="007F3524">
        <w:rPr>
          <w:rtl/>
          <w:lang w:val="en-US"/>
        </w:rPr>
        <w:t>4</w:t>
      </w:r>
      <w:r w:rsidRPr="00A955C4">
        <w:rPr>
          <w:rtl/>
          <w:lang w:val="en-US"/>
        </w:rPr>
        <w:t>-</w:t>
      </w:r>
      <w:r w:rsidRPr="007F3524">
        <w:rPr>
          <w:rtl/>
          <w:lang w:val="en-US"/>
        </w:rPr>
        <w:t>12</w:t>
      </w:r>
      <w:r w:rsidRPr="00A955C4">
        <w:rPr>
          <w:rtl/>
          <w:lang w:val="en-US"/>
        </w:rPr>
        <w:tab/>
        <w:t xml:space="preserve">وفيما يتعلق بسوء المعاملة الذي تعرضت له صاحبة الشكوى في أوغندا في شكل "اغتصاب تصحيحي" وتهديدات من أسرتها والمجتمع المحلي، تلاحظ الدولة الطرف أن مجلس طعون اللاجئين يتفق مع صاحبة الشكوى على أن المعلومات المتعلقة بسوء المعاملة السابقة عامل هام عند تقييم ما إذا كان </w:t>
      </w:r>
      <w:r w:rsidRPr="002608C2">
        <w:rPr>
          <w:spacing w:val="-2"/>
          <w:rtl/>
          <w:lang w:val="en-US"/>
        </w:rPr>
        <w:t>هناك خطر فعلي للتعرض لسوء المعاملة ولكنها لا توافق على أنها مؤشر حاسم على المخاطر في المستقبل.</w:t>
      </w:r>
      <w:r w:rsidRPr="00A955C4">
        <w:rPr>
          <w:rtl/>
          <w:lang w:val="en-US"/>
        </w:rPr>
        <w:t xml:space="preserve"> ووفقاً للفقرة </w:t>
      </w:r>
      <w:r w:rsidRPr="007F3524">
        <w:rPr>
          <w:rtl/>
          <w:lang w:val="en-US"/>
        </w:rPr>
        <w:t>8</w:t>
      </w:r>
      <w:r w:rsidRPr="00A955C4">
        <w:rPr>
          <w:rtl/>
          <w:lang w:val="en-US"/>
        </w:rPr>
        <w:t xml:space="preserve"> من تعليق اللجنة العام رقم </w:t>
      </w:r>
      <w:r w:rsidRPr="007F3524">
        <w:rPr>
          <w:rtl/>
          <w:lang w:val="en-US"/>
        </w:rPr>
        <w:t>1</w:t>
      </w:r>
      <w:r w:rsidRPr="00A955C4">
        <w:rPr>
          <w:rtl/>
          <w:lang w:val="en-US"/>
        </w:rPr>
        <w:t>(</w:t>
      </w:r>
      <w:r w:rsidRPr="007F3524">
        <w:rPr>
          <w:rtl/>
          <w:lang w:val="en-US"/>
        </w:rPr>
        <w:t>1996</w:t>
      </w:r>
      <w:r w:rsidRPr="00A955C4">
        <w:rPr>
          <w:rtl/>
          <w:lang w:val="en-US"/>
        </w:rPr>
        <w:t xml:space="preserve">)، أجرى المجلس تقييماً شاملاً لمسألة ما إذا كان الاعتداء والمعاملة اللذين تعرضت لهما صاحبة الشكوى على يد أشخاص آخرين في قرية والديها يعنيان أنها، إذا أعيدت إلى أوغندا، ستكون عرضة لخطر سوء المعاملة بما يتنافى مع المادة </w:t>
      </w:r>
      <w:r w:rsidRPr="007F3524">
        <w:rPr>
          <w:rtl/>
          <w:lang w:val="en-US"/>
        </w:rPr>
        <w:t>3</w:t>
      </w:r>
      <w:r w:rsidRPr="00A955C4">
        <w:rPr>
          <w:rtl/>
          <w:lang w:val="en-US"/>
        </w:rPr>
        <w:t xml:space="preserve"> من الاتفاقية. وتستند استنتاجات المجلس ضد هذه الفرضية في جزء منها إلى مرور وقت طويل منذ أن تعرضت للعلاج </w:t>
      </w:r>
      <w:proofErr w:type="gramStart"/>
      <w:r w:rsidRPr="00594A27">
        <w:rPr>
          <w:spacing w:val="-4"/>
          <w:rtl/>
          <w:lang w:val="en-US"/>
        </w:rPr>
        <w:t>الخاص</w:t>
      </w:r>
      <w:r w:rsidRPr="00594A27">
        <w:rPr>
          <w:spacing w:val="-4"/>
          <w:vertAlign w:val="superscript"/>
          <w:rtl/>
          <w:lang w:val="en-US"/>
        </w:rPr>
        <w:t>(</w:t>
      </w:r>
      <w:proofErr w:type="gramEnd"/>
      <w:r w:rsidRPr="007F3524">
        <w:rPr>
          <w:rStyle w:val="FootnoteReference"/>
          <w:spacing w:val="-4"/>
          <w:szCs w:val="22"/>
          <w:lang w:val="en-US"/>
        </w:rPr>
        <w:footnoteReference w:id="10"/>
      </w:r>
      <w:r w:rsidRPr="00594A27">
        <w:rPr>
          <w:spacing w:val="-4"/>
          <w:vertAlign w:val="superscript"/>
          <w:rtl/>
          <w:lang w:val="en-US"/>
        </w:rPr>
        <w:t>)</w:t>
      </w:r>
      <w:r w:rsidRPr="00594A27">
        <w:rPr>
          <w:spacing w:val="-4"/>
          <w:rtl/>
          <w:lang w:val="en-US"/>
        </w:rPr>
        <w:t>، وفي جزء آخر إلى حقيقة أنه على الرغم من ضعفها الشديد وحالتها العقلية الناجمة عن تجربتها</w:t>
      </w:r>
      <w:r w:rsidRPr="00A955C4">
        <w:rPr>
          <w:rtl/>
          <w:lang w:val="en-US"/>
        </w:rPr>
        <w:t xml:space="preserve"> المؤلمة، تمكنت صاحبة الشكوى فيما بعد من العيش لمدة تسع سنوات في بلدة ز وأقامت علاقة جنسية مثلية مع أ. هناك إلى أن غادرت إلى الدانمرك في عام </w:t>
      </w:r>
      <w:r w:rsidRPr="007F3524">
        <w:rPr>
          <w:rtl/>
          <w:lang w:val="en-US"/>
        </w:rPr>
        <w:t>2007</w:t>
      </w:r>
      <w:r w:rsidRPr="00A955C4">
        <w:rPr>
          <w:rtl/>
          <w:lang w:val="en-US"/>
        </w:rPr>
        <w:t xml:space="preserve"> مع أ. بمبادرة من أ..</w:t>
      </w:r>
    </w:p>
    <w:p w14:paraId="74AD408D" w14:textId="37AED420" w:rsidR="00232E96" w:rsidRPr="00A955C4" w:rsidRDefault="00232E96" w:rsidP="00A955C4">
      <w:pPr>
        <w:pStyle w:val="SingleTxtGA"/>
        <w:rPr>
          <w:lang w:val="en-US"/>
        </w:rPr>
      </w:pPr>
      <w:r w:rsidRPr="007F3524">
        <w:rPr>
          <w:rtl/>
          <w:lang w:val="en-US"/>
        </w:rPr>
        <w:t>4</w:t>
      </w:r>
      <w:r w:rsidRPr="00A955C4">
        <w:rPr>
          <w:rtl/>
          <w:lang w:val="en-US"/>
        </w:rPr>
        <w:t>-</w:t>
      </w:r>
      <w:r w:rsidRPr="007F3524">
        <w:rPr>
          <w:rtl/>
          <w:lang w:val="en-US"/>
        </w:rPr>
        <w:t>13</w:t>
      </w:r>
      <w:r w:rsidRPr="00A955C4">
        <w:rPr>
          <w:rtl/>
          <w:lang w:val="en-US"/>
        </w:rPr>
        <w:tab/>
        <w:t xml:space="preserve">وتلاحظ الدولة الطرف أنه امتثالاً لحكم محكمة العدل التابعة للاتحاد الأوروبي في </w:t>
      </w:r>
      <w:r w:rsidRPr="007F3524">
        <w:rPr>
          <w:i/>
          <w:iCs/>
          <w:rtl/>
          <w:lang w:val="en-US"/>
        </w:rPr>
        <w:t>قضية س. وي. وز. ضد وزير الهجرة واللجوء (</w:t>
      </w:r>
      <w:r w:rsidRPr="007F3524">
        <w:rPr>
          <w:i/>
          <w:iCs/>
          <w:lang w:val="en-US"/>
        </w:rPr>
        <w:t xml:space="preserve">Minister </w:t>
      </w:r>
      <w:proofErr w:type="spellStart"/>
      <w:r w:rsidRPr="007F3524">
        <w:rPr>
          <w:i/>
          <w:iCs/>
          <w:lang w:val="en-US"/>
        </w:rPr>
        <w:t>voor</w:t>
      </w:r>
      <w:proofErr w:type="spellEnd"/>
      <w:r w:rsidRPr="007F3524">
        <w:rPr>
          <w:i/>
          <w:iCs/>
          <w:lang w:val="en-US"/>
        </w:rPr>
        <w:t xml:space="preserve"> </w:t>
      </w:r>
      <w:proofErr w:type="spellStart"/>
      <w:r w:rsidRPr="007F3524">
        <w:rPr>
          <w:i/>
          <w:iCs/>
          <w:lang w:val="en-US"/>
        </w:rPr>
        <w:t>Immigratie</w:t>
      </w:r>
      <w:proofErr w:type="spellEnd"/>
      <w:r w:rsidRPr="007F3524">
        <w:rPr>
          <w:i/>
          <w:iCs/>
          <w:lang w:val="en-US"/>
        </w:rPr>
        <w:t xml:space="preserve"> </w:t>
      </w:r>
      <w:proofErr w:type="spellStart"/>
      <w:r w:rsidRPr="007F3524">
        <w:rPr>
          <w:i/>
          <w:iCs/>
          <w:lang w:val="en-US"/>
        </w:rPr>
        <w:t>en</w:t>
      </w:r>
      <w:proofErr w:type="spellEnd"/>
      <w:r w:rsidRPr="007F3524">
        <w:rPr>
          <w:i/>
          <w:iCs/>
          <w:lang w:val="en-US"/>
        </w:rPr>
        <w:t xml:space="preserve"> </w:t>
      </w:r>
      <w:proofErr w:type="spellStart"/>
      <w:r w:rsidRPr="007F3524">
        <w:rPr>
          <w:i/>
          <w:iCs/>
          <w:lang w:val="en-US"/>
        </w:rPr>
        <w:t>Asiel</w:t>
      </w:r>
      <w:proofErr w:type="spellEnd"/>
      <w:r w:rsidRPr="007F3524">
        <w:rPr>
          <w:i/>
          <w:iCs/>
          <w:rtl/>
          <w:lang w:val="en-US"/>
        </w:rPr>
        <w:t>)</w:t>
      </w:r>
      <w:r w:rsidRPr="00A955C4">
        <w:rPr>
          <w:rtl/>
          <w:lang w:val="en-US"/>
        </w:rPr>
        <w:t xml:space="preserve">، التي استشهدت بها صاحبة الشكوى، وعملاً بأحكام المادة </w:t>
      </w:r>
      <w:r w:rsidRPr="007F3524">
        <w:rPr>
          <w:rtl/>
          <w:lang w:val="en-US"/>
        </w:rPr>
        <w:t>3</w:t>
      </w:r>
      <w:r w:rsidRPr="00A955C4">
        <w:rPr>
          <w:rtl/>
          <w:lang w:val="en-US"/>
        </w:rPr>
        <w:t xml:space="preserve"> (</w:t>
      </w:r>
      <w:r w:rsidRPr="007F3524">
        <w:rPr>
          <w:rtl/>
          <w:lang w:val="en-US"/>
        </w:rPr>
        <w:t>2</w:t>
      </w:r>
      <w:r w:rsidRPr="00A955C4">
        <w:rPr>
          <w:rtl/>
          <w:lang w:val="en-US"/>
        </w:rPr>
        <w:t xml:space="preserve">) من الاتفاقية، أجرى مجلس طعون اللاجئين تقييماً شاملاً بشأن ما إذا كانت صاحبة الشكوى معرضة لخطر سوء المعاملة بما يتنافى مع المادة </w:t>
      </w:r>
      <w:r w:rsidRPr="007F3524">
        <w:rPr>
          <w:rtl/>
          <w:lang w:val="en-US"/>
        </w:rPr>
        <w:t>3</w:t>
      </w:r>
      <w:r w:rsidRPr="00A955C4">
        <w:rPr>
          <w:rtl/>
          <w:lang w:val="en-US"/>
        </w:rPr>
        <w:t xml:space="preserve"> من الاتفاقية في حالة عودتها إلى أوغندا بسبب الحالة العامة </w:t>
      </w:r>
      <w:proofErr w:type="spellStart"/>
      <w:r w:rsidRPr="00A955C4">
        <w:rPr>
          <w:rtl/>
          <w:lang w:val="en-US"/>
        </w:rPr>
        <w:t>للمثليات</w:t>
      </w:r>
      <w:proofErr w:type="spellEnd"/>
      <w:r w:rsidRPr="00A955C4">
        <w:rPr>
          <w:rtl/>
          <w:lang w:val="en-US"/>
        </w:rPr>
        <w:t xml:space="preserve"> في أوغندا. وتشير الدولة الطرف إلى قرار المجلس المؤرخ </w:t>
      </w:r>
      <w:r w:rsidRPr="007F3524">
        <w:rPr>
          <w:rtl/>
          <w:lang w:val="en-US"/>
        </w:rPr>
        <w:t>30</w:t>
      </w:r>
      <w:r w:rsidRPr="00A955C4">
        <w:rPr>
          <w:rtl/>
          <w:lang w:val="en-US"/>
        </w:rPr>
        <w:t xml:space="preserve"> أيار/مايو </w:t>
      </w:r>
      <w:r w:rsidRPr="007F3524">
        <w:rPr>
          <w:rtl/>
          <w:lang w:val="en-US"/>
        </w:rPr>
        <w:t>2017</w:t>
      </w:r>
      <w:r w:rsidRPr="00A955C4">
        <w:rPr>
          <w:rtl/>
          <w:lang w:val="en-US"/>
        </w:rPr>
        <w:t xml:space="preserve">، الذي اتُّخذ بعد دراسة القانون الأوغندي والوضع الفعلي </w:t>
      </w:r>
      <w:proofErr w:type="spellStart"/>
      <w:r w:rsidRPr="00A955C4">
        <w:rPr>
          <w:rtl/>
          <w:lang w:val="en-US"/>
        </w:rPr>
        <w:t>للمثليات</w:t>
      </w:r>
      <w:proofErr w:type="spellEnd"/>
      <w:r w:rsidRPr="00A955C4">
        <w:rPr>
          <w:rtl/>
          <w:lang w:val="en-US"/>
        </w:rPr>
        <w:t xml:space="preserve"> والمثليين ومزدوجي الميل الجنسي ومغايري الهوية الجنسانية وحاملي صفات الجنسين، بالاعتماد على معلومات أساسية أحدث من المعلومات التي أشارت إليها صاحبة الشكوى.</w:t>
      </w:r>
      <w:r w:rsidR="002608C2">
        <w:rPr>
          <w:rtl/>
          <w:lang w:val="en-US"/>
        </w:rPr>
        <w:t xml:space="preserve"> </w:t>
      </w:r>
    </w:p>
    <w:p w14:paraId="359269BE" w14:textId="7396E41A" w:rsidR="00232E96" w:rsidRPr="00A955C4" w:rsidRDefault="00232E96" w:rsidP="00A955C4">
      <w:pPr>
        <w:pStyle w:val="SingleTxtGA"/>
        <w:rPr>
          <w:lang w:val="en-US"/>
        </w:rPr>
      </w:pPr>
      <w:r w:rsidRPr="007F3524">
        <w:rPr>
          <w:rtl/>
          <w:lang w:val="en-US"/>
        </w:rPr>
        <w:t>4</w:t>
      </w:r>
      <w:r w:rsidRPr="00A955C4">
        <w:rPr>
          <w:rtl/>
          <w:lang w:val="en-US"/>
        </w:rPr>
        <w:t>-</w:t>
      </w:r>
      <w:r w:rsidRPr="007F3524">
        <w:rPr>
          <w:rtl/>
          <w:lang w:val="en-US"/>
        </w:rPr>
        <w:t>14</w:t>
      </w:r>
      <w:r w:rsidRPr="00A955C4">
        <w:rPr>
          <w:rtl/>
          <w:lang w:val="en-US"/>
        </w:rPr>
        <w:tab/>
      </w:r>
      <w:r w:rsidRPr="002608C2">
        <w:rPr>
          <w:spacing w:val="-4"/>
          <w:rtl/>
          <w:lang w:val="en-US"/>
        </w:rPr>
        <w:t xml:space="preserve">وتشير الدولة الطرف أيضاً إلى قرار مجلس طعون اللاجئين المؤرخ </w:t>
      </w:r>
      <w:r w:rsidRPr="007F3524">
        <w:rPr>
          <w:spacing w:val="-4"/>
          <w:rtl/>
          <w:lang w:val="en-US"/>
        </w:rPr>
        <w:t>5</w:t>
      </w:r>
      <w:r w:rsidRPr="002608C2">
        <w:rPr>
          <w:spacing w:val="-4"/>
          <w:rtl/>
          <w:lang w:val="en-US"/>
        </w:rPr>
        <w:t xml:space="preserve"> كانون الأول/ديسمبر </w:t>
      </w:r>
      <w:r w:rsidRPr="007F3524">
        <w:rPr>
          <w:spacing w:val="-4"/>
          <w:rtl/>
          <w:lang w:val="en-US"/>
        </w:rPr>
        <w:t>2016</w:t>
      </w:r>
      <w:r w:rsidRPr="00A955C4">
        <w:rPr>
          <w:rtl/>
          <w:lang w:val="en-US"/>
        </w:rPr>
        <w:t xml:space="preserve">، الذي خلص المجلس بموجبه إلى أن مقدمة الطلب لم تكن شخصاً مثلياً بارزاً ولم تكن في حالة نزاع مع أي شخص وقت مغادرتها أوغندا. وفيما يتعلق بأنشطة الدعوة التي تضطلع بها صاحبة الشكوى في الدانمرك، ترى الدولة الطرف أن الظروف التي أحاطت بقضية </w:t>
      </w:r>
      <w:r w:rsidRPr="007F3524">
        <w:rPr>
          <w:i/>
          <w:iCs/>
          <w:rtl/>
          <w:lang w:val="en-US"/>
        </w:rPr>
        <w:t>ج. ك. ضد كندا</w:t>
      </w:r>
      <w:r w:rsidRPr="00A955C4">
        <w:rPr>
          <w:rtl/>
          <w:lang w:val="en-US"/>
        </w:rPr>
        <w:t xml:space="preserve"> تختلف عن الظروف المحيطة بالقضية قيد النظر. فقد شارك ج. ك. بنشاط في الجهود الرامية إلى الدفاع عن حقوق المثليات والمثليين ومزدوجي الميل الجنسي ومغايري الهوية الجنسانية وحاملي صفات الجنسين في أوغندا، واتهمته السلطات الأوغندية ب</w:t>
      </w:r>
      <w:r w:rsidR="002608C2">
        <w:rPr>
          <w:rFonts w:hint="cs"/>
          <w:rtl/>
          <w:lang w:val="en-US"/>
        </w:rPr>
        <w:t xml:space="preserve">‍ </w:t>
      </w:r>
      <w:r w:rsidRPr="00A955C4">
        <w:rPr>
          <w:rtl/>
          <w:lang w:val="en-US"/>
        </w:rPr>
        <w:t xml:space="preserve">"جماع بشكل مخالف للطبيعة" وكان من الممكن احتجازه لدى عودته إلى أوغندا بمقتضى تلك التهم. وعلى عكس ج. ك.، لم تشارك صاحبة الشكوى في أي أنشطة دفاعاً عن حقوق المثليات والمثليين ومزدوجي الميل الجنسي ومغايري الهوية الجنسانية وحاملي صفات الجنسين في أوغندا، </w:t>
      </w:r>
      <w:r w:rsidRPr="00A955C4">
        <w:rPr>
          <w:rtl/>
          <w:lang w:val="en-US"/>
        </w:rPr>
        <w:lastRenderedPageBreak/>
        <w:t xml:space="preserve">ويبدو أن مشاركتها في الأنشطة السياسية للمنظمات التي تدافع عن حقوق المثليات والمثليين ومزدوجي الميل الجنسي ومغايري الهوية الجنسانية وحاملي صفات الجنسين في الدانمرك قد تمت دون الكشف عن هويتها أو على الأقل بطريقة لم تجعلها فرداً بارزاً إلى درجة تبرر منحها اللجوء بموجب المادة </w:t>
      </w:r>
      <w:r w:rsidRPr="007F3524">
        <w:rPr>
          <w:rtl/>
          <w:lang w:val="en-US"/>
        </w:rPr>
        <w:t>7</w:t>
      </w:r>
      <w:r w:rsidRPr="00A955C4">
        <w:rPr>
          <w:rtl/>
          <w:lang w:val="en-US"/>
        </w:rPr>
        <w:t xml:space="preserve"> من قانون الأجانب. وتؤكد الدولة كذلك أن الوضع في أوغندا تغير في السنوات الأخيرة ولا يزال يتغير. والوضع خلال الفترة </w:t>
      </w:r>
      <w:r w:rsidRPr="007F3524">
        <w:rPr>
          <w:rtl/>
          <w:lang w:val="en-US"/>
        </w:rPr>
        <w:t>2010</w:t>
      </w:r>
      <w:r w:rsidRPr="00A955C4">
        <w:rPr>
          <w:rtl/>
          <w:lang w:val="en-US"/>
        </w:rPr>
        <w:t>-</w:t>
      </w:r>
      <w:r w:rsidRPr="007F3524">
        <w:rPr>
          <w:rtl/>
          <w:lang w:val="en-US"/>
        </w:rPr>
        <w:t>2012</w:t>
      </w:r>
      <w:r w:rsidRPr="00A955C4">
        <w:rPr>
          <w:rtl/>
          <w:lang w:val="en-US"/>
        </w:rPr>
        <w:t>، عندما كان من المفترض أن قانون مكافحة المثلية الجنسية يمكن أن يُعرض على البرلمان مرة أخرى في أي وقت، لا يمكن مقارنته بالوضع الحالي.</w:t>
      </w:r>
    </w:p>
    <w:p w14:paraId="4CEF7610" w14:textId="77777777" w:rsidR="00232E96" w:rsidRPr="001A176B" w:rsidRDefault="00232E96" w:rsidP="00A955C4">
      <w:pPr>
        <w:pStyle w:val="SingleTxtGA"/>
        <w:rPr>
          <w:spacing w:val="-2"/>
          <w:lang w:val="en-US"/>
        </w:rPr>
      </w:pPr>
      <w:r w:rsidRPr="007F3524">
        <w:rPr>
          <w:rtl/>
          <w:lang w:val="en-US"/>
        </w:rPr>
        <w:t>4</w:t>
      </w:r>
      <w:r w:rsidRPr="00A955C4">
        <w:rPr>
          <w:rtl/>
          <w:lang w:val="en-US"/>
        </w:rPr>
        <w:t>-</w:t>
      </w:r>
      <w:r w:rsidRPr="007F3524">
        <w:rPr>
          <w:rtl/>
          <w:lang w:val="en-US"/>
        </w:rPr>
        <w:t>15</w:t>
      </w:r>
      <w:r w:rsidRPr="00A955C4">
        <w:rPr>
          <w:rtl/>
          <w:lang w:val="en-US"/>
        </w:rPr>
        <w:tab/>
        <w:t xml:space="preserve"> وأخيراً، وفيما يتعلق بالمقال الذي يتضمن اسم صاحبة الشكوى وصورتها والذي تضمنته إحدى منشورات الثرثرة الأوغندية على الإنترنت، تلاحظ الدولة الطرف أنه، عقب طلب صاحبة الشكوى في </w:t>
      </w:r>
      <w:r w:rsidRPr="007F3524">
        <w:rPr>
          <w:rtl/>
          <w:lang w:val="en-US"/>
        </w:rPr>
        <w:t>20</w:t>
      </w:r>
      <w:r w:rsidRPr="00A955C4">
        <w:rPr>
          <w:rtl/>
          <w:lang w:val="en-US"/>
        </w:rPr>
        <w:t xml:space="preserve"> تموز/يوليه </w:t>
      </w:r>
      <w:r w:rsidRPr="007F3524">
        <w:rPr>
          <w:rtl/>
          <w:lang w:val="en-US"/>
        </w:rPr>
        <w:t>2016</w:t>
      </w:r>
      <w:r w:rsidRPr="00A955C4">
        <w:rPr>
          <w:rtl/>
          <w:lang w:val="en-US"/>
        </w:rPr>
        <w:t xml:space="preserve"> أن يعيد مجلس طعون اللاجئين فتح ملف قضيتها، تلقى المجلس رسالة إلكترونية من صاحبة الشكوى في </w:t>
      </w:r>
      <w:r w:rsidRPr="007F3524">
        <w:rPr>
          <w:rtl/>
          <w:lang w:val="en-US"/>
        </w:rPr>
        <w:t>21</w:t>
      </w:r>
      <w:r w:rsidRPr="00A955C4">
        <w:rPr>
          <w:rtl/>
          <w:lang w:val="en-US"/>
        </w:rPr>
        <w:t xml:space="preserve"> تموز/يوليه </w:t>
      </w:r>
      <w:r w:rsidRPr="007F3524">
        <w:rPr>
          <w:rtl/>
          <w:lang w:val="en-US"/>
        </w:rPr>
        <w:t>2016</w:t>
      </w:r>
      <w:r w:rsidRPr="00A955C4">
        <w:rPr>
          <w:rtl/>
          <w:lang w:val="en-US"/>
        </w:rPr>
        <w:t xml:space="preserve"> مع رابط إلى منشور أوغندي. وتناول المقال قرار السلطات الدانمركية بإبعاد مثليتين أوغنديتين. ولم يظهر اسم صاحبة الشكوى ولا صورتها في المقال. وأكد المجلس، في قراره المؤرخ </w:t>
      </w:r>
      <w:r w:rsidRPr="007F3524">
        <w:rPr>
          <w:rtl/>
          <w:lang w:val="en-US"/>
        </w:rPr>
        <w:t>5</w:t>
      </w:r>
      <w:r w:rsidRPr="00A955C4">
        <w:rPr>
          <w:rtl/>
          <w:lang w:val="en-US"/>
        </w:rPr>
        <w:t xml:space="preserve"> كانون الأول/ديسمبر </w:t>
      </w:r>
      <w:r w:rsidRPr="007F3524">
        <w:rPr>
          <w:rtl/>
          <w:lang w:val="en-US"/>
        </w:rPr>
        <w:t>2016</w:t>
      </w:r>
      <w:r w:rsidRPr="00A955C4">
        <w:rPr>
          <w:rtl/>
          <w:lang w:val="en-US"/>
        </w:rPr>
        <w:t xml:space="preserve">، أن المقال لا يسمح بالتعرف على هوية صاحبة الشكوى. وفي </w:t>
      </w:r>
      <w:r w:rsidRPr="007F3524">
        <w:rPr>
          <w:rtl/>
          <w:lang w:val="en-US"/>
        </w:rPr>
        <w:t>19</w:t>
      </w:r>
      <w:r w:rsidRPr="00A955C4">
        <w:rPr>
          <w:rtl/>
          <w:lang w:val="en-US"/>
        </w:rPr>
        <w:t xml:space="preserve"> كانون الأول/ديسمبر </w:t>
      </w:r>
      <w:r w:rsidRPr="007F3524">
        <w:rPr>
          <w:rtl/>
          <w:lang w:val="en-US"/>
        </w:rPr>
        <w:t>2016</w:t>
      </w:r>
      <w:r w:rsidRPr="00A955C4">
        <w:rPr>
          <w:rtl/>
          <w:lang w:val="en-US"/>
        </w:rPr>
        <w:t xml:space="preserve">، طلبت صاحبة الشكوى مرة أخرى إلى المجلس إعادة فتح ملف </w:t>
      </w:r>
      <w:r w:rsidRPr="001A176B">
        <w:rPr>
          <w:spacing w:val="-2"/>
          <w:rtl/>
          <w:lang w:val="en-US"/>
        </w:rPr>
        <w:t xml:space="preserve">قضيتها وأشارت إلى مقال آخر نُشر في </w:t>
      </w:r>
      <w:r w:rsidRPr="007F3524">
        <w:rPr>
          <w:spacing w:val="-2"/>
          <w:rtl/>
          <w:lang w:val="en-US"/>
        </w:rPr>
        <w:t>15</w:t>
      </w:r>
      <w:r w:rsidRPr="001A176B">
        <w:rPr>
          <w:spacing w:val="-2"/>
          <w:rtl/>
          <w:lang w:val="en-US"/>
        </w:rPr>
        <w:t xml:space="preserve"> كانون الأول/ديسمبر </w:t>
      </w:r>
      <w:r w:rsidRPr="007F3524">
        <w:rPr>
          <w:spacing w:val="-2"/>
          <w:rtl/>
          <w:lang w:val="en-US"/>
        </w:rPr>
        <w:t>2016</w:t>
      </w:r>
      <w:r w:rsidRPr="001A176B">
        <w:rPr>
          <w:spacing w:val="-2"/>
          <w:rtl/>
          <w:lang w:val="en-US"/>
        </w:rPr>
        <w:t xml:space="preserve">، يتضمن اسمها وصورتها. وخلص المجلس في قراره المؤرخ </w:t>
      </w:r>
      <w:r w:rsidRPr="007F3524">
        <w:rPr>
          <w:spacing w:val="-2"/>
          <w:rtl/>
          <w:lang w:val="en-US"/>
        </w:rPr>
        <w:t>30</w:t>
      </w:r>
      <w:r w:rsidRPr="001A176B">
        <w:rPr>
          <w:spacing w:val="-2"/>
          <w:rtl/>
          <w:lang w:val="en-US"/>
        </w:rPr>
        <w:t xml:space="preserve"> أيار/مايو </w:t>
      </w:r>
      <w:r w:rsidRPr="007F3524">
        <w:rPr>
          <w:spacing w:val="-2"/>
          <w:rtl/>
          <w:lang w:val="en-US"/>
        </w:rPr>
        <w:t>2017</w:t>
      </w:r>
      <w:r w:rsidRPr="001A176B">
        <w:rPr>
          <w:spacing w:val="-2"/>
          <w:rtl/>
          <w:lang w:val="en-US"/>
        </w:rPr>
        <w:t xml:space="preserve"> إلى أن ظهور اسم صاحبة الشكوى وصورتها في مقال على موقع أوغندي على شبكة الإنترنت لا يمكن أن يؤدي إلى تقييم مختلف لأن المجلس راعى في قراره السابق المعلومات الأساسية التي تفيد بأن عدداً من المنظمات، ولا سيما في كمبالا، تناقش بنشاط وعلناً حقوق المثليات والمثليين ومزدوجي الميل الجنسي ومغايري الهوية الجنسانية وحاملي صفات الجنسين، وتتابع القضايا المعروضة على المحاكم بهدف حماية تلك الحقوق، والتي تشير إلى إنشاء شبكات لدعم المثليين جنسياً، وإلى ما يجري من مناقشات علنية في المدن الكبرى بشأن القضايا المتعلقة بحقوق المثليات والمثليين ومزدوجي الميل الجنسي ومغايري الهوية الجنسانية وحاملي صفات الجنسين. وتعتبر الدولة الطرف أن المجلس قد أخذ في الاعتبار الوضع العام للمثليين جنسياً في أوغندا والظروف الخاصة لصاحبة الشكوى.</w:t>
      </w:r>
    </w:p>
    <w:p w14:paraId="71A0E504" w14:textId="77777777" w:rsidR="00232E96" w:rsidRPr="007F3524" w:rsidRDefault="00232E96" w:rsidP="002608C2">
      <w:pPr>
        <w:pStyle w:val="H23GA"/>
      </w:pPr>
      <w:r w:rsidRPr="007F3524">
        <w:rPr>
          <w:rtl/>
        </w:rPr>
        <w:tab/>
      </w:r>
      <w:r w:rsidRPr="007F3524">
        <w:rPr>
          <w:rtl/>
        </w:rPr>
        <w:tab/>
        <w:t>تعليقات صاحبة الشكوى على ملاحظات الدولة الطرف بشأن مقبولية البلاغ وأسسه الموضوعية</w:t>
      </w:r>
    </w:p>
    <w:p w14:paraId="447EB60D" w14:textId="2ECF01A8" w:rsidR="00232E96" w:rsidRPr="001A176B" w:rsidRDefault="00232E96" w:rsidP="00A955C4">
      <w:pPr>
        <w:pStyle w:val="SingleTxtGA"/>
        <w:rPr>
          <w:spacing w:val="-2"/>
          <w:lang w:val="en-US"/>
        </w:rPr>
      </w:pPr>
      <w:r w:rsidRPr="007F3524">
        <w:rPr>
          <w:spacing w:val="-4"/>
          <w:rtl/>
          <w:lang w:val="en-US"/>
        </w:rPr>
        <w:t>5</w:t>
      </w:r>
      <w:r w:rsidRPr="001A176B">
        <w:rPr>
          <w:spacing w:val="-4"/>
          <w:rtl/>
          <w:lang w:val="en-US"/>
        </w:rPr>
        <w:t>-</w:t>
      </w:r>
      <w:r w:rsidRPr="007F3524">
        <w:rPr>
          <w:spacing w:val="-4"/>
          <w:rtl/>
          <w:lang w:val="en-US"/>
        </w:rPr>
        <w:t>1</w:t>
      </w:r>
      <w:r w:rsidRPr="001A176B">
        <w:rPr>
          <w:spacing w:val="-4"/>
          <w:rtl/>
          <w:lang w:val="en-US"/>
        </w:rPr>
        <w:tab/>
        <w:t xml:space="preserve">تشير صاحبة الشكوى في تعليقاتها المؤرخة </w:t>
      </w:r>
      <w:r w:rsidRPr="007F3524">
        <w:rPr>
          <w:spacing w:val="-4"/>
          <w:rtl/>
          <w:lang w:val="en-US"/>
        </w:rPr>
        <w:t>28</w:t>
      </w:r>
      <w:r w:rsidRPr="001A176B">
        <w:rPr>
          <w:spacing w:val="-4"/>
          <w:rtl/>
          <w:lang w:val="en-US"/>
        </w:rPr>
        <w:t xml:space="preserve"> شباط/فبراير </w:t>
      </w:r>
      <w:r w:rsidRPr="007F3524">
        <w:rPr>
          <w:spacing w:val="-4"/>
          <w:rtl/>
          <w:lang w:val="en-US"/>
        </w:rPr>
        <w:t>2019</w:t>
      </w:r>
      <w:r w:rsidRPr="001A176B">
        <w:rPr>
          <w:spacing w:val="-4"/>
          <w:rtl/>
          <w:lang w:val="en-US"/>
        </w:rPr>
        <w:t xml:space="preserve"> إلى تقارير عدة من منظمات دولية غير حكومية عن الوضع العام </w:t>
      </w:r>
      <w:proofErr w:type="spellStart"/>
      <w:r w:rsidRPr="001A176B">
        <w:rPr>
          <w:spacing w:val="-4"/>
          <w:rtl/>
          <w:lang w:val="en-US"/>
        </w:rPr>
        <w:t>للمثليات</w:t>
      </w:r>
      <w:proofErr w:type="spellEnd"/>
      <w:r w:rsidRPr="001A176B">
        <w:rPr>
          <w:spacing w:val="-4"/>
          <w:rtl/>
          <w:lang w:val="en-US"/>
        </w:rPr>
        <w:t xml:space="preserve"> والمثليين ومزدوجي الميل الجنسي ومغايري الهوية الجنسانية وحاملي صفات الجنسين في أوغندا. وتقتبس من </w:t>
      </w:r>
      <w:r w:rsidRPr="007F3524">
        <w:rPr>
          <w:i/>
          <w:iCs/>
          <w:spacing w:val="-4"/>
          <w:rtl/>
          <w:lang w:val="en-US"/>
        </w:rPr>
        <w:t>التقرير العالمي</w:t>
      </w:r>
      <w:r w:rsidRPr="001A176B">
        <w:rPr>
          <w:spacing w:val="-4"/>
          <w:rtl/>
          <w:lang w:val="en-US"/>
        </w:rPr>
        <w:t xml:space="preserve"> لمنظمة </w:t>
      </w:r>
      <w:proofErr w:type="spellStart"/>
      <w:r w:rsidRPr="001A176B">
        <w:rPr>
          <w:spacing w:val="-4"/>
          <w:rtl/>
          <w:lang w:val="en-US"/>
        </w:rPr>
        <w:t>هيومن</w:t>
      </w:r>
      <w:proofErr w:type="spellEnd"/>
      <w:r w:rsidRPr="001A176B">
        <w:rPr>
          <w:spacing w:val="-4"/>
          <w:rtl/>
          <w:lang w:val="en-US"/>
        </w:rPr>
        <w:t xml:space="preserve"> </w:t>
      </w:r>
      <w:proofErr w:type="spellStart"/>
      <w:r w:rsidRPr="001A176B">
        <w:rPr>
          <w:spacing w:val="-4"/>
          <w:rtl/>
          <w:lang w:val="en-US"/>
        </w:rPr>
        <w:t>رايتس</w:t>
      </w:r>
      <w:proofErr w:type="spellEnd"/>
      <w:r w:rsidRPr="001A176B">
        <w:rPr>
          <w:spacing w:val="-4"/>
          <w:rtl/>
          <w:lang w:val="en-US"/>
        </w:rPr>
        <w:t xml:space="preserve"> </w:t>
      </w:r>
      <w:proofErr w:type="spellStart"/>
      <w:r w:rsidRPr="001A176B">
        <w:rPr>
          <w:spacing w:val="-4"/>
          <w:rtl/>
          <w:lang w:val="en-US"/>
        </w:rPr>
        <w:t>ووتش</w:t>
      </w:r>
      <w:proofErr w:type="spellEnd"/>
      <w:r w:rsidRPr="001A176B">
        <w:rPr>
          <w:spacing w:val="-4"/>
          <w:rtl/>
          <w:lang w:val="en-US"/>
        </w:rPr>
        <w:t xml:space="preserve"> لعام </w:t>
      </w:r>
      <w:r w:rsidRPr="007F3524">
        <w:rPr>
          <w:spacing w:val="-4"/>
          <w:rtl/>
          <w:lang w:val="en-US"/>
        </w:rPr>
        <w:t>2018</w:t>
      </w:r>
      <w:r w:rsidRPr="001A176B">
        <w:rPr>
          <w:spacing w:val="-4"/>
          <w:rtl/>
          <w:lang w:val="en-US"/>
        </w:rPr>
        <w:t xml:space="preserve">، </w:t>
      </w:r>
      <w:r w:rsidRPr="001A176B">
        <w:rPr>
          <w:spacing w:val="-2"/>
          <w:rtl/>
          <w:lang w:val="en-US"/>
        </w:rPr>
        <w:t xml:space="preserve">الذي جاء فيه أن "سلوك المثليين لايزال مُجرَّمًا بموجب قانون الحقبة الاستعمارية في أوغندا" </w:t>
      </w:r>
      <w:proofErr w:type="spellStart"/>
      <w:r w:rsidRPr="001A176B">
        <w:rPr>
          <w:spacing w:val="-2"/>
          <w:rtl/>
          <w:lang w:val="en-US"/>
        </w:rPr>
        <w:t>و"أن</w:t>
      </w:r>
      <w:proofErr w:type="spellEnd"/>
      <w:r w:rsidRPr="001A176B">
        <w:rPr>
          <w:spacing w:val="-2"/>
          <w:rtl/>
          <w:lang w:val="en-US"/>
        </w:rPr>
        <w:t xml:space="preserve"> هناك مخاوف من أن قانون المنظمات غير الحكومية لعام </w:t>
      </w:r>
      <w:r w:rsidRPr="007F3524">
        <w:rPr>
          <w:spacing w:val="-2"/>
          <w:rtl/>
          <w:lang w:val="en-US"/>
        </w:rPr>
        <w:t>2016</w:t>
      </w:r>
      <w:r w:rsidRPr="001A176B">
        <w:rPr>
          <w:spacing w:val="-2"/>
          <w:rtl/>
          <w:lang w:val="en-US"/>
        </w:rPr>
        <w:t xml:space="preserve"> يجرم فعلياً الأنشطة المشروعة التي تهدف إلى الدفاع عن حقوق المثليات والمثليين ومزدوجي الميل الجنسي ومغايري الهوية الجنسانية". وعلاوةً على ذلك، أشارت منظمة </w:t>
      </w:r>
      <w:proofErr w:type="spellStart"/>
      <w:r w:rsidRPr="001A176B">
        <w:rPr>
          <w:spacing w:val="-2"/>
          <w:rtl/>
          <w:lang w:val="en-US"/>
        </w:rPr>
        <w:t>هيومن</w:t>
      </w:r>
      <w:proofErr w:type="spellEnd"/>
      <w:r w:rsidRPr="001A176B">
        <w:rPr>
          <w:spacing w:val="-2"/>
          <w:rtl/>
          <w:lang w:val="en-US"/>
        </w:rPr>
        <w:t xml:space="preserve"> </w:t>
      </w:r>
      <w:proofErr w:type="spellStart"/>
      <w:r w:rsidRPr="001A176B">
        <w:rPr>
          <w:spacing w:val="-2"/>
          <w:rtl/>
          <w:lang w:val="en-US"/>
        </w:rPr>
        <w:t>رايتس</w:t>
      </w:r>
      <w:proofErr w:type="spellEnd"/>
      <w:r w:rsidRPr="001A176B">
        <w:rPr>
          <w:spacing w:val="-2"/>
          <w:rtl/>
          <w:lang w:val="en-US"/>
        </w:rPr>
        <w:t xml:space="preserve"> </w:t>
      </w:r>
      <w:proofErr w:type="spellStart"/>
      <w:r w:rsidRPr="001A176B">
        <w:rPr>
          <w:spacing w:val="-2"/>
          <w:rtl/>
          <w:lang w:val="en-US"/>
        </w:rPr>
        <w:t>ووتش</w:t>
      </w:r>
      <w:proofErr w:type="spellEnd"/>
      <w:r w:rsidRPr="001A176B">
        <w:rPr>
          <w:spacing w:val="-2"/>
          <w:rtl/>
          <w:lang w:val="en-US"/>
        </w:rPr>
        <w:t xml:space="preserve"> في التقرير إلى إلغاء احتفالات فخر المثليين في كمبالا </w:t>
      </w:r>
      <w:proofErr w:type="spellStart"/>
      <w:r w:rsidRPr="001A176B">
        <w:rPr>
          <w:spacing w:val="-2"/>
          <w:rtl/>
          <w:lang w:val="en-US"/>
        </w:rPr>
        <w:t>وجينجا</w:t>
      </w:r>
      <w:proofErr w:type="spellEnd"/>
      <w:r w:rsidRPr="001A176B">
        <w:rPr>
          <w:spacing w:val="-2"/>
          <w:rtl/>
          <w:lang w:val="en-US"/>
        </w:rPr>
        <w:t xml:space="preserve"> بعد أن هدد وزير الأخلاق والنزاهة المنظمين بالاعتقال والعنف، وأفادت بأن الشرطة لم تضع حداً لممارسة الفحوص الشرجية القسرية للرجال والنساء المتحولين جنسياً المتهمين بعلاقات جنسية مثلية </w:t>
      </w:r>
      <w:proofErr w:type="gramStart"/>
      <w:r w:rsidRPr="001A176B">
        <w:rPr>
          <w:spacing w:val="-2"/>
          <w:rtl/>
          <w:lang w:val="en-US"/>
        </w:rPr>
        <w:t>بالتراضي</w:t>
      </w:r>
      <w:r w:rsidRPr="001A176B">
        <w:rPr>
          <w:spacing w:val="-2"/>
          <w:vertAlign w:val="superscript"/>
          <w:rtl/>
          <w:lang w:val="en-US"/>
        </w:rPr>
        <w:t>(</w:t>
      </w:r>
      <w:proofErr w:type="gramEnd"/>
      <w:r w:rsidRPr="007F3524">
        <w:rPr>
          <w:rStyle w:val="FootnoteReference"/>
          <w:spacing w:val="-2"/>
          <w:szCs w:val="22"/>
          <w:lang w:val="en-US"/>
        </w:rPr>
        <w:footnoteReference w:id="11"/>
      </w:r>
      <w:r w:rsidRPr="001A176B">
        <w:rPr>
          <w:spacing w:val="-2"/>
          <w:vertAlign w:val="superscript"/>
          <w:rtl/>
          <w:lang w:val="en-US"/>
        </w:rPr>
        <w:t>)</w:t>
      </w:r>
      <w:r w:rsidRPr="001A176B">
        <w:rPr>
          <w:spacing w:val="-2"/>
          <w:rtl/>
          <w:lang w:val="en-US"/>
        </w:rPr>
        <w:t xml:space="preserve">. </w:t>
      </w:r>
    </w:p>
    <w:p w14:paraId="4C1AE444" w14:textId="4737E745" w:rsidR="00232E96" w:rsidRPr="002608C2" w:rsidRDefault="00232E96" w:rsidP="00A955C4">
      <w:pPr>
        <w:pStyle w:val="SingleTxtGA"/>
        <w:rPr>
          <w:spacing w:val="-2"/>
          <w:lang w:val="en-US"/>
        </w:rPr>
      </w:pPr>
      <w:r w:rsidRPr="007F3524">
        <w:rPr>
          <w:spacing w:val="-4"/>
          <w:rtl/>
          <w:lang w:val="en-US"/>
        </w:rPr>
        <w:t>5</w:t>
      </w:r>
      <w:r w:rsidRPr="002608C2">
        <w:rPr>
          <w:spacing w:val="-4"/>
          <w:rtl/>
          <w:lang w:val="en-US"/>
        </w:rPr>
        <w:t>-</w:t>
      </w:r>
      <w:r w:rsidRPr="007F3524">
        <w:rPr>
          <w:spacing w:val="-4"/>
          <w:rtl/>
          <w:lang w:val="en-US"/>
        </w:rPr>
        <w:t>2</w:t>
      </w:r>
      <w:r w:rsidRPr="002608C2">
        <w:rPr>
          <w:spacing w:val="-4"/>
          <w:rtl/>
          <w:lang w:val="en-US"/>
        </w:rPr>
        <w:tab/>
        <w:t xml:space="preserve">وتستشهد صاحبة الشكوى أيضاً بمقتطف من الدراسة عن </w:t>
      </w:r>
      <w:r w:rsidRPr="007F3524">
        <w:rPr>
          <w:i/>
          <w:iCs/>
          <w:spacing w:val="-4"/>
          <w:rtl/>
          <w:lang w:val="en-US"/>
        </w:rPr>
        <w:t>الحرية على شبكة الإنترنت لعام 2018</w:t>
      </w:r>
      <w:r w:rsidRPr="002608C2">
        <w:rPr>
          <w:spacing w:val="-4"/>
          <w:rtl/>
          <w:lang w:val="en-US"/>
        </w:rPr>
        <w:t xml:space="preserve">، </w:t>
      </w:r>
      <w:r w:rsidRPr="00A955C4">
        <w:rPr>
          <w:rtl/>
          <w:lang w:val="en-US"/>
        </w:rPr>
        <w:t xml:space="preserve">التي أشارت فيها منظمة بيت الحرية </w:t>
      </w:r>
      <w:r w:rsidRPr="001A176B">
        <w:rPr>
          <w:rtl/>
          <w:lang w:val="en-US"/>
        </w:rPr>
        <w:t>(</w:t>
      </w:r>
      <w:r w:rsidRPr="001A176B">
        <w:rPr>
          <w:lang w:val="en-US"/>
        </w:rPr>
        <w:t>Freedom House</w:t>
      </w:r>
      <w:r w:rsidRPr="001A176B">
        <w:rPr>
          <w:rtl/>
          <w:lang w:val="en-US"/>
        </w:rPr>
        <w:t>)</w:t>
      </w:r>
      <w:r w:rsidRPr="00A955C4">
        <w:rPr>
          <w:rtl/>
          <w:lang w:val="en-US"/>
        </w:rPr>
        <w:t xml:space="preserve"> إلى تقارير تتحدث عن "هجمات قرصنة ضد مثليين بغرض الابتزاز"، وعلى وجه التحديد "قرصنة البريد الإلكتروني لأخصائي اجتماعي في مبادرة السكان الأكثر عرضة للخطر </w:t>
      </w:r>
      <w:r w:rsidRPr="00A955C4">
        <w:rPr>
          <w:lang w:val="en-US"/>
        </w:rPr>
        <w:t>Most at Risk Populations Initiative</w:t>
      </w:r>
      <w:r w:rsidRPr="00A955C4">
        <w:rPr>
          <w:rtl/>
          <w:lang w:val="en-US"/>
        </w:rPr>
        <w:t xml:space="preserve"> وحساباته على فيسبوك"، </w:t>
      </w:r>
      <w:r w:rsidRPr="00A955C4">
        <w:rPr>
          <w:rtl/>
          <w:lang w:val="en-US"/>
        </w:rPr>
        <w:lastRenderedPageBreak/>
        <w:t>وهي خطوة اعتبر الناشطون أن "الحكومة ربما اتخذتها نظراً للكمية الهائلة من المعلومات التي يمتلكها هذا الأخصائي الاجتماعي عن مجتمع المثليات والمثليين ومزدوجي الميل الجنسي ومغايري الهوية الجنسانية بحكم عمله</w:t>
      </w:r>
      <w:r w:rsidR="002608C2">
        <w:rPr>
          <w:rtl/>
          <w:lang w:val="en-US"/>
        </w:rPr>
        <w:t xml:space="preserve"> </w:t>
      </w:r>
      <w:r w:rsidRPr="00A955C4">
        <w:rPr>
          <w:rtl/>
          <w:lang w:val="en-US"/>
        </w:rPr>
        <w:t>واتصالاته الخاصة"</w:t>
      </w:r>
      <w:r w:rsidRPr="00232E96">
        <w:rPr>
          <w:vertAlign w:val="superscript"/>
          <w:rtl/>
          <w:lang w:val="en-US"/>
        </w:rPr>
        <w:t>(</w:t>
      </w:r>
      <w:r w:rsidRPr="007F3524">
        <w:rPr>
          <w:rStyle w:val="FootnoteReference"/>
          <w:szCs w:val="22"/>
          <w:lang w:val="en-US"/>
        </w:rPr>
        <w:footnoteReference w:id="12"/>
      </w:r>
      <w:r w:rsidRPr="00232E96">
        <w:rPr>
          <w:vertAlign w:val="superscript"/>
          <w:rtl/>
          <w:lang w:val="en-US"/>
        </w:rPr>
        <w:t>)</w:t>
      </w:r>
      <w:r w:rsidRPr="00A955C4">
        <w:rPr>
          <w:rtl/>
          <w:lang w:val="en-US"/>
        </w:rPr>
        <w:t xml:space="preserve">. وتحتج صاحبة الشكوى بالدراسة عن </w:t>
      </w:r>
      <w:r w:rsidRPr="007F3524">
        <w:rPr>
          <w:i/>
          <w:iCs/>
          <w:rtl/>
          <w:lang w:val="en-US"/>
        </w:rPr>
        <w:t>الحرية في العالم لعام 2018</w:t>
      </w:r>
      <w:r w:rsidRPr="00A955C4">
        <w:rPr>
          <w:rtl/>
          <w:lang w:val="en-US"/>
        </w:rPr>
        <w:t xml:space="preserve">، التي تقول فيها منظمة بيت الحرية إن مجتمع المثليات والمثليين ومزدوجي الميل الجنسي ومغايري الهوية الجنسانية "لا يزال يواجه عداء علنياً من الحكومة وجزء كبير من المجتمع"، </w:t>
      </w:r>
      <w:proofErr w:type="spellStart"/>
      <w:r w:rsidRPr="00A955C4">
        <w:rPr>
          <w:rtl/>
          <w:lang w:val="en-US"/>
        </w:rPr>
        <w:t>و"لا</w:t>
      </w:r>
      <w:proofErr w:type="spellEnd"/>
      <w:r w:rsidRPr="00A955C4">
        <w:rPr>
          <w:rtl/>
          <w:lang w:val="en-US"/>
        </w:rPr>
        <w:t xml:space="preserve"> تزال المثلية الجنسية مجرَّمة فعلياً بموجب حكم استعماري" </w:t>
      </w:r>
      <w:proofErr w:type="spellStart"/>
      <w:r w:rsidRPr="00A955C4">
        <w:rPr>
          <w:rtl/>
          <w:lang w:val="en-US"/>
        </w:rPr>
        <w:t>و"قد</w:t>
      </w:r>
      <w:proofErr w:type="spellEnd"/>
      <w:r w:rsidRPr="00A955C4">
        <w:rPr>
          <w:rtl/>
          <w:lang w:val="en-US"/>
        </w:rPr>
        <w:t xml:space="preserve"> يجبر الرجال والنساء المتحولون جنسياً المتهمون بعلاقة جنسية مثلية بالتراضي على الخضوع لفحص شرجي"</w:t>
      </w:r>
      <w:r w:rsidRPr="00232E96">
        <w:rPr>
          <w:vertAlign w:val="superscript"/>
          <w:rtl/>
          <w:lang w:val="en-US"/>
        </w:rPr>
        <w:t>(</w:t>
      </w:r>
      <w:r w:rsidRPr="007F3524">
        <w:rPr>
          <w:rStyle w:val="FootnoteReference"/>
          <w:szCs w:val="22"/>
          <w:lang w:val="en-US"/>
        </w:rPr>
        <w:footnoteReference w:id="13"/>
      </w:r>
      <w:r w:rsidRPr="00232E96">
        <w:rPr>
          <w:vertAlign w:val="superscript"/>
          <w:rtl/>
          <w:lang w:val="en-US"/>
        </w:rPr>
        <w:t>)</w:t>
      </w:r>
      <w:r w:rsidRPr="00A955C4">
        <w:rPr>
          <w:rtl/>
          <w:lang w:val="en-US"/>
        </w:rPr>
        <w:t xml:space="preserve">. وأخيراً، تشير صاحبة الشكوى إلى مقال بعنوان "أوغندا: استهداف جماعة معنية بحقوق الإنسان في عملية اقتحام عنيف"، نُشر في </w:t>
      </w:r>
      <w:r w:rsidRPr="007F3524">
        <w:rPr>
          <w:rtl/>
          <w:lang w:val="en-US"/>
        </w:rPr>
        <w:t>9</w:t>
      </w:r>
      <w:r w:rsidRPr="00A955C4">
        <w:rPr>
          <w:rtl/>
          <w:lang w:val="en-US"/>
        </w:rPr>
        <w:t xml:space="preserve"> شباط/فبراير </w:t>
      </w:r>
      <w:r w:rsidRPr="007F3524">
        <w:rPr>
          <w:rtl/>
          <w:lang w:val="en-US"/>
        </w:rPr>
        <w:t>2018</w:t>
      </w:r>
      <w:r w:rsidRPr="00A955C4">
        <w:rPr>
          <w:rtl/>
          <w:lang w:val="en-US"/>
        </w:rPr>
        <w:t xml:space="preserve">، وتصف فيه منظمة </w:t>
      </w:r>
      <w:proofErr w:type="spellStart"/>
      <w:r w:rsidRPr="00A955C4">
        <w:rPr>
          <w:rtl/>
          <w:lang w:val="en-US"/>
        </w:rPr>
        <w:t>هيومن</w:t>
      </w:r>
      <w:proofErr w:type="spellEnd"/>
      <w:r w:rsidRPr="00A955C4">
        <w:rPr>
          <w:rtl/>
          <w:lang w:val="en-US"/>
        </w:rPr>
        <w:t xml:space="preserve"> </w:t>
      </w:r>
      <w:proofErr w:type="spellStart"/>
      <w:r w:rsidRPr="00A955C4">
        <w:rPr>
          <w:rtl/>
          <w:lang w:val="en-US"/>
        </w:rPr>
        <w:t>رايتس</w:t>
      </w:r>
      <w:proofErr w:type="spellEnd"/>
      <w:r w:rsidRPr="00A955C4">
        <w:rPr>
          <w:rtl/>
          <w:lang w:val="en-US"/>
        </w:rPr>
        <w:t xml:space="preserve"> </w:t>
      </w:r>
      <w:proofErr w:type="spellStart"/>
      <w:r w:rsidRPr="00A955C4">
        <w:rPr>
          <w:rtl/>
          <w:lang w:val="en-US"/>
        </w:rPr>
        <w:t>ووتش</w:t>
      </w:r>
      <w:proofErr w:type="spellEnd"/>
      <w:r w:rsidRPr="00A955C4">
        <w:rPr>
          <w:rtl/>
          <w:lang w:val="en-US"/>
        </w:rPr>
        <w:t xml:space="preserve"> كيف تعرضت المنظمات غير الحكومية المعنية بحقوق الإنسان، بما في ذلك المنظمات التي تدافع عن حقوق المثليات والمثليين ومزدوجي الميل الجنسي ومغايري الهوية </w:t>
      </w:r>
      <w:r w:rsidRPr="002608C2">
        <w:rPr>
          <w:spacing w:val="-2"/>
          <w:rtl/>
          <w:lang w:val="en-US"/>
        </w:rPr>
        <w:t xml:space="preserve">الجنسانية وحاملي صفات الجنسين، لسلسلة من عمليات الاقتحام والسطو والاعتداء دون أن تكشف الشرطة عن المشتبه بهم أو </w:t>
      </w:r>
      <w:proofErr w:type="gramStart"/>
      <w:r w:rsidRPr="002608C2">
        <w:rPr>
          <w:spacing w:val="-2"/>
          <w:rtl/>
          <w:lang w:val="en-US"/>
        </w:rPr>
        <w:t>تعتقلهم</w:t>
      </w:r>
      <w:r w:rsidRPr="002608C2">
        <w:rPr>
          <w:spacing w:val="-2"/>
          <w:vertAlign w:val="superscript"/>
          <w:rtl/>
          <w:lang w:val="en-US"/>
        </w:rPr>
        <w:t>(</w:t>
      </w:r>
      <w:proofErr w:type="gramEnd"/>
      <w:r w:rsidRPr="007F3524">
        <w:rPr>
          <w:rStyle w:val="FootnoteReference"/>
          <w:spacing w:val="-2"/>
          <w:szCs w:val="22"/>
          <w:lang w:val="en-US"/>
        </w:rPr>
        <w:footnoteReference w:id="14"/>
      </w:r>
      <w:r w:rsidRPr="002608C2">
        <w:rPr>
          <w:spacing w:val="-2"/>
          <w:vertAlign w:val="superscript"/>
          <w:rtl/>
          <w:lang w:val="en-US"/>
        </w:rPr>
        <w:t>)</w:t>
      </w:r>
      <w:r w:rsidRPr="002608C2">
        <w:rPr>
          <w:spacing w:val="-2"/>
          <w:rtl/>
          <w:lang w:val="en-US"/>
        </w:rPr>
        <w:t>. وتلاحظ صاحبة الشكوى أن هذه المعلومات الأساسية الأخيرة تؤكد أن المثليات والمثليين ومزدوجي الميل الجنسي ومغايري الهوية الجنسانية وحاملي صفات الجنسين في أوغندا يواجهون وضعاً صعباً وأن المنظمات غير الحكومية التي تعمل على حماية حقوقهم تتعرض للمضايقة.</w:t>
      </w:r>
    </w:p>
    <w:p w14:paraId="3EB3F2D9" w14:textId="77777777" w:rsidR="00232E96" w:rsidRPr="00A955C4" w:rsidRDefault="00232E96" w:rsidP="00A955C4">
      <w:pPr>
        <w:pStyle w:val="SingleTxtGA"/>
        <w:rPr>
          <w:lang w:val="en-US"/>
        </w:rPr>
      </w:pPr>
      <w:r w:rsidRPr="007F3524">
        <w:rPr>
          <w:rtl/>
          <w:lang w:val="en-US"/>
        </w:rPr>
        <w:t>5</w:t>
      </w:r>
      <w:r w:rsidRPr="00A955C4">
        <w:rPr>
          <w:rtl/>
          <w:lang w:val="en-US"/>
        </w:rPr>
        <w:t>-</w:t>
      </w:r>
      <w:r w:rsidRPr="007F3524">
        <w:rPr>
          <w:rtl/>
          <w:lang w:val="en-US"/>
        </w:rPr>
        <w:t>3</w:t>
      </w:r>
      <w:r w:rsidRPr="00A955C4">
        <w:rPr>
          <w:rtl/>
          <w:lang w:val="en-US"/>
        </w:rPr>
        <w:tab/>
        <w:t xml:space="preserve">وتؤكد صاحبة الشكوى أن القرار الأخير لمجلس طعون اللاجئين استند إلى معلومات أساسية ولم يراعِ المخاطر التي يمكن أن تواجهها بعد نشر صورتها واسمها على الإنترنت في أحد المقالات. </w:t>
      </w:r>
    </w:p>
    <w:p w14:paraId="18784920" w14:textId="77777777" w:rsidR="00232E96" w:rsidRPr="00A955C4" w:rsidRDefault="00232E96" w:rsidP="00A955C4">
      <w:pPr>
        <w:pStyle w:val="SingleTxtGA"/>
        <w:rPr>
          <w:lang w:val="en-US"/>
        </w:rPr>
      </w:pPr>
      <w:r w:rsidRPr="007F3524">
        <w:rPr>
          <w:rtl/>
          <w:lang w:val="en-US"/>
        </w:rPr>
        <w:t>5</w:t>
      </w:r>
      <w:r w:rsidRPr="00A955C4">
        <w:rPr>
          <w:rtl/>
          <w:lang w:val="en-US"/>
        </w:rPr>
        <w:t>-</w:t>
      </w:r>
      <w:r w:rsidRPr="007F3524">
        <w:rPr>
          <w:rtl/>
          <w:lang w:val="en-US"/>
        </w:rPr>
        <w:t>4</w:t>
      </w:r>
      <w:r w:rsidRPr="00A955C4">
        <w:rPr>
          <w:rtl/>
          <w:lang w:val="en-US"/>
        </w:rPr>
        <w:tab/>
        <w:t xml:space="preserve">وتعترض صاحبة الشكوى على تأكيد الدولة الطرف بشأن التناقضات بين رواية الوقائع المقدمة إلى اللجنة والمعلومات التي قدمتها أثناء إجراءات اللجوء. أولاً، تشير إلى أن ما أكدته فيما يتعلق بخضوعها للاستجواب باستمرار من قبل رجال وبالنعوت المهينة التي أطلقوها عليها يبدو متسقاً جداً مع تصريحها بأن رجالاً تقربوا منها ومن ب. كانوا يريدون مواعدتهما ثم سألوهما ما إذا كانتا </w:t>
      </w:r>
      <w:proofErr w:type="spellStart"/>
      <w:r w:rsidRPr="00A955C4">
        <w:rPr>
          <w:rtl/>
          <w:lang w:val="en-US"/>
        </w:rPr>
        <w:t>مثلييتين</w:t>
      </w:r>
      <w:proofErr w:type="spellEnd"/>
      <w:r w:rsidRPr="00A955C4">
        <w:rPr>
          <w:rtl/>
          <w:lang w:val="en-US"/>
        </w:rPr>
        <w:t xml:space="preserve"> عندما رفضتا طلبهم. ثانياً، تقول إنه من الممكن أن يكون السبب الكامن وراء ذهابها إلى الدانمرك مع أ. هو فرصة الفرار من أوغندا وتجنب خطر التعرض للاغتصاب والسجن جراء ميولها الجنسية. وفي هذا الصدد، تذكر بتقرير تشخيصها الطبي الذي يفيد بأن صاحبة الشكوى لا تتخذ أي مبادرات وتترك الآخرين يتخذون قرارات هامة بشأن حياتها. وتذكّر أيضاً بأنها اعتُبرت ضحية للاتجار بالبشر. وتخلص إلى أنه نظراً لضعفها الشديد وحالتها النفسية، لا يمكن أن يُتوقع منها دائماً أن تشرح الأسباب الكامنة وراء الوقائع التي تنقلها روايتها الخاصة، ومن ثم لا يمكن اعتبارها "ترسم صورة مختلفة عن الحقائق الفعلية" عندما تعبر عن أسباب أعمق لسلوكها.</w:t>
      </w:r>
    </w:p>
    <w:p w14:paraId="03E71345" w14:textId="77777777" w:rsidR="00232E96" w:rsidRPr="007F3524" w:rsidRDefault="00232E96" w:rsidP="002608C2">
      <w:pPr>
        <w:pStyle w:val="H1GA"/>
      </w:pPr>
      <w:r w:rsidRPr="007F3524">
        <w:rPr>
          <w:rtl/>
        </w:rPr>
        <w:tab/>
      </w:r>
      <w:r w:rsidRPr="007F3524">
        <w:rPr>
          <w:rtl/>
        </w:rPr>
        <w:tab/>
        <w:t>ملاحظات إضافية من الدولة الطرف</w:t>
      </w:r>
    </w:p>
    <w:p w14:paraId="52DAE82D" w14:textId="77777777" w:rsidR="00232E96" w:rsidRPr="00A955C4" w:rsidRDefault="00232E96" w:rsidP="00A955C4">
      <w:pPr>
        <w:pStyle w:val="SingleTxtGA"/>
        <w:rPr>
          <w:lang w:val="en-US"/>
        </w:rPr>
      </w:pPr>
      <w:r w:rsidRPr="007F3524">
        <w:rPr>
          <w:rtl/>
          <w:lang w:val="en-US"/>
        </w:rPr>
        <w:t>6</w:t>
      </w:r>
      <w:r w:rsidRPr="00A955C4">
        <w:rPr>
          <w:rtl/>
          <w:lang w:val="en-US"/>
        </w:rPr>
        <w:t>-</w:t>
      </w:r>
      <w:r w:rsidRPr="007F3524">
        <w:rPr>
          <w:rtl/>
          <w:lang w:val="en-US"/>
        </w:rPr>
        <w:t>1</w:t>
      </w:r>
      <w:r w:rsidRPr="00A955C4">
        <w:rPr>
          <w:rtl/>
          <w:lang w:val="en-US"/>
        </w:rPr>
        <w:tab/>
        <w:t xml:space="preserve">في </w:t>
      </w:r>
      <w:r w:rsidRPr="007F3524">
        <w:rPr>
          <w:rtl/>
          <w:lang w:val="en-US"/>
        </w:rPr>
        <w:t>20</w:t>
      </w:r>
      <w:r w:rsidRPr="00A955C4">
        <w:rPr>
          <w:rtl/>
          <w:lang w:val="en-US"/>
        </w:rPr>
        <w:t xml:space="preserve"> حزيران/</w:t>
      </w:r>
      <w:proofErr w:type="gramStart"/>
      <w:r w:rsidRPr="00A955C4">
        <w:rPr>
          <w:rtl/>
          <w:lang w:val="en-US"/>
        </w:rPr>
        <w:t>يونيه</w:t>
      </w:r>
      <w:proofErr w:type="gramEnd"/>
      <w:r w:rsidRPr="00A955C4">
        <w:rPr>
          <w:rtl/>
          <w:lang w:val="en-US"/>
        </w:rPr>
        <w:t xml:space="preserve"> </w:t>
      </w:r>
      <w:r w:rsidRPr="007F3524">
        <w:rPr>
          <w:rtl/>
          <w:lang w:val="en-US"/>
        </w:rPr>
        <w:t>2019</w:t>
      </w:r>
      <w:r w:rsidRPr="00A955C4">
        <w:rPr>
          <w:rtl/>
          <w:lang w:val="en-US"/>
        </w:rPr>
        <w:t xml:space="preserve">، قدمت الدولة الطرف ملاحظات إضافية تفيد بأن ملاحظات صاحبة الشكوى المؤرخة </w:t>
      </w:r>
      <w:r w:rsidRPr="007F3524">
        <w:rPr>
          <w:rtl/>
          <w:lang w:val="en-US"/>
        </w:rPr>
        <w:t>28</w:t>
      </w:r>
      <w:r w:rsidRPr="00A955C4">
        <w:rPr>
          <w:rtl/>
          <w:lang w:val="en-US"/>
        </w:rPr>
        <w:t xml:space="preserve"> شباط/فبراير </w:t>
      </w:r>
      <w:r w:rsidRPr="007F3524">
        <w:rPr>
          <w:rtl/>
          <w:lang w:val="en-US"/>
        </w:rPr>
        <w:t>2019</w:t>
      </w:r>
      <w:r w:rsidRPr="00A955C4">
        <w:rPr>
          <w:rtl/>
          <w:lang w:val="en-US"/>
        </w:rPr>
        <w:t xml:space="preserve"> لم تقدم معلومات جديدة. وعليه، تكرر الدولة الطرف تأكيد ملاحظاتها المؤرخة </w:t>
      </w:r>
      <w:r w:rsidRPr="007F3524">
        <w:rPr>
          <w:rtl/>
          <w:lang w:val="en-US"/>
        </w:rPr>
        <w:t>19</w:t>
      </w:r>
      <w:r w:rsidRPr="00A955C4">
        <w:rPr>
          <w:rtl/>
          <w:lang w:val="en-US"/>
        </w:rPr>
        <w:t xml:space="preserve"> كانون الثاني/يناير </w:t>
      </w:r>
      <w:r w:rsidRPr="007F3524">
        <w:rPr>
          <w:rtl/>
          <w:lang w:val="en-US"/>
        </w:rPr>
        <w:t>2018</w:t>
      </w:r>
      <w:r w:rsidRPr="00A955C4">
        <w:rPr>
          <w:rtl/>
          <w:lang w:val="en-US"/>
        </w:rPr>
        <w:t>.</w:t>
      </w:r>
    </w:p>
    <w:p w14:paraId="3309E356" w14:textId="77777777" w:rsidR="00232E96" w:rsidRPr="002608C2" w:rsidRDefault="00232E96" w:rsidP="00A955C4">
      <w:pPr>
        <w:pStyle w:val="SingleTxtGA"/>
        <w:rPr>
          <w:spacing w:val="-4"/>
          <w:lang w:val="en-US"/>
        </w:rPr>
      </w:pPr>
      <w:r w:rsidRPr="007F3524">
        <w:rPr>
          <w:spacing w:val="-4"/>
          <w:rtl/>
          <w:lang w:val="en-US"/>
        </w:rPr>
        <w:t>6</w:t>
      </w:r>
      <w:r w:rsidRPr="002608C2">
        <w:rPr>
          <w:spacing w:val="-4"/>
          <w:rtl/>
          <w:lang w:val="en-US"/>
        </w:rPr>
        <w:t>-</w:t>
      </w:r>
      <w:r w:rsidRPr="007F3524">
        <w:rPr>
          <w:spacing w:val="-4"/>
          <w:rtl/>
          <w:lang w:val="en-US"/>
        </w:rPr>
        <w:t>2</w:t>
      </w:r>
      <w:r w:rsidRPr="002608C2">
        <w:rPr>
          <w:spacing w:val="-4"/>
          <w:rtl/>
          <w:lang w:val="en-US"/>
        </w:rPr>
        <w:tab/>
        <w:t xml:space="preserve">وتعترف الدولة الطرف بأن المثليات والمثليين ومزدوجي الميل الجنسي ومغايري الهوية الجنسانية وحاملي صفات الجنسين يواجهون وضعاً صعباً في أوغندا، بحسب المعلومات الأساسية الأخيرة التي أتيحت </w:t>
      </w:r>
      <w:r w:rsidRPr="002608C2">
        <w:rPr>
          <w:spacing w:val="-4"/>
          <w:rtl/>
          <w:lang w:val="en-US"/>
        </w:rPr>
        <w:lastRenderedPageBreak/>
        <w:t xml:space="preserve">لمجلس طعون اللاجئين. بيد أن هذا لا يعني أن صاحبة الشكوى ستخضع لسوء المعاملة في حالة ترحيلها، في انتهاك للمادة </w:t>
      </w:r>
      <w:r w:rsidRPr="007F3524">
        <w:rPr>
          <w:spacing w:val="-4"/>
          <w:rtl/>
          <w:lang w:val="en-US"/>
        </w:rPr>
        <w:t>3</w:t>
      </w:r>
      <w:r w:rsidRPr="002608C2">
        <w:rPr>
          <w:spacing w:val="-4"/>
          <w:rtl/>
          <w:lang w:val="en-US"/>
        </w:rPr>
        <w:t xml:space="preserve"> من الاتفاقية. وتلاحظ الدولة الطرف أن المسألة الحاسمة هي ما إذا كانت صاحبة الشكوى ستواجه، بالنظر إلى المواصفات الخاصة بها، خطراً حقيقياً بالتعرض لسوء المعاملة لدى عودتها. وترى الدولة الطرف أن صاحبة الشكوى لم تثبت وجود أسباب وجيهة تدعو إلى الاعتقاد أنها ستكون عرضة لخطر التعذيب أو غيره من ضروب المعاملة أو العقوبة القاسية أو اللاإنسانية أو المهينة في أوغندا.</w:t>
      </w:r>
    </w:p>
    <w:p w14:paraId="1D631DAE" w14:textId="77777777" w:rsidR="00232E96" w:rsidRPr="00A955C4" w:rsidRDefault="00232E96" w:rsidP="00A955C4">
      <w:pPr>
        <w:pStyle w:val="SingleTxtGA"/>
        <w:rPr>
          <w:lang w:val="en-US"/>
        </w:rPr>
      </w:pPr>
      <w:r w:rsidRPr="007F3524">
        <w:rPr>
          <w:rtl/>
          <w:lang w:val="en-US"/>
        </w:rPr>
        <w:t>6</w:t>
      </w:r>
      <w:r w:rsidRPr="00A955C4">
        <w:rPr>
          <w:rtl/>
          <w:lang w:val="en-US"/>
        </w:rPr>
        <w:t>-</w:t>
      </w:r>
      <w:r w:rsidRPr="007F3524">
        <w:rPr>
          <w:rtl/>
          <w:lang w:val="en-US"/>
        </w:rPr>
        <w:t>3</w:t>
      </w:r>
      <w:r w:rsidRPr="00A955C4">
        <w:rPr>
          <w:rtl/>
          <w:lang w:val="en-US"/>
        </w:rPr>
        <w:tab/>
      </w:r>
      <w:r w:rsidRPr="00350C95">
        <w:rPr>
          <w:spacing w:val="-4"/>
          <w:rtl/>
          <w:lang w:val="en-US"/>
        </w:rPr>
        <w:t>وتدفع الدولة الطرف بأن مجلس طعون اللاجئين أخذ في الاعتبار مواطن ضعف صاحبة الشكوى</w:t>
      </w:r>
      <w:r w:rsidRPr="00A955C4">
        <w:rPr>
          <w:rtl/>
          <w:lang w:val="en-US"/>
        </w:rPr>
        <w:t xml:space="preserve"> وحالتها النفسية، فقرر قبول أسباب طلبها اللجوء، رغم التناقضات والعناصر المستبعدة في أقوالها. غير أن الدولة الطرف تؤكد أن وقائع القضية تفسَّر تفسيراً مختلفاً في البلاغ المقدم باسم صاحبة الشكوى وفي أقوال صاحبة الشكوى أثناء إجراءات اللجوء.</w:t>
      </w:r>
    </w:p>
    <w:p w14:paraId="7E7661F7" w14:textId="77777777" w:rsidR="00232E96" w:rsidRPr="00A955C4" w:rsidRDefault="00232E96" w:rsidP="00A955C4">
      <w:pPr>
        <w:pStyle w:val="SingleTxtGA"/>
        <w:rPr>
          <w:lang w:val="en-US"/>
        </w:rPr>
      </w:pPr>
      <w:r w:rsidRPr="007F3524">
        <w:rPr>
          <w:rtl/>
          <w:lang w:val="en-US"/>
        </w:rPr>
        <w:t>6</w:t>
      </w:r>
      <w:r w:rsidRPr="00A955C4">
        <w:rPr>
          <w:rtl/>
          <w:lang w:val="en-US"/>
        </w:rPr>
        <w:t>-</w:t>
      </w:r>
      <w:r w:rsidRPr="007F3524">
        <w:rPr>
          <w:rtl/>
          <w:lang w:val="en-US"/>
        </w:rPr>
        <w:t>4</w:t>
      </w:r>
      <w:r w:rsidRPr="00A955C4">
        <w:rPr>
          <w:rtl/>
          <w:lang w:val="en-US"/>
        </w:rPr>
        <w:tab/>
        <w:t xml:space="preserve">وتخلص الدولة الطرف إلى أن إعادة صاحبة الشكوى إلى أوغندا لا تشكل انتهاكاً للمادة </w:t>
      </w:r>
      <w:r w:rsidRPr="007F3524">
        <w:rPr>
          <w:rtl/>
          <w:lang w:val="en-US"/>
        </w:rPr>
        <w:t>3</w:t>
      </w:r>
      <w:r w:rsidRPr="00A955C4">
        <w:rPr>
          <w:rtl/>
          <w:lang w:val="en-US"/>
        </w:rPr>
        <w:t xml:space="preserve"> من الاتفاقية.</w:t>
      </w:r>
    </w:p>
    <w:p w14:paraId="78FAFB88" w14:textId="77777777" w:rsidR="00232E96" w:rsidRPr="007F3524" w:rsidRDefault="00232E96" w:rsidP="002608C2">
      <w:pPr>
        <w:pStyle w:val="H23GA"/>
      </w:pPr>
      <w:r w:rsidRPr="007F3524">
        <w:rPr>
          <w:rtl/>
        </w:rPr>
        <w:tab/>
      </w:r>
      <w:r w:rsidRPr="007F3524">
        <w:rPr>
          <w:rtl/>
        </w:rPr>
        <w:tab/>
        <w:t>القضايا والإجراءات المعروضة على اللجنة</w:t>
      </w:r>
    </w:p>
    <w:p w14:paraId="4F907B41" w14:textId="77777777" w:rsidR="00232E96" w:rsidRPr="007F3524" w:rsidRDefault="00232E96" w:rsidP="002608C2">
      <w:pPr>
        <w:pStyle w:val="H4GA"/>
      </w:pPr>
      <w:r w:rsidRPr="007F3524">
        <w:rPr>
          <w:rtl/>
        </w:rPr>
        <w:tab/>
      </w:r>
      <w:r w:rsidRPr="007F3524">
        <w:rPr>
          <w:rtl/>
        </w:rPr>
        <w:tab/>
        <w:t>النظر في المقبولية</w:t>
      </w:r>
    </w:p>
    <w:p w14:paraId="74D54759" w14:textId="1595A05E" w:rsidR="00232E96" w:rsidRPr="00A955C4" w:rsidRDefault="00232E96" w:rsidP="00A955C4">
      <w:pPr>
        <w:pStyle w:val="SingleTxtGA"/>
        <w:rPr>
          <w:lang w:val="en-US"/>
        </w:rPr>
      </w:pPr>
      <w:r w:rsidRPr="007F3524">
        <w:rPr>
          <w:rtl/>
          <w:lang w:val="en-US"/>
        </w:rPr>
        <w:t>7</w:t>
      </w:r>
      <w:r w:rsidRPr="00A955C4">
        <w:rPr>
          <w:rtl/>
          <w:lang w:val="en-US"/>
        </w:rPr>
        <w:t>-</w:t>
      </w:r>
      <w:r w:rsidRPr="007F3524">
        <w:rPr>
          <w:rtl/>
          <w:lang w:val="en-US"/>
        </w:rPr>
        <w:t>1</w:t>
      </w:r>
      <w:r w:rsidRPr="00A955C4">
        <w:rPr>
          <w:rtl/>
          <w:lang w:val="en-US"/>
        </w:rPr>
        <w:tab/>
        <w:t xml:space="preserve">قبل النظر في أي ادعاء يرد في بلاغ ما، يجب على اللجنة أن تقرر ما إذا كان الادعاء مقبولاً أم لا بموجب المادة </w:t>
      </w:r>
      <w:r w:rsidRPr="007F3524">
        <w:rPr>
          <w:rtl/>
          <w:lang w:val="en-US"/>
        </w:rPr>
        <w:t>22</w:t>
      </w:r>
      <w:r w:rsidRPr="00A955C4">
        <w:rPr>
          <w:rtl/>
          <w:lang w:val="en-US"/>
        </w:rPr>
        <w:t xml:space="preserve"> من الاتفاقية. وقد تأكدت اللجنة، وفق ما تقتضيه المادة </w:t>
      </w:r>
      <w:r w:rsidRPr="007F3524">
        <w:rPr>
          <w:rtl/>
          <w:lang w:val="en-US"/>
        </w:rPr>
        <w:t>22</w:t>
      </w:r>
      <w:r w:rsidRPr="00A955C4">
        <w:rPr>
          <w:rtl/>
          <w:lang w:val="en-US"/>
        </w:rPr>
        <w:t>(</w:t>
      </w:r>
      <w:r w:rsidRPr="007F3524">
        <w:rPr>
          <w:rtl/>
          <w:lang w:val="en-US"/>
        </w:rPr>
        <w:t>5</w:t>
      </w:r>
      <w:r w:rsidRPr="00A955C4">
        <w:rPr>
          <w:rtl/>
          <w:lang w:val="en-US"/>
        </w:rPr>
        <w:t>)(أ) من الاتفاقية، من أن المسألة ذاتها لم تُبحث ولا يجري بحثها في إطار أي إجراء آخر من إجراءات التحقيق الدولي أو</w:t>
      </w:r>
      <w:r w:rsidR="00BF5BC6">
        <w:rPr>
          <w:rFonts w:hint="cs"/>
          <w:rtl/>
          <w:lang w:val="en-US"/>
        </w:rPr>
        <w:t> </w:t>
      </w:r>
      <w:r w:rsidRPr="00A955C4">
        <w:rPr>
          <w:rtl/>
          <w:lang w:val="en-US"/>
        </w:rPr>
        <w:t xml:space="preserve">التسوية الدولية. </w:t>
      </w:r>
    </w:p>
    <w:p w14:paraId="351F2043" w14:textId="69A2BA5E" w:rsidR="00232E96" w:rsidRPr="00A955C4" w:rsidRDefault="00232E96" w:rsidP="00A955C4">
      <w:pPr>
        <w:pStyle w:val="SingleTxtGA"/>
        <w:rPr>
          <w:lang w:val="en-US"/>
        </w:rPr>
      </w:pPr>
      <w:r w:rsidRPr="007F3524">
        <w:rPr>
          <w:rtl/>
          <w:lang w:val="en-US"/>
        </w:rPr>
        <w:t>7</w:t>
      </w:r>
      <w:r w:rsidRPr="00A955C4">
        <w:rPr>
          <w:rtl/>
          <w:lang w:val="en-US"/>
        </w:rPr>
        <w:t>-</w:t>
      </w:r>
      <w:r w:rsidRPr="007F3524">
        <w:rPr>
          <w:rtl/>
          <w:lang w:val="en-US"/>
        </w:rPr>
        <w:t>2</w:t>
      </w:r>
      <w:r w:rsidRPr="00A955C4">
        <w:rPr>
          <w:rtl/>
          <w:lang w:val="en-US"/>
        </w:rPr>
        <w:tab/>
        <w:t xml:space="preserve">وعملاً بالمادة </w:t>
      </w:r>
      <w:r w:rsidRPr="007F3524">
        <w:rPr>
          <w:rtl/>
          <w:lang w:val="en-US"/>
        </w:rPr>
        <w:t>22</w:t>
      </w:r>
      <w:r w:rsidRPr="00A955C4">
        <w:rPr>
          <w:rtl/>
          <w:lang w:val="en-US"/>
        </w:rPr>
        <w:t>(</w:t>
      </w:r>
      <w:r w:rsidRPr="007F3524">
        <w:rPr>
          <w:rtl/>
          <w:lang w:val="en-US"/>
        </w:rPr>
        <w:t>5</w:t>
      </w:r>
      <w:r w:rsidRPr="00A955C4">
        <w:rPr>
          <w:rtl/>
          <w:lang w:val="en-US"/>
        </w:rPr>
        <w:t xml:space="preserve">)(ب) من الاتفاقية، لا يجوز للجنة أن تنظر في أي بلاغ يرد من أي فرد إلا بعد التأكد من أن الفرد المعني قد استنفد جميع سبل الانتصاف المحلية المتاحة. </w:t>
      </w:r>
      <w:r w:rsidRPr="00A955C4">
        <w:rPr>
          <w:rFonts w:ascii="Simplified Arabic" w:hAnsi="Simplified Arabic" w:hint="cs"/>
          <w:rtl/>
          <w:lang w:val="en-US"/>
        </w:rPr>
        <w:t>وتلاحظ</w:t>
      </w:r>
      <w:r w:rsidRPr="00A955C4">
        <w:rPr>
          <w:rtl/>
          <w:lang w:val="en-US"/>
        </w:rPr>
        <w:t xml:space="preserve"> </w:t>
      </w:r>
      <w:r w:rsidRPr="00A955C4">
        <w:rPr>
          <w:rFonts w:ascii="Simplified Arabic" w:hAnsi="Simplified Arabic" w:hint="cs"/>
          <w:rtl/>
          <w:lang w:val="en-US"/>
        </w:rPr>
        <w:t>اللجنة</w:t>
      </w:r>
      <w:r w:rsidRPr="00A955C4">
        <w:rPr>
          <w:rtl/>
          <w:lang w:val="en-US"/>
        </w:rPr>
        <w:t xml:space="preserve"> </w:t>
      </w:r>
      <w:r w:rsidRPr="00A955C4">
        <w:rPr>
          <w:rFonts w:ascii="Simplified Arabic" w:hAnsi="Simplified Arabic" w:hint="cs"/>
          <w:rtl/>
          <w:lang w:val="en-US"/>
        </w:rPr>
        <w:t>أن</w:t>
      </w:r>
      <w:r w:rsidRPr="00A955C4">
        <w:rPr>
          <w:rtl/>
          <w:lang w:val="en-US"/>
        </w:rPr>
        <w:t xml:space="preserve"> </w:t>
      </w:r>
      <w:r w:rsidRPr="00BF5BC6">
        <w:rPr>
          <w:rFonts w:ascii="Simplified Arabic" w:hAnsi="Simplified Arabic" w:hint="cs"/>
          <w:spacing w:val="-4"/>
          <w:rtl/>
          <w:lang w:val="en-US"/>
        </w:rPr>
        <w:t>الدولة</w:t>
      </w:r>
      <w:r w:rsidRPr="00BF5BC6">
        <w:rPr>
          <w:spacing w:val="-4"/>
          <w:rtl/>
          <w:lang w:val="en-US"/>
        </w:rPr>
        <w:t xml:space="preserve"> </w:t>
      </w:r>
      <w:r w:rsidRPr="00BF5BC6">
        <w:rPr>
          <w:rFonts w:ascii="Simplified Arabic" w:hAnsi="Simplified Arabic" w:hint="cs"/>
          <w:spacing w:val="-4"/>
          <w:rtl/>
          <w:lang w:val="en-US"/>
        </w:rPr>
        <w:t>الطرف،</w:t>
      </w:r>
      <w:r w:rsidRPr="00BF5BC6">
        <w:rPr>
          <w:spacing w:val="-4"/>
          <w:rtl/>
          <w:lang w:val="en-US"/>
        </w:rPr>
        <w:t xml:space="preserve"> </w:t>
      </w:r>
      <w:r w:rsidRPr="00BF5BC6">
        <w:rPr>
          <w:rFonts w:ascii="Simplified Arabic" w:hAnsi="Simplified Arabic" w:hint="cs"/>
          <w:spacing w:val="-4"/>
          <w:rtl/>
          <w:lang w:val="en-US"/>
        </w:rPr>
        <w:t>في</w:t>
      </w:r>
      <w:r w:rsidRPr="00BF5BC6">
        <w:rPr>
          <w:spacing w:val="-4"/>
          <w:rtl/>
          <w:lang w:val="en-US"/>
        </w:rPr>
        <w:t xml:space="preserve"> </w:t>
      </w:r>
      <w:r w:rsidRPr="00BF5BC6">
        <w:rPr>
          <w:rFonts w:ascii="Simplified Arabic" w:hAnsi="Simplified Arabic" w:hint="cs"/>
          <w:spacing w:val="-4"/>
          <w:rtl/>
          <w:lang w:val="en-US"/>
        </w:rPr>
        <w:t>القضية</w:t>
      </w:r>
      <w:r w:rsidRPr="00BF5BC6">
        <w:rPr>
          <w:spacing w:val="-4"/>
          <w:rtl/>
          <w:lang w:val="en-US"/>
        </w:rPr>
        <w:t xml:space="preserve"> </w:t>
      </w:r>
      <w:r w:rsidRPr="00BF5BC6">
        <w:rPr>
          <w:rFonts w:ascii="Simplified Arabic" w:hAnsi="Simplified Arabic" w:hint="cs"/>
          <w:spacing w:val="-4"/>
          <w:rtl/>
          <w:lang w:val="en-US"/>
        </w:rPr>
        <w:t>محل</w:t>
      </w:r>
      <w:r w:rsidRPr="00BF5BC6">
        <w:rPr>
          <w:spacing w:val="-4"/>
          <w:rtl/>
          <w:lang w:val="en-US"/>
        </w:rPr>
        <w:t xml:space="preserve"> </w:t>
      </w:r>
      <w:r w:rsidRPr="00BF5BC6">
        <w:rPr>
          <w:rFonts w:ascii="Simplified Arabic" w:hAnsi="Simplified Arabic" w:hint="cs"/>
          <w:spacing w:val="-4"/>
          <w:rtl/>
          <w:lang w:val="en-US"/>
        </w:rPr>
        <w:t>النظر،</w:t>
      </w:r>
      <w:r w:rsidRPr="00BF5BC6">
        <w:rPr>
          <w:spacing w:val="-4"/>
          <w:rtl/>
          <w:lang w:val="en-US"/>
        </w:rPr>
        <w:t xml:space="preserve"> </w:t>
      </w:r>
      <w:r w:rsidRPr="00BF5BC6">
        <w:rPr>
          <w:rFonts w:ascii="Simplified Arabic" w:hAnsi="Simplified Arabic" w:hint="cs"/>
          <w:spacing w:val="-4"/>
          <w:rtl/>
          <w:lang w:val="en-US"/>
        </w:rPr>
        <w:t>لم</w:t>
      </w:r>
      <w:r w:rsidRPr="00BF5BC6">
        <w:rPr>
          <w:spacing w:val="-4"/>
          <w:rtl/>
          <w:lang w:val="en-US"/>
        </w:rPr>
        <w:t xml:space="preserve"> </w:t>
      </w:r>
      <w:r w:rsidRPr="00BF5BC6">
        <w:rPr>
          <w:rFonts w:ascii="Simplified Arabic" w:hAnsi="Simplified Arabic" w:hint="cs"/>
          <w:spacing w:val="-4"/>
          <w:rtl/>
          <w:lang w:val="en-US"/>
        </w:rPr>
        <w:t>تطعن</w:t>
      </w:r>
      <w:r w:rsidRPr="00BF5BC6">
        <w:rPr>
          <w:spacing w:val="-4"/>
          <w:rtl/>
          <w:lang w:val="en-US"/>
        </w:rPr>
        <w:t xml:space="preserve"> </w:t>
      </w:r>
      <w:r w:rsidRPr="00BF5BC6">
        <w:rPr>
          <w:rFonts w:ascii="Simplified Arabic" w:hAnsi="Simplified Arabic" w:hint="cs"/>
          <w:spacing w:val="-4"/>
          <w:rtl/>
          <w:lang w:val="en-US"/>
        </w:rPr>
        <w:t>في</w:t>
      </w:r>
      <w:r w:rsidRPr="00BF5BC6">
        <w:rPr>
          <w:spacing w:val="-4"/>
          <w:rtl/>
          <w:lang w:val="en-US"/>
        </w:rPr>
        <w:t xml:space="preserve"> </w:t>
      </w:r>
      <w:r w:rsidRPr="00BF5BC6">
        <w:rPr>
          <w:rFonts w:ascii="Simplified Arabic" w:hAnsi="Simplified Arabic" w:hint="cs"/>
          <w:spacing w:val="-4"/>
          <w:rtl/>
          <w:lang w:val="en-US"/>
        </w:rPr>
        <w:t>مسألة</w:t>
      </w:r>
      <w:r w:rsidRPr="00BF5BC6">
        <w:rPr>
          <w:spacing w:val="-4"/>
          <w:rtl/>
          <w:lang w:val="en-US"/>
        </w:rPr>
        <w:t xml:space="preserve"> </w:t>
      </w:r>
      <w:r w:rsidRPr="00BF5BC6">
        <w:rPr>
          <w:rFonts w:ascii="Simplified Arabic" w:hAnsi="Simplified Arabic" w:hint="cs"/>
          <w:spacing w:val="-4"/>
          <w:rtl/>
          <w:lang w:val="en-US"/>
        </w:rPr>
        <w:t>استنفاد</w:t>
      </w:r>
      <w:r w:rsidRPr="00BF5BC6">
        <w:rPr>
          <w:spacing w:val="-4"/>
          <w:rtl/>
          <w:lang w:val="en-US"/>
        </w:rPr>
        <w:t xml:space="preserve"> </w:t>
      </w:r>
      <w:r w:rsidRPr="00BF5BC6">
        <w:rPr>
          <w:rFonts w:ascii="Simplified Arabic" w:hAnsi="Simplified Arabic" w:hint="cs"/>
          <w:spacing w:val="-4"/>
          <w:rtl/>
          <w:lang w:val="en-US"/>
        </w:rPr>
        <w:t>صاحبة</w:t>
      </w:r>
      <w:r w:rsidRPr="00BF5BC6">
        <w:rPr>
          <w:spacing w:val="-4"/>
          <w:rtl/>
          <w:lang w:val="en-US"/>
        </w:rPr>
        <w:t xml:space="preserve"> </w:t>
      </w:r>
      <w:r w:rsidRPr="00BF5BC6">
        <w:rPr>
          <w:rFonts w:ascii="Simplified Arabic" w:hAnsi="Simplified Arabic" w:hint="cs"/>
          <w:spacing w:val="-4"/>
          <w:rtl/>
          <w:lang w:val="en-US"/>
        </w:rPr>
        <w:t>الشكوى</w:t>
      </w:r>
      <w:r w:rsidRPr="00BF5BC6">
        <w:rPr>
          <w:spacing w:val="-4"/>
          <w:rtl/>
          <w:lang w:val="en-US"/>
        </w:rPr>
        <w:t xml:space="preserve"> </w:t>
      </w:r>
      <w:r w:rsidRPr="00BF5BC6">
        <w:rPr>
          <w:rFonts w:ascii="Simplified Arabic" w:hAnsi="Simplified Arabic" w:hint="cs"/>
          <w:spacing w:val="-4"/>
          <w:rtl/>
          <w:lang w:val="en-US"/>
        </w:rPr>
        <w:t>جميع</w:t>
      </w:r>
      <w:r w:rsidRPr="00BF5BC6">
        <w:rPr>
          <w:spacing w:val="-4"/>
          <w:rtl/>
          <w:lang w:val="en-US"/>
        </w:rPr>
        <w:t xml:space="preserve"> </w:t>
      </w:r>
      <w:r w:rsidRPr="00BF5BC6">
        <w:rPr>
          <w:rFonts w:ascii="Simplified Arabic" w:hAnsi="Simplified Arabic" w:hint="cs"/>
          <w:spacing w:val="-4"/>
          <w:rtl/>
          <w:lang w:val="en-US"/>
        </w:rPr>
        <w:t>سبل</w:t>
      </w:r>
      <w:r w:rsidRPr="00BF5BC6">
        <w:rPr>
          <w:spacing w:val="-4"/>
          <w:rtl/>
          <w:lang w:val="en-US"/>
        </w:rPr>
        <w:t xml:space="preserve"> </w:t>
      </w:r>
      <w:r w:rsidRPr="00BF5BC6">
        <w:rPr>
          <w:rFonts w:ascii="Simplified Arabic" w:hAnsi="Simplified Arabic" w:hint="cs"/>
          <w:spacing w:val="-4"/>
          <w:rtl/>
          <w:lang w:val="en-US"/>
        </w:rPr>
        <w:t>الانت</w:t>
      </w:r>
      <w:r w:rsidRPr="00BF5BC6">
        <w:rPr>
          <w:spacing w:val="-4"/>
          <w:rtl/>
          <w:lang w:val="en-US"/>
        </w:rPr>
        <w:t>صاف</w:t>
      </w:r>
      <w:r w:rsidRPr="00A955C4">
        <w:rPr>
          <w:rtl/>
          <w:lang w:val="en-US"/>
        </w:rPr>
        <w:t xml:space="preserve"> المحلية المتاحة. لذا، ترى اللجنة أنه لا يوجد ما يمنعها من أن تنظر في البلاغ بموجب المادة </w:t>
      </w:r>
      <w:r w:rsidRPr="007F3524">
        <w:rPr>
          <w:rtl/>
          <w:lang w:val="en-US"/>
        </w:rPr>
        <w:t>22</w:t>
      </w:r>
      <w:r w:rsidRPr="00A955C4">
        <w:rPr>
          <w:rtl/>
          <w:lang w:val="en-US"/>
        </w:rPr>
        <w:t>(</w:t>
      </w:r>
      <w:r w:rsidRPr="007F3524">
        <w:rPr>
          <w:rtl/>
          <w:lang w:val="en-US"/>
        </w:rPr>
        <w:t>5</w:t>
      </w:r>
      <w:r w:rsidRPr="00A955C4">
        <w:rPr>
          <w:rtl/>
          <w:lang w:val="en-US"/>
        </w:rPr>
        <w:t>)(ب) من الاتفاقية.</w:t>
      </w:r>
    </w:p>
    <w:p w14:paraId="062578CB" w14:textId="4F984F19" w:rsidR="00232E96" w:rsidRPr="00A955C4" w:rsidRDefault="00232E96" w:rsidP="00A955C4">
      <w:pPr>
        <w:pStyle w:val="SingleTxtGA"/>
        <w:rPr>
          <w:lang w:val="en-US"/>
        </w:rPr>
      </w:pPr>
      <w:r w:rsidRPr="007F3524">
        <w:rPr>
          <w:rtl/>
          <w:lang w:val="en-US"/>
        </w:rPr>
        <w:t>7</w:t>
      </w:r>
      <w:r w:rsidRPr="00A955C4">
        <w:rPr>
          <w:rtl/>
          <w:lang w:val="en-US"/>
        </w:rPr>
        <w:t>-</w:t>
      </w:r>
      <w:r w:rsidRPr="007F3524">
        <w:rPr>
          <w:rtl/>
          <w:lang w:val="en-US"/>
        </w:rPr>
        <w:t>3</w:t>
      </w:r>
      <w:r w:rsidRPr="00A955C4">
        <w:rPr>
          <w:rtl/>
          <w:lang w:val="en-US"/>
        </w:rPr>
        <w:tab/>
      </w:r>
      <w:r w:rsidRPr="00BF5BC6">
        <w:rPr>
          <w:spacing w:val="-4"/>
          <w:rtl/>
          <w:lang w:val="en-US"/>
        </w:rPr>
        <w:t xml:space="preserve">وتلاحظ اللجنة حجة الدولة الطرف التي مفادها أن البلاغ يجب رفضه باعتباره ادعاءً ظاهرَ البطلان </w:t>
      </w:r>
      <w:r w:rsidRPr="00A955C4">
        <w:rPr>
          <w:rtl/>
          <w:lang w:val="en-US"/>
        </w:rPr>
        <w:t>لأن السلطات المحلية درست ادعاءات صاحبة الشكوى دراسةً دقيقةً ولأن صاحبة الشكوى لم تثبت الادعاء بوجود خطر شخصي بالتعرض للتعذيب أو غيره من ضروب المعاملة أو العقوبة القاسية أو اللاإنسانية أو</w:t>
      </w:r>
      <w:r w:rsidR="00BF5BC6">
        <w:rPr>
          <w:rFonts w:hint="cs"/>
          <w:rtl/>
          <w:lang w:val="en-US"/>
        </w:rPr>
        <w:t> </w:t>
      </w:r>
      <w:r w:rsidRPr="00A955C4">
        <w:rPr>
          <w:rtl/>
          <w:lang w:val="en-US"/>
        </w:rPr>
        <w:t xml:space="preserve">المهينة بما يتنافى مع المادة </w:t>
      </w:r>
      <w:r w:rsidRPr="007F3524">
        <w:rPr>
          <w:rtl/>
          <w:lang w:val="en-US"/>
        </w:rPr>
        <w:t>3</w:t>
      </w:r>
      <w:r w:rsidRPr="00A955C4">
        <w:rPr>
          <w:rtl/>
          <w:lang w:val="en-US"/>
        </w:rPr>
        <w:t xml:space="preserve"> من الاتفاقية لدى عودتها إلى أوغندا. </w:t>
      </w:r>
    </w:p>
    <w:p w14:paraId="6697BE0A" w14:textId="46E48319" w:rsidR="00232E96" w:rsidRPr="00A955C4" w:rsidRDefault="00232E96" w:rsidP="00A955C4">
      <w:pPr>
        <w:pStyle w:val="SingleTxtGA"/>
        <w:rPr>
          <w:lang w:val="en-US"/>
        </w:rPr>
      </w:pPr>
      <w:r w:rsidRPr="007F3524">
        <w:rPr>
          <w:rtl/>
          <w:lang w:val="en-US"/>
        </w:rPr>
        <w:t>7</w:t>
      </w:r>
      <w:r w:rsidRPr="00A955C4">
        <w:rPr>
          <w:rtl/>
          <w:lang w:val="en-US"/>
        </w:rPr>
        <w:t>-</w:t>
      </w:r>
      <w:r w:rsidRPr="007F3524">
        <w:rPr>
          <w:rtl/>
          <w:lang w:val="en-US"/>
        </w:rPr>
        <w:t>4</w:t>
      </w:r>
      <w:r w:rsidRPr="00A955C4">
        <w:rPr>
          <w:rtl/>
          <w:lang w:val="en-US"/>
        </w:rPr>
        <w:tab/>
        <w:t>غير أن اللجنة ترى أن ادعاء صاحبة الشكوى بأنها قد تتعرض لسوء المعاملة في انتهاك للمادة</w:t>
      </w:r>
      <w:r w:rsidR="00BF5BC6">
        <w:rPr>
          <w:rFonts w:hint="cs"/>
          <w:rtl/>
          <w:lang w:val="en-US"/>
        </w:rPr>
        <w:t> </w:t>
      </w:r>
      <w:r w:rsidRPr="007F3524">
        <w:rPr>
          <w:rtl/>
          <w:lang w:val="en-US"/>
        </w:rPr>
        <w:t>3</w:t>
      </w:r>
      <w:r w:rsidRPr="00A955C4">
        <w:rPr>
          <w:rtl/>
          <w:lang w:val="en-US"/>
        </w:rPr>
        <w:t xml:space="preserve"> من الاتفاقية بسبب ميولها الجنسية مدعوم بأدلة كافية لأغراض المقبولية.</w:t>
      </w:r>
    </w:p>
    <w:p w14:paraId="66626B9C" w14:textId="77777777" w:rsidR="00232E96" w:rsidRPr="00A955C4" w:rsidRDefault="00232E96" w:rsidP="00A955C4">
      <w:pPr>
        <w:pStyle w:val="SingleTxtGA"/>
        <w:rPr>
          <w:lang w:val="en-US"/>
        </w:rPr>
      </w:pPr>
      <w:r w:rsidRPr="007F3524">
        <w:rPr>
          <w:rtl/>
          <w:lang w:val="en-US"/>
        </w:rPr>
        <w:t>7</w:t>
      </w:r>
      <w:r w:rsidRPr="00A955C4">
        <w:rPr>
          <w:rtl/>
          <w:lang w:val="en-US"/>
        </w:rPr>
        <w:t>-</w:t>
      </w:r>
      <w:r w:rsidRPr="007F3524">
        <w:rPr>
          <w:rtl/>
          <w:lang w:val="en-US"/>
        </w:rPr>
        <w:t>5</w:t>
      </w:r>
      <w:r w:rsidRPr="00A955C4">
        <w:rPr>
          <w:rtl/>
          <w:lang w:val="en-US"/>
        </w:rPr>
        <w:tab/>
        <w:t xml:space="preserve">ولما كانت اللجنة لا ترى أي عقبات أخرى تحول دون قبولية الشكوى، فإنها تعلن أن البلاغ المقدم بموجب المادة </w:t>
      </w:r>
      <w:r w:rsidRPr="007F3524">
        <w:rPr>
          <w:rtl/>
          <w:lang w:val="en-US"/>
        </w:rPr>
        <w:t>3</w:t>
      </w:r>
      <w:r w:rsidRPr="00A955C4">
        <w:rPr>
          <w:rtl/>
          <w:lang w:val="en-US"/>
        </w:rPr>
        <w:t xml:space="preserve"> من الاتفاقية مقبول وتمضي إلى النظر في أسسه الموضوعية. </w:t>
      </w:r>
    </w:p>
    <w:p w14:paraId="68C721AD" w14:textId="77777777" w:rsidR="00232E96" w:rsidRPr="007F3524" w:rsidRDefault="00232E96" w:rsidP="000F5418">
      <w:pPr>
        <w:pStyle w:val="H4GA"/>
      </w:pPr>
      <w:r w:rsidRPr="007F3524">
        <w:rPr>
          <w:rtl/>
        </w:rPr>
        <w:tab/>
      </w:r>
      <w:r w:rsidRPr="007F3524">
        <w:rPr>
          <w:rtl/>
        </w:rPr>
        <w:tab/>
        <w:t>النظر في الأسس الموضوعية</w:t>
      </w:r>
    </w:p>
    <w:p w14:paraId="3A63DA2A" w14:textId="141A4041" w:rsidR="00232E96" w:rsidRPr="00A955C4" w:rsidRDefault="00232E96" w:rsidP="00A955C4">
      <w:pPr>
        <w:pStyle w:val="SingleTxtGA"/>
        <w:rPr>
          <w:lang w:val="en-US"/>
        </w:rPr>
      </w:pPr>
      <w:r w:rsidRPr="007F3524">
        <w:rPr>
          <w:rtl/>
          <w:lang w:val="en-US"/>
        </w:rPr>
        <w:t>8</w:t>
      </w:r>
      <w:r w:rsidRPr="00A955C4">
        <w:rPr>
          <w:rtl/>
          <w:lang w:val="en-US"/>
        </w:rPr>
        <w:t>-</w:t>
      </w:r>
      <w:r w:rsidRPr="007F3524">
        <w:rPr>
          <w:rtl/>
          <w:lang w:val="en-US"/>
        </w:rPr>
        <w:t>1</w:t>
      </w:r>
      <w:r w:rsidRPr="00A955C4">
        <w:rPr>
          <w:rtl/>
          <w:lang w:val="en-US"/>
        </w:rPr>
        <w:tab/>
        <w:t xml:space="preserve">عملاً بالمادة </w:t>
      </w:r>
      <w:r w:rsidRPr="007F3524">
        <w:rPr>
          <w:rtl/>
          <w:lang w:val="en-US"/>
        </w:rPr>
        <w:t>22</w:t>
      </w:r>
      <w:r w:rsidRPr="00A955C4">
        <w:rPr>
          <w:rtl/>
          <w:lang w:val="en-US"/>
        </w:rPr>
        <w:t>(</w:t>
      </w:r>
      <w:r w:rsidRPr="007F3524">
        <w:rPr>
          <w:rtl/>
          <w:lang w:val="en-US"/>
        </w:rPr>
        <w:t>4</w:t>
      </w:r>
      <w:r w:rsidRPr="00A955C4">
        <w:rPr>
          <w:rtl/>
          <w:lang w:val="en-US"/>
        </w:rPr>
        <w:t xml:space="preserve">) من الاتفاقية، نظرت اللجنة في هذا البلاغ في ضوء جميع المعلومات التي أتاحها لها الطرفان. </w:t>
      </w:r>
    </w:p>
    <w:p w14:paraId="23B561D0" w14:textId="57BBF113" w:rsidR="00232E96" w:rsidRPr="00A955C4" w:rsidRDefault="00232E96" w:rsidP="00A955C4">
      <w:pPr>
        <w:pStyle w:val="SingleTxtGA"/>
        <w:rPr>
          <w:lang w:val="en-US"/>
        </w:rPr>
      </w:pPr>
      <w:r w:rsidRPr="007F3524">
        <w:rPr>
          <w:rtl/>
          <w:lang w:val="en-US"/>
        </w:rPr>
        <w:lastRenderedPageBreak/>
        <w:t>8</w:t>
      </w:r>
      <w:r w:rsidRPr="00A955C4">
        <w:rPr>
          <w:rtl/>
          <w:lang w:val="en-US"/>
        </w:rPr>
        <w:t>-</w:t>
      </w:r>
      <w:r w:rsidRPr="007F3524">
        <w:rPr>
          <w:rtl/>
          <w:lang w:val="en-US"/>
        </w:rPr>
        <w:t>2</w:t>
      </w:r>
      <w:r w:rsidRPr="00A955C4">
        <w:rPr>
          <w:rtl/>
          <w:lang w:val="en-US"/>
        </w:rPr>
        <w:tab/>
        <w:t xml:space="preserve">وتتمثل القضية المطروحة على اللجنة فيما إذا كانت الإعادة القسرية لصاحبة الشكوى إلى أوغندا ستشكل انتهاكاً لالتزام الدولة الطرف بموجب المادة </w:t>
      </w:r>
      <w:r w:rsidRPr="007F3524">
        <w:rPr>
          <w:rtl/>
          <w:lang w:val="en-US"/>
        </w:rPr>
        <w:t>3</w:t>
      </w:r>
      <w:r w:rsidRPr="00A955C4">
        <w:rPr>
          <w:rtl/>
          <w:lang w:val="en-US"/>
        </w:rPr>
        <w:t xml:space="preserve"> من الاتفاقية بعدم طرد أو إعادة </w:t>
      </w:r>
      <w:r w:rsidRPr="007F3524">
        <w:rPr>
          <w:i/>
          <w:iCs/>
          <w:rtl/>
          <w:lang w:val="en-US"/>
        </w:rPr>
        <w:t>("رد")</w:t>
      </w:r>
      <w:r w:rsidRPr="00A955C4">
        <w:rPr>
          <w:rtl/>
          <w:lang w:val="en-US"/>
        </w:rPr>
        <w:t xml:space="preserve"> أي شخص إلى دولة أخرى، إذا توافرت أسباب وجيهة تدعو إلى الاعتقاد بأنه سيتعرض لخطر </w:t>
      </w:r>
      <w:proofErr w:type="gramStart"/>
      <w:r w:rsidRPr="00A955C4">
        <w:rPr>
          <w:rtl/>
          <w:lang w:val="en-US"/>
        </w:rPr>
        <w:t>التعذيب</w:t>
      </w:r>
      <w:r w:rsidRPr="00232E96">
        <w:rPr>
          <w:vertAlign w:val="superscript"/>
          <w:rtl/>
          <w:lang w:val="en-US"/>
        </w:rPr>
        <w:t>(</w:t>
      </w:r>
      <w:proofErr w:type="gramEnd"/>
      <w:r w:rsidRPr="007F3524">
        <w:rPr>
          <w:rStyle w:val="FootnoteReference"/>
          <w:szCs w:val="22"/>
          <w:lang w:val="en-US"/>
        </w:rPr>
        <w:footnoteReference w:id="15"/>
      </w:r>
      <w:r w:rsidRPr="00232E96">
        <w:rPr>
          <w:vertAlign w:val="superscript"/>
          <w:rtl/>
          <w:lang w:val="en-US"/>
        </w:rPr>
        <w:t>)</w:t>
      </w:r>
      <w:r w:rsidRPr="00A955C4">
        <w:rPr>
          <w:rtl/>
          <w:lang w:val="en-US"/>
        </w:rPr>
        <w:t>.</w:t>
      </w:r>
    </w:p>
    <w:p w14:paraId="00763944" w14:textId="3B107226" w:rsidR="00232E96" w:rsidRPr="00A955C4" w:rsidRDefault="00232E96" w:rsidP="00A955C4">
      <w:pPr>
        <w:pStyle w:val="SingleTxtGA"/>
        <w:rPr>
          <w:lang w:val="en-US"/>
        </w:rPr>
      </w:pPr>
      <w:r w:rsidRPr="007F3524">
        <w:rPr>
          <w:rtl/>
          <w:lang w:val="en-US"/>
        </w:rPr>
        <w:t>8</w:t>
      </w:r>
      <w:r w:rsidRPr="00A955C4">
        <w:rPr>
          <w:rtl/>
          <w:lang w:val="en-US"/>
        </w:rPr>
        <w:t>-</w:t>
      </w:r>
      <w:r w:rsidRPr="007F3524">
        <w:rPr>
          <w:rtl/>
          <w:lang w:val="en-US"/>
        </w:rPr>
        <w:t>3</w:t>
      </w:r>
      <w:r w:rsidRPr="00A955C4">
        <w:rPr>
          <w:rtl/>
          <w:lang w:val="en-US"/>
        </w:rPr>
        <w:tab/>
        <w:t xml:space="preserve">وعلى اللجنة أن تقيّم ما إذا كان ثمة أسباب وجيهة تحمل على الاعتقاد بأن صاحبة الشكوى ستواجه شخصياً خطر التعرض للتعذيب في حال إعادتها إلى أوغندا. ولدى تقييم ذلك الخطر، يجب على اللجنة أن تراعي كل الاعتبارات ذات الصلة، عملاً بالفقرة </w:t>
      </w:r>
      <w:r w:rsidRPr="007F3524">
        <w:rPr>
          <w:rtl/>
          <w:lang w:val="en-US"/>
        </w:rPr>
        <w:t>2</w:t>
      </w:r>
      <w:r w:rsidRPr="00A955C4">
        <w:rPr>
          <w:rtl/>
          <w:lang w:val="en-US"/>
        </w:rPr>
        <w:t xml:space="preserve"> من المادة </w:t>
      </w:r>
      <w:r w:rsidRPr="007F3524">
        <w:rPr>
          <w:rtl/>
          <w:lang w:val="en-US"/>
        </w:rPr>
        <w:t>3</w:t>
      </w:r>
      <w:r w:rsidRPr="00A955C4">
        <w:rPr>
          <w:rtl/>
          <w:lang w:val="en-US"/>
        </w:rPr>
        <w:t xml:space="preserve"> من الاتفاقية، بما في ذلك وجود نمط ثابت من الانتهاكات الجسيمة أو الصارخة أو الجماعية لحقوق الإنسان. بيد أن اللجنة تُذكر بأن الهدف من إجراء تقييم من هذا النوع هو إثبات ما إذا كان الفرد المعني سيواجه شخصياً خطراً متوقعاً وحقيقياً متمثلاً في التعرض للتعذيب في البلد الذي سيُعاد إليه. ويترتب على ذلك أن وجود نمط من الانتهاكات الجسيمة أو الصارخة أو الجماعية لحقوق الإنسان في بلد لا يشكل في حد ذاته سبباً كافياً لتحديد أن شخصاً معيناً سيتعرض لخطر التعذيب عند عودته إلى ذلك البلد؛ ولا بد من تقديم أسباب إضافية تبين أن الفرد سيتعرض شخصياً لهذا الخطر. وفي المقابل، لا يعني عدم وجود نمط ثابت من الانتهاكات الصارخة لحقوق الإنسان أن شخصاً بعينه، امرأة كانت أو رجلاً، قد لا يتعرض للتعذيب في ظروف خاصة به </w:t>
      </w:r>
      <w:proofErr w:type="gramStart"/>
      <w:r w:rsidRPr="00A955C4">
        <w:rPr>
          <w:rtl/>
          <w:lang w:val="en-US"/>
        </w:rPr>
        <w:t>تحديداً</w:t>
      </w:r>
      <w:r w:rsidRPr="00232E96">
        <w:rPr>
          <w:vertAlign w:val="superscript"/>
          <w:rtl/>
          <w:lang w:val="en-US"/>
        </w:rPr>
        <w:t>(</w:t>
      </w:r>
      <w:proofErr w:type="gramEnd"/>
      <w:r w:rsidRPr="007F3524">
        <w:rPr>
          <w:rStyle w:val="FootnoteReference"/>
          <w:szCs w:val="22"/>
          <w:lang w:val="en-US"/>
        </w:rPr>
        <w:footnoteReference w:id="16"/>
      </w:r>
      <w:r w:rsidRPr="00232E96">
        <w:rPr>
          <w:vertAlign w:val="superscript"/>
          <w:rtl/>
          <w:lang w:val="en-US"/>
        </w:rPr>
        <w:t>)</w:t>
      </w:r>
      <w:r w:rsidRPr="00A955C4">
        <w:rPr>
          <w:rtl/>
          <w:lang w:val="en-US"/>
        </w:rPr>
        <w:t>.</w:t>
      </w:r>
    </w:p>
    <w:p w14:paraId="527F8ADE" w14:textId="3986427E" w:rsidR="00232E96" w:rsidRPr="000F5418" w:rsidRDefault="00232E96" w:rsidP="00A955C4">
      <w:pPr>
        <w:pStyle w:val="SingleTxtGA"/>
        <w:rPr>
          <w:spacing w:val="-2"/>
          <w:lang w:val="en-US"/>
        </w:rPr>
      </w:pPr>
      <w:r w:rsidRPr="007F3524">
        <w:rPr>
          <w:spacing w:val="-2"/>
          <w:rtl/>
          <w:lang w:val="en-US"/>
        </w:rPr>
        <w:lastRenderedPageBreak/>
        <w:t>8</w:t>
      </w:r>
      <w:r w:rsidRPr="000F5418">
        <w:rPr>
          <w:spacing w:val="-2"/>
          <w:rtl/>
          <w:lang w:val="en-US"/>
        </w:rPr>
        <w:t>-</w:t>
      </w:r>
      <w:r w:rsidRPr="007F3524">
        <w:rPr>
          <w:spacing w:val="-2"/>
          <w:rtl/>
          <w:lang w:val="en-US"/>
        </w:rPr>
        <w:t>4</w:t>
      </w:r>
      <w:r w:rsidRPr="000F5418">
        <w:rPr>
          <w:spacing w:val="-2"/>
          <w:rtl/>
          <w:lang w:val="en-US"/>
        </w:rPr>
        <w:tab/>
        <w:t xml:space="preserve">وتُذكِّر اللجنة بأن هناك التزاماً بعدم الإعادة القسرية كلما وُجدت "أسباب وجيهة" تدعو إلى الاعتقاد بأن الشخص المعني سيكون معرضاً لخطر التعذيب في دولة يواجه الترحيل إليها، سواء كفرد أو كعضو في مجموعة قد تكون عرضة لخطر التعذيب في دولة </w:t>
      </w:r>
      <w:proofErr w:type="gramStart"/>
      <w:r w:rsidRPr="000F5418">
        <w:rPr>
          <w:spacing w:val="-2"/>
          <w:rtl/>
          <w:lang w:val="en-US"/>
        </w:rPr>
        <w:t>المقصد</w:t>
      </w:r>
      <w:r w:rsidRPr="000F5418">
        <w:rPr>
          <w:spacing w:val="-2"/>
          <w:vertAlign w:val="superscript"/>
          <w:rtl/>
          <w:lang w:val="en-US"/>
        </w:rPr>
        <w:t>(</w:t>
      </w:r>
      <w:proofErr w:type="gramEnd"/>
      <w:r w:rsidRPr="007F3524">
        <w:rPr>
          <w:rStyle w:val="FootnoteReference"/>
          <w:spacing w:val="-2"/>
          <w:szCs w:val="22"/>
          <w:lang w:val="en-US"/>
        </w:rPr>
        <w:footnoteReference w:id="17"/>
      </w:r>
      <w:r w:rsidRPr="000F5418">
        <w:rPr>
          <w:spacing w:val="-2"/>
          <w:vertAlign w:val="superscript"/>
          <w:rtl/>
          <w:lang w:val="en-US"/>
        </w:rPr>
        <w:t>)</w:t>
      </w:r>
      <w:r w:rsidRPr="000F5418">
        <w:rPr>
          <w:spacing w:val="-2"/>
          <w:rtl/>
          <w:lang w:val="en-US"/>
        </w:rPr>
        <w:t>. وتُذكِّر اللجنة بأن "الأسباب الوجيهة" تعتبر موجودة متى كان خطر التعرض للتعذيب "متوقعاً وشخصياً وقائماً وحقيقياً"</w:t>
      </w:r>
      <w:r w:rsidRPr="000F5418">
        <w:rPr>
          <w:spacing w:val="-2"/>
          <w:vertAlign w:val="superscript"/>
          <w:rtl/>
          <w:lang w:val="en-US"/>
        </w:rPr>
        <w:t>(</w:t>
      </w:r>
      <w:r w:rsidRPr="007F3524">
        <w:rPr>
          <w:rStyle w:val="FootnoteReference"/>
          <w:spacing w:val="-2"/>
          <w:szCs w:val="22"/>
          <w:lang w:val="en-US"/>
        </w:rPr>
        <w:footnoteReference w:id="18"/>
      </w:r>
      <w:r w:rsidRPr="000F5418">
        <w:rPr>
          <w:spacing w:val="-2"/>
          <w:vertAlign w:val="superscript"/>
          <w:rtl/>
          <w:lang w:val="en-US"/>
        </w:rPr>
        <w:t>)</w:t>
      </w:r>
      <w:r w:rsidRPr="000F5418">
        <w:rPr>
          <w:spacing w:val="-2"/>
          <w:rtl/>
          <w:lang w:val="en-US"/>
        </w:rPr>
        <w:t xml:space="preserve">. ويمكن أن تشمل مؤشرات </w:t>
      </w:r>
      <w:r w:rsidRPr="00594A27">
        <w:rPr>
          <w:rtl/>
          <w:lang w:val="en-US"/>
        </w:rPr>
        <w:t>الخطر الشخصي، على سبيل المثال لا الحصر، ما يلي: (أ) الانتماء السياسي أو الأنشطة السياسية لصاحب(ة)</w:t>
      </w:r>
      <w:r w:rsidRPr="000F5418">
        <w:rPr>
          <w:spacing w:val="-2"/>
          <w:rtl/>
          <w:lang w:val="en-US"/>
        </w:rPr>
        <w:t xml:space="preserve"> الشكوى و/أو أفراد عائلته(ا)؛ (ب) الميول الجنسية لصاحب(ة) الشكوى؛ (ج) خطر تعرض صاحبة الشكوى للعنف القائم على نوع الجنس، بما في ذلك </w:t>
      </w:r>
      <w:proofErr w:type="gramStart"/>
      <w:r w:rsidRPr="000F5418">
        <w:rPr>
          <w:spacing w:val="-2"/>
          <w:rtl/>
          <w:lang w:val="en-US"/>
        </w:rPr>
        <w:t>الاغتصاب</w:t>
      </w:r>
      <w:r w:rsidRPr="000F5418">
        <w:rPr>
          <w:spacing w:val="-2"/>
          <w:vertAlign w:val="superscript"/>
          <w:rtl/>
          <w:lang w:val="en-US"/>
        </w:rPr>
        <w:t>(</w:t>
      </w:r>
      <w:proofErr w:type="gramEnd"/>
      <w:r w:rsidRPr="007F3524">
        <w:rPr>
          <w:rStyle w:val="FootnoteReference"/>
          <w:spacing w:val="-2"/>
          <w:szCs w:val="22"/>
          <w:lang w:val="en-US"/>
        </w:rPr>
        <w:footnoteReference w:id="19"/>
      </w:r>
      <w:r w:rsidRPr="000F5418">
        <w:rPr>
          <w:spacing w:val="-2"/>
          <w:vertAlign w:val="superscript"/>
          <w:rtl/>
          <w:lang w:val="en-US"/>
        </w:rPr>
        <w:t>)</w:t>
      </w:r>
      <w:r w:rsidRPr="000F5418">
        <w:rPr>
          <w:spacing w:val="-2"/>
          <w:rtl/>
          <w:lang w:val="en-US"/>
        </w:rPr>
        <w:t xml:space="preserve">. </w:t>
      </w:r>
    </w:p>
    <w:p w14:paraId="01FF4417" w14:textId="7B52C5D3" w:rsidR="00232E96" w:rsidRPr="00A955C4" w:rsidRDefault="00232E96" w:rsidP="00A955C4">
      <w:pPr>
        <w:pStyle w:val="SingleTxtGA"/>
        <w:rPr>
          <w:lang w:val="en-US"/>
        </w:rPr>
      </w:pPr>
      <w:r w:rsidRPr="007F3524">
        <w:rPr>
          <w:rtl/>
          <w:lang w:val="en-US"/>
        </w:rPr>
        <w:t>8</w:t>
      </w:r>
      <w:r w:rsidRPr="00A955C4">
        <w:rPr>
          <w:rtl/>
          <w:lang w:val="en-US"/>
        </w:rPr>
        <w:t>-</w:t>
      </w:r>
      <w:r w:rsidRPr="007F3524">
        <w:rPr>
          <w:rtl/>
          <w:lang w:val="en-US"/>
        </w:rPr>
        <w:t>5</w:t>
      </w:r>
      <w:r w:rsidRPr="00A955C4">
        <w:rPr>
          <w:rtl/>
          <w:lang w:val="en-US"/>
        </w:rPr>
        <w:tab/>
        <w:t xml:space="preserve">وتذكّر اللجنة بأن عبء الإثبات يقع على صاحب الشكوى الذي يتعين عليه أن يعرض قضية يمكن الدفاع عنها، بتقديم حجج مدعومة بأدلة تبين أن خطر التعرض للتعذيب متوقع وقائم وشخصي وحقيقي. ولكن عندما يكون أصحاب الشكاوى غير قادرين على تقديم تفاصيل عن قضيتهم، مثلاً إذا أثبتوا استحالة حصولهم على وثائق تتعلق بادعائهم التعرض للتعذيب أو إذا كانوا مسلوبي الحرية، فإن عبء الإثبات ينعكس ويكون على الدولة الطرف المعنية أن تحقق في هذه الادعاءات وتتحقق من صحة المعلومات التي يستند إليها </w:t>
      </w:r>
      <w:proofErr w:type="gramStart"/>
      <w:r w:rsidRPr="00A955C4">
        <w:rPr>
          <w:rtl/>
          <w:lang w:val="en-US"/>
        </w:rPr>
        <w:t>البلاغ</w:t>
      </w:r>
      <w:r w:rsidRPr="00232E96">
        <w:rPr>
          <w:vertAlign w:val="superscript"/>
          <w:rtl/>
          <w:lang w:val="en-US"/>
        </w:rPr>
        <w:t>(</w:t>
      </w:r>
      <w:proofErr w:type="gramEnd"/>
      <w:r w:rsidRPr="007F3524">
        <w:rPr>
          <w:rStyle w:val="FootnoteReference"/>
          <w:szCs w:val="22"/>
          <w:lang w:val="en-US"/>
        </w:rPr>
        <w:footnoteReference w:id="20"/>
      </w:r>
      <w:r w:rsidRPr="00232E96">
        <w:rPr>
          <w:vertAlign w:val="superscript"/>
          <w:rtl/>
          <w:lang w:val="en-US"/>
        </w:rPr>
        <w:t>)</w:t>
      </w:r>
      <w:r w:rsidRPr="00A955C4">
        <w:rPr>
          <w:rtl/>
          <w:lang w:val="en-US"/>
        </w:rPr>
        <w:t>.</w:t>
      </w:r>
    </w:p>
    <w:p w14:paraId="38E3D257" w14:textId="7677E9EB" w:rsidR="00232E96" w:rsidRPr="00A955C4" w:rsidRDefault="00232E96" w:rsidP="00A955C4">
      <w:pPr>
        <w:pStyle w:val="SingleTxtGA"/>
        <w:rPr>
          <w:lang w:val="en-US"/>
        </w:rPr>
      </w:pPr>
      <w:r w:rsidRPr="007F3524">
        <w:rPr>
          <w:rtl/>
          <w:lang w:val="en-US"/>
        </w:rPr>
        <w:t>8</w:t>
      </w:r>
      <w:r w:rsidRPr="00A955C4">
        <w:rPr>
          <w:rtl/>
          <w:lang w:val="en-US"/>
        </w:rPr>
        <w:t>-</w:t>
      </w:r>
      <w:r w:rsidRPr="007F3524">
        <w:rPr>
          <w:rtl/>
          <w:lang w:val="en-US"/>
        </w:rPr>
        <w:t>6</w:t>
      </w:r>
      <w:r w:rsidRPr="00A955C4">
        <w:rPr>
          <w:rtl/>
          <w:lang w:val="en-US"/>
        </w:rPr>
        <w:tab/>
        <w:t xml:space="preserve">وتحيط اللجنة علماً بحجة صاحبة الشكوى التي مفادها أنها ستتعرض لخطر حقيقي وشخصي وقائم للتعذيب إذا أُعيدت إلى أوغندا في ضوء سوء المعاملة المعممة </w:t>
      </w:r>
      <w:proofErr w:type="spellStart"/>
      <w:r w:rsidRPr="00A955C4">
        <w:rPr>
          <w:rtl/>
          <w:lang w:val="en-US"/>
        </w:rPr>
        <w:t>للمثليات</w:t>
      </w:r>
      <w:proofErr w:type="spellEnd"/>
      <w:r w:rsidRPr="00A955C4">
        <w:rPr>
          <w:rtl/>
          <w:lang w:val="en-US"/>
        </w:rPr>
        <w:t xml:space="preserve"> والمثليين ومزدوجي الميل الجنسي ومغايري الهوية الجنسانية وحاملي صفات الجنسين في أوغندا، ومكانتها الرفيعة ونشاطها في المنظمات التي تدافع عن حقوق المثليات والمثليين ومزدوجي الميل الجنسي ومغايري الهوية الجنسانية وحاملي صفات الجنسين في الدانمرك، وتعرضها، في الماضي، ل</w:t>
      </w:r>
      <w:r w:rsidR="000F5418">
        <w:rPr>
          <w:rFonts w:hint="cs"/>
          <w:rtl/>
          <w:lang w:val="en-US"/>
        </w:rPr>
        <w:t>‍ </w:t>
      </w:r>
      <w:r w:rsidRPr="00A955C4">
        <w:rPr>
          <w:rtl/>
          <w:lang w:val="en-US"/>
        </w:rPr>
        <w:t>"اغتصاب تصحيحي" بسبب ميولها الجنسية. وتحيط اللجنة علماً أيضاً بحجة صاحبة الشكوى بأن السلطات الدانمركية لم تنظر بما فيه الكفاية في المخاطر الإضافية التي كانت تواجهها بعد نشر مقال على الإنترنت يتضمن اسمها وصورتها.</w:t>
      </w:r>
    </w:p>
    <w:p w14:paraId="17091EFD" w14:textId="05384DF2" w:rsidR="00232E96" w:rsidRPr="000F5418" w:rsidRDefault="00232E96" w:rsidP="00A955C4">
      <w:pPr>
        <w:pStyle w:val="SingleTxtGA"/>
        <w:rPr>
          <w:spacing w:val="-2"/>
          <w:lang w:val="en-US"/>
        </w:rPr>
      </w:pPr>
      <w:r w:rsidRPr="007F3524">
        <w:rPr>
          <w:spacing w:val="-2"/>
          <w:rtl/>
          <w:lang w:val="en-US"/>
        </w:rPr>
        <w:t>8</w:t>
      </w:r>
      <w:r w:rsidRPr="000F5418">
        <w:rPr>
          <w:spacing w:val="-2"/>
          <w:rtl/>
          <w:lang w:val="en-US"/>
        </w:rPr>
        <w:t>-</w:t>
      </w:r>
      <w:r w:rsidRPr="007F3524">
        <w:rPr>
          <w:spacing w:val="-2"/>
          <w:rtl/>
          <w:lang w:val="en-US"/>
        </w:rPr>
        <w:t>7</w:t>
      </w:r>
      <w:r w:rsidR="000F5418" w:rsidRPr="000F5418">
        <w:rPr>
          <w:spacing w:val="-2"/>
          <w:rtl/>
          <w:lang w:val="en-US"/>
        </w:rPr>
        <w:tab/>
      </w:r>
      <w:r w:rsidRPr="000F5418">
        <w:rPr>
          <w:spacing w:val="-2"/>
          <w:rtl/>
          <w:lang w:val="en-US"/>
        </w:rPr>
        <w:t xml:space="preserve">وتحيط علماً كذلك بملاحظات الدولة الطرف بأن السلطات المحلية قد درست بدقة الظروف الشخصية لصاحبة الشكوى، بما في ذلك المقال الذي صدر في وسائل الإعلام وكشف عن اسمها وصورتها، مع مراعاة الحالة العامة لحقوق الإنسان </w:t>
      </w:r>
      <w:proofErr w:type="spellStart"/>
      <w:r w:rsidRPr="000F5418">
        <w:rPr>
          <w:spacing w:val="-2"/>
          <w:rtl/>
          <w:lang w:val="en-US"/>
        </w:rPr>
        <w:t>للمثليات</w:t>
      </w:r>
      <w:proofErr w:type="spellEnd"/>
      <w:r w:rsidRPr="000F5418">
        <w:rPr>
          <w:spacing w:val="-2"/>
          <w:rtl/>
          <w:lang w:val="en-US"/>
        </w:rPr>
        <w:t xml:space="preserve"> والمثليين ومزدوجي الميل الجنسي ومغايري الهوية الجنسانية وحاملي صفات الجنسين في أوغندا. كما تلاحظ اللجنة حجة الدولة الطرف بأن السلطات المحلية أخذت في الاعتبار التشخيص الطبي لصاحبة الشكوى الذي يؤكد أنها تعاني اضطرابات نفسية لاحقة للإصابة وقبلت رواية الوقائع التي قدمتها إلى سلطات اللجوء على الرغم من التناقضات والعناصر المستبعدة في أقوالها. وتحيط اللجنة أيضاً علماً بحجة الدولة الطرف بأن بعض البيانات المقدمة في بلاغ صاحبة الشكوى إلى اللجنة لا تتطابق مع رواية الوقائع التي قُدمت إلى السلطات الدانمركية أثناء إجراءات اللجوء.</w:t>
      </w:r>
    </w:p>
    <w:p w14:paraId="53F6900C" w14:textId="5A50125F" w:rsidR="00232E96" w:rsidRPr="00A955C4" w:rsidRDefault="00232E96" w:rsidP="00A955C4">
      <w:pPr>
        <w:pStyle w:val="SingleTxtGA"/>
        <w:rPr>
          <w:lang w:val="en-US"/>
        </w:rPr>
      </w:pPr>
      <w:r w:rsidRPr="007F3524">
        <w:rPr>
          <w:rtl/>
          <w:lang w:val="en-US"/>
        </w:rPr>
        <w:t>8</w:t>
      </w:r>
      <w:r w:rsidRPr="00A955C4">
        <w:rPr>
          <w:rtl/>
          <w:lang w:val="en-US"/>
        </w:rPr>
        <w:t>-</w:t>
      </w:r>
      <w:r w:rsidRPr="007F3524">
        <w:rPr>
          <w:rtl/>
          <w:lang w:val="en-US"/>
        </w:rPr>
        <w:t>8</w:t>
      </w:r>
      <w:r w:rsidRPr="00A955C4">
        <w:rPr>
          <w:rtl/>
          <w:lang w:val="en-US"/>
        </w:rPr>
        <w:tab/>
        <w:t>وتلاحظ اللجنة أنه لا جدال في أن صاحبة الشكوى تعرضت ل</w:t>
      </w:r>
      <w:r w:rsidR="000F5418">
        <w:rPr>
          <w:rFonts w:hint="cs"/>
          <w:rtl/>
          <w:lang w:val="en-US"/>
        </w:rPr>
        <w:t>‍ </w:t>
      </w:r>
      <w:r w:rsidRPr="00A955C4">
        <w:rPr>
          <w:rtl/>
          <w:lang w:val="en-US"/>
        </w:rPr>
        <w:t xml:space="preserve">"اغتصاب تصحيحي" على أساس </w:t>
      </w:r>
      <w:r w:rsidRPr="000F5418">
        <w:rPr>
          <w:spacing w:val="-2"/>
          <w:rtl/>
          <w:lang w:val="en-US"/>
        </w:rPr>
        <w:t xml:space="preserve">ميولها الجنسية في أوغندا. وتشير اللجنة إلى تعليقها العام رقم </w:t>
      </w:r>
      <w:r w:rsidRPr="007F3524">
        <w:rPr>
          <w:spacing w:val="-2"/>
          <w:rtl/>
          <w:lang w:val="en-US"/>
        </w:rPr>
        <w:t>4</w:t>
      </w:r>
      <w:r w:rsidRPr="000F5418">
        <w:rPr>
          <w:spacing w:val="-2"/>
          <w:rtl/>
          <w:lang w:val="en-US"/>
        </w:rPr>
        <w:t>(</w:t>
      </w:r>
      <w:r w:rsidRPr="007F3524">
        <w:rPr>
          <w:spacing w:val="-2"/>
          <w:rtl/>
          <w:lang w:val="en-US"/>
        </w:rPr>
        <w:t>2017</w:t>
      </w:r>
      <w:r w:rsidRPr="000F5418">
        <w:rPr>
          <w:spacing w:val="-2"/>
          <w:rtl/>
          <w:lang w:val="en-US"/>
        </w:rPr>
        <w:t>) وتذكر بأنه ينبغي للدول الأطراف،</w:t>
      </w:r>
      <w:r w:rsidRPr="00A955C4">
        <w:rPr>
          <w:rtl/>
          <w:lang w:val="en-US"/>
        </w:rPr>
        <w:t xml:space="preserve"> عند تطبيق مبدأ عدم الإعادة القسرية، أن تنظر فيما إذا ما إذا كان الشخص وقع أو سيقع ضحية للعنف في دولة منشئه أو في الدولة التي يجري ترحيله إليها، بما في ذلك العنف الجنساني أو الجنسي، في </w:t>
      </w:r>
      <w:r w:rsidRPr="000F5418">
        <w:rPr>
          <w:spacing w:val="-2"/>
          <w:rtl/>
          <w:lang w:val="en-US"/>
        </w:rPr>
        <w:t>أماكن عامة أو خاصة، مما قد يصل إلى حد التعذيب، دون أن تتدخل السلطات المختصة في الدولة المعنية</w:t>
      </w:r>
      <w:r w:rsidRPr="00A955C4">
        <w:rPr>
          <w:rtl/>
          <w:lang w:val="en-US"/>
        </w:rPr>
        <w:t xml:space="preserve"> </w:t>
      </w:r>
      <w:r w:rsidRPr="00A955C4">
        <w:rPr>
          <w:rtl/>
          <w:lang w:val="en-US"/>
        </w:rPr>
        <w:lastRenderedPageBreak/>
        <w:t xml:space="preserve">لحماية </w:t>
      </w:r>
      <w:proofErr w:type="gramStart"/>
      <w:r w:rsidRPr="00A955C4">
        <w:rPr>
          <w:rtl/>
          <w:lang w:val="en-US"/>
        </w:rPr>
        <w:t>الضحية</w:t>
      </w:r>
      <w:r w:rsidRPr="00232E96">
        <w:rPr>
          <w:vertAlign w:val="superscript"/>
          <w:rtl/>
          <w:lang w:val="en-US"/>
        </w:rPr>
        <w:t>(</w:t>
      </w:r>
      <w:proofErr w:type="gramEnd"/>
      <w:r w:rsidRPr="007F3524">
        <w:rPr>
          <w:rStyle w:val="FootnoteReference"/>
          <w:szCs w:val="22"/>
          <w:lang w:val="en-US"/>
        </w:rPr>
        <w:footnoteReference w:id="21"/>
      </w:r>
      <w:r w:rsidRPr="00232E96">
        <w:rPr>
          <w:vertAlign w:val="superscript"/>
          <w:rtl/>
          <w:lang w:val="en-US"/>
        </w:rPr>
        <w:t>)</w:t>
      </w:r>
      <w:r w:rsidRPr="00A955C4">
        <w:rPr>
          <w:rtl/>
          <w:lang w:val="en-US"/>
        </w:rPr>
        <w:t xml:space="preserve">. وينبغي للجنة أن تأخذ في الاعتبار عند النظر في ادعاءات انتهاكات المادة </w:t>
      </w:r>
      <w:r w:rsidRPr="007F3524">
        <w:rPr>
          <w:rtl/>
          <w:lang w:val="en-US"/>
        </w:rPr>
        <w:t>3</w:t>
      </w:r>
      <w:r w:rsidRPr="00A955C4">
        <w:rPr>
          <w:rtl/>
          <w:lang w:val="en-US"/>
        </w:rPr>
        <w:t xml:space="preserve"> من </w:t>
      </w:r>
      <w:r w:rsidRPr="000F5418">
        <w:rPr>
          <w:spacing w:val="-2"/>
          <w:rtl/>
          <w:lang w:val="en-US"/>
        </w:rPr>
        <w:t>الاتفاقية، ما إذا كان صاحب الشكوى تعرض للتعذيب أو سوء المعاملة على يد موظف رسمي أو أي شخص</w:t>
      </w:r>
      <w:r w:rsidRPr="00A955C4">
        <w:rPr>
          <w:rtl/>
          <w:lang w:val="en-US"/>
        </w:rPr>
        <w:t xml:space="preserve"> آخر يتصرف بصفة رسمية أو بتحريض من هذا الموظف أو بموافقته أو سكوته (الموافقة الضمنية) في الماضي، وإن كان الأمر كذلك، ما إذا كان ذلك في الماضي </w:t>
      </w:r>
      <w:proofErr w:type="gramStart"/>
      <w:r w:rsidRPr="00A955C4">
        <w:rPr>
          <w:rtl/>
          <w:lang w:val="en-US"/>
        </w:rPr>
        <w:t>القريب</w:t>
      </w:r>
      <w:r w:rsidRPr="00232E96">
        <w:rPr>
          <w:vertAlign w:val="superscript"/>
          <w:rtl/>
          <w:lang w:val="en-US"/>
        </w:rPr>
        <w:t>(</w:t>
      </w:r>
      <w:proofErr w:type="gramEnd"/>
      <w:r w:rsidRPr="007F3524">
        <w:rPr>
          <w:rStyle w:val="FootnoteReference"/>
          <w:szCs w:val="22"/>
          <w:lang w:val="en-US"/>
        </w:rPr>
        <w:footnoteReference w:id="22"/>
      </w:r>
      <w:r w:rsidRPr="00232E96">
        <w:rPr>
          <w:vertAlign w:val="superscript"/>
          <w:rtl/>
          <w:lang w:val="en-US"/>
        </w:rPr>
        <w:t>)</w:t>
      </w:r>
      <w:r w:rsidRPr="00A955C4">
        <w:rPr>
          <w:rtl/>
          <w:lang w:val="en-US"/>
        </w:rPr>
        <w:t xml:space="preserve">. </w:t>
      </w:r>
    </w:p>
    <w:p w14:paraId="350108C8" w14:textId="548A9F73" w:rsidR="00232E96" w:rsidRPr="0020617E" w:rsidRDefault="00232E96" w:rsidP="0020617E">
      <w:pPr>
        <w:pStyle w:val="SingleTxtGA"/>
        <w:spacing w:line="350" w:lineRule="exact"/>
        <w:rPr>
          <w:spacing w:val="-4"/>
          <w:lang w:val="en-US"/>
        </w:rPr>
      </w:pPr>
      <w:r w:rsidRPr="007F3524">
        <w:rPr>
          <w:spacing w:val="-4"/>
          <w:rtl/>
          <w:lang w:val="en-US"/>
        </w:rPr>
        <w:t>8</w:t>
      </w:r>
      <w:r w:rsidRPr="0020617E">
        <w:rPr>
          <w:spacing w:val="-4"/>
          <w:rtl/>
          <w:lang w:val="en-US"/>
        </w:rPr>
        <w:t>-</w:t>
      </w:r>
      <w:r w:rsidRPr="007F3524">
        <w:rPr>
          <w:spacing w:val="-4"/>
          <w:rtl/>
          <w:lang w:val="en-US"/>
        </w:rPr>
        <w:t>9</w:t>
      </w:r>
      <w:r w:rsidRPr="0020617E">
        <w:rPr>
          <w:spacing w:val="-4"/>
          <w:rtl/>
          <w:lang w:val="en-US"/>
        </w:rPr>
        <w:tab/>
        <w:t xml:space="preserve">وتذكِّر اللجنة بأن الاغتصاب الذي ترتكبه جهات فاعلة خاصة دون أن تبذل الدولة العناية الواجبة لمنع مرتكبي الاغتصاب والتحقيق معهم ومقاضاتهم ومعاقبتهم يشكل تعذيباً بالمعنى المقصود في المادة </w:t>
      </w:r>
      <w:r w:rsidRPr="007F3524">
        <w:rPr>
          <w:spacing w:val="-4"/>
          <w:rtl/>
          <w:lang w:val="en-US"/>
        </w:rPr>
        <w:t>1</w:t>
      </w:r>
      <w:r w:rsidRPr="0020617E">
        <w:rPr>
          <w:spacing w:val="-4"/>
          <w:rtl/>
          <w:lang w:val="en-US"/>
        </w:rPr>
        <w:t xml:space="preserve"> من</w:t>
      </w:r>
      <w:r w:rsidR="0020617E">
        <w:rPr>
          <w:rFonts w:hint="cs"/>
          <w:spacing w:val="-4"/>
          <w:rtl/>
          <w:lang w:val="en-US"/>
        </w:rPr>
        <w:t> </w:t>
      </w:r>
      <w:proofErr w:type="gramStart"/>
      <w:r w:rsidRPr="0020617E">
        <w:rPr>
          <w:spacing w:val="-4"/>
          <w:rtl/>
          <w:lang w:val="en-US"/>
        </w:rPr>
        <w:t>الاتفاقية</w:t>
      </w:r>
      <w:r w:rsidRPr="0020617E">
        <w:rPr>
          <w:spacing w:val="-4"/>
          <w:vertAlign w:val="superscript"/>
          <w:rtl/>
          <w:lang w:val="en-US"/>
        </w:rPr>
        <w:t>(</w:t>
      </w:r>
      <w:proofErr w:type="gramEnd"/>
      <w:r w:rsidRPr="007F3524">
        <w:rPr>
          <w:rStyle w:val="FootnoteReference"/>
          <w:spacing w:val="-4"/>
          <w:szCs w:val="22"/>
          <w:lang w:val="en-US"/>
        </w:rPr>
        <w:footnoteReference w:id="23"/>
      </w:r>
      <w:r w:rsidRPr="0020617E">
        <w:rPr>
          <w:spacing w:val="-4"/>
          <w:vertAlign w:val="superscript"/>
          <w:rtl/>
          <w:lang w:val="en-US"/>
        </w:rPr>
        <w:t>)</w:t>
      </w:r>
      <w:r w:rsidRPr="0020617E">
        <w:rPr>
          <w:spacing w:val="-4"/>
          <w:rtl/>
          <w:lang w:val="en-US"/>
        </w:rPr>
        <w:t xml:space="preserve">. غير أن اللجنة تلاحظ في الوقت نفسه أن صاحبة الشكوى كانت ضحية اعتداء من فرد عادي وأن السلطات لم تُبلَّغ قط بالحادث. ولا تجادل صاحبة الشكوى بإمكانية علم السلطات الأوغندية بالاغتصاب، وأنها لم تبدِ العناية الواجبة في تحديد هوية الجاني ومعاقبته، أو بأنها لم تقدم لها سبيل انتصاف فعالاً. </w:t>
      </w:r>
    </w:p>
    <w:p w14:paraId="03BAB421" w14:textId="70B8E7B2" w:rsidR="00232E96" w:rsidRPr="00A955C4" w:rsidRDefault="00232E96" w:rsidP="0020617E">
      <w:pPr>
        <w:pStyle w:val="SingleTxtGA"/>
        <w:spacing w:line="350" w:lineRule="exact"/>
        <w:rPr>
          <w:lang w:val="en-US"/>
        </w:rPr>
      </w:pPr>
      <w:r w:rsidRPr="007F3524">
        <w:rPr>
          <w:rtl/>
          <w:lang w:val="en-US"/>
        </w:rPr>
        <w:t>8</w:t>
      </w:r>
      <w:r w:rsidRPr="00A955C4">
        <w:rPr>
          <w:rtl/>
          <w:lang w:val="en-US"/>
        </w:rPr>
        <w:t>-</w:t>
      </w:r>
      <w:r w:rsidRPr="007F3524">
        <w:rPr>
          <w:rtl/>
          <w:lang w:val="en-US"/>
        </w:rPr>
        <w:t>10</w:t>
      </w:r>
      <w:r w:rsidR="000F5418">
        <w:rPr>
          <w:rtl/>
          <w:lang w:val="en-US"/>
        </w:rPr>
        <w:tab/>
      </w:r>
      <w:r w:rsidRPr="00A955C4">
        <w:rPr>
          <w:rtl/>
          <w:lang w:val="en-US"/>
        </w:rPr>
        <w:t xml:space="preserve">وتذكِّر اللجنة بأن سوء المعاملة الذي تعرضت له في الماضي هو مجرد عنصر واحد من العناصر ينبغي أخذه في الحسبان عند تقييم خطر انتهاك المادة </w:t>
      </w:r>
      <w:r w:rsidRPr="007F3524">
        <w:rPr>
          <w:rtl/>
          <w:lang w:val="en-US"/>
        </w:rPr>
        <w:t>3</w:t>
      </w:r>
      <w:r w:rsidRPr="00A955C4">
        <w:rPr>
          <w:rtl/>
          <w:lang w:val="en-US"/>
        </w:rPr>
        <w:t xml:space="preserve"> من الاتفاقية. والهدف الرئيسي من هذا التقييم هو تحديد ما إذا كانت صاحبة الشكوى تواجه في الوقت الراهن خطر التعرض للتعذيب لدى عودتها إلى بلدها الأصلي. ولا يستتبع سوء المعاملة الذي تعرضت له صاحبة الشكوى في الماضي تلقائياً أنها ستظل عرضة لخطر التعذيب إذا أعيدت إلى </w:t>
      </w:r>
      <w:proofErr w:type="gramStart"/>
      <w:r w:rsidRPr="00A955C4">
        <w:rPr>
          <w:rtl/>
          <w:lang w:val="en-US"/>
        </w:rPr>
        <w:t>أوغندا</w:t>
      </w:r>
      <w:r w:rsidRPr="00232E96">
        <w:rPr>
          <w:vertAlign w:val="superscript"/>
          <w:rtl/>
          <w:lang w:val="en-US"/>
        </w:rPr>
        <w:t>(</w:t>
      </w:r>
      <w:proofErr w:type="gramEnd"/>
      <w:r w:rsidRPr="007F3524">
        <w:rPr>
          <w:rStyle w:val="FootnoteReference"/>
          <w:szCs w:val="22"/>
          <w:lang w:val="en-US"/>
        </w:rPr>
        <w:footnoteReference w:id="24"/>
      </w:r>
      <w:r w:rsidRPr="00232E96">
        <w:rPr>
          <w:vertAlign w:val="superscript"/>
          <w:rtl/>
          <w:lang w:val="en-US"/>
        </w:rPr>
        <w:t>)</w:t>
      </w:r>
      <w:r w:rsidRPr="00A955C4">
        <w:rPr>
          <w:rtl/>
          <w:lang w:val="en-US"/>
        </w:rPr>
        <w:t xml:space="preserve">. وتلاحظ اللجنة أن سلطات الهجرة الدانمركية أخذت في الاعتبار، لدى تقييمها للملف الذي قدمته صاحبة الشكوى من أجل الحصول على اللجوء المدة الطويلة التي انقضت بين اغتصاب صاحبة الشكوى ومغادرتها أوغندا، وأنها عاشت مع امرأة أخرى خلال تسع سنوات قبل مغادرتها وأقامت علاقات جنسية مثلية دون أن تكون ضحية اعتداءات من أفراد المجتمع المحلي ودون أن </w:t>
      </w:r>
      <w:proofErr w:type="spellStart"/>
      <w:r w:rsidRPr="00A955C4">
        <w:rPr>
          <w:rtl/>
          <w:lang w:val="en-US"/>
        </w:rPr>
        <w:t>تضطهدها</w:t>
      </w:r>
      <w:proofErr w:type="spellEnd"/>
      <w:r w:rsidRPr="00A955C4">
        <w:rPr>
          <w:rtl/>
          <w:lang w:val="en-US"/>
        </w:rPr>
        <w:t xml:space="preserve"> السلطات. وتلاحظ اللجنة كذلك أن صاحبة الشكوى لا تدعي أن السلطات </w:t>
      </w:r>
      <w:r w:rsidRPr="00594A27">
        <w:rPr>
          <w:spacing w:val="-2"/>
          <w:rtl/>
          <w:lang w:val="en-US"/>
        </w:rPr>
        <w:t>الأوغندية حاولت منعها من مغادرة أوغندا. ولم تقدم أي دليل يشير إلى أن السلطات الأوغندية، مثل الشرطة</w:t>
      </w:r>
      <w:r w:rsidRPr="00A955C4">
        <w:rPr>
          <w:rtl/>
          <w:lang w:val="en-US"/>
        </w:rPr>
        <w:t xml:space="preserve"> أو أجهزة الأمن الأخرى، كانت تبحث </w:t>
      </w:r>
      <w:proofErr w:type="gramStart"/>
      <w:r w:rsidRPr="00A955C4">
        <w:rPr>
          <w:rtl/>
          <w:lang w:val="en-US"/>
        </w:rPr>
        <w:t>عنها</w:t>
      </w:r>
      <w:r w:rsidRPr="00232E96">
        <w:rPr>
          <w:vertAlign w:val="superscript"/>
          <w:rtl/>
          <w:lang w:val="en-US"/>
        </w:rPr>
        <w:t>(</w:t>
      </w:r>
      <w:proofErr w:type="gramEnd"/>
      <w:r w:rsidRPr="007F3524">
        <w:rPr>
          <w:rStyle w:val="FootnoteReference"/>
          <w:szCs w:val="22"/>
          <w:lang w:val="en-US"/>
        </w:rPr>
        <w:footnoteReference w:id="25"/>
      </w:r>
      <w:r w:rsidRPr="00232E96">
        <w:rPr>
          <w:vertAlign w:val="superscript"/>
          <w:rtl/>
          <w:lang w:val="en-US"/>
        </w:rPr>
        <w:t>)</w:t>
      </w:r>
      <w:r w:rsidRPr="00A955C4">
        <w:rPr>
          <w:rtl/>
          <w:lang w:val="en-US"/>
        </w:rPr>
        <w:t>.</w:t>
      </w:r>
    </w:p>
    <w:p w14:paraId="2C9D16CE" w14:textId="381759FC" w:rsidR="00232E96" w:rsidRPr="00A955C4" w:rsidRDefault="00232E96" w:rsidP="0020617E">
      <w:pPr>
        <w:pStyle w:val="SingleTxtGA"/>
        <w:spacing w:line="350" w:lineRule="exact"/>
        <w:rPr>
          <w:lang w:val="en-US"/>
        </w:rPr>
      </w:pPr>
      <w:r w:rsidRPr="007F3524">
        <w:rPr>
          <w:rtl/>
          <w:lang w:val="en-US"/>
        </w:rPr>
        <w:t>8</w:t>
      </w:r>
      <w:r w:rsidRPr="00A955C4">
        <w:rPr>
          <w:rtl/>
          <w:lang w:val="en-US"/>
        </w:rPr>
        <w:t>-</w:t>
      </w:r>
      <w:r w:rsidRPr="007F3524">
        <w:rPr>
          <w:rtl/>
          <w:lang w:val="en-US"/>
        </w:rPr>
        <w:t>11</w:t>
      </w:r>
      <w:r w:rsidR="000F5418">
        <w:rPr>
          <w:rtl/>
          <w:lang w:val="en-US"/>
        </w:rPr>
        <w:tab/>
      </w:r>
      <w:r w:rsidRPr="00A955C4">
        <w:rPr>
          <w:rtl/>
          <w:lang w:val="en-US"/>
        </w:rPr>
        <w:t xml:space="preserve">وتلاحظ اللجنة حجة الدولة الطرف بأن صاحبة الشكوى لم تشارك في أنشطة تتعلق بالدفاع عن حقوق المثليات والمثليين ومزدوجي الميل الجنسي ومغايري الهوية الجنسانية وحاملي صفات الجنسين في أوغندا، وأن أنشطتها صلب المنظمات التي تدافع عن حقوق هذه الفئة في الدانمرك تبدو مجهولة أو ذات طابع لم يجعلها فرداً بارزاً إلى درجة أنها قد تتعرض لخطر التعذيب إذا أعيدت إلى أوغندا. وتذكِّر اللجنة بأنه عند تقييم خطر انتهاك المادة </w:t>
      </w:r>
      <w:r w:rsidRPr="007F3524">
        <w:rPr>
          <w:rtl/>
          <w:lang w:val="en-US"/>
        </w:rPr>
        <w:t>3</w:t>
      </w:r>
      <w:r w:rsidRPr="00A955C4">
        <w:rPr>
          <w:rtl/>
          <w:lang w:val="en-US"/>
        </w:rPr>
        <w:t xml:space="preserve"> من الاتفاقية، من المناسب أن تراعي ما إذا كان صاحب</w:t>
      </w:r>
      <w:r w:rsidR="002608C2">
        <w:rPr>
          <w:rtl/>
          <w:lang w:val="en-US"/>
        </w:rPr>
        <w:t xml:space="preserve"> </w:t>
      </w:r>
      <w:r w:rsidRPr="00A955C4">
        <w:rPr>
          <w:rtl/>
          <w:lang w:val="en-US"/>
        </w:rPr>
        <w:t xml:space="preserve">الشكوى قد شارك داخل الدولة المعنية أو خارجها في نشاط سياسي أو نشاط آخر يبدو أنه يضع صاحبة الشكوى في </w:t>
      </w:r>
      <w:r w:rsidRPr="000F5418">
        <w:rPr>
          <w:spacing w:val="-2"/>
          <w:rtl/>
          <w:lang w:val="en-US"/>
        </w:rPr>
        <w:t xml:space="preserve">وضع يعرضه لخطر التعذيب في حالة </w:t>
      </w:r>
      <w:proofErr w:type="gramStart"/>
      <w:r w:rsidRPr="000F5418">
        <w:rPr>
          <w:spacing w:val="-2"/>
          <w:rtl/>
          <w:lang w:val="en-US"/>
        </w:rPr>
        <w:t>ترحيله</w:t>
      </w:r>
      <w:r w:rsidRPr="000F5418">
        <w:rPr>
          <w:spacing w:val="-2"/>
          <w:vertAlign w:val="superscript"/>
          <w:rtl/>
          <w:lang w:val="en-US"/>
        </w:rPr>
        <w:t>(</w:t>
      </w:r>
      <w:proofErr w:type="gramEnd"/>
      <w:r w:rsidRPr="007F3524">
        <w:rPr>
          <w:rStyle w:val="FootnoteReference"/>
          <w:spacing w:val="-2"/>
          <w:szCs w:val="22"/>
          <w:lang w:val="en-US"/>
        </w:rPr>
        <w:footnoteReference w:id="26"/>
      </w:r>
      <w:r w:rsidRPr="000F5418">
        <w:rPr>
          <w:spacing w:val="-2"/>
          <w:vertAlign w:val="superscript"/>
          <w:rtl/>
          <w:lang w:val="en-US"/>
        </w:rPr>
        <w:t>)</w:t>
      </w:r>
      <w:r w:rsidRPr="000F5418">
        <w:rPr>
          <w:spacing w:val="-2"/>
          <w:rtl/>
          <w:lang w:val="en-US"/>
        </w:rPr>
        <w:t>. وترى اللجنة أنه حتى لو كان ممكناً أن تتعرض صاحبة</w:t>
      </w:r>
      <w:r w:rsidRPr="00A955C4">
        <w:rPr>
          <w:rtl/>
          <w:lang w:val="en-US"/>
        </w:rPr>
        <w:t xml:space="preserve"> الشكوى لخطر سوء المعاملة على نحو يتعارض مع المادة </w:t>
      </w:r>
      <w:r w:rsidRPr="007F3524">
        <w:rPr>
          <w:rtl/>
          <w:lang w:val="en-US"/>
        </w:rPr>
        <w:t>3</w:t>
      </w:r>
      <w:r w:rsidRPr="00A955C4">
        <w:rPr>
          <w:rtl/>
          <w:lang w:val="en-US"/>
        </w:rPr>
        <w:t xml:space="preserve"> من الاتفاقية بسبب مشاركتها في أنشطة تتعلق بالدفاع عن حقوق المثليات والمثليين ومزدوجي الميل الجنسي ومغايري الهوية الجنسانية وحاملي صفات الجنسين في الدانمرك، فإن صاحبة الشكوى لم تقدم أدلة كافية تثبت أن مشاركتها في أنشطة الدعوة كانت ذات أهمية بحيث أنها ستجذب انتباه السلطات الأوغندية. </w:t>
      </w:r>
    </w:p>
    <w:p w14:paraId="218094E2" w14:textId="2C851BAB" w:rsidR="00232E96" w:rsidRPr="00A955C4" w:rsidRDefault="00232E96" w:rsidP="00A955C4">
      <w:pPr>
        <w:pStyle w:val="SingleTxtGA"/>
        <w:rPr>
          <w:lang w:val="en-US"/>
        </w:rPr>
      </w:pPr>
      <w:r w:rsidRPr="007F3524">
        <w:rPr>
          <w:rtl/>
          <w:lang w:val="en-US"/>
        </w:rPr>
        <w:lastRenderedPageBreak/>
        <w:t>8</w:t>
      </w:r>
      <w:r w:rsidRPr="00A955C4">
        <w:rPr>
          <w:rtl/>
          <w:lang w:val="en-US"/>
        </w:rPr>
        <w:t>-</w:t>
      </w:r>
      <w:r w:rsidRPr="007F3524">
        <w:rPr>
          <w:rtl/>
          <w:lang w:val="en-US"/>
        </w:rPr>
        <w:t>12</w:t>
      </w:r>
      <w:r w:rsidR="000F5418">
        <w:rPr>
          <w:rtl/>
          <w:lang w:val="en-US"/>
        </w:rPr>
        <w:tab/>
      </w:r>
      <w:r w:rsidRPr="00A955C4">
        <w:rPr>
          <w:rtl/>
          <w:lang w:val="en-US"/>
        </w:rPr>
        <w:t xml:space="preserve">وتحيط اللجنة علماً بحجة صاحبة الشكوى بأن مجلس طعون اللاجئين لم ينظر في المخاطر التي يمكن أن تواجهها نتيجة الكشف عن اسمها وصورتها في مقال ورد في منشور ثرثرة صدر في أوغندا. غير أن اللجنة تلاحظ أيضاً أن المجلس نظر في هذا الظرف في قراره المؤرخ </w:t>
      </w:r>
      <w:r w:rsidRPr="007F3524">
        <w:rPr>
          <w:rtl/>
          <w:lang w:val="en-US"/>
        </w:rPr>
        <w:t>30</w:t>
      </w:r>
      <w:r w:rsidRPr="00A955C4">
        <w:rPr>
          <w:rtl/>
          <w:lang w:val="en-US"/>
        </w:rPr>
        <w:t xml:space="preserve"> أيار/مايو </w:t>
      </w:r>
      <w:r w:rsidRPr="007F3524">
        <w:rPr>
          <w:rtl/>
          <w:lang w:val="en-US"/>
        </w:rPr>
        <w:t>2017</w:t>
      </w:r>
      <w:r w:rsidRPr="00A955C4">
        <w:rPr>
          <w:rtl/>
          <w:lang w:val="en-US"/>
        </w:rPr>
        <w:t xml:space="preserve"> وخلص إلى أنه لا يعرّض صاحبة الشكوى لخطر التعذيب إذا أعيدت إلى أوغندا لأن عدداً من المنظمات، </w:t>
      </w:r>
      <w:r w:rsidRPr="00594A27">
        <w:rPr>
          <w:spacing w:val="-4"/>
          <w:rtl/>
          <w:lang w:val="en-US"/>
        </w:rPr>
        <w:t>ولا سيما في كمبالا، تناقش بنشاط وعلانيةً مسائل تتعلق بحقوق المثليات والمثليين ومزدوجي الميل الجنسي</w:t>
      </w:r>
      <w:r w:rsidRPr="00A955C4">
        <w:rPr>
          <w:rtl/>
          <w:lang w:val="en-US"/>
        </w:rPr>
        <w:t xml:space="preserve"> ومغايري الهوية الجنسانية وحاملي صفات الجنسين وتتابع القضايا ذات الصلة أمام المحاكم، ولأن قضايا المثليات والمثليين ومزدوجي الميل الجنسي ومغايري الهوية الجنسانية وحاملي صفات الجنسين تُناقش علناً في المدن الكبيرة.</w:t>
      </w:r>
    </w:p>
    <w:p w14:paraId="5CDC76D8" w14:textId="4DA672F2" w:rsidR="00232E96" w:rsidRPr="00A955C4" w:rsidRDefault="00232E96" w:rsidP="00A955C4">
      <w:pPr>
        <w:pStyle w:val="SingleTxtGA"/>
        <w:rPr>
          <w:lang w:val="en-US"/>
        </w:rPr>
      </w:pPr>
      <w:r w:rsidRPr="007F3524">
        <w:rPr>
          <w:rtl/>
          <w:lang w:val="en-US"/>
        </w:rPr>
        <w:t>8</w:t>
      </w:r>
      <w:r w:rsidRPr="00A955C4">
        <w:rPr>
          <w:rtl/>
          <w:lang w:val="en-US"/>
        </w:rPr>
        <w:t>-</w:t>
      </w:r>
      <w:r w:rsidRPr="007F3524">
        <w:rPr>
          <w:rtl/>
          <w:lang w:val="en-US"/>
        </w:rPr>
        <w:t>13</w:t>
      </w:r>
      <w:r w:rsidR="000F5418">
        <w:rPr>
          <w:rtl/>
          <w:lang w:val="en-US"/>
        </w:rPr>
        <w:tab/>
      </w:r>
      <w:r w:rsidRPr="00A955C4">
        <w:rPr>
          <w:rtl/>
          <w:lang w:val="en-US"/>
        </w:rPr>
        <w:t xml:space="preserve">وتلاحظ اللجنة أنه، تماشياً مع المادة </w:t>
      </w:r>
      <w:r w:rsidRPr="007F3524">
        <w:rPr>
          <w:rtl/>
          <w:lang w:val="en-US"/>
        </w:rPr>
        <w:t>3</w:t>
      </w:r>
      <w:r w:rsidRPr="00A955C4">
        <w:rPr>
          <w:rtl/>
          <w:lang w:val="en-US"/>
        </w:rPr>
        <w:t>(</w:t>
      </w:r>
      <w:r w:rsidRPr="007F3524">
        <w:rPr>
          <w:rtl/>
          <w:lang w:val="en-US"/>
        </w:rPr>
        <w:t>2</w:t>
      </w:r>
      <w:r w:rsidRPr="00A955C4">
        <w:rPr>
          <w:rtl/>
          <w:lang w:val="en-US"/>
        </w:rPr>
        <w:t xml:space="preserve">) من الاتفاقية، وبغية تحديد ما إذا كانت هناك أسباب </w:t>
      </w:r>
      <w:r w:rsidRPr="000F5418">
        <w:rPr>
          <w:spacing w:val="-2"/>
          <w:rtl/>
          <w:lang w:val="en-US"/>
        </w:rPr>
        <w:t>تدعو إلى الاعتقاد بأن شخصاً ما سيواجه خطر التعذيب إذا أعيد إلى دولة أخرى، ينبغي أن تتحقق السلطات</w:t>
      </w:r>
      <w:r w:rsidRPr="00A955C4">
        <w:rPr>
          <w:rtl/>
          <w:lang w:val="en-US"/>
        </w:rPr>
        <w:t xml:space="preserve"> المختصة من وجود نمط ثابت من الانتهاكات الفادحة أو الصارخة أو الجماعية لحقوق الإنسان في الدولة </w:t>
      </w:r>
      <w:r w:rsidRPr="000F5418">
        <w:rPr>
          <w:spacing w:val="-2"/>
          <w:rtl/>
          <w:lang w:val="en-US"/>
        </w:rPr>
        <w:t xml:space="preserve">المعنية، بما في ذلك مضايقة الأقليات وممارسة العنف </w:t>
      </w:r>
      <w:proofErr w:type="gramStart"/>
      <w:r w:rsidRPr="000F5418">
        <w:rPr>
          <w:spacing w:val="-2"/>
          <w:rtl/>
          <w:lang w:val="en-US"/>
        </w:rPr>
        <w:t>ضدهم</w:t>
      </w:r>
      <w:r w:rsidRPr="00232E96">
        <w:rPr>
          <w:vertAlign w:val="superscript"/>
          <w:rtl/>
          <w:lang w:val="en-US"/>
        </w:rPr>
        <w:t>(</w:t>
      </w:r>
      <w:proofErr w:type="gramEnd"/>
      <w:r w:rsidRPr="007F3524">
        <w:rPr>
          <w:rStyle w:val="FootnoteReference"/>
          <w:szCs w:val="22"/>
          <w:lang w:val="en-US"/>
        </w:rPr>
        <w:footnoteReference w:id="27"/>
      </w:r>
      <w:r w:rsidRPr="00232E96">
        <w:rPr>
          <w:vertAlign w:val="superscript"/>
          <w:rtl/>
          <w:lang w:val="en-US"/>
        </w:rPr>
        <w:t>)</w:t>
      </w:r>
      <w:r w:rsidRPr="00A955C4">
        <w:rPr>
          <w:rtl/>
          <w:lang w:val="en-US"/>
        </w:rPr>
        <w:t>.</w:t>
      </w:r>
      <w:r w:rsidR="002608C2">
        <w:rPr>
          <w:rtl/>
          <w:lang w:val="en-US"/>
        </w:rPr>
        <w:t xml:space="preserve"> </w:t>
      </w:r>
      <w:r w:rsidRPr="00A955C4">
        <w:rPr>
          <w:rtl/>
          <w:lang w:val="en-US"/>
        </w:rPr>
        <w:t xml:space="preserve">كما تلاحظ اللجنة بقلق التقارير المتعلقة بانتهاكات حقوق الإنسان المرتكبة ضد المثليات والمثليين ومزدوجي الميل الجنسي ومغايري الهوية الجنسانية وحاملي صفات الجنسين في أوغندا. بيد أن اللجنة تشير إلى أن وتيرة حدوث انتهاكات حقوق </w:t>
      </w:r>
      <w:r w:rsidRPr="000F5418">
        <w:rPr>
          <w:spacing w:val="-2"/>
          <w:rtl/>
          <w:lang w:val="en-US"/>
        </w:rPr>
        <w:t>الإنسان في البلد الأصلي لصاحب/صاحبة شكوى لا تكفي وحدها لاستنتاج أن صاحب الشكوى أو صاحبة</w:t>
      </w:r>
      <w:r w:rsidRPr="00A955C4">
        <w:rPr>
          <w:rtl/>
          <w:lang w:val="en-US"/>
        </w:rPr>
        <w:t xml:space="preserve"> الشكوى سيكون أو ستكون عرضة شخصياً لخطر التعذيب لدى إعادته أو إعادتها إلى ذلك البلد. ولذلك، فإن مجرد انتهاك حقوق الإنسان </w:t>
      </w:r>
      <w:proofErr w:type="spellStart"/>
      <w:r w:rsidRPr="00A955C4">
        <w:rPr>
          <w:rtl/>
          <w:lang w:val="en-US"/>
        </w:rPr>
        <w:t>للمثليات</w:t>
      </w:r>
      <w:proofErr w:type="spellEnd"/>
      <w:r w:rsidRPr="00A955C4">
        <w:rPr>
          <w:rtl/>
          <w:lang w:val="en-US"/>
        </w:rPr>
        <w:t xml:space="preserve"> والمثليين ومزدوجي الميل الجنسي ومغايري الهوية الجنسانية وحاملي صفات الجنسين في أوغندا لا يكفي في حد ذاته لاستنتاج =أن ترحيل صاحبة الشكوى إلى ذلك البلد سيشكل انتهاكاً للمادة </w:t>
      </w:r>
      <w:r w:rsidRPr="007F3524">
        <w:rPr>
          <w:rtl/>
          <w:lang w:val="en-US"/>
        </w:rPr>
        <w:t>3</w:t>
      </w:r>
      <w:r w:rsidRPr="00A955C4">
        <w:rPr>
          <w:rtl/>
          <w:lang w:val="en-US"/>
        </w:rPr>
        <w:t xml:space="preserve"> من </w:t>
      </w:r>
      <w:proofErr w:type="gramStart"/>
      <w:r w:rsidRPr="00A955C4">
        <w:rPr>
          <w:rtl/>
          <w:lang w:val="en-US"/>
        </w:rPr>
        <w:t>الاتفاقية</w:t>
      </w:r>
      <w:r w:rsidRPr="00232E96">
        <w:rPr>
          <w:vertAlign w:val="superscript"/>
          <w:rtl/>
          <w:lang w:val="en-US"/>
        </w:rPr>
        <w:t>(</w:t>
      </w:r>
      <w:proofErr w:type="gramEnd"/>
      <w:r w:rsidRPr="007F3524">
        <w:rPr>
          <w:rStyle w:val="FootnoteReference"/>
          <w:szCs w:val="22"/>
          <w:lang w:val="en-US"/>
        </w:rPr>
        <w:footnoteReference w:id="28"/>
      </w:r>
      <w:r w:rsidRPr="00232E96">
        <w:rPr>
          <w:vertAlign w:val="superscript"/>
          <w:rtl/>
          <w:lang w:val="en-US"/>
        </w:rPr>
        <w:t>)</w:t>
      </w:r>
      <w:r w:rsidRPr="00A955C4">
        <w:rPr>
          <w:rtl/>
          <w:lang w:val="en-US"/>
        </w:rPr>
        <w:t xml:space="preserve">. </w:t>
      </w:r>
    </w:p>
    <w:p w14:paraId="10C82705" w14:textId="08F6CCBC" w:rsidR="00A955C4" w:rsidRPr="00A955C4" w:rsidRDefault="00232E96" w:rsidP="00A955C4">
      <w:pPr>
        <w:pStyle w:val="SingleTxtGA"/>
        <w:rPr>
          <w:lang w:val="en-US"/>
        </w:rPr>
      </w:pPr>
      <w:r w:rsidRPr="007F3524">
        <w:rPr>
          <w:rtl/>
          <w:lang w:val="en-US"/>
        </w:rPr>
        <w:t>8</w:t>
      </w:r>
      <w:r w:rsidRPr="00A955C4">
        <w:rPr>
          <w:rtl/>
          <w:lang w:val="en-US"/>
        </w:rPr>
        <w:t>-</w:t>
      </w:r>
      <w:r w:rsidRPr="007F3524">
        <w:rPr>
          <w:rtl/>
          <w:lang w:val="en-US"/>
        </w:rPr>
        <w:t>14</w:t>
      </w:r>
      <w:r w:rsidR="000F5418">
        <w:rPr>
          <w:rtl/>
          <w:lang w:val="en-US"/>
        </w:rPr>
        <w:tab/>
      </w:r>
      <w:r w:rsidRPr="00594A27">
        <w:rPr>
          <w:spacing w:val="-2"/>
          <w:rtl/>
          <w:lang w:val="en-US"/>
        </w:rPr>
        <w:t>وتذكِّر اللجنة بأنه يعود عموماً للدول الأطراف في الاتفاقية أن تستعرض الوقائع والأدلة أو تقيِّمها</w:t>
      </w:r>
      <w:r w:rsidRPr="00A955C4">
        <w:rPr>
          <w:rtl/>
          <w:lang w:val="en-US"/>
        </w:rPr>
        <w:t xml:space="preserve"> </w:t>
      </w:r>
      <w:r w:rsidRPr="000F5418">
        <w:rPr>
          <w:spacing w:val="-2"/>
          <w:rtl/>
          <w:lang w:val="en-US"/>
        </w:rPr>
        <w:t xml:space="preserve">من أجل التحقق من وجود خطر </w:t>
      </w:r>
      <w:proofErr w:type="gramStart"/>
      <w:r w:rsidRPr="000F5418">
        <w:rPr>
          <w:spacing w:val="-2"/>
          <w:rtl/>
          <w:lang w:val="en-US"/>
        </w:rPr>
        <w:t>الاضطهاد</w:t>
      </w:r>
      <w:r w:rsidRPr="00232E96">
        <w:rPr>
          <w:vertAlign w:val="superscript"/>
          <w:rtl/>
          <w:lang w:val="en-US"/>
        </w:rPr>
        <w:t>(</w:t>
      </w:r>
      <w:proofErr w:type="gramEnd"/>
      <w:r w:rsidRPr="007F3524">
        <w:rPr>
          <w:rStyle w:val="FootnoteReference"/>
          <w:szCs w:val="22"/>
          <w:lang w:val="en-US"/>
        </w:rPr>
        <w:footnoteReference w:id="29"/>
      </w:r>
      <w:r w:rsidRPr="00232E96">
        <w:rPr>
          <w:vertAlign w:val="superscript"/>
          <w:rtl/>
          <w:lang w:val="en-US"/>
        </w:rPr>
        <w:t>)</w:t>
      </w:r>
      <w:r w:rsidRPr="00A955C4">
        <w:rPr>
          <w:rtl/>
          <w:lang w:val="en-US"/>
        </w:rPr>
        <w:t xml:space="preserve">. </w:t>
      </w:r>
      <w:r w:rsidRPr="000F5418">
        <w:rPr>
          <w:spacing w:val="-2"/>
          <w:rtl/>
          <w:lang w:val="en-US"/>
        </w:rPr>
        <w:t>ويبدو من المعلومات المتاحة للجنة أن السلطات</w:t>
      </w:r>
      <w:r w:rsidRPr="00A955C4">
        <w:rPr>
          <w:rtl/>
          <w:lang w:val="en-US"/>
        </w:rPr>
        <w:t xml:space="preserve"> الدانمركية أخذت في الاعتبار قدراً كبيراً من المعلومات الأساسية وخلصت إلى أن المثليات والمثليين ومزدوجي الميل الجنسي ومغايري الهوية الجنسانية وحاملي صفات الجنسين لا يتعرضون لسوء المعاملة على أيدي </w:t>
      </w:r>
      <w:r w:rsidRPr="000F5418">
        <w:rPr>
          <w:spacing w:val="-2"/>
          <w:rtl/>
          <w:lang w:val="en-US"/>
        </w:rPr>
        <w:t>السلطات الأوغندية أو عامة الناس. وترى اللجنة أيضاً أن صاحبة البلاغ، رغم اعتراضها</w:t>
      </w:r>
      <w:r w:rsidRPr="00A955C4">
        <w:rPr>
          <w:rtl/>
          <w:lang w:val="en-US"/>
        </w:rPr>
        <w:t xml:space="preserve"> على الاستنتاجات </w:t>
      </w:r>
      <w:proofErr w:type="spellStart"/>
      <w:r w:rsidRPr="00A955C4">
        <w:rPr>
          <w:rtl/>
          <w:lang w:val="en-US"/>
        </w:rPr>
        <w:t>الوقائعية</w:t>
      </w:r>
      <w:proofErr w:type="spellEnd"/>
      <w:r w:rsidRPr="00A955C4">
        <w:rPr>
          <w:rtl/>
          <w:lang w:val="en-US"/>
        </w:rPr>
        <w:t xml:space="preserve"> التي خلصت إليها سلطات الدولة الطرف، لم تثبت أنها كانت تعسفية أو ظاهرة البطلان أو تبلغ مستوى إنكار </w:t>
      </w:r>
      <w:proofErr w:type="gramStart"/>
      <w:r w:rsidRPr="00A955C4">
        <w:rPr>
          <w:rtl/>
          <w:lang w:val="en-US"/>
        </w:rPr>
        <w:t>العدالة</w:t>
      </w:r>
      <w:r w:rsidRPr="00232E96">
        <w:rPr>
          <w:vertAlign w:val="superscript"/>
          <w:rtl/>
          <w:lang w:val="en-US"/>
        </w:rPr>
        <w:t>(</w:t>
      </w:r>
      <w:proofErr w:type="gramEnd"/>
      <w:r w:rsidRPr="007F3524">
        <w:rPr>
          <w:rStyle w:val="FootnoteReference"/>
          <w:szCs w:val="22"/>
          <w:lang w:val="en-US"/>
        </w:rPr>
        <w:footnoteReference w:id="30"/>
      </w:r>
      <w:r w:rsidRPr="00232E96">
        <w:rPr>
          <w:vertAlign w:val="superscript"/>
          <w:rtl/>
          <w:lang w:val="en-US"/>
        </w:rPr>
        <w:t>)</w:t>
      </w:r>
      <w:r w:rsidR="00A955C4" w:rsidRPr="00A955C4">
        <w:rPr>
          <w:rtl/>
          <w:lang w:val="en-US"/>
        </w:rPr>
        <w:t>.</w:t>
      </w:r>
      <w:r w:rsidR="003C2CCA">
        <w:rPr>
          <w:rFonts w:hint="cs"/>
          <w:rtl/>
          <w:lang w:val="en-US"/>
        </w:rPr>
        <w:t xml:space="preserve"> </w:t>
      </w:r>
    </w:p>
    <w:p w14:paraId="698DA987" w14:textId="52E5A0E6" w:rsidR="00A955C4" w:rsidRPr="00A955C4" w:rsidRDefault="00A955C4" w:rsidP="00A955C4">
      <w:pPr>
        <w:pStyle w:val="SingleTxtGA"/>
        <w:rPr>
          <w:lang w:val="en-US"/>
        </w:rPr>
      </w:pPr>
      <w:r w:rsidRPr="007F3524">
        <w:rPr>
          <w:rtl/>
          <w:lang w:val="en-US"/>
        </w:rPr>
        <w:t>8</w:t>
      </w:r>
      <w:r w:rsidRPr="00A955C4">
        <w:rPr>
          <w:rtl/>
          <w:lang w:val="en-US"/>
        </w:rPr>
        <w:t>-</w:t>
      </w:r>
      <w:r w:rsidRPr="007F3524">
        <w:rPr>
          <w:rtl/>
          <w:lang w:val="en-US"/>
        </w:rPr>
        <w:t>15</w:t>
      </w:r>
      <w:r w:rsidR="000F5418">
        <w:rPr>
          <w:rtl/>
          <w:lang w:val="en-US"/>
        </w:rPr>
        <w:tab/>
      </w:r>
      <w:r w:rsidRPr="00A955C4">
        <w:rPr>
          <w:rtl/>
          <w:lang w:val="en-US"/>
        </w:rPr>
        <w:t xml:space="preserve">وفي ضوء الاعتبارات الواردة أعلاه، وبالاستناد إلى جميع المعلومات التي قدمها الطرفان، بما في ذلك المعلومات المتعلقة بالحالة العامة لحقوق الإنسان في أوغندا، ترى اللجنة أن صاحبة الشكوى لم تثبت بالقدر الكافي وجود أسباب حقيقية تدعو إلى الاعتقاد بأن عودتها إلى أوغندا في الوقت الحالي، ستعرضها لخطر التعذيب بشكل حقيقي ومتوقع وشخصي، حسبما تقتضيه المادة </w:t>
      </w:r>
      <w:r w:rsidRPr="007F3524">
        <w:rPr>
          <w:rtl/>
          <w:lang w:val="en-US"/>
        </w:rPr>
        <w:t>3</w:t>
      </w:r>
      <w:r w:rsidRPr="00A955C4">
        <w:rPr>
          <w:rtl/>
          <w:lang w:val="en-US"/>
        </w:rPr>
        <w:t xml:space="preserve"> من الاتفاقية. </w:t>
      </w:r>
    </w:p>
    <w:p w14:paraId="7AADA184" w14:textId="3622B65C" w:rsidR="00A955C4" w:rsidRPr="00A955C4" w:rsidRDefault="00A955C4" w:rsidP="00A955C4">
      <w:pPr>
        <w:pStyle w:val="SingleTxtGA"/>
        <w:rPr>
          <w:lang w:val="en-US"/>
        </w:rPr>
      </w:pPr>
      <w:r w:rsidRPr="007F3524">
        <w:rPr>
          <w:rtl/>
          <w:lang w:val="en-US"/>
        </w:rPr>
        <w:t>8</w:t>
      </w:r>
      <w:r w:rsidRPr="00A955C4">
        <w:rPr>
          <w:rtl/>
          <w:lang w:val="en-US"/>
        </w:rPr>
        <w:t>-</w:t>
      </w:r>
      <w:r w:rsidRPr="007F3524">
        <w:rPr>
          <w:rtl/>
          <w:lang w:val="en-US"/>
        </w:rPr>
        <w:t>16</w:t>
      </w:r>
      <w:r w:rsidR="000F5418">
        <w:rPr>
          <w:rtl/>
          <w:lang w:val="en-US"/>
        </w:rPr>
        <w:tab/>
      </w:r>
      <w:r w:rsidRPr="00350C95">
        <w:rPr>
          <w:spacing w:val="-4"/>
          <w:rtl/>
          <w:lang w:val="en-US"/>
        </w:rPr>
        <w:t xml:space="preserve">وتخلص اللجنة، وهي تتصرف بمقتضى الفقرة </w:t>
      </w:r>
      <w:r w:rsidRPr="007F3524">
        <w:rPr>
          <w:spacing w:val="-4"/>
          <w:rtl/>
          <w:lang w:val="en-US"/>
        </w:rPr>
        <w:t>7</w:t>
      </w:r>
      <w:r w:rsidRPr="00350C95">
        <w:rPr>
          <w:spacing w:val="-4"/>
          <w:rtl/>
          <w:lang w:val="en-US"/>
        </w:rPr>
        <w:t xml:space="preserve"> من المادة </w:t>
      </w:r>
      <w:r w:rsidRPr="007F3524">
        <w:rPr>
          <w:spacing w:val="-4"/>
          <w:rtl/>
          <w:lang w:val="en-US"/>
        </w:rPr>
        <w:t>22</w:t>
      </w:r>
      <w:r w:rsidRPr="00350C95">
        <w:rPr>
          <w:spacing w:val="-4"/>
          <w:rtl/>
          <w:lang w:val="en-US"/>
        </w:rPr>
        <w:t xml:space="preserve"> من الاتفاقية، إلى أن ترحيل صاحبة</w:t>
      </w:r>
      <w:r w:rsidRPr="00A955C4">
        <w:rPr>
          <w:rtl/>
          <w:lang w:val="en-US"/>
        </w:rPr>
        <w:t xml:space="preserve"> الشكوى إلى أوغندا لن يشكّل انتهاكاً للمادة </w:t>
      </w:r>
      <w:r w:rsidRPr="007F3524">
        <w:rPr>
          <w:rtl/>
          <w:lang w:val="en-US"/>
        </w:rPr>
        <w:t>3</w:t>
      </w:r>
      <w:r w:rsidRPr="00A955C4">
        <w:rPr>
          <w:rtl/>
          <w:lang w:val="en-US"/>
        </w:rPr>
        <w:t xml:space="preserve"> من الاتفاقية من جانب الدولة الطرف.</w:t>
      </w:r>
    </w:p>
    <w:p w14:paraId="20C3C83A" w14:textId="11E5123E" w:rsidR="00A955C4" w:rsidRPr="00A955C4" w:rsidRDefault="00A955C4" w:rsidP="00A955C4">
      <w:pPr>
        <w:pStyle w:val="SingleTxtGA"/>
        <w:jc w:val="center"/>
        <w:rPr>
          <w:u w:val="single"/>
          <w:rtl/>
        </w:rPr>
      </w:pPr>
      <w:r>
        <w:rPr>
          <w:u w:val="single"/>
          <w:rtl/>
        </w:rPr>
        <w:tab/>
      </w:r>
      <w:r>
        <w:rPr>
          <w:u w:val="single"/>
          <w:rtl/>
        </w:rPr>
        <w:tab/>
      </w:r>
      <w:r>
        <w:rPr>
          <w:u w:val="single"/>
          <w:rtl/>
        </w:rPr>
        <w:tab/>
      </w:r>
    </w:p>
    <w:sectPr w:rsidR="00A955C4" w:rsidRPr="00A955C4" w:rsidSect="00931A2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43349" w14:textId="77777777" w:rsidR="006A223A" w:rsidRPr="002901D9" w:rsidRDefault="006A223A" w:rsidP="00874514">
      <w:pPr>
        <w:spacing w:after="60" w:line="240" w:lineRule="auto"/>
        <w:ind w:left="57"/>
        <w:rPr>
          <w:i/>
          <w:iCs/>
        </w:rPr>
      </w:pPr>
      <w:r>
        <w:rPr>
          <w:rFonts w:hint="cs"/>
          <w:i/>
          <w:iCs/>
          <w:rtl/>
        </w:rPr>
        <w:t>الحواشي</w:t>
      </w:r>
    </w:p>
  </w:endnote>
  <w:endnote w:type="continuationSeparator" w:id="0">
    <w:p w14:paraId="46BE4428" w14:textId="77777777" w:rsidR="006A223A" w:rsidRDefault="006A223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D9D89" w14:textId="0BFA7063" w:rsidR="006A223A" w:rsidRPr="002F4949" w:rsidRDefault="006A223A" w:rsidP="002F4949">
    <w:pPr>
      <w:pStyle w:val="Footer"/>
      <w:tabs>
        <w:tab w:val="right" w:pos="9638"/>
      </w:tabs>
      <w:rPr>
        <w:b/>
        <w:sz w:val="18"/>
        <w:lang w:val="en-US"/>
      </w:rPr>
    </w:pPr>
    <w:r>
      <w:rPr>
        <w:lang w:val="en-US"/>
      </w:rPr>
      <w:t>GE.21-12067</w:t>
    </w:r>
    <w:r>
      <w:rPr>
        <w:lang w:val="en-US"/>
      </w:rPr>
      <w:tab/>
    </w:r>
    <w:r w:rsidRPr="002F4949">
      <w:rPr>
        <w:b/>
        <w:sz w:val="18"/>
        <w:lang w:val="en-US"/>
      </w:rPr>
      <w:fldChar w:fldCharType="begin"/>
    </w:r>
    <w:r w:rsidRPr="002F4949">
      <w:rPr>
        <w:b/>
        <w:sz w:val="18"/>
        <w:lang w:val="en-US"/>
      </w:rPr>
      <w:instrText xml:space="preserve"> PAGE  \* MERGEFORMAT </w:instrText>
    </w:r>
    <w:r w:rsidRPr="002F4949">
      <w:rPr>
        <w:b/>
        <w:sz w:val="18"/>
        <w:lang w:val="en-US"/>
      </w:rPr>
      <w:fldChar w:fldCharType="separate"/>
    </w:r>
    <w:r w:rsidRPr="002F4949">
      <w:rPr>
        <w:b/>
        <w:noProof/>
        <w:sz w:val="18"/>
        <w:lang w:val="en-US"/>
      </w:rPr>
      <w:t>2</w:t>
    </w:r>
    <w:r w:rsidRPr="002F4949">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2B665" w14:textId="288C26F1" w:rsidR="006A223A" w:rsidRPr="002F4949" w:rsidRDefault="006A223A" w:rsidP="002F4949">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GE.21-12067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57D6B" w14:textId="28D519AB" w:rsidR="006A223A" w:rsidRPr="002F4949" w:rsidRDefault="006A223A" w:rsidP="002F4949">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2515110E" wp14:editId="6EE1434E">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21-12067 (A)</w:t>
    </w:r>
    <w:r>
      <w:rPr>
        <w:noProof/>
        <w:sz w:val="20"/>
        <w:lang w:val="en-US"/>
      </w:rPr>
      <w:drawing>
        <wp:anchor distT="0" distB="0" distL="114300" distR="114300" simplePos="0" relativeHeight="251659264" behindDoc="0" locked="0" layoutInCell="1" allowOverlap="1" wp14:anchorId="2021C3B2" wp14:editId="39597603">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001A4" w14:textId="77777777" w:rsidR="006A223A" w:rsidRPr="00C111C6" w:rsidRDefault="006A223A" w:rsidP="00C111C6">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77FC30FD" w14:textId="77777777" w:rsidR="006A223A" w:rsidRDefault="006A223A" w:rsidP="00656392">
      <w:pPr>
        <w:spacing w:line="240" w:lineRule="auto"/>
      </w:pPr>
      <w:r>
        <w:continuationSeparator/>
      </w:r>
    </w:p>
  </w:footnote>
  <w:footnote w:id="1">
    <w:p w14:paraId="20DAB2C2" w14:textId="5596C651" w:rsidR="006A223A" w:rsidRPr="00232E96" w:rsidRDefault="006A223A" w:rsidP="00232E96">
      <w:pPr>
        <w:pStyle w:val="FootnoteText1"/>
        <w:rPr>
          <w:rFonts w:hint="cs"/>
          <w:rtl/>
        </w:rPr>
      </w:pPr>
      <w:r>
        <w:rPr>
          <w:rtl/>
        </w:rPr>
        <w:t>*</w:t>
      </w:r>
      <w:r>
        <w:rPr>
          <w:rtl/>
        </w:rPr>
        <w:tab/>
      </w:r>
      <w:r w:rsidRPr="00232E96">
        <w:rPr>
          <w:rtl/>
        </w:rPr>
        <w:t>اعتمدته اللجنة في دورتها الحادية والسبعين (</w:t>
      </w:r>
      <w:r w:rsidRPr="007F3524">
        <w:rPr>
          <w:rtl/>
        </w:rPr>
        <w:t>12</w:t>
      </w:r>
      <w:r w:rsidRPr="00232E96">
        <w:rPr>
          <w:rtl/>
        </w:rPr>
        <w:t>-</w:t>
      </w:r>
      <w:r w:rsidRPr="007F3524">
        <w:rPr>
          <w:rtl/>
        </w:rPr>
        <w:t>30</w:t>
      </w:r>
      <w:r w:rsidRPr="00232E96">
        <w:rPr>
          <w:rtl/>
        </w:rPr>
        <w:t xml:space="preserve"> تموز/يوليو </w:t>
      </w:r>
      <w:r w:rsidRPr="007F3524">
        <w:rPr>
          <w:rtl/>
        </w:rPr>
        <w:t>2021</w:t>
      </w:r>
      <w:r w:rsidRPr="00232E96">
        <w:rPr>
          <w:rtl/>
        </w:rPr>
        <w:t>).</w:t>
      </w:r>
      <w:r w:rsidRPr="00232E96">
        <w:rPr>
          <w:rFonts w:cs="Times New Roman" w:hint="cs"/>
          <w:rtl/>
        </w:rPr>
        <w:t>‬</w:t>
      </w:r>
    </w:p>
  </w:footnote>
  <w:footnote w:id="2">
    <w:p w14:paraId="65A4853B" w14:textId="1F934078" w:rsidR="006A223A" w:rsidRPr="00232E96" w:rsidRDefault="006A223A" w:rsidP="00232E96">
      <w:pPr>
        <w:pStyle w:val="FootnoteText1"/>
        <w:rPr>
          <w:rFonts w:hint="cs"/>
          <w:rtl/>
        </w:rPr>
      </w:pPr>
      <w:r>
        <w:rPr>
          <w:rtl/>
        </w:rPr>
        <w:t>**</w:t>
      </w:r>
      <w:r>
        <w:rPr>
          <w:rtl/>
        </w:rPr>
        <w:tab/>
      </w:r>
      <w:r w:rsidRPr="002608C2">
        <w:rPr>
          <w:spacing w:val="-2"/>
          <w:rtl/>
        </w:rPr>
        <w:t xml:space="preserve">شارك في دراسة هذا البلاغ أعضاء اللجنة التالية أسماؤهم: السعدية </w:t>
      </w:r>
      <w:proofErr w:type="spellStart"/>
      <w:r w:rsidRPr="002608C2">
        <w:rPr>
          <w:spacing w:val="-2"/>
          <w:rtl/>
        </w:rPr>
        <w:t>بلمير</w:t>
      </w:r>
      <w:proofErr w:type="spellEnd"/>
      <w:r w:rsidRPr="002608C2">
        <w:rPr>
          <w:spacing w:val="-2"/>
          <w:rtl/>
        </w:rPr>
        <w:t xml:space="preserve">، وكلود هيلر، </w:t>
      </w:r>
      <w:proofErr w:type="spellStart"/>
      <w:r w:rsidRPr="002608C2">
        <w:rPr>
          <w:spacing w:val="-2"/>
          <w:rtl/>
        </w:rPr>
        <w:t>وإردوغان</w:t>
      </w:r>
      <w:proofErr w:type="spellEnd"/>
      <w:r w:rsidRPr="002608C2">
        <w:rPr>
          <w:spacing w:val="-2"/>
          <w:rtl/>
        </w:rPr>
        <w:t xml:space="preserve"> إشجان، وليو هواوين، </w:t>
      </w:r>
      <w:proofErr w:type="spellStart"/>
      <w:r w:rsidRPr="002608C2">
        <w:rPr>
          <w:spacing w:val="-2"/>
          <w:rtl/>
        </w:rPr>
        <w:t>وإلفيا</w:t>
      </w:r>
      <w:proofErr w:type="spellEnd"/>
      <w:r w:rsidRPr="002608C2">
        <w:rPr>
          <w:spacing w:val="-2"/>
          <w:rtl/>
        </w:rPr>
        <w:t xml:space="preserve"> </w:t>
      </w:r>
      <w:proofErr w:type="spellStart"/>
      <w:r w:rsidRPr="002608C2">
        <w:rPr>
          <w:spacing w:val="-2"/>
          <w:rtl/>
        </w:rPr>
        <w:t>بوتشي</w:t>
      </w:r>
      <w:proofErr w:type="spellEnd"/>
      <w:r w:rsidRPr="002608C2">
        <w:rPr>
          <w:spacing w:val="-2"/>
          <w:rtl/>
        </w:rPr>
        <w:t>،</w:t>
      </w:r>
      <w:r w:rsidRPr="00232E96">
        <w:rPr>
          <w:rtl/>
        </w:rPr>
        <w:t xml:space="preserve"> </w:t>
      </w:r>
      <w:r w:rsidRPr="001A176B">
        <w:rPr>
          <w:spacing w:val="4"/>
          <w:rtl/>
        </w:rPr>
        <w:t xml:space="preserve">وأنا </w:t>
      </w:r>
      <w:proofErr w:type="spellStart"/>
      <w:r w:rsidRPr="001A176B">
        <w:rPr>
          <w:spacing w:val="4"/>
          <w:rtl/>
        </w:rPr>
        <w:t>راكو</w:t>
      </w:r>
      <w:proofErr w:type="spellEnd"/>
      <w:r w:rsidRPr="001A176B">
        <w:rPr>
          <w:spacing w:val="4"/>
          <w:rtl/>
        </w:rPr>
        <w:t xml:space="preserve">، ودييغو </w:t>
      </w:r>
      <w:proofErr w:type="spellStart"/>
      <w:r w:rsidRPr="001A176B">
        <w:rPr>
          <w:spacing w:val="4"/>
          <w:rtl/>
        </w:rPr>
        <w:t>رودريغيز</w:t>
      </w:r>
      <w:proofErr w:type="spellEnd"/>
      <w:r w:rsidRPr="001A176B">
        <w:rPr>
          <w:spacing w:val="4"/>
          <w:rtl/>
        </w:rPr>
        <w:t xml:space="preserve"> - </w:t>
      </w:r>
      <w:proofErr w:type="spellStart"/>
      <w:r w:rsidRPr="001A176B">
        <w:rPr>
          <w:spacing w:val="4"/>
          <w:rtl/>
        </w:rPr>
        <w:t>بينزون</w:t>
      </w:r>
      <w:proofErr w:type="spellEnd"/>
      <w:r w:rsidRPr="001A176B">
        <w:rPr>
          <w:spacing w:val="4"/>
          <w:rtl/>
        </w:rPr>
        <w:t xml:space="preserve">، وسيباستيان توزي، وباختيار </w:t>
      </w:r>
      <w:proofErr w:type="spellStart"/>
      <w:r w:rsidRPr="001A176B">
        <w:rPr>
          <w:spacing w:val="4"/>
          <w:rtl/>
        </w:rPr>
        <w:t>توزمحمدوف</w:t>
      </w:r>
      <w:proofErr w:type="spellEnd"/>
      <w:r w:rsidRPr="001A176B">
        <w:rPr>
          <w:spacing w:val="4"/>
          <w:rtl/>
        </w:rPr>
        <w:t xml:space="preserve">. وعملاً بالمادة </w:t>
      </w:r>
      <w:r w:rsidRPr="007F3524">
        <w:rPr>
          <w:spacing w:val="4"/>
          <w:rtl/>
        </w:rPr>
        <w:t>109</w:t>
      </w:r>
      <w:r w:rsidRPr="001A176B">
        <w:rPr>
          <w:spacing w:val="4"/>
          <w:rtl/>
        </w:rPr>
        <w:t xml:space="preserve">، مقروءةً بالاقتران </w:t>
      </w:r>
      <w:r w:rsidRPr="001A176B">
        <w:rPr>
          <w:spacing w:val="-4"/>
          <w:rtl/>
        </w:rPr>
        <w:t xml:space="preserve">بالمادة </w:t>
      </w:r>
      <w:r w:rsidRPr="007F3524">
        <w:rPr>
          <w:spacing w:val="-4"/>
          <w:rtl/>
        </w:rPr>
        <w:t>15</w:t>
      </w:r>
      <w:r w:rsidRPr="001A176B">
        <w:rPr>
          <w:spacing w:val="-4"/>
          <w:rtl/>
        </w:rPr>
        <w:t xml:space="preserve"> من النظام الداخلي للجنة والمادة </w:t>
      </w:r>
      <w:r w:rsidRPr="007F3524">
        <w:rPr>
          <w:spacing w:val="-4"/>
          <w:rtl/>
        </w:rPr>
        <w:t>10</w:t>
      </w:r>
      <w:r w:rsidRPr="001A176B">
        <w:rPr>
          <w:spacing w:val="-4"/>
          <w:rtl/>
        </w:rPr>
        <w:t xml:space="preserve"> من المبادئ التوجيهية بشأن استقلال وحياد أعضاء هيئات معاهدات حقوق الإنسان</w:t>
      </w:r>
      <w:r w:rsidRPr="00232E96">
        <w:rPr>
          <w:rtl/>
        </w:rPr>
        <w:t xml:space="preserve"> (مبادئ</w:t>
      </w:r>
      <w:r>
        <w:rPr>
          <w:rFonts w:hint="cs"/>
          <w:rtl/>
        </w:rPr>
        <w:t> </w:t>
      </w:r>
      <w:r w:rsidRPr="00232E96">
        <w:rPr>
          <w:rtl/>
        </w:rPr>
        <w:t xml:space="preserve">أديس أبابا التوجيهية)، لم يشارك بيتر فيديل </w:t>
      </w:r>
      <w:proofErr w:type="spellStart"/>
      <w:r w:rsidRPr="00232E96">
        <w:rPr>
          <w:rtl/>
        </w:rPr>
        <w:t>كيسينغ</w:t>
      </w:r>
      <w:proofErr w:type="spellEnd"/>
      <w:r w:rsidRPr="00232E96">
        <w:rPr>
          <w:rtl/>
        </w:rPr>
        <w:t xml:space="preserve"> في النظر في هذا البلاغ.</w:t>
      </w:r>
    </w:p>
  </w:footnote>
  <w:footnote w:id="3">
    <w:p w14:paraId="5A20C255" w14:textId="4BBAAE32" w:rsidR="006A223A" w:rsidRPr="00232E96" w:rsidRDefault="006A223A" w:rsidP="00232E96">
      <w:pPr>
        <w:pStyle w:val="FootnoteText1"/>
        <w:textDirection w:val="tbRlV"/>
        <w:rPr>
          <w:rtl/>
        </w:rPr>
      </w:pPr>
      <w:r w:rsidRPr="00232E96">
        <w:rPr>
          <w:rtl/>
        </w:rPr>
        <w:t>(</w:t>
      </w:r>
      <w:r w:rsidRPr="007F3524">
        <w:rPr>
          <w:rStyle w:val="FootnoteReference"/>
          <w:vertAlign w:val="baseline"/>
        </w:rPr>
        <w:footnoteRef/>
      </w:r>
      <w:r w:rsidRPr="00232E96">
        <w:rPr>
          <w:rtl/>
        </w:rPr>
        <w:t>)</w:t>
      </w:r>
      <w:r>
        <w:rPr>
          <w:rtl/>
        </w:rPr>
        <w:tab/>
      </w:r>
      <w:r w:rsidRPr="00232E96">
        <w:rPr>
          <w:rtl/>
        </w:rPr>
        <w:t>كلمة سلبية للمثليين جنسياً.</w:t>
      </w:r>
    </w:p>
  </w:footnote>
  <w:footnote w:id="4">
    <w:p w14:paraId="60287F1D" w14:textId="13C288EC" w:rsidR="006A223A" w:rsidRPr="00232E96" w:rsidRDefault="006A223A" w:rsidP="00232E96">
      <w:pPr>
        <w:pStyle w:val="FootnoteText1"/>
        <w:textDirection w:val="tbRlV"/>
        <w:rPr>
          <w:rtl/>
        </w:rPr>
      </w:pPr>
      <w:r w:rsidRPr="00232E96">
        <w:rPr>
          <w:rtl/>
        </w:rPr>
        <w:t>(</w:t>
      </w:r>
      <w:r w:rsidRPr="007F3524">
        <w:rPr>
          <w:rStyle w:val="FootnoteReference"/>
          <w:vertAlign w:val="baseline"/>
        </w:rPr>
        <w:footnoteRef/>
      </w:r>
      <w:r w:rsidRPr="00232E96">
        <w:rPr>
          <w:rtl/>
        </w:rPr>
        <w:t>)</w:t>
      </w:r>
      <w:r>
        <w:rPr>
          <w:rtl/>
        </w:rPr>
        <w:tab/>
      </w:r>
      <w:r w:rsidRPr="00232E96">
        <w:rPr>
          <w:rtl/>
        </w:rPr>
        <w:t xml:space="preserve">دخلت صاحبة الشكوى الدانمرك بصورة قانونية بواسطة تأشيرة شنغن صالحة من </w:t>
      </w:r>
      <w:r w:rsidRPr="007F3524">
        <w:rPr>
          <w:rtl/>
        </w:rPr>
        <w:t>22</w:t>
      </w:r>
      <w:r w:rsidRPr="00232E96">
        <w:rPr>
          <w:rtl/>
        </w:rPr>
        <w:t xml:space="preserve"> حزيران/</w:t>
      </w:r>
      <w:proofErr w:type="gramStart"/>
      <w:r w:rsidRPr="00232E96">
        <w:rPr>
          <w:rtl/>
        </w:rPr>
        <w:t>يونيه</w:t>
      </w:r>
      <w:proofErr w:type="gramEnd"/>
      <w:r w:rsidRPr="00232E96">
        <w:rPr>
          <w:rtl/>
        </w:rPr>
        <w:t xml:space="preserve"> إلى </w:t>
      </w:r>
      <w:r w:rsidRPr="007F3524">
        <w:rPr>
          <w:rtl/>
        </w:rPr>
        <w:t>4</w:t>
      </w:r>
      <w:r w:rsidRPr="00232E96">
        <w:rPr>
          <w:rtl/>
        </w:rPr>
        <w:t xml:space="preserve"> آب/أغسطس </w:t>
      </w:r>
      <w:r w:rsidRPr="007F3524">
        <w:rPr>
          <w:rtl/>
        </w:rPr>
        <w:t>2007</w:t>
      </w:r>
      <w:r w:rsidRPr="00232E96">
        <w:rPr>
          <w:rtl/>
        </w:rPr>
        <w:t>. وأخبرت السلطات الدانمركية بأن أ. هي التي تكفلت بجميع الإجراءات الشكلية المتعلقة بطلب التأشيرة.</w:t>
      </w:r>
    </w:p>
  </w:footnote>
  <w:footnote w:id="5">
    <w:p w14:paraId="01546406" w14:textId="391EB3D0" w:rsidR="006A223A" w:rsidRPr="00232E96" w:rsidRDefault="006A223A" w:rsidP="00232E96">
      <w:pPr>
        <w:pStyle w:val="FootnoteText1"/>
        <w:textDirection w:val="tbRlV"/>
        <w:rPr>
          <w:rtl/>
        </w:rPr>
      </w:pPr>
      <w:r w:rsidRPr="00232E96">
        <w:rPr>
          <w:rtl/>
        </w:rPr>
        <w:t>(</w:t>
      </w:r>
      <w:r w:rsidRPr="007F3524">
        <w:rPr>
          <w:rStyle w:val="FootnoteReference"/>
          <w:vertAlign w:val="baseline"/>
        </w:rPr>
        <w:footnoteRef/>
      </w:r>
      <w:r w:rsidRPr="00232E96">
        <w:rPr>
          <w:rtl/>
        </w:rPr>
        <w:t>)</w:t>
      </w:r>
      <w:r>
        <w:rPr>
          <w:rtl/>
        </w:rPr>
        <w:tab/>
      </w:r>
      <w:r w:rsidRPr="00232E96">
        <w:rPr>
          <w:rtl/>
        </w:rPr>
        <w:t xml:space="preserve">البيان الأول غير مؤرخ. والثاني مؤرخ في </w:t>
      </w:r>
      <w:r w:rsidRPr="007F3524">
        <w:rPr>
          <w:rtl/>
        </w:rPr>
        <w:t>4</w:t>
      </w:r>
      <w:r w:rsidRPr="00232E96">
        <w:rPr>
          <w:rtl/>
        </w:rPr>
        <w:t xml:space="preserve"> تموز/يوليه </w:t>
      </w:r>
      <w:r w:rsidRPr="007F3524">
        <w:rPr>
          <w:rtl/>
        </w:rPr>
        <w:t>2015</w:t>
      </w:r>
      <w:r w:rsidRPr="00232E96">
        <w:rPr>
          <w:rtl/>
        </w:rPr>
        <w:t>.</w:t>
      </w:r>
    </w:p>
  </w:footnote>
  <w:footnote w:id="6">
    <w:p w14:paraId="7D40E354" w14:textId="14C02A15" w:rsidR="006A223A" w:rsidRPr="00232E96" w:rsidRDefault="006A223A" w:rsidP="00232E96">
      <w:pPr>
        <w:pStyle w:val="FootnoteText1"/>
        <w:textDirection w:val="tbRlV"/>
        <w:rPr>
          <w:rtl/>
        </w:rPr>
      </w:pPr>
      <w:r w:rsidRPr="00232E96">
        <w:rPr>
          <w:rtl/>
        </w:rPr>
        <w:t>(</w:t>
      </w:r>
      <w:r w:rsidRPr="007F3524">
        <w:rPr>
          <w:rStyle w:val="FootnoteReference"/>
          <w:vertAlign w:val="baseline"/>
        </w:rPr>
        <w:footnoteRef/>
      </w:r>
      <w:r w:rsidRPr="00232E96">
        <w:rPr>
          <w:rtl/>
        </w:rPr>
        <w:t>)</w:t>
      </w:r>
      <w:r>
        <w:rPr>
          <w:rtl/>
        </w:rPr>
        <w:tab/>
      </w:r>
      <w:r w:rsidRPr="00232E96">
        <w:t>CAT/C/</w:t>
      </w:r>
      <w:r w:rsidRPr="007F3524">
        <w:t>56</w:t>
      </w:r>
      <w:r w:rsidRPr="00232E96">
        <w:t>/D/</w:t>
      </w:r>
      <w:r w:rsidRPr="007F3524">
        <w:t>562</w:t>
      </w:r>
      <w:r w:rsidRPr="00232E96">
        <w:t>/</w:t>
      </w:r>
      <w:r w:rsidRPr="007F3524">
        <w:t>2013</w:t>
      </w:r>
      <w:r w:rsidRPr="00232E96">
        <w:rPr>
          <w:rtl/>
        </w:rPr>
        <w:t>.</w:t>
      </w:r>
    </w:p>
  </w:footnote>
  <w:footnote w:id="7">
    <w:p w14:paraId="20B18CE6" w14:textId="4B0DFF6B" w:rsidR="006A223A" w:rsidRPr="00232E96" w:rsidRDefault="006A223A" w:rsidP="00232E96">
      <w:pPr>
        <w:pStyle w:val="FootnoteText1"/>
        <w:textDirection w:val="tbRlV"/>
        <w:rPr>
          <w:rtl/>
        </w:rPr>
      </w:pPr>
      <w:r w:rsidRPr="00232E96">
        <w:rPr>
          <w:rtl/>
        </w:rPr>
        <w:t>(</w:t>
      </w:r>
      <w:r w:rsidRPr="007F3524">
        <w:rPr>
          <w:rStyle w:val="FootnoteReference"/>
          <w:vertAlign w:val="baseline"/>
        </w:rPr>
        <w:footnoteRef/>
      </w:r>
      <w:r w:rsidRPr="00232E96">
        <w:rPr>
          <w:rtl/>
        </w:rPr>
        <w:t>)</w:t>
      </w:r>
      <w:r>
        <w:rPr>
          <w:rtl/>
        </w:rPr>
        <w:tab/>
      </w:r>
      <w:r w:rsidRPr="00232E96">
        <w:rPr>
          <w:rtl/>
        </w:rPr>
        <w:t xml:space="preserve">الحكم، </w:t>
      </w:r>
      <w:r w:rsidRPr="007F3524">
        <w:rPr>
          <w:rtl/>
        </w:rPr>
        <w:t>7</w:t>
      </w:r>
      <w:r w:rsidRPr="00232E96">
        <w:rPr>
          <w:rtl/>
        </w:rPr>
        <w:t xml:space="preserve"> تشرين الثاني/نوفمبر </w:t>
      </w:r>
      <w:r w:rsidRPr="007F3524">
        <w:rPr>
          <w:rtl/>
        </w:rPr>
        <w:t>2013</w:t>
      </w:r>
      <w:r w:rsidRPr="00232E96">
        <w:rPr>
          <w:rtl/>
        </w:rPr>
        <w:t xml:space="preserve">، الفقرتان </w:t>
      </w:r>
      <w:r w:rsidRPr="007F3524">
        <w:rPr>
          <w:rtl/>
        </w:rPr>
        <w:t>70</w:t>
      </w:r>
      <w:r w:rsidRPr="00232E96">
        <w:rPr>
          <w:rtl/>
        </w:rPr>
        <w:t xml:space="preserve"> و</w:t>
      </w:r>
      <w:r w:rsidRPr="007F3524">
        <w:rPr>
          <w:rtl/>
        </w:rPr>
        <w:t>71</w:t>
      </w:r>
      <w:r w:rsidRPr="00232E96">
        <w:rPr>
          <w:rtl/>
        </w:rPr>
        <w:t>.</w:t>
      </w:r>
    </w:p>
  </w:footnote>
  <w:footnote w:id="8">
    <w:p w14:paraId="2C5CA072" w14:textId="433E7F9B" w:rsidR="006A223A" w:rsidRPr="00232E96" w:rsidRDefault="006A223A" w:rsidP="00232E96">
      <w:pPr>
        <w:pStyle w:val="FootnoteText1"/>
        <w:textDirection w:val="tbRlV"/>
        <w:rPr>
          <w:rtl/>
        </w:rPr>
      </w:pPr>
      <w:r w:rsidRPr="00232E96">
        <w:rPr>
          <w:rtl/>
        </w:rPr>
        <w:t>(</w:t>
      </w:r>
      <w:r w:rsidRPr="007F3524">
        <w:rPr>
          <w:rStyle w:val="FootnoteReference"/>
          <w:vertAlign w:val="baseline"/>
        </w:rPr>
        <w:footnoteRef/>
      </w:r>
      <w:r w:rsidRPr="00232E96">
        <w:rPr>
          <w:rtl/>
        </w:rPr>
        <w:t>)</w:t>
      </w:r>
      <w:r>
        <w:rPr>
          <w:rtl/>
        </w:rPr>
        <w:tab/>
      </w:r>
      <w:r w:rsidRPr="00232E96">
        <w:rPr>
          <w:rtl/>
        </w:rPr>
        <w:t xml:space="preserve">يُشار إلى تقارير </w:t>
      </w:r>
      <w:proofErr w:type="spellStart"/>
      <w:r w:rsidRPr="00232E96">
        <w:rPr>
          <w:rtl/>
        </w:rPr>
        <w:t>هيومن</w:t>
      </w:r>
      <w:proofErr w:type="spellEnd"/>
      <w:r w:rsidRPr="00232E96">
        <w:rPr>
          <w:rtl/>
        </w:rPr>
        <w:t xml:space="preserve"> </w:t>
      </w:r>
      <w:proofErr w:type="spellStart"/>
      <w:r w:rsidRPr="00232E96">
        <w:rPr>
          <w:rtl/>
        </w:rPr>
        <w:t>رايتس</w:t>
      </w:r>
      <w:proofErr w:type="spellEnd"/>
      <w:r w:rsidRPr="00232E96">
        <w:rPr>
          <w:rtl/>
        </w:rPr>
        <w:t xml:space="preserve"> </w:t>
      </w:r>
      <w:proofErr w:type="spellStart"/>
      <w:r w:rsidRPr="00232E96">
        <w:rPr>
          <w:rtl/>
        </w:rPr>
        <w:t>ووتش</w:t>
      </w:r>
      <w:proofErr w:type="spellEnd"/>
      <w:r w:rsidRPr="00232E96">
        <w:rPr>
          <w:rtl/>
        </w:rPr>
        <w:t xml:space="preserve"> ومنظمة العفو الدولية وبيت الحرية والفصل الرابع أوغندا ومنظمة الملجأ والهجرة وجمعية </w:t>
      </w:r>
      <w:proofErr w:type="spellStart"/>
      <w:r w:rsidRPr="00232E96">
        <w:rPr>
          <w:rtl/>
        </w:rPr>
        <w:t>بيرتلسمان</w:t>
      </w:r>
      <w:proofErr w:type="spellEnd"/>
      <w:r w:rsidRPr="00232E96">
        <w:rPr>
          <w:rtl/>
        </w:rPr>
        <w:t>، فضلاً عن وزارة الخارجية الأمريكية ووزارة الداخلية في المملكة المتحدة لبريطانيا العظمى وأيرلندا الشمالية ودائرة الهجرة الفنلندية.</w:t>
      </w:r>
    </w:p>
  </w:footnote>
  <w:footnote w:id="9">
    <w:p w14:paraId="3A226952" w14:textId="6F1CEE51" w:rsidR="006A223A" w:rsidRPr="00232E96" w:rsidRDefault="006A223A" w:rsidP="00232E96">
      <w:pPr>
        <w:pStyle w:val="FootnoteText1"/>
        <w:textDirection w:val="tbRlV"/>
        <w:rPr>
          <w:rtl/>
        </w:rPr>
      </w:pPr>
      <w:r w:rsidRPr="00232E96">
        <w:rPr>
          <w:rtl/>
        </w:rPr>
        <w:t>(</w:t>
      </w:r>
      <w:r w:rsidRPr="007F3524">
        <w:rPr>
          <w:rStyle w:val="FootnoteReference"/>
          <w:vertAlign w:val="baseline"/>
        </w:rPr>
        <w:footnoteRef/>
      </w:r>
      <w:r w:rsidRPr="00232E96">
        <w:rPr>
          <w:rtl/>
        </w:rPr>
        <w:t>)</w:t>
      </w:r>
      <w:r>
        <w:rPr>
          <w:rtl/>
        </w:rPr>
        <w:tab/>
      </w:r>
      <w:r w:rsidRPr="00232E96">
        <w:rPr>
          <w:rtl/>
        </w:rPr>
        <w:t xml:space="preserve">يجبّه التعليق العام رقم </w:t>
      </w:r>
      <w:r w:rsidRPr="007F3524">
        <w:rPr>
          <w:rtl/>
        </w:rPr>
        <w:t>4</w:t>
      </w:r>
      <w:r w:rsidRPr="00232E96">
        <w:rPr>
          <w:rtl/>
        </w:rPr>
        <w:t>(</w:t>
      </w:r>
      <w:r w:rsidRPr="007F3524">
        <w:rPr>
          <w:rtl/>
        </w:rPr>
        <w:t>2017</w:t>
      </w:r>
      <w:r w:rsidRPr="00232E96">
        <w:rPr>
          <w:rtl/>
        </w:rPr>
        <w:t>).</w:t>
      </w:r>
    </w:p>
  </w:footnote>
  <w:footnote w:id="10">
    <w:p w14:paraId="5C23EFD6" w14:textId="7EB9A9C2" w:rsidR="006A223A" w:rsidRPr="00232E96" w:rsidRDefault="006A223A" w:rsidP="00232E96">
      <w:pPr>
        <w:pStyle w:val="FootnoteText1"/>
        <w:textDirection w:val="tbRlV"/>
        <w:rPr>
          <w:rtl/>
        </w:rPr>
      </w:pPr>
      <w:r w:rsidRPr="00232E96">
        <w:rPr>
          <w:rtl/>
        </w:rPr>
        <w:t>(</w:t>
      </w:r>
      <w:r w:rsidRPr="007F3524">
        <w:rPr>
          <w:rStyle w:val="FootnoteReference"/>
          <w:vertAlign w:val="baseline"/>
        </w:rPr>
        <w:footnoteRef/>
      </w:r>
      <w:r w:rsidRPr="00232E96">
        <w:rPr>
          <w:rtl/>
        </w:rPr>
        <w:t>)</w:t>
      </w:r>
      <w:r>
        <w:rPr>
          <w:rtl/>
        </w:rPr>
        <w:tab/>
      </w:r>
      <w:r w:rsidRPr="00232E96">
        <w:rPr>
          <w:rtl/>
        </w:rPr>
        <w:t xml:space="preserve">تشير الدولة الطرف إلى الفقرة </w:t>
      </w:r>
      <w:r w:rsidRPr="007F3524">
        <w:rPr>
          <w:rtl/>
        </w:rPr>
        <w:t>8</w:t>
      </w:r>
      <w:r w:rsidRPr="00232E96">
        <w:rPr>
          <w:rtl/>
        </w:rPr>
        <w:t xml:space="preserve">(ب) من تعليق اللجنة العام رقم </w:t>
      </w:r>
      <w:r w:rsidRPr="007F3524">
        <w:rPr>
          <w:rtl/>
        </w:rPr>
        <w:t>1</w:t>
      </w:r>
      <w:r w:rsidRPr="00232E96">
        <w:rPr>
          <w:rtl/>
        </w:rPr>
        <w:t>.</w:t>
      </w:r>
    </w:p>
  </w:footnote>
  <w:footnote w:id="11">
    <w:p w14:paraId="567F5D47" w14:textId="109554C5" w:rsidR="006A223A" w:rsidRPr="001A176B" w:rsidRDefault="006A223A" w:rsidP="00232E96">
      <w:pPr>
        <w:pStyle w:val="FootnoteText1"/>
        <w:textDirection w:val="tbRlV"/>
        <w:rPr>
          <w:spacing w:val="-2"/>
          <w:rtl/>
        </w:rPr>
      </w:pPr>
      <w:r w:rsidRPr="001A176B">
        <w:rPr>
          <w:spacing w:val="-2"/>
          <w:rtl/>
        </w:rPr>
        <w:t>(</w:t>
      </w:r>
      <w:r w:rsidRPr="007F3524">
        <w:rPr>
          <w:rStyle w:val="FootnoteReference"/>
          <w:spacing w:val="-2"/>
          <w:vertAlign w:val="baseline"/>
        </w:rPr>
        <w:footnoteRef/>
      </w:r>
      <w:r w:rsidRPr="001A176B">
        <w:rPr>
          <w:spacing w:val="-2"/>
          <w:rtl/>
        </w:rPr>
        <w:t>)</w:t>
      </w:r>
      <w:r w:rsidRPr="001A176B">
        <w:rPr>
          <w:spacing w:val="-2"/>
          <w:rtl/>
        </w:rPr>
        <w:tab/>
        <w:t xml:space="preserve">انظر </w:t>
      </w:r>
      <w:r w:rsidRPr="001A176B">
        <w:rPr>
          <w:spacing w:val="-2"/>
        </w:rPr>
        <w:t>www.hrw.org/sites/default/files/world_report_download/</w:t>
      </w:r>
      <w:r w:rsidRPr="007F3524">
        <w:rPr>
          <w:spacing w:val="-2"/>
        </w:rPr>
        <w:t>201801</w:t>
      </w:r>
      <w:r w:rsidRPr="001A176B">
        <w:rPr>
          <w:spacing w:val="-2"/>
        </w:rPr>
        <w:t xml:space="preserve">world_report_web.pdf, p. </w:t>
      </w:r>
      <w:r w:rsidRPr="007F3524">
        <w:rPr>
          <w:spacing w:val="-2"/>
        </w:rPr>
        <w:t>577</w:t>
      </w:r>
      <w:r w:rsidRPr="001A176B">
        <w:rPr>
          <w:spacing w:val="-2"/>
          <w:rtl/>
        </w:rPr>
        <w:t>.</w:t>
      </w:r>
    </w:p>
  </w:footnote>
  <w:footnote w:id="12">
    <w:p w14:paraId="784309FA" w14:textId="204B6662" w:rsidR="006A223A" w:rsidRPr="00232E96" w:rsidRDefault="006A223A" w:rsidP="00232E96">
      <w:pPr>
        <w:pStyle w:val="FootnoteText1"/>
        <w:textDirection w:val="tbRlV"/>
        <w:rPr>
          <w:rtl/>
        </w:rPr>
      </w:pPr>
      <w:r w:rsidRPr="00232E96">
        <w:rPr>
          <w:rtl/>
        </w:rPr>
        <w:t>(</w:t>
      </w:r>
      <w:r w:rsidRPr="007F3524">
        <w:rPr>
          <w:rStyle w:val="FootnoteReference"/>
          <w:vertAlign w:val="baseline"/>
        </w:rPr>
        <w:footnoteRef/>
      </w:r>
      <w:r w:rsidRPr="00232E96">
        <w:rPr>
          <w:rtl/>
        </w:rPr>
        <w:t>)</w:t>
      </w:r>
      <w:r>
        <w:rPr>
          <w:rtl/>
        </w:rPr>
        <w:tab/>
      </w:r>
      <w:r w:rsidRPr="00232E96">
        <w:rPr>
          <w:rtl/>
        </w:rPr>
        <w:t xml:space="preserve">انظر </w:t>
      </w:r>
      <w:r w:rsidRPr="00F73E8E">
        <w:t>https://freedomhouse.org/country/uganda/freedom-net/</w:t>
      </w:r>
      <w:r w:rsidRPr="007F3524">
        <w:t>2018</w:t>
      </w:r>
      <w:r w:rsidRPr="00232E96">
        <w:rPr>
          <w:rtl/>
        </w:rPr>
        <w:t>.</w:t>
      </w:r>
    </w:p>
  </w:footnote>
  <w:footnote w:id="13">
    <w:p w14:paraId="493859CA" w14:textId="2854CE7A" w:rsidR="006A223A" w:rsidRPr="00232E96" w:rsidRDefault="006A223A" w:rsidP="00232E96">
      <w:pPr>
        <w:pStyle w:val="FootnoteText1"/>
        <w:textDirection w:val="tbRlV"/>
        <w:rPr>
          <w:rtl/>
        </w:rPr>
      </w:pPr>
      <w:r w:rsidRPr="00232E96">
        <w:rPr>
          <w:rtl/>
        </w:rPr>
        <w:t>(</w:t>
      </w:r>
      <w:r w:rsidRPr="007F3524">
        <w:rPr>
          <w:rStyle w:val="FootnoteReference"/>
          <w:vertAlign w:val="baseline"/>
        </w:rPr>
        <w:footnoteRef/>
      </w:r>
      <w:r w:rsidRPr="00232E96">
        <w:rPr>
          <w:rtl/>
        </w:rPr>
        <w:t>)</w:t>
      </w:r>
      <w:r>
        <w:rPr>
          <w:rtl/>
        </w:rPr>
        <w:tab/>
      </w:r>
      <w:r w:rsidRPr="00232E96">
        <w:rPr>
          <w:rtl/>
        </w:rPr>
        <w:t xml:space="preserve">انظر </w:t>
      </w:r>
      <w:r w:rsidRPr="00136777">
        <w:t>https://freedomhouse.org/country/uganda/freedom-world/</w:t>
      </w:r>
      <w:r w:rsidRPr="007F3524">
        <w:t>2018</w:t>
      </w:r>
      <w:r w:rsidRPr="00232E96">
        <w:rPr>
          <w:rtl/>
        </w:rPr>
        <w:t>.</w:t>
      </w:r>
    </w:p>
  </w:footnote>
  <w:footnote w:id="14">
    <w:p w14:paraId="1ADDF8B5" w14:textId="0A990B69" w:rsidR="006A223A" w:rsidRPr="00232E96" w:rsidRDefault="006A223A" w:rsidP="00232E96">
      <w:pPr>
        <w:pStyle w:val="FootnoteText1"/>
        <w:textDirection w:val="tbRlV"/>
        <w:rPr>
          <w:rtl/>
        </w:rPr>
      </w:pPr>
      <w:r w:rsidRPr="00232E96">
        <w:rPr>
          <w:rtl/>
        </w:rPr>
        <w:t>(</w:t>
      </w:r>
      <w:r w:rsidRPr="007F3524">
        <w:rPr>
          <w:rStyle w:val="FootnoteReference"/>
          <w:vertAlign w:val="baseline"/>
        </w:rPr>
        <w:footnoteRef/>
      </w:r>
      <w:r w:rsidRPr="00232E96">
        <w:rPr>
          <w:rtl/>
        </w:rPr>
        <w:t>)</w:t>
      </w:r>
      <w:r>
        <w:rPr>
          <w:rtl/>
        </w:rPr>
        <w:tab/>
      </w:r>
      <w:r w:rsidRPr="00232E96">
        <w:rPr>
          <w:rtl/>
        </w:rPr>
        <w:t xml:space="preserve">انظر </w:t>
      </w:r>
      <w:r w:rsidRPr="00136777">
        <w:t>www.hrw.org/news/</w:t>
      </w:r>
      <w:r w:rsidRPr="007F3524">
        <w:t>2018</w:t>
      </w:r>
      <w:r w:rsidRPr="00136777">
        <w:t>/</w:t>
      </w:r>
      <w:r w:rsidRPr="007F3524">
        <w:t>02</w:t>
      </w:r>
      <w:r w:rsidRPr="00136777">
        <w:t>/</w:t>
      </w:r>
      <w:r w:rsidRPr="007F3524">
        <w:t>09</w:t>
      </w:r>
      <w:r w:rsidRPr="00136777">
        <w:t>/uganda-human-rights-group-targeted-violent-break</w:t>
      </w:r>
      <w:r w:rsidRPr="00232E96">
        <w:rPr>
          <w:rtl/>
        </w:rPr>
        <w:t>.</w:t>
      </w:r>
    </w:p>
  </w:footnote>
  <w:footnote w:id="15">
    <w:p w14:paraId="601C4775" w14:textId="4194D04B" w:rsidR="006A223A" w:rsidRPr="0020617E" w:rsidRDefault="006A223A" w:rsidP="00232E96">
      <w:pPr>
        <w:pStyle w:val="FootnoteText1"/>
        <w:textDirection w:val="tbRlV"/>
        <w:rPr>
          <w:spacing w:val="-2"/>
          <w:rtl/>
        </w:rPr>
      </w:pPr>
      <w:r w:rsidRPr="0020617E">
        <w:rPr>
          <w:spacing w:val="-2"/>
          <w:rtl/>
        </w:rPr>
        <w:t>(</w:t>
      </w:r>
      <w:r w:rsidRPr="007F3524">
        <w:rPr>
          <w:rStyle w:val="FootnoteReference"/>
          <w:spacing w:val="-2"/>
          <w:vertAlign w:val="baseline"/>
        </w:rPr>
        <w:footnoteRef/>
      </w:r>
      <w:r w:rsidRPr="0020617E">
        <w:rPr>
          <w:spacing w:val="-2"/>
          <w:rtl/>
        </w:rPr>
        <w:t>)</w:t>
      </w:r>
      <w:r w:rsidRPr="0020617E">
        <w:rPr>
          <w:spacing w:val="-2"/>
          <w:rtl/>
        </w:rPr>
        <w:tab/>
        <w:t>للاطلاع على الاجتهاد</w:t>
      </w:r>
      <w:r w:rsidRPr="0020617E">
        <w:rPr>
          <w:spacing w:val="-2"/>
        </w:rPr>
        <w:t>h</w:t>
      </w:r>
      <w:r w:rsidRPr="0020617E">
        <w:rPr>
          <w:spacing w:val="-2"/>
          <w:rtl/>
        </w:rPr>
        <w:t xml:space="preserve">ت السابقة للجنة بشأن ادعاءات تتعلق بعدم الإعادة القسرية </w:t>
      </w:r>
      <w:proofErr w:type="spellStart"/>
      <w:r w:rsidRPr="0020617E">
        <w:rPr>
          <w:spacing w:val="-2"/>
          <w:rtl/>
        </w:rPr>
        <w:t>للمثليات</w:t>
      </w:r>
      <w:proofErr w:type="spellEnd"/>
      <w:r w:rsidRPr="0020617E">
        <w:rPr>
          <w:spacing w:val="-2"/>
          <w:rtl/>
        </w:rPr>
        <w:t xml:space="preserve"> والمثليين ومزدوجي الميل الجنسي ومغايري الهوية الجنسانية وحاملي صفات الجنسين الذين يواجهون الترحيل إلى أوغندا، انظر قضية </w:t>
      </w:r>
      <w:r w:rsidRPr="007F3524">
        <w:rPr>
          <w:i/>
          <w:iCs/>
          <w:spacing w:val="-2"/>
          <w:rtl/>
        </w:rPr>
        <w:t>ج. ك. ضد كندا</w:t>
      </w:r>
      <w:r w:rsidRPr="0020617E">
        <w:rPr>
          <w:spacing w:val="-2"/>
          <w:rtl/>
        </w:rPr>
        <w:t xml:space="preserve">، حيث خلصت اللجنة إلى انتهاك المادة </w:t>
      </w:r>
      <w:r w:rsidRPr="007F3524">
        <w:rPr>
          <w:spacing w:val="-2"/>
          <w:rtl/>
        </w:rPr>
        <w:t>3</w:t>
      </w:r>
      <w:r w:rsidRPr="0020617E">
        <w:rPr>
          <w:spacing w:val="-2"/>
          <w:rtl/>
        </w:rPr>
        <w:t xml:space="preserve"> بسبب ميول صاحب البلاغ الجنسية، ونضاله ضمن المنظمات التي تدافع عن حقوق المثليات والمثليين ومزدوجي الميل الجنسي ومغايري الهوية الجنسانية وحاملي صفات الجنسين، وإلى إمكانية احتجازه بمقتضى التهم الجنائية الموجهة ضده؛ وقضية </w:t>
      </w:r>
      <w:proofErr w:type="spellStart"/>
      <w:r w:rsidRPr="007F3524">
        <w:rPr>
          <w:i/>
          <w:iCs/>
          <w:spacing w:val="-2"/>
          <w:rtl/>
        </w:rPr>
        <w:t>ناكاووندي</w:t>
      </w:r>
      <w:proofErr w:type="spellEnd"/>
      <w:r w:rsidRPr="007F3524">
        <w:rPr>
          <w:i/>
          <w:iCs/>
          <w:spacing w:val="-2"/>
          <w:rtl/>
        </w:rPr>
        <w:t xml:space="preserve"> ضد كندا</w:t>
      </w:r>
      <w:r w:rsidRPr="0020617E">
        <w:rPr>
          <w:spacing w:val="-2"/>
          <w:rtl/>
        </w:rPr>
        <w:t xml:space="preserve"> (</w:t>
      </w:r>
      <w:r w:rsidRPr="0020617E">
        <w:rPr>
          <w:spacing w:val="-2"/>
        </w:rPr>
        <w:t>CAT/C/</w:t>
      </w:r>
      <w:r w:rsidRPr="007F3524">
        <w:rPr>
          <w:spacing w:val="-2"/>
        </w:rPr>
        <w:t>64</w:t>
      </w:r>
      <w:r w:rsidRPr="0020617E">
        <w:rPr>
          <w:spacing w:val="-2"/>
        </w:rPr>
        <w:t>/D/</w:t>
      </w:r>
      <w:r w:rsidRPr="007F3524">
        <w:rPr>
          <w:spacing w:val="-2"/>
        </w:rPr>
        <w:t>615</w:t>
      </w:r>
      <w:r w:rsidRPr="0020617E">
        <w:rPr>
          <w:spacing w:val="-2"/>
        </w:rPr>
        <w:t>/</w:t>
      </w:r>
      <w:r w:rsidRPr="007F3524">
        <w:rPr>
          <w:spacing w:val="-2"/>
        </w:rPr>
        <w:t>2014</w:t>
      </w:r>
      <w:r w:rsidRPr="0020617E">
        <w:rPr>
          <w:spacing w:val="-2"/>
          <w:rtl/>
        </w:rPr>
        <w:t xml:space="preserve">)، حيث خلصت اللجنة إلى أن البلاغ غير مقبول بسبب عدم استنفاد سبل الانتصاف المحلية. وللاطلاع على الاجتهادات السابقة المتعلقة بادعاءات بشأن عدم الإعادة القسرية </w:t>
      </w:r>
      <w:proofErr w:type="spellStart"/>
      <w:r w:rsidRPr="0020617E">
        <w:rPr>
          <w:spacing w:val="-2"/>
          <w:rtl/>
        </w:rPr>
        <w:t>للمثليات</w:t>
      </w:r>
      <w:proofErr w:type="spellEnd"/>
      <w:r w:rsidRPr="0020617E">
        <w:rPr>
          <w:spacing w:val="-2"/>
          <w:rtl/>
        </w:rPr>
        <w:t xml:space="preserve"> والمثليين ومزدوجي الميل الجنسي ومغايري الهوية الجنسانية وحاملي صفات الجنسين، انظر قضية ه. ر. إ. </w:t>
      </w:r>
      <w:r w:rsidRPr="007F3524">
        <w:rPr>
          <w:i/>
          <w:iCs/>
          <w:spacing w:val="-2"/>
          <w:rtl/>
        </w:rPr>
        <w:t>س. ضد سويسرا</w:t>
      </w:r>
      <w:r w:rsidRPr="0020617E">
        <w:rPr>
          <w:spacing w:val="-2"/>
          <w:rtl/>
        </w:rPr>
        <w:t xml:space="preserve"> (</w:t>
      </w:r>
      <w:r w:rsidRPr="0020617E">
        <w:rPr>
          <w:spacing w:val="-2"/>
        </w:rPr>
        <w:t>CAT/C/</w:t>
      </w:r>
      <w:r w:rsidRPr="007F3524">
        <w:rPr>
          <w:spacing w:val="-2"/>
        </w:rPr>
        <w:t>64</w:t>
      </w:r>
      <w:r w:rsidRPr="0020617E">
        <w:rPr>
          <w:spacing w:val="-2"/>
        </w:rPr>
        <w:t>/D/</w:t>
      </w:r>
      <w:r w:rsidRPr="007F3524">
        <w:rPr>
          <w:spacing w:val="-2"/>
        </w:rPr>
        <w:t>783</w:t>
      </w:r>
      <w:r w:rsidRPr="0020617E">
        <w:rPr>
          <w:spacing w:val="-2"/>
        </w:rPr>
        <w:t>/</w:t>
      </w:r>
      <w:r w:rsidRPr="007F3524">
        <w:rPr>
          <w:spacing w:val="-2"/>
        </w:rPr>
        <w:t>2016</w:t>
      </w:r>
      <w:r w:rsidRPr="0020617E">
        <w:rPr>
          <w:spacing w:val="-2"/>
          <w:rtl/>
        </w:rPr>
        <w:t xml:space="preserve">)، حيث لم تجد اللجنة انتهاكاً للمادة </w:t>
      </w:r>
      <w:r w:rsidRPr="007F3524">
        <w:rPr>
          <w:spacing w:val="-2"/>
          <w:rtl/>
        </w:rPr>
        <w:t>3</w:t>
      </w:r>
      <w:r w:rsidRPr="0020617E">
        <w:rPr>
          <w:spacing w:val="-2"/>
          <w:rtl/>
        </w:rPr>
        <w:t xml:space="preserve"> في حالة إعادة صاحب الشكوى إلى جمهورية إيران الإسلامية، على الرغم من أن المثلية الجنسية محظورة عموماً في البلد، لأن صاحب الشكوى لم يدَّع أن السلطات الإيرانية كانت على علم بميوله الجنسية أو أنه سيعبر عن شذوذه الجنسي في الأماكن العامة؛ وقضية </w:t>
      </w:r>
      <w:proofErr w:type="spellStart"/>
      <w:r w:rsidRPr="007F3524">
        <w:rPr>
          <w:i/>
          <w:iCs/>
          <w:spacing w:val="-2"/>
          <w:rtl/>
        </w:rPr>
        <w:t>موندال</w:t>
      </w:r>
      <w:proofErr w:type="spellEnd"/>
      <w:r w:rsidRPr="007F3524">
        <w:rPr>
          <w:i/>
          <w:iCs/>
          <w:spacing w:val="-2"/>
          <w:rtl/>
        </w:rPr>
        <w:t xml:space="preserve"> ضد السويد</w:t>
      </w:r>
      <w:r w:rsidRPr="0020617E">
        <w:rPr>
          <w:spacing w:val="-2"/>
          <w:rtl/>
        </w:rPr>
        <w:t xml:space="preserve"> (</w:t>
      </w:r>
      <w:r w:rsidRPr="0020617E">
        <w:rPr>
          <w:spacing w:val="-2"/>
        </w:rPr>
        <w:t>CAT/C/</w:t>
      </w:r>
      <w:r w:rsidRPr="007F3524">
        <w:rPr>
          <w:spacing w:val="-2"/>
        </w:rPr>
        <w:t>46</w:t>
      </w:r>
      <w:r w:rsidRPr="0020617E">
        <w:rPr>
          <w:spacing w:val="-2"/>
        </w:rPr>
        <w:t>/D/</w:t>
      </w:r>
      <w:r w:rsidRPr="007F3524">
        <w:rPr>
          <w:spacing w:val="-2"/>
        </w:rPr>
        <w:t>338</w:t>
      </w:r>
      <w:r w:rsidRPr="0020617E">
        <w:rPr>
          <w:spacing w:val="-2"/>
        </w:rPr>
        <w:t>/</w:t>
      </w:r>
      <w:r w:rsidRPr="007F3524">
        <w:rPr>
          <w:spacing w:val="-2"/>
        </w:rPr>
        <w:t>2008</w:t>
      </w:r>
      <w:r w:rsidRPr="0020617E">
        <w:rPr>
          <w:spacing w:val="-2"/>
          <w:rtl/>
        </w:rPr>
        <w:t xml:space="preserve">)، حيث خلصت اللجنة إلى وقوع انتهاك للمادة </w:t>
      </w:r>
      <w:r w:rsidRPr="007F3524">
        <w:rPr>
          <w:spacing w:val="-2"/>
          <w:rtl/>
        </w:rPr>
        <w:t>3</w:t>
      </w:r>
      <w:r w:rsidRPr="0020617E">
        <w:rPr>
          <w:spacing w:val="-2"/>
          <w:rtl/>
        </w:rPr>
        <w:t xml:space="preserve"> في حالة طرد صاحب الشكوى إلى بنغلاديش نظراً لتعرضه للتعذيب في الماضي، وأنشطته السياسية السابقة، وخطر الاضطهاد على أساس شذوذه الجنسي، إلى جانب انتمائه إلى أقلية هندوسية. وللاطلاع على الاجتهادات السابقة لهيئات المعاهدات الأخرى، انظر اللجنة المعنية بحقوق الإنسان، </w:t>
      </w:r>
      <w:r w:rsidRPr="007F3524">
        <w:rPr>
          <w:i/>
          <w:iCs/>
          <w:spacing w:val="-2"/>
          <w:rtl/>
        </w:rPr>
        <w:t>س. ضد السويد</w:t>
      </w:r>
      <w:r w:rsidRPr="0020617E">
        <w:rPr>
          <w:spacing w:val="-2"/>
          <w:rtl/>
        </w:rPr>
        <w:t xml:space="preserve"> (</w:t>
      </w:r>
      <w:r w:rsidRPr="0020617E">
        <w:rPr>
          <w:spacing w:val="-2"/>
        </w:rPr>
        <w:t>CCPR/C/</w:t>
      </w:r>
      <w:r w:rsidRPr="007F3524">
        <w:rPr>
          <w:spacing w:val="-2"/>
        </w:rPr>
        <w:t>103</w:t>
      </w:r>
      <w:r w:rsidRPr="0020617E">
        <w:rPr>
          <w:spacing w:val="-2"/>
        </w:rPr>
        <w:t>/D/</w:t>
      </w:r>
      <w:r w:rsidRPr="007F3524">
        <w:rPr>
          <w:spacing w:val="-2"/>
        </w:rPr>
        <w:t>1833</w:t>
      </w:r>
      <w:r w:rsidRPr="0020617E">
        <w:rPr>
          <w:spacing w:val="-2"/>
        </w:rPr>
        <w:t>/</w:t>
      </w:r>
      <w:r w:rsidRPr="007F3524">
        <w:rPr>
          <w:spacing w:val="-2"/>
        </w:rPr>
        <w:t>2008</w:t>
      </w:r>
      <w:r w:rsidRPr="0020617E">
        <w:rPr>
          <w:spacing w:val="-2"/>
          <w:rtl/>
        </w:rPr>
        <w:t xml:space="preserve">)، حيث خلصت اللجنة إلى حدوث انتهاك للمادتين </w:t>
      </w:r>
      <w:r w:rsidRPr="007F3524">
        <w:rPr>
          <w:spacing w:val="-2"/>
          <w:rtl/>
        </w:rPr>
        <w:t>6</w:t>
      </w:r>
      <w:r w:rsidRPr="0020617E">
        <w:rPr>
          <w:spacing w:val="-2"/>
          <w:rtl/>
        </w:rPr>
        <w:t xml:space="preserve"> و</w:t>
      </w:r>
      <w:r w:rsidRPr="007F3524">
        <w:rPr>
          <w:spacing w:val="-2"/>
          <w:rtl/>
        </w:rPr>
        <w:t>7</w:t>
      </w:r>
      <w:r w:rsidRPr="0020617E">
        <w:rPr>
          <w:spacing w:val="-2"/>
          <w:rtl/>
        </w:rPr>
        <w:t xml:space="preserve"> من العهد الدولي الخاص بالحقوق المدنية والسياسية لأن سلطات الدولة الطرف ركزت أساساً على المصداقية في رواية صاحب البلاغ للوقائع ولم</w:t>
      </w:r>
      <w:r w:rsidRPr="0020617E">
        <w:rPr>
          <w:rFonts w:hint="cs"/>
          <w:spacing w:val="-2"/>
          <w:rtl/>
        </w:rPr>
        <w:t> </w:t>
      </w:r>
      <w:r w:rsidRPr="0020617E">
        <w:rPr>
          <w:spacing w:val="-2"/>
          <w:rtl/>
        </w:rPr>
        <w:t xml:space="preserve">تعط وزناً كافياً لمزاعم صاحب البلاغ بشأن الخطر الحقيقي الذي قد </w:t>
      </w:r>
      <w:proofErr w:type="spellStart"/>
      <w:r w:rsidRPr="0020617E">
        <w:rPr>
          <w:spacing w:val="-2"/>
          <w:rtl/>
        </w:rPr>
        <w:t>يواجهه</w:t>
      </w:r>
      <w:proofErr w:type="spellEnd"/>
      <w:r w:rsidRPr="0020617E">
        <w:rPr>
          <w:spacing w:val="-2"/>
          <w:rtl/>
        </w:rPr>
        <w:t xml:space="preserve"> في أفغانستان نظراً لميوله الجنسية؛ واللجنة المعنية بحقوق الإنسان، قضية </w:t>
      </w:r>
      <w:r w:rsidRPr="007F3524">
        <w:rPr>
          <w:i/>
          <w:iCs/>
          <w:spacing w:val="-2"/>
          <w:rtl/>
        </w:rPr>
        <w:t xml:space="preserve">م. ك. ه. ضد الدانمرك </w:t>
      </w:r>
      <w:r w:rsidRPr="0020617E">
        <w:rPr>
          <w:spacing w:val="-2"/>
          <w:rtl/>
        </w:rPr>
        <w:t>(</w:t>
      </w:r>
      <w:r w:rsidRPr="0020617E">
        <w:rPr>
          <w:spacing w:val="-2"/>
        </w:rPr>
        <w:t>CCPR/C/</w:t>
      </w:r>
      <w:r w:rsidRPr="007F3524">
        <w:rPr>
          <w:spacing w:val="-2"/>
        </w:rPr>
        <w:t>117</w:t>
      </w:r>
      <w:r w:rsidRPr="0020617E">
        <w:rPr>
          <w:spacing w:val="-2"/>
        </w:rPr>
        <w:t>/D/</w:t>
      </w:r>
      <w:r w:rsidRPr="007F3524">
        <w:rPr>
          <w:spacing w:val="-2"/>
        </w:rPr>
        <w:t>2462</w:t>
      </w:r>
      <w:r w:rsidRPr="0020617E">
        <w:rPr>
          <w:spacing w:val="-2"/>
        </w:rPr>
        <w:t>/</w:t>
      </w:r>
      <w:r w:rsidRPr="007F3524">
        <w:rPr>
          <w:spacing w:val="-2"/>
        </w:rPr>
        <w:t>2014</w:t>
      </w:r>
      <w:r w:rsidRPr="0020617E">
        <w:rPr>
          <w:spacing w:val="-2"/>
          <w:rtl/>
        </w:rPr>
        <w:t xml:space="preserve">)، حيث خلصت اللجنة إلى انتهاك المادة </w:t>
      </w:r>
      <w:r w:rsidRPr="007F3524">
        <w:rPr>
          <w:spacing w:val="-2"/>
          <w:rtl/>
        </w:rPr>
        <w:t>7</w:t>
      </w:r>
      <w:r w:rsidRPr="0020617E">
        <w:rPr>
          <w:spacing w:val="-2"/>
          <w:rtl/>
        </w:rPr>
        <w:t xml:space="preserve"> من العهد بسبب الفحص التعسفي لمزاعم صاحب الشكوى، فيما يتعلق بأمور منها حالة المثليات والمثليين ومزدوجي</w:t>
      </w:r>
      <w:r w:rsidRPr="0020617E">
        <w:rPr>
          <w:rFonts w:hint="cs"/>
          <w:spacing w:val="-2"/>
          <w:rtl/>
        </w:rPr>
        <w:t> </w:t>
      </w:r>
      <w:r w:rsidRPr="0020617E">
        <w:rPr>
          <w:spacing w:val="-2"/>
          <w:rtl/>
        </w:rPr>
        <w:t xml:space="preserve">الميل الجنسي ومغايري الهوية الجنسانية وحاملي صفات الجنسين في بنغلاديش؛ واللجنة المعنية بحقوق الإنسان، قضية </w:t>
      </w:r>
      <w:r w:rsidRPr="007F3524">
        <w:rPr>
          <w:i/>
          <w:iCs/>
          <w:spacing w:val="-2"/>
          <w:rtl/>
        </w:rPr>
        <w:t>م. أ. ضد السويد</w:t>
      </w:r>
      <w:r w:rsidRPr="0020617E">
        <w:rPr>
          <w:spacing w:val="-2"/>
          <w:rtl/>
        </w:rPr>
        <w:t xml:space="preserve"> (</w:t>
      </w:r>
      <w:r w:rsidRPr="0020617E">
        <w:rPr>
          <w:spacing w:val="-2"/>
        </w:rPr>
        <w:t>CCPR/C/</w:t>
      </w:r>
      <w:r w:rsidRPr="007F3524">
        <w:rPr>
          <w:spacing w:val="-2"/>
        </w:rPr>
        <w:t>108</w:t>
      </w:r>
      <w:r w:rsidRPr="0020617E">
        <w:rPr>
          <w:spacing w:val="-2"/>
        </w:rPr>
        <w:t>/D/</w:t>
      </w:r>
      <w:r w:rsidRPr="007F3524">
        <w:rPr>
          <w:spacing w:val="-2"/>
        </w:rPr>
        <w:t>2149</w:t>
      </w:r>
      <w:r w:rsidRPr="0020617E">
        <w:rPr>
          <w:spacing w:val="-2"/>
        </w:rPr>
        <w:t>/</w:t>
      </w:r>
      <w:r w:rsidRPr="007F3524">
        <w:rPr>
          <w:spacing w:val="-2"/>
        </w:rPr>
        <w:t>2012</w:t>
      </w:r>
      <w:r w:rsidRPr="0020617E">
        <w:rPr>
          <w:spacing w:val="-2"/>
          <w:rtl/>
        </w:rPr>
        <w:t xml:space="preserve">)، حيث خلصت اللجنة إلى وقوع انتهاك للمادة </w:t>
      </w:r>
      <w:r w:rsidRPr="007F3524">
        <w:rPr>
          <w:spacing w:val="-2"/>
          <w:rtl/>
        </w:rPr>
        <w:t>7</w:t>
      </w:r>
      <w:r w:rsidRPr="0020617E">
        <w:rPr>
          <w:spacing w:val="-2"/>
          <w:rtl/>
        </w:rPr>
        <w:t xml:space="preserve"> من العهد بسبب عدم مراعاة السلطات لمزاعم صاحبة البلاغ فيما يتعلق بالأحداث التي تعرضت لها في بنغلاديش بسبب ميولها الجنسية</w:t>
      </w:r>
      <w:r w:rsidRPr="0020617E">
        <w:rPr>
          <w:rFonts w:hint="cs"/>
          <w:spacing w:val="-2"/>
          <w:rtl/>
        </w:rPr>
        <w:t xml:space="preserve"> </w:t>
      </w:r>
      <w:r w:rsidRPr="0020617E">
        <w:rPr>
          <w:spacing w:val="-2"/>
          <w:rtl/>
        </w:rPr>
        <w:t>- ولا</w:t>
      </w:r>
      <w:r w:rsidRPr="0020617E">
        <w:rPr>
          <w:rFonts w:hint="cs"/>
          <w:spacing w:val="-2"/>
          <w:rtl/>
        </w:rPr>
        <w:t> </w:t>
      </w:r>
      <w:r w:rsidRPr="0020617E">
        <w:rPr>
          <w:spacing w:val="-2"/>
          <w:rtl/>
        </w:rPr>
        <w:t xml:space="preserve">سيما سوء معاملتها على يد الشرطة - في تقييم الخطر المزعوم الذي </w:t>
      </w:r>
      <w:proofErr w:type="spellStart"/>
      <w:r w:rsidRPr="0020617E">
        <w:rPr>
          <w:spacing w:val="-2"/>
          <w:rtl/>
        </w:rPr>
        <w:t>ستواجهه</w:t>
      </w:r>
      <w:proofErr w:type="spellEnd"/>
      <w:r w:rsidRPr="0020617E">
        <w:rPr>
          <w:spacing w:val="-2"/>
          <w:rtl/>
        </w:rPr>
        <w:t xml:space="preserve"> في حال</w:t>
      </w:r>
      <w:r>
        <w:rPr>
          <w:rFonts w:hint="cs"/>
          <w:spacing w:val="-2"/>
          <w:rtl/>
        </w:rPr>
        <w:t> </w:t>
      </w:r>
      <w:r w:rsidRPr="0020617E">
        <w:rPr>
          <w:spacing w:val="-2"/>
          <w:rtl/>
        </w:rPr>
        <w:t xml:space="preserve">إعادتها إلى بلدها الأصلي؛ واللجنة المعنية بحقوق الإنسان، قضية </w:t>
      </w:r>
      <w:r w:rsidRPr="007F3524">
        <w:rPr>
          <w:i/>
          <w:iCs/>
          <w:spacing w:val="-2"/>
          <w:rtl/>
        </w:rPr>
        <w:t>و. ك. ضد كندا</w:t>
      </w:r>
      <w:r w:rsidRPr="0020617E">
        <w:rPr>
          <w:spacing w:val="-2"/>
          <w:rtl/>
        </w:rPr>
        <w:t xml:space="preserve"> (</w:t>
      </w:r>
      <w:r w:rsidRPr="0020617E">
        <w:rPr>
          <w:spacing w:val="-2"/>
        </w:rPr>
        <w:t>CCPR/C/</w:t>
      </w:r>
      <w:r w:rsidRPr="007F3524">
        <w:rPr>
          <w:spacing w:val="-2"/>
        </w:rPr>
        <w:t>122</w:t>
      </w:r>
      <w:r w:rsidRPr="0020617E">
        <w:rPr>
          <w:spacing w:val="-2"/>
        </w:rPr>
        <w:t>/D/</w:t>
      </w:r>
      <w:r w:rsidRPr="007F3524">
        <w:rPr>
          <w:spacing w:val="-2"/>
        </w:rPr>
        <w:t>2292</w:t>
      </w:r>
      <w:r w:rsidRPr="0020617E">
        <w:rPr>
          <w:spacing w:val="-2"/>
        </w:rPr>
        <w:t>/</w:t>
      </w:r>
      <w:r w:rsidRPr="007F3524">
        <w:rPr>
          <w:spacing w:val="-2"/>
        </w:rPr>
        <w:t>2013</w:t>
      </w:r>
      <w:r w:rsidRPr="0020617E">
        <w:rPr>
          <w:spacing w:val="-2"/>
          <w:rtl/>
        </w:rPr>
        <w:t xml:space="preserve">)، التي لم تجد اللجنة فيها انتهاكاً للمادتين </w:t>
      </w:r>
      <w:r w:rsidRPr="007F3524">
        <w:rPr>
          <w:spacing w:val="-2"/>
          <w:rtl/>
        </w:rPr>
        <w:t>6</w:t>
      </w:r>
      <w:r w:rsidRPr="0020617E">
        <w:rPr>
          <w:spacing w:val="-2"/>
          <w:rtl/>
        </w:rPr>
        <w:t xml:space="preserve"> و</w:t>
      </w:r>
      <w:r w:rsidRPr="007F3524">
        <w:rPr>
          <w:spacing w:val="-2"/>
          <w:rtl/>
        </w:rPr>
        <w:t>7</w:t>
      </w:r>
      <w:r w:rsidRPr="0020617E">
        <w:rPr>
          <w:spacing w:val="-2"/>
          <w:rtl/>
        </w:rPr>
        <w:t xml:space="preserve"> من العهد في حالة عودة صاحب الشكوى إلى مصر، على الرغم من الانتهاكات الجسيمة لحقوق الإنسان المرتكبة ضد المثليين جنسياً في مصر، لأن صاحب البلاغ لم يقدم أي حجة محددة من شأنها أن تؤدي إلى استنتاج تعرضه لخطر حقيقي وشخصي إذا عاد ولأن سلطات الدولة الطرف درست بدقة الطلبات والحجج التي قدمها صاحب البلاغ؛ واللجنة المعنية بالقضاء على التمييز ضد المرأة، قضية </w:t>
      </w:r>
      <w:r w:rsidRPr="007F3524">
        <w:rPr>
          <w:i/>
          <w:iCs/>
          <w:spacing w:val="-2"/>
          <w:rtl/>
        </w:rPr>
        <w:t>أ. س. ضد الدانمرك</w:t>
      </w:r>
      <w:r w:rsidRPr="0020617E">
        <w:rPr>
          <w:spacing w:val="-2"/>
          <w:rtl/>
        </w:rPr>
        <w:t xml:space="preserve"> (</w:t>
      </w:r>
      <w:r w:rsidRPr="0020617E">
        <w:rPr>
          <w:spacing w:val="-2"/>
        </w:rPr>
        <w:t>CEDAW/C/</w:t>
      </w:r>
      <w:r w:rsidRPr="007F3524">
        <w:rPr>
          <w:spacing w:val="-2"/>
        </w:rPr>
        <w:t>69</w:t>
      </w:r>
      <w:r w:rsidRPr="0020617E">
        <w:rPr>
          <w:spacing w:val="-2"/>
        </w:rPr>
        <w:t>/D/</w:t>
      </w:r>
      <w:r w:rsidRPr="007F3524">
        <w:rPr>
          <w:spacing w:val="-2"/>
        </w:rPr>
        <w:t>80</w:t>
      </w:r>
      <w:r w:rsidRPr="0020617E">
        <w:rPr>
          <w:spacing w:val="-2"/>
        </w:rPr>
        <w:t>/</w:t>
      </w:r>
      <w:r w:rsidRPr="007F3524">
        <w:rPr>
          <w:spacing w:val="-2"/>
        </w:rPr>
        <w:t>2015</w:t>
      </w:r>
      <w:r w:rsidRPr="0020617E">
        <w:rPr>
          <w:spacing w:val="-2"/>
          <w:rtl/>
        </w:rPr>
        <w:t>)، حيث أعلنت اللجنة أن البلاغ غير مقبول بسبب عدم وجود أدلة تثبت عدم إيلاء السلطات اهتماماً كافياً لطلب اللجوء الذي قدمته صاحبة البلاغ، أو وجود عيب إجرائي أو</w:t>
      </w:r>
      <w:r w:rsidRPr="0020617E">
        <w:rPr>
          <w:rFonts w:hint="cs"/>
          <w:spacing w:val="-2"/>
          <w:rtl/>
        </w:rPr>
        <w:t> </w:t>
      </w:r>
      <w:r w:rsidRPr="0020617E">
        <w:rPr>
          <w:spacing w:val="-2"/>
          <w:rtl/>
        </w:rPr>
        <w:t>تعسف في سياق النظر في قضيتها.</w:t>
      </w:r>
    </w:p>
  </w:footnote>
  <w:footnote w:id="16">
    <w:p w14:paraId="00F7E610" w14:textId="1B8FB1A1" w:rsidR="006A223A" w:rsidRPr="00232E96" w:rsidRDefault="006A223A" w:rsidP="00232E96">
      <w:pPr>
        <w:pStyle w:val="FootnoteText1"/>
        <w:textDirection w:val="tbRlV"/>
        <w:rPr>
          <w:rtl/>
        </w:rPr>
      </w:pPr>
      <w:r w:rsidRPr="00232E96">
        <w:rPr>
          <w:rtl/>
        </w:rPr>
        <w:t>(</w:t>
      </w:r>
      <w:r w:rsidRPr="007F3524">
        <w:rPr>
          <w:rStyle w:val="FootnoteReference"/>
          <w:vertAlign w:val="baseline"/>
        </w:rPr>
        <w:footnoteRef/>
      </w:r>
      <w:r w:rsidRPr="00232E96">
        <w:rPr>
          <w:rtl/>
        </w:rPr>
        <w:t>)</w:t>
      </w:r>
      <w:r>
        <w:rPr>
          <w:rtl/>
        </w:rPr>
        <w:tab/>
      </w:r>
      <w:r w:rsidRPr="00232E96">
        <w:rPr>
          <w:rtl/>
        </w:rPr>
        <w:t xml:space="preserve">انظر، على سبيل المثال، </w:t>
      </w:r>
      <w:r w:rsidRPr="007F3524">
        <w:rPr>
          <w:i/>
          <w:iCs/>
          <w:rtl/>
        </w:rPr>
        <w:t>إ. ت ضد هولندا</w:t>
      </w:r>
      <w:r w:rsidRPr="00232E96">
        <w:rPr>
          <w:rtl/>
        </w:rPr>
        <w:t xml:space="preserve"> (</w:t>
      </w:r>
      <w:r w:rsidRPr="00232E96">
        <w:t>CAT/C/</w:t>
      </w:r>
      <w:r w:rsidRPr="007F3524">
        <w:t>65</w:t>
      </w:r>
      <w:r w:rsidRPr="00232E96">
        <w:t>/D/</w:t>
      </w:r>
      <w:r w:rsidRPr="007F3524">
        <w:t>801</w:t>
      </w:r>
      <w:r w:rsidRPr="00232E96">
        <w:t>/</w:t>
      </w:r>
      <w:r w:rsidRPr="007F3524">
        <w:t>2017</w:t>
      </w:r>
      <w:r w:rsidRPr="00232E96">
        <w:rPr>
          <w:rtl/>
        </w:rPr>
        <w:t xml:space="preserve">)، الفقرة </w:t>
      </w:r>
      <w:r w:rsidRPr="007F3524">
        <w:rPr>
          <w:rtl/>
        </w:rPr>
        <w:t>7</w:t>
      </w:r>
      <w:r w:rsidRPr="00232E96">
        <w:rPr>
          <w:rtl/>
        </w:rPr>
        <w:t>-</w:t>
      </w:r>
      <w:r w:rsidRPr="007F3524">
        <w:rPr>
          <w:rtl/>
        </w:rPr>
        <w:t>3</w:t>
      </w:r>
      <w:r w:rsidRPr="00232E96">
        <w:rPr>
          <w:rtl/>
        </w:rPr>
        <w:t>؛ و</w:t>
      </w:r>
      <w:r w:rsidRPr="007F3524">
        <w:rPr>
          <w:i/>
          <w:iCs/>
          <w:rtl/>
        </w:rPr>
        <w:t>ي. ج. ضد سويسرا</w:t>
      </w:r>
      <w:r w:rsidRPr="00232E96">
        <w:rPr>
          <w:rtl/>
        </w:rPr>
        <w:t xml:space="preserve"> (</w:t>
      </w:r>
      <w:r w:rsidRPr="00232E96">
        <w:t>CAT/C/</w:t>
      </w:r>
      <w:r w:rsidRPr="007F3524">
        <w:t>65</w:t>
      </w:r>
      <w:r w:rsidRPr="00232E96">
        <w:t>/D/</w:t>
      </w:r>
      <w:r w:rsidRPr="007F3524">
        <w:t>822</w:t>
      </w:r>
      <w:r w:rsidRPr="00232E96">
        <w:t>/</w:t>
      </w:r>
      <w:r w:rsidRPr="007F3524">
        <w:t>2017</w:t>
      </w:r>
      <w:r w:rsidRPr="00232E96">
        <w:rPr>
          <w:rtl/>
        </w:rPr>
        <w:t xml:space="preserve">)، الفقرة </w:t>
      </w:r>
      <w:r w:rsidRPr="007F3524">
        <w:rPr>
          <w:rtl/>
        </w:rPr>
        <w:t>7</w:t>
      </w:r>
      <w:r w:rsidRPr="00232E96">
        <w:rPr>
          <w:rtl/>
        </w:rPr>
        <w:t>-</w:t>
      </w:r>
      <w:r w:rsidRPr="007F3524">
        <w:rPr>
          <w:rtl/>
        </w:rPr>
        <w:t>3</w:t>
      </w:r>
      <w:r w:rsidRPr="00232E96">
        <w:rPr>
          <w:rtl/>
        </w:rPr>
        <w:t>.</w:t>
      </w:r>
    </w:p>
  </w:footnote>
  <w:footnote w:id="17">
    <w:p w14:paraId="15B8F265" w14:textId="5C1302AC" w:rsidR="006A223A" w:rsidRPr="00232E96" w:rsidRDefault="006A223A" w:rsidP="00232E96">
      <w:pPr>
        <w:pStyle w:val="FootnoteText1"/>
        <w:textDirection w:val="tbRlV"/>
        <w:rPr>
          <w:rtl/>
        </w:rPr>
      </w:pPr>
      <w:r w:rsidRPr="00232E96">
        <w:rPr>
          <w:rtl/>
        </w:rPr>
        <w:t>(</w:t>
      </w:r>
      <w:r w:rsidRPr="007F3524">
        <w:rPr>
          <w:rStyle w:val="FootnoteReference"/>
          <w:vertAlign w:val="baseline"/>
        </w:rPr>
        <w:footnoteRef/>
      </w:r>
      <w:r w:rsidRPr="00232E96">
        <w:rPr>
          <w:rtl/>
        </w:rPr>
        <w:t>)</w:t>
      </w:r>
      <w:r>
        <w:rPr>
          <w:rtl/>
        </w:rPr>
        <w:tab/>
      </w:r>
      <w:r w:rsidRPr="00232E96">
        <w:rPr>
          <w:rtl/>
        </w:rPr>
        <w:t xml:space="preserve">التعليق العام رقم </w:t>
      </w:r>
      <w:r w:rsidRPr="007F3524">
        <w:rPr>
          <w:rtl/>
        </w:rPr>
        <w:t>4</w:t>
      </w:r>
      <w:r w:rsidRPr="00232E96">
        <w:rPr>
          <w:rtl/>
        </w:rPr>
        <w:t>(</w:t>
      </w:r>
      <w:r w:rsidRPr="007F3524">
        <w:rPr>
          <w:rtl/>
        </w:rPr>
        <w:t>2017</w:t>
      </w:r>
      <w:r w:rsidRPr="00232E96">
        <w:rPr>
          <w:rtl/>
        </w:rPr>
        <w:t xml:space="preserve">)، الفقرة </w:t>
      </w:r>
      <w:r w:rsidRPr="007F3524">
        <w:rPr>
          <w:rtl/>
        </w:rPr>
        <w:t>11</w:t>
      </w:r>
      <w:r w:rsidRPr="00232E96">
        <w:rPr>
          <w:rtl/>
        </w:rPr>
        <w:t>.</w:t>
      </w:r>
    </w:p>
  </w:footnote>
  <w:footnote w:id="18">
    <w:p w14:paraId="515A1C3A" w14:textId="266EEC72" w:rsidR="006A223A" w:rsidRPr="00232E96" w:rsidRDefault="006A223A" w:rsidP="00232E96">
      <w:pPr>
        <w:pStyle w:val="FootnoteText1"/>
        <w:textDirection w:val="tbRlV"/>
        <w:rPr>
          <w:rtl/>
        </w:rPr>
      </w:pPr>
      <w:r w:rsidRPr="00232E96">
        <w:rPr>
          <w:rtl/>
        </w:rPr>
        <w:t>(</w:t>
      </w:r>
      <w:r w:rsidRPr="007F3524">
        <w:rPr>
          <w:rStyle w:val="FootnoteReference"/>
          <w:vertAlign w:val="baseline"/>
        </w:rPr>
        <w:footnoteRef/>
      </w:r>
      <w:r w:rsidRPr="00232E96">
        <w:rPr>
          <w:rtl/>
        </w:rPr>
        <w:t>)</w:t>
      </w:r>
      <w:r>
        <w:rPr>
          <w:rtl/>
        </w:rPr>
        <w:tab/>
      </w:r>
      <w:r w:rsidRPr="00232E96">
        <w:rPr>
          <w:rtl/>
        </w:rPr>
        <w:t xml:space="preserve">المرجع نفسه، الفقرة </w:t>
      </w:r>
      <w:r w:rsidRPr="007F3524">
        <w:rPr>
          <w:rtl/>
        </w:rPr>
        <w:t>11</w:t>
      </w:r>
      <w:r w:rsidRPr="00232E96">
        <w:rPr>
          <w:rtl/>
        </w:rPr>
        <w:t>.</w:t>
      </w:r>
    </w:p>
  </w:footnote>
  <w:footnote w:id="19">
    <w:p w14:paraId="6EB1AC65" w14:textId="0762A0BA" w:rsidR="006A223A" w:rsidRPr="00232E96" w:rsidRDefault="006A223A" w:rsidP="00232E96">
      <w:pPr>
        <w:pStyle w:val="FootnoteText1"/>
        <w:textDirection w:val="tbRlV"/>
        <w:rPr>
          <w:rtl/>
        </w:rPr>
      </w:pPr>
      <w:r w:rsidRPr="00232E96">
        <w:rPr>
          <w:rtl/>
        </w:rPr>
        <w:t>(</w:t>
      </w:r>
      <w:r w:rsidRPr="007F3524">
        <w:rPr>
          <w:rStyle w:val="FootnoteReference"/>
          <w:vertAlign w:val="baseline"/>
        </w:rPr>
        <w:footnoteRef/>
      </w:r>
      <w:r w:rsidRPr="00232E96">
        <w:rPr>
          <w:rtl/>
        </w:rPr>
        <w:t>)</w:t>
      </w:r>
      <w:r>
        <w:rPr>
          <w:rtl/>
        </w:rPr>
        <w:tab/>
      </w:r>
      <w:r w:rsidRPr="00232E96">
        <w:rPr>
          <w:rtl/>
        </w:rPr>
        <w:t xml:space="preserve">المرجع نفسه، الفقرة </w:t>
      </w:r>
      <w:r w:rsidRPr="007F3524">
        <w:rPr>
          <w:rtl/>
        </w:rPr>
        <w:t>45</w:t>
      </w:r>
      <w:r w:rsidRPr="00232E96">
        <w:rPr>
          <w:rtl/>
        </w:rPr>
        <w:t>.</w:t>
      </w:r>
    </w:p>
  </w:footnote>
  <w:footnote w:id="20">
    <w:p w14:paraId="317C2BA9" w14:textId="7A812CCA" w:rsidR="006A223A" w:rsidRPr="00232E96" w:rsidRDefault="006A223A" w:rsidP="00232E96">
      <w:pPr>
        <w:pStyle w:val="FootnoteText1"/>
        <w:textDirection w:val="tbRlV"/>
        <w:rPr>
          <w:rtl/>
        </w:rPr>
      </w:pPr>
      <w:r w:rsidRPr="00232E96">
        <w:rPr>
          <w:rtl/>
        </w:rPr>
        <w:t>(</w:t>
      </w:r>
      <w:r w:rsidRPr="007F3524">
        <w:rPr>
          <w:rStyle w:val="FootnoteReference"/>
          <w:vertAlign w:val="baseline"/>
        </w:rPr>
        <w:footnoteRef/>
      </w:r>
      <w:r w:rsidRPr="00232E96">
        <w:rPr>
          <w:rtl/>
        </w:rPr>
        <w:t>)</w:t>
      </w:r>
      <w:r>
        <w:rPr>
          <w:rtl/>
        </w:rPr>
        <w:tab/>
      </w:r>
      <w:r w:rsidRPr="00232E96">
        <w:rPr>
          <w:rtl/>
        </w:rPr>
        <w:t xml:space="preserve">المرجع نفسه، الفقرة </w:t>
      </w:r>
      <w:r w:rsidRPr="007F3524">
        <w:rPr>
          <w:rtl/>
        </w:rPr>
        <w:t>38</w:t>
      </w:r>
      <w:r w:rsidRPr="00232E96">
        <w:rPr>
          <w:rtl/>
        </w:rPr>
        <w:t>.</w:t>
      </w:r>
    </w:p>
  </w:footnote>
  <w:footnote w:id="21">
    <w:p w14:paraId="1610B3F0" w14:textId="72E3F981" w:rsidR="006A223A" w:rsidRPr="00232E96" w:rsidRDefault="006A223A" w:rsidP="00232E96">
      <w:pPr>
        <w:pStyle w:val="FootnoteText1"/>
        <w:textDirection w:val="tbRlV"/>
        <w:rPr>
          <w:rtl/>
        </w:rPr>
      </w:pPr>
      <w:r w:rsidRPr="00232E96">
        <w:rPr>
          <w:rtl/>
        </w:rPr>
        <w:t>(</w:t>
      </w:r>
      <w:r w:rsidRPr="007F3524">
        <w:rPr>
          <w:rStyle w:val="FootnoteReference"/>
          <w:vertAlign w:val="baseline"/>
        </w:rPr>
        <w:footnoteRef/>
      </w:r>
      <w:r w:rsidRPr="00232E96">
        <w:rPr>
          <w:rtl/>
        </w:rPr>
        <w:t>)</w:t>
      </w:r>
      <w:r>
        <w:rPr>
          <w:rtl/>
        </w:rPr>
        <w:tab/>
      </w:r>
      <w:r w:rsidRPr="00232E96">
        <w:rPr>
          <w:rtl/>
        </w:rPr>
        <w:t xml:space="preserve">المرجع نفسه، الفقرة </w:t>
      </w:r>
      <w:r w:rsidRPr="007F3524">
        <w:rPr>
          <w:rtl/>
        </w:rPr>
        <w:t>29</w:t>
      </w:r>
      <w:r w:rsidRPr="00232E96">
        <w:rPr>
          <w:rtl/>
        </w:rPr>
        <w:t>(ج).</w:t>
      </w:r>
    </w:p>
  </w:footnote>
  <w:footnote w:id="22">
    <w:p w14:paraId="4CF47786" w14:textId="5D5A3AA1" w:rsidR="006A223A" w:rsidRPr="00232E96" w:rsidRDefault="006A223A" w:rsidP="00232E96">
      <w:pPr>
        <w:pStyle w:val="FootnoteText1"/>
        <w:textDirection w:val="tbRlV"/>
        <w:rPr>
          <w:rtl/>
        </w:rPr>
      </w:pPr>
      <w:r w:rsidRPr="00232E96">
        <w:rPr>
          <w:rtl/>
        </w:rPr>
        <w:t>(</w:t>
      </w:r>
      <w:r w:rsidRPr="007F3524">
        <w:rPr>
          <w:rStyle w:val="FootnoteReference"/>
          <w:vertAlign w:val="baseline"/>
        </w:rPr>
        <w:footnoteRef/>
      </w:r>
      <w:r w:rsidRPr="00232E96">
        <w:rPr>
          <w:rtl/>
        </w:rPr>
        <w:t>)</w:t>
      </w:r>
      <w:r>
        <w:rPr>
          <w:rtl/>
        </w:rPr>
        <w:tab/>
      </w:r>
      <w:r w:rsidRPr="00232E96">
        <w:rPr>
          <w:rtl/>
        </w:rPr>
        <w:t xml:space="preserve">المرجع نفسه، الفقرة </w:t>
      </w:r>
      <w:r w:rsidRPr="007F3524">
        <w:rPr>
          <w:rtl/>
        </w:rPr>
        <w:t>49</w:t>
      </w:r>
      <w:r w:rsidRPr="00232E96">
        <w:rPr>
          <w:rtl/>
        </w:rPr>
        <w:t>(ب).</w:t>
      </w:r>
    </w:p>
  </w:footnote>
  <w:footnote w:id="23">
    <w:p w14:paraId="0A90DB73" w14:textId="69881E02" w:rsidR="006A223A" w:rsidRPr="00232E96" w:rsidRDefault="006A223A" w:rsidP="00232E96">
      <w:pPr>
        <w:pStyle w:val="FootnoteText1"/>
        <w:textDirection w:val="tbRlV"/>
      </w:pPr>
      <w:r w:rsidRPr="00232E96">
        <w:rPr>
          <w:rtl/>
        </w:rPr>
        <w:t>(</w:t>
      </w:r>
      <w:r w:rsidRPr="007F3524">
        <w:rPr>
          <w:rStyle w:val="FootnoteReference"/>
          <w:vertAlign w:val="baseline"/>
        </w:rPr>
        <w:footnoteRef/>
      </w:r>
      <w:r w:rsidRPr="00232E96">
        <w:rPr>
          <w:rtl/>
        </w:rPr>
        <w:t>)</w:t>
      </w:r>
      <w:r>
        <w:rPr>
          <w:rtl/>
        </w:rPr>
        <w:tab/>
      </w:r>
      <w:r w:rsidRPr="00232E96">
        <w:rPr>
          <w:rtl/>
        </w:rPr>
        <w:t xml:space="preserve">التعليق العام رقم </w:t>
      </w:r>
      <w:r w:rsidRPr="007F3524">
        <w:rPr>
          <w:rtl/>
        </w:rPr>
        <w:t>2</w:t>
      </w:r>
      <w:r w:rsidRPr="00232E96">
        <w:rPr>
          <w:rtl/>
        </w:rPr>
        <w:t>(</w:t>
      </w:r>
      <w:r w:rsidRPr="007F3524">
        <w:rPr>
          <w:rtl/>
        </w:rPr>
        <w:t>2007</w:t>
      </w:r>
      <w:r w:rsidRPr="00232E96">
        <w:rPr>
          <w:rtl/>
        </w:rPr>
        <w:t xml:space="preserve">)، الفقرة </w:t>
      </w:r>
      <w:r w:rsidRPr="007F3524">
        <w:rPr>
          <w:rtl/>
        </w:rPr>
        <w:t>18</w:t>
      </w:r>
      <w:r w:rsidRPr="00232E96">
        <w:rPr>
          <w:rtl/>
        </w:rPr>
        <w:t>.</w:t>
      </w:r>
    </w:p>
  </w:footnote>
  <w:footnote w:id="24">
    <w:p w14:paraId="01C75132" w14:textId="21116AB8" w:rsidR="006A223A" w:rsidRPr="00232E96" w:rsidRDefault="006A223A" w:rsidP="00232E96">
      <w:pPr>
        <w:pStyle w:val="FootnoteText1"/>
        <w:textDirection w:val="tbRlV"/>
        <w:rPr>
          <w:rtl/>
        </w:rPr>
      </w:pPr>
      <w:r w:rsidRPr="00232E96">
        <w:rPr>
          <w:rtl/>
        </w:rPr>
        <w:t>(</w:t>
      </w:r>
      <w:r w:rsidRPr="007F3524">
        <w:rPr>
          <w:rStyle w:val="FootnoteReference"/>
          <w:vertAlign w:val="baseline"/>
        </w:rPr>
        <w:footnoteRef/>
      </w:r>
      <w:r w:rsidRPr="00232E96">
        <w:rPr>
          <w:rtl/>
        </w:rPr>
        <w:t>)</w:t>
      </w:r>
      <w:r>
        <w:rPr>
          <w:rtl/>
        </w:rPr>
        <w:tab/>
      </w:r>
      <w:r w:rsidRPr="00232E96">
        <w:rPr>
          <w:rtl/>
        </w:rPr>
        <w:t xml:space="preserve">انظر، على سبيل المثال، </w:t>
      </w:r>
      <w:r w:rsidRPr="007F3524">
        <w:rPr>
          <w:i/>
          <w:iCs/>
          <w:rtl/>
        </w:rPr>
        <w:t>س. وي. وز. ضد السويد</w:t>
      </w:r>
      <w:r w:rsidRPr="00232E96">
        <w:rPr>
          <w:rtl/>
        </w:rPr>
        <w:t xml:space="preserve"> (</w:t>
      </w:r>
      <w:r w:rsidRPr="00232E96">
        <w:t>CAT/C/</w:t>
      </w:r>
      <w:r w:rsidRPr="007F3524">
        <w:t>20</w:t>
      </w:r>
      <w:r w:rsidRPr="00232E96">
        <w:t>/D/</w:t>
      </w:r>
      <w:r w:rsidRPr="007F3524">
        <w:t>61</w:t>
      </w:r>
      <w:r w:rsidRPr="00232E96">
        <w:t>/</w:t>
      </w:r>
      <w:r w:rsidRPr="007F3524">
        <w:t>1996</w:t>
      </w:r>
      <w:r w:rsidRPr="00232E96">
        <w:rPr>
          <w:rtl/>
        </w:rPr>
        <w:t xml:space="preserve">)، الفقرة </w:t>
      </w:r>
      <w:r w:rsidRPr="007F3524">
        <w:rPr>
          <w:rtl/>
        </w:rPr>
        <w:t>11</w:t>
      </w:r>
      <w:r w:rsidRPr="00232E96">
        <w:rPr>
          <w:rtl/>
        </w:rPr>
        <w:t>-</w:t>
      </w:r>
      <w:r w:rsidRPr="007F3524">
        <w:rPr>
          <w:rtl/>
        </w:rPr>
        <w:t>2</w:t>
      </w:r>
      <w:r w:rsidRPr="00232E96">
        <w:rPr>
          <w:rtl/>
        </w:rPr>
        <w:t xml:space="preserve">؛ </w:t>
      </w:r>
      <w:proofErr w:type="spellStart"/>
      <w:r w:rsidRPr="00232E96">
        <w:rPr>
          <w:rtl/>
        </w:rPr>
        <w:t>و</w:t>
      </w:r>
      <w:r w:rsidRPr="007F3524">
        <w:rPr>
          <w:i/>
          <w:iCs/>
          <w:rtl/>
        </w:rPr>
        <w:t>ج</w:t>
      </w:r>
      <w:proofErr w:type="spellEnd"/>
      <w:r w:rsidRPr="007F3524">
        <w:rPr>
          <w:i/>
          <w:iCs/>
          <w:rtl/>
        </w:rPr>
        <w:t>. ب. م. ضد السويد</w:t>
      </w:r>
      <w:r w:rsidRPr="00232E96">
        <w:rPr>
          <w:rtl/>
        </w:rPr>
        <w:t xml:space="preserve"> (</w:t>
      </w:r>
      <w:r w:rsidRPr="00232E96">
        <w:t>CAT/C/</w:t>
      </w:r>
      <w:r w:rsidRPr="007F3524">
        <w:t>49</w:t>
      </w:r>
      <w:r w:rsidRPr="00232E96">
        <w:t>/D/</w:t>
      </w:r>
      <w:r w:rsidRPr="007F3524">
        <w:t>435</w:t>
      </w:r>
      <w:r w:rsidRPr="00232E96">
        <w:t>/</w:t>
      </w:r>
      <w:r w:rsidRPr="007F3524">
        <w:t>2010</w:t>
      </w:r>
      <w:r w:rsidRPr="00232E96">
        <w:rPr>
          <w:rtl/>
        </w:rPr>
        <w:t xml:space="preserve">)، الفقرة </w:t>
      </w:r>
      <w:r w:rsidRPr="007F3524">
        <w:rPr>
          <w:rtl/>
        </w:rPr>
        <w:t>7</w:t>
      </w:r>
      <w:r w:rsidRPr="00232E96">
        <w:rPr>
          <w:rtl/>
        </w:rPr>
        <w:t>-</w:t>
      </w:r>
      <w:r w:rsidRPr="007F3524">
        <w:rPr>
          <w:rtl/>
        </w:rPr>
        <w:t>7</w:t>
      </w:r>
      <w:r w:rsidRPr="00232E96">
        <w:rPr>
          <w:rtl/>
        </w:rPr>
        <w:t xml:space="preserve">؛ </w:t>
      </w:r>
      <w:proofErr w:type="spellStart"/>
      <w:r w:rsidRPr="00232E96">
        <w:rPr>
          <w:rtl/>
        </w:rPr>
        <w:t>و</w:t>
      </w:r>
      <w:r w:rsidRPr="007F3524">
        <w:rPr>
          <w:i/>
          <w:iCs/>
          <w:rtl/>
        </w:rPr>
        <w:t>س</w:t>
      </w:r>
      <w:proofErr w:type="spellEnd"/>
      <w:r w:rsidRPr="007F3524">
        <w:rPr>
          <w:i/>
          <w:iCs/>
          <w:rtl/>
        </w:rPr>
        <w:t>. ضد الدانمرك</w:t>
      </w:r>
      <w:r w:rsidRPr="00232E96">
        <w:rPr>
          <w:rtl/>
        </w:rPr>
        <w:t xml:space="preserve"> (</w:t>
      </w:r>
      <w:r w:rsidRPr="00232E96">
        <w:t>CAT/C/</w:t>
      </w:r>
      <w:r w:rsidRPr="007F3524">
        <w:t>53</w:t>
      </w:r>
      <w:r w:rsidRPr="00232E96">
        <w:t>/D/</w:t>
      </w:r>
      <w:r w:rsidRPr="007F3524">
        <w:t>458</w:t>
      </w:r>
      <w:r w:rsidRPr="00232E96">
        <w:t>/</w:t>
      </w:r>
      <w:r w:rsidRPr="007F3524">
        <w:t>2011</w:t>
      </w:r>
      <w:r w:rsidRPr="00232E96">
        <w:rPr>
          <w:rtl/>
        </w:rPr>
        <w:t xml:space="preserve">)، الفقرة </w:t>
      </w:r>
      <w:r w:rsidRPr="007F3524">
        <w:rPr>
          <w:rtl/>
        </w:rPr>
        <w:t>9</w:t>
      </w:r>
      <w:r w:rsidRPr="00232E96">
        <w:rPr>
          <w:rtl/>
        </w:rPr>
        <w:t>-</w:t>
      </w:r>
      <w:r w:rsidRPr="007F3524">
        <w:rPr>
          <w:rtl/>
        </w:rPr>
        <w:t>5</w:t>
      </w:r>
      <w:r w:rsidRPr="00232E96">
        <w:rPr>
          <w:rtl/>
        </w:rPr>
        <w:t xml:space="preserve">؛ </w:t>
      </w:r>
      <w:proofErr w:type="spellStart"/>
      <w:r w:rsidRPr="00232E96">
        <w:rPr>
          <w:rtl/>
        </w:rPr>
        <w:t>و</w:t>
      </w:r>
      <w:r w:rsidRPr="007F3524">
        <w:rPr>
          <w:i/>
          <w:iCs/>
          <w:rtl/>
        </w:rPr>
        <w:t>س</w:t>
      </w:r>
      <w:proofErr w:type="spellEnd"/>
      <w:r w:rsidRPr="007F3524">
        <w:rPr>
          <w:i/>
          <w:iCs/>
          <w:rtl/>
        </w:rPr>
        <w:t>. س. ب. ضد الدانمرك</w:t>
      </w:r>
      <w:r w:rsidRPr="00232E96">
        <w:rPr>
          <w:rtl/>
        </w:rPr>
        <w:t xml:space="preserve"> (</w:t>
      </w:r>
      <w:r w:rsidRPr="00232E96">
        <w:t>CAT/C/</w:t>
      </w:r>
      <w:r w:rsidRPr="007F3524">
        <w:t>60</w:t>
      </w:r>
      <w:r w:rsidRPr="00232E96">
        <w:t>/D/</w:t>
      </w:r>
      <w:r w:rsidRPr="007F3524">
        <w:t>602</w:t>
      </w:r>
      <w:r w:rsidRPr="00232E96">
        <w:t>/</w:t>
      </w:r>
      <w:r w:rsidRPr="007F3524">
        <w:t>2014</w:t>
      </w:r>
      <w:r w:rsidRPr="00232E96">
        <w:rPr>
          <w:rtl/>
        </w:rPr>
        <w:t xml:space="preserve">)، الفقرة </w:t>
      </w:r>
      <w:r w:rsidRPr="007F3524">
        <w:rPr>
          <w:rtl/>
        </w:rPr>
        <w:t>8</w:t>
      </w:r>
      <w:r w:rsidRPr="00232E96">
        <w:rPr>
          <w:rtl/>
        </w:rPr>
        <w:t>-</w:t>
      </w:r>
      <w:r w:rsidRPr="007F3524">
        <w:rPr>
          <w:rtl/>
        </w:rPr>
        <w:t>7</w:t>
      </w:r>
      <w:r w:rsidRPr="00232E96">
        <w:rPr>
          <w:rtl/>
        </w:rPr>
        <w:t>.</w:t>
      </w:r>
    </w:p>
  </w:footnote>
  <w:footnote w:id="25">
    <w:p w14:paraId="38580FDA" w14:textId="4B68C3F4" w:rsidR="006A223A" w:rsidRPr="002608C2" w:rsidRDefault="006A223A" w:rsidP="00232E96">
      <w:pPr>
        <w:pStyle w:val="FootnoteText1"/>
        <w:textDirection w:val="tbRlV"/>
        <w:rPr>
          <w:spacing w:val="-4"/>
          <w:rtl/>
        </w:rPr>
      </w:pPr>
      <w:r w:rsidRPr="00232E96">
        <w:rPr>
          <w:rtl/>
        </w:rPr>
        <w:t>(</w:t>
      </w:r>
      <w:r w:rsidRPr="007F3524">
        <w:rPr>
          <w:rStyle w:val="FootnoteReference"/>
          <w:vertAlign w:val="baseline"/>
        </w:rPr>
        <w:footnoteRef/>
      </w:r>
      <w:r w:rsidRPr="00232E96">
        <w:rPr>
          <w:rtl/>
        </w:rPr>
        <w:t>)</w:t>
      </w:r>
      <w:r>
        <w:rPr>
          <w:rtl/>
        </w:rPr>
        <w:tab/>
      </w:r>
      <w:r w:rsidRPr="002608C2">
        <w:rPr>
          <w:spacing w:val="-4"/>
          <w:rtl/>
        </w:rPr>
        <w:t xml:space="preserve">انظر، على سبيل المثال، </w:t>
      </w:r>
      <w:r w:rsidRPr="007F3524">
        <w:rPr>
          <w:i/>
          <w:iCs/>
          <w:spacing w:val="-4"/>
          <w:rtl/>
        </w:rPr>
        <w:t>إ. أ. ضد سويسرا</w:t>
      </w:r>
      <w:r w:rsidRPr="002608C2">
        <w:rPr>
          <w:spacing w:val="-4"/>
          <w:rtl/>
        </w:rPr>
        <w:t xml:space="preserve"> (</w:t>
      </w:r>
      <w:r w:rsidRPr="002608C2">
        <w:rPr>
          <w:spacing w:val="-4"/>
        </w:rPr>
        <w:t>CAT/C/</w:t>
      </w:r>
      <w:r w:rsidRPr="007F3524">
        <w:rPr>
          <w:spacing w:val="-4"/>
        </w:rPr>
        <w:t>62</w:t>
      </w:r>
      <w:r w:rsidRPr="002608C2">
        <w:rPr>
          <w:spacing w:val="-4"/>
        </w:rPr>
        <w:t>/D/</w:t>
      </w:r>
      <w:r w:rsidRPr="007F3524">
        <w:rPr>
          <w:spacing w:val="-4"/>
        </w:rPr>
        <w:t>683</w:t>
      </w:r>
      <w:r w:rsidRPr="002608C2">
        <w:rPr>
          <w:spacing w:val="-4"/>
        </w:rPr>
        <w:t>/</w:t>
      </w:r>
      <w:r w:rsidRPr="007F3524">
        <w:rPr>
          <w:spacing w:val="-4"/>
        </w:rPr>
        <w:t>2015</w:t>
      </w:r>
      <w:r w:rsidRPr="002608C2">
        <w:rPr>
          <w:spacing w:val="-4"/>
          <w:rtl/>
        </w:rPr>
        <w:t xml:space="preserve">)، الفقرة </w:t>
      </w:r>
      <w:r w:rsidRPr="007F3524">
        <w:rPr>
          <w:spacing w:val="-4"/>
          <w:rtl/>
        </w:rPr>
        <w:t>7</w:t>
      </w:r>
      <w:r w:rsidRPr="002608C2">
        <w:rPr>
          <w:spacing w:val="-4"/>
          <w:rtl/>
        </w:rPr>
        <w:t>-</w:t>
      </w:r>
      <w:r w:rsidRPr="007F3524">
        <w:rPr>
          <w:spacing w:val="-4"/>
          <w:rtl/>
        </w:rPr>
        <w:t>6</w:t>
      </w:r>
      <w:r w:rsidRPr="002608C2">
        <w:rPr>
          <w:spacing w:val="-4"/>
          <w:rtl/>
        </w:rPr>
        <w:t>؛ و</w:t>
      </w:r>
      <w:r w:rsidRPr="007F3524">
        <w:rPr>
          <w:rFonts w:hint="cs"/>
          <w:i/>
          <w:iCs/>
          <w:spacing w:val="-4"/>
          <w:rtl/>
        </w:rPr>
        <w:t>ه‍</w:t>
      </w:r>
      <w:r w:rsidRPr="007F3524">
        <w:rPr>
          <w:i/>
          <w:iCs/>
          <w:spacing w:val="-4"/>
          <w:rtl/>
        </w:rPr>
        <w:t>. ر. إ. س ضد سويسرا</w:t>
      </w:r>
      <w:r w:rsidRPr="002608C2">
        <w:rPr>
          <w:spacing w:val="-4"/>
          <w:rtl/>
        </w:rPr>
        <w:t xml:space="preserve">، الفقرة </w:t>
      </w:r>
      <w:r w:rsidRPr="007F3524">
        <w:rPr>
          <w:spacing w:val="-4"/>
          <w:rtl/>
        </w:rPr>
        <w:t>8</w:t>
      </w:r>
      <w:r w:rsidRPr="002608C2">
        <w:rPr>
          <w:spacing w:val="-4"/>
          <w:rtl/>
        </w:rPr>
        <w:t>-</w:t>
      </w:r>
      <w:r w:rsidRPr="007F3524">
        <w:rPr>
          <w:spacing w:val="-4"/>
          <w:rtl/>
        </w:rPr>
        <w:t>13</w:t>
      </w:r>
      <w:r w:rsidRPr="002608C2">
        <w:rPr>
          <w:spacing w:val="-4"/>
          <w:rtl/>
        </w:rPr>
        <w:t>.</w:t>
      </w:r>
    </w:p>
  </w:footnote>
  <w:footnote w:id="26">
    <w:p w14:paraId="3CFF7B13" w14:textId="2255DD07" w:rsidR="006A223A" w:rsidRPr="00232E96" w:rsidRDefault="006A223A" w:rsidP="00232E96">
      <w:pPr>
        <w:pStyle w:val="FootnoteText1"/>
        <w:textDirection w:val="tbRlV"/>
        <w:rPr>
          <w:rFonts w:hint="cs"/>
          <w:rtl/>
        </w:rPr>
      </w:pPr>
      <w:r w:rsidRPr="00232E96">
        <w:rPr>
          <w:rtl/>
        </w:rPr>
        <w:t>(</w:t>
      </w:r>
      <w:r w:rsidRPr="007F3524">
        <w:rPr>
          <w:rStyle w:val="FootnoteReference"/>
          <w:vertAlign w:val="baseline"/>
        </w:rPr>
        <w:footnoteRef/>
      </w:r>
      <w:r w:rsidRPr="00232E96">
        <w:rPr>
          <w:rtl/>
        </w:rPr>
        <w:t>)</w:t>
      </w:r>
      <w:r>
        <w:rPr>
          <w:rtl/>
        </w:rPr>
        <w:tab/>
      </w:r>
      <w:r w:rsidRPr="00232E96">
        <w:rPr>
          <w:rtl/>
        </w:rPr>
        <w:t xml:space="preserve">التعليق العام رقم </w:t>
      </w:r>
      <w:r w:rsidRPr="007F3524">
        <w:rPr>
          <w:rtl/>
        </w:rPr>
        <w:t>4</w:t>
      </w:r>
      <w:r w:rsidRPr="00232E96">
        <w:rPr>
          <w:rtl/>
        </w:rPr>
        <w:t>(</w:t>
      </w:r>
      <w:r w:rsidRPr="007F3524">
        <w:rPr>
          <w:rtl/>
        </w:rPr>
        <w:t>2017</w:t>
      </w:r>
      <w:r w:rsidRPr="00232E96">
        <w:rPr>
          <w:rtl/>
        </w:rPr>
        <w:t xml:space="preserve">)، الفقرة </w:t>
      </w:r>
      <w:r w:rsidRPr="007F3524">
        <w:rPr>
          <w:rtl/>
        </w:rPr>
        <w:t>49</w:t>
      </w:r>
      <w:r w:rsidRPr="00232E96">
        <w:rPr>
          <w:rtl/>
        </w:rPr>
        <w:t>(و).</w:t>
      </w:r>
    </w:p>
  </w:footnote>
  <w:footnote w:id="27">
    <w:p w14:paraId="6AF60448" w14:textId="0E36AC4A" w:rsidR="006A223A" w:rsidRPr="00232E96" w:rsidRDefault="006A223A" w:rsidP="00232E96">
      <w:pPr>
        <w:pStyle w:val="FootnoteText1"/>
        <w:textDirection w:val="tbRlV"/>
      </w:pPr>
      <w:r w:rsidRPr="00232E96">
        <w:rPr>
          <w:rtl/>
        </w:rPr>
        <w:t>(</w:t>
      </w:r>
      <w:r w:rsidRPr="007F3524">
        <w:rPr>
          <w:rStyle w:val="FootnoteReference"/>
          <w:vertAlign w:val="baseline"/>
        </w:rPr>
        <w:footnoteRef/>
      </w:r>
      <w:r w:rsidRPr="00232E96">
        <w:rPr>
          <w:rtl/>
        </w:rPr>
        <w:t>)</w:t>
      </w:r>
      <w:r>
        <w:rPr>
          <w:rtl/>
        </w:rPr>
        <w:tab/>
      </w:r>
      <w:r w:rsidRPr="00232E96">
        <w:rPr>
          <w:rtl/>
        </w:rPr>
        <w:t xml:space="preserve">المرجع نفسه، الفقرة </w:t>
      </w:r>
      <w:r w:rsidRPr="007F3524">
        <w:rPr>
          <w:rtl/>
        </w:rPr>
        <w:t>43</w:t>
      </w:r>
      <w:r w:rsidRPr="00232E96">
        <w:rPr>
          <w:rtl/>
        </w:rPr>
        <w:t>.</w:t>
      </w:r>
    </w:p>
  </w:footnote>
  <w:footnote w:id="28">
    <w:p w14:paraId="0D163E6A" w14:textId="0D32514B" w:rsidR="006A223A" w:rsidRPr="00232E96" w:rsidRDefault="006A223A" w:rsidP="00232E96">
      <w:pPr>
        <w:pStyle w:val="FootnoteText1"/>
        <w:textDirection w:val="tbRlV"/>
        <w:rPr>
          <w:rtl/>
        </w:rPr>
      </w:pPr>
      <w:r w:rsidRPr="00232E96">
        <w:rPr>
          <w:rtl/>
        </w:rPr>
        <w:t>(</w:t>
      </w:r>
      <w:r w:rsidRPr="007F3524">
        <w:rPr>
          <w:rStyle w:val="FootnoteReference"/>
          <w:vertAlign w:val="baseline"/>
        </w:rPr>
        <w:footnoteRef/>
      </w:r>
      <w:r w:rsidRPr="00232E96">
        <w:rPr>
          <w:rtl/>
        </w:rPr>
        <w:t>)</w:t>
      </w:r>
      <w:r>
        <w:rPr>
          <w:rtl/>
        </w:rPr>
        <w:tab/>
      </w:r>
      <w:r w:rsidRPr="00232E96">
        <w:rPr>
          <w:rtl/>
        </w:rPr>
        <w:t xml:space="preserve">انظر </w:t>
      </w:r>
      <w:r w:rsidRPr="007F3524">
        <w:rPr>
          <w:i/>
          <w:iCs/>
          <w:rtl/>
        </w:rPr>
        <w:t>ه. ر. إ. س.</w:t>
      </w:r>
      <w:r w:rsidRPr="007F3524">
        <w:rPr>
          <w:rFonts w:hint="cs"/>
          <w:i/>
          <w:iCs/>
          <w:rtl/>
        </w:rPr>
        <w:t xml:space="preserve"> </w:t>
      </w:r>
      <w:r w:rsidRPr="007F3524">
        <w:rPr>
          <w:i/>
          <w:iCs/>
          <w:rtl/>
        </w:rPr>
        <w:t>ضد سويسرا</w:t>
      </w:r>
      <w:r w:rsidRPr="00232E96">
        <w:rPr>
          <w:rtl/>
        </w:rPr>
        <w:t xml:space="preserve">. للاطلاع على استنتاجات مماثلة للجنة المعنية بحقوق الإنسان، انظر </w:t>
      </w:r>
      <w:r w:rsidRPr="007F3524">
        <w:rPr>
          <w:i/>
          <w:iCs/>
          <w:rtl/>
        </w:rPr>
        <w:t>و. ك. ضد كندا</w:t>
      </w:r>
      <w:r w:rsidRPr="00232E96">
        <w:rPr>
          <w:rtl/>
        </w:rPr>
        <w:t>.</w:t>
      </w:r>
    </w:p>
  </w:footnote>
  <w:footnote w:id="29">
    <w:p w14:paraId="3BE2FB81" w14:textId="2160E624" w:rsidR="006A223A" w:rsidRPr="00232E96" w:rsidRDefault="006A223A" w:rsidP="00232E96">
      <w:pPr>
        <w:pStyle w:val="FootnoteText1"/>
        <w:textDirection w:val="tbRlV"/>
      </w:pPr>
      <w:r w:rsidRPr="00232E96">
        <w:rPr>
          <w:rtl/>
        </w:rPr>
        <w:t>(</w:t>
      </w:r>
      <w:r w:rsidRPr="007F3524">
        <w:rPr>
          <w:rStyle w:val="FootnoteReference"/>
          <w:vertAlign w:val="baseline"/>
        </w:rPr>
        <w:footnoteRef/>
      </w:r>
      <w:r w:rsidRPr="00232E96">
        <w:rPr>
          <w:rtl/>
        </w:rPr>
        <w:t>)</w:t>
      </w:r>
      <w:r>
        <w:rPr>
          <w:rtl/>
        </w:rPr>
        <w:tab/>
      </w:r>
      <w:r w:rsidRPr="00232E96">
        <w:rPr>
          <w:rtl/>
        </w:rPr>
        <w:t xml:space="preserve">انظر أيضاً اللجنة المعنية بحقوق الإنسان، </w:t>
      </w:r>
      <w:r w:rsidRPr="007F3524">
        <w:rPr>
          <w:i/>
          <w:iCs/>
          <w:rtl/>
        </w:rPr>
        <w:t>س. ضد السويد</w:t>
      </w:r>
      <w:r w:rsidRPr="00232E96">
        <w:rPr>
          <w:rtl/>
        </w:rPr>
        <w:t xml:space="preserve">، الفقرة </w:t>
      </w:r>
      <w:r w:rsidRPr="007F3524">
        <w:rPr>
          <w:rtl/>
        </w:rPr>
        <w:t>9</w:t>
      </w:r>
      <w:r w:rsidRPr="00232E96">
        <w:rPr>
          <w:rtl/>
        </w:rPr>
        <w:t>-</w:t>
      </w:r>
      <w:r w:rsidRPr="007F3524">
        <w:rPr>
          <w:rtl/>
        </w:rPr>
        <w:t>2</w:t>
      </w:r>
      <w:r w:rsidRPr="00232E96">
        <w:rPr>
          <w:rtl/>
        </w:rPr>
        <w:t>.</w:t>
      </w:r>
    </w:p>
  </w:footnote>
  <w:footnote w:id="30">
    <w:p w14:paraId="61ED4BB4" w14:textId="7A83379B" w:rsidR="006A223A" w:rsidRPr="00232E96" w:rsidRDefault="006A223A" w:rsidP="00232E96">
      <w:pPr>
        <w:pStyle w:val="FootnoteText1"/>
        <w:textDirection w:val="tbRlV"/>
      </w:pPr>
      <w:r w:rsidRPr="00232E96">
        <w:rPr>
          <w:rtl/>
        </w:rPr>
        <w:t>(</w:t>
      </w:r>
      <w:r w:rsidRPr="007F3524">
        <w:rPr>
          <w:rStyle w:val="FootnoteReference"/>
          <w:vertAlign w:val="baseline"/>
        </w:rPr>
        <w:footnoteRef/>
      </w:r>
      <w:r w:rsidRPr="00232E96">
        <w:rPr>
          <w:rtl/>
        </w:rPr>
        <w:t>)</w:t>
      </w:r>
      <w:r>
        <w:rPr>
          <w:rtl/>
        </w:rPr>
        <w:tab/>
      </w:r>
      <w:r w:rsidRPr="00232E96">
        <w:rPr>
          <w:rtl/>
        </w:rPr>
        <w:t xml:space="preserve">انظر أيضاً اللجنة المعنية بحقوق الإنسان، </w:t>
      </w:r>
      <w:r w:rsidRPr="007F3524">
        <w:rPr>
          <w:i/>
          <w:iCs/>
          <w:rtl/>
        </w:rPr>
        <w:t>و. ك. ضد كندا</w:t>
      </w:r>
      <w:r w:rsidRPr="00232E96">
        <w:rPr>
          <w:rtl/>
        </w:rPr>
        <w:t xml:space="preserve">، الفقرة </w:t>
      </w:r>
      <w:r w:rsidRPr="007F3524">
        <w:rPr>
          <w:rtl/>
        </w:rPr>
        <w:t>10</w:t>
      </w:r>
      <w:r w:rsidRPr="00232E96">
        <w:rPr>
          <w:rtl/>
        </w:rPr>
        <w:t>-</w:t>
      </w:r>
      <w:r w:rsidRPr="007F3524">
        <w:rPr>
          <w:rtl/>
        </w:rPr>
        <w:t>5</w:t>
      </w:r>
      <w:r w:rsidRPr="00232E96">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3C1A2" w14:textId="1FFA8876" w:rsidR="006A223A" w:rsidRPr="002F4949" w:rsidRDefault="006A223A" w:rsidP="002F4949">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CAT/C/71/D/792/2016</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23B10" w14:textId="50153AE3" w:rsidR="006A223A" w:rsidRPr="002F4949" w:rsidRDefault="006A223A" w:rsidP="002F4949">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CAT/C/71/D/792/2016</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020A1" w14:textId="77777777" w:rsidR="006A223A" w:rsidRDefault="006A223A" w:rsidP="00143C3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819"/>
    <w:rsid w:val="000076D5"/>
    <w:rsid w:val="00043663"/>
    <w:rsid w:val="000456F3"/>
    <w:rsid w:val="000505CF"/>
    <w:rsid w:val="000A2113"/>
    <w:rsid w:val="000D701C"/>
    <w:rsid w:val="000E11D4"/>
    <w:rsid w:val="000E2A71"/>
    <w:rsid w:val="000F5418"/>
    <w:rsid w:val="000F71D2"/>
    <w:rsid w:val="00143C39"/>
    <w:rsid w:val="00160263"/>
    <w:rsid w:val="00166BD2"/>
    <w:rsid w:val="00167825"/>
    <w:rsid w:val="00170EB3"/>
    <w:rsid w:val="00181F96"/>
    <w:rsid w:val="001A1371"/>
    <w:rsid w:val="001A176B"/>
    <w:rsid w:val="001B346A"/>
    <w:rsid w:val="001D6F7B"/>
    <w:rsid w:val="001E1CAD"/>
    <w:rsid w:val="001E290D"/>
    <w:rsid w:val="0020617E"/>
    <w:rsid w:val="00210DD4"/>
    <w:rsid w:val="002144FA"/>
    <w:rsid w:val="00232E96"/>
    <w:rsid w:val="0023469A"/>
    <w:rsid w:val="00243C8A"/>
    <w:rsid w:val="002608C2"/>
    <w:rsid w:val="00261289"/>
    <w:rsid w:val="00266034"/>
    <w:rsid w:val="0026755E"/>
    <w:rsid w:val="00267A0E"/>
    <w:rsid w:val="002901D9"/>
    <w:rsid w:val="002976C2"/>
    <w:rsid w:val="002F4949"/>
    <w:rsid w:val="00323EC8"/>
    <w:rsid w:val="003260FF"/>
    <w:rsid w:val="00343D95"/>
    <w:rsid w:val="00350C95"/>
    <w:rsid w:val="00362E33"/>
    <w:rsid w:val="00374341"/>
    <w:rsid w:val="00384DA7"/>
    <w:rsid w:val="003C2CCA"/>
    <w:rsid w:val="003D1062"/>
    <w:rsid w:val="00420D7B"/>
    <w:rsid w:val="00450B21"/>
    <w:rsid w:val="00453B63"/>
    <w:rsid w:val="00455780"/>
    <w:rsid w:val="00462F28"/>
    <w:rsid w:val="00472BE8"/>
    <w:rsid w:val="004811D5"/>
    <w:rsid w:val="004956DC"/>
    <w:rsid w:val="004B0A1C"/>
    <w:rsid w:val="004D2177"/>
    <w:rsid w:val="004D298E"/>
    <w:rsid w:val="00531DEA"/>
    <w:rsid w:val="0054472E"/>
    <w:rsid w:val="005662A9"/>
    <w:rsid w:val="00575E9A"/>
    <w:rsid w:val="005827D4"/>
    <w:rsid w:val="00594A27"/>
    <w:rsid w:val="0059622A"/>
    <w:rsid w:val="005A3015"/>
    <w:rsid w:val="005C5878"/>
    <w:rsid w:val="005C7CEA"/>
    <w:rsid w:val="005D3C0B"/>
    <w:rsid w:val="005E23DF"/>
    <w:rsid w:val="005E5217"/>
    <w:rsid w:val="005F0FA4"/>
    <w:rsid w:val="005F30EE"/>
    <w:rsid w:val="00600350"/>
    <w:rsid w:val="0060473A"/>
    <w:rsid w:val="00656392"/>
    <w:rsid w:val="006646E9"/>
    <w:rsid w:val="0068781D"/>
    <w:rsid w:val="006959B0"/>
    <w:rsid w:val="006A223A"/>
    <w:rsid w:val="006B2A7F"/>
    <w:rsid w:val="006B3E27"/>
    <w:rsid w:val="006B6507"/>
    <w:rsid w:val="006C104C"/>
    <w:rsid w:val="006D05CB"/>
    <w:rsid w:val="00706DFD"/>
    <w:rsid w:val="00712059"/>
    <w:rsid w:val="00733704"/>
    <w:rsid w:val="0074737D"/>
    <w:rsid w:val="00761849"/>
    <w:rsid w:val="0078071A"/>
    <w:rsid w:val="007A3847"/>
    <w:rsid w:val="007D56C1"/>
    <w:rsid w:val="007F3524"/>
    <w:rsid w:val="00814912"/>
    <w:rsid w:val="00817373"/>
    <w:rsid w:val="00852A9A"/>
    <w:rsid w:val="00860491"/>
    <w:rsid w:val="00874514"/>
    <w:rsid w:val="00893A8A"/>
    <w:rsid w:val="00897AA1"/>
    <w:rsid w:val="008C0B37"/>
    <w:rsid w:val="008D34EC"/>
    <w:rsid w:val="008F49E1"/>
    <w:rsid w:val="0090370F"/>
    <w:rsid w:val="00906A57"/>
    <w:rsid w:val="00926847"/>
    <w:rsid w:val="009269D2"/>
    <w:rsid w:val="009272C6"/>
    <w:rsid w:val="00931A20"/>
    <w:rsid w:val="00942135"/>
    <w:rsid w:val="009521B0"/>
    <w:rsid w:val="00972676"/>
    <w:rsid w:val="00981C12"/>
    <w:rsid w:val="009A7E9F"/>
    <w:rsid w:val="009E4397"/>
    <w:rsid w:val="009E5018"/>
    <w:rsid w:val="009F09F5"/>
    <w:rsid w:val="00A12B37"/>
    <w:rsid w:val="00A34EA8"/>
    <w:rsid w:val="00A44D86"/>
    <w:rsid w:val="00A67AF5"/>
    <w:rsid w:val="00A94CA3"/>
    <w:rsid w:val="00A955C4"/>
    <w:rsid w:val="00AB2C0B"/>
    <w:rsid w:val="00AB6758"/>
    <w:rsid w:val="00B07715"/>
    <w:rsid w:val="00B13763"/>
    <w:rsid w:val="00B30819"/>
    <w:rsid w:val="00B456A0"/>
    <w:rsid w:val="00B477A4"/>
    <w:rsid w:val="00B5223D"/>
    <w:rsid w:val="00B54045"/>
    <w:rsid w:val="00B82677"/>
    <w:rsid w:val="00BA39D4"/>
    <w:rsid w:val="00BD0805"/>
    <w:rsid w:val="00BF5BC6"/>
    <w:rsid w:val="00C111C6"/>
    <w:rsid w:val="00C438D7"/>
    <w:rsid w:val="00C62476"/>
    <w:rsid w:val="00C64C7B"/>
    <w:rsid w:val="00C81B50"/>
    <w:rsid w:val="00C87F1F"/>
    <w:rsid w:val="00C96AFF"/>
    <w:rsid w:val="00CA2103"/>
    <w:rsid w:val="00CA35DF"/>
    <w:rsid w:val="00CD1801"/>
    <w:rsid w:val="00CF25FC"/>
    <w:rsid w:val="00D10EF1"/>
    <w:rsid w:val="00D317F1"/>
    <w:rsid w:val="00D3653E"/>
    <w:rsid w:val="00D42810"/>
    <w:rsid w:val="00D914A7"/>
    <w:rsid w:val="00DB712F"/>
    <w:rsid w:val="00DC1D29"/>
    <w:rsid w:val="00DD13C3"/>
    <w:rsid w:val="00DD596E"/>
    <w:rsid w:val="00DD621E"/>
    <w:rsid w:val="00DF0575"/>
    <w:rsid w:val="00E11327"/>
    <w:rsid w:val="00E2697F"/>
    <w:rsid w:val="00E64B72"/>
    <w:rsid w:val="00E70E04"/>
    <w:rsid w:val="00E76499"/>
    <w:rsid w:val="00EC05A7"/>
    <w:rsid w:val="00EC4B6B"/>
    <w:rsid w:val="00EE56C3"/>
    <w:rsid w:val="00EF1EE5"/>
    <w:rsid w:val="00F158EB"/>
    <w:rsid w:val="00F1695F"/>
    <w:rsid w:val="00F62057"/>
    <w:rsid w:val="00F763B4"/>
    <w:rsid w:val="00F81AF1"/>
    <w:rsid w:val="00F900C3"/>
    <w:rsid w:val="00FE3345"/>
    <w:rsid w:val="00FF2AB2"/>
    <w:rsid w:val="00FF324E"/>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F4DF38"/>
  <w15:docId w15:val="{FC49E1B1-C8EF-4135-B4AE-1D2145CD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8EB"/>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F158EB"/>
    <w:pPr>
      <w:bidi w:val="0"/>
      <w:outlineLvl w:val="0"/>
    </w:pPr>
  </w:style>
  <w:style w:type="paragraph" w:styleId="Heading2">
    <w:name w:val="heading 2"/>
    <w:basedOn w:val="Normal"/>
    <w:next w:val="Normal"/>
    <w:link w:val="Heading2Char"/>
    <w:uiPriority w:val="9"/>
    <w:unhideWhenUsed/>
    <w:rsid w:val="00F158EB"/>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F158EB"/>
    <w:pPr>
      <w:keepNext/>
      <w:keepLines/>
      <w:spacing w:before="200"/>
      <w:outlineLvl w:val="2"/>
    </w:pPr>
    <w:rPr>
      <w:b/>
      <w:bCs/>
      <w:color w:val="4F81BD"/>
    </w:rPr>
  </w:style>
  <w:style w:type="paragraph" w:styleId="Heading4">
    <w:name w:val="heading 4"/>
    <w:basedOn w:val="Normal"/>
    <w:next w:val="Normal"/>
    <w:link w:val="Heading4Char"/>
    <w:uiPriority w:val="9"/>
    <w:unhideWhenUsed/>
    <w:rsid w:val="00F158EB"/>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F158EB"/>
    <w:pPr>
      <w:keepNext/>
      <w:keepLines/>
      <w:spacing w:before="200"/>
      <w:outlineLvl w:val="4"/>
    </w:pPr>
    <w:rPr>
      <w:color w:val="243F60"/>
    </w:rPr>
  </w:style>
  <w:style w:type="paragraph" w:styleId="Heading6">
    <w:name w:val="heading 6"/>
    <w:basedOn w:val="Normal"/>
    <w:next w:val="Normal"/>
    <w:link w:val="Heading6Char"/>
    <w:uiPriority w:val="9"/>
    <w:unhideWhenUsed/>
    <w:rsid w:val="00F158EB"/>
    <w:pPr>
      <w:keepNext/>
      <w:keepLines/>
      <w:spacing w:before="200"/>
      <w:outlineLvl w:val="5"/>
    </w:pPr>
    <w:rPr>
      <w:i/>
      <w:iCs/>
      <w:color w:val="243F60"/>
    </w:rPr>
  </w:style>
  <w:style w:type="paragraph" w:styleId="Heading7">
    <w:name w:val="heading 7"/>
    <w:basedOn w:val="Normal"/>
    <w:next w:val="Normal"/>
    <w:link w:val="Heading7Char"/>
    <w:uiPriority w:val="9"/>
    <w:unhideWhenUsed/>
    <w:rsid w:val="00F158EB"/>
    <w:pPr>
      <w:keepNext/>
      <w:keepLines/>
      <w:spacing w:before="200"/>
      <w:outlineLvl w:val="6"/>
    </w:pPr>
    <w:rPr>
      <w:i/>
      <w:iCs/>
      <w:color w:val="404040"/>
    </w:rPr>
  </w:style>
  <w:style w:type="paragraph" w:styleId="Heading8">
    <w:name w:val="heading 8"/>
    <w:basedOn w:val="Normal"/>
    <w:next w:val="Normal"/>
    <w:link w:val="Heading8Char"/>
    <w:uiPriority w:val="9"/>
    <w:unhideWhenUsed/>
    <w:rsid w:val="00F158EB"/>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F158EB"/>
    <w:pPr>
      <w:keepNext/>
      <w:keepLines/>
      <w:spacing w:before="200"/>
      <w:outlineLvl w:val="8"/>
    </w:pPr>
    <w:rPr>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F158EB"/>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F158EB"/>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uiPriority w:val="99"/>
    <w:qFormat/>
    <w:rsid w:val="00F158EB"/>
    <w:rPr>
      <w:szCs w:val="18"/>
      <w:vertAlign w:val="superscript"/>
    </w:rPr>
  </w:style>
  <w:style w:type="paragraph" w:customStyle="1" w:styleId="HMGA">
    <w:name w:val="_ H __M_GA"/>
    <w:basedOn w:val="Normal"/>
    <w:next w:val="SingleTxtGA"/>
    <w:qFormat/>
    <w:rsid w:val="00F158EB"/>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F158EB"/>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F158EB"/>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F158EB"/>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F158EB"/>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F158EB"/>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F158EB"/>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F158EB"/>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F158EB"/>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F158EB"/>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F158EB"/>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F158EB"/>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F158EB"/>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F158EB"/>
    <w:pPr>
      <w:numPr>
        <w:numId w:val="5"/>
      </w:numPr>
      <w:bidi w:val="0"/>
    </w:pPr>
    <w:rPr>
      <w:lang w:val="en-US"/>
    </w:rPr>
  </w:style>
  <w:style w:type="paragraph" w:customStyle="1" w:styleId="Roman1GA">
    <w:name w:val="_Roman 1_GA"/>
    <w:basedOn w:val="Bullet1GA"/>
    <w:qFormat/>
    <w:rsid w:val="00F158EB"/>
    <w:pPr>
      <w:numPr>
        <w:numId w:val="6"/>
      </w:numPr>
      <w:tabs>
        <w:tab w:val="clear" w:pos="2310"/>
        <w:tab w:val="left" w:pos="2486"/>
      </w:tabs>
      <w:ind w:left="2486" w:hanging="378"/>
    </w:pPr>
  </w:style>
  <w:style w:type="paragraph" w:customStyle="1" w:styleId="Roman2GA">
    <w:name w:val="_Roman 2_GA"/>
    <w:basedOn w:val="Bullet2GA"/>
    <w:qFormat/>
    <w:rsid w:val="00F158EB"/>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qFormat/>
    <w:rsid w:val="00F158EB"/>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rsid w:val="00F158EB"/>
    <w:rPr>
      <w:rFonts w:ascii="Times New Roman" w:eastAsia="PMingLiU" w:hAnsi="Times New Roman" w:cs="Simplified Arabic"/>
      <w:sz w:val="18"/>
      <w:lang w:val="en-GB" w:eastAsia="en-US"/>
    </w:rPr>
  </w:style>
  <w:style w:type="character" w:customStyle="1" w:styleId="EndtnoteReference">
    <w:name w:val="Endtnote Reference"/>
    <w:aliases w:val="1_GA"/>
    <w:qFormat/>
    <w:rsid w:val="00F158EB"/>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F158EB"/>
    <w:pPr>
      <w:suppressAutoHyphens/>
      <w:bidi w:val="0"/>
      <w:spacing w:line="240" w:lineRule="auto"/>
    </w:pPr>
    <w:rPr>
      <w:sz w:val="16"/>
      <w:lang w:val="en-GB"/>
    </w:rPr>
  </w:style>
  <w:style w:type="character" w:customStyle="1" w:styleId="FooterChar">
    <w:name w:val="Footer Char"/>
    <w:aliases w:val="3_GA Char,3_G Char"/>
    <w:link w:val="Footer"/>
    <w:rsid w:val="00F158EB"/>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F158EB"/>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F158EB"/>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F158EB"/>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F158EB"/>
    <w:rPr>
      <w:rFonts w:ascii="Times New Roman" w:eastAsia="PMingLiU" w:hAnsi="Times New Roman" w:cs="Simplified Arabic"/>
      <w:sz w:val="22"/>
      <w:szCs w:val="22"/>
      <w:lang w:val="en-GB" w:eastAsia="en-US"/>
    </w:rPr>
  </w:style>
  <w:style w:type="character" w:styleId="PageNumber">
    <w:name w:val="page number"/>
    <w:aliases w:val="7_GA,7_G"/>
    <w:qFormat/>
    <w:rsid w:val="00F158EB"/>
    <w:rPr>
      <w:rFonts w:ascii="Times New Roman Bold" w:hAnsi="Times New Roman Bold"/>
      <w:b/>
      <w:i w:val="0"/>
      <w:sz w:val="18"/>
      <w:szCs w:val="18"/>
    </w:rPr>
  </w:style>
  <w:style w:type="paragraph" w:customStyle="1" w:styleId="XXLargeGA">
    <w:name w:val="XXLarge_GA"/>
    <w:basedOn w:val="Normal"/>
    <w:next w:val="SingleTxtGA"/>
    <w:qFormat/>
    <w:rsid w:val="00F158EB"/>
    <w:pPr>
      <w:suppressAutoHyphens/>
      <w:spacing w:line="820" w:lineRule="exact"/>
    </w:pPr>
    <w:rPr>
      <w:spacing w:val="-8"/>
      <w:w w:val="96"/>
      <w:sz w:val="57"/>
      <w:szCs w:val="86"/>
      <w:lang w:val="en-GB"/>
    </w:rPr>
  </w:style>
  <w:style w:type="character" w:customStyle="1" w:styleId="Heading2Char">
    <w:name w:val="Heading 2 Char"/>
    <w:link w:val="Heading2"/>
    <w:uiPriority w:val="9"/>
    <w:rsid w:val="00F158EB"/>
    <w:rPr>
      <w:rFonts w:ascii="Times New Roman" w:eastAsia="PMingLiU" w:hAnsi="Times New Roman" w:cs="Simplified Arabic"/>
      <w:b/>
      <w:bCs/>
      <w:color w:val="4F81BD"/>
      <w:sz w:val="26"/>
      <w:szCs w:val="26"/>
      <w:lang w:eastAsia="en-US"/>
    </w:rPr>
  </w:style>
  <w:style w:type="character" w:styleId="BookTitle">
    <w:name w:val="Book Title"/>
    <w:uiPriority w:val="33"/>
    <w:rsid w:val="00F158EB"/>
    <w:rPr>
      <w:b/>
      <w:bCs/>
      <w:smallCaps/>
      <w:spacing w:val="5"/>
    </w:rPr>
  </w:style>
  <w:style w:type="character" w:customStyle="1" w:styleId="Heading3Char">
    <w:name w:val="Heading 3 Char"/>
    <w:link w:val="Heading3"/>
    <w:uiPriority w:val="9"/>
    <w:rsid w:val="00F158EB"/>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F158EB"/>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F158EB"/>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F158EB"/>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F158EB"/>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F158EB"/>
    <w:rPr>
      <w:rFonts w:ascii="Times New Roman" w:eastAsia="PMingLiU" w:hAnsi="Times New Roman" w:cs="Simplified Arabic"/>
      <w:color w:val="404040"/>
      <w:lang w:eastAsia="en-US"/>
    </w:rPr>
  </w:style>
  <w:style w:type="character" w:customStyle="1" w:styleId="Heading9Char">
    <w:name w:val="Heading 9 Char"/>
    <w:link w:val="Heading9"/>
    <w:uiPriority w:val="9"/>
    <w:rsid w:val="00F158EB"/>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F158EB"/>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F158EB"/>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F158EB"/>
    <w:pPr>
      <w:numPr>
        <w:ilvl w:val="1"/>
      </w:numPr>
    </w:pPr>
    <w:rPr>
      <w:i/>
      <w:iCs/>
      <w:color w:val="4F81BD"/>
      <w:spacing w:val="15"/>
      <w:sz w:val="24"/>
      <w:szCs w:val="24"/>
    </w:rPr>
  </w:style>
  <w:style w:type="character" w:customStyle="1" w:styleId="SubtitleChar">
    <w:name w:val="Subtitle Char"/>
    <w:link w:val="Subtitle"/>
    <w:uiPriority w:val="11"/>
    <w:rsid w:val="00F158EB"/>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F158EB"/>
    <w:rPr>
      <w:i/>
      <w:iCs/>
      <w:color w:val="808080"/>
    </w:rPr>
  </w:style>
  <w:style w:type="table" w:styleId="ColorfulGrid-Accent6">
    <w:name w:val="Colorful Grid Accent 6"/>
    <w:basedOn w:val="TableNormal"/>
    <w:uiPriority w:val="73"/>
    <w:rsid w:val="00F158EB"/>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F158EB"/>
    <w:rPr>
      <w:i/>
      <w:iCs/>
    </w:rPr>
  </w:style>
  <w:style w:type="character" w:styleId="IntenseEmphasis">
    <w:name w:val="Intense Emphasis"/>
    <w:uiPriority w:val="21"/>
    <w:rsid w:val="00F158EB"/>
    <w:rPr>
      <w:b/>
      <w:bCs/>
      <w:i/>
      <w:iCs/>
      <w:color w:val="4F81BD"/>
    </w:rPr>
  </w:style>
  <w:style w:type="character" w:styleId="Strong">
    <w:name w:val="Strong"/>
    <w:uiPriority w:val="22"/>
    <w:rsid w:val="00F158EB"/>
    <w:rPr>
      <w:b/>
      <w:bCs/>
    </w:rPr>
  </w:style>
  <w:style w:type="paragraph" w:styleId="Quote">
    <w:name w:val="Quote"/>
    <w:basedOn w:val="Normal"/>
    <w:next w:val="Normal"/>
    <w:link w:val="QuoteChar"/>
    <w:uiPriority w:val="29"/>
    <w:rsid w:val="00F158EB"/>
    <w:rPr>
      <w:i/>
      <w:iCs/>
      <w:color w:val="000000"/>
    </w:rPr>
  </w:style>
  <w:style w:type="character" w:customStyle="1" w:styleId="QuoteChar">
    <w:name w:val="Quote Char"/>
    <w:link w:val="Quote"/>
    <w:uiPriority w:val="29"/>
    <w:rsid w:val="00F158EB"/>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F158E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158EB"/>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F158EB"/>
    <w:rPr>
      <w:smallCaps/>
      <w:color w:val="C0504D"/>
      <w:u w:val="single"/>
    </w:rPr>
  </w:style>
  <w:style w:type="character" w:styleId="IntenseReference">
    <w:name w:val="Intense Reference"/>
    <w:uiPriority w:val="32"/>
    <w:rsid w:val="00F158EB"/>
    <w:rPr>
      <w:b/>
      <w:bCs/>
      <w:smallCaps/>
      <w:color w:val="C0504D"/>
      <w:spacing w:val="5"/>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F158EB"/>
    <w:pPr>
      <w:ind w:left="720"/>
    </w:pPr>
  </w:style>
  <w:style w:type="table" w:styleId="MediumShading1-Accent4">
    <w:name w:val="Medium Shading 1 Accent 4"/>
    <w:basedOn w:val="TableNormal"/>
    <w:uiPriority w:val="63"/>
    <w:rsid w:val="00F158EB"/>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F158EB"/>
    <w:rPr>
      <w:rFonts w:eastAsia="MS Mincho"/>
      <w:sz w:val="18"/>
      <w:vertAlign w:val="superscript"/>
    </w:rPr>
  </w:style>
  <w:style w:type="table" w:styleId="TableGrid">
    <w:name w:val="Table Grid"/>
    <w:basedOn w:val="TableNormal"/>
    <w:rsid w:val="00F158EB"/>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58EB"/>
    <w:pPr>
      <w:spacing w:line="240" w:lineRule="auto"/>
    </w:pPr>
    <w:rPr>
      <w:sz w:val="16"/>
      <w:szCs w:val="16"/>
    </w:rPr>
  </w:style>
  <w:style w:type="character" w:customStyle="1" w:styleId="BalloonTextChar">
    <w:name w:val="Balloon Text Char"/>
    <w:link w:val="BalloonText"/>
    <w:uiPriority w:val="99"/>
    <w:semiHidden/>
    <w:rsid w:val="00F158EB"/>
    <w:rPr>
      <w:rFonts w:ascii="Times New Roman" w:eastAsia="PMingLiU" w:hAnsi="Times New Roman" w:cs="Simplified Arabic"/>
      <w:sz w:val="16"/>
      <w:szCs w:val="16"/>
      <w:lang w:eastAsia="en-US"/>
    </w:rPr>
  </w:style>
  <w:style w:type="character" w:styleId="Hyperlink">
    <w:name w:val="Hyperlink"/>
    <w:uiPriority w:val="99"/>
    <w:unhideWhenUsed/>
    <w:rsid w:val="00F158EB"/>
    <w:rPr>
      <w:color w:val="0000FF"/>
      <w:u w:val="none"/>
    </w:rPr>
  </w:style>
  <w:style w:type="paragraph" w:styleId="TOC1">
    <w:name w:val="toc 1"/>
    <w:basedOn w:val="Normal"/>
    <w:link w:val="TOC1Char"/>
    <w:autoRedefine/>
    <w:uiPriority w:val="39"/>
    <w:unhideWhenUsed/>
    <w:rsid w:val="00F158EB"/>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F158EB"/>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F158EB"/>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F158EB"/>
    <w:rPr>
      <w:rFonts w:eastAsia="DengXian"/>
      <w:color w:val="auto"/>
      <w:sz w:val="20"/>
      <w:szCs w:val="20"/>
      <w:u w:val="none"/>
      <w:lang w:eastAsia="zh-CN" w:bidi="ar-EG"/>
    </w:rPr>
  </w:style>
  <w:style w:type="paragraph" w:styleId="TOC4">
    <w:name w:val="toc 4"/>
    <w:basedOn w:val="Normal"/>
    <w:link w:val="TOC4Char"/>
    <w:autoRedefine/>
    <w:uiPriority w:val="39"/>
    <w:unhideWhenUsed/>
    <w:rsid w:val="00F158EB"/>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F158EB"/>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F158EB"/>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F158EB"/>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F158EB"/>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F158EB"/>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F158EB"/>
    <w:rPr>
      <w:color w:val="605E5C"/>
      <w:shd w:val="clear" w:color="auto" w:fill="E1DFDD"/>
    </w:rPr>
  </w:style>
  <w:style w:type="character" w:customStyle="1" w:styleId="TOC1Char">
    <w:name w:val="TOC 1 Char"/>
    <w:basedOn w:val="DefaultParagraphFont"/>
    <w:link w:val="TOC1"/>
    <w:uiPriority w:val="39"/>
    <w:rsid w:val="00F158EB"/>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F158EB"/>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F158EB"/>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F158EB"/>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F158EB"/>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F158EB"/>
    <w:rPr>
      <w:rFonts w:ascii="Times New Roman" w:eastAsia="PMingLiU" w:hAnsi="Times New Roman" w:cs="Simplified Arabic"/>
      <w:lang w:val="en-GB" w:eastAsia="en-US"/>
    </w:rPr>
  </w:style>
  <w:style w:type="paragraph" w:customStyle="1" w:styleId="SessionDate">
    <w:name w:val="Session_Date"/>
    <w:basedOn w:val="Normal"/>
    <w:qFormat/>
    <w:rsid w:val="00F158EB"/>
    <w:pPr>
      <w:spacing w:before="240" w:after="240" w:line="460" w:lineRule="exact"/>
      <w:ind w:left="1247"/>
    </w:pPr>
    <w:rPr>
      <w:b/>
      <w:bCs/>
      <w:sz w:val="32"/>
      <w:szCs w:val="44"/>
    </w:rPr>
  </w:style>
  <w:style w:type="paragraph" w:customStyle="1" w:styleId="SessionNumber">
    <w:name w:val="Session_Number"/>
    <w:basedOn w:val="Normal"/>
    <w:qFormat/>
    <w:rsid w:val="00F158EB"/>
    <w:pPr>
      <w:spacing w:line="480" w:lineRule="exact"/>
      <w:ind w:left="1247"/>
    </w:pPr>
    <w:rPr>
      <w:b/>
      <w:bCs/>
      <w:sz w:val="28"/>
      <w:szCs w:val="38"/>
    </w:rPr>
  </w:style>
  <w:style w:type="paragraph" w:customStyle="1" w:styleId="CityandYear">
    <w:name w:val="City and Year"/>
    <w:basedOn w:val="SingleTxtGA"/>
    <w:qFormat/>
    <w:rsid w:val="00F158EB"/>
    <w:pPr>
      <w:spacing w:line="480" w:lineRule="exact"/>
    </w:pPr>
    <w:rPr>
      <w:b/>
      <w:bCs/>
      <w:sz w:val="30"/>
      <w:szCs w:val="38"/>
      <w:lang w:eastAsia="ar-SA"/>
    </w:rPr>
  </w:style>
  <w:style w:type="paragraph" w:customStyle="1" w:styleId="NormalA">
    <w:name w:val="Normal_A"/>
    <w:basedOn w:val="Normal"/>
    <w:qFormat/>
    <w:rsid w:val="00F158EB"/>
  </w:style>
  <w:style w:type="paragraph" w:customStyle="1" w:styleId="H1G">
    <w:name w:val="_ H_1_G"/>
    <w:basedOn w:val="Normal"/>
    <w:next w:val="Normal"/>
    <w:qFormat/>
    <w:rsid w:val="00F158EB"/>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F158EB"/>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F158EB"/>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F158EB"/>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F158EB"/>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F158EB"/>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F158EB"/>
    <w:rPr>
      <w:sz w:val="44"/>
      <w:szCs w:val="44"/>
      <w:lang w:val="en-US" w:bidi="ar-DZ"/>
    </w:rPr>
  </w:style>
  <w:style w:type="paragraph" w:customStyle="1" w:styleId="FootnoteGA0">
    <w:name w:val="Footnote_GA"/>
    <w:basedOn w:val="Normal"/>
    <w:qFormat/>
    <w:rsid w:val="00F158EB"/>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F158EB"/>
    <w:pPr>
      <w:keepNext/>
      <w:keepLines/>
      <w:spacing w:after="120" w:line="400" w:lineRule="exact"/>
      <w:outlineLvl w:val="0"/>
    </w:pPr>
    <w:rPr>
      <w:b/>
      <w:bCs/>
      <w:kern w:val="14"/>
      <w:sz w:val="24"/>
      <w:szCs w:val="32"/>
    </w:rPr>
  </w:style>
  <w:style w:type="paragraph" w:customStyle="1" w:styleId="HCh">
    <w:name w:val="_ H _Ch"/>
    <w:basedOn w:val="H1"/>
    <w:next w:val="SingleTxt"/>
    <w:qFormat/>
    <w:rsid w:val="00F158EB"/>
    <w:pPr>
      <w:spacing w:line="440" w:lineRule="exact"/>
    </w:pPr>
    <w:rPr>
      <w:spacing w:val="-2"/>
      <w:sz w:val="28"/>
      <w:szCs w:val="36"/>
    </w:rPr>
  </w:style>
  <w:style w:type="character" w:styleId="CommentReference">
    <w:name w:val="annotation reference"/>
    <w:uiPriority w:val="99"/>
    <w:semiHidden/>
    <w:rsid w:val="00F158EB"/>
    <w:rPr>
      <w:sz w:val="6"/>
      <w:szCs w:val="9"/>
    </w:rPr>
  </w:style>
  <w:style w:type="paragraph" w:customStyle="1" w:styleId="HM">
    <w:name w:val="_ H __M"/>
    <w:basedOn w:val="HCh"/>
    <w:next w:val="Normal"/>
    <w:qFormat/>
    <w:rsid w:val="00F158EB"/>
    <w:pPr>
      <w:suppressAutoHyphens/>
      <w:spacing w:line="520" w:lineRule="exact"/>
    </w:pPr>
    <w:rPr>
      <w:spacing w:val="-3"/>
      <w:sz w:val="34"/>
      <w:szCs w:val="48"/>
    </w:rPr>
  </w:style>
  <w:style w:type="paragraph" w:customStyle="1" w:styleId="SingleTxt">
    <w:name w:val="__Single Txt"/>
    <w:basedOn w:val="SingleTxtG"/>
    <w:qFormat/>
    <w:rsid w:val="00F158EB"/>
  </w:style>
  <w:style w:type="paragraph" w:customStyle="1" w:styleId="H23">
    <w:name w:val="_ H_2/3"/>
    <w:basedOn w:val="H1"/>
    <w:next w:val="Normal"/>
    <w:qFormat/>
    <w:rsid w:val="00F158EB"/>
    <w:pPr>
      <w:suppressAutoHyphens/>
      <w:spacing w:line="360" w:lineRule="exact"/>
      <w:outlineLvl w:val="1"/>
    </w:pPr>
    <w:rPr>
      <w:spacing w:val="2"/>
      <w:sz w:val="20"/>
      <w:szCs w:val="28"/>
    </w:rPr>
  </w:style>
  <w:style w:type="paragraph" w:customStyle="1" w:styleId="H4">
    <w:name w:val="_ H_4"/>
    <w:basedOn w:val="Normal"/>
    <w:next w:val="Normal"/>
    <w:qFormat/>
    <w:rsid w:val="00F158EB"/>
    <w:pPr>
      <w:keepNext/>
      <w:keepLines/>
      <w:spacing w:after="120" w:line="360" w:lineRule="exact"/>
      <w:outlineLvl w:val="3"/>
    </w:pPr>
    <w:rPr>
      <w:i/>
      <w:iCs/>
      <w:kern w:val="14"/>
      <w:szCs w:val="28"/>
    </w:rPr>
  </w:style>
  <w:style w:type="paragraph" w:customStyle="1" w:styleId="H56">
    <w:name w:val="_ H_5/6"/>
    <w:basedOn w:val="Normal"/>
    <w:next w:val="Normal"/>
    <w:qFormat/>
    <w:rsid w:val="00F158EB"/>
    <w:pPr>
      <w:keepNext/>
      <w:keepLines/>
      <w:spacing w:after="120" w:line="360" w:lineRule="exact"/>
      <w:outlineLvl w:val="4"/>
    </w:pPr>
    <w:rPr>
      <w:kern w:val="14"/>
      <w:szCs w:val="28"/>
    </w:rPr>
  </w:style>
  <w:style w:type="paragraph" w:customStyle="1" w:styleId="DualTxt">
    <w:name w:val="__Dual Txt"/>
    <w:basedOn w:val="Normal"/>
    <w:qFormat/>
    <w:rsid w:val="00F158EB"/>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F158EB"/>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F158EB"/>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F158EB"/>
    <w:pPr>
      <w:spacing w:after="120" w:line="440" w:lineRule="exact"/>
      <w:jc w:val="center"/>
    </w:pPr>
    <w:rPr>
      <w:b/>
      <w:bCs/>
      <w:sz w:val="25"/>
      <w:szCs w:val="38"/>
    </w:rPr>
  </w:style>
  <w:style w:type="paragraph" w:customStyle="1" w:styleId="JH1">
    <w:name w:val="J_H_1"/>
    <w:basedOn w:val="JCH"/>
    <w:qFormat/>
    <w:rsid w:val="00F158EB"/>
    <w:pPr>
      <w:spacing w:line="420" w:lineRule="exact"/>
    </w:pPr>
    <w:rPr>
      <w:sz w:val="23"/>
      <w:szCs w:val="34"/>
    </w:rPr>
  </w:style>
  <w:style w:type="paragraph" w:customStyle="1" w:styleId="JH2">
    <w:name w:val="J_H_2"/>
    <w:basedOn w:val="JH1"/>
    <w:qFormat/>
    <w:rsid w:val="00F158EB"/>
    <w:pPr>
      <w:spacing w:line="400" w:lineRule="exact"/>
    </w:pPr>
    <w:rPr>
      <w:sz w:val="20"/>
      <w:szCs w:val="30"/>
    </w:rPr>
  </w:style>
  <w:style w:type="paragraph" w:customStyle="1" w:styleId="JSmall">
    <w:name w:val="J_Small"/>
    <w:basedOn w:val="JSingleTxt"/>
    <w:next w:val="JSingleTxt"/>
    <w:qFormat/>
    <w:rsid w:val="00F158EB"/>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F158EB"/>
    <w:pPr>
      <w:tabs>
        <w:tab w:val="right" w:leader="dot" w:pos="360"/>
      </w:tabs>
      <w:spacing w:line="310" w:lineRule="exact"/>
      <w:jc w:val="right"/>
    </w:pPr>
    <w:rPr>
      <w:spacing w:val="5"/>
      <w:w w:val="104"/>
      <w:kern w:val="14"/>
      <w:sz w:val="17"/>
      <w:szCs w:val="25"/>
    </w:rPr>
  </w:style>
  <w:style w:type="character" w:styleId="LineNumber">
    <w:name w:val="line number"/>
    <w:qFormat/>
    <w:rsid w:val="00F158EB"/>
    <w:rPr>
      <w:sz w:val="14"/>
      <w:szCs w:val="16"/>
    </w:rPr>
  </w:style>
  <w:style w:type="paragraph" w:customStyle="1" w:styleId="SmallX">
    <w:name w:val="SmallX"/>
    <w:basedOn w:val="Small"/>
    <w:next w:val="Normal"/>
    <w:qFormat/>
    <w:rsid w:val="00F158EB"/>
    <w:pPr>
      <w:spacing w:line="240" w:lineRule="exact"/>
    </w:pPr>
    <w:rPr>
      <w:spacing w:val="6"/>
      <w:w w:val="106"/>
      <w:sz w:val="14"/>
      <w:szCs w:val="21"/>
    </w:rPr>
  </w:style>
  <w:style w:type="paragraph" w:customStyle="1" w:styleId="XLarge">
    <w:name w:val="XLarge"/>
    <w:basedOn w:val="HM"/>
    <w:qFormat/>
    <w:rsid w:val="00F158EB"/>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F158EB"/>
    <w:pPr>
      <w:spacing w:line="820" w:lineRule="exact"/>
    </w:pPr>
    <w:rPr>
      <w:spacing w:val="-8"/>
      <w:w w:val="96"/>
      <w:sz w:val="57"/>
      <w:szCs w:val="86"/>
    </w:rPr>
  </w:style>
  <w:style w:type="paragraph" w:customStyle="1" w:styleId="Distribution">
    <w:name w:val="Distribution"/>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F158EB"/>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F158EB"/>
    <w:pPr>
      <w:tabs>
        <w:tab w:val="left" w:pos="662"/>
        <w:tab w:val="left" w:pos="1267"/>
        <w:tab w:val="left" w:pos="1987"/>
        <w:tab w:val="left" w:pos="2650"/>
      </w:tabs>
      <w:spacing w:after="0"/>
      <w:ind w:left="662" w:hanging="662"/>
    </w:pPr>
  </w:style>
  <w:style w:type="paragraph" w:customStyle="1" w:styleId="Committee">
    <w:name w:val="Committee"/>
    <w:basedOn w:val="H1"/>
    <w:qFormat/>
    <w:rsid w:val="00F158EB"/>
    <w:pPr>
      <w:tabs>
        <w:tab w:val="left" w:pos="662"/>
        <w:tab w:val="left" w:pos="1267"/>
        <w:tab w:val="left" w:pos="1987"/>
        <w:tab w:val="left" w:pos="2650"/>
      </w:tabs>
      <w:ind w:right="1264"/>
    </w:pPr>
  </w:style>
  <w:style w:type="paragraph" w:customStyle="1" w:styleId="AgendaItemNormal">
    <w:name w:val="Agenda_Item_Normal"/>
    <w:next w:val="Normal"/>
    <w:qFormat/>
    <w:rsid w:val="00F158EB"/>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F158EB"/>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F158EB"/>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F158EB"/>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F158EB"/>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F158EB"/>
    <w:rPr>
      <w:i w:val="0"/>
      <w:color w:val="0000FF"/>
      <w:u w:val="none"/>
    </w:rPr>
  </w:style>
  <w:style w:type="paragraph" w:customStyle="1" w:styleId="Bullet1">
    <w:name w:val="Bullet 1"/>
    <w:basedOn w:val="Normal"/>
    <w:qFormat/>
    <w:rsid w:val="00F158EB"/>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F158EB"/>
    <w:pPr>
      <w:numPr>
        <w:numId w:val="19"/>
      </w:numPr>
      <w:spacing w:after="120" w:line="360" w:lineRule="exact"/>
      <w:ind w:right="1264"/>
    </w:pPr>
    <w:rPr>
      <w:kern w:val="14"/>
      <w:szCs w:val="28"/>
    </w:rPr>
  </w:style>
  <w:style w:type="paragraph" w:customStyle="1" w:styleId="Bullet3">
    <w:name w:val="Bullet 3"/>
    <w:basedOn w:val="SingleTxt"/>
    <w:qFormat/>
    <w:rsid w:val="00F158EB"/>
    <w:pPr>
      <w:numPr>
        <w:numId w:val="20"/>
      </w:numPr>
      <w:tabs>
        <w:tab w:val="num" w:pos="2495"/>
      </w:tabs>
      <w:ind w:left="2495" w:hanging="545"/>
    </w:pPr>
  </w:style>
  <w:style w:type="paragraph" w:customStyle="1" w:styleId="AgendaTitleH2">
    <w:name w:val="Agenda_Title_H2"/>
    <w:basedOn w:val="H1"/>
    <w:next w:val="Normal"/>
    <w:qFormat/>
    <w:rsid w:val="00F158EB"/>
    <w:pPr>
      <w:ind w:right="5760"/>
      <w:outlineLvl w:val="1"/>
    </w:pPr>
    <w:rPr>
      <w:spacing w:val="2"/>
      <w:sz w:val="20"/>
      <w:szCs w:val="28"/>
    </w:rPr>
  </w:style>
  <w:style w:type="paragraph" w:customStyle="1" w:styleId="STitleM">
    <w:name w:val="S_Title_M"/>
    <w:basedOn w:val="Normal"/>
    <w:next w:val="Normal"/>
    <w:qFormat/>
    <w:rsid w:val="00F158EB"/>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F158EB"/>
    <w:pPr>
      <w:spacing w:line="600" w:lineRule="exact"/>
      <w:ind w:left="1267" w:right="1267"/>
    </w:pPr>
    <w:rPr>
      <w:w w:val="103"/>
      <w:sz w:val="60"/>
      <w:szCs w:val="60"/>
    </w:rPr>
  </w:style>
  <w:style w:type="paragraph" w:customStyle="1" w:styleId="STitleL">
    <w:name w:val="S_Title_L"/>
    <w:basedOn w:val="XLarge"/>
    <w:next w:val="Normal"/>
    <w:qFormat/>
    <w:rsid w:val="00F158EB"/>
    <w:rPr>
      <w:spacing w:val="-8"/>
      <w:w w:val="96"/>
      <w:sz w:val="57"/>
    </w:rPr>
  </w:style>
  <w:style w:type="paragraph" w:styleId="CommentText">
    <w:name w:val="annotation text"/>
    <w:basedOn w:val="Normal"/>
    <w:link w:val="CommentTextChar"/>
    <w:uiPriority w:val="99"/>
    <w:semiHidden/>
    <w:unhideWhenUsed/>
    <w:rsid w:val="00F158EB"/>
    <w:pPr>
      <w:spacing w:line="240" w:lineRule="auto"/>
    </w:pPr>
    <w:rPr>
      <w:kern w:val="14"/>
    </w:rPr>
  </w:style>
  <w:style w:type="character" w:customStyle="1" w:styleId="CommentTextChar">
    <w:name w:val="Comment Text Char"/>
    <w:basedOn w:val="DefaultParagraphFont"/>
    <w:link w:val="CommentText"/>
    <w:uiPriority w:val="99"/>
    <w:semiHidden/>
    <w:rsid w:val="00F158EB"/>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F158EB"/>
    <w:rPr>
      <w:b/>
      <w:bCs/>
    </w:rPr>
  </w:style>
  <w:style w:type="character" w:customStyle="1" w:styleId="CommentSubjectChar">
    <w:name w:val="Comment Subject Char"/>
    <w:basedOn w:val="CommentTextChar"/>
    <w:link w:val="CommentSubject"/>
    <w:uiPriority w:val="99"/>
    <w:semiHidden/>
    <w:rsid w:val="00F158EB"/>
    <w:rPr>
      <w:rFonts w:ascii="Times New Roman" w:eastAsia="PMingLiU" w:hAnsi="Times New Roman" w:cs="Simplified Arabic"/>
      <w:b/>
      <w:bCs/>
      <w:kern w:val="14"/>
      <w:szCs w:val="22"/>
      <w:lang w:eastAsia="en-US"/>
    </w:rPr>
  </w:style>
  <w:style w:type="paragraph" w:customStyle="1" w:styleId="Bullet1G">
    <w:name w:val="_Bullet 1_G"/>
    <w:basedOn w:val="Normal"/>
    <w:qFormat/>
    <w:rsid w:val="00F158EB"/>
    <w:pPr>
      <w:numPr>
        <w:numId w:val="21"/>
      </w:numPr>
      <w:bidi w:val="0"/>
      <w:spacing w:after="120"/>
      <w:ind w:right="1134"/>
      <w:jc w:val="both"/>
    </w:pPr>
    <w:rPr>
      <w:sz w:val="22"/>
    </w:rPr>
  </w:style>
  <w:style w:type="character" w:customStyle="1" w:styleId="SingleTxtGChar">
    <w:name w:val="_ Single Txt_G Char"/>
    <w:link w:val="SingleTxtG"/>
    <w:rsid w:val="00F158EB"/>
    <w:rPr>
      <w:rFonts w:ascii="Times New Roman" w:eastAsia="PMingLiU" w:hAnsi="Times New Roman" w:cs="Simplified Arabic"/>
      <w:lang w:val="en-GB" w:eastAsia="en-US"/>
    </w:rPr>
  </w:style>
  <w:style w:type="paragraph" w:customStyle="1" w:styleId="Preparedby">
    <w:name w:val="Prepared by:"/>
    <w:basedOn w:val="H23GA"/>
    <w:qFormat/>
    <w:rsid w:val="00F158EB"/>
    <w:rPr>
      <w:sz w:val="32"/>
      <w:szCs w:val="32"/>
    </w:rPr>
  </w:style>
  <w:style w:type="paragraph" w:customStyle="1" w:styleId="ParaNoG">
    <w:name w:val="_ParaNo._G"/>
    <w:basedOn w:val="SingleTxtG"/>
    <w:rsid w:val="00F158EB"/>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F158EB"/>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F158EB"/>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F158EB"/>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F158EB"/>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F158EB"/>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F158EB"/>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F158EB"/>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F158EB"/>
    <w:rPr>
      <w:rFonts w:asciiTheme="minorHAnsi" w:eastAsiaTheme="minorEastAsia" w:hAnsiTheme="minorHAnsi" w:cstheme="minorBidi"/>
      <w:sz w:val="24"/>
      <w:szCs w:val="24"/>
      <w:lang w:val="fr-FR" w:eastAsia="fr-FR"/>
    </w:rPr>
  </w:style>
  <w:style w:type="paragraph" w:customStyle="1" w:styleId="Default">
    <w:name w:val="Default"/>
    <w:semiHidden/>
    <w:rsid w:val="00F158EB"/>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F158EB"/>
  </w:style>
  <w:style w:type="character" w:customStyle="1" w:styleId="preferred">
    <w:name w:val="preferred"/>
    <w:basedOn w:val="DefaultParagraphFont"/>
    <w:rsid w:val="00F158EB"/>
  </w:style>
  <w:style w:type="character" w:customStyle="1" w:styleId="admitted">
    <w:name w:val="admitted"/>
    <w:basedOn w:val="DefaultParagraphFont"/>
    <w:rsid w:val="00F158EB"/>
  </w:style>
  <w:style w:type="paragraph" w:styleId="TOC7">
    <w:name w:val="toc 7"/>
    <w:basedOn w:val="Normal"/>
    <w:next w:val="Normal"/>
    <w:autoRedefine/>
    <w:uiPriority w:val="39"/>
    <w:unhideWhenUsed/>
    <w:rsid w:val="00C64C7B"/>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C64C7B"/>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C64C7B"/>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uiPriority w:val="99"/>
    <w:rsid w:val="00F158EB"/>
    <w:pPr>
      <w:bidi w:val="0"/>
      <w:spacing w:after="160" w:line="240" w:lineRule="exact"/>
      <w:jc w:val="both"/>
    </w:pPr>
    <w:rPr>
      <w:rFonts w:ascii="Calibri" w:eastAsia="Times New Roman" w:hAnsi="Calibri" w:cs="Arial"/>
      <w:szCs w:val="18"/>
      <w:vertAlign w:val="superscript"/>
      <w:lang w:eastAsia="zh-TW"/>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F158EB"/>
    <w:rPr>
      <w:rFonts w:ascii="Times New Roman" w:eastAsia="PMingLiU" w:hAnsi="Times New Roman" w:cs="Simplified Arabic"/>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34A9-C71D-4C53-9B5B-07590E8F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14</Pages>
  <Words>4992</Words>
  <Characters>32452</Characters>
  <Application>Microsoft Office Word</Application>
  <DocSecurity>0</DocSecurity>
  <Lines>2950</Lines>
  <Paragraphs>1701</Paragraphs>
  <ScaleCrop>false</ScaleCrop>
  <HeadingPairs>
    <vt:vector size="2" baseType="variant">
      <vt:variant>
        <vt:lpstr>Title</vt:lpstr>
      </vt:variant>
      <vt:variant>
        <vt:i4>1</vt:i4>
      </vt:variant>
    </vt:vector>
  </HeadingPairs>
  <TitlesOfParts>
    <vt:vector size="1" baseType="lpstr">
      <vt:lpstr>CAT/C/71/D/792/2016</vt:lpstr>
    </vt:vector>
  </TitlesOfParts>
  <Company>DCM</Company>
  <LinksUpToDate>false</LinksUpToDate>
  <CharactersWithSpaces>35743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CAT/C/71/D/792/2016</dc:title>
  <dc:subject>GE.2112067(A)</dc:subject>
  <dc:creator>Gamal MAHMOUD - MBOU21</dc:creator>
  <cp:keywords>GE.2123888(A)</cp:keywords>
  <dc:description>Distr.: General
31 August 2021
Original: English</dc:description>
  <cp:lastModifiedBy>Gamal MAHMOUD</cp:lastModifiedBy>
  <cp:revision>2</cp:revision>
  <cp:lastPrinted>2016-06-21T10:29:00Z</cp:lastPrinted>
  <dcterms:created xsi:type="dcterms:W3CDTF">2021-10-29T08:58:00Z</dcterms:created>
  <dcterms:modified xsi:type="dcterms:W3CDTF">2021-10-29T08:58:00Z</dcterms:modified>
  <cp:category>Final</cp:category>
</cp:coreProperties>
</file>