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0A11A077" w14:textId="77777777" w:rsidTr="00B456A0">
        <w:trPr>
          <w:trHeight w:hRule="exact" w:val="810"/>
        </w:trPr>
        <w:tc>
          <w:tcPr>
            <w:tcW w:w="1266" w:type="dxa"/>
            <w:tcBorders>
              <w:top w:val="nil"/>
              <w:bottom w:val="single" w:sz="4" w:space="0" w:color="auto"/>
            </w:tcBorders>
            <w:shd w:val="clear" w:color="auto" w:fill="auto"/>
          </w:tcPr>
          <w:p w14:paraId="52FF7A86" w14:textId="77777777" w:rsidR="00712059" w:rsidRPr="00CA35DF" w:rsidRDefault="00712059" w:rsidP="00DE0686">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2E0C4744"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2816B45A" w14:textId="4D125636" w:rsidR="006B3E27" w:rsidRPr="00105799" w:rsidRDefault="00105799" w:rsidP="00105799">
            <w:pPr>
              <w:bidi w:val="0"/>
              <w:rPr>
                <w:szCs w:val="20"/>
              </w:rPr>
            </w:pPr>
            <w:r w:rsidRPr="00105799">
              <w:rPr>
                <w:sz w:val="40"/>
                <w:szCs w:val="20"/>
              </w:rPr>
              <w:t>CAT</w:t>
            </w:r>
            <w:r>
              <w:rPr>
                <w:szCs w:val="20"/>
              </w:rPr>
              <w:t>/C/</w:t>
            </w:r>
            <w:r w:rsidRPr="000E6C7E">
              <w:rPr>
                <w:szCs w:val="20"/>
              </w:rPr>
              <w:t>71</w:t>
            </w:r>
            <w:r>
              <w:rPr>
                <w:szCs w:val="20"/>
              </w:rPr>
              <w:t>/D/</w:t>
            </w:r>
            <w:r w:rsidRPr="000E6C7E">
              <w:rPr>
                <w:szCs w:val="20"/>
              </w:rPr>
              <w:t>942</w:t>
            </w:r>
            <w:r>
              <w:rPr>
                <w:szCs w:val="20"/>
              </w:rPr>
              <w:t>/</w:t>
            </w:r>
            <w:r w:rsidRPr="000E6C7E">
              <w:rPr>
                <w:szCs w:val="20"/>
              </w:rPr>
              <w:t>2019</w:t>
            </w:r>
          </w:p>
        </w:tc>
      </w:tr>
      <w:tr w:rsidR="006B3E27" w:rsidRPr="00CA35DF" w14:paraId="65D5F322" w14:textId="77777777" w:rsidTr="00B456A0">
        <w:trPr>
          <w:trHeight w:hRule="exact" w:val="2835"/>
        </w:trPr>
        <w:tc>
          <w:tcPr>
            <w:tcW w:w="1266" w:type="dxa"/>
            <w:tcBorders>
              <w:top w:val="nil"/>
              <w:bottom w:val="single" w:sz="12" w:space="0" w:color="auto"/>
            </w:tcBorders>
            <w:shd w:val="clear" w:color="auto" w:fill="auto"/>
          </w:tcPr>
          <w:p w14:paraId="61459872" w14:textId="77777777" w:rsidR="006B3E27" w:rsidRPr="00CA35DF" w:rsidRDefault="00261289" w:rsidP="00CA35DF">
            <w:pPr>
              <w:jc w:val="center"/>
              <w:rPr>
                <w:rtl/>
              </w:rPr>
            </w:pPr>
            <w:r w:rsidRPr="00CA35DF">
              <w:rPr>
                <w:noProof/>
                <w:rtl/>
              </w:rPr>
              <w:drawing>
                <wp:inline distT="0" distB="0" distL="0" distR="0" wp14:anchorId="541559DF" wp14:editId="5225B067">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45F6357D" w14:textId="77777777" w:rsidR="00A67AF5" w:rsidRPr="000E6C7E" w:rsidRDefault="00817373" w:rsidP="00D3653E">
            <w:pPr>
              <w:spacing w:before="120" w:after="40" w:line="580" w:lineRule="exact"/>
              <w:ind w:left="57"/>
              <w:rPr>
                <w:b/>
                <w:bCs/>
                <w:sz w:val="42"/>
                <w:szCs w:val="42"/>
              </w:rPr>
            </w:pPr>
            <w:r w:rsidRPr="000E6C7E">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4E3ED9C5" w14:textId="77777777" w:rsidR="006B3E27" w:rsidRDefault="00105799" w:rsidP="00EE56C3">
            <w:pPr>
              <w:bidi w:val="0"/>
              <w:spacing w:before="240"/>
              <w:rPr>
                <w:szCs w:val="20"/>
              </w:rPr>
            </w:pPr>
            <w:r>
              <w:rPr>
                <w:szCs w:val="20"/>
              </w:rPr>
              <w:t>Distr.: General</w:t>
            </w:r>
          </w:p>
          <w:p w14:paraId="00B804FE" w14:textId="299400BF" w:rsidR="00105799" w:rsidRDefault="00E00855" w:rsidP="00105799">
            <w:pPr>
              <w:bidi w:val="0"/>
              <w:spacing w:line="240" w:lineRule="exact"/>
              <w:jc w:val="left"/>
              <w:rPr>
                <w:szCs w:val="20"/>
              </w:rPr>
            </w:pPr>
            <w:r w:rsidRPr="000E6C7E">
              <w:rPr>
                <w:szCs w:val="20"/>
              </w:rPr>
              <w:t>14</w:t>
            </w:r>
            <w:r w:rsidRPr="00E00855">
              <w:rPr>
                <w:szCs w:val="20"/>
              </w:rPr>
              <w:t xml:space="preserve"> September </w:t>
            </w:r>
            <w:r w:rsidRPr="000E6C7E">
              <w:rPr>
                <w:szCs w:val="20"/>
              </w:rPr>
              <w:t>2021</w:t>
            </w:r>
          </w:p>
          <w:p w14:paraId="1C440B8F" w14:textId="77777777" w:rsidR="00105799" w:rsidRDefault="00105799" w:rsidP="00105799">
            <w:pPr>
              <w:bidi w:val="0"/>
              <w:spacing w:line="240" w:lineRule="exact"/>
              <w:jc w:val="left"/>
              <w:rPr>
                <w:szCs w:val="20"/>
              </w:rPr>
            </w:pPr>
            <w:r>
              <w:rPr>
                <w:szCs w:val="20"/>
              </w:rPr>
              <w:t>Arabic</w:t>
            </w:r>
          </w:p>
          <w:p w14:paraId="116EE1B7" w14:textId="2AEBFC26" w:rsidR="00105799" w:rsidRPr="00105799" w:rsidRDefault="00105799" w:rsidP="00105799">
            <w:pPr>
              <w:bidi w:val="0"/>
              <w:spacing w:line="240" w:lineRule="exact"/>
              <w:jc w:val="left"/>
              <w:rPr>
                <w:szCs w:val="20"/>
              </w:rPr>
            </w:pPr>
            <w:r>
              <w:rPr>
                <w:szCs w:val="20"/>
              </w:rPr>
              <w:t>Original: English</w:t>
            </w:r>
          </w:p>
        </w:tc>
      </w:tr>
    </w:tbl>
    <w:p w14:paraId="041643A8" w14:textId="77777777" w:rsidR="00E00855" w:rsidRPr="000E6C7E" w:rsidRDefault="00E00855" w:rsidP="00E00855">
      <w:pPr>
        <w:spacing w:before="120" w:after="120" w:line="360" w:lineRule="exact"/>
        <w:rPr>
          <w:b/>
          <w:bCs/>
          <w:sz w:val="24"/>
          <w:szCs w:val="26"/>
          <w:rtl/>
        </w:rPr>
      </w:pPr>
      <w:r w:rsidRPr="000E6C7E">
        <w:rPr>
          <w:b/>
          <w:bCs/>
          <w:sz w:val="24"/>
          <w:szCs w:val="26"/>
          <w:rtl/>
        </w:rPr>
        <w:t>لجنة مناهضة التعذيب</w:t>
      </w:r>
    </w:p>
    <w:p w14:paraId="652E2CB7" w14:textId="52BF599B" w:rsidR="00E00855" w:rsidRPr="000E6C7E" w:rsidRDefault="00E00855" w:rsidP="00E00855">
      <w:pPr>
        <w:pStyle w:val="HChGA"/>
        <w:rPr>
          <w:rtl/>
        </w:rPr>
      </w:pPr>
      <w:r w:rsidRPr="000E6C7E">
        <w:rPr>
          <w:rtl/>
        </w:rPr>
        <w:tab/>
      </w:r>
      <w:r w:rsidRPr="000E6C7E">
        <w:rPr>
          <w:rtl/>
        </w:rPr>
        <w:tab/>
        <w:t>مقرر اعتمدته اللجنة بموجب المادة 22 من الاتفاقية بشأن البلاغ رقم</w:t>
      </w:r>
      <w:r w:rsidR="004C34A6" w:rsidRPr="000E6C7E">
        <w:rPr>
          <w:rFonts w:hint="cs"/>
          <w:rtl/>
        </w:rPr>
        <w:t> </w:t>
      </w:r>
      <w:r w:rsidRPr="000E6C7E">
        <w:rPr>
          <w:rtl/>
        </w:rPr>
        <w:t>942</w:t>
      </w:r>
      <w:r w:rsidRPr="000E6C7E">
        <w:rPr>
          <w:rFonts w:hint="cs"/>
          <w:rtl/>
        </w:rPr>
        <w:t>/</w:t>
      </w:r>
      <w:r w:rsidRPr="000E6C7E">
        <w:rPr>
          <w:rtl/>
        </w:rPr>
        <w:t>2019</w:t>
      </w:r>
      <w:r w:rsidRPr="000E6C7E">
        <w:rPr>
          <w:rStyle w:val="FootnoteReference"/>
          <w:sz w:val="22"/>
          <w:szCs w:val="22"/>
          <w:vertAlign w:val="baseline"/>
          <w:rtl/>
        </w:rPr>
        <w:footnoteReference w:customMarkFollows="1" w:id="1"/>
        <w:t>*</w:t>
      </w:r>
      <w:r w:rsidRPr="000E6C7E">
        <w:rPr>
          <w:rFonts w:hint="cs"/>
          <w:rtl/>
        </w:rPr>
        <w:t xml:space="preserve"> </w:t>
      </w:r>
      <w:r w:rsidRPr="000E6C7E">
        <w:rPr>
          <w:rStyle w:val="FootnoteReference"/>
          <w:sz w:val="22"/>
          <w:szCs w:val="22"/>
          <w:vertAlign w:val="baseline"/>
          <w:rtl/>
        </w:rPr>
        <w:footnoteReference w:customMarkFollows="1" w:id="2"/>
        <w:t>**</w:t>
      </w:r>
    </w:p>
    <w:p w14:paraId="37765A86" w14:textId="77777777" w:rsidR="00E00855" w:rsidRPr="00E00855" w:rsidRDefault="00E00855" w:rsidP="00E00855">
      <w:pPr>
        <w:pStyle w:val="SingleTxtGA"/>
        <w:tabs>
          <w:tab w:val="clear" w:pos="2608"/>
          <w:tab w:val="clear" w:pos="3289"/>
          <w:tab w:val="clear" w:pos="3969"/>
          <w:tab w:val="clear" w:pos="4649"/>
          <w:tab w:val="left" w:pos="4252"/>
        </w:tabs>
        <w:ind w:left="1928"/>
        <w:rPr>
          <w:rtl/>
          <w:lang w:val="en-US"/>
        </w:rPr>
      </w:pPr>
      <w:r w:rsidRPr="000E6C7E">
        <w:rPr>
          <w:i/>
          <w:iCs/>
          <w:rtl/>
          <w:lang w:val="en-US"/>
        </w:rPr>
        <w:t>بلاغ مقدم من</w:t>
      </w:r>
      <w:r w:rsidRPr="00E00855">
        <w:rPr>
          <w:rtl/>
          <w:lang w:val="en-US"/>
        </w:rPr>
        <w:t>:</w:t>
      </w:r>
      <w:r w:rsidRPr="00E00855">
        <w:rPr>
          <w:rtl/>
          <w:lang w:val="en-US"/>
        </w:rPr>
        <w:tab/>
        <w:t>السيد م. ك. (لا يمثله محام)</w:t>
      </w:r>
    </w:p>
    <w:p w14:paraId="527B8BB0" w14:textId="77777777" w:rsidR="00E00855" w:rsidRPr="00E00855" w:rsidRDefault="00E00855" w:rsidP="00E00855">
      <w:pPr>
        <w:pStyle w:val="SingleTxtGA"/>
        <w:tabs>
          <w:tab w:val="clear" w:pos="2608"/>
          <w:tab w:val="clear" w:pos="3289"/>
          <w:tab w:val="clear" w:pos="3969"/>
          <w:tab w:val="clear" w:pos="4649"/>
          <w:tab w:val="left" w:pos="4252"/>
        </w:tabs>
        <w:ind w:left="1928"/>
        <w:rPr>
          <w:rtl/>
          <w:lang w:val="en-US"/>
        </w:rPr>
      </w:pPr>
      <w:r w:rsidRPr="000E6C7E">
        <w:rPr>
          <w:i/>
          <w:iCs/>
          <w:rtl/>
          <w:lang w:val="en-US"/>
        </w:rPr>
        <w:t>الشخص المدعى أنه ضحية</w:t>
      </w:r>
      <w:r w:rsidRPr="00E00855">
        <w:rPr>
          <w:rtl/>
          <w:lang w:val="en-US"/>
        </w:rPr>
        <w:t>:</w:t>
      </w:r>
      <w:r w:rsidRPr="00E00855">
        <w:rPr>
          <w:rtl/>
          <w:lang w:val="en-US"/>
        </w:rPr>
        <w:tab/>
        <w:t>صاحب الشكوى</w:t>
      </w:r>
    </w:p>
    <w:p w14:paraId="68AAC3F0" w14:textId="77777777" w:rsidR="00E00855" w:rsidRPr="00E00855" w:rsidRDefault="00E00855" w:rsidP="00E00855">
      <w:pPr>
        <w:pStyle w:val="SingleTxtGA"/>
        <w:tabs>
          <w:tab w:val="clear" w:pos="2608"/>
          <w:tab w:val="clear" w:pos="3289"/>
          <w:tab w:val="clear" w:pos="3969"/>
          <w:tab w:val="clear" w:pos="4649"/>
          <w:tab w:val="left" w:pos="4252"/>
        </w:tabs>
        <w:ind w:left="1928"/>
        <w:rPr>
          <w:rtl/>
          <w:lang w:val="en-US"/>
        </w:rPr>
      </w:pPr>
      <w:r w:rsidRPr="000E6C7E">
        <w:rPr>
          <w:i/>
          <w:iCs/>
          <w:rtl/>
          <w:lang w:val="en-US"/>
        </w:rPr>
        <w:t>الدولة الطرف</w:t>
      </w:r>
      <w:r w:rsidRPr="00E00855">
        <w:rPr>
          <w:rtl/>
          <w:lang w:val="en-US"/>
        </w:rPr>
        <w:t>:</w:t>
      </w:r>
      <w:r w:rsidRPr="00E00855">
        <w:rPr>
          <w:rtl/>
          <w:lang w:val="en-US"/>
        </w:rPr>
        <w:tab/>
        <w:t>أستراليا</w:t>
      </w:r>
    </w:p>
    <w:p w14:paraId="7A2BC8B1" w14:textId="77777777" w:rsidR="00E00855" w:rsidRPr="00E00855" w:rsidRDefault="00E00855" w:rsidP="00E00855">
      <w:pPr>
        <w:pStyle w:val="SingleTxtGA"/>
        <w:tabs>
          <w:tab w:val="clear" w:pos="2608"/>
          <w:tab w:val="clear" w:pos="3289"/>
          <w:tab w:val="clear" w:pos="3969"/>
          <w:tab w:val="clear" w:pos="4649"/>
          <w:tab w:val="left" w:pos="4252"/>
        </w:tabs>
        <w:ind w:left="1928"/>
        <w:rPr>
          <w:rtl/>
          <w:lang w:val="en-US"/>
        </w:rPr>
      </w:pPr>
      <w:r w:rsidRPr="000E6C7E">
        <w:rPr>
          <w:i/>
          <w:iCs/>
          <w:rtl/>
          <w:lang w:val="en-US"/>
        </w:rPr>
        <w:t>تاريخ تقديم الشكوى</w:t>
      </w:r>
      <w:r w:rsidRPr="00E00855">
        <w:rPr>
          <w:rtl/>
          <w:lang w:val="en-US"/>
        </w:rPr>
        <w:t>:</w:t>
      </w:r>
      <w:r w:rsidRPr="00E00855">
        <w:rPr>
          <w:rtl/>
          <w:lang w:val="en-US"/>
        </w:rPr>
        <w:tab/>
      </w:r>
      <w:r w:rsidRPr="000E6C7E">
        <w:rPr>
          <w:rtl/>
          <w:lang w:val="en-US"/>
        </w:rPr>
        <w:t>24</w:t>
      </w:r>
      <w:r w:rsidRPr="00E00855">
        <w:rPr>
          <w:rtl/>
          <w:lang w:val="en-US"/>
        </w:rPr>
        <w:t xml:space="preserve"> حزيران/يونيه </w:t>
      </w:r>
      <w:r w:rsidRPr="000E6C7E">
        <w:rPr>
          <w:rtl/>
          <w:lang w:val="en-US"/>
        </w:rPr>
        <w:t>2019</w:t>
      </w:r>
      <w:r w:rsidRPr="00E00855">
        <w:rPr>
          <w:rtl/>
          <w:lang w:val="en-US"/>
        </w:rPr>
        <w:t xml:space="preserve"> (تاريخ الرسالة الأولى)</w:t>
      </w:r>
    </w:p>
    <w:p w14:paraId="7CBF2DD3" w14:textId="77777777" w:rsidR="00E00855" w:rsidRPr="00E00855" w:rsidRDefault="00E00855" w:rsidP="00E00855">
      <w:pPr>
        <w:pStyle w:val="SingleTxtGA"/>
        <w:tabs>
          <w:tab w:val="clear" w:pos="2608"/>
          <w:tab w:val="clear" w:pos="3289"/>
          <w:tab w:val="clear" w:pos="3969"/>
          <w:tab w:val="clear" w:pos="4649"/>
          <w:tab w:val="left" w:pos="4252"/>
        </w:tabs>
        <w:ind w:left="1928"/>
        <w:rPr>
          <w:rtl/>
          <w:lang w:val="en-US"/>
        </w:rPr>
      </w:pPr>
      <w:r w:rsidRPr="000E6C7E">
        <w:rPr>
          <w:i/>
          <w:iCs/>
          <w:rtl/>
          <w:lang w:val="en-US"/>
        </w:rPr>
        <w:t>المسألة الموضوعية</w:t>
      </w:r>
      <w:r w:rsidRPr="00E00855">
        <w:rPr>
          <w:rtl/>
          <w:lang w:val="en-US"/>
        </w:rPr>
        <w:t>:</w:t>
      </w:r>
      <w:r w:rsidRPr="00E00855">
        <w:rPr>
          <w:rtl/>
          <w:lang w:val="en-US"/>
        </w:rPr>
        <w:tab/>
        <w:t>خطر التعرض للتعذيب في حال الترحيل إلى سري لانكا</w:t>
      </w:r>
    </w:p>
    <w:p w14:paraId="5BDD4E65" w14:textId="2C88DBA3" w:rsidR="00DE0686" w:rsidRDefault="00E00855" w:rsidP="00E00855">
      <w:pPr>
        <w:pStyle w:val="SingleTxtGA"/>
        <w:rPr>
          <w:rtl/>
          <w:lang w:val="en-US"/>
        </w:rPr>
      </w:pPr>
      <w:r w:rsidRPr="00E00855">
        <w:rPr>
          <w:rtl/>
          <w:lang w:val="en-US"/>
        </w:rPr>
        <w:tab/>
        <w:t>حيث إن اللجنة لم تكن قد تلقّت أي تعليقات من محامي صاحب الشكوى على ملاحظات الدولة الطرف، رغم أنها كانت قد أرسلت أربع رسائل تذكير لذاك الغرض، فقد قررت، في اجتماعها المعقود في</w:t>
      </w:r>
      <w:r>
        <w:rPr>
          <w:rFonts w:hint="cs"/>
          <w:rtl/>
          <w:lang w:val="en-US"/>
        </w:rPr>
        <w:t> </w:t>
      </w:r>
      <w:r w:rsidRPr="000E6C7E">
        <w:rPr>
          <w:rtl/>
          <w:lang w:val="en-US"/>
        </w:rPr>
        <w:t>14</w:t>
      </w:r>
      <w:r w:rsidRPr="00E00855">
        <w:rPr>
          <w:rtl/>
          <w:lang w:val="en-US"/>
        </w:rPr>
        <w:t xml:space="preserve"> تموز/يوليه </w:t>
      </w:r>
      <w:r w:rsidRPr="000E6C7E">
        <w:rPr>
          <w:rtl/>
          <w:lang w:val="en-US"/>
        </w:rPr>
        <w:t>2021</w:t>
      </w:r>
      <w:r w:rsidRPr="00E00855">
        <w:rPr>
          <w:rtl/>
          <w:lang w:val="en-US"/>
        </w:rPr>
        <w:t xml:space="preserve">، وقف النظر في البلاغ رقم </w:t>
      </w:r>
      <w:r w:rsidRPr="000E6C7E">
        <w:rPr>
          <w:rtl/>
          <w:lang w:val="en-US"/>
        </w:rPr>
        <w:t>942</w:t>
      </w:r>
      <w:r>
        <w:rPr>
          <w:rFonts w:hint="cs"/>
          <w:rtl/>
          <w:lang w:val="en-US"/>
        </w:rPr>
        <w:t>/</w:t>
      </w:r>
      <w:r w:rsidRPr="000E6C7E">
        <w:rPr>
          <w:rtl/>
          <w:lang w:val="en-US"/>
        </w:rPr>
        <w:t>2019</w:t>
      </w:r>
      <w:r w:rsidRPr="00E00855">
        <w:rPr>
          <w:rtl/>
          <w:lang w:val="en-US"/>
        </w:rPr>
        <w:t>.</w:t>
      </w:r>
    </w:p>
    <w:p w14:paraId="59D03E8D" w14:textId="24FC8183" w:rsidR="00E00855" w:rsidRPr="00E00855" w:rsidRDefault="00E00855" w:rsidP="00E00855">
      <w:pPr>
        <w:pStyle w:val="SingleTxtGA"/>
        <w:jc w:val="center"/>
        <w:rPr>
          <w:u w:val="single"/>
          <w:rtl/>
        </w:rPr>
      </w:pPr>
      <w:r>
        <w:rPr>
          <w:u w:val="single"/>
          <w:rtl/>
        </w:rPr>
        <w:tab/>
      </w:r>
      <w:r>
        <w:rPr>
          <w:u w:val="single"/>
          <w:rtl/>
        </w:rPr>
        <w:tab/>
      </w:r>
      <w:r>
        <w:rPr>
          <w:u w:val="single"/>
          <w:rtl/>
        </w:rPr>
        <w:tab/>
      </w:r>
    </w:p>
    <w:sectPr w:rsidR="00E00855" w:rsidRPr="00E00855" w:rsidSect="001057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026AB" w14:textId="77777777" w:rsidR="008B2118" w:rsidRPr="002901D9" w:rsidRDefault="008B2118" w:rsidP="00874514">
      <w:pPr>
        <w:spacing w:after="60" w:line="240" w:lineRule="auto"/>
        <w:ind w:left="57"/>
        <w:rPr>
          <w:i/>
          <w:iCs/>
        </w:rPr>
      </w:pPr>
      <w:r>
        <w:rPr>
          <w:rFonts w:hint="cs"/>
          <w:i/>
          <w:iCs/>
          <w:rtl/>
        </w:rPr>
        <w:t>الحواشي</w:t>
      </w:r>
    </w:p>
  </w:endnote>
  <w:endnote w:type="continuationSeparator" w:id="0">
    <w:p w14:paraId="49EE6424" w14:textId="77777777" w:rsidR="008B2118" w:rsidRDefault="008B211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0384" w14:textId="6C25AD08" w:rsidR="00DE0686" w:rsidRPr="00DE0686" w:rsidRDefault="00DE0686" w:rsidP="00DE0686">
    <w:pPr>
      <w:pStyle w:val="Footer"/>
      <w:tabs>
        <w:tab w:val="right" w:pos="9638"/>
      </w:tabs>
      <w:rPr>
        <w:b/>
        <w:sz w:val="18"/>
        <w:lang w:val="en-US"/>
      </w:rPr>
    </w:pPr>
    <w:r>
      <w:rPr>
        <w:lang w:val="en-US"/>
      </w:rPr>
      <w:t>GE.21-12838</w:t>
    </w:r>
    <w:r>
      <w:rPr>
        <w:lang w:val="en-US"/>
      </w:rPr>
      <w:tab/>
    </w:r>
    <w:r w:rsidRPr="00DE0686">
      <w:rPr>
        <w:b/>
        <w:sz w:val="18"/>
        <w:lang w:val="en-US"/>
      </w:rPr>
      <w:fldChar w:fldCharType="begin"/>
    </w:r>
    <w:r w:rsidRPr="00DE0686">
      <w:rPr>
        <w:b/>
        <w:sz w:val="18"/>
        <w:lang w:val="en-US"/>
      </w:rPr>
      <w:instrText xml:space="preserve"> PAGE  \* MERGEFORMAT </w:instrText>
    </w:r>
    <w:r w:rsidRPr="00DE0686">
      <w:rPr>
        <w:b/>
        <w:sz w:val="18"/>
        <w:lang w:val="en-US"/>
      </w:rPr>
      <w:fldChar w:fldCharType="separate"/>
    </w:r>
    <w:r w:rsidRPr="00DE0686">
      <w:rPr>
        <w:b/>
        <w:noProof/>
        <w:sz w:val="18"/>
        <w:lang w:val="en-US"/>
      </w:rPr>
      <w:t>2</w:t>
    </w:r>
    <w:r w:rsidRPr="00DE068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4F38" w14:textId="2394C4FC" w:rsidR="006959B0" w:rsidRPr="00DE0686" w:rsidRDefault="00DE0686" w:rsidP="00DE068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GE.21-12838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F1A5" w14:textId="55D27C09" w:rsidR="00261289" w:rsidRPr="00DE0686" w:rsidRDefault="00DE0686" w:rsidP="00DE0686">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7B9ED7F4" wp14:editId="2244CF0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21-12838 (A)</w:t>
    </w:r>
    <w:r>
      <w:rPr>
        <w:noProof/>
        <w:sz w:val="20"/>
        <w:lang w:val="en-US"/>
      </w:rPr>
      <w:drawing>
        <wp:anchor distT="0" distB="0" distL="114300" distR="114300" simplePos="0" relativeHeight="251659264" behindDoc="0" locked="0" layoutInCell="1" allowOverlap="1" wp14:anchorId="5E759CFE" wp14:editId="1A4AD26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4AF2" w14:textId="77777777" w:rsidR="008B2118" w:rsidRPr="00C111C6" w:rsidRDefault="008B2118"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883D9E4" w14:textId="77777777" w:rsidR="008B2118" w:rsidRDefault="008B2118" w:rsidP="00656392">
      <w:pPr>
        <w:spacing w:line="240" w:lineRule="auto"/>
      </w:pPr>
      <w:r>
        <w:continuationSeparator/>
      </w:r>
    </w:p>
  </w:footnote>
  <w:footnote w:id="1">
    <w:p w14:paraId="507BB522" w14:textId="359A4074" w:rsidR="00E00855" w:rsidRPr="00E00855" w:rsidRDefault="00E00855" w:rsidP="00E00855">
      <w:pPr>
        <w:pStyle w:val="FootnoteText1"/>
        <w:rPr>
          <w:rtl/>
        </w:rPr>
      </w:pPr>
      <w:r>
        <w:rPr>
          <w:rtl/>
        </w:rPr>
        <w:t>*</w:t>
      </w:r>
      <w:r>
        <w:rPr>
          <w:rtl/>
        </w:rPr>
        <w:tab/>
      </w:r>
      <w:r w:rsidRPr="00E00855">
        <w:rPr>
          <w:rtl/>
        </w:rPr>
        <w:t>اعتمدته اللجنة في دورتها الحادية والسبعين (</w:t>
      </w:r>
      <w:r w:rsidRPr="000E6C7E">
        <w:rPr>
          <w:rtl/>
        </w:rPr>
        <w:t>12</w:t>
      </w:r>
      <w:r w:rsidRPr="00E00855">
        <w:rPr>
          <w:rtl/>
        </w:rPr>
        <w:t>-</w:t>
      </w:r>
      <w:r w:rsidRPr="000E6C7E">
        <w:rPr>
          <w:rtl/>
        </w:rPr>
        <w:t>30</w:t>
      </w:r>
      <w:r w:rsidRPr="00E00855">
        <w:rPr>
          <w:rtl/>
        </w:rPr>
        <w:t xml:space="preserve"> تموز/يوليه </w:t>
      </w:r>
      <w:r w:rsidRPr="000E6C7E">
        <w:rPr>
          <w:rtl/>
        </w:rPr>
        <w:t>2021</w:t>
      </w:r>
      <w:r w:rsidRPr="00E00855">
        <w:rPr>
          <w:rtl/>
        </w:rPr>
        <w:t>).</w:t>
      </w:r>
    </w:p>
  </w:footnote>
  <w:footnote w:id="2">
    <w:p w14:paraId="76D1B7D1" w14:textId="0364205F" w:rsidR="00E00855" w:rsidRPr="00E00855" w:rsidRDefault="00E00855" w:rsidP="00E00855">
      <w:pPr>
        <w:pStyle w:val="FootnoteText1"/>
        <w:rPr>
          <w:rtl/>
        </w:rPr>
      </w:pPr>
      <w:r>
        <w:rPr>
          <w:rtl/>
        </w:rPr>
        <w:t>**</w:t>
      </w:r>
      <w:r>
        <w:rPr>
          <w:rtl/>
        </w:rPr>
        <w:tab/>
      </w:r>
      <w:r w:rsidRPr="00E00855">
        <w:rPr>
          <w:rtl/>
        </w:rPr>
        <w:t xml:space="preserve">شارك في دراسة هذا البلاغ أعضاء اللجنة التالية أسماؤهم: السعدية </w:t>
      </w:r>
      <w:proofErr w:type="spellStart"/>
      <w:r w:rsidRPr="00E00855">
        <w:rPr>
          <w:rtl/>
        </w:rPr>
        <w:t>بلمير</w:t>
      </w:r>
      <w:proofErr w:type="spellEnd"/>
      <w:r w:rsidRPr="00E00855">
        <w:rPr>
          <w:rtl/>
        </w:rPr>
        <w:t xml:space="preserve">، وكلود هيلر، </w:t>
      </w:r>
      <w:proofErr w:type="spellStart"/>
      <w:r w:rsidRPr="00E00855">
        <w:rPr>
          <w:rtl/>
        </w:rPr>
        <w:t>وإردوغان</w:t>
      </w:r>
      <w:proofErr w:type="spellEnd"/>
      <w:r w:rsidRPr="00E00855">
        <w:rPr>
          <w:rtl/>
        </w:rPr>
        <w:t xml:space="preserve"> إشجان، وليو هواوين، وبيتر </w:t>
      </w:r>
      <w:proofErr w:type="spellStart"/>
      <w:r w:rsidRPr="00E00855">
        <w:rPr>
          <w:rtl/>
        </w:rPr>
        <w:t>كيسنغ</w:t>
      </w:r>
      <w:proofErr w:type="spellEnd"/>
      <w:r w:rsidRPr="00E00855">
        <w:rPr>
          <w:rtl/>
        </w:rPr>
        <w:t xml:space="preserve">، </w:t>
      </w:r>
      <w:proofErr w:type="spellStart"/>
      <w:r w:rsidRPr="00E00855">
        <w:rPr>
          <w:rtl/>
        </w:rPr>
        <w:t>وإلفيا</w:t>
      </w:r>
      <w:proofErr w:type="spellEnd"/>
      <w:r w:rsidRPr="00E00855">
        <w:rPr>
          <w:rtl/>
        </w:rPr>
        <w:t xml:space="preserve"> </w:t>
      </w:r>
      <w:proofErr w:type="spellStart"/>
      <w:r w:rsidRPr="00E00855">
        <w:rPr>
          <w:rtl/>
        </w:rPr>
        <w:t>بوتشي</w:t>
      </w:r>
      <w:proofErr w:type="spellEnd"/>
      <w:r w:rsidRPr="00E00855">
        <w:rPr>
          <w:rtl/>
        </w:rPr>
        <w:t xml:space="preserve">، وآنا </w:t>
      </w:r>
      <w:proofErr w:type="spellStart"/>
      <w:r w:rsidRPr="00E00855">
        <w:rPr>
          <w:rtl/>
        </w:rPr>
        <w:t>راكو</w:t>
      </w:r>
      <w:proofErr w:type="spellEnd"/>
      <w:r w:rsidRPr="00E00855">
        <w:rPr>
          <w:rtl/>
        </w:rPr>
        <w:t xml:space="preserve">، ودييغو </w:t>
      </w:r>
      <w:proofErr w:type="spellStart"/>
      <w:r w:rsidRPr="00E00855">
        <w:rPr>
          <w:rtl/>
        </w:rPr>
        <w:t>رودريغز</w:t>
      </w:r>
      <w:proofErr w:type="spellEnd"/>
      <w:r w:rsidRPr="00E00855">
        <w:rPr>
          <w:rtl/>
        </w:rPr>
        <w:t xml:space="preserve"> - بينسون، وبَختيار </w:t>
      </w:r>
      <w:proofErr w:type="spellStart"/>
      <w:r w:rsidRPr="00E00855">
        <w:rPr>
          <w:rtl/>
        </w:rPr>
        <w:t>توزمحمدوف</w:t>
      </w:r>
      <w:proofErr w:type="spellEnd"/>
      <w:r w:rsidRPr="00E0085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79F4" w14:textId="205A0790" w:rsidR="00DE0686" w:rsidRPr="00DE0686" w:rsidRDefault="00DE0686" w:rsidP="00DE068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CAT/C/71/D/942/2019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C3DC" w14:textId="5251679F" w:rsidR="00DE0686" w:rsidRPr="00DE0686" w:rsidRDefault="00DE0686" w:rsidP="00DE068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CAT/C/71/D/942/2019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7A5B"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18"/>
    <w:rsid w:val="000076D5"/>
    <w:rsid w:val="00043663"/>
    <w:rsid w:val="000456F3"/>
    <w:rsid w:val="000505CF"/>
    <w:rsid w:val="00094C3E"/>
    <w:rsid w:val="000A2113"/>
    <w:rsid w:val="000D701C"/>
    <w:rsid w:val="000E11D4"/>
    <w:rsid w:val="000E2A71"/>
    <w:rsid w:val="000E6C7E"/>
    <w:rsid w:val="000F71D2"/>
    <w:rsid w:val="00105799"/>
    <w:rsid w:val="00143C39"/>
    <w:rsid w:val="00160263"/>
    <w:rsid w:val="00166BD2"/>
    <w:rsid w:val="00167825"/>
    <w:rsid w:val="00170EB3"/>
    <w:rsid w:val="00181F96"/>
    <w:rsid w:val="001A1371"/>
    <w:rsid w:val="001B346A"/>
    <w:rsid w:val="001D6F7B"/>
    <w:rsid w:val="001E1CAD"/>
    <w:rsid w:val="001E290D"/>
    <w:rsid w:val="00210DD4"/>
    <w:rsid w:val="002144FA"/>
    <w:rsid w:val="0023469A"/>
    <w:rsid w:val="00243C8A"/>
    <w:rsid w:val="00255614"/>
    <w:rsid w:val="00261289"/>
    <w:rsid w:val="00266034"/>
    <w:rsid w:val="0026755E"/>
    <w:rsid w:val="00267A0E"/>
    <w:rsid w:val="002901D9"/>
    <w:rsid w:val="002976C2"/>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C34A6"/>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4737D"/>
    <w:rsid w:val="007514B0"/>
    <w:rsid w:val="00761849"/>
    <w:rsid w:val="0078071A"/>
    <w:rsid w:val="007A3847"/>
    <w:rsid w:val="007D56C1"/>
    <w:rsid w:val="00817373"/>
    <w:rsid w:val="00852A9A"/>
    <w:rsid w:val="00860491"/>
    <w:rsid w:val="00874514"/>
    <w:rsid w:val="00893A8A"/>
    <w:rsid w:val="00897AA1"/>
    <w:rsid w:val="008B2118"/>
    <w:rsid w:val="008C0B37"/>
    <w:rsid w:val="008F49E1"/>
    <w:rsid w:val="0090370F"/>
    <w:rsid w:val="00906A57"/>
    <w:rsid w:val="009269D2"/>
    <w:rsid w:val="00942135"/>
    <w:rsid w:val="009521B0"/>
    <w:rsid w:val="00972676"/>
    <w:rsid w:val="00981C12"/>
    <w:rsid w:val="009A7E9F"/>
    <w:rsid w:val="009E3A3F"/>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D0805"/>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914A7"/>
    <w:rsid w:val="00DB712F"/>
    <w:rsid w:val="00DC1D29"/>
    <w:rsid w:val="00DD13C3"/>
    <w:rsid w:val="00DD596E"/>
    <w:rsid w:val="00DD621E"/>
    <w:rsid w:val="00DE0686"/>
    <w:rsid w:val="00DF0575"/>
    <w:rsid w:val="00E00855"/>
    <w:rsid w:val="00E2697F"/>
    <w:rsid w:val="00E64B72"/>
    <w:rsid w:val="00E70E04"/>
    <w:rsid w:val="00E76499"/>
    <w:rsid w:val="00EC05A7"/>
    <w:rsid w:val="00EC4B6B"/>
    <w:rsid w:val="00EE56C3"/>
    <w:rsid w:val="00EF1EE5"/>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526F97"/>
  <w15:docId w15:val="{4F472D60-2B5A-4778-BCB0-169CB202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Pages>
  <Words>103</Words>
  <Characters>649</Characters>
  <Application>Microsoft Office Word</Application>
  <DocSecurity>0</DocSecurity>
  <Lines>40</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CAT/C/71/D/942/2019</vt:lpstr>
      <vt:lpstr>    مقرر اعتمدته اللجنة بموجب المادة 22 من الاتفاقية بشأن البلاغ رقم 942/2019* **</vt:lpstr>
    </vt:vector>
  </TitlesOfParts>
  <Company>DCM</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CAT/C/71/D/942/2019</dc:title>
  <dc:subject>GE.2112838(A)</dc:subject>
  <dc:creator>bah - NAB</dc:creator>
  <cp:keywords>GE.2125163(A)</cp:keywords>
  <dc:description>Distr.: General
14 September 2021
Arabic
Original: English</dc:description>
  <cp:lastModifiedBy>Sayed Mohamed ALY</cp:lastModifiedBy>
  <cp:revision>2</cp:revision>
  <cp:lastPrinted>2016-06-21T10:29:00Z</cp:lastPrinted>
  <dcterms:created xsi:type="dcterms:W3CDTF">2021-10-01T07:40:00Z</dcterms:created>
  <dcterms:modified xsi:type="dcterms:W3CDTF">2021-10-01T07:40:00Z</dcterms:modified>
  <cp:category>Final</cp:category>
</cp:coreProperties>
</file>