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CA35DF" w14:paraId="2B23E86F" w14:textId="77777777" w:rsidTr="00B456A0">
        <w:trPr>
          <w:trHeight w:hRule="exact" w:val="810"/>
        </w:trPr>
        <w:tc>
          <w:tcPr>
            <w:tcW w:w="1266" w:type="dxa"/>
            <w:tcBorders>
              <w:top w:val="nil"/>
              <w:bottom w:val="single" w:sz="4" w:space="0" w:color="auto"/>
            </w:tcBorders>
            <w:shd w:val="clear" w:color="auto" w:fill="auto"/>
          </w:tcPr>
          <w:p w14:paraId="2E06B826" w14:textId="77777777" w:rsidR="00712059" w:rsidRPr="00CA35DF" w:rsidRDefault="00712059" w:rsidP="00895DA3">
            <w:pPr>
              <w:kinsoku w:val="0"/>
              <w:overflowPunct w:val="0"/>
              <w:autoSpaceDE w:val="0"/>
              <w:autoSpaceDN w:val="0"/>
              <w:adjustRightInd w:val="0"/>
              <w:snapToGrid w:val="0"/>
              <w:spacing w:after="80" w:line="480" w:lineRule="exact"/>
              <w:rPr>
                <w:rFonts w:hint="cs"/>
                <w:szCs w:val="40"/>
                <w:rtl/>
              </w:rPr>
            </w:pPr>
          </w:p>
        </w:tc>
        <w:tc>
          <w:tcPr>
            <w:tcW w:w="4767" w:type="dxa"/>
            <w:tcBorders>
              <w:top w:val="nil"/>
              <w:bottom w:val="single" w:sz="4" w:space="0" w:color="auto"/>
            </w:tcBorders>
            <w:shd w:val="clear" w:color="auto" w:fill="auto"/>
            <w:vAlign w:val="bottom"/>
          </w:tcPr>
          <w:p w14:paraId="52D355EE" w14:textId="77777777" w:rsidR="006B3E27" w:rsidRPr="00CA35DF" w:rsidRDefault="006B3E27" w:rsidP="00E2697F">
            <w:pPr>
              <w:spacing w:after="80" w:line="480" w:lineRule="exact"/>
              <w:ind w:left="57"/>
              <w:rPr>
                <w:sz w:val="30"/>
                <w:szCs w:val="30"/>
                <w:rtl/>
              </w:rPr>
            </w:pPr>
            <w:r w:rsidRPr="00CA35DF">
              <w:rPr>
                <w:rFonts w:hint="cs"/>
                <w:sz w:val="30"/>
                <w:szCs w:val="30"/>
                <w:rtl/>
              </w:rPr>
              <w:t>الأمم المتحدة</w:t>
            </w:r>
          </w:p>
        </w:tc>
        <w:tc>
          <w:tcPr>
            <w:tcW w:w="3598" w:type="dxa"/>
            <w:tcBorders>
              <w:top w:val="nil"/>
              <w:bottom w:val="single" w:sz="4" w:space="0" w:color="auto"/>
            </w:tcBorders>
            <w:shd w:val="clear" w:color="auto" w:fill="auto"/>
            <w:vAlign w:val="bottom"/>
          </w:tcPr>
          <w:p w14:paraId="10947A48" w14:textId="6B28B836" w:rsidR="006B3E27" w:rsidRPr="00265275" w:rsidRDefault="00265275" w:rsidP="00265275">
            <w:pPr>
              <w:bidi w:val="0"/>
              <w:rPr>
                <w:szCs w:val="20"/>
              </w:rPr>
            </w:pPr>
            <w:r w:rsidRPr="00265275">
              <w:rPr>
                <w:sz w:val="40"/>
                <w:szCs w:val="20"/>
              </w:rPr>
              <w:t>CAT</w:t>
            </w:r>
            <w:r>
              <w:rPr>
                <w:szCs w:val="20"/>
              </w:rPr>
              <w:t>/C/</w:t>
            </w:r>
            <w:r w:rsidRPr="00C8421F">
              <w:rPr>
                <w:szCs w:val="20"/>
              </w:rPr>
              <w:t>71</w:t>
            </w:r>
            <w:r>
              <w:rPr>
                <w:szCs w:val="20"/>
              </w:rPr>
              <w:t>/D/</w:t>
            </w:r>
            <w:r w:rsidRPr="00C8421F">
              <w:rPr>
                <w:szCs w:val="20"/>
              </w:rPr>
              <w:t>759</w:t>
            </w:r>
            <w:r>
              <w:rPr>
                <w:szCs w:val="20"/>
              </w:rPr>
              <w:t>/</w:t>
            </w:r>
            <w:r w:rsidRPr="00C8421F">
              <w:rPr>
                <w:szCs w:val="20"/>
              </w:rPr>
              <w:t>2016</w:t>
            </w:r>
          </w:p>
        </w:tc>
      </w:tr>
      <w:tr w:rsidR="006B3E27" w:rsidRPr="00CA35DF" w14:paraId="48517718" w14:textId="77777777" w:rsidTr="00B456A0">
        <w:trPr>
          <w:trHeight w:hRule="exact" w:val="2835"/>
        </w:trPr>
        <w:tc>
          <w:tcPr>
            <w:tcW w:w="1266" w:type="dxa"/>
            <w:tcBorders>
              <w:top w:val="nil"/>
              <w:bottom w:val="single" w:sz="12" w:space="0" w:color="auto"/>
            </w:tcBorders>
            <w:shd w:val="clear" w:color="auto" w:fill="auto"/>
          </w:tcPr>
          <w:p w14:paraId="1B98C0B8" w14:textId="77777777" w:rsidR="006B3E27" w:rsidRPr="00CA35DF" w:rsidRDefault="00261289" w:rsidP="00CA35DF">
            <w:pPr>
              <w:jc w:val="center"/>
              <w:rPr>
                <w:rtl/>
              </w:rPr>
            </w:pPr>
            <w:r w:rsidRPr="00CA35DF">
              <w:rPr>
                <w:noProof/>
                <w:rtl/>
              </w:rPr>
              <w:drawing>
                <wp:inline distT="0" distB="0" distL="0" distR="0" wp14:anchorId="16046232" wp14:editId="4137C93E">
                  <wp:extent cx="629920" cy="611505"/>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inline>
              </w:drawing>
            </w:r>
          </w:p>
        </w:tc>
        <w:tc>
          <w:tcPr>
            <w:tcW w:w="4767" w:type="dxa"/>
            <w:tcBorders>
              <w:top w:val="nil"/>
              <w:bottom w:val="single" w:sz="12" w:space="0" w:color="auto"/>
            </w:tcBorders>
            <w:shd w:val="clear" w:color="auto" w:fill="auto"/>
          </w:tcPr>
          <w:p w14:paraId="4E2616E1" w14:textId="77777777" w:rsidR="00A67AF5" w:rsidRPr="00C8421F" w:rsidRDefault="00817373" w:rsidP="00E2697F">
            <w:pPr>
              <w:spacing w:before="120" w:after="40" w:line="580" w:lineRule="exact"/>
              <w:ind w:left="57"/>
              <w:jc w:val="both"/>
              <w:rPr>
                <w:b/>
                <w:bCs/>
                <w:sz w:val="42"/>
                <w:szCs w:val="42"/>
              </w:rPr>
            </w:pPr>
            <w:r w:rsidRPr="00C8421F">
              <w:rPr>
                <w:rFonts w:hint="cs"/>
                <w:b/>
                <w:bCs/>
                <w:sz w:val="42"/>
                <w:szCs w:val="4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shd w:val="clear" w:color="auto" w:fill="auto"/>
          </w:tcPr>
          <w:p w14:paraId="08B5DC69" w14:textId="77777777" w:rsidR="006B3E27" w:rsidRDefault="00265275" w:rsidP="00EE56C3">
            <w:pPr>
              <w:bidi w:val="0"/>
              <w:spacing w:before="240"/>
              <w:rPr>
                <w:szCs w:val="20"/>
              </w:rPr>
            </w:pPr>
            <w:r>
              <w:rPr>
                <w:szCs w:val="20"/>
              </w:rPr>
              <w:t xml:space="preserve">Distr.: General </w:t>
            </w:r>
          </w:p>
          <w:p w14:paraId="27011FAD" w14:textId="77777777" w:rsidR="00265275" w:rsidRDefault="00265275" w:rsidP="00265275">
            <w:pPr>
              <w:bidi w:val="0"/>
              <w:spacing w:line="240" w:lineRule="exact"/>
              <w:jc w:val="left"/>
              <w:rPr>
                <w:szCs w:val="20"/>
              </w:rPr>
            </w:pPr>
            <w:r w:rsidRPr="00C8421F">
              <w:rPr>
                <w:szCs w:val="20"/>
              </w:rPr>
              <w:t>21</w:t>
            </w:r>
            <w:r>
              <w:rPr>
                <w:szCs w:val="20"/>
              </w:rPr>
              <w:t xml:space="preserve"> September </w:t>
            </w:r>
            <w:r w:rsidRPr="00C8421F">
              <w:rPr>
                <w:szCs w:val="20"/>
              </w:rPr>
              <w:t>2021</w:t>
            </w:r>
          </w:p>
          <w:p w14:paraId="04B27EB4" w14:textId="77777777" w:rsidR="00265275" w:rsidRDefault="00265275" w:rsidP="00265275">
            <w:pPr>
              <w:bidi w:val="0"/>
              <w:spacing w:line="240" w:lineRule="exact"/>
              <w:jc w:val="left"/>
              <w:rPr>
                <w:szCs w:val="20"/>
              </w:rPr>
            </w:pPr>
            <w:r>
              <w:rPr>
                <w:szCs w:val="20"/>
              </w:rPr>
              <w:t>Arabic</w:t>
            </w:r>
          </w:p>
          <w:p w14:paraId="26488CE2" w14:textId="531FB948" w:rsidR="00265275" w:rsidRPr="00265275" w:rsidRDefault="00265275" w:rsidP="00265275">
            <w:pPr>
              <w:bidi w:val="0"/>
              <w:spacing w:line="240" w:lineRule="exact"/>
              <w:jc w:val="left"/>
              <w:rPr>
                <w:szCs w:val="20"/>
              </w:rPr>
            </w:pPr>
            <w:r>
              <w:rPr>
                <w:szCs w:val="20"/>
              </w:rPr>
              <w:t xml:space="preserve">Original: Spanish </w:t>
            </w:r>
          </w:p>
        </w:tc>
      </w:tr>
    </w:tbl>
    <w:p w14:paraId="5F212F4F" w14:textId="77777777" w:rsidR="00772E40" w:rsidRPr="00C8421F" w:rsidRDefault="00772E40" w:rsidP="00772E40">
      <w:pPr>
        <w:spacing w:before="120" w:after="120" w:line="360" w:lineRule="exact"/>
        <w:rPr>
          <w:rFonts w:hint="eastAsia"/>
          <w:b/>
          <w:bCs/>
          <w:sz w:val="26"/>
          <w:szCs w:val="28"/>
          <w:rtl/>
        </w:rPr>
      </w:pPr>
      <w:bookmarkStart w:id="0" w:name="_Hlk31100334"/>
      <w:r w:rsidRPr="00C8421F">
        <w:rPr>
          <w:b/>
          <w:bCs/>
          <w:sz w:val="26"/>
          <w:szCs w:val="28"/>
          <w:rtl/>
        </w:rPr>
        <w:t>لجنة مناهضة التعذيب</w:t>
      </w:r>
    </w:p>
    <w:bookmarkEnd w:id="0"/>
    <w:p w14:paraId="1720CA6F" w14:textId="076EC21F" w:rsidR="00772E40" w:rsidRPr="00C8421F" w:rsidRDefault="00772E40" w:rsidP="00772E40">
      <w:pPr>
        <w:pStyle w:val="HChGA"/>
        <w:rPr>
          <w:rtl/>
        </w:rPr>
      </w:pPr>
      <w:r w:rsidRPr="00C8421F">
        <w:rPr>
          <w:rtl/>
        </w:rPr>
        <w:tab/>
      </w:r>
      <w:r w:rsidRPr="00C8421F">
        <w:rPr>
          <w:rtl/>
        </w:rPr>
        <w:tab/>
        <w:t>قرار اعتمدته اللجنة بموجب المادة 22 من الاتفاقية بشأن البلاغ رقم 759/20</w:t>
      </w:r>
      <w:r w:rsidRPr="00C8421F">
        <w:rPr>
          <w:rFonts w:hint="cs"/>
          <w:rtl/>
        </w:rPr>
        <w:t>16</w:t>
      </w:r>
      <w:r w:rsidRPr="00C8421F">
        <w:rPr>
          <w:rStyle w:val="FootnoteReference"/>
          <w:sz w:val="22"/>
          <w:szCs w:val="22"/>
          <w:vertAlign w:val="baseline"/>
          <w:rtl/>
        </w:rPr>
        <w:footnoteReference w:customMarkFollows="1" w:id="1"/>
        <w:t>*</w:t>
      </w:r>
      <w:r w:rsidRPr="00C8421F">
        <w:rPr>
          <w:rFonts w:hint="cs"/>
          <w:rtl/>
        </w:rPr>
        <w:t xml:space="preserve"> </w:t>
      </w:r>
      <w:r w:rsidRPr="00C8421F">
        <w:rPr>
          <w:rStyle w:val="FootnoteReference"/>
          <w:sz w:val="22"/>
          <w:szCs w:val="22"/>
          <w:vertAlign w:val="baseline"/>
          <w:rtl/>
        </w:rPr>
        <w:footnoteReference w:customMarkFollows="1" w:id="2"/>
        <w:t>**</w:t>
      </w:r>
    </w:p>
    <w:p w14:paraId="6002CAE8" w14:textId="77777777" w:rsidR="00772E40" w:rsidRPr="00772E40" w:rsidRDefault="00772E40" w:rsidP="00772E40">
      <w:pPr>
        <w:pStyle w:val="SingleTxtGA"/>
        <w:tabs>
          <w:tab w:val="clear" w:pos="1928"/>
          <w:tab w:val="clear" w:pos="2608"/>
          <w:tab w:val="clear" w:pos="3289"/>
          <w:tab w:val="clear" w:pos="3969"/>
          <w:tab w:val="clear" w:pos="4649"/>
          <w:tab w:val="clear" w:pos="5330"/>
        </w:tabs>
        <w:ind w:left="4649" w:hanging="2721"/>
        <w:rPr>
          <w:rtl/>
        </w:rPr>
      </w:pPr>
      <w:r w:rsidRPr="00C8421F">
        <w:rPr>
          <w:iCs/>
          <w:rtl/>
        </w:rPr>
        <w:t>بلاغ مقدم من:</w:t>
      </w:r>
      <w:r w:rsidRPr="00C8421F">
        <w:rPr>
          <w:iCs/>
          <w:rtl/>
        </w:rPr>
        <w:tab/>
      </w:r>
      <w:r w:rsidRPr="00772E40">
        <w:rPr>
          <w:rtl/>
        </w:rPr>
        <w:t xml:space="preserve">رونالد </w:t>
      </w:r>
      <w:proofErr w:type="spellStart"/>
      <w:r w:rsidRPr="00772E40">
        <w:rPr>
          <w:rFonts w:hint="cs"/>
          <w:rtl/>
        </w:rPr>
        <w:t>د</w:t>
      </w:r>
      <w:r w:rsidRPr="00772E40">
        <w:rPr>
          <w:rtl/>
        </w:rPr>
        <w:t>جيمس</w:t>
      </w:r>
      <w:proofErr w:type="spellEnd"/>
      <w:r w:rsidRPr="00772E40">
        <w:rPr>
          <w:rtl/>
        </w:rPr>
        <w:t xml:space="preserve"> وودن (تمثله منظمة "</w:t>
      </w:r>
      <w:proofErr w:type="spellStart"/>
      <w:r w:rsidRPr="00772E40">
        <w:rPr>
          <w:rtl/>
        </w:rPr>
        <w:t>إيدياس</w:t>
      </w:r>
      <w:proofErr w:type="spellEnd"/>
      <w:r w:rsidRPr="00772E40">
        <w:rPr>
          <w:rtl/>
        </w:rPr>
        <w:t>" للتقاضي الاستراتيجي في مجال حقوق الإنسان)</w:t>
      </w:r>
    </w:p>
    <w:p w14:paraId="662F042A" w14:textId="77777777" w:rsidR="00772E40" w:rsidRPr="00772E40" w:rsidRDefault="00772E40" w:rsidP="00772E40">
      <w:pPr>
        <w:pStyle w:val="SingleTxtGA"/>
        <w:tabs>
          <w:tab w:val="clear" w:pos="1928"/>
          <w:tab w:val="clear" w:pos="2608"/>
          <w:tab w:val="clear" w:pos="3289"/>
          <w:tab w:val="clear" w:pos="3969"/>
          <w:tab w:val="clear" w:pos="4649"/>
          <w:tab w:val="clear" w:pos="5330"/>
        </w:tabs>
        <w:ind w:left="4649" w:hanging="2721"/>
        <w:rPr>
          <w:rtl/>
        </w:rPr>
      </w:pPr>
      <w:r w:rsidRPr="00C8421F">
        <w:rPr>
          <w:iCs/>
          <w:rtl/>
        </w:rPr>
        <w:t>الشخص المدعى أنه ضحية:</w:t>
      </w:r>
      <w:r w:rsidRPr="00C8421F">
        <w:rPr>
          <w:iCs/>
          <w:rtl/>
        </w:rPr>
        <w:tab/>
      </w:r>
      <w:r w:rsidRPr="00772E40">
        <w:rPr>
          <w:rtl/>
        </w:rPr>
        <w:t>صاحب الشكوى</w:t>
      </w:r>
    </w:p>
    <w:p w14:paraId="34BFAFF3" w14:textId="77777777" w:rsidR="00772E40" w:rsidRPr="00772E40" w:rsidRDefault="00772E40" w:rsidP="00772E40">
      <w:pPr>
        <w:pStyle w:val="SingleTxtGA"/>
        <w:tabs>
          <w:tab w:val="clear" w:pos="1928"/>
          <w:tab w:val="clear" w:pos="2608"/>
          <w:tab w:val="clear" w:pos="3289"/>
          <w:tab w:val="clear" w:pos="3969"/>
          <w:tab w:val="clear" w:pos="4649"/>
          <w:tab w:val="clear" w:pos="5330"/>
        </w:tabs>
        <w:ind w:left="4649" w:hanging="2721"/>
        <w:rPr>
          <w:rtl/>
        </w:rPr>
      </w:pPr>
      <w:r w:rsidRPr="00C8421F">
        <w:rPr>
          <w:iCs/>
          <w:rtl/>
        </w:rPr>
        <w:t>الدولة الطرف:</w:t>
      </w:r>
      <w:r w:rsidRPr="00C8421F">
        <w:rPr>
          <w:iCs/>
          <w:rtl/>
        </w:rPr>
        <w:tab/>
      </w:r>
      <w:r w:rsidRPr="00772E40">
        <w:rPr>
          <w:rFonts w:hint="cs"/>
          <w:rtl/>
        </w:rPr>
        <w:t>المكسيك</w:t>
      </w:r>
    </w:p>
    <w:p w14:paraId="38CDDE4F" w14:textId="77777777" w:rsidR="00772E40" w:rsidRPr="00772E40" w:rsidRDefault="00772E40" w:rsidP="00772E40">
      <w:pPr>
        <w:pStyle w:val="SingleTxtGA"/>
        <w:tabs>
          <w:tab w:val="clear" w:pos="1928"/>
          <w:tab w:val="clear" w:pos="2608"/>
          <w:tab w:val="clear" w:pos="3289"/>
          <w:tab w:val="clear" w:pos="3969"/>
          <w:tab w:val="clear" w:pos="4649"/>
          <w:tab w:val="clear" w:pos="5330"/>
        </w:tabs>
        <w:ind w:left="4649" w:hanging="2721"/>
        <w:rPr>
          <w:rtl/>
        </w:rPr>
      </w:pPr>
      <w:r w:rsidRPr="00C8421F">
        <w:rPr>
          <w:iCs/>
          <w:rtl/>
        </w:rPr>
        <w:t>تاريخ تقديم الشكوى:</w:t>
      </w:r>
      <w:r w:rsidRPr="00C8421F">
        <w:rPr>
          <w:iCs/>
          <w:rtl/>
        </w:rPr>
        <w:tab/>
      </w:r>
      <w:r w:rsidRPr="00C8421F">
        <w:rPr>
          <w:rtl/>
        </w:rPr>
        <w:t>7</w:t>
      </w:r>
      <w:r w:rsidRPr="00772E40">
        <w:rPr>
          <w:rtl/>
        </w:rPr>
        <w:t xml:space="preserve"> تموز/يوليه </w:t>
      </w:r>
      <w:r w:rsidRPr="00C8421F">
        <w:rPr>
          <w:rtl/>
        </w:rPr>
        <w:t>2016</w:t>
      </w:r>
      <w:r w:rsidRPr="00772E40">
        <w:rPr>
          <w:rtl/>
        </w:rPr>
        <w:t xml:space="preserve"> (تاريخ الرسالة الأولى)</w:t>
      </w:r>
    </w:p>
    <w:p w14:paraId="4CD65F28" w14:textId="76180B55" w:rsidR="00772E40" w:rsidRPr="00772E40" w:rsidRDefault="00772E40" w:rsidP="00772E40">
      <w:pPr>
        <w:pStyle w:val="SingleTxtGA"/>
        <w:tabs>
          <w:tab w:val="clear" w:pos="1928"/>
          <w:tab w:val="clear" w:pos="2608"/>
          <w:tab w:val="clear" w:pos="3289"/>
          <w:tab w:val="clear" w:pos="3969"/>
          <w:tab w:val="clear" w:pos="4649"/>
          <w:tab w:val="clear" w:pos="5330"/>
        </w:tabs>
        <w:ind w:left="4649" w:hanging="2721"/>
      </w:pPr>
      <w:r w:rsidRPr="00C8421F">
        <w:rPr>
          <w:iCs/>
          <w:rtl/>
        </w:rPr>
        <w:t>تاريخ اعتماد القرار:</w:t>
      </w:r>
      <w:r w:rsidRPr="00772E40">
        <w:rPr>
          <w:rtl/>
        </w:rPr>
        <w:tab/>
      </w:r>
      <w:r w:rsidRPr="00C8421F">
        <w:rPr>
          <w:rFonts w:hint="cs"/>
          <w:rtl/>
        </w:rPr>
        <w:t>23</w:t>
      </w:r>
      <w:r w:rsidRPr="00772E40">
        <w:rPr>
          <w:rFonts w:hint="cs"/>
          <w:rtl/>
        </w:rPr>
        <w:t xml:space="preserve"> تموز</w:t>
      </w:r>
      <w:r w:rsidRPr="00772E40">
        <w:rPr>
          <w:rtl/>
        </w:rPr>
        <w:t>/</w:t>
      </w:r>
      <w:r w:rsidRPr="00772E40">
        <w:rPr>
          <w:rFonts w:hint="cs"/>
          <w:rtl/>
        </w:rPr>
        <w:t xml:space="preserve">يوليه </w:t>
      </w:r>
      <w:r w:rsidRPr="00C8421F">
        <w:rPr>
          <w:rFonts w:hint="cs"/>
          <w:rtl/>
        </w:rPr>
        <w:t>2021</w:t>
      </w:r>
    </w:p>
    <w:p w14:paraId="570D4EEE" w14:textId="1377AB9A" w:rsidR="00772E40" w:rsidRPr="00772E40" w:rsidRDefault="00772E40" w:rsidP="00772E40">
      <w:pPr>
        <w:pStyle w:val="SingleTxtGA"/>
        <w:tabs>
          <w:tab w:val="clear" w:pos="1928"/>
          <w:tab w:val="clear" w:pos="2608"/>
          <w:tab w:val="clear" w:pos="3289"/>
          <w:tab w:val="clear" w:pos="3969"/>
          <w:tab w:val="clear" w:pos="4649"/>
          <w:tab w:val="clear" w:pos="5330"/>
        </w:tabs>
        <w:ind w:left="4649" w:hanging="2721"/>
      </w:pPr>
      <w:r w:rsidRPr="00C8421F">
        <w:rPr>
          <w:iCs/>
          <w:rtl/>
        </w:rPr>
        <w:t>الموضوع:</w:t>
      </w:r>
      <w:r w:rsidRPr="00772E40">
        <w:rPr>
          <w:rtl/>
        </w:rPr>
        <w:tab/>
        <w:t>الاحتجاز التعسفي والتعذيب</w:t>
      </w:r>
    </w:p>
    <w:p w14:paraId="3499F2A7" w14:textId="70FEDFD3" w:rsidR="00772E40" w:rsidRPr="00772E40" w:rsidRDefault="00772E40" w:rsidP="00772E40">
      <w:pPr>
        <w:pStyle w:val="SingleTxtGA"/>
        <w:tabs>
          <w:tab w:val="clear" w:pos="1928"/>
          <w:tab w:val="clear" w:pos="2608"/>
          <w:tab w:val="clear" w:pos="3289"/>
          <w:tab w:val="clear" w:pos="3969"/>
          <w:tab w:val="clear" w:pos="4649"/>
          <w:tab w:val="clear" w:pos="5330"/>
        </w:tabs>
        <w:ind w:left="4649" w:hanging="2721"/>
      </w:pPr>
      <w:r w:rsidRPr="00C8421F">
        <w:rPr>
          <w:iCs/>
          <w:rtl/>
        </w:rPr>
        <w:t>المسائل الإجرائية:</w:t>
      </w:r>
      <w:r w:rsidRPr="00772E40">
        <w:rPr>
          <w:rtl/>
        </w:rPr>
        <w:tab/>
        <w:t>عدم استنفاد سبل الانتصاف المحلية</w:t>
      </w:r>
    </w:p>
    <w:p w14:paraId="10FEC39E" w14:textId="7CDD9A49" w:rsidR="00772E40" w:rsidRPr="00772E40" w:rsidRDefault="00772E40" w:rsidP="00772E40">
      <w:pPr>
        <w:pStyle w:val="SingleTxtGA"/>
        <w:tabs>
          <w:tab w:val="clear" w:pos="1928"/>
          <w:tab w:val="clear" w:pos="2608"/>
          <w:tab w:val="clear" w:pos="3289"/>
          <w:tab w:val="clear" w:pos="3969"/>
          <w:tab w:val="clear" w:pos="4649"/>
          <w:tab w:val="clear" w:pos="5330"/>
        </w:tabs>
        <w:ind w:left="4649" w:hanging="2721"/>
      </w:pPr>
      <w:r w:rsidRPr="00C8421F">
        <w:rPr>
          <w:iCs/>
          <w:rtl/>
        </w:rPr>
        <w:t>المس</w:t>
      </w:r>
      <w:r w:rsidRPr="00C8421F">
        <w:rPr>
          <w:rFonts w:hint="cs"/>
          <w:iCs/>
          <w:rtl/>
        </w:rPr>
        <w:t>ائل</w:t>
      </w:r>
      <w:r w:rsidRPr="00C8421F">
        <w:rPr>
          <w:iCs/>
          <w:rtl/>
        </w:rPr>
        <w:t xml:space="preserve"> الموضوعية:</w:t>
      </w:r>
      <w:r w:rsidRPr="00772E40">
        <w:rPr>
          <w:rtl/>
        </w:rPr>
        <w:tab/>
        <w:t>التعذيب والمعاملة أو العقوبة القاسية أو اللاإنسانية أو المهينة؛</w:t>
      </w:r>
      <w:r w:rsidRPr="00772E40">
        <w:rPr>
          <w:rFonts w:hint="cs"/>
          <w:rtl/>
        </w:rPr>
        <w:t xml:space="preserve"> </w:t>
      </w:r>
      <w:r w:rsidRPr="00772E40">
        <w:rPr>
          <w:rtl/>
        </w:rPr>
        <w:t>والتزام الدولة الطرف بأن تباشر السلطات المختصة تحقيقاً فورياً ونزيهاً؛</w:t>
      </w:r>
      <w:r w:rsidRPr="00772E40">
        <w:rPr>
          <w:rFonts w:hint="cs"/>
          <w:rtl/>
        </w:rPr>
        <w:t xml:space="preserve"> </w:t>
      </w:r>
      <w:r w:rsidRPr="00772E40">
        <w:rPr>
          <w:rtl/>
        </w:rPr>
        <w:t xml:space="preserve">والحق في الحصول على تعويض </w:t>
      </w:r>
      <w:r w:rsidRPr="00772E40">
        <w:rPr>
          <w:rFonts w:hint="cs"/>
          <w:rtl/>
        </w:rPr>
        <w:t xml:space="preserve">عادل </w:t>
      </w:r>
      <w:r w:rsidRPr="00772E40">
        <w:rPr>
          <w:rtl/>
        </w:rPr>
        <w:t>ومناسب</w:t>
      </w:r>
    </w:p>
    <w:p w14:paraId="18A33ACD" w14:textId="738CA80E" w:rsidR="00772E40" w:rsidRPr="00772E40" w:rsidRDefault="00772E40" w:rsidP="00772E40">
      <w:pPr>
        <w:pStyle w:val="SingleTxtGA"/>
        <w:tabs>
          <w:tab w:val="clear" w:pos="1928"/>
          <w:tab w:val="clear" w:pos="2608"/>
          <w:tab w:val="clear" w:pos="3289"/>
          <w:tab w:val="clear" w:pos="3969"/>
          <w:tab w:val="clear" w:pos="4649"/>
          <w:tab w:val="clear" w:pos="5330"/>
        </w:tabs>
        <w:ind w:left="4649" w:hanging="2721"/>
      </w:pPr>
      <w:r w:rsidRPr="00C8421F">
        <w:rPr>
          <w:rFonts w:hint="cs"/>
          <w:iCs/>
          <w:rtl/>
        </w:rPr>
        <w:t xml:space="preserve">مواد </w:t>
      </w:r>
      <w:r w:rsidRPr="00C8421F">
        <w:rPr>
          <w:iCs/>
          <w:rtl/>
        </w:rPr>
        <w:t>الاتفاقية:</w:t>
      </w:r>
      <w:r w:rsidRPr="00C8421F">
        <w:rPr>
          <w:iCs/>
          <w:rtl/>
        </w:rPr>
        <w:tab/>
      </w:r>
      <w:r w:rsidRPr="00C8421F">
        <w:rPr>
          <w:rtl/>
        </w:rPr>
        <w:t>1</w:t>
      </w:r>
      <w:r w:rsidRPr="00772E40">
        <w:rPr>
          <w:rFonts w:hint="cs"/>
          <w:rtl/>
        </w:rPr>
        <w:t>،</w:t>
      </w:r>
      <w:r w:rsidRPr="00772E40">
        <w:rPr>
          <w:rtl/>
        </w:rPr>
        <w:t xml:space="preserve"> و</w:t>
      </w:r>
      <w:r w:rsidRPr="00C8421F">
        <w:rPr>
          <w:rtl/>
        </w:rPr>
        <w:t>2</w:t>
      </w:r>
      <w:r w:rsidRPr="00772E40">
        <w:rPr>
          <w:rtl/>
        </w:rPr>
        <w:t>(</w:t>
      </w:r>
      <w:r w:rsidRPr="00C8421F">
        <w:rPr>
          <w:rtl/>
        </w:rPr>
        <w:t>1</w:t>
      </w:r>
      <w:r w:rsidRPr="00772E40">
        <w:rPr>
          <w:rtl/>
        </w:rPr>
        <w:t>)</w:t>
      </w:r>
      <w:r w:rsidRPr="00772E40">
        <w:rPr>
          <w:rFonts w:hint="cs"/>
          <w:rtl/>
        </w:rPr>
        <w:t>،</w:t>
      </w:r>
      <w:r w:rsidRPr="00772E40">
        <w:rPr>
          <w:rtl/>
        </w:rPr>
        <w:t xml:space="preserve"> و</w:t>
      </w:r>
      <w:r w:rsidRPr="00C8421F">
        <w:rPr>
          <w:rtl/>
        </w:rPr>
        <w:t>11</w:t>
      </w:r>
      <w:r w:rsidRPr="00772E40">
        <w:rPr>
          <w:rFonts w:hint="cs"/>
          <w:rtl/>
        </w:rPr>
        <w:t>،</w:t>
      </w:r>
      <w:r w:rsidRPr="00772E40">
        <w:rPr>
          <w:rtl/>
        </w:rPr>
        <w:t xml:space="preserve"> و</w:t>
      </w:r>
      <w:r w:rsidRPr="00C8421F">
        <w:rPr>
          <w:rtl/>
        </w:rPr>
        <w:t>12</w:t>
      </w:r>
      <w:r w:rsidRPr="00772E40">
        <w:rPr>
          <w:rFonts w:hint="cs"/>
          <w:rtl/>
        </w:rPr>
        <w:t>،</w:t>
      </w:r>
      <w:r w:rsidRPr="00772E40">
        <w:rPr>
          <w:rtl/>
        </w:rPr>
        <w:t xml:space="preserve"> و</w:t>
      </w:r>
      <w:r w:rsidRPr="00C8421F">
        <w:rPr>
          <w:rtl/>
        </w:rPr>
        <w:t>13</w:t>
      </w:r>
      <w:r w:rsidRPr="00772E40">
        <w:rPr>
          <w:rFonts w:hint="cs"/>
          <w:rtl/>
        </w:rPr>
        <w:t>،</w:t>
      </w:r>
      <w:r w:rsidRPr="00772E40">
        <w:rPr>
          <w:rtl/>
        </w:rPr>
        <w:t xml:space="preserve"> و</w:t>
      </w:r>
      <w:r w:rsidRPr="00C8421F">
        <w:rPr>
          <w:rtl/>
        </w:rPr>
        <w:t>14</w:t>
      </w:r>
      <w:r w:rsidRPr="00772E40">
        <w:rPr>
          <w:rFonts w:hint="cs"/>
          <w:rtl/>
        </w:rPr>
        <w:t>،</w:t>
      </w:r>
      <w:r w:rsidRPr="00772E40">
        <w:rPr>
          <w:rtl/>
        </w:rPr>
        <w:t xml:space="preserve"> و</w:t>
      </w:r>
      <w:r w:rsidRPr="00C8421F">
        <w:rPr>
          <w:rtl/>
        </w:rPr>
        <w:t>16</w:t>
      </w:r>
    </w:p>
    <w:p w14:paraId="49137901" w14:textId="77777777" w:rsidR="00772E40" w:rsidRPr="00772E40" w:rsidRDefault="00772E40" w:rsidP="00772E40">
      <w:pPr>
        <w:pStyle w:val="SingleTxtGA"/>
      </w:pPr>
      <w:r w:rsidRPr="00C8421F">
        <w:rPr>
          <w:rtl/>
        </w:rPr>
        <w:t>1</w:t>
      </w:r>
      <w:r w:rsidRPr="00772E40">
        <w:rPr>
          <w:rtl/>
        </w:rPr>
        <w:t>-</w:t>
      </w:r>
      <w:r w:rsidRPr="00C8421F">
        <w:rPr>
          <w:rtl/>
        </w:rPr>
        <w:t>1</w:t>
      </w:r>
      <w:r w:rsidRPr="00772E40">
        <w:rPr>
          <w:rtl/>
        </w:rPr>
        <w:tab/>
        <w:t xml:space="preserve">صاحب الشكوى هو رونالد </w:t>
      </w:r>
      <w:proofErr w:type="spellStart"/>
      <w:r w:rsidRPr="00772E40">
        <w:rPr>
          <w:rFonts w:hint="cs"/>
          <w:rtl/>
        </w:rPr>
        <w:t>د</w:t>
      </w:r>
      <w:r w:rsidRPr="00772E40">
        <w:rPr>
          <w:rtl/>
        </w:rPr>
        <w:t>جيمس</w:t>
      </w:r>
      <w:proofErr w:type="spellEnd"/>
      <w:r w:rsidRPr="00772E40">
        <w:rPr>
          <w:rtl/>
        </w:rPr>
        <w:t xml:space="preserve"> وودن، وهو مواطن </w:t>
      </w:r>
      <w:r w:rsidRPr="00772E40">
        <w:rPr>
          <w:rFonts w:hint="cs"/>
          <w:rtl/>
        </w:rPr>
        <w:t>من مواطني الولايات المتحدة ال</w:t>
      </w:r>
      <w:r w:rsidRPr="00772E40">
        <w:rPr>
          <w:rtl/>
        </w:rPr>
        <w:t>أمريكي</w:t>
      </w:r>
      <w:r w:rsidRPr="00772E40">
        <w:rPr>
          <w:rFonts w:hint="cs"/>
          <w:rtl/>
        </w:rPr>
        <w:t>ة</w:t>
      </w:r>
      <w:r w:rsidRPr="00772E40">
        <w:rPr>
          <w:rtl/>
        </w:rPr>
        <w:t xml:space="preserve">، وُلد في عام </w:t>
      </w:r>
      <w:r w:rsidRPr="00C8421F">
        <w:rPr>
          <w:rtl/>
        </w:rPr>
        <w:t>1969</w:t>
      </w:r>
      <w:r w:rsidRPr="00772E40">
        <w:rPr>
          <w:rtl/>
        </w:rPr>
        <w:t xml:space="preserve">. ويدعي أن الدولة الطرف انتهكت حقوقه المكفولة بموجب المادة </w:t>
      </w:r>
      <w:r w:rsidRPr="00C8421F">
        <w:rPr>
          <w:rtl/>
        </w:rPr>
        <w:t>2</w:t>
      </w:r>
      <w:r w:rsidRPr="00772E40">
        <w:rPr>
          <w:rtl/>
        </w:rPr>
        <w:t>(</w:t>
      </w:r>
      <w:r w:rsidRPr="00C8421F">
        <w:rPr>
          <w:rtl/>
        </w:rPr>
        <w:t>1</w:t>
      </w:r>
      <w:r w:rsidRPr="00772E40">
        <w:rPr>
          <w:rtl/>
        </w:rPr>
        <w:t xml:space="preserve">)، مقروءة بالاقتران مع المواد </w:t>
      </w:r>
      <w:r w:rsidRPr="00C8421F">
        <w:rPr>
          <w:rtl/>
        </w:rPr>
        <w:t>1</w:t>
      </w:r>
      <w:r w:rsidRPr="00772E40">
        <w:rPr>
          <w:rtl/>
        </w:rPr>
        <w:t>، و</w:t>
      </w:r>
      <w:r w:rsidRPr="00C8421F">
        <w:rPr>
          <w:rtl/>
        </w:rPr>
        <w:t>11</w:t>
      </w:r>
      <w:r w:rsidRPr="00772E40">
        <w:rPr>
          <w:rtl/>
        </w:rPr>
        <w:t>، و</w:t>
      </w:r>
      <w:r w:rsidRPr="00C8421F">
        <w:rPr>
          <w:rtl/>
        </w:rPr>
        <w:t>14</w:t>
      </w:r>
      <w:r w:rsidRPr="00772E40">
        <w:rPr>
          <w:rtl/>
        </w:rPr>
        <w:t>، و</w:t>
      </w:r>
      <w:r w:rsidRPr="00C8421F">
        <w:rPr>
          <w:rtl/>
        </w:rPr>
        <w:t>16</w:t>
      </w:r>
      <w:r w:rsidRPr="00772E40">
        <w:rPr>
          <w:rtl/>
        </w:rPr>
        <w:t xml:space="preserve"> من الاتفاقية. وتمثل صاحبَ الشكوى المنظمة غير الحكومية "</w:t>
      </w:r>
      <w:proofErr w:type="spellStart"/>
      <w:r w:rsidRPr="00772E40">
        <w:rPr>
          <w:rtl/>
        </w:rPr>
        <w:t>إيدياس</w:t>
      </w:r>
      <w:proofErr w:type="spellEnd"/>
      <w:r w:rsidRPr="00772E40">
        <w:rPr>
          <w:rtl/>
        </w:rPr>
        <w:t xml:space="preserve">" للتقاضي الاستراتيجي في مجال حقوق الإنسان. </w:t>
      </w:r>
    </w:p>
    <w:p w14:paraId="0B15ED7D" w14:textId="77777777" w:rsidR="00772E40" w:rsidRPr="00C8421F" w:rsidRDefault="00772E40" w:rsidP="00772E40">
      <w:pPr>
        <w:pStyle w:val="H23GA"/>
      </w:pPr>
      <w:r w:rsidRPr="00C8421F">
        <w:rPr>
          <w:rtl/>
        </w:rPr>
        <w:lastRenderedPageBreak/>
        <w:tab/>
      </w:r>
      <w:r w:rsidRPr="00C8421F">
        <w:rPr>
          <w:rtl/>
        </w:rPr>
        <w:tab/>
        <w:t>الوقائع كما عرضها صاحب الشكوى</w:t>
      </w:r>
    </w:p>
    <w:p w14:paraId="63448AE2" w14:textId="77777777" w:rsidR="00772E40" w:rsidRPr="002F6DFB" w:rsidRDefault="00772E40" w:rsidP="00772E40">
      <w:pPr>
        <w:pStyle w:val="SingleTxtGA"/>
        <w:rPr>
          <w:spacing w:val="-2"/>
        </w:rPr>
      </w:pPr>
      <w:r w:rsidRPr="00C8421F">
        <w:rPr>
          <w:spacing w:val="-2"/>
          <w:rtl/>
        </w:rPr>
        <w:t>2</w:t>
      </w:r>
      <w:r w:rsidRPr="002F6DFB">
        <w:rPr>
          <w:spacing w:val="-2"/>
          <w:rtl/>
        </w:rPr>
        <w:t>-</w:t>
      </w:r>
      <w:r w:rsidRPr="00C8421F">
        <w:rPr>
          <w:spacing w:val="-2"/>
          <w:rtl/>
        </w:rPr>
        <w:t>1</w:t>
      </w:r>
      <w:r w:rsidRPr="002F6DFB">
        <w:rPr>
          <w:spacing w:val="-2"/>
          <w:rtl/>
        </w:rPr>
        <w:tab/>
        <w:t xml:space="preserve">وصل صاحب </w:t>
      </w:r>
      <w:r w:rsidRPr="002F6DFB">
        <w:rPr>
          <w:rFonts w:hint="cs"/>
          <w:spacing w:val="-2"/>
          <w:rtl/>
        </w:rPr>
        <w:t xml:space="preserve">الشكوى </w:t>
      </w:r>
      <w:r w:rsidRPr="002F6DFB">
        <w:rPr>
          <w:spacing w:val="-2"/>
          <w:rtl/>
        </w:rPr>
        <w:t xml:space="preserve">وزوجته إلى </w:t>
      </w:r>
      <w:proofErr w:type="spellStart"/>
      <w:r w:rsidRPr="002F6DFB">
        <w:rPr>
          <w:spacing w:val="-2"/>
          <w:rtl/>
        </w:rPr>
        <w:t>تا</w:t>
      </w:r>
      <w:r w:rsidRPr="002F6DFB">
        <w:rPr>
          <w:rFonts w:hint="cs"/>
          <w:spacing w:val="-2"/>
          <w:rtl/>
        </w:rPr>
        <w:t>كس</w:t>
      </w:r>
      <w:r w:rsidRPr="002F6DFB">
        <w:rPr>
          <w:spacing w:val="-2"/>
          <w:rtl/>
        </w:rPr>
        <w:t>كو</w:t>
      </w:r>
      <w:proofErr w:type="spellEnd"/>
      <w:r w:rsidRPr="002F6DFB">
        <w:rPr>
          <w:spacing w:val="-2"/>
          <w:rtl/>
        </w:rPr>
        <w:t xml:space="preserve"> دي </w:t>
      </w:r>
      <w:proofErr w:type="spellStart"/>
      <w:r w:rsidRPr="002F6DFB">
        <w:rPr>
          <w:spacing w:val="-2"/>
          <w:rtl/>
        </w:rPr>
        <w:t>ألاركون</w:t>
      </w:r>
      <w:proofErr w:type="spellEnd"/>
      <w:r w:rsidRPr="002F6DFB">
        <w:rPr>
          <w:spacing w:val="-2"/>
          <w:rtl/>
        </w:rPr>
        <w:t xml:space="preserve"> (المكسيك) في عام </w:t>
      </w:r>
      <w:r w:rsidRPr="00C8421F">
        <w:rPr>
          <w:spacing w:val="-2"/>
          <w:rtl/>
        </w:rPr>
        <w:t>2008</w:t>
      </w:r>
      <w:r w:rsidRPr="002F6DFB">
        <w:rPr>
          <w:spacing w:val="-2"/>
          <w:rtl/>
        </w:rPr>
        <w:t xml:space="preserve"> </w:t>
      </w:r>
      <w:r w:rsidRPr="002F6DFB">
        <w:rPr>
          <w:rFonts w:hint="cs"/>
          <w:spacing w:val="-2"/>
          <w:rtl/>
        </w:rPr>
        <w:t xml:space="preserve">لممارسة </w:t>
      </w:r>
      <w:r w:rsidRPr="002F6DFB">
        <w:rPr>
          <w:spacing w:val="-2"/>
          <w:rtl/>
        </w:rPr>
        <w:t xml:space="preserve">مهاراتهما الفنية </w:t>
      </w:r>
      <w:r w:rsidRPr="002F6DFB">
        <w:rPr>
          <w:rFonts w:hint="cs"/>
          <w:spacing w:val="-2"/>
          <w:rtl/>
        </w:rPr>
        <w:t xml:space="preserve">والعمل في مجال </w:t>
      </w:r>
      <w:r w:rsidRPr="002F6DFB">
        <w:rPr>
          <w:spacing w:val="-2"/>
          <w:rtl/>
        </w:rPr>
        <w:t xml:space="preserve">صياغة المعادن النفيسة. وفي عام </w:t>
      </w:r>
      <w:r w:rsidRPr="00C8421F">
        <w:rPr>
          <w:spacing w:val="-2"/>
          <w:rtl/>
        </w:rPr>
        <w:t>2012</w:t>
      </w:r>
      <w:r w:rsidRPr="002F6DFB">
        <w:rPr>
          <w:spacing w:val="-2"/>
          <w:rtl/>
        </w:rPr>
        <w:t xml:space="preserve">، استأجر الزوجان محلاً في حي إيل </w:t>
      </w:r>
      <w:proofErr w:type="spellStart"/>
      <w:r w:rsidRPr="002F6DFB">
        <w:rPr>
          <w:spacing w:val="-2"/>
          <w:rtl/>
        </w:rPr>
        <w:t>أرُّويو</w:t>
      </w:r>
      <w:proofErr w:type="spellEnd"/>
      <w:r w:rsidRPr="002F6DFB">
        <w:rPr>
          <w:spacing w:val="-2"/>
          <w:rtl/>
        </w:rPr>
        <w:t xml:space="preserve"> وجهزَّاه ليكون ورشة حرفية. وكان يقطن المنزلَ المجاور للورشة م. ب. ه. وصهره ر. ف. أ. </w:t>
      </w:r>
    </w:p>
    <w:p w14:paraId="5790DBF6" w14:textId="11DB16AE" w:rsidR="00772E40" w:rsidRPr="00772E40" w:rsidRDefault="00772E40" w:rsidP="00772E40">
      <w:pPr>
        <w:pStyle w:val="SingleTxtGA"/>
      </w:pPr>
      <w:r w:rsidRPr="00C8421F">
        <w:rPr>
          <w:rtl/>
        </w:rPr>
        <w:t>2</w:t>
      </w:r>
      <w:r w:rsidRPr="00772E40">
        <w:rPr>
          <w:rtl/>
        </w:rPr>
        <w:t>-</w:t>
      </w:r>
      <w:r w:rsidRPr="00C8421F">
        <w:rPr>
          <w:rtl/>
        </w:rPr>
        <w:t>2</w:t>
      </w:r>
      <w:r w:rsidRPr="00772E40">
        <w:rPr>
          <w:rtl/>
        </w:rPr>
        <w:tab/>
        <w:t xml:space="preserve">وفي الساعة </w:t>
      </w:r>
      <w:r w:rsidRPr="00C8421F">
        <w:rPr>
          <w:rFonts w:hint="cs"/>
          <w:rtl/>
        </w:rPr>
        <w:t>30</w:t>
      </w:r>
      <w:r w:rsidRPr="00772E40">
        <w:rPr>
          <w:rFonts w:hint="cs"/>
          <w:rtl/>
        </w:rPr>
        <w:t>/</w:t>
      </w:r>
      <w:r w:rsidRPr="00C8421F">
        <w:rPr>
          <w:rFonts w:hint="cs"/>
          <w:rtl/>
        </w:rPr>
        <w:t>17</w:t>
      </w:r>
      <w:r w:rsidRPr="00772E40">
        <w:rPr>
          <w:rFonts w:hint="cs"/>
          <w:rtl/>
        </w:rPr>
        <w:t xml:space="preserve"> </w:t>
      </w:r>
      <w:r w:rsidRPr="00772E40">
        <w:rPr>
          <w:rtl/>
        </w:rPr>
        <w:t xml:space="preserve">من يوم </w:t>
      </w:r>
      <w:r w:rsidRPr="00C8421F">
        <w:rPr>
          <w:rtl/>
        </w:rPr>
        <w:t>28</w:t>
      </w:r>
      <w:r w:rsidRPr="00772E40">
        <w:rPr>
          <w:rtl/>
        </w:rPr>
        <w:t xml:space="preserve"> نيسان/أبريل </w:t>
      </w:r>
      <w:r w:rsidRPr="00C8421F">
        <w:rPr>
          <w:rtl/>
        </w:rPr>
        <w:t>2013</w:t>
      </w:r>
      <w:r w:rsidRPr="00772E40">
        <w:rPr>
          <w:rtl/>
        </w:rPr>
        <w:t>، ر</w:t>
      </w:r>
      <w:r w:rsidRPr="00772E40">
        <w:rPr>
          <w:rFonts w:hint="cs"/>
          <w:rtl/>
        </w:rPr>
        <w:t>َ</w:t>
      </w:r>
      <w:r w:rsidRPr="00772E40">
        <w:rPr>
          <w:rtl/>
        </w:rPr>
        <w:t>كن صاحب البلاغ وزوجته شاحنتهما المحملة بمواد خاصة بورشتهما بجانب منزل م. ب. ه. وعندما كانا داخل الورشة، أمَرهما م. ب. ه.</w:t>
      </w:r>
      <w:r w:rsidRPr="00772E40">
        <w:rPr>
          <w:rFonts w:hint="cs"/>
          <w:rtl/>
        </w:rPr>
        <w:t>،</w:t>
      </w:r>
      <w:r w:rsidRPr="00772E40">
        <w:rPr>
          <w:rtl/>
        </w:rPr>
        <w:t xml:space="preserve"> وهو يصرخ بوقاحة</w:t>
      </w:r>
      <w:r w:rsidRPr="00772E40">
        <w:rPr>
          <w:rFonts w:hint="cs"/>
          <w:rtl/>
        </w:rPr>
        <w:t>،</w:t>
      </w:r>
      <w:r w:rsidRPr="00772E40">
        <w:rPr>
          <w:rtl/>
        </w:rPr>
        <w:t xml:space="preserve"> بأن ينقلا الشاحنة من هناك. وأخذ صاحب الشكوى يسجل بهاتفه النقال ما كان يقوله م. ب. ه. وبسبب صراخ م. ب. ه.، قدِم صهره</w:t>
      </w:r>
      <w:r w:rsidRPr="00772E40">
        <w:rPr>
          <w:rFonts w:hint="cs"/>
          <w:rtl/>
        </w:rPr>
        <w:t>،</w:t>
      </w:r>
      <w:r w:rsidRPr="00772E40">
        <w:rPr>
          <w:rtl/>
        </w:rPr>
        <w:t xml:space="preserve"> ر. ف. أ.</w:t>
      </w:r>
      <w:r w:rsidRPr="00772E40">
        <w:rPr>
          <w:rFonts w:hint="cs"/>
          <w:rtl/>
        </w:rPr>
        <w:t>،</w:t>
      </w:r>
      <w:r w:rsidRPr="00772E40">
        <w:rPr>
          <w:rtl/>
        </w:rPr>
        <w:t xml:space="preserve"> الذي هدد السيد وُودن بساطور، وقال له إنه سيقتله </w:t>
      </w:r>
      <w:proofErr w:type="spellStart"/>
      <w:r w:rsidRPr="00772E40">
        <w:rPr>
          <w:rtl/>
        </w:rPr>
        <w:t>و"سيُعيده</w:t>
      </w:r>
      <w:proofErr w:type="spellEnd"/>
      <w:r w:rsidRPr="00772E40">
        <w:rPr>
          <w:rtl/>
        </w:rPr>
        <w:t xml:space="preserve"> قطعاً في كيس إلى الولايات المتحدة إن لم ينقل الشاحنة"، وإنهما، هو وصهره، ينتميان إلى عصابة </w:t>
      </w:r>
      <w:proofErr w:type="spellStart"/>
      <w:r w:rsidRPr="00772E40">
        <w:rPr>
          <w:rtl/>
        </w:rPr>
        <w:t>غيريروس</w:t>
      </w:r>
      <w:proofErr w:type="spellEnd"/>
      <w:r w:rsidRPr="00772E40">
        <w:rPr>
          <w:rtl/>
        </w:rPr>
        <w:t xml:space="preserve"> </w:t>
      </w:r>
      <w:proofErr w:type="spellStart"/>
      <w:r w:rsidRPr="00772E40">
        <w:rPr>
          <w:rtl/>
        </w:rPr>
        <w:t>أونيدوس</w:t>
      </w:r>
      <w:proofErr w:type="spellEnd"/>
      <w:r w:rsidRPr="00772E40">
        <w:rPr>
          <w:rtl/>
        </w:rPr>
        <w:t xml:space="preserve"> وإنهما المتحكمان في ذلك الشارع. وكانت زوجة صاحب الشكوى أيضاً تصور الوقائع بهاتفها النقال. </w:t>
      </w:r>
      <w:r w:rsidRPr="00772E40">
        <w:rPr>
          <w:rFonts w:hint="cs"/>
          <w:rtl/>
        </w:rPr>
        <w:t xml:space="preserve">وواصل </w:t>
      </w:r>
      <w:r w:rsidRPr="00772E40">
        <w:rPr>
          <w:rtl/>
        </w:rPr>
        <w:t>ر. ف. أ. تهديد صاحب الشكوى، وضرب كذلك غطاء محرك الشاحنة بالساطور، مما ألحق به أضراراً. واتصلت زوجة صاحب الشكوى بالشرطة، في حين أجرى ر.</w:t>
      </w:r>
      <w:r w:rsidR="006E7EF7">
        <w:rPr>
          <w:rFonts w:hint="cs"/>
          <w:rtl/>
        </w:rPr>
        <w:t> </w:t>
      </w:r>
      <w:r w:rsidRPr="00772E40">
        <w:rPr>
          <w:rtl/>
        </w:rPr>
        <w:t xml:space="preserve">ف. أ. عدة مكالمات. </w:t>
      </w:r>
    </w:p>
    <w:p w14:paraId="6B5360BA" w14:textId="77777777" w:rsidR="00772E40" w:rsidRPr="00772E40" w:rsidRDefault="00772E40" w:rsidP="00772E40">
      <w:pPr>
        <w:pStyle w:val="SingleTxtGA"/>
      </w:pPr>
      <w:r w:rsidRPr="00C8421F">
        <w:rPr>
          <w:rtl/>
        </w:rPr>
        <w:t>2</w:t>
      </w:r>
      <w:r w:rsidRPr="00772E40">
        <w:rPr>
          <w:rtl/>
        </w:rPr>
        <w:t>-</w:t>
      </w:r>
      <w:r w:rsidRPr="00C8421F">
        <w:rPr>
          <w:rtl/>
        </w:rPr>
        <w:t>3</w:t>
      </w:r>
      <w:r w:rsidRPr="00772E40">
        <w:rPr>
          <w:rtl/>
        </w:rPr>
        <w:tab/>
        <w:t xml:space="preserve">وقدِم شخصان يمتطيان دراجتين ناريتين إلى شارع قريب من موقع الورشة وتحدثا مع ر. ف. أ. ووصلت بعد ذلك دوريتان لشرطة </w:t>
      </w:r>
      <w:r w:rsidRPr="00772E40">
        <w:rPr>
          <w:rFonts w:hint="cs"/>
          <w:rtl/>
        </w:rPr>
        <w:t xml:space="preserve">بلدية </w:t>
      </w:r>
      <w:proofErr w:type="spellStart"/>
      <w:r w:rsidRPr="00772E40">
        <w:rPr>
          <w:rtl/>
        </w:rPr>
        <w:t>تا</w:t>
      </w:r>
      <w:r w:rsidRPr="00772E40">
        <w:rPr>
          <w:rFonts w:hint="cs"/>
          <w:rtl/>
        </w:rPr>
        <w:t>كس</w:t>
      </w:r>
      <w:r w:rsidRPr="00772E40">
        <w:rPr>
          <w:rtl/>
        </w:rPr>
        <w:t>كو</w:t>
      </w:r>
      <w:proofErr w:type="spellEnd"/>
      <w:r w:rsidRPr="00772E40">
        <w:rPr>
          <w:rtl/>
        </w:rPr>
        <w:t xml:space="preserve"> الوقائية، وأمر ر. ف. أ. أفراد الشرطة قائلاً "إنه هناك، </w:t>
      </w:r>
      <w:proofErr w:type="spellStart"/>
      <w:r w:rsidRPr="00772E40">
        <w:rPr>
          <w:rtl/>
        </w:rPr>
        <w:t>خ</w:t>
      </w:r>
      <w:r w:rsidRPr="00772E40">
        <w:rPr>
          <w:rFonts w:hint="cs"/>
          <w:rtl/>
        </w:rPr>
        <w:t>ُ</w:t>
      </w:r>
      <w:r w:rsidRPr="00772E40">
        <w:rPr>
          <w:rtl/>
        </w:rPr>
        <w:t>ذوه</w:t>
      </w:r>
      <w:proofErr w:type="spellEnd"/>
      <w:r w:rsidRPr="00772E40">
        <w:rPr>
          <w:rtl/>
        </w:rPr>
        <w:t xml:space="preserve">"، مشيراً إلى صاحب الشكوى. ونزل من مركبة إحدى الدوريتين ستة </w:t>
      </w:r>
      <w:r w:rsidRPr="00772E40">
        <w:rPr>
          <w:rFonts w:hint="cs"/>
          <w:rtl/>
        </w:rPr>
        <w:t xml:space="preserve">من </w:t>
      </w:r>
      <w:r w:rsidRPr="00772E40">
        <w:rPr>
          <w:rtl/>
        </w:rPr>
        <w:t xml:space="preserve">أفراد الشرطة، ركضوا نحو صاحب الشكوى وهم يقومون بحركات تهديدية، فدخل راكضاً إلى ورشته وأغلقها عليه. وفتح أفراد الشرطة الباب بالقوة، وصوبوا أسلحتهم نحو صاحب الشكوى وهم يهددونه. وخلال إلقائهم القبض عليه، كانوا يضربونه بأسلحتهم في أجزاء مختلفة من جسده، ولا سيما رأسه، وألقوه أرضاً للتحكم فيه </w:t>
      </w:r>
      <w:r w:rsidRPr="00772E40">
        <w:rPr>
          <w:rFonts w:hint="cs"/>
          <w:rtl/>
        </w:rPr>
        <w:t xml:space="preserve">وتصفيد </w:t>
      </w:r>
      <w:r w:rsidRPr="00772E40">
        <w:rPr>
          <w:rtl/>
        </w:rPr>
        <w:t xml:space="preserve">يديه إلى الخلف. وداسوا بأحذيتهم على يديه </w:t>
      </w:r>
      <w:proofErr w:type="spellStart"/>
      <w:r w:rsidRPr="00772E40">
        <w:rPr>
          <w:rFonts w:hint="cs"/>
          <w:rtl/>
        </w:rPr>
        <w:t>المصفَّدتيْن</w:t>
      </w:r>
      <w:proofErr w:type="spellEnd"/>
      <w:r w:rsidRPr="00772E40">
        <w:rPr>
          <w:rtl/>
        </w:rPr>
        <w:t xml:space="preserve">، وضربوه على رأسه بأعقاب بنادقهم، وركلوه بأحذيتهم في الوجه والفك، وداسوا على أعضائه التناسلية وأضلاعه، ثم وضعوه في صندوق مركبة الدورية لنقله إلى مقر قيادة الشرطة. وواصلوا ضربه على وجهه وأعضائه التناسلية داخل مركبة الدورية، وشتموه وهددوه بقتله وإخفاء أثره لأنه "استفزهم". </w:t>
      </w:r>
    </w:p>
    <w:p w14:paraId="78B2C324" w14:textId="77777777" w:rsidR="00772E40" w:rsidRPr="00772E40" w:rsidRDefault="00772E40" w:rsidP="00772E40">
      <w:pPr>
        <w:pStyle w:val="SingleTxtGA"/>
      </w:pPr>
      <w:r w:rsidRPr="00C8421F">
        <w:rPr>
          <w:rtl/>
        </w:rPr>
        <w:t>2</w:t>
      </w:r>
      <w:r w:rsidRPr="00772E40">
        <w:rPr>
          <w:rtl/>
        </w:rPr>
        <w:t>-</w:t>
      </w:r>
      <w:r w:rsidRPr="00C8421F">
        <w:rPr>
          <w:rtl/>
        </w:rPr>
        <w:t>4</w:t>
      </w:r>
      <w:r w:rsidRPr="00772E40">
        <w:rPr>
          <w:rtl/>
        </w:rPr>
        <w:tab/>
        <w:t xml:space="preserve">وبعد وصولهم إلى مقر قيادة الشرطة، أنزلوه من مركبة الدورية، وتجاوزوا إجراءات تسجيله في سجل الموقوفين، بعدم دخولهم المكان المخصص لذلك، واقتادوه إلى موقع الزنزانات حيث واصلوا ركله وضربه بأعقاب بنادقهم في مختلف أجزاء جسده. وواصل أفراد الشرطة ضربه هناك، حيث وجَّهوا إليه ركلات في الصدر والأضلاع والأعضاء التناسلية، وضربوه باستمرار </w:t>
      </w:r>
      <w:r w:rsidRPr="00772E40">
        <w:rPr>
          <w:rFonts w:hint="cs"/>
          <w:rtl/>
        </w:rPr>
        <w:t xml:space="preserve">بحزمة </w:t>
      </w:r>
      <w:r w:rsidRPr="00772E40">
        <w:rPr>
          <w:rtl/>
        </w:rPr>
        <w:t xml:space="preserve">مفاتيح، وهددوه قائلين "لن تخرج من هذا المكان، سنجعلك في عداد المفقودين". وفي الطريق إلى الزنزانة، كان أفراد الشرطة يركلونه في ساقيه حتى يتعثر ويسقط أرضاً، مما سبب له مزيداً من الإصابات. </w:t>
      </w:r>
    </w:p>
    <w:p w14:paraId="7CF53AC7" w14:textId="77777777" w:rsidR="00772E40" w:rsidRPr="00772E40" w:rsidRDefault="00772E40" w:rsidP="00772E40">
      <w:pPr>
        <w:pStyle w:val="SingleTxtGA"/>
      </w:pPr>
      <w:r w:rsidRPr="00C8421F">
        <w:rPr>
          <w:rtl/>
        </w:rPr>
        <w:t>2</w:t>
      </w:r>
      <w:r w:rsidRPr="00772E40">
        <w:rPr>
          <w:rtl/>
        </w:rPr>
        <w:t>-</w:t>
      </w:r>
      <w:r w:rsidRPr="00C8421F">
        <w:rPr>
          <w:rtl/>
        </w:rPr>
        <w:t>5</w:t>
      </w:r>
      <w:r w:rsidRPr="00772E40">
        <w:rPr>
          <w:rtl/>
        </w:rPr>
        <w:tab/>
        <w:t xml:space="preserve">وبعد إيداعه الزنزانة، قاموا، وهو واقف، بتصفيد يده اليسرى فقط، دون يده اليمنى. وجرَّه شرطي من صفاد يده اليسرى وشرطي آخر من يده اليمنى، وشدَّا جسده بينما واصل شرطيون آخرون ركله بقوة في بطنه وأضلاعه. وبعدما انتهوا من ضربه، ضغطوه على الحائط، وصوب شرطي منهم، عرف صاحب الشكوى أن اسمه خ. خ. ب.، مسدسه إلى صدغه مهدداً إياه بالقتل. وإبان ذلك، واصل شرطي آخر، لم يتمكن صاحب الشكوى من معرفة اسمه، ضربه بحزمة مفاتيح. وتركوه مصاباً في الزنزانة وانسحبوا. ويفيد صاحب الشكوى بأنه تعرض للضرب حوالي ثلاث ساعات. </w:t>
      </w:r>
    </w:p>
    <w:p w14:paraId="66DCEA7D" w14:textId="77777777" w:rsidR="00772E40" w:rsidRPr="00772E40" w:rsidRDefault="00772E40" w:rsidP="00772E40">
      <w:pPr>
        <w:pStyle w:val="SingleTxtGA"/>
      </w:pPr>
      <w:r w:rsidRPr="00C8421F">
        <w:rPr>
          <w:rtl/>
        </w:rPr>
        <w:t>2</w:t>
      </w:r>
      <w:r w:rsidRPr="00772E40">
        <w:rPr>
          <w:rtl/>
        </w:rPr>
        <w:t>-</w:t>
      </w:r>
      <w:r w:rsidRPr="00C8421F">
        <w:rPr>
          <w:rtl/>
        </w:rPr>
        <w:t>6</w:t>
      </w:r>
      <w:r w:rsidRPr="00772E40">
        <w:rPr>
          <w:rtl/>
        </w:rPr>
        <w:tab/>
        <w:t xml:space="preserve">وبقي صاحب الشكوى قيد الاحتجاز مع منع الاتصال، ورُفض طلبه الحصول على الرعاية الطبية، وكذلك على الماء وورق المرحاض. وبعد أربع ساعات، أي في الساعة </w:t>
      </w:r>
      <w:r w:rsidRPr="00C8421F">
        <w:rPr>
          <w:rFonts w:hint="cs"/>
          <w:rtl/>
        </w:rPr>
        <w:t>30</w:t>
      </w:r>
      <w:r w:rsidRPr="00772E40">
        <w:rPr>
          <w:rFonts w:hint="cs"/>
          <w:rtl/>
        </w:rPr>
        <w:t>/</w:t>
      </w:r>
      <w:r w:rsidRPr="00C8421F">
        <w:rPr>
          <w:rFonts w:hint="cs"/>
          <w:rtl/>
        </w:rPr>
        <w:t>22</w:t>
      </w:r>
      <w:r w:rsidRPr="00772E40">
        <w:rPr>
          <w:rtl/>
        </w:rPr>
        <w:t xml:space="preserve">، واجهت زوجته، </w:t>
      </w:r>
      <w:r w:rsidRPr="00772E40">
        <w:rPr>
          <w:rtl/>
        </w:rPr>
        <w:lastRenderedPageBreak/>
        <w:t xml:space="preserve">التي بقيت في موقف السيارات الخاص بقيادة الشرطة، القائد ر. ه. س. وقالت له إن أفراد الشرطة التابعين لقيادته أوقفوا زوجها من دون سبب. وطُلب إلى زوجته أن تدفع مبلغ </w:t>
      </w:r>
      <w:r w:rsidRPr="00C8421F">
        <w:rPr>
          <w:rtl/>
        </w:rPr>
        <w:t>200</w:t>
      </w:r>
      <w:r w:rsidRPr="00772E40">
        <w:rPr>
          <w:rtl/>
        </w:rPr>
        <w:t xml:space="preserve"> بي</w:t>
      </w:r>
      <w:r w:rsidRPr="00772E40">
        <w:rPr>
          <w:rFonts w:hint="cs"/>
          <w:rtl/>
        </w:rPr>
        <w:t>ز</w:t>
      </w:r>
      <w:r w:rsidRPr="00772E40">
        <w:rPr>
          <w:rtl/>
        </w:rPr>
        <w:t xml:space="preserve">و نقداً لما زُعم أنه "خطأ إداري" ارتكبه زوجها، ثم أُفرج عن صاحب الشكوى. </w:t>
      </w:r>
    </w:p>
    <w:p w14:paraId="441CA38A" w14:textId="77777777" w:rsidR="00772E40" w:rsidRPr="00C8421F" w:rsidRDefault="00772E40" w:rsidP="00772E40">
      <w:pPr>
        <w:pStyle w:val="H4GA"/>
      </w:pPr>
      <w:r w:rsidRPr="00C8421F">
        <w:rPr>
          <w:rtl/>
        </w:rPr>
        <w:tab/>
      </w:r>
      <w:r w:rsidRPr="00C8421F">
        <w:rPr>
          <w:rtl/>
        </w:rPr>
        <w:tab/>
        <w:t xml:space="preserve">السياق </w:t>
      </w:r>
    </w:p>
    <w:p w14:paraId="19BAAEB7" w14:textId="34977CA6" w:rsidR="00772E40" w:rsidRPr="00772E40" w:rsidRDefault="00772E40" w:rsidP="00772E40">
      <w:pPr>
        <w:pStyle w:val="SingleTxtGA"/>
        <w:rPr>
          <w:spacing w:val="-2"/>
        </w:rPr>
      </w:pPr>
      <w:r w:rsidRPr="00C8421F">
        <w:rPr>
          <w:spacing w:val="-2"/>
          <w:rtl/>
        </w:rPr>
        <w:t>2</w:t>
      </w:r>
      <w:r w:rsidRPr="00772E40">
        <w:rPr>
          <w:spacing w:val="-2"/>
          <w:rtl/>
        </w:rPr>
        <w:t>-</w:t>
      </w:r>
      <w:r w:rsidRPr="00C8421F">
        <w:rPr>
          <w:spacing w:val="-2"/>
          <w:rtl/>
        </w:rPr>
        <w:t>7</w:t>
      </w:r>
      <w:r w:rsidRPr="00772E40">
        <w:rPr>
          <w:spacing w:val="-2"/>
          <w:rtl/>
        </w:rPr>
        <w:tab/>
        <w:t xml:space="preserve">يشير صاحب الشكوى إلى أن الوقائع تندرج في سياق نمط من التعذيب </w:t>
      </w:r>
      <w:r w:rsidRPr="00772E40">
        <w:rPr>
          <w:rFonts w:hint="cs"/>
          <w:spacing w:val="-2"/>
          <w:rtl/>
        </w:rPr>
        <w:t xml:space="preserve">الذي تمارسه </w:t>
      </w:r>
      <w:r w:rsidRPr="00772E40">
        <w:rPr>
          <w:spacing w:val="-2"/>
          <w:rtl/>
        </w:rPr>
        <w:t xml:space="preserve">الشرطة، </w:t>
      </w:r>
      <w:r w:rsidRPr="00772E40">
        <w:rPr>
          <w:rFonts w:hint="cs"/>
          <w:spacing w:val="-2"/>
          <w:rtl/>
        </w:rPr>
        <w:t xml:space="preserve">بتأييد من </w:t>
      </w:r>
      <w:r w:rsidRPr="00772E40">
        <w:rPr>
          <w:spacing w:val="-2"/>
          <w:rtl/>
        </w:rPr>
        <w:t>الموظف</w:t>
      </w:r>
      <w:r w:rsidRPr="00772E40">
        <w:rPr>
          <w:rFonts w:hint="cs"/>
          <w:spacing w:val="-2"/>
          <w:rtl/>
        </w:rPr>
        <w:t>ي</w:t>
      </w:r>
      <w:r w:rsidRPr="00772E40">
        <w:rPr>
          <w:spacing w:val="-2"/>
          <w:rtl/>
        </w:rPr>
        <w:t>ن القانوني</w:t>
      </w:r>
      <w:r w:rsidRPr="00772E40">
        <w:rPr>
          <w:rFonts w:hint="cs"/>
          <w:spacing w:val="-2"/>
          <w:rtl/>
        </w:rPr>
        <w:t>ي</w:t>
      </w:r>
      <w:r w:rsidRPr="00772E40">
        <w:rPr>
          <w:spacing w:val="-2"/>
          <w:rtl/>
        </w:rPr>
        <w:t>ن المكلف</w:t>
      </w:r>
      <w:r w:rsidRPr="00772E40">
        <w:rPr>
          <w:rFonts w:hint="cs"/>
          <w:spacing w:val="-2"/>
          <w:rtl/>
        </w:rPr>
        <w:t>ي</w:t>
      </w:r>
      <w:r w:rsidRPr="00772E40">
        <w:rPr>
          <w:spacing w:val="-2"/>
          <w:rtl/>
        </w:rPr>
        <w:t>ن بالتحقيق في الجريمة</w:t>
      </w:r>
      <w:r w:rsidRPr="002F6DFB">
        <w:rPr>
          <w:spacing w:val="-2"/>
          <w:vertAlign w:val="superscript"/>
          <w:rtl/>
        </w:rPr>
        <w:t>(</w:t>
      </w:r>
      <w:r w:rsidRPr="00C8421F">
        <w:rPr>
          <w:spacing w:val="-2"/>
          <w:vertAlign w:val="superscript"/>
          <w:lang w:val="en-US"/>
        </w:rPr>
        <w:footnoteReference w:id="3"/>
      </w:r>
      <w:r w:rsidRPr="002F6DFB">
        <w:rPr>
          <w:spacing w:val="-2"/>
          <w:vertAlign w:val="superscript"/>
          <w:rtl/>
        </w:rPr>
        <w:t>)</w:t>
      </w:r>
      <w:r w:rsidRPr="00772E40">
        <w:rPr>
          <w:spacing w:val="-2"/>
          <w:rtl/>
        </w:rPr>
        <w:t xml:space="preserve">. ففي ولاية </w:t>
      </w:r>
      <w:proofErr w:type="spellStart"/>
      <w:r w:rsidRPr="00772E40">
        <w:rPr>
          <w:spacing w:val="-2"/>
          <w:rtl/>
        </w:rPr>
        <w:t>غيريرو</w:t>
      </w:r>
      <w:proofErr w:type="spellEnd"/>
      <w:r w:rsidRPr="00772E40">
        <w:rPr>
          <w:spacing w:val="-2"/>
          <w:rtl/>
        </w:rPr>
        <w:t>، التي كانت تُعتبر، في فترة معينة، أكثر الولايات عنفاً في البلد، يصنَّف التعذيب كجريمة، وينص القانون على أنه ينبغي، لاعتباره كذلك، أن يهدف إلى تحقيق غرض محدد، مثل الحصول على معلومات أو اعتراف بارتكاب جريمة، أو إلى معاقبة شخص على فعل منسوب إليه. غير أن العقوبات على هذه الجريمة نادرة، لأسباب منها أن السلطات القضائية تعاقب مرتكبي أفعال التعذيب على جرائم أخرى مثل إساءة استعمال السلطة و/أو الإيذاء</w:t>
      </w:r>
      <w:r w:rsidRPr="002F6DFB">
        <w:rPr>
          <w:spacing w:val="-2"/>
          <w:vertAlign w:val="superscript"/>
          <w:rtl/>
        </w:rPr>
        <w:t>(</w:t>
      </w:r>
      <w:r w:rsidRPr="00C8421F">
        <w:rPr>
          <w:spacing w:val="-2"/>
          <w:vertAlign w:val="superscript"/>
          <w:lang w:val="en-US"/>
        </w:rPr>
        <w:footnoteReference w:id="4"/>
      </w:r>
      <w:r w:rsidRPr="002F6DFB">
        <w:rPr>
          <w:spacing w:val="-2"/>
          <w:vertAlign w:val="superscript"/>
          <w:rtl/>
        </w:rPr>
        <w:t>)</w:t>
      </w:r>
      <w:r w:rsidRPr="00772E40">
        <w:rPr>
          <w:spacing w:val="-2"/>
          <w:rtl/>
        </w:rPr>
        <w:t xml:space="preserve">. </w:t>
      </w:r>
    </w:p>
    <w:p w14:paraId="29CD6432" w14:textId="3877F923" w:rsidR="00772E40" w:rsidRPr="00772E40" w:rsidRDefault="00772E40" w:rsidP="00772E40">
      <w:pPr>
        <w:pStyle w:val="SingleTxtGA"/>
      </w:pPr>
      <w:r w:rsidRPr="00C8421F">
        <w:rPr>
          <w:rtl/>
        </w:rPr>
        <w:t>2</w:t>
      </w:r>
      <w:r w:rsidRPr="00772E40">
        <w:rPr>
          <w:rtl/>
        </w:rPr>
        <w:t>-</w:t>
      </w:r>
      <w:r w:rsidRPr="00C8421F">
        <w:rPr>
          <w:rtl/>
        </w:rPr>
        <w:t>8</w:t>
      </w:r>
      <w:r w:rsidRPr="00772E40">
        <w:rPr>
          <w:rtl/>
        </w:rPr>
        <w:tab/>
        <w:t xml:space="preserve">وفي عام </w:t>
      </w:r>
      <w:r w:rsidRPr="00C8421F">
        <w:rPr>
          <w:rtl/>
        </w:rPr>
        <w:t>2012</w:t>
      </w:r>
      <w:r w:rsidRPr="00772E40">
        <w:rPr>
          <w:rtl/>
        </w:rPr>
        <w:t xml:space="preserve">، احتلت </w:t>
      </w:r>
      <w:proofErr w:type="spellStart"/>
      <w:r w:rsidRPr="00772E40">
        <w:rPr>
          <w:rtl/>
        </w:rPr>
        <w:t>تا</w:t>
      </w:r>
      <w:r w:rsidRPr="00772E40">
        <w:rPr>
          <w:rFonts w:hint="cs"/>
          <w:rtl/>
        </w:rPr>
        <w:t>كس</w:t>
      </w:r>
      <w:r w:rsidRPr="00772E40">
        <w:rPr>
          <w:rtl/>
        </w:rPr>
        <w:t>كو</w:t>
      </w:r>
      <w:proofErr w:type="spellEnd"/>
      <w:r w:rsidRPr="00772E40">
        <w:rPr>
          <w:rtl/>
        </w:rPr>
        <w:t xml:space="preserve"> المرتبة </w:t>
      </w:r>
      <w:r w:rsidRPr="00C8421F">
        <w:rPr>
          <w:rtl/>
        </w:rPr>
        <w:t>33</w:t>
      </w:r>
      <w:r w:rsidRPr="00772E40">
        <w:rPr>
          <w:rtl/>
        </w:rPr>
        <w:t xml:space="preserve"> بين البلديات التي سُجل بها أعلى مؤشر </w:t>
      </w:r>
      <w:r w:rsidRPr="00772E40">
        <w:rPr>
          <w:rFonts w:hint="cs"/>
          <w:rtl/>
        </w:rPr>
        <w:t>ل</w:t>
      </w:r>
      <w:r w:rsidRPr="00772E40">
        <w:rPr>
          <w:rtl/>
        </w:rPr>
        <w:t xml:space="preserve">انعدام الأمن؛ وفي عام </w:t>
      </w:r>
      <w:r w:rsidRPr="00C8421F">
        <w:rPr>
          <w:rtl/>
        </w:rPr>
        <w:t>2014</w:t>
      </w:r>
      <w:r w:rsidRPr="00772E40">
        <w:rPr>
          <w:rtl/>
        </w:rPr>
        <w:t xml:space="preserve">، كانت لدى الحكومة معلومات مفادها أن العصابة الإجرامية </w:t>
      </w:r>
      <w:proofErr w:type="spellStart"/>
      <w:r w:rsidRPr="00772E40">
        <w:rPr>
          <w:rtl/>
        </w:rPr>
        <w:t>غيريروس</w:t>
      </w:r>
      <w:proofErr w:type="spellEnd"/>
      <w:r w:rsidRPr="00772E40">
        <w:rPr>
          <w:rtl/>
        </w:rPr>
        <w:t xml:space="preserve"> </w:t>
      </w:r>
      <w:proofErr w:type="spellStart"/>
      <w:r w:rsidRPr="00772E40">
        <w:rPr>
          <w:rtl/>
        </w:rPr>
        <w:t>أونيدوس</w:t>
      </w:r>
      <w:proofErr w:type="spellEnd"/>
      <w:r w:rsidRPr="00772E40">
        <w:rPr>
          <w:rtl/>
        </w:rPr>
        <w:t xml:space="preserve"> توغلت بين أفراد شرطة بلدية </w:t>
      </w:r>
      <w:proofErr w:type="spellStart"/>
      <w:r w:rsidRPr="00772E40">
        <w:rPr>
          <w:rtl/>
        </w:rPr>
        <w:t>تا</w:t>
      </w:r>
      <w:r w:rsidRPr="00772E40">
        <w:rPr>
          <w:rFonts w:hint="cs"/>
          <w:rtl/>
        </w:rPr>
        <w:t>كس</w:t>
      </w:r>
      <w:r w:rsidRPr="00772E40">
        <w:rPr>
          <w:rtl/>
        </w:rPr>
        <w:t>كو</w:t>
      </w:r>
      <w:proofErr w:type="spellEnd"/>
      <w:r w:rsidRPr="00772E40">
        <w:rPr>
          <w:rtl/>
        </w:rPr>
        <w:t xml:space="preserve"> وأن عصابات الجريمة المنظمة اخترقت الإدارة العامة والشرطة</w:t>
      </w:r>
      <w:r w:rsidRPr="00772E40">
        <w:rPr>
          <w:vertAlign w:val="superscript"/>
          <w:rtl/>
        </w:rPr>
        <w:t>(</w:t>
      </w:r>
      <w:r w:rsidRPr="00C8421F">
        <w:rPr>
          <w:vertAlign w:val="superscript"/>
          <w:lang w:val="en-US"/>
        </w:rPr>
        <w:footnoteReference w:id="5"/>
      </w:r>
      <w:r w:rsidRPr="00772E40">
        <w:rPr>
          <w:vertAlign w:val="superscript"/>
          <w:rtl/>
        </w:rPr>
        <w:t>)</w:t>
      </w:r>
      <w:r w:rsidRPr="00772E40">
        <w:rPr>
          <w:rtl/>
        </w:rPr>
        <w:t xml:space="preserve">. وكنتيجة لذلك، تولت الشرطة الاتحادية، في أواخر عام </w:t>
      </w:r>
      <w:r w:rsidRPr="00C8421F">
        <w:rPr>
          <w:rtl/>
        </w:rPr>
        <w:t>2014</w:t>
      </w:r>
      <w:r w:rsidRPr="00772E40">
        <w:rPr>
          <w:rtl/>
        </w:rPr>
        <w:t xml:space="preserve">، مراقبة الأمن في هذه البلدية وأُلقي القبض على مدير الأمن العام بسبب انتمائه إلى عصابات الجريمة المنظمة. </w:t>
      </w:r>
    </w:p>
    <w:p w14:paraId="4789911B" w14:textId="77777777" w:rsidR="00772E40" w:rsidRPr="00C8421F" w:rsidRDefault="00772E40" w:rsidP="00772E40">
      <w:pPr>
        <w:pStyle w:val="H4GA"/>
      </w:pPr>
      <w:r w:rsidRPr="00C8421F">
        <w:rPr>
          <w:rtl/>
        </w:rPr>
        <w:tab/>
      </w:r>
      <w:r w:rsidRPr="00C8421F">
        <w:rPr>
          <w:rtl/>
        </w:rPr>
        <w:tab/>
        <w:t xml:space="preserve">التقارير الطبية </w:t>
      </w:r>
    </w:p>
    <w:p w14:paraId="03908278" w14:textId="77777777" w:rsidR="00772E40" w:rsidRPr="00772E40" w:rsidRDefault="00772E40" w:rsidP="00772E40">
      <w:pPr>
        <w:pStyle w:val="SingleTxtGA"/>
      </w:pPr>
      <w:r w:rsidRPr="00C8421F">
        <w:rPr>
          <w:rtl/>
        </w:rPr>
        <w:t>2</w:t>
      </w:r>
      <w:r w:rsidRPr="00772E40">
        <w:rPr>
          <w:rtl/>
        </w:rPr>
        <w:t>-</w:t>
      </w:r>
      <w:r w:rsidRPr="00C8421F">
        <w:rPr>
          <w:rtl/>
        </w:rPr>
        <w:t>9</w:t>
      </w:r>
      <w:r w:rsidRPr="00772E40">
        <w:rPr>
          <w:rtl/>
        </w:rPr>
        <w:tab/>
        <w:t xml:space="preserve">في الساعة </w:t>
      </w:r>
      <w:r w:rsidRPr="00C8421F">
        <w:rPr>
          <w:rFonts w:hint="cs"/>
          <w:rtl/>
        </w:rPr>
        <w:t>55</w:t>
      </w:r>
      <w:r w:rsidRPr="00772E40">
        <w:rPr>
          <w:rFonts w:hint="cs"/>
          <w:rtl/>
        </w:rPr>
        <w:t>/</w:t>
      </w:r>
      <w:r w:rsidRPr="00C8421F">
        <w:rPr>
          <w:rFonts w:hint="cs"/>
          <w:rtl/>
        </w:rPr>
        <w:t>20</w:t>
      </w:r>
      <w:r w:rsidRPr="00772E40">
        <w:rPr>
          <w:rFonts w:hint="cs"/>
          <w:rtl/>
        </w:rPr>
        <w:t xml:space="preserve"> </w:t>
      </w:r>
      <w:r w:rsidRPr="00772E40">
        <w:rPr>
          <w:rtl/>
        </w:rPr>
        <w:t xml:space="preserve">من يوم </w:t>
      </w:r>
      <w:r w:rsidRPr="00C8421F">
        <w:rPr>
          <w:rtl/>
        </w:rPr>
        <w:t>28</w:t>
      </w:r>
      <w:r w:rsidRPr="00772E40">
        <w:rPr>
          <w:rtl/>
        </w:rPr>
        <w:t xml:space="preserve"> نيسان/أبريل </w:t>
      </w:r>
      <w:r w:rsidRPr="00C8421F">
        <w:rPr>
          <w:rtl/>
        </w:rPr>
        <w:t>2013</w:t>
      </w:r>
      <w:r w:rsidRPr="00772E40">
        <w:rPr>
          <w:rtl/>
        </w:rPr>
        <w:t xml:space="preserve">، أصدر الطبيب التابع لإدارة الأمن العام في البلدية تقريراً بشأن السلامة البدنية لصاحب الشكوى، عندما كان لا يزال مسلوب الحرية، خلص فيه إلى أنه كان عدوانياً وفي حالة هيجان ولم تكن على جسده أي إصابات مرئية وحديثة العهد. ويدعي صاحب الشكوى أن هذا التقرير يتناقض مع جميع الفحوص الطبية الأخرى التي أُجريت له. </w:t>
      </w:r>
    </w:p>
    <w:p w14:paraId="59E9D7E9" w14:textId="77777777" w:rsidR="00772E40" w:rsidRPr="00772E40" w:rsidRDefault="00772E40" w:rsidP="00772E40">
      <w:pPr>
        <w:pStyle w:val="SingleTxtGA"/>
      </w:pPr>
      <w:r w:rsidRPr="00C8421F">
        <w:rPr>
          <w:rtl/>
        </w:rPr>
        <w:t>2</w:t>
      </w:r>
      <w:r w:rsidRPr="00772E40">
        <w:rPr>
          <w:rtl/>
        </w:rPr>
        <w:t>-</w:t>
      </w:r>
      <w:r w:rsidRPr="00C8421F">
        <w:rPr>
          <w:rtl/>
        </w:rPr>
        <w:t>10</w:t>
      </w:r>
      <w:r w:rsidRPr="00772E40">
        <w:rPr>
          <w:rtl/>
        </w:rPr>
        <w:tab/>
        <w:t>وتَوجه صاحب الشكوى وزوجته، فور الإفراج عنه</w:t>
      </w:r>
      <w:r w:rsidRPr="00772E40">
        <w:rPr>
          <w:rFonts w:hint="cs"/>
          <w:rtl/>
        </w:rPr>
        <w:t>ما</w:t>
      </w:r>
      <w:r w:rsidRPr="00772E40">
        <w:rPr>
          <w:rtl/>
        </w:rPr>
        <w:t xml:space="preserve">، إلى </w:t>
      </w:r>
      <w:r w:rsidRPr="00772E40">
        <w:rPr>
          <w:rFonts w:hint="cs"/>
          <w:rtl/>
        </w:rPr>
        <w:t>ال</w:t>
      </w:r>
      <w:r w:rsidRPr="00772E40">
        <w:rPr>
          <w:rtl/>
        </w:rPr>
        <w:t xml:space="preserve">مستشفى العام </w:t>
      </w:r>
      <w:proofErr w:type="spellStart"/>
      <w:r w:rsidRPr="00772E40">
        <w:rPr>
          <w:rtl/>
        </w:rPr>
        <w:t>أدولفو</w:t>
      </w:r>
      <w:proofErr w:type="spellEnd"/>
      <w:r w:rsidRPr="00772E40">
        <w:rPr>
          <w:rtl/>
        </w:rPr>
        <w:t xml:space="preserve"> </w:t>
      </w:r>
      <w:proofErr w:type="spellStart"/>
      <w:r w:rsidRPr="00772E40">
        <w:rPr>
          <w:rtl/>
        </w:rPr>
        <w:t>برييتو</w:t>
      </w:r>
      <w:proofErr w:type="spellEnd"/>
      <w:r w:rsidRPr="00772E40">
        <w:rPr>
          <w:rtl/>
        </w:rPr>
        <w:t xml:space="preserve">، حيث شُخصت إصابته بكسر في الأضلاع. </w:t>
      </w:r>
    </w:p>
    <w:p w14:paraId="7B0CE6D3" w14:textId="77777777" w:rsidR="00772E40" w:rsidRPr="00772E40" w:rsidRDefault="00772E40" w:rsidP="00772E40">
      <w:pPr>
        <w:pStyle w:val="SingleTxtGA"/>
      </w:pPr>
      <w:r w:rsidRPr="00C8421F">
        <w:rPr>
          <w:rtl/>
        </w:rPr>
        <w:t>2</w:t>
      </w:r>
      <w:r w:rsidRPr="00772E40">
        <w:rPr>
          <w:rtl/>
        </w:rPr>
        <w:t>-</w:t>
      </w:r>
      <w:r w:rsidRPr="00C8421F">
        <w:rPr>
          <w:rtl/>
        </w:rPr>
        <w:t>11</w:t>
      </w:r>
      <w:r w:rsidRPr="00772E40">
        <w:rPr>
          <w:rtl/>
        </w:rPr>
        <w:tab/>
        <w:t xml:space="preserve">وفي </w:t>
      </w:r>
      <w:r w:rsidRPr="00C8421F">
        <w:rPr>
          <w:rtl/>
        </w:rPr>
        <w:t>29</w:t>
      </w:r>
      <w:r w:rsidRPr="00772E40">
        <w:rPr>
          <w:rtl/>
        </w:rPr>
        <w:t xml:space="preserve"> نيسان/أبريل </w:t>
      </w:r>
      <w:r w:rsidRPr="00C8421F">
        <w:rPr>
          <w:rtl/>
        </w:rPr>
        <w:t>2013</w:t>
      </w:r>
      <w:r w:rsidRPr="00772E40">
        <w:rPr>
          <w:rtl/>
        </w:rPr>
        <w:t xml:space="preserve">، توجه صاحب الشكوى إلى مكتب المدعي العام التابع لدائرة </w:t>
      </w:r>
      <w:proofErr w:type="spellStart"/>
      <w:r w:rsidRPr="00772E40">
        <w:rPr>
          <w:rtl/>
        </w:rPr>
        <w:t>ألاركون</w:t>
      </w:r>
      <w:proofErr w:type="spellEnd"/>
      <w:r w:rsidRPr="00772E40">
        <w:rPr>
          <w:rtl/>
        </w:rPr>
        <w:t xml:space="preserve"> القضائية لتقديم شكوى، وأكد خبير الطب الشرعي الملحق بمكتب المدعي العام أن صاحب الشكوى يعاني من عدة إصابات، ولكنها ليست خطيرة. ويدعي صاحب الشكوى أن هذا التقرير يبين عدم نزاهة إجراءات مكتب المدعي العام المكلف بالتحقيق في قضيته، لأن جميع الفحوص الطبية الأخرى التي أُجريت له خلصت إلى أنه يعاني من إصابات خطيرة شتى. </w:t>
      </w:r>
    </w:p>
    <w:p w14:paraId="39001D0C" w14:textId="6C71C223" w:rsidR="00772E40" w:rsidRPr="00772E40" w:rsidRDefault="00772E40" w:rsidP="00772E40">
      <w:pPr>
        <w:pStyle w:val="SingleTxtGA"/>
      </w:pPr>
      <w:r w:rsidRPr="00C8421F">
        <w:rPr>
          <w:rtl/>
        </w:rPr>
        <w:t>2</w:t>
      </w:r>
      <w:r w:rsidRPr="00772E40">
        <w:rPr>
          <w:rtl/>
        </w:rPr>
        <w:t>-</w:t>
      </w:r>
      <w:r w:rsidRPr="00C8421F">
        <w:rPr>
          <w:rtl/>
        </w:rPr>
        <w:t>12</w:t>
      </w:r>
      <w:r w:rsidRPr="00772E40">
        <w:rPr>
          <w:rtl/>
        </w:rPr>
        <w:tab/>
        <w:t xml:space="preserve">وفي </w:t>
      </w:r>
      <w:r w:rsidRPr="00C8421F">
        <w:rPr>
          <w:rtl/>
        </w:rPr>
        <w:t>1</w:t>
      </w:r>
      <w:r w:rsidRPr="00772E40">
        <w:rPr>
          <w:rtl/>
        </w:rPr>
        <w:t xml:space="preserve"> أيار/مايو </w:t>
      </w:r>
      <w:r w:rsidRPr="00C8421F">
        <w:rPr>
          <w:rtl/>
        </w:rPr>
        <w:t>2013</w:t>
      </w:r>
      <w:r w:rsidRPr="00772E40">
        <w:rPr>
          <w:rtl/>
        </w:rPr>
        <w:t xml:space="preserve">، قدَّم صاحب الشكوى إلى لجنة حقوق الإنسان في ولاية </w:t>
      </w:r>
      <w:proofErr w:type="spellStart"/>
      <w:r w:rsidRPr="00772E40">
        <w:rPr>
          <w:rtl/>
        </w:rPr>
        <w:t>غيريرو</w:t>
      </w:r>
      <w:proofErr w:type="spellEnd"/>
      <w:r w:rsidRPr="00772E40">
        <w:rPr>
          <w:rtl/>
        </w:rPr>
        <w:t xml:space="preserve"> شكوى ضد أفراد من الشرطة الوقائية في بلدية </w:t>
      </w:r>
      <w:proofErr w:type="spellStart"/>
      <w:r w:rsidRPr="00772E40">
        <w:rPr>
          <w:rtl/>
        </w:rPr>
        <w:t>تا</w:t>
      </w:r>
      <w:r w:rsidRPr="00772E40">
        <w:rPr>
          <w:rFonts w:hint="cs"/>
          <w:rtl/>
        </w:rPr>
        <w:t>كس</w:t>
      </w:r>
      <w:r w:rsidRPr="00772E40">
        <w:rPr>
          <w:rtl/>
        </w:rPr>
        <w:t>كو</w:t>
      </w:r>
      <w:proofErr w:type="spellEnd"/>
      <w:r w:rsidRPr="00772E40">
        <w:rPr>
          <w:rtl/>
        </w:rPr>
        <w:t xml:space="preserve">. وعيَّنت هذه اللجنة خبيراً في الطب الشرعي، خلص </w:t>
      </w:r>
      <w:r w:rsidRPr="00772E40">
        <w:rPr>
          <w:rtl/>
        </w:rPr>
        <w:lastRenderedPageBreak/>
        <w:t>في</w:t>
      </w:r>
      <w:r w:rsidR="002F6DFB">
        <w:rPr>
          <w:rFonts w:hint="cs"/>
          <w:rtl/>
        </w:rPr>
        <w:t> </w:t>
      </w:r>
      <w:r w:rsidRPr="00C8421F">
        <w:rPr>
          <w:rtl/>
        </w:rPr>
        <w:t>1</w:t>
      </w:r>
      <w:r w:rsidRPr="00772E40">
        <w:rPr>
          <w:rtl/>
        </w:rPr>
        <w:t xml:space="preserve"> أيار/مايو إلى أن صاحب الشكوى يعاني من كدمة مع التهاب في الجمجمة، خلف الأذن اليمنى، ومن خدوش في البطن والظهر، وكذلك في العنق، والمعصمين، والذراع الأيسر، والساعد الأيمن، والساق اليسرى، والكاحل الأيسر، والركبة اليسرى. </w:t>
      </w:r>
    </w:p>
    <w:p w14:paraId="54671A84" w14:textId="77777777" w:rsidR="00772E40" w:rsidRPr="00772E40" w:rsidRDefault="00772E40" w:rsidP="00772E40">
      <w:pPr>
        <w:pStyle w:val="SingleTxtGA"/>
      </w:pPr>
      <w:r w:rsidRPr="00C8421F">
        <w:rPr>
          <w:rtl/>
        </w:rPr>
        <w:t>2</w:t>
      </w:r>
      <w:r w:rsidRPr="00772E40">
        <w:rPr>
          <w:rtl/>
        </w:rPr>
        <w:t>-</w:t>
      </w:r>
      <w:r w:rsidRPr="00C8421F">
        <w:rPr>
          <w:rtl/>
        </w:rPr>
        <w:t>13</w:t>
      </w:r>
      <w:r w:rsidRPr="00772E40">
        <w:rPr>
          <w:rtl/>
        </w:rPr>
        <w:tab/>
        <w:t xml:space="preserve">وفي </w:t>
      </w:r>
      <w:r w:rsidRPr="00C8421F">
        <w:rPr>
          <w:rtl/>
        </w:rPr>
        <w:t>8</w:t>
      </w:r>
      <w:r w:rsidRPr="00772E40">
        <w:rPr>
          <w:rtl/>
        </w:rPr>
        <w:t xml:space="preserve"> تموز/يوليه </w:t>
      </w:r>
      <w:r w:rsidRPr="00C8421F">
        <w:rPr>
          <w:rtl/>
        </w:rPr>
        <w:t>2015</w:t>
      </w:r>
      <w:r w:rsidRPr="00772E40">
        <w:rPr>
          <w:rtl/>
        </w:rPr>
        <w:t xml:space="preserve">، توجه صاحب الشكوى إلى المستشفى العام في مكسيكو لإجراء فحوص طبية مختلفة، إذ كان لا يزال يشعر بآلام ويعاني من الإصابات التي لحقت به. </w:t>
      </w:r>
    </w:p>
    <w:p w14:paraId="12712CE5" w14:textId="77777777" w:rsidR="00772E40" w:rsidRPr="00772E40" w:rsidRDefault="00772E40" w:rsidP="00772E40">
      <w:pPr>
        <w:pStyle w:val="SingleTxtGA"/>
      </w:pPr>
      <w:r w:rsidRPr="00C8421F">
        <w:rPr>
          <w:rtl/>
        </w:rPr>
        <w:t>2</w:t>
      </w:r>
      <w:r w:rsidRPr="00772E40">
        <w:rPr>
          <w:rtl/>
        </w:rPr>
        <w:t>-</w:t>
      </w:r>
      <w:r w:rsidRPr="00C8421F">
        <w:rPr>
          <w:rtl/>
        </w:rPr>
        <w:t>14</w:t>
      </w:r>
      <w:r w:rsidRPr="00772E40">
        <w:rPr>
          <w:rtl/>
        </w:rPr>
        <w:tab/>
        <w:t xml:space="preserve">وفي </w:t>
      </w:r>
      <w:r w:rsidRPr="00C8421F">
        <w:rPr>
          <w:rtl/>
        </w:rPr>
        <w:t>24</w:t>
      </w:r>
      <w:r w:rsidRPr="00772E40">
        <w:rPr>
          <w:rtl/>
        </w:rPr>
        <w:t xml:space="preserve"> أيلول/سبتمبر </w:t>
      </w:r>
      <w:r w:rsidRPr="00C8421F">
        <w:rPr>
          <w:rtl/>
        </w:rPr>
        <w:t>2015</w:t>
      </w:r>
      <w:r w:rsidRPr="00772E40">
        <w:rPr>
          <w:rtl/>
        </w:rPr>
        <w:t>، خلصت رئيسة دائرة طب إعادة التأهيل في المستشفى إلى أنه كانت على جسد صاحب الشكوى عدة ندوب قديمة داكنة اللون وكان يعاني من قصور في القوة العضلية لكلتا يديه، مما يسبب له صعوبة في استخدام الملاقط الدقيقة والقيام بحركات خاصة. وبالنظر إلى أن صاحب الشكوى كان يعان</w:t>
      </w:r>
      <w:r w:rsidRPr="00772E40">
        <w:rPr>
          <w:rFonts w:hint="cs"/>
          <w:rtl/>
        </w:rPr>
        <w:t>ي</w:t>
      </w:r>
      <w:r w:rsidRPr="00772E40">
        <w:rPr>
          <w:rtl/>
        </w:rPr>
        <w:t xml:space="preserve"> من آلام وخلل في الانتصاب، فقد خلصت كذلك إلى ضرورة إجراء عملية جراحية لقضيبه.</w:t>
      </w:r>
    </w:p>
    <w:p w14:paraId="1AD41919" w14:textId="77777777" w:rsidR="00772E40" w:rsidRPr="00772E40" w:rsidRDefault="00772E40" w:rsidP="00772E40">
      <w:pPr>
        <w:pStyle w:val="SingleTxtGA"/>
      </w:pPr>
      <w:r w:rsidRPr="00C8421F">
        <w:rPr>
          <w:rtl/>
        </w:rPr>
        <w:t>2</w:t>
      </w:r>
      <w:r w:rsidRPr="00772E40">
        <w:rPr>
          <w:rtl/>
        </w:rPr>
        <w:t>-</w:t>
      </w:r>
      <w:r w:rsidRPr="00C8421F">
        <w:rPr>
          <w:rtl/>
        </w:rPr>
        <w:t>15</w:t>
      </w:r>
      <w:r w:rsidRPr="00772E40">
        <w:rPr>
          <w:rtl/>
        </w:rPr>
        <w:tab/>
        <w:t xml:space="preserve">وفي </w:t>
      </w:r>
      <w:r w:rsidRPr="00C8421F">
        <w:rPr>
          <w:rtl/>
        </w:rPr>
        <w:t>7</w:t>
      </w:r>
      <w:r w:rsidRPr="00772E40">
        <w:rPr>
          <w:rtl/>
        </w:rPr>
        <w:t xml:space="preserve"> نيسان/أبريل </w:t>
      </w:r>
      <w:r w:rsidRPr="00C8421F">
        <w:rPr>
          <w:rtl/>
        </w:rPr>
        <w:t>2016</w:t>
      </w:r>
      <w:r w:rsidRPr="00772E40">
        <w:rPr>
          <w:rtl/>
        </w:rPr>
        <w:t xml:space="preserve">، أصدر أخصائيان نفسيان عُضوان في منظمة "تجمُّع مناهضة التعذيب والإفلات من العقاب"، بعد تحليلهما حالة صاحب الشكوى، تقريراً خلص إلى وجود درجة كبيرة من التطابق والاتساق بين جميع مصادر المعلومات المذكورة في الفحص الطبي ورواية الوقائع وممارسات التعذيب المعروفة في البلد، والتحقيقات المتعلقة بالإصابات البدنية والنفسية المترتبة على أفعال التعذيب وسوء المعاملة، مما ينم عن احتمال تعرضه للتعذيب وسوء المعاملة. ويخلص التقرير أيضاً إلى أن صاحب الشكوى يعاني من أعراض الاكتئاب والقلق والإجهاد اللاحق للصدمة ومن آثار بدنية مختلفة. </w:t>
      </w:r>
    </w:p>
    <w:p w14:paraId="55D387A2" w14:textId="77777777" w:rsidR="00772E40" w:rsidRPr="00C8421F" w:rsidRDefault="00772E40" w:rsidP="00772E40">
      <w:pPr>
        <w:pStyle w:val="H4GA"/>
      </w:pPr>
      <w:r w:rsidRPr="00C8421F">
        <w:rPr>
          <w:rtl/>
        </w:rPr>
        <w:tab/>
      </w:r>
      <w:r w:rsidRPr="00C8421F">
        <w:rPr>
          <w:rtl/>
        </w:rPr>
        <w:tab/>
        <w:t xml:space="preserve">الإجراءات الجنائية </w:t>
      </w:r>
    </w:p>
    <w:p w14:paraId="2F072A7E" w14:textId="677ECA22" w:rsidR="00772E40" w:rsidRPr="00772E40" w:rsidRDefault="00772E40" w:rsidP="00772E40">
      <w:pPr>
        <w:pStyle w:val="SingleTxtGA"/>
      </w:pPr>
      <w:r w:rsidRPr="00C8421F">
        <w:rPr>
          <w:rtl/>
        </w:rPr>
        <w:t>2</w:t>
      </w:r>
      <w:r w:rsidRPr="00772E40">
        <w:rPr>
          <w:rtl/>
        </w:rPr>
        <w:t>-</w:t>
      </w:r>
      <w:r w:rsidRPr="00C8421F">
        <w:rPr>
          <w:rtl/>
        </w:rPr>
        <w:t>16</w:t>
      </w:r>
      <w:r w:rsidRPr="00772E40">
        <w:rPr>
          <w:rtl/>
        </w:rPr>
        <w:tab/>
        <w:t xml:space="preserve">في </w:t>
      </w:r>
      <w:r w:rsidRPr="00C8421F">
        <w:rPr>
          <w:rtl/>
        </w:rPr>
        <w:t>29</w:t>
      </w:r>
      <w:r w:rsidRPr="00772E40">
        <w:rPr>
          <w:rtl/>
        </w:rPr>
        <w:t xml:space="preserve"> نيسان/أبريل </w:t>
      </w:r>
      <w:r w:rsidRPr="00C8421F">
        <w:rPr>
          <w:rtl/>
        </w:rPr>
        <w:t>2013</w:t>
      </w:r>
      <w:r w:rsidRPr="00772E40">
        <w:rPr>
          <w:rtl/>
        </w:rPr>
        <w:t xml:space="preserve">، توجه صاحب الشكوى إلى مكتب المدعي العام التابع لدائرة </w:t>
      </w:r>
      <w:proofErr w:type="spellStart"/>
      <w:r w:rsidRPr="00772E40">
        <w:rPr>
          <w:rtl/>
        </w:rPr>
        <w:t>ألاركون</w:t>
      </w:r>
      <w:proofErr w:type="spellEnd"/>
      <w:r w:rsidRPr="00772E40">
        <w:rPr>
          <w:rtl/>
        </w:rPr>
        <w:t xml:space="preserve"> القضائية لتقديم شكوى بشأن الوقائع ضد (جاره) ر. ف. أ.، و(موظفي الشرطة) خ. م. ب.، و</w:t>
      </w:r>
      <w:r w:rsidR="006E7EF7">
        <w:rPr>
          <w:rFonts w:hint="cs"/>
          <w:rtl/>
        </w:rPr>
        <w:t> </w:t>
      </w:r>
      <w:r w:rsidRPr="00772E40">
        <w:rPr>
          <w:rtl/>
        </w:rPr>
        <w:t>خ. خ. ب.، و ر. ب. ر.، وضد مَن تثبت مسؤوليته عن</w:t>
      </w:r>
      <w:r w:rsidRPr="00772E40">
        <w:rPr>
          <w:rFonts w:hint="cs"/>
          <w:rtl/>
        </w:rPr>
        <w:t xml:space="preserve"> جرائم التهديد،</w:t>
      </w:r>
      <w:r w:rsidRPr="00772E40">
        <w:rPr>
          <w:rtl/>
        </w:rPr>
        <w:t xml:space="preserve"> </w:t>
      </w:r>
      <w:r w:rsidRPr="00772E40">
        <w:rPr>
          <w:rFonts w:hint="cs"/>
          <w:rtl/>
        </w:rPr>
        <w:t>و</w:t>
      </w:r>
      <w:r w:rsidRPr="00772E40">
        <w:rPr>
          <w:rtl/>
        </w:rPr>
        <w:t>إلحاق الضرر بمركب</w:t>
      </w:r>
      <w:r w:rsidRPr="00772E40">
        <w:rPr>
          <w:rFonts w:hint="cs"/>
          <w:rtl/>
        </w:rPr>
        <w:t>ة</w:t>
      </w:r>
      <w:r w:rsidRPr="00772E40">
        <w:rPr>
          <w:rtl/>
        </w:rPr>
        <w:t>،</w:t>
      </w:r>
      <w:r w:rsidRPr="00772E40">
        <w:rPr>
          <w:rFonts w:hint="cs"/>
          <w:rtl/>
        </w:rPr>
        <w:t xml:space="preserve"> </w:t>
      </w:r>
      <w:r w:rsidRPr="00772E40">
        <w:rPr>
          <w:rtl/>
        </w:rPr>
        <w:t xml:space="preserve">والإيذاء الناجم عن </w:t>
      </w:r>
      <w:r w:rsidRPr="00772E40">
        <w:rPr>
          <w:rFonts w:hint="cs"/>
          <w:rtl/>
        </w:rPr>
        <w:t>ال</w:t>
      </w:r>
      <w:r w:rsidRPr="00772E40">
        <w:rPr>
          <w:rtl/>
        </w:rPr>
        <w:t xml:space="preserve">ضرب، وجميع الجرائم المتعمَّدة المرتكبة ضده. وعرض صاحب الشكوى بالتفصيل، في شكواه، ضروب المعاملة التي تعرض لها من قِبل أفراد شرطة البلدية، وكذلك الإصابات التي ألحقوها به والوقائع التي أدت إلى احتجازه؛ وصدر الأمر بفتح ملف التحقيق الأولي </w:t>
      </w:r>
      <w:r w:rsidRPr="00772E40">
        <w:t>ALA/SC/</w:t>
      </w:r>
      <w:r w:rsidRPr="00C8421F">
        <w:t>05</w:t>
      </w:r>
      <w:r w:rsidRPr="00772E40">
        <w:t>/</w:t>
      </w:r>
      <w:r w:rsidRPr="00C8421F">
        <w:t>0328</w:t>
      </w:r>
      <w:r w:rsidRPr="00772E40">
        <w:t>/</w:t>
      </w:r>
      <w:r w:rsidRPr="00C8421F">
        <w:t>2013</w:t>
      </w:r>
      <w:r w:rsidRPr="00772E40">
        <w:rPr>
          <w:rtl/>
        </w:rPr>
        <w:t xml:space="preserve">. ويشير صاحب الشكوى إلى أنه لم يتلق قط المشورة القانونية لدى الإدلاء بإفادته، بل تعرض، خلافاً لذلك، للتهديد </w:t>
      </w:r>
      <w:r w:rsidRPr="00772E40">
        <w:rPr>
          <w:rFonts w:hint="cs"/>
          <w:rtl/>
        </w:rPr>
        <w:t xml:space="preserve">المستمر </w:t>
      </w:r>
      <w:r w:rsidRPr="00772E40">
        <w:rPr>
          <w:rtl/>
        </w:rPr>
        <w:t xml:space="preserve">من موظفي مكتب المدعي العام كي يكشف لهم من أخبره بأسماء أفراد </w:t>
      </w:r>
      <w:r w:rsidRPr="00772E40">
        <w:rPr>
          <w:rFonts w:hint="cs"/>
          <w:rtl/>
        </w:rPr>
        <w:t>ال</w:t>
      </w:r>
      <w:r w:rsidRPr="00772E40">
        <w:rPr>
          <w:rtl/>
        </w:rPr>
        <w:t xml:space="preserve">شرطة البلدية المعنيين. ورفض هؤلاء الموظفون الكشف عن هويتهم. </w:t>
      </w:r>
    </w:p>
    <w:p w14:paraId="40F5F90B" w14:textId="5CE9D7C9" w:rsidR="00772E40" w:rsidRPr="00772E40" w:rsidRDefault="00772E40" w:rsidP="00772E40">
      <w:pPr>
        <w:pStyle w:val="SingleTxtGA"/>
      </w:pPr>
      <w:r w:rsidRPr="00C8421F">
        <w:rPr>
          <w:rtl/>
        </w:rPr>
        <w:t>2</w:t>
      </w:r>
      <w:r w:rsidRPr="00772E40">
        <w:rPr>
          <w:rtl/>
        </w:rPr>
        <w:t>-</w:t>
      </w:r>
      <w:r w:rsidRPr="00C8421F">
        <w:rPr>
          <w:rtl/>
        </w:rPr>
        <w:t>17</w:t>
      </w:r>
      <w:r w:rsidRPr="00772E40">
        <w:rPr>
          <w:rtl/>
        </w:rPr>
        <w:tab/>
        <w:t xml:space="preserve">وحتى تاريخ تقديم هذا البلاغ، لم يتلق صاحبه أي معلومات عن التحقيق ولا عن نتائجه. ويوضح صاحب الشكوى أنه تعرض وزوجتَه للمضايقة وتلقيَا عدة تهديدات من شرطة البلدية طوال الفترة التي أمضياها في </w:t>
      </w:r>
      <w:proofErr w:type="spellStart"/>
      <w:r w:rsidRPr="00772E40">
        <w:rPr>
          <w:rtl/>
        </w:rPr>
        <w:t>تا</w:t>
      </w:r>
      <w:r w:rsidRPr="00772E40">
        <w:rPr>
          <w:rFonts w:hint="cs"/>
          <w:rtl/>
        </w:rPr>
        <w:t>كس</w:t>
      </w:r>
      <w:r w:rsidRPr="00772E40">
        <w:rPr>
          <w:rtl/>
        </w:rPr>
        <w:t>كو</w:t>
      </w:r>
      <w:proofErr w:type="spellEnd"/>
      <w:r w:rsidRPr="00772E40">
        <w:rPr>
          <w:rtl/>
        </w:rPr>
        <w:t xml:space="preserve">. وعندما سعى صاحب الشكوى إلى إبلاغ مكتب المدعي العام بهذا الوضع، قيل له ألا يعود "وإلا </w:t>
      </w:r>
      <w:r w:rsidRPr="00772E40">
        <w:rPr>
          <w:rFonts w:hint="cs"/>
          <w:rtl/>
        </w:rPr>
        <w:t xml:space="preserve">قضوا عليه </w:t>
      </w:r>
      <w:r w:rsidRPr="00772E40">
        <w:rPr>
          <w:rtl/>
        </w:rPr>
        <w:t>هناك". و</w:t>
      </w:r>
      <w:r w:rsidRPr="00772E40">
        <w:rPr>
          <w:rFonts w:hint="cs"/>
          <w:rtl/>
        </w:rPr>
        <w:t xml:space="preserve">اضطر </w:t>
      </w:r>
      <w:r w:rsidRPr="00772E40">
        <w:rPr>
          <w:rtl/>
        </w:rPr>
        <w:t xml:space="preserve">صاحب الشكوى وزوجته </w:t>
      </w:r>
      <w:r w:rsidRPr="00772E40">
        <w:rPr>
          <w:rFonts w:hint="cs"/>
          <w:rtl/>
        </w:rPr>
        <w:t xml:space="preserve">إلى </w:t>
      </w:r>
      <w:r w:rsidRPr="00772E40">
        <w:rPr>
          <w:rtl/>
        </w:rPr>
        <w:t xml:space="preserve">مغادرة </w:t>
      </w:r>
      <w:proofErr w:type="spellStart"/>
      <w:r w:rsidRPr="00772E40">
        <w:rPr>
          <w:rtl/>
        </w:rPr>
        <w:t>تا</w:t>
      </w:r>
      <w:r w:rsidRPr="00772E40">
        <w:rPr>
          <w:rFonts w:hint="cs"/>
          <w:rtl/>
        </w:rPr>
        <w:t>كس</w:t>
      </w:r>
      <w:r w:rsidRPr="00772E40">
        <w:rPr>
          <w:rtl/>
        </w:rPr>
        <w:t>كو</w:t>
      </w:r>
      <w:proofErr w:type="spellEnd"/>
      <w:r w:rsidRPr="00772E40">
        <w:rPr>
          <w:rtl/>
        </w:rPr>
        <w:t xml:space="preserve"> في حزيران/</w:t>
      </w:r>
      <w:r w:rsidR="00004B7A">
        <w:rPr>
          <w:rFonts w:hint="cs"/>
          <w:rtl/>
        </w:rPr>
        <w:t xml:space="preserve"> </w:t>
      </w:r>
      <w:r w:rsidRPr="00772E40">
        <w:rPr>
          <w:rtl/>
        </w:rPr>
        <w:t xml:space="preserve">يونيه </w:t>
      </w:r>
      <w:r w:rsidRPr="00C8421F">
        <w:rPr>
          <w:rtl/>
        </w:rPr>
        <w:t>2013</w:t>
      </w:r>
      <w:r w:rsidRPr="00772E40">
        <w:rPr>
          <w:rtl/>
        </w:rPr>
        <w:t xml:space="preserve">، وفقدا معدات العمل التي كانت في ورشتهما وكل أغراضهما الشخصية. ولم يستطيعا بالتالي العودة إلى </w:t>
      </w:r>
      <w:proofErr w:type="spellStart"/>
      <w:r w:rsidRPr="00772E40">
        <w:rPr>
          <w:rtl/>
        </w:rPr>
        <w:t>تا</w:t>
      </w:r>
      <w:r w:rsidRPr="00772E40">
        <w:rPr>
          <w:rFonts w:hint="cs"/>
          <w:rtl/>
        </w:rPr>
        <w:t>كس</w:t>
      </w:r>
      <w:r w:rsidRPr="00772E40">
        <w:rPr>
          <w:rtl/>
        </w:rPr>
        <w:t>كو</w:t>
      </w:r>
      <w:proofErr w:type="spellEnd"/>
      <w:r w:rsidRPr="00772E40">
        <w:rPr>
          <w:rtl/>
        </w:rPr>
        <w:t xml:space="preserve"> لمواصلة الإجراءات، إذ كان من شأن ذلك أن يعرض حياتهما للخطر.</w:t>
      </w:r>
    </w:p>
    <w:p w14:paraId="375FE999" w14:textId="77777777" w:rsidR="00772E40" w:rsidRPr="00C8421F" w:rsidRDefault="00772E40" w:rsidP="00772E40">
      <w:pPr>
        <w:pStyle w:val="H4GA"/>
      </w:pPr>
      <w:r w:rsidRPr="00C8421F">
        <w:rPr>
          <w:rtl/>
        </w:rPr>
        <w:lastRenderedPageBreak/>
        <w:tab/>
      </w:r>
      <w:r w:rsidRPr="00C8421F">
        <w:rPr>
          <w:rtl/>
        </w:rPr>
        <w:tab/>
        <w:t xml:space="preserve">الإجراءات المباشَرة أمام لجنة حقوق الإنسان في ولاية </w:t>
      </w:r>
      <w:proofErr w:type="spellStart"/>
      <w:r w:rsidRPr="00C8421F">
        <w:rPr>
          <w:rtl/>
        </w:rPr>
        <w:t>غيريرو</w:t>
      </w:r>
      <w:proofErr w:type="spellEnd"/>
    </w:p>
    <w:p w14:paraId="75915ACF" w14:textId="29EE39C2" w:rsidR="00772E40" w:rsidRPr="00772E40" w:rsidRDefault="00772E40" w:rsidP="00772E40">
      <w:pPr>
        <w:pStyle w:val="SingleTxtGA"/>
      </w:pPr>
      <w:r w:rsidRPr="00C8421F">
        <w:rPr>
          <w:rtl/>
        </w:rPr>
        <w:t>2</w:t>
      </w:r>
      <w:r w:rsidRPr="00772E40">
        <w:rPr>
          <w:rtl/>
        </w:rPr>
        <w:t>-</w:t>
      </w:r>
      <w:r w:rsidRPr="00C8421F">
        <w:rPr>
          <w:rtl/>
        </w:rPr>
        <w:t>18</w:t>
      </w:r>
      <w:r w:rsidRPr="00772E40">
        <w:rPr>
          <w:rtl/>
        </w:rPr>
        <w:tab/>
        <w:t xml:space="preserve">في </w:t>
      </w:r>
      <w:r w:rsidRPr="00C8421F">
        <w:rPr>
          <w:rtl/>
        </w:rPr>
        <w:t>1</w:t>
      </w:r>
      <w:r w:rsidRPr="00772E40">
        <w:rPr>
          <w:rtl/>
        </w:rPr>
        <w:t xml:space="preserve"> أيار/مايو </w:t>
      </w:r>
      <w:r w:rsidRPr="00C8421F">
        <w:rPr>
          <w:rtl/>
        </w:rPr>
        <w:t>2013</w:t>
      </w:r>
      <w:r w:rsidRPr="00772E40">
        <w:rPr>
          <w:rtl/>
        </w:rPr>
        <w:t xml:space="preserve">، قدَّم صاحب الشكوى شكوى إلى لجنة حقوق الإنسان في ولاية </w:t>
      </w:r>
      <w:proofErr w:type="spellStart"/>
      <w:r w:rsidRPr="00772E40">
        <w:rPr>
          <w:rtl/>
        </w:rPr>
        <w:t>غيريرو</w:t>
      </w:r>
      <w:proofErr w:type="spellEnd"/>
      <w:r w:rsidRPr="00772E40">
        <w:rPr>
          <w:vertAlign w:val="superscript"/>
          <w:rtl/>
        </w:rPr>
        <w:t>(</w:t>
      </w:r>
      <w:r w:rsidRPr="00C8421F">
        <w:rPr>
          <w:vertAlign w:val="superscript"/>
          <w:lang w:val="en-US"/>
        </w:rPr>
        <w:footnoteReference w:id="6"/>
      </w:r>
      <w:r w:rsidRPr="00772E40">
        <w:rPr>
          <w:vertAlign w:val="superscript"/>
          <w:rtl/>
        </w:rPr>
        <w:t>)</w:t>
      </w:r>
      <w:r w:rsidRPr="00772E40">
        <w:rPr>
          <w:rtl/>
        </w:rPr>
        <w:t>. وعرض فيها ضروب المعاملة التي تعر</w:t>
      </w:r>
      <w:r w:rsidRPr="00772E40">
        <w:rPr>
          <w:rFonts w:hint="cs"/>
          <w:rtl/>
        </w:rPr>
        <w:t>َّ</w:t>
      </w:r>
      <w:r w:rsidRPr="00772E40">
        <w:rPr>
          <w:rtl/>
        </w:rPr>
        <w:t xml:space="preserve">ض لها من قِبل أفراد شرطة </w:t>
      </w:r>
      <w:r w:rsidRPr="00772E40">
        <w:rPr>
          <w:rFonts w:hint="cs"/>
          <w:rtl/>
        </w:rPr>
        <w:t xml:space="preserve">بلدية </w:t>
      </w:r>
      <w:proofErr w:type="spellStart"/>
      <w:r w:rsidRPr="00772E40">
        <w:rPr>
          <w:rtl/>
        </w:rPr>
        <w:t>تاكسكو</w:t>
      </w:r>
      <w:proofErr w:type="spellEnd"/>
      <w:r w:rsidRPr="00772E40">
        <w:rPr>
          <w:rtl/>
        </w:rPr>
        <w:t>، وكذلك الوقائع التي أدت إلى احتجازه. وطلب فيها أيضاً ما يلي: (أ) اتخاذ تدابير وقائية لحمايته وأسرتَه، و(ب)</w:t>
      </w:r>
      <w:r w:rsidR="009E0828">
        <w:rPr>
          <w:rFonts w:hint="cs"/>
          <w:rtl/>
        </w:rPr>
        <w:t> </w:t>
      </w:r>
      <w:r w:rsidRPr="00772E40">
        <w:rPr>
          <w:rtl/>
        </w:rPr>
        <w:t xml:space="preserve">إتمام التحقيق الأولي </w:t>
      </w:r>
      <w:r w:rsidRPr="00772E40">
        <w:t>ALA/SC/</w:t>
      </w:r>
      <w:r w:rsidRPr="00C8421F">
        <w:t>05</w:t>
      </w:r>
      <w:r w:rsidRPr="00772E40">
        <w:t>/</w:t>
      </w:r>
      <w:r w:rsidRPr="00C8421F">
        <w:t>0328</w:t>
      </w:r>
      <w:r w:rsidRPr="00772E40">
        <w:t>/</w:t>
      </w:r>
      <w:r w:rsidRPr="00C8421F">
        <w:t>2013</w:t>
      </w:r>
      <w:r w:rsidRPr="00772E40">
        <w:rPr>
          <w:rtl/>
        </w:rPr>
        <w:t xml:space="preserve"> على النحو الواجب. </w:t>
      </w:r>
    </w:p>
    <w:p w14:paraId="6455BB4C" w14:textId="32099251" w:rsidR="00772E40" w:rsidRPr="00772E40" w:rsidRDefault="00772E40" w:rsidP="00772E40">
      <w:pPr>
        <w:pStyle w:val="SingleTxtGA"/>
        <w:rPr>
          <w:spacing w:val="-2"/>
        </w:rPr>
      </w:pPr>
      <w:r w:rsidRPr="00C8421F">
        <w:rPr>
          <w:spacing w:val="-2"/>
          <w:rtl/>
        </w:rPr>
        <w:t>2</w:t>
      </w:r>
      <w:r w:rsidRPr="00772E40">
        <w:rPr>
          <w:spacing w:val="-2"/>
          <w:rtl/>
        </w:rPr>
        <w:t>-</w:t>
      </w:r>
      <w:r w:rsidRPr="00C8421F">
        <w:rPr>
          <w:spacing w:val="-2"/>
          <w:rtl/>
        </w:rPr>
        <w:t>19</w:t>
      </w:r>
      <w:r w:rsidRPr="00772E40">
        <w:rPr>
          <w:spacing w:val="-2"/>
          <w:rtl/>
        </w:rPr>
        <w:tab/>
        <w:t>وعقب ذلك، فتحت لجنة حقوق الإنسان الملف CDHEG-CRZN</w:t>
      </w:r>
      <w:r w:rsidRPr="00C8421F">
        <w:rPr>
          <w:spacing w:val="-2"/>
          <w:rtl/>
        </w:rPr>
        <w:t>058</w:t>
      </w:r>
      <w:r w:rsidRPr="00772E40">
        <w:rPr>
          <w:spacing w:val="-2"/>
          <w:rtl/>
        </w:rPr>
        <w:t>/</w:t>
      </w:r>
      <w:r w:rsidRPr="00C8421F">
        <w:rPr>
          <w:spacing w:val="-2"/>
          <w:rtl/>
        </w:rPr>
        <w:t>2014</w:t>
      </w:r>
      <w:r w:rsidRPr="00772E40">
        <w:rPr>
          <w:spacing w:val="-2"/>
          <w:rtl/>
        </w:rPr>
        <w:t>-I، رقم</w:t>
      </w:r>
      <w:r w:rsidR="002F6DFB">
        <w:rPr>
          <w:rFonts w:hint="cs"/>
          <w:spacing w:val="-2"/>
          <w:rtl/>
        </w:rPr>
        <w:t> </w:t>
      </w:r>
      <w:r w:rsidRPr="00C8421F">
        <w:rPr>
          <w:spacing w:val="-2"/>
          <w:rtl/>
        </w:rPr>
        <w:t>420</w:t>
      </w:r>
      <w:r w:rsidRPr="00772E40">
        <w:rPr>
          <w:spacing w:val="-2"/>
          <w:rtl/>
        </w:rPr>
        <w:t>/</w:t>
      </w:r>
      <w:r w:rsidRPr="00C8421F">
        <w:rPr>
          <w:spacing w:val="-2"/>
          <w:rtl/>
        </w:rPr>
        <w:t>2013</w:t>
      </w:r>
      <w:r w:rsidRPr="00772E40">
        <w:rPr>
          <w:spacing w:val="-2"/>
          <w:rtl/>
        </w:rPr>
        <w:t>، الذي أمرت فيه، على وجه الخصوص، بما يلي: (أ) استدعاء الأطراف للإدلاء بإفاد</w:t>
      </w:r>
      <w:r w:rsidRPr="00772E40">
        <w:rPr>
          <w:rFonts w:hint="cs"/>
          <w:spacing w:val="-2"/>
          <w:rtl/>
        </w:rPr>
        <w:t>ا</w:t>
      </w:r>
      <w:r w:rsidRPr="00772E40">
        <w:rPr>
          <w:spacing w:val="-2"/>
          <w:rtl/>
        </w:rPr>
        <w:t xml:space="preserve">تهم وتقديم أدلتهم، و(ب) إجراء فحص طبي لصاحب الشكوى، و(ج) توجيه طلب إلى رئيس بلدية </w:t>
      </w:r>
      <w:proofErr w:type="spellStart"/>
      <w:r w:rsidRPr="00772E40">
        <w:rPr>
          <w:spacing w:val="-2"/>
          <w:rtl/>
        </w:rPr>
        <w:t>تاكسكو</w:t>
      </w:r>
      <w:proofErr w:type="spellEnd"/>
      <w:r w:rsidRPr="00772E40">
        <w:rPr>
          <w:spacing w:val="-2"/>
          <w:rtl/>
        </w:rPr>
        <w:t xml:space="preserve"> لاتخاذ تدابير وقائية لمنع أفراد شرطة البلدية الوقائية من مضايقة الضحية وأفراد أسرته ومن المساس بأغراضه. </w:t>
      </w:r>
    </w:p>
    <w:p w14:paraId="47FF3571" w14:textId="77777777" w:rsidR="00772E40" w:rsidRPr="00772E40" w:rsidRDefault="00772E40" w:rsidP="00772E40">
      <w:pPr>
        <w:pStyle w:val="SingleTxtGA"/>
      </w:pPr>
      <w:r w:rsidRPr="00C8421F">
        <w:rPr>
          <w:rtl/>
        </w:rPr>
        <w:t>2</w:t>
      </w:r>
      <w:r w:rsidRPr="00772E40">
        <w:rPr>
          <w:rtl/>
        </w:rPr>
        <w:t>-</w:t>
      </w:r>
      <w:r w:rsidRPr="00C8421F">
        <w:rPr>
          <w:rtl/>
        </w:rPr>
        <w:t>20</w:t>
      </w:r>
      <w:r w:rsidRPr="00772E40">
        <w:rPr>
          <w:rtl/>
        </w:rPr>
        <w:tab/>
        <w:t xml:space="preserve">وفي </w:t>
      </w:r>
      <w:r w:rsidRPr="00C8421F">
        <w:rPr>
          <w:rtl/>
        </w:rPr>
        <w:t>7</w:t>
      </w:r>
      <w:r w:rsidRPr="00772E40">
        <w:rPr>
          <w:rtl/>
        </w:rPr>
        <w:t xml:space="preserve"> أيار/مايو </w:t>
      </w:r>
      <w:r w:rsidRPr="00C8421F">
        <w:rPr>
          <w:rtl/>
        </w:rPr>
        <w:t>2013</w:t>
      </w:r>
      <w:r w:rsidRPr="00772E40">
        <w:rPr>
          <w:rtl/>
        </w:rPr>
        <w:t xml:space="preserve">، أفاد </w:t>
      </w:r>
      <w:r w:rsidRPr="00772E40">
        <w:rPr>
          <w:rFonts w:hint="cs"/>
          <w:rtl/>
        </w:rPr>
        <w:t xml:space="preserve">الشرطي </w:t>
      </w:r>
      <w:r w:rsidRPr="00772E40">
        <w:rPr>
          <w:rtl/>
        </w:rPr>
        <w:t>خ. خ. ب. و</w:t>
      </w:r>
      <w:r w:rsidRPr="00772E40">
        <w:rPr>
          <w:rFonts w:hint="cs"/>
          <w:rtl/>
        </w:rPr>
        <w:t>الشرطي</w:t>
      </w:r>
      <w:r w:rsidRPr="00772E40">
        <w:rPr>
          <w:rtl/>
        </w:rPr>
        <w:t xml:space="preserve"> ر. ب. ر. بأنهما لم يكونا على علم بأن صاحب الشكوى كان على خلاف مع جيرانه، وبأنهما توجهَا إلى الشارع المعني لأنهما أُبلغا بأن شخصاً في حالة سكر كان يعتدي على جيرانه، وبأنهما لم يضربا أبداً صاحب الشكوى، وبأنه آذى نفسه بنفسه، واحتُجز لارتكابه مخالفة إدارية. كما </w:t>
      </w:r>
      <w:r w:rsidRPr="00772E40">
        <w:rPr>
          <w:rFonts w:hint="cs"/>
          <w:rtl/>
        </w:rPr>
        <w:t xml:space="preserve">نفى </w:t>
      </w:r>
      <w:r w:rsidRPr="00772E40">
        <w:rPr>
          <w:rtl/>
        </w:rPr>
        <w:t xml:space="preserve">قائد الشرطة ر. ه. س. صلته بالوقائع، وأشار إلى رواية الشرطييْن خ. خ. ب. و ر. ب. ر. </w:t>
      </w:r>
    </w:p>
    <w:p w14:paraId="24B1F9EF" w14:textId="77777777" w:rsidR="00772E40" w:rsidRPr="00772E40" w:rsidRDefault="00772E40" w:rsidP="00772E40">
      <w:pPr>
        <w:pStyle w:val="SingleTxtGA"/>
      </w:pPr>
      <w:r w:rsidRPr="00C8421F">
        <w:rPr>
          <w:rtl/>
        </w:rPr>
        <w:t>2</w:t>
      </w:r>
      <w:r w:rsidRPr="00772E40">
        <w:rPr>
          <w:rtl/>
        </w:rPr>
        <w:t>-</w:t>
      </w:r>
      <w:r w:rsidRPr="00C8421F">
        <w:rPr>
          <w:rtl/>
        </w:rPr>
        <w:t>21</w:t>
      </w:r>
      <w:r w:rsidRPr="00772E40">
        <w:rPr>
          <w:rtl/>
        </w:rPr>
        <w:tab/>
        <w:t xml:space="preserve">وفي </w:t>
      </w:r>
      <w:r w:rsidRPr="00C8421F">
        <w:rPr>
          <w:rtl/>
        </w:rPr>
        <w:t>21</w:t>
      </w:r>
      <w:r w:rsidRPr="00772E40">
        <w:rPr>
          <w:rtl/>
        </w:rPr>
        <w:t xml:space="preserve"> أيار/مايو </w:t>
      </w:r>
      <w:r w:rsidRPr="00C8421F">
        <w:rPr>
          <w:rtl/>
        </w:rPr>
        <w:t>2013</w:t>
      </w:r>
      <w:r w:rsidRPr="00772E40">
        <w:rPr>
          <w:rtl/>
        </w:rPr>
        <w:t xml:space="preserve">، تلقت لجنة حقوق الإنسان في ولاية </w:t>
      </w:r>
      <w:proofErr w:type="spellStart"/>
      <w:r w:rsidRPr="00772E40">
        <w:rPr>
          <w:rtl/>
        </w:rPr>
        <w:t>غيريرو</w:t>
      </w:r>
      <w:proofErr w:type="spellEnd"/>
      <w:r w:rsidRPr="00772E40">
        <w:rPr>
          <w:rtl/>
        </w:rPr>
        <w:t xml:space="preserve"> إفادة شاهدين، أشارا إلى أن صاحب الشكوى شتم م. ب. ه. وهو يصوِّر الواقعة بهاتفه النقال. ويشير صاحب الشكوى إلى وجود تناقضات شتى في إفادات أفراد الشرطة وشهادات الشهود والطبيب الشرعي. </w:t>
      </w:r>
    </w:p>
    <w:p w14:paraId="5ACDFD0C" w14:textId="332AA134" w:rsidR="00772E40" w:rsidRPr="00772E40" w:rsidRDefault="00772E40" w:rsidP="00772E40">
      <w:pPr>
        <w:pStyle w:val="SingleTxtGA"/>
        <w:rPr>
          <w:spacing w:val="-4"/>
        </w:rPr>
      </w:pPr>
      <w:r w:rsidRPr="00C8421F">
        <w:rPr>
          <w:spacing w:val="-4"/>
          <w:rtl/>
        </w:rPr>
        <w:t>2</w:t>
      </w:r>
      <w:r w:rsidRPr="00772E40">
        <w:rPr>
          <w:spacing w:val="-4"/>
          <w:rtl/>
        </w:rPr>
        <w:t>-</w:t>
      </w:r>
      <w:r w:rsidRPr="00C8421F">
        <w:rPr>
          <w:spacing w:val="-4"/>
          <w:rtl/>
        </w:rPr>
        <w:t>22</w:t>
      </w:r>
      <w:r w:rsidRPr="00772E40">
        <w:rPr>
          <w:spacing w:val="-4"/>
          <w:rtl/>
        </w:rPr>
        <w:tab/>
        <w:t xml:space="preserve">وفي </w:t>
      </w:r>
      <w:r w:rsidRPr="00C8421F">
        <w:rPr>
          <w:spacing w:val="-4"/>
          <w:rtl/>
        </w:rPr>
        <w:t>30</w:t>
      </w:r>
      <w:r w:rsidRPr="00772E40">
        <w:rPr>
          <w:spacing w:val="-4"/>
          <w:rtl/>
        </w:rPr>
        <w:t xml:space="preserve"> تشرين الأول/أكتوبر </w:t>
      </w:r>
      <w:r w:rsidRPr="00C8421F">
        <w:rPr>
          <w:spacing w:val="-4"/>
          <w:rtl/>
        </w:rPr>
        <w:t>2013</w:t>
      </w:r>
      <w:r w:rsidRPr="00772E40">
        <w:rPr>
          <w:spacing w:val="-4"/>
          <w:rtl/>
        </w:rPr>
        <w:t xml:space="preserve">، أصدر رئيس لجنة حقوق الإنسان التوصية </w:t>
      </w:r>
      <w:r w:rsidRPr="00C8421F">
        <w:rPr>
          <w:spacing w:val="-4"/>
          <w:rtl/>
        </w:rPr>
        <w:t>172</w:t>
      </w:r>
      <w:r w:rsidRPr="00772E40">
        <w:rPr>
          <w:spacing w:val="-4"/>
          <w:rtl/>
        </w:rPr>
        <w:t>/</w:t>
      </w:r>
      <w:r w:rsidRPr="00C8421F">
        <w:rPr>
          <w:spacing w:val="-4"/>
          <w:rtl/>
        </w:rPr>
        <w:t>2013</w:t>
      </w:r>
      <w:r w:rsidRPr="00772E40">
        <w:rPr>
          <w:spacing w:val="-4"/>
          <w:rtl/>
        </w:rPr>
        <w:t xml:space="preserve">، وأبلغ بها رئيس بلدية </w:t>
      </w:r>
      <w:proofErr w:type="spellStart"/>
      <w:r w:rsidRPr="00772E40">
        <w:rPr>
          <w:spacing w:val="-4"/>
          <w:rtl/>
        </w:rPr>
        <w:t>تاكسكو</w:t>
      </w:r>
      <w:proofErr w:type="spellEnd"/>
      <w:r w:rsidRPr="00772E40">
        <w:rPr>
          <w:spacing w:val="-4"/>
          <w:rtl/>
        </w:rPr>
        <w:t xml:space="preserve">، ولم يتلق أي رد عليها. وأعاد طلب الرد عليها في </w:t>
      </w:r>
      <w:r w:rsidRPr="00C8421F">
        <w:rPr>
          <w:spacing w:val="-4"/>
          <w:rtl/>
        </w:rPr>
        <w:t>22</w:t>
      </w:r>
      <w:r w:rsidRPr="00772E40">
        <w:rPr>
          <w:spacing w:val="-4"/>
          <w:rtl/>
        </w:rPr>
        <w:t xml:space="preserve"> كانون الثاني/يناير</w:t>
      </w:r>
      <w:r w:rsidR="002F6DFB" w:rsidRPr="002F6DFB">
        <w:rPr>
          <w:rFonts w:hint="cs"/>
          <w:spacing w:val="-4"/>
          <w:rtl/>
        </w:rPr>
        <w:t> </w:t>
      </w:r>
      <w:r w:rsidRPr="00C8421F">
        <w:rPr>
          <w:spacing w:val="-4"/>
          <w:rtl/>
        </w:rPr>
        <w:t>2014</w:t>
      </w:r>
      <w:r w:rsidRPr="00772E40">
        <w:rPr>
          <w:spacing w:val="-4"/>
          <w:rtl/>
        </w:rPr>
        <w:t xml:space="preserve">، بلا جدوى. وفي </w:t>
      </w:r>
      <w:r w:rsidRPr="00C8421F">
        <w:rPr>
          <w:spacing w:val="-4"/>
          <w:rtl/>
        </w:rPr>
        <w:t>7</w:t>
      </w:r>
      <w:r w:rsidRPr="00772E40">
        <w:rPr>
          <w:spacing w:val="-4"/>
          <w:rtl/>
        </w:rPr>
        <w:t xml:space="preserve"> شباط/فبراير </w:t>
      </w:r>
      <w:r w:rsidRPr="00C8421F">
        <w:rPr>
          <w:spacing w:val="-4"/>
          <w:rtl/>
        </w:rPr>
        <w:t>2014</w:t>
      </w:r>
      <w:r w:rsidRPr="00772E40">
        <w:rPr>
          <w:spacing w:val="-4"/>
          <w:rtl/>
        </w:rPr>
        <w:t xml:space="preserve">، أعرب صاحب الشكوى عن استيائه لعدم رد رئيس البلدية. </w:t>
      </w:r>
    </w:p>
    <w:p w14:paraId="2B718A2E" w14:textId="77777777" w:rsidR="00772E40" w:rsidRPr="00772E40" w:rsidRDefault="00772E40" w:rsidP="00772E40">
      <w:pPr>
        <w:pStyle w:val="SingleTxtGA"/>
      </w:pPr>
      <w:r w:rsidRPr="00C8421F">
        <w:rPr>
          <w:rtl/>
        </w:rPr>
        <w:t>2</w:t>
      </w:r>
      <w:r w:rsidRPr="00772E40">
        <w:rPr>
          <w:rtl/>
        </w:rPr>
        <w:t>-</w:t>
      </w:r>
      <w:r w:rsidRPr="00C8421F">
        <w:rPr>
          <w:rtl/>
        </w:rPr>
        <w:t>23</w:t>
      </w:r>
      <w:r w:rsidRPr="00772E40">
        <w:rPr>
          <w:rtl/>
        </w:rPr>
        <w:tab/>
        <w:t xml:space="preserve">وفي </w:t>
      </w:r>
      <w:r w:rsidRPr="00C8421F">
        <w:rPr>
          <w:rtl/>
        </w:rPr>
        <w:t>10</w:t>
      </w:r>
      <w:r w:rsidRPr="00772E40">
        <w:rPr>
          <w:rtl/>
        </w:rPr>
        <w:t xml:space="preserve"> نيسان/أبريل </w:t>
      </w:r>
      <w:r w:rsidRPr="00C8421F">
        <w:rPr>
          <w:rtl/>
        </w:rPr>
        <w:t>2014</w:t>
      </w:r>
      <w:r w:rsidRPr="00772E40">
        <w:rPr>
          <w:rtl/>
        </w:rPr>
        <w:t xml:space="preserve">، أصدرت لجنة حقوق الإنسان التوصية </w:t>
      </w:r>
      <w:r w:rsidRPr="00C8421F">
        <w:rPr>
          <w:rtl/>
        </w:rPr>
        <w:t>016</w:t>
      </w:r>
      <w:r w:rsidRPr="00772E40">
        <w:rPr>
          <w:rtl/>
        </w:rPr>
        <w:t>/</w:t>
      </w:r>
      <w:r w:rsidRPr="00C8421F">
        <w:rPr>
          <w:rtl/>
        </w:rPr>
        <w:t>2014</w:t>
      </w:r>
      <w:r w:rsidRPr="00772E40">
        <w:rPr>
          <w:rtl/>
        </w:rPr>
        <w:t xml:space="preserve">، التي خلصت فيها إلى أن خ. خ. ب. و ر. ب. ر. انتهكا حق صاحب الشكوى في السلامة الشخصية، وتجاوزا حدود مهامهما وألحقا به إصابات شتى أضرَّت بصحته. وأوصت أيضاً بمباشرة إجراءات بموجب قانون مسؤوليات الموظفين العامين التابعين للدولة والبلديات، وجبر الضرر اللاحق بصاحب الشكوى، وتنظيم دورات تدريبية في مجال حقوق الإنسان لفائدة أفراد هيئة الشرطة المعنية. </w:t>
      </w:r>
    </w:p>
    <w:p w14:paraId="3DCED1DD" w14:textId="77777777" w:rsidR="00772E40" w:rsidRPr="00772E40" w:rsidRDefault="00772E40" w:rsidP="00772E40">
      <w:pPr>
        <w:pStyle w:val="SingleTxtGA"/>
      </w:pPr>
      <w:r w:rsidRPr="00C8421F">
        <w:rPr>
          <w:rtl/>
        </w:rPr>
        <w:t>2</w:t>
      </w:r>
      <w:r w:rsidRPr="00772E40">
        <w:rPr>
          <w:rtl/>
        </w:rPr>
        <w:t>-</w:t>
      </w:r>
      <w:r w:rsidRPr="00C8421F">
        <w:rPr>
          <w:rtl/>
        </w:rPr>
        <w:t>24</w:t>
      </w:r>
      <w:r w:rsidRPr="00772E40">
        <w:rPr>
          <w:rtl/>
        </w:rPr>
        <w:tab/>
        <w:t xml:space="preserve">وفي </w:t>
      </w:r>
      <w:r w:rsidRPr="00C8421F">
        <w:rPr>
          <w:rtl/>
        </w:rPr>
        <w:t>7</w:t>
      </w:r>
      <w:r w:rsidRPr="00772E40">
        <w:rPr>
          <w:rtl/>
        </w:rPr>
        <w:t xml:space="preserve"> تموز/يوليه </w:t>
      </w:r>
      <w:r w:rsidRPr="00C8421F">
        <w:rPr>
          <w:rtl/>
        </w:rPr>
        <w:t>2014</w:t>
      </w:r>
      <w:r w:rsidRPr="00772E40">
        <w:rPr>
          <w:rtl/>
        </w:rPr>
        <w:t>، قب</w:t>
      </w:r>
      <w:r w:rsidRPr="00772E40">
        <w:rPr>
          <w:rFonts w:hint="cs"/>
          <w:rtl/>
        </w:rPr>
        <w:t>ِ</w:t>
      </w:r>
      <w:r w:rsidRPr="00772E40">
        <w:rPr>
          <w:rtl/>
        </w:rPr>
        <w:t xml:space="preserve">ل المستشار والممثل القانوني لمجلس بلدية </w:t>
      </w:r>
      <w:proofErr w:type="spellStart"/>
      <w:r w:rsidRPr="00772E40">
        <w:rPr>
          <w:rtl/>
        </w:rPr>
        <w:t>تاكسكو</w:t>
      </w:r>
      <w:proofErr w:type="spellEnd"/>
      <w:r w:rsidRPr="00772E40">
        <w:rPr>
          <w:rtl/>
        </w:rPr>
        <w:t xml:space="preserve"> التوصية الصادرة عن لجنة حقوق الإنسان، ولكنه أشار إلى حِفظ الإجراءات الإدارية المباشَرة ضد ر. ب. ر.، إذ لم يعد يعمل فعلياً في هيئة الشرطة المعنية. </w:t>
      </w:r>
    </w:p>
    <w:p w14:paraId="4255EC3E" w14:textId="77777777" w:rsidR="00772E40" w:rsidRPr="00772E40" w:rsidRDefault="00772E40" w:rsidP="00772E40">
      <w:pPr>
        <w:pStyle w:val="SingleTxtGA"/>
      </w:pPr>
      <w:r w:rsidRPr="00C8421F">
        <w:rPr>
          <w:rtl/>
        </w:rPr>
        <w:t>2</w:t>
      </w:r>
      <w:r w:rsidRPr="00772E40">
        <w:rPr>
          <w:rtl/>
        </w:rPr>
        <w:t>-</w:t>
      </w:r>
      <w:r w:rsidRPr="00C8421F">
        <w:rPr>
          <w:rtl/>
        </w:rPr>
        <w:t>25</w:t>
      </w:r>
      <w:r w:rsidRPr="00772E40">
        <w:rPr>
          <w:rtl/>
        </w:rPr>
        <w:tab/>
        <w:t xml:space="preserve">غير أن صاحب الشكوى يدعي أن هذه التوصية لم تُنفَّذ على النحو الواجب، حتى تاريخ تقديم هذا البلاغ. فأولاً، لم يتلق خ. خ. ب. إلا توبيخاً شخصياً. وثانياً، حدَّد مجلس بلدية </w:t>
      </w:r>
      <w:proofErr w:type="spellStart"/>
      <w:r w:rsidRPr="00772E40">
        <w:rPr>
          <w:rtl/>
        </w:rPr>
        <w:t>تاكسكو</w:t>
      </w:r>
      <w:proofErr w:type="spellEnd"/>
      <w:r w:rsidRPr="00772E40">
        <w:rPr>
          <w:rtl/>
        </w:rPr>
        <w:t xml:space="preserve"> قيمة الأضرار التي لحقت بصاحب الشكوى في </w:t>
      </w:r>
      <w:r w:rsidRPr="00C8421F">
        <w:rPr>
          <w:rtl/>
        </w:rPr>
        <w:t>14608</w:t>
      </w:r>
      <w:r w:rsidRPr="00772E40">
        <w:rPr>
          <w:rtl/>
        </w:rPr>
        <w:t xml:space="preserve"> </w:t>
      </w:r>
      <w:proofErr w:type="spellStart"/>
      <w:r w:rsidRPr="00772E40">
        <w:rPr>
          <w:rtl/>
        </w:rPr>
        <w:t>بي</w:t>
      </w:r>
      <w:r w:rsidRPr="00772E40">
        <w:rPr>
          <w:rFonts w:hint="cs"/>
          <w:rtl/>
        </w:rPr>
        <w:t>زوات</w:t>
      </w:r>
      <w:proofErr w:type="spellEnd"/>
      <w:r w:rsidRPr="00772E40">
        <w:rPr>
          <w:rtl/>
        </w:rPr>
        <w:t xml:space="preserve">، وهو ما اعتبره صاحب الشكوى غير ملائم لطبيعة انتهاكات حقوقه ولا لحجم الأضرار التي لحقت به. وفي </w:t>
      </w:r>
      <w:r w:rsidRPr="00C8421F">
        <w:rPr>
          <w:rtl/>
        </w:rPr>
        <w:t>16</w:t>
      </w:r>
      <w:r w:rsidRPr="00772E40">
        <w:rPr>
          <w:rtl/>
        </w:rPr>
        <w:t xml:space="preserve"> أيار/مايو </w:t>
      </w:r>
      <w:r w:rsidRPr="00C8421F">
        <w:rPr>
          <w:rtl/>
        </w:rPr>
        <w:t>2016</w:t>
      </w:r>
      <w:r w:rsidRPr="00772E40">
        <w:rPr>
          <w:rtl/>
        </w:rPr>
        <w:t xml:space="preserve">، أعرب صاحب الشكوى عن عدم موافقته على هذا العرض، ولكنه لم يتلق أي رد في هذا الصدد، حتى تاريخ تقديم هذا البلاغ. أما </w:t>
      </w:r>
      <w:r w:rsidRPr="00772E40">
        <w:rPr>
          <w:rtl/>
        </w:rPr>
        <w:lastRenderedPageBreak/>
        <w:t xml:space="preserve">بخصوص التوصية المتعلقة بإجراء تحقيق جنائي، فقد مثل صاحبُ البلاغ، في </w:t>
      </w:r>
      <w:r w:rsidRPr="00C8421F">
        <w:rPr>
          <w:rtl/>
        </w:rPr>
        <w:t>18</w:t>
      </w:r>
      <w:r w:rsidRPr="00772E40">
        <w:rPr>
          <w:rtl/>
        </w:rPr>
        <w:t xml:space="preserve"> نيسان/أبريل </w:t>
      </w:r>
      <w:r w:rsidRPr="00C8421F">
        <w:rPr>
          <w:rtl/>
        </w:rPr>
        <w:t>2016</w:t>
      </w:r>
      <w:r w:rsidRPr="00772E40">
        <w:rPr>
          <w:rtl/>
        </w:rPr>
        <w:t xml:space="preserve">، أمام مكتب المدعي العام لولاية </w:t>
      </w:r>
      <w:proofErr w:type="spellStart"/>
      <w:r w:rsidRPr="00772E40">
        <w:rPr>
          <w:rtl/>
        </w:rPr>
        <w:t>غيريرو</w:t>
      </w:r>
      <w:proofErr w:type="spellEnd"/>
      <w:r w:rsidRPr="00772E40">
        <w:rPr>
          <w:rtl/>
        </w:rPr>
        <w:t xml:space="preserve"> لتأكيد رواية الوقائع التي أبلغ عنها في </w:t>
      </w:r>
      <w:r w:rsidRPr="00C8421F">
        <w:rPr>
          <w:rtl/>
        </w:rPr>
        <w:t>29</w:t>
      </w:r>
      <w:r w:rsidRPr="00772E40">
        <w:rPr>
          <w:rtl/>
        </w:rPr>
        <w:t xml:space="preserve"> نيسان/أبريل </w:t>
      </w:r>
      <w:r w:rsidRPr="00C8421F">
        <w:rPr>
          <w:rtl/>
        </w:rPr>
        <w:t>2013</w:t>
      </w:r>
      <w:r w:rsidRPr="00772E40">
        <w:rPr>
          <w:rtl/>
        </w:rPr>
        <w:t xml:space="preserve">. وأخذ موظفٌ في مكتب المدعي العام لولاية </w:t>
      </w:r>
      <w:proofErr w:type="spellStart"/>
      <w:r w:rsidRPr="00772E40">
        <w:rPr>
          <w:rtl/>
        </w:rPr>
        <w:t>غيريرو</w:t>
      </w:r>
      <w:proofErr w:type="spellEnd"/>
      <w:r w:rsidRPr="00772E40">
        <w:rPr>
          <w:rtl/>
        </w:rPr>
        <w:t xml:space="preserve"> إفادة صاحب الشكوى بشأن جرائم إساءة استعمال السلطة (التعذيب)، وسلب الحرية الشخصية، والتهديد وما يترتب عليه؛ ولكنه لا يعلم، حتى تاريخ تقديم هذا البلاغ، أي شيء عن الإجراءات المباشَرة في هذا الصدد. </w:t>
      </w:r>
    </w:p>
    <w:p w14:paraId="7554E202" w14:textId="77777777" w:rsidR="00772E40" w:rsidRPr="00C8421F" w:rsidRDefault="00772E40" w:rsidP="00772E40">
      <w:pPr>
        <w:pStyle w:val="H4GA"/>
        <w:rPr>
          <w:lang w:val="en-US"/>
        </w:rPr>
      </w:pPr>
      <w:r w:rsidRPr="00C8421F">
        <w:rPr>
          <w:rtl/>
        </w:rPr>
        <w:tab/>
      </w:r>
      <w:r w:rsidRPr="00C8421F">
        <w:rPr>
          <w:rtl/>
        </w:rPr>
        <w:tab/>
        <w:t>الإجراءات المباشَرة أمام مكتب مساعد المدعي العام للتحقيقات في مجال الجريمة المنظمة</w:t>
      </w:r>
    </w:p>
    <w:p w14:paraId="546F5E9C" w14:textId="3F723946" w:rsidR="00772E40" w:rsidRPr="00772E40" w:rsidRDefault="00772E40" w:rsidP="00772E40">
      <w:pPr>
        <w:pStyle w:val="SingleTxtGA"/>
      </w:pPr>
      <w:r w:rsidRPr="00C8421F">
        <w:rPr>
          <w:rtl/>
        </w:rPr>
        <w:t>2</w:t>
      </w:r>
      <w:r w:rsidRPr="00772E40">
        <w:rPr>
          <w:rtl/>
        </w:rPr>
        <w:t>-</w:t>
      </w:r>
      <w:r w:rsidRPr="00C8421F">
        <w:rPr>
          <w:rtl/>
        </w:rPr>
        <w:t>26</w:t>
      </w:r>
      <w:r w:rsidRPr="00772E40">
        <w:rPr>
          <w:rtl/>
        </w:rPr>
        <w:tab/>
        <w:t xml:space="preserve">في </w:t>
      </w:r>
      <w:r w:rsidRPr="00C8421F">
        <w:rPr>
          <w:rtl/>
        </w:rPr>
        <w:t>14</w:t>
      </w:r>
      <w:r w:rsidRPr="00772E40">
        <w:rPr>
          <w:rtl/>
        </w:rPr>
        <w:t xml:space="preserve"> أيار/مايو </w:t>
      </w:r>
      <w:r w:rsidRPr="00C8421F">
        <w:rPr>
          <w:rtl/>
        </w:rPr>
        <w:t>2014</w:t>
      </w:r>
      <w:r w:rsidRPr="00772E40">
        <w:rPr>
          <w:rtl/>
        </w:rPr>
        <w:t>، توجه صاحب الشكوى إلى مكتب اللجنة التنفيذية لمساعدة الضحايا</w:t>
      </w:r>
      <w:r w:rsidRPr="00772E40">
        <w:rPr>
          <w:vertAlign w:val="superscript"/>
          <w:rtl/>
        </w:rPr>
        <w:t>(</w:t>
      </w:r>
      <w:r w:rsidRPr="00C8421F">
        <w:rPr>
          <w:vertAlign w:val="superscript"/>
          <w:lang w:val="en-US"/>
        </w:rPr>
        <w:footnoteReference w:id="7"/>
      </w:r>
      <w:r w:rsidRPr="00772E40">
        <w:rPr>
          <w:vertAlign w:val="superscript"/>
          <w:rtl/>
        </w:rPr>
        <w:t>)</w:t>
      </w:r>
      <w:r w:rsidRPr="00772E40">
        <w:rPr>
          <w:rtl/>
        </w:rPr>
        <w:t xml:space="preserve"> وقدم نسخة من ملف التحقيق الأولي </w:t>
      </w:r>
      <w:r w:rsidRPr="00772E40">
        <w:t>ALA/SC/</w:t>
      </w:r>
      <w:r w:rsidRPr="00C8421F">
        <w:t>05</w:t>
      </w:r>
      <w:r w:rsidRPr="00772E40">
        <w:t>/</w:t>
      </w:r>
      <w:r w:rsidRPr="00C8421F">
        <w:t>0328</w:t>
      </w:r>
      <w:r w:rsidRPr="00772E40">
        <w:t>/</w:t>
      </w:r>
      <w:r w:rsidRPr="00C8421F">
        <w:t>2013</w:t>
      </w:r>
      <w:r w:rsidRPr="00772E40">
        <w:rPr>
          <w:rtl/>
        </w:rPr>
        <w:t xml:space="preserve">، ومن التوصية </w:t>
      </w:r>
      <w:r w:rsidRPr="00C8421F">
        <w:rPr>
          <w:rtl/>
        </w:rPr>
        <w:t>016</w:t>
      </w:r>
      <w:r w:rsidRPr="00772E40">
        <w:rPr>
          <w:rtl/>
        </w:rPr>
        <w:t>/</w:t>
      </w:r>
      <w:r w:rsidRPr="00C8421F">
        <w:rPr>
          <w:rtl/>
        </w:rPr>
        <w:t>2014</w:t>
      </w:r>
      <w:r w:rsidRPr="00772E40">
        <w:rPr>
          <w:rtl/>
        </w:rPr>
        <w:t xml:space="preserve"> الصادرة عن لجنة حقوق الإنسان في ولاية </w:t>
      </w:r>
      <w:proofErr w:type="spellStart"/>
      <w:r w:rsidRPr="00772E40">
        <w:rPr>
          <w:rtl/>
        </w:rPr>
        <w:t>غيريرو</w:t>
      </w:r>
      <w:proofErr w:type="spellEnd"/>
      <w:r w:rsidRPr="00772E40">
        <w:rPr>
          <w:rtl/>
        </w:rPr>
        <w:t>، و</w:t>
      </w:r>
      <w:r w:rsidRPr="00772E40">
        <w:rPr>
          <w:rFonts w:hint="cs"/>
          <w:rtl/>
        </w:rPr>
        <w:t xml:space="preserve">وصل استلام </w:t>
      </w:r>
      <w:r w:rsidRPr="00772E40">
        <w:rPr>
          <w:rtl/>
        </w:rPr>
        <w:t>من السلطة الم</w:t>
      </w:r>
      <w:r w:rsidRPr="00772E40">
        <w:rPr>
          <w:rFonts w:hint="cs"/>
          <w:rtl/>
        </w:rPr>
        <w:t>طلوبة</w:t>
      </w:r>
      <w:r w:rsidRPr="00772E40">
        <w:rPr>
          <w:rtl/>
        </w:rPr>
        <w:t xml:space="preserve">. وأحالت اللجنة التنفيذية القضية إلى مكتب مساعد المدعي العام للتحقيقات في مجال الجريمة المنظمة التابع لمكتب المدعي العام للجمهورية، الذي توجه إليه صاحب الشكوى في </w:t>
      </w:r>
      <w:r w:rsidRPr="00C8421F">
        <w:rPr>
          <w:rtl/>
        </w:rPr>
        <w:t>23</w:t>
      </w:r>
      <w:r w:rsidRPr="00772E40">
        <w:rPr>
          <w:rtl/>
        </w:rPr>
        <w:t xml:space="preserve"> تشرين الأول/أكتوبر </w:t>
      </w:r>
      <w:r w:rsidRPr="00C8421F">
        <w:rPr>
          <w:rtl/>
        </w:rPr>
        <w:t>2014</w:t>
      </w:r>
      <w:r w:rsidRPr="00772E40">
        <w:rPr>
          <w:rtl/>
        </w:rPr>
        <w:t xml:space="preserve"> للإبلاغ عن الوقائع. ولأن صاحب الشكوى أشار إلى العصابة الإجرامية </w:t>
      </w:r>
      <w:proofErr w:type="spellStart"/>
      <w:r w:rsidRPr="00772E40">
        <w:rPr>
          <w:rtl/>
        </w:rPr>
        <w:t>غيريروس</w:t>
      </w:r>
      <w:proofErr w:type="spellEnd"/>
      <w:r w:rsidRPr="00772E40">
        <w:rPr>
          <w:rtl/>
        </w:rPr>
        <w:t xml:space="preserve"> </w:t>
      </w:r>
      <w:proofErr w:type="spellStart"/>
      <w:r w:rsidRPr="00772E40">
        <w:rPr>
          <w:rtl/>
        </w:rPr>
        <w:t>أونيدوس</w:t>
      </w:r>
      <w:proofErr w:type="spellEnd"/>
      <w:r w:rsidRPr="00772E40">
        <w:rPr>
          <w:rtl/>
        </w:rPr>
        <w:t xml:space="preserve"> وإلى أفراد من شرطة </w:t>
      </w:r>
      <w:r w:rsidRPr="00772E40">
        <w:rPr>
          <w:rFonts w:hint="cs"/>
          <w:rtl/>
        </w:rPr>
        <w:t xml:space="preserve">بلدية </w:t>
      </w:r>
      <w:proofErr w:type="spellStart"/>
      <w:r w:rsidRPr="00772E40">
        <w:rPr>
          <w:rtl/>
        </w:rPr>
        <w:t>تاكسكو</w:t>
      </w:r>
      <w:proofErr w:type="spellEnd"/>
      <w:r w:rsidRPr="00772E40">
        <w:rPr>
          <w:rtl/>
        </w:rPr>
        <w:t xml:space="preserve">، فقد قرر موظف مكتب المدعي العام خطأً إدراج اسميْ صاحب الشكوى وزوجته ضمن قائمة أصحاب الشكوى موضوع ملف التحقيق الأولي المفتوح بشأن اختفاء </w:t>
      </w:r>
      <w:r w:rsidRPr="00C8421F">
        <w:rPr>
          <w:rtl/>
        </w:rPr>
        <w:t>43</w:t>
      </w:r>
      <w:r w:rsidRPr="00772E40">
        <w:rPr>
          <w:rtl/>
        </w:rPr>
        <w:t xml:space="preserve"> طالباً في مدرسة </w:t>
      </w:r>
      <w:proofErr w:type="spellStart"/>
      <w:r w:rsidRPr="00772E40">
        <w:rPr>
          <w:rtl/>
        </w:rPr>
        <w:t>أيوتثينابا</w:t>
      </w:r>
      <w:proofErr w:type="spellEnd"/>
      <w:r w:rsidRPr="00772E40">
        <w:rPr>
          <w:rtl/>
        </w:rPr>
        <w:t xml:space="preserve"> لتدريب المدرسين، رغم عدم وجود أي صلة بين هذه الوقائع وتلك التي أراد صاحب الشكوى الإبلاغ عنها. ولم يُفتح أي تحقيق أولي في الجرائم التي أبلغ عنها صاحب الشكوى وزوجته، وحُرما أيضاً من إمكانية طلب اتخاذ تدابير وقائية لصالحهما. </w:t>
      </w:r>
    </w:p>
    <w:p w14:paraId="4F8D787D" w14:textId="3F70F3EB" w:rsidR="00772E40" w:rsidRPr="00772E40" w:rsidRDefault="00772E40" w:rsidP="00772E40">
      <w:pPr>
        <w:pStyle w:val="SingleTxtGA"/>
      </w:pPr>
      <w:r w:rsidRPr="00C8421F">
        <w:rPr>
          <w:rtl/>
        </w:rPr>
        <w:t>2</w:t>
      </w:r>
      <w:r w:rsidRPr="00772E40">
        <w:rPr>
          <w:rtl/>
        </w:rPr>
        <w:t>-</w:t>
      </w:r>
      <w:r w:rsidRPr="00C8421F">
        <w:rPr>
          <w:rtl/>
        </w:rPr>
        <w:t>27</w:t>
      </w:r>
      <w:r w:rsidRPr="00772E40">
        <w:rPr>
          <w:rtl/>
        </w:rPr>
        <w:tab/>
        <w:t xml:space="preserve">وفي </w:t>
      </w:r>
      <w:r w:rsidRPr="00C8421F">
        <w:rPr>
          <w:rtl/>
        </w:rPr>
        <w:t>20</w:t>
      </w:r>
      <w:r w:rsidRPr="00772E40">
        <w:rPr>
          <w:rtl/>
        </w:rPr>
        <w:t xml:space="preserve"> نيسان/أبريل </w:t>
      </w:r>
      <w:r w:rsidRPr="00C8421F">
        <w:rPr>
          <w:rtl/>
        </w:rPr>
        <w:t>2015</w:t>
      </w:r>
      <w:r w:rsidRPr="00772E40">
        <w:rPr>
          <w:rtl/>
        </w:rPr>
        <w:t xml:space="preserve">، توجه صاحب الشكوى وزوجته مرة أخرى إلى مكتب مساعد المدعي العام، بالنظر إلى عدم اتخاذ أي تدابير وقائية وعدم مباشرة أي إجراءات جنائية. وفي </w:t>
      </w:r>
      <w:r w:rsidRPr="00C8421F">
        <w:rPr>
          <w:rtl/>
        </w:rPr>
        <w:t>14</w:t>
      </w:r>
      <w:r w:rsidRPr="00772E40">
        <w:rPr>
          <w:rtl/>
        </w:rPr>
        <w:t xml:space="preserve"> آذار/</w:t>
      </w:r>
      <w:r w:rsidR="002F6DFB">
        <w:rPr>
          <w:rFonts w:hint="cs"/>
          <w:rtl/>
        </w:rPr>
        <w:t xml:space="preserve"> </w:t>
      </w:r>
      <w:r w:rsidRPr="00772E40">
        <w:rPr>
          <w:rtl/>
        </w:rPr>
        <w:t xml:space="preserve">مارس </w:t>
      </w:r>
      <w:r w:rsidRPr="00C8421F">
        <w:rPr>
          <w:rtl/>
        </w:rPr>
        <w:t>2016</w:t>
      </w:r>
      <w:r w:rsidRPr="00772E40">
        <w:rPr>
          <w:rtl/>
        </w:rPr>
        <w:t xml:space="preserve">، أعلن مكتب مساعد المدعي العام عدم اختصاصه بالتحقيق في هذه الأفعال الإجرامية، إذ يتعلق الأمر بجرائم تندرج في إطار الاختصاص المحلي، وتقع على سلطات ولاية </w:t>
      </w:r>
      <w:proofErr w:type="spellStart"/>
      <w:r w:rsidRPr="00772E40">
        <w:rPr>
          <w:rtl/>
        </w:rPr>
        <w:t>غيريرو</w:t>
      </w:r>
      <w:proofErr w:type="spellEnd"/>
      <w:r w:rsidRPr="00772E40">
        <w:rPr>
          <w:rtl/>
        </w:rPr>
        <w:t xml:space="preserve"> مسؤولية تنفيذ الإجراءات اللازمة. وفي </w:t>
      </w:r>
      <w:r w:rsidRPr="00C8421F">
        <w:rPr>
          <w:rtl/>
        </w:rPr>
        <w:t>13</w:t>
      </w:r>
      <w:r w:rsidRPr="00772E40">
        <w:rPr>
          <w:rtl/>
        </w:rPr>
        <w:t xml:space="preserve"> نيسان/أبريل </w:t>
      </w:r>
      <w:r w:rsidRPr="00C8421F">
        <w:rPr>
          <w:rtl/>
        </w:rPr>
        <w:t>2016</w:t>
      </w:r>
      <w:r w:rsidRPr="00772E40">
        <w:rPr>
          <w:rtl/>
        </w:rPr>
        <w:t xml:space="preserve">، قدَّم صاحب الشكوى طلباً للحماية الدستورية إلى مكتب مساعد المدعي العام. وفي </w:t>
      </w:r>
      <w:r w:rsidRPr="00C8421F">
        <w:rPr>
          <w:rtl/>
        </w:rPr>
        <w:t>1</w:t>
      </w:r>
      <w:r w:rsidRPr="00772E40">
        <w:rPr>
          <w:rtl/>
        </w:rPr>
        <w:t xml:space="preserve"> تموز/يوليه </w:t>
      </w:r>
      <w:r w:rsidRPr="00C8421F">
        <w:rPr>
          <w:rtl/>
        </w:rPr>
        <w:t>2016</w:t>
      </w:r>
      <w:r w:rsidRPr="00772E40">
        <w:rPr>
          <w:rtl/>
        </w:rPr>
        <w:t>، أمرت المحكمة المحلية الحادية عشرة المختصة بالنظر في طلبات الحماية الدستورية في القضايا الجنائية مكتبَ مساعد المدعي العام بأن يحقق في انتهاكات حقوق الإنسان المرتكبة ضد صاحب الشكوى، بما في ذلك ما تعرض له من تعذيب و</w:t>
      </w:r>
      <w:r w:rsidRPr="00772E40">
        <w:rPr>
          <w:rFonts w:hint="cs"/>
          <w:rtl/>
        </w:rPr>
        <w:t xml:space="preserve">احتجاز </w:t>
      </w:r>
      <w:r w:rsidRPr="00772E40">
        <w:rPr>
          <w:rtl/>
        </w:rPr>
        <w:t xml:space="preserve">غير قانوني، وبأن ينظر في الأدلة المقدمة لصالحه، وفقاً لدليل التقصي والتوثيق الفعالين للتعذيب وغيره من ضروب المعاملة أو العقوبة القاسية أو اللاإنسانية أو المهينة (بروتوكول اسطنبول)، وبأن يحقق في الصلات القائمة بين هيئات الأمن وعصابات الجريمة المنظمة الناشطة في بلدية </w:t>
      </w:r>
      <w:proofErr w:type="spellStart"/>
      <w:r w:rsidRPr="00772E40">
        <w:rPr>
          <w:rtl/>
        </w:rPr>
        <w:t>تاكسكو</w:t>
      </w:r>
      <w:proofErr w:type="spellEnd"/>
      <w:r w:rsidRPr="00772E40">
        <w:rPr>
          <w:rtl/>
        </w:rPr>
        <w:t xml:space="preserve">. </w:t>
      </w:r>
    </w:p>
    <w:p w14:paraId="015429E2" w14:textId="77777777" w:rsidR="00772E40" w:rsidRPr="00772E40" w:rsidRDefault="00772E40" w:rsidP="00772E40">
      <w:pPr>
        <w:pStyle w:val="SingleTxtGA"/>
      </w:pPr>
      <w:r w:rsidRPr="00C8421F">
        <w:rPr>
          <w:rtl/>
        </w:rPr>
        <w:t>2</w:t>
      </w:r>
      <w:r w:rsidRPr="00772E40">
        <w:rPr>
          <w:rtl/>
        </w:rPr>
        <w:t>-</w:t>
      </w:r>
      <w:r w:rsidRPr="00C8421F">
        <w:rPr>
          <w:rtl/>
        </w:rPr>
        <w:t>28</w:t>
      </w:r>
      <w:r w:rsidRPr="00772E40">
        <w:rPr>
          <w:rtl/>
        </w:rPr>
        <w:tab/>
        <w:t xml:space="preserve">ويخلص صاحب الشكوى إلى استيفاء الشروط اللازمة لادعاء عدم انطباق قاعدة استنفاد سبل الانتصاف المحلية المتاحة، المنصوص عليها في المادة </w:t>
      </w:r>
      <w:r w:rsidRPr="00C8421F">
        <w:rPr>
          <w:rtl/>
        </w:rPr>
        <w:t>22</w:t>
      </w:r>
      <w:r w:rsidRPr="00772E40">
        <w:rPr>
          <w:rtl/>
        </w:rPr>
        <w:t>(</w:t>
      </w:r>
      <w:r w:rsidRPr="00C8421F">
        <w:rPr>
          <w:rtl/>
        </w:rPr>
        <w:t>5</w:t>
      </w:r>
      <w:r w:rsidRPr="00772E40">
        <w:rPr>
          <w:rtl/>
        </w:rPr>
        <w:t>)(ب) من الاتفاقية، لأن إجراءات سبل الانتصاف المحلية طالت بلا مبرر، حيث مرَّت ثلاث سنوات وشهران على تقديم شكواه الأولى وانقضى أكثر من سنة على إعادة تقديم شكواه إلى مكتب مساعد المدعي العام من دون أن تحرز سلطات إقامة العدل أي تقدم في التحقيق، ناهيك عن تحديد أفراد الشرطة المسؤولين عمَّا تعرض له من أفعال تعذيب وإصابات، كثير منها خطير، وتوجيه التهمة إليهم.</w:t>
      </w:r>
    </w:p>
    <w:p w14:paraId="14D767BF" w14:textId="55AF9546" w:rsidR="00772E40" w:rsidRPr="00772E40" w:rsidRDefault="00772E40" w:rsidP="00772E40">
      <w:pPr>
        <w:pStyle w:val="SingleTxtGA"/>
      </w:pPr>
      <w:r w:rsidRPr="00C8421F">
        <w:rPr>
          <w:rtl/>
        </w:rPr>
        <w:lastRenderedPageBreak/>
        <w:t>2</w:t>
      </w:r>
      <w:r w:rsidRPr="00772E40">
        <w:rPr>
          <w:rtl/>
        </w:rPr>
        <w:t>-</w:t>
      </w:r>
      <w:r w:rsidRPr="00C8421F">
        <w:rPr>
          <w:rtl/>
        </w:rPr>
        <w:t>29</w:t>
      </w:r>
      <w:r w:rsidRPr="00772E40">
        <w:rPr>
          <w:rtl/>
        </w:rPr>
        <w:tab/>
        <w:t xml:space="preserve">ويشير صاحب الشكوى أيضاً إلى أن سبل الانتصاف المحلية الوحيدة التي يتيحها القانون الجنائي المكسيكي للتحقيق في فعل من أفعال التعذيب أو غيره من ضروب المعاملة القاسية أو اللاإنسانية أو المهينة فيما يتعلق بقضية صاحب الشكوى، تتمثل فيما يلي: (أ) التحقيق الجنائي الذي تجريه سلطات إقامة العدل في ولاية </w:t>
      </w:r>
      <w:proofErr w:type="spellStart"/>
      <w:r w:rsidRPr="00772E40">
        <w:rPr>
          <w:rtl/>
        </w:rPr>
        <w:t>غيريرو</w:t>
      </w:r>
      <w:proofErr w:type="spellEnd"/>
      <w:r w:rsidRPr="00772E40">
        <w:rPr>
          <w:rtl/>
        </w:rPr>
        <w:t>، و(ب) التحقيق الجنائي الذي يجريه مكتب مساعد المدعي العام. وقدَّم صاحب الشكوى الشكاوى ذات الصلة، وعلِمت السلطات المختصة بادعاءات التعذيب الواردة فيها</w:t>
      </w:r>
      <w:r w:rsidRPr="00772E40">
        <w:rPr>
          <w:vertAlign w:val="superscript"/>
          <w:rtl/>
        </w:rPr>
        <w:t>(</w:t>
      </w:r>
      <w:r w:rsidRPr="00C8421F">
        <w:rPr>
          <w:vertAlign w:val="superscript"/>
          <w:lang w:val="en-US"/>
        </w:rPr>
        <w:footnoteReference w:id="8"/>
      </w:r>
      <w:r w:rsidRPr="00772E40">
        <w:rPr>
          <w:vertAlign w:val="superscript"/>
          <w:rtl/>
        </w:rPr>
        <w:t>)</w:t>
      </w:r>
      <w:r w:rsidRPr="00772E40">
        <w:rPr>
          <w:rtl/>
        </w:rPr>
        <w:t>. ويدعي صاحب الشكوى أنه لم يُجر أي تحقيق جنائي في أفعال التعذيب التي تعرض لها، وأن سلطات إقامة العدل لم تحدد أفراد الشرطة المتورطين في الوقائع ولم تُخضعهم لأي إجراءات. وعلاوةً على ذلك، يرى صاحب الشكوى أنه من المعقول توقُّع ألا توفر له سبل الانتصاف المتاحة أي حماية فعالة، لأن تقاعس السلطات المختصة يجعل من غير المحتمل أن يفضي تقديم طعن في الإجراءات إلى جبر الضرر اللاحق به على نحو فعال، وإلى تحسُّن حالته كضحية</w:t>
      </w:r>
      <w:r w:rsidRPr="00772E40">
        <w:rPr>
          <w:vertAlign w:val="superscript"/>
          <w:rtl/>
        </w:rPr>
        <w:t>(</w:t>
      </w:r>
      <w:r w:rsidRPr="00C8421F">
        <w:rPr>
          <w:vertAlign w:val="superscript"/>
          <w:lang w:val="en-US"/>
        </w:rPr>
        <w:footnoteReference w:id="9"/>
      </w:r>
      <w:r w:rsidRPr="00772E40">
        <w:rPr>
          <w:vertAlign w:val="superscript"/>
          <w:rtl/>
        </w:rPr>
        <w:t>)</w:t>
      </w:r>
      <w:r w:rsidRPr="00772E40">
        <w:rPr>
          <w:rtl/>
        </w:rPr>
        <w:t xml:space="preserve">. </w:t>
      </w:r>
    </w:p>
    <w:p w14:paraId="26B3B70C" w14:textId="77777777" w:rsidR="00772E40" w:rsidRPr="00C8421F" w:rsidRDefault="00772E40" w:rsidP="00772E40">
      <w:pPr>
        <w:pStyle w:val="H4GA"/>
      </w:pPr>
      <w:r w:rsidRPr="00C8421F">
        <w:rPr>
          <w:rtl/>
        </w:rPr>
        <w:tab/>
      </w:r>
      <w:r w:rsidRPr="00C8421F">
        <w:rPr>
          <w:rtl/>
        </w:rPr>
        <w:tab/>
        <w:t xml:space="preserve">الشكوى </w:t>
      </w:r>
    </w:p>
    <w:p w14:paraId="5782103A" w14:textId="77777777" w:rsidR="00772E40" w:rsidRPr="00772E40" w:rsidRDefault="00772E40" w:rsidP="00772E40">
      <w:pPr>
        <w:pStyle w:val="SingleTxtGA"/>
      </w:pPr>
      <w:r w:rsidRPr="00C8421F">
        <w:rPr>
          <w:rtl/>
        </w:rPr>
        <w:t>3</w:t>
      </w:r>
      <w:r w:rsidRPr="00772E40">
        <w:rPr>
          <w:rtl/>
        </w:rPr>
        <w:t>-</w:t>
      </w:r>
      <w:r w:rsidRPr="00C8421F">
        <w:rPr>
          <w:rtl/>
        </w:rPr>
        <w:t>1</w:t>
      </w:r>
      <w:r w:rsidRPr="00772E40">
        <w:rPr>
          <w:rtl/>
        </w:rPr>
        <w:tab/>
        <w:t xml:space="preserve">يدعي صاحب الشكوى وقوع انتهاك للمادة </w:t>
      </w:r>
      <w:r w:rsidRPr="00C8421F">
        <w:rPr>
          <w:rtl/>
        </w:rPr>
        <w:t>1</w:t>
      </w:r>
      <w:r w:rsidRPr="00772E40">
        <w:rPr>
          <w:rtl/>
        </w:rPr>
        <w:t xml:space="preserve">، مقروءة بالاقتران مع المادة </w:t>
      </w:r>
      <w:r w:rsidRPr="00C8421F">
        <w:rPr>
          <w:rtl/>
        </w:rPr>
        <w:t>2</w:t>
      </w:r>
      <w:r w:rsidRPr="00772E40">
        <w:rPr>
          <w:rtl/>
        </w:rPr>
        <w:t>(</w:t>
      </w:r>
      <w:r w:rsidRPr="00C8421F">
        <w:rPr>
          <w:rtl/>
        </w:rPr>
        <w:t>1</w:t>
      </w:r>
      <w:r w:rsidRPr="00772E40">
        <w:rPr>
          <w:rtl/>
        </w:rPr>
        <w:t xml:space="preserve">) من الاتفاقية. ويدعي أن ضروب المعاملة الموصوفة التي تعرض لها أثناء إلقاء القبض عليه ونقله واحتجازه خلال الساعات التي سُلب فيها حريته تندرج ضمن أفعال التعذيب وفقاً للمادة </w:t>
      </w:r>
      <w:r w:rsidRPr="00C8421F">
        <w:rPr>
          <w:rtl/>
        </w:rPr>
        <w:t>1</w:t>
      </w:r>
      <w:r w:rsidRPr="00772E40">
        <w:rPr>
          <w:rtl/>
        </w:rPr>
        <w:t xml:space="preserve"> من الاتفاقية. وبعبارة أخرى، تسبب له موظفو الدولة عمداً في آلام ومعاناة بدنية ونفسية شديدة، خلَّفت لديه إصابات بدنية ونفسية خطيرة. فقد ألحقت هذه الإصابات بصاحب الشكوى أضراراً صحية خطيرة لا يمكن علاجها، لدرجة أنه لا يستطيع، حتى الآن، ممارسة عمله كحرفي بنفس الجودة المعهودة، بسبب الإصابات التي لحقت بمعصميه ومفاصله، ولم يتمكَّن أيضاً </w:t>
      </w:r>
      <w:r w:rsidRPr="00772E40">
        <w:rPr>
          <w:rFonts w:hint="cs"/>
          <w:rtl/>
        </w:rPr>
        <w:t xml:space="preserve">من </w:t>
      </w:r>
      <w:r w:rsidRPr="00772E40">
        <w:rPr>
          <w:rtl/>
        </w:rPr>
        <w:t>إقامة علاقات جنسية مع زوجته، بسبب ضربه على أعضائه التناسلية. ويدعي صاحب الشكوى أن هدف أفراد شرطة البلدية كان واضحاً وتمثَّل في معاقبته وتخويفه بسبب "</w:t>
      </w:r>
      <w:r w:rsidRPr="00772E40">
        <w:rPr>
          <w:rFonts w:hint="cs"/>
          <w:rtl/>
        </w:rPr>
        <w:t>إزعاجه</w:t>
      </w:r>
      <w:r w:rsidRPr="00772E40">
        <w:rPr>
          <w:rtl/>
        </w:rPr>
        <w:t xml:space="preserve"> لهم". </w:t>
      </w:r>
    </w:p>
    <w:p w14:paraId="33B5607E" w14:textId="77777777" w:rsidR="00772E40" w:rsidRPr="00772E40" w:rsidRDefault="00772E40" w:rsidP="00772E40">
      <w:pPr>
        <w:pStyle w:val="SingleTxtGA"/>
        <w:rPr>
          <w:spacing w:val="-2"/>
        </w:rPr>
      </w:pPr>
      <w:r w:rsidRPr="00C8421F">
        <w:rPr>
          <w:spacing w:val="-2"/>
          <w:rtl/>
        </w:rPr>
        <w:t>3</w:t>
      </w:r>
      <w:r w:rsidRPr="00772E40">
        <w:rPr>
          <w:spacing w:val="-2"/>
          <w:rtl/>
        </w:rPr>
        <w:t>-</w:t>
      </w:r>
      <w:r w:rsidRPr="00C8421F">
        <w:rPr>
          <w:spacing w:val="-2"/>
          <w:rtl/>
        </w:rPr>
        <w:t>2</w:t>
      </w:r>
      <w:r w:rsidRPr="00772E40">
        <w:rPr>
          <w:spacing w:val="-2"/>
          <w:rtl/>
        </w:rPr>
        <w:tab/>
        <w:t xml:space="preserve">ويدعي صاحب الشكوى أن الدولة أخلَّت بالتزامها بمنع التعذيب، حيث سمحت باحتجازه من دون وجود حالة تلبس، ولا صدور أمر قضائي مسبق، ولا إدراج اسمه في سجل المحتجزين، ولا خضوع احتجازه للمراقبة القضائية، ولا منحه إمكانية الخضوع للفحص الطبي وتلقي الرعاية الطبية. فقد سمحت الدولة الطرف باحتجازه من دون إخضاعه للفحص الطبي والرعاية الطبية، وبوضعه قيد الاحتجاز مع منع الاتصال، من دون منحه إمكانية الاتصال بمحام ولا الخضوع للفحص من قبل أطباء مستقلين. ويشير صاحب الشكوى إلى أنه خضع لأول فحص من قِبل طبيب شرعي عندما كان مسلوب الحرية، ولم يُجرِ هذا الفحصَ طبيب مستقل، بل طبيب تابع لإدارة الأمن العام في البلدية، أغفل الإشارة إلى إصاباته الخطيرة. </w:t>
      </w:r>
    </w:p>
    <w:p w14:paraId="504394A5" w14:textId="77777777" w:rsidR="00772E40" w:rsidRPr="00772E40" w:rsidRDefault="00772E40" w:rsidP="00772E40">
      <w:pPr>
        <w:pStyle w:val="SingleTxtGA"/>
        <w:rPr>
          <w:spacing w:val="-2"/>
        </w:rPr>
      </w:pPr>
      <w:r w:rsidRPr="00C8421F">
        <w:rPr>
          <w:spacing w:val="-2"/>
          <w:rtl/>
        </w:rPr>
        <w:t>3</w:t>
      </w:r>
      <w:r w:rsidRPr="00772E40">
        <w:rPr>
          <w:spacing w:val="-2"/>
          <w:rtl/>
        </w:rPr>
        <w:t>-</w:t>
      </w:r>
      <w:r w:rsidRPr="00C8421F">
        <w:rPr>
          <w:spacing w:val="-2"/>
          <w:rtl/>
        </w:rPr>
        <w:t>3</w:t>
      </w:r>
      <w:r w:rsidRPr="00772E40">
        <w:rPr>
          <w:spacing w:val="-2"/>
          <w:rtl/>
        </w:rPr>
        <w:tab/>
        <w:t xml:space="preserve">ويدعي صاحب الشكوى وقوع انتهاك للمادة </w:t>
      </w:r>
      <w:r w:rsidRPr="00C8421F">
        <w:rPr>
          <w:spacing w:val="-2"/>
          <w:rtl/>
        </w:rPr>
        <w:t>16</w:t>
      </w:r>
      <w:r w:rsidRPr="00772E40">
        <w:rPr>
          <w:spacing w:val="-2"/>
          <w:rtl/>
        </w:rPr>
        <w:t xml:space="preserve">، مقروءة بالاقتران مع المادة </w:t>
      </w:r>
      <w:r w:rsidRPr="00C8421F">
        <w:rPr>
          <w:spacing w:val="-2"/>
          <w:rtl/>
        </w:rPr>
        <w:t>2</w:t>
      </w:r>
      <w:r w:rsidRPr="00772E40">
        <w:rPr>
          <w:spacing w:val="-2"/>
          <w:rtl/>
        </w:rPr>
        <w:t>(</w:t>
      </w:r>
      <w:r w:rsidRPr="00C8421F">
        <w:rPr>
          <w:spacing w:val="-2"/>
          <w:rtl/>
        </w:rPr>
        <w:t>1</w:t>
      </w:r>
      <w:r w:rsidRPr="00772E40">
        <w:rPr>
          <w:spacing w:val="-2"/>
          <w:rtl/>
        </w:rPr>
        <w:t xml:space="preserve">) من الاتفاقية، بالنظر إلى الأفعال التي ارتكبها أفراد شرطة </w:t>
      </w:r>
      <w:proofErr w:type="spellStart"/>
      <w:r w:rsidRPr="00772E40">
        <w:rPr>
          <w:spacing w:val="-2"/>
          <w:rtl/>
        </w:rPr>
        <w:t>تاكسكو</w:t>
      </w:r>
      <w:proofErr w:type="spellEnd"/>
      <w:r w:rsidRPr="00772E40">
        <w:rPr>
          <w:spacing w:val="-2"/>
          <w:rtl/>
        </w:rPr>
        <w:t xml:space="preserve"> لدى إلقاء القبض عليه وخلال نقله إلى مقر قيادة الشرطة وفترة بقائه </w:t>
      </w:r>
      <w:r w:rsidRPr="00772E40">
        <w:rPr>
          <w:rFonts w:hint="cs"/>
          <w:spacing w:val="-2"/>
          <w:rtl/>
        </w:rPr>
        <w:t>هناك</w:t>
      </w:r>
      <w:r w:rsidRPr="00772E40">
        <w:rPr>
          <w:spacing w:val="-2"/>
          <w:rtl/>
        </w:rPr>
        <w:t xml:space="preserve">. وفي حال رأت اللجنة أن هذه الأفعال لا تشكل أفعال تعذيب بالمعنى المقصود في المادة </w:t>
      </w:r>
      <w:r w:rsidRPr="00C8421F">
        <w:rPr>
          <w:spacing w:val="-2"/>
          <w:rtl/>
        </w:rPr>
        <w:t>1</w:t>
      </w:r>
      <w:r w:rsidRPr="00772E40">
        <w:rPr>
          <w:spacing w:val="-2"/>
          <w:rtl/>
        </w:rPr>
        <w:t xml:space="preserve"> من الاتفاقية، فإن صاحب الشكوى يرى أنها من ضروب المعاملة القاسية أو اللاإنسانية أو المهينة. وتنضاف إليها المعاملة المنافية لمبدأ احترام كرامته، إذ حُرم من الرعاية الطبية والمياه وورق المرحاض. </w:t>
      </w:r>
    </w:p>
    <w:p w14:paraId="4BAA53BC" w14:textId="77777777" w:rsidR="00772E40" w:rsidRPr="00772E40" w:rsidRDefault="00772E40" w:rsidP="00772E40">
      <w:pPr>
        <w:pStyle w:val="SingleTxtGA"/>
      </w:pPr>
      <w:r w:rsidRPr="00C8421F">
        <w:rPr>
          <w:rtl/>
        </w:rPr>
        <w:t>3</w:t>
      </w:r>
      <w:r w:rsidRPr="00772E40">
        <w:rPr>
          <w:rtl/>
        </w:rPr>
        <w:t>-</w:t>
      </w:r>
      <w:r w:rsidRPr="00C8421F">
        <w:rPr>
          <w:rtl/>
        </w:rPr>
        <w:t>4</w:t>
      </w:r>
      <w:r w:rsidRPr="00772E40">
        <w:rPr>
          <w:rtl/>
        </w:rPr>
        <w:tab/>
        <w:t xml:space="preserve">ويدعي صاحب الشكوى أن الدولة الطرف انتهكت المادة </w:t>
      </w:r>
      <w:r w:rsidRPr="00C8421F">
        <w:rPr>
          <w:rtl/>
        </w:rPr>
        <w:t>11</w:t>
      </w:r>
      <w:r w:rsidRPr="00772E40">
        <w:rPr>
          <w:rtl/>
        </w:rPr>
        <w:t xml:space="preserve"> من الاتفاقية، لأن السلطات لم تطبق، خلال فترة احتجازه في مقر قيادة الشرطة، بروتوكول اسطنبول ولا أي دليل آخر يتوافق مع </w:t>
      </w:r>
      <w:r w:rsidRPr="00772E40">
        <w:rPr>
          <w:rtl/>
        </w:rPr>
        <w:lastRenderedPageBreak/>
        <w:t>المعايير الدولية بشأن أساليب منع أفعال التعذيب وتحديدها وتوثيقها، ولم تأمر بذلك مكاتب المدعي العام التي تلقت مختلف شكاواه، حتى تاريخ تقديم هذ</w:t>
      </w:r>
      <w:r w:rsidRPr="00772E40">
        <w:rPr>
          <w:rFonts w:hint="cs"/>
          <w:rtl/>
        </w:rPr>
        <w:t>ا</w:t>
      </w:r>
      <w:r w:rsidRPr="00772E40">
        <w:rPr>
          <w:rtl/>
        </w:rPr>
        <w:t xml:space="preserve"> البلاغ. وسمح هذا التقصير بارتكاب أفعال التعذيب وسوء المعاملة ويسَّر التستر على أفراد الشرطة الذين ارتكبوها. </w:t>
      </w:r>
    </w:p>
    <w:p w14:paraId="605B2C4F" w14:textId="77777777" w:rsidR="00772E40" w:rsidRPr="00772E40" w:rsidRDefault="00772E40" w:rsidP="00772E40">
      <w:pPr>
        <w:pStyle w:val="SingleTxtGA"/>
      </w:pPr>
      <w:r w:rsidRPr="00C8421F">
        <w:rPr>
          <w:rtl/>
        </w:rPr>
        <w:t>3</w:t>
      </w:r>
      <w:r w:rsidRPr="00772E40">
        <w:rPr>
          <w:rtl/>
        </w:rPr>
        <w:t>-</w:t>
      </w:r>
      <w:r w:rsidRPr="00C8421F">
        <w:rPr>
          <w:rtl/>
        </w:rPr>
        <w:t>5</w:t>
      </w:r>
      <w:r w:rsidRPr="00772E40">
        <w:rPr>
          <w:rtl/>
        </w:rPr>
        <w:tab/>
        <w:t xml:space="preserve">ويدعي صاحب الشكوى أن الدولة الطرف انتهكت المادتين </w:t>
      </w:r>
      <w:r w:rsidRPr="00C8421F">
        <w:rPr>
          <w:rtl/>
        </w:rPr>
        <w:t>12</w:t>
      </w:r>
      <w:r w:rsidRPr="00772E40">
        <w:rPr>
          <w:rtl/>
        </w:rPr>
        <w:t xml:space="preserve"> و</w:t>
      </w:r>
      <w:r w:rsidRPr="00C8421F">
        <w:rPr>
          <w:rtl/>
        </w:rPr>
        <w:t>13</w:t>
      </w:r>
      <w:r w:rsidRPr="00772E40">
        <w:rPr>
          <w:rtl/>
        </w:rPr>
        <w:t xml:space="preserve"> من الاتفاقية بعدم كفالتها إجراء سلطات مختصة ومحايدة تحقيقاً سريعاً وفورياً وشاملاً في الأفعال المبلغ عنها، وبعدم سماح</w:t>
      </w:r>
      <w:r w:rsidRPr="00772E40">
        <w:rPr>
          <w:rFonts w:hint="cs"/>
          <w:rtl/>
        </w:rPr>
        <w:t>ها</w:t>
      </w:r>
      <w:r w:rsidRPr="00772E40">
        <w:rPr>
          <w:rtl/>
        </w:rPr>
        <w:t xml:space="preserve"> للسلطات المختصة بالنظر في الشكوى على نحو فوري ونزيه. وبالإضافة إلى ذلك، وبعد مرور ثلاث سنوات وشهرين على حدوث الوقائع، لا توجد أي معلومات رسمية عن طبيعة وملابسات الأفعال التي ارتكبها أفراد الشرطة، ولم يخضع للتحقيق الجنائي أي من أفراد الشرطة الذين شاركوا في أفعال التعذيب، ولم تجر بالتالي محاكمة ولا معاقبة أيٍّ منهم بما يتناسب وخطورةَ هذه الأفعال. </w:t>
      </w:r>
    </w:p>
    <w:p w14:paraId="24BFCAD0" w14:textId="77777777" w:rsidR="00772E40" w:rsidRPr="00772E40" w:rsidRDefault="00772E40" w:rsidP="00772E40">
      <w:pPr>
        <w:pStyle w:val="SingleTxtGA"/>
      </w:pPr>
      <w:r w:rsidRPr="00C8421F">
        <w:rPr>
          <w:rtl/>
        </w:rPr>
        <w:t>3</w:t>
      </w:r>
      <w:r w:rsidRPr="00772E40">
        <w:rPr>
          <w:rtl/>
        </w:rPr>
        <w:t>-</w:t>
      </w:r>
      <w:r w:rsidRPr="00C8421F">
        <w:rPr>
          <w:rtl/>
        </w:rPr>
        <w:t>6</w:t>
      </w:r>
      <w:r w:rsidRPr="00772E40">
        <w:rPr>
          <w:rtl/>
        </w:rPr>
        <w:tab/>
        <w:t xml:space="preserve">ويشير صاحب الشكوى إلى أنه لم يباشَر أي تحقيق فوري ونزيه ولم يصدر أمر بإجراء خبرة طبية مستقلة، رغم تقديمه شكوى بشأن التعذيب الذي تعرض له إلى مكتب المدعي العام ثم إلى مكتب مساعد المدعي العام، وتقديمه وصفاً مفصلاً لأفعال التعذيب وملابساتها، وفي كل ذلك انتهاك للمادة </w:t>
      </w:r>
      <w:r w:rsidRPr="00C8421F">
        <w:rPr>
          <w:rtl/>
        </w:rPr>
        <w:t>12</w:t>
      </w:r>
      <w:r w:rsidRPr="00772E40">
        <w:rPr>
          <w:rtl/>
        </w:rPr>
        <w:t xml:space="preserve"> من الاتفاقية. وبالإضافة إلى الخلط بين الوقائع التي أبلغ عنها صاحب الشكوى والوقائع المتصلة بتحقيق آخر، اكتفى مكتب مساعد المدعي العام في البداية بفتح محضر بشأن الملابسات ثم أعلن عدم اختصاصه. ورغم أن صاحب </w:t>
      </w:r>
      <w:r w:rsidRPr="00772E40">
        <w:rPr>
          <w:rFonts w:hint="cs"/>
          <w:rtl/>
        </w:rPr>
        <w:t xml:space="preserve">الشكوى </w:t>
      </w:r>
      <w:r w:rsidRPr="00772E40">
        <w:rPr>
          <w:rtl/>
        </w:rPr>
        <w:t>استطاع تقديم طلب للحماية القضائية الدستورية بغرض إصدار أمر بفتح التحقيق في أفعال تعذيبه، قبله القاضي، ف</w:t>
      </w:r>
      <w:r w:rsidRPr="00772E40">
        <w:rPr>
          <w:rFonts w:hint="cs"/>
          <w:rtl/>
        </w:rPr>
        <w:t xml:space="preserve">إنه </w:t>
      </w:r>
      <w:r w:rsidRPr="00772E40">
        <w:rPr>
          <w:rtl/>
        </w:rPr>
        <w:t xml:space="preserve">لم يتلق، حتى تاريخ تقديم هذا البلاغ، أي معلومات عن الإجراءات التي اتخذها مكتب المدعي العام لتنفيذ هذا القرار. </w:t>
      </w:r>
    </w:p>
    <w:p w14:paraId="6CD4478E" w14:textId="77777777" w:rsidR="00772E40" w:rsidRPr="009E0828" w:rsidRDefault="00772E40" w:rsidP="00772E40">
      <w:pPr>
        <w:pStyle w:val="SingleTxtGA"/>
        <w:rPr>
          <w:spacing w:val="-1"/>
        </w:rPr>
      </w:pPr>
      <w:r w:rsidRPr="00C8421F">
        <w:rPr>
          <w:spacing w:val="-1"/>
          <w:rtl/>
        </w:rPr>
        <w:t>3</w:t>
      </w:r>
      <w:r w:rsidRPr="009E0828">
        <w:rPr>
          <w:spacing w:val="-1"/>
          <w:rtl/>
        </w:rPr>
        <w:t>-</w:t>
      </w:r>
      <w:r w:rsidRPr="00C8421F">
        <w:rPr>
          <w:spacing w:val="-1"/>
          <w:rtl/>
        </w:rPr>
        <w:t>7</w:t>
      </w:r>
      <w:r w:rsidRPr="009E0828">
        <w:rPr>
          <w:spacing w:val="-1"/>
          <w:rtl/>
        </w:rPr>
        <w:tab/>
        <w:t xml:space="preserve">ويدعي صاحب الشكوى وقوع انتهاك للمادة </w:t>
      </w:r>
      <w:r w:rsidRPr="00C8421F">
        <w:rPr>
          <w:spacing w:val="-1"/>
          <w:rtl/>
        </w:rPr>
        <w:t>14</w:t>
      </w:r>
      <w:r w:rsidRPr="009E0828">
        <w:rPr>
          <w:spacing w:val="-1"/>
          <w:rtl/>
        </w:rPr>
        <w:t xml:space="preserve"> من الاتفاقية، إذ حُرم من سبيل انتصاف قضائي فوري وفعال ونزيه يفضي إلى إثبات الوقائع ومحاكمة المسؤولين عن أفعال التعذيب ومعاقبتهم وتمكينه من الحصول على التعويض وإعادة التأهيل المناسبين. ورغم صدور توصية بتحديد مبلغ ودفعه لصاحب الشكوى على سبيل جبر الضرر، فقد تبيَّن، بعد مرور سنتين، أن مجلس بلدية </w:t>
      </w:r>
      <w:proofErr w:type="spellStart"/>
      <w:r w:rsidRPr="009E0828">
        <w:rPr>
          <w:spacing w:val="-1"/>
          <w:rtl/>
        </w:rPr>
        <w:t>تاكسكو</w:t>
      </w:r>
      <w:proofErr w:type="spellEnd"/>
      <w:r w:rsidRPr="009E0828">
        <w:rPr>
          <w:spacing w:val="-1"/>
          <w:rtl/>
        </w:rPr>
        <w:t xml:space="preserve"> اكتفى بعرض تعويض قدره </w:t>
      </w:r>
      <w:r w:rsidRPr="00C8421F">
        <w:rPr>
          <w:spacing w:val="-1"/>
          <w:rtl/>
        </w:rPr>
        <w:t>14608</w:t>
      </w:r>
      <w:r w:rsidRPr="009E0828">
        <w:rPr>
          <w:spacing w:val="-1"/>
          <w:rtl/>
        </w:rPr>
        <w:t xml:space="preserve"> </w:t>
      </w:r>
      <w:proofErr w:type="spellStart"/>
      <w:r w:rsidRPr="009E0828">
        <w:rPr>
          <w:spacing w:val="-1"/>
          <w:rtl/>
        </w:rPr>
        <w:t>بي</w:t>
      </w:r>
      <w:r w:rsidRPr="009E0828">
        <w:rPr>
          <w:rFonts w:hint="cs"/>
          <w:spacing w:val="-1"/>
          <w:rtl/>
        </w:rPr>
        <w:t>زوات</w:t>
      </w:r>
      <w:proofErr w:type="spellEnd"/>
      <w:r w:rsidRPr="009E0828">
        <w:rPr>
          <w:spacing w:val="-1"/>
          <w:rtl/>
        </w:rPr>
        <w:t xml:space="preserve">، وهو تعويض لا يراعي الأبعاد المتعددة للضرر اللاحق بصاحب الشكوى. </w:t>
      </w:r>
    </w:p>
    <w:p w14:paraId="26CA030E" w14:textId="77777777" w:rsidR="00772E40" w:rsidRPr="00772E40" w:rsidRDefault="00772E40" w:rsidP="00772E40">
      <w:pPr>
        <w:pStyle w:val="SingleTxtGA"/>
      </w:pPr>
      <w:r w:rsidRPr="00C8421F">
        <w:rPr>
          <w:rtl/>
        </w:rPr>
        <w:t>3</w:t>
      </w:r>
      <w:r w:rsidRPr="00772E40">
        <w:rPr>
          <w:rtl/>
        </w:rPr>
        <w:t>-</w:t>
      </w:r>
      <w:r w:rsidRPr="00C8421F">
        <w:rPr>
          <w:rtl/>
        </w:rPr>
        <w:t>8</w:t>
      </w:r>
      <w:r w:rsidRPr="00772E40">
        <w:rPr>
          <w:rtl/>
        </w:rPr>
        <w:tab/>
        <w:t xml:space="preserve">ويلتمس صاحب الشكوى، كإجراءات لجبر الضرر، أن تكفل الدولة الطرف إجراء تحقيق فوري ونزيه وشامل في الأفعال المرتكبة، ومحاكمة المسؤولين عنها ومعاقبهم بما يتناسب وخطورة تلك الأفعال. ويلتمس أيضاً أن توفر له الدولة الطرف سبيلاً عادلاً ومناسباً لجبر الضرر، من خلال كفالة منحه تعويضاً كافياً وإمكانية إعادة التأهيل، بما في ذلك الرعاية الطبية والنفسية. </w:t>
      </w:r>
    </w:p>
    <w:p w14:paraId="2EE3FC4A" w14:textId="77777777" w:rsidR="00772E40" w:rsidRPr="00C8421F" w:rsidRDefault="00772E40" w:rsidP="00772E40">
      <w:pPr>
        <w:pStyle w:val="H23GA"/>
      </w:pPr>
      <w:r w:rsidRPr="00C8421F">
        <w:rPr>
          <w:rtl/>
        </w:rPr>
        <w:tab/>
      </w:r>
      <w:r w:rsidRPr="00C8421F">
        <w:rPr>
          <w:rtl/>
        </w:rPr>
        <w:tab/>
        <w:t xml:space="preserve">ملاحظات الدولة الطرف بشأن المقبولية </w:t>
      </w:r>
    </w:p>
    <w:p w14:paraId="7B52724E" w14:textId="77777777" w:rsidR="00772E40" w:rsidRPr="00772E40" w:rsidRDefault="00772E40" w:rsidP="00772E40">
      <w:pPr>
        <w:pStyle w:val="SingleTxtGA"/>
      </w:pPr>
      <w:r w:rsidRPr="00C8421F">
        <w:rPr>
          <w:rtl/>
        </w:rPr>
        <w:t>4</w:t>
      </w:r>
      <w:r w:rsidRPr="00772E40">
        <w:rPr>
          <w:rtl/>
        </w:rPr>
        <w:t>-</w:t>
      </w:r>
      <w:r w:rsidRPr="00C8421F">
        <w:rPr>
          <w:rtl/>
        </w:rPr>
        <w:t>1</w:t>
      </w:r>
      <w:r w:rsidRPr="00772E40">
        <w:rPr>
          <w:rtl/>
        </w:rPr>
        <w:tab/>
        <w:t xml:space="preserve">في </w:t>
      </w:r>
      <w:r w:rsidRPr="00C8421F">
        <w:rPr>
          <w:rtl/>
        </w:rPr>
        <w:t>24</w:t>
      </w:r>
      <w:r w:rsidRPr="00772E40">
        <w:rPr>
          <w:rtl/>
        </w:rPr>
        <w:t xml:space="preserve"> كانون الثاني/يناير </w:t>
      </w:r>
      <w:r w:rsidRPr="00C8421F">
        <w:rPr>
          <w:rtl/>
        </w:rPr>
        <w:t>2017</w:t>
      </w:r>
      <w:r w:rsidRPr="00772E40">
        <w:rPr>
          <w:rtl/>
        </w:rPr>
        <w:t xml:space="preserve">، قدمت الدولة الطرف ملاحظاتها بشأن مقبولية البلاغ وطلبت إلى اللجنة أن تنظر في مقبوليته بشكل منفصل عن أسسه الموضوعية، وفقاً للمادة </w:t>
      </w:r>
      <w:r w:rsidRPr="00C8421F">
        <w:rPr>
          <w:rtl/>
        </w:rPr>
        <w:t>115</w:t>
      </w:r>
      <w:r w:rsidRPr="00772E40">
        <w:rPr>
          <w:rtl/>
        </w:rPr>
        <w:t>(</w:t>
      </w:r>
      <w:r w:rsidRPr="00C8421F">
        <w:rPr>
          <w:rtl/>
        </w:rPr>
        <w:t>3</w:t>
      </w:r>
      <w:r w:rsidRPr="00772E40">
        <w:rPr>
          <w:rtl/>
        </w:rPr>
        <w:t xml:space="preserve">) من النظام الداخلي للجنة. </w:t>
      </w:r>
    </w:p>
    <w:p w14:paraId="24F808DB" w14:textId="7CC04613" w:rsidR="00772E40" w:rsidRPr="00772E40" w:rsidRDefault="00772E40" w:rsidP="00772E40">
      <w:pPr>
        <w:pStyle w:val="SingleTxtGA"/>
      </w:pPr>
      <w:r w:rsidRPr="00C8421F">
        <w:rPr>
          <w:rtl/>
        </w:rPr>
        <w:t>4</w:t>
      </w:r>
      <w:r w:rsidRPr="00772E40">
        <w:rPr>
          <w:rtl/>
        </w:rPr>
        <w:t>-</w:t>
      </w:r>
      <w:r w:rsidRPr="00C8421F">
        <w:rPr>
          <w:rtl/>
        </w:rPr>
        <w:t>2</w:t>
      </w:r>
      <w:r w:rsidRPr="00772E40">
        <w:rPr>
          <w:rtl/>
        </w:rPr>
        <w:tab/>
        <w:t xml:space="preserve">وتدعي الدولة الطرف أن هذا البلاغ غير مقبول لعدم استنفاد صاحبه سبل الانتصاف المحلية المتاحة، وفقاً للمادة </w:t>
      </w:r>
      <w:r w:rsidRPr="00C8421F">
        <w:rPr>
          <w:rtl/>
        </w:rPr>
        <w:t>22</w:t>
      </w:r>
      <w:r w:rsidRPr="00772E40">
        <w:rPr>
          <w:rtl/>
        </w:rPr>
        <w:t>(</w:t>
      </w:r>
      <w:r w:rsidRPr="00C8421F">
        <w:rPr>
          <w:rtl/>
        </w:rPr>
        <w:t>5</w:t>
      </w:r>
      <w:r w:rsidRPr="00772E40">
        <w:rPr>
          <w:rtl/>
        </w:rPr>
        <w:t xml:space="preserve">)(ب) من الاتفاقية والمادة </w:t>
      </w:r>
      <w:r w:rsidRPr="00C8421F">
        <w:rPr>
          <w:rtl/>
        </w:rPr>
        <w:t>113</w:t>
      </w:r>
      <w:r w:rsidRPr="00772E40">
        <w:rPr>
          <w:rtl/>
        </w:rPr>
        <w:t>(ه) من النظام الداخلي للجنة. وتحيل الدولة الطرف إلى اجتهادات اللجنة، مدعية أن مجرد الشك في فعالية سبيل انتصاف لا يعفي صاحب الشكوى من استنفاده</w:t>
      </w:r>
      <w:r w:rsidRPr="00772E40">
        <w:rPr>
          <w:vertAlign w:val="superscript"/>
          <w:rtl/>
        </w:rPr>
        <w:t>(</w:t>
      </w:r>
      <w:r w:rsidRPr="00C8421F">
        <w:rPr>
          <w:vertAlign w:val="superscript"/>
          <w:lang w:val="en-US"/>
        </w:rPr>
        <w:footnoteReference w:id="10"/>
      </w:r>
      <w:r w:rsidRPr="00772E40">
        <w:rPr>
          <w:vertAlign w:val="superscript"/>
          <w:rtl/>
        </w:rPr>
        <w:t>)</w:t>
      </w:r>
      <w:r w:rsidRPr="00772E40">
        <w:rPr>
          <w:rtl/>
        </w:rPr>
        <w:t xml:space="preserve">. </w:t>
      </w:r>
    </w:p>
    <w:p w14:paraId="5A789066" w14:textId="77777777" w:rsidR="00772E40" w:rsidRPr="00772E40" w:rsidRDefault="00772E40" w:rsidP="00772E40">
      <w:pPr>
        <w:pStyle w:val="SingleTxtGA"/>
      </w:pPr>
      <w:r w:rsidRPr="00C8421F">
        <w:rPr>
          <w:rtl/>
        </w:rPr>
        <w:lastRenderedPageBreak/>
        <w:t>4</w:t>
      </w:r>
      <w:r w:rsidRPr="00772E40">
        <w:rPr>
          <w:rtl/>
        </w:rPr>
        <w:t>-</w:t>
      </w:r>
      <w:r w:rsidRPr="00C8421F">
        <w:rPr>
          <w:rtl/>
        </w:rPr>
        <w:t>3</w:t>
      </w:r>
      <w:r w:rsidRPr="00772E40">
        <w:rPr>
          <w:rtl/>
        </w:rPr>
        <w:tab/>
        <w:t xml:space="preserve">وتشير الدولة الطرف أيضاً إلى أن صاحب الشكوى لم يشارك قط في الإجراءات الرامية إلى معالجة الادعاءات الواردة في شكواه. فبعد تقديمه الشكوى الأولى، في </w:t>
      </w:r>
      <w:r w:rsidRPr="00C8421F">
        <w:rPr>
          <w:rtl/>
        </w:rPr>
        <w:t>29</w:t>
      </w:r>
      <w:r w:rsidRPr="00772E40">
        <w:rPr>
          <w:rtl/>
        </w:rPr>
        <w:t xml:space="preserve"> نيسان/أبريل </w:t>
      </w:r>
      <w:r w:rsidRPr="00C8421F">
        <w:rPr>
          <w:rtl/>
        </w:rPr>
        <w:t>2013</w:t>
      </w:r>
      <w:r w:rsidRPr="00772E40">
        <w:rPr>
          <w:rtl/>
        </w:rPr>
        <w:t xml:space="preserve">، باشر مكتب المدعي العام إجراءات التحقيق الأولي </w:t>
      </w:r>
      <w:r w:rsidRPr="00772E40">
        <w:t>ALA/SC/</w:t>
      </w:r>
      <w:r w:rsidRPr="00C8421F">
        <w:t>05</w:t>
      </w:r>
      <w:r w:rsidRPr="00772E40">
        <w:t>/</w:t>
      </w:r>
      <w:r w:rsidRPr="00C8421F">
        <w:t>0328</w:t>
      </w:r>
      <w:r w:rsidRPr="00772E40">
        <w:t>/</w:t>
      </w:r>
      <w:r w:rsidRPr="00C8421F">
        <w:t>2013</w:t>
      </w:r>
      <w:r w:rsidRPr="00772E40">
        <w:rPr>
          <w:rtl/>
        </w:rPr>
        <w:t xml:space="preserve">، مع عدة أفراد من الشرطة بسبب جريمة إلحاق الضرر والأذى به. </w:t>
      </w:r>
    </w:p>
    <w:p w14:paraId="5E4886E6" w14:textId="77777777" w:rsidR="00772E40" w:rsidRPr="00772E40" w:rsidRDefault="00772E40" w:rsidP="00772E40">
      <w:pPr>
        <w:pStyle w:val="SingleTxtGA"/>
      </w:pPr>
      <w:r w:rsidRPr="00C8421F">
        <w:rPr>
          <w:rtl/>
        </w:rPr>
        <w:t>4</w:t>
      </w:r>
      <w:r w:rsidRPr="00772E40">
        <w:rPr>
          <w:rtl/>
        </w:rPr>
        <w:t>-</w:t>
      </w:r>
      <w:r w:rsidRPr="00C8421F">
        <w:rPr>
          <w:rtl/>
        </w:rPr>
        <w:t>4</w:t>
      </w:r>
      <w:r w:rsidRPr="00772E40">
        <w:rPr>
          <w:rtl/>
        </w:rPr>
        <w:tab/>
        <w:t xml:space="preserve">وتشير الدولة الطرف إلى أنها باشرت، في </w:t>
      </w:r>
      <w:r w:rsidRPr="00C8421F">
        <w:rPr>
          <w:rtl/>
        </w:rPr>
        <w:t>27</w:t>
      </w:r>
      <w:r w:rsidRPr="00772E40">
        <w:rPr>
          <w:rtl/>
        </w:rPr>
        <w:t xml:space="preserve"> تشرين الأول/أكتوبر </w:t>
      </w:r>
      <w:r w:rsidRPr="00C8421F">
        <w:rPr>
          <w:rtl/>
        </w:rPr>
        <w:t>2016</w:t>
      </w:r>
      <w:r w:rsidRPr="00772E40">
        <w:rPr>
          <w:rtl/>
        </w:rPr>
        <w:t xml:space="preserve">، إجراءات جنائية ضد أفراد الشرطة الذين حددهم صاحب الشكوى، بعدما حصلت على أدلة مختلفة، من دون تعاونه. وهذه الإجراءات الجنائية جارية وفعالة، وتركز على استجلاء الوقائع وعلى معاقبة المسؤولين عن الانتهاكات التي أبلغ عنها صاحب الشكوى. </w:t>
      </w:r>
    </w:p>
    <w:p w14:paraId="1F6C0A56" w14:textId="251081FF" w:rsidR="00772E40" w:rsidRPr="00772E40" w:rsidRDefault="00772E40" w:rsidP="00772E40">
      <w:pPr>
        <w:pStyle w:val="SingleTxtGA"/>
      </w:pPr>
      <w:r w:rsidRPr="00C8421F">
        <w:rPr>
          <w:rtl/>
        </w:rPr>
        <w:t>4</w:t>
      </w:r>
      <w:r w:rsidRPr="00772E40">
        <w:rPr>
          <w:rtl/>
        </w:rPr>
        <w:t>-</w:t>
      </w:r>
      <w:r w:rsidRPr="00C8421F">
        <w:rPr>
          <w:rtl/>
        </w:rPr>
        <w:t>5</w:t>
      </w:r>
      <w:r w:rsidRPr="00772E40">
        <w:rPr>
          <w:rtl/>
        </w:rPr>
        <w:tab/>
        <w:t xml:space="preserve">وتُذكر الدولة الطرف بأنه تتوافر لصاحب الشكوى عدة خيارات على الصعيد المحلي فيما يتعلق بسبل الانتصاف الملائمة للطعن في المسائل التي يرى أنها غير متوافقة مع ادعاءاته. وتشير أيضاً إلى أن اللجنة قررت عدم قبول البلاغ المقدم من </w:t>
      </w:r>
      <w:r w:rsidRPr="00C8421F">
        <w:rPr>
          <w:i/>
          <w:iCs/>
          <w:rtl/>
        </w:rPr>
        <w:t>ع. ي. ضد كندا</w:t>
      </w:r>
      <w:r w:rsidRPr="00772E40">
        <w:rPr>
          <w:vertAlign w:val="superscript"/>
          <w:rtl/>
        </w:rPr>
        <w:t>(</w:t>
      </w:r>
      <w:r w:rsidRPr="00C8421F">
        <w:rPr>
          <w:vertAlign w:val="superscript"/>
          <w:lang w:val="en-US"/>
        </w:rPr>
        <w:footnoteReference w:id="11"/>
      </w:r>
      <w:r w:rsidRPr="00772E40">
        <w:rPr>
          <w:vertAlign w:val="superscript"/>
          <w:rtl/>
        </w:rPr>
        <w:t>)</w:t>
      </w:r>
      <w:r w:rsidRPr="00772E40">
        <w:rPr>
          <w:rtl/>
        </w:rPr>
        <w:t xml:space="preserve"> لعدم استنفاد صاحبه سبل الانتصاف المحلية الملائمة. </w:t>
      </w:r>
    </w:p>
    <w:p w14:paraId="0ED5447C" w14:textId="35650940" w:rsidR="00772E40" w:rsidRPr="00772E40" w:rsidRDefault="00772E40" w:rsidP="00772E40">
      <w:pPr>
        <w:pStyle w:val="SingleTxtGA"/>
      </w:pPr>
      <w:r w:rsidRPr="00C8421F">
        <w:rPr>
          <w:rtl/>
        </w:rPr>
        <w:t>4</w:t>
      </w:r>
      <w:r w:rsidRPr="00772E40">
        <w:rPr>
          <w:rtl/>
        </w:rPr>
        <w:t>-</w:t>
      </w:r>
      <w:r w:rsidRPr="00C8421F">
        <w:rPr>
          <w:rtl/>
        </w:rPr>
        <w:t>6</w:t>
      </w:r>
      <w:r w:rsidRPr="00772E40">
        <w:rPr>
          <w:rtl/>
        </w:rPr>
        <w:tab/>
        <w:t xml:space="preserve">وتلاحظ الدولة الطرف أن صاحب الشكوى لم </w:t>
      </w:r>
      <w:r w:rsidRPr="00772E40">
        <w:rPr>
          <w:rFonts w:hint="cs"/>
          <w:rtl/>
        </w:rPr>
        <w:t xml:space="preserve">يشارك في </w:t>
      </w:r>
      <w:r w:rsidRPr="00772E40">
        <w:rPr>
          <w:rtl/>
        </w:rPr>
        <w:t>إجراءات الدعوى الجنائية ولم يلجأ إلى أي سبيل من سبل الانتصاف المتاحة له. فقد كان بإمكانه أن يستأنف قرار رفض إصدار أمر توقيف المسؤولين المزعومين، وهو ما قام به بالفعل مكتب المدعي العام المكلف بالتحقيق الأولي، ويجري النظر حالياً في طلب الاستئناف الذي قدمه. ووفقاً لاجتهادات اللجنة، تدعي الدولة الطرف أن صاحب الشكوى لم يستغل الفرص التي أُتيحت له لاستنفاد سبل الانتصاف المحلية، وهو ما لم يعد بإمكانه القيام به حالياً بالنظر إلى انقضاء ال</w:t>
      </w:r>
      <w:r w:rsidRPr="00772E40">
        <w:rPr>
          <w:rFonts w:hint="cs"/>
          <w:rtl/>
        </w:rPr>
        <w:t>آجال</w:t>
      </w:r>
      <w:r w:rsidRPr="00772E40">
        <w:rPr>
          <w:rtl/>
        </w:rPr>
        <w:t xml:space="preserve"> الزمنية المحددة للاستئناف في القانون المحلي</w:t>
      </w:r>
      <w:r w:rsidRPr="00772E40">
        <w:rPr>
          <w:vertAlign w:val="superscript"/>
          <w:rtl/>
        </w:rPr>
        <w:t>(</w:t>
      </w:r>
      <w:r w:rsidRPr="00C8421F">
        <w:rPr>
          <w:vertAlign w:val="superscript"/>
          <w:lang w:val="en-US"/>
        </w:rPr>
        <w:footnoteReference w:id="12"/>
      </w:r>
      <w:r w:rsidRPr="00772E40">
        <w:rPr>
          <w:vertAlign w:val="superscript"/>
          <w:rtl/>
        </w:rPr>
        <w:t>)</w:t>
      </w:r>
      <w:r w:rsidRPr="00772E40">
        <w:rPr>
          <w:rtl/>
        </w:rPr>
        <w:t xml:space="preserve">.  </w:t>
      </w:r>
    </w:p>
    <w:p w14:paraId="26B10837" w14:textId="50C5C8D1" w:rsidR="00772E40" w:rsidRPr="00772E40" w:rsidRDefault="00772E40" w:rsidP="00772E40">
      <w:pPr>
        <w:pStyle w:val="SingleTxtGA"/>
      </w:pPr>
      <w:r w:rsidRPr="00C8421F">
        <w:rPr>
          <w:rtl/>
        </w:rPr>
        <w:t>4</w:t>
      </w:r>
      <w:r w:rsidRPr="00772E40">
        <w:rPr>
          <w:rtl/>
        </w:rPr>
        <w:t>-</w:t>
      </w:r>
      <w:r w:rsidRPr="00C8421F">
        <w:rPr>
          <w:rtl/>
        </w:rPr>
        <w:t>7</w:t>
      </w:r>
      <w:r w:rsidRPr="00772E40">
        <w:rPr>
          <w:rtl/>
        </w:rPr>
        <w:tab/>
        <w:t>وتدعي الدولة الطرف أن عدم مشاركة صاحب الشكوى في الإجراءات الجنائية لا يعفيه من الالتزام باستنفاد سبل الانتصاف المحلية المتاحة، وأنه ينبغي، وفقاً لاجتهادات اللجنة، إعلان عدم مقبولية البلاغ، لأن صاحبه لم يقدم طعناً أمام السلطة المختصة ولم يوضح سبب عدم قيامه بذلك</w:t>
      </w:r>
      <w:r w:rsidRPr="00772E40">
        <w:rPr>
          <w:vertAlign w:val="superscript"/>
          <w:rtl/>
        </w:rPr>
        <w:t>(</w:t>
      </w:r>
      <w:r w:rsidRPr="00C8421F">
        <w:rPr>
          <w:vertAlign w:val="superscript"/>
          <w:lang w:val="en-US"/>
        </w:rPr>
        <w:footnoteReference w:id="13"/>
      </w:r>
      <w:r w:rsidRPr="00772E40">
        <w:rPr>
          <w:vertAlign w:val="superscript"/>
          <w:rtl/>
        </w:rPr>
        <w:t>)</w:t>
      </w:r>
      <w:r w:rsidRPr="00772E40">
        <w:rPr>
          <w:rtl/>
        </w:rPr>
        <w:t xml:space="preserve">.  </w:t>
      </w:r>
    </w:p>
    <w:p w14:paraId="7094DE2D" w14:textId="77777777" w:rsidR="00772E40" w:rsidRPr="00772E40" w:rsidRDefault="00772E40" w:rsidP="00772E40">
      <w:pPr>
        <w:pStyle w:val="SingleTxtGA"/>
      </w:pPr>
      <w:r w:rsidRPr="00C8421F">
        <w:rPr>
          <w:rtl/>
        </w:rPr>
        <w:t>4</w:t>
      </w:r>
      <w:r w:rsidRPr="00772E40">
        <w:rPr>
          <w:rtl/>
        </w:rPr>
        <w:t>-</w:t>
      </w:r>
      <w:r w:rsidRPr="00C8421F">
        <w:rPr>
          <w:rtl/>
        </w:rPr>
        <w:t>8</w:t>
      </w:r>
      <w:r w:rsidRPr="00772E40">
        <w:rPr>
          <w:rtl/>
        </w:rPr>
        <w:tab/>
        <w:t xml:space="preserve">وتدعي الدولة الطرف أن الإجراءات لم تطل بشكل غير مبرر، لأن مكتب المدعي العام باشر، استناداً إلى الشكوى التي قدمها صاحب الشكوى، مجموعة من الإجراءات التي أخذت أيضاً في الاعتبار الآراء الصادرة عن لجنة حقوق الإنسان في ولاية </w:t>
      </w:r>
      <w:proofErr w:type="spellStart"/>
      <w:r w:rsidRPr="00772E40">
        <w:rPr>
          <w:rtl/>
        </w:rPr>
        <w:t>غيريرو</w:t>
      </w:r>
      <w:proofErr w:type="spellEnd"/>
      <w:r w:rsidRPr="00772E40">
        <w:rPr>
          <w:rtl/>
        </w:rPr>
        <w:t>.</w:t>
      </w:r>
    </w:p>
    <w:p w14:paraId="1A1C4708" w14:textId="77777777" w:rsidR="00772E40" w:rsidRPr="009E0828" w:rsidRDefault="00772E40" w:rsidP="00772E40">
      <w:pPr>
        <w:pStyle w:val="SingleTxtGA"/>
        <w:rPr>
          <w:spacing w:val="-3"/>
        </w:rPr>
      </w:pPr>
      <w:r w:rsidRPr="00C8421F">
        <w:rPr>
          <w:spacing w:val="-3"/>
          <w:rtl/>
        </w:rPr>
        <w:t>4</w:t>
      </w:r>
      <w:r w:rsidRPr="009E0828">
        <w:rPr>
          <w:spacing w:val="-3"/>
          <w:rtl/>
        </w:rPr>
        <w:t>-</w:t>
      </w:r>
      <w:r w:rsidRPr="00C8421F">
        <w:rPr>
          <w:spacing w:val="-3"/>
          <w:rtl/>
        </w:rPr>
        <w:t>9</w:t>
      </w:r>
      <w:r w:rsidRPr="009E0828">
        <w:rPr>
          <w:spacing w:val="-3"/>
          <w:rtl/>
        </w:rPr>
        <w:tab/>
        <w:t xml:space="preserve">وتشير الدولة الطرف إلى أن صاحب الشكوى، وإن أفاد بأن سبب عدم مشاركته في الإجراءات هو التهديدات التي كان يتلقاها من أفراد شرطة البلدية، لم يبلغ قط السلطات بأنه كان يتعرض للتهديد. فقد منع عدم تقديمه شكوى بشأن هذه الوقائع إلى أي سلطة أخرى، على صعيد الولاية أو مكتب المدعي العام، السلطات من اتخاذ تدابير لحمايته، وتمكينه بالتالي من المشاركة في التحقيقات والاستفادة من سبل الانتصاف المتاحة. وكان بإمكان صاحب الشكوى أيضاً تقديم شكوى بشأن هذه الوقائع إلى لجنة حقوق الإنسان في ولاية </w:t>
      </w:r>
      <w:proofErr w:type="spellStart"/>
      <w:r w:rsidRPr="009E0828">
        <w:rPr>
          <w:spacing w:val="-3"/>
          <w:rtl/>
        </w:rPr>
        <w:t>غيريرو</w:t>
      </w:r>
      <w:proofErr w:type="spellEnd"/>
      <w:r w:rsidRPr="009E0828">
        <w:rPr>
          <w:spacing w:val="-3"/>
          <w:rtl/>
        </w:rPr>
        <w:t>، التي كان بإمكانها تحريك آلياتٍ للحماية في نطاق اختصاصها. كما لم يقدم صاحب الشكوى أي أدلة تبرر عدم إبلاغه السلطات بالتهديدات التي كان يتلقاها، وهو ما حال دون تنفيذ السلطات المكسيكية التدابير اللازمة لحمايته ولتمكينه من مواصلة الإجراءات وتقديم الطعون التي يراها ضرورية.</w:t>
      </w:r>
    </w:p>
    <w:p w14:paraId="49DDB9EC" w14:textId="77777777" w:rsidR="00772E40" w:rsidRPr="00C8421F" w:rsidRDefault="00772E40" w:rsidP="00772E40">
      <w:pPr>
        <w:pStyle w:val="H23GA"/>
      </w:pPr>
      <w:r w:rsidRPr="00C8421F">
        <w:rPr>
          <w:rtl/>
        </w:rPr>
        <w:lastRenderedPageBreak/>
        <w:tab/>
      </w:r>
      <w:r w:rsidRPr="00C8421F">
        <w:rPr>
          <w:rtl/>
        </w:rPr>
        <w:tab/>
        <w:t>تعليقات صاحب الشكوى على ملاحظات الدولة الطرف بشأن المقبولية</w:t>
      </w:r>
    </w:p>
    <w:p w14:paraId="5A327F87" w14:textId="43991AD7" w:rsidR="00772E40" w:rsidRPr="00772E40" w:rsidRDefault="00772E40" w:rsidP="00772E40">
      <w:pPr>
        <w:pStyle w:val="SingleTxtGA"/>
      </w:pPr>
      <w:r w:rsidRPr="00C8421F">
        <w:rPr>
          <w:rtl/>
        </w:rPr>
        <w:t>5</w:t>
      </w:r>
      <w:r w:rsidRPr="00772E40">
        <w:rPr>
          <w:rtl/>
        </w:rPr>
        <w:t>-</w:t>
      </w:r>
      <w:r w:rsidRPr="00C8421F">
        <w:rPr>
          <w:rtl/>
        </w:rPr>
        <w:t>1</w:t>
      </w:r>
      <w:r w:rsidRPr="00772E40">
        <w:rPr>
          <w:rtl/>
        </w:rPr>
        <w:tab/>
        <w:t xml:space="preserve">في </w:t>
      </w:r>
      <w:r w:rsidRPr="00C8421F">
        <w:rPr>
          <w:rtl/>
        </w:rPr>
        <w:t>28</w:t>
      </w:r>
      <w:r w:rsidRPr="00772E40">
        <w:rPr>
          <w:rtl/>
        </w:rPr>
        <w:t xml:space="preserve"> آذار/مارس </w:t>
      </w:r>
      <w:r w:rsidRPr="00C8421F">
        <w:rPr>
          <w:rtl/>
        </w:rPr>
        <w:t>2017</w:t>
      </w:r>
      <w:r w:rsidRPr="00772E40">
        <w:rPr>
          <w:rtl/>
        </w:rPr>
        <w:t xml:space="preserve">، قدم صاحب الشكوى تعليقاته على ملاحظات الدولة الطرف. ففيما يتعلق باستنفاد سبل الانتصاف المحلية، يكرر صاحب الشكوى إشارته إلى المادة </w:t>
      </w:r>
      <w:r w:rsidRPr="00C8421F">
        <w:rPr>
          <w:rtl/>
        </w:rPr>
        <w:t>22</w:t>
      </w:r>
      <w:r w:rsidRPr="00772E40">
        <w:rPr>
          <w:rtl/>
        </w:rPr>
        <w:t>(</w:t>
      </w:r>
      <w:r w:rsidRPr="00C8421F">
        <w:rPr>
          <w:rtl/>
        </w:rPr>
        <w:t>5</w:t>
      </w:r>
      <w:r w:rsidRPr="00772E40">
        <w:rPr>
          <w:rtl/>
        </w:rPr>
        <w:t>)(ب) من الاتفاقية وإلى اجتهادات اللجنة التي مفادها أن قاعدة استنفاد سبل الانتصاف المحلية لا تنطبق إذا طالت إجراءاتها بشكل غير مبرر أو إذا كان ثمة احتمال ضعيف بأن تفضي إلى حماية فعالة</w:t>
      </w:r>
      <w:r w:rsidRPr="00772E40">
        <w:rPr>
          <w:vertAlign w:val="superscript"/>
          <w:rtl/>
        </w:rPr>
        <w:t>(</w:t>
      </w:r>
      <w:r w:rsidRPr="00C8421F">
        <w:rPr>
          <w:vertAlign w:val="superscript"/>
          <w:lang w:val="en-US"/>
        </w:rPr>
        <w:footnoteReference w:id="14"/>
      </w:r>
      <w:r w:rsidRPr="00772E40">
        <w:rPr>
          <w:vertAlign w:val="superscript"/>
          <w:rtl/>
        </w:rPr>
        <w:t>)</w:t>
      </w:r>
      <w:r w:rsidRPr="00772E40">
        <w:rPr>
          <w:rtl/>
        </w:rPr>
        <w:t>. وخلافاً لادعاءات الدولة الطرف، يشير صاحب الشكوى إلى أنه حاول استنفاد سبل الانتصاف المحلية، ولكن إجراءاتها طالت بشكل غير مبرر وتبيَّن عدم فعاليتها فيما يتعلق بالتحقيق في أفعال التعذيب التي تعرض لها.</w:t>
      </w:r>
    </w:p>
    <w:p w14:paraId="5E53545A" w14:textId="77777777" w:rsidR="00772E40" w:rsidRPr="00772E40" w:rsidRDefault="00772E40" w:rsidP="00772E40">
      <w:pPr>
        <w:pStyle w:val="SingleTxtGA"/>
      </w:pPr>
      <w:r w:rsidRPr="00C8421F">
        <w:rPr>
          <w:rtl/>
        </w:rPr>
        <w:t>5</w:t>
      </w:r>
      <w:r w:rsidRPr="00772E40">
        <w:rPr>
          <w:rtl/>
        </w:rPr>
        <w:t>-</w:t>
      </w:r>
      <w:r w:rsidRPr="00C8421F">
        <w:rPr>
          <w:rtl/>
        </w:rPr>
        <w:t>2</w:t>
      </w:r>
      <w:r w:rsidRPr="00772E40">
        <w:rPr>
          <w:rtl/>
        </w:rPr>
        <w:tab/>
        <w:t xml:space="preserve">ولدى تقديم هذا البلاغ، أي بعد مرور أربع سنوات تقريباً على تقديم صاحبه شكوى إلى مكتب المدعي العام التابع لجهاز القضاء العادي في دائرة </w:t>
      </w:r>
      <w:proofErr w:type="spellStart"/>
      <w:r w:rsidRPr="00772E40">
        <w:rPr>
          <w:rtl/>
        </w:rPr>
        <w:t>ألاركون</w:t>
      </w:r>
      <w:proofErr w:type="spellEnd"/>
      <w:r w:rsidRPr="00772E40">
        <w:rPr>
          <w:rtl/>
        </w:rPr>
        <w:t xml:space="preserve"> القضائية، لم يكن قد جرى التحقيق في أفعال التعذيب لا على الصعيد المحلي ولا على صعيد الولاية. ويشير صاحب الشكوى إلى أن الإجراءات التي باشرها مكتب المدعي العام التابع لدائرة </w:t>
      </w:r>
      <w:proofErr w:type="spellStart"/>
      <w:r w:rsidRPr="00772E40">
        <w:rPr>
          <w:rtl/>
        </w:rPr>
        <w:t>ألاركون</w:t>
      </w:r>
      <w:proofErr w:type="spellEnd"/>
      <w:r w:rsidRPr="00772E40">
        <w:rPr>
          <w:rtl/>
        </w:rPr>
        <w:t xml:space="preserve"> القضائية ومكتب المدعي العام للجمهورية، على حد سواء، تعلقت بجريمة الإيذاء وليس التعذيب. ففيما يتعلق بمكتب المدعي العام التابع لدائرة </w:t>
      </w:r>
      <w:proofErr w:type="spellStart"/>
      <w:r w:rsidRPr="00772E40">
        <w:rPr>
          <w:rtl/>
        </w:rPr>
        <w:t>ألاركون</w:t>
      </w:r>
      <w:proofErr w:type="spellEnd"/>
      <w:r w:rsidRPr="00772E40">
        <w:rPr>
          <w:rtl/>
        </w:rPr>
        <w:t xml:space="preserve"> القضائية، رفض موظف</w:t>
      </w:r>
      <w:r w:rsidRPr="00772E40">
        <w:rPr>
          <w:rFonts w:hint="cs"/>
          <w:rtl/>
        </w:rPr>
        <w:t>ه</w:t>
      </w:r>
      <w:r w:rsidRPr="00772E40">
        <w:rPr>
          <w:rtl/>
        </w:rPr>
        <w:t xml:space="preserve"> طوال سنتين تقريباً مباشرة التحقيق. </w:t>
      </w:r>
    </w:p>
    <w:p w14:paraId="3DD7F9A1" w14:textId="77777777" w:rsidR="00772E40" w:rsidRPr="00772E40" w:rsidRDefault="00772E40" w:rsidP="00772E40">
      <w:pPr>
        <w:pStyle w:val="SingleTxtGA"/>
      </w:pPr>
      <w:r w:rsidRPr="00C8421F">
        <w:rPr>
          <w:rtl/>
        </w:rPr>
        <w:t>5</w:t>
      </w:r>
      <w:r w:rsidRPr="00772E40">
        <w:rPr>
          <w:rtl/>
        </w:rPr>
        <w:t>-</w:t>
      </w:r>
      <w:r w:rsidRPr="00C8421F">
        <w:rPr>
          <w:rtl/>
        </w:rPr>
        <w:t>3</w:t>
      </w:r>
      <w:r w:rsidRPr="00772E40">
        <w:rPr>
          <w:rtl/>
        </w:rPr>
        <w:tab/>
        <w:t xml:space="preserve">وفيما يتعلق بملاحظات الدولة الطرف بشأن إجراءات التحقيق الأولي </w:t>
      </w:r>
      <w:r w:rsidRPr="00772E40">
        <w:t>ALA/SC/</w:t>
      </w:r>
      <w:r w:rsidRPr="00C8421F">
        <w:t>05</w:t>
      </w:r>
      <w:r w:rsidRPr="00772E40">
        <w:t>/</w:t>
      </w:r>
      <w:r w:rsidRPr="00C8421F">
        <w:t>0328</w:t>
      </w:r>
      <w:r w:rsidRPr="00772E40">
        <w:t>/</w:t>
      </w:r>
      <w:r w:rsidRPr="00C8421F">
        <w:t>2013</w:t>
      </w:r>
      <w:r w:rsidRPr="00772E40">
        <w:rPr>
          <w:rtl/>
        </w:rPr>
        <w:t>، يشير صاحب الشكوى إلى أنه قدم شكواه بشأن التعذيب، ولكن التحقيق الأولي بوشر بشأن جريمة الإيذاء، وإلحاق الضرر بمركب</w:t>
      </w:r>
      <w:r w:rsidRPr="00772E40">
        <w:rPr>
          <w:rFonts w:hint="cs"/>
          <w:rtl/>
        </w:rPr>
        <w:t>ة</w:t>
      </w:r>
      <w:r w:rsidRPr="00772E40">
        <w:rPr>
          <w:rtl/>
        </w:rPr>
        <w:t xml:space="preserve">، </w:t>
      </w:r>
      <w:r w:rsidRPr="00772E40">
        <w:rPr>
          <w:rFonts w:hint="cs"/>
          <w:rtl/>
        </w:rPr>
        <w:t>وا</w:t>
      </w:r>
      <w:r w:rsidRPr="00772E40">
        <w:rPr>
          <w:rtl/>
        </w:rPr>
        <w:t xml:space="preserve">لتهديد. وجرى كل ذلك رغم أن صاحب الشكوى وصف في شكواه أفعالاً تشكل جريمة تعذيب، وفقاً للمادة </w:t>
      </w:r>
      <w:r w:rsidRPr="00C8421F">
        <w:rPr>
          <w:rtl/>
        </w:rPr>
        <w:t>1</w:t>
      </w:r>
      <w:r w:rsidRPr="00772E40">
        <w:rPr>
          <w:rtl/>
        </w:rPr>
        <w:t>(</w:t>
      </w:r>
      <w:r w:rsidRPr="00C8421F">
        <w:rPr>
          <w:rtl/>
        </w:rPr>
        <w:t>1</w:t>
      </w:r>
      <w:r w:rsidRPr="00772E40">
        <w:rPr>
          <w:rtl/>
        </w:rPr>
        <w:t>) من الاتفاقية.</w:t>
      </w:r>
    </w:p>
    <w:p w14:paraId="219075C6" w14:textId="6B1126A7" w:rsidR="00772E40" w:rsidRPr="00772E40" w:rsidRDefault="00772E40" w:rsidP="00772E40">
      <w:pPr>
        <w:pStyle w:val="SingleTxtGA"/>
      </w:pPr>
      <w:r w:rsidRPr="00C8421F">
        <w:rPr>
          <w:rtl/>
        </w:rPr>
        <w:t>5</w:t>
      </w:r>
      <w:r w:rsidRPr="00772E40">
        <w:rPr>
          <w:rtl/>
        </w:rPr>
        <w:t>-</w:t>
      </w:r>
      <w:r w:rsidRPr="00C8421F">
        <w:rPr>
          <w:rtl/>
        </w:rPr>
        <w:t>4</w:t>
      </w:r>
      <w:r w:rsidRPr="00772E40">
        <w:rPr>
          <w:rtl/>
        </w:rPr>
        <w:tab/>
        <w:t xml:space="preserve">وقدم صاحب الشكوى طلباً غير مباشر للحماية القضائية الدستورية ضد مكتب المدعي العام للجمهورية لرفضه التحقيق في جريمة التعذيب، وأصدرت المحكمة المحلية الحادية عشرة المختصة بالنظر في طلبات الحماية القضائية الدستورية في القضايا الجنائية حكماً خلصت فيه إلى أنه لم يجر التحقيق في جريمة التعذيب (انظر الفقرة </w:t>
      </w:r>
      <w:r w:rsidRPr="00C8421F">
        <w:rPr>
          <w:rtl/>
        </w:rPr>
        <w:t>2</w:t>
      </w:r>
      <w:r w:rsidRPr="00772E40">
        <w:rPr>
          <w:rtl/>
        </w:rPr>
        <w:t>-</w:t>
      </w:r>
      <w:r w:rsidRPr="00C8421F">
        <w:rPr>
          <w:rtl/>
        </w:rPr>
        <w:t>27</w:t>
      </w:r>
      <w:r w:rsidRPr="00772E40">
        <w:rPr>
          <w:rtl/>
        </w:rPr>
        <w:t xml:space="preserve"> </w:t>
      </w:r>
      <w:r w:rsidRPr="00C8421F">
        <w:rPr>
          <w:i/>
          <w:iCs/>
          <w:rtl/>
        </w:rPr>
        <w:t>أعلاه</w:t>
      </w:r>
      <w:r w:rsidRPr="00772E40">
        <w:rPr>
          <w:rtl/>
        </w:rPr>
        <w:t>)، لأن "جريمة الإيذاء المنسوبة إلى أفراد شرطة البلدية ليست لها أي صلة بجريمة التعذيب المختلفة، إذ يتعلق الأمر بجريمتيْن تختلف طبيعتهما"</w:t>
      </w:r>
      <w:r w:rsidRPr="00772E40">
        <w:rPr>
          <w:vertAlign w:val="superscript"/>
          <w:rtl/>
        </w:rPr>
        <w:t>(</w:t>
      </w:r>
      <w:r w:rsidRPr="00C8421F">
        <w:rPr>
          <w:vertAlign w:val="superscript"/>
          <w:lang w:val="en-US"/>
        </w:rPr>
        <w:footnoteReference w:id="15"/>
      </w:r>
      <w:r w:rsidRPr="00772E40">
        <w:rPr>
          <w:vertAlign w:val="superscript"/>
          <w:rtl/>
        </w:rPr>
        <w:t>)</w:t>
      </w:r>
      <w:r w:rsidRPr="00772E40">
        <w:rPr>
          <w:rtl/>
        </w:rPr>
        <w:t xml:space="preserve">. وحال أيضاً عدم تحقيق موظف مكتب المدعي العام في </w:t>
      </w:r>
      <w:proofErr w:type="spellStart"/>
      <w:r w:rsidRPr="00772E40">
        <w:rPr>
          <w:rtl/>
        </w:rPr>
        <w:t>ألاركون</w:t>
      </w:r>
      <w:proofErr w:type="spellEnd"/>
      <w:r w:rsidRPr="00772E40">
        <w:rPr>
          <w:rtl/>
        </w:rPr>
        <w:t xml:space="preserve"> في أفعال التعذيب التي تعرض لها صاحب الشكوى دون تنفيذ بروتوكول اسطنبول.</w:t>
      </w:r>
    </w:p>
    <w:p w14:paraId="3E02F011" w14:textId="77777777" w:rsidR="00772E40" w:rsidRPr="00772E40" w:rsidRDefault="00772E40" w:rsidP="00772E40">
      <w:pPr>
        <w:pStyle w:val="SingleTxtGA"/>
      </w:pPr>
      <w:r w:rsidRPr="00C8421F">
        <w:rPr>
          <w:rtl/>
        </w:rPr>
        <w:t>5</w:t>
      </w:r>
      <w:r w:rsidRPr="00772E40">
        <w:rPr>
          <w:rtl/>
        </w:rPr>
        <w:t>-</w:t>
      </w:r>
      <w:r w:rsidRPr="00C8421F">
        <w:rPr>
          <w:rtl/>
        </w:rPr>
        <w:t>5</w:t>
      </w:r>
      <w:r w:rsidRPr="00772E40">
        <w:rPr>
          <w:rtl/>
        </w:rPr>
        <w:tab/>
        <w:t xml:space="preserve">ويرى صاحب الشكوى أن الدولة الطرف بإفادتها بأنه كان عليه استئناف قرار قاضي المحكمة الابتدائية الجنائية في دائرة </w:t>
      </w:r>
      <w:proofErr w:type="spellStart"/>
      <w:r w:rsidRPr="00772E40">
        <w:rPr>
          <w:rtl/>
        </w:rPr>
        <w:t>ألاركون</w:t>
      </w:r>
      <w:proofErr w:type="spellEnd"/>
      <w:r w:rsidRPr="00772E40">
        <w:rPr>
          <w:rtl/>
        </w:rPr>
        <w:t xml:space="preserve"> القضائية</w:t>
      </w:r>
      <w:r w:rsidRPr="00772E40">
        <w:rPr>
          <w:rFonts w:hint="cs"/>
          <w:rtl/>
        </w:rPr>
        <w:t xml:space="preserve"> القاضي ب</w:t>
      </w:r>
      <w:r w:rsidRPr="00772E40">
        <w:rPr>
          <w:rtl/>
        </w:rPr>
        <w:t xml:space="preserve">رفض إصدار أوامر توقيف أفراد الشرطة المعنيين، تتجاهل أن مكتب المدعي العام في </w:t>
      </w:r>
      <w:proofErr w:type="spellStart"/>
      <w:r w:rsidRPr="00772E40">
        <w:rPr>
          <w:rtl/>
        </w:rPr>
        <w:t>ألاركون</w:t>
      </w:r>
      <w:proofErr w:type="spellEnd"/>
      <w:r w:rsidRPr="00772E40">
        <w:rPr>
          <w:rtl/>
        </w:rPr>
        <w:t xml:space="preserve"> لم يحقق في جريمة التعذيب، وأنه لم تُقدَّم بالتالي أي دعوى جنائية بشأن هذه الجريمة، وأن أوامر توقيف أفراد الشرطة الثلاثة لا تتعلق بجريمة التعذيب. وعلاوةً على ذلك، تتجاهل الدولة الطرف أنه، وفقاً لقانون الإجراءات الجنائية لولاية </w:t>
      </w:r>
      <w:proofErr w:type="spellStart"/>
      <w:r w:rsidRPr="00772E40">
        <w:rPr>
          <w:rtl/>
        </w:rPr>
        <w:t>غيريرو</w:t>
      </w:r>
      <w:proofErr w:type="spellEnd"/>
      <w:r w:rsidRPr="00772E40">
        <w:rPr>
          <w:rtl/>
        </w:rPr>
        <w:t xml:space="preserve">، لا يُعتبر الضحايا أطرافاً في الإجراءات الجنائية، ولا يمكنهم بالتالي التصرف بشكل مستقل، بل فقط كمساعدين لمكتب المدعي العام، وأن المادة </w:t>
      </w:r>
      <w:r w:rsidRPr="00C8421F">
        <w:rPr>
          <w:rtl/>
        </w:rPr>
        <w:t>132</w:t>
      </w:r>
      <w:r w:rsidRPr="00772E40">
        <w:rPr>
          <w:rtl/>
        </w:rPr>
        <w:t xml:space="preserve"> من هذا القانون تنص على أنه لا يجوز إلا لمكتب المدعي العام استئناف قرارات رفض إصدار أ</w:t>
      </w:r>
      <w:r w:rsidRPr="00772E40">
        <w:rPr>
          <w:rFonts w:hint="cs"/>
          <w:rtl/>
        </w:rPr>
        <w:t>وا</w:t>
      </w:r>
      <w:r w:rsidRPr="00772E40">
        <w:rPr>
          <w:rtl/>
        </w:rPr>
        <w:t xml:space="preserve">مر التوقيف. </w:t>
      </w:r>
    </w:p>
    <w:p w14:paraId="11C08C6D" w14:textId="12EFC045" w:rsidR="00772E40" w:rsidRPr="00772E40" w:rsidRDefault="00772E40" w:rsidP="00772E40">
      <w:pPr>
        <w:pStyle w:val="SingleTxtGA"/>
      </w:pPr>
      <w:r w:rsidRPr="00C8421F">
        <w:rPr>
          <w:rtl/>
        </w:rPr>
        <w:lastRenderedPageBreak/>
        <w:t>5</w:t>
      </w:r>
      <w:r w:rsidRPr="00772E40">
        <w:rPr>
          <w:rtl/>
        </w:rPr>
        <w:t>-</w:t>
      </w:r>
      <w:r w:rsidRPr="00C8421F">
        <w:rPr>
          <w:rtl/>
        </w:rPr>
        <w:t>6</w:t>
      </w:r>
      <w:r w:rsidRPr="00772E40">
        <w:rPr>
          <w:rtl/>
        </w:rPr>
        <w:tab/>
        <w:t xml:space="preserve">ويضيف صاحب الشكوى أن طلب الحماية القضائية الدستورية غير المباشر الذي تشير إليه الدولة الطرف ما كان أيضاً ليفيد في قضيته، إذ يقتضي تقديمه </w:t>
      </w:r>
      <w:r w:rsidRPr="00772E40">
        <w:rPr>
          <w:rFonts w:hint="cs"/>
          <w:rtl/>
        </w:rPr>
        <w:t xml:space="preserve">إجراء </w:t>
      </w:r>
      <w:r w:rsidRPr="00772E40">
        <w:rPr>
          <w:rtl/>
        </w:rPr>
        <w:t>تحقيق في جريمة التعذيب</w:t>
      </w:r>
      <w:r w:rsidRPr="00772E40">
        <w:rPr>
          <w:vertAlign w:val="superscript"/>
          <w:rtl/>
        </w:rPr>
        <w:t>(</w:t>
      </w:r>
      <w:r w:rsidRPr="00C8421F">
        <w:rPr>
          <w:vertAlign w:val="superscript"/>
          <w:lang w:val="en-US"/>
        </w:rPr>
        <w:footnoteReference w:id="16"/>
      </w:r>
      <w:r w:rsidRPr="00772E40">
        <w:rPr>
          <w:vertAlign w:val="superscript"/>
          <w:rtl/>
        </w:rPr>
        <w:t>)</w:t>
      </w:r>
      <w:r w:rsidRPr="00772E40">
        <w:rPr>
          <w:rtl/>
        </w:rPr>
        <w:t xml:space="preserve">، وهو ما لم </w:t>
      </w:r>
      <w:r w:rsidRPr="00772E40">
        <w:rPr>
          <w:rFonts w:hint="cs"/>
          <w:rtl/>
        </w:rPr>
        <w:t xml:space="preserve">يحدث </w:t>
      </w:r>
      <w:r w:rsidRPr="00772E40">
        <w:rPr>
          <w:rtl/>
        </w:rPr>
        <w:t xml:space="preserve">في هذه القضية. </w:t>
      </w:r>
    </w:p>
    <w:p w14:paraId="22D7F9AE" w14:textId="23E582A1" w:rsidR="00772E40" w:rsidRPr="00772E40" w:rsidRDefault="00772E40" w:rsidP="00772E40">
      <w:pPr>
        <w:pStyle w:val="SingleTxtGA"/>
        <w:rPr>
          <w:rtl/>
        </w:rPr>
      </w:pPr>
      <w:r w:rsidRPr="00C8421F">
        <w:rPr>
          <w:rtl/>
        </w:rPr>
        <w:t>5</w:t>
      </w:r>
      <w:r w:rsidRPr="00772E40">
        <w:rPr>
          <w:rtl/>
        </w:rPr>
        <w:t>-</w:t>
      </w:r>
      <w:r w:rsidRPr="00C8421F">
        <w:rPr>
          <w:rtl/>
        </w:rPr>
        <w:t>7</w:t>
      </w:r>
      <w:r w:rsidRPr="00772E40">
        <w:rPr>
          <w:rtl/>
        </w:rPr>
        <w:tab/>
        <w:t xml:space="preserve">ويُذكر صاحب الشكوى بأن التحقيق في الجرائم وتقديم الدعوى الجنائية أمام المحاكم، وفقاً للدستور المكسيكي وقانون الإجراءات الجنائية </w:t>
      </w:r>
      <w:r w:rsidRPr="00772E40">
        <w:rPr>
          <w:rFonts w:hint="cs"/>
          <w:rtl/>
        </w:rPr>
        <w:t>ل</w:t>
      </w:r>
      <w:r w:rsidRPr="00772E40">
        <w:rPr>
          <w:rtl/>
        </w:rPr>
        <w:t xml:space="preserve">ولاية </w:t>
      </w:r>
      <w:proofErr w:type="spellStart"/>
      <w:r w:rsidRPr="00772E40">
        <w:rPr>
          <w:rtl/>
        </w:rPr>
        <w:t>غيريرو</w:t>
      </w:r>
      <w:proofErr w:type="spellEnd"/>
      <w:r w:rsidRPr="00772E40">
        <w:rPr>
          <w:rtl/>
        </w:rPr>
        <w:t>، اختصاص حصري لمكتب المدعي العام ولا د</w:t>
      </w:r>
      <w:r w:rsidRPr="00772E40">
        <w:rPr>
          <w:rFonts w:hint="cs"/>
          <w:rtl/>
        </w:rPr>
        <w:t>َ</w:t>
      </w:r>
      <w:r w:rsidRPr="00772E40">
        <w:rPr>
          <w:rtl/>
        </w:rPr>
        <w:t>ور فيه لضحية الجريمة</w:t>
      </w:r>
      <w:r w:rsidRPr="00772E40">
        <w:rPr>
          <w:vertAlign w:val="superscript"/>
          <w:rtl/>
        </w:rPr>
        <w:t>(</w:t>
      </w:r>
      <w:r w:rsidRPr="00C8421F">
        <w:rPr>
          <w:vertAlign w:val="superscript"/>
          <w:lang w:val="en-US"/>
        </w:rPr>
        <w:footnoteReference w:id="17"/>
      </w:r>
      <w:r w:rsidRPr="00772E40">
        <w:rPr>
          <w:vertAlign w:val="superscript"/>
          <w:rtl/>
        </w:rPr>
        <w:t>)</w:t>
      </w:r>
      <w:r w:rsidRPr="00772E40">
        <w:rPr>
          <w:rtl/>
        </w:rPr>
        <w:t xml:space="preserve">. وقد أشارت اللجنة في هذا الصدد إلى أن المادة </w:t>
      </w:r>
      <w:r w:rsidRPr="00C8421F">
        <w:rPr>
          <w:rtl/>
        </w:rPr>
        <w:t>13</w:t>
      </w:r>
      <w:r w:rsidRPr="00772E40">
        <w:rPr>
          <w:rtl/>
        </w:rPr>
        <w:t xml:space="preserve"> من الاتفاقية لا تقتضي تقديم شكوى رسمية بشأن التعذيب، بل يكفي ادعاء الضحية التعرض للتعذيب وإبلاغ إحدى سلطات الدولة بالوقائع كي تصبح الدولة ملز</w:t>
      </w:r>
      <w:r w:rsidRPr="00772E40">
        <w:rPr>
          <w:rFonts w:hint="cs"/>
          <w:rtl/>
        </w:rPr>
        <w:t>َ</w:t>
      </w:r>
      <w:r w:rsidRPr="00772E40">
        <w:rPr>
          <w:rtl/>
        </w:rPr>
        <w:t>مة بالنظر فيها</w:t>
      </w:r>
      <w:r w:rsidRPr="00772E40">
        <w:rPr>
          <w:vertAlign w:val="superscript"/>
          <w:rtl/>
        </w:rPr>
        <w:t>(</w:t>
      </w:r>
      <w:r w:rsidRPr="00C8421F">
        <w:rPr>
          <w:vertAlign w:val="superscript"/>
          <w:lang w:val="en-US"/>
        </w:rPr>
        <w:footnoteReference w:id="18"/>
      </w:r>
      <w:r w:rsidRPr="00772E40">
        <w:rPr>
          <w:vertAlign w:val="superscript"/>
          <w:rtl/>
        </w:rPr>
        <w:t>)</w:t>
      </w:r>
      <w:r w:rsidRPr="00772E40">
        <w:rPr>
          <w:rtl/>
        </w:rPr>
        <w:t xml:space="preserve">.  </w:t>
      </w:r>
    </w:p>
    <w:p w14:paraId="52925802" w14:textId="77777777" w:rsidR="00772E40" w:rsidRPr="00772E40" w:rsidRDefault="00772E40" w:rsidP="00772E40">
      <w:pPr>
        <w:pStyle w:val="SingleTxtGA"/>
      </w:pPr>
      <w:r w:rsidRPr="00C8421F">
        <w:rPr>
          <w:rtl/>
        </w:rPr>
        <w:t>5</w:t>
      </w:r>
      <w:r w:rsidRPr="00772E40">
        <w:rPr>
          <w:rtl/>
        </w:rPr>
        <w:t>-</w:t>
      </w:r>
      <w:r w:rsidRPr="00C8421F">
        <w:rPr>
          <w:rtl/>
        </w:rPr>
        <w:t>8</w:t>
      </w:r>
      <w:r w:rsidRPr="00772E40">
        <w:rPr>
          <w:rtl/>
        </w:rPr>
        <w:tab/>
        <w:t xml:space="preserve">ويود صاحب الشكوى أن يوضح أيضاً أن الأمر يتعلق، عندما تشير الدولة الطرف إلى جريمة الإيذاء، بالأضرار التي </w:t>
      </w:r>
      <w:r w:rsidRPr="00772E40">
        <w:rPr>
          <w:rFonts w:hint="cs"/>
          <w:rtl/>
        </w:rPr>
        <w:t xml:space="preserve">تعرضت لها </w:t>
      </w:r>
      <w:r w:rsidRPr="00772E40">
        <w:rPr>
          <w:rtl/>
        </w:rPr>
        <w:t xml:space="preserve">مركبة زوجته وليس بتلك التي لحقت به أو بزوجته. وبالتالي، يحاج صاحب الشكوى بعدم صحة إفادة الدولة الطرف بأن "السلطات أحرزت تقدماً كبيراً"، لأنه لا يتعلق أيٌّ من الإجراءات المنفذة بجريمة التعذيب، ولأن الشخص الوحيد الذي أُلقي عليه القبض أُوقف بسبب جريمة إلحاق الضرر بمركبة. وحتى عندما حاول صاحب الشكوى استنفاد سبل الانتصاف المتاحة، فقد جعل </w:t>
      </w:r>
      <w:r w:rsidRPr="00772E40">
        <w:rPr>
          <w:rFonts w:hint="cs"/>
          <w:rtl/>
        </w:rPr>
        <w:t xml:space="preserve">اتخاذُ </w:t>
      </w:r>
      <w:r w:rsidRPr="00772E40">
        <w:rPr>
          <w:rtl/>
        </w:rPr>
        <w:t xml:space="preserve">مكتب المدعي العام في </w:t>
      </w:r>
      <w:proofErr w:type="spellStart"/>
      <w:r w:rsidRPr="00772E40">
        <w:rPr>
          <w:rtl/>
        </w:rPr>
        <w:t>تاكسكو</w:t>
      </w:r>
      <w:proofErr w:type="spellEnd"/>
      <w:r w:rsidRPr="00772E40">
        <w:rPr>
          <w:rtl/>
        </w:rPr>
        <w:t xml:space="preserve"> </w:t>
      </w:r>
      <w:r w:rsidRPr="00772E40">
        <w:rPr>
          <w:rFonts w:hint="cs"/>
          <w:rtl/>
        </w:rPr>
        <w:t xml:space="preserve">قرار </w:t>
      </w:r>
      <w:r w:rsidRPr="00772E40">
        <w:rPr>
          <w:rtl/>
        </w:rPr>
        <w:t>عدم التحقيق في جريمة التعذيب المرتكبة ضده سبي</w:t>
      </w:r>
      <w:r w:rsidRPr="00772E40">
        <w:rPr>
          <w:rFonts w:hint="cs"/>
          <w:rtl/>
        </w:rPr>
        <w:t>لَ</w:t>
      </w:r>
      <w:r w:rsidRPr="00772E40">
        <w:rPr>
          <w:rtl/>
        </w:rPr>
        <w:t xml:space="preserve"> الانتصاف الذي لجأ إليه عديم الفعالية.</w:t>
      </w:r>
    </w:p>
    <w:p w14:paraId="53472FB9" w14:textId="77777777" w:rsidR="00772E40" w:rsidRPr="00772E40" w:rsidRDefault="00772E40" w:rsidP="00772E40">
      <w:pPr>
        <w:pStyle w:val="SingleTxtGA"/>
      </w:pPr>
      <w:r w:rsidRPr="00C8421F">
        <w:rPr>
          <w:rtl/>
        </w:rPr>
        <w:t>5</w:t>
      </w:r>
      <w:r w:rsidRPr="00772E40">
        <w:rPr>
          <w:rtl/>
        </w:rPr>
        <w:t>-</w:t>
      </w:r>
      <w:r w:rsidRPr="00C8421F">
        <w:rPr>
          <w:rtl/>
        </w:rPr>
        <w:t>9</w:t>
      </w:r>
      <w:r w:rsidRPr="00772E40">
        <w:rPr>
          <w:rtl/>
        </w:rPr>
        <w:tab/>
        <w:t xml:space="preserve">ولهذه الأسباب، قدَّم صاحب الشكوى إلى مكتب المدعي العام للجمهورية شكوى قرر الموظف الذي تلقاها عدم فتح تحقيق أولي بشأنها (انظر الفقرة </w:t>
      </w:r>
      <w:r w:rsidRPr="00C8421F">
        <w:rPr>
          <w:rtl/>
        </w:rPr>
        <w:t>2</w:t>
      </w:r>
      <w:r w:rsidRPr="00772E40">
        <w:rPr>
          <w:rtl/>
        </w:rPr>
        <w:t>-</w:t>
      </w:r>
      <w:r w:rsidRPr="00C8421F">
        <w:rPr>
          <w:rtl/>
        </w:rPr>
        <w:t>26</w:t>
      </w:r>
      <w:r w:rsidRPr="00772E40">
        <w:rPr>
          <w:rtl/>
        </w:rPr>
        <w:t xml:space="preserve"> </w:t>
      </w:r>
      <w:r w:rsidRPr="00C8421F">
        <w:rPr>
          <w:i/>
          <w:iCs/>
          <w:rtl/>
        </w:rPr>
        <w:t>أعلاه</w:t>
      </w:r>
      <w:r w:rsidRPr="00772E40">
        <w:rPr>
          <w:rtl/>
        </w:rPr>
        <w:t xml:space="preserve">)، وهو ما يعني أنه رأى أنه لم تُرتكب أي جريمة ضد صاحب الشكوى. ورغم أن صاحب الشكوى قدَّم عدة طلبات لمباشرة التحقيق الأولي، فقد ردَّ موظف مكتب المدعي العام الاتحادي بأن ذلك ليس ضرورياً، لأن التحقيق الأولي </w:t>
      </w:r>
      <w:r w:rsidRPr="00772E40">
        <w:t>ALA/SC/</w:t>
      </w:r>
      <w:r w:rsidRPr="00C8421F">
        <w:t>05</w:t>
      </w:r>
      <w:r w:rsidRPr="00772E40">
        <w:t>/</w:t>
      </w:r>
      <w:r w:rsidRPr="00C8421F">
        <w:t>0328</w:t>
      </w:r>
      <w:r w:rsidRPr="00772E40">
        <w:t>/</w:t>
      </w:r>
      <w:r w:rsidRPr="00C8421F">
        <w:t>2013</w:t>
      </w:r>
      <w:r w:rsidRPr="00772E40">
        <w:rPr>
          <w:rtl/>
        </w:rPr>
        <w:t xml:space="preserve"> كان جارياً في </w:t>
      </w:r>
      <w:proofErr w:type="spellStart"/>
      <w:r w:rsidRPr="00772E40">
        <w:rPr>
          <w:rtl/>
        </w:rPr>
        <w:t>تاكسكو</w:t>
      </w:r>
      <w:proofErr w:type="spellEnd"/>
      <w:r w:rsidRPr="00772E40">
        <w:rPr>
          <w:rtl/>
        </w:rPr>
        <w:t xml:space="preserve">. ويعني ذلك أن موظف مكتب المدعي العام الاتحادي رأى أن التحقيق ينبغي أن يجري بشأن جريمة الإيذاء وليس جريمة التعذيب. </w:t>
      </w:r>
    </w:p>
    <w:p w14:paraId="6CFEB4BB" w14:textId="77777777" w:rsidR="00772E40" w:rsidRPr="00772E40" w:rsidRDefault="00772E40" w:rsidP="00772E40">
      <w:pPr>
        <w:pStyle w:val="SingleTxtGA"/>
      </w:pPr>
      <w:r w:rsidRPr="00C8421F">
        <w:rPr>
          <w:rtl/>
        </w:rPr>
        <w:t>5</w:t>
      </w:r>
      <w:r w:rsidRPr="00772E40">
        <w:rPr>
          <w:rtl/>
        </w:rPr>
        <w:t>-</w:t>
      </w:r>
      <w:r w:rsidRPr="00C8421F">
        <w:rPr>
          <w:rtl/>
        </w:rPr>
        <w:t>10</w:t>
      </w:r>
      <w:r w:rsidRPr="00772E40">
        <w:rPr>
          <w:rtl/>
        </w:rPr>
        <w:tab/>
        <w:t xml:space="preserve">وإزاء هذا القرار، قدَّم صاحب الشكوى طلباً غير مباشر للحماية القضائية الدستورية، قبلته المحكمة المحلية الحادية عشرة المختصة بالنظر في طلبات الحماية القضائية الدستورية في القضايا الجنائية (انظر الفقرة </w:t>
      </w:r>
      <w:r w:rsidRPr="00C8421F">
        <w:rPr>
          <w:rtl/>
        </w:rPr>
        <w:t>2</w:t>
      </w:r>
      <w:r w:rsidRPr="00772E40">
        <w:rPr>
          <w:rtl/>
        </w:rPr>
        <w:t>-</w:t>
      </w:r>
      <w:r w:rsidRPr="00C8421F">
        <w:rPr>
          <w:rtl/>
        </w:rPr>
        <w:t>27</w:t>
      </w:r>
      <w:r w:rsidRPr="00772E40">
        <w:rPr>
          <w:rtl/>
        </w:rPr>
        <w:t xml:space="preserve"> </w:t>
      </w:r>
      <w:r w:rsidRPr="00C8421F">
        <w:rPr>
          <w:i/>
          <w:iCs/>
          <w:rtl/>
        </w:rPr>
        <w:t>أعلاه</w:t>
      </w:r>
      <w:r w:rsidRPr="00772E40">
        <w:rPr>
          <w:rtl/>
        </w:rPr>
        <w:t xml:space="preserve">). غير أنه لم تُتخذ حتى الآن أي إجراءات للتحقيق مع أفراد شرطة بلدية </w:t>
      </w:r>
      <w:proofErr w:type="spellStart"/>
      <w:r w:rsidRPr="00772E40">
        <w:rPr>
          <w:rtl/>
        </w:rPr>
        <w:t>تاكسكو</w:t>
      </w:r>
      <w:proofErr w:type="spellEnd"/>
      <w:r w:rsidRPr="00772E40">
        <w:rPr>
          <w:rtl/>
        </w:rPr>
        <w:t xml:space="preserve"> فيما يتعلق بأفعال التعذيب التي أبلغ عنها صاحب الشكوى، ولم ينفَّذ بروتوكول اسطنبول. ورغم أن موظف مكتب المدعي العام الاتحادي استدعى صاحب الشكوى مرتين - أُولاه</w:t>
      </w:r>
      <w:r w:rsidRPr="00772E40">
        <w:rPr>
          <w:rFonts w:hint="cs"/>
          <w:rtl/>
        </w:rPr>
        <w:t>م</w:t>
      </w:r>
      <w:r w:rsidRPr="00772E40">
        <w:rPr>
          <w:rtl/>
        </w:rPr>
        <w:t>ا بعد مرور سبعة أشهر على صدور القرار - من أجل تطبيق بروتوكول اسطنبول، فلم يتسن تنفيذ الإجراءات بسبب تقصير</w:t>
      </w:r>
      <w:r w:rsidRPr="00772E40">
        <w:rPr>
          <w:rFonts w:hint="cs"/>
          <w:rtl/>
        </w:rPr>
        <w:t xml:space="preserve"> ذلك</w:t>
      </w:r>
      <w:r w:rsidRPr="00772E40">
        <w:rPr>
          <w:rtl/>
        </w:rPr>
        <w:t xml:space="preserve"> الموظف الذي ترتب عليه عدم إخطار الخبراء بحضور صاحب الشكوى. وعندما م</w:t>
      </w:r>
      <w:r w:rsidRPr="00772E40">
        <w:rPr>
          <w:rFonts w:hint="cs"/>
          <w:rtl/>
        </w:rPr>
        <w:t>َ</w:t>
      </w:r>
      <w:r w:rsidRPr="00772E40">
        <w:rPr>
          <w:rtl/>
        </w:rPr>
        <w:t xml:space="preserve">ثل </w:t>
      </w:r>
      <w:r w:rsidRPr="00772E40">
        <w:rPr>
          <w:rFonts w:hint="cs"/>
          <w:rtl/>
        </w:rPr>
        <w:t xml:space="preserve">صاحب الشكوى أمامه </w:t>
      </w:r>
      <w:r w:rsidRPr="00772E40">
        <w:rPr>
          <w:rtl/>
        </w:rPr>
        <w:t>للمرة الثانية – بعد شهرين من الأولى –، لم يحضر الخبير النفساني، وهو ما استدعى حضور صاحب الشكوى مرة</w:t>
      </w:r>
      <w:r w:rsidRPr="00772E40">
        <w:rPr>
          <w:rFonts w:hint="cs"/>
          <w:rtl/>
        </w:rPr>
        <w:t>ً</w:t>
      </w:r>
      <w:r w:rsidRPr="00772E40">
        <w:rPr>
          <w:rtl/>
        </w:rPr>
        <w:t xml:space="preserve"> ثالثة. ويفيد صاحب الشكوى بأنه لم تُتخذ، حتى الآن، أي إجراءات أخرى لإثبات ارتكاب أفراد الشرطة أفعالَ التعذيب أو صلتهم بها.</w:t>
      </w:r>
    </w:p>
    <w:p w14:paraId="026852B0" w14:textId="77777777" w:rsidR="00772E40" w:rsidRPr="00772E40" w:rsidRDefault="00772E40" w:rsidP="00772E40">
      <w:pPr>
        <w:pStyle w:val="SingleTxtGA"/>
      </w:pPr>
      <w:r w:rsidRPr="00C8421F">
        <w:rPr>
          <w:rtl/>
        </w:rPr>
        <w:t>5</w:t>
      </w:r>
      <w:r w:rsidRPr="00772E40">
        <w:rPr>
          <w:rtl/>
        </w:rPr>
        <w:t>-</w:t>
      </w:r>
      <w:r w:rsidRPr="00C8421F">
        <w:rPr>
          <w:rtl/>
        </w:rPr>
        <w:t>11</w:t>
      </w:r>
      <w:r w:rsidRPr="00772E40">
        <w:rPr>
          <w:rtl/>
        </w:rPr>
        <w:tab/>
        <w:t>ولهذه الأسباب، يرى صاحب الشكوى أنه است</w:t>
      </w:r>
      <w:r w:rsidRPr="00772E40">
        <w:rPr>
          <w:rFonts w:hint="cs"/>
          <w:rtl/>
        </w:rPr>
        <w:t>ُ</w:t>
      </w:r>
      <w:r w:rsidRPr="00772E40">
        <w:rPr>
          <w:rtl/>
        </w:rPr>
        <w:t xml:space="preserve">وفيَ الشرطان اللذان حددتهما الاتفاقية وأشارت إليهما اللجنة فيما يتعلق بعدم انطباق قاعدة استنفاد سبل الانتصاف المحلية، أي طول الإجراءات بشكل غير مبرر وضعف احتمال الحصول على حماية فعالة. </w:t>
      </w:r>
    </w:p>
    <w:p w14:paraId="7738DB03" w14:textId="6DB855CF" w:rsidR="00772E40" w:rsidRPr="00772E40" w:rsidRDefault="00772E40" w:rsidP="00772E40">
      <w:pPr>
        <w:pStyle w:val="SingleTxtGA"/>
      </w:pPr>
      <w:r w:rsidRPr="00C8421F">
        <w:rPr>
          <w:rtl/>
        </w:rPr>
        <w:lastRenderedPageBreak/>
        <w:t>5</w:t>
      </w:r>
      <w:r w:rsidRPr="00772E40">
        <w:rPr>
          <w:rtl/>
        </w:rPr>
        <w:t>-</w:t>
      </w:r>
      <w:r w:rsidRPr="00C8421F">
        <w:rPr>
          <w:rtl/>
        </w:rPr>
        <w:t>12</w:t>
      </w:r>
      <w:r w:rsidRPr="00772E40">
        <w:rPr>
          <w:rtl/>
        </w:rPr>
        <w:tab/>
        <w:t xml:space="preserve">ويعرب صاحب الشكوى عن استغرابه الشديد للمعلومات الخاطئة التي أشارت إليها الدولة الطرف والتي مفادها أنه لم يُبلغ قط أيَّ سلطة بالتهديدات التي كان يتلقاها من بعض أفراد شرطة البلدية. فقد قدَّم شكاوى أو تظلمات رسمية بشأن ما كان يتلقاه من تهديدات بالقتل إلى السلطات التالية: (أ) لجنة حقوق الإنسان في ولاية </w:t>
      </w:r>
      <w:proofErr w:type="spellStart"/>
      <w:r w:rsidRPr="00772E40">
        <w:rPr>
          <w:rtl/>
        </w:rPr>
        <w:t>غيريرو</w:t>
      </w:r>
      <w:proofErr w:type="spellEnd"/>
      <w:r w:rsidRPr="00772E40">
        <w:rPr>
          <w:rtl/>
        </w:rPr>
        <w:t xml:space="preserve">، في </w:t>
      </w:r>
      <w:r w:rsidRPr="00C8421F">
        <w:rPr>
          <w:rtl/>
        </w:rPr>
        <w:t>1</w:t>
      </w:r>
      <w:r w:rsidRPr="00772E40">
        <w:rPr>
          <w:rtl/>
        </w:rPr>
        <w:t xml:space="preserve"> أيار/مايو </w:t>
      </w:r>
      <w:r w:rsidRPr="00C8421F">
        <w:rPr>
          <w:rtl/>
        </w:rPr>
        <w:t>2013</w:t>
      </w:r>
      <w:r w:rsidRPr="00772E40">
        <w:rPr>
          <w:rtl/>
        </w:rPr>
        <w:t>، و</w:t>
      </w:r>
      <w:r w:rsidRPr="00C8421F">
        <w:rPr>
          <w:rtl/>
        </w:rPr>
        <w:t>6</w:t>
      </w:r>
      <w:r w:rsidRPr="00772E40">
        <w:rPr>
          <w:rtl/>
        </w:rPr>
        <w:t xml:space="preserve"> شباط/فبراير </w:t>
      </w:r>
      <w:r w:rsidRPr="00C8421F">
        <w:rPr>
          <w:rtl/>
        </w:rPr>
        <w:t>2014</w:t>
      </w:r>
      <w:r w:rsidRPr="00772E40">
        <w:rPr>
          <w:rtl/>
        </w:rPr>
        <w:t>، و</w:t>
      </w:r>
      <w:r w:rsidRPr="00C8421F">
        <w:rPr>
          <w:rtl/>
        </w:rPr>
        <w:t>14</w:t>
      </w:r>
      <w:r w:rsidRPr="00772E40">
        <w:rPr>
          <w:rtl/>
        </w:rPr>
        <w:t xml:space="preserve"> أيار/</w:t>
      </w:r>
      <w:r w:rsidR="002F6DFB">
        <w:rPr>
          <w:rFonts w:hint="cs"/>
          <w:rtl/>
        </w:rPr>
        <w:t xml:space="preserve"> </w:t>
      </w:r>
      <w:r w:rsidRPr="00772E40">
        <w:rPr>
          <w:rtl/>
        </w:rPr>
        <w:t>مايو</w:t>
      </w:r>
      <w:r w:rsidR="002F6DFB">
        <w:rPr>
          <w:rFonts w:hint="cs"/>
          <w:rtl/>
        </w:rPr>
        <w:t> </w:t>
      </w:r>
      <w:r w:rsidRPr="00C8421F">
        <w:rPr>
          <w:rtl/>
        </w:rPr>
        <w:t>2015</w:t>
      </w:r>
      <w:r w:rsidRPr="00772E40">
        <w:rPr>
          <w:rtl/>
        </w:rPr>
        <w:t xml:space="preserve">؛ و(ب) رئيس بلدية </w:t>
      </w:r>
      <w:proofErr w:type="spellStart"/>
      <w:r w:rsidRPr="00772E40">
        <w:rPr>
          <w:rtl/>
        </w:rPr>
        <w:t>تاكسكو</w:t>
      </w:r>
      <w:proofErr w:type="spellEnd"/>
      <w:r w:rsidRPr="00772E40">
        <w:rPr>
          <w:rtl/>
        </w:rPr>
        <w:t xml:space="preserve">، في </w:t>
      </w:r>
      <w:r w:rsidRPr="00C8421F">
        <w:rPr>
          <w:rtl/>
        </w:rPr>
        <w:t>6</w:t>
      </w:r>
      <w:r w:rsidRPr="00772E40">
        <w:rPr>
          <w:rtl/>
        </w:rPr>
        <w:t xml:space="preserve"> أيار/مايو </w:t>
      </w:r>
      <w:r w:rsidRPr="00C8421F">
        <w:rPr>
          <w:rtl/>
        </w:rPr>
        <w:t>2013</w:t>
      </w:r>
      <w:r w:rsidRPr="00772E40">
        <w:rPr>
          <w:rtl/>
        </w:rPr>
        <w:t xml:space="preserve">؛ و(ج) مستشار بلدية </w:t>
      </w:r>
      <w:proofErr w:type="spellStart"/>
      <w:r w:rsidRPr="00772E40">
        <w:rPr>
          <w:rtl/>
        </w:rPr>
        <w:t>تاكسكو</w:t>
      </w:r>
      <w:proofErr w:type="spellEnd"/>
      <w:r w:rsidRPr="00772E40">
        <w:rPr>
          <w:rtl/>
        </w:rPr>
        <w:t xml:space="preserve">، في </w:t>
      </w:r>
      <w:r w:rsidRPr="00C8421F">
        <w:rPr>
          <w:rtl/>
        </w:rPr>
        <w:t>6</w:t>
      </w:r>
      <w:r w:rsidRPr="00772E40">
        <w:rPr>
          <w:rtl/>
        </w:rPr>
        <w:t xml:space="preserve"> أيار/مايو </w:t>
      </w:r>
      <w:r w:rsidRPr="00C8421F">
        <w:rPr>
          <w:rtl/>
        </w:rPr>
        <w:t>2013</w:t>
      </w:r>
      <w:r w:rsidRPr="00772E40">
        <w:rPr>
          <w:rtl/>
        </w:rPr>
        <w:t xml:space="preserve">؛ و(د) موظف مكتب المدعي العام التابع لمكتب المدعي العام للجمهورية، في </w:t>
      </w:r>
      <w:r w:rsidRPr="00C8421F">
        <w:rPr>
          <w:rtl/>
        </w:rPr>
        <w:t>23</w:t>
      </w:r>
      <w:r w:rsidRPr="00772E40">
        <w:rPr>
          <w:rtl/>
        </w:rPr>
        <w:t xml:space="preserve"> تشرين الأول/أكتوبر </w:t>
      </w:r>
      <w:r w:rsidRPr="00C8421F">
        <w:rPr>
          <w:rtl/>
        </w:rPr>
        <w:t>2014</w:t>
      </w:r>
      <w:r w:rsidRPr="00772E40">
        <w:rPr>
          <w:rtl/>
        </w:rPr>
        <w:t>، و</w:t>
      </w:r>
      <w:r w:rsidRPr="00C8421F">
        <w:rPr>
          <w:rtl/>
        </w:rPr>
        <w:t>20</w:t>
      </w:r>
      <w:r w:rsidRPr="00772E40">
        <w:rPr>
          <w:rtl/>
        </w:rPr>
        <w:t xml:space="preserve"> نيسان/أبريل </w:t>
      </w:r>
      <w:r w:rsidRPr="00C8421F">
        <w:rPr>
          <w:rtl/>
        </w:rPr>
        <w:t>2015</w:t>
      </w:r>
      <w:r w:rsidRPr="00772E40">
        <w:rPr>
          <w:rtl/>
        </w:rPr>
        <w:t xml:space="preserve">؛ و(ه) رئيس اللجنة التنفيذية لمساعدة الضحايا، في </w:t>
      </w:r>
      <w:r w:rsidRPr="00C8421F">
        <w:rPr>
          <w:rtl/>
        </w:rPr>
        <w:t>15</w:t>
      </w:r>
      <w:r w:rsidRPr="00772E40">
        <w:rPr>
          <w:rtl/>
        </w:rPr>
        <w:t xml:space="preserve"> آذار/مارس </w:t>
      </w:r>
      <w:r w:rsidRPr="00C8421F">
        <w:rPr>
          <w:rtl/>
        </w:rPr>
        <w:t>2015</w:t>
      </w:r>
      <w:r w:rsidRPr="00772E40">
        <w:rPr>
          <w:rtl/>
        </w:rPr>
        <w:t xml:space="preserve">. وبالتالي، يكرر صاحب الشكوى أن الدولة الطرف كانت على علم تام، منذ </w:t>
      </w:r>
      <w:r w:rsidRPr="00C8421F">
        <w:rPr>
          <w:rtl/>
        </w:rPr>
        <w:t>1</w:t>
      </w:r>
      <w:r w:rsidRPr="00772E40">
        <w:rPr>
          <w:rtl/>
        </w:rPr>
        <w:t xml:space="preserve"> أيار/مايو </w:t>
      </w:r>
      <w:r w:rsidRPr="00C8421F">
        <w:rPr>
          <w:rtl/>
        </w:rPr>
        <w:t>2013</w:t>
      </w:r>
      <w:r w:rsidRPr="00772E40">
        <w:rPr>
          <w:rtl/>
        </w:rPr>
        <w:t xml:space="preserve">، بما كان يتلقاه من تهديدات بالقتل. </w:t>
      </w:r>
    </w:p>
    <w:p w14:paraId="5B370152" w14:textId="251D9C44" w:rsidR="00772E40" w:rsidRPr="00772E40" w:rsidRDefault="00772E40" w:rsidP="00772E40">
      <w:pPr>
        <w:pStyle w:val="SingleTxtGA"/>
      </w:pPr>
      <w:r w:rsidRPr="00C8421F">
        <w:rPr>
          <w:rtl/>
        </w:rPr>
        <w:t>5</w:t>
      </w:r>
      <w:r w:rsidRPr="00772E40">
        <w:rPr>
          <w:rtl/>
        </w:rPr>
        <w:t>-</w:t>
      </w:r>
      <w:r w:rsidRPr="00C8421F">
        <w:rPr>
          <w:rtl/>
        </w:rPr>
        <w:t>13</w:t>
      </w:r>
      <w:r w:rsidRPr="00772E40">
        <w:rPr>
          <w:rtl/>
        </w:rPr>
        <w:tab/>
        <w:t xml:space="preserve">وفيما يتعلق بالإجراءات المباشَرة أمام لجنة حقوق الإنسان في ولاية </w:t>
      </w:r>
      <w:proofErr w:type="spellStart"/>
      <w:r w:rsidRPr="00772E40">
        <w:rPr>
          <w:rtl/>
        </w:rPr>
        <w:t>غيريرو</w:t>
      </w:r>
      <w:proofErr w:type="spellEnd"/>
      <w:r w:rsidRPr="00772E40">
        <w:rPr>
          <w:rtl/>
        </w:rPr>
        <w:t>، يود صاحب الشكوى التذكير بأن هذه اللجنة ليست هيئة قضائية وأن توصياتها غير ملزمة، وفقاً لاجتهادات لجنة مناهضة التعذيب، التي أشارت إلى أن التحقيقات التي تباشرها اللجنة الوطنية لحقوق الإنسان لا تشكل، بالنظر إلى طبيعة توصياتها، سبيل انتصاف فعالاً ومطلوباً لأغراض استنفاد سبل الانتصاف المحلية</w:t>
      </w:r>
      <w:r w:rsidRPr="00772E40">
        <w:rPr>
          <w:vertAlign w:val="superscript"/>
          <w:rtl/>
        </w:rPr>
        <w:t>(</w:t>
      </w:r>
      <w:r w:rsidRPr="00C8421F">
        <w:rPr>
          <w:vertAlign w:val="superscript"/>
          <w:lang w:val="en-US"/>
        </w:rPr>
        <w:footnoteReference w:id="19"/>
      </w:r>
      <w:r w:rsidRPr="00772E40">
        <w:rPr>
          <w:vertAlign w:val="superscript"/>
          <w:rtl/>
        </w:rPr>
        <w:t>)</w:t>
      </w:r>
      <w:r w:rsidRPr="00772E40">
        <w:rPr>
          <w:rtl/>
        </w:rPr>
        <w:t xml:space="preserve">. </w:t>
      </w:r>
    </w:p>
    <w:p w14:paraId="683A81AD" w14:textId="5E85EDF4" w:rsidR="00772E40" w:rsidRPr="00772E40" w:rsidRDefault="00772E40" w:rsidP="00772E40">
      <w:pPr>
        <w:pStyle w:val="SingleTxtGA"/>
      </w:pPr>
      <w:r w:rsidRPr="00C8421F">
        <w:rPr>
          <w:rtl/>
        </w:rPr>
        <w:t>5</w:t>
      </w:r>
      <w:r w:rsidRPr="00772E40">
        <w:rPr>
          <w:rtl/>
        </w:rPr>
        <w:t>-</w:t>
      </w:r>
      <w:r w:rsidRPr="00C8421F">
        <w:rPr>
          <w:rtl/>
        </w:rPr>
        <w:t>14</w:t>
      </w:r>
      <w:r w:rsidRPr="00772E40">
        <w:rPr>
          <w:rtl/>
        </w:rPr>
        <w:tab/>
        <w:t xml:space="preserve">ولكل هذه الأسباب، يلتمس صاحب الشكوى إعلان قبول هذا البلاغ والنظر في مقبوليته بالاقتران مع أسسه الموضوعية، لأنه يستوفي، على نحو معقول وكافٍ، مقتضيات المادة </w:t>
      </w:r>
      <w:r w:rsidRPr="00C8421F">
        <w:rPr>
          <w:rtl/>
        </w:rPr>
        <w:t>22</w:t>
      </w:r>
      <w:r w:rsidRPr="00772E40">
        <w:rPr>
          <w:rtl/>
        </w:rPr>
        <w:t>(</w:t>
      </w:r>
      <w:r w:rsidRPr="00C8421F">
        <w:rPr>
          <w:rtl/>
        </w:rPr>
        <w:t>5</w:t>
      </w:r>
      <w:r w:rsidRPr="00772E40">
        <w:rPr>
          <w:rtl/>
        </w:rPr>
        <w:t>)(أ) و(ب) من الاتفاقية</w:t>
      </w:r>
      <w:r w:rsidRPr="00772E40">
        <w:rPr>
          <w:vertAlign w:val="superscript"/>
          <w:rtl/>
        </w:rPr>
        <w:t>(</w:t>
      </w:r>
      <w:r w:rsidRPr="00C8421F">
        <w:rPr>
          <w:vertAlign w:val="superscript"/>
          <w:lang w:val="en-US"/>
        </w:rPr>
        <w:footnoteReference w:id="20"/>
      </w:r>
      <w:r w:rsidRPr="00772E40">
        <w:rPr>
          <w:vertAlign w:val="superscript"/>
          <w:rtl/>
        </w:rPr>
        <w:t>)</w:t>
      </w:r>
      <w:r w:rsidRPr="00772E40">
        <w:rPr>
          <w:rtl/>
        </w:rPr>
        <w:t>.</w:t>
      </w:r>
    </w:p>
    <w:p w14:paraId="278DB05A" w14:textId="77777777" w:rsidR="00772E40" w:rsidRPr="00C8421F" w:rsidRDefault="00772E40" w:rsidP="00772E40">
      <w:pPr>
        <w:pStyle w:val="H23GA"/>
      </w:pPr>
      <w:r w:rsidRPr="00C8421F">
        <w:rPr>
          <w:rtl/>
        </w:rPr>
        <w:tab/>
      </w:r>
      <w:r w:rsidRPr="00C8421F">
        <w:rPr>
          <w:rtl/>
        </w:rPr>
        <w:tab/>
        <w:t>قرار اللجنة بشأن طلب الدولة الطرف النظر في مقبولية البلاغ بشكل منفصل عن أسسه الموضوعية</w:t>
      </w:r>
    </w:p>
    <w:p w14:paraId="01B332C2" w14:textId="77777777" w:rsidR="00772E40" w:rsidRPr="00C8421F" w:rsidRDefault="00772E40" w:rsidP="00772E40">
      <w:pPr>
        <w:pStyle w:val="SingleTxtGA"/>
        <w:rPr>
          <w:b/>
        </w:rPr>
      </w:pPr>
      <w:r w:rsidRPr="00C8421F">
        <w:rPr>
          <w:b/>
          <w:rtl/>
        </w:rPr>
        <w:t>6-</w:t>
      </w:r>
      <w:r w:rsidRPr="00C8421F">
        <w:rPr>
          <w:b/>
          <w:rtl/>
        </w:rPr>
        <w:tab/>
        <w:t>في أيار/مايو 2017، أبلغت اللجنة الطرفين بقرارها، الذي اعتمدته من خلال مقررها الخاص المعني بالبلاغات الجديدة والتدابير المؤقتة، وهو النظر في مقبولية البلاغ بالاقتران مع أسسه الموضوعية.</w:t>
      </w:r>
    </w:p>
    <w:p w14:paraId="52AEE995" w14:textId="77777777" w:rsidR="00772E40" w:rsidRPr="00C8421F" w:rsidRDefault="00772E40" w:rsidP="00772E40">
      <w:pPr>
        <w:pStyle w:val="H23GA"/>
      </w:pPr>
      <w:r w:rsidRPr="00C8421F">
        <w:rPr>
          <w:rtl/>
        </w:rPr>
        <w:tab/>
      </w:r>
      <w:r w:rsidRPr="00C8421F">
        <w:rPr>
          <w:rtl/>
        </w:rPr>
        <w:tab/>
        <w:t>ملاحظات إضافية من الدولة الطرف بشأن مقبولية البلاغ وأسسه الموضوعية</w:t>
      </w:r>
    </w:p>
    <w:p w14:paraId="1B43E04F" w14:textId="77777777" w:rsidR="00772E40" w:rsidRPr="00772E40" w:rsidRDefault="00772E40" w:rsidP="00772E40">
      <w:pPr>
        <w:pStyle w:val="SingleTxtGA"/>
      </w:pPr>
      <w:r w:rsidRPr="00C8421F">
        <w:rPr>
          <w:rtl/>
        </w:rPr>
        <w:t>7</w:t>
      </w:r>
      <w:r w:rsidRPr="00772E40">
        <w:rPr>
          <w:rtl/>
        </w:rPr>
        <w:t>-</w:t>
      </w:r>
      <w:r w:rsidRPr="00C8421F">
        <w:rPr>
          <w:rtl/>
        </w:rPr>
        <w:t>1</w:t>
      </w:r>
      <w:r w:rsidRPr="00772E40">
        <w:rPr>
          <w:rtl/>
        </w:rPr>
        <w:tab/>
        <w:t xml:space="preserve">في </w:t>
      </w:r>
      <w:r w:rsidRPr="00C8421F">
        <w:rPr>
          <w:rtl/>
        </w:rPr>
        <w:t>24</w:t>
      </w:r>
      <w:r w:rsidRPr="00772E40">
        <w:rPr>
          <w:rtl/>
        </w:rPr>
        <w:t xml:space="preserve"> أيار/مايو </w:t>
      </w:r>
      <w:r w:rsidRPr="00C8421F">
        <w:rPr>
          <w:rtl/>
        </w:rPr>
        <w:t>2017</w:t>
      </w:r>
      <w:r w:rsidRPr="00772E40">
        <w:rPr>
          <w:rtl/>
        </w:rPr>
        <w:t xml:space="preserve">، قدمت الدولة الطرف ملاحظاتها بشأن مقبولية البلاغ وأسسه الموضوعية، وكرَّرت الحجج التي قدمتها بشأن عدم المقبولية، حيث </w:t>
      </w:r>
      <w:r w:rsidRPr="00772E40">
        <w:rPr>
          <w:rFonts w:hint="cs"/>
          <w:rtl/>
        </w:rPr>
        <w:t xml:space="preserve">رأت </w:t>
      </w:r>
      <w:r w:rsidRPr="00772E40">
        <w:rPr>
          <w:rtl/>
        </w:rPr>
        <w:t xml:space="preserve">أن صاحب </w:t>
      </w:r>
      <w:r w:rsidRPr="00772E40">
        <w:rPr>
          <w:rFonts w:hint="cs"/>
          <w:rtl/>
        </w:rPr>
        <w:t xml:space="preserve">الشكوى </w:t>
      </w:r>
      <w:r w:rsidRPr="00772E40">
        <w:rPr>
          <w:rtl/>
        </w:rPr>
        <w:t xml:space="preserve">لم يستنفد سبل الانتصاف المحلية المتاحة له. وتضيف الدولة الطرف أنه ينبغي للجنة، بوصفها هيئة فرعية، أن تعلن عدم قبول البلاغ، لأن الدولة بصدد تسوية المسألة على الصعيد المحلي. </w:t>
      </w:r>
    </w:p>
    <w:p w14:paraId="160105C0" w14:textId="17C701EC" w:rsidR="00772E40" w:rsidRPr="00772E40" w:rsidRDefault="00772E40" w:rsidP="00772E40">
      <w:pPr>
        <w:pStyle w:val="SingleTxtGA"/>
      </w:pPr>
      <w:r w:rsidRPr="00C8421F">
        <w:rPr>
          <w:rtl/>
        </w:rPr>
        <w:t>7</w:t>
      </w:r>
      <w:r w:rsidRPr="00772E40">
        <w:rPr>
          <w:rtl/>
        </w:rPr>
        <w:t>-</w:t>
      </w:r>
      <w:r w:rsidRPr="00C8421F">
        <w:rPr>
          <w:rtl/>
        </w:rPr>
        <w:t>2</w:t>
      </w:r>
      <w:r w:rsidRPr="00772E40">
        <w:rPr>
          <w:rtl/>
        </w:rPr>
        <w:tab/>
        <w:t>وتشير الدولة الطرف إلى أن اجتهادات اللجنة واضحة فيما يتعلق ب</w:t>
      </w:r>
      <w:r w:rsidRPr="00772E40">
        <w:rPr>
          <w:rFonts w:hint="cs"/>
          <w:rtl/>
        </w:rPr>
        <w:t xml:space="preserve">ضرورة </w:t>
      </w:r>
      <w:r w:rsidRPr="00772E40">
        <w:rPr>
          <w:rtl/>
        </w:rPr>
        <w:t>تأ</w:t>
      </w:r>
      <w:r w:rsidRPr="00772E40">
        <w:rPr>
          <w:rFonts w:hint="cs"/>
          <w:rtl/>
        </w:rPr>
        <w:t>َ</w:t>
      </w:r>
      <w:r w:rsidRPr="00772E40">
        <w:rPr>
          <w:rtl/>
        </w:rPr>
        <w:t>ك</w:t>
      </w:r>
      <w:r w:rsidRPr="00772E40">
        <w:rPr>
          <w:rFonts w:hint="cs"/>
          <w:rtl/>
        </w:rPr>
        <w:t>ُّ</w:t>
      </w:r>
      <w:r w:rsidRPr="00772E40">
        <w:rPr>
          <w:rtl/>
        </w:rPr>
        <w:t>د</w:t>
      </w:r>
      <w:r w:rsidRPr="00772E40">
        <w:rPr>
          <w:rFonts w:hint="cs"/>
          <w:rtl/>
        </w:rPr>
        <w:t>ها، قبل البت في مسألة المقبولية،</w:t>
      </w:r>
      <w:r w:rsidRPr="00772E40">
        <w:rPr>
          <w:rtl/>
        </w:rPr>
        <w:t xml:space="preserve"> م</w:t>
      </w:r>
      <w:r w:rsidRPr="00772E40">
        <w:rPr>
          <w:rFonts w:hint="cs"/>
          <w:rtl/>
        </w:rPr>
        <w:t xml:space="preserve">ن أن </w:t>
      </w:r>
      <w:r w:rsidRPr="00772E40">
        <w:rPr>
          <w:rtl/>
        </w:rPr>
        <w:t xml:space="preserve">الدولة الطرف </w:t>
      </w:r>
      <w:r w:rsidRPr="00772E40">
        <w:rPr>
          <w:rFonts w:hint="cs"/>
          <w:rtl/>
        </w:rPr>
        <w:t xml:space="preserve">المعنية </w:t>
      </w:r>
      <w:r w:rsidRPr="00772E40">
        <w:rPr>
          <w:rtl/>
        </w:rPr>
        <w:t>تصرفت وفقاً لمعايير الاتفاقية</w:t>
      </w:r>
      <w:r w:rsidRPr="00772E40">
        <w:rPr>
          <w:vertAlign w:val="superscript"/>
          <w:rtl/>
        </w:rPr>
        <w:t>(</w:t>
      </w:r>
      <w:r w:rsidRPr="00C8421F">
        <w:rPr>
          <w:vertAlign w:val="superscript"/>
          <w:lang w:val="en-US"/>
        </w:rPr>
        <w:footnoteReference w:id="21"/>
      </w:r>
      <w:r w:rsidRPr="00772E40">
        <w:rPr>
          <w:vertAlign w:val="superscript"/>
          <w:rtl/>
        </w:rPr>
        <w:t>)</w:t>
      </w:r>
      <w:r w:rsidRPr="00772E40">
        <w:rPr>
          <w:rtl/>
        </w:rPr>
        <w:t>. وبالتالي، يجب على اللجنة أن تقرر عدم قبول البلاغ، حيث ثبت أن ثمة إجراءات جارية على الصعيد المحلي، وأن</w:t>
      </w:r>
      <w:r w:rsidRPr="00772E40">
        <w:rPr>
          <w:rFonts w:hint="cs"/>
          <w:rtl/>
        </w:rPr>
        <w:t xml:space="preserve"> صاحب الشكوى</w:t>
      </w:r>
      <w:r w:rsidRPr="00772E40">
        <w:rPr>
          <w:rtl/>
        </w:rPr>
        <w:t xml:space="preserve"> لم </w:t>
      </w:r>
      <w:r w:rsidRPr="00772E40">
        <w:rPr>
          <w:rFonts w:hint="cs"/>
          <w:rtl/>
        </w:rPr>
        <w:t>ي</w:t>
      </w:r>
      <w:r w:rsidRPr="00772E40">
        <w:rPr>
          <w:rtl/>
        </w:rPr>
        <w:t xml:space="preserve">ستنفد بالتالي جميع سبل الانتصاف المحلية التي ثبتت فعاليتها. </w:t>
      </w:r>
    </w:p>
    <w:p w14:paraId="4046626E" w14:textId="410C4DD0" w:rsidR="00772E40" w:rsidRPr="00772E40" w:rsidRDefault="00772E40" w:rsidP="00772E40">
      <w:pPr>
        <w:pStyle w:val="SingleTxtGA"/>
      </w:pPr>
      <w:r w:rsidRPr="00C8421F">
        <w:rPr>
          <w:rtl/>
        </w:rPr>
        <w:t>7</w:t>
      </w:r>
      <w:r w:rsidRPr="00772E40">
        <w:rPr>
          <w:rtl/>
        </w:rPr>
        <w:t>-</w:t>
      </w:r>
      <w:r w:rsidRPr="00C8421F">
        <w:rPr>
          <w:rtl/>
        </w:rPr>
        <w:t>3</w:t>
      </w:r>
      <w:r w:rsidRPr="00772E40">
        <w:rPr>
          <w:rtl/>
        </w:rPr>
        <w:tab/>
        <w:t xml:space="preserve">وفيما يتعلق بأسس </w:t>
      </w:r>
      <w:r w:rsidRPr="00772E40">
        <w:rPr>
          <w:rFonts w:hint="cs"/>
          <w:rtl/>
        </w:rPr>
        <w:t xml:space="preserve">البلاغ </w:t>
      </w:r>
      <w:r w:rsidRPr="00772E40">
        <w:rPr>
          <w:rtl/>
        </w:rPr>
        <w:t>الموضوعية، تفيد الدولة الطرف بأن التحقيقات التي أُجريت تمتثل للمعايير والالتزامات المنصوص عليها في الاتفاقية. وفيما يتعلق بالوقائع التي أبلغ عنها صاحب الشكوى</w:t>
      </w:r>
      <w:r w:rsidRPr="00772E40">
        <w:rPr>
          <w:rFonts w:hint="cs"/>
          <w:rtl/>
        </w:rPr>
        <w:t xml:space="preserve"> </w:t>
      </w:r>
      <w:r w:rsidRPr="00772E40">
        <w:rPr>
          <w:rtl/>
        </w:rPr>
        <w:t>في هذه القضية، اتخذت الدولة الطرف</w:t>
      </w:r>
      <w:r w:rsidRPr="00772E40">
        <w:rPr>
          <w:rFonts w:hint="cs"/>
          <w:rtl/>
        </w:rPr>
        <w:t xml:space="preserve"> </w:t>
      </w:r>
      <w:r w:rsidRPr="00772E40">
        <w:rPr>
          <w:rtl/>
        </w:rPr>
        <w:t>جميع الإجراءات اللازمة لبدء التحقيق فوراً</w:t>
      </w:r>
      <w:r w:rsidRPr="00772E40">
        <w:rPr>
          <w:vertAlign w:val="superscript"/>
          <w:rtl/>
        </w:rPr>
        <w:t>(</w:t>
      </w:r>
      <w:r w:rsidRPr="00C8421F">
        <w:rPr>
          <w:vertAlign w:val="superscript"/>
          <w:lang w:val="en-US"/>
        </w:rPr>
        <w:footnoteReference w:id="22"/>
      </w:r>
      <w:r w:rsidRPr="00772E40">
        <w:rPr>
          <w:vertAlign w:val="superscript"/>
          <w:rtl/>
        </w:rPr>
        <w:t>)</w:t>
      </w:r>
      <w:r w:rsidRPr="00772E40">
        <w:rPr>
          <w:rtl/>
        </w:rPr>
        <w:t xml:space="preserve">، وفقاً لمبدأ لالتزام </w:t>
      </w:r>
      <w:r w:rsidRPr="00772E40">
        <w:rPr>
          <w:rtl/>
        </w:rPr>
        <w:lastRenderedPageBreak/>
        <w:t>ببذل العناية الواجبة وللمعايير المنصوص عليها في الاتفاقية</w:t>
      </w:r>
      <w:r w:rsidRPr="00772E40">
        <w:rPr>
          <w:rFonts w:hint="cs"/>
          <w:rtl/>
        </w:rPr>
        <w:t>.</w:t>
      </w:r>
      <w:r w:rsidRPr="00772E40">
        <w:rPr>
          <w:rtl/>
        </w:rPr>
        <w:t xml:space="preserve"> وتود الدولة الطرف أيضاً أن تؤكد أنه، كنتيجة لهذه الإجراءات، يجري التحقيق مع أربعة </w:t>
      </w:r>
      <w:r w:rsidRPr="00772E40">
        <w:rPr>
          <w:rFonts w:hint="cs"/>
          <w:rtl/>
        </w:rPr>
        <w:t xml:space="preserve">جناة </w:t>
      </w:r>
      <w:r w:rsidRPr="00772E40">
        <w:rPr>
          <w:rtl/>
        </w:rPr>
        <w:t>مزعومين، وتود الإشارة، في هذا الصدد، إلى أن واجب التحقيق يشكل التزام وسيلة وليس التزام نتيجة</w:t>
      </w:r>
      <w:r w:rsidRPr="00772E40">
        <w:rPr>
          <w:vertAlign w:val="superscript"/>
          <w:rtl/>
        </w:rPr>
        <w:t>(</w:t>
      </w:r>
      <w:r w:rsidRPr="00C8421F">
        <w:rPr>
          <w:vertAlign w:val="superscript"/>
          <w:lang w:val="en-US"/>
        </w:rPr>
        <w:footnoteReference w:id="23"/>
      </w:r>
      <w:r w:rsidRPr="00772E40">
        <w:rPr>
          <w:vertAlign w:val="superscript"/>
          <w:rtl/>
        </w:rPr>
        <w:t>)</w:t>
      </w:r>
      <w:r w:rsidRPr="00772E40">
        <w:rPr>
          <w:rtl/>
        </w:rPr>
        <w:t>.</w:t>
      </w:r>
    </w:p>
    <w:p w14:paraId="673ADAF8" w14:textId="77777777" w:rsidR="00772E40" w:rsidRPr="00772E40" w:rsidRDefault="00772E40" w:rsidP="00772E40">
      <w:pPr>
        <w:pStyle w:val="SingleTxtGA"/>
      </w:pPr>
      <w:r w:rsidRPr="00C8421F">
        <w:rPr>
          <w:rtl/>
        </w:rPr>
        <w:t>7</w:t>
      </w:r>
      <w:r w:rsidRPr="00772E40">
        <w:rPr>
          <w:rtl/>
        </w:rPr>
        <w:t>-</w:t>
      </w:r>
      <w:r w:rsidRPr="00C8421F">
        <w:rPr>
          <w:rtl/>
        </w:rPr>
        <w:t>4</w:t>
      </w:r>
      <w:r w:rsidRPr="00772E40">
        <w:rPr>
          <w:rtl/>
        </w:rPr>
        <w:tab/>
        <w:t xml:space="preserve">وتكرر الدولة الطرف أنه </w:t>
      </w:r>
      <w:proofErr w:type="spellStart"/>
      <w:r w:rsidRPr="00772E40">
        <w:rPr>
          <w:rtl/>
        </w:rPr>
        <w:t>روعيت</w:t>
      </w:r>
      <w:proofErr w:type="spellEnd"/>
      <w:r w:rsidRPr="00772E40">
        <w:rPr>
          <w:rtl/>
        </w:rPr>
        <w:t xml:space="preserve"> المعايير اللازمة في هذه القضية، حيث اتُخذت عدة إجراءات في مختلف مسارات التحقيق، </w:t>
      </w:r>
      <w:r w:rsidRPr="00772E40">
        <w:rPr>
          <w:rFonts w:hint="cs"/>
          <w:rtl/>
        </w:rPr>
        <w:t>لا ت</w:t>
      </w:r>
      <w:r w:rsidRPr="00772E40">
        <w:rPr>
          <w:rtl/>
        </w:rPr>
        <w:t xml:space="preserve">ستلزم </w:t>
      </w:r>
      <w:r w:rsidRPr="00772E40">
        <w:rPr>
          <w:rFonts w:hint="cs"/>
          <w:rtl/>
        </w:rPr>
        <w:t xml:space="preserve">كلُّها </w:t>
      </w:r>
      <w:r w:rsidRPr="00772E40">
        <w:rPr>
          <w:rtl/>
        </w:rPr>
        <w:t>حضور صاحب الشكوى، و</w:t>
      </w:r>
      <w:r w:rsidRPr="00772E40">
        <w:rPr>
          <w:rFonts w:hint="cs"/>
          <w:rtl/>
        </w:rPr>
        <w:t xml:space="preserve">كان </w:t>
      </w:r>
      <w:r w:rsidRPr="00772E40">
        <w:rPr>
          <w:rtl/>
        </w:rPr>
        <w:t xml:space="preserve">الوقت الذي استغرقته هذه الإجراءات الجنائية </w:t>
      </w:r>
      <w:r w:rsidRPr="00772E40">
        <w:rPr>
          <w:rFonts w:hint="cs"/>
          <w:rtl/>
        </w:rPr>
        <w:t>معقولاً،</w:t>
      </w:r>
      <w:r w:rsidRPr="00772E40">
        <w:rPr>
          <w:rtl/>
        </w:rPr>
        <w:t xml:space="preserve"> </w:t>
      </w:r>
      <w:r w:rsidRPr="00772E40">
        <w:rPr>
          <w:rFonts w:hint="cs"/>
          <w:rtl/>
        </w:rPr>
        <w:t xml:space="preserve">حيث اتبعت المسار العادي المنصوص </w:t>
      </w:r>
      <w:r w:rsidRPr="00772E40">
        <w:rPr>
          <w:rtl/>
        </w:rPr>
        <w:t xml:space="preserve">عليه </w:t>
      </w:r>
      <w:r w:rsidRPr="00772E40">
        <w:rPr>
          <w:rFonts w:hint="cs"/>
          <w:rtl/>
        </w:rPr>
        <w:t xml:space="preserve">في </w:t>
      </w:r>
      <w:r w:rsidRPr="00772E40">
        <w:rPr>
          <w:rtl/>
        </w:rPr>
        <w:t xml:space="preserve">القانون </w:t>
      </w:r>
      <w:r w:rsidRPr="00772E40">
        <w:rPr>
          <w:rFonts w:hint="cs"/>
          <w:rtl/>
        </w:rPr>
        <w:t>بحكم طبيعتها</w:t>
      </w:r>
      <w:r w:rsidRPr="00772E40">
        <w:rPr>
          <w:rtl/>
        </w:rPr>
        <w:t xml:space="preserve">. وأفضت هذه التحقيقات بالتالي إلى نتائج، حيث </w:t>
      </w:r>
      <w:r w:rsidRPr="00772E40">
        <w:rPr>
          <w:rFonts w:hint="cs"/>
          <w:rtl/>
        </w:rPr>
        <w:t xml:space="preserve">يتابَع </w:t>
      </w:r>
      <w:r w:rsidRPr="00772E40">
        <w:rPr>
          <w:rtl/>
        </w:rPr>
        <w:t xml:space="preserve">بالفعل جناة مزعومون، </w:t>
      </w:r>
      <w:r w:rsidRPr="00772E40">
        <w:rPr>
          <w:rFonts w:hint="cs"/>
          <w:rtl/>
        </w:rPr>
        <w:t>و</w:t>
      </w:r>
      <w:r w:rsidRPr="00772E40">
        <w:rPr>
          <w:rtl/>
        </w:rPr>
        <w:t xml:space="preserve">هم أفراد الشرطة </w:t>
      </w:r>
      <w:r w:rsidRPr="00772E40">
        <w:rPr>
          <w:rFonts w:hint="cs"/>
          <w:rtl/>
        </w:rPr>
        <w:t xml:space="preserve">الذين </w:t>
      </w:r>
      <w:r w:rsidRPr="00772E40">
        <w:rPr>
          <w:rtl/>
        </w:rPr>
        <w:t xml:space="preserve">كانوا في عين المكان يوم حدوث الوقائع. وعلاوةً على ذلك، بوشر التحقيق فور علم الدولة بالوقائع، حيث أُلقي القبض على أحد الجناة المزعومين وصدر أمر </w:t>
      </w:r>
      <w:r w:rsidRPr="00772E40">
        <w:rPr>
          <w:rFonts w:hint="cs"/>
          <w:rtl/>
        </w:rPr>
        <w:t xml:space="preserve">توقيف </w:t>
      </w:r>
      <w:r w:rsidRPr="00772E40">
        <w:rPr>
          <w:rtl/>
        </w:rPr>
        <w:t xml:space="preserve">الثلاثة الباقين، وهو ما </w:t>
      </w:r>
      <w:r w:rsidRPr="00772E40">
        <w:rPr>
          <w:rFonts w:hint="cs"/>
          <w:rtl/>
        </w:rPr>
        <w:t xml:space="preserve">يدل على </w:t>
      </w:r>
      <w:r w:rsidRPr="00772E40">
        <w:rPr>
          <w:rtl/>
        </w:rPr>
        <w:t>أن الدولة تصرفت وفقاً لالتزاماتها بموجب الاتفاقية، ويجري</w:t>
      </w:r>
      <w:r w:rsidRPr="00772E40">
        <w:rPr>
          <w:rFonts w:hint="cs"/>
          <w:rtl/>
        </w:rPr>
        <w:t xml:space="preserve"> كذلك</w:t>
      </w:r>
      <w:r w:rsidRPr="00772E40">
        <w:rPr>
          <w:rtl/>
        </w:rPr>
        <w:t xml:space="preserve"> تنفيذ إجراءات أخرى. </w:t>
      </w:r>
    </w:p>
    <w:p w14:paraId="57EF4119" w14:textId="77777777" w:rsidR="00772E40" w:rsidRPr="00772E40" w:rsidRDefault="00772E40" w:rsidP="00772E40">
      <w:pPr>
        <w:pStyle w:val="SingleTxtGA"/>
      </w:pPr>
      <w:r w:rsidRPr="00C8421F">
        <w:rPr>
          <w:rtl/>
        </w:rPr>
        <w:t>7</w:t>
      </w:r>
      <w:r w:rsidRPr="00772E40">
        <w:rPr>
          <w:rtl/>
        </w:rPr>
        <w:t>-</w:t>
      </w:r>
      <w:r w:rsidRPr="00C8421F">
        <w:rPr>
          <w:rtl/>
        </w:rPr>
        <w:t>5</w:t>
      </w:r>
      <w:r w:rsidRPr="00772E40">
        <w:rPr>
          <w:rtl/>
        </w:rPr>
        <w:tab/>
        <w:t xml:space="preserve">وبناء على كل ما تقدم، ينبغي أن تخلص اللجنة إلى أن الدولة الطرف </w:t>
      </w:r>
      <w:r w:rsidRPr="00772E40">
        <w:rPr>
          <w:rFonts w:hint="cs"/>
          <w:rtl/>
        </w:rPr>
        <w:t>أوفت ب</w:t>
      </w:r>
      <w:r w:rsidRPr="00772E40">
        <w:rPr>
          <w:rtl/>
        </w:rPr>
        <w:t xml:space="preserve">التزاماتها بالتحقيق في الوقائع منذ لحظة علمها بها وأنها </w:t>
      </w:r>
      <w:r w:rsidRPr="00772E40">
        <w:rPr>
          <w:rFonts w:hint="cs"/>
          <w:rtl/>
        </w:rPr>
        <w:t xml:space="preserve">في الوقت الراهن </w:t>
      </w:r>
      <w:r w:rsidRPr="00772E40">
        <w:rPr>
          <w:rtl/>
        </w:rPr>
        <w:t xml:space="preserve">بصدد معالجة المسألة على الصعيد المحلي. </w:t>
      </w:r>
    </w:p>
    <w:p w14:paraId="10A1303B" w14:textId="77777777" w:rsidR="00772E40" w:rsidRPr="00C8421F" w:rsidRDefault="00772E40" w:rsidP="00772E40">
      <w:pPr>
        <w:pStyle w:val="H23GA"/>
      </w:pPr>
      <w:r w:rsidRPr="00C8421F">
        <w:rPr>
          <w:rtl/>
        </w:rPr>
        <w:tab/>
      </w:r>
      <w:r w:rsidRPr="00C8421F">
        <w:rPr>
          <w:rtl/>
        </w:rPr>
        <w:tab/>
        <w:t>تعليقات إضافية من صاحب الشكوى على ملاحظات الدولة الطرف</w:t>
      </w:r>
    </w:p>
    <w:p w14:paraId="12C3FA3D" w14:textId="77777777" w:rsidR="00772E40" w:rsidRPr="00772E40" w:rsidRDefault="00772E40" w:rsidP="00772E40">
      <w:pPr>
        <w:pStyle w:val="SingleTxtGA"/>
      </w:pPr>
      <w:r w:rsidRPr="00C8421F">
        <w:rPr>
          <w:rtl/>
        </w:rPr>
        <w:t>8</w:t>
      </w:r>
      <w:r w:rsidRPr="00772E40">
        <w:rPr>
          <w:rtl/>
        </w:rPr>
        <w:t>-</w:t>
      </w:r>
      <w:r w:rsidRPr="00C8421F">
        <w:rPr>
          <w:rtl/>
        </w:rPr>
        <w:t>1</w:t>
      </w:r>
      <w:r w:rsidRPr="00772E40">
        <w:rPr>
          <w:rtl/>
        </w:rPr>
        <w:tab/>
        <w:t xml:space="preserve">في </w:t>
      </w:r>
      <w:r w:rsidRPr="00C8421F">
        <w:rPr>
          <w:rtl/>
        </w:rPr>
        <w:t>8</w:t>
      </w:r>
      <w:r w:rsidRPr="00772E40">
        <w:rPr>
          <w:rtl/>
        </w:rPr>
        <w:t xml:space="preserve"> تشرين الأول/أكتوبر </w:t>
      </w:r>
      <w:r w:rsidRPr="00C8421F">
        <w:rPr>
          <w:rtl/>
        </w:rPr>
        <w:t>2018</w:t>
      </w:r>
      <w:r w:rsidRPr="00772E40">
        <w:rPr>
          <w:rtl/>
        </w:rPr>
        <w:t xml:space="preserve">، قدَّم صاحب الشكوى تعليقاته على ملاحظات الدولة الطرف بشأن مقبولية البلاغ وأسسه الموضوعية. ويشير صاحب الشكوى إلى أن الدولة الطرف تكرر الحجج ذاتها التي سبق أن قدمتها في مذكرتها المؤرخة </w:t>
      </w:r>
      <w:r w:rsidRPr="00C8421F">
        <w:rPr>
          <w:rtl/>
        </w:rPr>
        <w:t>24</w:t>
      </w:r>
      <w:r w:rsidRPr="00772E40">
        <w:rPr>
          <w:rtl/>
        </w:rPr>
        <w:t xml:space="preserve"> كانون الثاني/يناير </w:t>
      </w:r>
      <w:r w:rsidRPr="00C8421F">
        <w:rPr>
          <w:rtl/>
        </w:rPr>
        <w:t>2017</w:t>
      </w:r>
      <w:r w:rsidRPr="00772E40">
        <w:rPr>
          <w:rtl/>
        </w:rPr>
        <w:t xml:space="preserve">، ويكرر بالتالي تعليقاته التي قدمها في مذكرته المؤرخة </w:t>
      </w:r>
      <w:r w:rsidRPr="00C8421F">
        <w:rPr>
          <w:rtl/>
        </w:rPr>
        <w:t>28</w:t>
      </w:r>
      <w:r w:rsidRPr="00772E40">
        <w:rPr>
          <w:rtl/>
        </w:rPr>
        <w:t xml:space="preserve"> آذار/مارس </w:t>
      </w:r>
      <w:r w:rsidRPr="00C8421F">
        <w:rPr>
          <w:rtl/>
        </w:rPr>
        <w:t>2017</w:t>
      </w:r>
      <w:r w:rsidRPr="00772E40">
        <w:rPr>
          <w:rtl/>
        </w:rPr>
        <w:t xml:space="preserve"> بشأن مقبولية البلاغ.</w:t>
      </w:r>
    </w:p>
    <w:p w14:paraId="0363AF7C" w14:textId="77777777" w:rsidR="00772E40" w:rsidRPr="00772E40" w:rsidRDefault="00772E40" w:rsidP="00772E40">
      <w:pPr>
        <w:pStyle w:val="SingleTxtGA"/>
      </w:pPr>
      <w:r w:rsidRPr="00C8421F">
        <w:rPr>
          <w:rtl/>
        </w:rPr>
        <w:t>8</w:t>
      </w:r>
      <w:r w:rsidRPr="00772E40">
        <w:rPr>
          <w:rtl/>
        </w:rPr>
        <w:t>-</w:t>
      </w:r>
      <w:r w:rsidRPr="00C8421F">
        <w:rPr>
          <w:rtl/>
        </w:rPr>
        <w:t>2</w:t>
      </w:r>
      <w:r w:rsidRPr="00772E40">
        <w:rPr>
          <w:rtl/>
        </w:rPr>
        <w:tab/>
        <w:t xml:space="preserve">ففيما يتعلق بطلب الدولة الطرف إعلان عدم مقبولية البلاغ </w:t>
      </w:r>
      <w:r w:rsidRPr="00772E40">
        <w:rPr>
          <w:rFonts w:hint="cs"/>
          <w:rtl/>
        </w:rPr>
        <w:t>ل</w:t>
      </w:r>
      <w:r w:rsidRPr="00772E40">
        <w:rPr>
          <w:rtl/>
        </w:rPr>
        <w:t xml:space="preserve">وجود إجراءات جارية على الصعيد المحلي، يود صاحب الشكوى التذكير بأن هذه الإجراءات تتعلق بجريمتي </w:t>
      </w:r>
      <w:r w:rsidRPr="00772E40">
        <w:rPr>
          <w:rFonts w:hint="cs"/>
          <w:rtl/>
        </w:rPr>
        <w:t xml:space="preserve">إيذائه وإلحاق الضرر </w:t>
      </w:r>
      <w:r w:rsidRPr="00772E40">
        <w:rPr>
          <w:rtl/>
        </w:rPr>
        <w:t xml:space="preserve">بمركبة زوجته. ولذلك، </w:t>
      </w:r>
      <w:r w:rsidRPr="00772E40">
        <w:rPr>
          <w:rFonts w:hint="cs"/>
          <w:rtl/>
        </w:rPr>
        <w:t xml:space="preserve">ليس ثمة </w:t>
      </w:r>
      <w:r w:rsidRPr="00772E40">
        <w:rPr>
          <w:rtl/>
        </w:rPr>
        <w:t xml:space="preserve">أي إجراءات جارية على الصعيد المحلي للتحقيق في جريمة التعذيب التي أبلغ عنها صاحب الشكوى، وثبت بالتالي عدم فعالية سبل الانتصاف المحلية. </w:t>
      </w:r>
    </w:p>
    <w:p w14:paraId="224FD9CD" w14:textId="77777777" w:rsidR="00772E40" w:rsidRPr="00772E40" w:rsidRDefault="00772E40" w:rsidP="00772E40">
      <w:pPr>
        <w:pStyle w:val="SingleTxtGA"/>
      </w:pPr>
      <w:r w:rsidRPr="00C8421F">
        <w:rPr>
          <w:rtl/>
        </w:rPr>
        <w:t>8</w:t>
      </w:r>
      <w:r w:rsidRPr="00772E40">
        <w:rPr>
          <w:rtl/>
        </w:rPr>
        <w:t>-</w:t>
      </w:r>
      <w:r w:rsidRPr="00C8421F">
        <w:rPr>
          <w:rtl/>
        </w:rPr>
        <w:t>3</w:t>
      </w:r>
      <w:r w:rsidRPr="00772E40">
        <w:rPr>
          <w:rtl/>
        </w:rPr>
        <w:tab/>
        <w:t>ويشير صاحب الشكوى أيضاً إلى أنه</w:t>
      </w:r>
      <w:r w:rsidRPr="00772E40">
        <w:rPr>
          <w:rFonts w:hint="cs"/>
          <w:rtl/>
        </w:rPr>
        <w:t>،</w:t>
      </w:r>
      <w:r w:rsidRPr="00772E40">
        <w:rPr>
          <w:rtl/>
        </w:rPr>
        <w:t xml:space="preserve"> في إطار التحقيق الأولي </w:t>
      </w:r>
      <w:r w:rsidRPr="00772E40">
        <w:t>FED/SEIDO/UEIDMS-GRO/</w:t>
      </w:r>
      <w:r w:rsidRPr="00C8421F">
        <w:t>00005467206</w:t>
      </w:r>
      <w:r w:rsidRPr="00772E40">
        <w:rPr>
          <w:rtl/>
        </w:rPr>
        <w:t xml:space="preserve">، الذي باشرته الوحدة المتخصصة للتحقيقات في جرائم الاختطاف التابعة لمكتب المدعي العام للجمهورية في </w:t>
      </w:r>
      <w:r w:rsidRPr="00C8421F">
        <w:rPr>
          <w:rtl/>
        </w:rPr>
        <w:t>12</w:t>
      </w:r>
      <w:r w:rsidRPr="00772E40">
        <w:rPr>
          <w:rtl/>
        </w:rPr>
        <w:t xml:space="preserve"> أيلول/سبتمبر </w:t>
      </w:r>
      <w:r w:rsidRPr="00C8421F">
        <w:rPr>
          <w:rtl/>
        </w:rPr>
        <w:t>2016</w:t>
      </w:r>
      <w:r w:rsidRPr="00772E40">
        <w:rPr>
          <w:rtl/>
        </w:rPr>
        <w:t xml:space="preserve">، بناءً على </w:t>
      </w:r>
      <w:r w:rsidRPr="00772E40">
        <w:rPr>
          <w:rFonts w:hint="cs"/>
          <w:rtl/>
        </w:rPr>
        <w:t xml:space="preserve">أمر </w:t>
      </w:r>
      <w:r w:rsidRPr="00772E40">
        <w:rPr>
          <w:rtl/>
        </w:rPr>
        <w:t xml:space="preserve">المحكمة المحلية الحادية عشرة المختصة بالنظر في طلبات الحماية القضائية الدستورية في القضايا الجنائية (انظر الفقرة </w:t>
      </w:r>
      <w:r w:rsidRPr="00C8421F">
        <w:rPr>
          <w:rtl/>
        </w:rPr>
        <w:t>2</w:t>
      </w:r>
      <w:r w:rsidRPr="00772E40">
        <w:rPr>
          <w:rtl/>
        </w:rPr>
        <w:t>-</w:t>
      </w:r>
      <w:r w:rsidRPr="00C8421F">
        <w:rPr>
          <w:rtl/>
        </w:rPr>
        <w:t>27</w:t>
      </w:r>
      <w:r w:rsidRPr="00772E40">
        <w:rPr>
          <w:rtl/>
        </w:rPr>
        <w:t xml:space="preserve"> </w:t>
      </w:r>
      <w:r w:rsidRPr="00C8421F">
        <w:rPr>
          <w:i/>
          <w:iCs/>
          <w:rtl/>
        </w:rPr>
        <w:t>أعلاه</w:t>
      </w:r>
      <w:r w:rsidRPr="00772E40">
        <w:rPr>
          <w:rtl/>
        </w:rPr>
        <w:t xml:space="preserve">)، رفض موظف مكتب المدعي العام الاتحادي التحقيق في أفعال التعذيب وأسند الاختصاص لمكتب المدعي العام في ولاية </w:t>
      </w:r>
      <w:proofErr w:type="spellStart"/>
      <w:r w:rsidRPr="00772E40">
        <w:rPr>
          <w:rtl/>
        </w:rPr>
        <w:t>غيريرو</w:t>
      </w:r>
      <w:proofErr w:type="spellEnd"/>
      <w:r w:rsidRPr="00772E40">
        <w:rPr>
          <w:rtl/>
        </w:rPr>
        <w:t xml:space="preserve">، الذي لم يحقق أيضاً في أفعال التعذيب. وبالتالي، يكرر صاحب الشكوى أن الدولة الطرف لم </w:t>
      </w:r>
      <w:r w:rsidRPr="00772E40">
        <w:rPr>
          <w:rFonts w:hint="cs"/>
          <w:rtl/>
        </w:rPr>
        <w:t xml:space="preserve">تدحض </w:t>
      </w:r>
      <w:r w:rsidRPr="00772E40">
        <w:rPr>
          <w:rtl/>
        </w:rPr>
        <w:t xml:space="preserve">في مذكرتها انتهاكات </w:t>
      </w:r>
      <w:r w:rsidRPr="00772E40">
        <w:rPr>
          <w:rFonts w:hint="cs"/>
          <w:rtl/>
        </w:rPr>
        <w:t xml:space="preserve">أحكام </w:t>
      </w:r>
      <w:r w:rsidRPr="00772E40">
        <w:rPr>
          <w:rtl/>
        </w:rPr>
        <w:t xml:space="preserve">المادة </w:t>
      </w:r>
      <w:r w:rsidRPr="00C8421F">
        <w:rPr>
          <w:rtl/>
        </w:rPr>
        <w:t>1</w:t>
      </w:r>
      <w:r w:rsidRPr="00772E40">
        <w:rPr>
          <w:rFonts w:hint="cs"/>
          <w:rtl/>
        </w:rPr>
        <w:t>،</w:t>
      </w:r>
      <w:r w:rsidRPr="00772E40">
        <w:rPr>
          <w:rtl/>
        </w:rPr>
        <w:t xml:space="preserve"> مقروءة بالاقتران مع الماد</w:t>
      </w:r>
      <w:r w:rsidRPr="00772E40">
        <w:rPr>
          <w:rFonts w:hint="cs"/>
          <w:rtl/>
        </w:rPr>
        <w:t>ة</w:t>
      </w:r>
      <w:r w:rsidRPr="00772E40">
        <w:rPr>
          <w:rtl/>
        </w:rPr>
        <w:t xml:space="preserve"> </w:t>
      </w:r>
      <w:r w:rsidRPr="00C8421F">
        <w:rPr>
          <w:rtl/>
        </w:rPr>
        <w:t>2</w:t>
      </w:r>
      <w:r w:rsidRPr="00772E40">
        <w:rPr>
          <w:rtl/>
        </w:rPr>
        <w:t>(</w:t>
      </w:r>
      <w:r w:rsidRPr="00C8421F">
        <w:rPr>
          <w:rtl/>
        </w:rPr>
        <w:t>1</w:t>
      </w:r>
      <w:r w:rsidRPr="00772E40">
        <w:rPr>
          <w:rtl/>
        </w:rPr>
        <w:t>)، و</w:t>
      </w:r>
      <w:r w:rsidRPr="00772E40">
        <w:rPr>
          <w:rFonts w:hint="cs"/>
          <w:rtl/>
        </w:rPr>
        <w:t xml:space="preserve">أحكام المادة </w:t>
      </w:r>
      <w:r w:rsidRPr="00C8421F">
        <w:rPr>
          <w:rtl/>
        </w:rPr>
        <w:t>11</w:t>
      </w:r>
      <w:r w:rsidRPr="00772E40">
        <w:rPr>
          <w:rFonts w:hint="cs"/>
          <w:rtl/>
        </w:rPr>
        <w:t xml:space="preserve"> </w:t>
      </w:r>
      <w:r w:rsidRPr="00772E40">
        <w:rPr>
          <w:rtl/>
        </w:rPr>
        <w:t xml:space="preserve">من الاتفاقية. </w:t>
      </w:r>
    </w:p>
    <w:p w14:paraId="6C635853" w14:textId="17BC7097" w:rsidR="00772E40" w:rsidRPr="00772E40" w:rsidRDefault="00772E40" w:rsidP="00772E40">
      <w:pPr>
        <w:pStyle w:val="SingleTxtGA"/>
      </w:pPr>
      <w:r w:rsidRPr="00C8421F">
        <w:rPr>
          <w:rtl/>
        </w:rPr>
        <w:lastRenderedPageBreak/>
        <w:t>8</w:t>
      </w:r>
      <w:r w:rsidRPr="00772E40">
        <w:rPr>
          <w:rtl/>
        </w:rPr>
        <w:t>-</w:t>
      </w:r>
      <w:r w:rsidRPr="00C8421F">
        <w:rPr>
          <w:rtl/>
        </w:rPr>
        <w:t>4</w:t>
      </w:r>
      <w:r w:rsidRPr="00772E40">
        <w:rPr>
          <w:rtl/>
        </w:rPr>
        <w:tab/>
        <w:t xml:space="preserve">وفيما يتعلق بالمادة </w:t>
      </w:r>
      <w:r w:rsidRPr="00C8421F">
        <w:rPr>
          <w:rtl/>
        </w:rPr>
        <w:t>16</w:t>
      </w:r>
      <w:r w:rsidRPr="00772E40">
        <w:rPr>
          <w:rFonts w:hint="cs"/>
          <w:rtl/>
        </w:rPr>
        <w:t>،</w:t>
      </w:r>
      <w:r w:rsidRPr="00772E40">
        <w:rPr>
          <w:rtl/>
        </w:rPr>
        <w:t xml:space="preserve"> مقروءة بالاقتران مع المادة </w:t>
      </w:r>
      <w:r w:rsidRPr="00C8421F">
        <w:rPr>
          <w:rtl/>
        </w:rPr>
        <w:t>2</w:t>
      </w:r>
      <w:r w:rsidRPr="00772E40">
        <w:rPr>
          <w:rtl/>
        </w:rPr>
        <w:t>(</w:t>
      </w:r>
      <w:r w:rsidRPr="00C8421F">
        <w:rPr>
          <w:rtl/>
        </w:rPr>
        <w:t>1</w:t>
      </w:r>
      <w:r w:rsidRPr="00772E40">
        <w:rPr>
          <w:rtl/>
        </w:rPr>
        <w:t>) من الاتفاقية، يود صاحب الشكوى أن يضيف أن الدولة الطرف لم تتخذ التدابير اللازمة لكفالة توافق ظروف احتجاز</w:t>
      </w:r>
      <w:r w:rsidRPr="00772E40">
        <w:rPr>
          <w:rFonts w:hint="cs"/>
          <w:rtl/>
        </w:rPr>
        <w:t>ه</w:t>
      </w:r>
      <w:r w:rsidRPr="00772E40">
        <w:rPr>
          <w:rtl/>
        </w:rPr>
        <w:t xml:space="preserve"> مع القواعد الدنيا لمعاملة السجناء</w:t>
      </w:r>
      <w:r w:rsidRPr="00772E40">
        <w:rPr>
          <w:vertAlign w:val="superscript"/>
          <w:rtl/>
        </w:rPr>
        <w:t>(</w:t>
      </w:r>
      <w:r w:rsidRPr="00C8421F">
        <w:rPr>
          <w:vertAlign w:val="superscript"/>
          <w:lang w:val="en-US"/>
        </w:rPr>
        <w:footnoteReference w:id="24"/>
      </w:r>
      <w:r w:rsidRPr="00772E40">
        <w:rPr>
          <w:vertAlign w:val="superscript"/>
          <w:rtl/>
        </w:rPr>
        <w:t>)</w:t>
      </w:r>
      <w:r w:rsidRPr="00772E40">
        <w:rPr>
          <w:rtl/>
        </w:rPr>
        <w:t xml:space="preserve">، </w:t>
      </w:r>
      <w:r w:rsidRPr="00772E40">
        <w:rPr>
          <w:rFonts w:hint="cs"/>
          <w:rtl/>
        </w:rPr>
        <w:t xml:space="preserve">حيث </w:t>
      </w:r>
      <w:r w:rsidRPr="00772E40">
        <w:rPr>
          <w:rtl/>
        </w:rPr>
        <w:t xml:space="preserve">حُرم من هذه التدابير، على نحو ما عرضه بالتفصيل في رسالته الأولى. </w:t>
      </w:r>
    </w:p>
    <w:p w14:paraId="3A40539A" w14:textId="77777777" w:rsidR="00772E40" w:rsidRPr="00772E40" w:rsidRDefault="00772E40" w:rsidP="00772E40">
      <w:pPr>
        <w:pStyle w:val="SingleTxtGA"/>
      </w:pPr>
      <w:r w:rsidRPr="00C8421F">
        <w:rPr>
          <w:rtl/>
        </w:rPr>
        <w:t>8</w:t>
      </w:r>
      <w:r w:rsidRPr="00772E40">
        <w:rPr>
          <w:rtl/>
        </w:rPr>
        <w:t>-</w:t>
      </w:r>
      <w:r w:rsidRPr="00C8421F">
        <w:rPr>
          <w:rtl/>
        </w:rPr>
        <w:t>5</w:t>
      </w:r>
      <w:r w:rsidRPr="00772E40">
        <w:rPr>
          <w:rtl/>
        </w:rPr>
        <w:tab/>
        <w:t xml:space="preserve">وفيما يتعلق بالمادتين </w:t>
      </w:r>
      <w:r w:rsidRPr="00C8421F">
        <w:rPr>
          <w:rtl/>
        </w:rPr>
        <w:t>12</w:t>
      </w:r>
      <w:r w:rsidRPr="00772E40">
        <w:rPr>
          <w:rtl/>
        </w:rPr>
        <w:t xml:space="preserve"> و</w:t>
      </w:r>
      <w:r w:rsidRPr="00C8421F">
        <w:rPr>
          <w:rtl/>
        </w:rPr>
        <w:t>13</w:t>
      </w:r>
      <w:r w:rsidRPr="00772E40">
        <w:rPr>
          <w:rtl/>
        </w:rPr>
        <w:t xml:space="preserve"> من الاتفاقية، يود صاحب الشكوى أن يكرر أن التحقيق </w:t>
      </w:r>
      <w:r w:rsidRPr="00772E40">
        <w:rPr>
          <w:rFonts w:hint="cs"/>
          <w:rtl/>
        </w:rPr>
        <w:t xml:space="preserve">في </w:t>
      </w:r>
      <w:r w:rsidRPr="00772E40">
        <w:rPr>
          <w:rtl/>
        </w:rPr>
        <w:t xml:space="preserve">جريمة التعذيب لم يباشَر ولم يجر، وأن أفراد الشرطة المعنيين يخضعون </w:t>
      </w:r>
      <w:r w:rsidRPr="00772E40">
        <w:rPr>
          <w:rFonts w:hint="cs"/>
          <w:rtl/>
        </w:rPr>
        <w:t>ل</w:t>
      </w:r>
      <w:r w:rsidRPr="00772E40">
        <w:rPr>
          <w:rtl/>
        </w:rPr>
        <w:t xml:space="preserve">لتحقيق بتهمة ارتكاب جريمة الإيذاء، وأن الشخص الوحيد الذي أُلقي عليه القبض أُوقف بتهمة ارتكاب جريمة إلحاق الضرر بمركبة. </w:t>
      </w:r>
      <w:r w:rsidRPr="00772E40">
        <w:rPr>
          <w:rFonts w:hint="cs"/>
          <w:rtl/>
        </w:rPr>
        <w:t xml:space="preserve">وعلى خلاف ما </w:t>
      </w:r>
      <w:r w:rsidRPr="00772E40">
        <w:rPr>
          <w:rtl/>
        </w:rPr>
        <w:t xml:space="preserve">تشير إليه الدولة الطرف في تعليقاتها، فقد تلقى موظف مكتب المدعي العام في </w:t>
      </w:r>
      <w:proofErr w:type="spellStart"/>
      <w:r w:rsidRPr="00772E40">
        <w:rPr>
          <w:rtl/>
        </w:rPr>
        <w:t>تاكسكو</w:t>
      </w:r>
      <w:proofErr w:type="spellEnd"/>
      <w:r w:rsidRPr="00772E40">
        <w:rPr>
          <w:rtl/>
        </w:rPr>
        <w:t xml:space="preserve"> محضر الإبلاغ عن التعرض </w:t>
      </w:r>
      <w:r w:rsidRPr="00772E40">
        <w:rPr>
          <w:rFonts w:hint="cs"/>
          <w:rtl/>
        </w:rPr>
        <w:t xml:space="preserve">للإيذاء </w:t>
      </w:r>
      <w:r w:rsidRPr="00772E40">
        <w:rPr>
          <w:rtl/>
        </w:rPr>
        <w:t>في اليوم ذاته الذي قدم فيه صاحب الشكوى شكواه التي عرض فيها بالتفصيل أفعال التعذيب</w:t>
      </w:r>
      <w:r w:rsidRPr="00772E40">
        <w:rPr>
          <w:rFonts w:hint="cs"/>
          <w:rtl/>
        </w:rPr>
        <w:t xml:space="preserve"> التي تعرض لها</w:t>
      </w:r>
      <w:r w:rsidRPr="00772E40">
        <w:rPr>
          <w:rtl/>
        </w:rPr>
        <w:t xml:space="preserve">، </w:t>
      </w:r>
      <w:r w:rsidRPr="00772E40">
        <w:rPr>
          <w:rFonts w:hint="cs"/>
          <w:rtl/>
        </w:rPr>
        <w:t xml:space="preserve">ولكنه </w:t>
      </w:r>
      <w:r w:rsidRPr="00772E40">
        <w:rPr>
          <w:rtl/>
        </w:rPr>
        <w:t>لم يفتح تحقيق</w:t>
      </w:r>
      <w:r w:rsidRPr="00772E40">
        <w:rPr>
          <w:rFonts w:hint="cs"/>
          <w:rtl/>
        </w:rPr>
        <w:t>اً</w:t>
      </w:r>
      <w:r w:rsidRPr="00772E40">
        <w:rPr>
          <w:rtl/>
        </w:rPr>
        <w:t xml:space="preserve"> بشأن جريمة التعذيب. </w:t>
      </w:r>
    </w:p>
    <w:p w14:paraId="50D400B4" w14:textId="5337FF4B" w:rsidR="00772E40" w:rsidRPr="00772E40" w:rsidRDefault="00772E40" w:rsidP="00772E40">
      <w:pPr>
        <w:pStyle w:val="SingleTxtGA"/>
      </w:pPr>
      <w:r w:rsidRPr="00C8421F">
        <w:rPr>
          <w:rtl/>
        </w:rPr>
        <w:t>8</w:t>
      </w:r>
      <w:r w:rsidRPr="00772E40">
        <w:rPr>
          <w:rtl/>
        </w:rPr>
        <w:t>-</w:t>
      </w:r>
      <w:r w:rsidRPr="00C8421F">
        <w:rPr>
          <w:rtl/>
        </w:rPr>
        <w:t>6</w:t>
      </w:r>
      <w:r w:rsidRPr="00772E40">
        <w:rPr>
          <w:rtl/>
        </w:rPr>
        <w:tab/>
        <w:t xml:space="preserve">وعليه، فقد انتهكت الدولة الطرف، وفقاً لاجتهادات اللجنة، المادة </w:t>
      </w:r>
      <w:r w:rsidRPr="00C8421F">
        <w:rPr>
          <w:rtl/>
        </w:rPr>
        <w:t>12</w:t>
      </w:r>
      <w:r w:rsidRPr="00772E40">
        <w:rPr>
          <w:rtl/>
        </w:rPr>
        <w:t xml:space="preserve">، وبالتالي المادة </w:t>
      </w:r>
      <w:r w:rsidRPr="00C8421F">
        <w:rPr>
          <w:rtl/>
        </w:rPr>
        <w:t>13</w:t>
      </w:r>
      <w:r w:rsidRPr="00772E40">
        <w:rPr>
          <w:vertAlign w:val="superscript"/>
          <w:rtl/>
        </w:rPr>
        <w:t>(</w:t>
      </w:r>
      <w:r w:rsidRPr="00C8421F">
        <w:rPr>
          <w:vertAlign w:val="superscript"/>
          <w:lang w:val="en-US"/>
        </w:rPr>
        <w:footnoteReference w:id="25"/>
      </w:r>
      <w:r w:rsidRPr="00772E40">
        <w:rPr>
          <w:vertAlign w:val="superscript"/>
          <w:rtl/>
        </w:rPr>
        <w:t>)</w:t>
      </w:r>
      <w:r w:rsidRPr="00772E40">
        <w:rPr>
          <w:rtl/>
        </w:rPr>
        <w:t xml:space="preserve"> من الاتفاقية. </w:t>
      </w:r>
    </w:p>
    <w:p w14:paraId="702BD759" w14:textId="77777777" w:rsidR="00772E40" w:rsidRPr="00772E40" w:rsidRDefault="00772E40" w:rsidP="00772E40">
      <w:pPr>
        <w:pStyle w:val="SingleTxtGA"/>
      </w:pPr>
      <w:r w:rsidRPr="00C8421F">
        <w:rPr>
          <w:rtl/>
        </w:rPr>
        <w:t>8</w:t>
      </w:r>
      <w:r w:rsidRPr="00772E40">
        <w:rPr>
          <w:rtl/>
        </w:rPr>
        <w:t>-</w:t>
      </w:r>
      <w:r w:rsidRPr="00C8421F">
        <w:rPr>
          <w:rtl/>
        </w:rPr>
        <w:t>7</w:t>
      </w:r>
      <w:r w:rsidRPr="00772E40">
        <w:rPr>
          <w:rtl/>
        </w:rPr>
        <w:tab/>
        <w:t xml:space="preserve">أما بخصوص المادة </w:t>
      </w:r>
      <w:r w:rsidRPr="00C8421F">
        <w:rPr>
          <w:rtl/>
        </w:rPr>
        <w:t>14</w:t>
      </w:r>
      <w:r w:rsidRPr="00772E40">
        <w:rPr>
          <w:rtl/>
        </w:rPr>
        <w:t xml:space="preserve"> من الاتفاقية، فيود صاحب الشكوى أن يضيف أن التعويض الذي عرضه </w:t>
      </w:r>
      <w:r w:rsidRPr="00772E40">
        <w:rPr>
          <w:rFonts w:hint="cs"/>
          <w:rtl/>
        </w:rPr>
        <w:t xml:space="preserve">عليه مجلس </w:t>
      </w:r>
      <w:r w:rsidRPr="00772E40">
        <w:rPr>
          <w:rtl/>
        </w:rPr>
        <w:t xml:space="preserve">بلدية </w:t>
      </w:r>
      <w:proofErr w:type="spellStart"/>
      <w:r w:rsidRPr="00772E40">
        <w:rPr>
          <w:rtl/>
        </w:rPr>
        <w:t>تاكسكو</w:t>
      </w:r>
      <w:proofErr w:type="spellEnd"/>
      <w:r w:rsidRPr="00772E40">
        <w:rPr>
          <w:rtl/>
        </w:rPr>
        <w:t xml:space="preserve"> لا يتوافق مع مقتضيات هذه المادة، لأنه </w:t>
      </w:r>
      <w:r w:rsidRPr="00772E40">
        <w:rPr>
          <w:rFonts w:hint="cs"/>
          <w:rtl/>
        </w:rPr>
        <w:t xml:space="preserve">ليس </w:t>
      </w:r>
      <w:r w:rsidRPr="00772E40">
        <w:rPr>
          <w:rtl/>
        </w:rPr>
        <w:t xml:space="preserve">تعويضاً كافياً وفعالاً وتاماً عن الأضرار التي </w:t>
      </w:r>
      <w:r w:rsidRPr="00772E40">
        <w:rPr>
          <w:rFonts w:hint="cs"/>
          <w:rtl/>
        </w:rPr>
        <w:t>تسببت له فيها ا</w:t>
      </w:r>
      <w:r w:rsidRPr="00772E40">
        <w:rPr>
          <w:rtl/>
        </w:rPr>
        <w:t xml:space="preserve">لأفعال المبلغ عنها. </w:t>
      </w:r>
    </w:p>
    <w:p w14:paraId="5CF168FE" w14:textId="77777777" w:rsidR="00772E40" w:rsidRPr="00C8421F" w:rsidRDefault="00772E40" w:rsidP="00772E40">
      <w:pPr>
        <w:pStyle w:val="H23GA"/>
      </w:pPr>
      <w:r w:rsidRPr="00C8421F">
        <w:rPr>
          <w:rtl/>
        </w:rPr>
        <w:tab/>
      </w:r>
      <w:r w:rsidRPr="00C8421F">
        <w:rPr>
          <w:rtl/>
        </w:rPr>
        <w:tab/>
        <w:t xml:space="preserve">المسائل والإجراءات المعروضة على اللجنة </w:t>
      </w:r>
    </w:p>
    <w:p w14:paraId="3455B543" w14:textId="77777777" w:rsidR="00772E40" w:rsidRPr="00C8421F" w:rsidRDefault="00772E40" w:rsidP="00772E40">
      <w:pPr>
        <w:pStyle w:val="H4GA"/>
      </w:pPr>
      <w:r w:rsidRPr="00C8421F">
        <w:rPr>
          <w:rtl/>
        </w:rPr>
        <w:tab/>
      </w:r>
      <w:r w:rsidRPr="00C8421F">
        <w:rPr>
          <w:rtl/>
        </w:rPr>
        <w:tab/>
        <w:t xml:space="preserve">النظر في المقبولية </w:t>
      </w:r>
    </w:p>
    <w:p w14:paraId="57178EC6" w14:textId="77777777" w:rsidR="00772E40" w:rsidRPr="00772E40" w:rsidRDefault="00772E40" w:rsidP="00772E40">
      <w:pPr>
        <w:pStyle w:val="SingleTxtGA"/>
      </w:pPr>
      <w:r w:rsidRPr="00C8421F">
        <w:rPr>
          <w:rtl/>
        </w:rPr>
        <w:t>9</w:t>
      </w:r>
      <w:r w:rsidRPr="00772E40">
        <w:rPr>
          <w:rtl/>
        </w:rPr>
        <w:t>-</w:t>
      </w:r>
      <w:r w:rsidRPr="00C8421F">
        <w:rPr>
          <w:rtl/>
        </w:rPr>
        <w:t>1</w:t>
      </w:r>
      <w:r w:rsidRPr="00772E40">
        <w:rPr>
          <w:rtl/>
        </w:rPr>
        <w:tab/>
        <w:t xml:space="preserve">قبل النظر في أي ادعاء يرد في بلاغ ما، يجب على اللجنة أن تقرر ما إذا كان البلاغ مقبولاً أم لا بموجب المادة </w:t>
      </w:r>
      <w:r w:rsidRPr="00C8421F">
        <w:rPr>
          <w:rtl/>
        </w:rPr>
        <w:t>22</w:t>
      </w:r>
      <w:r w:rsidRPr="00772E40">
        <w:rPr>
          <w:rtl/>
        </w:rPr>
        <w:t xml:space="preserve"> من الاتفاقية. </w:t>
      </w:r>
    </w:p>
    <w:p w14:paraId="3DCD2E0D" w14:textId="77777777" w:rsidR="00772E40" w:rsidRPr="00772E40" w:rsidRDefault="00772E40" w:rsidP="00772E40">
      <w:pPr>
        <w:pStyle w:val="SingleTxtGA"/>
      </w:pPr>
      <w:r w:rsidRPr="00C8421F">
        <w:rPr>
          <w:rtl/>
        </w:rPr>
        <w:t>9</w:t>
      </w:r>
      <w:r w:rsidRPr="00772E40">
        <w:rPr>
          <w:rtl/>
        </w:rPr>
        <w:t>-</w:t>
      </w:r>
      <w:r w:rsidRPr="00C8421F">
        <w:rPr>
          <w:rtl/>
        </w:rPr>
        <w:t>2</w:t>
      </w:r>
      <w:r w:rsidRPr="00772E40">
        <w:rPr>
          <w:rtl/>
        </w:rPr>
        <w:tab/>
        <w:t xml:space="preserve">وقد تأكدت اللجنة، وفقاً لما تقتضيه المادة </w:t>
      </w:r>
      <w:r w:rsidRPr="00C8421F">
        <w:rPr>
          <w:rtl/>
        </w:rPr>
        <w:t>22</w:t>
      </w:r>
      <w:r w:rsidRPr="00772E40">
        <w:rPr>
          <w:rtl/>
        </w:rPr>
        <w:t>(</w:t>
      </w:r>
      <w:r w:rsidRPr="00C8421F">
        <w:rPr>
          <w:rtl/>
        </w:rPr>
        <w:t>5</w:t>
      </w:r>
      <w:r w:rsidRPr="00772E40">
        <w:rPr>
          <w:rtl/>
        </w:rPr>
        <w:t>)(أ) من الاتفاقية، من أن المسألة نفسها لم تُبحث وليست قيد البحث في إطار إجراء آخر من إجراءات التحقيق الدولي أو التسوية الدولية.</w:t>
      </w:r>
    </w:p>
    <w:p w14:paraId="036C86B0" w14:textId="77777777" w:rsidR="00772E40" w:rsidRPr="00772E40" w:rsidRDefault="00772E40" w:rsidP="00772E40">
      <w:pPr>
        <w:pStyle w:val="SingleTxtGA"/>
      </w:pPr>
      <w:r w:rsidRPr="00C8421F">
        <w:rPr>
          <w:rtl/>
        </w:rPr>
        <w:t>9</w:t>
      </w:r>
      <w:r w:rsidRPr="00772E40">
        <w:rPr>
          <w:rtl/>
        </w:rPr>
        <w:t>-</w:t>
      </w:r>
      <w:r w:rsidRPr="00C8421F">
        <w:rPr>
          <w:rtl/>
        </w:rPr>
        <w:t>3</w:t>
      </w:r>
      <w:r w:rsidRPr="00772E40">
        <w:rPr>
          <w:rtl/>
        </w:rPr>
        <w:tab/>
        <w:t>وتحيط اللجنة علماً بادعاءات الدولة الطرف أن</w:t>
      </w:r>
      <w:r w:rsidRPr="00772E40">
        <w:rPr>
          <w:rFonts w:hint="cs"/>
          <w:rtl/>
        </w:rPr>
        <w:t xml:space="preserve"> صاحب الشكوى </w:t>
      </w:r>
      <w:r w:rsidRPr="00772E40">
        <w:rPr>
          <w:rtl/>
        </w:rPr>
        <w:t xml:space="preserve">لم </w:t>
      </w:r>
      <w:r w:rsidRPr="00772E40">
        <w:rPr>
          <w:rFonts w:hint="cs"/>
          <w:rtl/>
        </w:rPr>
        <w:t xml:space="preserve">يستنفد </w:t>
      </w:r>
      <w:r w:rsidRPr="00772E40">
        <w:rPr>
          <w:rtl/>
        </w:rPr>
        <w:t>سبل الانتصاف المحلية، وأن</w:t>
      </w:r>
      <w:r w:rsidRPr="00772E40">
        <w:rPr>
          <w:rFonts w:hint="cs"/>
          <w:rtl/>
        </w:rPr>
        <w:t xml:space="preserve"> سلطاتها</w:t>
      </w:r>
      <w:r w:rsidRPr="00772E40">
        <w:rPr>
          <w:rtl/>
        </w:rPr>
        <w:t xml:space="preserve"> قدمت دعوى جنائية ضد أفراد الشرطة المعنيين، لم يشارك صاحب </w:t>
      </w:r>
      <w:r w:rsidRPr="00772E40">
        <w:rPr>
          <w:rFonts w:hint="cs"/>
          <w:rtl/>
        </w:rPr>
        <w:t xml:space="preserve">الشكوى </w:t>
      </w:r>
      <w:r w:rsidRPr="00772E40">
        <w:rPr>
          <w:rtl/>
        </w:rPr>
        <w:t>في</w:t>
      </w:r>
      <w:r w:rsidRPr="00772E40">
        <w:rPr>
          <w:rFonts w:hint="cs"/>
          <w:rtl/>
        </w:rPr>
        <w:t xml:space="preserve"> إجراءات</w:t>
      </w:r>
      <w:r w:rsidRPr="00772E40">
        <w:rPr>
          <w:rtl/>
        </w:rPr>
        <w:t xml:space="preserve">ها، وكان بإمكانه </w:t>
      </w:r>
      <w:r w:rsidRPr="00772E40">
        <w:rPr>
          <w:rFonts w:hint="cs"/>
          <w:rtl/>
        </w:rPr>
        <w:t xml:space="preserve">يقدم دعوى </w:t>
      </w:r>
      <w:r w:rsidRPr="00772E40">
        <w:rPr>
          <w:rtl/>
        </w:rPr>
        <w:t>استئناف</w:t>
      </w:r>
      <w:r w:rsidRPr="00772E40">
        <w:rPr>
          <w:rFonts w:hint="cs"/>
          <w:rtl/>
        </w:rPr>
        <w:t xml:space="preserve"> بشأن</w:t>
      </w:r>
      <w:r w:rsidRPr="00772E40">
        <w:rPr>
          <w:rtl/>
        </w:rPr>
        <w:t xml:space="preserve">ها. وتحيط اللجنة علماً أيضاً بحجة الدولة الطرف أنه </w:t>
      </w:r>
      <w:r w:rsidRPr="00772E40">
        <w:rPr>
          <w:rFonts w:hint="cs"/>
          <w:rtl/>
        </w:rPr>
        <w:t xml:space="preserve">بوشرت على مستوى </w:t>
      </w:r>
      <w:r w:rsidRPr="00772E40">
        <w:rPr>
          <w:rtl/>
        </w:rPr>
        <w:t>مكتب المدعي العام للجمهورية و</w:t>
      </w:r>
      <w:r w:rsidRPr="00772E40">
        <w:rPr>
          <w:rFonts w:hint="cs"/>
          <w:rtl/>
        </w:rPr>
        <w:t xml:space="preserve">مجلس </w:t>
      </w:r>
      <w:r w:rsidRPr="00772E40">
        <w:rPr>
          <w:rtl/>
        </w:rPr>
        <w:t xml:space="preserve">بلدية </w:t>
      </w:r>
      <w:proofErr w:type="spellStart"/>
      <w:r w:rsidRPr="00772E40">
        <w:rPr>
          <w:rtl/>
        </w:rPr>
        <w:t>تاكسكو</w:t>
      </w:r>
      <w:proofErr w:type="spellEnd"/>
      <w:r w:rsidRPr="00772E40">
        <w:rPr>
          <w:rtl/>
        </w:rPr>
        <w:t xml:space="preserve"> ولجنة حقوق الإنسان في ولاية </w:t>
      </w:r>
      <w:proofErr w:type="spellStart"/>
      <w:r w:rsidRPr="00772E40">
        <w:rPr>
          <w:rtl/>
        </w:rPr>
        <w:t>غيريرو</w:t>
      </w:r>
      <w:proofErr w:type="spellEnd"/>
      <w:r w:rsidRPr="00772E40">
        <w:rPr>
          <w:rFonts w:hint="cs"/>
          <w:rtl/>
        </w:rPr>
        <w:t xml:space="preserve"> </w:t>
      </w:r>
      <w:r w:rsidRPr="00772E40">
        <w:rPr>
          <w:rtl/>
        </w:rPr>
        <w:t xml:space="preserve">عدة إجراءات، لا يزال بعضها </w:t>
      </w:r>
      <w:r w:rsidRPr="00772E40">
        <w:rPr>
          <w:rFonts w:hint="cs"/>
          <w:rtl/>
        </w:rPr>
        <w:t>جاري</w:t>
      </w:r>
      <w:r w:rsidRPr="00772E40">
        <w:rPr>
          <w:rtl/>
        </w:rPr>
        <w:t xml:space="preserve">اً. وبالإضافة إلى ذلك، تلاحظ اللجنة </w:t>
      </w:r>
      <w:r w:rsidRPr="00772E40">
        <w:rPr>
          <w:rFonts w:hint="cs"/>
          <w:rtl/>
        </w:rPr>
        <w:t xml:space="preserve">إشارة </w:t>
      </w:r>
      <w:r w:rsidRPr="00772E40">
        <w:rPr>
          <w:rtl/>
        </w:rPr>
        <w:t>صاحب الشكوى إلى عدم فعالية هذه الإجراءات</w:t>
      </w:r>
      <w:r w:rsidRPr="00772E40">
        <w:rPr>
          <w:rFonts w:hint="cs"/>
          <w:rtl/>
        </w:rPr>
        <w:t>،</w:t>
      </w:r>
      <w:r w:rsidRPr="00772E40">
        <w:rPr>
          <w:rtl/>
        </w:rPr>
        <w:t xml:space="preserve"> </w:t>
      </w:r>
      <w:r w:rsidRPr="00772E40">
        <w:rPr>
          <w:rFonts w:hint="cs"/>
          <w:rtl/>
        </w:rPr>
        <w:t xml:space="preserve">لطول مدتها </w:t>
      </w:r>
      <w:r w:rsidRPr="00772E40">
        <w:rPr>
          <w:rtl/>
        </w:rPr>
        <w:t xml:space="preserve">غير </w:t>
      </w:r>
      <w:r w:rsidRPr="00772E40">
        <w:rPr>
          <w:rFonts w:hint="cs"/>
          <w:rtl/>
        </w:rPr>
        <w:t>ال</w:t>
      </w:r>
      <w:r w:rsidRPr="00772E40">
        <w:rPr>
          <w:rtl/>
        </w:rPr>
        <w:t>مبرَّر</w:t>
      </w:r>
      <w:r w:rsidRPr="00772E40">
        <w:rPr>
          <w:rFonts w:hint="cs"/>
          <w:rtl/>
        </w:rPr>
        <w:t xml:space="preserve"> ولاتسامها بنواقص</w:t>
      </w:r>
      <w:r w:rsidRPr="00772E40">
        <w:rPr>
          <w:rtl/>
        </w:rPr>
        <w:t xml:space="preserve">؛ وإلى الطابع غير الملزم لتوصيات لجنة حقوق الإنسان؛ وإلى </w:t>
      </w:r>
      <w:r w:rsidRPr="00772E40">
        <w:rPr>
          <w:rFonts w:hint="cs"/>
          <w:rtl/>
        </w:rPr>
        <w:t>الاكتفاء</w:t>
      </w:r>
      <w:r w:rsidRPr="00772E40">
        <w:rPr>
          <w:rtl/>
        </w:rPr>
        <w:t xml:space="preserve">، في جميع الأحوال، </w:t>
      </w:r>
      <w:r w:rsidRPr="00772E40">
        <w:rPr>
          <w:rFonts w:hint="cs"/>
          <w:rtl/>
        </w:rPr>
        <w:t xml:space="preserve">بالتحقيق </w:t>
      </w:r>
      <w:r w:rsidRPr="00772E40">
        <w:rPr>
          <w:rtl/>
        </w:rPr>
        <w:t xml:space="preserve">في </w:t>
      </w:r>
      <w:r w:rsidRPr="00772E40">
        <w:rPr>
          <w:rFonts w:hint="cs"/>
          <w:rtl/>
        </w:rPr>
        <w:t>جريمتي إيذائه</w:t>
      </w:r>
      <w:r w:rsidRPr="00772E40">
        <w:rPr>
          <w:rtl/>
        </w:rPr>
        <w:t xml:space="preserve"> وإلحاق </w:t>
      </w:r>
      <w:r w:rsidRPr="00772E40">
        <w:rPr>
          <w:rFonts w:hint="cs"/>
          <w:rtl/>
        </w:rPr>
        <w:t xml:space="preserve">الضرر </w:t>
      </w:r>
      <w:r w:rsidRPr="00772E40">
        <w:rPr>
          <w:rtl/>
        </w:rPr>
        <w:t>بمركبة</w:t>
      </w:r>
      <w:r w:rsidRPr="00772E40">
        <w:rPr>
          <w:rFonts w:hint="cs"/>
          <w:rtl/>
        </w:rPr>
        <w:t xml:space="preserve"> زوجته</w:t>
      </w:r>
      <w:r w:rsidRPr="00772E40">
        <w:rPr>
          <w:rtl/>
        </w:rPr>
        <w:t xml:space="preserve">، وعدم التحقيق </w:t>
      </w:r>
      <w:r w:rsidRPr="00772E40">
        <w:rPr>
          <w:rFonts w:hint="cs"/>
          <w:rtl/>
        </w:rPr>
        <w:t xml:space="preserve">مطلقاً </w:t>
      </w:r>
      <w:r w:rsidRPr="00772E40">
        <w:rPr>
          <w:rtl/>
        </w:rPr>
        <w:t xml:space="preserve">في </w:t>
      </w:r>
      <w:r w:rsidRPr="00772E40">
        <w:rPr>
          <w:rFonts w:hint="cs"/>
          <w:rtl/>
        </w:rPr>
        <w:t xml:space="preserve">أي جريمة </w:t>
      </w:r>
      <w:r w:rsidRPr="00772E40">
        <w:rPr>
          <w:rtl/>
        </w:rPr>
        <w:t>مرتبطة بأفعال التعذيب.</w:t>
      </w:r>
    </w:p>
    <w:p w14:paraId="7577B8DE" w14:textId="3EF23A34" w:rsidR="00772E40" w:rsidRPr="00772E40" w:rsidRDefault="00772E40" w:rsidP="00772E40">
      <w:pPr>
        <w:pStyle w:val="SingleTxtGA"/>
      </w:pPr>
      <w:r w:rsidRPr="00C8421F">
        <w:rPr>
          <w:rtl/>
        </w:rPr>
        <w:t>9</w:t>
      </w:r>
      <w:r w:rsidRPr="00772E40">
        <w:rPr>
          <w:rtl/>
        </w:rPr>
        <w:t>-</w:t>
      </w:r>
      <w:r w:rsidRPr="00C8421F">
        <w:rPr>
          <w:rtl/>
        </w:rPr>
        <w:t>4</w:t>
      </w:r>
      <w:r w:rsidRPr="00772E40">
        <w:rPr>
          <w:rtl/>
        </w:rPr>
        <w:tab/>
        <w:t>وتُذكر اللجنة بأن قاعدة استنفاد سبل الانتصاف المحلية لا تنطبق إذا طالت إجراءاتها أو قد تطول بشكل غير مبرَّر، أو إذا كان ثمة احتمال ضعيف بأن تفضي إلى حماية فعالة</w:t>
      </w:r>
      <w:r w:rsidRPr="00772E40">
        <w:rPr>
          <w:vertAlign w:val="superscript"/>
          <w:rtl/>
        </w:rPr>
        <w:t>(</w:t>
      </w:r>
      <w:r w:rsidRPr="00C8421F">
        <w:rPr>
          <w:vertAlign w:val="superscript"/>
          <w:lang w:val="en-US"/>
        </w:rPr>
        <w:footnoteReference w:id="26"/>
      </w:r>
      <w:r w:rsidRPr="00772E40">
        <w:rPr>
          <w:vertAlign w:val="superscript"/>
          <w:rtl/>
        </w:rPr>
        <w:t>)</w:t>
      </w:r>
      <w:r w:rsidRPr="00772E40">
        <w:rPr>
          <w:rtl/>
        </w:rPr>
        <w:t xml:space="preserve">. وفي هذه </w:t>
      </w:r>
      <w:r w:rsidRPr="00772E40">
        <w:rPr>
          <w:rtl/>
        </w:rPr>
        <w:lastRenderedPageBreak/>
        <w:t xml:space="preserve">القضية، تلاحظ اللجنة أنه انقضى أكثر من ثلاث سنوات منذ تقديم صاحب الشكوى شكواه الأولى </w:t>
      </w:r>
      <w:r w:rsidRPr="00772E40">
        <w:rPr>
          <w:rFonts w:hint="cs"/>
          <w:rtl/>
        </w:rPr>
        <w:t xml:space="preserve">كي </w:t>
      </w:r>
      <w:r w:rsidRPr="00772E40">
        <w:rPr>
          <w:rtl/>
        </w:rPr>
        <w:t xml:space="preserve">يجري مكتب المدعي العام للجمهورية تحقيقاً في أفعال التعذيب التي تعرض لها. وتلاحظ اللجنة أنه لم </w:t>
      </w:r>
      <w:r w:rsidRPr="00772E40">
        <w:rPr>
          <w:rFonts w:hint="cs"/>
          <w:rtl/>
        </w:rPr>
        <w:t>ي</w:t>
      </w:r>
      <w:r w:rsidRPr="00772E40">
        <w:rPr>
          <w:rtl/>
        </w:rPr>
        <w:t>ُحق</w:t>
      </w:r>
      <w:r w:rsidRPr="00772E40">
        <w:rPr>
          <w:rFonts w:hint="cs"/>
          <w:rtl/>
        </w:rPr>
        <w:t>ِّ</w:t>
      </w:r>
      <w:r w:rsidRPr="00772E40">
        <w:rPr>
          <w:rtl/>
        </w:rPr>
        <w:t xml:space="preserve">ق لا </w:t>
      </w:r>
      <w:r w:rsidRPr="00772E40">
        <w:rPr>
          <w:rFonts w:hint="cs"/>
          <w:rtl/>
        </w:rPr>
        <w:t xml:space="preserve">مجلس </w:t>
      </w:r>
      <w:r w:rsidRPr="00772E40">
        <w:rPr>
          <w:rtl/>
        </w:rPr>
        <w:t xml:space="preserve">بلدية </w:t>
      </w:r>
      <w:proofErr w:type="spellStart"/>
      <w:r w:rsidRPr="00772E40">
        <w:rPr>
          <w:rtl/>
        </w:rPr>
        <w:t>تاكسكو</w:t>
      </w:r>
      <w:proofErr w:type="spellEnd"/>
      <w:r w:rsidRPr="00772E40">
        <w:rPr>
          <w:rtl/>
        </w:rPr>
        <w:t xml:space="preserve"> ولا مكتب المدعي العام للجمهورية في أفعال التعذيب، رغم </w:t>
      </w:r>
      <w:r w:rsidRPr="00772E40">
        <w:rPr>
          <w:rFonts w:hint="cs"/>
          <w:rtl/>
        </w:rPr>
        <w:t xml:space="preserve">القرار الصادر </w:t>
      </w:r>
      <w:r w:rsidRPr="00772E40">
        <w:rPr>
          <w:rtl/>
        </w:rPr>
        <w:t xml:space="preserve">في </w:t>
      </w:r>
      <w:r w:rsidRPr="00C8421F">
        <w:rPr>
          <w:rtl/>
        </w:rPr>
        <w:t>1</w:t>
      </w:r>
      <w:r w:rsidRPr="00772E40">
        <w:rPr>
          <w:rtl/>
        </w:rPr>
        <w:t xml:space="preserve"> تموز/يوليه </w:t>
      </w:r>
      <w:r w:rsidRPr="00C8421F">
        <w:rPr>
          <w:rtl/>
        </w:rPr>
        <w:t>2016</w:t>
      </w:r>
      <w:r w:rsidRPr="00772E40">
        <w:rPr>
          <w:rFonts w:hint="cs"/>
          <w:rtl/>
        </w:rPr>
        <w:t xml:space="preserve"> عن </w:t>
      </w:r>
      <w:r w:rsidRPr="00772E40">
        <w:rPr>
          <w:rtl/>
        </w:rPr>
        <w:t>المحكمة المحلية الحادية عشرة المختصة بالنظر في طلبات الحماية القضائية الدستورية في القضايا الجنائية</w:t>
      </w:r>
      <w:r w:rsidRPr="00772E40">
        <w:rPr>
          <w:rFonts w:hint="cs"/>
          <w:rtl/>
        </w:rPr>
        <w:t xml:space="preserve">، التي </w:t>
      </w:r>
      <w:r w:rsidRPr="00772E40">
        <w:rPr>
          <w:rtl/>
        </w:rPr>
        <w:t>أمرت مكتب مساعد المدعي العام للتحقيقات في مجال الجريمة المنظمة التابع لمكتب المدعي العام للجمهورية بالتحقيق في</w:t>
      </w:r>
      <w:r w:rsidRPr="00772E40">
        <w:rPr>
          <w:rFonts w:hint="cs"/>
          <w:rtl/>
        </w:rPr>
        <w:t xml:space="preserve"> هذه الأفعال</w:t>
      </w:r>
      <w:r w:rsidRPr="00772E40">
        <w:rPr>
          <w:rtl/>
        </w:rPr>
        <w:t xml:space="preserve">. ورغم أن مكتب المدعي العام للجمهورية فتح هذا التحقيق الجنائي في </w:t>
      </w:r>
      <w:r w:rsidRPr="00C8421F">
        <w:rPr>
          <w:rtl/>
        </w:rPr>
        <w:t>27</w:t>
      </w:r>
      <w:r w:rsidRPr="00772E40">
        <w:rPr>
          <w:rtl/>
        </w:rPr>
        <w:t xml:space="preserve"> تشرين الأول/أكتوبر </w:t>
      </w:r>
      <w:r w:rsidRPr="00C8421F">
        <w:rPr>
          <w:rtl/>
        </w:rPr>
        <w:t>2016</w:t>
      </w:r>
      <w:r w:rsidRPr="00772E40">
        <w:rPr>
          <w:rtl/>
        </w:rPr>
        <w:t xml:space="preserve">، وأصدر أمراً </w:t>
      </w:r>
      <w:r w:rsidRPr="00772E40">
        <w:rPr>
          <w:rFonts w:hint="cs"/>
          <w:rtl/>
        </w:rPr>
        <w:t xml:space="preserve">بتوقيف </w:t>
      </w:r>
      <w:r w:rsidRPr="00772E40">
        <w:rPr>
          <w:rtl/>
        </w:rPr>
        <w:t>ثلاثة</w:t>
      </w:r>
      <w:r w:rsidRPr="00772E40">
        <w:rPr>
          <w:rFonts w:hint="cs"/>
          <w:rtl/>
        </w:rPr>
        <w:t>ٍ</w:t>
      </w:r>
      <w:r w:rsidRPr="00772E40">
        <w:rPr>
          <w:rtl/>
        </w:rPr>
        <w:t xml:space="preserve"> من أفراد شرطة البلدية، فإن اللجنة تلاحظ أن الجرائم التي جرى التحقيق فيها تتعلق </w:t>
      </w:r>
      <w:r w:rsidRPr="00772E40">
        <w:rPr>
          <w:rFonts w:hint="cs"/>
          <w:rtl/>
        </w:rPr>
        <w:t xml:space="preserve">بإيذاء </w:t>
      </w:r>
      <w:r w:rsidRPr="00772E40">
        <w:rPr>
          <w:rtl/>
        </w:rPr>
        <w:t xml:space="preserve">صاحب </w:t>
      </w:r>
      <w:r w:rsidRPr="00772E40">
        <w:rPr>
          <w:rFonts w:hint="cs"/>
          <w:rtl/>
        </w:rPr>
        <w:t xml:space="preserve">الشكوى </w:t>
      </w:r>
      <w:r w:rsidRPr="00772E40">
        <w:rPr>
          <w:rtl/>
        </w:rPr>
        <w:t>وإلحاق أضرار بمركبة</w:t>
      </w:r>
      <w:r w:rsidRPr="00772E40">
        <w:rPr>
          <w:rFonts w:hint="cs"/>
          <w:rtl/>
        </w:rPr>
        <w:t xml:space="preserve"> زوجته</w:t>
      </w:r>
      <w:r w:rsidRPr="00772E40">
        <w:rPr>
          <w:rtl/>
        </w:rPr>
        <w:t>. وتلاحظ اللجنة أيضاً أن الدولة الطرف، رغم ما أجرته من تحقيقات واتخذته من إجراءات جنائية، لم تُجر تحقيقاً في أفعال التعذيب التي أبلغ عنها صاحب الشكوى، ولم تقدم أي مبرر</w:t>
      </w:r>
      <w:r w:rsidRPr="00772E40">
        <w:rPr>
          <w:rFonts w:hint="cs"/>
          <w:rtl/>
        </w:rPr>
        <w:t>ات</w:t>
      </w:r>
      <w:r w:rsidRPr="00772E40">
        <w:rPr>
          <w:rtl/>
        </w:rPr>
        <w:t xml:space="preserve"> </w:t>
      </w:r>
      <w:r w:rsidRPr="00772E40">
        <w:rPr>
          <w:rFonts w:hint="cs"/>
          <w:rtl/>
        </w:rPr>
        <w:t xml:space="preserve">أو </w:t>
      </w:r>
      <w:r w:rsidRPr="00772E40">
        <w:rPr>
          <w:rtl/>
        </w:rPr>
        <w:t xml:space="preserve">حجج معقولة </w:t>
      </w:r>
      <w:r w:rsidRPr="00772E40">
        <w:rPr>
          <w:rFonts w:hint="cs"/>
          <w:rtl/>
        </w:rPr>
        <w:t>بخصوص ا</w:t>
      </w:r>
      <w:r w:rsidRPr="00772E40">
        <w:rPr>
          <w:rtl/>
        </w:rPr>
        <w:t xml:space="preserve">لأسباب التي دفعتها إلى </w:t>
      </w:r>
      <w:r w:rsidRPr="00772E40">
        <w:rPr>
          <w:rFonts w:hint="cs"/>
          <w:rtl/>
        </w:rPr>
        <w:t>الاكتفاء ب</w:t>
      </w:r>
      <w:r w:rsidRPr="00772E40">
        <w:rPr>
          <w:rtl/>
        </w:rPr>
        <w:t>التحقيق في أفعال الإيذاء و</w:t>
      </w:r>
      <w:r w:rsidRPr="00772E40">
        <w:rPr>
          <w:rFonts w:hint="cs"/>
          <w:rtl/>
        </w:rPr>
        <w:t xml:space="preserve">إلحاق </w:t>
      </w:r>
      <w:r w:rsidRPr="00772E40">
        <w:rPr>
          <w:rtl/>
        </w:rPr>
        <w:t xml:space="preserve">الضرر </w:t>
      </w:r>
      <w:r w:rsidRPr="00772E40">
        <w:rPr>
          <w:rFonts w:hint="cs"/>
          <w:rtl/>
        </w:rPr>
        <w:t xml:space="preserve">دون </w:t>
      </w:r>
      <w:r w:rsidRPr="00772E40">
        <w:rPr>
          <w:rtl/>
        </w:rPr>
        <w:t xml:space="preserve">أفعال التعذيب، ولا سيما في ضوء الإجراءات المتخذة القليلة والمشكوك فيها والإدانات النادرة بسبب </w:t>
      </w:r>
      <w:r w:rsidRPr="00772E40">
        <w:rPr>
          <w:rFonts w:hint="cs"/>
          <w:rtl/>
        </w:rPr>
        <w:t xml:space="preserve">أفعال </w:t>
      </w:r>
      <w:r w:rsidRPr="00772E40">
        <w:rPr>
          <w:rtl/>
        </w:rPr>
        <w:t>التعذيب في الدولة الطرف</w:t>
      </w:r>
      <w:r w:rsidRPr="00772E40">
        <w:rPr>
          <w:vertAlign w:val="superscript"/>
          <w:rtl/>
        </w:rPr>
        <w:t>(</w:t>
      </w:r>
      <w:r w:rsidRPr="00C8421F">
        <w:rPr>
          <w:vertAlign w:val="superscript"/>
          <w:lang w:val="en-US"/>
        </w:rPr>
        <w:footnoteReference w:id="27"/>
      </w:r>
      <w:r w:rsidRPr="00772E40">
        <w:rPr>
          <w:vertAlign w:val="superscript"/>
          <w:rtl/>
        </w:rPr>
        <w:t>)</w:t>
      </w:r>
      <w:r w:rsidRPr="00772E40">
        <w:rPr>
          <w:rtl/>
        </w:rPr>
        <w:t xml:space="preserve">. كما تُذكر اللجنة بأن التحقيقات التي تجريها لجنة حقوق الإنسان في ولاية </w:t>
      </w:r>
      <w:proofErr w:type="spellStart"/>
      <w:r w:rsidRPr="00772E40">
        <w:rPr>
          <w:rtl/>
        </w:rPr>
        <w:t>غيريرو</w:t>
      </w:r>
      <w:proofErr w:type="spellEnd"/>
      <w:r w:rsidRPr="00772E40">
        <w:rPr>
          <w:rtl/>
        </w:rPr>
        <w:t xml:space="preserve">، </w:t>
      </w:r>
      <w:r w:rsidRPr="00772E40">
        <w:rPr>
          <w:rFonts w:hint="cs"/>
          <w:rtl/>
        </w:rPr>
        <w:t xml:space="preserve">باعتبارها </w:t>
      </w:r>
      <w:r w:rsidRPr="00772E40">
        <w:rPr>
          <w:rtl/>
        </w:rPr>
        <w:t xml:space="preserve">لجنة </w:t>
      </w:r>
      <w:r w:rsidRPr="00772E40">
        <w:rPr>
          <w:rFonts w:hint="cs"/>
          <w:rtl/>
        </w:rPr>
        <w:t>عامة</w:t>
      </w:r>
      <w:r w:rsidRPr="00772E40">
        <w:rPr>
          <w:rtl/>
        </w:rPr>
        <w:t>، لن تشكل، بحكم طبيعة توصياتها، سبيل انتصاف فعالاً ومطلوباً لأغراض استنفاد سبل الانتصاف المحلية</w:t>
      </w:r>
      <w:r w:rsidRPr="00772E40">
        <w:rPr>
          <w:vertAlign w:val="superscript"/>
          <w:rtl/>
        </w:rPr>
        <w:t>(</w:t>
      </w:r>
      <w:r w:rsidRPr="00C8421F">
        <w:rPr>
          <w:vertAlign w:val="superscript"/>
          <w:lang w:val="en-US"/>
        </w:rPr>
        <w:footnoteReference w:id="28"/>
      </w:r>
      <w:r w:rsidRPr="00772E40">
        <w:rPr>
          <w:vertAlign w:val="superscript"/>
          <w:rtl/>
        </w:rPr>
        <w:t>)</w:t>
      </w:r>
      <w:r w:rsidRPr="00772E40">
        <w:rPr>
          <w:rtl/>
        </w:rPr>
        <w:t>.</w:t>
      </w:r>
    </w:p>
    <w:p w14:paraId="0CFC1FED" w14:textId="77777777" w:rsidR="00772E40" w:rsidRPr="00772E40" w:rsidRDefault="00772E40" w:rsidP="00772E40">
      <w:pPr>
        <w:pStyle w:val="SingleTxtGA"/>
      </w:pPr>
      <w:r w:rsidRPr="00C8421F">
        <w:rPr>
          <w:rtl/>
        </w:rPr>
        <w:t>9</w:t>
      </w:r>
      <w:r w:rsidRPr="00772E40">
        <w:rPr>
          <w:rtl/>
        </w:rPr>
        <w:t>-</w:t>
      </w:r>
      <w:r w:rsidRPr="00C8421F">
        <w:rPr>
          <w:rtl/>
        </w:rPr>
        <w:t>5</w:t>
      </w:r>
      <w:r w:rsidRPr="00772E40">
        <w:rPr>
          <w:rtl/>
        </w:rPr>
        <w:tab/>
        <w:t>وفي ظل هذه الملابسات، ترى اللجنة أن سبل الانتصاف المحلية طالت بشكل غير مبر</w:t>
      </w:r>
      <w:r w:rsidRPr="00772E40">
        <w:rPr>
          <w:rFonts w:hint="cs"/>
          <w:rtl/>
        </w:rPr>
        <w:t>َّ</w:t>
      </w:r>
      <w:r w:rsidRPr="00772E40">
        <w:rPr>
          <w:rtl/>
        </w:rPr>
        <w:t xml:space="preserve">ر ولن تكون فعالة. وبناءً عليه، ترى اللجنة أن </w:t>
      </w:r>
      <w:r w:rsidRPr="00772E40">
        <w:rPr>
          <w:rFonts w:hint="cs"/>
          <w:rtl/>
        </w:rPr>
        <w:t xml:space="preserve">مقتضيات </w:t>
      </w:r>
      <w:r w:rsidRPr="00772E40">
        <w:rPr>
          <w:rtl/>
        </w:rPr>
        <w:t xml:space="preserve">المادة </w:t>
      </w:r>
      <w:r w:rsidRPr="00C8421F">
        <w:rPr>
          <w:rtl/>
        </w:rPr>
        <w:t>22</w:t>
      </w:r>
      <w:r w:rsidRPr="00772E40">
        <w:rPr>
          <w:rtl/>
        </w:rPr>
        <w:t>(</w:t>
      </w:r>
      <w:r w:rsidRPr="00C8421F">
        <w:rPr>
          <w:rtl/>
        </w:rPr>
        <w:t>5</w:t>
      </w:r>
      <w:r w:rsidRPr="00772E40">
        <w:rPr>
          <w:rtl/>
        </w:rPr>
        <w:t>)(ب) من الاتفاقية لا تمنعها من النظر في الأسس الموضوعية لهذا البلاغ.</w:t>
      </w:r>
    </w:p>
    <w:p w14:paraId="3F618391" w14:textId="77777777" w:rsidR="00772E40" w:rsidRPr="00772E40" w:rsidRDefault="00772E40" w:rsidP="00772E40">
      <w:pPr>
        <w:pStyle w:val="SingleTxtGA"/>
      </w:pPr>
      <w:r w:rsidRPr="00C8421F">
        <w:rPr>
          <w:rtl/>
        </w:rPr>
        <w:t>9</w:t>
      </w:r>
      <w:r w:rsidRPr="00772E40">
        <w:rPr>
          <w:rtl/>
        </w:rPr>
        <w:t>-</w:t>
      </w:r>
      <w:r w:rsidRPr="00C8421F">
        <w:rPr>
          <w:rtl/>
        </w:rPr>
        <w:t>6</w:t>
      </w:r>
      <w:r w:rsidRPr="00772E40">
        <w:rPr>
          <w:rtl/>
        </w:rPr>
        <w:tab/>
        <w:t xml:space="preserve">وبالتالي، ترى اللجنة أن ادعاءات صاحب الشكوى المتعلقة بالمادة </w:t>
      </w:r>
      <w:r w:rsidRPr="00C8421F">
        <w:rPr>
          <w:rtl/>
        </w:rPr>
        <w:t>2</w:t>
      </w:r>
      <w:r w:rsidRPr="00772E40">
        <w:rPr>
          <w:rtl/>
        </w:rPr>
        <w:t>(</w:t>
      </w:r>
      <w:r w:rsidRPr="00C8421F">
        <w:rPr>
          <w:rtl/>
        </w:rPr>
        <w:t>1</w:t>
      </w:r>
      <w:r w:rsidRPr="00772E40">
        <w:rPr>
          <w:rtl/>
        </w:rPr>
        <w:t xml:space="preserve">)، مقروءة بالاقتران مع المادتين </w:t>
      </w:r>
      <w:r w:rsidRPr="00C8421F">
        <w:rPr>
          <w:rtl/>
        </w:rPr>
        <w:t>1</w:t>
      </w:r>
      <w:r w:rsidRPr="00772E40">
        <w:rPr>
          <w:rtl/>
        </w:rPr>
        <w:t xml:space="preserve"> و</w:t>
      </w:r>
      <w:r w:rsidRPr="00C8421F">
        <w:rPr>
          <w:rtl/>
        </w:rPr>
        <w:t>16</w:t>
      </w:r>
      <w:r w:rsidRPr="00772E40">
        <w:rPr>
          <w:rtl/>
        </w:rPr>
        <w:t xml:space="preserve">، وبالمواد من </w:t>
      </w:r>
      <w:r w:rsidRPr="00C8421F">
        <w:rPr>
          <w:rtl/>
        </w:rPr>
        <w:t>11</w:t>
      </w:r>
      <w:r w:rsidRPr="00772E40">
        <w:rPr>
          <w:rtl/>
        </w:rPr>
        <w:t xml:space="preserve"> إلى </w:t>
      </w:r>
      <w:r w:rsidRPr="00C8421F">
        <w:rPr>
          <w:rtl/>
        </w:rPr>
        <w:t>14</w:t>
      </w:r>
      <w:r w:rsidRPr="00772E40">
        <w:rPr>
          <w:rtl/>
        </w:rPr>
        <w:t xml:space="preserve"> من الاتفاقية مقبولة</w:t>
      </w:r>
      <w:r w:rsidRPr="00772E40">
        <w:rPr>
          <w:rFonts w:hint="cs"/>
          <w:rtl/>
        </w:rPr>
        <w:t>ٌ</w:t>
      </w:r>
      <w:r w:rsidRPr="00772E40">
        <w:rPr>
          <w:rtl/>
        </w:rPr>
        <w:t xml:space="preserve">. </w:t>
      </w:r>
    </w:p>
    <w:p w14:paraId="1B011B8F" w14:textId="77777777" w:rsidR="00772E40" w:rsidRPr="00C8421F" w:rsidRDefault="00772E40" w:rsidP="00772E40">
      <w:pPr>
        <w:pStyle w:val="H4GA"/>
      </w:pPr>
      <w:r w:rsidRPr="00C8421F">
        <w:rPr>
          <w:rtl/>
        </w:rPr>
        <w:tab/>
      </w:r>
      <w:r w:rsidRPr="00C8421F">
        <w:rPr>
          <w:rtl/>
        </w:rPr>
        <w:tab/>
        <w:t>النظر في الأسس الموضوعية</w:t>
      </w:r>
    </w:p>
    <w:p w14:paraId="148AF42D" w14:textId="1CF187E8" w:rsidR="00772E40" w:rsidRPr="00772E40" w:rsidRDefault="00772E40" w:rsidP="00772E40">
      <w:pPr>
        <w:pStyle w:val="SingleTxtGA"/>
      </w:pPr>
      <w:r w:rsidRPr="00C8421F">
        <w:rPr>
          <w:rtl/>
        </w:rPr>
        <w:t>10</w:t>
      </w:r>
      <w:r w:rsidRPr="00772E40">
        <w:rPr>
          <w:rtl/>
        </w:rPr>
        <w:t>-</w:t>
      </w:r>
      <w:r w:rsidRPr="00C8421F">
        <w:rPr>
          <w:rtl/>
        </w:rPr>
        <w:t>1</w:t>
      </w:r>
      <w:r w:rsidRPr="00772E40">
        <w:rPr>
          <w:rtl/>
        </w:rPr>
        <w:tab/>
        <w:t xml:space="preserve">نظرت اللجنة في هذا البلاغ في ضوء جميع المعلومات التي </w:t>
      </w:r>
      <w:r w:rsidRPr="00772E40">
        <w:rPr>
          <w:rFonts w:hint="cs"/>
          <w:rtl/>
        </w:rPr>
        <w:t xml:space="preserve">أتاحها لها </w:t>
      </w:r>
      <w:r w:rsidRPr="00772E40">
        <w:rPr>
          <w:rtl/>
        </w:rPr>
        <w:t>الطرفان، وفقاً للمادة</w:t>
      </w:r>
      <w:r w:rsidR="002F6DFB">
        <w:rPr>
          <w:rFonts w:hint="cs"/>
          <w:rtl/>
        </w:rPr>
        <w:t> </w:t>
      </w:r>
      <w:r w:rsidRPr="00C8421F">
        <w:rPr>
          <w:rtl/>
        </w:rPr>
        <w:t>22</w:t>
      </w:r>
      <w:r w:rsidRPr="00772E40">
        <w:rPr>
          <w:rtl/>
        </w:rPr>
        <w:t>(</w:t>
      </w:r>
      <w:r w:rsidRPr="00C8421F">
        <w:rPr>
          <w:rtl/>
        </w:rPr>
        <w:t>4</w:t>
      </w:r>
      <w:r w:rsidRPr="00772E40">
        <w:rPr>
          <w:rtl/>
        </w:rPr>
        <w:t xml:space="preserve">) من الاتفاقية. </w:t>
      </w:r>
    </w:p>
    <w:p w14:paraId="31C610CE" w14:textId="77777777" w:rsidR="00772E40" w:rsidRPr="00772E40" w:rsidRDefault="00772E40" w:rsidP="00772E40">
      <w:pPr>
        <w:pStyle w:val="SingleTxtGA"/>
      </w:pPr>
      <w:r w:rsidRPr="00C8421F">
        <w:rPr>
          <w:rtl/>
        </w:rPr>
        <w:t>10</w:t>
      </w:r>
      <w:r w:rsidRPr="00772E40">
        <w:rPr>
          <w:rtl/>
        </w:rPr>
        <w:t>-</w:t>
      </w:r>
      <w:r w:rsidRPr="00C8421F">
        <w:rPr>
          <w:rtl/>
        </w:rPr>
        <w:t>2</w:t>
      </w:r>
      <w:r w:rsidRPr="00772E40">
        <w:rPr>
          <w:rtl/>
        </w:rPr>
        <w:tab/>
        <w:t>وقبل النظر في ادعاءات صاحب الشكوى المتعلقة بمواد الاتفاقية المشار إليها، يجب على اللجنة أن تحدد ما إذا كانت الأفعال التي تعرض لها ت</w:t>
      </w:r>
      <w:r w:rsidRPr="00772E40">
        <w:rPr>
          <w:rFonts w:hint="cs"/>
          <w:rtl/>
        </w:rPr>
        <w:t>ُ</w:t>
      </w:r>
      <w:r w:rsidRPr="00772E40">
        <w:rPr>
          <w:rtl/>
        </w:rPr>
        <w:t xml:space="preserve">شكل </w:t>
      </w:r>
      <w:r w:rsidRPr="00772E40">
        <w:rPr>
          <w:rFonts w:hint="cs"/>
          <w:rtl/>
        </w:rPr>
        <w:t xml:space="preserve">أم لا </w:t>
      </w:r>
      <w:r w:rsidRPr="00772E40">
        <w:rPr>
          <w:rtl/>
        </w:rPr>
        <w:t xml:space="preserve">أفعال تعذيب، بالمعنى المقصود في المادة </w:t>
      </w:r>
      <w:r w:rsidRPr="00C8421F">
        <w:rPr>
          <w:rtl/>
        </w:rPr>
        <w:t>1</w:t>
      </w:r>
      <w:r w:rsidRPr="00772E40">
        <w:rPr>
          <w:rtl/>
        </w:rPr>
        <w:t xml:space="preserve"> من الاتفاقية.</w:t>
      </w:r>
    </w:p>
    <w:p w14:paraId="167F79FE" w14:textId="77777777" w:rsidR="00772E40" w:rsidRPr="00772E40" w:rsidRDefault="00772E40" w:rsidP="00772E40">
      <w:pPr>
        <w:pStyle w:val="SingleTxtGA"/>
      </w:pPr>
      <w:r w:rsidRPr="00C8421F">
        <w:rPr>
          <w:rtl/>
        </w:rPr>
        <w:t>10</w:t>
      </w:r>
      <w:r w:rsidRPr="00772E40">
        <w:rPr>
          <w:rtl/>
        </w:rPr>
        <w:t>-</w:t>
      </w:r>
      <w:r w:rsidRPr="00C8421F">
        <w:rPr>
          <w:rtl/>
        </w:rPr>
        <w:t>3</w:t>
      </w:r>
      <w:r w:rsidRPr="00772E40">
        <w:rPr>
          <w:rtl/>
        </w:rPr>
        <w:tab/>
        <w:t xml:space="preserve">وتحيط اللجنة علماً بادعاءات صاحب الشكوى أن أفراداً من الشرطة ضربوه، أثناء </w:t>
      </w:r>
      <w:r w:rsidRPr="00772E40">
        <w:rPr>
          <w:rFonts w:hint="cs"/>
          <w:rtl/>
        </w:rPr>
        <w:t xml:space="preserve">توقيفه </w:t>
      </w:r>
      <w:r w:rsidRPr="00772E40">
        <w:rPr>
          <w:rtl/>
        </w:rPr>
        <w:t>ونقله واحتجازه، بشكل متكرر بأسلحتهم وقبضات أيديهم وأحذيتهم، وداسوا على أعضائه التناسلية وأضلاعه، وصوبوا مسدساتهم نحوه، وهدَّدوه بالقتل وإخفاء أثره. وتلاحظ اللجنة أيضاً أن صاحب الشكوى قد</w:t>
      </w:r>
      <w:r w:rsidRPr="00772E40">
        <w:rPr>
          <w:rFonts w:hint="cs"/>
          <w:rtl/>
        </w:rPr>
        <w:t>َّ</w:t>
      </w:r>
      <w:r w:rsidRPr="00772E40">
        <w:rPr>
          <w:rtl/>
        </w:rPr>
        <w:t xml:space="preserve">م تقارير طبية عديدة تؤكد أنه يعاني من إصابات </w:t>
      </w:r>
      <w:r w:rsidRPr="00772E40">
        <w:rPr>
          <w:rFonts w:hint="cs"/>
          <w:rtl/>
        </w:rPr>
        <w:t>بدنية</w:t>
      </w:r>
      <w:r w:rsidRPr="00772E40">
        <w:rPr>
          <w:rtl/>
        </w:rPr>
        <w:t>، مثل كسر في الأضلاع، وخلل في الانتصاب، وأعراض الإجهاد اللاحق للصدمة، وقصور في القوة العضلية لكلتا يديه. وقد استمرت معاناته من بعض هذه الإصابات مدة سنتي</w:t>
      </w:r>
      <w:r w:rsidRPr="00772E40">
        <w:rPr>
          <w:rFonts w:hint="cs"/>
          <w:rtl/>
        </w:rPr>
        <w:t>ْ</w:t>
      </w:r>
      <w:r w:rsidRPr="00772E40">
        <w:rPr>
          <w:rtl/>
        </w:rPr>
        <w:t xml:space="preserve">ن على الأقل بعد وقوع الحادث. وتلاحظ اللجنة كذلك أن الدولة الطرف قدمت رواية مختلفة </w:t>
      </w:r>
      <w:r w:rsidRPr="00772E40">
        <w:rPr>
          <w:rFonts w:hint="cs"/>
          <w:rtl/>
        </w:rPr>
        <w:t>بشأن</w:t>
      </w:r>
      <w:r w:rsidRPr="00772E40">
        <w:rPr>
          <w:rtl/>
        </w:rPr>
        <w:t xml:space="preserve"> سياق احتجاز</w:t>
      </w:r>
      <w:r w:rsidRPr="00772E40">
        <w:rPr>
          <w:rFonts w:hint="cs"/>
          <w:rtl/>
        </w:rPr>
        <w:t xml:space="preserve"> صاحب الشكوى</w:t>
      </w:r>
      <w:r w:rsidRPr="00772E40">
        <w:rPr>
          <w:rtl/>
        </w:rPr>
        <w:t xml:space="preserve">، </w:t>
      </w:r>
      <w:r w:rsidRPr="00772E40">
        <w:rPr>
          <w:rFonts w:hint="cs"/>
          <w:rtl/>
        </w:rPr>
        <w:t xml:space="preserve">حيث </w:t>
      </w:r>
      <w:r w:rsidRPr="00772E40">
        <w:rPr>
          <w:rtl/>
        </w:rPr>
        <w:t xml:space="preserve">صنَّفت </w:t>
      </w:r>
      <w:r w:rsidRPr="00772E40">
        <w:rPr>
          <w:rFonts w:hint="cs"/>
          <w:rtl/>
        </w:rPr>
        <w:t xml:space="preserve">الأفعال </w:t>
      </w:r>
      <w:r w:rsidRPr="00772E40">
        <w:rPr>
          <w:rtl/>
        </w:rPr>
        <w:t xml:space="preserve">المرتكبة </w:t>
      </w:r>
      <w:r w:rsidRPr="00772E40">
        <w:rPr>
          <w:rFonts w:hint="cs"/>
          <w:rtl/>
        </w:rPr>
        <w:t xml:space="preserve">ضده </w:t>
      </w:r>
      <w:r w:rsidRPr="00772E40">
        <w:rPr>
          <w:rtl/>
        </w:rPr>
        <w:t>باعتبارها جريمة إلحاق الضرر والأذى</w:t>
      </w:r>
      <w:r w:rsidRPr="00772E40">
        <w:rPr>
          <w:rFonts w:hint="cs"/>
          <w:rtl/>
        </w:rPr>
        <w:t>؛</w:t>
      </w:r>
      <w:r w:rsidRPr="00772E40">
        <w:rPr>
          <w:rtl/>
        </w:rPr>
        <w:t xml:space="preserve"> وتحيط علماً بعدم تقديم الدولة الطرف معلومات أكثر تفصيلاً. وترى اللجنة أن ادعاءات </w:t>
      </w:r>
      <w:r w:rsidRPr="00772E40">
        <w:rPr>
          <w:rtl/>
        </w:rPr>
        <w:lastRenderedPageBreak/>
        <w:t xml:space="preserve">صاحب الشكوى </w:t>
      </w:r>
      <w:r w:rsidRPr="00772E40">
        <w:rPr>
          <w:rFonts w:hint="cs"/>
          <w:rtl/>
        </w:rPr>
        <w:t xml:space="preserve">بشأن ما تعرض له من </w:t>
      </w:r>
      <w:r w:rsidRPr="00772E40">
        <w:rPr>
          <w:rtl/>
        </w:rPr>
        <w:t>ضرب أثناء توقيف</w:t>
      </w:r>
      <w:r w:rsidRPr="00772E40">
        <w:rPr>
          <w:rFonts w:hint="cs"/>
          <w:rtl/>
        </w:rPr>
        <w:t>ه</w:t>
      </w:r>
      <w:r w:rsidRPr="00772E40">
        <w:rPr>
          <w:rtl/>
        </w:rPr>
        <w:t xml:space="preserve"> ونقل</w:t>
      </w:r>
      <w:r w:rsidRPr="00772E40">
        <w:rPr>
          <w:rFonts w:hint="cs"/>
          <w:rtl/>
        </w:rPr>
        <w:t>ه</w:t>
      </w:r>
      <w:r w:rsidRPr="00772E40">
        <w:rPr>
          <w:rtl/>
        </w:rPr>
        <w:t>، وكذلك ب</w:t>
      </w:r>
      <w:r w:rsidRPr="00772E40">
        <w:rPr>
          <w:rFonts w:hint="cs"/>
          <w:rtl/>
        </w:rPr>
        <w:t xml:space="preserve">شأن </w:t>
      </w:r>
      <w:r w:rsidRPr="00772E40">
        <w:rPr>
          <w:rtl/>
        </w:rPr>
        <w:t>كل ظروف احتجاز</w:t>
      </w:r>
      <w:r w:rsidRPr="00772E40">
        <w:rPr>
          <w:rFonts w:hint="cs"/>
          <w:rtl/>
        </w:rPr>
        <w:t>ه</w:t>
      </w:r>
      <w:r w:rsidRPr="00772E40">
        <w:rPr>
          <w:rtl/>
        </w:rPr>
        <w:t xml:space="preserve">، </w:t>
      </w:r>
      <w:r w:rsidRPr="00772E40">
        <w:rPr>
          <w:rFonts w:hint="cs"/>
          <w:rtl/>
        </w:rPr>
        <w:t xml:space="preserve">حيث بقي بلا </w:t>
      </w:r>
      <w:r w:rsidRPr="00772E40">
        <w:rPr>
          <w:rtl/>
        </w:rPr>
        <w:t xml:space="preserve">رعاية طبية ولا ماء، تشكل عناصر تفضي إلى استنتاج وقوع انتهاك للمادة </w:t>
      </w:r>
      <w:r w:rsidRPr="00C8421F">
        <w:rPr>
          <w:rtl/>
        </w:rPr>
        <w:t>1</w:t>
      </w:r>
      <w:r w:rsidRPr="00772E40">
        <w:rPr>
          <w:rtl/>
        </w:rPr>
        <w:t xml:space="preserve"> من الاتفاقية، ولا ترى من الضروري بالتالي النظر بشكل منفصل في وقوع انتهاك للمادة </w:t>
      </w:r>
      <w:r w:rsidRPr="00C8421F">
        <w:rPr>
          <w:rtl/>
        </w:rPr>
        <w:t>16</w:t>
      </w:r>
      <w:r w:rsidRPr="00772E40">
        <w:rPr>
          <w:rtl/>
        </w:rPr>
        <w:t>.</w:t>
      </w:r>
    </w:p>
    <w:p w14:paraId="3377BFDE" w14:textId="3CD3D97E" w:rsidR="00772E40" w:rsidRPr="00772E40" w:rsidRDefault="00772E40" w:rsidP="00772E40">
      <w:pPr>
        <w:pStyle w:val="SingleTxtGA"/>
      </w:pPr>
      <w:r w:rsidRPr="00C8421F">
        <w:rPr>
          <w:rtl/>
        </w:rPr>
        <w:t>10</w:t>
      </w:r>
      <w:r w:rsidRPr="00772E40">
        <w:rPr>
          <w:rtl/>
        </w:rPr>
        <w:t>-</w:t>
      </w:r>
      <w:r w:rsidRPr="00C8421F">
        <w:rPr>
          <w:rtl/>
        </w:rPr>
        <w:t>4</w:t>
      </w:r>
      <w:r w:rsidRPr="00772E40">
        <w:rPr>
          <w:rtl/>
        </w:rPr>
        <w:tab/>
        <w:t xml:space="preserve">ويدعي صاحب الشكوى وقوع انتهاك للمادة </w:t>
      </w:r>
      <w:r w:rsidRPr="00C8421F">
        <w:rPr>
          <w:rtl/>
        </w:rPr>
        <w:t>2</w:t>
      </w:r>
      <w:r w:rsidRPr="00772E40">
        <w:rPr>
          <w:rtl/>
        </w:rPr>
        <w:t xml:space="preserve"> من الاتفاقية، مقروءة بالاقتران مع المادة </w:t>
      </w:r>
      <w:r w:rsidRPr="00C8421F">
        <w:rPr>
          <w:rtl/>
        </w:rPr>
        <w:t>1</w:t>
      </w:r>
      <w:r w:rsidRPr="00772E40">
        <w:rPr>
          <w:rtl/>
        </w:rPr>
        <w:t>، لأن الدولة الطرف أخلت بالتزامها بمنع التعذيب، حيث سمحت بتوقيفه من دون صدور أمر قضائي مسبق، ولا إدراج اسمه في سجل المحتجزين، ولا خضوع احتجازه للمراقبة القضائية. وتلاحظ اللجنة أن صاحب الشكوى أُوقف من دون أمر قضائي ولم تُتح له إمكانية الاتصال بزوجته أو بمحام مستقل. وتُذكر اللجنة باستنتاجاتها وتوصياتها التي حث</w:t>
      </w:r>
      <w:r w:rsidRPr="00772E40">
        <w:rPr>
          <w:rFonts w:hint="cs"/>
          <w:rtl/>
        </w:rPr>
        <w:t>َّت</w:t>
      </w:r>
      <w:r w:rsidRPr="00772E40">
        <w:rPr>
          <w:rtl/>
        </w:rPr>
        <w:t xml:space="preserve"> فيها الدولة الطرف على اعتماد تدابير فعالة تضمن للأشخاص المحتجزين التمتع فعلياً بجميع الضمانات الأساسية منذ لحظة سلبهم حريتهم وفقاً للمعايير الدولية، ولا سيما الحق في الاستعانة بمحام دون تأخير، والحق في إعلامهم بأسباب احتجازهم، والحق في تسجيلهم في سجل الموقوفين</w:t>
      </w:r>
      <w:r w:rsidRPr="00772E40">
        <w:rPr>
          <w:vertAlign w:val="superscript"/>
          <w:rtl/>
        </w:rPr>
        <w:t>(</w:t>
      </w:r>
      <w:r w:rsidRPr="00C8421F">
        <w:rPr>
          <w:vertAlign w:val="superscript"/>
          <w:lang w:val="en-US"/>
        </w:rPr>
        <w:footnoteReference w:id="29"/>
      </w:r>
      <w:r w:rsidRPr="00772E40">
        <w:rPr>
          <w:vertAlign w:val="superscript"/>
          <w:rtl/>
        </w:rPr>
        <w:t>)</w:t>
      </w:r>
      <w:r w:rsidRPr="00772E40">
        <w:rPr>
          <w:rtl/>
        </w:rPr>
        <w:t xml:space="preserve">. وإذ تأخذ اللجنة في الاعتبار الملابسات الموصوفة وعدم تقديم الدولة الطرف معلومات عن هذه الوقائع، فهي ترى أن الدولة الطرف أخلت بالتزامها باتخاذ تدابير فعالة لمنع أفعال التعذيب، على النحو المنصوص عليه في المادة </w:t>
      </w:r>
      <w:r w:rsidRPr="00C8421F">
        <w:rPr>
          <w:rtl/>
        </w:rPr>
        <w:t>2</w:t>
      </w:r>
      <w:r w:rsidRPr="00772E40">
        <w:rPr>
          <w:rtl/>
        </w:rPr>
        <w:t>(</w:t>
      </w:r>
      <w:r w:rsidRPr="00C8421F">
        <w:rPr>
          <w:rtl/>
        </w:rPr>
        <w:t>1</w:t>
      </w:r>
      <w:r w:rsidRPr="00772E40">
        <w:rPr>
          <w:rtl/>
        </w:rPr>
        <w:t>) من الاتفاقية.</w:t>
      </w:r>
    </w:p>
    <w:p w14:paraId="14088324" w14:textId="3443CE70" w:rsidR="00772E40" w:rsidRPr="00772E40" w:rsidRDefault="00772E40" w:rsidP="00772E40">
      <w:pPr>
        <w:pStyle w:val="SingleTxtGA"/>
      </w:pPr>
      <w:r w:rsidRPr="00C8421F">
        <w:rPr>
          <w:rtl/>
        </w:rPr>
        <w:t>10</w:t>
      </w:r>
      <w:r w:rsidRPr="00772E40">
        <w:rPr>
          <w:rtl/>
        </w:rPr>
        <w:t>-</w:t>
      </w:r>
      <w:r w:rsidRPr="00C8421F">
        <w:rPr>
          <w:rtl/>
        </w:rPr>
        <w:t>5</w:t>
      </w:r>
      <w:r w:rsidRPr="00772E40">
        <w:rPr>
          <w:rtl/>
        </w:rPr>
        <w:tab/>
        <w:t xml:space="preserve">وتحيط اللجنة علماً أيضاً </w:t>
      </w:r>
      <w:r w:rsidRPr="00772E40">
        <w:rPr>
          <w:rFonts w:hint="cs"/>
          <w:rtl/>
        </w:rPr>
        <w:t xml:space="preserve">بحجة </w:t>
      </w:r>
      <w:r w:rsidRPr="00772E40">
        <w:rPr>
          <w:rtl/>
        </w:rPr>
        <w:t xml:space="preserve">صاحب الشكوى </w:t>
      </w:r>
      <w:r w:rsidRPr="00772E40">
        <w:rPr>
          <w:rFonts w:hint="cs"/>
          <w:rtl/>
        </w:rPr>
        <w:t>أن الدولة الطرف انتهكت ا</w:t>
      </w:r>
      <w:r w:rsidRPr="00772E40">
        <w:rPr>
          <w:rtl/>
        </w:rPr>
        <w:t xml:space="preserve">لمادة </w:t>
      </w:r>
      <w:r w:rsidRPr="00C8421F">
        <w:rPr>
          <w:rtl/>
        </w:rPr>
        <w:t>11</w:t>
      </w:r>
      <w:r w:rsidRPr="00772E40">
        <w:rPr>
          <w:rtl/>
        </w:rPr>
        <w:t xml:space="preserve"> من الاتفاقية، لأن</w:t>
      </w:r>
      <w:r w:rsidRPr="00772E40">
        <w:rPr>
          <w:rFonts w:hint="cs"/>
          <w:rtl/>
        </w:rPr>
        <w:t xml:space="preserve">ها </w:t>
      </w:r>
      <w:r w:rsidRPr="00772E40">
        <w:rPr>
          <w:rtl/>
        </w:rPr>
        <w:t xml:space="preserve">لم تطبق خلال </w:t>
      </w:r>
      <w:r w:rsidRPr="00772E40">
        <w:rPr>
          <w:rFonts w:hint="cs"/>
          <w:rtl/>
        </w:rPr>
        <w:t xml:space="preserve">فترة احتجازه </w:t>
      </w:r>
      <w:r w:rsidRPr="00772E40">
        <w:rPr>
          <w:rtl/>
        </w:rPr>
        <w:t>بروتوكول اسطنبول ولا أي دليل آخر يتوافق مع المعايير الدولية بشأن أساليب منع أفعال التعذيب وتحديدها وتوثيقها. وتُذكر اللجنة كذلك بملاحظاتها الختامية بشأن التقرير الدوري السابع للمكسيك، التي حثت فيها الدولةَ الطرف على ضمان إجراء استعراض منهجي لإجراءات الاحتجاز والاستجواب، وفقاً ل</w:t>
      </w:r>
      <w:r w:rsidRPr="00772E40">
        <w:rPr>
          <w:rFonts w:hint="cs"/>
          <w:rtl/>
        </w:rPr>
        <w:t>أحكام ا</w:t>
      </w:r>
      <w:r w:rsidRPr="00772E40">
        <w:rPr>
          <w:rtl/>
        </w:rPr>
        <w:t xml:space="preserve">لمادة </w:t>
      </w:r>
      <w:r w:rsidRPr="00C8421F">
        <w:rPr>
          <w:rtl/>
        </w:rPr>
        <w:t>11</w:t>
      </w:r>
      <w:r w:rsidRPr="00772E40">
        <w:rPr>
          <w:rtl/>
        </w:rPr>
        <w:t xml:space="preserve"> من الاتفاقية</w:t>
      </w:r>
      <w:r w:rsidRPr="00772E40">
        <w:rPr>
          <w:vertAlign w:val="superscript"/>
          <w:rtl/>
        </w:rPr>
        <w:t>(</w:t>
      </w:r>
      <w:r w:rsidRPr="00C8421F">
        <w:rPr>
          <w:vertAlign w:val="superscript"/>
          <w:lang w:val="en-US"/>
        </w:rPr>
        <w:footnoteReference w:id="30"/>
      </w:r>
      <w:r w:rsidRPr="00772E40">
        <w:rPr>
          <w:vertAlign w:val="superscript"/>
          <w:rtl/>
        </w:rPr>
        <w:t>)</w:t>
      </w:r>
      <w:r w:rsidRPr="00772E40">
        <w:rPr>
          <w:rtl/>
        </w:rPr>
        <w:t xml:space="preserve">. ولأن الدولة الطرف لم تقدِّم أي معلومات تبين أنها راقبت ظروف احتجاز صاحب الشكوى، </w:t>
      </w:r>
      <w:r w:rsidRPr="00772E40">
        <w:rPr>
          <w:rFonts w:hint="cs"/>
          <w:rtl/>
        </w:rPr>
        <w:t xml:space="preserve">فإن </w:t>
      </w:r>
      <w:r w:rsidRPr="00772E40">
        <w:rPr>
          <w:rtl/>
        </w:rPr>
        <w:t xml:space="preserve">اللجنة </w:t>
      </w:r>
      <w:r w:rsidRPr="00772E40">
        <w:rPr>
          <w:rFonts w:hint="cs"/>
          <w:rtl/>
        </w:rPr>
        <w:t xml:space="preserve">تخلص </w:t>
      </w:r>
      <w:r w:rsidRPr="00772E40">
        <w:rPr>
          <w:rtl/>
        </w:rPr>
        <w:t xml:space="preserve">إلى أن الدولة الطرف انتهكت المادة </w:t>
      </w:r>
      <w:r w:rsidRPr="00C8421F">
        <w:rPr>
          <w:rtl/>
        </w:rPr>
        <w:t>11</w:t>
      </w:r>
      <w:r w:rsidRPr="00772E40">
        <w:rPr>
          <w:rtl/>
        </w:rPr>
        <w:t xml:space="preserve"> من الاتفاقية.</w:t>
      </w:r>
    </w:p>
    <w:p w14:paraId="259BA73D" w14:textId="77777777" w:rsidR="00772E40" w:rsidRPr="00772E40" w:rsidRDefault="00772E40" w:rsidP="00772E40">
      <w:pPr>
        <w:pStyle w:val="SingleTxtGA"/>
      </w:pPr>
      <w:r w:rsidRPr="00C8421F">
        <w:rPr>
          <w:rtl/>
        </w:rPr>
        <w:t>10</w:t>
      </w:r>
      <w:r w:rsidRPr="00772E40">
        <w:rPr>
          <w:rtl/>
        </w:rPr>
        <w:t>-</w:t>
      </w:r>
      <w:r w:rsidRPr="00C8421F">
        <w:rPr>
          <w:rtl/>
        </w:rPr>
        <w:t>6</w:t>
      </w:r>
      <w:r w:rsidRPr="00772E40">
        <w:rPr>
          <w:rtl/>
        </w:rPr>
        <w:tab/>
        <w:t xml:space="preserve">وفيما يتعلق بالمادتين </w:t>
      </w:r>
      <w:r w:rsidRPr="00C8421F">
        <w:rPr>
          <w:rtl/>
        </w:rPr>
        <w:t>12</w:t>
      </w:r>
      <w:r w:rsidRPr="00772E40">
        <w:rPr>
          <w:rtl/>
        </w:rPr>
        <w:t xml:space="preserve"> و</w:t>
      </w:r>
      <w:r w:rsidRPr="00C8421F">
        <w:rPr>
          <w:rtl/>
        </w:rPr>
        <w:t>13</w:t>
      </w:r>
      <w:r w:rsidRPr="00772E40">
        <w:rPr>
          <w:rtl/>
        </w:rPr>
        <w:t xml:space="preserve"> من الاتفاقية، تحيط اللجنة علماً بادعاءات صاحب الشكوى التي مفادها أن السلطات المختصة لم تُجر أي تحقيق فوري وسريع وشامل في أفعال التعذيب.</w:t>
      </w:r>
    </w:p>
    <w:p w14:paraId="5F6B9A9D" w14:textId="4C343806" w:rsidR="00772E40" w:rsidRPr="00772E40" w:rsidRDefault="00772E40" w:rsidP="00772E40">
      <w:pPr>
        <w:pStyle w:val="SingleTxtGA"/>
      </w:pPr>
      <w:r w:rsidRPr="00C8421F">
        <w:rPr>
          <w:rtl/>
        </w:rPr>
        <w:t>10</w:t>
      </w:r>
      <w:r w:rsidRPr="00772E40">
        <w:rPr>
          <w:rtl/>
        </w:rPr>
        <w:t>-</w:t>
      </w:r>
      <w:r w:rsidRPr="00C8421F">
        <w:rPr>
          <w:rtl/>
        </w:rPr>
        <w:t>7</w:t>
      </w:r>
      <w:r w:rsidRPr="00772E40">
        <w:rPr>
          <w:rtl/>
        </w:rPr>
        <w:tab/>
        <w:t>وتُذكر اللجنة بأ</w:t>
      </w:r>
      <w:r w:rsidRPr="00772E40">
        <w:rPr>
          <w:rFonts w:hint="cs"/>
          <w:rtl/>
        </w:rPr>
        <w:t xml:space="preserve">ن </w:t>
      </w:r>
      <w:r w:rsidRPr="00772E40">
        <w:rPr>
          <w:rtl/>
        </w:rPr>
        <w:t xml:space="preserve">المادة </w:t>
      </w:r>
      <w:r w:rsidRPr="00C8421F">
        <w:rPr>
          <w:rtl/>
        </w:rPr>
        <w:t>12</w:t>
      </w:r>
      <w:r w:rsidRPr="00772E40">
        <w:rPr>
          <w:rtl/>
        </w:rPr>
        <w:t xml:space="preserve"> من الاتفاقية تقتضي إجراء تحقيق فوري ونزيه كلما وُجدت أسباب معقولة تدعو إلى الاعتقاد بأن فعلاً من أفعال التعذيب قد ارتُكب</w:t>
      </w:r>
      <w:r w:rsidRPr="00772E40">
        <w:rPr>
          <w:vertAlign w:val="superscript"/>
          <w:rtl/>
        </w:rPr>
        <w:t>(</w:t>
      </w:r>
      <w:r w:rsidRPr="00C8421F">
        <w:rPr>
          <w:vertAlign w:val="superscript"/>
          <w:lang w:val="en-US"/>
        </w:rPr>
        <w:footnoteReference w:id="31"/>
      </w:r>
      <w:r w:rsidRPr="00772E40">
        <w:rPr>
          <w:vertAlign w:val="superscript"/>
          <w:rtl/>
        </w:rPr>
        <w:t>)</w:t>
      </w:r>
      <w:r w:rsidRPr="00772E40">
        <w:rPr>
          <w:rtl/>
        </w:rPr>
        <w:t xml:space="preserve">. وفي هذا الصدد، تلاحظ اللجنة أنه، رغم الإصابات المرئية التي كان يعاني منها صاحب الشكوى في </w:t>
      </w:r>
      <w:r w:rsidRPr="00C8421F">
        <w:rPr>
          <w:rtl/>
        </w:rPr>
        <w:t>29</w:t>
      </w:r>
      <w:r w:rsidRPr="00772E40">
        <w:rPr>
          <w:rtl/>
        </w:rPr>
        <w:t xml:space="preserve"> نيسان/أبريل </w:t>
      </w:r>
      <w:r w:rsidRPr="00C8421F">
        <w:rPr>
          <w:rtl/>
        </w:rPr>
        <w:t>2013</w:t>
      </w:r>
      <w:r w:rsidRPr="00772E40">
        <w:rPr>
          <w:rtl/>
        </w:rPr>
        <w:t xml:space="preserve">، كما ورد في الشواهد الطبية، لم يباشَر أي تحقيق فوري في الوقائع المزعومة. وحاجَّت الدولة الطرف بأنه بوشر تحقيق مع عدة أفراد من الشرطة </w:t>
      </w:r>
      <w:r w:rsidRPr="00772E40">
        <w:rPr>
          <w:rFonts w:hint="cs"/>
          <w:rtl/>
        </w:rPr>
        <w:t xml:space="preserve">بشأن </w:t>
      </w:r>
      <w:r w:rsidRPr="00772E40">
        <w:rPr>
          <w:rtl/>
        </w:rPr>
        <w:t xml:space="preserve">جريمة </w:t>
      </w:r>
      <w:r w:rsidRPr="00772E40">
        <w:rPr>
          <w:rFonts w:hint="cs"/>
          <w:rtl/>
        </w:rPr>
        <w:t xml:space="preserve">إيذاء </w:t>
      </w:r>
      <w:r w:rsidRPr="00772E40">
        <w:rPr>
          <w:rtl/>
        </w:rPr>
        <w:t>صاحب الشكوى وإلحاق أضرار بمركب</w:t>
      </w:r>
      <w:r w:rsidRPr="00772E40">
        <w:rPr>
          <w:rFonts w:hint="cs"/>
          <w:rtl/>
        </w:rPr>
        <w:t>ة زوجته</w:t>
      </w:r>
      <w:r w:rsidRPr="00772E40">
        <w:rPr>
          <w:rtl/>
        </w:rPr>
        <w:t xml:space="preserve">، عقب الشكوى المقدمة في </w:t>
      </w:r>
      <w:r w:rsidRPr="00C8421F">
        <w:rPr>
          <w:rtl/>
        </w:rPr>
        <w:t>29</w:t>
      </w:r>
      <w:r w:rsidRPr="00772E40">
        <w:rPr>
          <w:rtl/>
        </w:rPr>
        <w:t xml:space="preserve"> نيسان/أبريل، وبأنه قُدمت، في </w:t>
      </w:r>
      <w:r w:rsidRPr="00C8421F">
        <w:rPr>
          <w:rtl/>
        </w:rPr>
        <w:t>27</w:t>
      </w:r>
      <w:r w:rsidRPr="00772E40">
        <w:rPr>
          <w:rtl/>
        </w:rPr>
        <w:t xml:space="preserve"> تشرين الأول/أكتوبر </w:t>
      </w:r>
      <w:r w:rsidRPr="00C8421F">
        <w:rPr>
          <w:rtl/>
        </w:rPr>
        <w:t>2016</w:t>
      </w:r>
      <w:r w:rsidRPr="00772E40">
        <w:rPr>
          <w:rtl/>
        </w:rPr>
        <w:t xml:space="preserve">، دعوى جنائية، لم يشارك صاحب </w:t>
      </w:r>
      <w:r w:rsidRPr="00772E40">
        <w:rPr>
          <w:rFonts w:hint="cs"/>
          <w:rtl/>
        </w:rPr>
        <w:t>الشكوى في إجراءاتها</w:t>
      </w:r>
      <w:r w:rsidRPr="00772E40">
        <w:rPr>
          <w:rtl/>
        </w:rPr>
        <w:t xml:space="preserve">، ضد أفراد الشرطة الذين أبلغ عنهم. وحاجَّت الدولة الطرف أيضاً بأن واجب التحقيق يشكل التزام وسيلة وليس التزام نتيجة. </w:t>
      </w:r>
    </w:p>
    <w:p w14:paraId="3E174F81" w14:textId="27A7ADF2" w:rsidR="00772E40" w:rsidRPr="00772E40" w:rsidRDefault="00772E40" w:rsidP="00772E40">
      <w:pPr>
        <w:pStyle w:val="SingleTxtGA"/>
      </w:pPr>
      <w:r w:rsidRPr="00C8421F">
        <w:rPr>
          <w:rtl/>
        </w:rPr>
        <w:t>10</w:t>
      </w:r>
      <w:r w:rsidRPr="00772E40">
        <w:rPr>
          <w:rtl/>
        </w:rPr>
        <w:t>-</w:t>
      </w:r>
      <w:r w:rsidRPr="00C8421F">
        <w:rPr>
          <w:rtl/>
        </w:rPr>
        <w:t>8</w:t>
      </w:r>
      <w:r w:rsidRPr="00772E40">
        <w:rPr>
          <w:rtl/>
        </w:rPr>
        <w:tab/>
        <w:t xml:space="preserve">وتُذكر اللجنة كذلك بأن التحقيق في حد ذاته لا يكفي لإثبات </w:t>
      </w:r>
      <w:r w:rsidRPr="00772E40">
        <w:rPr>
          <w:rFonts w:hint="cs"/>
          <w:rtl/>
        </w:rPr>
        <w:t xml:space="preserve">وفاء </w:t>
      </w:r>
      <w:r w:rsidRPr="00772E40">
        <w:rPr>
          <w:rtl/>
        </w:rPr>
        <w:t xml:space="preserve">الدولة الطرف بالتزاماتها بموجب المادة </w:t>
      </w:r>
      <w:r w:rsidRPr="00C8421F">
        <w:rPr>
          <w:rtl/>
        </w:rPr>
        <w:t>12</w:t>
      </w:r>
      <w:r w:rsidRPr="00772E40">
        <w:rPr>
          <w:rtl/>
        </w:rPr>
        <w:t xml:space="preserve"> من الاتفاقية، </w:t>
      </w:r>
      <w:r w:rsidRPr="00772E40">
        <w:rPr>
          <w:rFonts w:hint="cs"/>
          <w:rtl/>
        </w:rPr>
        <w:t xml:space="preserve">إذ </w:t>
      </w:r>
      <w:r w:rsidRPr="00772E40">
        <w:rPr>
          <w:rtl/>
        </w:rPr>
        <w:t xml:space="preserve">ينبغي أن </w:t>
      </w:r>
      <w:r w:rsidRPr="00772E40">
        <w:rPr>
          <w:rFonts w:hint="cs"/>
          <w:rtl/>
        </w:rPr>
        <w:t xml:space="preserve">يكون </w:t>
      </w:r>
      <w:r w:rsidRPr="00772E40">
        <w:rPr>
          <w:rtl/>
        </w:rPr>
        <w:t>هذا التحقيق فورياً ونزيهاً</w:t>
      </w:r>
      <w:r w:rsidRPr="00772E40">
        <w:rPr>
          <w:vertAlign w:val="superscript"/>
          <w:rtl/>
        </w:rPr>
        <w:t>(</w:t>
      </w:r>
      <w:r w:rsidRPr="00C8421F">
        <w:rPr>
          <w:vertAlign w:val="superscript"/>
          <w:lang w:val="en-US"/>
        </w:rPr>
        <w:footnoteReference w:id="32"/>
      </w:r>
      <w:r w:rsidRPr="00772E40">
        <w:rPr>
          <w:vertAlign w:val="superscript"/>
          <w:rtl/>
        </w:rPr>
        <w:t>)</w:t>
      </w:r>
      <w:r w:rsidRPr="00772E40">
        <w:rPr>
          <w:rtl/>
        </w:rPr>
        <w:t xml:space="preserve">. وتُذكر </w:t>
      </w:r>
      <w:r w:rsidRPr="00772E40">
        <w:rPr>
          <w:rFonts w:hint="cs"/>
          <w:rtl/>
        </w:rPr>
        <w:t xml:space="preserve">اللجنة </w:t>
      </w:r>
      <w:r w:rsidRPr="00772E40">
        <w:rPr>
          <w:rtl/>
        </w:rPr>
        <w:t xml:space="preserve">بأن فورية التحقيق مسألة ضرورية لتفادي استمرار تعرض الضحية للتعذيب، </w:t>
      </w:r>
      <w:r w:rsidRPr="00772E40">
        <w:rPr>
          <w:rFonts w:hint="cs"/>
          <w:rtl/>
        </w:rPr>
        <w:t xml:space="preserve">بالنظر إلى أن </w:t>
      </w:r>
      <w:r w:rsidRPr="00772E40">
        <w:rPr>
          <w:rtl/>
        </w:rPr>
        <w:t xml:space="preserve">آثار التعذيب البدنية </w:t>
      </w:r>
      <w:r w:rsidRPr="00772E40">
        <w:rPr>
          <w:rtl/>
        </w:rPr>
        <w:lastRenderedPageBreak/>
        <w:t>تختفي، عموماً، بسرعة</w:t>
      </w:r>
      <w:r w:rsidRPr="00772E40">
        <w:rPr>
          <w:vertAlign w:val="superscript"/>
          <w:rtl/>
        </w:rPr>
        <w:t>(</w:t>
      </w:r>
      <w:r w:rsidRPr="00C8421F">
        <w:rPr>
          <w:vertAlign w:val="superscript"/>
          <w:lang w:val="en-US"/>
        </w:rPr>
        <w:footnoteReference w:id="33"/>
      </w:r>
      <w:r w:rsidRPr="00772E40">
        <w:rPr>
          <w:vertAlign w:val="superscript"/>
          <w:rtl/>
        </w:rPr>
        <w:t>)</w:t>
      </w:r>
      <w:r w:rsidRPr="00772E40">
        <w:rPr>
          <w:rtl/>
        </w:rPr>
        <w:t xml:space="preserve">. وفي هذا الصدد، تلاحظ اللجنة أن صاحب الشكوى، بعد تقديم شكواه في </w:t>
      </w:r>
      <w:r w:rsidRPr="00C8421F">
        <w:rPr>
          <w:rtl/>
        </w:rPr>
        <w:t>29</w:t>
      </w:r>
      <w:r w:rsidRPr="00772E40">
        <w:rPr>
          <w:rtl/>
        </w:rPr>
        <w:t xml:space="preserve"> نيسان/أبريل </w:t>
      </w:r>
      <w:r w:rsidRPr="00C8421F">
        <w:rPr>
          <w:rtl/>
        </w:rPr>
        <w:t>2013</w:t>
      </w:r>
      <w:r w:rsidRPr="00772E40">
        <w:rPr>
          <w:rtl/>
        </w:rPr>
        <w:t xml:space="preserve">، مثل أول مرة أمام مكتب المدعي العام في ولاية </w:t>
      </w:r>
      <w:proofErr w:type="spellStart"/>
      <w:r w:rsidRPr="00772E40">
        <w:rPr>
          <w:rtl/>
        </w:rPr>
        <w:t>غيريرو</w:t>
      </w:r>
      <w:proofErr w:type="spellEnd"/>
      <w:r w:rsidRPr="00772E40">
        <w:rPr>
          <w:rtl/>
        </w:rPr>
        <w:t xml:space="preserve"> في </w:t>
      </w:r>
      <w:r w:rsidRPr="00C8421F">
        <w:rPr>
          <w:rtl/>
        </w:rPr>
        <w:t>18</w:t>
      </w:r>
      <w:r w:rsidRPr="00772E40">
        <w:rPr>
          <w:rtl/>
        </w:rPr>
        <w:t xml:space="preserve"> نيسان/أبريل </w:t>
      </w:r>
      <w:r w:rsidRPr="00C8421F">
        <w:rPr>
          <w:rtl/>
        </w:rPr>
        <w:t>2016</w:t>
      </w:r>
      <w:r w:rsidRPr="00772E40">
        <w:rPr>
          <w:rtl/>
        </w:rPr>
        <w:t xml:space="preserve">. وبالإضافة إلى ذلك، بعد صدور قرار المحكمة المحلية الحادية عشرة المختصة بالنظر في طلبات الحماية القضائية الدستورية في القضايا الجنائية، في </w:t>
      </w:r>
      <w:r w:rsidRPr="00C8421F">
        <w:rPr>
          <w:rtl/>
        </w:rPr>
        <w:t>1</w:t>
      </w:r>
      <w:r w:rsidRPr="00772E40">
        <w:rPr>
          <w:rtl/>
        </w:rPr>
        <w:t xml:space="preserve"> تموز/يوليه </w:t>
      </w:r>
      <w:r w:rsidRPr="00C8421F">
        <w:rPr>
          <w:rtl/>
        </w:rPr>
        <w:t>2016</w:t>
      </w:r>
      <w:r w:rsidRPr="00772E40">
        <w:rPr>
          <w:rtl/>
        </w:rPr>
        <w:t xml:space="preserve">، </w:t>
      </w:r>
      <w:r w:rsidRPr="00772E40">
        <w:rPr>
          <w:rFonts w:hint="cs"/>
          <w:rtl/>
        </w:rPr>
        <w:t xml:space="preserve">رفض </w:t>
      </w:r>
      <w:r w:rsidRPr="00772E40">
        <w:rPr>
          <w:rtl/>
        </w:rPr>
        <w:t xml:space="preserve">موظف مكتب المدعي العام الاتحادي التحقيق في أفعال التعذيب. واستُؤنفت التحقيقات التي باشرها مكتب المدعي العام للجمهورية بعد ثلاث سنوات من حدوث الوقائع، من دون </w:t>
      </w:r>
      <w:r w:rsidRPr="00772E40">
        <w:rPr>
          <w:rFonts w:hint="cs"/>
          <w:rtl/>
        </w:rPr>
        <w:t xml:space="preserve">تبرير </w:t>
      </w:r>
      <w:r w:rsidRPr="00772E40">
        <w:rPr>
          <w:rtl/>
        </w:rPr>
        <w:t>طولها المفرط ومن دون تقديم أي معلومات إلى صاحب الشكوى في الوقت المناسب عن سير</w:t>
      </w:r>
      <w:r w:rsidRPr="00772E40">
        <w:rPr>
          <w:rFonts w:hint="cs"/>
          <w:rtl/>
        </w:rPr>
        <w:t>ها</w:t>
      </w:r>
      <w:r w:rsidRPr="00772E40">
        <w:rPr>
          <w:vertAlign w:val="superscript"/>
          <w:rtl/>
        </w:rPr>
        <w:t>(</w:t>
      </w:r>
      <w:r w:rsidRPr="00C8421F">
        <w:rPr>
          <w:vertAlign w:val="superscript"/>
          <w:lang w:val="en-US"/>
        </w:rPr>
        <w:footnoteReference w:id="34"/>
      </w:r>
      <w:r w:rsidRPr="00772E40">
        <w:rPr>
          <w:vertAlign w:val="superscript"/>
          <w:rtl/>
        </w:rPr>
        <w:t>)</w:t>
      </w:r>
      <w:r w:rsidRPr="00772E40">
        <w:rPr>
          <w:rtl/>
        </w:rPr>
        <w:t>.</w:t>
      </w:r>
    </w:p>
    <w:p w14:paraId="1F51D2DE" w14:textId="2C99C7BE" w:rsidR="00772E40" w:rsidRPr="00772E40" w:rsidRDefault="00772E40" w:rsidP="00772E40">
      <w:pPr>
        <w:pStyle w:val="SingleTxtGA"/>
      </w:pPr>
      <w:r w:rsidRPr="00C8421F">
        <w:rPr>
          <w:rtl/>
        </w:rPr>
        <w:t>10</w:t>
      </w:r>
      <w:r w:rsidRPr="00772E40">
        <w:rPr>
          <w:rtl/>
        </w:rPr>
        <w:t>-</w:t>
      </w:r>
      <w:r w:rsidRPr="00C8421F">
        <w:rPr>
          <w:rtl/>
        </w:rPr>
        <w:t>9</w:t>
      </w:r>
      <w:r w:rsidRPr="00772E40">
        <w:rPr>
          <w:rtl/>
        </w:rPr>
        <w:tab/>
        <w:t xml:space="preserve">وبناء على كل ما </w:t>
      </w:r>
      <w:r w:rsidRPr="00772E40">
        <w:rPr>
          <w:rFonts w:hint="cs"/>
          <w:rtl/>
        </w:rPr>
        <w:t>تقدَّم</w:t>
      </w:r>
      <w:r w:rsidRPr="00772E40">
        <w:rPr>
          <w:rtl/>
        </w:rPr>
        <w:t xml:space="preserve">، تخلص اللجنة إلى أن الدولة الطرف </w:t>
      </w:r>
      <w:r w:rsidRPr="00772E40">
        <w:rPr>
          <w:rFonts w:hint="cs"/>
          <w:rtl/>
        </w:rPr>
        <w:t xml:space="preserve">أخلت </w:t>
      </w:r>
      <w:r w:rsidRPr="00772E40">
        <w:rPr>
          <w:rtl/>
        </w:rPr>
        <w:t>بالتزاماتها بموجب المادتين</w:t>
      </w:r>
      <w:r w:rsidR="002F6DFB">
        <w:rPr>
          <w:rFonts w:hint="cs"/>
          <w:rtl/>
        </w:rPr>
        <w:t> </w:t>
      </w:r>
      <w:r w:rsidRPr="00C8421F">
        <w:rPr>
          <w:rtl/>
        </w:rPr>
        <w:t>12</w:t>
      </w:r>
      <w:r w:rsidRPr="00772E40">
        <w:rPr>
          <w:rtl/>
        </w:rPr>
        <w:t xml:space="preserve"> و</w:t>
      </w:r>
      <w:r w:rsidRPr="00C8421F">
        <w:rPr>
          <w:rtl/>
        </w:rPr>
        <w:t>13</w:t>
      </w:r>
      <w:r w:rsidRPr="00772E40">
        <w:rPr>
          <w:rtl/>
        </w:rPr>
        <w:t xml:space="preserve"> من الاتفاقية. </w:t>
      </w:r>
    </w:p>
    <w:p w14:paraId="211361AC" w14:textId="6D5C5168" w:rsidR="00772E40" w:rsidRPr="00772E40" w:rsidRDefault="00772E40" w:rsidP="00772E40">
      <w:pPr>
        <w:pStyle w:val="SingleTxtGA"/>
        <w:rPr>
          <w:spacing w:val="-1"/>
        </w:rPr>
      </w:pPr>
      <w:r w:rsidRPr="00C8421F">
        <w:rPr>
          <w:spacing w:val="-1"/>
          <w:rtl/>
        </w:rPr>
        <w:t>10</w:t>
      </w:r>
      <w:r w:rsidRPr="00772E40">
        <w:rPr>
          <w:spacing w:val="-1"/>
          <w:rtl/>
        </w:rPr>
        <w:t>-</w:t>
      </w:r>
      <w:r w:rsidRPr="00C8421F">
        <w:rPr>
          <w:spacing w:val="-1"/>
          <w:rtl/>
        </w:rPr>
        <w:t>10</w:t>
      </w:r>
      <w:r w:rsidRPr="00772E40">
        <w:rPr>
          <w:spacing w:val="-1"/>
          <w:rtl/>
        </w:rPr>
        <w:tab/>
        <w:t xml:space="preserve">وتحيط اللجنة علماً </w:t>
      </w:r>
      <w:r w:rsidRPr="00772E40">
        <w:rPr>
          <w:rFonts w:hint="cs"/>
          <w:spacing w:val="-1"/>
          <w:rtl/>
        </w:rPr>
        <w:t xml:space="preserve">بادعاء </w:t>
      </w:r>
      <w:r w:rsidRPr="00772E40">
        <w:rPr>
          <w:spacing w:val="-1"/>
          <w:rtl/>
        </w:rPr>
        <w:t xml:space="preserve">صاحب الشكوى وقوع انتهاك للمادة </w:t>
      </w:r>
      <w:r w:rsidRPr="00C8421F">
        <w:rPr>
          <w:spacing w:val="-1"/>
          <w:rtl/>
        </w:rPr>
        <w:t>14</w:t>
      </w:r>
      <w:r w:rsidRPr="00772E40">
        <w:rPr>
          <w:spacing w:val="-1"/>
          <w:rtl/>
        </w:rPr>
        <w:t xml:space="preserve"> من الاتفاقية، </w:t>
      </w:r>
      <w:r w:rsidRPr="00772E40">
        <w:rPr>
          <w:rFonts w:hint="cs"/>
          <w:spacing w:val="-1"/>
          <w:rtl/>
        </w:rPr>
        <w:t xml:space="preserve">وادعاءه أيضاً </w:t>
      </w:r>
      <w:r w:rsidRPr="00772E40">
        <w:rPr>
          <w:spacing w:val="-1"/>
          <w:rtl/>
        </w:rPr>
        <w:t xml:space="preserve">عدم توافق التعويض الذي </w:t>
      </w:r>
      <w:r w:rsidRPr="00772E40">
        <w:rPr>
          <w:rFonts w:hint="cs"/>
          <w:spacing w:val="-1"/>
          <w:rtl/>
        </w:rPr>
        <w:t xml:space="preserve">عرضه عليه مجلس </w:t>
      </w:r>
      <w:r w:rsidRPr="00772E40">
        <w:rPr>
          <w:spacing w:val="-1"/>
          <w:rtl/>
        </w:rPr>
        <w:t xml:space="preserve">بلدية </w:t>
      </w:r>
      <w:proofErr w:type="spellStart"/>
      <w:r w:rsidRPr="00772E40">
        <w:rPr>
          <w:spacing w:val="-1"/>
          <w:rtl/>
        </w:rPr>
        <w:t>تاكسكو</w:t>
      </w:r>
      <w:proofErr w:type="spellEnd"/>
      <w:r w:rsidRPr="00772E40">
        <w:rPr>
          <w:spacing w:val="-1"/>
          <w:rtl/>
        </w:rPr>
        <w:t xml:space="preserve"> مع مقتضيات المادة </w:t>
      </w:r>
      <w:r w:rsidRPr="00C8421F">
        <w:rPr>
          <w:spacing w:val="-1"/>
          <w:rtl/>
        </w:rPr>
        <w:t>14</w:t>
      </w:r>
      <w:r w:rsidRPr="00772E40">
        <w:rPr>
          <w:spacing w:val="-1"/>
          <w:rtl/>
        </w:rPr>
        <w:t xml:space="preserve">. وتود اللجنة </w:t>
      </w:r>
      <w:r w:rsidRPr="00772E40">
        <w:rPr>
          <w:rFonts w:hint="cs"/>
          <w:spacing w:val="-1"/>
          <w:rtl/>
        </w:rPr>
        <w:t xml:space="preserve">التذكير </w:t>
      </w:r>
      <w:r w:rsidRPr="00772E40">
        <w:rPr>
          <w:spacing w:val="-1"/>
          <w:rtl/>
        </w:rPr>
        <w:t xml:space="preserve">بتعليقها العام رقم </w:t>
      </w:r>
      <w:r w:rsidRPr="00C8421F">
        <w:rPr>
          <w:spacing w:val="-1"/>
          <w:rtl/>
        </w:rPr>
        <w:t>3</w:t>
      </w:r>
      <w:r w:rsidRPr="00772E40">
        <w:rPr>
          <w:spacing w:val="-1"/>
          <w:rtl/>
        </w:rPr>
        <w:t>(</w:t>
      </w:r>
      <w:r w:rsidRPr="00C8421F">
        <w:rPr>
          <w:spacing w:val="-1"/>
          <w:rtl/>
        </w:rPr>
        <w:t>2012</w:t>
      </w:r>
      <w:r w:rsidRPr="00772E40">
        <w:rPr>
          <w:spacing w:val="-1"/>
          <w:rtl/>
        </w:rPr>
        <w:t>)</w:t>
      </w:r>
      <w:r w:rsidRPr="002F6DFB">
        <w:rPr>
          <w:spacing w:val="-1"/>
          <w:vertAlign w:val="superscript"/>
          <w:rtl/>
        </w:rPr>
        <w:t>(</w:t>
      </w:r>
      <w:r w:rsidRPr="00C8421F">
        <w:rPr>
          <w:spacing w:val="-1"/>
          <w:vertAlign w:val="superscript"/>
          <w:lang w:val="en-US"/>
        </w:rPr>
        <w:footnoteReference w:id="35"/>
      </w:r>
      <w:r w:rsidRPr="002F6DFB">
        <w:rPr>
          <w:spacing w:val="-1"/>
          <w:vertAlign w:val="superscript"/>
          <w:rtl/>
        </w:rPr>
        <w:t>)</w:t>
      </w:r>
      <w:r w:rsidRPr="00772E40">
        <w:rPr>
          <w:spacing w:val="-1"/>
          <w:rtl/>
        </w:rPr>
        <w:t xml:space="preserve">، الذي </w:t>
      </w:r>
      <w:r w:rsidRPr="00772E40">
        <w:rPr>
          <w:rFonts w:hint="cs"/>
          <w:spacing w:val="-1"/>
          <w:rtl/>
        </w:rPr>
        <w:t xml:space="preserve">تشدد فيه على </w:t>
      </w:r>
      <w:r w:rsidRPr="00772E40">
        <w:rPr>
          <w:spacing w:val="-1"/>
          <w:rtl/>
        </w:rPr>
        <w:t>ضرورة أن توفر الدول الأطراف وسائل إعادة التأهيل على أكمل وجه ممكن لأي شخص تضرَّر نتيجة انتهاك</w:t>
      </w:r>
      <w:r w:rsidRPr="00772E40">
        <w:rPr>
          <w:rFonts w:hint="cs"/>
          <w:spacing w:val="-1"/>
          <w:rtl/>
        </w:rPr>
        <w:t>ٍ</w:t>
      </w:r>
      <w:r w:rsidRPr="00772E40">
        <w:rPr>
          <w:spacing w:val="-1"/>
          <w:rtl/>
        </w:rPr>
        <w:t xml:space="preserve"> للاتفاقية، وأن </w:t>
      </w:r>
      <w:r w:rsidRPr="00772E40">
        <w:rPr>
          <w:rFonts w:hint="cs"/>
          <w:spacing w:val="-1"/>
          <w:rtl/>
        </w:rPr>
        <w:t>ت</w:t>
      </w:r>
      <w:r w:rsidRPr="00772E40">
        <w:rPr>
          <w:spacing w:val="-1"/>
          <w:rtl/>
        </w:rPr>
        <w:t xml:space="preserve">كون </w:t>
      </w:r>
      <w:r w:rsidRPr="00772E40">
        <w:rPr>
          <w:rFonts w:hint="cs"/>
          <w:spacing w:val="-1"/>
          <w:rtl/>
        </w:rPr>
        <w:t xml:space="preserve">هذه الوسائل كاملة </w:t>
      </w:r>
      <w:r w:rsidRPr="00772E40">
        <w:rPr>
          <w:spacing w:val="-1"/>
          <w:rtl/>
        </w:rPr>
        <w:t>و</w:t>
      </w:r>
      <w:r w:rsidRPr="00772E40">
        <w:rPr>
          <w:rFonts w:hint="cs"/>
          <w:spacing w:val="-1"/>
          <w:rtl/>
        </w:rPr>
        <w:t xml:space="preserve">تشمل </w:t>
      </w:r>
      <w:r w:rsidRPr="00772E40">
        <w:rPr>
          <w:spacing w:val="-1"/>
          <w:rtl/>
        </w:rPr>
        <w:t xml:space="preserve">الرعاية </w:t>
      </w:r>
      <w:r w:rsidRPr="00772E40">
        <w:rPr>
          <w:rFonts w:hint="cs"/>
          <w:spacing w:val="-1"/>
          <w:rtl/>
        </w:rPr>
        <w:t xml:space="preserve">الصحية </w:t>
      </w:r>
      <w:r w:rsidRPr="00772E40">
        <w:rPr>
          <w:spacing w:val="-1"/>
          <w:rtl/>
        </w:rPr>
        <w:t>والنفسية، فضلاً عن الخدمات القانونية والاجتماعية. ونظراً لعدم إجراء تحقيق فوري ونزيه في ادعاءات صاحب الشكوى، وفي ضوء جميع العناصر المبي</w:t>
      </w:r>
      <w:r w:rsidRPr="00772E40">
        <w:rPr>
          <w:rFonts w:hint="cs"/>
          <w:spacing w:val="-1"/>
          <w:rtl/>
        </w:rPr>
        <w:t>َّ</w:t>
      </w:r>
      <w:r w:rsidRPr="00772E40">
        <w:rPr>
          <w:spacing w:val="-1"/>
          <w:rtl/>
        </w:rPr>
        <w:t xml:space="preserve">نة في الفقرات السابقة، تخلص اللجنة إلى أن الدولة الطرف أخلت بالالتزامات التي تقع على عاتقها بموجب المادة </w:t>
      </w:r>
      <w:r w:rsidRPr="00C8421F">
        <w:rPr>
          <w:spacing w:val="-1"/>
          <w:rtl/>
        </w:rPr>
        <w:t>14</w:t>
      </w:r>
      <w:r w:rsidRPr="00772E40">
        <w:rPr>
          <w:spacing w:val="-1"/>
          <w:rtl/>
        </w:rPr>
        <w:t xml:space="preserve"> من الاتفاقية.</w:t>
      </w:r>
    </w:p>
    <w:p w14:paraId="7F96C0D9" w14:textId="77777777" w:rsidR="00772E40" w:rsidRPr="00772E40" w:rsidRDefault="00772E40" w:rsidP="00772E40">
      <w:pPr>
        <w:pStyle w:val="SingleTxtGA"/>
      </w:pPr>
      <w:r w:rsidRPr="00C8421F">
        <w:rPr>
          <w:rtl/>
        </w:rPr>
        <w:t>11</w:t>
      </w:r>
      <w:r w:rsidRPr="00772E40">
        <w:rPr>
          <w:rtl/>
        </w:rPr>
        <w:t>-</w:t>
      </w:r>
      <w:r w:rsidRPr="00772E40">
        <w:rPr>
          <w:rtl/>
        </w:rPr>
        <w:tab/>
        <w:t xml:space="preserve">وإذ تتصرف اللجنة بموجب المادة </w:t>
      </w:r>
      <w:r w:rsidRPr="00C8421F">
        <w:rPr>
          <w:rtl/>
        </w:rPr>
        <w:t>22</w:t>
      </w:r>
      <w:r w:rsidRPr="00772E40">
        <w:rPr>
          <w:rtl/>
        </w:rPr>
        <w:t>(</w:t>
      </w:r>
      <w:r w:rsidRPr="00C8421F">
        <w:rPr>
          <w:rtl/>
        </w:rPr>
        <w:t>7</w:t>
      </w:r>
      <w:r w:rsidRPr="00772E40">
        <w:rPr>
          <w:rtl/>
        </w:rPr>
        <w:t>) من الاتفاقية، فهي ت</w:t>
      </w:r>
      <w:r w:rsidRPr="00772E40">
        <w:rPr>
          <w:rFonts w:hint="cs"/>
          <w:rtl/>
        </w:rPr>
        <w:t>ُ</w:t>
      </w:r>
      <w:r w:rsidRPr="00772E40">
        <w:rPr>
          <w:rtl/>
        </w:rPr>
        <w:t xml:space="preserve">قرر أن الوقائع المعروضة عليها تبين وقوع انتهاك للمواد </w:t>
      </w:r>
      <w:r w:rsidRPr="00C8421F">
        <w:rPr>
          <w:rtl/>
        </w:rPr>
        <w:t>1</w:t>
      </w:r>
      <w:r w:rsidRPr="00772E40">
        <w:rPr>
          <w:rtl/>
        </w:rPr>
        <w:t>، و</w:t>
      </w:r>
      <w:r w:rsidRPr="00C8421F">
        <w:rPr>
          <w:rtl/>
        </w:rPr>
        <w:t>2</w:t>
      </w:r>
      <w:r w:rsidRPr="00772E40">
        <w:rPr>
          <w:rtl/>
        </w:rPr>
        <w:t>(</w:t>
      </w:r>
      <w:r w:rsidRPr="00C8421F">
        <w:rPr>
          <w:rtl/>
        </w:rPr>
        <w:t>1</w:t>
      </w:r>
      <w:r w:rsidRPr="00772E40">
        <w:rPr>
          <w:rtl/>
        </w:rPr>
        <w:t>)، و</w:t>
      </w:r>
      <w:r w:rsidRPr="00C8421F">
        <w:rPr>
          <w:rtl/>
        </w:rPr>
        <w:t>11</w:t>
      </w:r>
      <w:r w:rsidRPr="00772E40">
        <w:rPr>
          <w:rtl/>
        </w:rPr>
        <w:t>، و</w:t>
      </w:r>
      <w:r w:rsidRPr="00C8421F">
        <w:rPr>
          <w:rtl/>
        </w:rPr>
        <w:t>12</w:t>
      </w:r>
      <w:r w:rsidRPr="00772E40">
        <w:rPr>
          <w:rtl/>
        </w:rPr>
        <w:t>، و</w:t>
      </w:r>
      <w:r w:rsidRPr="00C8421F">
        <w:rPr>
          <w:rtl/>
        </w:rPr>
        <w:t>13</w:t>
      </w:r>
      <w:r w:rsidRPr="00772E40">
        <w:rPr>
          <w:rtl/>
        </w:rPr>
        <w:t>، و</w:t>
      </w:r>
      <w:r w:rsidRPr="00C8421F">
        <w:rPr>
          <w:rtl/>
        </w:rPr>
        <w:t>14</w:t>
      </w:r>
      <w:r w:rsidRPr="00772E40">
        <w:rPr>
          <w:rtl/>
        </w:rPr>
        <w:t xml:space="preserve"> من الاتفاقية. </w:t>
      </w:r>
    </w:p>
    <w:p w14:paraId="55713BF8" w14:textId="77777777" w:rsidR="00772E40" w:rsidRPr="00772E40" w:rsidRDefault="00772E40" w:rsidP="00772E40">
      <w:pPr>
        <w:pStyle w:val="SingleTxtGA"/>
        <w:rPr>
          <w:rtl/>
        </w:rPr>
      </w:pPr>
      <w:r w:rsidRPr="00C8421F">
        <w:rPr>
          <w:rtl/>
        </w:rPr>
        <w:t>12</w:t>
      </w:r>
      <w:r w:rsidRPr="00772E40">
        <w:rPr>
          <w:rtl/>
        </w:rPr>
        <w:t>-</w:t>
      </w:r>
      <w:r w:rsidRPr="00772E40">
        <w:rPr>
          <w:rtl/>
        </w:rPr>
        <w:tab/>
        <w:t xml:space="preserve">وتحث اللجنة الدولة الطرف، وفقاً للمادة </w:t>
      </w:r>
      <w:r w:rsidRPr="00C8421F">
        <w:rPr>
          <w:rtl/>
        </w:rPr>
        <w:t>118</w:t>
      </w:r>
      <w:r w:rsidRPr="00772E40">
        <w:rPr>
          <w:rtl/>
        </w:rPr>
        <w:t>(</w:t>
      </w:r>
      <w:r w:rsidRPr="00C8421F">
        <w:rPr>
          <w:rtl/>
        </w:rPr>
        <w:t>5</w:t>
      </w:r>
      <w:r w:rsidRPr="00772E40">
        <w:rPr>
          <w:rtl/>
        </w:rPr>
        <w:t>) من نظامها الداخلي، على ما يلي: (أ) مباشرة تحقيق نزيه وشامل وفعال ومستقل في أفعال التعذيب؛ و(ب) ملاحقة من تثبت مسؤوليتهم عن هذه الانتهاكات ومحاكمتهم ومعاقبتهم على النحو المناسب؛ و(ج) منح صاحب الشكوى وأفراد أسرته كامل سبل جبر الضرر، بما في ذلك تعويض عادل ومناسب، وتوفير وسائل إعادة التأهيل على أكمل وجه ممكن لصاحب الشكوى</w:t>
      </w:r>
      <w:r w:rsidRPr="00772E40">
        <w:rPr>
          <w:rFonts w:hint="cs"/>
          <w:rtl/>
        </w:rPr>
        <w:t>؛</w:t>
      </w:r>
      <w:r w:rsidRPr="00772E40">
        <w:rPr>
          <w:rtl/>
        </w:rPr>
        <w:t xml:space="preserve"> و(د) اعتماد التدابير اللازمة لتوفير ضمانات عدم التكرار فيما يتعلق بوقائع هذه الشكوى. وتحث اللجنة الدولة الطرف على إبلاغها، في غضون </w:t>
      </w:r>
      <w:r w:rsidRPr="00C8421F">
        <w:rPr>
          <w:rtl/>
        </w:rPr>
        <w:t>90</w:t>
      </w:r>
      <w:r w:rsidRPr="00772E40">
        <w:rPr>
          <w:rtl/>
        </w:rPr>
        <w:t xml:space="preserve"> يوماً من تاريخ إحالة هذا القرار</w:t>
      </w:r>
      <w:r w:rsidRPr="00772E40">
        <w:rPr>
          <w:rFonts w:hint="cs"/>
          <w:rtl/>
        </w:rPr>
        <w:t xml:space="preserve"> إليها</w:t>
      </w:r>
      <w:r w:rsidRPr="00772E40">
        <w:rPr>
          <w:rtl/>
        </w:rPr>
        <w:t>، بما اتخذته من تدابير وفقاً للملاحظات السابقة.</w:t>
      </w:r>
    </w:p>
    <w:p w14:paraId="29E2DF4E" w14:textId="7F9D762B" w:rsidR="00772E40" w:rsidRPr="00772E40" w:rsidRDefault="00772E40" w:rsidP="00772E40">
      <w:pPr>
        <w:pStyle w:val="SingleTxtGA"/>
        <w:jc w:val="center"/>
        <w:rPr>
          <w:u w:val="single"/>
          <w:rtl/>
        </w:rPr>
      </w:pPr>
      <w:r>
        <w:rPr>
          <w:u w:val="single"/>
          <w:rtl/>
        </w:rPr>
        <w:tab/>
      </w:r>
      <w:r>
        <w:rPr>
          <w:u w:val="single"/>
          <w:rtl/>
        </w:rPr>
        <w:tab/>
      </w:r>
      <w:r>
        <w:rPr>
          <w:u w:val="single"/>
          <w:rtl/>
        </w:rPr>
        <w:tab/>
      </w:r>
    </w:p>
    <w:sectPr w:rsidR="00772E40" w:rsidRPr="00772E40" w:rsidSect="00265275">
      <w:headerReference w:type="even" r:id="rId9"/>
      <w:headerReference w:type="default" r:id="rId10"/>
      <w:footerReference w:type="even" r:id="rId11"/>
      <w:footerReference w:type="default" r:id="rId12"/>
      <w:footerReference w:type="first" r:id="rId13"/>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F8ED4" w14:textId="77777777" w:rsidR="00C8421F" w:rsidRPr="002901D9" w:rsidRDefault="00C8421F" w:rsidP="00874514">
      <w:pPr>
        <w:spacing w:after="60" w:line="240" w:lineRule="auto"/>
        <w:ind w:left="57"/>
        <w:rPr>
          <w:i/>
          <w:iCs/>
        </w:rPr>
      </w:pPr>
      <w:r>
        <w:rPr>
          <w:rFonts w:hint="cs"/>
          <w:i/>
          <w:iCs/>
          <w:rtl/>
        </w:rPr>
        <w:t>الحواشي</w:t>
      </w:r>
    </w:p>
  </w:endnote>
  <w:endnote w:type="continuationSeparator" w:id="0">
    <w:p w14:paraId="1F65E052" w14:textId="77777777" w:rsidR="00C8421F" w:rsidRDefault="00C8421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9F8C2" w14:textId="2B2B13AF" w:rsidR="00C8421F" w:rsidRPr="00895DA3" w:rsidRDefault="00C8421F" w:rsidP="00895DA3">
    <w:pPr>
      <w:pStyle w:val="Footer"/>
      <w:tabs>
        <w:tab w:val="right" w:pos="9638"/>
      </w:tabs>
      <w:rPr>
        <w:b/>
        <w:sz w:val="18"/>
        <w:lang w:val="en-US"/>
      </w:rPr>
    </w:pPr>
    <w:r>
      <w:rPr>
        <w:lang w:val="en-US"/>
      </w:rPr>
      <w:t>GE.21-13347</w:t>
    </w:r>
    <w:r>
      <w:rPr>
        <w:lang w:val="en-US"/>
      </w:rPr>
      <w:tab/>
    </w:r>
    <w:r w:rsidRPr="00895DA3">
      <w:rPr>
        <w:b/>
        <w:sz w:val="18"/>
        <w:lang w:val="en-US"/>
      </w:rPr>
      <w:fldChar w:fldCharType="begin"/>
    </w:r>
    <w:r w:rsidRPr="00895DA3">
      <w:rPr>
        <w:b/>
        <w:sz w:val="18"/>
        <w:lang w:val="en-US"/>
      </w:rPr>
      <w:instrText xml:space="preserve"> PAGE  \* MERGEFORMAT </w:instrText>
    </w:r>
    <w:r w:rsidRPr="00895DA3">
      <w:rPr>
        <w:b/>
        <w:sz w:val="18"/>
        <w:lang w:val="en-US"/>
      </w:rPr>
      <w:fldChar w:fldCharType="separate"/>
    </w:r>
    <w:r w:rsidRPr="00895DA3">
      <w:rPr>
        <w:b/>
        <w:noProof/>
        <w:sz w:val="18"/>
        <w:lang w:val="en-US"/>
      </w:rPr>
      <w:t>2</w:t>
    </w:r>
    <w:r w:rsidRPr="00895DA3">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8948B" w14:textId="6C5F6540" w:rsidR="00C8421F" w:rsidRPr="00895DA3" w:rsidRDefault="00C8421F" w:rsidP="00895DA3">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GE.21-13347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403E6" w14:textId="3DC49315" w:rsidR="00C8421F" w:rsidRPr="00895DA3" w:rsidRDefault="00C8421F" w:rsidP="00895DA3">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4138A560" wp14:editId="377EC81C">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21-13347 (A)</w:t>
    </w:r>
    <w:r>
      <w:rPr>
        <w:noProof/>
        <w:sz w:val="20"/>
        <w:lang w:val="en-US"/>
      </w:rPr>
      <w:drawing>
        <wp:anchor distT="0" distB="0" distL="114300" distR="114300" simplePos="0" relativeHeight="251659264" behindDoc="0" locked="0" layoutInCell="1" allowOverlap="1" wp14:anchorId="286B0F99" wp14:editId="4D7289CB">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02864" w14:textId="77777777" w:rsidR="00C8421F" w:rsidRPr="004956DC" w:rsidRDefault="00C8421F" w:rsidP="000F71D2">
      <w:pPr>
        <w:pStyle w:val="Footer"/>
        <w:bidi/>
        <w:spacing w:after="80" w:line="200" w:lineRule="exact"/>
        <w:ind w:left="680"/>
      </w:pPr>
      <w:r>
        <w:rPr>
          <w:rtl/>
        </w:rPr>
        <w:t>__________</w:t>
      </w:r>
    </w:p>
  </w:footnote>
  <w:footnote w:type="continuationSeparator" w:id="0">
    <w:p w14:paraId="51FE4F50" w14:textId="77777777" w:rsidR="00C8421F" w:rsidRDefault="00C8421F" w:rsidP="00656392">
      <w:pPr>
        <w:spacing w:line="240" w:lineRule="auto"/>
      </w:pPr>
      <w:r>
        <w:continuationSeparator/>
      </w:r>
    </w:p>
  </w:footnote>
  <w:footnote w:id="1">
    <w:p w14:paraId="2345CF0C" w14:textId="5F0BC594" w:rsidR="00C8421F" w:rsidRPr="00772E40" w:rsidRDefault="00C8421F" w:rsidP="00772E40">
      <w:pPr>
        <w:pStyle w:val="FootnoteText1"/>
        <w:rPr>
          <w:rFonts w:hint="cs"/>
          <w:rtl/>
        </w:rPr>
      </w:pPr>
      <w:r>
        <w:rPr>
          <w:rtl/>
        </w:rPr>
        <w:t>*</w:t>
      </w:r>
      <w:r>
        <w:rPr>
          <w:rtl/>
        </w:rPr>
        <w:tab/>
      </w:r>
      <w:r w:rsidRPr="00772E40">
        <w:rPr>
          <w:rtl/>
        </w:rPr>
        <w:t>اعتمدته اللجنة في دورتها الحادية والسبعين (</w:t>
      </w:r>
      <w:r w:rsidRPr="00C8421F">
        <w:rPr>
          <w:rtl/>
        </w:rPr>
        <w:t>12</w:t>
      </w:r>
      <w:r w:rsidRPr="00772E40">
        <w:rPr>
          <w:rFonts w:hint="cs"/>
          <w:rtl/>
        </w:rPr>
        <w:t xml:space="preserve"> </w:t>
      </w:r>
      <w:r w:rsidRPr="00772E40">
        <w:rPr>
          <w:rtl/>
        </w:rPr>
        <w:t>-</w:t>
      </w:r>
      <w:r w:rsidRPr="00772E40">
        <w:rPr>
          <w:rFonts w:hint="cs"/>
          <w:rtl/>
        </w:rPr>
        <w:t xml:space="preserve"> </w:t>
      </w:r>
      <w:r w:rsidRPr="00C8421F">
        <w:rPr>
          <w:rtl/>
        </w:rPr>
        <w:t>30</w:t>
      </w:r>
      <w:r w:rsidRPr="00772E40">
        <w:rPr>
          <w:rtl/>
        </w:rPr>
        <w:t xml:space="preserve"> </w:t>
      </w:r>
      <w:r w:rsidRPr="00772E40">
        <w:rPr>
          <w:rFonts w:hint="cs"/>
          <w:rtl/>
        </w:rPr>
        <w:t xml:space="preserve">تموز/يوليه </w:t>
      </w:r>
      <w:r w:rsidRPr="00C8421F">
        <w:rPr>
          <w:rtl/>
        </w:rPr>
        <w:t>2021</w:t>
      </w:r>
      <w:r w:rsidRPr="00772E40">
        <w:rPr>
          <w:rtl/>
        </w:rPr>
        <w:t>).</w:t>
      </w:r>
    </w:p>
  </w:footnote>
  <w:footnote w:id="2">
    <w:p w14:paraId="5FD957D2" w14:textId="2E9C6D52" w:rsidR="00C8421F" w:rsidRPr="00772E40" w:rsidRDefault="00C8421F" w:rsidP="00772E40">
      <w:pPr>
        <w:pStyle w:val="FootnoteText1"/>
        <w:rPr>
          <w:rFonts w:hint="cs"/>
          <w:rtl/>
        </w:rPr>
      </w:pPr>
      <w:r>
        <w:rPr>
          <w:rtl/>
        </w:rPr>
        <w:t>**</w:t>
      </w:r>
      <w:r>
        <w:rPr>
          <w:rtl/>
        </w:rPr>
        <w:tab/>
      </w:r>
      <w:r w:rsidRPr="00772E40">
        <w:rPr>
          <w:rtl/>
        </w:rPr>
        <w:t xml:space="preserve">شارك في دراسة هذا البلاغ أعضاء اللجنة التالية أسماؤهم: السعدية </w:t>
      </w:r>
      <w:proofErr w:type="spellStart"/>
      <w:r w:rsidRPr="00772E40">
        <w:rPr>
          <w:rtl/>
        </w:rPr>
        <w:t>بلمير</w:t>
      </w:r>
      <w:proofErr w:type="spellEnd"/>
      <w:r w:rsidRPr="00772E40">
        <w:rPr>
          <w:rtl/>
        </w:rPr>
        <w:t xml:space="preserve">، </w:t>
      </w:r>
      <w:proofErr w:type="spellStart"/>
      <w:r w:rsidRPr="00772E40">
        <w:rPr>
          <w:rtl/>
        </w:rPr>
        <w:t>و</w:t>
      </w:r>
      <w:r w:rsidRPr="00772E40">
        <w:rPr>
          <w:rFonts w:hint="cs"/>
          <w:rtl/>
        </w:rPr>
        <w:t>إ</w:t>
      </w:r>
      <w:r w:rsidRPr="00772E40">
        <w:rPr>
          <w:rtl/>
        </w:rPr>
        <w:t>ردوغان</w:t>
      </w:r>
      <w:proofErr w:type="spellEnd"/>
      <w:r w:rsidRPr="00772E40">
        <w:rPr>
          <w:rtl/>
        </w:rPr>
        <w:t xml:space="preserve"> إ</w:t>
      </w:r>
      <w:r w:rsidRPr="00772E40">
        <w:rPr>
          <w:rFonts w:hint="cs"/>
          <w:rtl/>
        </w:rPr>
        <w:t>شجان</w:t>
      </w:r>
      <w:r w:rsidRPr="00772E40">
        <w:rPr>
          <w:rtl/>
        </w:rPr>
        <w:t xml:space="preserve">، وليو هواوين، وبيتر فيديل </w:t>
      </w:r>
      <w:proofErr w:type="spellStart"/>
      <w:r w:rsidRPr="00772E40">
        <w:rPr>
          <w:rtl/>
        </w:rPr>
        <w:t>كيسينغ</w:t>
      </w:r>
      <w:proofErr w:type="spellEnd"/>
      <w:r w:rsidRPr="00772E40">
        <w:rPr>
          <w:rtl/>
        </w:rPr>
        <w:t xml:space="preserve">، </w:t>
      </w:r>
      <w:proofErr w:type="spellStart"/>
      <w:r w:rsidRPr="00772E40">
        <w:rPr>
          <w:rtl/>
        </w:rPr>
        <w:t>و</w:t>
      </w:r>
      <w:r w:rsidRPr="00772E40">
        <w:rPr>
          <w:rFonts w:hint="cs"/>
          <w:rtl/>
        </w:rPr>
        <w:t>إ</w:t>
      </w:r>
      <w:r w:rsidRPr="00772E40">
        <w:rPr>
          <w:rtl/>
        </w:rPr>
        <w:t>لفيا</w:t>
      </w:r>
      <w:proofErr w:type="spellEnd"/>
      <w:r w:rsidRPr="00772E40">
        <w:rPr>
          <w:rtl/>
        </w:rPr>
        <w:t xml:space="preserve"> </w:t>
      </w:r>
      <w:proofErr w:type="spellStart"/>
      <w:r w:rsidRPr="00772E40">
        <w:rPr>
          <w:rtl/>
        </w:rPr>
        <w:t>ب</w:t>
      </w:r>
      <w:r w:rsidRPr="00772E40">
        <w:rPr>
          <w:rFonts w:hint="cs"/>
          <w:rtl/>
        </w:rPr>
        <w:t>وتشي</w:t>
      </w:r>
      <w:proofErr w:type="spellEnd"/>
      <w:r w:rsidRPr="00772E40">
        <w:rPr>
          <w:rtl/>
        </w:rPr>
        <w:t>، وسيباستيان توزي</w:t>
      </w:r>
      <w:r w:rsidRPr="00772E40">
        <w:rPr>
          <w:rFonts w:hint="cs"/>
          <w:rtl/>
        </w:rPr>
        <w:t>ه</w:t>
      </w:r>
      <w:r w:rsidRPr="00772E40">
        <w:rPr>
          <w:rtl/>
        </w:rPr>
        <w:t xml:space="preserve">، وبختيار </w:t>
      </w:r>
      <w:proofErr w:type="spellStart"/>
      <w:r w:rsidRPr="00772E40">
        <w:rPr>
          <w:rtl/>
        </w:rPr>
        <w:t>توزم</w:t>
      </w:r>
      <w:r w:rsidRPr="00772E40">
        <w:rPr>
          <w:rFonts w:hint="cs"/>
          <w:rtl/>
        </w:rPr>
        <w:t>حمدوف</w:t>
      </w:r>
      <w:proofErr w:type="spellEnd"/>
      <w:r w:rsidRPr="00772E40">
        <w:rPr>
          <w:rtl/>
        </w:rPr>
        <w:t>.</w:t>
      </w:r>
      <w:r w:rsidRPr="00772E40">
        <w:rPr>
          <w:rFonts w:hint="cs"/>
          <w:rtl/>
        </w:rPr>
        <w:t xml:space="preserve"> </w:t>
      </w:r>
      <w:r w:rsidRPr="00772E40">
        <w:rPr>
          <w:rtl/>
        </w:rPr>
        <w:t xml:space="preserve">وعملاً بالمادة </w:t>
      </w:r>
      <w:r w:rsidRPr="00C8421F">
        <w:rPr>
          <w:rtl/>
        </w:rPr>
        <w:t>109</w:t>
      </w:r>
      <w:r w:rsidRPr="00772E40">
        <w:rPr>
          <w:rtl/>
        </w:rPr>
        <w:t xml:space="preserve">، مقروءة بالاقتران مع المادة </w:t>
      </w:r>
      <w:r w:rsidRPr="00C8421F">
        <w:rPr>
          <w:rtl/>
        </w:rPr>
        <w:t>15</w:t>
      </w:r>
      <w:r w:rsidRPr="00772E40">
        <w:rPr>
          <w:rtl/>
        </w:rPr>
        <w:t xml:space="preserve"> من النظام الداخلي للجنة، والفقرة </w:t>
      </w:r>
      <w:r w:rsidRPr="00C8421F">
        <w:rPr>
          <w:rtl/>
        </w:rPr>
        <w:t>10</w:t>
      </w:r>
      <w:r w:rsidRPr="00772E40">
        <w:rPr>
          <w:rtl/>
        </w:rPr>
        <w:t xml:space="preserve"> من المبادئ التوجيهية بشأن استقلال وحياد أعضاء هيئات معاهدات حقوق الإنسان (مبادئ أديس أبابا التوجيهية)، لم يشارك كلود هيلر ودييغو </w:t>
      </w:r>
      <w:proofErr w:type="spellStart"/>
      <w:r w:rsidRPr="00772E40">
        <w:rPr>
          <w:rtl/>
        </w:rPr>
        <w:t>رودريغيث</w:t>
      </w:r>
      <w:proofErr w:type="spellEnd"/>
      <w:r>
        <w:rPr>
          <w:rFonts w:hint="cs"/>
          <w:rtl/>
        </w:rPr>
        <w:t xml:space="preserve"> </w:t>
      </w:r>
      <w:r w:rsidRPr="00772E40">
        <w:rPr>
          <w:rtl/>
        </w:rPr>
        <w:t>-</w:t>
      </w:r>
      <w:r>
        <w:rPr>
          <w:rFonts w:hint="cs"/>
          <w:rtl/>
        </w:rPr>
        <w:t xml:space="preserve"> </w:t>
      </w:r>
      <w:proofErr w:type="spellStart"/>
      <w:r w:rsidRPr="00772E40">
        <w:rPr>
          <w:rtl/>
        </w:rPr>
        <w:t>بينثون</w:t>
      </w:r>
      <w:proofErr w:type="spellEnd"/>
      <w:r w:rsidRPr="00772E40">
        <w:rPr>
          <w:rtl/>
        </w:rPr>
        <w:t xml:space="preserve"> في دراسة في هذا البلاغ</w:t>
      </w:r>
      <w:r w:rsidRPr="00772E40">
        <w:rPr>
          <w:rFonts w:hint="cs"/>
          <w:rtl/>
        </w:rPr>
        <w:t>.</w:t>
      </w:r>
    </w:p>
  </w:footnote>
  <w:footnote w:id="3">
    <w:p w14:paraId="3244F70E" w14:textId="3295AB65" w:rsidR="00C8421F" w:rsidRPr="00772E40" w:rsidRDefault="00C8421F" w:rsidP="00772E40">
      <w:pPr>
        <w:pStyle w:val="FootnoteText1"/>
        <w:textDirection w:val="tbRlV"/>
      </w:pPr>
      <w:r w:rsidRPr="00772E40">
        <w:rPr>
          <w:rtl/>
        </w:rPr>
        <w:t>(</w:t>
      </w:r>
      <w:r w:rsidRPr="00C8421F">
        <w:footnoteRef/>
      </w:r>
      <w:r w:rsidRPr="00772E40">
        <w:rPr>
          <w:rtl/>
        </w:rPr>
        <w:t>)</w:t>
      </w:r>
      <w:r w:rsidRPr="00772E40">
        <w:rPr>
          <w:rtl/>
        </w:rPr>
        <w:tab/>
      </w:r>
      <w:r w:rsidRPr="00772E40">
        <w:t>A/HRC/</w:t>
      </w:r>
      <w:r w:rsidRPr="00C8421F">
        <w:t>28</w:t>
      </w:r>
      <w:r w:rsidRPr="00772E40">
        <w:t>/</w:t>
      </w:r>
      <w:r w:rsidRPr="00C8421F">
        <w:t>68</w:t>
      </w:r>
      <w:r w:rsidRPr="00772E40">
        <w:t>/Add.</w:t>
      </w:r>
      <w:r w:rsidRPr="00C8421F">
        <w:t>3</w:t>
      </w:r>
      <w:r w:rsidRPr="00772E40">
        <w:rPr>
          <w:rtl/>
        </w:rPr>
        <w:t xml:space="preserve">، الفقرة </w:t>
      </w:r>
      <w:r w:rsidRPr="00C8421F">
        <w:rPr>
          <w:rtl/>
        </w:rPr>
        <w:t>23</w:t>
      </w:r>
      <w:r w:rsidRPr="00772E40">
        <w:rPr>
          <w:rtl/>
        </w:rPr>
        <w:t xml:space="preserve">. </w:t>
      </w:r>
    </w:p>
  </w:footnote>
  <w:footnote w:id="4">
    <w:p w14:paraId="63DD708E" w14:textId="31453944" w:rsidR="00C8421F" w:rsidRPr="00772E40" w:rsidRDefault="00C8421F" w:rsidP="00E0448E">
      <w:pPr>
        <w:pStyle w:val="FootnoteText1"/>
        <w:textDirection w:val="tbRlV"/>
      </w:pPr>
      <w:r w:rsidRPr="00772E40">
        <w:rPr>
          <w:rtl/>
        </w:rPr>
        <w:t>(</w:t>
      </w:r>
      <w:r w:rsidRPr="00C8421F">
        <w:footnoteRef/>
      </w:r>
      <w:r w:rsidRPr="00772E40">
        <w:rPr>
          <w:rtl/>
        </w:rPr>
        <w:t>)</w:t>
      </w:r>
      <w:r w:rsidRPr="00772E40">
        <w:rPr>
          <w:rtl/>
        </w:rPr>
        <w:tab/>
        <w:t>المكسيك، وزارة الخارجية، تقرير المكسيك</w:t>
      </w:r>
      <w:r w:rsidRPr="00772E40">
        <w:t>:</w:t>
      </w:r>
      <w:r w:rsidRPr="00772E40">
        <w:rPr>
          <w:rtl/>
        </w:rPr>
        <w:t xml:space="preserve"> </w:t>
      </w:r>
      <w:r w:rsidRPr="00C8421F">
        <w:rPr>
          <w:i/>
          <w:iCs/>
          <w:lang w:val="es-ES"/>
        </w:rPr>
        <w:t>Informe de México: avances y desafíos en materia de derechos humanos</w:t>
      </w:r>
      <w:r w:rsidRPr="00772E40">
        <w:rPr>
          <w:rFonts w:hint="cs"/>
          <w:rtl/>
        </w:rPr>
        <w:t xml:space="preserve">، الطبعة الثانية، </w:t>
      </w:r>
      <w:r w:rsidRPr="00C8421F">
        <w:rPr>
          <w:rFonts w:hint="cs"/>
          <w:rtl/>
        </w:rPr>
        <w:t>2011</w:t>
      </w:r>
      <w:r w:rsidRPr="00772E40">
        <w:rPr>
          <w:rFonts w:hint="cs"/>
          <w:rtl/>
        </w:rPr>
        <w:t xml:space="preserve">، الصفحة </w:t>
      </w:r>
      <w:r w:rsidRPr="00C8421F">
        <w:rPr>
          <w:rFonts w:hint="cs"/>
          <w:rtl/>
        </w:rPr>
        <w:t>195</w:t>
      </w:r>
      <w:r w:rsidRPr="00772E40">
        <w:rPr>
          <w:rFonts w:hint="cs"/>
          <w:rtl/>
        </w:rPr>
        <w:t xml:space="preserve">؛ </w:t>
      </w:r>
      <w:r w:rsidRPr="00772E40">
        <w:rPr>
          <w:rtl/>
        </w:rPr>
        <w:t>يمكن الاطلاع عليه في</w:t>
      </w:r>
      <w:r w:rsidRPr="00772E40">
        <w:rPr>
          <w:rFonts w:hint="cs"/>
          <w:rtl/>
        </w:rPr>
        <w:t>:</w:t>
      </w:r>
      <w:r w:rsidRPr="00772E40">
        <w:rPr>
          <w:rtl/>
        </w:rPr>
        <w:t xml:space="preserve"> </w:t>
      </w:r>
      <w:bookmarkStart w:id="1" w:name="_Hlk88728288"/>
      <w:r w:rsidRPr="00E0448E">
        <w:rPr>
          <w:lang w:val="es-ES"/>
        </w:rPr>
        <w:fldChar w:fldCharType="begin"/>
      </w:r>
      <w:r w:rsidRPr="00E0448E">
        <w:rPr>
          <w:lang w:val="es-ES"/>
        </w:rPr>
        <w:instrText xml:space="preserve"> HYPERLINK "file:///C:\\Users\\merino\\AppData\\Local\\Temp\\www.upr-info.org\\followup\\assessments\\session17\\mexico\\Mexico-InformHR.pdf" </w:instrText>
      </w:r>
      <w:r w:rsidRPr="00E0448E">
        <w:rPr>
          <w:lang w:val="es-ES"/>
        </w:rPr>
        <w:fldChar w:fldCharType="separate"/>
      </w:r>
      <w:r w:rsidRPr="00E0448E">
        <w:rPr>
          <w:rStyle w:val="Hyperlink"/>
          <w:lang w:val="es-ES"/>
        </w:rPr>
        <w:t>www.upr-info.org/followup/assessments/session</w:t>
      </w:r>
      <w:r w:rsidRPr="00C8421F">
        <w:rPr>
          <w:rStyle w:val="Hyperlink"/>
          <w:lang w:val="es-ES"/>
        </w:rPr>
        <w:t>17</w:t>
      </w:r>
      <w:r w:rsidRPr="00E0448E">
        <w:rPr>
          <w:rStyle w:val="Hyperlink"/>
          <w:lang w:val="es-ES"/>
        </w:rPr>
        <w:t>/mexico/Mexico-InformHR.pdf</w:t>
      </w:r>
      <w:r w:rsidRPr="00E0448E">
        <w:rPr>
          <w:lang w:val="es-ES"/>
        </w:rPr>
        <w:fldChar w:fldCharType="end"/>
      </w:r>
      <w:bookmarkEnd w:id="1"/>
      <w:r w:rsidRPr="00772E40">
        <w:rPr>
          <w:rtl/>
        </w:rPr>
        <w:t>.</w:t>
      </w:r>
    </w:p>
  </w:footnote>
  <w:footnote w:id="5">
    <w:p w14:paraId="6D9D87A2" w14:textId="2DFCE8AB" w:rsidR="00C8421F" w:rsidRPr="00772E40" w:rsidRDefault="00C8421F" w:rsidP="00E0448E">
      <w:pPr>
        <w:pStyle w:val="FootnoteText1"/>
        <w:textDirection w:val="tbRlV"/>
      </w:pPr>
      <w:r w:rsidRPr="00772E40">
        <w:rPr>
          <w:rtl/>
        </w:rPr>
        <w:t>(</w:t>
      </w:r>
      <w:r w:rsidRPr="00C8421F">
        <w:footnoteRef/>
      </w:r>
      <w:r w:rsidRPr="00772E40">
        <w:rPr>
          <w:rtl/>
        </w:rPr>
        <w:t>)</w:t>
      </w:r>
      <w:r w:rsidRPr="00772E40">
        <w:rPr>
          <w:rtl/>
        </w:rPr>
        <w:tab/>
        <w:t xml:space="preserve">ماركوس </w:t>
      </w:r>
      <w:proofErr w:type="spellStart"/>
      <w:r w:rsidRPr="00772E40">
        <w:rPr>
          <w:rtl/>
        </w:rPr>
        <w:t>مويدانو</w:t>
      </w:r>
      <w:proofErr w:type="spellEnd"/>
      <w:r w:rsidRPr="00772E40">
        <w:rPr>
          <w:rtl/>
        </w:rPr>
        <w:t xml:space="preserve">، </w:t>
      </w:r>
      <w:r w:rsidRPr="00E0448E">
        <w:rPr>
          <w:lang w:val="es-ES"/>
        </w:rPr>
        <w:t>“</w:t>
      </w:r>
      <w:r w:rsidRPr="00C8421F">
        <w:rPr>
          <w:iCs/>
          <w:lang w:val="es-ES"/>
        </w:rPr>
        <w:t>Federales desarman a policías de Taxco, Arcelia y Buenavista</w:t>
      </w:r>
      <w:r w:rsidRPr="00C8421F">
        <w:rPr>
          <w:iCs/>
          <w:rtl/>
          <w:lang w:val="es-ES"/>
        </w:rPr>
        <w:t>”</w:t>
      </w:r>
      <w:r w:rsidRPr="00772E40">
        <w:rPr>
          <w:rtl/>
        </w:rPr>
        <w:t xml:space="preserve">، </w:t>
      </w:r>
      <w:r w:rsidRPr="00C8421F">
        <w:rPr>
          <w:i/>
          <w:iCs/>
          <w:rtl/>
        </w:rPr>
        <w:t xml:space="preserve">جريدة إيل </w:t>
      </w:r>
      <w:proofErr w:type="spellStart"/>
      <w:r w:rsidRPr="00C8421F">
        <w:rPr>
          <w:i/>
          <w:iCs/>
          <w:rtl/>
        </w:rPr>
        <w:t>أونيبيرسال</w:t>
      </w:r>
      <w:proofErr w:type="spellEnd"/>
      <w:r w:rsidRPr="00772E40">
        <w:rPr>
          <w:rtl/>
        </w:rPr>
        <w:t xml:space="preserve">، </w:t>
      </w:r>
      <w:r w:rsidRPr="00C8421F">
        <w:rPr>
          <w:rtl/>
        </w:rPr>
        <w:t>19</w:t>
      </w:r>
      <w:r w:rsidRPr="00772E40">
        <w:rPr>
          <w:rtl/>
        </w:rPr>
        <w:t xml:space="preserve"> تشرين الأول/أكتوبر </w:t>
      </w:r>
      <w:r w:rsidRPr="00C8421F">
        <w:rPr>
          <w:rtl/>
        </w:rPr>
        <w:t>2014</w:t>
      </w:r>
      <w:r w:rsidRPr="00772E40">
        <w:rPr>
          <w:rtl/>
        </w:rPr>
        <w:t xml:space="preserve">؛ متاح في </w:t>
      </w:r>
      <w:hyperlink r:id="rId1" w:history="1">
        <w:r w:rsidRPr="00E0448E">
          <w:rPr>
            <w:rStyle w:val="Hyperlink"/>
            <w:lang w:val="es-ES"/>
          </w:rPr>
          <w:t>https://archivo.eluniversal.com.mx/estados/</w:t>
        </w:r>
        <w:r w:rsidRPr="00C8421F">
          <w:rPr>
            <w:rStyle w:val="Hyperlink"/>
            <w:lang w:val="es-ES"/>
          </w:rPr>
          <w:t>2014</w:t>
        </w:r>
        <w:r w:rsidRPr="00E0448E">
          <w:rPr>
            <w:rStyle w:val="Hyperlink"/>
            <w:lang w:val="es-ES"/>
          </w:rPr>
          <w:t>/</w:t>
        </w:r>
        <w:r w:rsidRPr="00E0448E">
          <w:rPr>
            <w:rStyle w:val="Hyperlink"/>
            <w:lang w:val="es-ES"/>
          </w:rPr>
          <w:br/>
          <w:t>policias-municipales-fuerzas-federales-guerrero-seguridad-</w:t>
        </w:r>
        <w:r w:rsidRPr="00C8421F">
          <w:rPr>
            <w:rStyle w:val="Hyperlink"/>
            <w:lang w:val="es-ES"/>
          </w:rPr>
          <w:t>1047360</w:t>
        </w:r>
        <w:r w:rsidRPr="00E0448E">
          <w:rPr>
            <w:rStyle w:val="Hyperlink"/>
            <w:lang w:val="es-ES"/>
          </w:rPr>
          <w:t>.html</w:t>
        </w:r>
      </w:hyperlink>
      <w:r w:rsidRPr="00772E40">
        <w:rPr>
          <w:rtl/>
        </w:rPr>
        <w:t xml:space="preserve">. </w:t>
      </w:r>
    </w:p>
  </w:footnote>
  <w:footnote w:id="6">
    <w:p w14:paraId="1A1B821D" w14:textId="48FA29EF" w:rsidR="00C8421F" w:rsidRPr="00772E40" w:rsidRDefault="00C8421F" w:rsidP="00772E40">
      <w:pPr>
        <w:pStyle w:val="FootnoteText1"/>
        <w:textDirection w:val="tbRlV"/>
      </w:pPr>
      <w:r w:rsidRPr="00772E40">
        <w:rPr>
          <w:rtl/>
        </w:rPr>
        <w:t>(</w:t>
      </w:r>
      <w:r w:rsidRPr="00C8421F">
        <w:footnoteRef/>
      </w:r>
      <w:r w:rsidRPr="00772E40">
        <w:rPr>
          <w:rtl/>
        </w:rPr>
        <w:t>)</w:t>
      </w:r>
      <w:r w:rsidRPr="00772E40">
        <w:rPr>
          <w:rtl/>
        </w:rPr>
        <w:tab/>
        <w:t xml:space="preserve">يوضح صاحب الشكوى أن لجنة حقوق الإنسان هيئة عامة مستقلة وغير قضائية، تتمثل مهمتها الرئيسية، وفقاً لأحكام المادة </w:t>
      </w:r>
      <w:r w:rsidRPr="00C8421F">
        <w:rPr>
          <w:rtl/>
        </w:rPr>
        <w:t>116</w:t>
      </w:r>
      <w:r w:rsidRPr="00772E40">
        <w:rPr>
          <w:rtl/>
        </w:rPr>
        <w:t xml:space="preserve"> من دستور ولاية </w:t>
      </w:r>
      <w:proofErr w:type="spellStart"/>
      <w:r w:rsidRPr="00772E40">
        <w:rPr>
          <w:rtl/>
        </w:rPr>
        <w:t>غيريرو</w:t>
      </w:r>
      <w:proofErr w:type="spellEnd"/>
      <w:r w:rsidRPr="00772E40">
        <w:rPr>
          <w:rtl/>
        </w:rPr>
        <w:t xml:space="preserve">، في حماية حقوق الإنسان وتعزيزها والدفاع عنها وتعميمها، وفي صون النظام القانوني المكسيكي من خلال التحقيق في الشكاوى المتعلقة بالانتهاكات المحتملة لحقوق الإنسان وتقديم توصيات عامة غير ملزمة، وشكاوى وتظلمات إلى السلطات المعنية. </w:t>
      </w:r>
    </w:p>
  </w:footnote>
  <w:footnote w:id="7">
    <w:p w14:paraId="1C0C0E85" w14:textId="40279F2C" w:rsidR="00C8421F" w:rsidRPr="00772E40" w:rsidRDefault="00C8421F" w:rsidP="00772E40">
      <w:pPr>
        <w:pStyle w:val="FootnoteText1"/>
        <w:textDirection w:val="tbRlV"/>
      </w:pPr>
      <w:r w:rsidRPr="00772E40">
        <w:rPr>
          <w:rtl/>
        </w:rPr>
        <w:t>(</w:t>
      </w:r>
      <w:r w:rsidRPr="00C8421F">
        <w:footnoteRef/>
      </w:r>
      <w:r w:rsidRPr="00772E40">
        <w:rPr>
          <w:rtl/>
        </w:rPr>
        <w:t>)</w:t>
      </w:r>
      <w:r w:rsidRPr="00772E40">
        <w:rPr>
          <w:rtl/>
        </w:rPr>
        <w:tab/>
        <w:t xml:space="preserve">يوضح صاحب الشكوى أن اللجنة التنفيذية لمساعدة الضحايا هيئة تنفيذية تابعة للنظام الوطني لمساعدة الضحايا، وهي هيئة لامركزية تابعة للإدارة العامة الاتحادية. </w:t>
      </w:r>
    </w:p>
  </w:footnote>
  <w:footnote w:id="8">
    <w:p w14:paraId="5A0CBDC2" w14:textId="4B1243A9" w:rsidR="00C8421F" w:rsidRPr="00772E40" w:rsidRDefault="00C8421F" w:rsidP="00772E40">
      <w:pPr>
        <w:pStyle w:val="FootnoteText1"/>
        <w:textDirection w:val="tbRlV"/>
      </w:pPr>
      <w:r w:rsidRPr="00772E40">
        <w:rPr>
          <w:rtl/>
        </w:rPr>
        <w:t>(</w:t>
      </w:r>
      <w:r w:rsidRPr="00C8421F">
        <w:footnoteRef/>
      </w:r>
      <w:r w:rsidRPr="00772E40">
        <w:rPr>
          <w:rtl/>
        </w:rPr>
        <w:t>)</w:t>
      </w:r>
      <w:r w:rsidRPr="00772E40">
        <w:rPr>
          <w:rtl/>
        </w:rPr>
        <w:tab/>
      </w:r>
      <w:proofErr w:type="spellStart"/>
      <w:r w:rsidRPr="00C8421F">
        <w:rPr>
          <w:i/>
          <w:iCs/>
          <w:rtl/>
        </w:rPr>
        <w:t>يفلويف</w:t>
      </w:r>
      <w:proofErr w:type="spellEnd"/>
      <w:r w:rsidRPr="00C8421F">
        <w:rPr>
          <w:i/>
          <w:iCs/>
          <w:rtl/>
        </w:rPr>
        <w:t xml:space="preserve"> ضد كازاخستان</w:t>
      </w:r>
      <w:r w:rsidRPr="00772E40">
        <w:rPr>
          <w:rtl/>
        </w:rPr>
        <w:t xml:space="preserve"> (</w:t>
      </w:r>
      <w:r w:rsidRPr="00772E40">
        <w:t>CAT/C/</w:t>
      </w:r>
      <w:r w:rsidRPr="00C8421F">
        <w:t>51</w:t>
      </w:r>
      <w:r w:rsidRPr="00772E40">
        <w:t>/D/</w:t>
      </w:r>
      <w:r w:rsidRPr="00C8421F">
        <w:t>441</w:t>
      </w:r>
      <w:r w:rsidRPr="00772E40">
        <w:t>/</w:t>
      </w:r>
      <w:r w:rsidRPr="00C8421F">
        <w:t>2010</w:t>
      </w:r>
      <w:r w:rsidRPr="00772E40">
        <w:rPr>
          <w:rtl/>
        </w:rPr>
        <w:t xml:space="preserve">)، الفقرة </w:t>
      </w:r>
      <w:r w:rsidRPr="00C8421F">
        <w:rPr>
          <w:rtl/>
        </w:rPr>
        <w:t>8</w:t>
      </w:r>
      <w:r w:rsidRPr="00772E40">
        <w:rPr>
          <w:rtl/>
        </w:rPr>
        <w:t>-</w:t>
      </w:r>
      <w:r w:rsidRPr="00C8421F">
        <w:rPr>
          <w:rtl/>
        </w:rPr>
        <w:t>5</w:t>
      </w:r>
      <w:r w:rsidRPr="00772E40">
        <w:rPr>
          <w:rtl/>
        </w:rPr>
        <w:t xml:space="preserve">. </w:t>
      </w:r>
    </w:p>
  </w:footnote>
  <w:footnote w:id="9">
    <w:p w14:paraId="4BFE8741" w14:textId="16BA7AB8" w:rsidR="00C8421F" w:rsidRPr="00772E40" w:rsidRDefault="00C8421F" w:rsidP="00772E40">
      <w:pPr>
        <w:pStyle w:val="FootnoteText1"/>
        <w:textDirection w:val="tbRlV"/>
      </w:pPr>
      <w:r w:rsidRPr="00772E40">
        <w:rPr>
          <w:rtl/>
        </w:rPr>
        <w:t>(</w:t>
      </w:r>
      <w:r w:rsidRPr="00C8421F">
        <w:footnoteRef/>
      </w:r>
      <w:r w:rsidRPr="00772E40">
        <w:rPr>
          <w:rtl/>
        </w:rPr>
        <w:t>)</w:t>
      </w:r>
      <w:r w:rsidRPr="00772E40">
        <w:rPr>
          <w:rtl/>
        </w:rPr>
        <w:tab/>
      </w:r>
      <w:r w:rsidRPr="00C8421F">
        <w:rPr>
          <w:i/>
          <w:iCs/>
          <w:rtl/>
        </w:rPr>
        <w:t>علي بن سالم ضد تونس</w:t>
      </w:r>
      <w:r w:rsidRPr="00772E40">
        <w:rPr>
          <w:rtl/>
        </w:rPr>
        <w:t xml:space="preserve"> (</w:t>
      </w:r>
      <w:r w:rsidRPr="00772E40">
        <w:t>CAT/C/</w:t>
      </w:r>
      <w:r w:rsidRPr="00C8421F">
        <w:t>39</w:t>
      </w:r>
      <w:r w:rsidRPr="00772E40">
        <w:t>/D/</w:t>
      </w:r>
      <w:r w:rsidRPr="00C8421F">
        <w:t>269</w:t>
      </w:r>
      <w:r w:rsidRPr="00772E40">
        <w:t>/</w:t>
      </w:r>
      <w:r w:rsidRPr="00C8421F">
        <w:t>2005</w:t>
      </w:r>
      <w:r w:rsidRPr="00772E40">
        <w:rPr>
          <w:rtl/>
        </w:rPr>
        <w:t xml:space="preserve">)، الفقرة </w:t>
      </w:r>
      <w:r w:rsidRPr="00C8421F">
        <w:rPr>
          <w:rtl/>
        </w:rPr>
        <w:t>8</w:t>
      </w:r>
      <w:r w:rsidRPr="00772E40">
        <w:rPr>
          <w:rtl/>
        </w:rPr>
        <w:t>-</w:t>
      </w:r>
      <w:r w:rsidRPr="00C8421F">
        <w:rPr>
          <w:rtl/>
        </w:rPr>
        <w:t>5</w:t>
      </w:r>
      <w:r w:rsidRPr="00772E40">
        <w:rPr>
          <w:rtl/>
        </w:rPr>
        <w:t xml:space="preserve">؛ </w:t>
      </w:r>
      <w:proofErr w:type="spellStart"/>
      <w:r w:rsidRPr="00C8421F">
        <w:rPr>
          <w:i/>
          <w:iCs/>
          <w:rtl/>
        </w:rPr>
        <w:t>وسليوسار</w:t>
      </w:r>
      <w:proofErr w:type="spellEnd"/>
      <w:r w:rsidRPr="00C8421F">
        <w:rPr>
          <w:i/>
          <w:iCs/>
          <w:rtl/>
        </w:rPr>
        <w:t xml:space="preserve"> ضد أوكرانيا</w:t>
      </w:r>
      <w:r w:rsidRPr="00772E40">
        <w:rPr>
          <w:rtl/>
        </w:rPr>
        <w:t xml:space="preserve"> (</w:t>
      </w:r>
      <w:r w:rsidRPr="00772E40">
        <w:t>CAT/C/</w:t>
      </w:r>
      <w:r w:rsidRPr="00C8421F">
        <w:t>47</w:t>
      </w:r>
      <w:r w:rsidRPr="00772E40">
        <w:t>/D/</w:t>
      </w:r>
      <w:r w:rsidRPr="00C8421F">
        <w:t>353</w:t>
      </w:r>
      <w:r w:rsidRPr="00772E40">
        <w:t>/</w:t>
      </w:r>
      <w:r w:rsidRPr="00C8421F">
        <w:t>2008</w:t>
      </w:r>
      <w:r w:rsidRPr="00772E40">
        <w:rPr>
          <w:rtl/>
        </w:rPr>
        <w:t xml:space="preserve">)، الفقرة </w:t>
      </w:r>
      <w:r w:rsidRPr="00C8421F">
        <w:rPr>
          <w:rtl/>
        </w:rPr>
        <w:t>8</w:t>
      </w:r>
      <w:r w:rsidRPr="00772E40">
        <w:rPr>
          <w:rtl/>
        </w:rPr>
        <w:t>-</w:t>
      </w:r>
      <w:r w:rsidRPr="00C8421F">
        <w:rPr>
          <w:rtl/>
        </w:rPr>
        <w:t>2</w:t>
      </w:r>
      <w:r w:rsidRPr="00772E40">
        <w:rPr>
          <w:rtl/>
        </w:rPr>
        <w:t xml:space="preserve">؛ </w:t>
      </w:r>
      <w:proofErr w:type="spellStart"/>
      <w:r w:rsidRPr="00C8421F">
        <w:rPr>
          <w:i/>
          <w:iCs/>
          <w:rtl/>
        </w:rPr>
        <w:t>ونيونزيما</w:t>
      </w:r>
      <w:proofErr w:type="spellEnd"/>
      <w:r w:rsidRPr="00C8421F">
        <w:rPr>
          <w:i/>
          <w:iCs/>
          <w:rtl/>
        </w:rPr>
        <w:t xml:space="preserve"> ضد بوروندي</w:t>
      </w:r>
      <w:r w:rsidRPr="00772E40">
        <w:rPr>
          <w:rtl/>
        </w:rPr>
        <w:t xml:space="preserve"> (</w:t>
      </w:r>
      <w:r w:rsidRPr="00772E40">
        <w:t>CAT/C/</w:t>
      </w:r>
      <w:r w:rsidRPr="00C8421F">
        <w:t>53</w:t>
      </w:r>
      <w:r w:rsidRPr="00772E40">
        <w:t>/D/</w:t>
      </w:r>
      <w:r w:rsidRPr="00C8421F">
        <w:t>514</w:t>
      </w:r>
      <w:r w:rsidRPr="00772E40">
        <w:t>/</w:t>
      </w:r>
      <w:r w:rsidRPr="00C8421F">
        <w:t>2012</w:t>
      </w:r>
      <w:r w:rsidRPr="00772E40">
        <w:rPr>
          <w:rtl/>
        </w:rPr>
        <w:t xml:space="preserve">)، الفقرة </w:t>
      </w:r>
      <w:r w:rsidRPr="00C8421F">
        <w:rPr>
          <w:rtl/>
        </w:rPr>
        <w:t>7</w:t>
      </w:r>
      <w:r w:rsidRPr="00772E40">
        <w:rPr>
          <w:rtl/>
        </w:rPr>
        <w:t>-</w:t>
      </w:r>
      <w:r w:rsidRPr="00C8421F">
        <w:rPr>
          <w:rtl/>
        </w:rPr>
        <w:t>2</w:t>
      </w:r>
      <w:r w:rsidRPr="00772E40">
        <w:rPr>
          <w:rtl/>
        </w:rPr>
        <w:t>.</w:t>
      </w:r>
    </w:p>
  </w:footnote>
  <w:footnote w:id="10">
    <w:p w14:paraId="774D460D" w14:textId="0B02B3E6" w:rsidR="00C8421F" w:rsidRPr="00772E40" w:rsidRDefault="00C8421F" w:rsidP="00772E40">
      <w:pPr>
        <w:pStyle w:val="FootnoteText1"/>
        <w:textDirection w:val="tbRlV"/>
      </w:pPr>
      <w:r w:rsidRPr="00772E40">
        <w:rPr>
          <w:rtl/>
        </w:rPr>
        <w:t>(</w:t>
      </w:r>
      <w:r w:rsidRPr="00C8421F">
        <w:footnoteRef/>
      </w:r>
      <w:r w:rsidRPr="00772E40">
        <w:rPr>
          <w:rtl/>
        </w:rPr>
        <w:t>)</w:t>
      </w:r>
      <w:r w:rsidRPr="00772E40">
        <w:rPr>
          <w:rtl/>
        </w:rPr>
        <w:tab/>
      </w:r>
      <w:r w:rsidRPr="00C8421F">
        <w:rPr>
          <w:i/>
          <w:iCs/>
          <w:rtl/>
        </w:rPr>
        <w:t>جنسن ضد الدانمرك</w:t>
      </w:r>
      <w:r w:rsidRPr="00772E40">
        <w:rPr>
          <w:rtl/>
        </w:rPr>
        <w:t xml:space="preserve"> (</w:t>
      </w:r>
      <w:r w:rsidRPr="00772E40">
        <w:t>CAT/C/</w:t>
      </w:r>
      <w:r w:rsidRPr="00C8421F">
        <w:t>32</w:t>
      </w:r>
      <w:r w:rsidRPr="00772E40">
        <w:t>/D/</w:t>
      </w:r>
      <w:r w:rsidRPr="00C8421F">
        <w:t>202</w:t>
      </w:r>
      <w:r w:rsidRPr="00772E40">
        <w:t>/</w:t>
      </w:r>
      <w:r w:rsidRPr="00C8421F">
        <w:t>2002</w:t>
      </w:r>
      <w:r w:rsidRPr="00772E40">
        <w:rPr>
          <w:rtl/>
        </w:rPr>
        <w:t xml:space="preserve">)، الفقرة </w:t>
      </w:r>
      <w:r w:rsidRPr="00C8421F">
        <w:rPr>
          <w:rtl/>
        </w:rPr>
        <w:t>6</w:t>
      </w:r>
      <w:r w:rsidRPr="00772E40">
        <w:rPr>
          <w:rtl/>
        </w:rPr>
        <w:t>-</w:t>
      </w:r>
      <w:r w:rsidRPr="00C8421F">
        <w:rPr>
          <w:rtl/>
        </w:rPr>
        <w:t>3</w:t>
      </w:r>
      <w:r w:rsidRPr="00772E40">
        <w:rPr>
          <w:rtl/>
        </w:rPr>
        <w:t xml:space="preserve">. </w:t>
      </w:r>
    </w:p>
  </w:footnote>
  <w:footnote w:id="11">
    <w:p w14:paraId="0557E5C3" w14:textId="01BC23E0" w:rsidR="00C8421F" w:rsidRPr="00772E40" w:rsidRDefault="00C8421F" w:rsidP="00772E40">
      <w:pPr>
        <w:pStyle w:val="FootnoteText1"/>
        <w:textDirection w:val="tbRlV"/>
      </w:pPr>
      <w:r w:rsidRPr="00772E40">
        <w:rPr>
          <w:rtl/>
        </w:rPr>
        <w:t>(</w:t>
      </w:r>
      <w:r w:rsidRPr="00C8421F">
        <w:footnoteRef/>
      </w:r>
      <w:r w:rsidRPr="00772E40">
        <w:rPr>
          <w:rtl/>
        </w:rPr>
        <w:t>)</w:t>
      </w:r>
      <w:r w:rsidRPr="00772E40">
        <w:rPr>
          <w:rtl/>
        </w:rPr>
        <w:tab/>
      </w:r>
      <w:r w:rsidRPr="00772E40">
        <w:t>CAT/C/</w:t>
      </w:r>
      <w:r w:rsidRPr="00C8421F">
        <w:t>43</w:t>
      </w:r>
      <w:r w:rsidRPr="00772E40">
        <w:t>/D/</w:t>
      </w:r>
      <w:r w:rsidRPr="00C8421F">
        <w:t>307</w:t>
      </w:r>
      <w:r w:rsidRPr="00772E40">
        <w:t>/</w:t>
      </w:r>
      <w:r w:rsidRPr="00C8421F">
        <w:t>2006</w:t>
      </w:r>
      <w:r w:rsidRPr="00772E40">
        <w:t>/Rev.</w:t>
      </w:r>
      <w:r w:rsidRPr="00C8421F">
        <w:t>1</w:t>
      </w:r>
      <w:r w:rsidRPr="00772E40">
        <w:rPr>
          <w:rtl/>
        </w:rPr>
        <w:t>.</w:t>
      </w:r>
    </w:p>
  </w:footnote>
  <w:footnote w:id="12">
    <w:p w14:paraId="0020BB57" w14:textId="29B8E706" w:rsidR="00C8421F" w:rsidRPr="00772E40" w:rsidRDefault="00C8421F" w:rsidP="00772E40">
      <w:pPr>
        <w:pStyle w:val="FootnoteText1"/>
        <w:textDirection w:val="tbRlV"/>
      </w:pPr>
      <w:r w:rsidRPr="00772E40">
        <w:rPr>
          <w:rtl/>
        </w:rPr>
        <w:t>(</w:t>
      </w:r>
      <w:r w:rsidRPr="00C8421F">
        <w:footnoteRef/>
      </w:r>
      <w:r w:rsidRPr="00772E40">
        <w:rPr>
          <w:rtl/>
        </w:rPr>
        <w:t>)</w:t>
      </w:r>
      <w:r w:rsidRPr="00772E40">
        <w:rPr>
          <w:rtl/>
        </w:rPr>
        <w:tab/>
      </w:r>
      <w:r w:rsidRPr="00C8421F">
        <w:rPr>
          <w:i/>
          <w:iCs/>
          <w:rtl/>
        </w:rPr>
        <w:t>ه. م. ضد سويسرا</w:t>
      </w:r>
      <w:r w:rsidRPr="00772E40">
        <w:rPr>
          <w:rtl/>
        </w:rPr>
        <w:t xml:space="preserve"> (</w:t>
      </w:r>
      <w:r w:rsidRPr="00772E40">
        <w:t>CAT/C/</w:t>
      </w:r>
      <w:r w:rsidRPr="00C8421F">
        <w:t>46</w:t>
      </w:r>
      <w:r w:rsidRPr="00772E40">
        <w:t>/D/</w:t>
      </w:r>
      <w:r w:rsidRPr="00C8421F">
        <w:t>395</w:t>
      </w:r>
      <w:r w:rsidRPr="00772E40">
        <w:t>/</w:t>
      </w:r>
      <w:r w:rsidRPr="00C8421F">
        <w:t>2009</w:t>
      </w:r>
      <w:r w:rsidRPr="00772E40">
        <w:rPr>
          <w:rtl/>
        </w:rPr>
        <w:t xml:space="preserve">)، الفقرة </w:t>
      </w:r>
      <w:r w:rsidRPr="00C8421F">
        <w:rPr>
          <w:rtl/>
        </w:rPr>
        <w:t>6</w:t>
      </w:r>
      <w:r w:rsidRPr="00772E40">
        <w:rPr>
          <w:rtl/>
        </w:rPr>
        <w:t>-</w:t>
      </w:r>
      <w:r w:rsidRPr="00C8421F">
        <w:rPr>
          <w:rtl/>
        </w:rPr>
        <w:t>4</w:t>
      </w:r>
      <w:r w:rsidRPr="00772E40">
        <w:rPr>
          <w:rtl/>
        </w:rPr>
        <w:t>.</w:t>
      </w:r>
    </w:p>
  </w:footnote>
  <w:footnote w:id="13">
    <w:p w14:paraId="4EB5E573" w14:textId="35838FD3" w:rsidR="00C8421F" w:rsidRPr="00772E40" w:rsidRDefault="00C8421F" w:rsidP="00772E40">
      <w:pPr>
        <w:pStyle w:val="FootnoteText1"/>
        <w:textDirection w:val="tbRlV"/>
      </w:pPr>
      <w:r w:rsidRPr="00772E40">
        <w:rPr>
          <w:rtl/>
        </w:rPr>
        <w:t>(</w:t>
      </w:r>
      <w:r w:rsidRPr="00C8421F">
        <w:footnoteRef/>
      </w:r>
      <w:r w:rsidRPr="00772E40">
        <w:rPr>
          <w:rtl/>
        </w:rPr>
        <w:t>)</w:t>
      </w:r>
      <w:r w:rsidRPr="00772E40">
        <w:rPr>
          <w:rtl/>
        </w:rPr>
        <w:tab/>
      </w:r>
      <w:r w:rsidRPr="00C8421F">
        <w:rPr>
          <w:i/>
          <w:iCs/>
          <w:rtl/>
        </w:rPr>
        <w:t>ب. أ. ش. ضد أستراليا</w:t>
      </w:r>
      <w:r w:rsidRPr="00772E40">
        <w:rPr>
          <w:rtl/>
        </w:rPr>
        <w:t xml:space="preserve"> (</w:t>
      </w:r>
      <w:r w:rsidRPr="00772E40">
        <w:t>CAT/C/</w:t>
      </w:r>
      <w:r w:rsidRPr="00C8421F">
        <w:t>34</w:t>
      </w:r>
      <w:r w:rsidRPr="00772E40">
        <w:t>/D/</w:t>
      </w:r>
      <w:r w:rsidRPr="00C8421F">
        <w:t>211</w:t>
      </w:r>
      <w:r w:rsidRPr="00772E40">
        <w:t>/</w:t>
      </w:r>
      <w:r w:rsidRPr="00C8421F">
        <w:t>2002</w:t>
      </w:r>
      <w:r w:rsidRPr="00772E40">
        <w:rPr>
          <w:rtl/>
        </w:rPr>
        <w:t xml:space="preserve">)، الفقرة </w:t>
      </w:r>
      <w:r w:rsidRPr="00C8421F">
        <w:rPr>
          <w:rtl/>
        </w:rPr>
        <w:t>6</w:t>
      </w:r>
      <w:r w:rsidRPr="00772E40">
        <w:rPr>
          <w:rtl/>
        </w:rPr>
        <w:t>-</w:t>
      </w:r>
      <w:r w:rsidRPr="00C8421F">
        <w:rPr>
          <w:rtl/>
        </w:rPr>
        <w:t>2</w:t>
      </w:r>
      <w:r w:rsidRPr="00772E40">
        <w:rPr>
          <w:rtl/>
        </w:rPr>
        <w:t>.</w:t>
      </w:r>
    </w:p>
  </w:footnote>
  <w:footnote w:id="14">
    <w:p w14:paraId="63A77256" w14:textId="66CDD6C9" w:rsidR="00C8421F" w:rsidRPr="00772E40" w:rsidRDefault="00C8421F" w:rsidP="00772E40">
      <w:pPr>
        <w:pStyle w:val="FootnoteText1"/>
        <w:textDirection w:val="tbRlV"/>
      </w:pPr>
      <w:r w:rsidRPr="00772E40">
        <w:rPr>
          <w:rtl/>
        </w:rPr>
        <w:t>(</w:t>
      </w:r>
      <w:r w:rsidRPr="00C8421F">
        <w:footnoteRef/>
      </w:r>
      <w:r w:rsidRPr="00772E40">
        <w:rPr>
          <w:rtl/>
        </w:rPr>
        <w:t>)</w:t>
      </w:r>
      <w:r w:rsidRPr="00772E40">
        <w:rPr>
          <w:rtl/>
        </w:rPr>
        <w:tab/>
      </w:r>
      <w:r w:rsidRPr="00C8421F">
        <w:rPr>
          <w:i/>
          <w:iCs/>
          <w:rtl/>
        </w:rPr>
        <w:t>راميريز مارتينيز وآخرون ضد المكسيك</w:t>
      </w:r>
      <w:r w:rsidRPr="00772E40">
        <w:rPr>
          <w:rtl/>
        </w:rPr>
        <w:t xml:space="preserve"> (</w:t>
      </w:r>
      <w:r w:rsidRPr="00772E40">
        <w:t>CAT/C/</w:t>
      </w:r>
      <w:r w:rsidRPr="00C8421F">
        <w:t>55</w:t>
      </w:r>
      <w:r w:rsidRPr="00772E40">
        <w:t>/D/</w:t>
      </w:r>
      <w:r w:rsidRPr="00C8421F">
        <w:t>500</w:t>
      </w:r>
      <w:r w:rsidRPr="00772E40">
        <w:t>/</w:t>
      </w:r>
      <w:r w:rsidRPr="00C8421F">
        <w:t>2012</w:t>
      </w:r>
      <w:r w:rsidRPr="00772E40">
        <w:rPr>
          <w:rtl/>
        </w:rPr>
        <w:t xml:space="preserve">)، الفقرة </w:t>
      </w:r>
      <w:r w:rsidRPr="00C8421F">
        <w:rPr>
          <w:rtl/>
        </w:rPr>
        <w:t>16</w:t>
      </w:r>
      <w:r w:rsidRPr="00772E40">
        <w:rPr>
          <w:rtl/>
        </w:rPr>
        <w:t>-</w:t>
      </w:r>
      <w:r w:rsidRPr="00C8421F">
        <w:rPr>
          <w:rtl/>
        </w:rPr>
        <w:t>4</w:t>
      </w:r>
      <w:r w:rsidRPr="00772E40">
        <w:rPr>
          <w:rtl/>
        </w:rPr>
        <w:t>.</w:t>
      </w:r>
    </w:p>
  </w:footnote>
  <w:footnote w:id="15">
    <w:p w14:paraId="0C04D134" w14:textId="01B5BD88" w:rsidR="00C8421F" w:rsidRPr="00772E40" w:rsidRDefault="00C8421F" w:rsidP="00772E40">
      <w:pPr>
        <w:pStyle w:val="FootnoteText1"/>
        <w:textDirection w:val="tbRlV"/>
      </w:pPr>
      <w:r w:rsidRPr="00772E40">
        <w:rPr>
          <w:rtl/>
        </w:rPr>
        <w:t>(</w:t>
      </w:r>
      <w:r w:rsidRPr="00C8421F">
        <w:footnoteRef/>
      </w:r>
      <w:r w:rsidRPr="00772E40">
        <w:rPr>
          <w:rtl/>
        </w:rPr>
        <w:t>)</w:t>
      </w:r>
      <w:r w:rsidRPr="00772E40">
        <w:rPr>
          <w:rtl/>
        </w:rPr>
        <w:tab/>
        <w:t xml:space="preserve">الحكم المؤرخ </w:t>
      </w:r>
      <w:r w:rsidRPr="00C8421F">
        <w:rPr>
          <w:rtl/>
        </w:rPr>
        <w:t>30</w:t>
      </w:r>
      <w:r w:rsidRPr="00772E40">
        <w:rPr>
          <w:rtl/>
        </w:rPr>
        <w:t xml:space="preserve"> حزيران/يونيه </w:t>
      </w:r>
      <w:r w:rsidRPr="00C8421F">
        <w:rPr>
          <w:rtl/>
        </w:rPr>
        <w:t>2016</w:t>
      </w:r>
      <w:r w:rsidRPr="00772E40">
        <w:rPr>
          <w:rtl/>
        </w:rPr>
        <w:t xml:space="preserve">، الصفحة </w:t>
      </w:r>
      <w:r w:rsidRPr="00C8421F">
        <w:rPr>
          <w:rtl/>
        </w:rPr>
        <w:t>3</w:t>
      </w:r>
      <w:r w:rsidRPr="00772E40">
        <w:rPr>
          <w:rtl/>
        </w:rPr>
        <w:t xml:space="preserve">، المرفق </w:t>
      </w:r>
      <w:r w:rsidRPr="00C8421F">
        <w:rPr>
          <w:rtl/>
        </w:rPr>
        <w:t>4</w:t>
      </w:r>
      <w:r w:rsidRPr="00772E40">
        <w:rPr>
          <w:rtl/>
        </w:rPr>
        <w:t xml:space="preserve">، الصادر عن المحكمة المحلية الحادية عشرة المختصة بالنظر في طلبات الحماية القضائية الدستورية في القضايا الجنائية، ملف القضية رقم </w:t>
      </w:r>
      <w:r w:rsidRPr="00C8421F">
        <w:rPr>
          <w:rtl/>
        </w:rPr>
        <w:t>298</w:t>
      </w:r>
      <w:r w:rsidRPr="00772E40">
        <w:rPr>
          <w:rtl/>
        </w:rPr>
        <w:t>/</w:t>
      </w:r>
      <w:r w:rsidRPr="00C8421F">
        <w:rPr>
          <w:rtl/>
        </w:rPr>
        <w:t>2016</w:t>
      </w:r>
      <w:r w:rsidRPr="00772E40">
        <w:rPr>
          <w:rtl/>
        </w:rPr>
        <w:t xml:space="preserve">. </w:t>
      </w:r>
    </w:p>
  </w:footnote>
  <w:footnote w:id="16">
    <w:p w14:paraId="12AFDBC7" w14:textId="3434BC16" w:rsidR="00C8421F" w:rsidRPr="00772E40" w:rsidRDefault="00C8421F" w:rsidP="00772E40">
      <w:pPr>
        <w:pStyle w:val="FootnoteText1"/>
        <w:textDirection w:val="tbRlV"/>
      </w:pPr>
      <w:r w:rsidRPr="00772E40">
        <w:rPr>
          <w:rtl/>
        </w:rPr>
        <w:t>(</w:t>
      </w:r>
      <w:r w:rsidRPr="00C8421F">
        <w:footnoteRef/>
      </w:r>
      <w:r w:rsidRPr="00772E40">
        <w:rPr>
          <w:rtl/>
        </w:rPr>
        <w:t>)</w:t>
      </w:r>
      <w:r w:rsidRPr="00772E40">
        <w:rPr>
          <w:rtl/>
        </w:rPr>
        <w:tab/>
        <w:t xml:space="preserve">قانون </w:t>
      </w:r>
      <w:proofErr w:type="spellStart"/>
      <w:r w:rsidRPr="00772E40">
        <w:rPr>
          <w:rtl/>
        </w:rPr>
        <w:t>أمبارو</w:t>
      </w:r>
      <w:proofErr w:type="spellEnd"/>
      <w:r w:rsidRPr="00772E40">
        <w:rPr>
          <w:rtl/>
        </w:rPr>
        <w:t xml:space="preserve">، المادة </w:t>
      </w:r>
      <w:r w:rsidRPr="00C8421F">
        <w:rPr>
          <w:rtl/>
        </w:rPr>
        <w:t>107</w:t>
      </w:r>
      <w:r w:rsidRPr="00772E40">
        <w:rPr>
          <w:rtl/>
        </w:rPr>
        <w:t>-سابعاً.</w:t>
      </w:r>
    </w:p>
  </w:footnote>
  <w:footnote w:id="17">
    <w:p w14:paraId="7D9FB745" w14:textId="66205BE1" w:rsidR="00C8421F" w:rsidRPr="00772E40" w:rsidRDefault="00C8421F" w:rsidP="00772E40">
      <w:pPr>
        <w:pStyle w:val="FootnoteText1"/>
        <w:textDirection w:val="tbRlV"/>
      </w:pPr>
      <w:r w:rsidRPr="00772E40">
        <w:rPr>
          <w:rtl/>
        </w:rPr>
        <w:t>(</w:t>
      </w:r>
      <w:r w:rsidRPr="00C8421F">
        <w:footnoteRef/>
      </w:r>
      <w:r w:rsidRPr="00772E40">
        <w:rPr>
          <w:rtl/>
        </w:rPr>
        <w:t>)</w:t>
      </w:r>
      <w:r w:rsidRPr="00772E40">
        <w:rPr>
          <w:rtl/>
        </w:rPr>
        <w:tab/>
        <w:t xml:space="preserve">دستور الولايات المتحدة المكسيكية، المادتان </w:t>
      </w:r>
      <w:r w:rsidRPr="00C8421F">
        <w:rPr>
          <w:rtl/>
        </w:rPr>
        <w:t>21</w:t>
      </w:r>
      <w:r w:rsidRPr="00772E40">
        <w:rPr>
          <w:rtl/>
        </w:rPr>
        <w:t xml:space="preserve"> و</w:t>
      </w:r>
      <w:r w:rsidRPr="00C8421F">
        <w:rPr>
          <w:rtl/>
        </w:rPr>
        <w:t>102</w:t>
      </w:r>
      <w:r w:rsidRPr="00772E40">
        <w:rPr>
          <w:rtl/>
        </w:rPr>
        <w:t xml:space="preserve">؛ وقانون الإجراءات الجنائية لولاية </w:t>
      </w:r>
      <w:proofErr w:type="spellStart"/>
      <w:r w:rsidRPr="00772E40">
        <w:rPr>
          <w:rtl/>
        </w:rPr>
        <w:t>غيريرو</w:t>
      </w:r>
      <w:proofErr w:type="spellEnd"/>
      <w:r w:rsidRPr="00772E40">
        <w:rPr>
          <w:rtl/>
        </w:rPr>
        <w:t xml:space="preserve">، المادة </w:t>
      </w:r>
      <w:r w:rsidRPr="00C8421F">
        <w:rPr>
          <w:rtl/>
        </w:rPr>
        <w:t>1</w:t>
      </w:r>
      <w:r w:rsidRPr="00772E40">
        <w:rPr>
          <w:rtl/>
        </w:rPr>
        <w:t xml:space="preserve">. </w:t>
      </w:r>
    </w:p>
  </w:footnote>
  <w:footnote w:id="18">
    <w:p w14:paraId="36D1305B" w14:textId="0271A6F3" w:rsidR="00C8421F" w:rsidRPr="00772E40" w:rsidRDefault="00C8421F" w:rsidP="00772E40">
      <w:pPr>
        <w:pStyle w:val="FootnoteText1"/>
        <w:textDirection w:val="tbRlV"/>
      </w:pPr>
      <w:r w:rsidRPr="00772E40">
        <w:rPr>
          <w:rtl/>
        </w:rPr>
        <w:t>(</w:t>
      </w:r>
      <w:r w:rsidRPr="00C8421F">
        <w:footnoteRef/>
      </w:r>
      <w:r w:rsidRPr="00772E40">
        <w:rPr>
          <w:rtl/>
        </w:rPr>
        <w:t>)</w:t>
      </w:r>
      <w:r w:rsidRPr="00772E40">
        <w:rPr>
          <w:rtl/>
        </w:rPr>
        <w:tab/>
      </w:r>
      <w:r w:rsidRPr="00C8421F">
        <w:rPr>
          <w:i/>
          <w:iCs/>
          <w:rtl/>
        </w:rPr>
        <w:t>لطيف ضد تونس</w:t>
      </w:r>
      <w:r w:rsidRPr="00772E40">
        <w:rPr>
          <w:rtl/>
        </w:rPr>
        <w:t xml:space="preserve"> (</w:t>
      </w:r>
      <w:r w:rsidRPr="00772E40">
        <w:t>CAT/C/</w:t>
      </w:r>
      <w:r w:rsidRPr="00C8421F">
        <w:t>31</w:t>
      </w:r>
      <w:r w:rsidRPr="00772E40">
        <w:t>/D/</w:t>
      </w:r>
      <w:r w:rsidRPr="00C8421F">
        <w:t>189</w:t>
      </w:r>
      <w:r w:rsidRPr="00772E40">
        <w:t>/</w:t>
      </w:r>
      <w:r w:rsidRPr="00C8421F">
        <w:t>2001</w:t>
      </w:r>
      <w:r w:rsidRPr="00772E40">
        <w:rPr>
          <w:rtl/>
        </w:rPr>
        <w:t xml:space="preserve">)، الفقرة </w:t>
      </w:r>
      <w:r w:rsidRPr="00C8421F">
        <w:rPr>
          <w:rtl/>
        </w:rPr>
        <w:t>10</w:t>
      </w:r>
      <w:r w:rsidRPr="00772E40">
        <w:rPr>
          <w:rtl/>
        </w:rPr>
        <w:t>-</w:t>
      </w:r>
      <w:r w:rsidRPr="00C8421F">
        <w:rPr>
          <w:rtl/>
        </w:rPr>
        <w:t>6</w:t>
      </w:r>
      <w:r w:rsidRPr="00772E40">
        <w:rPr>
          <w:rtl/>
        </w:rPr>
        <w:t>.</w:t>
      </w:r>
    </w:p>
  </w:footnote>
  <w:footnote w:id="19">
    <w:p w14:paraId="7C00975E" w14:textId="5D1E7471" w:rsidR="00C8421F" w:rsidRPr="00772E40" w:rsidRDefault="00C8421F" w:rsidP="00772E40">
      <w:pPr>
        <w:pStyle w:val="FootnoteText1"/>
        <w:textDirection w:val="tbRlV"/>
      </w:pPr>
      <w:r w:rsidRPr="00772E40">
        <w:rPr>
          <w:rtl/>
        </w:rPr>
        <w:t>(</w:t>
      </w:r>
      <w:r w:rsidRPr="00C8421F">
        <w:footnoteRef/>
      </w:r>
      <w:r w:rsidRPr="00772E40">
        <w:rPr>
          <w:rtl/>
        </w:rPr>
        <w:t>)</w:t>
      </w:r>
      <w:r w:rsidRPr="00772E40">
        <w:rPr>
          <w:rtl/>
        </w:rPr>
        <w:tab/>
      </w:r>
      <w:r w:rsidRPr="00C8421F">
        <w:rPr>
          <w:i/>
          <w:iCs/>
          <w:rtl/>
        </w:rPr>
        <w:t>راميريز مارتينيز وآخرون ضد المكسيك</w:t>
      </w:r>
      <w:r w:rsidRPr="00772E40">
        <w:rPr>
          <w:rtl/>
        </w:rPr>
        <w:t xml:space="preserve">، الفقرة </w:t>
      </w:r>
      <w:r w:rsidRPr="00C8421F">
        <w:rPr>
          <w:rtl/>
        </w:rPr>
        <w:t>16</w:t>
      </w:r>
      <w:r w:rsidRPr="00772E40">
        <w:rPr>
          <w:rtl/>
        </w:rPr>
        <w:t>-</w:t>
      </w:r>
      <w:r w:rsidRPr="00C8421F">
        <w:rPr>
          <w:rtl/>
        </w:rPr>
        <w:t>5</w:t>
      </w:r>
      <w:r w:rsidRPr="00772E40">
        <w:rPr>
          <w:rtl/>
        </w:rPr>
        <w:t>.</w:t>
      </w:r>
    </w:p>
  </w:footnote>
  <w:footnote w:id="20">
    <w:p w14:paraId="53069C0E" w14:textId="4A0DEE30" w:rsidR="00C8421F" w:rsidRPr="00772E40" w:rsidRDefault="00C8421F" w:rsidP="00772E40">
      <w:pPr>
        <w:pStyle w:val="FootnoteText1"/>
        <w:textDirection w:val="tbRlV"/>
      </w:pPr>
      <w:r w:rsidRPr="00772E40">
        <w:rPr>
          <w:rtl/>
        </w:rPr>
        <w:t>(</w:t>
      </w:r>
      <w:r w:rsidRPr="00C8421F">
        <w:footnoteRef/>
      </w:r>
      <w:r w:rsidRPr="00772E40">
        <w:rPr>
          <w:rtl/>
        </w:rPr>
        <w:t>)</w:t>
      </w:r>
      <w:r w:rsidRPr="00772E40">
        <w:rPr>
          <w:rtl/>
        </w:rPr>
        <w:tab/>
      </w:r>
      <w:proofErr w:type="spellStart"/>
      <w:r w:rsidRPr="00C8421F">
        <w:rPr>
          <w:i/>
          <w:iCs/>
          <w:rtl/>
        </w:rPr>
        <w:t>يفلويف</w:t>
      </w:r>
      <w:proofErr w:type="spellEnd"/>
      <w:r w:rsidRPr="00C8421F">
        <w:rPr>
          <w:i/>
          <w:iCs/>
          <w:rtl/>
        </w:rPr>
        <w:t xml:space="preserve"> ضد كازاخستان</w:t>
      </w:r>
      <w:r w:rsidRPr="00772E40">
        <w:rPr>
          <w:rtl/>
        </w:rPr>
        <w:t xml:space="preserve">، الفقرة </w:t>
      </w:r>
      <w:r w:rsidRPr="00C8421F">
        <w:rPr>
          <w:rtl/>
        </w:rPr>
        <w:t>8</w:t>
      </w:r>
      <w:r w:rsidRPr="00772E40">
        <w:rPr>
          <w:rtl/>
        </w:rPr>
        <w:t>-</w:t>
      </w:r>
      <w:r w:rsidRPr="00C8421F">
        <w:rPr>
          <w:rtl/>
        </w:rPr>
        <w:t>6</w:t>
      </w:r>
      <w:r w:rsidRPr="00772E40">
        <w:rPr>
          <w:rtl/>
        </w:rPr>
        <w:t>.</w:t>
      </w:r>
    </w:p>
  </w:footnote>
  <w:footnote w:id="21">
    <w:p w14:paraId="48A17A46" w14:textId="13778181" w:rsidR="00C8421F" w:rsidRPr="00772E40" w:rsidRDefault="00C8421F" w:rsidP="00772E40">
      <w:pPr>
        <w:pStyle w:val="FootnoteText1"/>
        <w:textDirection w:val="tbRlV"/>
      </w:pPr>
      <w:r w:rsidRPr="00772E40">
        <w:rPr>
          <w:rtl/>
        </w:rPr>
        <w:t>(</w:t>
      </w:r>
      <w:r w:rsidRPr="00C8421F">
        <w:footnoteRef/>
      </w:r>
      <w:r w:rsidRPr="00772E40">
        <w:rPr>
          <w:rtl/>
        </w:rPr>
        <w:t>)</w:t>
      </w:r>
      <w:r w:rsidRPr="00772E40">
        <w:rPr>
          <w:rtl/>
        </w:rPr>
        <w:tab/>
      </w:r>
      <w:proofErr w:type="spellStart"/>
      <w:r w:rsidRPr="00C8421F">
        <w:rPr>
          <w:i/>
          <w:iCs/>
          <w:rtl/>
        </w:rPr>
        <w:t>غاهونغو</w:t>
      </w:r>
      <w:proofErr w:type="spellEnd"/>
      <w:r w:rsidRPr="00C8421F">
        <w:rPr>
          <w:i/>
          <w:iCs/>
          <w:rtl/>
        </w:rPr>
        <w:t xml:space="preserve"> ضد بوروندي</w:t>
      </w:r>
      <w:r w:rsidRPr="00772E40">
        <w:rPr>
          <w:rtl/>
        </w:rPr>
        <w:t xml:space="preserve"> (</w:t>
      </w:r>
      <w:r w:rsidRPr="00772E40">
        <w:t>CAT/C/</w:t>
      </w:r>
      <w:r w:rsidRPr="00C8421F">
        <w:t>55</w:t>
      </w:r>
      <w:r w:rsidRPr="00772E40">
        <w:t>/D/</w:t>
      </w:r>
      <w:r w:rsidRPr="00C8421F">
        <w:t>522</w:t>
      </w:r>
      <w:r w:rsidRPr="00772E40">
        <w:t>/</w:t>
      </w:r>
      <w:r w:rsidRPr="00C8421F">
        <w:t>2012</w:t>
      </w:r>
      <w:r w:rsidRPr="00772E40">
        <w:rPr>
          <w:rtl/>
        </w:rPr>
        <w:t>).</w:t>
      </w:r>
    </w:p>
  </w:footnote>
  <w:footnote w:id="22">
    <w:p w14:paraId="23513111" w14:textId="6AAFF213" w:rsidR="00C8421F" w:rsidRPr="00772E40" w:rsidRDefault="00C8421F" w:rsidP="00772E40">
      <w:pPr>
        <w:pStyle w:val="FootnoteText1"/>
        <w:textDirection w:val="tbRlV"/>
      </w:pPr>
      <w:r w:rsidRPr="00772E40">
        <w:rPr>
          <w:rtl/>
        </w:rPr>
        <w:t>(</w:t>
      </w:r>
      <w:r w:rsidRPr="00C8421F">
        <w:footnoteRef/>
      </w:r>
      <w:r w:rsidRPr="00772E40">
        <w:rPr>
          <w:rtl/>
        </w:rPr>
        <w:t>)</w:t>
      </w:r>
      <w:r w:rsidRPr="00772E40">
        <w:rPr>
          <w:rtl/>
        </w:rPr>
        <w:tab/>
      </w:r>
      <w:r w:rsidRPr="00C8421F">
        <w:rPr>
          <w:i/>
          <w:iCs/>
          <w:rtl/>
        </w:rPr>
        <w:t>المرجع نفسه</w:t>
      </w:r>
      <w:r w:rsidRPr="00772E40">
        <w:rPr>
          <w:rtl/>
        </w:rPr>
        <w:t>.</w:t>
      </w:r>
    </w:p>
  </w:footnote>
  <w:footnote w:id="23">
    <w:p w14:paraId="10120E11" w14:textId="7BAE160F" w:rsidR="00C8421F" w:rsidRPr="00772E40" w:rsidRDefault="00C8421F" w:rsidP="00772E40">
      <w:pPr>
        <w:pStyle w:val="FootnoteText1"/>
        <w:textDirection w:val="tbRlV"/>
      </w:pPr>
      <w:r w:rsidRPr="00772E40">
        <w:rPr>
          <w:rtl/>
        </w:rPr>
        <w:t>(</w:t>
      </w:r>
      <w:r w:rsidRPr="00C8421F">
        <w:footnoteRef/>
      </w:r>
      <w:r w:rsidRPr="00772E40">
        <w:rPr>
          <w:rtl/>
        </w:rPr>
        <w:t>)</w:t>
      </w:r>
      <w:r w:rsidRPr="00772E40">
        <w:rPr>
          <w:rtl/>
        </w:rPr>
        <w:tab/>
        <w:t>تحيل الدولة الطرف</w:t>
      </w:r>
      <w:r w:rsidRPr="00772E40">
        <w:rPr>
          <w:rFonts w:hint="cs"/>
          <w:rtl/>
        </w:rPr>
        <w:t>،</w:t>
      </w:r>
      <w:r w:rsidRPr="00772E40">
        <w:rPr>
          <w:rtl/>
        </w:rPr>
        <w:t xml:space="preserve"> </w:t>
      </w:r>
      <w:r w:rsidRPr="00772E40">
        <w:rPr>
          <w:rFonts w:hint="cs"/>
          <w:rtl/>
        </w:rPr>
        <w:t xml:space="preserve">في </w:t>
      </w:r>
      <w:r w:rsidRPr="00772E40">
        <w:rPr>
          <w:rtl/>
        </w:rPr>
        <w:t>جملة أحكام</w:t>
      </w:r>
      <w:r w:rsidRPr="00772E40">
        <w:rPr>
          <w:rFonts w:hint="cs"/>
          <w:rtl/>
        </w:rPr>
        <w:t xml:space="preserve">، إلى </w:t>
      </w:r>
      <w:r w:rsidRPr="00772E40">
        <w:rPr>
          <w:rtl/>
        </w:rPr>
        <w:t xml:space="preserve">حكم محكمة البلدان الأمريكية لحقوق الإنسان في قضية </w:t>
      </w:r>
      <w:proofErr w:type="spellStart"/>
      <w:r w:rsidRPr="00C8421F">
        <w:rPr>
          <w:i/>
          <w:iCs/>
          <w:rtl/>
        </w:rPr>
        <w:t>تريستان</w:t>
      </w:r>
      <w:proofErr w:type="spellEnd"/>
      <w:r w:rsidRPr="00C8421F">
        <w:rPr>
          <w:i/>
          <w:iCs/>
          <w:rtl/>
        </w:rPr>
        <w:t xml:space="preserve"> </w:t>
      </w:r>
      <w:proofErr w:type="spellStart"/>
      <w:r w:rsidRPr="00C8421F">
        <w:rPr>
          <w:i/>
          <w:iCs/>
          <w:rtl/>
        </w:rPr>
        <w:t>دونوسو</w:t>
      </w:r>
      <w:proofErr w:type="spellEnd"/>
      <w:r w:rsidRPr="00C8421F">
        <w:rPr>
          <w:i/>
          <w:iCs/>
          <w:rtl/>
        </w:rPr>
        <w:t xml:space="preserve"> ضد بنما</w:t>
      </w:r>
      <w:r w:rsidRPr="00772E40">
        <w:rPr>
          <w:rtl/>
        </w:rPr>
        <w:t xml:space="preserve">، </w:t>
      </w:r>
      <w:r w:rsidRPr="00772E40">
        <w:rPr>
          <w:rFonts w:hint="cs"/>
          <w:rtl/>
        </w:rPr>
        <w:t xml:space="preserve">الذي صدر </w:t>
      </w:r>
      <w:r w:rsidRPr="00772E40">
        <w:rPr>
          <w:rtl/>
        </w:rPr>
        <w:t xml:space="preserve">في </w:t>
      </w:r>
      <w:r w:rsidRPr="00C8421F">
        <w:rPr>
          <w:rtl/>
        </w:rPr>
        <w:t>27</w:t>
      </w:r>
      <w:r w:rsidRPr="00772E40">
        <w:rPr>
          <w:rtl/>
        </w:rPr>
        <w:t xml:space="preserve"> كانون الثاني/يناير </w:t>
      </w:r>
      <w:r w:rsidRPr="00C8421F">
        <w:rPr>
          <w:rtl/>
        </w:rPr>
        <w:t>2009</w:t>
      </w:r>
      <w:r w:rsidRPr="00772E40">
        <w:rPr>
          <w:rtl/>
        </w:rPr>
        <w:t xml:space="preserve"> (دفع ابتدائي، الأسس الموضوعية، التعويضات والتكاليف)، السلسلة جيم، رقم</w:t>
      </w:r>
      <w:r>
        <w:rPr>
          <w:rFonts w:hint="cs"/>
          <w:rtl/>
        </w:rPr>
        <w:t> </w:t>
      </w:r>
      <w:r w:rsidRPr="00C8421F">
        <w:rPr>
          <w:rtl/>
        </w:rPr>
        <w:t>193</w:t>
      </w:r>
      <w:r w:rsidRPr="00772E40">
        <w:rPr>
          <w:rtl/>
        </w:rPr>
        <w:t xml:space="preserve">، الفقرة </w:t>
      </w:r>
      <w:r w:rsidRPr="00C8421F">
        <w:rPr>
          <w:rtl/>
        </w:rPr>
        <w:t>146</w:t>
      </w:r>
      <w:r w:rsidRPr="00772E40">
        <w:rPr>
          <w:rtl/>
        </w:rPr>
        <w:t>.</w:t>
      </w:r>
    </w:p>
  </w:footnote>
  <w:footnote w:id="24">
    <w:p w14:paraId="333801C9" w14:textId="7FEC2A97" w:rsidR="00C8421F" w:rsidRPr="00772E40" w:rsidRDefault="00C8421F" w:rsidP="00772E40">
      <w:pPr>
        <w:pStyle w:val="FootnoteText1"/>
        <w:textDirection w:val="tbRlV"/>
      </w:pPr>
      <w:r w:rsidRPr="00772E40">
        <w:rPr>
          <w:rtl/>
        </w:rPr>
        <w:t>(</w:t>
      </w:r>
      <w:r w:rsidRPr="00C8421F">
        <w:footnoteRef/>
      </w:r>
      <w:r w:rsidRPr="00772E40">
        <w:rPr>
          <w:rtl/>
        </w:rPr>
        <w:t>)</w:t>
      </w:r>
      <w:r w:rsidRPr="00772E40">
        <w:rPr>
          <w:rtl/>
        </w:rPr>
        <w:tab/>
        <w:t xml:space="preserve">مجموعة </w:t>
      </w:r>
      <w:r w:rsidRPr="00772E40">
        <w:rPr>
          <w:rFonts w:hint="cs"/>
          <w:rtl/>
        </w:rPr>
        <w:t>المبادئ</w:t>
      </w:r>
      <w:r w:rsidRPr="00772E40">
        <w:rPr>
          <w:rtl/>
        </w:rPr>
        <w:t xml:space="preserve"> المتعلقة بحماية جميع الأشخاص الذين يتعرضون لأي شكل من أشكال الاحتجاز أو السجن، التي أقرتها الجمعية العامة في قرارها </w:t>
      </w:r>
      <w:r w:rsidRPr="00C8421F">
        <w:rPr>
          <w:rtl/>
        </w:rPr>
        <w:t>43</w:t>
      </w:r>
      <w:r w:rsidRPr="00772E40">
        <w:rPr>
          <w:rtl/>
        </w:rPr>
        <w:t>/</w:t>
      </w:r>
      <w:r w:rsidRPr="00C8421F">
        <w:rPr>
          <w:rtl/>
        </w:rPr>
        <w:t>173</w:t>
      </w:r>
      <w:r w:rsidRPr="00772E40">
        <w:rPr>
          <w:rtl/>
        </w:rPr>
        <w:t>.</w:t>
      </w:r>
    </w:p>
  </w:footnote>
  <w:footnote w:id="25">
    <w:p w14:paraId="2649CBFF" w14:textId="64667066" w:rsidR="00C8421F" w:rsidRPr="00772E40" w:rsidRDefault="00C8421F" w:rsidP="00772E40">
      <w:pPr>
        <w:pStyle w:val="FootnoteText1"/>
        <w:textDirection w:val="tbRlV"/>
      </w:pPr>
      <w:r w:rsidRPr="00772E40">
        <w:rPr>
          <w:rtl/>
        </w:rPr>
        <w:t>(</w:t>
      </w:r>
      <w:r w:rsidRPr="00C8421F">
        <w:footnoteRef/>
      </w:r>
      <w:r w:rsidRPr="00772E40">
        <w:rPr>
          <w:rtl/>
        </w:rPr>
        <w:t>)</w:t>
      </w:r>
      <w:r w:rsidRPr="00772E40">
        <w:rPr>
          <w:rtl/>
        </w:rPr>
        <w:tab/>
      </w:r>
      <w:proofErr w:type="spellStart"/>
      <w:r w:rsidRPr="00C8421F">
        <w:rPr>
          <w:i/>
          <w:iCs/>
          <w:rtl/>
        </w:rPr>
        <w:t>جعيدان</w:t>
      </w:r>
      <w:proofErr w:type="spellEnd"/>
      <w:r w:rsidRPr="00C8421F">
        <w:rPr>
          <w:i/>
          <w:iCs/>
          <w:rtl/>
        </w:rPr>
        <w:t xml:space="preserve"> ضد تونس</w:t>
      </w:r>
      <w:r w:rsidRPr="00772E40">
        <w:rPr>
          <w:rtl/>
        </w:rPr>
        <w:t xml:space="preserve"> (</w:t>
      </w:r>
      <w:r w:rsidRPr="00772E40">
        <w:t>CAT/C/</w:t>
      </w:r>
      <w:r w:rsidRPr="00C8421F">
        <w:t>61</w:t>
      </w:r>
      <w:r w:rsidRPr="00772E40">
        <w:t>/D/</w:t>
      </w:r>
      <w:r w:rsidRPr="00C8421F">
        <w:t>654</w:t>
      </w:r>
      <w:r w:rsidRPr="00772E40">
        <w:t>/</w:t>
      </w:r>
      <w:r w:rsidRPr="00C8421F">
        <w:t>2015</w:t>
      </w:r>
      <w:r w:rsidRPr="00772E40">
        <w:rPr>
          <w:rtl/>
        </w:rPr>
        <w:t xml:space="preserve">)، الفقرة </w:t>
      </w:r>
      <w:r w:rsidRPr="00C8421F">
        <w:rPr>
          <w:rtl/>
        </w:rPr>
        <w:t>7</w:t>
      </w:r>
      <w:r w:rsidRPr="00772E40">
        <w:rPr>
          <w:rtl/>
        </w:rPr>
        <w:t>-</w:t>
      </w:r>
      <w:r w:rsidRPr="00C8421F">
        <w:rPr>
          <w:rtl/>
        </w:rPr>
        <w:t>11</w:t>
      </w:r>
      <w:r w:rsidRPr="00772E40">
        <w:rPr>
          <w:rtl/>
        </w:rPr>
        <w:t>.</w:t>
      </w:r>
    </w:p>
  </w:footnote>
  <w:footnote w:id="26">
    <w:p w14:paraId="630BABD5" w14:textId="48F2E267" w:rsidR="00C8421F" w:rsidRPr="00772E40" w:rsidRDefault="00C8421F" w:rsidP="00772E40">
      <w:pPr>
        <w:pStyle w:val="FootnoteText1"/>
        <w:textDirection w:val="tbRlV"/>
      </w:pPr>
      <w:r w:rsidRPr="00772E40">
        <w:rPr>
          <w:rtl/>
        </w:rPr>
        <w:t>(</w:t>
      </w:r>
      <w:r w:rsidRPr="00C8421F">
        <w:footnoteRef/>
      </w:r>
      <w:r w:rsidRPr="00772E40">
        <w:rPr>
          <w:rtl/>
        </w:rPr>
        <w:t>)</w:t>
      </w:r>
      <w:r w:rsidRPr="00772E40">
        <w:rPr>
          <w:rtl/>
        </w:rPr>
        <w:tab/>
        <w:t xml:space="preserve">انظر، في جملة أمور، قرارات اللجنة بشأن المقبولية فيما يتعلق ببلاغات </w:t>
      </w:r>
      <w:r w:rsidRPr="00C8421F">
        <w:rPr>
          <w:i/>
          <w:iCs/>
          <w:rtl/>
        </w:rPr>
        <w:t>أ. إ. ضد سويسرا</w:t>
      </w:r>
      <w:r w:rsidRPr="00772E40">
        <w:rPr>
          <w:rtl/>
        </w:rPr>
        <w:t xml:space="preserve"> (</w:t>
      </w:r>
      <w:r w:rsidRPr="00772E40">
        <w:t>CAT/C/</w:t>
      </w:r>
      <w:r w:rsidRPr="00C8421F">
        <w:t>14</w:t>
      </w:r>
      <w:r w:rsidRPr="00772E40">
        <w:t>/D/</w:t>
      </w:r>
      <w:r w:rsidRPr="00C8421F">
        <w:t>24</w:t>
      </w:r>
      <w:r w:rsidRPr="00772E40">
        <w:t>/</w:t>
      </w:r>
      <w:r w:rsidRPr="00C8421F">
        <w:t>1995</w:t>
      </w:r>
      <w:r w:rsidRPr="00772E40">
        <w:rPr>
          <w:rtl/>
        </w:rPr>
        <w:t xml:space="preserve">)، الفقرة </w:t>
      </w:r>
      <w:r w:rsidRPr="00C8421F">
        <w:rPr>
          <w:rtl/>
        </w:rPr>
        <w:t>4</w:t>
      </w:r>
      <w:r w:rsidRPr="00772E40">
        <w:rPr>
          <w:rtl/>
        </w:rPr>
        <w:t xml:space="preserve">؛ </w:t>
      </w:r>
      <w:proofErr w:type="spellStart"/>
      <w:r w:rsidRPr="00C8421F">
        <w:rPr>
          <w:i/>
          <w:iCs/>
          <w:rtl/>
        </w:rPr>
        <w:t>ويفلويف</w:t>
      </w:r>
      <w:proofErr w:type="spellEnd"/>
      <w:r w:rsidRPr="00C8421F">
        <w:rPr>
          <w:i/>
          <w:iCs/>
          <w:rtl/>
        </w:rPr>
        <w:t xml:space="preserve"> ضد كازاخستان</w:t>
      </w:r>
      <w:r w:rsidRPr="00772E40">
        <w:rPr>
          <w:rtl/>
        </w:rPr>
        <w:t xml:space="preserve">، الفقرة </w:t>
      </w:r>
      <w:r w:rsidRPr="00C8421F">
        <w:rPr>
          <w:rtl/>
        </w:rPr>
        <w:t>8</w:t>
      </w:r>
      <w:r w:rsidRPr="00772E40">
        <w:rPr>
          <w:rtl/>
        </w:rPr>
        <w:t>-</w:t>
      </w:r>
      <w:r w:rsidRPr="00C8421F">
        <w:rPr>
          <w:rtl/>
        </w:rPr>
        <w:t>6</w:t>
      </w:r>
      <w:r w:rsidRPr="00772E40">
        <w:rPr>
          <w:rtl/>
        </w:rPr>
        <w:t xml:space="preserve">؛ </w:t>
      </w:r>
      <w:r w:rsidRPr="00C8421F">
        <w:rPr>
          <w:i/>
          <w:iCs/>
          <w:rtl/>
        </w:rPr>
        <w:t>وراميريز مارتينيز وآخر</w:t>
      </w:r>
      <w:r w:rsidRPr="00C8421F">
        <w:rPr>
          <w:rFonts w:hint="cs"/>
          <w:i/>
          <w:iCs/>
          <w:rtl/>
        </w:rPr>
        <w:t>ي</w:t>
      </w:r>
      <w:r w:rsidRPr="00C8421F">
        <w:rPr>
          <w:i/>
          <w:iCs/>
          <w:rtl/>
        </w:rPr>
        <w:t>ن ضد المكسيك</w:t>
      </w:r>
      <w:r w:rsidRPr="00772E40">
        <w:rPr>
          <w:rtl/>
        </w:rPr>
        <w:t xml:space="preserve">، الفقرة </w:t>
      </w:r>
      <w:r w:rsidRPr="00C8421F">
        <w:rPr>
          <w:rtl/>
        </w:rPr>
        <w:t>16</w:t>
      </w:r>
      <w:r w:rsidRPr="00772E40">
        <w:rPr>
          <w:rtl/>
        </w:rPr>
        <w:t>-</w:t>
      </w:r>
      <w:r w:rsidRPr="00C8421F">
        <w:rPr>
          <w:rtl/>
        </w:rPr>
        <w:t>4</w:t>
      </w:r>
      <w:r w:rsidRPr="00772E40">
        <w:rPr>
          <w:rtl/>
        </w:rPr>
        <w:t xml:space="preserve">. </w:t>
      </w:r>
    </w:p>
  </w:footnote>
  <w:footnote w:id="27">
    <w:p w14:paraId="0D33D593" w14:textId="28E47218" w:rsidR="00C8421F" w:rsidRPr="00772E40" w:rsidRDefault="00C8421F" w:rsidP="00772E40">
      <w:pPr>
        <w:pStyle w:val="FootnoteText1"/>
        <w:textDirection w:val="tbRlV"/>
      </w:pPr>
      <w:r w:rsidRPr="00772E40">
        <w:rPr>
          <w:rtl/>
        </w:rPr>
        <w:t>(</w:t>
      </w:r>
      <w:r w:rsidRPr="00C8421F">
        <w:footnoteRef/>
      </w:r>
      <w:r w:rsidRPr="00772E40">
        <w:rPr>
          <w:rtl/>
        </w:rPr>
        <w:t>)</w:t>
      </w:r>
      <w:r w:rsidRPr="00772E40">
        <w:rPr>
          <w:rtl/>
        </w:rPr>
        <w:tab/>
      </w:r>
      <w:r w:rsidRPr="00C8421F">
        <w:rPr>
          <w:i/>
          <w:iCs/>
          <w:rtl/>
        </w:rPr>
        <w:t>راميريز مارتينيز وآخرون ضد المكسيك</w:t>
      </w:r>
      <w:r w:rsidRPr="00772E40">
        <w:rPr>
          <w:rtl/>
        </w:rPr>
        <w:t xml:space="preserve">، الفقرة </w:t>
      </w:r>
      <w:r w:rsidRPr="00C8421F">
        <w:rPr>
          <w:rtl/>
        </w:rPr>
        <w:t>16</w:t>
      </w:r>
      <w:r w:rsidRPr="00772E40">
        <w:rPr>
          <w:rtl/>
        </w:rPr>
        <w:t>-</w:t>
      </w:r>
      <w:r w:rsidRPr="00C8421F">
        <w:rPr>
          <w:rtl/>
        </w:rPr>
        <w:t>5</w:t>
      </w:r>
      <w:r w:rsidRPr="00772E40">
        <w:rPr>
          <w:rtl/>
        </w:rPr>
        <w:t>.</w:t>
      </w:r>
    </w:p>
  </w:footnote>
  <w:footnote w:id="28">
    <w:p w14:paraId="6DAFA1E6" w14:textId="5EF9D30A" w:rsidR="00C8421F" w:rsidRPr="00772E40" w:rsidRDefault="00C8421F" w:rsidP="00772E40">
      <w:pPr>
        <w:pStyle w:val="FootnoteText1"/>
        <w:textDirection w:val="tbRlV"/>
      </w:pPr>
      <w:r w:rsidRPr="00772E40">
        <w:rPr>
          <w:rtl/>
        </w:rPr>
        <w:t>(</w:t>
      </w:r>
      <w:r w:rsidRPr="00C8421F">
        <w:footnoteRef/>
      </w:r>
      <w:r w:rsidRPr="00772E40">
        <w:rPr>
          <w:rtl/>
        </w:rPr>
        <w:t>)</w:t>
      </w:r>
      <w:r w:rsidRPr="00772E40">
        <w:rPr>
          <w:rtl/>
        </w:rPr>
        <w:tab/>
      </w:r>
      <w:r w:rsidRPr="00C8421F">
        <w:rPr>
          <w:i/>
          <w:iCs/>
          <w:rtl/>
        </w:rPr>
        <w:t>المرجع نفسه</w:t>
      </w:r>
      <w:r w:rsidRPr="00772E40">
        <w:rPr>
          <w:rtl/>
        </w:rPr>
        <w:t xml:space="preserve">. </w:t>
      </w:r>
    </w:p>
  </w:footnote>
  <w:footnote w:id="29">
    <w:p w14:paraId="264B9BB4" w14:textId="31221C0C" w:rsidR="00C8421F" w:rsidRPr="00772E40" w:rsidRDefault="00C8421F" w:rsidP="00772E40">
      <w:pPr>
        <w:pStyle w:val="FootnoteText1"/>
        <w:textDirection w:val="tbRlV"/>
      </w:pPr>
      <w:r w:rsidRPr="00772E40">
        <w:rPr>
          <w:rtl/>
        </w:rPr>
        <w:t>(</w:t>
      </w:r>
      <w:r w:rsidRPr="00C8421F">
        <w:footnoteRef/>
      </w:r>
      <w:r w:rsidRPr="00772E40">
        <w:rPr>
          <w:rtl/>
        </w:rPr>
        <w:t>)</w:t>
      </w:r>
      <w:r w:rsidRPr="00772E40">
        <w:rPr>
          <w:rtl/>
        </w:rPr>
        <w:tab/>
      </w:r>
      <w:r w:rsidRPr="00772E40">
        <w:t>CAT/C/MEX/CO/</w:t>
      </w:r>
      <w:r w:rsidRPr="00C8421F">
        <w:t>7</w:t>
      </w:r>
      <w:r w:rsidRPr="00772E40">
        <w:rPr>
          <w:rtl/>
        </w:rPr>
        <w:t xml:space="preserve">، الفقرة </w:t>
      </w:r>
      <w:r w:rsidRPr="00C8421F">
        <w:rPr>
          <w:rtl/>
        </w:rPr>
        <w:t>15</w:t>
      </w:r>
      <w:r w:rsidRPr="00772E40">
        <w:rPr>
          <w:rtl/>
        </w:rPr>
        <w:t>.</w:t>
      </w:r>
    </w:p>
  </w:footnote>
  <w:footnote w:id="30">
    <w:p w14:paraId="285375E8" w14:textId="049AC40A" w:rsidR="00C8421F" w:rsidRPr="00772E40" w:rsidRDefault="00C8421F" w:rsidP="00772E40">
      <w:pPr>
        <w:pStyle w:val="FootnoteText1"/>
        <w:textDirection w:val="tbRlV"/>
      </w:pPr>
      <w:r w:rsidRPr="00772E40">
        <w:rPr>
          <w:rtl/>
        </w:rPr>
        <w:t>(</w:t>
      </w:r>
      <w:r w:rsidRPr="00C8421F">
        <w:footnoteRef/>
      </w:r>
      <w:r w:rsidRPr="00772E40">
        <w:rPr>
          <w:rtl/>
        </w:rPr>
        <w:t>)</w:t>
      </w:r>
      <w:r w:rsidRPr="00772E40">
        <w:rPr>
          <w:rtl/>
        </w:rPr>
        <w:tab/>
      </w:r>
      <w:r w:rsidRPr="00C8421F">
        <w:rPr>
          <w:i/>
          <w:iCs/>
          <w:rtl/>
        </w:rPr>
        <w:t>المرجع نفسه</w:t>
      </w:r>
      <w:r w:rsidRPr="00772E40">
        <w:rPr>
          <w:rtl/>
        </w:rPr>
        <w:t xml:space="preserve">، الفقرة </w:t>
      </w:r>
      <w:r w:rsidRPr="00C8421F">
        <w:rPr>
          <w:rtl/>
        </w:rPr>
        <w:t>17</w:t>
      </w:r>
      <w:r w:rsidRPr="00772E40">
        <w:rPr>
          <w:rtl/>
        </w:rPr>
        <w:t xml:space="preserve">. </w:t>
      </w:r>
    </w:p>
  </w:footnote>
  <w:footnote w:id="31">
    <w:p w14:paraId="0A56152D" w14:textId="405F78A4" w:rsidR="00C8421F" w:rsidRPr="00772E40" w:rsidRDefault="00C8421F" w:rsidP="00772E40">
      <w:pPr>
        <w:pStyle w:val="FootnoteText1"/>
        <w:textDirection w:val="tbRlV"/>
      </w:pPr>
      <w:r w:rsidRPr="00772E40">
        <w:rPr>
          <w:rtl/>
        </w:rPr>
        <w:t>(</w:t>
      </w:r>
      <w:r w:rsidRPr="00C8421F">
        <w:footnoteRef/>
      </w:r>
      <w:r w:rsidRPr="00772E40">
        <w:rPr>
          <w:rtl/>
        </w:rPr>
        <w:t>)</w:t>
      </w:r>
      <w:r w:rsidRPr="00772E40">
        <w:rPr>
          <w:rtl/>
        </w:rPr>
        <w:tab/>
      </w:r>
      <w:r w:rsidRPr="00C8421F">
        <w:rPr>
          <w:i/>
          <w:iCs/>
          <w:rtl/>
        </w:rPr>
        <w:t>راميريز مارتينيز وآخرون ضد المكسيك</w:t>
      </w:r>
      <w:r w:rsidRPr="00772E40">
        <w:rPr>
          <w:rtl/>
        </w:rPr>
        <w:t xml:space="preserve">، الفقرة </w:t>
      </w:r>
      <w:r w:rsidRPr="00C8421F">
        <w:rPr>
          <w:rtl/>
        </w:rPr>
        <w:t>17</w:t>
      </w:r>
      <w:r w:rsidRPr="00772E40">
        <w:rPr>
          <w:rtl/>
        </w:rPr>
        <w:t>-</w:t>
      </w:r>
      <w:r w:rsidRPr="00C8421F">
        <w:rPr>
          <w:rtl/>
        </w:rPr>
        <w:t>7</w:t>
      </w:r>
      <w:r w:rsidRPr="00772E40">
        <w:rPr>
          <w:rtl/>
        </w:rPr>
        <w:t>.</w:t>
      </w:r>
    </w:p>
  </w:footnote>
  <w:footnote w:id="32">
    <w:p w14:paraId="6F9605BD" w14:textId="29A41095" w:rsidR="00C8421F" w:rsidRPr="00772E40" w:rsidRDefault="00C8421F" w:rsidP="00772E40">
      <w:pPr>
        <w:pStyle w:val="FootnoteText1"/>
        <w:textDirection w:val="tbRlV"/>
      </w:pPr>
      <w:r w:rsidRPr="00772E40">
        <w:rPr>
          <w:rtl/>
        </w:rPr>
        <w:t>(</w:t>
      </w:r>
      <w:r w:rsidRPr="00C8421F">
        <w:footnoteRef/>
      </w:r>
      <w:r w:rsidRPr="00772E40">
        <w:rPr>
          <w:rtl/>
        </w:rPr>
        <w:t>)</w:t>
      </w:r>
      <w:r w:rsidRPr="00772E40">
        <w:rPr>
          <w:rtl/>
        </w:rPr>
        <w:tab/>
        <w:t xml:space="preserve">انظر، في جملة قرارات، قرار اللجنة بشأن البلاغ المقدم من </w:t>
      </w:r>
      <w:proofErr w:type="spellStart"/>
      <w:r w:rsidRPr="00C8421F">
        <w:rPr>
          <w:i/>
          <w:iCs/>
          <w:rtl/>
        </w:rPr>
        <w:t>يفلويف</w:t>
      </w:r>
      <w:proofErr w:type="spellEnd"/>
      <w:r w:rsidRPr="00C8421F">
        <w:rPr>
          <w:i/>
          <w:iCs/>
          <w:rtl/>
        </w:rPr>
        <w:t xml:space="preserve"> ضد كازاخستان</w:t>
      </w:r>
      <w:r w:rsidRPr="00772E40">
        <w:rPr>
          <w:rtl/>
        </w:rPr>
        <w:t xml:space="preserve">، الفقرتين </w:t>
      </w:r>
      <w:r w:rsidRPr="00C8421F">
        <w:rPr>
          <w:rtl/>
        </w:rPr>
        <w:t>9</w:t>
      </w:r>
      <w:r w:rsidRPr="00772E40">
        <w:rPr>
          <w:rtl/>
        </w:rPr>
        <w:t>-</w:t>
      </w:r>
      <w:r w:rsidRPr="00C8421F">
        <w:rPr>
          <w:rtl/>
        </w:rPr>
        <w:t>4</w:t>
      </w:r>
      <w:r w:rsidRPr="00772E40">
        <w:rPr>
          <w:rtl/>
        </w:rPr>
        <w:t xml:space="preserve"> و</w:t>
      </w:r>
      <w:r w:rsidRPr="00C8421F">
        <w:rPr>
          <w:rtl/>
        </w:rPr>
        <w:t>9</w:t>
      </w:r>
      <w:r w:rsidRPr="00772E40">
        <w:rPr>
          <w:rtl/>
        </w:rPr>
        <w:t>-</w:t>
      </w:r>
      <w:r w:rsidRPr="00C8421F">
        <w:rPr>
          <w:rtl/>
        </w:rPr>
        <w:t>5</w:t>
      </w:r>
      <w:r w:rsidRPr="00772E40">
        <w:rPr>
          <w:rtl/>
        </w:rPr>
        <w:t>.</w:t>
      </w:r>
    </w:p>
  </w:footnote>
  <w:footnote w:id="33">
    <w:p w14:paraId="05CDB489" w14:textId="161CF847" w:rsidR="00C8421F" w:rsidRPr="00772E40" w:rsidRDefault="00C8421F" w:rsidP="00772E40">
      <w:pPr>
        <w:pStyle w:val="FootnoteText1"/>
        <w:textDirection w:val="tbRlV"/>
      </w:pPr>
      <w:r w:rsidRPr="00772E40">
        <w:rPr>
          <w:rtl/>
        </w:rPr>
        <w:t>(</w:t>
      </w:r>
      <w:r w:rsidRPr="00C8421F">
        <w:footnoteRef/>
      </w:r>
      <w:r w:rsidRPr="00772E40">
        <w:rPr>
          <w:rtl/>
        </w:rPr>
        <w:t>)</w:t>
      </w:r>
      <w:r w:rsidRPr="00772E40">
        <w:rPr>
          <w:rtl/>
        </w:rPr>
        <w:tab/>
      </w:r>
      <w:r w:rsidRPr="00C8421F">
        <w:rPr>
          <w:i/>
          <w:iCs/>
          <w:rtl/>
        </w:rPr>
        <w:t>المرجع نفسه</w:t>
      </w:r>
      <w:r w:rsidRPr="00772E40">
        <w:rPr>
          <w:rtl/>
        </w:rPr>
        <w:t xml:space="preserve">، الفقرة </w:t>
      </w:r>
      <w:r w:rsidRPr="00C8421F">
        <w:rPr>
          <w:rtl/>
        </w:rPr>
        <w:t>9</w:t>
      </w:r>
      <w:r w:rsidRPr="00772E40">
        <w:rPr>
          <w:rtl/>
        </w:rPr>
        <w:t>-</w:t>
      </w:r>
      <w:r w:rsidRPr="00C8421F">
        <w:rPr>
          <w:rtl/>
        </w:rPr>
        <w:t>5</w:t>
      </w:r>
      <w:r w:rsidRPr="00772E40">
        <w:rPr>
          <w:rtl/>
        </w:rPr>
        <w:t>.</w:t>
      </w:r>
    </w:p>
  </w:footnote>
  <w:footnote w:id="34">
    <w:p w14:paraId="7CD92F76" w14:textId="706D6E97" w:rsidR="00C8421F" w:rsidRPr="00772E40" w:rsidRDefault="00C8421F" w:rsidP="00772E40">
      <w:pPr>
        <w:pStyle w:val="FootnoteText1"/>
        <w:textDirection w:val="tbRlV"/>
      </w:pPr>
      <w:r w:rsidRPr="00772E40">
        <w:rPr>
          <w:rtl/>
        </w:rPr>
        <w:t>(</w:t>
      </w:r>
      <w:r w:rsidRPr="00C8421F">
        <w:footnoteRef/>
      </w:r>
      <w:r w:rsidRPr="00772E40">
        <w:rPr>
          <w:rtl/>
        </w:rPr>
        <w:t>)</w:t>
      </w:r>
      <w:r w:rsidRPr="00772E40">
        <w:rPr>
          <w:rtl/>
        </w:rPr>
        <w:tab/>
      </w:r>
      <w:proofErr w:type="spellStart"/>
      <w:r w:rsidRPr="00C8421F">
        <w:rPr>
          <w:i/>
          <w:iCs/>
          <w:rtl/>
        </w:rPr>
        <w:t>ديميتريفيتش</w:t>
      </w:r>
      <w:proofErr w:type="spellEnd"/>
      <w:r w:rsidRPr="00C8421F">
        <w:rPr>
          <w:i/>
          <w:iCs/>
          <w:rtl/>
        </w:rPr>
        <w:t xml:space="preserve"> ضد صربيا والجبل الأسود</w:t>
      </w:r>
      <w:r w:rsidRPr="00772E40">
        <w:rPr>
          <w:rtl/>
        </w:rPr>
        <w:t xml:space="preserve"> (</w:t>
      </w:r>
      <w:r w:rsidRPr="00772E40">
        <w:t>CAT/C/</w:t>
      </w:r>
      <w:r w:rsidRPr="00C8421F">
        <w:t>33</w:t>
      </w:r>
      <w:r w:rsidRPr="00772E40">
        <w:t>/D/</w:t>
      </w:r>
      <w:r w:rsidRPr="00C8421F">
        <w:t>207</w:t>
      </w:r>
      <w:r w:rsidRPr="00772E40">
        <w:t>/</w:t>
      </w:r>
      <w:r w:rsidRPr="00C8421F">
        <w:t>2002</w:t>
      </w:r>
      <w:r w:rsidRPr="00772E40">
        <w:rPr>
          <w:rtl/>
        </w:rPr>
        <w:t xml:space="preserve">)، الفقرة </w:t>
      </w:r>
      <w:r w:rsidRPr="00C8421F">
        <w:rPr>
          <w:rtl/>
        </w:rPr>
        <w:t>5</w:t>
      </w:r>
      <w:r w:rsidRPr="00772E40">
        <w:rPr>
          <w:rtl/>
        </w:rPr>
        <w:t>-</w:t>
      </w:r>
      <w:r w:rsidRPr="00C8421F">
        <w:rPr>
          <w:rtl/>
        </w:rPr>
        <w:t>4</w:t>
      </w:r>
      <w:r w:rsidRPr="00772E40">
        <w:rPr>
          <w:rtl/>
        </w:rPr>
        <w:t xml:space="preserve">. </w:t>
      </w:r>
    </w:p>
  </w:footnote>
  <w:footnote w:id="35">
    <w:p w14:paraId="09AC0529" w14:textId="31389CE7" w:rsidR="00C8421F" w:rsidRPr="00772E40" w:rsidRDefault="00C8421F" w:rsidP="00772E40">
      <w:pPr>
        <w:pStyle w:val="FootnoteText1"/>
        <w:textDirection w:val="tbRlV"/>
        <w:rPr>
          <w:rFonts w:hint="cs"/>
        </w:rPr>
      </w:pPr>
      <w:r w:rsidRPr="00772E40">
        <w:rPr>
          <w:rtl/>
        </w:rPr>
        <w:t>(</w:t>
      </w:r>
      <w:r w:rsidRPr="00C8421F">
        <w:footnoteRef/>
      </w:r>
      <w:r w:rsidRPr="00772E40">
        <w:rPr>
          <w:rtl/>
        </w:rPr>
        <w:t>)</w:t>
      </w:r>
      <w:r w:rsidRPr="00772E40">
        <w:rPr>
          <w:rtl/>
        </w:rPr>
        <w:tab/>
        <w:t xml:space="preserve">التعليق العام رقم </w:t>
      </w:r>
      <w:r w:rsidRPr="00C8421F">
        <w:rPr>
          <w:rtl/>
        </w:rPr>
        <w:t>3</w:t>
      </w:r>
      <w:r w:rsidRPr="00772E40">
        <w:rPr>
          <w:rtl/>
        </w:rPr>
        <w:t xml:space="preserve">، الفقرة </w:t>
      </w:r>
      <w:r w:rsidRPr="00C8421F">
        <w:rPr>
          <w:rtl/>
        </w:rPr>
        <w:t>11</w:t>
      </w:r>
      <w:r w:rsidRPr="00772E40">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924CB" w14:textId="7039E9C6" w:rsidR="00C8421F" w:rsidRPr="00895DA3" w:rsidRDefault="00C8421F" w:rsidP="00895DA3">
    <w:pPr>
      <w:pStyle w:val="Header"/>
      <w:spacing w:line="240" w:lineRule="auto"/>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CAT/C/71/D/759/2016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F1273" w14:textId="03F37E8D" w:rsidR="00C8421F" w:rsidRPr="00895DA3" w:rsidRDefault="00C8421F" w:rsidP="00895DA3">
    <w:pPr>
      <w:pStyle w:val="Header"/>
      <w:bidi w:val="0"/>
      <w:spacing w:line="240" w:lineRule="auto"/>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CAT/C/71/D/759/2016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B3"/>
    <w:rsid w:val="00004B7A"/>
    <w:rsid w:val="000076D5"/>
    <w:rsid w:val="00043663"/>
    <w:rsid w:val="000456F3"/>
    <w:rsid w:val="000505CF"/>
    <w:rsid w:val="000A2113"/>
    <w:rsid w:val="000D701C"/>
    <w:rsid w:val="000E11D4"/>
    <w:rsid w:val="000E2A71"/>
    <w:rsid w:val="000F71D2"/>
    <w:rsid w:val="00160263"/>
    <w:rsid w:val="00161F29"/>
    <w:rsid w:val="00166BD2"/>
    <w:rsid w:val="00167825"/>
    <w:rsid w:val="00170EB3"/>
    <w:rsid w:val="00181F96"/>
    <w:rsid w:val="001A1371"/>
    <w:rsid w:val="001B346A"/>
    <w:rsid w:val="001D6F7B"/>
    <w:rsid w:val="001E1CAD"/>
    <w:rsid w:val="001E290D"/>
    <w:rsid w:val="00210DD4"/>
    <w:rsid w:val="002144FA"/>
    <w:rsid w:val="0023469A"/>
    <w:rsid w:val="00243C8A"/>
    <w:rsid w:val="00261289"/>
    <w:rsid w:val="00265275"/>
    <w:rsid w:val="00266034"/>
    <w:rsid w:val="0026755E"/>
    <w:rsid w:val="00267A0E"/>
    <w:rsid w:val="002901D9"/>
    <w:rsid w:val="002976C2"/>
    <w:rsid w:val="002F6DFB"/>
    <w:rsid w:val="00323EC8"/>
    <w:rsid w:val="003260FF"/>
    <w:rsid w:val="00343D95"/>
    <w:rsid w:val="00362E33"/>
    <w:rsid w:val="00374341"/>
    <w:rsid w:val="00384DA7"/>
    <w:rsid w:val="003D1062"/>
    <w:rsid w:val="00420D7B"/>
    <w:rsid w:val="00450B21"/>
    <w:rsid w:val="00453B63"/>
    <w:rsid w:val="00455780"/>
    <w:rsid w:val="00462F28"/>
    <w:rsid w:val="00472BE8"/>
    <w:rsid w:val="004811D5"/>
    <w:rsid w:val="004956DC"/>
    <w:rsid w:val="004B0A1C"/>
    <w:rsid w:val="004D2177"/>
    <w:rsid w:val="004D298E"/>
    <w:rsid w:val="00531DEA"/>
    <w:rsid w:val="0054472E"/>
    <w:rsid w:val="005662A9"/>
    <w:rsid w:val="005755B3"/>
    <w:rsid w:val="00575E9A"/>
    <w:rsid w:val="005827D4"/>
    <w:rsid w:val="0059622A"/>
    <w:rsid w:val="005A3015"/>
    <w:rsid w:val="005C5878"/>
    <w:rsid w:val="005C7CEA"/>
    <w:rsid w:val="005D3C0B"/>
    <w:rsid w:val="005E23DF"/>
    <w:rsid w:val="005E5217"/>
    <w:rsid w:val="005F0FA4"/>
    <w:rsid w:val="005F30EE"/>
    <w:rsid w:val="0060473A"/>
    <w:rsid w:val="00656392"/>
    <w:rsid w:val="006646E9"/>
    <w:rsid w:val="0068781D"/>
    <w:rsid w:val="006959B0"/>
    <w:rsid w:val="006B2A7F"/>
    <w:rsid w:val="006B3E27"/>
    <w:rsid w:val="006B6507"/>
    <w:rsid w:val="006C104C"/>
    <w:rsid w:val="006D05CB"/>
    <w:rsid w:val="006E7EF7"/>
    <w:rsid w:val="00706DFD"/>
    <w:rsid w:val="00712059"/>
    <w:rsid w:val="00733704"/>
    <w:rsid w:val="00747D22"/>
    <w:rsid w:val="00761849"/>
    <w:rsid w:val="00772E40"/>
    <w:rsid w:val="0078071A"/>
    <w:rsid w:val="007A3847"/>
    <w:rsid w:val="007D56C1"/>
    <w:rsid w:val="00817373"/>
    <w:rsid w:val="00852A9A"/>
    <w:rsid w:val="00860491"/>
    <w:rsid w:val="00874514"/>
    <w:rsid w:val="00893A8A"/>
    <w:rsid w:val="00895DA3"/>
    <w:rsid w:val="00897AA1"/>
    <w:rsid w:val="008C0B37"/>
    <w:rsid w:val="008F49E1"/>
    <w:rsid w:val="0090370F"/>
    <w:rsid w:val="00906A57"/>
    <w:rsid w:val="009269D2"/>
    <w:rsid w:val="00942135"/>
    <w:rsid w:val="009521B0"/>
    <w:rsid w:val="00972676"/>
    <w:rsid w:val="00981C12"/>
    <w:rsid w:val="009A7E9F"/>
    <w:rsid w:val="009E0828"/>
    <w:rsid w:val="009E4397"/>
    <w:rsid w:val="009E482D"/>
    <w:rsid w:val="009E5018"/>
    <w:rsid w:val="009F09F5"/>
    <w:rsid w:val="00A12B37"/>
    <w:rsid w:val="00A34EA8"/>
    <w:rsid w:val="00A44D86"/>
    <w:rsid w:val="00A67AF5"/>
    <w:rsid w:val="00A94CA3"/>
    <w:rsid w:val="00AB2C0B"/>
    <w:rsid w:val="00AB6758"/>
    <w:rsid w:val="00B07715"/>
    <w:rsid w:val="00B13763"/>
    <w:rsid w:val="00B456A0"/>
    <w:rsid w:val="00B477A4"/>
    <w:rsid w:val="00B54045"/>
    <w:rsid w:val="00B82677"/>
    <w:rsid w:val="00BA39D4"/>
    <w:rsid w:val="00BD0805"/>
    <w:rsid w:val="00C438D7"/>
    <w:rsid w:val="00C62476"/>
    <w:rsid w:val="00C81B50"/>
    <w:rsid w:val="00C8421F"/>
    <w:rsid w:val="00C87F1F"/>
    <w:rsid w:val="00C96AFF"/>
    <w:rsid w:val="00CA2103"/>
    <w:rsid w:val="00CA35DF"/>
    <w:rsid w:val="00CD1801"/>
    <w:rsid w:val="00CF25FC"/>
    <w:rsid w:val="00D10EF1"/>
    <w:rsid w:val="00D42810"/>
    <w:rsid w:val="00D914A7"/>
    <w:rsid w:val="00DB712F"/>
    <w:rsid w:val="00DC1D29"/>
    <w:rsid w:val="00DD13C3"/>
    <w:rsid w:val="00DD596E"/>
    <w:rsid w:val="00DD621E"/>
    <w:rsid w:val="00DF0575"/>
    <w:rsid w:val="00E0448E"/>
    <w:rsid w:val="00E2697F"/>
    <w:rsid w:val="00E64B72"/>
    <w:rsid w:val="00E70E04"/>
    <w:rsid w:val="00E76499"/>
    <w:rsid w:val="00EC05A7"/>
    <w:rsid w:val="00EC4B6B"/>
    <w:rsid w:val="00EE56C3"/>
    <w:rsid w:val="00EF1EE5"/>
    <w:rsid w:val="00F1695F"/>
    <w:rsid w:val="00F62057"/>
    <w:rsid w:val="00F763B4"/>
    <w:rsid w:val="00F81AF1"/>
    <w:rsid w:val="00F900C3"/>
    <w:rsid w:val="00FF2AB2"/>
    <w:rsid w:val="00FF324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11E874"/>
  <w15:docId w15:val="{273DCB92-39E5-4EF1-8BFC-EB20706C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2F"/>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DB712F"/>
    <w:pPr>
      <w:bidi w:val="0"/>
      <w:outlineLvl w:val="0"/>
    </w:pPr>
  </w:style>
  <w:style w:type="paragraph" w:styleId="Heading2">
    <w:name w:val="heading 2"/>
    <w:basedOn w:val="Normal"/>
    <w:next w:val="Normal"/>
    <w:link w:val="Heading2Char"/>
    <w:uiPriority w:val="9"/>
    <w:unhideWhenUsed/>
    <w:rsid w:val="00DB712F"/>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DB712F"/>
    <w:pPr>
      <w:keepNext/>
      <w:keepLines/>
      <w:spacing w:before="200"/>
      <w:outlineLvl w:val="2"/>
    </w:pPr>
    <w:rPr>
      <w:b/>
      <w:bCs/>
      <w:color w:val="4F81BD"/>
    </w:rPr>
  </w:style>
  <w:style w:type="paragraph" w:styleId="Heading4">
    <w:name w:val="heading 4"/>
    <w:basedOn w:val="Normal"/>
    <w:next w:val="Normal"/>
    <w:link w:val="Heading4Char"/>
    <w:uiPriority w:val="9"/>
    <w:unhideWhenUsed/>
    <w:rsid w:val="00DB712F"/>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DB712F"/>
    <w:pPr>
      <w:keepNext/>
      <w:keepLines/>
      <w:spacing w:before="200"/>
      <w:outlineLvl w:val="4"/>
    </w:pPr>
    <w:rPr>
      <w:color w:val="243F60"/>
    </w:rPr>
  </w:style>
  <w:style w:type="paragraph" w:styleId="Heading6">
    <w:name w:val="heading 6"/>
    <w:basedOn w:val="Normal"/>
    <w:next w:val="Normal"/>
    <w:link w:val="Heading6Char"/>
    <w:uiPriority w:val="9"/>
    <w:unhideWhenUsed/>
    <w:rsid w:val="00DB712F"/>
    <w:pPr>
      <w:keepNext/>
      <w:keepLines/>
      <w:spacing w:before="200"/>
      <w:outlineLvl w:val="5"/>
    </w:pPr>
    <w:rPr>
      <w:i/>
      <w:iCs/>
      <w:color w:val="243F60"/>
    </w:rPr>
  </w:style>
  <w:style w:type="paragraph" w:styleId="Heading7">
    <w:name w:val="heading 7"/>
    <w:basedOn w:val="Normal"/>
    <w:next w:val="Normal"/>
    <w:link w:val="Heading7Char"/>
    <w:uiPriority w:val="9"/>
    <w:unhideWhenUsed/>
    <w:rsid w:val="00DB712F"/>
    <w:pPr>
      <w:keepNext/>
      <w:keepLines/>
      <w:spacing w:before="200"/>
      <w:outlineLvl w:val="6"/>
    </w:pPr>
    <w:rPr>
      <w:i/>
      <w:iCs/>
      <w:color w:val="404040"/>
    </w:rPr>
  </w:style>
  <w:style w:type="paragraph" w:styleId="Heading8">
    <w:name w:val="heading 8"/>
    <w:basedOn w:val="Normal"/>
    <w:next w:val="Normal"/>
    <w:link w:val="Heading8Char"/>
    <w:uiPriority w:val="9"/>
    <w:unhideWhenUsed/>
    <w:rsid w:val="00DB712F"/>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DB712F"/>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DB712F"/>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DB712F"/>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Footnote number,Footnotes refss,Style 10,referencia nota al pie,Footnote text"/>
    <w:qFormat/>
    <w:rsid w:val="00DB712F"/>
    <w:rPr>
      <w:szCs w:val="18"/>
      <w:vertAlign w:val="superscript"/>
    </w:rPr>
  </w:style>
  <w:style w:type="paragraph" w:customStyle="1" w:styleId="HMGA">
    <w:name w:val="_ H __M_GA"/>
    <w:basedOn w:val="Normal"/>
    <w:next w:val="SingleTxtGA"/>
    <w:qFormat/>
    <w:rsid w:val="00DB712F"/>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DB712F"/>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DB712F"/>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DB712F"/>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DB712F"/>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DB712F"/>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DB712F"/>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DB712F"/>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DB712F"/>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DB712F"/>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DB712F"/>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DB712F"/>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DB712F"/>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DB712F"/>
    <w:pPr>
      <w:numPr>
        <w:numId w:val="5"/>
      </w:numPr>
      <w:bidi w:val="0"/>
    </w:pPr>
    <w:rPr>
      <w:lang w:val="en-US"/>
    </w:rPr>
  </w:style>
  <w:style w:type="paragraph" w:customStyle="1" w:styleId="Roman1GA">
    <w:name w:val="_Roman 1_GA"/>
    <w:basedOn w:val="Bullet1GA"/>
    <w:qFormat/>
    <w:rsid w:val="00DB712F"/>
    <w:pPr>
      <w:numPr>
        <w:numId w:val="6"/>
      </w:numPr>
      <w:tabs>
        <w:tab w:val="clear" w:pos="2310"/>
        <w:tab w:val="left" w:pos="2486"/>
      </w:tabs>
      <w:ind w:left="2486" w:hanging="378"/>
    </w:pPr>
  </w:style>
  <w:style w:type="paragraph" w:customStyle="1" w:styleId="Roman2GA">
    <w:name w:val="_Roman 2_GA"/>
    <w:basedOn w:val="Bullet2GA"/>
    <w:qFormat/>
    <w:rsid w:val="00DB712F"/>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DB712F"/>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DB712F"/>
    <w:rPr>
      <w:rFonts w:ascii="Times New Roman" w:eastAsia="PMingLiU" w:hAnsi="Times New Roman" w:cs="Simplified Arabic"/>
      <w:sz w:val="18"/>
      <w:lang w:val="en-GB" w:eastAsia="en-US"/>
    </w:rPr>
  </w:style>
  <w:style w:type="character" w:customStyle="1" w:styleId="EndtnoteReference">
    <w:name w:val="Endtnote Reference"/>
    <w:aliases w:val="1_GA"/>
    <w:qFormat/>
    <w:rsid w:val="00DB712F"/>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DB712F"/>
    <w:pPr>
      <w:suppressAutoHyphens/>
      <w:bidi w:val="0"/>
      <w:spacing w:line="240" w:lineRule="auto"/>
    </w:pPr>
    <w:rPr>
      <w:sz w:val="16"/>
      <w:lang w:val="en-GB"/>
    </w:rPr>
  </w:style>
  <w:style w:type="character" w:customStyle="1" w:styleId="FooterChar">
    <w:name w:val="Footer Char"/>
    <w:aliases w:val="3_GA Char,3_G Char"/>
    <w:link w:val="Footer"/>
    <w:rsid w:val="00DB712F"/>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DB712F"/>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DB712F"/>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DB712F"/>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DB712F"/>
    <w:rPr>
      <w:rFonts w:ascii="Times New Roman" w:eastAsia="PMingLiU" w:hAnsi="Times New Roman" w:cs="Simplified Arabic"/>
      <w:sz w:val="22"/>
      <w:szCs w:val="22"/>
      <w:lang w:val="en-GB" w:eastAsia="en-US"/>
    </w:rPr>
  </w:style>
  <w:style w:type="character" w:styleId="PageNumber">
    <w:name w:val="page number"/>
    <w:aliases w:val="7_GA,7_G"/>
    <w:qFormat/>
    <w:rsid w:val="00DB712F"/>
    <w:rPr>
      <w:rFonts w:ascii="Times New Roman Bold" w:hAnsi="Times New Roman Bold"/>
      <w:b/>
      <w:i w:val="0"/>
      <w:sz w:val="18"/>
      <w:szCs w:val="18"/>
    </w:rPr>
  </w:style>
  <w:style w:type="paragraph" w:customStyle="1" w:styleId="XXLargeGA">
    <w:name w:val="XXLarge_GA"/>
    <w:basedOn w:val="Normal"/>
    <w:next w:val="SingleTxtGA"/>
    <w:qFormat/>
    <w:rsid w:val="00DB712F"/>
    <w:pPr>
      <w:suppressAutoHyphens/>
      <w:spacing w:line="820" w:lineRule="exact"/>
    </w:pPr>
    <w:rPr>
      <w:spacing w:val="-8"/>
      <w:w w:val="96"/>
      <w:sz w:val="57"/>
      <w:szCs w:val="86"/>
      <w:lang w:val="en-GB"/>
    </w:rPr>
  </w:style>
  <w:style w:type="character" w:customStyle="1" w:styleId="Heading2Char">
    <w:name w:val="Heading 2 Char"/>
    <w:link w:val="Heading2"/>
    <w:uiPriority w:val="9"/>
    <w:rsid w:val="00DB712F"/>
    <w:rPr>
      <w:rFonts w:ascii="Times New Roman" w:eastAsia="PMingLiU" w:hAnsi="Times New Roman" w:cs="Simplified Arabic"/>
      <w:b/>
      <w:bCs/>
      <w:color w:val="4F81BD"/>
      <w:sz w:val="26"/>
      <w:szCs w:val="26"/>
      <w:lang w:eastAsia="en-US"/>
    </w:rPr>
  </w:style>
  <w:style w:type="character" w:styleId="BookTitle">
    <w:name w:val="Book Title"/>
    <w:uiPriority w:val="33"/>
    <w:rsid w:val="00DB712F"/>
    <w:rPr>
      <w:b/>
      <w:bCs/>
      <w:smallCaps/>
      <w:spacing w:val="5"/>
    </w:rPr>
  </w:style>
  <w:style w:type="character" w:customStyle="1" w:styleId="Heading3Char">
    <w:name w:val="Heading 3 Char"/>
    <w:link w:val="Heading3"/>
    <w:uiPriority w:val="9"/>
    <w:rsid w:val="00DB712F"/>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DB712F"/>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DB712F"/>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DB712F"/>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DB712F"/>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DB712F"/>
    <w:rPr>
      <w:rFonts w:ascii="Times New Roman" w:eastAsia="PMingLiU" w:hAnsi="Times New Roman" w:cs="Simplified Arabic"/>
      <w:color w:val="404040"/>
      <w:lang w:eastAsia="en-US"/>
    </w:rPr>
  </w:style>
  <w:style w:type="character" w:customStyle="1" w:styleId="Heading9Char">
    <w:name w:val="Heading 9 Char"/>
    <w:link w:val="Heading9"/>
    <w:uiPriority w:val="9"/>
    <w:rsid w:val="00DB712F"/>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DB712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DB712F"/>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DB712F"/>
    <w:pPr>
      <w:numPr>
        <w:ilvl w:val="1"/>
      </w:numPr>
    </w:pPr>
    <w:rPr>
      <w:i/>
      <w:iCs/>
      <w:color w:val="4F81BD"/>
      <w:spacing w:val="15"/>
      <w:sz w:val="24"/>
      <w:szCs w:val="24"/>
    </w:rPr>
  </w:style>
  <w:style w:type="character" w:customStyle="1" w:styleId="SubtitleChar">
    <w:name w:val="Subtitle Char"/>
    <w:link w:val="Subtitle"/>
    <w:uiPriority w:val="11"/>
    <w:rsid w:val="00DB712F"/>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DB712F"/>
    <w:rPr>
      <w:i/>
      <w:iCs/>
      <w:color w:val="808080"/>
    </w:rPr>
  </w:style>
  <w:style w:type="table" w:styleId="ColorfulGrid-Accent6">
    <w:name w:val="Colorful Grid Accent 6"/>
    <w:basedOn w:val="TableNormal"/>
    <w:uiPriority w:val="73"/>
    <w:rsid w:val="00DB712F"/>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DB712F"/>
    <w:rPr>
      <w:i/>
      <w:iCs/>
    </w:rPr>
  </w:style>
  <w:style w:type="character" w:styleId="IntenseEmphasis">
    <w:name w:val="Intense Emphasis"/>
    <w:uiPriority w:val="21"/>
    <w:rsid w:val="00DB712F"/>
    <w:rPr>
      <w:b/>
      <w:bCs/>
      <w:i/>
      <w:iCs/>
      <w:color w:val="4F81BD"/>
    </w:rPr>
  </w:style>
  <w:style w:type="character" w:styleId="Strong">
    <w:name w:val="Strong"/>
    <w:uiPriority w:val="22"/>
    <w:rsid w:val="00DB712F"/>
    <w:rPr>
      <w:b/>
      <w:bCs/>
    </w:rPr>
  </w:style>
  <w:style w:type="paragraph" w:styleId="Quote">
    <w:name w:val="Quote"/>
    <w:basedOn w:val="Normal"/>
    <w:next w:val="Normal"/>
    <w:link w:val="QuoteChar"/>
    <w:uiPriority w:val="29"/>
    <w:rsid w:val="00DB712F"/>
    <w:rPr>
      <w:i/>
      <w:iCs/>
      <w:color w:val="000000"/>
    </w:rPr>
  </w:style>
  <w:style w:type="character" w:customStyle="1" w:styleId="QuoteChar">
    <w:name w:val="Quote Char"/>
    <w:link w:val="Quote"/>
    <w:uiPriority w:val="29"/>
    <w:rsid w:val="00DB712F"/>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DB712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B712F"/>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DB712F"/>
    <w:rPr>
      <w:smallCaps/>
      <w:color w:val="C0504D"/>
      <w:u w:val="single"/>
    </w:rPr>
  </w:style>
  <w:style w:type="character" w:styleId="IntenseReference">
    <w:name w:val="Intense Reference"/>
    <w:uiPriority w:val="32"/>
    <w:rsid w:val="00DB712F"/>
    <w:rPr>
      <w:b/>
      <w:bCs/>
      <w:smallCaps/>
      <w:color w:val="C0504D"/>
      <w:spacing w:val="5"/>
      <w:u w:val="single"/>
    </w:rPr>
  </w:style>
  <w:style w:type="paragraph" w:styleId="ListParagraph">
    <w:name w:val="List Paragraph"/>
    <w:basedOn w:val="Normal"/>
    <w:uiPriority w:val="34"/>
    <w:rsid w:val="00DB712F"/>
    <w:pPr>
      <w:ind w:left="720"/>
      <w:contextualSpacing/>
    </w:pPr>
  </w:style>
  <w:style w:type="table" w:styleId="MediumShading1-Accent4">
    <w:name w:val="Medium Shading 1 Accent 4"/>
    <w:basedOn w:val="TableNormal"/>
    <w:uiPriority w:val="63"/>
    <w:rsid w:val="00DB712F"/>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DB712F"/>
    <w:rPr>
      <w:rFonts w:eastAsia="MS Mincho"/>
      <w:sz w:val="18"/>
      <w:vertAlign w:val="superscript"/>
    </w:rPr>
  </w:style>
  <w:style w:type="table" w:styleId="TableGrid">
    <w:name w:val="Table Grid"/>
    <w:basedOn w:val="TableNormal"/>
    <w:rsid w:val="00DB712F"/>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712F"/>
    <w:pPr>
      <w:spacing w:line="240" w:lineRule="auto"/>
    </w:pPr>
    <w:rPr>
      <w:sz w:val="16"/>
      <w:szCs w:val="16"/>
    </w:rPr>
  </w:style>
  <w:style w:type="character" w:customStyle="1" w:styleId="BalloonTextChar">
    <w:name w:val="Balloon Text Char"/>
    <w:link w:val="BalloonText"/>
    <w:uiPriority w:val="99"/>
    <w:semiHidden/>
    <w:rsid w:val="00DB712F"/>
    <w:rPr>
      <w:rFonts w:ascii="Times New Roman" w:eastAsia="PMingLiU" w:hAnsi="Times New Roman" w:cs="Simplified Arabic"/>
      <w:sz w:val="16"/>
      <w:szCs w:val="16"/>
      <w:lang w:eastAsia="en-US"/>
    </w:rPr>
  </w:style>
  <w:style w:type="character" w:styleId="Hyperlink">
    <w:name w:val="Hyperlink"/>
    <w:uiPriority w:val="99"/>
    <w:unhideWhenUsed/>
    <w:rsid w:val="00DB712F"/>
    <w:rPr>
      <w:color w:val="0000FF"/>
      <w:u w:val="none"/>
    </w:rPr>
  </w:style>
  <w:style w:type="paragraph" w:styleId="TOC1">
    <w:name w:val="toc 1"/>
    <w:basedOn w:val="Normal"/>
    <w:link w:val="TOC1Char"/>
    <w:autoRedefine/>
    <w:uiPriority w:val="39"/>
    <w:unhideWhenUsed/>
    <w:rsid w:val="00DB712F"/>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DB712F"/>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DB712F"/>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DB712F"/>
    <w:rPr>
      <w:rFonts w:eastAsia="DengXian"/>
      <w:color w:val="auto"/>
      <w:sz w:val="20"/>
      <w:szCs w:val="20"/>
      <w:u w:val="none"/>
      <w:lang w:eastAsia="zh-CN" w:bidi="ar-EG"/>
    </w:rPr>
  </w:style>
  <w:style w:type="paragraph" w:styleId="TOC4">
    <w:name w:val="toc 4"/>
    <w:basedOn w:val="Normal"/>
    <w:link w:val="TOC4Char"/>
    <w:autoRedefine/>
    <w:uiPriority w:val="39"/>
    <w:unhideWhenUsed/>
    <w:rsid w:val="00DB712F"/>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DB712F"/>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DB712F"/>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DB712F"/>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DB712F"/>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DB712F"/>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DB712F"/>
    <w:rPr>
      <w:color w:val="605E5C"/>
      <w:shd w:val="clear" w:color="auto" w:fill="E1DFDD"/>
    </w:rPr>
  </w:style>
  <w:style w:type="character" w:customStyle="1" w:styleId="TOC1Char">
    <w:name w:val="TOC 1 Char"/>
    <w:basedOn w:val="DefaultParagraphFont"/>
    <w:link w:val="TOC1"/>
    <w:uiPriority w:val="39"/>
    <w:rsid w:val="00DB712F"/>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DB712F"/>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DB712F"/>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DB712F"/>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DB712F"/>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DB712F"/>
    <w:rPr>
      <w:rFonts w:ascii="Times New Roman" w:eastAsia="PMingLiU" w:hAnsi="Times New Roman" w:cs="Simplified Arabic"/>
      <w:lang w:val="en-GB" w:eastAsia="en-US"/>
    </w:rPr>
  </w:style>
  <w:style w:type="paragraph" w:customStyle="1" w:styleId="SessionDate">
    <w:name w:val="Session_Date"/>
    <w:basedOn w:val="Normal"/>
    <w:qFormat/>
    <w:rsid w:val="00DB712F"/>
    <w:pPr>
      <w:spacing w:before="240" w:after="240" w:line="460" w:lineRule="exact"/>
      <w:ind w:left="1247"/>
    </w:pPr>
    <w:rPr>
      <w:b/>
      <w:bCs/>
      <w:sz w:val="32"/>
      <w:szCs w:val="44"/>
    </w:rPr>
  </w:style>
  <w:style w:type="paragraph" w:customStyle="1" w:styleId="SessionNumber">
    <w:name w:val="Session_Number"/>
    <w:basedOn w:val="Normal"/>
    <w:qFormat/>
    <w:rsid w:val="00DB712F"/>
    <w:pPr>
      <w:spacing w:line="480" w:lineRule="exact"/>
      <w:ind w:left="1247"/>
    </w:pPr>
    <w:rPr>
      <w:b/>
      <w:bCs/>
      <w:sz w:val="28"/>
      <w:szCs w:val="38"/>
    </w:rPr>
  </w:style>
  <w:style w:type="paragraph" w:customStyle="1" w:styleId="CityandYear">
    <w:name w:val="City and Year"/>
    <w:basedOn w:val="SingleTxtGA"/>
    <w:qFormat/>
    <w:rsid w:val="00DB712F"/>
    <w:pPr>
      <w:spacing w:line="480" w:lineRule="exact"/>
    </w:pPr>
    <w:rPr>
      <w:b/>
      <w:bCs/>
      <w:sz w:val="30"/>
      <w:szCs w:val="38"/>
      <w:lang w:eastAsia="ar-SA"/>
    </w:rPr>
  </w:style>
  <w:style w:type="paragraph" w:customStyle="1" w:styleId="NormalA">
    <w:name w:val="Normal_A"/>
    <w:basedOn w:val="Normal"/>
    <w:qFormat/>
    <w:rsid w:val="00DB712F"/>
  </w:style>
  <w:style w:type="paragraph" w:customStyle="1" w:styleId="H1G">
    <w:name w:val="_ H_1_G"/>
    <w:basedOn w:val="Normal"/>
    <w:next w:val="Normal"/>
    <w:qFormat/>
    <w:rsid w:val="00DB712F"/>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DB712F"/>
    <w:pPr>
      <w:suppressAutoHyphens/>
      <w:bidi w:val="0"/>
      <w:spacing w:after="120"/>
      <w:ind w:left="1134" w:right="1134"/>
      <w:jc w:val="both"/>
    </w:pPr>
    <w:rPr>
      <w:szCs w:val="20"/>
      <w:lang w:val="en-GB"/>
    </w:rPr>
  </w:style>
  <w:style w:type="paragraph" w:customStyle="1" w:styleId="HChG">
    <w:name w:val="_ H _Ch_G"/>
    <w:basedOn w:val="Normal"/>
    <w:next w:val="Normal"/>
    <w:qFormat/>
    <w:rsid w:val="00DB712F"/>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DB712F"/>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DB712F"/>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DB712F"/>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DB712F"/>
    <w:rPr>
      <w:sz w:val="44"/>
      <w:szCs w:val="44"/>
      <w:lang w:val="en-US" w:bidi="ar-DZ"/>
    </w:rPr>
  </w:style>
  <w:style w:type="paragraph" w:customStyle="1" w:styleId="FootnoteGA0">
    <w:name w:val="Footnote_GA"/>
    <w:basedOn w:val="Normal"/>
    <w:qFormat/>
    <w:rsid w:val="00DB712F"/>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DB712F"/>
    <w:pPr>
      <w:keepNext/>
      <w:keepLines/>
      <w:spacing w:after="120" w:line="400" w:lineRule="exact"/>
      <w:outlineLvl w:val="0"/>
    </w:pPr>
    <w:rPr>
      <w:b/>
      <w:bCs/>
      <w:kern w:val="14"/>
      <w:sz w:val="24"/>
      <w:szCs w:val="32"/>
    </w:rPr>
  </w:style>
  <w:style w:type="paragraph" w:customStyle="1" w:styleId="HCh">
    <w:name w:val="_ H _Ch"/>
    <w:basedOn w:val="H1"/>
    <w:next w:val="SingleTxt"/>
    <w:qFormat/>
    <w:rsid w:val="00DB712F"/>
    <w:pPr>
      <w:spacing w:line="440" w:lineRule="exact"/>
    </w:pPr>
    <w:rPr>
      <w:spacing w:val="-2"/>
      <w:sz w:val="28"/>
      <w:szCs w:val="36"/>
    </w:rPr>
  </w:style>
  <w:style w:type="character" w:styleId="CommentReference">
    <w:name w:val="annotation reference"/>
    <w:uiPriority w:val="99"/>
    <w:semiHidden/>
    <w:rsid w:val="00DB712F"/>
    <w:rPr>
      <w:sz w:val="6"/>
      <w:szCs w:val="9"/>
    </w:rPr>
  </w:style>
  <w:style w:type="paragraph" w:customStyle="1" w:styleId="HM">
    <w:name w:val="_ H __M"/>
    <w:basedOn w:val="HCh"/>
    <w:next w:val="Normal"/>
    <w:qFormat/>
    <w:rsid w:val="00DB712F"/>
    <w:pPr>
      <w:suppressAutoHyphens/>
      <w:spacing w:line="520" w:lineRule="exact"/>
    </w:pPr>
    <w:rPr>
      <w:spacing w:val="-3"/>
      <w:sz w:val="34"/>
      <w:szCs w:val="48"/>
    </w:rPr>
  </w:style>
  <w:style w:type="paragraph" w:customStyle="1" w:styleId="SingleTxt">
    <w:name w:val="__Single Txt"/>
    <w:basedOn w:val="Normal"/>
    <w:qFormat/>
    <w:rsid w:val="00DB712F"/>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DB712F"/>
    <w:pPr>
      <w:suppressAutoHyphens/>
      <w:spacing w:line="360" w:lineRule="exact"/>
      <w:outlineLvl w:val="1"/>
    </w:pPr>
    <w:rPr>
      <w:spacing w:val="2"/>
      <w:sz w:val="20"/>
      <w:szCs w:val="28"/>
    </w:rPr>
  </w:style>
  <w:style w:type="paragraph" w:customStyle="1" w:styleId="H4">
    <w:name w:val="_ H_4"/>
    <w:basedOn w:val="Normal"/>
    <w:next w:val="Normal"/>
    <w:qFormat/>
    <w:rsid w:val="00DB712F"/>
    <w:pPr>
      <w:keepNext/>
      <w:keepLines/>
      <w:spacing w:after="120" w:line="360" w:lineRule="exact"/>
      <w:outlineLvl w:val="3"/>
    </w:pPr>
    <w:rPr>
      <w:i/>
      <w:iCs/>
      <w:kern w:val="14"/>
      <w:szCs w:val="28"/>
    </w:rPr>
  </w:style>
  <w:style w:type="paragraph" w:customStyle="1" w:styleId="H56">
    <w:name w:val="_ H_5/6"/>
    <w:basedOn w:val="Normal"/>
    <w:next w:val="Normal"/>
    <w:qFormat/>
    <w:rsid w:val="00DB712F"/>
    <w:pPr>
      <w:keepNext/>
      <w:keepLines/>
      <w:spacing w:after="120" w:line="360" w:lineRule="exact"/>
      <w:outlineLvl w:val="4"/>
    </w:pPr>
    <w:rPr>
      <w:kern w:val="14"/>
      <w:szCs w:val="28"/>
    </w:rPr>
  </w:style>
  <w:style w:type="paragraph" w:customStyle="1" w:styleId="DualTxt">
    <w:name w:val="__Dual Txt"/>
    <w:basedOn w:val="Normal"/>
    <w:qFormat/>
    <w:rsid w:val="00DB712F"/>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DB712F"/>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DB712F"/>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DB712F"/>
    <w:pPr>
      <w:spacing w:after="120" w:line="440" w:lineRule="exact"/>
      <w:jc w:val="center"/>
    </w:pPr>
    <w:rPr>
      <w:b/>
      <w:bCs/>
      <w:sz w:val="25"/>
      <w:szCs w:val="38"/>
    </w:rPr>
  </w:style>
  <w:style w:type="paragraph" w:customStyle="1" w:styleId="JH1">
    <w:name w:val="J_H_1"/>
    <w:basedOn w:val="JCH"/>
    <w:qFormat/>
    <w:rsid w:val="00DB712F"/>
    <w:pPr>
      <w:spacing w:line="420" w:lineRule="exact"/>
    </w:pPr>
    <w:rPr>
      <w:sz w:val="23"/>
      <w:szCs w:val="34"/>
    </w:rPr>
  </w:style>
  <w:style w:type="paragraph" w:customStyle="1" w:styleId="JH2">
    <w:name w:val="J_H_2"/>
    <w:basedOn w:val="JH1"/>
    <w:qFormat/>
    <w:rsid w:val="00DB712F"/>
    <w:pPr>
      <w:spacing w:line="400" w:lineRule="exact"/>
    </w:pPr>
    <w:rPr>
      <w:sz w:val="20"/>
      <w:szCs w:val="30"/>
    </w:rPr>
  </w:style>
  <w:style w:type="paragraph" w:customStyle="1" w:styleId="JSmall">
    <w:name w:val="J_Small"/>
    <w:basedOn w:val="JSingleTxt"/>
    <w:next w:val="JSingleTxt"/>
    <w:qFormat/>
    <w:rsid w:val="00DB712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DB712F"/>
    <w:pPr>
      <w:tabs>
        <w:tab w:val="right" w:leader="dot" w:pos="360"/>
      </w:tabs>
      <w:spacing w:line="310" w:lineRule="exact"/>
      <w:jc w:val="right"/>
    </w:pPr>
    <w:rPr>
      <w:spacing w:val="5"/>
      <w:w w:val="104"/>
      <w:kern w:val="14"/>
      <w:sz w:val="17"/>
      <w:szCs w:val="25"/>
    </w:rPr>
  </w:style>
  <w:style w:type="character" w:styleId="LineNumber">
    <w:name w:val="line number"/>
    <w:qFormat/>
    <w:rsid w:val="00DB712F"/>
    <w:rPr>
      <w:sz w:val="14"/>
      <w:szCs w:val="16"/>
    </w:rPr>
  </w:style>
  <w:style w:type="paragraph" w:customStyle="1" w:styleId="SmallX">
    <w:name w:val="SmallX"/>
    <w:basedOn w:val="Small"/>
    <w:next w:val="Normal"/>
    <w:qFormat/>
    <w:rsid w:val="00DB712F"/>
    <w:pPr>
      <w:spacing w:line="240" w:lineRule="exact"/>
    </w:pPr>
    <w:rPr>
      <w:spacing w:val="6"/>
      <w:w w:val="106"/>
      <w:sz w:val="14"/>
      <w:szCs w:val="21"/>
    </w:rPr>
  </w:style>
  <w:style w:type="paragraph" w:customStyle="1" w:styleId="XLarge">
    <w:name w:val="XLarge"/>
    <w:basedOn w:val="HM"/>
    <w:qFormat/>
    <w:rsid w:val="00DB712F"/>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DB712F"/>
    <w:pPr>
      <w:spacing w:line="820" w:lineRule="exact"/>
    </w:pPr>
    <w:rPr>
      <w:spacing w:val="-8"/>
      <w:w w:val="96"/>
      <w:sz w:val="57"/>
      <w:szCs w:val="86"/>
    </w:rPr>
  </w:style>
  <w:style w:type="paragraph" w:customStyle="1" w:styleId="Distribution">
    <w:name w:val="Distribution"/>
    <w:basedOn w:val="Normal"/>
    <w:next w:val="Normal"/>
    <w:qFormat/>
    <w:rsid w:val="00DB712F"/>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DB712F"/>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DB712F"/>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DB712F"/>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DB712F"/>
    <w:pPr>
      <w:tabs>
        <w:tab w:val="left" w:pos="662"/>
        <w:tab w:val="left" w:pos="1267"/>
        <w:tab w:val="left" w:pos="1987"/>
        <w:tab w:val="left" w:pos="2650"/>
      </w:tabs>
      <w:spacing w:after="0"/>
      <w:ind w:left="662" w:hanging="662"/>
    </w:pPr>
  </w:style>
  <w:style w:type="paragraph" w:customStyle="1" w:styleId="Committee">
    <w:name w:val="Committee"/>
    <w:basedOn w:val="H1"/>
    <w:qFormat/>
    <w:rsid w:val="00DB712F"/>
    <w:pPr>
      <w:tabs>
        <w:tab w:val="left" w:pos="662"/>
        <w:tab w:val="left" w:pos="1267"/>
        <w:tab w:val="left" w:pos="1987"/>
        <w:tab w:val="left" w:pos="2650"/>
      </w:tabs>
      <w:ind w:right="1264"/>
    </w:pPr>
  </w:style>
  <w:style w:type="paragraph" w:customStyle="1" w:styleId="AgendaItemNormal">
    <w:name w:val="Agenda_Item_Normal"/>
    <w:next w:val="Normal"/>
    <w:qFormat/>
    <w:rsid w:val="00DB712F"/>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DB712F"/>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DB712F"/>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DB712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DB712F"/>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DB712F"/>
    <w:rPr>
      <w:i w:val="0"/>
      <w:color w:val="0000FF"/>
      <w:u w:val="none"/>
    </w:rPr>
  </w:style>
  <w:style w:type="paragraph" w:customStyle="1" w:styleId="Bullet1">
    <w:name w:val="Bullet 1"/>
    <w:basedOn w:val="Normal"/>
    <w:qFormat/>
    <w:rsid w:val="00DB712F"/>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DB712F"/>
    <w:pPr>
      <w:numPr>
        <w:numId w:val="19"/>
      </w:numPr>
      <w:spacing w:after="120" w:line="360" w:lineRule="exact"/>
      <w:ind w:right="1264"/>
    </w:pPr>
    <w:rPr>
      <w:kern w:val="14"/>
      <w:szCs w:val="28"/>
    </w:rPr>
  </w:style>
  <w:style w:type="paragraph" w:customStyle="1" w:styleId="Bullet3">
    <w:name w:val="Bullet 3"/>
    <w:basedOn w:val="SingleTxt"/>
    <w:qFormat/>
    <w:rsid w:val="00DB712F"/>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DB712F"/>
    <w:pPr>
      <w:ind w:right="5760"/>
      <w:outlineLvl w:val="1"/>
    </w:pPr>
    <w:rPr>
      <w:spacing w:val="2"/>
      <w:sz w:val="20"/>
      <w:szCs w:val="28"/>
    </w:rPr>
  </w:style>
  <w:style w:type="paragraph" w:customStyle="1" w:styleId="STitleM">
    <w:name w:val="S_Title_M"/>
    <w:basedOn w:val="Normal"/>
    <w:next w:val="Normal"/>
    <w:qFormat/>
    <w:rsid w:val="00DB712F"/>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DB712F"/>
    <w:pPr>
      <w:spacing w:line="600" w:lineRule="exact"/>
      <w:ind w:left="1267" w:right="1267"/>
    </w:pPr>
    <w:rPr>
      <w:w w:val="103"/>
      <w:sz w:val="60"/>
      <w:szCs w:val="60"/>
    </w:rPr>
  </w:style>
  <w:style w:type="paragraph" w:customStyle="1" w:styleId="STitleL">
    <w:name w:val="S_Title_L"/>
    <w:basedOn w:val="XLarge"/>
    <w:next w:val="Normal"/>
    <w:qFormat/>
    <w:rsid w:val="00DB712F"/>
    <w:rPr>
      <w:spacing w:val="-8"/>
      <w:w w:val="96"/>
      <w:sz w:val="57"/>
    </w:rPr>
  </w:style>
  <w:style w:type="paragraph" w:styleId="CommentText">
    <w:name w:val="annotation text"/>
    <w:basedOn w:val="Normal"/>
    <w:link w:val="CommentTextChar"/>
    <w:uiPriority w:val="99"/>
    <w:semiHidden/>
    <w:unhideWhenUsed/>
    <w:rsid w:val="00DB712F"/>
    <w:pPr>
      <w:spacing w:line="240" w:lineRule="auto"/>
    </w:pPr>
    <w:rPr>
      <w:kern w:val="14"/>
    </w:rPr>
  </w:style>
  <w:style w:type="character" w:customStyle="1" w:styleId="CommentTextChar">
    <w:name w:val="Comment Text Char"/>
    <w:basedOn w:val="DefaultParagraphFont"/>
    <w:link w:val="CommentText"/>
    <w:uiPriority w:val="99"/>
    <w:semiHidden/>
    <w:rsid w:val="00DB712F"/>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DB712F"/>
    <w:rPr>
      <w:b/>
      <w:bCs/>
    </w:rPr>
  </w:style>
  <w:style w:type="character" w:customStyle="1" w:styleId="CommentSubjectChar">
    <w:name w:val="Comment Subject Char"/>
    <w:basedOn w:val="CommentTextChar"/>
    <w:link w:val="CommentSubject"/>
    <w:uiPriority w:val="99"/>
    <w:semiHidden/>
    <w:rsid w:val="00DB712F"/>
    <w:rPr>
      <w:rFonts w:ascii="Times New Roman" w:eastAsia="PMingLiU" w:hAnsi="Times New Roman" w:cs="Simplified Arabic"/>
      <w:b/>
      <w:bCs/>
      <w:kern w:val="14"/>
      <w:szCs w:val="22"/>
      <w:lang w:eastAsia="en-US"/>
    </w:rPr>
  </w:style>
  <w:style w:type="paragraph" w:customStyle="1" w:styleId="Bullet1G">
    <w:name w:val="_Bullet 1_G"/>
    <w:basedOn w:val="Normal"/>
    <w:qFormat/>
    <w:rsid w:val="00DB712F"/>
    <w:pPr>
      <w:numPr>
        <w:numId w:val="21"/>
      </w:numPr>
      <w:bidi w:val="0"/>
      <w:spacing w:after="120"/>
      <w:ind w:right="1134"/>
      <w:jc w:val="both"/>
    </w:pPr>
    <w:rPr>
      <w:sz w:val="22"/>
    </w:rPr>
  </w:style>
  <w:style w:type="character" w:customStyle="1" w:styleId="SingleTxtGChar">
    <w:name w:val="_ Single Txt_G Char"/>
    <w:link w:val="SingleTxtG"/>
    <w:rsid w:val="00DB712F"/>
    <w:rPr>
      <w:rFonts w:ascii="Times New Roman" w:eastAsia="PMingLiU" w:hAnsi="Times New Roman" w:cs="Simplified Arabic"/>
      <w:lang w:val="en-GB" w:eastAsia="en-US"/>
    </w:rPr>
  </w:style>
  <w:style w:type="paragraph" w:customStyle="1" w:styleId="Preparedby">
    <w:name w:val="Prepared by:"/>
    <w:basedOn w:val="H23GA"/>
    <w:qFormat/>
    <w:rsid w:val="00DB712F"/>
    <w:rPr>
      <w:sz w:val="32"/>
      <w:szCs w:val="32"/>
    </w:rPr>
  </w:style>
  <w:style w:type="paragraph" w:customStyle="1" w:styleId="ParaNoG">
    <w:name w:val="_ParaNo._G"/>
    <w:basedOn w:val="SingleTxtG"/>
    <w:rsid w:val="00DB712F"/>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DB712F"/>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DB712F"/>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DB712F"/>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DB712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DB712F"/>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DB712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DB712F"/>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DB712F"/>
    <w:rPr>
      <w:rFonts w:asciiTheme="minorHAnsi" w:eastAsiaTheme="minorEastAsia" w:hAnsiTheme="minorHAnsi" w:cstheme="minorBidi"/>
      <w:sz w:val="24"/>
      <w:szCs w:val="24"/>
      <w:lang w:val="fr-FR" w:eastAsia="fr-FR"/>
    </w:rPr>
  </w:style>
  <w:style w:type="paragraph" w:customStyle="1" w:styleId="Default">
    <w:name w:val="Default"/>
    <w:semiHidden/>
    <w:rsid w:val="00DB712F"/>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DB712F"/>
  </w:style>
  <w:style w:type="character" w:customStyle="1" w:styleId="preferred">
    <w:name w:val="preferred"/>
    <w:basedOn w:val="DefaultParagraphFont"/>
    <w:rsid w:val="00DB712F"/>
  </w:style>
  <w:style w:type="character" w:customStyle="1" w:styleId="admitted">
    <w:name w:val="admitted"/>
    <w:basedOn w:val="DefaultParagraphFont"/>
    <w:rsid w:val="00DB7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archivo.eluniversal.com.mx/estados/2014/policias-municipales-fuerzas-federales-guerrero-seguridad-104736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4A9-C71D-4C53-9B5B-07590E8F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17</Pages>
  <Words>5988</Words>
  <Characters>38087</Characters>
  <Application>Microsoft Office Word</Application>
  <DocSecurity>0</DocSecurity>
  <Lines>2720</Lines>
  <Paragraphs>1916</Paragraphs>
  <ScaleCrop>false</ScaleCrop>
  <HeadingPairs>
    <vt:vector size="2" baseType="variant">
      <vt:variant>
        <vt:lpstr>Title</vt:lpstr>
      </vt:variant>
      <vt:variant>
        <vt:i4>1</vt:i4>
      </vt:variant>
    </vt:vector>
  </HeadingPairs>
  <TitlesOfParts>
    <vt:vector size="1" baseType="lpstr">
      <vt:lpstr>CAT/C/71/D/759/2016</vt:lpstr>
    </vt:vector>
  </TitlesOfParts>
  <Company>DCM</Company>
  <LinksUpToDate>false</LinksUpToDate>
  <CharactersWithSpaces>42159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CAT/C/71/D/759/2016</dc:title>
  <dc:subject>GE.2113347(A)</dc:subject>
  <dc:creator>Sayed Mohamed ALY - </dc:creator>
  <cp:keywords>GE.2125886(A)</cp:keywords>
  <dc:description>General _x000d_
21 September 2021_x000d_
Arabic_x000d_
Spanish </dc:description>
  <cp:lastModifiedBy>Sayed Mohamed ALY</cp:lastModifiedBy>
  <cp:revision>2</cp:revision>
  <cp:lastPrinted>2016-06-21T10:29:00Z</cp:lastPrinted>
  <dcterms:created xsi:type="dcterms:W3CDTF">2021-11-25T14:12:00Z</dcterms:created>
  <dcterms:modified xsi:type="dcterms:W3CDTF">2021-11-25T14:12:00Z</dcterms:modified>
  <cp:category>Final</cp:category>
</cp:coreProperties>
</file>