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77DC" w:rsidRPr="00DB58B5" w14:paraId="0D5B99B3" w14:textId="77777777" w:rsidTr="00875CDC">
        <w:trPr>
          <w:trHeight w:hRule="exact" w:val="851"/>
        </w:trPr>
        <w:tc>
          <w:tcPr>
            <w:tcW w:w="1276" w:type="dxa"/>
            <w:tcBorders>
              <w:bottom w:val="single" w:sz="4" w:space="0" w:color="auto"/>
            </w:tcBorders>
          </w:tcPr>
          <w:p w14:paraId="77EF49BA" w14:textId="77777777" w:rsidR="007F77DC" w:rsidRPr="002C1082" w:rsidRDefault="007F77DC" w:rsidP="00965D37"/>
        </w:tc>
        <w:tc>
          <w:tcPr>
            <w:tcW w:w="2268" w:type="dxa"/>
            <w:tcBorders>
              <w:bottom w:val="single" w:sz="4" w:space="0" w:color="auto"/>
            </w:tcBorders>
            <w:vAlign w:val="bottom"/>
          </w:tcPr>
          <w:p w14:paraId="31EC4F32" w14:textId="77777777" w:rsidR="007F77DC" w:rsidRPr="00DB58B5" w:rsidRDefault="007F77DC" w:rsidP="00875CD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A6F6EC" w14:textId="10667683" w:rsidR="007F77DC" w:rsidRPr="00F04103" w:rsidRDefault="00F04103" w:rsidP="00F04103">
            <w:pPr>
              <w:jc w:val="right"/>
            </w:pPr>
            <w:r w:rsidRPr="00F04103">
              <w:rPr>
                <w:sz w:val="40"/>
              </w:rPr>
              <w:t>CAT</w:t>
            </w:r>
            <w:r>
              <w:t>/C/71/D/843/2017</w:t>
            </w:r>
          </w:p>
        </w:tc>
      </w:tr>
      <w:tr w:rsidR="007F77DC" w:rsidRPr="00DB58B5" w14:paraId="2A79F63D" w14:textId="77777777" w:rsidTr="00875CDC">
        <w:trPr>
          <w:trHeight w:hRule="exact" w:val="2835"/>
        </w:trPr>
        <w:tc>
          <w:tcPr>
            <w:tcW w:w="1276" w:type="dxa"/>
            <w:tcBorders>
              <w:top w:val="single" w:sz="4" w:space="0" w:color="auto"/>
              <w:bottom w:val="single" w:sz="12" w:space="0" w:color="auto"/>
            </w:tcBorders>
          </w:tcPr>
          <w:p w14:paraId="0E2412F7" w14:textId="77777777" w:rsidR="007F77DC" w:rsidRPr="00DB58B5" w:rsidRDefault="007F77DC" w:rsidP="00875CDC">
            <w:pPr>
              <w:spacing w:before="120"/>
              <w:jc w:val="center"/>
            </w:pPr>
            <w:r>
              <w:rPr>
                <w:noProof/>
                <w:lang w:val="en-GB" w:eastAsia="en-GB"/>
              </w:rPr>
              <w:drawing>
                <wp:inline distT="0" distB="0" distL="0" distR="0" wp14:anchorId="5D7A4EBA" wp14:editId="382B2E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F84448" w14:textId="77777777" w:rsidR="007F77DC" w:rsidRPr="00740562" w:rsidRDefault="007F77DC" w:rsidP="00875CDC">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7603AA1" w14:textId="77777777" w:rsidR="007F77DC" w:rsidRDefault="007F77DC" w:rsidP="00875CDC">
            <w:pPr>
              <w:spacing w:before="240"/>
            </w:pPr>
            <w:r>
              <w:t>Distr. générale</w:t>
            </w:r>
          </w:p>
          <w:p w14:paraId="11B5D602" w14:textId="6124C536" w:rsidR="00965D37" w:rsidRDefault="00DD5858" w:rsidP="00965D37">
            <w:r>
              <w:t>30</w:t>
            </w:r>
            <w:r w:rsidR="00965D37">
              <w:t xml:space="preserve"> septembre 2021</w:t>
            </w:r>
          </w:p>
          <w:p w14:paraId="07DFC1F4" w14:textId="77777777" w:rsidR="00965D37" w:rsidRDefault="00965D37" w:rsidP="00965D37"/>
          <w:p w14:paraId="2E205C19" w14:textId="77777777" w:rsidR="00965D37" w:rsidRPr="00DB58B5" w:rsidRDefault="00965D37" w:rsidP="00965D37">
            <w:r>
              <w:t>Original : français</w:t>
            </w:r>
          </w:p>
        </w:tc>
      </w:tr>
    </w:tbl>
    <w:p w14:paraId="2066637C" w14:textId="77777777" w:rsidR="00965D37" w:rsidRDefault="00965D37" w:rsidP="006F70D4">
      <w:pPr>
        <w:spacing w:before="120"/>
        <w:rPr>
          <w:rFonts w:eastAsia="SimSun"/>
          <w:b/>
          <w:lang w:eastAsia="zh-CN"/>
        </w:rPr>
      </w:pPr>
      <w:r w:rsidRPr="00EC4752">
        <w:rPr>
          <w:rFonts w:eastAsia="SimSun"/>
          <w:b/>
          <w:sz w:val="24"/>
          <w:szCs w:val="24"/>
          <w:lang w:eastAsia="zh-CN"/>
        </w:rPr>
        <w:t>Comité contre la torture</w:t>
      </w:r>
    </w:p>
    <w:p w14:paraId="13033FD3" w14:textId="5AAE915E" w:rsidR="00965D37" w:rsidRDefault="00965D37" w:rsidP="00C959D8">
      <w:pPr>
        <w:pStyle w:val="HChG"/>
        <w:rPr>
          <w:b w:val="0"/>
          <w:bCs/>
          <w:sz w:val="20"/>
        </w:rPr>
      </w:pPr>
      <w:r>
        <w:rPr>
          <w:szCs w:val="28"/>
        </w:rPr>
        <w:tab/>
      </w:r>
      <w:r>
        <w:rPr>
          <w:szCs w:val="28"/>
        </w:rPr>
        <w:tab/>
      </w:r>
      <w:r w:rsidRPr="000F003C">
        <w:t xml:space="preserve">Décision adoptée par le Comité au titre de </w:t>
      </w:r>
      <w:r w:rsidR="00C959D8" w:rsidRPr="000F003C">
        <w:t>l’article</w:t>
      </w:r>
      <w:r w:rsidR="00C959D8">
        <w:t> </w:t>
      </w:r>
      <w:r w:rsidRPr="000F003C">
        <w:t xml:space="preserve">22 </w:t>
      </w:r>
      <w:r>
        <w:br/>
      </w:r>
      <w:r w:rsidRPr="000F003C">
        <w:t xml:space="preserve">de la Convention, concernant la communication </w:t>
      </w:r>
      <w:r>
        <w:br/>
      </w:r>
      <w:r w:rsidRPr="000F003C">
        <w:t>n</w:t>
      </w:r>
      <w:r w:rsidRPr="000F003C">
        <w:rPr>
          <w:vertAlign w:val="superscript"/>
        </w:rPr>
        <w:t>o</w:t>
      </w:r>
      <w:r w:rsidRPr="000F003C">
        <w:t> </w:t>
      </w:r>
      <w:r>
        <w:t>843/2017</w:t>
      </w:r>
      <w:r w:rsidRPr="006F70D4">
        <w:rPr>
          <w:b w:val="0"/>
          <w:bCs/>
          <w:sz w:val="20"/>
        </w:rPr>
        <w:footnoteReference w:customMarkFollows="1" w:id="2"/>
        <w:t>*</w:t>
      </w:r>
      <w:r w:rsidRPr="006F70D4">
        <w:rPr>
          <w:b w:val="0"/>
          <w:bCs/>
          <w:position w:val="6"/>
          <w:sz w:val="20"/>
        </w:rPr>
        <w:t>,</w:t>
      </w:r>
      <w:r w:rsidRPr="006F70D4">
        <w:rPr>
          <w:b w:val="0"/>
          <w:bCs/>
          <w:sz w:val="20"/>
        </w:rPr>
        <w:t xml:space="preserve"> </w:t>
      </w:r>
      <w:r w:rsidRPr="006F70D4">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C959D8" w14:paraId="6E28092F" w14:textId="77777777">
        <w:tc>
          <w:tcPr>
            <w:tcW w:w="2552" w:type="dxa"/>
          </w:tcPr>
          <w:p w14:paraId="14E896CB" w14:textId="77777777" w:rsidR="00C959D8" w:rsidRDefault="00C959D8">
            <w:pPr>
              <w:pStyle w:val="SingleTxtG"/>
              <w:ind w:left="0" w:right="0"/>
              <w:jc w:val="left"/>
              <w:rPr>
                <w:i/>
              </w:rPr>
            </w:pPr>
            <w:r>
              <w:rPr>
                <w:i/>
              </w:rPr>
              <w:t>Communication présentée par</w:t>
            </w:r>
            <w:r>
              <w:t> :</w:t>
            </w:r>
          </w:p>
        </w:tc>
        <w:tc>
          <w:tcPr>
            <w:tcW w:w="4253" w:type="dxa"/>
          </w:tcPr>
          <w:p w14:paraId="39EDAD8F" w14:textId="2E1C9090" w:rsidR="00C959D8" w:rsidRDefault="00C959D8">
            <w:pPr>
              <w:pStyle w:val="SingleTxtG"/>
              <w:ind w:left="0" w:right="0"/>
              <w:jc w:val="left"/>
            </w:pPr>
            <w:r w:rsidRPr="00C959D8">
              <w:t>O. N. (représentée par un conseil, de TRIAL International)</w:t>
            </w:r>
          </w:p>
        </w:tc>
      </w:tr>
      <w:tr w:rsidR="00C959D8" w14:paraId="462DDF8B" w14:textId="77777777">
        <w:tc>
          <w:tcPr>
            <w:tcW w:w="2552" w:type="dxa"/>
          </w:tcPr>
          <w:p w14:paraId="10F53FCC" w14:textId="7A0BC3A8" w:rsidR="00C959D8" w:rsidRDefault="00C959D8">
            <w:pPr>
              <w:pStyle w:val="SingleTxtG"/>
              <w:ind w:left="0" w:right="0"/>
              <w:jc w:val="left"/>
              <w:rPr>
                <w:i/>
              </w:rPr>
            </w:pPr>
            <w:r w:rsidRPr="00C959D8">
              <w:rPr>
                <w:i/>
              </w:rPr>
              <w:t xml:space="preserve">Victime(s) présumée(s) </w:t>
            </w:r>
            <w:r w:rsidRPr="006F70D4">
              <w:rPr>
                <w:iCs/>
              </w:rPr>
              <w:t>:</w:t>
            </w:r>
          </w:p>
        </w:tc>
        <w:tc>
          <w:tcPr>
            <w:tcW w:w="4253" w:type="dxa"/>
          </w:tcPr>
          <w:p w14:paraId="2B9D21FE" w14:textId="22BF2FDE" w:rsidR="00C959D8" w:rsidRDefault="00C959D8">
            <w:pPr>
              <w:pStyle w:val="SingleTxtG"/>
              <w:ind w:left="0" w:right="0"/>
              <w:jc w:val="left"/>
            </w:pPr>
            <w:r w:rsidRPr="00C959D8">
              <w:t>La requérante</w:t>
            </w:r>
          </w:p>
        </w:tc>
      </w:tr>
      <w:tr w:rsidR="00C959D8" w14:paraId="1D6CC2B1" w14:textId="77777777">
        <w:tc>
          <w:tcPr>
            <w:tcW w:w="2552" w:type="dxa"/>
          </w:tcPr>
          <w:p w14:paraId="68E5C244" w14:textId="77777777" w:rsidR="00C959D8" w:rsidRDefault="00C959D8">
            <w:pPr>
              <w:pStyle w:val="SingleTxtG"/>
              <w:ind w:left="0" w:right="0"/>
              <w:jc w:val="left"/>
              <w:rPr>
                <w:i/>
              </w:rPr>
            </w:pPr>
            <w:r>
              <w:rPr>
                <w:i/>
              </w:rPr>
              <w:t>État partie</w:t>
            </w:r>
            <w:r>
              <w:t> :</w:t>
            </w:r>
          </w:p>
        </w:tc>
        <w:tc>
          <w:tcPr>
            <w:tcW w:w="4253" w:type="dxa"/>
          </w:tcPr>
          <w:p w14:paraId="515AA4B0" w14:textId="6A669287" w:rsidR="00C959D8" w:rsidRDefault="00C959D8">
            <w:pPr>
              <w:pStyle w:val="SingleTxtG"/>
              <w:ind w:left="0" w:right="0"/>
              <w:jc w:val="left"/>
            </w:pPr>
            <w:r w:rsidRPr="00C959D8">
              <w:t>Burundi</w:t>
            </w:r>
          </w:p>
        </w:tc>
      </w:tr>
      <w:tr w:rsidR="00C959D8" w14:paraId="70F75A8D" w14:textId="77777777">
        <w:tc>
          <w:tcPr>
            <w:tcW w:w="2552" w:type="dxa"/>
          </w:tcPr>
          <w:p w14:paraId="7075B01A" w14:textId="77777777" w:rsidR="00C959D8" w:rsidRDefault="00C959D8">
            <w:pPr>
              <w:pStyle w:val="SingleTxtG"/>
              <w:ind w:left="0" w:right="0"/>
              <w:jc w:val="left"/>
              <w:rPr>
                <w:i/>
              </w:rPr>
            </w:pPr>
            <w:r>
              <w:rPr>
                <w:i/>
              </w:rPr>
              <w:t>Date de la requête</w:t>
            </w:r>
            <w:r>
              <w:t> :</w:t>
            </w:r>
          </w:p>
        </w:tc>
        <w:tc>
          <w:tcPr>
            <w:tcW w:w="4253" w:type="dxa"/>
          </w:tcPr>
          <w:p w14:paraId="6DF1D14D" w14:textId="49C0C1C8" w:rsidR="00C959D8" w:rsidRDefault="00C959D8">
            <w:pPr>
              <w:pStyle w:val="SingleTxtG"/>
              <w:ind w:left="0" w:right="0"/>
              <w:jc w:val="left"/>
            </w:pPr>
            <w:r w:rsidRPr="00C959D8">
              <w:t>18 juillet 2017 (date de la lettre initiale)</w:t>
            </w:r>
          </w:p>
        </w:tc>
      </w:tr>
      <w:tr w:rsidR="00C959D8" w14:paraId="389E53C9" w14:textId="77777777">
        <w:tc>
          <w:tcPr>
            <w:tcW w:w="2552" w:type="dxa"/>
          </w:tcPr>
          <w:p w14:paraId="5C59BC7F" w14:textId="7C3C2763" w:rsidR="00C959D8" w:rsidRDefault="00C959D8">
            <w:pPr>
              <w:pStyle w:val="SingleTxtG"/>
              <w:ind w:left="0" w:right="0"/>
              <w:jc w:val="left"/>
              <w:rPr>
                <w:i/>
              </w:rPr>
            </w:pPr>
            <w:r>
              <w:rPr>
                <w:i/>
              </w:rPr>
              <w:t>Références :</w:t>
            </w:r>
          </w:p>
        </w:tc>
        <w:tc>
          <w:tcPr>
            <w:tcW w:w="4253" w:type="dxa"/>
            <w:vAlign w:val="bottom"/>
          </w:tcPr>
          <w:p w14:paraId="79A135EA" w14:textId="79D14708" w:rsidR="00C959D8" w:rsidRDefault="00C959D8">
            <w:pPr>
              <w:pStyle w:val="SingleTxtG"/>
              <w:ind w:left="0" w:right="0"/>
              <w:jc w:val="left"/>
            </w:pPr>
            <w:r w:rsidRPr="00C959D8">
              <w:t>Décision prise en vertu des articles</w:t>
            </w:r>
            <w:r w:rsidR="00A14D5B">
              <w:t> </w:t>
            </w:r>
            <w:r w:rsidRPr="00C959D8">
              <w:t>114 et 115 du règlement intérieur du Comité, transmise à l’État partie le 20</w:t>
            </w:r>
            <w:r w:rsidR="00A14D5B">
              <w:t> </w:t>
            </w:r>
            <w:r w:rsidRPr="00C959D8">
              <w:t>septembre 2017 (non publiée sous forme de document)</w:t>
            </w:r>
          </w:p>
        </w:tc>
      </w:tr>
      <w:tr w:rsidR="00C959D8" w14:paraId="1ADB7B9A" w14:textId="77777777">
        <w:tc>
          <w:tcPr>
            <w:tcW w:w="2552" w:type="dxa"/>
          </w:tcPr>
          <w:p w14:paraId="686A2366" w14:textId="20FB6663" w:rsidR="00C959D8" w:rsidRDefault="00C959D8">
            <w:pPr>
              <w:pStyle w:val="SingleTxtG"/>
              <w:ind w:left="0" w:right="0"/>
              <w:jc w:val="left"/>
              <w:rPr>
                <w:i/>
              </w:rPr>
            </w:pPr>
            <w:r w:rsidRPr="00C959D8">
              <w:rPr>
                <w:i/>
              </w:rPr>
              <w:t xml:space="preserve">Date de la présente décision </w:t>
            </w:r>
            <w:r w:rsidRPr="006F70D4">
              <w:rPr>
                <w:iCs/>
              </w:rPr>
              <w:t>:</w:t>
            </w:r>
          </w:p>
        </w:tc>
        <w:tc>
          <w:tcPr>
            <w:tcW w:w="4253" w:type="dxa"/>
            <w:vAlign w:val="bottom"/>
          </w:tcPr>
          <w:p w14:paraId="4ADCFCCF" w14:textId="248C56CC" w:rsidR="00C959D8" w:rsidRDefault="00C959D8">
            <w:pPr>
              <w:pStyle w:val="SingleTxtG"/>
              <w:ind w:left="0" w:right="0"/>
              <w:jc w:val="left"/>
            </w:pPr>
            <w:r w:rsidRPr="00C959D8">
              <w:t>22 juillet 2021</w:t>
            </w:r>
          </w:p>
        </w:tc>
      </w:tr>
      <w:tr w:rsidR="00C959D8" w14:paraId="099AD189" w14:textId="77777777">
        <w:tc>
          <w:tcPr>
            <w:tcW w:w="2552" w:type="dxa"/>
          </w:tcPr>
          <w:p w14:paraId="1CE5A6FB" w14:textId="77777777" w:rsidR="00C959D8" w:rsidRDefault="00C959D8">
            <w:pPr>
              <w:pStyle w:val="SingleTxtG"/>
              <w:ind w:left="0" w:right="0"/>
              <w:jc w:val="left"/>
            </w:pPr>
            <w:r>
              <w:rPr>
                <w:i/>
              </w:rPr>
              <w:t>Objet</w:t>
            </w:r>
            <w:r>
              <w:t> :</w:t>
            </w:r>
          </w:p>
        </w:tc>
        <w:tc>
          <w:tcPr>
            <w:tcW w:w="4253" w:type="dxa"/>
            <w:vAlign w:val="bottom"/>
          </w:tcPr>
          <w:p w14:paraId="31439AEA" w14:textId="4808F3A9" w:rsidR="00C959D8" w:rsidRDefault="00C959D8">
            <w:pPr>
              <w:pStyle w:val="SingleTxtG"/>
              <w:ind w:left="0" w:right="0"/>
              <w:jc w:val="left"/>
            </w:pPr>
            <w:r w:rsidRPr="00C959D8">
              <w:t>Torture ou autres peines ou traitements cruels, inhumains ou dégradants ; absence d’enquête effective et de réparation</w:t>
            </w:r>
          </w:p>
        </w:tc>
      </w:tr>
      <w:tr w:rsidR="00C959D8" w14:paraId="4394C539" w14:textId="77777777">
        <w:tc>
          <w:tcPr>
            <w:tcW w:w="2552" w:type="dxa"/>
          </w:tcPr>
          <w:p w14:paraId="13653609" w14:textId="77777777" w:rsidR="00C959D8" w:rsidRDefault="00C959D8">
            <w:pPr>
              <w:pStyle w:val="SingleTxtG"/>
              <w:ind w:left="0" w:right="0"/>
              <w:jc w:val="left"/>
            </w:pPr>
            <w:r>
              <w:rPr>
                <w:i/>
              </w:rPr>
              <w:t>Questions de procédure</w:t>
            </w:r>
            <w:r>
              <w:t> :</w:t>
            </w:r>
          </w:p>
        </w:tc>
        <w:tc>
          <w:tcPr>
            <w:tcW w:w="4253" w:type="dxa"/>
            <w:vAlign w:val="bottom"/>
          </w:tcPr>
          <w:p w14:paraId="2CD6B2C4" w14:textId="55EF7B56" w:rsidR="00C959D8" w:rsidRDefault="00C959D8">
            <w:pPr>
              <w:pStyle w:val="SingleTxtG"/>
              <w:ind w:left="0" w:right="0"/>
              <w:jc w:val="left"/>
            </w:pPr>
            <w:r w:rsidRPr="00C959D8">
              <w:t>Épuisement des recours internes</w:t>
            </w:r>
          </w:p>
        </w:tc>
      </w:tr>
      <w:tr w:rsidR="00C959D8" w14:paraId="7EE2921C" w14:textId="77777777">
        <w:tc>
          <w:tcPr>
            <w:tcW w:w="2552" w:type="dxa"/>
          </w:tcPr>
          <w:p w14:paraId="3D5EE224" w14:textId="77777777" w:rsidR="00C959D8" w:rsidRDefault="00C959D8">
            <w:pPr>
              <w:pStyle w:val="SingleTxtG"/>
              <w:ind w:left="0" w:right="0"/>
              <w:jc w:val="left"/>
            </w:pPr>
            <w:r>
              <w:rPr>
                <w:i/>
              </w:rPr>
              <w:t>Questions de fond</w:t>
            </w:r>
            <w:r>
              <w:t> :</w:t>
            </w:r>
          </w:p>
        </w:tc>
        <w:tc>
          <w:tcPr>
            <w:tcW w:w="4253" w:type="dxa"/>
            <w:vAlign w:val="bottom"/>
          </w:tcPr>
          <w:p w14:paraId="7C164F06" w14:textId="123400DD" w:rsidR="00C959D8" w:rsidRDefault="00C959D8">
            <w:pPr>
              <w:pStyle w:val="SingleTxtG"/>
              <w:ind w:left="0" w:right="0"/>
              <w:jc w:val="left"/>
            </w:pPr>
            <w:r w:rsidRPr="00C959D8">
              <w:t>Torture et peines ou traitements cruels, inhumains ou dégradants ; mesures visant à empêcher la commission d’actes de torture ou traitements cruels, inhumains ou dégradants ; surveillance systématique quant à la garde et au traitement des personnes détenues</w:t>
            </w:r>
            <w:r>
              <w:t> ;</w:t>
            </w:r>
            <w:r w:rsidRPr="00C959D8">
              <w:t xml:space="preserve"> obligation de l’État partie de veiller à ce que les autorités compétentes procèdent immédiatement à une enquête impartiale</w:t>
            </w:r>
            <w:r>
              <w:t> ;</w:t>
            </w:r>
            <w:r w:rsidRPr="00C959D8">
              <w:t xml:space="preserve"> droit de porter plainte</w:t>
            </w:r>
            <w:r>
              <w:t> ;</w:t>
            </w:r>
            <w:r w:rsidRPr="00C959D8">
              <w:t xml:space="preserve"> droit d’obtenir une réparation</w:t>
            </w:r>
          </w:p>
        </w:tc>
      </w:tr>
      <w:tr w:rsidR="00C959D8" w14:paraId="78DA1A7F" w14:textId="77777777">
        <w:tc>
          <w:tcPr>
            <w:tcW w:w="2552" w:type="dxa"/>
          </w:tcPr>
          <w:p w14:paraId="550C42F8" w14:textId="77777777" w:rsidR="00C959D8" w:rsidRDefault="00C959D8">
            <w:pPr>
              <w:pStyle w:val="SingleTxtG"/>
              <w:ind w:left="0" w:right="0"/>
              <w:jc w:val="left"/>
            </w:pPr>
            <w:r>
              <w:rPr>
                <w:i/>
              </w:rPr>
              <w:t>Article(s) de la Convention</w:t>
            </w:r>
            <w:r>
              <w:t> :</w:t>
            </w:r>
          </w:p>
        </w:tc>
        <w:tc>
          <w:tcPr>
            <w:tcW w:w="4253" w:type="dxa"/>
            <w:vAlign w:val="bottom"/>
          </w:tcPr>
          <w:p w14:paraId="5271F53E" w14:textId="1CC33CCD" w:rsidR="00C959D8" w:rsidRDefault="00C959D8">
            <w:pPr>
              <w:pStyle w:val="SingleTxtG"/>
              <w:ind w:left="0" w:right="0"/>
              <w:jc w:val="left"/>
            </w:pPr>
            <w:r w:rsidRPr="00C959D8">
              <w:t>2 (par. 1), 11, 12, 13 et 14, lus conjointement avec les articles</w:t>
            </w:r>
            <w:r w:rsidR="00A14D5B">
              <w:t> </w:t>
            </w:r>
            <w:r w:rsidRPr="00C959D8">
              <w:t>1</w:t>
            </w:r>
            <w:r w:rsidRPr="00A14D5B">
              <w:rPr>
                <w:vertAlign w:val="superscript"/>
              </w:rPr>
              <w:t>er</w:t>
            </w:r>
            <w:r w:rsidRPr="00C959D8">
              <w:t xml:space="preserve"> et 16, et 16</w:t>
            </w:r>
          </w:p>
        </w:tc>
      </w:tr>
    </w:tbl>
    <w:p w14:paraId="05E82CBA" w14:textId="77777777" w:rsidR="00A14D5B" w:rsidRDefault="00A14D5B" w:rsidP="006F70D4">
      <w:pPr>
        <w:pStyle w:val="SingleTxtG"/>
      </w:pPr>
    </w:p>
    <w:p w14:paraId="5BB2B011" w14:textId="77777777" w:rsidR="00A14D5B" w:rsidRDefault="00A14D5B">
      <w:pPr>
        <w:suppressAutoHyphens w:val="0"/>
        <w:kinsoku/>
        <w:overflowPunct/>
        <w:autoSpaceDE/>
        <w:autoSpaceDN/>
        <w:adjustRightInd/>
        <w:snapToGrid/>
        <w:spacing w:after="200" w:line="276" w:lineRule="auto"/>
      </w:pPr>
      <w:r>
        <w:br w:type="page"/>
      </w:r>
    </w:p>
    <w:p w14:paraId="63B0BEC8" w14:textId="29877581" w:rsidR="00965D37" w:rsidRPr="0024485F" w:rsidRDefault="00965D37" w:rsidP="006F70D4">
      <w:pPr>
        <w:pStyle w:val="SingleTxtG"/>
      </w:pPr>
      <w:r>
        <w:lastRenderedPageBreak/>
        <w:t>1.</w:t>
      </w:r>
      <w:r w:rsidRPr="0024485F">
        <w:tab/>
        <w:t>L</w:t>
      </w:r>
      <w:r>
        <w:t>a</w:t>
      </w:r>
      <w:r w:rsidRPr="0024485F">
        <w:t xml:space="preserve"> requérant</w:t>
      </w:r>
      <w:r>
        <w:t>e</w:t>
      </w:r>
      <w:r w:rsidRPr="0024485F">
        <w:t xml:space="preserve"> est </w:t>
      </w:r>
      <w:r>
        <w:t>O. N.</w:t>
      </w:r>
      <w:r w:rsidRPr="0024485F">
        <w:t xml:space="preserve">, </w:t>
      </w:r>
      <w:r>
        <w:t>de nationalité burundaise, née le 18</w:t>
      </w:r>
      <w:r w:rsidR="00A14D5B">
        <w:t> </w:t>
      </w:r>
      <w:r>
        <w:t>février 1977</w:t>
      </w:r>
      <w:r w:rsidRPr="0024485F">
        <w:t xml:space="preserve">. </w:t>
      </w:r>
      <w:r>
        <w:t>Elle affirme</w:t>
      </w:r>
      <w:r w:rsidRPr="0024485F">
        <w:t xml:space="preserve"> être victime de violations par </w:t>
      </w:r>
      <w:r>
        <w:t>l’État partie</w:t>
      </w:r>
      <w:r w:rsidRPr="0024485F">
        <w:t xml:space="preserve"> de ses droits protégés au titre des </w:t>
      </w:r>
      <w:r w:rsidR="00C959D8" w:rsidRPr="0024485F">
        <w:t>articles</w:t>
      </w:r>
      <w:r w:rsidR="00C959D8">
        <w:t> </w:t>
      </w:r>
      <w:r w:rsidRPr="0024485F">
        <w:t>2 (</w:t>
      </w:r>
      <w:r>
        <w:t>par</w:t>
      </w:r>
      <w:r w:rsidR="00C959D8">
        <w:t>. </w:t>
      </w:r>
      <w:r w:rsidRPr="0024485F">
        <w:t>1)</w:t>
      </w:r>
      <w:r>
        <w:t xml:space="preserve"> et 11 à</w:t>
      </w:r>
      <w:r w:rsidRPr="0024485F">
        <w:t xml:space="preserve"> 14</w:t>
      </w:r>
      <w:r>
        <w:t xml:space="preserve"> de la Convention</w:t>
      </w:r>
      <w:r w:rsidRPr="0024485F">
        <w:t xml:space="preserve">, lus </w:t>
      </w:r>
      <w:r>
        <w:t xml:space="preserve">conjointement </w:t>
      </w:r>
      <w:r w:rsidRPr="0024485F">
        <w:t xml:space="preserve">avec </w:t>
      </w:r>
      <w:r w:rsidR="00C959D8" w:rsidRPr="0024485F">
        <w:t>l’article</w:t>
      </w:r>
      <w:r w:rsidR="00C959D8">
        <w:t> </w:t>
      </w:r>
      <w:r w:rsidRPr="0024485F">
        <w:t>1</w:t>
      </w:r>
      <w:r w:rsidRPr="00DC26C5">
        <w:rPr>
          <w:vertAlign w:val="superscript"/>
        </w:rPr>
        <w:t>er</w:t>
      </w:r>
      <w:r w:rsidRPr="0024485F">
        <w:t xml:space="preserve"> et, subsidiairement, avec </w:t>
      </w:r>
      <w:r w:rsidR="00C959D8" w:rsidRPr="0024485F">
        <w:t>l’article</w:t>
      </w:r>
      <w:r w:rsidR="00C959D8">
        <w:t> </w:t>
      </w:r>
      <w:r w:rsidRPr="0024485F">
        <w:t>16</w:t>
      </w:r>
      <w:r>
        <w:t xml:space="preserve">, ainsi que de </w:t>
      </w:r>
      <w:r w:rsidR="00C959D8">
        <w:t>l’article </w:t>
      </w:r>
      <w:r>
        <w:t>16 de la Convention lu seul</w:t>
      </w:r>
      <w:r w:rsidRPr="0024485F">
        <w:t xml:space="preserve">. </w:t>
      </w:r>
      <w:r>
        <w:t>L’État partie</w:t>
      </w:r>
      <w:r w:rsidRPr="00CF29F5">
        <w:t xml:space="preserve"> a fait la déclaration prévue </w:t>
      </w:r>
      <w:r>
        <w:t>à</w:t>
      </w:r>
      <w:r w:rsidRPr="00CF29F5">
        <w:t xml:space="preserve"> </w:t>
      </w:r>
      <w:r w:rsidR="00C959D8" w:rsidRPr="00CF29F5">
        <w:t>l’a</w:t>
      </w:r>
      <w:r w:rsidR="00C959D8">
        <w:t>rticle </w:t>
      </w:r>
      <w:r>
        <w:t xml:space="preserve">22 (par. 1) de la Convention le </w:t>
      </w:r>
      <w:r w:rsidR="00C959D8">
        <w:t>10 </w:t>
      </w:r>
      <w:r>
        <w:t>juin</w:t>
      </w:r>
      <w:r w:rsidRPr="00CF29F5">
        <w:t xml:space="preserve"> 200</w:t>
      </w:r>
      <w:r>
        <w:t>3</w:t>
      </w:r>
      <w:r w:rsidRPr="00CF29F5">
        <w:t>.</w:t>
      </w:r>
      <w:r>
        <w:t xml:space="preserve"> La requérante </w:t>
      </w:r>
      <w:r w:rsidRPr="0024485F">
        <w:t>est représenté</w:t>
      </w:r>
      <w:r>
        <w:t>e</w:t>
      </w:r>
      <w:r w:rsidRPr="0024485F">
        <w:t xml:space="preserve"> par </w:t>
      </w:r>
      <w:r>
        <w:t xml:space="preserve">un conseil de </w:t>
      </w:r>
      <w:r w:rsidRPr="0024485F">
        <w:t xml:space="preserve">l’organisation TRIAL </w:t>
      </w:r>
      <w:r>
        <w:t>International</w:t>
      </w:r>
      <w:r w:rsidRPr="0024485F">
        <w:t>.</w:t>
      </w:r>
    </w:p>
    <w:p w14:paraId="0E93FB0A" w14:textId="77777777" w:rsidR="00965D37" w:rsidRPr="005727A9" w:rsidRDefault="00965D37" w:rsidP="006F70D4">
      <w:pPr>
        <w:pStyle w:val="H23G"/>
      </w:pPr>
      <w:r>
        <w:rPr>
          <w:lang w:val="fr-FR" w:eastAsia="zh-CN"/>
        </w:rPr>
        <w:tab/>
      </w:r>
      <w:r>
        <w:rPr>
          <w:lang w:val="fr-FR" w:eastAsia="zh-CN"/>
        </w:rPr>
        <w:tab/>
      </w:r>
      <w:r w:rsidRPr="005727A9">
        <w:t>Rappel des faits présentés par la requérante</w:t>
      </w:r>
    </w:p>
    <w:p w14:paraId="5E127630" w14:textId="4D32AFC7" w:rsidR="00965D37" w:rsidRDefault="00965D37" w:rsidP="006F70D4">
      <w:pPr>
        <w:pStyle w:val="SingleTxtG"/>
        <w:rPr>
          <w:rFonts w:eastAsia="MS Mincho"/>
        </w:rPr>
      </w:pPr>
      <w:r w:rsidRPr="00C84F9F">
        <w:rPr>
          <w:rFonts w:eastAsia="MS Mincho"/>
        </w:rPr>
        <w:t>2.1</w:t>
      </w:r>
      <w:r w:rsidRPr="00C84F9F">
        <w:rPr>
          <w:rFonts w:eastAsia="MS Mincho"/>
        </w:rPr>
        <w:tab/>
      </w:r>
      <w:r w:rsidRPr="00C558C4">
        <w:rPr>
          <w:rFonts w:eastAsia="MS Mincho"/>
        </w:rPr>
        <w:t xml:space="preserve">Le </w:t>
      </w:r>
      <w:r w:rsidR="00C959D8" w:rsidRPr="00C558C4">
        <w:rPr>
          <w:rFonts w:eastAsia="MS Mincho"/>
        </w:rPr>
        <w:t>8</w:t>
      </w:r>
      <w:r w:rsidR="00C959D8">
        <w:rPr>
          <w:rFonts w:eastAsia="MS Mincho"/>
        </w:rPr>
        <w:t> </w:t>
      </w:r>
      <w:r w:rsidRPr="00C558C4">
        <w:rPr>
          <w:rFonts w:eastAsia="MS Mincho"/>
        </w:rPr>
        <w:t xml:space="preserve">mars 2014, </w:t>
      </w:r>
      <w:r>
        <w:rPr>
          <w:rFonts w:eastAsia="MS Mincho"/>
        </w:rPr>
        <w:t>la requérante</w:t>
      </w:r>
      <w:r w:rsidRPr="00C558C4">
        <w:rPr>
          <w:rFonts w:eastAsia="MS Mincho"/>
        </w:rPr>
        <w:t xml:space="preserve"> a été arrêtée </w:t>
      </w:r>
      <w:r>
        <w:rPr>
          <w:rFonts w:eastAsia="MS Mincho"/>
        </w:rPr>
        <w:t>a</w:t>
      </w:r>
      <w:r w:rsidRPr="00C558C4">
        <w:rPr>
          <w:rFonts w:eastAsia="MS Mincho"/>
        </w:rPr>
        <w:t>lors</w:t>
      </w:r>
      <w:r>
        <w:rPr>
          <w:rFonts w:eastAsia="MS Mincho"/>
        </w:rPr>
        <w:t xml:space="preserve"> </w:t>
      </w:r>
      <w:r w:rsidRPr="00C558C4">
        <w:rPr>
          <w:rFonts w:eastAsia="MS Mincho"/>
        </w:rPr>
        <w:t xml:space="preserve">qu’elle tentait d’échapper </w:t>
      </w:r>
      <w:r>
        <w:rPr>
          <w:rFonts w:eastAsia="MS Mincho"/>
        </w:rPr>
        <w:t xml:space="preserve">à un </w:t>
      </w:r>
      <w:r w:rsidRPr="00C558C4">
        <w:rPr>
          <w:rFonts w:eastAsia="MS Mincho"/>
        </w:rPr>
        <w:t xml:space="preserve">assaut de policiers à la </w:t>
      </w:r>
      <w:r>
        <w:rPr>
          <w:rFonts w:eastAsia="MS Mincho"/>
        </w:rPr>
        <w:t>p</w:t>
      </w:r>
      <w:r w:rsidRPr="00C558C4">
        <w:rPr>
          <w:rFonts w:eastAsia="MS Mincho"/>
        </w:rPr>
        <w:t xml:space="preserve">ermanence de son parti, le Mouvement pour la </w:t>
      </w:r>
      <w:r>
        <w:rPr>
          <w:rFonts w:eastAsia="MS Mincho"/>
        </w:rPr>
        <w:t>solidarité et la démocratie</w:t>
      </w:r>
      <w:r w:rsidRPr="00A1114C">
        <w:rPr>
          <w:rStyle w:val="Appelnotedebasdep"/>
        </w:rPr>
        <w:footnoteReference w:id="4"/>
      </w:r>
      <w:r>
        <w:rPr>
          <w:rFonts w:eastAsia="MS Mincho"/>
        </w:rPr>
        <w:t>.</w:t>
      </w:r>
      <w:r w:rsidRPr="00C558C4">
        <w:rPr>
          <w:rFonts w:eastAsia="MS Mincho"/>
        </w:rPr>
        <w:t xml:space="preserve"> Elle s’y trouvait pour participer à une réunion avec d’autres membres du parti</w:t>
      </w:r>
      <w:r>
        <w:rPr>
          <w:rFonts w:eastAsia="MS Mincho"/>
        </w:rPr>
        <w:t xml:space="preserve"> à </w:t>
      </w:r>
      <w:r w:rsidRPr="008E4051">
        <w:rPr>
          <w:rFonts w:eastAsia="MS Mincho"/>
        </w:rPr>
        <w:t>Bujumbura</w:t>
      </w:r>
      <w:r>
        <w:rPr>
          <w:rFonts w:eastAsia="MS Mincho"/>
        </w:rPr>
        <w:t>.</w:t>
      </w:r>
      <w:r w:rsidRPr="00DF72D4">
        <w:t xml:space="preserve"> </w:t>
      </w:r>
      <w:r w:rsidRPr="00DF72D4">
        <w:rPr>
          <w:rFonts w:eastAsia="MS Mincho"/>
        </w:rPr>
        <w:t xml:space="preserve">Ce jour-là, de nombreux policiers lourdement armés se sont présentés au siège du parti. Deux agents de police ont réussi à s’infiltrer dans les locaux de la </w:t>
      </w:r>
      <w:r>
        <w:rPr>
          <w:rFonts w:eastAsia="MS Mincho"/>
        </w:rPr>
        <w:t>p</w:t>
      </w:r>
      <w:r w:rsidRPr="00DF72D4">
        <w:rPr>
          <w:rFonts w:eastAsia="MS Mincho"/>
        </w:rPr>
        <w:t>ermanence sans mandat</w:t>
      </w:r>
      <w:r>
        <w:rPr>
          <w:rFonts w:eastAsia="MS Mincho"/>
        </w:rPr>
        <w:t>, mais</w:t>
      </w:r>
      <w:r w:rsidRPr="00DF72D4">
        <w:rPr>
          <w:rFonts w:eastAsia="MS Mincho"/>
        </w:rPr>
        <w:t xml:space="preserve"> ont été désarmés </w:t>
      </w:r>
      <w:r>
        <w:rPr>
          <w:rFonts w:eastAsia="MS Mincho"/>
        </w:rPr>
        <w:t xml:space="preserve">et neutralisés </w:t>
      </w:r>
      <w:r w:rsidRPr="00DF72D4">
        <w:rPr>
          <w:rFonts w:eastAsia="MS Mincho"/>
        </w:rPr>
        <w:t xml:space="preserve">par les militants. Ensuite, les </w:t>
      </w:r>
      <w:r>
        <w:rPr>
          <w:rFonts w:eastAsia="MS Mincho"/>
        </w:rPr>
        <w:t xml:space="preserve">autres </w:t>
      </w:r>
      <w:r w:rsidRPr="00DF72D4">
        <w:rPr>
          <w:rFonts w:eastAsia="MS Mincho"/>
        </w:rPr>
        <w:t xml:space="preserve">policiers ont </w:t>
      </w:r>
      <w:r>
        <w:rPr>
          <w:rFonts w:eastAsia="MS Mincho"/>
        </w:rPr>
        <w:t>lancé</w:t>
      </w:r>
      <w:r w:rsidRPr="00DF72D4">
        <w:rPr>
          <w:rFonts w:eastAsia="MS Mincho"/>
        </w:rPr>
        <w:t xml:space="preserve"> des grenades et les membres du parti ont commencé à courir dans tous les sens à la recherche d’un abri. La requérante a quitté la </w:t>
      </w:r>
      <w:r>
        <w:rPr>
          <w:rFonts w:eastAsia="MS Mincho"/>
        </w:rPr>
        <w:t>p</w:t>
      </w:r>
      <w:r w:rsidRPr="00DF72D4">
        <w:rPr>
          <w:rFonts w:eastAsia="MS Mincho"/>
        </w:rPr>
        <w:t xml:space="preserve">ermanence </w:t>
      </w:r>
      <w:r>
        <w:rPr>
          <w:rFonts w:eastAsia="MS Mincho"/>
        </w:rPr>
        <w:t>et s’est cachée</w:t>
      </w:r>
      <w:r w:rsidRPr="00DF72D4">
        <w:rPr>
          <w:rFonts w:eastAsia="MS Mincho"/>
        </w:rPr>
        <w:t xml:space="preserve"> avec d’autres membres du parti dans une maison</w:t>
      </w:r>
      <w:r>
        <w:rPr>
          <w:rFonts w:eastAsia="MS Mincho"/>
        </w:rPr>
        <w:t xml:space="preserve"> voisine qui était</w:t>
      </w:r>
      <w:r w:rsidRPr="00DF72D4">
        <w:rPr>
          <w:rFonts w:eastAsia="MS Mincho"/>
        </w:rPr>
        <w:t xml:space="preserve"> en chantier. Plusieurs </w:t>
      </w:r>
      <w:r>
        <w:rPr>
          <w:rFonts w:eastAsia="MS Mincho"/>
        </w:rPr>
        <w:t>tentatives</w:t>
      </w:r>
      <w:r w:rsidRPr="00DF72D4">
        <w:rPr>
          <w:rFonts w:eastAsia="MS Mincho"/>
        </w:rPr>
        <w:t xml:space="preserve"> de médiation </w:t>
      </w:r>
      <w:r>
        <w:rPr>
          <w:rFonts w:eastAsia="MS Mincho"/>
        </w:rPr>
        <w:t>ont</w:t>
      </w:r>
      <w:r w:rsidRPr="00DF72D4">
        <w:rPr>
          <w:rFonts w:eastAsia="MS Mincho"/>
        </w:rPr>
        <w:t xml:space="preserve"> été menées par les représentants de la société civile afin d’obtenir la libération des deux policiers, mais les négociations entre le parti et la police </w:t>
      </w:r>
      <w:r>
        <w:rPr>
          <w:rFonts w:eastAsia="MS Mincho"/>
        </w:rPr>
        <w:t>ont</w:t>
      </w:r>
      <w:r w:rsidRPr="00DF72D4">
        <w:rPr>
          <w:rFonts w:eastAsia="MS Mincho"/>
        </w:rPr>
        <w:t xml:space="preserve"> échoué. </w:t>
      </w:r>
      <w:r>
        <w:rPr>
          <w:rFonts w:eastAsia="MS Mincho"/>
        </w:rPr>
        <w:t>L</w:t>
      </w:r>
      <w:r w:rsidRPr="00DF72D4">
        <w:rPr>
          <w:rFonts w:eastAsia="MS Mincho"/>
        </w:rPr>
        <w:t xml:space="preserve">es policiers ont </w:t>
      </w:r>
      <w:r>
        <w:rPr>
          <w:rFonts w:eastAsia="MS Mincho"/>
        </w:rPr>
        <w:t>donc lancé</w:t>
      </w:r>
      <w:r w:rsidRPr="00DF72D4">
        <w:rPr>
          <w:rFonts w:eastAsia="MS Mincho"/>
        </w:rPr>
        <w:t xml:space="preserve"> l’assaut </w:t>
      </w:r>
      <w:r>
        <w:rPr>
          <w:rFonts w:eastAsia="MS Mincho"/>
        </w:rPr>
        <w:t>contre la permanence.</w:t>
      </w:r>
    </w:p>
    <w:p w14:paraId="054CFB30" w14:textId="77777777" w:rsidR="00965D37" w:rsidRDefault="00965D37" w:rsidP="006F70D4">
      <w:pPr>
        <w:pStyle w:val="SingleTxtG"/>
        <w:rPr>
          <w:rFonts w:eastAsia="MS Mincho"/>
        </w:rPr>
      </w:pPr>
      <w:r>
        <w:rPr>
          <w:rFonts w:eastAsia="MS Mincho"/>
        </w:rPr>
        <w:t>2.2</w:t>
      </w:r>
      <w:r>
        <w:rPr>
          <w:rFonts w:eastAsia="MS Mincho"/>
        </w:rPr>
        <w:tab/>
      </w:r>
      <w:r w:rsidRPr="008225B2">
        <w:rPr>
          <w:rFonts w:eastAsia="MS Mincho"/>
        </w:rPr>
        <w:t xml:space="preserve">La requérante et les autres membres du parti étaient encore cachés dans la maison en chantier, mais ont été découverts par les policiers, qui ont lancé </w:t>
      </w:r>
      <w:r>
        <w:rPr>
          <w:rFonts w:eastAsia="MS Mincho"/>
        </w:rPr>
        <w:t>une dizaine de</w:t>
      </w:r>
      <w:r w:rsidRPr="008225B2">
        <w:rPr>
          <w:rFonts w:eastAsia="MS Mincho"/>
        </w:rPr>
        <w:t xml:space="preserve"> grenades lacrymogènes dan</w:t>
      </w:r>
      <w:r>
        <w:rPr>
          <w:rFonts w:eastAsia="MS Mincho"/>
        </w:rPr>
        <w:t xml:space="preserve">s la maison. </w:t>
      </w:r>
      <w:r w:rsidRPr="00C558C4">
        <w:rPr>
          <w:rFonts w:eastAsia="MS Mincho"/>
        </w:rPr>
        <w:t>Lo</w:t>
      </w:r>
      <w:r>
        <w:rPr>
          <w:rFonts w:eastAsia="MS Mincho"/>
        </w:rPr>
        <w:t>rs de l’assaut</w:t>
      </w:r>
      <w:r w:rsidRPr="00C558C4">
        <w:rPr>
          <w:rFonts w:eastAsia="MS Mincho"/>
        </w:rPr>
        <w:t>, la requérante a</w:t>
      </w:r>
      <w:r>
        <w:rPr>
          <w:rFonts w:eastAsia="MS Mincho"/>
        </w:rPr>
        <w:t xml:space="preserve"> reçu de nombreux coups infligés par la police à l’aide de crosses de fusils et de matraques, ainsi que des coups de pied à la tête, au dos et au ventre</w:t>
      </w:r>
      <w:r w:rsidRPr="00A1114C">
        <w:rPr>
          <w:rStyle w:val="Appelnotedebasdep"/>
        </w:rPr>
        <w:footnoteReference w:id="5"/>
      </w:r>
      <w:r>
        <w:rPr>
          <w:rFonts w:eastAsia="MS Mincho"/>
        </w:rPr>
        <w:t>.</w:t>
      </w:r>
      <w:r w:rsidRPr="00C558C4">
        <w:rPr>
          <w:rFonts w:eastAsia="MS Mincho"/>
        </w:rPr>
        <w:t xml:space="preserve"> </w:t>
      </w:r>
      <w:r>
        <w:rPr>
          <w:rFonts w:eastAsia="MS Mincho"/>
        </w:rPr>
        <w:t>Elle a également été dépouillée de l’argent qu’elle avait en sa possession et de son téléphone. Alors qu’elle saignait de la tête, du cou, des bras et des autres parties du corps qui avaient été atteintes par les coups des policiers</w:t>
      </w:r>
      <w:r w:rsidRPr="00C558C4">
        <w:rPr>
          <w:rFonts w:eastAsia="MS Mincho"/>
        </w:rPr>
        <w:t xml:space="preserve">, la requérante </w:t>
      </w:r>
      <w:r>
        <w:rPr>
          <w:rFonts w:eastAsia="MS Mincho"/>
        </w:rPr>
        <w:t>a</w:t>
      </w:r>
      <w:r w:rsidRPr="00C558C4">
        <w:rPr>
          <w:rFonts w:eastAsia="MS Mincho"/>
        </w:rPr>
        <w:t xml:space="preserve"> été gardé</w:t>
      </w:r>
      <w:r>
        <w:rPr>
          <w:rFonts w:eastAsia="MS Mincho"/>
        </w:rPr>
        <w:t>e</w:t>
      </w:r>
      <w:r w:rsidRPr="00C558C4">
        <w:rPr>
          <w:rFonts w:eastAsia="MS Mincho"/>
        </w:rPr>
        <w:t xml:space="preserve"> par la police</w:t>
      </w:r>
      <w:r>
        <w:rPr>
          <w:rFonts w:eastAsia="MS Mincho"/>
        </w:rPr>
        <w:t>, en compagnie d’autres victimes,</w:t>
      </w:r>
      <w:r w:rsidRPr="00C558C4">
        <w:rPr>
          <w:rFonts w:eastAsia="MS Mincho"/>
        </w:rPr>
        <w:t xml:space="preserve"> devant la </w:t>
      </w:r>
      <w:r>
        <w:rPr>
          <w:rFonts w:eastAsia="MS Mincho"/>
        </w:rPr>
        <w:t>p</w:t>
      </w:r>
      <w:r w:rsidRPr="00C558C4">
        <w:rPr>
          <w:rFonts w:eastAsia="MS Mincho"/>
        </w:rPr>
        <w:t>ermanence du parti pendant plus de deux heures.</w:t>
      </w:r>
    </w:p>
    <w:p w14:paraId="754D1B8E" w14:textId="77777777" w:rsidR="00965D37" w:rsidRPr="00C84F9F" w:rsidRDefault="00965D37" w:rsidP="006F70D4">
      <w:pPr>
        <w:pStyle w:val="SingleTxtG"/>
        <w:rPr>
          <w:rFonts w:eastAsia="MS Mincho"/>
        </w:rPr>
      </w:pPr>
      <w:r>
        <w:rPr>
          <w:rFonts w:eastAsia="MS Mincho"/>
        </w:rPr>
        <w:t>2.3</w:t>
      </w:r>
      <w:r>
        <w:rPr>
          <w:rFonts w:eastAsia="MS Mincho"/>
        </w:rPr>
        <w:tab/>
      </w:r>
      <w:r w:rsidRPr="009E7D26">
        <w:rPr>
          <w:rFonts w:eastAsia="MS Mincho"/>
        </w:rPr>
        <w:t xml:space="preserve">Le personnel de la Croix-Rouge </w:t>
      </w:r>
      <w:r>
        <w:rPr>
          <w:rFonts w:eastAsia="MS Mincho"/>
        </w:rPr>
        <w:t>du Burundi</w:t>
      </w:r>
      <w:r w:rsidRPr="00A1114C">
        <w:rPr>
          <w:rStyle w:val="Appelnotedebasdep"/>
        </w:rPr>
        <w:footnoteReference w:id="6"/>
      </w:r>
      <w:r w:rsidRPr="009E7D26">
        <w:rPr>
          <w:rFonts w:eastAsia="MS Mincho"/>
        </w:rPr>
        <w:t xml:space="preserve"> a demandé à s’occuper de la requérante pour lui prodiguer des soins, mais</w:t>
      </w:r>
      <w:r>
        <w:rPr>
          <w:rFonts w:eastAsia="MS Mincho"/>
        </w:rPr>
        <w:t xml:space="preserve"> les policiers l’en ont empêché</w:t>
      </w:r>
      <w:r w:rsidRPr="009E7D26">
        <w:rPr>
          <w:rFonts w:eastAsia="MS Mincho"/>
        </w:rPr>
        <w:t>. Vers 21</w:t>
      </w:r>
      <w:r>
        <w:rPr>
          <w:rFonts w:eastAsia="MS Mincho"/>
        </w:rPr>
        <w:t> </w:t>
      </w:r>
      <w:r w:rsidRPr="009E7D26">
        <w:rPr>
          <w:rFonts w:eastAsia="MS Mincho"/>
        </w:rPr>
        <w:t>h</w:t>
      </w:r>
      <w:r>
        <w:rPr>
          <w:rFonts w:eastAsia="MS Mincho"/>
        </w:rPr>
        <w:t>eures</w:t>
      </w:r>
      <w:r w:rsidRPr="009E7D26">
        <w:rPr>
          <w:rFonts w:eastAsia="MS Mincho"/>
        </w:rPr>
        <w:t>, la requérante a été conduite avec</w:t>
      </w:r>
      <w:r>
        <w:rPr>
          <w:rFonts w:eastAsia="MS Mincho"/>
        </w:rPr>
        <w:t xml:space="preserve"> les autres blessés au Service national de r</w:t>
      </w:r>
      <w:r w:rsidRPr="009E7D26">
        <w:rPr>
          <w:rFonts w:eastAsia="MS Mincho"/>
        </w:rPr>
        <w:t>enseignement</w:t>
      </w:r>
      <w:r>
        <w:rPr>
          <w:rFonts w:eastAsia="MS Mincho"/>
        </w:rPr>
        <w:t xml:space="preserve"> situé à Rohero</w:t>
      </w:r>
      <w:r w:rsidRPr="009E7D26">
        <w:rPr>
          <w:rFonts w:eastAsia="MS Mincho"/>
        </w:rPr>
        <w:t xml:space="preserve">, où elle a été insultée et intimidée. Le </w:t>
      </w:r>
      <w:r>
        <w:rPr>
          <w:rFonts w:eastAsia="MS Mincho"/>
        </w:rPr>
        <w:t>c</w:t>
      </w:r>
      <w:r w:rsidRPr="009E7D26">
        <w:rPr>
          <w:rFonts w:eastAsia="MS Mincho"/>
        </w:rPr>
        <w:t xml:space="preserve">ommissaire de police </w:t>
      </w:r>
      <w:r>
        <w:rPr>
          <w:rFonts w:eastAsia="MS Mincho"/>
        </w:rPr>
        <w:t xml:space="preserve">G. N. </w:t>
      </w:r>
      <w:r w:rsidRPr="009E7D26">
        <w:rPr>
          <w:rFonts w:eastAsia="MS Mincho"/>
        </w:rPr>
        <w:t xml:space="preserve">a </w:t>
      </w:r>
      <w:r>
        <w:rPr>
          <w:rFonts w:eastAsia="MS Mincho"/>
        </w:rPr>
        <w:t>grossièrement insulté</w:t>
      </w:r>
      <w:r w:rsidRPr="009E7D26">
        <w:rPr>
          <w:rFonts w:eastAsia="MS Mincho"/>
        </w:rPr>
        <w:t xml:space="preserve"> la requérante et les autres femmes et </w:t>
      </w:r>
      <w:r>
        <w:rPr>
          <w:rFonts w:eastAsia="MS Mincho"/>
        </w:rPr>
        <w:t>leur a demandé quel était leur</w:t>
      </w:r>
      <w:r w:rsidRPr="009E7D26">
        <w:rPr>
          <w:rFonts w:eastAsia="MS Mincho"/>
        </w:rPr>
        <w:t xml:space="preserve"> revenu journalier dans le commerce du sexe. Vers 22</w:t>
      </w:r>
      <w:r>
        <w:rPr>
          <w:rFonts w:eastAsia="MS Mincho"/>
        </w:rPr>
        <w:t> </w:t>
      </w:r>
      <w:r w:rsidRPr="009E7D26">
        <w:rPr>
          <w:rFonts w:eastAsia="MS Mincho"/>
        </w:rPr>
        <w:t>h</w:t>
      </w:r>
      <w:r>
        <w:rPr>
          <w:rFonts w:eastAsia="MS Mincho"/>
        </w:rPr>
        <w:t>eures</w:t>
      </w:r>
      <w:r w:rsidRPr="009E7D26">
        <w:rPr>
          <w:rFonts w:eastAsia="MS Mincho"/>
        </w:rPr>
        <w:t xml:space="preserve">, </w:t>
      </w:r>
      <w:r>
        <w:rPr>
          <w:rFonts w:eastAsia="MS Mincho"/>
        </w:rPr>
        <w:t>par suite des</w:t>
      </w:r>
      <w:r w:rsidRPr="009E7D26">
        <w:rPr>
          <w:rFonts w:eastAsia="MS Mincho"/>
        </w:rPr>
        <w:t xml:space="preserve"> pression</w:t>
      </w:r>
      <w:r>
        <w:rPr>
          <w:rFonts w:eastAsia="MS Mincho"/>
        </w:rPr>
        <w:t>s</w:t>
      </w:r>
      <w:r w:rsidRPr="009E7D26">
        <w:rPr>
          <w:rFonts w:eastAsia="MS Mincho"/>
        </w:rPr>
        <w:t xml:space="preserve"> exercée</w:t>
      </w:r>
      <w:r>
        <w:rPr>
          <w:rFonts w:eastAsia="MS Mincho"/>
        </w:rPr>
        <w:t>s</w:t>
      </w:r>
      <w:r w:rsidRPr="009E7D26">
        <w:rPr>
          <w:rFonts w:eastAsia="MS Mincho"/>
        </w:rPr>
        <w:t xml:space="preserve"> par une organisation de la société civile que la requérante n’a pas pu identifier, </w:t>
      </w:r>
      <w:r>
        <w:rPr>
          <w:rFonts w:eastAsia="MS Mincho"/>
        </w:rPr>
        <w:t>cette dernière</w:t>
      </w:r>
      <w:r w:rsidRPr="009E7D26">
        <w:rPr>
          <w:rFonts w:eastAsia="MS Mincho"/>
        </w:rPr>
        <w:t xml:space="preserve"> a enfin été conduite à </w:t>
      </w:r>
      <w:r>
        <w:rPr>
          <w:rFonts w:eastAsia="MS Mincho"/>
        </w:rPr>
        <w:t>la clinique Prince-Louis-Rwagasore</w:t>
      </w:r>
      <w:r w:rsidRPr="009E7D26">
        <w:rPr>
          <w:rFonts w:eastAsia="MS Mincho"/>
        </w:rPr>
        <w:t>.</w:t>
      </w:r>
    </w:p>
    <w:p w14:paraId="2A26FC7D" w14:textId="2C8E44AE" w:rsidR="00965D37" w:rsidRDefault="00965D37" w:rsidP="006F70D4">
      <w:pPr>
        <w:pStyle w:val="SingleTxtG"/>
        <w:rPr>
          <w:rFonts w:eastAsia="MS Mincho"/>
        </w:rPr>
      </w:pPr>
      <w:r>
        <w:rPr>
          <w:rFonts w:eastAsia="MS Mincho"/>
        </w:rPr>
        <w:t>2.4</w:t>
      </w:r>
      <w:r w:rsidRPr="00C84F9F">
        <w:rPr>
          <w:rFonts w:eastAsia="MS Mincho"/>
        </w:rPr>
        <w:tab/>
      </w:r>
      <w:r w:rsidRPr="009E7D26">
        <w:rPr>
          <w:rFonts w:eastAsia="MS Mincho"/>
        </w:rPr>
        <w:t xml:space="preserve">À </w:t>
      </w:r>
      <w:r>
        <w:rPr>
          <w:rFonts w:eastAsia="MS Mincho"/>
        </w:rPr>
        <w:t>la clinique</w:t>
      </w:r>
      <w:r w:rsidRPr="009E7D26">
        <w:rPr>
          <w:rFonts w:eastAsia="MS Mincho"/>
        </w:rPr>
        <w:t>,</w:t>
      </w:r>
      <w:r>
        <w:rPr>
          <w:rFonts w:eastAsia="MS Mincho"/>
        </w:rPr>
        <w:t xml:space="preserve"> quatre agents de la Brigade de recherche et d’intervention judiciaire </w:t>
      </w:r>
      <w:r w:rsidRPr="009E7D26">
        <w:rPr>
          <w:rFonts w:eastAsia="MS Mincho"/>
        </w:rPr>
        <w:t xml:space="preserve">étaient postés jour et nuit devant la chambre de la requérante. Elle n’a pas pu recevoir de visites de sa famille </w:t>
      </w:r>
      <w:r>
        <w:rPr>
          <w:rFonts w:eastAsia="MS Mincho"/>
        </w:rPr>
        <w:t>lors de son</w:t>
      </w:r>
      <w:r w:rsidRPr="009E7D26">
        <w:rPr>
          <w:rFonts w:eastAsia="MS Mincho"/>
        </w:rPr>
        <w:t xml:space="preserve"> premier jour à l’hôpital</w:t>
      </w:r>
      <w:r>
        <w:rPr>
          <w:rFonts w:eastAsia="MS Mincho"/>
        </w:rPr>
        <w:t xml:space="preserve">. Ce n’est que le </w:t>
      </w:r>
      <w:r w:rsidRPr="009E7D26">
        <w:rPr>
          <w:rFonts w:eastAsia="MS Mincho"/>
        </w:rPr>
        <w:t xml:space="preserve">lendemain, le </w:t>
      </w:r>
      <w:r w:rsidR="00FE1C39" w:rsidRPr="009E7D26">
        <w:rPr>
          <w:rFonts w:eastAsia="MS Mincho"/>
        </w:rPr>
        <w:t>9</w:t>
      </w:r>
      <w:r w:rsidR="00FE1C39">
        <w:rPr>
          <w:rFonts w:eastAsia="MS Mincho"/>
        </w:rPr>
        <w:t> </w:t>
      </w:r>
      <w:r w:rsidRPr="009E7D26">
        <w:rPr>
          <w:rFonts w:eastAsia="MS Mincho"/>
        </w:rPr>
        <w:t xml:space="preserve">mars 2014, </w:t>
      </w:r>
      <w:r>
        <w:rPr>
          <w:rFonts w:eastAsia="MS Mincho"/>
        </w:rPr>
        <w:t xml:space="preserve">que sa famille a pu lui rendre visite, </w:t>
      </w:r>
      <w:r w:rsidRPr="009E7D26">
        <w:rPr>
          <w:rFonts w:eastAsia="MS Mincho"/>
        </w:rPr>
        <w:t xml:space="preserve">grâce </w:t>
      </w:r>
      <w:r>
        <w:rPr>
          <w:rFonts w:eastAsia="MS Mincho"/>
        </w:rPr>
        <w:t>aux</w:t>
      </w:r>
      <w:r w:rsidRPr="009E7D26">
        <w:rPr>
          <w:rFonts w:eastAsia="MS Mincho"/>
        </w:rPr>
        <w:t xml:space="preserve"> pression</w:t>
      </w:r>
      <w:r>
        <w:rPr>
          <w:rFonts w:eastAsia="MS Mincho"/>
        </w:rPr>
        <w:t>s</w:t>
      </w:r>
      <w:r w:rsidRPr="009E7D26">
        <w:rPr>
          <w:rFonts w:eastAsia="MS Mincho"/>
        </w:rPr>
        <w:t xml:space="preserve"> exercée</w:t>
      </w:r>
      <w:r>
        <w:rPr>
          <w:rFonts w:eastAsia="MS Mincho"/>
        </w:rPr>
        <w:t>s</w:t>
      </w:r>
      <w:r w:rsidRPr="009E7D26">
        <w:rPr>
          <w:rFonts w:eastAsia="MS Mincho"/>
        </w:rPr>
        <w:t xml:space="preserve"> par des organisations de la société civile et aux </w:t>
      </w:r>
      <w:r>
        <w:rPr>
          <w:rFonts w:eastAsia="MS Mincho"/>
        </w:rPr>
        <w:t>messages relayés par les médias</w:t>
      </w:r>
      <w:r w:rsidRPr="009E7D26">
        <w:rPr>
          <w:rFonts w:eastAsia="MS Mincho"/>
        </w:rPr>
        <w:t xml:space="preserve">. </w:t>
      </w:r>
      <w:r>
        <w:rPr>
          <w:rFonts w:eastAsia="MS Mincho"/>
        </w:rPr>
        <w:t>Au cours de ces visites, l</w:t>
      </w:r>
      <w:r w:rsidRPr="009E7D26">
        <w:rPr>
          <w:rFonts w:eastAsia="MS Mincho"/>
        </w:rPr>
        <w:t>es policiers étaient toujours présents.</w:t>
      </w:r>
    </w:p>
    <w:p w14:paraId="34B12273" w14:textId="4B9AC8E9" w:rsidR="00965D37" w:rsidRDefault="00965D37" w:rsidP="006F70D4">
      <w:pPr>
        <w:pStyle w:val="SingleTxtG"/>
        <w:rPr>
          <w:rFonts w:eastAsia="MS Mincho"/>
        </w:rPr>
      </w:pPr>
      <w:r>
        <w:rPr>
          <w:rFonts w:eastAsia="MS Mincho"/>
        </w:rPr>
        <w:t>2.5</w:t>
      </w:r>
      <w:r>
        <w:rPr>
          <w:rFonts w:eastAsia="MS Mincho"/>
        </w:rPr>
        <w:tab/>
      </w:r>
      <w:r w:rsidRPr="009E7D26">
        <w:rPr>
          <w:rFonts w:eastAsia="MS Mincho"/>
        </w:rPr>
        <w:t xml:space="preserve">La requérante n’a pas </w:t>
      </w:r>
      <w:r>
        <w:rPr>
          <w:rFonts w:eastAsia="MS Mincho"/>
        </w:rPr>
        <w:t>reçu</w:t>
      </w:r>
      <w:r w:rsidRPr="009E7D26">
        <w:rPr>
          <w:rFonts w:eastAsia="MS Mincho"/>
        </w:rPr>
        <w:t xml:space="preserve"> de soins appropriés </w:t>
      </w:r>
      <w:r>
        <w:rPr>
          <w:rFonts w:eastAsia="MS Mincho"/>
        </w:rPr>
        <w:t>car</w:t>
      </w:r>
      <w:r w:rsidRPr="009E7D26">
        <w:rPr>
          <w:rFonts w:eastAsia="MS Mincho"/>
        </w:rPr>
        <w:t xml:space="preserve"> le personnel soignant ne s’occupait pas bien d’elle</w:t>
      </w:r>
      <w:r>
        <w:rPr>
          <w:rFonts w:eastAsia="MS Mincho"/>
        </w:rPr>
        <w:t>,</w:t>
      </w:r>
      <w:r w:rsidRPr="009E7D26">
        <w:rPr>
          <w:rFonts w:eastAsia="MS Mincho"/>
        </w:rPr>
        <w:t xml:space="preserve"> par peur de</w:t>
      </w:r>
      <w:r>
        <w:rPr>
          <w:rFonts w:eastAsia="MS Mincho"/>
        </w:rPr>
        <w:t>s</w:t>
      </w:r>
      <w:r w:rsidRPr="009E7D26">
        <w:rPr>
          <w:rFonts w:eastAsia="MS Mincho"/>
        </w:rPr>
        <w:t xml:space="preserve"> représailles de la police qui le contrôlait constamment. Ce n’est que le </w:t>
      </w:r>
      <w:r w:rsidR="00FE1C39" w:rsidRPr="009E7D26">
        <w:rPr>
          <w:rFonts w:eastAsia="MS Mincho"/>
        </w:rPr>
        <w:t>17</w:t>
      </w:r>
      <w:r w:rsidR="00FE1C39">
        <w:rPr>
          <w:rFonts w:eastAsia="MS Mincho"/>
        </w:rPr>
        <w:t> </w:t>
      </w:r>
      <w:r w:rsidRPr="009E7D26">
        <w:rPr>
          <w:rFonts w:eastAsia="MS Mincho"/>
        </w:rPr>
        <w:t xml:space="preserve">mars 2014 que la requérante a pu obtenir </w:t>
      </w:r>
      <w:r>
        <w:rPr>
          <w:rFonts w:eastAsia="MS Mincho"/>
        </w:rPr>
        <w:t>l’</w:t>
      </w:r>
      <w:r w:rsidRPr="009E7D26">
        <w:rPr>
          <w:rFonts w:eastAsia="MS Mincho"/>
        </w:rPr>
        <w:t xml:space="preserve">autorisation </w:t>
      </w:r>
      <w:r>
        <w:rPr>
          <w:rFonts w:eastAsia="MS Mincho"/>
        </w:rPr>
        <w:t>de passer</w:t>
      </w:r>
      <w:r w:rsidRPr="009E7D26">
        <w:rPr>
          <w:rFonts w:eastAsia="MS Mincho"/>
        </w:rPr>
        <w:t xml:space="preserve"> des radiographies dans un autre hôpital. Malgré les demandes qu’il a présentées le</w:t>
      </w:r>
      <w:r>
        <w:rPr>
          <w:rFonts w:eastAsia="MS Mincho"/>
        </w:rPr>
        <w:t>s</w:t>
      </w:r>
      <w:r w:rsidRPr="009E7D26">
        <w:rPr>
          <w:rFonts w:eastAsia="MS Mincho"/>
        </w:rPr>
        <w:t xml:space="preserve"> </w:t>
      </w:r>
      <w:r w:rsidR="00FE1C39" w:rsidRPr="009E7D26">
        <w:rPr>
          <w:rFonts w:eastAsia="MS Mincho"/>
        </w:rPr>
        <w:t>30</w:t>
      </w:r>
      <w:r w:rsidR="00FE1C39">
        <w:rPr>
          <w:rFonts w:eastAsia="MS Mincho"/>
        </w:rPr>
        <w:t> </w:t>
      </w:r>
      <w:r w:rsidRPr="009E7D26">
        <w:rPr>
          <w:rFonts w:eastAsia="MS Mincho"/>
        </w:rPr>
        <w:t xml:space="preserve">mars et </w:t>
      </w:r>
      <w:r w:rsidR="00FE1C39" w:rsidRPr="009E7D26">
        <w:rPr>
          <w:rFonts w:eastAsia="MS Mincho"/>
        </w:rPr>
        <w:t>15</w:t>
      </w:r>
      <w:r w:rsidR="00FE1C39">
        <w:rPr>
          <w:rFonts w:eastAsia="MS Mincho"/>
        </w:rPr>
        <w:t> </w:t>
      </w:r>
      <w:r w:rsidRPr="009E7D26">
        <w:rPr>
          <w:rFonts w:eastAsia="MS Mincho"/>
        </w:rPr>
        <w:t xml:space="preserve">décembre 2015, l’avocat de la requérante n’a jamais reçu copie des éléments de son dossier médical, notamment la fiche d’hospitalisation, les éventuels examens </w:t>
      </w:r>
      <w:r>
        <w:rPr>
          <w:rFonts w:eastAsia="MS Mincho"/>
        </w:rPr>
        <w:t>réalisés</w:t>
      </w:r>
      <w:r w:rsidRPr="009E7D26">
        <w:rPr>
          <w:rFonts w:eastAsia="MS Mincho"/>
        </w:rPr>
        <w:t xml:space="preserve"> et le billet de sortie</w:t>
      </w:r>
      <w:r>
        <w:rPr>
          <w:rFonts w:eastAsia="MS Mincho"/>
        </w:rPr>
        <w:t xml:space="preserve"> qui </w:t>
      </w:r>
      <w:r>
        <w:rPr>
          <w:rFonts w:eastAsia="MS Mincho"/>
        </w:rPr>
        <w:lastRenderedPageBreak/>
        <w:t>auraient été utiles dans le cadre des procédures judiciaires que la requérante souhaitait entamer</w:t>
      </w:r>
      <w:r w:rsidRPr="009E7D26">
        <w:rPr>
          <w:rFonts w:eastAsia="MS Mincho"/>
        </w:rPr>
        <w:t>.</w:t>
      </w:r>
    </w:p>
    <w:p w14:paraId="0A8363DB" w14:textId="0177A803" w:rsidR="00965D37" w:rsidRDefault="00965D37" w:rsidP="006F70D4">
      <w:pPr>
        <w:pStyle w:val="SingleTxtG"/>
        <w:rPr>
          <w:rFonts w:eastAsia="MS Mincho"/>
        </w:rPr>
      </w:pPr>
      <w:r>
        <w:rPr>
          <w:rFonts w:eastAsia="MS Mincho"/>
        </w:rPr>
        <w:t>2.6</w:t>
      </w:r>
      <w:r>
        <w:rPr>
          <w:rFonts w:eastAsia="MS Mincho"/>
        </w:rPr>
        <w:tab/>
      </w:r>
      <w:r w:rsidRPr="009E7D26">
        <w:rPr>
          <w:rFonts w:eastAsia="MS Mincho"/>
        </w:rPr>
        <w:t xml:space="preserve">Le </w:t>
      </w:r>
      <w:r w:rsidR="00FE1C39" w:rsidRPr="009E7D26">
        <w:rPr>
          <w:rFonts w:eastAsia="MS Mincho"/>
        </w:rPr>
        <w:t>21</w:t>
      </w:r>
      <w:r w:rsidR="00FE1C39">
        <w:rPr>
          <w:rFonts w:eastAsia="MS Mincho"/>
        </w:rPr>
        <w:t> </w:t>
      </w:r>
      <w:r w:rsidRPr="009E7D26">
        <w:rPr>
          <w:rFonts w:eastAsia="MS Mincho"/>
        </w:rPr>
        <w:t xml:space="preserve">mars 2014, </w:t>
      </w:r>
      <w:r>
        <w:rPr>
          <w:rFonts w:eastAsia="MS Mincho"/>
        </w:rPr>
        <w:t>le Procureur de la République de Bujumbura s’est rendu à l’hôpital et a présenté à la requérante un mandat d’arrêt en son nom, sans pourtant lui en donner une copie, et l’a informée de son arrestation. L</w:t>
      </w:r>
      <w:r w:rsidRPr="009E7D26">
        <w:rPr>
          <w:rFonts w:eastAsia="MS Mincho"/>
        </w:rPr>
        <w:t xml:space="preserve">a requérante a été obligée de sortir de l’hôpital </w:t>
      </w:r>
      <w:r w:rsidR="00FE1C39">
        <w:rPr>
          <w:rFonts w:eastAsia="MS Mincho"/>
        </w:rPr>
        <w:t>−</w:t>
      </w:r>
      <w:r w:rsidR="00A14D5B">
        <w:rPr>
          <w:rFonts w:eastAsia="MS Mincho"/>
        </w:rPr>
        <w:t> </w:t>
      </w:r>
      <w:r w:rsidRPr="009E7D26">
        <w:rPr>
          <w:rFonts w:eastAsia="MS Mincho"/>
        </w:rPr>
        <w:t xml:space="preserve">en </w:t>
      </w:r>
      <w:r>
        <w:rPr>
          <w:rFonts w:eastAsia="MS Mincho"/>
        </w:rPr>
        <w:t>fauteuil roulant</w:t>
      </w:r>
      <w:r w:rsidR="00A14D5B">
        <w:rPr>
          <w:rFonts w:eastAsia="MS Mincho"/>
        </w:rPr>
        <w:t> </w:t>
      </w:r>
      <w:r w:rsidR="00FE1C39">
        <w:rPr>
          <w:rFonts w:eastAsia="MS Mincho"/>
        </w:rPr>
        <w:t>−</w:t>
      </w:r>
      <w:r w:rsidR="00FE1C39" w:rsidRPr="009E7D26">
        <w:rPr>
          <w:rFonts w:eastAsia="MS Mincho"/>
        </w:rPr>
        <w:t xml:space="preserve"> </w:t>
      </w:r>
      <w:r w:rsidRPr="009E7D26">
        <w:rPr>
          <w:rFonts w:eastAsia="MS Mincho"/>
        </w:rPr>
        <w:t xml:space="preserve">et a été amenée </w:t>
      </w:r>
      <w:r>
        <w:rPr>
          <w:rFonts w:eastAsia="MS Mincho"/>
        </w:rPr>
        <w:t>devant le</w:t>
      </w:r>
      <w:r w:rsidRPr="009E7D26">
        <w:rPr>
          <w:rFonts w:eastAsia="MS Mincho"/>
        </w:rPr>
        <w:t xml:space="preserve"> Parquet </w:t>
      </w:r>
      <w:r>
        <w:rPr>
          <w:rFonts w:eastAsia="MS Mincho"/>
        </w:rPr>
        <w:t xml:space="preserve">de la République </w:t>
      </w:r>
      <w:r w:rsidRPr="009E7D26">
        <w:rPr>
          <w:rFonts w:eastAsia="MS Mincho"/>
        </w:rPr>
        <w:t>de Bujumbura, où elle a été interrogée et détenue</w:t>
      </w:r>
      <w:r w:rsidRPr="00A745D5">
        <w:rPr>
          <w:rFonts w:eastAsia="MS Mincho"/>
        </w:rPr>
        <w:t xml:space="preserve"> </w:t>
      </w:r>
      <w:r>
        <w:rPr>
          <w:rFonts w:eastAsia="MS Mincho"/>
        </w:rPr>
        <w:t>dans un cachot</w:t>
      </w:r>
      <w:r w:rsidRPr="009E7D26">
        <w:rPr>
          <w:rFonts w:eastAsia="MS Mincho"/>
        </w:rPr>
        <w:t xml:space="preserve"> pendant des heures, </w:t>
      </w:r>
      <w:r>
        <w:rPr>
          <w:rFonts w:eastAsia="MS Mincho"/>
        </w:rPr>
        <w:t xml:space="preserve">malgré les blessures profondes et visibles qui étaient les siennes, </w:t>
      </w:r>
      <w:r w:rsidRPr="009E7D26">
        <w:rPr>
          <w:rFonts w:eastAsia="MS Mincho"/>
        </w:rPr>
        <w:t xml:space="preserve">avant d’être transférée à la prison </w:t>
      </w:r>
      <w:r>
        <w:rPr>
          <w:rFonts w:eastAsia="MS Mincho"/>
        </w:rPr>
        <w:t xml:space="preserve">centrale </w:t>
      </w:r>
      <w:r w:rsidRPr="009E7D26">
        <w:rPr>
          <w:rFonts w:eastAsia="MS Mincho"/>
        </w:rPr>
        <w:t>de Mpimba. Pendant l’interrogatoire, la requéran</w:t>
      </w:r>
      <w:r>
        <w:rPr>
          <w:rFonts w:eastAsia="MS Mincho"/>
        </w:rPr>
        <w:t>te n’a pas eu accès à un avocat</w:t>
      </w:r>
      <w:r w:rsidRPr="00A1114C">
        <w:rPr>
          <w:rStyle w:val="Appelnotedebasdep"/>
        </w:rPr>
        <w:footnoteReference w:id="7"/>
      </w:r>
      <w:r>
        <w:rPr>
          <w:rFonts w:eastAsia="MS Mincho"/>
        </w:rPr>
        <w:t>.</w:t>
      </w:r>
    </w:p>
    <w:p w14:paraId="6D9A865F" w14:textId="24FF94DD" w:rsidR="00965D37" w:rsidRDefault="00965D37" w:rsidP="006F70D4">
      <w:pPr>
        <w:pStyle w:val="SingleTxtG"/>
        <w:rPr>
          <w:rFonts w:eastAsia="MS Mincho"/>
        </w:rPr>
      </w:pPr>
      <w:r>
        <w:rPr>
          <w:rFonts w:eastAsia="MS Mincho"/>
        </w:rPr>
        <w:t>2.7</w:t>
      </w:r>
      <w:r>
        <w:rPr>
          <w:rFonts w:eastAsia="MS Mincho"/>
        </w:rPr>
        <w:tab/>
      </w:r>
      <w:r w:rsidRPr="009E7D26">
        <w:rPr>
          <w:rFonts w:eastAsia="MS Mincho"/>
        </w:rPr>
        <w:t>Au cours de sa détention</w:t>
      </w:r>
      <w:r>
        <w:rPr>
          <w:rFonts w:eastAsia="MS Mincho"/>
        </w:rPr>
        <w:t xml:space="preserve"> en prison</w:t>
      </w:r>
      <w:r w:rsidRPr="009E7D26">
        <w:rPr>
          <w:rFonts w:eastAsia="MS Mincho"/>
        </w:rPr>
        <w:t xml:space="preserve">, la requérante a été obligée de partager un lit minuscule avec une autre détenue, dans une pièce qui abritait </w:t>
      </w:r>
      <w:r w:rsidR="00FE1C39" w:rsidRPr="009E7D26">
        <w:rPr>
          <w:rFonts w:eastAsia="MS Mincho"/>
        </w:rPr>
        <w:t>46</w:t>
      </w:r>
      <w:r w:rsidR="00FE1C39">
        <w:rPr>
          <w:rFonts w:eastAsia="MS Mincho"/>
        </w:rPr>
        <w:t> </w:t>
      </w:r>
      <w:r w:rsidRPr="009E7D26">
        <w:rPr>
          <w:rFonts w:eastAsia="MS Mincho"/>
        </w:rPr>
        <w:t>autres femmes. La nourriture était insuffisante et de qualité médiocre, ce qui</w:t>
      </w:r>
      <w:r>
        <w:rPr>
          <w:rFonts w:eastAsia="MS Mincho"/>
        </w:rPr>
        <w:t>,</w:t>
      </w:r>
      <w:r w:rsidRPr="009E7D26">
        <w:rPr>
          <w:rFonts w:eastAsia="MS Mincho"/>
        </w:rPr>
        <w:t xml:space="preserve"> </w:t>
      </w:r>
      <w:r>
        <w:rPr>
          <w:rFonts w:eastAsia="MS Mincho"/>
        </w:rPr>
        <w:t>associé à</w:t>
      </w:r>
      <w:r w:rsidRPr="009E7D26">
        <w:rPr>
          <w:rFonts w:eastAsia="MS Mincho"/>
        </w:rPr>
        <w:t xml:space="preserve"> la surpopulation carcérale</w:t>
      </w:r>
      <w:r>
        <w:rPr>
          <w:rFonts w:eastAsia="MS Mincho"/>
        </w:rPr>
        <w:t>,</w:t>
      </w:r>
      <w:r w:rsidRPr="009E7D26">
        <w:rPr>
          <w:rFonts w:eastAsia="MS Mincho"/>
        </w:rPr>
        <w:t xml:space="preserve"> favorisait la </w:t>
      </w:r>
      <w:r>
        <w:rPr>
          <w:rFonts w:eastAsia="MS Mincho"/>
        </w:rPr>
        <w:t>propagation</w:t>
      </w:r>
      <w:r w:rsidRPr="009E7D26">
        <w:rPr>
          <w:rFonts w:eastAsia="MS Mincho"/>
        </w:rPr>
        <w:t xml:space="preserve"> de maladies contagieuses et a </w:t>
      </w:r>
      <w:r>
        <w:rPr>
          <w:rFonts w:eastAsia="MS Mincho"/>
        </w:rPr>
        <w:t>en conséquence</w:t>
      </w:r>
      <w:r w:rsidRPr="009E7D26">
        <w:rPr>
          <w:rFonts w:eastAsia="MS Mincho"/>
        </w:rPr>
        <w:t xml:space="preserve"> causé de graves problèmes de santé à la requérante.</w:t>
      </w:r>
    </w:p>
    <w:p w14:paraId="5C21E518" w14:textId="74C65D57" w:rsidR="00965D37" w:rsidRDefault="00965D37" w:rsidP="006F70D4">
      <w:pPr>
        <w:pStyle w:val="SingleTxtG"/>
        <w:rPr>
          <w:rFonts w:eastAsia="MS Mincho"/>
        </w:rPr>
      </w:pPr>
      <w:r>
        <w:rPr>
          <w:rFonts w:eastAsia="MS Mincho"/>
        </w:rPr>
        <w:t>2.8</w:t>
      </w:r>
      <w:r>
        <w:rPr>
          <w:rFonts w:eastAsia="MS Mincho"/>
        </w:rPr>
        <w:tab/>
      </w:r>
      <w:r w:rsidRPr="009E7D26">
        <w:rPr>
          <w:rFonts w:eastAsia="MS Mincho"/>
        </w:rPr>
        <w:t xml:space="preserve">La requérante est restée en détention dans la prison de Mpimba jusqu’au </w:t>
      </w:r>
      <w:r w:rsidR="00FE1C39" w:rsidRPr="009E7D26">
        <w:rPr>
          <w:rFonts w:eastAsia="MS Mincho"/>
        </w:rPr>
        <w:t>12</w:t>
      </w:r>
      <w:r w:rsidR="00FE1C39">
        <w:rPr>
          <w:rFonts w:eastAsia="MS Mincho"/>
        </w:rPr>
        <w:t> </w:t>
      </w:r>
      <w:r w:rsidRPr="009E7D26">
        <w:rPr>
          <w:rFonts w:eastAsia="MS Mincho"/>
        </w:rPr>
        <w:t>juin 2015, date à laquelle elle a pu être amenée aux urgences</w:t>
      </w:r>
      <w:r>
        <w:rPr>
          <w:rFonts w:eastAsia="MS Mincho"/>
        </w:rPr>
        <w:t>, en raison</w:t>
      </w:r>
      <w:r w:rsidRPr="009E7D26">
        <w:rPr>
          <w:rFonts w:eastAsia="MS Mincho"/>
        </w:rPr>
        <w:t xml:space="preserve"> de ses graves </w:t>
      </w:r>
      <w:r>
        <w:rPr>
          <w:rFonts w:eastAsia="MS Mincho"/>
        </w:rPr>
        <w:t>problèmes</w:t>
      </w:r>
      <w:r w:rsidRPr="009E7D26">
        <w:rPr>
          <w:rFonts w:eastAsia="MS Mincho"/>
        </w:rPr>
        <w:t xml:space="preserve"> de santé, grâce à l’intervention de l’</w:t>
      </w:r>
      <w:r>
        <w:rPr>
          <w:rFonts w:eastAsia="MS Mincho"/>
        </w:rPr>
        <w:t>Association pour la protection des droits humains et des personnes détenues</w:t>
      </w:r>
      <w:r w:rsidRPr="009E7D26">
        <w:rPr>
          <w:rFonts w:eastAsia="MS Mincho"/>
        </w:rPr>
        <w:t xml:space="preserve"> et du </w:t>
      </w:r>
      <w:r>
        <w:rPr>
          <w:rFonts w:eastAsia="MS Mincho"/>
        </w:rPr>
        <w:t>Comité international de la Croix-Rouge</w:t>
      </w:r>
      <w:r w:rsidRPr="00A1114C">
        <w:rPr>
          <w:rStyle w:val="Appelnotedebasdep"/>
        </w:rPr>
        <w:footnoteReference w:id="8"/>
      </w:r>
      <w:r>
        <w:rPr>
          <w:rFonts w:eastAsia="MS Mincho"/>
        </w:rPr>
        <w:t>.</w:t>
      </w:r>
      <w:r w:rsidRPr="009E7D26">
        <w:rPr>
          <w:rFonts w:eastAsia="MS Mincho"/>
        </w:rPr>
        <w:t xml:space="preserve"> La requérante a été hospitalisée jusqu’au </w:t>
      </w:r>
      <w:r w:rsidR="00FE1C39" w:rsidRPr="009E7D26">
        <w:rPr>
          <w:rFonts w:eastAsia="MS Mincho"/>
        </w:rPr>
        <w:t>24</w:t>
      </w:r>
      <w:r w:rsidR="00FE1C39">
        <w:rPr>
          <w:rFonts w:eastAsia="MS Mincho"/>
        </w:rPr>
        <w:t> </w:t>
      </w:r>
      <w:r w:rsidRPr="009E7D26">
        <w:rPr>
          <w:rFonts w:eastAsia="MS Mincho"/>
        </w:rPr>
        <w:t xml:space="preserve">juin 2015, notamment </w:t>
      </w:r>
      <w:r>
        <w:rPr>
          <w:rFonts w:eastAsia="MS Mincho"/>
        </w:rPr>
        <w:t>pour</w:t>
      </w:r>
      <w:r w:rsidRPr="009E7D26">
        <w:rPr>
          <w:rFonts w:eastAsia="MS Mincho"/>
        </w:rPr>
        <w:t xml:space="preserve"> </w:t>
      </w:r>
      <w:r>
        <w:rPr>
          <w:rFonts w:eastAsia="MS Mincho"/>
        </w:rPr>
        <w:t>établir un traitement pour</w:t>
      </w:r>
      <w:r w:rsidRPr="009E7D26">
        <w:rPr>
          <w:rFonts w:eastAsia="MS Mincho"/>
        </w:rPr>
        <w:t xml:space="preserve"> diabète, maladie qu’elle n’avait pas avant sa mise en détention.</w:t>
      </w:r>
    </w:p>
    <w:p w14:paraId="1B5EA9DB" w14:textId="57E3A877" w:rsidR="00965D37" w:rsidRDefault="00965D37" w:rsidP="006F70D4">
      <w:pPr>
        <w:pStyle w:val="SingleTxtG"/>
      </w:pPr>
      <w:r>
        <w:rPr>
          <w:rFonts w:eastAsia="MS Mincho"/>
        </w:rPr>
        <w:t>2.9</w:t>
      </w:r>
      <w:r>
        <w:rPr>
          <w:rFonts w:eastAsia="MS Mincho"/>
        </w:rPr>
        <w:tab/>
      </w:r>
      <w:r w:rsidRPr="009E7D26">
        <w:rPr>
          <w:rFonts w:eastAsia="MS Mincho"/>
        </w:rPr>
        <w:t xml:space="preserve">Le </w:t>
      </w:r>
      <w:r w:rsidR="00FE1C39" w:rsidRPr="009E7D26">
        <w:rPr>
          <w:rFonts w:eastAsia="MS Mincho"/>
        </w:rPr>
        <w:t>24</w:t>
      </w:r>
      <w:r w:rsidR="00FE1C39">
        <w:rPr>
          <w:rFonts w:eastAsia="MS Mincho"/>
        </w:rPr>
        <w:t> </w:t>
      </w:r>
      <w:r w:rsidRPr="009E7D26">
        <w:rPr>
          <w:rFonts w:eastAsia="MS Mincho"/>
        </w:rPr>
        <w:t xml:space="preserve">juin 2015, la requérante a quitté l’hôpital afin de fuir le Burundi. Le </w:t>
      </w:r>
      <w:r w:rsidR="00FE1C39" w:rsidRPr="009E7D26">
        <w:rPr>
          <w:rFonts w:eastAsia="MS Mincho"/>
        </w:rPr>
        <w:t>9</w:t>
      </w:r>
      <w:r w:rsidR="00FE1C39">
        <w:rPr>
          <w:rFonts w:eastAsia="MS Mincho"/>
        </w:rPr>
        <w:t> </w:t>
      </w:r>
      <w:r w:rsidRPr="009E7D26">
        <w:rPr>
          <w:rFonts w:eastAsia="MS Mincho"/>
        </w:rPr>
        <w:t>juillet 2015, elle a obtenu le statut de réfugié</w:t>
      </w:r>
      <w:r>
        <w:rPr>
          <w:rFonts w:eastAsia="MS Mincho"/>
        </w:rPr>
        <w:t>e</w:t>
      </w:r>
      <w:r w:rsidRPr="009E7D26">
        <w:rPr>
          <w:rFonts w:eastAsia="MS Mincho"/>
        </w:rPr>
        <w:t xml:space="preserve"> au Rwanda. Le </w:t>
      </w:r>
      <w:r w:rsidR="00FE1C39" w:rsidRPr="009E7D26">
        <w:rPr>
          <w:rFonts w:eastAsia="MS Mincho"/>
        </w:rPr>
        <w:t>15</w:t>
      </w:r>
      <w:r w:rsidR="00FE1C39">
        <w:rPr>
          <w:rFonts w:eastAsia="MS Mincho"/>
        </w:rPr>
        <w:t> </w:t>
      </w:r>
      <w:r w:rsidRPr="009E7D26">
        <w:rPr>
          <w:rFonts w:eastAsia="MS Mincho"/>
        </w:rPr>
        <w:t xml:space="preserve">février 2016, elle a été condamnée par le </w:t>
      </w:r>
      <w:r>
        <w:rPr>
          <w:rFonts w:eastAsia="MS Mincho"/>
        </w:rPr>
        <w:t xml:space="preserve">tribunal de grande instance </w:t>
      </w:r>
      <w:r w:rsidRPr="009E7D26">
        <w:rPr>
          <w:rFonts w:eastAsia="MS Mincho"/>
        </w:rPr>
        <w:t xml:space="preserve">de Bujumbura à </w:t>
      </w:r>
      <w:r>
        <w:rPr>
          <w:rFonts w:eastAsia="MS Mincho"/>
        </w:rPr>
        <w:t>trois</w:t>
      </w:r>
      <w:r w:rsidRPr="009E7D26">
        <w:rPr>
          <w:rFonts w:eastAsia="MS Mincho"/>
        </w:rPr>
        <w:t xml:space="preserve"> ans et </w:t>
      </w:r>
      <w:r>
        <w:rPr>
          <w:rFonts w:eastAsia="MS Mincho"/>
        </w:rPr>
        <w:t>six</w:t>
      </w:r>
      <w:r w:rsidRPr="009E7D26">
        <w:rPr>
          <w:rFonts w:eastAsia="MS Mincho"/>
        </w:rPr>
        <w:t xml:space="preserve"> mois de détention pour rébellion.</w:t>
      </w:r>
    </w:p>
    <w:p w14:paraId="19A6EBC3" w14:textId="6FD0A0E4" w:rsidR="00965D37" w:rsidRDefault="00965D37" w:rsidP="006F70D4">
      <w:pPr>
        <w:pStyle w:val="SingleTxtG"/>
      </w:pPr>
      <w:r>
        <w:t>2.10</w:t>
      </w:r>
      <w:r>
        <w:tab/>
      </w:r>
      <w:r w:rsidRPr="009E7D26">
        <w:t>La requérante a dénoncé les tortures subies au cours de la p</w:t>
      </w:r>
      <w:r>
        <w:t>rocédure engagée contre elle</w:t>
      </w:r>
      <w:r w:rsidRPr="00A1114C">
        <w:rPr>
          <w:rStyle w:val="Appelnotedebasdep"/>
        </w:rPr>
        <w:footnoteReference w:id="9"/>
      </w:r>
      <w:r>
        <w:t>,</w:t>
      </w:r>
      <w:r w:rsidRPr="009E7D26">
        <w:t xml:space="preserve"> mais aussi par </w:t>
      </w:r>
      <w:r>
        <w:t>l’intermédiaire</w:t>
      </w:r>
      <w:r w:rsidRPr="009E7D26">
        <w:t xml:space="preserve"> d’une plainte formelle déposée </w:t>
      </w:r>
      <w:r>
        <w:t xml:space="preserve">le </w:t>
      </w:r>
      <w:r w:rsidR="00FE1C39">
        <w:t>14 </w:t>
      </w:r>
      <w:r>
        <w:t>mars 2014 au Parquet g</w:t>
      </w:r>
      <w:r w:rsidRPr="009E7D26">
        <w:t xml:space="preserve">énéral de la République </w:t>
      </w:r>
      <w:r>
        <w:t xml:space="preserve">à </w:t>
      </w:r>
      <w:r w:rsidRPr="001B4AB2">
        <w:t>Bujumbura</w:t>
      </w:r>
      <w:r>
        <w:t>,</w:t>
      </w:r>
      <w:r w:rsidRPr="001B4AB2">
        <w:t xml:space="preserve"> </w:t>
      </w:r>
      <w:r w:rsidRPr="009E7D26">
        <w:t xml:space="preserve">au nom de la requérante et d’autres membres du </w:t>
      </w:r>
      <w:r w:rsidRPr="00C558C4">
        <w:rPr>
          <w:rFonts w:eastAsia="MS Mincho"/>
        </w:rPr>
        <w:t xml:space="preserve">Mouvement pour la </w:t>
      </w:r>
      <w:r>
        <w:rPr>
          <w:rFonts w:eastAsia="MS Mincho"/>
        </w:rPr>
        <w:t>solidarité et la démocratie</w:t>
      </w:r>
      <w:r w:rsidRPr="009E7D26">
        <w:t xml:space="preserve"> qui </w:t>
      </w:r>
      <w:r>
        <w:t>avaient</w:t>
      </w:r>
      <w:r w:rsidRPr="009E7D26">
        <w:t xml:space="preserve"> subi le même traitement</w:t>
      </w:r>
      <w:r>
        <w:t>.</w:t>
      </w:r>
      <w:r w:rsidRPr="009E7D26">
        <w:t xml:space="preserve"> Malgré de nombreuses démarches, les autorités n’ont donné aucune suite aux dénonciations </w:t>
      </w:r>
      <w:r>
        <w:t>présentées</w:t>
      </w:r>
      <w:r w:rsidRPr="009E7D26">
        <w:t>.</w:t>
      </w:r>
      <w:r>
        <w:t xml:space="preserve"> Aucune enquête n’a été menée par les autorités burundaises, et la requérante n’a jamais été entendue ou même appelée au sujet des actes de torture qu’elle a subis et qui étaient pourtant largement connus. Dans une conférence de presse du </w:t>
      </w:r>
      <w:r w:rsidR="00FE1C39">
        <w:t>9 </w:t>
      </w:r>
      <w:r>
        <w:t>mai 2014, les avocats ayant signé la plainte ont dénoncé le fait que deux mois après la présentation de celle-ci, le Procureur n’avait pas encore entamé l’instruction du dossier et que les victimes avaient été obligées de sortir de l’hôpital avant leur rétablissement complet</w:t>
      </w:r>
      <w:r w:rsidRPr="00A1114C">
        <w:rPr>
          <w:rStyle w:val="Appelnotedebasdep"/>
        </w:rPr>
        <w:footnoteReference w:id="10"/>
      </w:r>
      <w:r>
        <w:t xml:space="preserve">. </w:t>
      </w:r>
      <w:r w:rsidRPr="009E7D26">
        <w:t xml:space="preserve">L’affaire dans laquelle la requérante a été impliquée a </w:t>
      </w:r>
      <w:r>
        <w:t>eu</w:t>
      </w:r>
      <w:r w:rsidRPr="009E7D26">
        <w:t xml:space="preserve"> un très fort retentisseme</w:t>
      </w:r>
      <w:r>
        <w:t>nt médiatique, au niveau tant national</w:t>
      </w:r>
      <w:r w:rsidRPr="00A1114C">
        <w:rPr>
          <w:rStyle w:val="Appelnotedebasdep"/>
        </w:rPr>
        <w:footnoteReference w:id="11"/>
      </w:r>
      <w:r w:rsidRPr="009E7D26">
        <w:t xml:space="preserve"> </w:t>
      </w:r>
      <w:r>
        <w:t>qu’</w:t>
      </w:r>
      <w:r w:rsidRPr="009E7D26">
        <w:t>international</w:t>
      </w:r>
      <w:r w:rsidRPr="00A1114C">
        <w:rPr>
          <w:rStyle w:val="Appelnotedebasdep"/>
        </w:rPr>
        <w:footnoteReference w:id="12"/>
      </w:r>
      <w:r>
        <w:t>. De plus, les responsables de ces violations, bien qu’ils soient identifiés expressément dans la plainte, n’ont jamais été sanctionnés par l’État partie.</w:t>
      </w:r>
    </w:p>
    <w:p w14:paraId="33AF49F8" w14:textId="28F6CC51" w:rsidR="00965D37" w:rsidRDefault="00965D37" w:rsidP="006F70D4">
      <w:pPr>
        <w:pStyle w:val="SingleTxtG"/>
      </w:pPr>
      <w:r>
        <w:lastRenderedPageBreak/>
        <w:t>2.11</w:t>
      </w:r>
      <w:r>
        <w:tab/>
      </w:r>
      <w:r w:rsidRPr="00751FB0">
        <w:t>Outre le refus manifeste des autorités d’établir les responsabilités dans cette affaire, l</w:t>
      </w:r>
      <w:r>
        <w:t>a</w:t>
      </w:r>
      <w:r w:rsidRPr="00751FB0">
        <w:t xml:space="preserve"> requérant</w:t>
      </w:r>
      <w:r>
        <w:t>e</w:t>
      </w:r>
      <w:r w:rsidRPr="00751FB0">
        <w:t xml:space="preserve"> relève le climat général d’impunité au Burundi, notamment pour les actes de torture, </w:t>
      </w:r>
      <w:r>
        <w:t>lequel</w:t>
      </w:r>
      <w:r w:rsidRPr="00751FB0">
        <w:t xml:space="preserve"> a fait l’objet de nombreux rapports d’organismes </w:t>
      </w:r>
      <w:r>
        <w:t>des Nations Unies</w:t>
      </w:r>
      <w:r w:rsidRPr="00A1114C">
        <w:rPr>
          <w:rStyle w:val="Appelnotedebasdep"/>
        </w:rPr>
        <w:footnoteReference w:id="13"/>
      </w:r>
      <w:r>
        <w:t>.</w:t>
      </w:r>
      <w:r w:rsidRPr="00751FB0">
        <w:t xml:space="preserve"> </w:t>
      </w:r>
      <w:r>
        <w:t>En outre, dans ses c</w:t>
      </w:r>
      <w:r w:rsidRPr="001E21CD">
        <w:t xml:space="preserve">onclusions </w:t>
      </w:r>
      <w:r>
        <w:t>sur</w:t>
      </w:r>
      <w:r w:rsidRPr="001E21CD">
        <w:t xml:space="preserve"> le rapport initial du Burundi adoptées le </w:t>
      </w:r>
      <w:r w:rsidR="00FE1C39" w:rsidRPr="001E21CD">
        <w:t>20</w:t>
      </w:r>
      <w:r w:rsidR="00FE1C39">
        <w:t> </w:t>
      </w:r>
      <w:r w:rsidRPr="001E21CD">
        <w:t>novembre 2006</w:t>
      </w:r>
      <w:r>
        <w:t xml:space="preserve">, </w:t>
      </w:r>
      <w:r w:rsidRPr="00751FB0">
        <w:t xml:space="preserve">le Comité a exprimé </w:t>
      </w:r>
      <w:r>
        <w:t>ses</w:t>
      </w:r>
      <w:r w:rsidRPr="00751FB0">
        <w:t xml:space="preserve"> préoccupation</w:t>
      </w:r>
      <w:r>
        <w:t>s</w:t>
      </w:r>
      <w:r w:rsidRPr="00751FB0">
        <w:t xml:space="preserve"> quant à </w:t>
      </w:r>
      <w:r w:rsidRPr="00892B9B">
        <w:t>la situation de dépendance de fait du pouvoir judiciaire au pouvoir exécutif</w:t>
      </w:r>
      <w:r w:rsidRPr="00A1114C">
        <w:rPr>
          <w:rStyle w:val="Appelnotedebasdep"/>
        </w:rPr>
        <w:footnoteReference w:id="14"/>
      </w:r>
      <w:r>
        <w:t>. Ensuite, dans ses o</w:t>
      </w:r>
      <w:r w:rsidRPr="00A42E6C">
        <w:t>bservations finales concernant le deuxième rapport périodique du Burundi</w:t>
      </w:r>
      <w:r>
        <w:t xml:space="preserve">, le Comité s’est dit </w:t>
      </w:r>
      <w:r w:rsidRPr="00DC4BF7">
        <w:t>préoccupé par la faiblesse et la lenteur des enquêtes ouvertes et des poursuites engagées corroborant ainsi des allégations d’impunité prévalant à l’égard des responsables</w:t>
      </w:r>
      <w:r>
        <w:t xml:space="preserve"> d’actes de torture et d’exécutions extrajudiciaires impliquant notamment la Police nationale du Burundi et le Service national de renseignement</w:t>
      </w:r>
      <w:r w:rsidRPr="00A1114C">
        <w:rPr>
          <w:rStyle w:val="Appelnotedebasdep"/>
        </w:rPr>
        <w:footnoteReference w:id="15"/>
      </w:r>
      <w:r>
        <w:t>. Enfin, dans ses observations finales d’août 2016</w:t>
      </w:r>
      <w:r w:rsidRPr="00E406F6">
        <w:t xml:space="preserve"> concernant le rapport spécial du Burundi</w:t>
      </w:r>
      <w:r>
        <w:t xml:space="preserve">, le Comité a affirmé que le Burundi devrait mettre un terme à l’impunité et </w:t>
      </w:r>
      <w:r w:rsidRPr="00E406F6">
        <w:t>veiller à ce que tous les cas et allégations de torture et de mauvais traitements donnent rapidement lieu à une e</w:t>
      </w:r>
      <w:r>
        <w:t>nquête efficace et impartiale</w:t>
      </w:r>
      <w:r w:rsidRPr="00A1114C">
        <w:rPr>
          <w:rStyle w:val="Appelnotedebasdep"/>
        </w:rPr>
        <w:footnoteReference w:id="16"/>
      </w:r>
      <w:r>
        <w:t>.</w:t>
      </w:r>
    </w:p>
    <w:p w14:paraId="66B5766C" w14:textId="7C816B5F" w:rsidR="00965D37" w:rsidRPr="00F3263E" w:rsidRDefault="00965D37" w:rsidP="006F70D4">
      <w:pPr>
        <w:pStyle w:val="SingleTxtG"/>
      </w:pPr>
      <w:r>
        <w:t>2.12</w:t>
      </w:r>
      <w:r w:rsidRPr="00715153">
        <w:tab/>
      </w:r>
      <w:r>
        <w:t>La</w:t>
      </w:r>
      <w:r w:rsidRPr="00715153">
        <w:t xml:space="preserve"> requérant</w:t>
      </w:r>
      <w:r>
        <w:t>e</w:t>
      </w:r>
      <w:r w:rsidRPr="00715153">
        <w:t xml:space="preserve"> fait en conséquence valoir </w:t>
      </w:r>
      <w:r>
        <w:t>ce qui suit :</w:t>
      </w:r>
      <w:r w:rsidRPr="00715153">
        <w:t xml:space="preserve"> </w:t>
      </w:r>
      <w:r>
        <w:t>a</w:t>
      </w:r>
      <w:r w:rsidR="00FE1C39" w:rsidRPr="00715153">
        <w:t>)</w:t>
      </w:r>
      <w:r w:rsidR="00FE1C39">
        <w:t> </w:t>
      </w:r>
      <w:r w:rsidRPr="00715153">
        <w:t xml:space="preserve">les voies de recours internes disponibles ne lui ont donné aucune satisfaction, les autorités n’ayant pas réagi à ses dénonciations alors qu’elles auraient dû ouvrir une enquête pénale sur la base de </w:t>
      </w:r>
      <w:r>
        <w:t>ses</w:t>
      </w:r>
      <w:r w:rsidRPr="00715153">
        <w:t xml:space="preserve"> allégations ; </w:t>
      </w:r>
      <w:r>
        <w:t>b</w:t>
      </w:r>
      <w:r w:rsidR="00FE1C39" w:rsidRPr="00715153">
        <w:t>)</w:t>
      </w:r>
      <w:r w:rsidR="00FE1C39">
        <w:t> </w:t>
      </w:r>
      <w:r>
        <w:t xml:space="preserve">ces voies de recours </w:t>
      </w:r>
      <w:r w:rsidRPr="00715153">
        <w:t xml:space="preserve">ont excédé les délais raisonnables, puisque </w:t>
      </w:r>
      <w:r>
        <w:t xml:space="preserve">trois </w:t>
      </w:r>
      <w:r w:rsidRPr="00715153">
        <w:t>ans</w:t>
      </w:r>
      <w:r>
        <w:t xml:space="preserve"> et quatre mois</w:t>
      </w:r>
      <w:r w:rsidRPr="00715153">
        <w:t xml:space="preserve"> après la </w:t>
      </w:r>
      <w:r>
        <w:t xml:space="preserve">dénonciation des actes de torture en date du </w:t>
      </w:r>
      <w:r w:rsidR="00FE1C39">
        <w:t>14 </w:t>
      </w:r>
      <w:r>
        <w:t>mars 2014</w:t>
      </w:r>
      <w:r w:rsidRPr="00715153">
        <w:t>, aucune enquête n’a</w:t>
      </w:r>
      <w:r>
        <w:t>vait</w:t>
      </w:r>
      <w:r w:rsidRPr="00715153">
        <w:t xml:space="preserve"> été ouverte ;</w:t>
      </w:r>
      <w:r>
        <w:t xml:space="preserve"> et c</w:t>
      </w:r>
      <w:r w:rsidR="00FE1C39">
        <w:t>) </w:t>
      </w:r>
      <w:r>
        <w:t>il était dangereux pour elle</w:t>
      </w:r>
      <w:r w:rsidRPr="00D57A8B">
        <w:t xml:space="preserve"> </w:t>
      </w:r>
      <w:r w:rsidRPr="00715153">
        <w:t>d’entreprendre d’autres démarches</w:t>
      </w:r>
      <w:r>
        <w:t>, car</w:t>
      </w:r>
      <w:r w:rsidRPr="00715153">
        <w:t xml:space="preserve"> </w:t>
      </w:r>
      <w:r>
        <w:t xml:space="preserve">elle avait fui le Burundi avec sa famille alors qu’elle devait encore être en détention et car </w:t>
      </w:r>
      <w:r w:rsidRPr="00715153">
        <w:t xml:space="preserve">les personnes responsables des faits de torture étaient </w:t>
      </w:r>
      <w:r>
        <w:t>des policiers et des proches du Gouvernement en place</w:t>
      </w:r>
      <w:r w:rsidRPr="00715153">
        <w:t>.</w:t>
      </w:r>
    </w:p>
    <w:p w14:paraId="5A8D0A70" w14:textId="77777777" w:rsidR="00965D37" w:rsidRDefault="00965D37" w:rsidP="006F70D4">
      <w:pPr>
        <w:pStyle w:val="H23G"/>
        <w:rPr>
          <w:lang w:val="fr-FR" w:eastAsia="zh-CN"/>
        </w:rPr>
      </w:pPr>
      <w:r>
        <w:rPr>
          <w:lang w:val="fr-FR" w:eastAsia="zh-CN"/>
        </w:rPr>
        <w:tab/>
      </w:r>
      <w:r>
        <w:rPr>
          <w:lang w:val="fr-FR" w:eastAsia="zh-CN"/>
        </w:rPr>
        <w:tab/>
      </w:r>
      <w:r w:rsidRPr="002E3753">
        <w:rPr>
          <w:lang w:val="fr-FR" w:eastAsia="zh-CN"/>
        </w:rPr>
        <w:t>Teneur de la plainte</w:t>
      </w:r>
    </w:p>
    <w:p w14:paraId="6FD65888" w14:textId="755E44C4" w:rsidR="00965D37" w:rsidRPr="00C84F9F" w:rsidRDefault="00965D37" w:rsidP="006F70D4">
      <w:pPr>
        <w:pStyle w:val="SingleTxtG"/>
        <w:rPr>
          <w:rFonts w:eastAsia="MS Mincho"/>
        </w:rPr>
      </w:pPr>
      <w:r w:rsidRPr="00C84F9F">
        <w:rPr>
          <w:rFonts w:eastAsia="MS Mincho"/>
        </w:rPr>
        <w:t>3.1</w:t>
      </w:r>
      <w:r w:rsidRPr="00C84F9F">
        <w:rPr>
          <w:rFonts w:eastAsia="MS Mincho"/>
        </w:rPr>
        <w:tab/>
      </w:r>
      <w:r w:rsidRPr="00F3263E">
        <w:rPr>
          <w:rFonts w:eastAsia="MS Mincho"/>
        </w:rPr>
        <w:t>L</w:t>
      </w:r>
      <w:r>
        <w:rPr>
          <w:rFonts w:eastAsia="MS Mincho"/>
        </w:rPr>
        <w:t>a</w:t>
      </w:r>
      <w:r w:rsidRPr="00F3263E">
        <w:rPr>
          <w:rFonts w:eastAsia="MS Mincho"/>
        </w:rPr>
        <w:t xml:space="preserve"> requérant</w:t>
      </w:r>
      <w:r>
        <w:rPr>
          <w:rFonts w:eastAsia="MS Mincho"/>
        </w:rPr>
        <w:t>e</w:t>
      </w:r>
      <w:r w:rsidRPr="00F3263E">
        <w:rPr>
          <w:rFonts w:eastAsia="MS Mincho"/>
        </w:rPr>
        <w:t xml:space="preserve"> prétend être victime de </w:t>
      </w:r>
      <w:r>
        <w:rPr>
          <w:rFonts w:eastAsia="MS Mincho"/>
        </w:rPr>
        <w:t xml:space="preserve">la </w:t>
      </w:r>
      <w:r w:rsidRPr="00F3263E">
        <w:rPr>
          <w:rFonts w:eastAsia="MS Mincho"/>
        </w:rPr>
        <w:t>violation par le Burundi de ses droits protégés par</w:t>
      </w:r>
      <w:r>
        <w:rPr>
          <w:rFonts w:eastAsia="MS Mincho"/>
        </w:rPr>
        <w:t xml:space="preserve"> les </w:t>
      </w:r>
      <w:r w:rsidR="00FE1C39">
        <w:rPr>
          <w:rFonts w:eastAsia="MS Mincho"/>
        </w:rPr>
        <w:t>articles </w:t>
      </w:r>
      <w:r>
        <w:rPr>
          <w:rFonts w:eastAsia="MS Mincho"/>
        </w:rPr>
        <w:t>2 (par</w:t>
      </w:r>
      <w:r w:rsidR="00FE1C39">
        <w:rPr>
          <w:rFonts w:eastAsia="MS Mincho"/>
        </w:rPr>
        <w:t>. </w:t>
      </w:r>
      <w:r>
        <w:rPr>
          <w:rFonts w:eastAsia="MS Mincho"/>
        </w:rPr>
        <w:t>1) et</w:t>
      </w:r>
      <w:r w:rsidRPr="00F3263E">
        <w:rPr>
          <w:rFonts w:eastAsia="MS Mincho"/>
        </w:rPr>
        <w:t xml:space="preserve"> </w:t>
      </w:r>
      <w:r>
        <w:rPr>
          <w:rFonts w:eastAsia="MS Mincho"/>
        </w:rPr>
        <w:t>11 à</w:t>
      </w:r>
      <w:r w:rsidRPr="00F3263E">
        <w:rPr>
          <w:rFonts w:eastAsia="MS Mincho"/>
        </w:rPr>
        <w:t xml:space="preserve"> 14, lus conjointement avec </w:t>
      </w:r>
      <w:r w:rsidR="00FE1C39" w:rsidRPr="00F3263E">
        <w:rPr>
          <w:rFonts w:eastAsia="MS Mincho"/>
        </w:rPr>
        <w:t>l’article</w:t>
      </w:r>
      <w:r w:rsidR="00FE1C39">
        <w:rPr>
          <w:rFonts w:eastAsia="MS Mincho"/>
        </w:rPr>
        <w:t> </w:t>
      </w:r>
      <w:r w:rsidRPr="00F3263E">
        <w:rPr>
          <w:rFonts w:eastAsia="MS Mincho"/>
        </w:rPr>
        <w:t>1</w:t>
      </w:r>
      <w:r w:rsidRPr="00DC26C5">
        <w:rPr>
          <w:rFonts w:eastAsia="MS Mincho"/>
          <w:vertAlign w:val="superscript"/>
        </w:rPr>
        <w:t>er</w:t>
      </w:r>
      <w:r w:rsidRPr="00F3263E">
        <w:rPr>
          <w:rFonts w:eastAsia="MS Mincho"/>
        </w:rPr>
        <w:t xml:space="preserve"> et, subsidiairement, avec </w:t>
      </w:r>
      <w:r w:rsidR="00FE1C39" w:rsidRPr="00F3263E">
        <w:rPr>
          <w:rFonts w:eastAsia="MS Mincho"/>
        </w:rPr>
        <w:t>l’article</w:t>
      </w:r>
      <w:r w:rsidR="00FE1C39">
        <w:rPr>
          <w:rFonts w:eastAsia="MS Mincho"/>
        </w:rPr>
        <w:t> </w:t>
      </w:r>
      <w:r w:rsidRPr="00F3263E">
        <w:rPr>
          <w:rFonts w:eastAsia="MS Mincho"/>
        </w:rPr>
        <w:t>16 de la Convention</w:t>
      </w:r>
      <w:r>
        <w:rPr>
          <w:rFonts w:eastAsia="MS Mincho"/>
        </w:rPr>
        <w:t xml:space="preserve">, ainsi que de </w:t>
      </w:r>
      <w:r w:rsidR="00FE1C39">
        <w:rPr>
          <w:rFonts w:eastAsia="MS Mincho"/>
        </w:rPr>
        <w:t>l’article </w:t>
      </w:r>
      <w:r>
        <w:rPr>
          <w:rFonts w:eastAsia="MS Mincho"/>
        </w:rPr>
        <w:t>16 de la Convention lu seul</w:t>
      </w:r>
      <w:r w:rsidRPr="00F3263E">
        <w:rPr>
          <w:rFonts w:eastAsia="MS Mincho"/>
        </w:rPr>
        <w:t>.</w:t>
      </w:r>
    </w:p>
    <w:p w14:paraId="0D0F3E30" w14:textId="3C81198D" w:rsidR="00965D37" w:rsidRDefault="00965D37" w:rsidP="006F70D4">
      <w:pPr>
        <w:pStyle w:val="SingleTxtG"/>
      </w:pPr>
      <w:r w:rsidRPr="00C84F9F">
        <w:rPr>
          <w:rFonts w:eastAsia="MS Mincho"/>
        </w:rPr>
        <w:t>3.2</w:t>
      </w:r>
      <w:r w:rsidRPr="00C84F9F">
        <w:rPr>
          <w:rFonts w:eastAsia="MS Mincho"/>
        </w:rPr>
        <w:tab/>
      </w:r>
      <w:r>
        <w:rPr>
          <w:rFonts w:eastAsia="MS Mincho"/>
        </w:rPr>
        <w:t>Selon la</w:t>
      </w:r>
      <w:r w:rsidRPr="00525FB5">
        <w:rPr>
          <w:rFonts w:eastAsia="MS Mincho"/>
        </w:rPr>
        <w:t xml:space="preserve"> requérant</w:t>
      </w:r>
      <w:r>
        <w:rPr>
          <w:rFonts w:eastAsia="MS Mincho"/>
        </w:rPr>
        <w:t>e</w:t>
      </w:r>
      <w:r w:rsidRPr="00525FB5">
        <w:rPr>
          <w:rFonts w:eastAsia="MS Mincho"/>
        </w:rPr>
        <w:t xml:space="preserve">, les sévices qui lui ont été infligés ont provoqué des douleurs et </w:t>
      </w:r>
      <w:r>
        <w:rPr>
          <w:rFonts w:eastAsia="MS Mincho"/>
        </w:rPr>
        <w:t xml:space="preserve">des </w:t>
      </w:r>
      <w:r w:rsidRPr="00525FB5">
        <w:rPr>
          <w:rFonts w:eastAsia="MS Mincho"/>
        </w:rPr>
        <w:t>souffrances aig</w:t>
      </w:r>
      <w:r>
        <w:rPr>
          <w:rFonts w:eastAsia="MS Mincho"/>
        </w:rPr>
        <w:t>uë</w:t>
      </w:r>
      <w:r w:rsidRPr="00525FB5">
        <w:rPr>
          <w:rFonts w:eastAsia="MS Mincho"/>
        </w:rPr>
        <w:t xml:space="preserve">s, </w:t>
      </w:r>
      <w:r w:rsidRPr="000525BC">
        <w:rPr>
          <w:rFonts w:eastAsia="MS Mincho"/>
        </w:rPr>
        <w:t>qui ont encore un impact aujourd’hui sur sa santé tant physique que psychologique.</w:t>
      </w:r>
      <w:r>
        <w:rPr>
          <w:rFonts w:eastAsia="MS Mincho"/>
        </w:rPr>
        <w:t xml:space="preserve"> P</w:t>
      </w:r>
      <w:r w:rsidRPr="000525BC">
        <w:rPr>
          <w:rFonts w:eastAsia="MS Mincho"/>
        </w:rPr>
        <w:t>armi les séquelles des actes de torture subis en mars 2014</w:t>
      </w:r>
      <w:r>
        <w:rPr>
          <w:rFonts w:eastAsia="MS Mincho"/>
        </w:rPr>
        <w:t>,</w:t>
      </w:r>
      <w:r w:rsidRPr="000525BC">
        <w:rPr>
          <w:rFonts w:eastAsia="MS Mincho"/>
        </w:rPr>
        <w:t xml:space="preserve"> la requérante </w:t>
      </w:r>
      <w:r>
        <w:rPr>
          <w:rFonts w:eastAsia="MS Mincho"/>
        </w:rPr>
        <w:t>souffre de douleurs physiques, mais aussi</w:t>
      </w:r>
      <w:r w:rsidRPr="000525BC">
        <w:rPr>
          <w:rFonts w:eastAsia="MS Mincho"/>
        </w:rPr>
        <w:t xml:space="preserve"> d’anxiété, </w:t>
      </w:r>
      <w:r>
        <w:rPr>
          <w:rFonts w:eastAsia="MS Mincho"/>
        </w:rPr>
        <w:t>d’</w:t>
      </w:r>
      <w:r w:rsidRPr="000525BC">
        <w:rPr>
          <w:rFonts w:eastAsia="MS Mincho"/>
        </w:rPr>
        <w:t xml:space="preserve">insomnie, </w:t>
      </w:r>
      <w:r>
        <w:rPr>
          <w:rFonts w:eastAsia="MS Mincho"/>
        </w:rPr>
        <w:t>d’</w:t>
      </w:r>
      <w:r w:rsidRPr="000525BC">
        <w:rPr>
          <w:rFonts w:eastAsia="MS Mincho"/>
        </w:rPr>
        <w:t>hallu</w:t>
      </w:r>
      <w:r>
        <w:rPr>
          <w:rFonts w:eastAsia="MS Mincho"/>
        </w:rPr>
        <w:t>cinations et de troubles dépressifs</w:t>
      </w:r>
      <w:r w:rsidRPr="00A1114C">
        <w:rPr>
          <w:rStyle w:val="Appelnotedebasdep"/>
        </w:rPr>
        <w:footnoteReference w:id="17"/>
      </w:r>
      <w:r>
        <w:rPr>
          <w:rFonts w:eastAsia="MS Mincho"/>
        </w:rPr>
        <w:t>.</w:t>
      </w:r>
      <w:r w:rsidRPr="000525BC">
        <w:rPr>
          <w:rFonts w:eastAsia="MS Mincho"/>
        </w:rPr>
        <w:t xml:space="preserve"> Le but </w:t>
      </w:r>
      <w:r>
        <w:rPr>
          <w:rFonts w:eastAsia="MS Mincho"/>
        </w:rPr>
        <w:t>d</w:t>
      </w:r>
      <w:r w:rsidRPr="000525BC">
        <w:rPr>
          <w:rFonts w:eastAsia="MS Mincho"/>
        </w:rPr>
        <w:t xml:space="preserve">es policiers qui l’ont violemment battue était bien de provoquer une telle souffrance : ils l’ont frappée sur les zones les plus sensibles pour une femme, comme le dos, les reins et les seins. </w:t>
      </w:r>
      <w:r>
        <w:rPr>
          <w:rFonts w:eastAsia="MS Mincho"/>
        </w:rPr>
        <w:t>De</w:t>
      </w:r>
      <w:r w:rsidRPr="000525BC">
        <w:rPr>
          <w:rFonts w:eastAsia="MS Mincho"/>
        </w:rPr>
        <w:t xml:space="preserve"> plus, elle s’est vu refuser l’accès aux soins du personnel de la Croix-Rouge se trouvant sur place, et au lieu d’être amenée d’urgence à l’hôpital pour recevoir le traitement médical dont elle avait visiblement besoin, elle a été conduite au </w:t>
      </w:r>
      <w:r>
        <w:rPr>
          <w:rFonts w:eastAsia="MS Mincho"/>
        </w:rPr>
        <w:t>Service national de renseignement</w:t>
      </w:r>
      <w:r w:rsidRPr="000525BC">
        <w:rPr>
          <w:rFonts w:eastAsia="MS Mincho"/>
        </w:rPr>
        <w:t xml:space="preserve">, où elle a été insultée et intimidée. Ces actes de torture infligés par les membres de la </w:t>
      </w:r>
      <w:r>
        <w:rPr>
          <w:rFonts w:eastAsia="MS Mincho"/>
        </w:rPr>
        <w:t>P</w:t>
      </w:r>
      <w:r w:rsidRPr="000525BC">
        <w:rPr>
          <w:rFonts w:eastAsia="MS Mincho"/>
        </w:rPr>
        <w:t xml:space="preserve">olice nationale visaient à l’intimider, </w:t>
      </w:r>
      <w:r>
        <w:rPr>
          <w:rFonts w:eastAsia="MS Mincho"/>
        </w:rPr>
        <w:t xml:space="preserve">à </w:t>
      </w:r>
      <w:r w:rsidRPr="000525BC">
        <w:rPr>
          <w:rFonts w:eastAsia="MS Mincho"/>
        </w:rPr>
        <w:t xml:space="preserve">la punir et à faire pression sur elle en raison de son appartenance politique. </w:t>
      </w:r>
      <w:r>
        <w:rPr>
          <w:rFonts w:eastAsia="MS Mincho"/>
        </w:rPr>
        <w:t>La requérante</w:t>
      </w:r>
      <w:r w:rsidRPr="000525BC">
        <w:rPr>
          <w:rFonts w:eastAsia="MS Mincho"/>
        </w:rPr>
        <w:t xml:space="preserve"> maintient donc que ces sévices constituent des actes de torture </w:t>
      </w:r>
      <w:r>
        <w:rPr>
          <w:rFonts w:eastAsia="MS Mincho"/>
        </w:rPr>
        <w:t>au sens de</w:t>
      </w:r>
      <w:r w:rsidRPr="000525BC">
        <w:rPr>
          <w:rFonts w:eastAsia="MS Mincho"/>
        </w:rPr>
        <w:t xml:space="preserve"> </w:t>
      </w:r>
      <w:r w:rsidR="00FE1C39" w:rsidRPr="000525BC">
        <w:rPr>
          <w:rFonts w:eastAsia="MS Mincho"/>
        </w:rPr>
        <w:t>l’article</w:t>
      </w:r>
      <w:r w:rsidR="00FE1C39">
        <w:rPr>
          <w:rFonts w:eastAsia="MS Mincho"/>
        </w:rPr>
        <w:t> </w:t>
      </w:r>
      <w:r>
        <w:rPr>
          <w:rFonts w:eastAsia="MS Mincho"/>
        </w:rPr>
        <w:t>1</w:t>
      </w:r>
      <w:r w:rsidRPr="00DC26C5">
        <w:rPr>
          <w:rFonts w:eastAsia="MS Mincho"/>
          <w:vertAlign w:val="superscript"/>
        </w:rPr>
        <w:t>er</w:t>
      </w:r>
      <w:r w:rsidRPr="000525BC">
        <w:rPr>
          <w:rFonts w:eastAsia="MS Mincho"/>
        </w:rPr>
        <w:t xml:space="preserve"> de la Convention.</w:t>
      </w:r>
    </w:p>
    <w:p w14:paraId="1CD176C1" w14:textId="7B3071DA" w:rsidR="00965D37" w:rsidRDefault="00965D37" w:rsidP="006F70D4">
      <w:pPr>
        <w:pStyle w:val="SingleTxtG"/>
        <w:rPr>
          <w:rFonts w:eastAsia="MS Mincho"/>
        </w:rPr>
      </w:pPr>
      <w:r>
        <w:rPr>
          <w:rFonts w:eastAsia="MS Mincho"/>
        </w:rPr>
        <w:t>3.3</w:t>
      </w:r>
      <w:r>
        <w:rPr>
          <w:rFonts w:eastAsia="MS Mincho"/>
        </w:rPr>
        <w:tab/>
      </w:r>
      <w:r w:rsidRPr="000525BC">
        <w:rPr>
          <w:rFonts w:eastAsia="MS Mincho"/>
        </w:rPr>
        <w:t xml:space="preserve">Au titre de </w:t>
      </w:r>
      <w:r w:rsidR="00FE1C39" w:rsidRPr="000525BC">
        <w:rPr>
          <w:rFonts w:eastAsia="MS Mincho"/>
        </w:rPr>
        <w:t>l’article</w:t>
      </w:r>
      <w:r w:rsidR="00FE1C39">
        <w:rPr>
          <w:rFonts w:eastAsia="MS Mincho"/>
        </w:rPr>
        <w:t> </w:t>
      </w:r>
      <w:r w:rsidRPr="000525BC">
        <w:rPr>
          <w:rFonts w:eastAsia="MS Mincho"/>
        </w:rPr>
        <w:t>2 (</w:t>
      </w:r>
      <w:r>
        <w:rPr>
          <w:rFonts w:eastAsia="MS Mincho"/>
        </w:rPr>
        <w:t>par</w:t>
      </w:r>
      <w:r w:rsidR="00FE1C39">
        <w:rPr>
          <w:rFonts w:eastAsia="MS Mincho"/>
        </w:rPr>
        <w:t>. </w:t>
      </w:r>
      <w:r w:rsidRPr="000525BC">
        <w:rPr>
          <w:rFonts w:eastAsia="MS Mincho"/>
        </w:rPr>
        <w:t>1) de la Convention, la requérante fait valoir que l’É</w:t>
      </w:r>
      <w:r>
        <w:rPr>
          <w:rFonts w:eastAsia="MS Mincho"/>
        </w:rPr>
        <w:t>t</w:t>
      </w:r>
      <w:r w:rsidRPr="000525BC">
        <w:rPr>
          <w:rFonts w:eastAsia="MS Mincho"/>
        </w:rPr>
        <w:t xml:space="preserve">at partie n’a pas pris de mesures efficaces pour prévenir la commission d’actes de torture sous sa juridiction. En particulier, </w:t>
      </w:r>
      <w:r>
        <w:rPr>
          <w:rFonts w:eastAsia="MS Mincho"/>
        </w:rPr>
        <w:t>tout au long de sa détention</w:t>
      </w:r>
      <w:r w:rsidRPr="000525BC">
        <w:rPr>
          <w:rFonts w:eastAsia="MS Mincho"/>
        </w:rPr>
        <w:t>, la requérante n’a pas reçu de soins appropriés</w:t>
      </w:r>
      <w:r>
        <w:rPr>
          <w:rFonts w:eastAsia="MS Mincho"/>
        </w:rPr>
        <w:t>. A</w:t>
      </w:r>
      <w:r w:rsidRPr="000525BC">
        <w:rPr>
          <w:rFonts w:eastAsia="MS Mincho"/>
        </w:rPr>
        <w:t>u contraire, la présence des agents de police à l’hôpital et les conditions insalubres de la prison de Mpimba ont contribué à la dégradation de son état de santé</w:t>
      </w:r>
      <w:r w:rsidRPr="00373C9B">
        <w:rPr>
          <w:rFonts w:eastAsia="MS Mincho"/>
        </w:rPr>
        <w:t xml:space="preserve"> </w:t>
      </w:r>
      <w:r w:rsidRPr="000525BC">
        <w:rPr>
          <w:rFonts w:eastAsia="MS Mincho"/>
        </w:rPr>
        <w:t xml:space="preserve">physique </w:t>
      </w:r>
      <w:r>
        <w:rPr>
          <w:rFonts w:eastAsia="MS Mincho"/>
        </w:rPr>
        <w:t>et</w:t>
      </w:r>
      <w:r w:rsidRPr="000525BC">
        <w:rPr>
          <w:rFonts w:eastAsia="MS Mincho"/>
        </w:rPr>
        <w:t xml:space="preserve"> psychologique. </w:t>
      </w:r>
      <w:r>
        <w:rPr>
          <w:rFonts w:eastAsia="MS Mincho"/>
        </w:rPr>
        <w:t>L</w:t>
      </w:r>
      <w:r w:rsidRPr="000525BC">
        <w:rPr>
          <w:rFonts w:eastAsia="MS Mincho"/>
        </w:rPr>
        <w:t xml:space="preserve">a requérante n’a </w:t>
      </w:r>
      <w:r>
        <w:rPr>
          <w:rFonts w:eastAsia="MS Mincho"/>
        </w:rPr>
        <w:t>eu accès à</w:t>
      </w:r>
      <w:r w:rsidRPr="000525BC">
        <w:rPr>
          <w:rFonts w:eastAsia="MS Mincho"/>
        </w:rPr>
        <w:t xml:space="preserve"> un avocat que lors de l’audience en chambre de conseil du </w:t>
      </w:r>
      <w:r w:rsidR="00FE1C39" w:rsidRPr="000525BC">
        <w:rPr>
          <w:rFonts w:eastAsia="MS Mincho"/>
        </w:rPr>
        <w:t>25</w:t>
      </w:r>
      <w:r w:rsidR="00FE1C39">
        <w:rPr>
          <w:rFonts w:eastAsia="MS Mincho"/>
        </w:rPr>
        <w:t> </w:t>
      </w:r>
      <w:r w:rsidRPr="000525BC">
        <w:rPr>
          <w:rFonts w:eastAsia="MS Mincho"/>
        </w:rPr>
        <w:t xml:space="preserve">avril 2014, soit plus d’un </w:t>
      </w:r>
      <w:r>
        <w:rPr>
          <w:rFonts w:eastAsia="MS Mincho"/>
        </w:rPr>
        <w:t>mois</w:t>
      </w:r>
      <w:r w:rsidRPr="000525BC">
        <w:rPr>
          <w:rFonts w:eastAsia="MS Mincho"/>
        </w:rPr>
        <w:t xml:space="preserve"> et demi après son arrestation</w:t>
      </w:r>
      <w:r>
        <w:rPr>
          <w:rFonts w:eastAsia="MS Mincho"/>
        </w:rPr>
        <w:t xml:space="preserve">, </w:t>
      </w:r>
      <w:r w:rsidRPr="000525BC">
        <w:rPr>
          <w:rFonts w:eastAsia="MS Mincho"/>
        </w:rPr>
        <w:t xml:space="preserve">sans avoir été assistée lors de l’interrogatoire au </w:t>
      </w:r>
      <w:r>
        <w:rPr>
          <w:rFonts w:eastAsia="MS Mincho"/>
        </w:rPr>
        <w:t>p</w:t>
      </w:r>
      <w:r w:rsidRPr="000525BC">
        <w:rPr>
          <w:rFonts w:eastAsia="MS Mincho"/>
        </w:rPr>
        <w:t xml:space="preserve">arquet en date du </w:t>
      </w:r>
      <w:r w:rsidR="00FE1C39" w:rsidRPr="000525BC">
        <w:rPr>
          <w:rFonts w:eastAsia="MS Mincho"/>
        </w:rPr>
        <w:t>21</w:t>
      </w:r>
      <w:r w:rsidR="00FE1C39">
        <w:rPr>
          <w:rFonts w:eastAsia="MS Mincho"/>
        </w:rPr>
        <w:t> </w:t>
      </w:r>
      <w:r w:rsidRPr="000525BC">
        <w:rPr>
          <w:rFonts w:eastAsia="MS Mincho"/>
        </w:rPr>
        <w:t xml:space="preserve">mars 2014. </w:t>
      </w:r>
      <w:r>
        <w:rPr>
          <w:rFonts w:eastAsia="MS Mincho"/>
        </w:rPr>
        <w:t>Ensuite</w:t>
      </w:r>
      <w:r w:rsidRPr="000525BC">
        <w:rPr>
          <w:rFonts w:eastAsia="MS Mincho"/>
        </w:rPr>
        <w:t xml:space="preserve">, malgré </w:t>
      </w:r>
      <w:r w:rsidRPr="000525BC">
        <w:rPr>
          <w:rFonts w:eastAsia="MS Mincho"/>
        </w:rPr>
        <w:lastRenderedPageBreak/>
        <w:t>les dénonciations et une plainte formelle présentées par la requérante, l’É</w:t>
      </w:r>
      <w:r>
        <w:rPr>
          <w:rFonts w:eastAsia="MS Mincho"/>
        </w:rPr>
        <w:t>t</w:t>
      </w:r>
      <w:r w:rsidRPr="000525BC">
        <w:rPr>
          <w:rFonts w:eastAsia="MS Mincho"/>
        </w:rPr>
        <w:t>at partie ne s’est pas acquitté de ses obligations d’enquêter sur les tortures infligées et de traduire en justice les responsables</w:t>
      </w:r>
      <w:r>
        <w:rPr>
          <w:rFonts w:eastAsia="MS Mincho"/>
        </w:rPr>
        <w:t xml:space="preserve"> de ces actes</w:t>
      </w:r>
      <w:r w:rsidRPr="000525BC">
        <w:rPr>
          <w:rFonts w:eastAsia="MS Mincho"/>
        </w:rPr>
        <w:t>.</w:t>
      </w:r>
      <w:r w:rsidRPr="00C87FD8">
        <w:t xml:space="preserve"> </w:t>
      </w:r>
      <w:r>
        <w:rPr>
          <w:rFonts w:eastAsia="MS Mincho"/>
        </w:rPr>
        <w:t>Enfin, la</w:t>
      </w:r>
      <w:r w:rsidRPr="00C87FD8">
        <w:rPr>
          <w:rFonts w:eastAsia="MS Mincho"/>
        </w:rPr>
        <w:t xml:space="preserve"> requérant</w:t>
      </w:r>
      <w:r>
        <w:rPr>
          <w:rFonts w:eastAsia="MS Mincho"/>
        </w:rPr>
        <w:t>e</w:t>
      </w:r>
      <w:r w:rsidRPr="00C87FD8">
        <w:rPr>
          <w:rFonts w:eastAsia="MS Mincho"/>
        </w:rPr>
        <w:t xml:space="preserve"> souligne qu’en droit burundais, hormis lorsqu’ils sont commis dans le contexte de crimes de guerre, de crimes contre l’humanité ou du crime de génocide, les actes de torture sont soumis à un délai de prescription de vingt ou trente ans selon les circonstances</w:t>
      </w:r>
      <w:r w:rsidRPr="00A1114C">
        <w:rPr>
          <w:rStyle w:val="Appelnotedebasdep"/>
        </w:rPr>
        <w:footnoteReference w:id="18"/>
      </w:r>
      <w:r w:rsidRPr="00C87FD8">
        <w:rPr>
          <w:rFonts w:eastAsia="MS Mincho"/>
        </w:rPr>
        <w:t>.</w:t>
      </w:r>
      <w:r w:rsidRPr="000D77CE">
        <w:t xml:space="preserve"> </w:t>
      </w:r>
      <w:r>
        <w:rPr>
          <w:rFonts w:eastAsia="MS Mincho"/>
        </w:rPr>
        <w:t>En conséquence, la</w:t>
      </w:r>
      <w:r w:rsidRPr="000D77CE">
        <w:rPr>
          <w:rFonts w:eastAsia="MS Mincho"/>
        </w:rPr>
        <w:t xml:space="preserve"> requérant</w:t>
      </w:r>
      <w:r>
        <w:rPr>
          <w:rFonts w:eastAsia="MS Mincho"/>
        </w:rPr>
        <w:t>e</w:t>
      </w:r>
      <w:r w:rsidRPr="000D77CE">
        <w:rPr>
          <w:rFonts w:eastAsia="MS Mincho"/>
        </w:rPr>
        <w:t xml:space="preserve"> soutient que l’État partie n’a pas adopté les mesures</w:t>
      </w:r>
      <w:r>
        <w:rPr>
          <w:rFonts w:eastAsia="MS Mincho"/>
        </w:rPr>
        <w:t>, notamment législatives,</w:t>
      </w:r>
      <w:r w:rsidRPr="000D77CE">
        <w:rPr>
          <w:rFonts w:eastAsia="MS Mincho"/>
        </w:rPr>
        <w:t xml:space="preserve"> qui s’impos</w:t>
      </w:r>
      <w:r>
        <w:rPr>
          <w:rFonts w:eastAsia="MS Mincho"/>
        </w:rPr>
        <w:t>ai</w:t>
      </w:r>
      <w:r w:rsidRPr="000D77CE">
        <w:rPr>
          <w:rFonts w:eastAsia="MS Mincho"/>
        </w:rPr>
        <w:t>en</w:t>
      </w:r>
      <w:r>
        <w:rPr>
          <w:rFonts w:eastAsia="MS Mincho"/>
        </w:rPr>
        <w:t xml:space="preserve">t au titre de </w:t>
      </w:r>
      <w:r w:rsidR="00FE1C39">
        <w:rPr>
          <w:rFonts w:eastAsia="MS Mincho"/>
        </w:rPr>
        <w:t>l’article </w:t>
      </w:r>
      <w:r>
        <w:rPr>
          <w:rFonts w:eastAsia="MS Mincho"/>
        </w:rPr>
        <w:t>2 (par. </w:t>
      </w:r>
      <w:r w:rsidRPr="000D77CE">
        <w:rPr>
          <w:rFonts w:eastAsia="MS Mincho"/>
        </w:rPr>
        <w:t>1) de la Convention.</w:t>
      </w:r>
    </w:p>
    <w:p w14:paraId="2AC5903F" w14:textId="0C8CA705" w:rsidR="00965D37" w:rsidRDefault="00965D37" w:rsidP="006F70D4">
      <w:pPr>
        <w:pStyle w:val="SingleTxtG"/>
        <w:rPr>
          <w:rFonts w:eastAsia="MS Mincho"/>
        </w:rPr>
      </w:pPr>
      <w:r>
        <w:rPr>
          <w:rFonts w:eastAsia="MS Mincho"/>
        </w:rPr>
        <w:t>3.4</w:t>
      </w:r>
      <w:r>
        <w:rPr>
          <w:rFonts w:eastAsia="MS Mincho"/>
        </w:rPr>
        <w:tab/>
      </w:r>
      <w:r w:rsidRPr="000525BC">
        <w:rPr>
          <w:rFonts w:eastAsia="MS Mincho"/>
        </w:rPr>
        <w:t xml:space="preserve">Invoquant </w:t>
      </w:r>
      <w:r w:rsidR="00FE1C39" w:rsidRPr="000525BC">
        <w:rPr>
          <w:rFonts w:eastAsia="MS Mincho"/>
        </w:rPr>
        <w:t>l’article</w:t>
      </w:r>
      <w:r w:rsidR="00FE1C39">
        <w:rPr>
          <w:rFonts w:eastAsia="MS Mincho"/>
        </w:rPr>
        <w:t> </w:t>
      </w:r>
      <w:r w:rsidRPr="000525BC">
        <w:rPr>
          <w:rFonts w:eastAsia="MS Mincho"/>
        </w:rPr>
        <w:t>11 de la Conv</w:t>
      </w:r>
      <w:r>
        <w:rPr>
          <w:rFonts w:eastAsia="MS Mincho"/>
        </w:rPr>
        <w:t>ention et la pratique du Comité</w:t>
      </w:r>
      <w:r w:rsidRPr="00A1114C">
        <w:rPr>
          <w:rStyle w:val="Appelnotedebasdep"/>
        </w:rPr>
        <w:footnoteReference w:id="19"/>
      </w:r>
      <w:r>
        <w:rPr>
          <w:rFonts w:eastAsia="MS Mincho"/>
        </w:rPr>
        <w:t>,</w:t>
      </w:r>
      <w:r w:rsidRPr="000525BC">
        <w:rPr>
          <w:rFonts w:eastAsia="MS Mincho"/>
        </w:rPr>
        <w:t xml:space="preserve"> la requérante fait valoir que malgré </w:t>
      </w:r>
      <w:r>
        <w:rPr>
          <w:rFonts w:eastAsia="MS Mincho"/>
        </w:rPr>
        <w:t>son état</w:t>
      </w:r>
      <w:r w:rsidRPr="000525BC">
        <w:rPr>
          <w:rFonts w:eastAsia="MS Mincho"/>
        </w:rPr>
        <w:t xml:space="preserve"> critique au moment de l’arrestation, elle n’a pas reçu de soins appropriés. Elle a été arrêtée sans être informée des chefs d’accusation </w:t>
      </w:r>
      <w:r>
        <w:rPr>
          <w:rFonts w:eastAsia="MS Mincho"/>
        </w:rPr>
        <w:t>retenus contre elle</w:t>
      </w:r>
      <w:r w:rsidRPr="000525BC">
        <w:rPr>
          <w:rFonts w:eastAsia="MS Mincho"/>
        </w:rPr>
        <w:t> ; elle n’a pas bénéficié de voies de recours efficaces pour contester les actes de torture ; et elle a été détenue dans des conditions déplorables à la prison de Mpimba, malgré son état de santé critique.</w:t>
      </w:r>
    </w:p>
    <w:p w14:paraId="783B9B52" w14:textId="4EB10691" w:rsidR="00965D37" w:rsidRDefault="00965D37" w:rsidP="006F70D4">
      <w:pPr>
        <w:pStyle w:val="SingleTxtG"/>
        <w:rPr>
          <w:lang w:eastAsia="en-GB"/>
        </w:rPr>
      </w:pPr>
      <w:r>
        <w:rPr>
          <w:rFonts w:eastAsia="MS Mincho"/>
        </w:rPr>
        <w:t>3.5</w:t>
      </w:r>
      <w:r>
        <w:rPr>
          <w:rFonts w:eastAsia="MS Mincho"/>
        </w:rPr>
        <w:tab/>
      </w:r>
      <w:r>
        <w:rPr>
          <w:lang w:eastAsia="en-GB"/>
        </w:rPr>
        <w:t>Par ailleurs</w:t>
      </w:r>
      <w:r w:rsidRPr="000525BC">
        <w:rPr>
          <w:lang w:eastAsia="en-GB"/>
        </w:rPr>
        <w:t>, la requérante fait valoir qu’</w:t>
      </w:r>
      <w:r>
        <w:rPr>
          <w:lang w:eastAsia="en-GB"/>
        </w:rPr>
        <w:t xml:space="preserve">alors qu’elles étaient </w:t>
      </w:r>
      <w:r w:rsidRPr="000525BC">
        <w:rPr>
          <w:lang w:eastAsia="en-GB"/>
        </w:rPr>
        <w:t>informées des tortures qu’elle a</w:t>
      </w:r>
      <w:r>
        <w:rPr>
          <w:lang w:eastAsia="en-GB"/>
        </w:rPr>
        <w:t>vait</w:t>
      </w:r>
      <w:r w:rsidRPr="000525BC">
        <w:rPr>
          <w:lang w:eastAsia="en-GB"/>
        </w:rPr>
        <w:t xml:space="preserve"> subies par </w:t>
      </w:r>
      <w:r>
        <w:rPr>
          <w:lang w:eastAsia="en-GB"/>
        </w:rPr>
        <w:t>l’intermédiaire</w:t>
      </w:r>
      <w:r w:rsidRPr="000525BC">
        <w:rPr>
          <w:lang w:eastAsia="en-GB"/>
        </w:rPr>
        <w:t xml:space="preserve"> d’une plainte déposée le </w:t>
      </w:r>
      <w:r w:rsidR="00FE1C39" w:rsidRPr="000525BC">
        <w:rPr>
          <w:lang w:eastAsia="en-GB"/>
        </w:rPr>
        <w:t>14</w:t>
      </w:r>
      <w:r w:rsidR="00FE1C39">
        <w:rPr>
          <w:lang w:eastAsia="en-GB"/>
        </w:rPr>
        <w:t> </w:t>
      </w:r>
      <w:r w:rsidRPr="000525BC">
        <w:rPr>
          <w:lang w:eastAsia="en-GB"/>
        </w:rPr>
        <w:t xml:space="preserve">mars 2014 ainsi que des dénonciations faites lors de l’audience du </w:t>
      </w:r>
      <w:r w:rsidR="00FE1C39" w:rsidRPr="000525BC">
        <w:rPr>
          <w:lang w:eastAsia="en-GB"/>
        </w:rPr>
        <w:t>25</w:t>
      </w:r>
      <w:r w:rsidR="00FE1C39">
        <w:rPr>
          <w:lang w:eastAsia="en-GB"/>
        </w:rPr>
        <w:t> </w:t>
      </w:r>
      <w:r w:rsidRPr="000525BC">
        <w:rPr>
          <w:lang w:eastAsia="en-GB"/>
        </w:rPr>
        <w:t xml:space="preserve">avril 2014, les autorités burundaises n’ont pas effectué </w:t>
      </w:r>
      <w:r>
        <w:rPr>
          <w:lang w:eastAsia="en-GB"/>
        </w:rPr>
        <w:t>d’</w:t>
      </w:r>
      <w:r w:rsidRPr="000525BC">
        <w:rPr>
          <w:lang w:eastAsia="en-GB"/>
        </w:rPr>
        <w:t xml:space="preserve">enquête prompte et effective sur les allégations de torture, en violation de l’obligation imposée par </w:t>
      </w:r>
      <w:r w:rsidR="00FE1C39" w:rsidRPr="000525BC">
        <w:rPr>
          <w:lang w:eastAsia="en-GB"/>
        </w:rPr>
        <w:t>l’article</w:t>
      </w:r>
      <w:r w:rsidR="00FE1C39">
        <w:rPr>
          <w:lang w:eastAsia="en-GB"/>
        </w:rPr>
        <w:t> </w:t>
      </w:r>
      <w:r w:rsidRPr="000525BC">
        <w:rPr>
          <w:lang w:eastAsia="en-GB"/>
        </w:rPr>
        <w:t>12 de la Convention. Elle allègue également que l’É</w:t>
      </w:r>
      <w:r>
        <w:rPr>
          <w:lang w:eastAsia="en-GB"/>
        </w:rPr>
        <w:t>t</w:t>
      </w:r>
      <w:r w:rsidRPr="000525BC">
        <w:rPr>
          <w:lang w:eastAsia="en-GB"/>
        </w:rPr>
        <w:t>at</w:t>
      </w:r>
      <w:r>
        <w:rPr>
          <w:lang w:eastAsia="en-GB"/>
        </w:rPr>
        <w:t xml:space="preserve"> partie</w:t>
      </w:r>
      <w:r w:rsidRPr="000525BC">
        <w:rPr>
          <w:lang w:eastAsia="en-GB"/>
        </w:rPr>
        <w:t xml:space="preserve"> n’a pas respecté son droit de porter plainte en vue de l’examen immédiat et impartial des faits allégués, contrevenant ainsi à </w:t>
      </w:r>
      <w:r w:rsidR="00FE1C39" w:rsidRPr="000525BC">
        <w:rPr>
          <w:lang w:eastAsia="en-GB"/>
        </w:rPr>
        <w:t>l’article</w:t>
      </w:r>
      <w:r w:rsidR="00FE1C39">
        <w:rPr>
          <w:lang w:eastAsia="en-GB"/>
        </w:rPr>
        <w:t> </w:t>
      </w:r>
      <w:r w:rsidRPr="000525BC">
        <w:rPr>
          <w:lang w:eastAsia="en-GB"/>
        </w:rPr>
        <w:t>13 de la Convention.</w:t>
      </w:r>
    </w:p>
    <w:p w14:paraId="21C2A236" w14:textId="0DFA0948" w:rsidR="00965D37" w:rsidRDefault="00965D37" w:rsidP="006F70D4">
      <w:pPr>
        <w:pStyle w:val="SingleTxtG"/>
        <w:rPr>
          <w:rFonts w:eastAsia="SimSun"/>
        </w:rPr>
      </w:pPr>
      <w:r>
        <w:rPr>
          <w:lang w:eastAsia="en-GB"/>
        </w:rPr>
        <w:t>3.6</w:t>
      </w:r>
      <w:r>
        <w:rPr>
          <w:lang w:eastAsia="en-GB"/>
        </w:rPr>
        <w:tab/>
      </w:r>
      <w:r w:rsidRPr="000525BC">
        <w:t>En privant la requérante d’une procédure pénale, l’É</w:t>
      </w:r>
      <w:r>
        <w:t>t</w:t>
      </w:r>
      <w:r w:rsidRPr="000525BC">
        <w:t xml:space="preserve">at </w:t>
      </w:r>
      <w:r>
        <w:t>partie</w:t>
      </w:r>
      <w:r w:rsidRPr="000525BC">
        <w:t xml:space="preserve"> l’a privée par la même occasion </w:t>
      </w:r>
      <w:r>
        <w:t>de toute voie de recours</w:t>
      </w:r>
      <w:r w:rsidRPr="000525BC">
        <w:t xml:space="preserve"> pour obtenir une indemnisation </w:t>
      </w:r>
      <w:r>
        <w:t>par suite</w:t>
      </w:r>
      <w:r w:rsidRPr="000525BC">
        <w:t xml:space="preserve"> de crimes graves tels que la torture. En outre, elle n’a bénéficié d’aucune mesure de réhabilitation </w:t>
      </w:r>
      <w:r>
        <w:t>après les</w:t>
      </w:r>
      <w:r w:rsidRPr="000525BC">
        <w:t xml:space="preserve"> tortures subies</w:t>
      </w:r>
      <w:r>
        <w:t>,</w:t>
      </w:r>
      <w:r w:rsidRPr="000525BC">
        <w:t xml:space="preserve"> </w:t>
      </w:r>
      <w:r>
        <w:t>avec pour objectif</w:t>
      </w:r>
      <w:r w:rsidRPr="000525BC">
        <w:t xml:space="preserve"> sa réadaptation la plus complète possible, sur le</w:t>
      </w:r>
      <w:r>
        <w:t>s</w:t>
      </w:r>
      <w:r w:rsidRPr="000525BC">
        <w:t xml:space="preserve"> plan</w:t>
      </w:r>
      <w:r>
        <w:t>s</w:t>
      </w:r>
      <w:r w:rsidRPr="000525BC">
        <w:t xml:space="preserve"> physique, psychologique</w:t>
      </w:r>
      <w:r>
        <w:t>,</w:t>
      </w:r>
      <w:r w:rsidRPr="000525BC">
        <w:t xml:space="preserve"> social et financier. </w:t>
      </w:r>
      <w:r w:rsidRPr="00C31785">
        <w:t xml:space="preserve">Au regard de la passivité des autorités judiciaires, d’autres recours, notamment pour obtenir réparation </w:t>
      </w:r>
      <w:r>
        <w:t>au moyen</w:t>
      </w:r>
      <w:r w:rsidRPr="00C31785">
        <w:t xml:space="preserve"> d’une action civile en dommages et intérêts, n’ont objectivement aucune chance de succès. Peu de mesures d’indemnisation des victimes de torture ont été prises par les autorités burundaises, ce qui avait été relevé par le Comité dans ses observations finales</w:t>
      </w:r>
      <w:r>
        <w:t xml:space="preserve"> concernant le rapport initial du Burundi</w:t>
      </w:r>
      <w:r w:rsidRPr="00C31785">
        <w:t xml:space="preserve">, </w:t>
      </w:r>
      <w:r>
        <w:t>en 2006</w:t>
      </w:r>
      <w:r w:rsidRPr="00A1114C">
        <w:rPr>
          <w:rStyle w:val="Appelnotedebasdep"/>
        </w:rPr>
        <w:footnoteReference w:id="20"/>
      </w:r>
      <w:r w:rsidRPr="00C31785">
        <w:t>.</w:t>
      </w:r>
      <w:r>
        <w:t xml:space="preserve"> En 2014, tout en notant que le nouveau Code de procédure pénale burundais prévoyait une indemnisation pour les victimes de tortures, le Comité a exprimé sa préoccupation sur le manque d’application de cette disposition en violation de </w:t>
      </w:r>
      <w:r w:rsidR="00FE1C39">
        <w:t>l’article </w:t>
      </w:r>
      <w:r>
        <w:t>14 de la Convention</w:t>
      </w:r>
      <w:r w:rsidRPr="00A1114C">
        <w:rPr>
          <w:rStyle w:val="Appelnotedebasdep"/>
        </w:rPr>
        <w:footnoteReference w:id="21"/>
      </w:r>
      <w:r>
        <w:t>. Enfin, en 2016, le Comité a réitéré l’obligation de l’État partie de garantir l’accès des victimes de torture et de traitements cruels, inhumains ou dégradants à des réparations adéquates</w:t>
      </w:r>
      <w:r w:rsidRPr="00A1114C">
        <w:rPr>
          <w:rStyle w:val="Appelnotedebasdep"/>
        </w:rPr>
        <w:footnoteReference w:id="22"/>
      </w:r>
      <w:r>
        <w:t xml:space="preserve">. </w:t>
      </w:r>
      <w:r w:rsidRPr="000525BC">
        <w:t xml:space="preserve">Ainsi, les autorités burundaises </w:t>
      </w:r>
      <w:r>
        <w:t>n’ont pas respecté</w:t>
      </w:r>
      <w:r w:rsidRPr="000525BC">
        <w:t xml:space="preserve"> leurs obligations en vertu de </w:t>
      </w:r>
      <w:r w:rsidR="00FE1C39" w:rsidRPr="000525BC">
        <w:t>l’article</w:t>
      </w:r>
      <w:r w:rsidR="00FE1C39">
        <w:t> </w:t>
      </w:r>
      <w:r w:rsidRPr="000525BC">
        <w:t>14 de la Convention</w:t>
      </w:r>
      <w:r>
        <w:t xml:space="preserve"> car, d’une part,</w:t>
      </w:r>
      <w:r w:rsidRPr="000525BC">
        <w:t xml:space="preserve"> les violations perpétrées </w:t>
      </w:r>
      <w:r>
        <w:t>contre la requérante</w:t>
      </w:r>
      <w:r w:rsidRPr="000525BC">
        <w:t xml:space="preserve"> restent impunies du fait de la passivité de l’É</w:t>
      </w:r>
      <w:r>
        <w:t>t</w:t>
      </w:r>
      <w:r w:rsidRPr="000525BC">
        <w:t>at</w:t>
      </w:r>
      <w:r>
        <w:t xml:space="preserve"> et, d’autre part, la requérante</w:t>
      </w:r>
      <w:r w:rsidRPr="000525BC">
        <w:t xml:space="preserve"> n’a reçu aucune indemnisation et n’a bénéficié d’aucune mesure de réhabilitation.</w:t>
      </w:r>
    </w:p>
    <w:p w14:paraId="42D5AA30" w14:textId="40EB59C4" w:rsidR="00965D37" w:rsidRDefault="00965D37" w:rsidP="006F70D4">
      <w:pPr>
        <w:pStyle w:val="SingleTxtG"/>
      </w:pPr>
      <w:r>
        <w:rPr>
          <w:lang w:eastAsia="en-GB"/>
        </w:rPr>
        <w:t>3.7</w:t>
      </w:r>
      <w:r>
        <w:rPr>
          <w:lang w:eastAsia="en-GB"/>
        </w:rPr>
        <w:tab/>
      </w:r>
      <w:r w:rsidRPr="00540154">
        <w:t>L</w:t>
      </w:r>
      <w:r>
        <w:t>a</w:t>
      </w:r>
      <w:r w:rsidRPr="00540154">
        <w:t xml:space="preserve"> requérant</w:t>
      </w:r>
      <w:r>
        <w:t>e</w:t>
      </w:r>
      <w:r w:rsidRPr="00540154">
        <w:t xml:space="preserve"> réitère que les violences qui lui ont été infligées sont des actes de torture, conformément à la définition de </w:t>
      </w:r>
      <w:r w:rsidR="00FE1C39" w:rsidRPr="00540154">
        <w:t>l’article</w:t>
      </w:r>
      <w:r w:rsidR="00FE1C39">
        <w:t> </w:t>
      </w:r>
      <w:r>
        <w:t>1</w:t>
      </w:r>
      <w:r w:rsidRPr="00DC26C5">
        <w:rPr>
          <w:vertAlign w:val="superscript"/>
        </w:rPr>
        <w:t>er</w:t>
      </w:r>
      <w:r w:rsidRPr="00540154">
        <w:t xml:space="preserve"> de la Convention. </w:t>
      </w:r>
      <w:r>
        <w:t>S</w:t>
      </w:r>
      <w:r w:rsidRPr="00540154">
        <w:t>i le Comité ne devait pas</w:t>
      </w:r>
      <w:r>
        <w:t xml:space="preserve"> retenir cette qualification, elle maintient que les sévices qu’elle</w:t>
      </w:r>
      <w:r w:rsidRPr="00540154">
        <w:t xml:space="preserve"> a endurés constituent des traitements cruels, inhumains ou dégradants et que, à ce titre, l’État partie était également tenu de prévenir et </w:t>
      </w:r>
      <w:r>
        <w:t xml:space="preserve">de </w:t>
      </w:r>
      <w:r w:rsidRPr="00540154">
        <w:t xml:space="preserve">réprimer leur commission, </w:t>
      </w:r>
      <w:r>
        <w:t xml:space="preserve">leur </w:t>
      </w:r>
      <w:r w:rsidRPr="00540154">
        <w:t xml:space="preserve">instigation ou </w:t>
      </w:r>
      <w:r>
        <w:t xml:space="preserve">leur </w:t>
      </w:r>
      <w:r w:rsidRPr="00540154">
        <w:t xml:space="preserve">tolérance par des agents étatiques, en vertu de </w:t>
      </w:r>
      <w:r w:rsidR="00FE1C39" w:rsidRPr="00540154">
        <w:t>l’article</w:t>
      </w:r>
      <w:r w:rsidR="00FE1C39">
        <w:t> </w:t>
      </w:r>
      <w:r w:rsidRPr="00540154">
        <w:t xml:space="preserve">16 de </w:t>
      </w:r>
      <w:r>
        <w:t>la Convention. En outre, elle</w:t>
      </w:r>
      <w:r w:rsidRPr="00C96339">
        <w:t xml:space="preserve"> rappelle les conditions de détention qui lui ont été </w:t>
      </w:r>
      <w:r>
        <w:t xml:space="preserve">imposées </w:t>
      </w:r>
      <w:r w:rsidRPr="00C96339">
        <w:t>dans les cachots du Service national de renseignement</w:t>
      </w:r>
      <w:r>
        <w:t xml:space="preserve"> et </w:t>
      </w:r>
      <w:r w:rsidRPr="00C96339">
        <w:t xml:space="preserve">au sein </w:t>
      </w:r>
      <w:r>
        <w:t>de la prison centrale</w:t>
      </w:r>
      <w:r w:rsidRPr="00C96339">
        <w:t xml:space="preserve"> de Mpimba.</w:t>
      </w:r>
      <w:r>
        <w:t xml:space="preserve"> La</w:t>
      </w:r>
      <w:r w:rsidRPr="00C96339">
        <w:t xml:space="preserve"> requérant</w:t>
      </w:r>
      <w:r>
        <w:t>e</w:t>
      </w:r>
      <w:r w:rsidRPr="00C96339">
        <w:t xml:space="preserve"> se réfère de nouveau </w:t>
      </w:r>
      <w:r w:rsidRPr="00C96339">
        <w:lastRenderedPageBreak/>
        <w:t>aux observations finales du Comité</w:t>
      </w:r>
      <w:r w:rsidRPr="00DE2886">
        <w:t xml:space="preserve"> </w:t>
      </w:r>
      <w:r>
        <w:t>concernant le rapport initial du Burundi</w:t>
      </w:r>
      <w:r w:rsidRPr="00C96339">
        <w:t xml:space="preserve">, </w:t>
      </w:r>
      <w:r>
        <w:t>dans lesquelles celui-ci</w:t>
      </w:r>
      <w:r w:rsidRPr="00C96339">
        <w:t xml:space="preserve"> avait considéré les conditions de détention au Burundi comme assimilables à un traite</w:t>
      </w:r>
      <w:r>
        <w:t>ment inhumain et dégradant</w:t>
      </w:r>
      <w:r w:rsidRPr="00A1114C">
        <w:rPr>
          <w:rStyle w:val="Appelnotedebasdep"/>
        </w:rPr>
        <w:footnoteReference w:id="23"/>
      </w:r>
      <w:r w:rsidRPr="00C96339">
        <w:t>.</w:t>
      </w:r>
      <w:r w:rsidRPr="008600CA">
        <w:t xml:space="preserve"> </w:t>
      </w:r>
      <w:r>
        <w:t>Enfin, la requérante rappelle qu’elle</w:t>
      </w:r>
      <w:r w:rsidRPr="00C96339">
        <w:t xml:space="preserve"> n’a reçu aucun soin médi</w:t>
      </w:r>
      <w:r>
        <w:t>cal durant sa détention</w:t>
      </w:r>
      <w:r w:rsidRPr="00C96339">
        <w:t>, malgré son état critique, et conclut que les cond</w:t>
      </w:r>
      <w:r>
        <w:t>itions de détention auxquelles elle</w:t>
      </w:r>
      <w:r w:rsidRPr="00C96339">
        <w:t xml:space="preserve"> a été exposé</w:t>
      </w:r>
      <w:r>
        <w:t>e</w:t>
      </w:r>
      <w:r w:rsidRPr="00C96339">
        <w:t xml:space="preserve"> sont constitutives d’une violation de </w:t>
      </w:r>
      <w:r w:rsidR="00FE1C39" w:rsidRPr="00C96339">
        <w:t>l’article</w:t>
      </w:r>
      <w:r w:rsidR="00FE1C39">
        <w:t> </w:t>
      </w:r>
      <w:r w:rsidRPr="00C96339">
        <w:t>16 de la Convention.</w:t>
      </w:r>
    </w:p>
    <w:p w14:paraId="19EED299" w14:textId="77777777" w:rsidR="00965D37" w:rsidRPr="001278AF" w:rsidRDefault="00965D37" w:rsidP="006F70D4">
      <w:pPr>
        <w:pStyle w:val="H23G"/>
      </w:pPr>
      <w:r>
        <w:tab/>
      </w:r>
      <w:r>
        <w:tab/>
      </w:r>
      <w:r w:rsidRPr="001278AF">
        <w:t xml:space="preserve">Défaut </w:t>
      </w:r>
      <w:r>
        <w:t>de coopération de l’État partie</w:t>
      </w:r>
    </w:p>
    <w:p w14:paraId="7A120548" w14:textId="272EC994" w:rsidR="00965D37" w:rsidRDefault="00965D37" w:rsidP="006F70D4">
      <w:pPr>
        <w:pStyle w:val="SingleTxtG"/>
      </w:pPr>
      <w:r>
        <w:t>4</w:t>
      </w:r>
      <w:r w:rsidRPr="001278AF">
        <w:t>.</w:t>
      </w:r>
      <w:r w:rsidRPr="001278AF">
        <w:tab/>
      </w:r>
      <w:r w:rsidRPr="00F047C0">
        <w:t xml:space="preserve">Le </w:t>
      </w:r>
      <w:r w:rsidR="00FE1C39">
        <w:t>20 </w:t>
      </w:r>
      <w:r>
        <w:t xml:space="preserve">septembre 2017 ainsi que les </w:t>
      </w:r>
      <w:r w:rsidR="00FE1C39">
        <w:t>19 </w:t>
      </w:r>
      <w:r>
        <w:t xml:space="preserve">juin, </w:t>
      </w:r>
      <w:r w:rsidR="00FE1C39">
        <w:t>15 </w:t>
      </w:r>
      <w:r>
        <w:t xml:space="preserve">novembre et </w:t>
      </w:r>
      <w:r w:rsidR="00FE1C39">
        <w:t>17 </w:t>
      </w:r>
      <w:r>
        <w:t>décembre 2019</w:t>
      </w:r>
      <w:r w:rsidRPr="00F047C0">
        <w:t xml:space="preserve">, l’État partie a été invité à présenter ses observations concernant la recevabilité et le fond de la communication. Le Comité note qu’il n’a reçu aucune réponse et regrette </w:t>
      </w:r>
      <w:r>
        <w:t xml:space="preserve">l’absence de collaboration </w:t>
      </w:r>
      <w:r w:rsidRPr="00F047C0">
        <w:t>de l’État partie</w:t>
      </w:r>
      <w:r>
        <w:t xml:space="preserve"> pour partager ses observations sur la présente plainte</w:t>
      </w:r>
      <w:r w:rsidRPr="00A1114C">
        <w:rPr>
          <w:rStyle w:val="Appelnotedebasdep"/>
        </w:rPr>
        <w:footnoteReference w:id="24"/>
      </w:r>
      <w:r w:rsidRPr="00F047C0">
        <w:t xml:space="preserve">. </w:t>
      </w:r>
      <w:r w:rsidRPr="00A45A6D">
        <w:t xml:space="preserve">Il rappelle que l’État partie concerné est tenu, en vertu de la Convention, de soumettre par écrit au Comité des explications ou déclarations éclaircissant la question et indiquant, le cas échéant, les mesures qu’il pourrait avoir prises pour remédier à la situation. En l’absence de réponse de l’État partie, il convient d’accorder le crédit voulu aux allégations </w:t>
      </w:r>
      <w:r>
        <w:t>de la</w:t>
      </w:r>
      <w:r w:rsidRPr="00A45A6D">
        <w:t xml:space="preserve"> requérant</w:t>
      </w:r>
      <w:r>
        <w:t>e</w:t>
      </w:r>
      <w:r w:rsidRPr="00A45A6D">
        <w:t xml:space="preserve"> qui ont été dûment étayées.</w:t>
      </w:r>
    </w:p>
    <w:p w14:paraId="206182DC" w14:textId="77777777" w:rsidR="00965D37" w:rsidRPr="00757BE2" w:rsidRDefault="00965D37" w:rsidP="006F70D4">
      <w:pPr>
        <w:pStyle w:val="H23G"/>
        <w:rPr>
          <w:lang w:val="fr-FR" w:eastAsia="zh-CN"/>
        </w:rPr>
      </w:pPr>
      <w:r>
        <w:rPr>
          <w:lang w:val="fr-FR" w:eastAsia="zh-CN"/>
        </w:rPr>
        <w:tab/>
      </w:r>
      <w:r>
        <w:rPr>
          <w:lang w:val="fr-FR" w:eastAsia="zh-CN"/>
        </w:rPr>
        <w:tab/>
      </w:r>
      <w:r w:rsidRPr="003946D2">
        <w:rPr>
          <w:lang w:val="fr-FR" w:eastAsia="zh-CN"/>
        </w:rPr>
        <w:t>Délibérations du Comité</w:t>
      </w:r>
    </w:p>
    <w:p w14:paraId="57E5F462" w14:textId="77777777" w:rsidR="00965D37" w:rsidRDefault="00965D37" w:rsidP="006F70D4">
      <w:pPr>
        <w:pStyle w:val="H4G"/>
      </w:pPr>
      <w:r>
        <w:tab/>
      </w:r>
      <w:r>
        <w:tab/>
      </w:r>
      <w:r w:rsidRPr="00757BE2">
        <w:t>Examen de la recevabilité</w:t>
      </w:r>
    </w:p>
    <w:p w14:paraId="2BDD31DD" w14:textId="48F7EF02" w:rsidR="00965D37" w:rsidRPr="008B5996" w:rsidRDefault="00965D37" w:rsidP="006F70D4">
      <w:pPr>
        <w:pStyle w:val="SingleTxtG"/>
        <w:rPr>
          <w:rFonts w:eastAsia="MS Mincho"/>
          <w:lang w:val="fr-FR" w:eastAsia="zh-CN"/>
        </w:rPr>
      </w:pPr>
      <w:r>
        <w:rPr>
          <w:rFonts w:eastAsia="MS Mincho"/>
          <w:lang w:eastAsia="zh-CN"/>
        </w:rPr>
        <w:t>5</w:t>
      </w:r>
      <w:r w:rsidRPr="00757BE2">
        <w:rPr>
          <w:rFonts w:eastAsia="MS Mincho"/>
          <w:lang w:val="fr-FR" w:eastAsia="zh-CN"/>
        </w:rPr>
        <w:t>.1</w:t>
      </w:r>
      <w:r w:rsidRPr="00757BE2">
        <w:rPr>
          <w:rFonts w:eastAsia="MS Mincho"/>
          <w:lang w:val="fr-FR" w:eastAsia="zh-CN"/>
        </w:rPr>
        <w:tab/>
      </w:r>
      <w:r w:rsidRPr="003D2C31">
        <w:rPr>
          <w:lang w:val="fr-FR"/>
        </w:rPr>
        <w:t>Avant d’examiner tout grief soumis dans une communication, le Comité doit déterminer s’il est recevable au regard de l’article 22 de la Convention</w:t>
      </w:r>
      <w:r w:rsidRPr="00124612">
        <w:rPr>
          <w:lang w:val="fr-FR"/>
        </w:rPr>
        <w:t xml:space="preserve">. </w:t>
      </w:r>
      <w:r w:rsidRPr="00E1455C">
        <w:rPr>
          <w:rFonts w:eastAsia="MS Mincho"/>
          <w:lang w:val="fr-FR" w:eastAsia="zh-CN"/>
        </w:rPr>
        <w:t xml:space="preserve">Le Comité s’est assuré, comme il est tenu de le faire conformément </w:t>
      </w:r>
      <w:r>
        <w:rPr>
          <w:rFonts w:eastAsia="MS Mincho"/>
          <w:lang w:val="fr-FR" w:eastAsia="zh-CN"/>
        </w:rPr>
        <w:t xml:space="preserve">à </w:t>
      </w:r>
      <w:r w:rsidR="00FE1C39">
        <w:rPr>
          <w:rFonts w:eastAsia="MS Mincho"/>
          <w:lang w:val="fr-FR" w:eastAsia="zh-CN"/>
        </w:rPr>
        <w:t>l’article </w:t>
      </w:r>
      <w:r w:rsidRPr="001D74C4">
        <w:rPr>
          <w:rFonts w:eastAsia="MS Mincho"/>
          <w:lang w:val="fr-FR" w:eastAsia="zh-CN"/>
        </w:rPr>
        <w:t>22</w:t>
      </w:r>
      <w:r>
        <w:rPr>
          <w:rFonts w:eastAsia="MS Mincho"/>
          <w:lang w:val="fr-FR" w:eastAsia="zh-CN"/>
        </w:rPr>
        <w:t xml:space="preserve"> (par. 5 a))</w:t>
      </w:r>
      <w:r w:rsidRPr="001D74C4">
        <w:rPr>
          <w:rFonts w:eastAsia="MS Mincho"/>
          <w:lang w:val="fr-FR" w:eastAsia="zh-CN"/>
        </w:rPr>
        <w:t xml:space="preserve"> de la Convention, que la même question n’a pas été et n’est pas </w:t>
      </w:r>
      <w:r>
        <w:rPr>
          <w:rFonts w:eastAsia="MS Mincho"/>
          <w:lang w:val="fr-FR" w:eastAsia="zh-CN"/>
        </w:rPr>
        <w:t>actuellement examinée par</w:t>
      </w:r>
      <w:r w:rsidRPr="001D74C4">
        <w:rPr>
          <w:rFonts w:eastAsia="MS Mincho"/>
          <w:lang w:val="fr-FR" w:eastAsia="zh-CN"/>
        </w:rPr>
        <w:t xml:space="preserve"> </w:t>
      </w:r>
      <w:r w:rsidRPr="00E1455C">
        <w:rPr>
          <w:rFonts w:eastAsia="MS Mincho"/>
          <w:lang w:val="fr-FR" w:eastAsia="zh-CN"/>
        </w:rPr>
        <w:t>une autre instance internationale d’enquête ou de règlement.</w:t>
      </w:r>
    </w:p>
    <w:p w14:paraId="5FCEB217" w14:textId="09E47EC4" w:rsidR="00965D37" w:rsidRDefault="00965D37" w:rsidP="006F70D4">
      <w:pPr>
        <w:pStyle w:val="SingleTxtG"/>
        <w:rPr>
          <w:rFonts w:eastAsia="MS Mincho"/>
        </w:rPr>
      </w:pPr>
      <w:r>
        <w:rPr>
          <w:rFonts w:eastAsia="SimSun"/>
          <w:lang w:val="fr-FR" w:eastAsia="zh-CN"/>
        </w:rPr>
        <w:t>5</w:t>
      </w:r>
      <w:r w:rsidRPr="001D74C4">
        <w:rPr>
          <w:rFonts w:eastAsia="SimSun"/>
        </w:rPr>
        <w:t>.</w:t>
      </w:r>
      <w:r>
        <w:rPr>
          <w:rFonts w:eastAsia="SimSun"/>
        </w:rPr>
        <w:t>2</w:t>
      </w:r>
      <w:r w:rsidRPr="001D74C4">
        <w:rPr>
          <w:rFonts w:eastAsia="SimSun"/>
        </w:rPr>
        <w:tab/>
      </w:r>
      <w:r w:rsidRPr="00240E98">
        <w:t xml:space="preserve">En l’absence d’autres obstacles à la recevabilité de la communication, le Comité procède à l’examen quant au </w:t>
      </w:r>
      <w:r>
        <w:t>fond des griefs présentés par la</w:t>
      </w:r>
      <w:r w:rsidRPr="00240E98">
        <w:t xml:space="preserve"> requérant</w:t>
      </w:r>
      <w:r>
        <w:t>e</w:t>
      </w:r>
      <w:r w:rsidRPr="00240E98">
        <w:t xml:space="preserve"> au titre des </w:t>
      </w:r>
      <w:r w:rsidR="00FE1C39" w:rsidRPr="00240E98">
        <w:t>articles</w:t>
      </w:r>
      <w:r w:rsidR="00FE1C39">
        <w:t> </w:t>
      </w:r>
      <w:r w:rsidRPr="00240E98">
        <w:t>1</w:t>
      </w:r>
      <w:r w:rsidRPr="00DC26C5">
        <w:rPr>
          <w:vertAlign w:val="superscript"/>
        </w:rPr>
        <w:t>er</w:t>
      </w:r>
      <w:r w:rsidRPr="00240E98">
        <w:t>, 2 (par</w:t>
      </w:r>
      <w:r w:rsidR="00FE1C39" w:rsidRPr="00240E98">
        <w:t>.</w:t>
      </w:r>
      <w:r w:rsidR="00FE1C39">
        <w:t> </w:t>
      </w:r>
      <w:r w:rsidRPr="00240E98">
        <w:t>1), 11 à 14 et 16 de la Convention.</w:t>
      </w:r>
    </w:p>
    <w:p w14:paraId="17930F26" w14:textId="77777777" w:rsidR="00965D37" w:rsidRPr="002B4B23" w:rsidRDefault="00965D37" w:rsidP="006F70D4">
      <w:pPr>
        <w:pStyle w:val="H4G"/>
      </w:pPr>
      <w:r>
        <w:tab/>
      </w:r>
      <w:r>
        <w:tab/>
      </w:r>
      <w:r>
        <w:tab/>
      </w:r>
      <w:r w:rsidRPr="002B4B23">
        <w:t>Examen au fond</w:t>
      </w:r>
    </w:p>
    <w:p w14:paraId="7FB8E2C4" w14:textId="77777777" w:rsidR="00965D37" w:rsidRDefault="00965D37" w:rsidP="006F70D4">
      <w:pPr>
        <w:pStyle w:val="SingleTxtG"/>
        <w:rPr>
          <w:rFonts w:eastAsia="SimSun"/>
          <w:lang w:val="fr-FR" w:eastAsia="zh-CN"/>
        </w:rPr>
      </w:pPr>
      <w:r>
        <w:rPr>
          <w:rFonts w:eastAsia="SimSun"/>
          <w:lang w:eastAsia="zh-CN"/>
        </w:rPr>
        <w:t>6</w:t>
      </w:r>
      <w:r w:rsidRPr="002B4B23">
        <w:rPr>
          <w:rFonts w:eastAsia="SimSun"/>
          <w:lang w:val="fr-FR" w:eastAsia="zh-CN"/>
        </w:rPr>
        <w:t>.1</w:t>
      </w:r>
      <w:r w:rsidRPr="002B4B23">
        <w:rPr>
          <w:rFonts w:eastAsia="SimSun"/>
          <w:lang w:val="fr-FR" w:eastAsia="zh-CN"/>
        </w:rPr>
        <w:tab/>
      </w:r>
      <w:r w:rsidRPr="00124612">
        <w:rPr>
          <w:lang w:val="fr-FR"/>
        </w:rPr>
        <w:t xml:space="preserve">Conformément </w:t>
      </w:r>
      <w:r>
        <w:rPr>
          <w:lang w:val="fr-FR"/>
        </w:rPr>
        <w:t>à</w:t>
      </w:r>
      <w:r w:rsidRPr="00124612">
        <w:rPr>
          <w:lang w:val="fr-FR"/>
        </w:rPr>
        <w:t xml:space="preserve"> l’article</w:t>
      </w:r>
      <w:r>
        <w:rPr>
          <w:lang w:val="fr-FR"/>
        </w:rPr>
        <w:t> </w:t>
      </w:r>
      <w:r w:rsidRPr="00124612">
        <w:rPr>
          <w:lang w:val="fr-FR"/>
        </w:rPr>
        <w:t xml:space="preserve">22 </w:t>
      </w:r>
      <w:r>
        <w:rPr>
          <w:lang w:val="fr-FR"/>
        </w:rPr>
        <w:t xml:space="preserve">(par. 4) </w:t>
      </w:r>
      <w:r w:rsidRPr="00124612">
        <w:rPr>
          <w:lang w:val="fr-FR"/>
        </w:rPr>
        <w:t>de la Convention</w:t>
      </w:r>
      <w:r>
        <w:rPr>
          <w:rFonts w:eastAsia="SimSun"/>
          <w:lang w:val="fr-FR" w:eastAsia="zh-CN"/>
        </w:rPr>
        <w:t>, le</w:t>
      </w:r>
      <w:r w:rsidRPr="009C2678">
        <w:rPr>
          <w:rFonts w:eastAsia="SimSun"/>
          <w:lang w:val="fr-FR" w:eastAsia="zh-CN"/>
        </w:rPr>
        <w:t xml:space="preserve"> Comité a examiné la </w:t>
      </w:r>
      <w:r>
        <w:rPr>
          <w:rFonts w:eastAsia="SimSun"/>
          <w:lang w:val="fr-FR" w:eastAsia="zh-CN"/>
        </w:rPr>
        <w:t>présente communication</w:t>
      </w:r>
      <w:r w:rsidRPr="009C2678">
        <w:rPr>
          <w:rFonts w:eastAsia="SimSun"/>
          <w:lang w:val="fr-FR" w:eastAsia="zh-CN"/>
        </w:rPr>
        <w:t xml:space="preserve"> en tenant compte de toutes les informations </w:t>
      </w:r>
      <w:r>
        <w:rPr>
          <w:rFonts w:eastAsia="SimSun"/>
          <w:lang w:val="fr-FR" w:eastAsia="zh-CN"/>
        </w:rPr>
        <w:t>que</w:t>
      </w:r>
      <w:r w:rsidRPr="009C2678">
        <w:rPr>
          <w:rFonts w:eastAsia="SimSun"/>
          <w:lang w:val="fr-FR" w:eastAsia="zh-CN"/>
        </w:rPr>
        <w:t xml:space="preserve"> lui ont </w:t>
      </w:r>
      <w:r>
        <w:rPr>
          <w:rFonts w:eastAsia="SimSun"/>
          <w:lang w:val="fr-FR" w:eastAsia="zh-CN"/>
        </w:rPr>
        <w:t>communiquées</w:t>
      </w:r>
      <w:r w:rsidRPr="009C2678">
        <w:rPr>
          <w:rFonts w:eastAsia="SimSun"/>
          <w:lang w:val="fr-FR" w:eastAsia="zh-CN"/>
        </w:rPr>
        <w:t xml:space="preserve"> les parties. L’État partie n’ayant fourni aucune observation sur le fond, il convient d’accorder le</w:t>
      </w:r>
      <w:r>
        <w:rPr>
          <w:rFonts w:eastAsia="SimSun"/>
          <w:lang w:val="fr-FR" w:eastAsia="zh-CN"/>
        </w:rPr>
        <w:t xml:space="preserve"> crédit voulu aux allégations de la</w:t>
      </w:r>
      <w:r w:rsidRPr="009C2678">
        <w:rPr>
          <w:rFonts w:eastAsia="SimSun"/>
          <w:lang w:val="fr-FR" w:eastAsia="zh-CN"/>
        </w:rPr>
        <w:t xml:space="preserve"> requérant</w:t>
      </w:r>
      <w:r>
        <w:rPr>
          <w:rFonts w:eastAsia="SimSun"/>
          <w:lang w:val="fr-FR" w:eastAsia="zh-CN"/>
        </w:rPr>
        <w:t>e</w:t>
      </w:r>
      <w:r w:rsidRPr="009C2678">
        <w:rPr>
          <w:rFonts w:eastAsia="SimSun"/>
          <w:lang w:val="fr-FR" w:eastAsia="zh-CN"/>
        </w:rPr>
        <w:t>.</w:t>
      </w:r>
    </w:p>
    <w:p w14:paraId="72E081B8" w14:textId="567FA972" w:rsidR="00965D37" w:rsidRPr="006F70D4" w:rsidRDefault="00965D37" w:rsidP="006F70D4">
      <w:pPr>
        <w:pStyle w:val="SingleTxtG"/>
      </w:pPr>
      <w:r>
        <w:rPr>
          <w:rFonts w:eastAsia="SimSun"/>
          <w:lang w:val="fr-FR" w:eastAsia="zh-CN"/>
        </w:rPr>
        <w:t>6.2</w:t>
      </w:r>
      <w:r>
        <w:rPr>
          <w:rFonts w:eastAsia="SimSun"/>
          <w:lang w:val="fr-FR" w:eastAsia="zh-CN"/>
        </w:rPr>
        <w:tab/>
        <w:t>Le Comité note l’allégation de la</w:t>
      </w:r>
      <w:r w:rsidRPr="00EC1197">
        <w:rPr>
          <w:rFonts w:eastAsia="SimSun"/>
          <w:lang w:val="fr-FR" w:eastAsia="zh-CN"/>
        </w:rPr>
        <w:t xml:space="preserve"> requérant</w:t>
      </w:r>
      <w:r>
        <w:rPr>
          <w:rFonts w:eastAsia="SimSun"/>
          <w:lang w:val="fr-FR" w:eastAsia="zh-CN"/>
        </w:rPr>
        <w:t>e selon laquelle elle</w:t>
      </w:r>
      <w:r w:rsidRPr="00EC1197">
        <w:rPr>
          <w:rFonts w:eastAsia="SimSun"/>
          <w:lang w:val="fr-FR" w:eastAsia="zh-CN"/>
        </w:rPr>
        <w:t xml:space="preserve"> a été battu</w:t>
      </w:r>
      <w:r>
        <w:rPr>
          <w:rFonts w:eastAsia="SimSun"/>
          <w:lang w:val="fr-FR" w:eastAsia="zh-CN"/>
        </w:rPr>
        <w:t>e</w:t>
      </w:r>
      <w:r w:rsidRPr="00EC1197">
        <w:rPr>
          <w:rFonts w:eastAsia="SimSun"/>
          <w:lang w:val="fr-FR" w:eastAsia="zh-CN"/>
        </w:rPr>
        <w:t xml:space="preserve"> par </w:t>
      </w:r>
      <w:r>
        <w:rPr>
          <w:rFonts w:eastAsia="SimSun"/>
          <w:lang w:val="fr-FR" w:eastAsia="zh-CN"/>
        </w:rPr>
        <w:t>d</w:t>
      </w:r>
      <w:r w:rsidRPr="00EC1197">
        <w:rPr>
          <w:rFonts w:eastAsia="SimSun"/>
          <w:lang w:val="fr-FR" w:eastAsia="zh-CN"/>
        </w:rPr>
        <w:t>es policiers, qui lui ont administré de</w:t>
      </w:r>
      <w:r>
        <w:rPr>
          <w:rFonts w:eastAsia="SimSun"/>
          <w:lang w:val="fr-FR" w:eastAsia="zh-CN"/>
        </w:rPr>
        <w:t>s</w:t>
      </w:r>
      <w:r w:rsidRPr="00EC1197">
        <w:rPr>
          <w:rFonts w:eastAsia="SimSun"/>
          <w:lang w:val="fr-FR" w:eastAsia="zh-CN"/>
        </w:rPr>
        <w:t xml:space="preserve"> coups violents sur tout le corps avec les crosses de leurs fusils et leurs matraques</w:t>
      </w:r>
      <w:r>
        <w:rPr>
          <w:rFonts w:eastAsia="SimSun"/>
          <w:lang w:val="fr-FR" w:eastAsia="zh-CN"/>
        </w:rPr>
        <w:t>, ainsi que des coups de pied à la tête, au dos et au ventre. Le Comité note également : a</w:t>
      </w:r>
      <w:r w:rsidR="00FE1C39">
        <w:rPr>
          <w:rFonts w:eastAsia="SimSun"/>
          <w:lang w:val="fr-FR" w:eastAsia="zh-CN"/>
        </w:rPr>
        <w:t>) </w:t>
      </w:r>
      <w:r>
        <w:rPr>
          <w:rFonts w:eastAsia="SimSun"/>
          <w:lang w:val="fr-FR" w:eastAsia="zh-CN"/>
        </w:rPr>
        <w:t>que</w:t>
      </w:r>
      <w:r w:rsidRPr="00EC1197">
        <w:rPr>
          <w:rFonts w:eastAsia="SimSun"/>
          <w:lang w:val="fr-FR" w:eastAsia="zh-CN"/>
        </w:rPr>
        <w:t xml:space="preserve"> les policiers ont </w:t>
      </w:r>
      <w:r>
        <w:rPr>
          <w:rFonts w:eastAsia="SimSun"/>
          <w:lang w:val="fr-FR" w:eastAsia="zh-CN"/>
        </w:rPr>
        <w:t xml:space="preserve">gardé la requérante devant la permanence du </w:t>
      </w:r>
      <w:r w:rsidRPr="00C558C4">
        <w:rPr>
          <w:rFonts w:eastAsia="MS Mincho"/>
        </w:rPr>
        <w:t xml:space="preserve">Mouvement pour la </w:t>
      </w:r>
      <w:r>
        <w:rPr>
          <w:rFonts w:eastAsia="MS Mincho"/>
        </w:rPr>
        <w:t>solidarité et la démocratie</w:t>
      </w:r>
      <w:r>
        <w:rPr>
          <w:rFonts w:eastAsia="SimSun"/>
          <w:lang w:val="fr-FR" w:eastAsia="zh-CN"/>
        </w:rPr>
        <w:t xml:space="preserve"> pendant plus de deux heures alors qu’elle saignait de la tête, du cou, des bras et des autres parties du corps qui avaient été atteintes par les coups des policiers ;</w:t>
      </w:r>
      <w:r w:rsidRPr="00EC1197">
        <w:rPr>
          <w:rFonts w:eastAsia="SimSun"/>
          <w:lang w:val="fr-FR" w:eastAsia="zh-CN"/>
        </w:rPr>
        <w:t xml:space="preserve"> </w:t>
      </w:r>
      <w:r>
        <w:rPr>
          <w:rFonts w:eastAsia="SimSun"/>
          <w:lang w:val="fr-FR" w:eastAsia="zh-CN"/>
        </w:rPr>
        <w:t>b</w:t>
      </w:r>
      <w:r w:rsidR="00FE1C39">
        <w:rPr>
          <w:rFonts w:eastAsia="SimSun"/>
          <w:lang w:val="fr-FR" w:eastAsia="zh-CN"/>
        </w:rPr>
        <w:t>) </w:t>
      </w:r>
      <w:r>
        <w:rPr>
          <w:rFonts w:eastAsia="SimSun"/>
          <w:lang w:val="fr-FR" w:eastAsia="zh-CN"/>
        </w:rPr>
        <w:t>que les policiers n’ont pas permis au personnel de la Croix</w:t>
      </w:r>
      <w:r w:rsidR="00FE1C39">
        <w:rPr>
          <w:rFonts w:eastAsia="SimSun"/>
          <w:lang w:val="fr-FR" w:eastAsia="zh-CN"/>
        </w:rPr>
        <w:noBreakHyphen/>
      </w:r>
      <w:r>
        <w:rPr>
          <w:rFonts w:eastAsia="SimSun"/>
          <w:lang w:val="fr-FR" w:eastAsia="zh-CN"/>
        </w:rPr>
        <w:t>Rouge du Burundi de s’occuper de la requérante pour lui prodiguer des soins ; c</w:t>
      </w:r>
      <w:r w:rsidR="00FE1C39">
        <w:rPr>
          <w:rFonts w:eastAsia="SimSun"/>
          <w:lang w:val="fr-FR" w:eastAsia="zh-CN"/>
        </w:rPr>
        <w:t>) </w:t>
      </w:r>
      <w:r>
        <w:rPr>
          <w:rFonts w:eastAsia="SimSun"/>
          <w:lang w:val="fr-FR" w:eastAsia="zh-CN"/>
        </w:rPr>
        <w:t>qu’au lieu d’être conduite à l’hôpital, la requérante a été conduite au Service national de renseignement, où elle a été insultée et intimidée ; et d</w:t>
      </w:r>
      <w:r w:rsidR="00FE1C39">
        <w:rPr>
          <w:rFonts w:eastAsia="SimSun"/>
          <w:lang w:val="fr-FR" w:eastAsia="zh-CN"/>
        </w:rPr>
        <w:t>) </w:t>
      </w:r>
      <w:r>
        <w:rPr>
          <w:rFonts w:eastAsia="SimSun"/>
          <w:lang w:val="fr-FR" w:eastAsia="zh-CN"/>
        </w:rPr>
        <w:t xml:space="preserve">que ce n’est que par suite de pressions exercées par une organisation de la société civile que la requérante a été conduite à l’hôpital. Le Comité note en outre que l’hôpital n’a pas donné suite aux demandes de l’avocat de la requérante de lui fournir son dossier médical afin de pouvoir présenter des preuves aux autorités des sévices qu’elle avait subis. </w:t>
      </w:r>
      <w:r w:rsidRPr="00CA5A60">
        <w:rPr>
          <w:rFonts w:eastAsia="SimSun"/>
          <w:lang w:val="fr-FR" w:eastAsia="zh-CN"/>
        </w:rPr>
        <w:t xml:space="preserve">Le Comité </w:t>
      </w:r>
      <w:r>
        <w:rPr>
          <w:rFonts w:eastAsia="SimSun"/>
          <w:lang w:val="fr-FR" w:eastAsia="zh-CN"/>
        </w:rPr>
        <w:t>prend également note des allégations de la</w:t>
      </w:r>
      <w:r w:rsidRPr="00CA5A60">
        <w:rPr>
          <w:rFonts w:eastAsia="SimSun"/>
          <w:lang w:val="fr-FR" w:eastAsia="zh-CN"/>
        </w:rPr>
        <w:t xml:space="preserve"> requérant</w:t>
      </w:r>
      <w:r>
        <w:rPr>
          <w:rFonts w:eastAsia="SimSun"/>
          <w:lang w:val="fr-FR" w:eastAsia="zh-CN"/>
        </w:rPr>
        <w:t>e</w:t>
      </w:r>
      <w:r w:rsidRPr="00CA5A60">
        <w:rPr>
          <w:rFonts w:eastAsia="SimSun"/>
          <w:lang w:val="fr-FR" w:eastAsia="zh-CN"/>
        </w:rPr>
        <w:t xml:space="preserve"> selon lesquelles les coups </w:t>
      </w:r>
      <w:r>
        <w:rPr>
          <w:rFonts w:eastAsia="SimSun"/>
          <w:lang w:val="fr-FR" w:eastAsia="zh-CN"/>
        </w:rPr>
        <w:t>reçus lui</w:t>
      </w:r>
      <w:r w:rsidRPr="00CA5A60">
        <w:rPr>
          <w:rFonts w:eastAsia="SimSun"/>
          <w:lang w:val="fr-FR" w:eastAsia="zh-CN"/>
        </w:rPr>
        <w:t xml:space="preserve"> ont occasionné des douleurs et </w:t>
      </w:r>
      <w:r>
        <w:rPr>
          <w:rFonts w:eastAsia="SimSun"/>
          <w:lang w:val="fr-FR" w:eastAsia="zh-CN"/>
        </w:rPr>
        <w:t xml:space="preserve">des </w:t>
      </w:r>
      <w:r w:rsidRPr="00CA5A60">
        <w:rPr>
          <w:rFonts w:eastAsia="SimSun"/>
          <w:lang w:val="fr-FR" w:eastAsia="zh-CN"/>
        </w:rPr>
        <w:t xml:space="preserve">souffrances aiguës, </w:t>
      </w:r>
      <w:r w:rsidR="00FE1C39" w:rsidRPr="00CA5A60">
        <w:rPr>
          <w:rFonts w:eastAsia="SimSun"/>
          <w:lang w:val="fr-FR" w:eastAsia="zh-CN"/>
        </w:rPr>
        <w:lastRenderedPageBreak/>
        <w:t>y</w:t>
      </w:r>
      <w:r w:rsidR="00FE1C39">
        <w:rPr>
          <w:rFonts w:eastAsia="SimSun"/>
          <w:lang w:val="fr-FR" w:eastAsia="zh-CN"/>
        </w:rPr>
        <w:t> </w:t>
      </w:r>
      <w:r w:rsidRPr="00CA5A60">
        <w:rPr>
          <w:rFonts w:eastAsia="SimSun"/>
          <w:lang w:val="fr-FR" w:eastAsia="zh-CN"/>
        </w:rPr>
        <w:t>compris des souffrances morales</w:t>
      </w:r>
      <w:r>
        <w:rPr>
          <w:rFonts w:eastAsia="SimSun"/>
          <w:lang w:val="fr-FR" w:eastAsia="zh-CN"/>
        </w:rPr>
        <w:t xml:space="preserve"> et psychologiques</w:t>
      </w:r>
      <w:r w:rsidRPr="00CA5A60">
        <w:rPr>
          <w:rFonts w:eastAsia="SimSun"/>
          <w:lang w:val="fr-FR" w:eastAsia="zh-CN"/>
        </w:rPr>
        <w:t>, et lui auraient été infligés intentionnellement par des agents étatiques</w:t>
      </w:r>
      <w:r w:rsidRPr="00CA5A60" w:rsidDel="00D7374D">
        <w:rPr>
          <w:rFonts w:eastAsia="SimSun"/>
          <w:lang w:val="fr-FR" w:eastAsia="zh-CN"/>
        </w:rPr>
        <w:t xml:space="preserve"> </w:t>
      </w:r>
      <w:r w:rsidRPr="00CA5A60">
        <w:rPr>
          <w:rFonts w:eastAsia="SimSun"/>
          <w:lang w:val="fr-FR" w:eastAsia="zh-CN"/>
        </w:rPr>
        <w:t>dans le but de l</w:t>
      </w:r>
      <w:r>
        <w:rPr>
          <w:rFonts w:eastAsia="SimSun"/>
          <w:lang w:val="fr-FR" w:eastAsia="zh-CN"/>
        </w:rPr>
        <w:t>a</w:t>
      </w:r>
      <w:r w:rsidRPr="00CA5A60">
        <w:rPr>
          <w:rFonts w:eastAsia="SimSun"/>
          <w:lang w:val="fr-FR" w:eastAsia="zh-CN"/>
        </w:rPr>
        <w:t xml:space="preserve"> punir et de l’intimider.</w:t>
      </w:r>
      <w:r>
        <w:rPr>
          <w:rFonts w:eastAsia="SimSun"/>
          <w:lang w:val="fr-FR" w:eastAsia="zh-CN"/>
        </w:rPr>
        <w:t xml:space="preserve"> </w:t>
      </w:r>
      <w:r w:rsidRPr="00EC1197">
        <w:rPr>
          <w:rFonts w:eastAsia="SimSun"/>
          <w:lang w:val="fr-FR" w:eastAsia="zh-CN"/>
        </w:rPr>
        <w:t>Le Comité note aussi que</w:t>
      </w:r>
      <w:r>
        <w:rPr>
          <w:rFonts w:eastAsia="SimSun"/>
          <w:lang w:val="fr-FR" w:eastAsia="zh-CN"/>
        </w:rPr>
        <w:t xml:space="preserve"> ces faits n’ont été contestés à aucun moment par</w:t>
      </w:r>
      <w:r w:rsidRPr="00EC1197">
        <w:rPr>
          <w:rFonts w:eastAsia="SimSun"/>
          <w:lang w:val="fr-FR" w:eastAsia="zh-CN"/>
        </w:rPr>
        <w:t xml:space="preserve"> l’État partie. Dans ces circonstances, le Comit</w:t>
      </w:r>
      <w:r>
        <w:rPr>
          <w:rFonts w:eastAsia="SimSun"/>
          <w:lang w:val="fr-FR" w:eastAsia="zh-CN"/>
        </w:rPr>
        <w:t xml:space="preserve">é conclut que </w:t>
      </w:r>
      <w:r w:rsidRPr="00EC1197">
        <w:rPr>
          <w:rFonts w:eastAsia="SimSun"/>
          <w:lang w:val="fr-FR" w:eastAsia="zh-CN"/>
        </w:rPr>
        <w:t xml:space="preserve">les faits, tels </w:t>
      </w:r>
      <w:r>
        <w:rPr>
          <w:rFonts w:eastAsia="SimSun"/>
          <w:lang w:val="fr-FR" w:eastAsia="zh-CN"/>
        </w:rPr>
        <w:t>qu’ils sont</w:t>
      </w:r>
      <w:r w:rsidRPr="00EC1197">
        <w:rPr>
          <w:rFonts w:eastAsia="SimSun"/>
          <w:lang w:val="fr-FR" w:eastAsia="zh-CN"/>
        </w:rPr>
        <w:t xml:space="preserve"> présentés</w:t>
      </w:r>
      <w:r>
        <w:rPr>
          <w:rFonts w:eastAsia="SimSun"/>
          <w:lang w:val="fr-FR" w:eastAsia="zh-CN"/>
        </w:rPr>
        <w:t xml:space="preserve"> par la requérante</w:t>
      </w:r>
      <w:r w:rsidRPr="00EC1197">
        <w:rPr>
          <w:rFonts w:eastAsia="SimSun"/>
          <w:lang w:val="fr-FR" w:eastAsia="zh-CN"/>
        </w:rPr>
        <w:t>,</w:t>
      </w:r>
      <w:r>
        <w:rPr>
          <w:rFonts w:eastAsia="SimSun"/>
          <w:lang w:val="fr-FR" w:eastAsia="zh-CN"/>
        </w:rPr>
        <w:t xml:space="preserve"> sont</w:t>
      </w:r>
      <w:r w:rsidRPr="00EC1197">
        <w:rPr>
          <w:rFonts w:eastAsia="SimSun"/>
          <w:lang w:val="fr-FR" w:eastAsia="zh-CN"/>
        </w:rPr>
        <w:t xml:space="preserve"> </w:t>
      </w:r>
      <w:r w:rsidRPr="006F70D4">
        <w:t>constitutifs de torture au sens de l’article</w:t>
      </w:r>
      <w:r w:rsidR="00A14D5B">
        <w:t> </w:t>
      </w:r>
      <w:r w:rsidRPr="006F70D4">
        <w:t>1</w:t>
      </w:r>
      <w:r w:rsidRPr="00A14D5B">
        <w:rPr>
          <w:vertAlign w:val="superscript"/>
        </w:rPr>
        <w:t>er</w:t>
      </w:r>
      <w:r w:rsidRPr="006F70D4">
        <w:t xml:space="preserve"> de la Convention</w:t>
      </w:r>
      <w:r w:rsidRPr="006F70D4">
        <w:rPr>
          <w:rStyle w:val="Appelnotedebasdep"/>
        </w:rPr>
        <w:footnoteReference w:id="25"/>
      </w:r>
      <w:r w:rsidRPr="006F70D4">
        <w:t>.</w:t>
      </w:r>
    </w:p>
    <w:p w14:paraId="29DD6E40" w14:textId="0604366C" w:rsidR="00965D37" w:rsidRDefault="00965D37" w:rsidP="006F70D4">
      <w:pPr>
        <w:pStyle w:val="SingleTxtG"/>
        <w:rPr>
          <w:lang w:val="fr-FR"/>
        </w:rPr>
      </w:pPr>
      <w:r>
        <w:t>6.3</w:t>
      </w:r>
      <w:r>
        <w:tab/>
        <w:t>La</w:t>
      </w:r>
      <w:r w:rsidRPr="001D74C4">
        <w:t xml:space="preserve"> requér</w:t>
      </w:r>
      <w:r>
        <w:t xml:space="preserve">ante invoque également </w:t>
      </w:r>
      <w:r w:rsidR="00FE1C39">
        <w:t>l’article </w:t>
      </w:r>
      <w:r w:rsidRPr="001D74C4">
        <w:t>2</w:t>
      </w:r>
      <w:r>
        <w:t xml:space="preserve"> (par</w:t>
      </w:r>
      <w:r w:rsidR="00FE1C39">
        <w:t>. </w:t>
      </w:r>
      <w:r w:rsidRPr="001D74C4">
        <w:t>1</w:t>
      </w:r>
      <w:r>
        <w:t>)</w:t>
      </w:r>
      <w:r w:rsidRPr="001D74C4">
        <w:t xml:space="preserve"> de la Convention, en vertu duquel l’État partie aurait dû prendre des mesures législatives, administratives, judiciaires et autres mesures efficaces pour empêcher que des </w:t>
      </w:r>
      <w:r w:rsidRPr="00341EFC">
        <w:t xml:space="preserve">actes constitutifs de </w:t>
      </w:r>
      <w:r>
        <w:t xml:space="preserve">torture </w:t>
      </w:r>
      <w:r w:rsidRPr="001D74C4">
        <w:t xml:space="preserve">soient commis </w:t>
      </w:r>
      <w:r>
        <w:t>sur l’ensemble du</w:t>
      </w:r>
      <w:r w:rsidRPr="001D74C4">
        <w:t xml:space="preserve"> territoire sous sa juridiction. </w:t>
      </w:r>
      <w:r>
        <w:t xml:space="preserve">À </w:t>
      </w:r>
      <w:r>
        <w:rPr>
          <w:rFonts w:eastAsia="MS Mincho"/>
        </w:rPr>
        <w:t xml:space="preserve">cet égard, </w:t>
      </w:r>
      <w:r>
        <w:rPr>
          <w:lang w:val="fr-FR"/>
        </w:rPr>
        <w:t>le Comité</w:t>
      </w:r>
      <w:r w:rsidRPr="00183A14">
        <w:rPr>
          <w:lang w:val="fr-FR"/>
        </w:rPr>
        <w:t xml:space="preserve"> rappelle ses conclusions et recommandations</w:t>
      </w:r>
      <w:r w:rsidRPr="007808C1">
        <w:t xml:space="preserve"> </w:t>
      </w:r>
      <w:r>
        <w:t>concernant le rapport initial du Burundi</w:t>
      </w:r>
      <w:r w:rsidRPr="00183A14">
        <w:rPr>
          <w:lang w:val="fr-FR"/>
        </w:rPr>
        <w:t>, dans lesquelles il a exhorté l’État partie à prendre des mesures législatives, administratives et judiciaires effectives pour prévenir tout acte de torture et tout mauvais traitement, et à prendre des mesures urgentes pour que tout lieu de détention soit sous autorité judiciaire afin d’empêcher ses agents de procéder à des détentions arbitrai</w:t>
      </w:r>
      <w:r>
        <w:rPr>
          <w:lang w:val="fr-FR"/>
        </w:rPr>
        <w:t>res et de pratiquer la torture</w:t>
      </w:r>
      <w:r w:rsidRPr="00A1114C">
        <w:rPr>
          <w:rStyle w:val="Appelnotedebasdep"/>
        </w:rPr>
        <w:footnoteReference w:id="26"/>
      </w:r>
      <w:r w:rsidRPr="00183A14">
        <w:rPr>
          <w:lang w:val="fr-FR"/>
        </w:rPr>
        <w:t xml:space="preserve">. </w:t>
      </w:r>
      <w:r>
        <w:rPr>
          <w:lang w:val="fr-FR"/>
        </w:rPr>
        <w:t xml:space="preserve">Dans le cas présent, </w:t>
      </w:r>
      <w:r>
        <w:rPr>
          <w:rFonts w:eastAsia="SimSun"/>
          <w:lang w:eastAsia="zh-CN"/>
        </w:rPr>
        <w:t>l</w:t>
      </w:r>
      <w:r w:rsidRPr="001D74C4">
        <w:rPr>
          <w:lang w:val="fr-FR"/>
        </w:rPr>
        <w:t>e Com</w:t>
      </w:r>
      <w:r>
        <w:rPr>
          <w:lang w:val="fr-FR"/>
        </w:rPr>
        <w:t>ité prend note des allégations de la</w:t>
      </w:r>
      <w:r w:rsidRPr="001D74C4">
        <w:rPr>
          <w:lang w:val="fr-FR"/>
        </w:rPr>
        <w:t xml:space="preserve"> requérant</w:t>
      </w:r>
      <w:r>
        <w:rPr>
          <w:lang w:val="fr-FR"/>
        </w:rPr>
        <w:t>e</w:t>
      </w:r>
      <w:r w:rsidRPr="001D74C4">
        <w:rPr>
          <w:lang w:val="fr-FR"/>
        </w:rPr>
        <w:t xml:space="preserve"> </w:t>
      </w:r>
      <w:r>
        <w:rPr>
          <w:lang w:val="fr-FR"/>
        </w:rPr>
        <w:t xml:space="preserve">selon lesquelles elle </w:t>
      </w:r>
      <w:r w:rsidRPr="001D74C4">
        <w:rPr>
          <w:lang w:val="fr-FR"/>
        </w:rPr>
        <w:t xml:space="preserve">a été </w:t>
      </w:r>
      <w:r>
        <w:rPr>
          <w:lang w:val="fr-FR"/>
        </w:rPr>
        <w:t xml:space="preserve">battue par des policiers, </w:t>
      </w:r>
      <w:r w:rsidRPr="00183A14">
        <w:rPr>
          <w:lang w:val="fr-FR"/>
        </w:rPr>
        <w:t>puis détenu</w:t>
      </w:r>
      <w:r>
        <w:rPr>
          <w:lang w:val="fr-FR"/>
        </w:rPr>
        <w:t>e</w:t>
      </w:r>
      <w:r w:rsidRPr="00183A14">
        <w:rPr>
          <w:lang w:val="fr-FR"/>
        </w:rPr>
        <w:t xml:space="preserve"> sans </w:t>
      </w:r>
      <w:r>
        <w:rPr>
          <w:lang w:val="fr-FR"/>
        </w:rPr>
        <w:t xml:space="preserve">mandat d’arrêt, sans </w:t>
      </w:r>
      <w:r w:rsidRPr="00183A14">
        <w:rPr>
          <w:lang w:val="fr-FR"/>
        </w:rPr>
        <w:t>base légale</w:t>
      </w:r>
      <w:r>
        <w:rPr>
          <w:lang w:val="fr-FR"/>
        </w:rPr>
        <w:t>,</w:t>
      </w:r>
      <w:r w:rsidRPr="00183A14">
        <w:rPr>
          <w:lang w:val="fr-FR"/>
        </w:rPr>
        <w:t xml:space="preserve"> et sans</w:t>
      </w:r>
      <w:r>
        <w:rPr>
          <w:lang w:val="fr-FR"/>
        </w:rPr>
        <w:t xml:space="preserve"> avoir la possibilité d’entrer en</w:t>
      </w:r>
      <w:r w:rsidRPr="00183A14">
        <w:rPr>
          <w:lang w:val="fr-FR"/>
        </w:rPr>
        <w:t xml:space="preserve"> contact avec un défenseur</w:t>
      </w:r>
      <w:r>
        <w:rPr>
          <w:lang w:val="fr-FR"/>
        </w:rPr>
        <w:t xml:space="preserve"> pendant plus d’un mois et demi, demeurant soustraite à la protection de la loi. Le Comité note également que l’État partie n’a pris aucune mesure pour protéger la requérante jusqu’à ce que des organisations non gouvernementales interviennent pour la soutenir. Finalement, les autorités étatiques n’ont pris aucune mesure pour enquêter sur les actes de torture subis par la requérante et prendre les sanctions qui s’imposaient, et ce, malgré les plaintes qu’elle avait présentées à cet égard à plusieurs reprises</w:t>
      </w:r>
      <w:r>
        <w:rPr>
          <w:rFonts w:eastAsia="MS Mincho"/>
        </w:rPr>
        <w:t xml:space="preserve">. </w:t>
      </w:r>
      <w:r w:rsidRPr="00183A14">
        <w:rPr>
          <w:lang w:val="fr-FR"/>
        </w:rPr>
        <w:t xml:space="preserve">Au vu de ce qui précède, le Comité conclut à une violation de </w:t>
      </w:r>
      <w:r w:rsidR="00FE1C39" w:rsidRPr="00183A14">
        <w:rPr>
          <w:lang w:val="fr-FR"/>
        </w:rPr>
        <w:t>l’article</w:t>
      </w:r>
      <w:r w:rsidR="00FE1C39">
        <w:rPr>
          <w:lang w:val="fr-FR"/>
        </w:rPr>
        <w:t> </w:t>
      </w:r>
      <w:r w:rsidRPr="00183A14">
        <w:rPr>
          <w:lang w:val="fr-FR"/>
        </w:rPr>
        <w:t>2 (par</w:t>
      </w:r>
      <w:r w:rsidR="00FE1C39" w:rsidRPr="00183A14">
        <w:rPr>
          <w:lang w:val="fr-FR"/>
        </w:rPr>
        <w:t>.</w:t>
      </w:r>
      <w:r w:rsidR="00FE1C39">
        <w:rPr>
          <w:lang w:val="fr-FR"/>
        </w:rPr>
        <w:t> </w:t>
      </w:r>
      <w:r w:rsidRPr="00183A14">
        <w:rPr>
          <w:lang w:val="fr-FR"/>
        </w:rPr>
        <w:t xml:space="preserve">1), lu conjointement avec </w:t>
      </w:r>
      <w:r w:rsidR="00FE1C39" w:rsidRPr="00183A14">
        <w:rPr>
          <w:lang w:val="fr-FR"/>
        </w:rPr>
        <w:t>l’article</w:t>
      </w:r>
      <w:r w:rsidR="00FE1C39">
        <w:rPr>
          <w:lang w:val="fr-FR"/>
        </w:rPr>
        <w:t> </w:t>
      </w:r>
      <w:r w:rsidRPr="00183A14">
        <w:rPr>
          <w:lang w:val="fr-FR"/>
        </w:rPr>
        <w:t>1</w:t>
      </w:r>
      <w:r w:rsidRPr="00DC26C5">
        <w:rPr>
          <w:vertAlign w:val="superscript"/>
          <w:lang w:val="fr-FR"/>
        </w:rPr>
        <w:t>er</w:t>
      </w:r>
      <w:r w:rsidRPr="00183A14">
        <w:rPr>
          <w:lang w:val="fr-FR"/>
        </w:rPr>
        <w:t xml:space="preserve"> de la Convention</w:t>
      </w:r>
      <w:r w:rsidRPr="00A1114C">
        <w:rPr>
          <w:rStyle w:val="Appelnotedebasdep"/>
        </w:rPr>
        <w:footnoteReference w:id="27"/>
      </w:r>
      <w:r>
        <w:rPr>
          <w:lang w:val="fr-FR"/>
        </w:rPr>
        <w:t>.</w:t>
      </w:r>
    </w:p>
    <w:p w14:paraId="2EDB5136" w14:textId="12384CB6" w:rsidR="00965D37" w:rsidRPr="00C94BD2" w:rsidRDefault="00965D37" w:rsidP="006F70D4">
      <w:pPr>
        <w:pStyle w:val="SingleTxtG"/>
      </w:pPr>
      <w:r>
        <w:t>6.4</w:t>
      </w:r>
      <w:r>
        <w:tab/>
      </w:r>
      <w:r w:rsidRPr="00004DD3">
        <w:t>Le Com</w:t>
      </w:r>
      <w:r>
        <w:t>ité note également l’argument de</w:t>
      </w:r>
      <w:r w:rsidRPr="00004DD3">
        <w:t xml:space="preserve"> </w:t>
      </w:r>
      <w:r>
        <w:t xml:space="preserve">la </w:t>
      </w:r>
      <w:r w:rsidRPr="00004DD3">
        <w:t>requérant</w:t>
      </w:r>
      <w:r>
        <w:t>e</w:t>
      </w:r>
      <w:r w:rsidRPr="00004DD3">
        <w:t xml:space="preserve"> selon lequel </w:t>
      </w:r>
      <w:r w:rsidR="00FE1C39" w:rsidRPr="00004DD3">
        <w:t>l’article</w:t>
      </w:r>
      <w:r w:rsidR="00FE1C39">
        <w:t> </w:t>
      </w:r>
      <w:r w:rsidRPr="00004DD3">
        <w:t xml:space="preserve">11 </w:t>
      </w:r>
      <w:r>
        <w:t xml:space="preserve">de la Convention </w:t>
      </w:r>
      <w:r w:rsidRPr="00004DD3">
        <w:t>aurait été violé</w:t>
      </w:r>
      <w:r>
        <w:t>,</w:t>
      </w:r>
      <w:r w:rsidRPr="00004DD3">
        <w:t xml:space="preserve"> car l’État partie n’a pas exercé la surveillance nécessaire quant au traitement</w:t>
      </w:r>
      <w:r>
        <w:t xml:space="preserve"> qui lui a été</w:t>
      </w:r>
      <w:r w:rsidRPr="00004DD3">
        <w:t xml:space="preserve"> réservé durant sa détention.</w:t>
      </w:r>
      <w:r>
        <w:t xml:space="preserve"> Elle allègue, en particulier, ce qui suit : a</w:t>
      </w:r>
      <w:r w:rsidR="00FE1C39">
        <w:t>) </w:t>
      </w:r>
      <w:r w:rsidRPr="00165538">
        <w:t xml:space="preserve">malgré </w:t>
      </w:r>
      <w:r>
        <w:t>son état</w:t>
      </w:r>
      <w:r w:rsidRPr="00165538">
        <w:t xml:space="preserve"> critique au moment de l’arrestation, elle n’a pas reçu de soins appropriés</w:t>
      </w:r>
      <w:r>
        <w:t> ; b</w:t>
      </w:r>
      <w:r w:rsidR="00FE1C39">
        <w:t>) </w:t>
      </w:r>
      <w:r>
        <w:t xml:space="preserve">elle </w:t>
      </w:r>
      <w:r w:rsidRPr="00165538">
        <w:t>n’a eu accès à un avocat</w:t>
      </w:r>
      <w:r>
        <w:t xml:space="preserve"> qu‘</w:t>
      </w:r>
      <w:r w:rsidRPr="00165538">
        <w:t xml:space="preserve">un mois et demi après son arrestation, sans avoir été assistée lors de l’interrogatoire au </w:t>
      </w:r>
      <w:r>
        <w:t xml:space="preserve">parquet en date du </w:t>
      </w:r>
      <w:r w:rsidR="00FE1C39">
        <w:t>21 </w:t>
      </w:r>
      <w:r>
        <w:t>mars 2014 ;</w:t>
      </w:r>
      <w:r w:rsidRPr="00165538">
        <w:t xml:space="preserve"> </w:t>
      </w:r>
      <w:r>
        <w:t>c</w:t>
      </w:r>
      <w:r w:rsidR="00FE1C39">
        <w:t>) </w:t>
      </w:r>
      <w:r w:rsidRPr="00165538">
        <w:t>elle a été arrêtée sans être informée des che</w:t>
      </w:r>
      <w:r>
        <w:t>fs d’accusation retenus contre elle ;</w:t>
      </w:r>
      <w:r w:rsidRPr="00165538">
        <w:t xml:space="preserve"> </w:t>
      </w:r>
      <w:r>
        <w:t>d</w:t>
      </w:r>
      <w:r w:rsidR="00FE1C39">
        <w:t>) </w:t>
      </w:r>
      <w:r w:rsidRPr="00165538">
        <w:t xml:space="preserve">elle n’a pas bénéficié de voies de recours efficaces pour </w:t>
      </w:r>
      <w:r>
        <w:t>contester les actes de torture ;</w:t>
      </w:r>
      <w:r w:rsidRPr="00165538">
        <w:t xml:space="preserve"> et </w:t>
      </w:r>
      <w:r>
        <w:t>e</w:t>
      </w:r>
      <w:r w:rsidR="00FE1C39">
        <w:t>) </w:t>
      </w:r>
      <w:r w:rsidRPr="00165538">
        <w:t xml:space="preserve">elle a été détenue dans des </w:t>
      </w:r>
      <w:r>
        <w:t>« </w:t>
      </w:r>
      <w:r w:rsidRPr="00165538">
        <w:t>conditions déplorables</w:t>
      </w:r>
      <w:r>
        <w:t> »</w:t>
      </w:r>
      <w:r w:rsidRPr="00165538">
        <w:t xml:space="preserve"> à la prison de Mpimba, malgré son état de santé critique.</w:t>
      </w:r>
      <w:r>
        <w:t xml:space="preserve"> </w:t>
      </w:r>
      <w:r w:rsidRPr="00165538">
        <w:t>Le Comité rappelle ses observations finales concernant le deuxième rapport périodique du Burundi</w:t>
      </w:r>
      <w:r>
        <w:t>,</w:t>
      </w:r>
      <w:r w:rsidRPr="00165538">
        <w:t xml:space="preserve"> dans lesquelles il s’est </w:t>
      </w:r>
      <w:r w:rsidRPr="00165538">
        <w:rPr>
          <w:lang w:val="fr-FR"/>
        </w:rPr>
        <w:t>dit préoccupé par la durée excessive de la garde à vue</w:t>
      </w:r>
      <w:r>
        <w:rPr>
          <w:lang w:val="fr-FR"/>
        </w:rPr>
        <w:t>,</w:t>
      </w:r>
      <w:r w:rsidRPr="00165538">
        <w:rPr>
          <w:lang w:val="fr-FR"/>
        </w:rPr>
        <w:t xml:space="preserve"> les nombreux cas de dépassement du délai de garde à vue</w:t>
      </w:r>
      <w:r>
        <w:rPr>
          <w:lang w:val="fr-FR"/>
        </w:rPr>
        <w:t>,</w:t>
      </w:r>
      <w:r w:rsidRPr="00165538">
        <w:rPr>
          <w:lang w:val="fr-FR"/>
        </w:rPr>
        <w:t xml:space="preserve"> la non-tenue et tenue incomplète des registres d’écrou</w:t>
      </w:r>
      <w:r>
        <w:rPr>
          <w:lang w:val="fr-FR"/>
        </w:rPr>
        <w:t>,</w:t>
      </w:r>
      <w:r w:rsidRPr="00165538">
        <w:rPr>
          <w:lang w:val="fr-FR"/>
        </w:rPr>
        <w:t xml:space="preserve"> le non-respect des garanties juridiques fondamentales des personnes privées de liberté</w:t>
      </w:r>
      <w:r>
        <w:rPr>
          <w:lang w:val="fr-FR"/>
        </w:rPr>
        <w:t>,</w:t>
      </w:r>
      <w:r w:rsidRPr="00165538">
        <w:rPr>
          <w:lang w:val="fr-FR"/>
        </w:rPr>
        <w:t xml:space="preserve"> l’absence de dispositions prévoyant l’accès à un médecin et à l’aide juridictionnelle pour les personnes démunies</w:t>
      </w:r>
      <w:r>
        <w:rPr>
          <w:lang w:val="fr-FR"/>
        </w:rPr>
        <w:t>,</w:t>
      </w:r>
      <w:r w:rsidRPr="00165538">
        <w:rPr>
          <w:lang w:val="fr-FR"/>
        </w:rPr>
        <w:t xml:space="preserve"> et le recours abusif à la détention préventive en l’absence d’un contrôle régulier de sa légalité et d’une limite à sa durée totale</w:t>
      </w:r>
      <w:r w:rsidRPr="00A1114C">
        <w:rPr>
          <w:rStyle w:val="Appelnotedebasdep"/>
        </w:rPr>
        <w:footnoteReference w:id="28"/>
      </w:r>
      <w:r w:rsidRPr="00165538">
        <w:t>.</w:t>
      </w:r>
      <w:r>
        <w:t xml:space="preserve"> En l’espèce, la</w:t>
      </w:r>
      <w:r w:rsidRPr="00165538">
        <w:t xml:space="preserve"> requérant</w:t>
      </w:r>
      <w:r>
        <w:t>e</w:t>
      </w:r>
      <w:r w:rsidRPr="00165538">
        <w:t xml:space="preserve"> semble avoir </w:t>
      </w:r>
      <w:r>
        <w:t>été privée de</w:t>
      </w:r>
      <w:r w:rsidRPr="00165538">
        <w:t xml:space="preserve"> tout contrôle judiciaire. En l’absence d’information probante de la part de l’État partie susceptible </w:t>
      </w:r>
      <w:r>
        <w:t>de démontrer que la détention de la</w:t>
      </w:r>
      <w:r w:rsidRPr="00165538">
        <w:t xml:space="preserve"> requérant</w:t>
      </w:r>
      <w:r>
        <w:t>e</w:t>
      </w:r>
      <w:r w:rsidRPr="00165538">
        <w:t xml:space="preserve"> a en effet été placée sous sa surveillance, le Comité conclut à une violation de l’article 11 de la Convention</w:t>
      </w:r>
      <w:r w:rsidRPr="00A1114C">
        <w:rPr>
          <w:rStyle w:val="Appelnotedebasdep"/>
        </w:rPr>
        <w:footnoteReference w:id="29"/>
      </w:r>
      <w:r w:rsidRPr="00165538">
        <w:t>.</w:t>
      </w:r>
    </w:p>
    <w:p w14:paraId="2EC754CB" w14:textId="15DF5E5E" w:rsidR="00965D37" w:rsidRPr="005C6F76" w:rsidRDefault="00965D37" w:rsidP="006F70D4">
      <w:pPr>
        <w:pStyle w:val="SingleTxtG"/>
        <w:rPr>
          <w:rFonts w:eastAsia="SimSun"/>
        </w:rPr>
      </w:pPr>
      <w:r>
        <w:rPr>
          <w:lang w:eastAsia="zh-CN"/>
        </w:rPr>
        <w:t>6.5</w:t>
      </w:r>
      <w:r>
        <w:rPr>
          <w:lang w:eastAsia="zh-CN"/>
        </w:rPr>
        <w:tab/>
      </w:r>
      <w:r w:rsidRPr="005C6F76">
        <w:rPr>
          <w:rFonts w:eastAsia="SimSun"/>
        </w:rPr>
        <w:t xml:space="preserve">S’agissant des </w:t>
      </w:r>
      <w:r w:rsidR="00FE1C39">
        <w:rPr>
          <w:rFonts w:eastAsia="SimSun"/>
        </w:rPr>
        <w:t>articles </w:t>
      </w:r>
      <w:r w:rsidRPr="005C6F76">
        <w:rPr>
          <w:rFonts w:eastAsia="SimSun"/>
        </w:rPr>
        <w:t>12 et 13 de la Convention, le Comité</w:t>
      </w:r>
      <w:r>
        <w:rPr>
          <w:rFonts w:eastAsia="SimSun"/>
        </w:rPr>
        <w:t xml:space="preserve"> prend note des allégations de la</w:t>
      </w:r>
      <w:r w:rsidRPr="005C6F76">
        <w:rPr>
          <w:rFonts w:eastAsia="SimSun"/>
        </w:rPr>
        <w:t xml:space="preserve"> requérant</w:t>
      </w:r>
      <w:r>
        <w:rPr>
          <w:rFonts w:eastAsia="SimSun"/>
        </w:rPr>
        <w:t>e</w:t>
      </w:r>
      <w:r w:rsidRPr="005C6F76">
        <w:rPr>
          <w:rFonts w:eastAsia="SimSun"/>
        </w:rPr>
        <w:t xml:space="preserve"> selon lesquelles</w:t>
      </w:r>
      <w:r>
        <w:rPr>
          <w:rFonts w:eastAsia="SimSun"/>
        </w:rPr>
        <w:t>,</w:t>
      </w:r>
      <w:r w:rsidRPr="005C6F76">
        <w:rPr>
          <w:rFonts w:eastAsia="MS Mincho"/>
        </w:rPr>
        <w:t xml:space="preserve"> </w:t>
      </w:r>
      <w:r>
        <w:rPr>
          <w:rFonts w:eastAsia="MS Mincho"/>
        </w:rPr>
        <w:t xml:space="preserve">le </w:t>
      </w:r>
      <w:r w:rsidR="00FE1C39">
        <w:rPr>
          <w:rFonts w:eastAsia="MS Mincho"/>
        </w:rPr>
        <w:t>8 </w:t>
      </w:r>
      <w:r>
        <w:rPr>
          <w:rFonts w:eastAsia="MS Mincho"/>
        </w:rPr>
        <w:t>mars 2014, elle</w:t>
      </w:r>
      <w:r w:rsidRPr="005C6F76">
        <w:rPr>
          <w:rFonts w:eastAsia="MS Mincho"/>
        </w:rPr>
        <w:t xml:space="preserve"> a </w:t>
      </w:r>
      <w:r>
        <w:rPr>
          <w:rFonts w:eastAsia="MS Mincho"/>
        </w:rPr>
        <w:t xml:space="preserve">été battue par des agents de police lors d’une intervention à la permanence du </w:t>
      </w:r>
      <w:r w:rsidRPr="00C558C4">
        <w:rPr>
          <w:rFonts w:eastAsia="MS Mincho"/>
        </w:rPr>
        <w:t xml:space="preserve">Mouvement pour la </w:t>
      </w:r>
      <w:r>
        <w:rPr>
          <w:rFonts w:eastAsia="MS Mincho"/>
        </w:rPr>
        <w:t>solidarité et la démocratie</w:t>
      </w:r>
      <w:r>
        <w:t xml:space="preserve">. Bien qu’elle ait déposé une plainte le </w:t>
      </w:r>
      <w:r w:rsidR="00FE1C39">
        <w:t>14 </w:t>
      </w:r>
      <w:r>
        <w:t xml:space="preserve">mars 2014 devant le Procureur général de la République à Bujumbura et dénoncé les tortures subies devant le juge lors d’une audience en chambre de conseil qui s’est tenue le </w:t>
      </w:r>
      <w:r w:rsidR="00FE1C39">
        <w:t>25 </w:t>
      </w:r>
      <w:r>
        <w:t>avril 2014,</w:t>
      </w:r>
      <w:r w:rsidRPr="005C6F76">
        <w:rPr>
          <w:rFonts w:eastAsia="SimSun"/>
        </w:rPr>
        <w:t xml:space="preserve"> </w:t>
      </w:r>
      <w:r w:rsidRPr="005C6F76">
        <w:rPr>
          <w:rFonts w:eastAsia="MS Mincho"/>
        </w:rPr>
        <w:t>aucune enq</w:t>
      </w:r>
      <w:r>
        <w:rPr>
          <w:rFonts w:eastAsia="MS Mincho"/>
        </w:rPr>
        <w:t xml:space="preserve">uête n’avait été menée presque </w:t>
      </w:r>
      <w:r>
        <w:rPr>
          <w:rFonts w:eastAsia="MS Mincho"/>
        </w:rPr>
        <w:lastRenderedPageBreak/>
        <w:t xml:space="preserve">six </w:t>
      </w:r>
      <w:r w:rsidRPr="005C6F76">
        <w:rPr>
          <w:rFonts w:eastAsia="MS Mincho"/>
        </w:rPr>
        <w:t xml:space="preserve">ans après les faits. </w:t>
      </w:r>
      <w:r w:rsidRPr="005C6F76">
        <w:rPr>
          <w:rFonts w:eastAsia="SimSun"/>
        </w:rPr>
        <w:t>Le Comité considère qu</w:t>
      </w:r>
      <w:r>
        <w:rPr>
          <w:rFonts w:eastAsia="SimSun"/>
        </w:rPr>
        <w:t>’</w:t>
      </w:r>
      <w:r w:rsidRPr="005C6F76">
        <w:rPr>
          <w:rFonts w:eastAsia="SimSun"/>
        </w:rPr>
        <w:t>un tel délai avant l</w:t>
      </w:r>
      <w:r>
        <w:rPr>
          <w:rFonts w:eastAsia="SimSun"/>
        </w:rPr>
        <w:t>’</w:t>
      </w:r>
      <w:r w:rsidRPr="005C6F76">
        <w:rPr>
          <w:rFonts w:eastAsia="SimSun"/>
        </w:rPr>
        <w:t>ouverture d</w:t>
      </w:r>
      <w:r>
        <w:rPr>
          <w:rFonts w:eastAsia="SimSun"/>
        </w:rPr>
        <w:t>’</w:t>
      </w:r>
      <w:r w:rsidRPr="005C6F76">
        <w:rPr>
          <w:rFonts w:eastAsia="SimSun"/>
        </w:rPr>
        <w:t xml:space="preserve">une enquête sur des allégations de </w:t>
      </w:r>
      <w:r w:rsidRPr="008A3D67">
        <w:rPr>
          <w:rFonts w:eastAsia="SimSun"/>
        </w:rPr>
        <w:t>torture</w:t>
      </w:r>
      <w:r w:rsidRPr="005C6F76">
        <w:rPr>
          <w:rFonts w:eastAsia="SimSun"/>
        </w:rPr>
        <w:t xml:space="preserve"> est manifestement abusif. </w:t>
      </w:r>
      <w:r>
        <w:rPr>
          <w:rFonts w:eastAsia="SimSun"/>
        </w:rPr>
        <w:t>À cet égard, il</w:t>
      </w:r>
      <w:r w:rsidRPr="005C6F76">
        <w:rPr>
          <w:rFonts w:eastAsia="SimSun"/>
        </w:rPr>
        <w:t xml:space="preserve"> rappelle l’obligation qui incombe à l’</w:t>
      </w:r>
      <w:r>
        <w:rPr>
          <w:rFonts w:eastAsia="SimSun"/>
        </w:rPr>
        <w:t>É</w:t>
      </w:r>
      <w:r w:rsidRPr="005C6F76">
        <w:rPr>
          <w:rFonts w:eastAsia="SimSun"/>
        </w:rPr>
        <w:t>tat partie</w:t>
      </w:r>
      <w:r>
        <w:rPr>
          <w:rFonts w:eastAsia="SimSun"/>
        </w:rPr>
        <w:t>,</w:t>
      </w:r>
      <w:r w:rsidRPr="005C6F76">
        <w:rPr>
          <w:rFonts w:eastAsia="SimSun"/>
        </w:rPr>
        <w:t xml:space="preserve"> au titre de </w:t>
      </w:r>
      <w:r w:rsidR="00FE1C39" w:rsidRPr="005C6F76">
        <w:rPr>
          <w:rFonts w:eastAsia="SimSun"/>
        </w:rPr>
        <w:t>l</w:t>
      </w:r>
      <w:r w:rsidR="00FE1C39">
        <w:rPr>
          <w:rFonts w:eastAsia="SimSun"/>
        </w:rPr>
        <w:t>’article </w:t>
      </w:r>
      <w:r w:rsidRPr="005C6F76">
        <w:rPr>
          <w:rFonts w:eastAsia="SimSun"/>
        </w:rPr>
        <w:t xml:space="preserve">12 de la Convention, qu’il soit immédiatement procédé à une enquête impartiale </w:t>
      </w:r>
      <w:r>
        <w:rPr>
          <w:rFonts w:eastAsia="SimSun"/>
        </w:rPr>
        <w:t>d’office</w:t>
      </w:r>
      <w:r w:rsidRPr="005C6F76">
        <w:rPr>
          <w:rFonts w:eastAsia="SimSun"/>
        </w:rPr>
        <w:t xml:space="preserve"> chaque fois qu’il y a des motifs raisonnables de croire qu’un acte de </w:t>
      </w:r>
      <w:r w:rsidRPr="008A3D67">
        <w:rPr>
          <w:rFonts w:eastAsia="SimSun"/>
        </w:rPr>
        <w:t xml:space="preserve">torture </w:t>
      </w:r>
      <w:r w:rsidRPr="005C6F76">
        <w:rPr>
          <w:rFonts w:eastAsia="SimSun"/>
        </w:rPr>
        <w:t>a été commis</w:t>
      </w:r>
      <w:r w:rsidRPr="00A1114C">
        <w:rPr>
          <w:rStyle w:val="Appelnotedebasdep"/>
        </w:rPr>
        <w:footnoteReference w:id="30"/>
      </w:r>
      <w:r>
        <w:rPr>
          <w:rFonts w:eastAsia="SimSun"/>
        </w:rPr>
        <w:t>.</w:t>
      </w:r>
      <w:r w:rsidRPr="005C6F76">
        <w:rPr>
          <w:rFonts w:eastAsia="SimSun"/>
        </w:rPr>
        <w:t xml:space="preserve"> En l’espèce, le Comité constate</w:t>
      </w:r>
      <w:r>
        <w:rPr>
          <w:rFonts w:eastAsia="SimSun"/>
        </w:rPr>
        <w:t xml:space="preserve"> donc</w:t>
      </w:r>
      <w:r w:rsidRPr="005C6F76">
        <w:rPr>
          <w:rFonts w:eastAsia="SimSun"/>
        </w:rPr>
        <w:t xml:space="preserve"> une violation de </w:t>
      </w:r>
      <w:r w:rsidR="00FE1C39" w:rsidRPr="005C6F76">
        <w:rPr>
          <w:rFonts w:eastAsia="SimSun"/>
        </w:rPr>
        <w:t>l’</w:t>
      </w:r>
      <w:r w:rsidR="00FE1C39">
        <w:rPr>
          <w:rFonts w:eastAsia="SimSun"/>
        </w:rPr>
        <w:t>article </w:t>
      </w:r>
      <w:r w:rsidRPr="005C6F76">
        <w:rPr>
          <w:rFonts w:eastAsia="SimSun"/>
        </w:rPr>
        <w:t>12 de la Convention.</w:t>
      </w:r>
    </w:p>
    <w:p w14:paraId="300CB0DC" w14:textId="12D95AC9" w:rsidR="00965D37" w:rsidRPr="001D74C4" w:rsidRDefault="00965D37" w:rsidP="006F70D4">
      <w:pPr>
        <w:pStyle w:val="SingleTxtG"/>
        <w:rPr>
          <w:lang w:eastAsia="zh-CN"/>
        </w:rPr>
      </w:pPr>
      <w:r>
        <w:rPr>
          <w:rFonts w:eastAsia="SimSun"/>
        </w:rPr>
        <w:t>6</w:t>
      </w:r>
      <w:r w:rsidRPr="005C6F76">
        <w:rPr>
          <w:rFonts w:eastAsia="SimSun"/>
        </w:rPr>
        <w:t>.</w:t>
      </w:r>
      <w:r>
        <w:rPr>
          <w:rFonts w:eastAsia="SimSun"/>
        </w:rPr>
        <w:t>6</w:t>
      </w:r>
      <w:r w:rsidRPr="005C6F76">
        <w:rPr>
          <w:rFonts w:eastAsia="SimSun"/>
        </w:rPr>
        <w:tab/>
        <w:t xml:space="preserve">N’ayant pas rempli cette obligation, l’État partie a également manqué à la responsabilité qui lui </w:t>
      </w:r>
      <w:r>
        <w:rPr>
          <w:rFonts w:eastAsia="SimSun"/>
        </w:rPr>
        <w:t>incombait,</w:t>
      </w:r>
      <w:r w:rsidRPr="005C6F76">
        <w:rPr>
          <w:rFonts w:eastAsia="SimSun"/>
        </w:rPr>
        <w:t xml:space="preserve"> au titre de </w:t>
      </w:r>
      <w:r w:rsidR="00FE1C39" w:rsidRPr="005C6F76">
        <w:rPr>
          <w:rFonts w:eastAsia="SimSun"/>
        </w:rPr>
        <w:t>l’</w:t>
      </w:r>
      <w:r w:rsidR="00FE1C39">
        <w:rPr>
          <w:rFonts w:eastAsia="SimSun"/>
        </w:rPr>
        <w:t>article </w:t>
      </w:r>
      <w:r w:rsidRPr="005C6F76">
        <w:rPr>
          <w:rFonts w:eastAsia="SimSun"/>
        </w:rPr>
        <w:t xml:space="preserve">13 </w:t>
      </w:r>
      <w:r>
        <w:rPr>
          <w:rFonts w:eastAsia="SimSun"/>
        </w:rPr>
        <w:t>de la Convention, de garantir à la</w:t>
      </w:r>
      <w:r w:rsidRPr="005C6F76">
        <w:rPr>
          <w:rFonts w:eastAsia="SimSun"/>
        </w:rPr>
        <w:t xml:space="preserve"> requérant</w:t>
      </w:r>
      <w:r>
        <w:rPr>
          <w:rFonts w:eastAsia="SimSun"/>
        </w:rPr>
        <w:t>e</w:t>
      </w:r>
      <w:r w:rsidRPr="005C6F76">
        <w:rPr>
          <w:rFonts w:eastAsia="SimSun"/>
        </w:rPr>
        <w:t xml:space="preserve"> le droit de porter plainte,</w:t>
      </w:r>
      <w:r>
        <w:rPr>
          <w:rFonts w:eastAsia="SimSun"/>
        </w:rPr>
        <w:t xml:space="preserve"> </w:t>
      </w:r>
      <w:r w:rsidRPr="005C6F76">
        <w:rPr>
          <w:rFonts w:eastAsia="SimSun"/>
        </w:rPr>
        <w:t>qui présuppose que les autorités apportent une réponse adéquate par le déclenchement d’un</w:t>
      </w:r>
      <w:r>
        <w:rPr>
          <w:rFonts w:eastAsia="SimSun"/>
        </w:rPr>
        <w:t>e enquête prompte et impartiale</w:t>
      </w:r>
      <w:r w:rsidRPr="00A1114C">
        <w:rPr>
          <w:rStyle w:val="Appelnotedebasdep"/>
        </w:rPr>
        <w:footnoteReference w:id="31"/>
      </w:r>
      <w:r>
        <w:rPr>
          <w:rFonts w:eastAsia="SimSun"/>
        </w:rPr>
        <w:t xml:space="preserve">. </w:t>
      </w:r>
      <w:r w:rsidRPr="00644BA8">
        <w:rPr>
          <w:rFonts w:eastAsia="SimSun"/>
        </w:rPr>
        <w:t xml:space="preserve">Le Comité conclut que </w:t>
      </w:r>
      <w:r w:rsidR="00FE1C39" w:rsidRPr="00644BA8">
        <w:rPr>
          <w:rFonts w:eastAsia="SimSun"/>
        </w:rPr>
        <w:t>l’article</w:t>
      </w:r>
      <w:r w:rsidR="00FE1C39">
        <w:rPr>
          <w:rFonts w:eastAsia="SimSun"/>
        </w:rPr>
        <w:t> </w:t>
      </w:r>
      <w:r w:rsidRPr="00644BA8">
        <w:rPr>
          <w:rFonts w:eastAsia="SimSun"/>
        </w:rPr>
        <w:t>13 de la Convention a également été violé.</w:t>
      </w:r>
    </w:p>
    <w:p w14:paraId="71E9BBD7" w14:textId="08F43942" w:rsidR="00965D37" w:rsidRDefault="00965D37" w:rsidP="006F70D4">
      <w:pPr>
        <w:pStyle w:val="SingleTxtG"/>
        <w:rPr>
          <w:rFonts w:eastAsia="SimSun"/>
          <w:lang w:eastAsia="zh-CN"/>
        </w:rPr>
      </w:pPr>
      <w:r>
        <w:rPr>
          <w:lang w:eastAsia="zh-CN"/>
        </w:rPr>
        <w:t>6.7</w:t>
      </w:r>
      <w:r w:rsidRPr="001D74C4">
        <w:rPr>
          <w:lang w:eastAsia="zh-CN"/>
        </w:rPr>
        <w:tab/>
      </w:r>
      <w:r>
        <w:rPr>
          <w:rFonts w:eastAsia="SimSun"/>
          <w:lang w:eastAsia="zh-CN"/>
        </w:rPr>
        <w:t>S’agissant des allégations de la</w:t>
      </w:r>
      <w:r w:rsidRPr="005A630B">
        <w:rPr>
          <w:rFonts w:eastAsia="SimSun"/>
          <w:lang w:eastAsia="zh-CN"/>
        </w:rPr>
        <w:t xml:space="preserve"> requérant</w:t>
      </w:r>
      <w:r>
        <w:rPr>
          <w:rFonts w:eastAsia="SimSun"/>
          <w:lang w:eastAsia="zh-CN"/>
        </w:rPr>
        <w:t>e</w:t>
      </w:r>
      <w:r w:rsidRPr="005A630B">
        <w:rPr>
          <w:rFonts w:eastAsia="SimSun"/>
          <w:lang w:eastAsia="zh-CN"/>
        </w:rPr>
        <w:t xml:space="preserve"> au titre de </w:t>
      </w:r>
      <w:r w:rsidR="00FE1C39" w:rsidRPr="005A630B">
        <w:rPr>
          <w:rFonts w:eastAsia="SimSun"/>
          <w:lang w:eastAsia="zh-CN"/>
        </w:rPr>
        <w:t>l’article</w:t>
      </w:r>
      <w:r w:rsidR="00FE1C39">
        <w:rPr>
          <w:rFonts w:eastAsia="SimSun"/>
          <w:lang w:eastAsia="zh-CN"/>
        </w:rPr>
        <w:t> </w:t>
      </w:r>
      <w:r w:rsidRPr="005A630B">
        <w:rPr>
          <w:rFonts w:eastAsia="SimSun"/>
          <w:lang w:eastAsia="zh-CN"/>
        </w:rPr>
        <w:t xml:space="preserve">14 de la Convention, le Comité rappelle que cette disposition reconnaît non seulement le droit d’être indemnisé équitablement et de manière adéquate, mais impose aussi aux États parties l’obligation de veiller à ce que la victime d’un acte de </w:t>
      </w:r>
      <w:r w:rsidRPr="008A3D67">
        <w:rPr>
          <w:rFonts w:eastAsia="SimSun"/>
        </w:rPr>
        <w:t>torture</w:t>
      </w:r>
      <w:r w:rsidRPr="005C6F76">
        <w:rPr>
          <w:rFonts w:eastAsia="SimSun"/>
        </w:rPr>
        <w:t xml:space="preserve"> </w:t>
      </w:r>
      <w:r w:rsidRPr="005A630B">
        <w:rPr>
          <w:rFonts w:eastAsia="SimSun"/>
          <w:lang w:eastAsia="zh-CN"/>
        </w:rPr>
        <w:t>obtienne réparation. Le Comité rappelle que la réparation doit couvrir l’ensemble des dommages subis par la victime et englobe, entre autres mesures, la restitution, l’indemnisation ainsi que des mesures propres à garantir la non</w:t>
      </w:r>
      <w:r w:rsidR="00A14D5B">
        <w:rPr>
          <w:rFonts w:eastAsia="SimSun"/>
          <w:lang w:eastAsia="zh-CN"/>
        </w:rPr>
        <w:noBreakHyphen/>
      </w:r>
      <w:r w:rsidRPr="005A630B">
        <w:rPr>
          <w:rFonts w:eastAsia="SimSun"/>
          <w:lang w:eastAsia="zh-CN"/>
        </w:rPr>
        <w:t>répétition des violations, en tenant toujours compte des circonstances de chaque affaire</w:t>
      </w:r>
      <w:r w:rsidRPr="00A1114C">
        <w:rPr>
          <w:rStyle w:val="Appelnotedebasdep"/>
        </w:rPr>
        <w:footnoteReference w:id="32"/>
      </w:r>
      <w:r>
        <w:rPr>
          <w:rFonts w:eastAsia="SimSun"/>
          <w:lang w:eastAsia="zh-CN"/>
        </w:rPr>
        <w:t>.</w:t>
      </w:r>
      <w:r w:rsidRPr="005A630B">
        <w:rPr>
          <w:rFonts w:eastAsia="SimSun"/>
          <w:lang w:eastAsia="zh-CN"/>
        </w:rPr>
        <w:t xml:space="preserve"> </w:t>
      </w:r>
      <w:r w:rsidRPr="00BE134F">
        <w:rPr>
          <w:rFonts w:eastAsia="SimSun"/>
          <w:lang w:eastAsia="zh-CN"/>
        </w:rPr>
        <w:t>En l’espèce, en l’absence d’enquête diligentée de manière prompte et impartiale, malgré l’existence de preuves matérielles manife</w:t>
      </w:r>
      <w:r>
        <w:rPr>
          <w:rFonts w:eastAsia="SimSun"/>
          <w:lang w:eastAsia="zh-CN"/>
        </w:rPr>
        <w:t>stes indiquant que la</w:t>
      </w:r>
      <w:r w:rsidRPr="00BE134F">
        <w:rPr>
          <w:rFonts w:eastAsia="SimSun"/>
          <w:lang w:eastAsia="zh-CN"/>
        </w:rPr>
        <w:t xml:space="preserve"> requérant</w:t>
      </w:r>
      <w:r>
        <w:rPr>
          <w:rFonts w:eastAsia="SimSun"/>
          <w:lang w:eastAsia="zh-CN"/>
        </w:rPr>
        <w:t>e</w:t>
      </w:r>
      <w:r w:rsidRPr="00BE134F">
        <w:rPr>
          <w:rFonts w:eastAsia="SimSun"/>
          <w:lang w:eastAsia="zh-CN"/>
        </w:rPr>
        <w:t xml:space="preserve"> a été victime d’actes de torture </w:t>
      </w:r>
      <w:r w:rsidR="00FE1C39">
        <w:rPr>
          <w:rFonts w:eastAsia="SimSun"/>
          <w:lang w:eastAsia="zh-CN"/>
        </w:rPr>
        <w:t>−</w:t>
      </w:r>
      <w:r w:rsidR="00FE1C39" w:rsidRPr="00BE134F">
        <w:rPr>
          <w:rFonts w:eastAsia="SimSun"/>
          <w:lang w:eastAsia="zh-CN"/>
        </w:rPr>
        <w:t xml:space="preserve"> </w:t>
      </w:r>
      <w:r w:rsidRPr="00BE134F">
        <w:rPr>
          <w:rFonts w:eastAsia="SimSun"/>
          <w:lang w:eastAsia="zh-CN"/>
        </w:rPr>
        <w:t xml:space="preserve">restés impunis </w:t>
      </w:r>
      <w:r w:rsidR="00FE1C39">
        <w:rPr>
          <w:rFonts w:eastAsia="SimSun"/>
          <w:lang w:eastAsia="zh-CN"/>
        </w:rPr>
        <w:t>−,</w:t>
      </w:r>
      <w:r w:rsidR="00FE1C39" w:rsidRPr="00BE134F">
        <w:rPr>
          <w:rFonts w:eastAsia="SimSun"/>
          <w:lang w:eastAsia="zh-CN"/>
        </w:rPr>
        <w:t xml:space="preserve"> </w:t>
      </w:r>
      <w:r w:rsidRPr="00BE134F">
        <w:rPr>
          <w:rFonts w:eastAsia="SimSun"/>
          <w:lang w:eastAsia="zh-CN"/>
        </w:rPr>
        <w:t xml:space="preserve">le Comité conclut que l’État partie a également manqué aux obligations qui lui incombent </w:t>
      </w:r>
      <w:r>
        <w:rPr>
          <w:rFonts w:eastAsia="SimSun"/>
          <w:lang w:eastAsia="zh-CN"/>
        </w:rPr>
        <w:t>au titre</w:t>
      </w:r>
      <w:r w:rsidRPr="00BE134F">
        <w:rPr>
          <w:rFonts w:eastAsia="SimSun"/>
          <w:lang w:eastAsia="zh-CN"/>
        </w:rPr>
        <w:t xml:space="preserve"> de </w:t>
      </w:r>
      <w:r w:rsidR="00FE1C39" w:rsidRPr="00BE134F">
        <w:rPr>
          <w:rFonts w:eastAsia="SimSun"/>
          <w:lang w:eastAsia="zh-CN"/>
        </w:rPr>
        <w:t>l’article</w:t>
      </w:r>
      <w:r w:rsidR="00FE1C39">
        <w:rPr>
          <w:rFonts w:eastAsia="SimSun"/>
          <w:lang w:eastAsia="zh-CN"/>
        </w:rPr>
        <w:t> </w:t>
      </w:r>
      <w:r w:rsidRPr="00BE134F">
        <w:rPr>
          <w:rFonts w:eastAsia="SimSun"/>
          <w:lang w:eastAsia="zh-CN"/>
        </w:rPr>
        <w:t>14 de la Convention</w:t>
      </w:r>
      <w:r w:rsidRPr="00A1114C">
        <w:rPr>
          <w:rStyle w:val="Appelnotedebasdep"/>
        </w:rPr>
        <w:footnoteReference w:id="33"/>
      </w:r>
      <w:r w:rsidRPr="00BE134F">
        <w:rPr>
          <w:rFonts w:eastAsia="SimSun"/>
          <w:lang w:eastAsia="zh-CN"/>
        </w:rPr>
        <w:t>.</w:t>
      </w:r>
    </w:p>
    <w:p w14:paraId="2ED811BB" w14:textId="415244DB" w:rsidR="00965D37" w:rsidRDefault="00965D37" w:rsidP="006F70D4">
      <w:pPr>
        <w:pStyle w:val="SingleTxtG"/>
        <w:rPr>
          <w:lang w:eastAsia="zh-CN"/>
        </w:rPr>
      </w:pPr>
      <w:r>
        <w:rPr>
          <w:lang w:eastAsia="zh-CN"/>
        </w:rPr>
        <w:t>6.8</w:t>
      </w:r>
      <w:r>
        <w:rPr>
          <w:lang w:eastAsia="zh-CN"/>
        </w:rPr>
        <w:tab/>
      </w:r>
      <w:r w:rsidRPr="004F1C59">
        <w:rPr>
          <w:lang w:eastAsia="zh-CN"/>
        </w:rPr>
        <w:t xml:space="preserve">Pour ce qui est du grief tiré de </w:t>
      </w:r>
      <w:r w:rsidR="00FE1C39" w:rsidRPr="004F1C59">
        <w:rPr>
          <w:lang w:eastAsia="zh-CN"/>
        </w:rPr>
        <w:t>l’article</w:t>
      </w:r>
      <w:r w:rsidR="00FE1C39">
        <w:rPr>
          <w:lang w:eastAsia="zh-CN"/>
        </w:rPr>
        <w:t> </w:t>
      </w:r>
      <w:r w:rsidRPr="004F1C59">
        <w:rPr>
          <w:lang w:eastAsia="zh-CN"/>
        </w:rPr>
        <w:t>16</w:t>
      </w:r>
      <w:r>
        <w:rPr>
          <w:lang w:eastAsia="zh-CN"/>
        </w:rPr>
        <w:t xml:space="preserve"> de la Convention</w:t>
      </w:r>
      <w:r w:rsidRPr="004F1C59">
        <w:rPr>
          <w:lang w:eastAsia="zh-CN"/>
        </w:rPr>
        <w:t>, le Comit</w:t>
      </w:r>
      <w:r>
        <w:rPr>
          <w:lang w:eastAsia="zh-CN"/>
        </w:rPr>
        <w:t>é a pris note des allégations de la</w:t>
      </w:r>
      <w:r w:rsidRPr="004F1C59">
        <w:rPr>
          <w:lang w:eastAsia="zh-CN"/>
        </w:rPr>
        <w:t xml:space="preserve"> requérant</w:t>
      </w:r>
      <w:r>
        <w:rPr>
          <w:lang w:eastAsia="zh-CN"/>
        </w:rPr>
        <w:t>e</w:t>
      </w:r>
      <w:r w:rsidRPr="004F1C59">
        <w:rPr>
          <w:lang w:eastAsia="zh-CN"/>
        </w:rPr>
        <w:t>, selon lesquelles</w:t>
      </w:r>
      <w:r>
        <w:rPr>
          <w:lang w:eastAsia="zh-CN"/>
        </w:rPr>
        <w:t xml:space="preserve"> elle</w:t>
      </w:r>
      <w:r w:rsidRPr="004F1C59">
        <w:rPr>
          <w:lang w:eastAsia="zh-CN"/>
        </w:rPr>
        <w:t xml:space="preserve"> </w:t>
      </w:r>
      <w:r>
        <w:rPr>
          <w:lang w:eastAsia="zh-CN"/>
        </w:rPr>
        <w:t xml:space="preserve">a été détenue du </w:t>
      </w:r>
      <w:r w:rsidR="00FE1C39">
        <w:rPr>
          <w:lang w:eastAsia="zh-CN"/>
        </w:rPr>
        <w:t>21 </w:t>
      </w:r>
      <w:r>
        <w:rPr>
          <w:lang w:eastAsia="zh-CN"/>
        </w:rPr>
        <w:t>mars 2014</w:t>
      </w:r>
      <w:r w:rsidRPr="004F1C59">
        <w:rPr>
          <w:lang w:eastAsia="zh-CN"/>
        </w:rPr>
        <w:t xml:space="preserve"> au </w:t>
      </w:r>
      <w:r w:rsidR="00FE1C39">
        <w:rPr>
          <w:lang w:eastAsia="zh-CN"/>
        </w:rPr>
        <w:t>12 </w:t>
      </w:r>
      <w:r>
        <w:rPr>
          <w:lang w:eastAsia="zh-CN"/>
        </w:rPr>
        <w:t>juin</w:t>
      </w:r>
      <w:r w:rsidRPr="004F1C59">
        <w:rPr>
          <w:lang w:eastAsia="zh-CN"/>
        </w:rPr>
        <w:t xml:space="preserve"> 20</w:t>
      </w:r>
      <w:r>
        <w:rPr>
          <w:lang w:eastAsia="zh-CN"/>
        </w:rPr>
        <w:t>15</w:t>
      </w:r>
      <w:r w:rsidRPr="004F1C59">
        <w:rPr>
          <w:lang w:eastAsia="zh-CN"/>
        </w:rPr>
        <w:t xml:space="preserve"> </w:t>
      </w:r>
      <w:r>
        <w:rPr>
          <w:lang w:eastAsia="zh-CN"/>
        </w:rPr>
        <w:t>à la prison centrale</w:t>
      </w:r>
      <w:r w:rsidRPr="004F1C59">
        <w:rPr>
          <w:lang w:eastAsia="zh-CN"/>
        </w:rPr>
        <w:t xml:space="preserve"> de Mpimba, caractérisé</w:t>
      </w:r>
      <w:r>
        <w:rPr>
          <w:lang w:eastAsia="zh-CN"/>
        </w:rPr>
        <w:t>e</w:t>
      </w:r>
      <w:r w:rsidRPr="004F1C59">
        <w:rPr>
          <w:lang w:eastAsia="zh-CN"/>
        </w:rPr>
        <w:t xml:space="preserve"> par un état d’insalubrité et de surpopulation constitutif de traitement inhumain et dégradant. </w:t>
      </w:r>
      <w:r w:rsidRPr="004F1C59">
        <w:rPr>
          <w:lang w:val="fr-FR" w:eastAsia="zh-CN"/>
        </w:rPr>
        <w:t xml:space="preserve">En l’absence de toute information pertinente de la part de l’État partie à ce sujet, le Comité conclut que les faits de l’espèce révèlent une violation par l’État partie de ses obligations au titre de </w:t>
      </w:r>
      <w:r w:rsidR="00FE1C39" w:rsidRPr="004F1C59">
        <w:rPr>
          <w:lang w:eastAsia="zh-CN"/>
        </w:rPr>
        <w:t>l’article</w:t>
      </w:r>
      <w:r w:rsidR="00FE1C39">
        <w:rPr>
          <w:lang w:eastAsia="zh-CN"/>
        </w:rPr>
        <w:t> </w:t>
      </w:r>
      <w:r w:rsidRPr="004F1C59">
        <w:rPr>
          <w:lang w:eastAsia="zh-CN"/>
        </w:rPr>
        <w:t>16</w:t>
      </w:r>
      <w:r w:rsidRPr="004F1C59">
        <w:rPr>
          <w:lang w:val="fr-FR" w:eastAsia="zh-CN"/>
        </w:rPr>
        <w:t xml:space="preserve"> de la Convention</w:t>
      </w:r>
      <w:r w:rsidRPr="00A1114C">
        <w:rPr>
          <w:rStyle w:val="Appelnotedebasdep"/>
        </w:rPr>
        <w:footnoteReference w:id="34"/>
      </w:r>
      <w:r w:rsidRPr="004F1C59">
        <w:rPr>
          <w:lang w:eastAsia="zh-CN"/>
        </w:rPr>
        <w:t>.</w:t>
      </w:r>
    </w:p>
    <w:p w14:paraId="322CF8B1" w14:textId="75A64AC6" w:rsidR="00965D37" w:rsidRDefault="00965D37" w:rsidP="006F70D4">
      <w:pPr>
        <w:pStyle w:val="SingleTxtG"/>
        <w:rPr>
          <w:rFonts w:eastAsia="SimSun"/>
          <w:lang w:val="fr-FR" w:eastAsia="zh-CN"/>
        </w:rPr>
      </w:pPr>
      <w:r>
        <w:rPr>
          <w:rFonts w:eastAsia="SimSun"/>
          <w:lang w:val="fr-FR" w:eastAsia="zh-CN"/>
        </w:rPr>
        <w:t>7</w:t>
      </w:r>
      <w:r w:rsidRPr="001D74C4">
        <w:rPr>
          <w:rFonts w:eastAsia="SimSun"/>
          <w:lang w:val="fr-FR" w:eastAsia="zh-CN"/>
        </w:rPr>
        <w:t>.</w:t>
      </w:r>
      <w:r w:rsidRPr="001D74C4">
        <w:rPr>
          <w:rFonts w:eastAsia="SimSun"/>
          <w:lang w:val="fr-FR" w:eastAsia="zh-CN"/>
        </w:rPr>
        <w:tab/>
      </w:r>
      <w:r w:rsidRPr="00D4751A">
        <w:rPr>
          <w:rFonts w:eastAsia="SimSun"/>
          <w:lang w:val="fr-FR" w:eastAsia="zh-CN"/>
        </w:rPr>
        <w:t xml:space="preserve">Le </w:t>
      </w:r>
      <w:r w:rsidRPr="00D4751A">
        <w:rPr>
          <w:rFonts w:eastAsia="SimSun"/>
          <w:lang w:eastAsia="zh-CN"/>
        </w:rPr>
        <w:t>Comité</w:t>
      </w:r>
      <w:r w:rsidRPr="00D4751A">
        <w:rPr>
          <w:rFonts w:eastAsia="SimSun"/>
          <w:lang w:val="fr-FR" w:eastAsia="zh-CN"/>
        </w:rPr>
        <w:t xml:space="preserve">, agissant en vertu de </w:t>
      </w:r>
      <w:r w:rsidR="00FE1C39" w:rsidRPr="00D4751A">
        <w:rPr>
          <w:rFonts w:eastAsia="SimSun"/>
          <w:lang w:val="fr-FR" w:eastAsia="zh-CN"/>
        </w:rPr>
        <w:t>l’article</w:t>
      </w:r>
      <w:r w:rsidR="00FE1C39">
        <w:rPr>
          <w:rFonts w:eastAsia="SimSun"/>
          <w:lang w:val="fr-FR" w:eastAsia="zh-CN"/>
        </w:rPr>
        <w:t> </w:t>
      </w:r>
      <w:r w:rsidRPr="00D4751A">
        <w:rPr>
          <w:rFonts w:eastAsia="SimSun"/>
          <w:lang w:val="fr-FR" w:eastAsia="zh-CN"/>
        </w:rPr>
        <w:t>22</w:t>
      </w:r>
      <w:r>
        <w:rPr>
          <w:rFonts w:eastAsia="SimSun"/>
          <w:lang w:val="fr-FR" w:eastAsia="zh-CN"/>
        </w:rPr>
        <w:t xml:space="preserve"> (par. 7)</w:t>
      </w:r>
      <w:r w:rsidRPr="00D4751A">
        <w:rPr>
          <w:rFonts w:eastAsia="SimSun"/>
          <w:lang w:val="fr-FR" w:eastAsia="zh-CN"/>
        </w:rPr>
        <w:t xml:space="preserve"> de la Convention, conclut que les faits dont il </w:t>
      </w:r>
      <w:r>
        <w:rPr>
          <w:rFonts w:eastAsia="SimSun"/>
          <w:lang w:val="fr-FR" w:eastAsia="zh-CN"/>
        </w:rPr>
        <w:t>est</w:t>
      </w:r>
      <w:r w:rsidRPr="00D4751A">
        <w:rPr>
          <w:rFonts w:eastAsia="SimSun"/>
          <w:lang w:val="fr-FR" w:eastAsia="zh-CN"/>
        </w:rPr>
        <w:t xml:space="preserve"> saisi font apparaître une violation de</w:t>
      </w:r>
      <w:r>
        <w:rPr>
          <w:rFonts w:eastAsia="SimSun"/>
          <w:lang w:val="fr-FR" w:eastAsia="zh-CN"/>
        </w:rPr>
        <w:t>s</w:t>
      </w:r>
      <w:r w:rsidRPr="00D4751A">
        <w:rPr>
          <w:rFonts w:eastAsia="SimSun"/>
          <w:lang w:val="fr-FR" w:eastAsia="zh-CN"/>
        </w:rPr>
        <w:t xml:space="preserve"> </w:t>
      </w:r>
      <w:r w:rsidR="00FE1C39" w:rsidRPr="00D4751A">
        <w:rPr>
          <w:rFonts w:eastAsia="SimSun"/>
          <w:lang w:val="fr-FR" w:eastAsia="zh-CN"/>
        </w:rPr>
        <w:t>article</w:t>
      </w:r>
      <w:r w:rsidR="00FE1C39">
        <w:rPr>
          <w:rFonts w:eastAsia="SimSun"/>
          <w:lang w:val="fr-FR" w:eastAsia="zh-CN"/>
        </w:rPr>
        <w:t>s </w:t>
      </w:r>
      <w:r w:rsidRPr="00D4751A">
        <w:rPr>
          <w:rFonts w:eastAsia="SimSun"/>
          <w:lang w:val="fr-FR" w:eastAsia="zh-CN"/>
        </w:rPr>
        <w:t>2 (par</w:t>
      </w:r>
      <w:r w:rsidR="00FE1C39" w:rsidRPr="00D4751A">
        <w:rPr>
          <w:rFonts w:eastAsia="SimSun"/>
          <w:lang w:val="fr-FR" w:eastAsia="zh-CN"/>
        </w:rPr>
        <w:t>.</w:t>
      </w:r>
      <w:r w:rsidR="00FE1C39">
        <w:rPr>
          <w:rFonts w:eastAsia="SimSun"/>
          <w:lang w:val="fr-FR" w:eastAsia="zh-CN"/>
        </w:rPr>
        <w:t> </w:t>
      </w:r>
      <w:r w:rsidRPr="00D4751A">
        <w:rPr>
          <w:rFonts w:eastAsia="SimSun"/>
          <w:lang w:val="fr-FR" w:eastAsia="zh-CN"/>
        </w:rPr>
        <w:t>1)</w:t>
      </w:r>
      <w:r>
        <w:rPr>
          <w:rFonts w:eastAsia="SimSun"/>
          <w:lang w:val="fr-FR" w:eastAsia="zh-CN"/>
        </w:rPr>
        <w:t xml:space="preserve"> et</w:t>
      </w:r>
      <w:r w:rsidRPr="00D4751A">
        <w:rPr>
          <w:rFonts w:eastAsia="SimSun"/>
          <w:lang w:val="fr-FR" w:eastAsia="zh-CN"/>
        </w:rPr>
        <w:t xml:space="preserve"> </w:t>
      </w:r>
      <w:r>
        <w:rPr>
          <w:rFonts w:eastAsia="SimSun"/>
          <w:lang w:val="fr-FR" w:eastAsia="zh-CN"/>
        </w:rPr>
        <w:t xml:space="preserve">11 à 14, </w:t>
      </w:r>
      <w:r w:rsidRPr="00D4751A">
        <w:rPr>
          <w:rFonts w:eastAsia="SimSun"/>
          <w:lang w:val="fr-FR" w:eastAsia="zh-CN"/>
        </w:rPr>
        <w:t>lu</w:t>
      </w:r>
      <w:r>
        <w:rPr>
          <w:rFonts w:eastAsia="SimSun"/>
          <w:lang w:val="fr-FR" w:eastAsia="zh-CN"/>
        </w:rPr>
        <w:t>s</w:t>
      </w:r>
      <w:r w:rsidRPr="00D4751A">
        <w:rPr>
          <w:rFonts w:eastAsia="SimSun"/>
          <w:lang w:val="fr-FR" w:eastAsia="zh-CN"/>
        </w:rPr>
        <w:t xml:space="preserve"> conjointement avec </w:t>
      </w:r>
      <w:r w:rsidR="00FE1C39" w:rsidRPr="00D4751A">
        <w:rPr>
          <w:rFonts w:eastAsia="SimSun"/>
          <w:lang w:val="fr-FR" w:eastAsia="zh-CN"/>
        </w:rPr>
        <w:t>l’article</w:t>
      </w:r>
      <w:r w:rsidR="00FE1C39">
        <w:rPr>
          <w:rFonts w:eastAsia="SimSun"/>
          <w:lang w:val="fr-FR" w:eastAsia="zh-CN"/>
        </w:rPr>
        <w:t> </w:t>
      </w:r>
      <w:r w:rsidRPr="00D4751A">
        <w:rPr>
          <w:rFonts w:eastAsia="SimSun"/>
          <w:lang w:val="fr-FR" w:eastAsia="zh-CN"/>
        </w:rPr>
        <w:t>1</w:t>
      </w:r>
      <w:r w:rsidRPr="00DC26C5">
        <w:rPr>
          <w:rFonts w:eastAsia="SimSun"/>
          <w:vertAlign w:val="superscript"/>
          <w:lang w:val="fr-FR" w:eastAsia="zh-CN"/>
        </w:rPr>
        <w:t>er</w:t>
      </w:r>
      <w:r w:rsidRPr="00D4751A">
        <w:rPr>
          <w:rFonts w:eastAsia="SimSun"/>
          <w:lang w:val="fr-FR" w:eastAsia="zh-CN"/>
        </w:rPr>
        <w:t xml:space="preserve">, et de </w:t>
      </w:r>
      <w:r w:rsidR="00FE1C39">
        <w:rPr>
          <w:rFonts w:eastAsia="SimSun"/>
          <w:lang w:val="fr-FR" w:eastAsia="zh-CN"/>
        </w:rPr>
        <w:t>l’</w:t>
      </w:r>
      <w:r w:rsidR="00FE1C39" w:rsidRPr="00D4751A">
        <w:rPr>
          <w:rFonts w:eastAsia="SimSun"/>
          <w:lang w:val="fr-FR" w:eastAsia="zh-CN"/>
        </w:rPr>
        <w:t>article</w:t>
      </w:r>
      <w:r w:rsidR="00FE1C39">
        <w:rPr>
          <w:rFonts w:eastAsia="SimSun"/>
          <w:lang w:val="fr-FR" w:eastAsia="zh-CN"/>
        </w:rPr>
        <w:t> </w:t>
      </w:r>
      <w:r w:rsidRPr="00D4751A">
        <w:rPr>
          <w:rFonts w:eastAsia="SimSun"/>
          <w:lang w:val="fr-FR" w:eastAsia="zh-CN"/>
        </w:rPr>
        <w:t>16</w:t>
      </w:r>
      <w:r>
        <w:rPr>
          <w:rFonts w:eastAsia="SimSun"/>
          <w:lang w:val="fr-FR" w:eastAsia="zh-CN"/>
        </w:rPr>
        <w:t xml:space="preserve"> de la Convention</w:t>
      </w:r>
      <w:r w:rsidRPr="005A25CE">
        <w:rPr>
          <w:rFonts w:eastAsia="SimSun"/>
          <w:lang w:val="fr-FR" w:eastAsia="zh-CN"/>
        </w:rPr>
        <w:t>.</w:t>
      </w:r>
    </w:p>
    <w:p w14:paraId="024D7C44" w14:textId="77777777" w:rsidR="00965D37" w:rsidRPr="001D74C4" w:rsidRDefault="00965D37" w:rsidP="006F70D4">
      <w:pPr>
        <w:pStyle w:val="SingleTxtG"/>
        <w:rPr>
          <w:rFonts w:eastAsia="SimSun"/>
          <w:lang w:val="fr-FR" w:eastAsia="zh-CN"/>
        </w:rPr>
      </w:pPr>
      <w:r>
        <w:rPr>
          <w:rFonts w:eastAsia="SimSun"/>
          <w:lang w:val="fr-FR" w:eastAsia="zh-CN"/>
        </w:rPr>
        <w:t>8.</w:t>
      </w:r>
      <w:r>
        <w:rPr>
          <w:rFonts w:eastAsia="SimSun"/>
          <w:lang w:val="fr-FR" w:eastAsia="zh-CN"/>
        </w:rPr>
        <w:tab/>
      </w:r>
      <w:r>
        <w:rPr>
          <w:lang w:eastAsia="zh-CN"/>
        </w:rPr>
        <w:t xml:space="preserve">Dans la mesure où l’État partie n’a pas répondu aux demandes du Comité de soumettre </w:t>
      </w:r>
      <w:r>
        <w:t>des observations sur la présente plainte</w:t>
      </w:r>
      <w:r w:rsidRPr="00692060">
        <w:rPr>
          <w:lang w:eastAsia="zh-CN"/>
        </w:rPr>
        <w:t xml:space="preserve">, </w:t>
      </w:r>
      <w:r>
        <w:rPr>
          <w:lang w:eastAsia="zh-CN"/>
        </w:rPr>
        <w:t xml:space="preserve">refusant par là même de coopérer avec </w:t>
      </w:r>
      <w:r w:rsidRPr="00692060">
        <w:rPr>
          <w:lang w:eastAsia="zh-CN"/>
        </w:rPr>
        <w:t>le Comité</w:t>
      </w:r>
      <w:r>
        <w:rPr>
          <w:lang w:eastAsia="zh-CN"/>
        </w:rPr>
        <w:t xml:space="preserve"> et l’e</w:t>
      </w:r>
      <w:r w:rsidRPr="00692060">
        <w:rPr>
          <w:lang w:eastAsia="zh-CN"/>
        </w:rPr>
        <w:t>mpêchant d’examiner effectivement</w:t>
      </w:r>
      <w:r>
        <w:rPr>
          <w:lang w:eastAsia="zh-CN"/>
        </w:rPr>
        <w:t xml:space="preserve"> les éléments de la plainte</w:t>
      </w:r>
      <w:r w:rsidRPr="00692060">
        <w:rPr>
          <w:lang w:eastAsia="zh-CN"/>
        </w:rPr>
        <w:t xml:space="preserve">, </w:t>
      </w:r>
      <w:r>
        <w:rPr>
          <w:lang w:eastAsia="zh-CN"/>
        </w:rPr>
        <w:t xml:space="preserve">le Comité, </w:t>
      </w:r>
      <w:r w:rsidRPr="00692060">
        <w:rPr>
          <w:lang w:eastAsia="zh-CN"/>
        </w:rPr>
        <w:t>agissant en vertu de l’article 22</w:t>
      </w:r>
      <w:r>
        <w:rPr>
          <w:lang w:eastAsia="zh-CN"/>
        </w:rPr>
        <w:t xml:space="preserve"> (par. 7)</w:t>
      </w:r>
      <w:r w:rsidRPr="00692060">
        <w:rPr>
          <w:lang w:eastAsia="zh-CN"/>
        </w:rPr>
        <w:t xml:space="preserve"> de la Convention, décide que les faits dont il est saisi constituent une violation par l’État partie de l’article 22 de la Convention</w:t>
      </w:r>
      <w:r>
        <w:rPr>
          <w:lang w:eastAsia="zh-CN"/>
        </w:rPr>
        <w:t>.</w:t>
      </w:r>
    </w:p>
    <w:p w14:paraId="71A4E7A2" w14:textId="1A4F96C6" w:rsidR="00965D37" w:rsidRDefault="00965D37" w:rsidP="00C959D8">
      <w:pPr>
        <w:pStyle w:val="SingleTxtG"/>
        <w:rPr>
          <w:rFonts w:eastAsia="SimSun"/>
          <w:color w:val="000000"/>
          <w:lang w:eastAsia="zh-CN"/>
        </w:rPr>
      </w:pPr>
      <w:r>
        <w:rPr>
          <w:rFonts w:eastAsia="SimSun"/>
          <w:color w:val="000000"/>
          <w:lang w:val="fr-FR" w:eastAsia="zh-CN"/>
        </w:rPr>
        <w:t>9</w:t>
      </w:r>
      <w:r w:rsidRPr="001D74C4">
        <w:rPr>
          <w:rFonts w:eastAsia="SimSun"/>
          <w:color w:val="000000"/>
          <w:lang w:val="fr-FR" w:eastAsia="zh-CN"/>
        </w:rPr>
        <w:t>.</w:t>
      </w:r>
      <w:r w:rsidRPr="001D74C4">
        <w:rPr>
          <w:rFonts w:eastAsia="SimSun"/>
          <w:color w:val="000000"/>
          <w:sz w:val="24"/>
          <w:szCs w:val="24"/>
          <w:lang w:val="fr-FR" w:eastAsia="zh-CN"/>
        </w:rPr>
        <w:tab/>
      </w:r>
      <w:r w:rsidRPr="00D4751A">
        <w:rPr>
          <w:rFonts w:eastAsia="SimSun"/>
          <w:color w:val="000000"/>
          <w:lang w:eastAsia="zh-CN"/>
        </w:rPr>
        <w:t xml:space="preserve">Conformément </w:t>
      </w:r>
      <w:r>
        <w:rPr>
          <w:rFonts w:eastAsia="SimSun"/>
          <w:color w:val="000000"/>
          <w:lang w:eastAsia="zh-CN"/>
        </w:rPr>
        <w:t>à</w:t>
      </w:r>
      <w:r w:rsidRPr="00D4751A">
        <w:rPr>
          <w:rFonts w:eastAsia="SimSun"/>
          <w:color w:val="000000"/>
          <w:lang w:eastAsia="zh-CN"/>
        </w:rPr>
        <w:t xml:space="preserve"> </w:t>
      </w:r>
      <w:r w:rsidR="00FE1C39" w:rsidRPr="00D4751A">
        <w:rPr>
          <w:rFonts w:eastAsia="SimSun"/>
          <w:color w:val="000000"/>
          <w:lang w:eastAsia="zh-CN"/>
        </w:rPr>
        <w:t>l’article</w:t>
      </w:r>
      <w:r w:rsidR="00FE1C39">
        <w:rPr>
          <w:rFonts w:eastAsia="SimSun"/>
          <w:color w:val="000000"/>
          <w:lang w:eastAsia="zh-CN"/>
        </w:rPr>
        <w:t> </w:t>
      </w:r>
      <w:r w:rsidRPr="00D4751A">
        <w:rPr>
          <w:rFonts w:eastAsia="SimSun"/>
          <w:color w:val="000000"/>
          <w:lang w:eastAsia="zh-CN"/>
        </w:rPr>
        <w:t>118</w:t>
      </w:r>
      <w:r>
        <w:rPr>
          <w:rFonts w:eastAsia="SimSun"/>
          <w:color w:val="000000"/>
          <w:lang w:eastAsia="zh-CN"/>
        </w:rPr>
        <w:t xml:space="preserve"> (par. 5)</w:t>
      </w:r>
      <w:r w:rsidRPr="00D4751A">
        <w:rPr>
          <w:rFonts w:eastAsia="SimSun"/>
          <w:color w:val="000000"/>
          <w:lang w:eastAsia="zh-CN"/>
        </w:rPr>
        <w:t xml:space="preserve"> de son règlement intérieur, le Comité invite instamment l’État partie à </w:t>
      </w:r>
      <w:r>
        <w:rPr>
          <w:rFonts w:eastAsia="SimSun"/>
          <w:color w:val="000000"/>
          <w:lang w:eastAsia="zh-CN"/>
        </w:rPr>
        <w:t>lancer</w:t>
      </w:r>
      <w:r w:rsidRPr="00D4751A">
        <w:rPr>
          <w:rFonts w:eastAsia="SimSun"/>
          <w:color w:val="000000"/>
          <w:lang w:eastAsia="zh-CN"/>
        </w:rPr>
        <w:t xml:space="preserve"> une enquête impartiale sur les </w:t>
      </w:r>
      <w:r w:rsidR="00C959D8" w:rsidRPr="00D4751A">
        <w:rPr>
          <w:rFonts w:eastAsia="SimSun"/>
          <w:color w:val="000000"/>
          <w:lang w:eastAsia="zh-CN"/>
        </w:rPr>
        <w:t>événements</w:t>
      </w:r>
      <w:r w:rsidRPr="00D4751A">
        <w:rPr>
          <w:rFonts w:eastAsia="SimSun"/>
          <w:color w:val="000000"/>
          <w:lang w:eastAsia="zh-CN"/>
        </w:rPr>
        <w:t xml:space="preserve"> en question, dans le but de poursuivre en justice les personnes qui pourraient être responsables du traitement infligé à la victime, et à l’informer, dans un délai de quatre</w:t>
      </w:r>
      <w:r w:rsidR="00FE1C39">
        <w:rPr>
          <w:rFonts w:eastAsia="SimSun"/>
          <w:color w:val="000000"/>
          <w:lang w:eastAsia="zh-CN"/>
        </w:rPr>
        <w:noBreakHyphen/>
      </w:r>
      <w:r w:rsidRPr="00D4751A">
        <w:rPr>
          <w:rFonts w:eastAsia="SimSun"/>
          <w:color w:val="000000"/>
          <w:lang w:eastAsia="zh-CN"/>
        </w:rPr>
        <w:t>vingt</w:t>
      </w:r>
      <w:r w:rsidR="00FE1C39">
        <w:rPr>
          <w:rFonts w:eastAsia="SimSun"/>
          <w:color w:val="000000"/>
          <w:lang w:eastAsia="zh-CN"/>
        </w:rPr>
        <w:noBreakHyphen/>
      </w:r>
      <w:r w:rsidRPr="00D4751A">
        <w:rPr>
          <w:rFonts w:eastAsia="SimSun"/>
          <w:color w:val="000000"/>
          <w:lang w:eastAsia="zh-CN"/>
        </w:rPr>
        <w:t xml:space="preserve">dix jours à compter de la date de transmission de la présente décision, des mesures qu’il aura prises </w:t>
      </w:r>
      <w:r>
        <w:rPr>
          <w:rFonts w:eastAsia="SimSun"/>
          <w:color w:val="000000"/>
          <w:lang w:eastAsia="zh-CN"/>
        </w:rPr>
        <w:t>pour donner suite aux observations</w:t>
      </w:r>
      <w:r w:rsidRPr="00D4751A">
        <w:rPr>
          <w:rFonts w:eastAsia="SimSun"/>
          <w:color w:val="000000"/>
          <w:lang w:eastAsia="zh-CN"/>
        </w:rPr>
        <w:t xml:space="preserve"> ci-dessus, </w:t>
      </w:r>
      <w:r>
        <w:rPr>
          <w:rFonts w:eastAsia="SimSun"/>
          <w:color w:val="000000"/>
          <w:lang w:eastAsia="zh-CN"/>
        </w:rPr>
        <w:t>notamment</w:t>
      </w:r>
      <w:r w:rsidRPr="00D4751A">
        <w:rPr>
          <w:rFonts w:eastAsia="SimSun"/>
          <w:color w:val="000000"/>
          <w:lang w:eastAsia="zh-CN"/>
        </w:rPr>
        <w:t xml:space="preserve"> une indemnisation adéquate et équitable, qui comprenne les moyens nécessaires à la réadaptation la plus complète possible de la victime.</w:t>
      </w:r>
    </w:p>
    <w:p w14:paraId="6AF4A02B" w14:textId="45B17EDE" w:rsidR="00C959D8" w:rsidRPr="006F70D4" w:rsidRDefault="00C959D8" w:rsidP="006F70D4">
      <w:pPr>
        <w:pStyle w:val="SingleTxtG"/>
        <w:spacing w:before="240" w:after="0"/>
        <w:jc w:val="center"/>
        <w:rPr>
          <w:u w:val="single"/>
        </w:rPr>
      </w:pPr>
      <w:r>
        <w:rPr>
          <w:u w:val="single"/>
        </w:rPr>
        <w:tab/>
      </w:r>
      <w:r>
        <w:rPr>
          <w:u w:val="single"/>
        </w:rPr>
        <w:tab/>
      </w:r>
      <w:r>
        <w:rPr>
          <w:u w:val="single"/>
        </w:rPr>
        <w:tab/>
      </w:r>
    </w:p>
    <w:p w14:paraId="3BDB0C79" w14:textId="77777777" w:rsidR="00446FE5" w:rsidRPr="009C4D45" w:rsidRDefault="00446FE5" w:rsidP="00FA1CF7"/>
    <w:sectPr w:rsidR="00446FE5" w:rsidRPr="009C4D45" w:rsidSect="00965D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D430" w14:textId="77777777" w:rsidR="003F53C0" w:rsidRPr="009C4D45" w:rsidRDefault="003F53C0" w:rsidP="009C4D45">
      <w:pPr>
        <w:pStyle w:val="Pieddepage"/>
      </w:pPr>
    </w:p>
  </w:endnote>
  <w:endnote w:type="continuationSeparator" w:id="0">
    <w:p w14:paraId="18858B2F" w14:textId="77777777" w:rsidR="003F53C0" w:rsidRPr="009C4D45" w:rsidRDefault="003F53C0" w:rsidP="009C4D45">
      <w:pPr>
        <w:pStyle w:val="Pieddepage"/>
      </w:pPr>
    </w:p>
  </w:endnote>
  <w:endnote w:type="continuationNotice" w:id="1">
    <w:p w14:paraId="6E654B99" w14:textId="77777777" w:rsidR="003F53C0" w:rsidRDefault="003F53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570A" w14:textId="7FB534D6" w:rsidR="00C959D8" w:rsidRPr="00965D37" w:rsidRDefault="00C959D8" w:rsidP="00965D37">
    <w:pPr>
      <w:pStyle w:val="Pieddepage"/>
      <w:tabs>
        <w:tab w:val="right" w:pos="9638"/>
      </w:tabs>
    </w:pPr>
    <w:r w:rsidRPr="00965D37">
      <w:rPr>
        <w:b/>
        <w:sz w:val="18"/>
      </w:rPr>
      <w:fldChar w:fldCharType="begin"/>
    </w:r>
    <w:r w:rsidRPr="00965D37">
      <w:rPr>
        <w:b/>
        <w:sz w:val="18"/>
      </w:rPr>
      <w:instrText xml:space="preserve"> PAGE  \* MERGEFORMAT </w:instrText>
    </w:r>
    <w:r w:rsidRPr="00965D37">
      <w:rPr>
        <w:b/>
        <w:sz w:val="18"/>
      </w:rPr>
      <w:fldChar w:fldCharType="separate"/>
    </w:r>
    <w:r w:rsidR="00BE78F5">
      <w:rPr>
        <w:b/>
        <w:noProof/>
        <w:sz w:val="18"/>
      </w:rPr>
      <w:t>8</w:t>
    </w:r>
    <w:r w:rsidRPr="00965D3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AB59" w14:textId="2E9C7A5A" w:rsidR="00C959D8" w:rsidRPr="00965D37" w:rsidRDefault="00C959D8" w:rsidP="00965D37">
    <w:pPr>
      <w:pStyle w:val="Pieddepage"/>
      <w:tabs>
        <w:tab w:val="right" w:pos="9638"/>
      </w:tabs>
      <w:rPr>
        <w:b/>
        <w:sz w:val="18"/>
      </w:rPr>
    </w:pPr>
    <w:r>
      <w:tab/>
    </w:r>
    <w:r w:rsidRPr="00965D37">
      <w:rPr>
        <w:b/>
        <w:sz w:val="18"/>
      </w:rPr>
      <w:fldChar w:fldCharType="begin"/>
    </w:r>
    <w:r w:rsidRPr="00965D37">
      <w:rPr>
        <w:b/>
        <w:sz w:val="18"/>
      </w:rPr>
      <w:instrText xml:space="preserve"> PAGE  \* MERGEFORMAT </w:instrText>
    </w:r>
    <w:r w:rsidRPr="00965D37">
      <w:rPr>
        <w:b/>
        <w:sz w:val="18"/>
      </w:rPr>
      <w:fldChar w:fldCharType="separate"/>
    </w:r>
    <w:r w:rsidR="00BE78F5">
      <w:rPr>
        <w:b/>
        <w:noProof/>
        <w:sz w:val="18"/>
      </w:rPr>
      <w:t>7</w:t>
    </w:r>
    <w:r w:rsidRPr="00965D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BE08" w14:textId="02306415" w:rsidR="00C959D8" w:rsidRPr="00F04103" w:rsidRDefault="00F04103" w:rsidP="00F04103">
    <w:pPr>
      <w:pStyle w:val="Pieddepage"/>
      <w:tabs>
        <w:tab w:val="left" w:pos="6520"/>
        <w:tab w:val="right" w:pos="9638"/>
      </w:tabs>
      <w:spacing w:before="120"/>
      <w:rPr>
        <w:sz w:val="20"/>
      </w:rPr>
    </w:pPr>
    <w:r>
      <w:rPr>
        <w:sz w:val="20"/>
      </w:rPr>
      <w:t>GE.21-13853  (F)</w:t>
    </w:r>
    <w:bookmarkStart w:id="0" w:name="_GoBack"/>
    <w:bookmarkEnd w:id="0"/>
    <w:r>
      <w:rPr>
        <w:sz w:val="20"/>
      </w:rPr>
      <w:tab/>
    </w:r>
    <w:r w:rsidRPr="00F04103">
      <w:rPr>
        <w:noProof/>
        <w:sz w:val="20"/>
        <w:lang w:eastAsia="fr-CH"/>
      </w:rPr>
      <w:drawing>
        <wp:inline distT="0" distB="0" distL="0" distR="0" wp14:anchorId="20C864A7" wp14:editId="42CA218D">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9E08ED7" wp14:editId="1F3F9466">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84749" w14:textId="77777777" w:rsidR="003F53C0" w:rsidRPr="009C4D45" w:rsidRDefault="003F53C0" w:rsidP="009C4D45">
      <w:pPr>
        <w:pStyle w:val="Pieddepage"/>
        <w:tabs>
          <w:tab w:val="right" w:pos="2155"/>
        </w:tabs>
        <w:spacing w:after="80" w:line="240" w:lineRule="atLeast"/>
        <w:ind w:left="680"/>
        <w:rPr>
          <w:u w:val="single"/>
        </w:rPr>
      </w:pPr>
      <w:r>
        <w:rPr>
          <w:u w:val="single"/>
        </w:rPr>
        <w:tab/>
      </w:r>
    </w:p>
  </w:footnote>
  <w:footnote w:type="continuationSeparator" w:id="0">
    <w:p w14:paraId="1A1229EF" w14:textId="77777777" w:rsidR="003F53C0" w:rsidRPr="009C4D45" w:rsidRDefault="003F53C0" w:rsidP="00FA1CF7">
      <w:pPr>
        <w:pStyle w:val="Pieddepage"/>
        <w:tabs>
          <w:tab w:val="right" w:pos="2155"/>
        </w:tabs>
        <w:spacing w:after="80" w:line="240" w:lineRule="atLeast"/>
        <w:ind w:left="680"/>
      </w:pPr>
      <w:r>
        <w:rPr>
          <w:u w:val="single"/>
        </w:rPr>
        <w:tab/>
      </w:r>
    </w:p>
  </w:footnote>
  <w:footnote w:type="continuationNotice" w:id="1">
    <w:p w14:paraId="299D80B4" w14:textId="77777777" w:rsidR="003F53C0" w:rsidRPr="00FA1CF7" w:rsidRDefault="003F53C0">
      <w:pPr>
        <w:spacing w:line="240" w:lineRule="auto"/>
        <w:rPr>
          <w:sz w:val="2"/>
          <w:szCs w:val="2"/>
        </w:rPr>
      </w:pPr>
    </w:p>
  </w:footnote>
  <w:footnote w:id="2">
    <w:p w14:paraId="136D7D8E" w14:textId="130F33B2" w:rsidR="00C959D8" w:rsidRPr="003C6B88" w:rsidRDefault="00C959D8" w:rsidP="00965D37">
      <w:pPr>
        <w:pStyle w:val="Notedebasdepage"/>
        <w:rPr>
          <w:lang w:val="fr-FR"/>
        </w:rPr>
      </w:pPr>
      <w:r w:rsidRPr="006F70D4">
        <w:rPr>
          <w:rStyle w:val="Appelnotedebasdep"/>
          <w:vertAlign w:val="baseline"/>
        </w:rPr>
        <w:tab/>
      </w:r>
      <w:r w:rsidRPr="006F70D4">
        <w:rPr>
          <w:rStyle w:val="Appelnotedebasdep"/>
          <w:sz w:val="20"/>
          <w:vertAlign w:val="baseline"/>
        </w:rPr>
        <w:t>*</w:t>
      </w:r>
      <w:r w:rsidRPr="006F70D4">
        <w:rPr>
          <w:rStyle w:val="Appelnotedebasdep"/>
          <w:sz w:val="20"/>
          <w:vertAlign w:val="baseline"/>
        </w:rPr>
        <w:tab/>
      </w:r>
      <w:r w:rsidRPr="004623A9">
        <w:t xml:space="preserve">Adoptée par le Comité à sa </w:t>
      </w:r>
      <w:r w:rsidRPr="00BB7513">
        <w:t>soixante</w:t>
      </w:r>
      <w:r>
        <w:t xml:space="preserve"> et onzième </w:t>
      </w:r>
      <w:r w:rsidRPr="003C6B88">
        <w:t>session (</w:t>
      </w:r>
      <w:r>
        <w:t xml:space="preserve">12-30 juillet </w:t>
      </w:r>
      <w:r w:rsidRPr="003C6B88">
        <w:t>20</w:t>
      </w:r>
      <w:r>
        <w:t>2</w:t>
      </w:r>
      <w:r w:rsidRPr="003C6B88">
        <w:t>1).</w:t>
      </w:r>
    </w:p>
  </w:footnote>
  <w:footnote w:id="3">
    <w:p w14:paraId="6A766482" w14:textId="493EEE8F" w:rsidR="00C959D8" w:rsidRPr="004623A9" w:rsidRDefault="00C959D8" w:rsidP="00965D37">
      <w:pPr>
        <w:pStyle w:val="Notedebasdepage"/>
        <w:rPr>
          <w:lang w:val="fr-FR"/>
        </w:rPr>
      </w:pPr>
      <w:r w:rsidRPr="006F70D4">
        <w:rPr>
          <w:rStyle w:val="Appelnotedebasdep"/>
          <w:vertAlign w:val="baseline"/>
          <w:lang w:val="fr-FR"/>
        </w:rPr>
        <w:tab/>
      </w:r>
      <w:r w:rsidRPr="006F70D4">
        <w:rPr>
          <w:rStyle w:val="Appelnotedebasdep"/>
          <w:sz w:val="20"/>
          <w:vertAlign w:val="baseline"/>
          <w:lang w:val="fr-FR"/>
        </w:rPr>
        <w:t>**</w:t>
      </w:r>
      <w:r w:rsidRPr="006F70D4">
        <w:rPr>
          <w:rStyle w:val="Appelnotedebasdep"/>
          <w:sz w:val="20"/>
          <w:vertAlign w:val="baseline"/>
          <w:lang w:val="fr-FR"/>
        </w:rPr>
        <w:tab/>
      </w:r>
      <w:r w:rsidRPr="004623A9">
        <w:rPr>
          <w:lang w:val="fr-FR"/>
        </w:rPr>
        <w:t>Les membres du Comité dont le nom suit ont participé à l’examen de la communication :</w:t>
      </w:r>
      <w:r w:rsidRPr="00BB7513">
        <w:rPr>
          <w:color w:val="000000"/>
          <w:szCs w:val="24"/>
          <w:lang w:val="fr-FR"/>
        </w:rPr>
        <w:t xml:space="preserve"> </w:t>
      </w:r>
      <w:r w:rsidRPr="00CE7334">
        <w:rPr>
          <w:color w:val="000000"/>
          <w:szCs w:val="24"/>
          <w:lang w:val="fr-FR"/>
        </w:rPr>
        <w:t>Essadia</w:t>
      </w:r>
      <w:r>
        <w:rPr>
          <w:color w:val="000000"/>
          <w:szCs w:val="24"/>
          <w:lang w:val="fr-FR"/>
        </w:rPr>
        <w:t> </w:t>
      </w:r>
      <w:r w:rsidRPr="00CE7334">
        <w:rPr>
          <w:color w:val="000000"/>
          <w:szCs w:val="24"/>
          <w:lang w:val="fr-FR"/>
        </w:rPr>
        <w:t>B</w:t>
      </w:r>
      <w:r>
        <w:rPr>
          <w:color w:val="000000"/>
          <w:szCs w:val="24"/>
          <w:lang w:val="fr-FR"/>
        </w:rPr>
        <w:t>elmir</w:t>
      </w:r>
      <w:r w:rsidRPr="003C6B88">
        <w:rPr>
          <w:szCs w:val="24"/>
          <w:lang w:val="fr-FR"/>
        </w:rPr>
        <w:t xml:space="preserve">, </w:t>
      </w:r>
      <w:r w:rsidRPr="004623A9">
        <w:rPr>
          <w:szCs w:val="24"/>
          <w:lang w:val="fr-FR"/>
        </w:rPr>
        <w:t xml:space="preserve">Claude Heller, </w:t>
      </w:r>
      <w:r w:rsidRPr="00CE7334">
        <w:rPr>
          <w:szCs w:val="24"/>
          <w:lang w:val="fr-FR"/>
        </w:rPr>
        <w:t>Erdo</w:t>
      </w:r>
      <w:r w:rsidRPr="004E295D">
        <w:rPr>
          <w:szCs w:val="24"/>
        </w:rPr>
        <w:t>ğ</w:t>
      </w:r>
      <w:r w:rsidRPr="00CE7334">
        <w:rPr>
          <w:szCs w:val="24"/>
          <w:lang w:val="fr-FR"/>
        </w:rPr>
        <w:t xml:space="preserve">an </w:t>
      </w:r>
      <w:r w:rsidRPr="00F538DC">
        <w:rPr>
          <w:szCs w:val="24"/>
        </w:rPr>
        <w:t>İş</w:t>
      </w:r>
      <w:r>
        <w:rPr>
          <w:szCs w:val="24"/>
          <w:lang w:val="fr-FR"/>
        </w:rPr>
        <w:t xml:space="preserve">can, </w:t>
      </w:r>
      <w:r w:rsidRPr="00CE7334">
        <w:rPr>
          <w:szCs w:val="24"/>
          <w:lang w:val="fr-FR"/>
        </w:rPr>
        <w:t>L</w:t>
      </w:r>
      <w:r>
        <w:rPr>
          <w:szCs w:val="24"/>
          <w:lang w:val="fr-FR"/>
        </w:rPr>
        <w:t>iu</w:t>
      </w:r>
      <w:r w:rsidRPr="00CE7334">
        <w:rPr>
          <w:szCs w:val="24"/>
          <w:lang w:val="fr-FR"/>
        </w:rPr>
        <w:t xml:space="preserve"> Huawen</w:t>
      </w:r>
      <w:r>
        <w:rPr>
          <w:szCs w:val="24"/>
          <w:lang w:val="fr-FR"/>
        </w:rPr>
        <w:t xml:space="preserve">, </w:t>
      </w:r>
      <w:r w:rsidRPr="00CE7334">
        <w:rPr>
          <w:szCs w:val="24"/>
          <w:lang w:val="fr-FR"/>
        </w:rPr>
        <w:t>Ilvija P</w:t>
      </w:r>
      <w:r w:rsidRPr="00F90D5C">
        <w:rPr>
          <w:snapToGrid w:val="0"/>
          <w:szCs w:val="24"/>
        </w:rPr>
        <w:t>ū</w:t>
      </w:r>
      <w:r>
        <w:rPr>
          <w:szCs w:val="24"/>
          <w:lang w:val="fr-FR"/>
        </w:rPr>
        <w:t>ce, D</w:t>
      </w:r>
      <w:r w:rsidRPr="004623A9">
        <w:rPr>
          <w:szCs w:val="24"/>
          <w:lang w:val="fr-FR"/>
        </w:rPr>
        <w:t>iego Ro</w:t>
      </w:r>
      <w:r>
        <w:rPr>
          <w:szCs w:val="24"/>
          <w:lang w:val="fr-FR"/>
        </w:rPr>
        <w:t xml:space="preserve">dríguez-Pinzón, Sébastien Touzé, </w:t>
      </w:r>
      <w:r w:rsidRPr="004623A9">
        <w:rPr>
          <w:szCs w:val="24"/>
          <w:lang w:val="fr-FR"/>
        </w:rPr>
        <w:t>Bakhtiyar Tuzmukhamedov</w:t>
      </w:r>
      <w:r>
        <w:rPr>
          <w:szCs w:val="24"/>
          <w:lang w:val="fr-FR"/>
        </w:rPr>
        <w:t xml:space="preserve"> et </w:t>
      </w:r>
      <w:r w:rsidRPr="00CE7334">
        <w:rPr>
          <w:szCs w:val="24"/>
          <w:lang w:val="fr-FR"/>
        </w:rPr>
        <w:t>Peter V</w:t>
      </w:r>
      <w:r>
        <w:rPr>
          <w:szCs w:val="24"/>
          <w:lang w:val="fr-FR"/>
        </w:rPr>
        <w:t>edel</w:t>
      </w:r>
      <w:r w:rsidRPr="00CE7334">
        <w:rPr>
          <w:szCs w:val="24"/>
          <w:lang w:val="fr-FR"/>
        </w:rPr>
        <w:t xml:space="preserve"> K</w:t>
      </w:r>
      <w:r>
        <w:rPr>
          <w:szCs w:val="24"/>
          <w:lang w:val="fr-FR"/>
        </w:rPr>
        <w:t>essing</w:t>
      </w:r>
      <w:r>
        <w:rPr>
          <w:lang w:val="fr-FR"/>
        </w:rPr>
        <w:t>.</w:t>
      </w:r>
    </w:p>
  </w:footnote>
  <w:footnote w:id="4">
    <w:p w14:paraId="5AFACAB5" w14:textId="77777777" w:rsidR="00C959D8" w:rsidRPr="00FF2378" w:rsidRDefault="00C959D8" w:rsidP="00965D37">
      <w:pPr>
        <w:pStyle w:val="Notedebasdepage"/>
      </w:pPr>
      <w:r>
        <w:tab/>
      </w:r>
      <w:r w:rsidRPr="00A1114C">
        <w:rPr>
          <w:rStyle w:val="Appelnotedebasdep"/>
        </w:rPr>
        <w:footnoteRef/>
      </w:r>
      <w:r>
        <w:tab/>
      </w:r>
      <w:r w:rsidRPr="00FF2378">
        <w:t xml:space="preserve">Le Mouvement pour la </w:t>
      </w:r>
      <w:r>
        <w:t>solidarité et la d</w:t>
      </w:r>
      <w:r w:rsidRPr="00FF2378">
        <w:t xml:space="preserve">émocratie est un parti politique de l’opposition. Après la crise postélectorale de 2010 au Burundi, l’opposition politique a été particulièrement visée par la répression mise en place par le </w:t>
      </w:r>
      <w:r>
        <w:t>G</w:t>
      </w:r>
      <w:r w:rsidRPr="00FF2378">
        <w:t xml:space="preserve">ouvernement. Au sein du parti, la requérante était secrétaire chargée des femmes du parti à Cibitoke, </w:t>
      </w:r>
      <w:r>
        <w:t xml:space="preserve">en Mairie de </w:t>
      </w:r>
      <w:r w:rsidRPr="00FF2378">
        <w:t>Bujumbura.</w:t>
      </w:r>
    </w:p>
  </w:footnote>
  <w:footnote w:id="5">
    <w:p w14:paraId="623F68C7" w14:textId="77777777" w:rsidR="00C959D8" w:rsidRPr="00FF2378" w:rsidRDefault="00C959D8" w:rsidP="00965D37">
      <w:pPr>
        <w:pStyle w:val="Notedebasdepage"/>
      </w:pPr>
      <w:r>
        <w:tab/>
      </w:r>
      <w:r w:rsidRPr="00A1114C">
        <w:rPr>
          <w:rStyle w:val="Appelnotedebasdep"/>
        </w:rPr>
        <w:footnoteRef/>
      </w:r>
      <w:r>
        <w:tab/>
      </w:r>
      <w:r w:rsidRPr="00FF2378">
        <w:t>La requérante joint deux photos de</w:t>
      </w:r>
      <w:r>
        <w:t xml:space="preserve"> se</w:t>
      </w:r>
      <w:r w:rsidRPr="00FF2378">
        <w:t>s</w:t>
      </w:r>
      <w:r>
        <w:t xml:space="preserve"> </w:t>
      </w:r>
      <w:r w:rsidRPr="00FF2378">
        <w:t>cicatrices au niveau de la jambe gauche et de l’épaule.</w:t>
      </w:r>
    </w:p>
  </w:footnote>
  <w:footnote w:id="6">
    <w:p w14:paraId="35A39121" w14:textId="77777777" w:rsidR="00C959D8" w:rsidRPr="00FF2378" w:rsidRDefault="00C959D8" w:rsidP="00965D37">
      <w:pPr>
        <w:pStyle w:val="Notedebasdepage"/>
      </w:pPr>
      <w:r>
        <w:tab/>
      </w:r>
      <w:r w:rsidRPr="00A1114C">
        <w:rPr>
          <w:rStyle w:val="Appelnotedebasdep"/>
        </w:rPr>
        <w:footnoteRef/>
      </w:r>
      <w:r>
        <w:tab/>
      </w:r>
      <w:r w:rsidRPr="00FF2378">
        <w:t xml:space="preserve">La requérante allègue que la présence de </w:t>
      </w:r>
      <w:r>
        <w:t xml:space="preserve">membres de </w:t>
      </w:r>
      <w:r w:rsidRPr="00FF2378">
        <w:t>la Croix-Rouge a été confirmée par les autorités lors d’une déclaration faite à la presse par le porte-parole de la police.</w:t>
      </w:r>
    </w:p>
  </w:footnote>
  <w:footnote w:id="7">
    <w:p w14:paraId="5F037BF9" w14:textId="0E52B4F3" w:rsidR="00C959D8" w:rsidRPr="00FF2378" w:rsidRDefault="00C959D8" w:rsidP="00965D37">
      <w:pPr>
        <w:pStyle w:val="Notedebasdepage"/>
      </w:pPr>
      <w:r>
        <w:tab/>
      </w:r>
      <w:r w:rsidRPr="00A1114C">
        <w:rPr>
          <w:rStyle w:val="Appelnotedebasdep"/>
        </w:rPr>
        <w:footnoteRef/>
      </w:r>
      <w:r>
        <w:tab/>
      </w:r>
      <w:r w:rsidRPr="00FF2378">
        <w:t xml:space="preserve">La requérante n’a rencontré un avocat </w:t>
      </w:r>
      <w:r>
        <w:t>que le</w:t>
      </w:r>
      <w:r w:rsidRPr="00FF2378">
        <w:t xml:space="preserve"> </w:t>
      </w:r>
      <w:r w:rsidR="00FE1C39" w:rsidRPr="00FF2378">
        <w:t>25</w:t>
      </w:r>
      <w:r w:rsidR="00FE1C39">
        <w:t> </w:t>
      </w:r>
      <w:r w:rsidRPr="00FF2378">
        <w:t xml:space="preserve">avril 2014, lors d’une audience au cours de la procédure </w:t>
      </w:r>
      <w:r>
        <w:t>engagée contre elle</w:t>
      </w:r>
      <w:r w:rsidRPr="00FF2378">
        <w:t>, soit plus d’un mois et demi après son arrestation.</w:t>
      </w:r>
    </w:p>
  </w:footnote>
  <w:footnote w:id="8">
    <w:p w14:paraId="23B7E942" w14:textId="227D1EC0" w:rsidR="00C959D8" w:rsidRPr="00FF2378" w:rsidRDefault="00C959D8" w:rsidP="00965D37">
      <w:pPr>
        <w:pStyle w:val="Notedebasdepage"/>
      </w:pPr>
      <w:r>
        <w:tab/>
      </w:r>
      <w:r w:rsidRPr="00A1114C">
        <w:rPr>
          <w:rStyle w:val="Appelnotedebasdep"/>
        </w:rPr>
        <w:footnoteRef/>
      </w:r>
      <w:r>
        <w:tab/>
      </w:r>
      <w:r w:rsidRPr="00FF2378">
        <w:t xml:space="preserve">Selon une attestation de visite </w:t>
      </w:r>
      <w:r>
        <w:t>datée du</w:t>
      </w:r>
      <w:r w:rsidRPr="00FF2378">
        <w:t xml:space="preserve"> </w:t>
      </w:r>
      <w:r w:rsidR="00FE1C39" w:rsidRPr="00FF2378">
        <w:t>13</w:t>
      </w:r>
      <w:r w:rsidR="00FE1C39">
        <w:t> </w:t>
      </w:r>
      <w:r w:rsidRPr="00FF2378">
        <w:t xml:space="preserve">juillet 2015, la requérante a </w:t>
      </w:r>
      <w:r>
        <w:t>reçu la visite de</w:t>
      </w:r>
      <w:r w:rsidRPr="00FF2378">
        <w:t xml:space="preserve"> délégués du </w:t>
      </w:r>
      <w:r>
        <w:t>Comité</w:t>
      </w:r>
      <w:r w:rsidRPr="00257D5F">
        <w:rPr>
          <w:rFonts w:eastAsia="MS Mincho"/>
        </w:rPr>
        <w:t xml:space="preserve"> </w:t>
      </w:r>
      <w:r>
        <w:rPr>
          <w:rFonts w:eastAsia="MS Mincho"/>
        </w:rPr>
        <w:t>international de la Croix-Rouge</w:t>
      </w:r>
      <w:r w:rsidRPr="00FF2378">
        <w:t xml:space="preserve"> à la prison de Mpimba les </w:t>
      </w:r>
      <w:r w:rsidR="00FE1C39" w:rsidRPr="00FF2378">
        <w:t>3</w:t>
      </w:r>
      <w:r w:rsidR="00FE1C39">
        <w:t> </w:t>
      </w:r>
      <w:r w:rsidRPr="00FF2378">
        <w:t xml:space="preserve">avril, </w:t>
      </w:r>
      <w:r w:rsidR="00FE1C39" w:rsidRPr="00FF2378">
        <w:t>3</w:t>
      </w:r>
      <w:r w:rsidR="00FE1C39">
        <w:t> </w:t>
      </w:r>
      <w:r w:rsidRPr="00FF2378">
        <w:t xml:space="preserve">juillet, </w:t>
      </w:r>
      <w:r w:rsidR="00FE1C39" w:rsidRPr="00FF2378">
        <w:t>15</w:t>
      </w:r>
      <w:r w:rsidR="00FE1C39">
        <w:t> </w:t>
      </w:r>
      <w:r w:rsidRPr="00FF2378">
        <w:t xml:space="preserve">juillet, </w:t>
      </w:r>
      <w:r w:rsidR="00FE1C39" w:rsidRPr="00FF2378">
        <w:t>12</w:t>
      </w:r>
      <w:r w:rsidR="00FE1C39">
        <w:t> </w:t>
      </w:r>
      <w:r w:rsidRPr="00FF2378">
        <w:t xml:space="preserve">août, 6 octobre </w:t>
      </w:r>
      <w:r>
        <w:t>et 12 </w:t>
      </w:r>
      <w:r w:rsidRPr="00FF2378">
        <w:t>novembre 2014</w:t>
      </w:r>
      <w:r>
        <w:t>,</w:t>
      </w:r>
      <w:r w:rsidRPr="00FF2378">
        <w:t xml:space="preserve"> </w:t>
      </w:r>
      <w:r>
        <w:t>ainsi que</w:t>
      </w:r>
      <w:r w:rsidRPr="00FF2378">
        <w:t xml:space="preserve"> </w:t>
      </w:r>
      <w:r>
        <w:t xml:space="preserve">le </w:t>
      </w:r>
      <w:r w:rsidR="00FE1C39" w:rsidRPr="00FF2378">
        <w:t>3</w:t>
      </w:r>
      <w:r w:rsidR="00FE1C39">
        <w:t> </w:t>
      </w:r>
      <w:r w:rsidRPr="00FF2378">
        <w:t>février 2015.</w:t>
      </w:r>
    </w:p>
  </w:footnote>
  <w:footnote w:id="9">
    <w:p w14:paraId="617C4EBC" w14:textId="3511600D" w:rsidR="00C959D8" w:rsidRPr="00FF2378" w:rsidRDefault="00C959D8" w:rsidP="00965D37">
      <w:pPr>
        <w:pStyle w:val="Notedebasdepage"/>
      </w:pPr>
      <w:r>
        <w:tab/>
      </w:r>
      <w:r w:rsidRPr="00A1114C">
        <w:rPr>
          <w:rStyle w:val="Appelnotedebasdep"/>
        </w:rPr>
        <w:footnoteRef/>
      </w:r>
      <w:r>
        <w:tab/>
        <w:t xml:space="preserve">Notamment lors d’une </w:t>
      </w:r>
      <w:r w:rsidRPr="00FF2378">
        <w:t xml:space="preserve">audience en chambre de conseil qui s’est </w:t>
      </w:r>
      <w:r>
        <w:t xml:space="preserve">tenue le </w:t>
      </w:r>
      <w:r w:rsidR="00FE1C39">
        <w:t>25 </w:t>
      </w:r>
      <w:r>
        <w:t>avril 2014</w:t>
      </w:r>
      <w:r w:rsidRPr="00FF2378">
        <w:t xml:space="preserve">. Le juge n’a pourtant </w:t>
      </w:r>
      <w:r>
        <w:t>donné</w:t>
      </w:r>
      <w:r w:rsidRPr="00FF2378">
        <w:t xml:space="preserve"> aucune suite à ses demandes.</w:t>
      </w:r>
    </w:p>
  </w:footnote>
  <w:footnote w:id="10">
    <w:p w14:paraId="78E56041" w14:textId="6B5137E2" w:rsidR="00C959D8" w:rsidRPr="00FF2378" w:rsidRDefault="00C959D8" w:rsidP="00965D37">
      <w:pPr>
        <w:pStyle w:val="Notedebasdepage"/>
      </w:pPr>
      <w:r>
        <w:tab/>
      </w:r>
      <w:r w:rsidRPr="00A1114C">
        <w:rPr>
          <w:rStyle w:val="Appelnotedebasdep"/>
        </w:rPr>
        <w:footnoteRef/>
      </w:r>
      <w:r>
        <w:tab/>
        <w:t>Philippe Ngendakumana, « </w:t>
      </w:r>
      <w:r w:rsidRPr="00DC26C5">
        <w:rPr>
          <w:iCs/>
        </w:rPr>
        <w:t>Affaire détenus MSD</w:t>
      </w:r>
      <w:r>
        <w:rPr>
          <w:iCs/>
        </w:rPr>
        <w:t> </w:t>
      </w:r>
      <w:r w:rsidRPr="00DC26C5">
        <w:rPr>
          <w:iCs/>
        </w:rPr>
        <w:t>: une justice à deux vitesses</w:t>
      </w:r>
      <w:r>
        <w:rPr>
          <w:iCs/>
        </w:rPr>
        <w:t> »</w:t>
      </w:r>
      <w:r w:rsidRPr="00FF2378">
        <w:t xml:space="preserve">, </w:t>
      </w:r>
      <w:r>
        <w:t xml:space="preserve">Iwacu, </w:t>
      </w:r>
      <w:r w:rsidR="00FE1C39">
        <w:t>12 </w:t>
      </w:r>
      <w:r>
        <w:t xml:space="preserve">mai 2014, disponible à l’adresse suivante : </w:t>
      </w:r>
      <w:hyperlink r:id="rId1" w:history="1">
        <w:r>
          <w:t>www.iwacu-burundi.org/affaire-detenus-msd-une-justice-a-deux-vitesses/</w:t>
        </w:r>
      </w:hyperlink>
      <w:r w:rsidRPr="00FF2378">
        <w:t>.</w:t>
      </w:r>
    </w:p>
  </w:footnote>
  <w:footnote w:id="11">
    <w:p w14:paraId="12AA9547" w14:textId="710F5D83" w:rsidR="00C959D8" w:rsidRPr="00FF2378" w:rsidRDefault="00C959D8" w:rsidP="00965D37">
      <w:pPr>
        <w:pStyle w:val="Notedebasdepage"/>
      </w:pPr>
      <w:r>
        <w:tab/>
      </w:r>
      <w:r w:rsidRPr="00A1114C">
        <w:rPr>
          <w:rStyle w:val="Appelnotedebasdep"/>
        </w:rPr>
        <w:footnoteRef/>
      </w:r>
      <w:r>
        <w:tab/>
        <w:t>Voir, par exemple, Iwacu, « </w:t>
      </w:r>
      <w:r w:rsidR="00FE1C39" w:rsidRPr="00DC26C5">
        <w:rPr>
          <w:iCs/>
        </w:rPr>
        <w:t>8</w:t>
      </w:r>
      <w:r w:rsidR="00FE1C39">
        <w:rPr>
          <w:iCs/>
        </w:rPr>
        <w:t> </w:t>
      </w:r>
      <w:r w:rsidRPr="00DC26C5">
        <w:rPr>
          <w:iCs/>
        </w:rPr>
        <w:t>mars 2014 : une manifestation qui a dégénéré</w:t>
      </w:r>
      <w:r>
        <w:rPr>
          <w:iCs/>
        </w:rPr>
        <w:t> »</w:t>
      </w:r>
      <w:r w:rsidRPr="00FF2378">
        <w:t xml:space="preserve">, </w:t>
      </w:r>
      <w:r w:rsidR="00FE1C39">
        <w:t>17 </w:t>
      </w:r>
      <w:r>
        <w:t>mars 2014, disponible à l’adresse suivante :</w:t>
      </w:r>
      <w:r w:rsidR="00C55C99">
        <w:fldChar w:fldCharType="begin"/>
      </w:r>
      <w:r w:rsidR="00C55C99">
        <w:instrText xml:space="preserve"> HYPERLINK </w:instrText>
      </w:r>
      <w:r w:rsidR="00C55C99">
        <w:fldChar w:fldCharType="separate"/>
      </w:r>
      <w:r w:rsidR="00C55C99">
        <w:rPr>
          <w:b/>
          <w:bCs/>
          <w:lang w:val="fr-FR"/>
        </w:rPr>
        <w:t>Erreur ! Référence de lien hypertexte non valide.</w:t>
      </w:r>
      <w:r w:rsidR="00C55C99">
        <w:fldChar w:fldCharType="end"/>
      </w:r>
      <w:r>
        <w:t xml:space="preserve"> </w:t>
      </w:r>
      <w:hyperlink r:id="rId2" w:history="1">
        <w:r w:rsidRPr="008435F1">
          <w:t>www.iwacu-burundi.org/8-mars-2014-une-manifestation-qui-a-degenere/</w:t>
        </w:r>
      </w:hyperlink>
      <w:r w:rsidRPr="00FF2378">
        <w:t>.</w:t>
      </w:r>
    </w:p>
  </w:footnote>
  <w:footnote w:id="12">
    <w:p w14:paraId="352D7B6B" w14:textId="75836432" w:rsidR="00C959D8" w:rsidRPr="007E6316" w:rsidRDefault="00C959D8" w:rsidP="00965D37">
      <w:pPr>
        <w:pStyle w:val="Notedebasdepage"/>
      </w:pPr>
      <w:r>
        <w:tab/>
      </w:r>
      <w:r w:rsidRPr="00A1114C">
        <w:rPr>
          <w:rStyle w:val="Appelnotedebasdep"/>
        </w:rPr>
        <w:footnoteRef/>
      </w:r>
      <w:r>
        <w:tab/>
        <w:t>Voir, par exemple, RFI, « </w:t>
      </w:r>
      <w:r w:rsidRPr="00DC26C5">
        <w:rPr>
          <w:iCs/>
        </w:rPr>
        <w:t>Une manifestation de l’opposition burundaise dégénère</w:t>
      </w:r>
      <w:r>
        <w:rPr>
          <w:iCs/>
        </w:rPr>
        <w:t> »</w:t>
      </w:r>
      <w:r>
        <w:t xml:space="preserve">, </w:t>
      </w:r>
      <w:r w:rsidR="00FE1C39">
        <w:t>9 </w:t>
      </w:r>
      <w:r>
        <w:t xml:space="preserve">mars 2014, disponible à l’adresse suivante : </w:t>
      </w:r>
      <w:hyperlink r:id="rId3" w:history="1">
        <w:r>
          <w:t>www.rfi.fr/fr/afrique/20140309-burundi-manifestation-opposition-msd-degenere</w:t>
        </w:r>
      </w:hyperlink>
      <w:r>
        <w:t> ; et France 24, « </w:t>
      </w:r>
      <w:r w:rsidRPr="00DC26C5">
        <w:rPr>
          <w:iCs/>
        </w:rPr>
        <w:t>Des violences menacent le fragile équilibre du Burundi</w:t>
      </w:r>
      <w:r>
        <w:rPr>
          <w:iCs/>
        </w:rPr>
        <w:t> »</w:t>
      </w:r>
      <w:r>
        <w:t xml:space="preserve">, </w:t>
      </w:r>
      <w:r w:rsidR="00FE1C39">
        <w:t>10 </w:t>
      </w:r>
      <w:r>
        <w:t xml:space="preserve">mars 2014, disponible à l’adresse suivante : </w:t>
      </w:r>
      <w:r w:rsidRPr="007E6316">
        <w:t>https://observers.france24.com/fr/20140310-violences-menacent-fragile-equilibre-burundi</w:t>
      </w:r>
      <w:r>
        <w:t>.</w:t>
      </w:r>
    </w:p>
  </w:footnote>
  <w:footnote w:id="13">
    <w:p w14:paraId="2CE47B4F" w14:textId="3C12A496" w:rsidR="00C959D8" w:rsidRPr="001B2F35" w:rsidRDefault="00C959D8" w:rsidP="00965D37">
      <w:pPr>
        <w:pStyle w:val="Notedebasdepage"/>
      </w:pPr>
      <w:r>
        <w:tab/>
      </w:r>
      <w:r w:rsidRPr="00A1114C">
        <w:rPr>
          <w:rStyle w:val="Appelnotedebasdep"/>
        </w:rPr>
        <w:footnoteRef/>
      </w:r>
      <w:r>
        <w:tab/>
      </w:r>
      <w:r w:rsidRPr="001B2F35">
        <w:t>CAT/C/BDI/CO/1</w:t>
      </w:r>
      <w:r>
        <w:t xml:space="preserve">, par. 21 ; et </w:t>
      </w:r>
      <w:r w:rsidRPr="001B2F35">
        <w:t>CAT/C/BDI/CO/2/Add.1</w:t>
      </w:r>
      <w:r>
        <w:t xml:space="preserve">, par. 26. Voir également </w:t>
      </w:r>
      <w:r w:rsidRPr="00610E32">
        <w:t>A/HRC/23/9</w:t>
      </w:r>
      <w:r>
        <w:t>, par. 51, 86, 96, 97, 100 et 111.</w:t>
      </w:r>
    </w:p>
  </w:footnote>
  <w:footnote w:id="14">
    <w:p w14:paraId="545B4B75" w14:textId="3240D36D" w:rsidR="00C959D8" w:rsidRPr="00892B9B" w:rsidRDefault="00C959D8" w:rsidP="00965D37">
      <w:pPr>
        <w:pStyle w:val="Notedebasdepage"/>
        <w:rPr>
          <w:lang w:val="en-GB"/>
        </w:rPr>
      </w:pPr>
      <w:r>
        <w:tab/>
      </w:r>
      <w:r w:rsidRPr="00A1114C">
        <w:rPr>
          <w:rStyle w:val="Appelnotedebasdep"/>
        </w:rPr>
        <w:footnoteRef/>
      </w:r>
      <w:r w:rsidRPr="00892B9B">
        <w:rPr>
          <w:lang w:val="en-GB"/>
        </w:rPr>
        <w:tab/>
        <w:t xml:space="preserve">CAT/C/BDI/CO/1, </w:t>
      </w:r>
      <w:r>
        <w:rPr>
          <w:lang w:val="en-GB"/>
        </w:rPr>
        <w:t>par. </w:t>
      </w:r>
      <w:r w:rsidRPr="00892B9B">
        <w:rPr>
          <w:lang w:val="en-GB"/>
        </w:rPr>
        <w:t>12.</w:t>
      </w:r>
    </w:p>
  </w:footnote>
  <w:footnote w:id="15">
    <w:p w14:paraId="4D6AA577" w14:textId="7BFBDAA1" w:rsidR="00C959D8" w:rsidRPr="00DC4BF7" w:rsidRDefault="00C959D8" w:rsidP="00965D37">
      <w:pPr>
        <w:pStyle w:val="Notedebasdepage"/>
        <w:rPr>
          <w:lang w:val="en-GB"/>
        </w:rPr>
      </w:pPr>
      <w:r w:rsidRPr="00DF72D4">
        <w:rPr>
          <w:lang w:val="en-GB"/>
        </w:rPr>
        <w:tab/>
      </w:r>
      <w:r w:rsidRPr="00A1114C">
        <w:rPr>
          <w:rStyle w:val="Appelnotedebasdep"/>
        </w:rPr>
        <w:footnoteRef/>
      </w:r>
      <w:r w:rsidRPr="00DC4BF7">
        <w:rPr>
          <w:lang w:val="en-GB"/>
        </w:rPr>
        <w:tab/>
        <w:t xml:space="preserve">CAT/C/BDI/CO/2, </w:t>
      </w:r>
      <w:r>
        <w:rPr>
          <w:lang w:val="en-GB"/>
        </w:rPr>
        <w:t>par. 11.</w:t>
      </w:r>
    </w:p>
  </w:footnote>
  <w:footnote w:id="16">
    <w:p w14:paraId="0F5A9788" w14:textId="77777777" w:rsidR="00C959D8" w:rsidRPr="00E406F6" w:rsidRDefault="00C959D8" w:rsidP="00965D37">
      <w:pPr>
        <w:pStyle w:val="Notedebasdepage"/>
        <w:rPr>
          <w:lang w:val="en-GB"/>
        </w:rPr>
      </w:pPr>
      <w:r w:rsidRPr="00DF72D4">
        <w:rPr>
          <w:lang w:val="en-GB"/>
        </w:rPr>
        <w:tab/>
      </w:r>
      <w:r w:rsidRPr="00A1114C">
        <w:rPr>
          <w:rStyle w:val="Appelnotedebasdep"/>
        </w:rPr>
        <w:footnoteRef/>
      </w:r>
      <w:r w:rsidRPr="00E406F6">
        <w:rPr>
          <w:lang w:val="en-GB"/>
        </w:rPr>
        <w:tab/>
      </w:r>
      <w:r>
        <w:rPr>
          <w:lang w:val="en-GB"/>
        </w:rPr>
        <w:t xml:space="preserve">Voir </w:t>
      </w:r>
      <w:r w:rsidRPr="00E406F6">
        <w:rPr>
          <w:lang w:val="en-GB"/>
        </w:rPr>
        <w:t>CAT/C/BDI/CO/2/Add.1</w:t>
      </w:r>
      <w:r>
        <w:rPr>
          <w:lang w:val="en-GB"/>
        </w:rPr>
        <w:t>.</w:t>
      </w:r>
    </w:p>
  </w:footnote>
  <w:footnote w:id="17">
    <w:p w14:paraId="2173F2F5" w14:textId="07FF511F" w:rsidR="00C959D8" w:rsidRPr="00FF2378" w:rsidRDefault="00C959D8" w:rsidP="00965D37">
      <w:pPr>
        <w:pStyle w:val="Notedebasdepage"/>
      </w:pPr>
      <w:r w:rsidRPr="00A45A6D">
        <w:rPr>
          <w:lang w:val="en-GB"/>
        </w:rPr>
        <w:tab/>
      </w:r>
      <w:r w:rsidRPr="00A1114C">
        <w:rPr>
          <w:rStyle w:val="Appelnotedebasdep"/>
        </w:rPr>
        <w:footnoteRef/>
      </w:r>
      <w:r>
        <w:tab/>
      </w:r>
      <w:r w:rsidRPr="00FF2378">
        <w:t xml:space="preserve">Comme </w:t>
      </w:r>
      <w:r>
        <w:t xml:space="preserve">la requérante l’a </w:t>
      </w:r>
      <w:r w:rsidRPr="00FF2378">
        <w:t xml:space="preserve">rapporté en date du </w:t>
      </w:r>
      <w:r w:rsidR="00FE1C39" w:rsidRPr="00FF2378">
        <w:t>25</w:t>
      </w:r>
      <w:r w:rsidR="00FE1C39">
        <w:t> </w:t>
      </w:r>
      <w:r w:rsidRPr="00FF2378">
        <w:t>juillet 2016, dans une note de transfert d’une policlinique.</w:t>
      </w:r>
    </w:p>
  </w:footnote>
  <w:footnote w:id="18">
    <w:p w14:paraId="783C5D78" w14:textId="77777777" w:rsidR="00C959D8" w:rsidRPr="00C87FD8" w:rsidRDefault="00C959D8" w:rsidP="00965D37">
      <w:pPr>
        <w:pStyle w:val="Notedebasdepage"/>
      </w:pPr>
      <w:r>
        <w:tab/>
      </w:r>
      <w:r w:rsidRPr="00A1114C">
        <w:rPr>
          <w:rStyle w:val="Appelnotedebasdep"/>
        </w:rPr>
        <w:footnoteRef/>
      </w:r>
      <w:r>
        <w:tab/>
        <w:t>Burundi, Code pénal, a</w:t>
      </w:r>
      <w:r w:rsidRPr="00C87FD8">
        <w:t>rt</w:t>
      </w:r>
      <w:r>
        <w:t>. </w:t>
      </w:r>
      <w:r w:rsidRPr="00C87FD8">
        <w:t>150</w:t>
      </w:r>
      <w:r>
        <w:t>.</w:t>
      </w:r>
    </w:p>
  </w:footnote>
  <w:footnote w:id="19">
    <w:p w14:paraId="3EDAB4D6" w14:textId="77777777" w:rsidR="00C959D8" w:rsidRPr="00FF2378" w:rsidRDefault="00C959D8" w:rsidP="00965D37">
      <w:pPr>
        <w:pStyle w:val="Notedebasdepage"/>
      </w:pPr>
      <w:r>
        <w:tab/>
      </w:r>
      <w:r w:rsidRPr="00A1114C">
        <w:rPr>
          <w:rStyle w:val="Appelnotedebasdep"/>
        </w:rPr>
        <w:footnoteRef/>
      </w:r>
      <w:r>
        <w:tab/>
      </w:r>
      <w:r w:rsidRPr="00FF2378">
        <w:t>Le Comité a réitéré à plusieurs reprises que les É</w:t>
      </w:r>
      <w:r>
        <w:t>t</w:t>
      </w:r>
      <w:r w:rsidRPr="00FF2378">
        <w:t xml:space="preserve">ats sont obligés de se conformer à l’Ensemble de règles minima </w:t>
      </w:r>
      <w:r>
        <w:t xml:space="preserve">des Nations Unies </w:t>
      </w:r>
      <w:r w:rsidRPr="00FF2378">
        <w:t xml:space="preserve">pour le traitement des détenus et </w:t>
      </w:r>
      <w:r>
        <w:t xml:space="preserve">à </w:t>
      </w:r>
      <w:r w:rsidRPr="00FF2378">
        <w:t>l’Ensemble de principes pour la protection de toute</w:t>
      </w:r>
      <w:r>
        <w:t>s</w:t>
      </w:r>
      <w:r w:rsidRPr="00FF2378">
        <w:t xml:space="preserve"> les personnes soumises à une forme quelconque de détentio</w:t>
      </w:r>
      <w:r>
        <w:t>n ou d’emprisonnement, notamment</w:t>
      </w:r>
      <w:r w:rsidRPr="00FF2378">
        <w:t xml:space="preserve"> le droit d’informer des proches et des amis</w:t>
      </w:r>
      <w:r>
        <w:t>,</w:t>
      </w:r>
      <w:r w:rsidRPr="00FF2378">
        <w:t xml:space="preserve"> l’accès à un avocat</w:t>
      </w:r>
      <w:r>
        <w:t>,</w:t>
      </w:r>
      <w:r w:rsidRPr="00FF2378">
        <w:t xml:space="preserve"> le droit d’être examiné par un médecin et la notification des droits du détenu.</w:t>
      </w:r>
    </w:p>
  </w:footnote>
  <w:footnote w:id="20">
    <w:p w14:paraId="6758537A" w14:textId="68D7C4D6" w:rsidR="00C959D8" w:rsidRPr="00C31785" w:rsidRDefault="00C959D8" w:rsidP="00965D37">
      <w:pPr>
        <w:pStyle w:val="Notedebasdepage"/>
        <w:rPr>
          <w:lang w:val="en-GB"/>
        </w:rPr>
      </w:pPr>
      <w:r>
        <w:tab/>
      </w:r>
      <w:r w:rsidRPr="00A1114C">
        <w:rPr>
          <w:rStyle w:val="Appelnotedebasdep"/>
        </w:rPr>
        <w:footnoteRef/>
      </w:r>
      <w:r w:rsidRPr="00C31785">
        <w:rPr>
          <w:lang w:val="en-GB"/>
        </w:rPr>
        <w:tab/>
        <w:t xml:space="preserve">CAT/C/BDI/CO/1, </w:t>
      </w:r>
      <w:r>
        <w:rPr>
          <w:lang w:val="en-GB"/>
        </w:rPr>
        <w:t>par. </w:t>
      </w:r>
      <w:r w:rsidRPr="00C31785">
        <w:rPr>
          <w:lang w:val="en-GB"/>
        </w:rPr>
        <w:t>23.</w:t>
      </w:r>
    </w:p>
  </w:footnote>
  <w:footnote w:id="21">
    <w:p w14:paraId="42875213" w14:textId="38A736E2" w:rsidR="00C959D8" w:rsidRPr="00C31785" w:rsidRDefault="00C959D8" w:rsidP="00965D37">
      <w:pPr>
        <w:pStyle w:val="Notedebasdepage"/>
        <w:rPr>
          <w:lang w:val="en-GB"/>
        </w:rPr>
      </w:pPr>
      <w:r w:rsidRPr="00A45A6D">
        <w:rPr>
          <w:lang w:val="en-GB"/>
        </w:rPr>
        <w:tab/>
      </w:r>
      <w:r w:rsidRPr="00A1114C">
        <w:rPr>
          <w:rStyle w:val="Appelnotedebasdep"/>
        </w:rPr>
        <w:footnoteRef/>
      </w:r>
      <w:r w:rsidRPr="00C31785">
        <w:rPr>
          <w:lang w:val="en-GB"/>
        </w:rPr>
        <w:tab/>
      </w:r>
      <w:r w:rsidRPr="00DC4BF7">
        <w:rPr>
          <w:lang w:val="en-GB"/>
        </w:rPr>
        <w:t xml:space="preserve">CAT/C/BDI/CO/2, </w:t>
      </w:r>
      <w:r>
        <w:rPr>
          <w:lang w:val="en-GB"/>
        </w:rPr>
        <w:t>par. 18.</w:t>
      </w:r>
    </w:p>
  </w:footnote>
  <w:footnote w:id="22">
    <w:p w14:paraId="5C648C2D" w14:textId="01F16096" w:rsidR="00C959D8" w:rsidRPr="00D62CC2" w:rsidRDefault="00C959D8" w:rsidP="00965D37">
      <w:pPr>
        <w:pStyle w:val="Notedebasdepage"/>
        <w:rPr>
          <w:lang w:val="en-GB"/>
        </w:rPr>
      </w:pPr>
      <w:r w:rsidRPr="00A45A6D">
        <w:rPr>
          <w:lang w:val="en-GB"/>
        </w:rPr>
        <w:tab/>
      </w:r>
      <w:r w:rsidRPr="00A1114C">
        <w:rPr>
          <w:rStyle w:val="Appelnotedebasdep"/>
        </w:rPr>
        <w:footnoteRef/>
      </w:r>
      <w:r w:rsidRPr="00D62CC2">
        <w:rPr>
          <w:lang w:val="en-GB"/>
        </w:rPr>
        <w:tab/>
        <w:t>CAT/C/BDI/CO/2/Add.1</w:t>
      </w:r>
      <w:r>
        <w:rPr>
          <w:lang w:val="en-GB"/>
        </w:rPr>
        <w:t>, par. 27 d).</w:t>
      </w:r>
    </w:p>
  </w:footnote>
  <w:footnote w:id="23">
    <w:p w14:paraId="18627C0F" w14:textId="5D6EA022" w:rsidR="00C959D8" w:rsidRPr="00C96339" w:rsidRDefault="00C959D8" w:rsidP="00965D37">
      <w:pPr>
        <w:pStyle w:val="Notedebasdepage"/>
      </w:pPr>
      <w:r w:rsidRPr="00A45A6D">
        <w:rPr>
          <w:lang w:val="en-GB"/>
        </w:rPr>
        <w:tab/>
      </w:r>
      <w:r w:rsidRPr="00A1114C">
        <w:rPr>
          <w:rStyle w:val="Appelnotedebasdep"/>
        </w:rPr>
        <w:footnoteRef/>
      </w:r>
      <w:r w:rsidRPr="00C96339">
        <w:rPr>
          <w:lang w:val="en-GB"/>
        </w:rPr>
        <w:tab/>
        <w:t xml:space="preserve">CAT/C/BDI/CO/1, </w:t>
      </w:r>
      <w:r>
        <w:rPr>
          <w:lang w:val="en-GB"/>
        </w:rPr>
        <w:t>par. </w:t>
      </w:r>
      <w:r w:rsidRPr="00C96339">
        <w:rPr>
          <w:lang w:val="en-GB"/>
        </w:rPr>
        <w:t>17</w:t>
      </w:r>
      <w:r>
        <w:rPr>
          <w:lang w:val="en-GB"/>
        </w:rPr>
        <w:t>.</w:t>
      </w:r>
      <w:r w:rsidRPr="00C96339">
        <w:rPr>
          <w:lang w:val="en-GB"/>
        </w:rPr>
        <w:t xml:space="preserve"> </w:t>
      </w:r>
      <w:r>
        <w:t xml:space="preserve">Voir aussi </w:t>
      </w:r>
      <w:r w:rsidRPr="009A4BAC">
        <w:t>CAT/C/BDI/CO/2</w:t>
      </w:r>
      <w:r>
        <w:t>, par. 15 ; et Haut-Commissariat des Nations</w:t>
      </w:r>
      <w:r w:rsidR="00A14D5B">
        <w:t> </w:t>
      </w:r>
      <w:r>
        <w:t>Unies aux droits de l’homme, « </w:t>
      </w:r>
      <w:r w:rsidRPr="006D384B">
        <w:t>La communauté internationale devrait continuer d</w:t>
      </w:r>
      <w:r>
        <w:t>’</w:t>
      </w:r>
      <w:r w:rsidRPr="006D384B">
        <w:t>aider le Burundi à honorer ses obligations internationales relatives aux droits</w:t>
      </w:r>
      <w:r>
        <w:t xml:space="preserve"> », communiqué de presse, </w:t>
      </w:r>
      <w:r w:rsidR="00FE1C39">
        <w:t>28 </w:t>
      </w:r>
      <w:r>
        <w:t>mai 2010.</w:t>
      </w:r>
    </w:p>
  </w:footnote>
  <w:footnote w:id="24">
    <w:p w14:paraId="153DF988" w14:textId="4D930BF3" w:rsidR="00C959D8" w:rsidRPr="00544218" w:rsidRDefault="00C959D8" w:rsidP="00965D37">
      <w:pPr>
        <w:pStyle w:val="Notedebasdepage"/>
      </w:pPr>
      <w:r>
        <w:tab/>
      </w:r>
      <w:r w:rsidRPr="00A1114C">
        <w:rPr>
          <w:rStyle w:val="Appelnotedebasdep"/>
        </w:rPr>
        <w:footnoteRef/>
      </w:r>
      <w:r>
        <w:tab/>
      </w:r>
      <w:r w:rsidRPr="00544218">
        <w:rPr>
          <w:i/>
        </w:rPr>
        <w:t>Ndagijimana c. Burundi</w:t>
      </w:r>
      <w:r>
        <w:t xml:space="preserve"> (</w:t>
      </w:r>
      <w:r w:rsidRPr="00544218">
        <w:t>CAT/C/62/D/496/2012</w:t>
      </w:r>
      <w:r>
        <w:t xml:space="preserve"> et Corr.1), par. 7 ; </w:t>
      </w:r>
      <w:r w:rsidRPr="00544218">
        <w:rPr>
          <w:i/>
        </w:rPr>
        <w:t>Ndarisigaranye c. Burundi</w:t>
      </w:r>
      <w:r>
        <w:t xml:space="preserve"> (</w:t>
      </w:r>
      <w:r w:rsidRPr="00544218">
        <w:t>CAT/C/62/D/493/2012</w:t>
      </w:r>
      <w:r>
        <w:t xml:space="preserve"> et Corr.1), par. 7 ; et </w:t>
      </w:r>
      <w:r w:rsidRPr="00544218">
        <w:rPr>
          <w:i/>
        </w:rPr>
        <w:t>Ntikarahera c. Burundi</w:t>
      </w:r>
      <w:r>
        <w:t xml:space="preserve"> (</w:t>
      </w:r>
      <w:r w:rsidRPr="00544218">
        <w:t>CAT/C/52/D/503/2012</w:t>
      </w:r>
      <w:r>
        <w:t>), par. 4.</w:t>
      </w:r>
    </w:p>
  </w:footnote>
  <w:footnote w:id="25">
    <w:p w14:paraId="059AA516" w14:textId="673C821A" w:rsidR="00C959D8" w:rsidRPr="00FB55A3" w:rsidRDefault="00C959D8" w:rsidP="00965D37">
      <w:pPr>
        <w:pStyle w:val="Notedebasdepage"/>
      </w:pPr>
      <w:r>
        <w:tab/>
      </w:r>
      <w:r w:rsidRPr="00A1114C">
        <w:rPr>
          <w:rStyle w:val="Appelnotedebasdep"/>
        </w:rPr>
        <w:footnoteRef/>
      </w:r>
      <w:r>
        <w:tab/>
      </w:r>
      <w:r w:rsidRPr="00544218">
        <w:rPr>
          <w:i/>
        </w:rPr>
        <w:t>Ndagijimana c. Burundi</w:t>
      </w:r>
      <w:r>
        <w:t xml:space="preserve">, par. 8.2 ; </w:t>
      </w:r>
      <w:r w:rsidRPr="00544218">
        <w:rPr>
          <w:i/>
        </w:rPr>
        <w:t>Ndarisigaranye c. Burundi</w:t>
      </w:r>
      <w:r>
        <w:t>, par. 8.2 ;</w:t>
      </w:r>
      <w:r w:rsidRPr="00FB55A3">
        <w:rPr>
          <w:i/>
        </w:rPr>
        <w:t xml:space="preserve"> </w:t>
      </w:r>
      <w:r w:rsidRPr="003145CC">
        <w:rPr>
          <w:i/>
        </w:rPr>
        <w:t>Kabura c. Burundi</w:t>
      </w:r>
      <w:r>
        <w:t xml:space="preserve"> (CAT/C/59/D/</w:t>
      </w:r>
      <w:r w:rsidRPr="009D383B">
        <w:t>549/2013</w:t>
      </w:r>
      <w:r>
        <w:t>)</w:t>
      </w:r>
      <w:r w:rsidRPr="00FB55A3">
        <w:t xml:space="preserve">, </w:t>
      </w:r>
      <w:r>
        <w:t>par. 7</w:t>
      </w:r>
      <w:r w:rsidRPr="00FB55A3">
        <w:t>.2</w:t>
      </w:r>
      <w:r>
        <w:t xml:space="preserve"> ; et </w:t>
      </w:r>
      <w:r w:rsidRPr="00FB55A3">
        <w:rPr>
          <w:i/>
        </w:rPr>
        <w:t>Niyonzima c. Burundi</w:t>
      </w:r>
      <w:r w:rsidRPr="00FB55A3">
        <w:t xml:space="preserve"> </w:t>
      </w:r>
      <w:r>
        <w:t>(CAT/C/53/D/</w:t>
      </w:r>
      <w:r w:rsidRPr="009D383B">
        <w:t>514/2012</w:t>
      </w:r>
      <w:r>
        <w:t>)</w:t>
      </w:r>
      <w:r w:rsidRPr="00FB55A3">
        <w:t>,</w:t>
      </w:r>
      <w:r>
        <w:t xml:space="preserve"> par. 8.2.</w:t>
      </w:r>
    </w:p>
  </w:footnote>
  <w:footnote w:id="26">
    <w:p w14:paraId="18BBE5D5" w14:textId="17580C2B" w:rsidR="00C959D8" w:rsidRPr="00ED6F5C" w:rsidRDefault="00C959D8" w:rsidP="00965D37">
      <w:pPr>
        <w:pStyle w:val="Notedebasdepage"/>
        <w:rPr>
          <w:lang w:val="en-GB"/>
        </w:rPr>
      </w:pPr>
      <w:r>
        <w:tab/>
      </w:r>
      <w:r w:rsidRPr="00A1114C">
        <w:rPr>
          <w:rStyle w:val="Appelnotedebasdep"/>
        </w:rPr>
        <w:footnoteRef/>
      </w:r>
      <w:r w:rsidRPr="00ED6F5C">
        <w:rPr>
          <w:lang w:val="en-GB"/>
        </w:rPr>
        <w:tab/>
        <w:t xml:space="preserve">CAT/C/BDI/CO/1, </w:t>
      </w:r>
      <w:r>
        <w:rPr>
          <w:lang w:val="en-GB"/>
        </w:rPr>
        <w:t>par. </w:t>
      </w:r>
      <w:r w:rsidRPr="00ED6F5C">
        <w:rPr>
          <w:lang w:val="en-GB"/>
        </w:rPr>
        <w:t>10.</w:t>
      </w:r>
    </w:p>
  </w:footnote>
  <w:footnote w:id="27">
    <w:p w14:paraId="7B6CCFA0" w14:textId="53875863" w:rsidR="00C959D8" w:rsidRPr="00DC26C5" w:rsidRDefault="00C959D8" w:rsidP="00965D37">
      <w:pPr>
        <w:pStyle w:val="Notedebasdepage"/>
      </w:pPr>
      <w:r w:rsidRPr="00ED6F5C">
        <w:rPr>
          <w:lang w:val="en-GB"/>
        </w:rPr>
        <w:tab/>
      </w:r>
      <w:r w:rsidRPr="00A1114C">
        <w:rPr>
          <w:rStyle w:val="Appelnotedebasdep"/>
        </w:rPr>
        <w:footnoteRef/>
      </w:r>
      <w:r w:rsidRPr="00A14D5B">
        <w:tab/>
      </w:r>
      <w:r w:rsidRPr="00A14D5B">
        <w:rPr>
          <w:i/>
        </w:rPr>
        <w:t>Ndagijimana c. Burundi</w:t>
      </w:r>
      <w:r w:rsidRPr="00A14D5B">
        <w:t xml:space="preserve">, par. 8.4 ; </w:t>
      </w:r>
      <w:r w:rsidRPr="00A14D5B">
        <w:rPr>
          <w:i/>
        </w:rPr>
        <w:t>Ndarisigaranye c. Burundi</w:t>
      </w:r>
      <w:r w:rsidRPr="00A14D5B">
        <w:t xml:space="preserve">, par. 8.3 ; </w:t>
      </w:r>
      <w:r w:rsidRPr="00A14D5B">
        <w:rPr>
          <w:i/>
        </w:rPr>
        <w:t>Niyonzima c.</w:t>
      </w:r>
      <w:r w:rsidR="00FE1C39" w:rsidRPr="00A14D5B">
        <w:rPr>
          <w:i/>
        </w:rPr>
        <w:t> </w:t>
      </w:r>
      <w:r w:rsidRPr="00DC26C5">
        <w:rPr>
          <w:i/>
        </w:rPr>
        <w:t>Burundi</w:t>
      </w:r>
      <w:r w:rsidRPr="00DC26C5">
        <w:t xml:space="preserve">, </w:t>
      </w:r>
      <w:r>
        <w:t>par. </w:t>
      </w:r>
      <w:r w:rsidRPr="00DC26C5">
        <w:t>8.4</w:t>
      </w:r>
      <w:r>
        <w:t> ;</w:t>
      </w:r>
      <w:r w:rsidRPr="00DC26C5">
        <w:t xml:space="preserve"> et </w:t>
      </w:r>
      <w:r w:rsidRPr="00DC26C5">
        <w:rPr>
          <w:i/>
        </w:rPr>
        <w:t>E. N. c. Burundi</w:t>
      </w:r>
      <w:r w:rsidRPr="00DC26C5">
        <w:t xml:space="preserve"> (CAT/C/56/D/578/2013), </w:t>
      </w:r>
      <w:r>
        <w:t>par. </w:t>
      </w:r>
      <w:r w:rsidRPr="00DC26C5">
        <w:t>7.5.</w:t>
      </w:r>
    </w:p>
  </w:footnote>
  <w:footnote w:id="28">
    <w:p w14:paraId="1866369F" w14:textId="0A56AD21" w:rsidR="00C959D8" w:rsidRPr="005B5F80" w:rsidRDefault="00C959D8" w:rsidP="00965D37">
      <w:pPr>
        <w:pStyle w:val="Notedebasdepage"/>
        <w:rPr>
          <w:lang w:val="en-GB"/>
        </w:rPr>
      </w:pPr>
      <w:r w:rsidRPr="00DC26C5">
        <w:tab/>
      </w:r>
      <w:r w:rsidRPr="00A1114C">
        <w:rPr>
          <w:rStyle w:val="Appelnotedebasdep"/>
        </w:rPr>
        <w:footnoteRef/>
      </w:r>
      <w:r>
        <w:rPr>
          <w:lang w:val="en-GB"/>
        </w:rPr>
        <w:tab/>
        <w:t>CAT/C/BDI/CO/2, par. </w:t>
      </w:r>
      <w:r w:rsidRPr="005B5F80">
        <w:rPr>
          <w:lang w:val="en-GB"/>
        </w:rPr>
        <w:t>10.</w:t>
      </w:r>
    </w:p>
  </w:footnote>
  <w:footnote w:id="29">
    <w:p w14:paraId="244A313A" w14:textId="3A3C7254" w:rsidR="00C959D8" w:rsidRPr="009D383B" w:rsidRDefault="00C959D8" w:rsidP="00965D37">
      <w:pPr>
        <w:pStyle w:val="Notedebasdepage"/>
      </w:pPr>
      <w:r w:rsidRPr="005B5F80">
        <w:rPr>
          <w:lang w:val="en-GB"/>
        </w:rPr>
        <w:tab/>
      </w:r>
      <w:r w:rsidRPr="00A1114C">
        <w:rPr>
          <w:rStyle w:val="Appelnotedebasdep"/>
        </w:rPr>
        <w:footnoteRef/>
      </w:r>
      <w:r>
        <w:tab/>
      </w:r>
      <w:r w:rsidRPr="006843CD">
        <w:rPr>
          <w:i/>
        </w:rPr>
        <w:t>E.</w:t>
      </w:r>
      <w:r>
        <w:rPr>
          <w:i/>
        </w:rPr>
        <w:t> </w:t>
      </w:r>
      <w:r w:rsidRPr="006843CD">
        <w:rPr>
          <w:i/>
        </w:rPr>
        <w:t>N. c. Burundi</w:t>
      </w:r>
      <w:r>
        <w:t>, par. 7.6.</w:t>
      </w:r>
    </w:p>
  </w:footnote>
  <w:footnote w:id="30">
    <w:p w14:paraId="4D4F5224" w14:textId="151F1285" w:rsidR="00C959D8" w:rsidRPr="006024D5" w:rsidRDefault="00C959D8" w:rsidP="00965D37">
      <w:pPr>
        <w:pStyle w:val="Notedebasdepage"/>
      </w:pPr>
      <w:r>
        <w:tab/>
      </w:r>
      <w:r w:rsidRPr="00A1114C">
        <w:rPr>
          <w:rStyle w:val="Appelnotedebasdep"/>
        </w:rPr>
        <w:footnoteRef/>
      </w:r>
      <w:r>
        <w:tab/>
      </w:r>
      <w:r w:rsidRPr="00656691">
        <w:rPr>
          <w:i/>
        </w:rPr>
        <w:t>Ndagijimana c. Burundi</w:t>
      </w:r>
      <w:r w:rsidRPr="00656691">
        <w:t xml:space="preserve">, </w:t>
      </w:r>
      <w:r>
        <w:t>par. </w:t>
      </w:r>
      <w:r w:rsidRPr="00656691">
        <w:t>8.</w:t>
      </w:r>
      <w:r>
        <w:t>5 ;</w:t>
      </w:r>
      <w:r w:rsidRPr="00656691">
        <w:t xml:space="preserve"> </w:t>
      </w:r>
      <w:r w:rsidRPr="00656691">
        <w:rPr>
          <w:i/>
        </w:rPr>
        <w:t>Ndarisigaranye c. Burundi</w:t>
      </w:r>
      <w:r w:rsidRPr="00656691">
        <w:t xml:space="preserve">, </w:t>
      </w:r>
      <w:r>
        <w:t>par. </w:t>
      </w:r>
      <w:r w:rsidRPr="00656691">
        <w:t>8.</w:t>
      </w:r>
      <w:r>
        <w:t>5 ;</w:t>
      </w:r>
      <w:r w:rsidRPr="006024D5">
        <w:rPr>
          <w:i/>
        </w:rPr>
        <w:t xml:space="preserve"> Kabura c</w:t>
      </w:r>
      <w:r w:rsidR="00FE1C39" w:rsidRPr="006024D5">
        <w:rPr>
          <w:i/>
        </w:rPr>
        <w:t>.</w:t>
      </w:r>
      <w:r w:rsidR="00FE1C39">
        <w:rPr>
          <w:i/>
        </w:rPr>
        <w:t> </w:t>
      </w:r>
      <w:r w:rsidRPr="006024D5">
        <w:rPr>
          <w:i/>
        </w:rPr>
        <w:t>Burundi</w:t>
      </w:r>
      <w:r w:rsidRPr="006024D5">
        <w:t xml:space="preserve">, </w:t>
      </w:r>
      <w:r>
        <w:t>par. </w:t>
      </w:r>
      <w:r w:rsidRPr="006024D5">
        <w:t>7.4</w:t>
      </w:r>
      <w:r>
        <w:t xml:space="preserve"> ; et </w:t>
      </w:r>
      <w:r w:rsidRPr="006024D5">
        <w:rPr>
          <w:i/>
        </w:rPr>
        <w:t>Niyonzima c. Burundi</w:t>
      </w:r>
      <w:r w:rsidRPr="006024D5">
        <w:t xml:space="preserve">, </w:t>
      </w:r>
      <w:r>
        <w:t>par. </w:t>
      </w:r>
      <w:r w:rsidRPr="006024D5">
        <w:t>8.4</w:t>
      </w:r>
      <w:r>
        <w:t>.</w:t>
      </w:r>
    </w:p>
  </w:footnote>
  <w:footnote w:id="31">
    <w:p w14:paraId="770F0145" w14:textId="64162B91" w:rsidR="00C959D8" w:rsidRPr="006024D5" w:rsidRDefault="00C959D8" w:rsidP="00965D37">
      <w:pPr>
        <w:pStyle w:val="Notedebasdepage"/>
      </w:pPr>
      <w:r>
        <w:tab/>
      </w:r>
      <w:r w:rsidRPr="00A1114C">
        <w:rPr>
          <w:rStyle w:val="Appelnotedebasdep"/>
        </w:rPr>
        <w:footnoteRef/>
      </w:r>
      <w:r>
        <w:tab/>
      </w:r>
      <w:r w:rsidRPr="006024D5">
        <w:rPr>
          <w:i/>
        </w:rPr>
        <w:t>Niyonzima c. Burundi</w:t>
      </w:r>
      <w:r w:rsidRPr="006024D5">
        <w:t xml:space="preserve">, </w:t>
      </w:r>
      <w:r>
        <w:t>par. </w:t>
      </w:r>
      <w:r w:rsidRPr="006024D5">
        <w:t>8.5.</w:t>
      </w:r>
    </w:p>
  </w:footnote>
  <w:footnote w:id="32">
    <w:p w14:paraId="15B0BE3D" w14:textId="2F3EBDF5" w:rsidR="00C959D8" w:rsidRPr="006024D5" w:rsidRDefault="00C959D8" w:rsidP="00965D37">
      <w:pPr>
        <w:pStyle w:val="Notedebasdepage"/>
      </w:pPr>
      <w:r>
        <w:tab/>
      </w:r>
      <w:r w:rsidRPr="00A1114C">
        <w:rPr>
          <w:rStyle w:val="Appelnotedebasdep"/>
        </w:rPr>
        <w:footnoteRef/>
      </w:r>
      <w:r>
        <w:tab/>
      </w:r>
      <w:r w:rsidRPr="00A213D5">
        <w:rPr>
          <w:iCs/>
        </w:rPr>
        <w:t>Ibid.</w:t>
      </w:r>
      <w:r w:rsidRPr="00302D44">
        <w:rPr>
          <w:iCs/>
        </w:rPr>
        <w:t>,</w:t>
      </w:r>
      <w:r w:rsidRPr="006024D5">
        <w:t xml:space="preserve"> </w:t>
      </w:r>
      <w:r>
        <w:t>par. </w:t>
      </w:r>
      <w:r w:rsidRPr="006024D5">
        <w:t xml:space="preserve">8.6. Voir également </w:t>
      </w:r>
      <w:r w:rsidRPr="006024D5">
        <w:rPr>
          <w:i/>
        </w:rPr>
        <w:t>Ntikarahera c. Burundi</w:t>
      </w:r>
      <w:r w:rsidRPr="006024D5">
        <w:t xml:space="preserve">, </w:t>
      </w:r>
      <w:r>
        <w:t>par. </w:t>
      </w:r>
      <w:r w:rsidRPr="006024D5">
        <w:t>6.5.</w:t>
      </w:r>
    </w:p>
  </w:footnote>
  <w:footnote w:id="33">
    <w:p w14:paraId="387EDB8A" w14:textId="150A3653" w:rsidR="00C959D8" w:rsidRPr="003946D2" w:rsidRDefault="00C959D8" w:rsidP="00965D37">
      <w:pPr>
        <w:pStyle w:val="Notedebasdepage"/>
      </w:pPr>
      <w:r>
        <w:tab/>
      </w:r>
      <w:r w:rsidRPr="00A1114C">
        <w:rPr>
          <w:rStyle w:val="Appelnotedebasdep"/>
        </w:rPr>
        <w:footnoteRef/>
      </w:r>
      <w:r>
        <w:tab/>
      </w:r>
      <w:r w:rsidRPr="00BE134F">
        <w:rPr>
          <w:i/>
        </w:rPr>
        <w:t>Ndarisigaranye c. Burundi</w:t>
      </w:r>
      <w:r>
        <w:t>, par. 8.7.</w:t>
      </w:r>
    </w:p>
  </w:footnote>
  <w:footnote w:id="34">
    <w:p w14:paraId="75B90B81" w14:textId="3857D95F" w:rsidR="00C959D8" w:rsidRPr="009D383B" w:rsidRDefault="00C959D8" w:rsidP="00965D37">
      <w:pPr>
        <w:pStyle w:val="Notedebasdepage"/>
      </w:pPr>
      <w:r>
        <w:tab/>
      </w:r>
      <w:r w:rsidRPr="00A1114C">
        <w:rPr>
          <w:rStyle w:val="Appelnotedebasdep"/>
        </w:rPr>
        <w:footnoteRef/>
      </w:r>
      <w:r>
        <w:tab/>
      </w:r>
      <w:r w:rsidRPr="00191E87">
        <w:rPr>
          <w:iCs/>
        </w:rPr>
        <w:t>Ibid.</w:t>
      </w:r>
      <w:r>
        <w:t>, par. 8.8 ;</w:t>
      </w:r>
      <w:r w:rsidRPr="009D383B">
        <w:t xml:space="preserve"> </w:t>
      </w:r>
      <w:r w:rsidRPr="009D383B">
        <w:rPr>
          <w:i/>
        </w:rPr>
        <w:t>Niyonzima c. Burundi</w:t>
      </w:r>
      <w:r w:rsidRPr="009D383B">
        <w:t xml:space="preserve">, </w:t>
      </w:r>
      <w:r>
        <w:t>par. </w:t>
      </w:r>
      <w:r w:rsidRPr="009D383B">
        <w:t>8.8</w:t>
      </w:r>
      <w:r>
        <w:t> ;</w:t>
      </w:r>
      <w:r w:rsidRPr="009D383B">
        <w:t xml:space="preserve"> et </w:t>
      </w:r>
      <w:r w:rsidRPr="009D383B">
        <w:rPr>
          <w:i/>
        </w:rPr>
        <w:t>Ntikarahera c.</w:t>
      </w:r>
      <w:r>
        <w:rPr>
          <w:i/>
        </w:rPr>
        <w:t xml:space="preserve"> </w:t>
      </w:r>
      <w:r w:rsidRPr="009D383B">
        <w:rPr>
          <w:i/>
        </w:rPr>
        <w:t>Burundi</w:t>
      </w:r>
      <w:r>
        <w:t>, par. </w:t>
      </w:r>
      <w:r w:rsidRPr="009D383B">
        <w:t>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FF1E" w14:textId="61D40BBC" w:rsidR="00C959D8" w:rsidRPr="00965D37" w:rsidRDefault="00C55C99">
    <w:pPr>
      <w:pStyle w:val="En-tte"/>
    </w:pPr>
    <w:r>
      <w:fldChar w:fldCharType="begin"/>
    </w:r>
    <w:r>
      <w:instrText xml:space="preserve"> TITLE  \* MERGEFORMAT </w:instrText>
    </w:r>
    <w:r>
      <w:fldChar w:fldCharType="separate"/>
    </w:r>
    <w:r>
      <w:t>CAT/C/71/D/843/2017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6B50" w14:textId="253E8A6D" w:rsidR="00C959D8" w:rsidRPr="00965D37" w:rsidRDefault="00C55C99" w:rsidP="00965D37">
    <w:pPr>
      <w:pStyle w:val="En-tte"/>
      <w:jc w:val="right"/>
    </w:pPr>
    <w:r>
      <w:fldChar w:fldCharType="begin"/>
    </w:r>
    <w:r>
      <w:instrText xml:space="preserve"> TITLE  \* MERGEFORMAT </w:instrText>
    </w:r>
    <w:r>
      <w:fldChar w:fldCharType="separate"/>
    </w:r>
    <w:r>
      <w:t>CAT/C/71/D/843/2017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54887"/>
    <w:multiLevelType w:val="hybridMultilevel"/>
    <w:tmpl w:val="B464F8A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7"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0"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1"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CF4EB2"/>
    <w:multiLevelType w:val="hybridMultilevel"/>
    <w:tmpl w:val="4C7827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15:restartNumberingAfterBreak="0">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7"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5" w15:restartNumberingAfterBreak="0">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D07B2"/>
    <w:multiLevelType w:val="hybridMultilevel"/>
    <w:tmpl w:val="B32089B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2"/>
  </w:num>
  <w:num w:numId="16">
    <w:abstractNumId w:val="15"/>
  </w:num>
  <w:num w:numId="17">
    <w:abstractNumId w:val="40"/>
  </w:num>
  <w:num w:numId="18">
    <w:abstractNumId w:val="19"/>
  </w:num>
  <w:num w:numId="19">
    <w:abstractNumId w:val="12"/>
  </w:num>
  <w:num w:numId="20">
    <w:abstractNumId w:val="21"/>
  </w:num>
  <w:num w:numId="21">
    <w:abstractNumId w:val="25"/>
  </w:num>
  <w:num w:numId="22">
    <w:abstractNumId w:val="38"/>
  </w:num>
  <w:num w:numId="23">
    <w:abstractNumId w:val="31"/>
  </w:num>
  <w:num w:numId="24">
    <w:abstractNumId w:val="41"/>
  </w:num>
  <w:num w:numId="25">
    <w:abstractNumId w:val="29"/>
  </w:num>
  <w:num w:numId="26">
    <w:abstractNumId w:val="34"/>
  </w:num>
  <w:num w:numId="27">
    <w:abstractNumId w:val="23"/>
  </w:num>
  <w:num w:numId="28">
    <w:abstractNumId w:val="20"/>
  </w:num>
  <w:num w:numId="29">
    <w:abstractNumId w:val="11"/>
  </w:num>
  <w:num w:numId="30">
    <w:abstractNumId w:val="16"/>
  </w:num>
  <w:num w:numId="31">
    <w:abstractNumId w:val="13"/>
  </w:num>
  <w:num w:numId="32">
    <w:abstractNumId w:val="26"/>
  </w:num>
  <w:num w:numId="33">
    <w:abstractNumId w:val="32"/>
  </w:num>
  <w:num w:numId="34">
    <w:abstractNumId w:val="14"/>
  </w:num>
  <w:num w:numId="35">
    <w:abstractNumId w:val="39"/>
  </w:num>
  <w:num w:numId="36">
    <w:abstractNumId w:val="28"/>
  </w:num>
  <w:num w:numId="37">
    <w:abstractNumId w:val="37"/>
  </w:num>
  <w:num w:numId="38">
    <w:abstractNumId w:val="17"/>
  </w:num>
  <w:num w:numId="39">
    <w:abstractNumId w:val="10"/>
  </w:num>
  <w:num w:numId="40">
    <w:abstractNumId w:val="35"/>
  </w:num>
  <w:num w:numId="41">
    <w:abstractNumId w:val="24"/>
  </w:num>
  <w:num w:numId="42">
    <w:abstractNumId w:val="33"/>
  </w:num>
  <w:num w:numId="43">
    <w:abstractNumId w:val="30"/>
  </w:num>
  <w:num w:numId="44">
    <w:abstractNumId w:val="2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34"/>
    <w:rsid w:val="00023842"/>
    <w:rsid w:val="0007796D"/>
    <w:rsid w:val="00111F2F"/>
    <w:rsid w:val="0014365E"/>
    <w:rsid w:val="00176178"/>
    <w:rsid w:val="001C5080"/>
    <w:rsid w:val="001F525A"/>
    <w:rsid w:val="00203813"/>
    <w:rsid w:val="00351B66"/>
    <w:rsid w:val="003B2935"/>
    <w:rsid w:val="003F53C0"/>
    <w:rsid w:val="00446FE5"/>
    <w:rsid w:val="00573BE5"/>
    <w:rsid w:val="00586ED3"/>
    <w:rsid w:val="00587A52"/>
    <w:rsid w:val="005B4E23"/>
    <w:rsid w:val="00601A20"/>
    <w:rsid w:val="006D0E85"/>
    <w:rsid w:val="006F70D4"/>
    <w:rsid w:val="0071601D"/>
    <w:rsid w:val="007239B1"/>
    <w:rsid w:val="007E6A34"/>
    <w:rsid w:val="007F77DC"/>
    <w:rsid w:val="0080684C"/>
    <w:rsid w:val="00871C75"/>
    <w:rsid w:val="00875CDC"/>
    <w:rsid w:val="008776DC"/>
    <w:rsid w:val="00965D37"/>
    <w:rsid w:val="009705C8"/>
    <w:rsid w:val="009C4D45"/>
    <w:rsid w:val="009D12AD"/>
    <w:rsid w:val="00A14D5B"/>
    <w:rsid w:val="00AA0CD3"/>
    <w:rsid w:val="00AE323C"/>
    <w:rsid w:val="00B75FE5"/>
    <w:rsid w:val="00BE78F5"/>
    <w:rsid w:val="00C02897"/>
    <w:rsid w:val="00C55C99"/>
    <w:rsid w:val="00C561BE"/>
    <w:rsid w:val="00C959D8"/>
    <w:rsid w:val="00CE20A0"/>
    <w:rsid w:val="00D37021"/>
    <w:rsid w:val="00DB1831"/>
    <w:rsid w:val="00DD3BFD"/>
    <w:rsid w:val="00DD5858"/>
    <w:rsid w:val="00F04103"/>
    <w:rsid w:val="00F660DF"/>
    <w:rsid w:val="00F95C08"/>
    <w:rsid w:val="00FA1CF7"/>
    <w:rsid w:val="00FE1C39"/>
    <w:rsid w:val="00FE3B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30B1A"/>
  <w15:docId w15:val="{21C3807E-1FA3-4C7C-A62A-06F864D6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8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6D0E8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6D0E8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D0E8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6D0E85"/>
    <w:pPr>
      <w:spacing w:line="240" w:lineRule="auto"/>
    </w:pPr>
    <w:rPr>
      <w:sz w:val="16"/>
    </w:rPr>
  </w:style>
  <w:style w:type="character" w:customStyle="1" w:styleId="PieddepageCar">
    <w:name w:val="Pied de page Car"/>
    <w:aliases w:val="3_G Car"/>
    <w:basedOn w:val="Policepardfaut"/>
    <w:link w:val="Pieddepage"/>
    <w:rsid w:val="006D0E8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D0E8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6D0E8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6D0E8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6D0E8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6D0E8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6D0E8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6D0E85"/>
    <w:pPr>
      <w:tabs>
        <w:tab w:val="left" w:pos="1701"/>
        <w:tab w:val="left" w:pos="2268"/>
        <w:tab w:val="left" w:pos="2835"/>
      </w:tabs>
      <w:spacing w:after="120"/>
      <w:ind w:left="1134" w:right="1134"/>
      <w:jc w:val="both"/>
    </w:pPr>
  </w:style>
  <w:style w:type="paragraph" w:customStyle="1" w:styleId="SLG">
    <w:name w:val="__S_L_G"/>
    <w:basedOn w:val="Normal"/>
    <w:next w:val="Normal"/>
    <w:rsid w:val="006D0E85"/>
    <w:pPr>
      <w:keepNext/>
      <w:keepLines/>
      <w:spacing w:before="240" w:after="240" w:line="580" w:lineRule="exact"/>
      <w:ind w:left="1134" w:right="1134"/>
    </w:pPr>
    <w:rPr>
      <w:b/>
      <w:sz w:val="56"/>
    </w:rPr>
  </w:style>
  <w:style w:type="paragraph" w:customStyle="1" w:styleId="SMG">
    <w:name w:val="__S_M_G"/>
    <w:basedOn w:val="Normal"/>
    <w:next w:val="Normal"/>
    <w:rsid w:val="006D0E85"/>
    <w:pPr>
      <w:keepNext/>
      <w:keepLines/>
      <w:spacing w:before="240" w:after="240" w:line="420" w:lineRule="exact"/>
      <w:ind w:left="1134" w:right="1134"/>
    </w:pPr>
    <w:rPr>
      <w:b/>
      <w:sz w:val="40"/>
    </w:rPr>
  </w:style>
  <w:style w:type="paragraph" w:customStyle="1" w:styleId="SSG">
    <w:name w:val="__S_S_G"/>
    <w:basedOn w:val="Normal"/>
    <w:next w:val="Normal"/>
    <w:rsid w:val="006D0E85"/>
    <w:pPr>
      <w:keepNext/>
      <w:keepLines/>
      <w:spacing w:before="240" w:after="240" w:line="300" w:lineRule="exact"/>
      <w:ind w:left="1134" w:right="1134"/>
    </w:pPr>
    <w:rPr>
      <w:b/>
      <w:sz w:val="28"/>
    </w:rPr>
  </w:style>
  <w:style w:type="paragraph" w:customStyle="1" w:styleId="XLargeG">
    <w:name w:val="__XLarge_G"/>
    <w:basedOn w:val="Normal"/>
    <w:next w:val="Normal"/>
    <w:rsid w:val="006D0E85"/>
    <w:pPr>
      <w:keepNext/>
      <w:keepLines/>
      <w:spacing w:before="240" w:after="240" w:line="420" w:lineRule="exact"/>
      <w:ind w:left="1134" w:right="1134"/>
    </w:pPr>
    <w:rPr>
      <w:b/>
      <w:sz w:val="40"/>
    </w:rPr>
  </w:style>
  <w:style w:type="paragraph" w:customStyle="1" w:styleId="Bullet1G">
    <w:name w:val="_Bullet 1_G"/>
    <w:basedOn w:val="Normal"/>
    <w:qFormat/>
    <w:rsid w:val="006D0E85"/>
    <w:pPr>
      <w:numPr>
        <w:numId w:val="14"/>
      </w:numPr>
      <w:spacing w:after="120"/>
      <w:ind w:right="1134"/>
      <w:jc w:val="both"/>
    </w:pPr>
  </w:style>
  <w:style w:type="paragraph" w:customStyle="1" w:styleId="Bullet2G">
    <w:name w:val="_Bullet 2_G"/>
    <w:basedOn w:val="Normal"/>
    <w:qFormat/>
    <w:rsid w:val="006D0E85"/>
    <w:pPr>
      <w:numPr>
        <w:numId w:val="15"/>
      </w:numPr>
      <w:spacing w:after="120"/>
      <w:ind w:right="1134"/>
      <w:jc w:val="both"/>
    </w:pPr>
  </w:style>
  <w:style w:type="paragraph" w:customStyle="1" w:styleId="ParNoG">
    <w:name w:val="_ParNo_G"/>
    <w:basedOn w:val="Normal"/>
    <w:qFormat/>
    <w:rsid w:val="006D0E85"/>
    <w:pPr>
      <w:numPr>
        <w:numId w:val="16"/>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6D0E85"/>
    <w:rPr>
      <w:rFonts w:ascii="Times New Roman" w:hAnsi="Times New Roman"/>
      <w:sz w:val="18"/>
      <w:vertAlign w:val="superscript"/>
      <w:lang w:val="fr-CH"/>
    </w:rPr>
  </w:style>
  <w:style w:type="character" w:styleId="Appeldenotedefin">
    <w:name w:val="endnote reference"/>
    <w:aliases w:val="1_G"/>
    <w:basedOn w:val="Appelnotedebasdep"/>
    <w:qFormat/>
    <w:rsid w:val="006D0E85"/>
    <w:rPr>
      <w:rFonts w:ascii="Times New Roman" w:hAnsi="Times New Roman"/>
      <w:sz w:val="18"/>
      <w:vertAlign w:val="superscript"/>
      <w:lang w:val="fr-CH"/>
    </w:rPr>
  </w:style>
  <w:style w:type="table" w:styleId="Grilledutableau">
    <w:name w:val="Table Grid"/>
    <w:basedOn w:val="TableauNormal"/>
    <w:rsid w:val="006D0E8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6D0E85"/>
    <w:rPr>
      <w:color w:val="0000FF"/>
      <w:u w:val="none"/>
    </w:rPr>
  </w:style>
  <w:style w:type="character" w:styleId="Lienhypertextesuivivisit">
    <w:name w:val="FollowedHyperlink"/>
    <w:basedOn w:val="Policepardfaut"/>
    <w:unhideWhenUsed/>
    <w:rsid w:val="006D0E85"/>
    <w:rPr>
      <w:color w:val="0000FF"/>
      <w:u w:val="none"/>
    </w:rPr>
  </w:style>
  <w:style w:type="paragraph" w:styleId="Notedebasdepage">
    <w:name w:val="footnote text"/>
    <w:aliases w:val="5_G"/>
    <w:basedOn w:val="Normal"/>
    <w:link w:val="NotedebasdepageCar"/>
    <w:qFormat/>
    <w:rsid w:val="006D0E8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6D0E8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D0E85"/>
  </w:style>
  <w:style w:type="character" w:customStyle="1" w:styleId="NotedefinCar">
    <w:name w:val="Note de fin Car"/>
    <w:aliases w:val="2_G Car"/>
    <w:basedOn w:val="Policepardfaut"/>
    <w:link w:val="Notedefin"/>
    <w:rsid w:val="006D0E8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D0E85"/>
    <w:rPr>
      <w:rFonts w:ascii="Times New Roman" w:hAnsi="Times New Roman"/>
      <w:b/>
      <w:sz w:val="18"/>
      <w:lang w:val="fr-CH"/>
    </w:rPr>
  </w:style>
  <w:style w:type="character" w:customStyle="1" w:styleId="Titre1Car">
    <w:name w:val="Titre 1 Car"/>
    <w:aliases w:val="Table_G Car"/>
    <w:basedOn w:val="Policepardfaut"/>
    <w:link w:val="Titre1"/>
    <w:rsid w:val="006D0E8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F77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7DC"/>
    <w:rPr>
      <w:rFonts w:ascii="Tahoma" w:eastAsia="Times New Roman" w:hAnsi="Tahoma" w:cs="Tahoma"/>
      <w:sz w:val="16"/>
      <w:szCs w:val="16"/>
      <w:lang w:eastAsia="en-US"/>
    </w:rPr>
  </w:style>
  <w:style w:type="character" w:customStyle="1" w:styleId="SingleTxtGChar">
    <w:name w:val="_ Single Txt_G Char"/>
    <w:link w:val="SingleTxtG"/>
    <w:rsid w:val="00C959D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fi.fr/fr/afrique/20140309-burundi-manifestation-opposition-msd-degenere" TargetMode="External"/><Relationship Id="rId2" Type="http://schemas.openxmlformats.org/officeDocument/2006/relationships/hyperlink" Target="http://www.iwacu-burundi.org/8-mars-2014-une-manifestation-qui-a-degenere/" TargetMode="External"/><Relationship Id="rId1" Type="http://schemas.openxmlformats.org/officeDocument/2006/relationships/hyperlink" Target="file:///C:\Users\Ichim.Octavian\AppData\Local\Microsoft\Windows\INetCache\Content.Outlook\2BUYFX9L\www.iwacu-burundi.org\affaire-detenus-msd-une-justice-a-deux-vite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CAT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CAT4.dotm</Template>
  <TotalTime>1</TotalTime>
  <Pages>8</Pages>
  <Words>4790</Words>
  <Characters>24431</Characters>
  <Application>Microsoft Office Word</Application>
  <DocSecurity>0</DocSecurity>
  <Lines>375</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CAT/C/71/D/843/2017</vt:lpstr>
      <vt:lpstr>CAT/C/71/D/843/2017</vt:lpstr>
    </vt:vector>
  </TitlesOfParts>
  <Company>DCM</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CAT/C/71/D/843/2017</dc:title>
  <dc:subject/>
  <dc:creator>Christine CHAUTAGNAT</dc:creator>
  <cp:keywords/>
  <cp:lastModifiedBy>Julien Okrzesik</cp:lastModifiedBy>
  <cp:revision>3</cp:revision>
  <cp:lastPrinted>2021-09-30T10:31:00Z</cp:lastPrinted>
  <dcterms:created xsi:type="dcterms:W3CDTF">2021-09-30T10:31:00Z</dcterms:created>
  <dcterms:modified xsi:type="dcterms:W3CDTF">2021-09-30T10:31:00Z</dcterms:modified>
</cp:coreProperties>
</file>