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0C" w:rsidRPr="00BB7BA6" w:rsidRDefault="0087040C" w:rsidP="0087040C">
      <w:pPr>
        <w:spacing w:line="60" w:lineRule="exact"/>
        <w:rPr>
          <w:color w:val="010000"/>
          <w:sz w:val="6"/>
        </w:rPr>
        <w:sectPr w:rsidR="0087040C" w:rsidRPr="00BB7BA6" w:rsidSect="008704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BB7BA6">
        <w:rPr>
          <w:rStyle w:val="CommentReference"/>
        </w:rPr>
        <w:commentReference w:id="0"/>
      </w:r>
      <w:bookmarkStart w:id="1" w:name="_GoBack"/>
      <w:bookmarkEnd w:id="1"/>
    </w:p>
    <w:p w:rsidR="00EB0BAF" w:rsidRDefault="00EB0BAF" w:rsidP="00EB0BA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EB0BAF">
        <w:lastRenderedPageBreak/>
        <w:t>Совет по правам человека</w:t>
      </w: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Default="00EB0BAF" w:rsidP="00EB0B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en-US"/>
        </w:rPr>
      </w:pPr>
      <w:r w:rsidRPr="00EB0BAF">
        <w:tab/>
      </w:r>
      <w:r w:rsidRPr="00EB0BAF">
        <w:tab/>
        <w:t>Заключительные замечания по третьему периодическому докладу Суринама</w:t>
      </w:r>
      <w:r w:rsidRPr="00EB0BAF">
        <w:rPr>
          <w:b w:val="0"/>
          <w:bCs/>
          <w:sz w:val="20"/>
          <w:szCs w:val="20"/>
        </w:rPr>
        <w:footnoteReference w:customMarkFollows="1" w:id="1"/>
        <w:t>*</w:t>
      </w: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Default="00EB0BAF" w:rsidP="00EB0BAF">
      <w:pPr>
        <w:pStyle w:val="SingleTxt"/>
        <w:rPr>
          <w:lang w:val="en-US"/>
        </w:rPr>
      </w:pPr>
      <w:r w:rsidRPr="00EB0BAF">
        <w:t>1.</w:t>
      </w:r>
      <w:r w:rsidRPr="00EB0BAF">
        <w:tab/>
        <w:t>Комитет рассмотрел третий периодический доклад Суринама (CCPR/C/</w:t>
      </w:r>
      <w:r w:rsidRPr="00EB0BAF">
        <w:br/>
        <w:t>SUR/3) на своих 3208-м и 3209-м заседаниях (см. CCPR/C/SR.3208 и 3209), с</w:t>
      </w:r>
      <w:r w:rsidRPr="00EB0BAF">
        <w:t>о</w:t>
      </w:r>
      <w:r w:rsidRPr="00EB0BAF">
        <w:t>стоявшихся 21 и 22 октября 2015 года. На своем 3226-м заседании, состоявшемся 3 ноября 2015 года, Комитет принял следующие заключительные замечания.</w:t>
      </w: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6E6309" w:rsidRDefault="00EB0BAF" w:rsidP="00EB0B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Pr="00EB0BAF">
        <w:t>A.</w:t>
      </w:r>
      <w:r w:rsidRPr="00EB0BAF">
        <w:tab/>
        <w:t>Введение</w:t>
      </w:r>
    </w:p>
    <w:p w:rsidR="00EB0BAF" w:rsidRPr="006E6309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6E6309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6E6309" w:rsidRDefault="00EB0BAF" w:rsidP="006E6309">
      <w:pPr>
        <w:pStyle w:val="SingleTxt"/>
      </w:pPr>
      <w:r w:rsidRPr="00EB0BAF">
        <w:t>2.</w:t>
      </w:r>
      <w:r w:rsidRPr="00EB0BAF">
        <w:tab/>
        <w:t xml:space="preserve">Комитет приветствует третий периодический доклад Суринама, </w:t>
      </w:r>
      <w:r w:rsidR="006E6309">
        <w:t>несмотря на то, что он</w:t>
      </w:r>
      <w:r w:rsidRPr="00EB0BAF">
        <w:t xml:space="preserve"> был представлен более чем с пятилетним опозданием, а также соде</w:t>
      </w:r>
      <w:r w:rsidRPr="00EB0BAF">
        <w:t>р</w:t>
      </w:r>
      <w:r w:rsidRPr="00EB0BAF">
        <w:t>жащуюся в нем информацию. Комитет выражает признательность за возмо</w:t>
      </w:r>
      <w:r w:rsidRPr="00EB0BAF">
        <w:t>ж</w:t>
      </w:r>
      <w:r w:rsidRPr="00EB0BAF">
        <w:t xml:space="preserve">ность возобновить конструктивный диалог с делегацией государства-участника в отношении мер, которые были </w:t>
      </w:r>
      <w:r w:rsidR="006E6309">
        <w:t xml:space="preserve">им </w:t>
      </w:r>
      <w:r w:rsidRPr="00EB0BAF">
        <w:t xml:space="preserve">приняты в течение отчетного периода </w:t>
      </w:r>
      <w:r w:rsidR="006E6309">
        <w:t>в целях</w:t>
      </w:r>
      <w:r w:rsidRPr="00EB0BAF">
        <w:t xml:space="preserve"> выполнения положений Международного пакта о гражданских и политических правах. Комитет с признательностью отмечает письменные ответы (CCPR/C/</w:t>
      </w:r>
      <w:r w:rsidR="006E6309">
        <w:br/>
      </w:r>
      <w:r w:rsidRPr="00EB0BAF">
        <w:t>SUR/Q/3/Add.1) на перечень вопросов (CCPR/C/SUR/Q/3)</w:t>
      </w:r>
      <w:r w:rsidR="006E6309">
        <w:t>, которые были допо</w:t>
      </w:r>
      <w:r w:rsidR="006E6309">
        <w:t>л</w:t>
      </w:r>
      <w:r w:rsidR="006E6309">
        <w:t>нены</w:t>
      </w:r>
      <w:r w:rsidRPr="00EB0BAF">
        <w:t xml:space="preserve"> уст</w:t>
      </w:r>
      <w:r w:rsidR="006E6309">
        <w:t>ными и дополнительными письменными ответами</w:t>
      </w:r>
      <w:r w:rsidRPr="00EB0BAF">
        <w:t xml:space="preserve"> делегации.</w:t>
      </w:r>
    </w:p>
    <w:p w:rsidR="00EB0BAF" w:rsidRPr="006E6309" w:rsidRDefault="00EB0BAF" w:rsidP="00EB0BAF">
      <w:pPr>
        <w:pStyle w:val="SingleTxt"/>
        <w:spacing w:after="0" w:line="120" w:lineRule="exact"/>
        <w:rPr>
          <w:sz w:val="10"/>
        </w:rPr>
      </w:pPr>
    </w:p>
    <w:p w:rsidR="00EB0BAF" w:rsidRPr="006E6309" w:rsidRDefault="00EB0BAF" w:rsidP="00EB0BAF">
      <w:pPr>
        <w:pStyle w:val="SingleTxt"/>
        <w:spacing w:after="0" w:line="120" w:lineRule="exact"/>
        <w:rPr>
          <w:sz w:val="10"/>
        </w:rPr>
      </w:pPr>
    </w:p>
    <w:p w:rsidR="00EB0BAF" w:rsidRDefault="00EB0BAF" w:rsidP="00EB0B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E6309">
        <w:tab/>
      </w:r>
      <w:r w:rsidRPr="00EB0BAF">
        <w:t>B.</w:t>
      </w:r>
      <w:r w:rsidRPr="00EB0BAF">
        <w:tab/>
        <w:t>Позитивные аспекты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B0BAF" w:rsidRPr="00EB0BAF" w:rsidRDefault="00EB0BAF" w:rsidP="00EB0BAF">
      <w:pPr>
        <w:pStyle w:val="SingleTxt"/>
      </w:pPr>
      <w:r w:rsidRPr="00EB0BAF">
        <w:t>3.</w:t>
      </w:r>
      <w:r w:rsidRPr="00EB0BAF">
        <w:tab/>
        <w:t>Комитет приветствует принятие государством-участником:</w:t>
      </w:r>
    </w:p>
    <w:p w:rsidR="00EB0BAF" w:rsidRPr="00EB0BAF" w:rsidRDefault="00EB0BAF" w:rsidP="006E6309">
      <w:pPr>
        <w:pStyle w:val="SingleTxt"/>
      </w:pPr>
      <w:r w:rsidRPr="00EB0BAF">
        <w:tab/>
        <w:t>a)</w:t>
      </w:r>
      <w:r w:rsidRPr="00EB0BAF">
        <w:tab/>
        <w:t xml:space="preserve">Закона о борьбе с </w:t>
      </w:r>
      <w:r w:rsidR="006E6309">
        <w:t xml:space="preserve">домашним </w:t>
      </w:r>
      <w:r w:rsidRPr="00EB0BAF">
        <w:t xml:space="preserve">насилием </w:t>
      </w:r>
      <w:r w:rsidR="006E6309">
        <w:t xml:space="preserve">– </w:t>
      </w:r>
      <w:r w:rsidRPr="00EB0BAF">
        <w:t>в июле 2009 года;</w:t>
      </w:r>
    </w:p>
    <w:p w:rsidR="00EB0BAF" w:rsidRPr="00EB0BAF" w:rsidRDefault="00EB0BAF" w:rsidP="00EB0BAF">
      <w:pPr>
        <w:pStyle w:val="SingleTxt"/>
      </w:pPr>
      <w:r w:rsidRPr="00EB0BAF">
        <w:tab/>
        <w:t>b)</w:t>
      </w:r>
      <w:r w:rsidRPr="00EB0BAF">
        <w:tab/>
        <w:t>Комплексного плана действий по гендерным вопросам на</w:t>
      </w:r>
      <w:r>
        <w:t xml:space="preserve"> 2006</w:t>
      </w:r>
      <w:r w:rsidRPr="00EB0BAF">
        <w:t>–2010</w:t>
      </w:r>
      <w:r>
        <w:rPr>
          <w:lang w:val="en-US"/>
        </w:rPr>
        <w:t> </w:t>
      </w:r>
      <w:r w:rsidRPr="00EB0BAF">
        <w:t>годы;</w:t>
      </w:r>
    </w:p>
    <w:p w:rsidR="00EB0BAF" w:rsidRPr="00EB0BAF" w:rsidRDefault="00EB0BAF" w:rsidP="00EB0BAF">
      <w:pPr>
        <w:pStyle w:val="SingleTxt"/>
      </w:pPr>
      <w:r w:rsidRPr="00EB0BAF">
        <w:tab/>
        <w:t>c)</w:t>
      </w:r>
      <w:r w:rsidRPr="00EB0BAF">
        <w:tab/>
        <w:t xml:space="preserve">Национальной стратегии в области борьбы с торговлей людьми </w:t>
      </w:r>
      <w:r w:rsidR="006E6309">
        <w:t xml:space="preserve">– </w:t>
      </w:r>
      <w:r w:rsidRPr="00EB0BAF">
        <w:t>в а</w:t>
      </w:r>
      <w:r w:rsidRPr="00EB0BAF">
        <w:t>п</w:t>
      </w:r>
      <w:r w:rsidRPr="00EB0BAF">
        <w:t>реле 2014 года;</w:t>
      </w:r>
    </w:p>
    <w:p w:rsidR="00EB0BAF" w:rsidRPr="00EB0BAF" w:rsidRDefault="00EB0BAF" w:rsidP="006E6309">
      <w:pPr>
        <w:pStyle w:val="SingleTxt"/>
      </w:pPr>
      <w:r w:rsidRPr="00EB0BAF">
        <w:tab/>
        <w:t>d)</w:t>
      </w:r>
      <w:r w:rsidRPr="00EB0BAF">
        <w:tab/>
        <w:t>Директивн</w:t>
      </w:r>
      <w:r w:rsidR="006E6309">
        <w:t>ого</w:t>
      </w:r>
      <w:r w:rsidRPr="00EB0BAF">
        <w:t xml:space="preserve"> план</w:t>
      </w:r>
      <w:r w:rsidR="006E6309">
        <w:t>а</w:t>
      </w:r>
      <w:r w:rsidRPr="00EB0BAF">
        <w:t xml:space="preserve"> на</w:t>
      </w:r>
      <w:r>
        <w:t xml:space="preserve"> 2005</w:t>
      </w:r>
      <w:r w:rsidRPr="00EB0BAF">
        <w:t>–2010</w:t>
      </w:r>
      <w:r w:rsidR="006E6309">
        <w:t xml:space="preserve"> годы</w:t>
      </w:r>
      <w:r w:rsidRPr="00EB0BAF">
        <w:t>, разработанн</w:t>
      </w:r>
      <w:r w:rsidR="006E6309">
        <w:t>ого</w:t>
      </w:r>
      <w:r w:rsidRPr="00EB0BAF">
        <w:t xml:space="preserve"> Комитетом по вопросам политики в области инвалидности.</w:t>
      </w:r>
    </w:p>
    <w:p w:rsidR="00EB0BAF" w:rsidRPr="00EB0BAF" w:rsidRDefault="00EB0BAF" w:rsidP="00EB0BAF">
      <w:pPr>
        <w:pStyle w:val="SingleTxt"/>
        <w:keepNext/>
        <w:keepLines/>
      </w:pPr>
      <w:r w:rsidRPr="00EB0BAF">
        <w:lastRenderedPageBreak/>
        <w:t>4.</w:t>
      </w:r>
      <w:r w:rsidRPr="00EB0BAF">
        <w:tab/>
        <w:t xml:space="preserve">Комитет </w:t>
      </w:r>
      <w:r w:rsidR="006E6309">
        <w:t>приветствуе</w:t>
      </w:r>
      <w:r w:rsidRPr="00EB0BAF">
        <w:t>т факт ратификации или присоединения государства-участника к следующим международным договорам:</w:t>
      </w:r>
    </w:p>
    <w:p w:rsidR="00EB0BAF" w:rsidRPr="00EB0BAF" w:rsidRDefault="00EB0BAF" w:rsidP="00EB0BAF">
      <w:pPr>
        <w:pStyle w:val="SingleTxt"/>
        <w:keepNext/>
        <w:keepLines/>
      </w:pPr>
      <w:r w:rsidRPr="00EB0BAF">
        <w:tab/>
        <w:t>a)</w:t>
      </w:r>
      <w:r w:rsidRPr="00EB0BAF">
        <w:tab/>
        <w:t>Факультативному протоколу к Конвенции о правах ребенка, касающ</w:t>
      </w:r>
      <w:r w:rsidRPr="00EB0BAF">
        <w:t>е</w:t>
      </w:r>
      <w:r w:rsidRPr="00EB0BAF">
        <w:t>муся торговли детьми, детской проституции и детской порнографии, – 18 мая 2012 года;</w:t>
      </w:r>
    </w:p>
    <w:p w:rsidR="00EB0BAF" w:rsidRDefault="00EB0BAF" w:rsidP="00EB0BAF">
      <w:pPr>
        <w:pStyle w:val="SingleTxt"/>
        <w:rPr>
          <w:lang w:val="en-US"/>
        </w:rPr>
      </w:pPr>
      <w:r w:rsidRPr="00EB0BAF">
        <w:tab/>
        <w:t>b)</w:t>
      </w:r>
      <w:r w:rsidRPr="00EB0BAF">
        <w:tab/>
        <w:t>Протоколу о предупреждении и пресечении торговли людьми, особе</w:t>
      </w:r>
      <w:r w:rsidRPr="00EB0BAF">
        <w:t>н</w:t>
      </w:r>
      <w:r w:rsidRPr="00EB0BAF">
        <w:t xml:space="preserve">но женщинами и детьми, </w:t>
      </w:r>
      <w:r w:rsidR="006E6309">
        <w:t xml:space="preserve">и </w:t>
      </w:r>
      <w:r w:rsidRPr="00EB0BAF">
        <w:t>наказании за нее, дополняющему Конвенцию Орган</w:t>
      </w:r>
      <w:r w:rsidRPr="00EB0BAF">
        <w:t>и</w:t>
      </w:r>
      <w:r w:rsidRPr="00EB0BAF">
        <w:t>зации Объединенных Наций против транснациональной организованной пр</w:t>
      </w:r>
      <w:r w:rsidRPr="00EB0BAF">
        <w:t>е</w:t>
      </w:r>
      <w:r w:rsidRPr="00EB0BAF">
        <w:t>ступности, – 25 мая 2007 года.</w:t>
      </w: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sz w:val="10"/>
          <w:lang w:val="en-US"/>
        </w:rPr>
      </w:pPr>
    </w:p>
    <w:p w:rsidR="00EB0BAF" w:rsidRDefault="00EB0BAF" w:rsidP="00EB0B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EB0BAF">
        <w:t>C.</w:t>
      </w:r>
      <w:r w:rsidRPr="00EB0BAF">
        <w:tab/>
        <w:t>Основные вопросы, вызывающие обеспокоенность, и рекомендации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B0BAF" w:rsidRPr="00EB0BAF" w:rsidRDefault="00EB0BAF" w:rsidP="00EB0B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B0BAF">
        <w:t>Применимость Пакта в национальных судах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6E6309">
      <w:pPr>
        <w:pStyle w:val="SingleTxt"/>
      </w:pPr>
      <w:r w:rsidRPr="00EB0BAF">
        <w:t>5.</w:t>
      </w:r>
      <w:r w:rsidRPr="00EB0BAF">
        <w:tab/>
        <w:t>Принимая к сведению разъяснения государства-участника в отношении ст</w:t>
      </w:r>
      <w:r w:rsidRPr="00EB0BAF">
        <w:t>а</w:t>
      </w:r>
      <w:r w:rsidRPr="00EB0BAF">
        <w:t>тьи 106 Конституции, в соответствии с которой международные соглашения имеют преимущественную силу над национальными законами, Комитет выраж</w:t>
      </w:r>
      <w:r w:rsidRPr="00EB0BAF">
        <w:t>а</w:t>
      </w:r>
      <w:r w:rsidR="008B0AA2">
        <w:t>ет сожаление</w:t>
      </w:r>
      <w:r w:rsidRPr="00EB0BAF">
        <w:t xml:space="preserve"> по поводу того, что государство-участник не представило конкре</w:t>
      </w:r>
      <w:r w:rsidRPr="00EB0BAF">
        <w:t>т</w:t>
      </w:r>
      <w:r w:rsidRPr="00EB0BAF">
        <w:t xml:space="preserve">ных примеров реальных дел, при рассмотрении которых суды Суринама </w:t>
      </w:r>
      <w:r w:rsidR="006E6309">
        <w:t>ссы</w:t>
      </w:r>
      <w:r w:rsidRPr="00EB0BAF">
        <w:t>л</w:t>
      </w:r>
      <w:r w:rsidRPr="00EB0BAF">
        <w:t>а</w:t>
      </w:r>
      <w:r w:rsidRPr="00EB0BAF">
        <w:t xml:space="preserve">лись на положения Пакта или </w:t>
      </w:r>
      <w:r w:rsidR="006E6309">
        <w:t>применя</w:t>
      </w:r>
      <w:r w:rsidRPr="00EB0BAF">
        <w:t>ли их. Комитет также обеспокоен тем, что проект закона об учреждении конституционного суда, уполномоченного, как это предусмотрено в Конституции, среди прочего</w:t>
      </w:r>
      <w:r w:rsidR="006E6309">
        <w:t>,</w:t>
      </w:r>
      <w:r w:rsidRPr="00EB0BAF">
        <w:t xml:space="preserve"> сверять содержание законов с п</w:t>
      </w:r>
      <w:r w:rsidRPr="00EB0BAF">
        <w:t>о</w:t>
      </w:r>
      <w:r w:rsidRPr="00EB0BAF">
        <w:t>ложениями международных договоров по правам человека (пункт 2 а) ст</w:t>
      </w:r>
      <w:r w:rsidRPr="00EB0BAF">
        <w:t>а</w:t>
      </w:r>
      <w:r w:rsidRPr="00EB0BAF">
        <w:t>тьи</w:t>
      </w:r>
      <w:r w:rsidR="006E6309">
        <w:t> </w:t>
      </w:r>
      <w:r w:rsidRPr="00EB0BAF">
        <w:t xml:space="preserve">144), </w:t>
      </w:r>
      <w:r w:rsidR="006E6309">
        <w:t>уже длительное время ожидает</w:t>
      </w:r>
      <w:r w:rsidRPr="00EB0BAF">
        <w:t xml:space="preserve"> рассмот</w:t>
      </w:r>
      <w:r w:rsidR="006E6309">
        <w:t>рения</w:t>
      </w:r>
      <w:r w:rsidRPr="00EB0BAF">
        <w:t xml:space="preserve"> в Национально</w:t>
      </w:r>
      <w:r w:rsidR="006E6309">
        <w:t>й</w:t>
      </w:r>
      <w:r w:rsidRPr="00EB0BAF">
        <w:t xml:space="preserve"> асса</w:t>
      </w:r>
      <w:r w:rsidRPr="00EB0BAF">
        <w:t>м</w:t>
      </w:r>
      <w:r w:rsidRPr="00EB0BAF">
        <w:t>блее (статья 2 Пакта).</w:t>
      </w:r>
    </w:p>
    <w:p w:rsidR="00EB0BAF" w:rsidRPr="006E6309" w:rsidRDefault="00EB0BAF" w:rsidP="006E6309">
      <w:pPr>
        <w:pStyle w:val="SingleTxt"/>
        <w:rPr>
          <w:b/>
        </w:rPr>
      </w:pPr>
      <w:r w:rsidRPr="00EB0BAF">
        <w:t>6.</w:t>
      </w:r>
      <w:r w:rsidRPr="00EB0BAF">
        <w:tab/>
      </w:r>
      <w:r w:rsidRPr="00EB0BAF">
        <w:rPr>
          <w:b/>
        </w:rPr>
        <w:t>Государству-участнику следует доработать существующие программы обязательной подготовки для повышения уровня осведомленности судей, а</w:t>
      </w:r>
      <w:r w:rsidRPr="00EB0BAF">
        <w:rPr>
          <w:b/>
        </w:rPr>
        <w:t>д</w:t>
      </w:r>
      <w:r w:rsidRPr="00EB0BAF">
        <w:rPr>
          <w:b/>
        </w:rPr>
        <w:t>вокатов и прокуроров о Пакте и его применимости во внутригосударстве</w:t>
      </w:r>
      <w:r w:rsidRPr="00EB0BAF">
        <w:rPr>
          <w:b/>
        </w:rPr>
        <w:t>н</w:t>
      </w:r>
      <w:r w:rsidRPr="00EB0BAF">
        <w:rPr>
          <w:b/>
        </w:rPr>
        <w:t>ном праве, с тем чтобы обеспечить учет его положений в национальных с</w:t>
      </w:r>
      <w:r w:rsidRPr="00EB0BAF">
        <w:rPr>
          <w:b/>
        </w:rPr>
        <w:t>у</w:t>
      </w:r>
      <w:r w:rsidRPr="00EB0BAF">
        <w:rPr>
          <w:b/>
        </w:rPr>
        <w:t>дах. Государству-участнику следует включить в свой следующий периодич</w:t>
      </w:r>
      <w:r w:rsidRPr="00EB0BAF">
        <w:rPr>
          <w:b/>
        </w:rPr>
        <w:t>е</w:t>
      </w:r>
      <w:r w:rsidRPr="00EB0BAF">
        <w:rPr>
          <w:b/>
        </w:rPr>
        <w:t>ский доклад подробные примеры применения Пакта национальными суд</w:t>
      </w:r>
      <w:r w:rsidRPr="00EB0BAF">
        <w:rPr>
          <w:b/>
        </w:rPr>
        <w:t>а</w:t>
      </w:r>
      <w:r w:rsidRPr="00EB0BAF">
        <w:rPr>
          <w:b/>
        </w:rPr>
        <w:t xml:space="preserve">ми. Комитет призывает государство-участник незамедлительно учредить предусмотренный Конституцией конституционный суд, который </w:t>
      </w:r>
      <w:r w:rsidR="006E6309" w:rsidRPr="00EB0BAF">
        <w:rPr>
          <w:b/>
        </w:rPr>
        <w:t xml:space="preserve">обладал </w:t>
      </w:r>
      <w:r w:rsidRPr="00EB0BAF">
        <w:rPr>
          <w:b/>
        </w:rPr>
        <w:t>бы надлежащими полномочиями и независимостью.</w:t>
      </w:r>
    </w:p>
    <w:p w:rsidR="00EB0BAF" w:rsidRPr="006E6309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EB0B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6309">
        <w:tab/>
      </w:r>
      <w:r w:rsidRPr="006E6309">
        <w:tab/>
      </w:r>
      <w:r w:rsidRPr="00EB0BAF">
        <w:t>Соображения Комитета согласно Факультативному протоколу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6E6309">
      <w:pPr>
        <w:pStyle w:val="SingleTxt"/>
      </w:pPr>
      <w:r w:rsidRPr="00EB0BAF">
        <w:t>7.</w:t>
      </w:r>
      <w:r w:rsidRPr="00EB0BAF">
        <w:tab/>
        <w:t>Комитет вновь выражает свою обеспокоенность по поводу отсутствия ко</w:t>
      </w:r>
      <w:r w:rsidRPr="00EB0BAF">
        <w:t>н</w:t>
      </w:r>
      <w:r w:rsidRPr="00EB0BAF">
        <w:t>кретной процедуры или механизма дл</w:t>
      </w:r>
      <w:r w:rsidR="006E6309">
        <w:t>я изучения и осуществления его с</w:t>
      </w:r>
      <w:r w:rsidRPr="00EB0BAF">
        <w:t>оображ</w:t>
      </w:r>
      <w:r w:rsidRPr="00EB0BAF">
        <w:t>е</w:t>
      </w:r>
      <w:r w:rsidRPr="00EB0BAF">
        <w:t xml:space="preserve">ний </w:t>
      </w:r>
      <w:r w:rsidR="006E6309">
        <w:t>по</w:t>
      </w:r>
      <w:r w:rsidRPr="00EB0BAF">
        <w:t xml:space="preserve"> Факультативно</w:t>
      </w:r>
      <w:r w:rsidR="006E6309">
        <w:t>му</w:t>
      </w:r>
      <w:r w:rsidRPr="00EB0BAF">
        <w:t xml:space="preserve"> протоколу к Пакту. В этой связи, принимая к сведению представленную государством-участником информацию в отношении сообщений № 146/1983 и </w:t>
      </w:r>
      <w:r>
        <w:t>148/1983–</w:t>
      </w:r>
      <w:r w:rsidRPr="00EB0BAF">
        <w:t xml:space="preserve">154/1983, </w:t>
      </w:r>
      <w:r>
        <w:rPr>
          <w:i/>
        </w:rPr>
        <w:t>Баборам-Адхин и др</w:t>
      </w:r>
      <w:r w:rsidRPr="00EB0BAF">
        <w:rPr>
          <w:i/>
        </w:rPr>
        <w:t>. против Суринама</w:t>
      </w:r>
      <w:r w:rsidRPr="00EB0BAF">
        <w:t>, Ком</w:t>
      </w:r>
      <w:r w:rsidRPr="00EB0BAF">
        <w:t>и</w:t>
      </w:r>
      <w:r w:rsidRPr="00EB0BAF">
        <w:t>тет сожалеет о том, что значительных подвижек в рассмотрении эт</w:t>
      </w:r>
      <w:r w:rsidR="006E6309">
        <w:t>ого</w:t>
      </w:r>
      <w:r w:rsidRPr="00EB0BAF">
        <w:t xml:space="preserve"> дел</w:t>
      </w:r>
      <w:r w:rsidR="006E6309">
        <w:t>а</w:t>
      </w:r>
      <w:r w:rsidRPr="00EB0BAF">
        <w:t xml:space="preserve"> не произошло (см. пункты</w:t>
      </w:r>
      <w:r>
        <w:t xml:space="preserve"> 21–</w:t>
      </w:r>
      <w:r w:rsidRPr="00EB0BAF">
        <w:t>22 настоящих заключительных замечаний) (статья 2).</w:t>
      </w:r>
    </w:p>
    <w:p w:rsidR="00EB0BAF" w:rsidRDefault="00EB0BAF" w:rsidP="00EB0BAF">
      <w:pPr>
        <w:pStyle w:val="SingleTxt"/>
        <w:rPr>
          <w:b/>
        </w:rPr>
      </w:pPr>
      <w:r w:rsidRPr="00EB0BAF">
        <w:t>8.</w:t>
      </w:r>
      <w:r w:rsidRPr="00EB0BAF">
        <w:tab/>
      </w:r>
      <w:r w:rsidRPr="00EB0BAF">
        <w:rPr>
          <w:b/>
        </w:rPr>
        <w:t>Государству-участнику следует предусмотреть конкретную процедуру для обеспечения полного соблюдения соображений, принятых Комитетом с</w:t>
      </w:r>
      <w:r w:rsidRPr="00EB0BAF">
        <w:rPr>
          <w:b/>
        </w:rPr>
        <w:t>о</w:t>
      </w:r>
      <w:r w:rsidRPr="00EB0BAF">
        <w:rPr>
          <w:b/>
        </w:rPr>
        <w:t>гласно Факультативному протоколу. Комитет подтверждает свою предыд</w:t>
      </w:r>
      <w:r w:rsidRPr="00EB0BAF">
        <w:rPr>
          <w:b/>
        </w:rPr>
        <w:t>у</w:t>
      </w:r>
      <w:r w:rsidRPr="00EB0BAF">
        <w:rPr>
          <w:b/>
        </w:rPr>
        <w:t xml:space="preserve">щую рекомендацию, в которой он настоятельно призвал государство-участник выполнить соображения Комитета по делу </w:t>
      </w:r>
      <w:r>
        <w:rPr>
          <w:b/>
          <w:i/>
        </w:rPr>
        <w:t>Баборам-Адхин и др.</w:t>
      </w:r>
      <w:r w:rsidRPr="00EB0BAF">
        <w:rPr>
          <w:b/>
          <w:i/>
        </w:rPr>
        <w:t xml:space="preserve"> против Суринама</w:t>
      </w:r>
      <w:r w:rsidRPr="00EB0BAF">
        <w:rPr>
          <w:b/>
        </w:rPr>
        <w:t xml:space="preserve"> (см. CCPR/CO/80/SUR, пункт </w:t>
      </w:r>
      <w:r>
        <w:rPr>
          <w:b/>
        </w:rPr>
        <w:t>8).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Default="00EB0BAF" w:rsidP="00EB0B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B0BAF">
        <w:t>Национальное правозащитное учреждение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EB0BAF">
      <w:pPr>
        <w:pStyle w:val="SingleTxt"/>
      </w:pPr>
      <w:r w:rsidRPr="00EB0BAF">
        <w:t>9.</w:t>
      </w:r>
      <w:r w:rsidRPr="00EB0BAF">
        <w:tab/>
        <w:t>Приветствуя учреждение 30 марта 2015 года Национального института по правам человека, Комитет сожалеет об отсутствии информации о мандате Инст</w:t>
      </w:r>
      <w:r w:rsidRPr="00EB0BAF">
        <w:t>и</w:t>
      </w:r>
      <w:r w:rsidRPr="00EB0BAF">
        <w:t>тута и предоставленных в его распоряжение ресурсах (статья 2).</w:t>
      </w:r>
    </w:p>
    <w:p w:rsidR="00EB0BAF" w:rsidRDefault="00EB0BAF" w:rsidP="00EB0BAF">
      <w:pPr>
        <w:pStyle w:val="SingleTxt"/>
      </w:pPr>
      <w:r w:rsidRPr="00EB0BAF">
        <w:t>10.</w:t>
      </w:r>
      <w:r w:rsidRPr="00EB0BAF">
        <w:tab/>
      </w:r>
      <w:r w:rsidRPr="00EB0BAF">
        <w:rPr>
          <w:b/>
        </w:rPr>
        <w:t>Государству-участнику следует принять меры для обеспечения эффе</w:t>
      </w:r>
      <w:r w:rsidRPr="00EB0BAF">
        <w:rPr>
          <w:b/>
        </w:rPr>
        <w:t>к</w:t>
      </w:r>
      <w:r w:rsidRPr="00EB0BAF">
        <w:rPr>
          <w:b/>
        </w:rPr>
        <w:t>тивного функционирования Национального института по правам человека, наделенного широким мандатом в области прав человека, и предоставления ему достаточных финансовых и кадровых ресурсов в соответствии с при</w:t>
      </w:r>
      <w:r w:rsidRPr="00EB0BAF">
        <w:rPr>
          <w:b/>
        </w:rPr>
        <w:t>н</w:t>
      </w:r>
      <w:r w:rsidRPr="00EB0BAF">
        <w:rPr>
          <w:b/>
        </w:rPr>
        <w:t xml:space="preserve">ципами, </w:t>
      </w:r>
      <w:r w:rsidRPr="00EB0BAF">
        <w:rPr>
          <w:b/>
          <w:bCs/>
        </w:rPr>
        <w:t>касающимися статуса национальных учреждений, занимающихся поощрением и защитой прав человека (Парижские принципы)</w:t>
      </w:r>
      <w:r w:rsidRPr="008B0AA2">
        <w:rPr>
          <w:b/>
          <w:bCs/>
        </w:rPr>
        <w:t>.</w:t>
      </w:r>
    </w:p>
    <w:p w:rsidR="00EB0BAF" w:rsidRPr="00EB0BAF" w:rsidRDefault="00EB0BAF" w:rsidP="00EB0BAF">
      <w:pPr>
        <w:pStyle w:val="SingleTxt"/>
        <w:spacing w:after="0" w:line="120" w:lineRule="exact"/>
        <w:rPr>
          <w:sz w:val="10"/>
        </w:rPr>
      </w:pPr>
    </w:p>
    <w:p w:rsidR="00EB0BAF" w:rsidRDefault="00EB0BAF" w:rsidP="00EB0B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B0BAF">
        <w:t>Недискриминация и равенство между мужчинами и женщинами</w:t>
      </w:r>
    </w:p>
    <w:p w:rsidR="00EB0BAF" w:rsidRPr="00EB0BAF" w:rsidRDefault="00EB0BAF" w:rsidP="00EB0BAF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6E6309">
      <w:pPr>
        <w:pStyle w:val="SingleTxt"/>
      </w:pPr>
      <w:r w:rsidRPr="00EB0BAF">
        <w:t>11.</w:t>
      </w:r>
      <w:r w:rsidRPr="00EB0BAF">
        <w:tab/>
      </w:r>
      <w:r w:rsidR="006E6309">
        <w:t>Приветствуя пред</w:t>
      </w:r>
      <w:r w:rsidRPr="00EB0BAF">
        <w:t xml:space="preserve">ставленную государством-участником информацию </w:t>
      </w:r>
      <w:r w:rsidR="006E6309">
        <w:t xml:space="preserve">о </w:t>
      </w:r>
      <w:r w:rsidRPr="00EB0BAF">
        <w:t>п</w:t>
      </w:r>
      <w:r w:rsidRPr="00EB0BAF">
        <w:t>о</w:t>
      </w:r>
      <w:r w:rsidR="006E6309">
        <w:t>правке к</w:t>
      </w:r>
      <w:r w:rsidRPr="00EB0BAF">
        <w:t xml:space="preserve"> Закон</w:t>
      </w:r>
      <w:r w:rsidR="006E6309">
        <w:t>у</w:t>
      </w:r>
      <w:r w:rsidRPr="00EB0BAF">
        <w:t xml:space="preserve"> о гражданстве и жительстве и предлагаемых поправ</w:t>
      </w:r>
      <w:r w:rsidR="006E6309">
        <w:t>ках к</w:t>
      </w:r>
      <w:r w:rsidRPr="00EB0BAF">
        <w:t xml:space="preserve"> Закон</w:t>
      </w:r>
      <w:r w:rsidR="006E6309">
        <w:t>у</w:t>
      </w:r>
      <w:r w:rsidRPr="00EB0BAF">
        <w:t xml:space="preserve"> о личности и Закон</w:t>
      </w:r>
      <w:r w:rsidR="004360B1">
        <w:t>у</w:t>
      </w:r>
      <w:r w:rsidRPr="00EB0BAF">
        <w:t xml:space="preserve"> о персонале, Комитет по-прежнему выражает обеспокое</w:t>
      </w:r>
      <w:r w:rsidRPr="00EB0BAF">
        <w:t>н</w:t>
      </w:r>
      <w:r w:rsidRPr="00EB0BAF">
        <w:t>ность в связи с сохранением в силе дискриминационных с гендерной точки зр</w:t>
      </w:r>
      <w:r w:rsidRPr="00EB0BAF">
        <w:t>е</w:t>
      </w:r>
      <w:r w:rsidRPr="00EB0BAF">
        <w:t>ния положений законодательства (см. CCPR/C/SUR/3, пункты 48 и 49)</w:t>
      </w:r>
      <w:r w:rsidRPr="00EB0BAF">
        <w:rPr>
          <w:iCs/>
        </w:rPr>
        <w:t xml:space="preserve"> </w:t>
      </w:r>
      <w:r w:rsidRPr="00EB0BAF">
        <w:t>(статьи</w:t>
      </w:r>
      <w:r>
        <w:t> </w:t>
      </w:r>
      <w:r w:rsidRPr="00EB0BAF">
        <w:t>2, 3, 23 и 26).</w:t>
      </w:r>
    </w:p>
    <w:p w:rsidR="00EB0BAF" w:rsidRDefault="00EB0BAF" w:rsidP="00EB0BAF">
      <w:pPr>
        <w:pStyle w:val="SingleTxt"/>
        <w:rPr>
          <w:b/>
        </w:rPr>
      </w:pPr>
      <w:r w:rsidRPr="00EB0BAF">
        <w:t>12.</w:t>
      </w:r>
      <w:r w:rsidRPr="00EB0BAF">
        <w:tab/>
      </w:r>
      <w:r w:rsidRPr="00EB0BAF">
        <w:rPr>
          <w:b/>
        </w:rPr>
        <w:t xml:space="preserve">Государству-участнику следует ускорить процесс пересмотра Закона </w:t>
      </w:r>
      <w:r w:rsidR="004360B1">
        <w:rPr>
          <w:b/>
        </w:rPr>
        <w:t>о личности и Закона о персонале</w:t>
      </w:r>
      <w:r w:rsidRPr="00EB0BAF">
        <w:rPr>
          <w:b/>
        </w:rPr>
        <w:t xml:space="preserve"> на предмет отмены или изменения полож</w:t>
      </w:r>
      <w:r w:rsidRPr="00EB0BAF">
        <w:rPr>
          <w:b/>
        </w:rPr>
        <w:t>е</w:t>
      </w:r>
      <w:r w:rsidRPr="00EB0BAF">
        <w:rPr>
          <w:b/>
        </w:rPr>
        <w:t>ний, не согласующихся с Пактом, включая положения, влекущие за собой дискриминацию по гендерному признаку. Государству-участнику следует принять надлежащие меры к тому, чтобы укреплять и поощрять равнопр</w:t>
      </w:r>
      <w:r w:rsidRPr="00EB0BAF">
        <w:rPr>
          <w:b/>
        </w:rPr>
        <w:t>а</w:t>
      </w:r>
      <w:r w:rsidRPr="00EB0BAF">
        <w:rPr>
          <w:b/>
        </w:rPr>
        <w:t>вие в свете принятого Комитетом замечания общего порядка № 28 (2000</w:t>
      </w:r>
      <w:r w:rsidR="004360B1">
        <w:rPr>
          <w:b/>
        </w:rPr>
        <w:t xml:space="preserve"> год</w:t>
      </w:r>
      <w:r w:rsidRPr="00EB0BAF">
        <w:rPr>
          <w:b/>
        </w:rPr>
        <w:t>) о равноправии мужчин и женщин.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Участие женщин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4360B1">
      <w:pPr>
        <w:pStyle w:val="SingleTxt"/>
      </w:pPr>
      <w:r w:rsidRPr="00EB0BAF">
        <w:t>13.</w:t>
      </w:r>
      <w:r w:rsidRPr="00EB0BAF">
        <w:tab/>
        <w:t>Отмечая увеличение числа женщин, участвующих в политической и общ</w:t>
      </w:r>
      <w:r w:rsidRPr="00EB0BAF">
        <w:t>е</w:t>
      </w:r>
      <w:r w:rsidRPr="00EB0BAF">
        <w:t>ственной жизни, Комитет сохраняет обеспокоенность по поводу того, что же</w:t>
      </w:r>
      <w:r w:rsidRPr="00EB0BAF">
        <w:t>н</w:t>
      </w:r>
      <w:r w:rsidRPr="00EB0BAF">
        <w:t>щины по-прежнему существенно недопредставлены на руководящих должностях в правительстве и местных органах власти, а также в частном секторе. Комитет принимает к сведению факт признания делегацией сохраняющейся обеспокое</w:t>
      </w:r>
      <w:r w:rsidRPr="00EB0BAF">
        <w:t>н</w:t>
      </w:r>
      <w:r w:rsidRPr="00EB0BAF">
        <w:t>ности в связи с тем, что женщины назнача</w:t>
      </w:r>
      <w:r w:rsidR="004360B1">
        <w:t>ются</w:t>
      </w:r>
      <w:r w:rsidRPr="00EB0BAF">
        <w:t xml:space="preserve"> на одни должности, а мужчины – на другие, что может порождать неравенство (статьи 3 и 26).</w:t>
      </w:r>
    </w:p>
    <w:p w:rsidR="00EB0BAF" w:rsidRDefault="00EB0BAF" w:rsidP="004360B1">
      <w:pPr>
        <w:pStyle w:val="SingleTxt"/>
        <w:rPr>
          <w:b/>
        </w:rPr>
      </w:pPr>
      <w:r w:rsidRPr="00EB0BAF">
        <w:t>14.</w:t>
      </w:r>
      <w:r w:rsidRPr="00EB0BAF">
        <w:tab/>
      </w:r>
      <w:r w:rsidRPr="00EB0BAF">
        <w:rPr>
          <w:b/>
        </w:rPr>
        <w:t>Государству-участнику следует и далее наращивать усилия по расш</w:t>
      </w:r>
      <w:r w:rsidRPr="00EB0BAF">
        <w:rPr>
          <w:b/>
        </w:rPr>
        <w:t>и</w:t>
      </w:r>
      <w:r w:rsidRPr="00EB0BAF">
        <w:rPr>
          <w:b/>
        </w:rPr>
        <w:t>рению участия женщин в политической и общественной сферах, в особенн</w:t>
      </w:r>
      <w:r w:rsidRPr="00EB0BAF">
        <w:rPr>
          <w:b/>
        </w:rPr>
        <w:t>о</w:t>
      </w:r>
      <w:r w:rsidRPr="00EB0BAF">
        <w:rPr>
          <w:b/>
        </w:rPr>
        <w:t>сти на руководящих должностях, в том числе, при необходимости, с пом</w:t>
      </w:r>
      <w:r w:rsidRPr="00EB0BAF">
        <w:rPr>
          <w:b/>
        </w:rPr>
        <w:t>о</w:t>
      </w:r>
      <w:r w:rsidRPr="00EB0BAF">
        <w:rPr>
          <w:b/>
        </w:rPr>
        <w:t xml:space="preserve">щью временных специальных мер. Ему </w:t>
      </w:r>
      <w:r w:rsidR="004360B1" w:rsidRPr="00EB0BAF">
        <w:rPr>
          <w:b/>
        </w:rPr>
        <w:t xml:space="preserve">следует </w:t>
      </w:r>
      <w:r w:rsidRPr="00EB0BAF">
        <w:rPr>
          <w:b/>
        </w:rPr>
        <w:t>также принять</w:t>
      </w:r>
      <w:r w:rsidR="004360B1">
        <w:rPr>
          <w:b/>
        </w:rPr>
        <w:t xml:space="preserve"> конкретные меры для искоренения</w:t>
      </w:r>
      <w:r w:rsidRPr="00EB0BAF">
        <w:rPr>
          <w:b/>
        </w:rPr>
        <w:t xml:space="preserve"> гендерных предубеждений и стереотипов относ</w:t>
      </w:r>
      <w:r w:rsidRPr="00EB0BAF">
        <w:rPr>
          <w:b/>
        </w:rPr>
        <w:t>и</w:t>
      </w:r>
      <w:r w:rsidRPr="00EB0BAF">
        <w:rPr>
          <w:b/>
        </w:rPr>
        <w:t>тельно роли и обязанностей мужчин и женщин в семье и обществе.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Минимальный возраст для вступления в брак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4360B1">
      <w:pPr>
        <w:pStyle w:val="SingleTxt"/>
      </w:pPr>
      <w:r w:rsidRPr="00EB0BAF">
        <w:t>15.</w:t>
      </w:r>
      <w:r w:rsidRPr="00EB0BAF">
        <w:tab/>
        <w:t>Комитет отмечает, что в течение рассматриваемого периода минимальный возраст для вступления в брак был увеличен до 15 лет для женщин и 17 лет для мужчин и что в соответствии с проектом поправки к Гражданскому кодексу, в настоящее время находящимся на рассмотрении в Национальной ассамблее, м</w:t>
      </w:r>
      <w:r w:rsidRPr="00EB0BAF">
        <w:t>и</w:t>
      </w:r>
      <w:r w:rsidRPr="00EB0BAF">
        <w:t xml:space="preserve">нимальный возраст предлагается установить на уровне 18 лет как </w:t>
      </w:r>
      <w:r w:rsidR="004360B1">
        <w:t xml:space="preserve">для </w:t>
      </w:r>
      <w:r w:rsidRPr="00EB0BAF">
        <w:t xml:space="preserve">мужчин, так и </w:t>
      </w:r>
      <w:r w:rsidR="004360B1">
        <w:t xml:space="preserve">для </w:t>
      </w:r>
      <w:r w:rsidRPr="00EB0BAF">
        <w:t>женщин. Комитет по-прежнему обеспокоен тем, что действующий м</w:t>
      </w:r>
      <w:r w:rsidRPr="00EB0BAF">
        <w:t>и</w:t>
      </w:r>
      <w:r w:rsidRPr="00EB0BAF">
        <w:t>нимальный возраст для вступления в брак остается слишком низким и что пр</w:t>
      </w:r>
      <w:r w:rsidRPr="00EB0BAF">
        <w:t>о</w:t>
      </w:r>
      <w:r w:rsidRPr="00EB0BAF">
        <w:t>водятся различия по признаку пола (статьи 3, 23 и 24).</w:t>
      </w:r>
    </w:p>
    <w:p w:rsidR="00EB0BAF" w:rsidRDefault="00EB0BAF" w:rsidP="004360B1">
      <w:pPr>
        <w:pStyle w:val="SingleTxt"/>
        <w:rPr>
          <w:b/>
        </w:rPr>
      </w:pPr>
      <w:r w:rsidRPr="00EB0BAF">
        <w:t>16.</w:t>
      </w:r>
      <w:r w:rsidRPr="00EB0BAF">
        <w:tab/>
      </w:r>
      <w:r w:rsidRPr="00EB0BAF">
        <w:rPr>
          <w:b/>
        </w:rPr>
        <w:t>Государству-участнику следует ликвидировать дискриминацию по пр</w:t>
      </w:r>
      <w:r w:rsidRPr="00EB0BAF">
        <w:rPr>
          <w:b/>
        </w:rPr>
        <w:t>и</w:t>
      </w:r>
      <w:r w:rsidRPr="00EB0BAF">
        <w:rPr>
          <w:b/>
        </w:rPr>
        <w:t xml:space="preserve">знаку пола в отношении минимального брачного возраста. Ему следует </w:t>
      </w:r>
      <w:r w:rsidR="004360B1" w:rsidRPr="00EB0BAF">
        <w:rPr>
          <w:b/>
        </w:rPr>
        <w:t>та</w:t>
      </w:r>
      <w:r w:rsidR="004360B1" w:rsidRPr="00EB0BAF">
        <w:rPr>
          <w:b/>
        </w:rPr>
        <w:t>к</w:t>
      </w:r>
      <w:r w:rsidR="004360B1" w:rsidRPr="00EB0BAF">
        <w:rPr>
          <w:b/>
        </w:rPr>
        <w:t xml:space="preserve">же </w:t>
      </w:r>
      <w:r w:rsidRPr="00EB0BAF">
        <w:rPr>
          <w:b/>
        </w:rPr>
        <w:t>внести поправки в свои законы, с тем чтобы привести минимальный возраст для вступления в брак в соответствие с международными станда</w:t>
      </w:r>
      <w:r w:rsidRPr="00EB0BAF">
        <w:rPr>
          <w:b/>
        </w:rPr>
        <w:t>р</w:t>
      </w:r>
      <w:r w:rsidRPr="00EB0BAF">
        <w:rPr>
          <w:b/>
        </w:rPr>
        <w:t>тами.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Чрезвычайное положение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4360B1">
      <w:pPr>
        <w:pStyle w:val="SingleTxt"/>
      </w:pPr>
      <w:r w:rsidRPr="00EB0BAF">
        <w:t>17.</w:t>
      </w:r>
      <w:r w:rsidRPr="00EB0BAF">
        <w:tab/>
        <w:t>Комитет вновь подчеркивает, что государство-участник допускает слишком широкое толкование того, при каких обстоятельствах может быть объявлено чрезвычайное положение или иным образом ограничены те или иные права в с</w:t>
      </w:r>
      <w:r w:rsidRPr="00EB0BAF">
        <w:t>о</w:t>
      </w:r>
      <w:r w:rsidRPr="00EB0BAF">
        <w:t>ответствии со статьей 23 Конституции (см. CCPR/CO/80/SUR, пункт 9). Комитет с обеспокоенностью отмечает</w:t>
      </w:r>
      <w:r w:rsidR="004360B1" w:rsidRPr="004360B1">
        <w:t xml:space="preserve"> </w:t>
      </w:r>
      <w:r w:rsidR="004360B1" w:rsidRPr="00EB0BAF">
        <w:t>также</w:t>
      </w:r>
      <w:r w:rsidRPr="00EB0BAF">
        <w:t>, что в законодательстве государства-участника не уточняется</w:t>
      </w:r>
      <w:r w:rsidR="004360B1">
        <w:t xml:space="preserve"> круг прав</w:t>
      </w:r>
      <w:r w:rsidRPr="00EB0BAF">
        <w:t xml:space="preserve">, действие </w:t>
      </w:r>
      <w:r w:rsidR="004360B1">
        <w:t>которых</w:t>
      </w:r>
      <w:r w:rsidRPr="00EB0BAF">
        <w:t xml:space="preserve"> не может быть ограничено или приостановлено ни при каких обстоятельствах (статья 4).</w:t>
      </w:r>
    </w:p>
    <w:p w:rsidR="00EB0BAF" w:rsidRDefault="00EB0BAF" w:rsidP="004360B1">
      <w:pPr>
        <w:pStyle w:val="SingleTxt"/>
        <w:rPr>
          <w:b/>
        </w:rPr>
      </w:pPr>
      <w:r w:rsidRPr="00EB0BAF">
        <w:t>18.</w:t>
      </w:r>
      <w:r w:rsidRPr="00EB0BAF">
        <w:tab/>
      </w:r>
      <w:r w:rsidRPr="00EB0BAF">
        <w:rPr>
          <w:b/>
        </w:rPr>
        <w:t>Государству-участнику следует предпринять необходимые шаги для обеспечения того, что</w:t>
      </w:r>
      <w:r w:rsidR="004360B1">
        <w:rPr>
          <w:b/>
        </w:rPr>
        <w:t>бы</w:t>
      </w:r>
      <w:r w:rsidRPr="00EB0BAF">
        <w:rPr>
          <w:b/>
        </w:rPr>
        <w:t xml:space="preserve"> права ограничива</w:t>
      </w:r>
      <w:r w:rsidR="004360B1">
        <w:rPr>
          <w:b/>
        </w:rPr>
        <w:t>лись</w:t>
      </w:r>
      <w:r w:rsidRPr="00EB0BAF">
        <w:rPr>
          <w:b/>
        </w:rPr>
        <w:t xml:space="preserve"> </w:t>
      </w:r>
      <w:r w:rsidR="004360B1">
        <w:rPr>
          <w:b/>
        </w:rPr>
        <w:t>исключительно</w:t>
      </w:r>
      <w:r w:rsidRPr="00EB0BAF">
        <w:rPr>
          <w:b/>
        </w:rPr>
        <w:t xml:space="preserve"> в соотве</w:t>
      </w:r>
      <w:r w:rsidRPr="00EB0BAF">
        <w:rPr>
          <w:b/>
        </w:rPr>
        <w:t>т</w:t>
      </w:r>
      <w:r w:rsidRPr="00EB0BAF">
        <w:rPr>
          <w:b/>
        </w:rPr>
        <w:t xml:space="preserve">ствии с Пактом, в частности </w:t>
      </w:r>
      <w:r w:rsidR="004360B1">
        <w:rPr>
          <w:b/>
        </w:rPr>
        <w:t>при соблюдении</w:t>
      </w:r>
      <w:r w:rsidRPr="00EB0BAF">
        <w:rPr>
          <w:b/>
        </w:rPr>
        <w:t xml:space="preserve"> принципов исключительной угрозы, соразмерности и недискриминации, а также недопустимости отсту</w:t>
      </w:r>
      <w:r w:rsidRPr="00EB0BAF">
        <w:rPr>
          <w:b/>
        </w:rPr>
        <w:t>п</w:t>
      </w:r>
      <w:r w:rsidRPr="00EB0BAF">
        <w:rPr>
          <w:b/>
        </w:rPr>
        <w:t>ления от основополагающих прав, упоминаемых в статье 4. Комитет обр</w:t>
      </w:r>
      <w:r w:rsidRPr="00EB0BAF">
        <w:rPr>
          <w:b/>
        </w:rPr>
        <w:t>а</w:t>
      </w:r>
      <w:r w:rsidRPr="00EB0BAF">
        <w:rPr>
          <w:b/>
        </w:rPr>
        <w:t>щает внимание государства-участника на свое замечание общего порядка № 29 (2001</w:t>
      </w:r>
      <w:r w:rsidR="004360B1">
        <w:rPr>
          <w:b/>
        </w:rPr>
        <w:t xml:space="preserve"> год</w:t>
      </w:r>
      <w:r w:rsidRPr="00EB0BAF">
        <w:rPr>
          <w:b/>
        </w:rPr>
        <w:t xml:space="preserve">), в котором Комитет рассматривает вопрос </w:t>
      </w:r>
      <w:r w:rsidR="004360B1">
        <w:rPr>
          <w:b/>
        </w:rPr>
        <w:t xml:space="preserve">о </w:t>
      </w:r>
      <w:r w:rsidRPr="00EB0BAF">
        <w:rPr>
          <w:b/>
        </w:rPr>
        <w:t>временно</w:t>
      </w:r>
      <w:r w:rsidR="004360B1">
        <w:rPr>
          <w:b/>
        </w:rPr>
        <w:t>м</w:t>
      </w:r>
      <w:r w:rsidRPr="00EB0BAF">
        <w:rPr>
          <w:b/>
        </w:rPr>
        <w:t xml:space="preserve"> о</w:t>
      </w:r>
      <w:r w:rsidRPr="00EB0BAF">
        <w:rPr>
          <w:b/>
        </w:rPr>
        <w:t>т</w:t>
      </w:r>
      <w:r w:rsidRPr="00EB0BAF">
        <w:rPr>
          <w:b/>
        </w:rPr>
        <w:t>ступле</w:t>
      </w:r>
      <w:r w:rsidR="004360B1">
        <w:rPr>
          <w:b/>
        </w:rPr>
        <w:t>нии</w:t>
      </w:r>
      <w:r w:rsidRPr="00EB0BAF">
        <w:rPr>
          <w:b/>
        </w:rPr>
        <w:t xml:space="preserve"> от обязательств в связи с чрезвычайным положением.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Смертная казнь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4360B1">
      <w:pPr>
        <w:pStyle w:val="SingleTxt"/>
      </w:pPr>
      <w:r w:rsidRPr="00EB0BAF">
        <w:t>19.</w:t>
      </w:r>
      <w:r w:rsidRPr="00EB0BAF">
        <w:tab/>
        <w:t>Приветствуя тот факт, что 13 апреля 2015 года смертная казнь была искл</w:t>
      </w:r>
      <w:r w:rsidRPr="00EB0BAF">
        <w:t>ю</w:t>
      </w:r>
      <w:r w:rsidRPr="00EB0BAF">
        <w:t>чена из Уголовного кодекса, Комитет</w:t>
      </w:r>
      <w:r w:rsidR="004360B1">
        <w:t>, тем не менее,</w:t>
      </w:r>
      <w:r w:rsidRPr="00EB0BAF">
        <w:t xml:space="preserve"> сожалеет о том, что госуда</w:t>
      </w:r>
      <w:r w:rsidRPr="00EB0BAF">
        <w:t>р</w:t>
      </w:r>
      <w:r w:rsidRPr="00EB0BAF">
        <w:t>ство-участник до сих пор не внесло</w:t>
      </w:r>
      <w:r w:rsidR="004360B1">
        <w:t xml:space="preserve"> соответствующие</w:t>
      </w:r>
      <w:r w:rsidRPr="00EB0BAF">
        <w:t xml:space="preserve"> поправ</w:t>
      </w:r>
      <w:r w:rsidR="004360B1">
        <w:t>ки</w:t>
      </w:r>
      <w:r w:rsidRPr="00EB0BAF">
        <w:t xml:space="preserve"> в свой Военно-уголовный кодекс (статья 6).</w:t>
      </w:r>
    </w:p>
    <w:p w:rsidR="00EB0BAF" w:rsidRDefault="00EB0BAF" w:rsidP="004360B1">
      <w:pPr>
        <w:pStyle w:val="SingleTxt"/>
        <w:rPr>
          <w:b/>
        </w:rPr>
      </w:pPr>
      <w:r w:rsidRPr="00EB0BAF">
        <w:t>20.</w:t>
      </w:r>
      <w:r w:rsidRPr="00EB0BAF">
        <w:tab/>
      </w:r>
      <w:r w:rsidRPr="00EB0BAF">
        <w:rPr>
          <w:b/>
        </w:rPr>
        <w:t xml:space="preserve">Государству-участнику следует предпринять все </w:t>
      </w:r>
      <w:r w:rsidR="004360B1" w:rsidRPr="00EB0BAF">
        <w:rPr>
          <w:b/>
        </w:rPr>
        <w:t xml:space="preserve">необходимые </w:t>
      </w:r>
      <w:r w:rsidR="004360B1">
        <w:rPr>
          <w:b/>
        </w:rPr>
        <w:t>шаги</w:t>
      </w:r>
      <w:r w:rsidRPr="00EB0BAF">
        <w:rPr>
          <w:b/>
        </w:rPr>
        <w:t xml:space="preserve"> для отмены смертной казни в </w:t>
      </w:r>
      <w:r w:rsidR="004360B1">
        <w:rPr>
          <w:b/>
        </w:rPr>
        <w:t>военно</w:t>
      </w:r>
      <w:r w:rsidRPr="00EB0BAF">
        <w:rPr>
          <w:b/>
        </w:rPr>
        <w:t>м законодательств</w:t>
      </w:r>
      <w:r w:rsidR="004360B1">
        <w:rPr>
          <w:b/>
        </w:rPr>
        <w:t>е</w:t>
      </w:r>
      <w:r w:rsidRPr="00EB0BAF">
        <w:rPr>
          <w:b/>
        </w:rPr>
        <w:t>. Комитет призывает государство-участник рассмотреть возможность присоединения ко второму Факультативному протоколу к Международному пакту о гражданских и п</w:t>
      </w:r>
      <w:r w:rsidRPr="00EB0BAF">
        <w:rPr>
          <w:b/>
        </w:rPr>
        <w:t>о</w:t>
      </w:r>
      <w:r w:rsidRPr="00EB0BAF">
        <w:rPr>
          <w:b/>
        </w:rPr>
        <w:t>литических правах, направленному на отмену смертной казни.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Безнаказанность совершенных в прошлом нарушений прав человека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4360B1">
      <w:pPr>
        <w:pStyle w:val="SingleTxt"/>
      </w:pPr>
      <w:r w:rsidRPr="00EB0BAF">
        <w:t>21.</w:t>
      </w:r>
      <w:r w:rsidRPr="00EB0BAF">
        <w:tab/>
        <w:t>Комитет обеспокоен тем, что в апреле 2012 года Национальная ассамблея приняла поправку к Закону об амнистии 1992</w:t>
      </w:r>
      <w:r w:rsidR="004360B1">
        <w:t xml:space="preserve"> года, в соответствии с которо</w:t>
      </w:r>
      <w:r w:rsidRPr="00EB0BAF">
        <w:t>й под действие амнистии попал период с апреля 1980 года по август 1992 года. Ком</w:t>
      </w:r>
      <w:r w:rsidRPr="00EB0BAF">
        <w:t>и</w:t>
      </w:r>
      <w:r w:rsidRPr="00EB0BAF">
        <w:t xml:space="preserve">тет </w:t>
      </w:r>
      <w:r w:rsidR="004360B1" w:rsidRPr="00EB0BAF">
        <w:t xml:space="preserve">выражает </w:t>
      </w:r>
      <w:r w:rsidRPr="00EB0BAF">
        <w:t>также обеспокоенность по поводу того, что государство-участник пользуется данной поправкой и отсутствием подлежащего созданию конституц</w:t>
      </w:r>
      <w:r w:rsidRPr="00EB0BAF">
        <w:t>и</w:t>
      </w:r>
      <w:r w:rsidRPr="00EB0BAF">
        <w:t xml:space="preserve">онного суда для того, чтобы вопреки соображениям, </w:t>
      </w:r>
      <w:r w:rsidR="004360B1">
        <w:t>принятым</w:t>
      </w:r>
      <w:r w:rsidRPr="00EB0BAF">
        <w:t xml:space="preserve"> Комитетом по д</w:t>
      </w:r>
      <w:r w:rsidRPr="00EB0BAF">
        <w:t>е</w:t>
      </w:r>
      <w:r w:rsidRPr="00EB0BAF">
        <w:t xml:space="preserve">лу </w:t>
      </w:r>
      <w:r w:rsidRPr="00EB0BAF">
        <w:rPr>
          <w:i/>
        </w:rPr>
        <w:t>Баборам-Адхин и др</w:t>
      </w:r>
      <w:r w:rsidR="009A3BB2">
        <w:rPr>
          <w:i/>
        </w:rPr>
        <w:t>.</w:t>
      </w:r>
      <w:r w:rsidRPr="00EB0BAF">
        <w:rPr>
          <w:iCs/>
        </w:rPr>
        <w:t>,</w:t>
      </w:r>
      <w:r w:rsidRPr="00EB0BAF">
        <w:t xml:space="preserve"> </w:t>
      </w:r>
      <w:r w:rsidR="004360B1" w:rsidRPr="00EB0BAF">
        <w:t xml:space="preserve">приостановить </w:t>
      </w:r>
      <w:r w:rsidRPr="00EB0BAF">
        <w:t>судебное преследование президента Дези</w:t>
      </w:r>
      <w:r w:rsidR="004360B1">
        <w:t>ре</w:t>
      </w:r>
      <w:r w:rsidRPr="00EB0BAF">
        <w:t xml:space="preserve"> Баутерсе и 24 других лиц, обвиняемых во внесудебных казнях 15 полит</w:t>
      </w:r>
      <w:r w:rsidRPr="00EB0BAF">
        <w:t>и</w:t>
      </w:r>
      <w:r w:rsidRPr="00EB0BAF">
        <w:t xml:space="preserve">ческих оппонентов в декабре 1982 года. </w:t>
      </w:r>
      <w:r w:rsidR="004360B1">
        <w:t>Кроме того</w:t>
      </w:r>
      <w:r w:rsidRPr="00EB0BAF">
        <w:t>, безнаказанными по-прежнему остаются массовые расправы в Мойване</w:t>
      </w:r>
      <w:r w:rsidRPr="00EB0BAF">
        <w:rPr>
          <w:iCs/>
        </w:rPr>
        <w:t xml:space="preserve"> </w:t>
      </w:r>
      <w:r w:rsidR="004360B1">
        <w:rPr>
          <w:iCs/>
        </w:rPr>
        <w:t>в 1986 году</w:t>
      </w:r>
      <w:r w:rsidRPr="00EB0BAF">
        <w:rPr>
          <w:iCs/>
        </w:rPr>
        <w:t xml:space="preserve"> </w:t>
      </w:r>
      <w:r w:rsidRPr="00EB0BAF">
        <w:t xml:space="preserve">и другие грубые нарушения прав человека, имевшие место в период </w:t>
      </w:r>
      <w:r w:rsidRPr="00EB0BAF">
        <w:rPr>
          <w:iCs/>
        </w:rPr>
        <w:t>существовавшего де-факто военного режима.</w:t>
      </w:r>
      <w:r w:rsidRPr="00EB0BAF">
        <w:t xml:space="preserve"> Наконец, Комитет с обеспокоенностью отмечает, что, как было признано делегацией, некоторые свидетели не желают давать показания по делу о событиях в Мойване (статьи 6 и 7).</w:t>
      </w:r>
    </w:p>
    <w:p w:rsidR="00EB0BAF" w:rsidRDefault="00EB0BAF" w:rsidP="00CC2E8C">
      <w:pPr>
        <w:pStyle w:val="SingleTxt"/>
        <w:keepNext/>
        <w:keepLines/>
        <w:rPr>
          <w:b/>
        </w:rPr>
      </w:pPr>
      <w:r w:rsidRPr="00EB0BAF">
        <w:t>22.</w:t>
      </w:r>
      <w:r w:rsidRPr="00EB0BAF">
        <w:tab/>
      </w:r>
      <w:r w:rsidRPr="00EB0BAF">
        <w:rPr>
          <w:b/>
        </w:rPr>
        <w:t xml:space="preserve">Ссылаясь на свою предыдущую рекомендацию (см. CCPR/CO/80/SUR, пункт 7), Комитет настоятельно призывает государство-участник отменить Закон об амнистии. Государству-участнику </w:t>
      </w:r>
      <w:r w:rsidR="00CC2E8C" w:rsidRPr="00EB0BAF">
        <w:rPr>
          <w:b/>
        </w:rPr>
        <w:t xml:space="preserve">следует </w:t>
      </w:r>
      <w:r w:rsidRPr="00EB0BAF">
        <w:rPr>
          <w:b/>
        </w:rPr>
        <w:t>также незамедлительно начать соблюдать требования международного права прав человека об обе</w:t>
      </w:r>
      <w:r w:rsidRPr="00EB0BAF">
        <w:rPr>
          <w:b/>
        </w:rPr>
        <w:t>с</w:t>
      </w:r>
      <w:r w:rsidRPr="00EB0BAF">
        <w:rPr>
          <w:b/>
        </w:rPr>
        <w:t>печении подотчетности лиц, виновных в серьезных нарушения</w:t>
      </w:r>
      <w:r w:rsidR="00CC2E8C">
        <w:rPr>
          <w:b/>
        </w:rPr>
        <w:t>х</w:t>
      </w:r>
      <w:r w:rsidRPr="00EB0BAF">
        <w:rPr>
          <w:b/>
        </w:rPr>
        <w:t xml:space="preserve"> прав чел</w:t>
      </w:r>
      <w:r w:rsidRPr="00EB0BAF">
        <w:rPr>
          <w:b/>
        </w:rPr>
        <w:t>о</w:t>
      </w:r>
      <w:r w:rsidRPr="00EB0BAF">
        <w:rPr>
          <w:b/>
        </w:rPr>
        <w:t>века, в связи с которыми государство несет обязательство привле</w:t>
      </w:r>
      <w:r w:rsidR="00CC2E8C">
        <w:rPr>
          <w:b/>
        </w:rPr>
        <w:t>чь</w:t>
      </w:r>
      <w:r w:rsidRPr="00EB0BAF">
        <w:rPr>
          <w:b/>
        </w:rPr>
        <w:t xml:space="preserve"> вино</w:t>
      </w:r>
      <w:r w:rsidRPr="00EB0BAF">
        <w:rPr>
          <w:b/>
        </w:rPr>
        <w:t>в</w:t>
      </w:r>
      <w:r w:rsidRPr="00EB0BAF">
        <w:rPr>
          <w:b/>
        </w:rPr>
        <w:t>н</w:t>
      </w:r>
      <w:r w:rsidR="00CC2E8C">
        <w:rPr>
          <w:b/>
        </w:rPr>
        <w:t>ых</w:t>
      </w:r>
      <w:r w:rsidRPr="00EB0BAF">
        <w:rPr>
          <w:b/>
        </w:rPr>
        <w:t xml:space="preserve"> к судебной ответственности, в том числе доведя до конца незаверше</w:t>
      </w:r>
      <w:r w:rsidRPr="00EB0BAF">
        <w:rPr>
          <w:b/>
        </w:rPr>
        <w:t>н</w:t>
      </w:r>
      <w:r w:rsidRPr="00EB0BAF">
        <w:rPr>
          <w:b/>
        </w:rPr>
        <w:t>ные уголовные преследования. В этой связи Комитет обращает внимание на свое замечание общего порядка № 31 (2004</w:t>
      </w:r>
      <w:r w:rsidR="00CC2E8C">
        <w:rPr>
          <w:b/>
        </w:rPr>
        <w:t xml:space="preserve"> год</w:t>
      </w:r>
      <w:r w:rsidRPr="00EB0BAF">
        <w:rPr>
          <w:b/>
        </w:rPr>
        <w:t>) о характере общего юрид</w:t>
      </w:r>
      <w:r w:rsidRPr="00EB0BAF">
        <w:rPr>
          <w:b/>
        </w:rPr>
        <w:t>и</w:t>
      </w:r>
      <w:r w:rsidRPr="00EB0BAF">
        <w:rPr>
          <w:b/>
        </w:rPr>
        <w:t>ческого обязательс</w:t>
      </w:r>
      <w:r w:rsidR="009A3BB2">
        <w:rPr>
          <w:b/>
        </w:rPr>
        <w:t xml:space="preserve">тва, налагаемого на государства – </w:t>
      </w:r>
      <w:r w:rsidRPr="00EB0BAF">
        <w:rPr>
          <w:b/>
        </w:rPr>
        <w:t xml:space="preserve">участники Пакта, в частности на пункт 18, в котором Комитет заявляет, что государства-участники не могут освобождать от личной ответственности </w:t>
      </w:r>
      <w:r w:rsidR="00CC2E8C">
        <w:rPr>
          <w:b/>
        </w:rPr>
        <w:t xml:space="preserve">лиц, </w:t>
      </w:r>
      <w:r w:rsidRPr="00EB0BAF">
        <w:rPr>
          <w:b/>
        </w:rPr>
        <w:t xml:space="preserve">виновных в совершении таких деяний, как пытки, произвольные или внесудебные казни или насильственные исчезновения. Государству-участнику следует </w:t>
      </w:r>
      <w:r w:rsidR="00CC2E8C" w:rsidRPr="00EB0BAF">
        <w:rPr>
          <w:b/>
        </w:rPr>
        <w:t xml:space="preserve">обеспечить </w:t>
      </w:r>
      <w:r w:rsidRPr="00EB0BAF">
        <w:rPr>
          <w:b/>
        </w:rPr>
        <w:t>также эффективную защиту свидетелей и добросовестно рассл</w:t>
      </w:r>
      <w:r w:rsidRPr="00EB0BAF">
        <w:rPr>
          <w:b/>
        </w:rPr>
        <w:t>е</w:t>
      </w:r>
      <w:r w:rsidRPr="00EB0BAF">
        <w:rPr>
          <w:b/>
        </w:rPr>
        <w:t>довать все предполагаемые случаи запугивания свидетелей.</w:t>
      </w:r>
    </w:p>
    <w:p w:rsidR="009A3BB2" w:rsidRPr="009A3BB2" w:rsidRDefault="009A3BB2" w:rsidP="009A3BB2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Запрещение пыток и неправомерного обращения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CC2E8C">
      <w:pPr>
        <w:pStyle w:val="SingleTxt"/>
      </w:pPr>
      <w:r w:rsidRPr="00EB0BAF">
        <w:t>23.</w:t>
      </w:r>
      <w:r w:rsidRPr="00EB0BAF">
        <w:tab/>
        <w:t>Комитет обеспокоен тем, что уголовное законодательство государства-участника должным образом не обеспечивает полную уголовную ответстве</w:t>
      </w:r>
      <w:r w:rsidRPr="00EB0BAF">
        <w:t>н</w:t>
      </w:r>
      <w:r w:rsidRPr="00EB0BAF">
        <w:t xml:space="preserve">ность за </w:t>
      </w:r>
      <w:r w:rsidR="00CC2E8C">
        <w:t>акты</w:t>
      </w:r>
      <w:r w:rsidRPr="00EB0BAF">
        <w:t>, подпадающие под международно признанное определение пыт</w:t>
      </w:r>
      <w:r w:rsidR="00CC2E8C">
        <w:t>ки</w:t>
      </w:r>
      <w:r w:rsidRPr="00EB0BAF">
        <w:t xml:space="preserve">. Комитет </w:t>
      </w:r>
      <w:r w:rsidR="00CC2E8C" w:rsidRPr="00EB0BAF">
        <w:t xml:space="preserve">выражает </w:t>
      </w:r>
      <w:r w:rsidRPr="00EB0BAF">
        <w:t>также обеспокоенность в связи с отсутствием как независим</w:t>
      </w:r>
      <w:r w:rsidRPr="00EB0BAF">
        <w:t>о</w:t>
      </w:r>
      <w:r w:rsidRPr="00EB0BAF">
        <w:t>го органа по рассмотрению таких жалоб, так и эффективной системы предупр</w:t>
      </w:r>
      <w:r w:rsidRPr="00EB0BAF">
        <w:t>е</w:t>
      </w:r>
      <w:r w:rsidRPr="00EB0BAF">
        <w:t>ждения пыток (статья 7).</w:t>
      </w:r>
    </w:p>
    <w:p w:rsidR="00EB0BAF" w:rsidRDefault="00EB0BAF" w:rsidP="00CC2E8C">
      <w:pPr>
        <w:pStyle w:val="SingleTxt"/>
        <w:rPr>
          <w:b/>
        </w:rPr>
      </w:pPr>
      <w:r w:rsidRPr="00EB0BAF">
        <w:t>24.</w:t>
      </w:r>
      <w:r w:rsidRPr="00EB0BAF">
        <w:tab/>
      </w:r>
      <w:r w:rsidRPr="00EB0BAF">
        <w:rPr>
          <w:b/>
        </w:rPr>
        <w:t xml:space="preserve">Государству-участнику следует внести поправки в Уголовный кодекс </w:t>
      </w:r>
      <w:r w:rsidR="00CC2E8C">
        <w:rPr>
          <w:b/>
        </w:rPr>
        <w:t>в</w:t>
      </w:r>
      <w:r w:rsidRPr="00EB0BAF">
        <w:rPr>
          <w:b/>
        </w:rPr>
        <w:t xml:space="preserve"> цел</w:t>
      </w:r>
      <w:r w:rsidR="00CC2E8C">
        <w:rPr>
          <w:b/>
        </w:rPr>
        <w:t>ях</w:t>
      </w:r>
      <w:r w:rsidRPr="00EB0BAF">
        <w:rPr>
          <w:b/>
        </w:rPr>
        <w:t xml:space="preserve"> включения определения пытки, которое в полной мере соответств</w:t>
      </w:r>
      <w:r w:rsidRPr="00EB0BAF">
        <w:rPr>
          <w:b/>
        </w:rPr>
        <w:t>о</w:t>
      </w:r>
      <w:r w:rsidRPr="00EB0BAF">
        <w:rPr>
          <w:b/>
        </w:rPr>
        <w:t xml:space="preserve">вало </w:t>
      </w:r>
      <w:r w:rsidR="00CC2E8C" w:rsidRPr="00EB0BAF">
        <w:rPr>
          <w:b/>
        </w:rPr>
        <w:t xml:space="preserve">бы </w:t>
      </w:r>
      <w:r w:rsidRPr="00EB0BAF">
        <w:rPr>
          <w:b/>
        </w:rPr>
        <w:t>положениям статьи 7 Пакта и другим международно установле</w:t>
      </w:r>
      <w:r w:rsidRPr="00EB0BAF">
        <w:rPr>
          <w:b/>
        </w:rPr>
        <w:t>н</w:t>
      </w:r>
      <w:r w:rsidRPr="00EB0BAF">
        <w:rPr>
          <w:b/>
        </w:rPr>
        <w:t xml:space="preserve">ным нормам. Ему </w:t>
      </w:r>
      <w:r w:rsidR="00CC2E8C" w:rsidRPr="00EB0BAF">
        <w:rPr>
          <w:b/>
        </w:rPr>
        <w:t xml:space="preserve">следует </w:t>
      </w:r>
      <w:r w:rsidRPr="00EB0BAF">
        <w:rPr>
          <w:b/>
        </w:rPr>
        <w:t>также учредить независимый механизм рассмо</w:t>
      </w:r>
      <w:r w:rsidRPr="00EB0BAF">
        <w:rPr>
          <w:b/>
        </w:rPr>
        <w:t>т</w:t>
      </w:r>
      <w:r w:rsidRPr="00EB0BAF">
        <w:rPr>
          <w:b/>
        </w:rPr>
        <w:t>рения жалоб, уполномоченный расследовать все утверждения и жалобы в отношении актов пыток и неправомерного обращения. Кроме того, госуда</w:t>
      </w:r>
      <w:r w:rsidRPr="00EB0BAF">
        <w:rPr>
          <w:b/>
        </w:rPr>
        <w:t>р</w:t>
      </w:r>
      <w:r w:rsidRPr="00EB0BAF">
        <w:rPr>
          <w:b/>
        </w:rPr>
        <w:t xml:space="preserve">ству-участнику следует обеспечить, чтобы </w:t>
      </w:r>
      <w:r w:rsidR="00CC2E8C">
        <w:rPr>
          <w:b/>
        </w:rPr>
        <w:t xml:space="preserve">лица, предположительно </w:t>
      </w:r>
      <w:r w:rsidRPr="00EB0BAF">
        <w:rPr>
          <w:b/>
        </w:rPr>
        <w:t>вино</w:t>
      </w:r>
      <w:r w:rsidRPr="00EB0BAF">
        <w:rPr>
          <w:b/>
        </w:rPr>
        <w:t>в</w:t>
      </w:r>
      <w:r w:rsidRPr="00EB0BAF">
        <w:rPr>
          <w:b/>
        </w:rPr>
        <w:t>н</w:t>
      </w:r>
      <w:r w:rsidR="00CC2E8C">
        <w:rPr>
          <w:b/>
        </w:rPr>
        <w:t>ые в совершении</w:t>
      </w:r>
      <w:r w:rsidRPr="00EB0BAF">
        <w:rPr>
          <w:b/>
        </w:rPr>
        <w:t xml:space="preserve"> таких преступлений</w:t>
      </w:r>
      <w:r w:rsidR="00CC2E8C">
        <w:rPr>
          <w:b/>
        </w:rPr>
        <w:t>,</w:t>
      </w:r>
      <w:r w:rsidRPr="00EB0BAF">
        <w:rPr>
          <w:b/>
        </w:rPr>
        <w:t xml:space="preserve"> привлекались к судебной отве</w:t>
      </w:r>
      <w:r w:rsidRPr="00EB0BAF">
        <w:rPr>
          <w:b/>
        </w:rPr>
        <w:t>т</w:t>
      </w:r>
      <w:r w:rsidRPr="00EB0BAF">
        <w:rPr>
          <w:b/>
        </w:rPr>
        <w:t>ственности, а жертвы получали надлежащую компенсацию. Комитет приз</w:t>
      </w:r>
      <w:r w:rsidRPr="00EB0BAF">
        <w:rPr>
          <w:b/>
        </w:rPr>
        <w:t>ы</w:t>
      </w:r>
      <w:r w:rsidRPr="00EB0BAF">
        <w:rPr>
          <w:b/>
        </w:rPr>
        <w:t>вает государство-участник рассмотреть возможность присоединения к Ко</w:t>
      </w:r>
      <w:r w:rsidRPr="00EB0BAF">
        <w:rPr>
          <w:b/>
        </w:rPr>
        <w:t>н</w:t>
      </w:r>
      <w:r w:rsidRPr="00EB0BAF">
        <w:rPr>
          <w:b/>
        </w:rPr>
        <w:t>венции против пыток и других жестоких, бесчеловечных или унижающих достоинство видов обращения и наказания и Факультативному протоколу к ней.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Гендерное насилие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CC2E8C">
      <w:pPr>
        <w:pStyle w:val="SingleTxt"/>
      </w:pPr>
      <w:r w:rsidRPr="00EB0BAF">
        <w:t>25.</w:t>
      </w:r>
      <w:r w:rsidRPr="00EB0BAF">
        <w:tab/>
        <w:t>Отмечая усилия, предпринятые государством-участником для борьбы с насилием в отношении женщин, включая домашнее насилие, Комитет выражает сожаление в связи с отсутствием информации о мерах наказания, примененных к правонарушителям, и средствах правовой защиты, предоставл</w:t>
      </w:r>
      <w:r w:rsidR="00CC2E8C">
        <w:t>енн</w:t>
      </w:r>
      <w:r w:rsidRPr="00EB0BAF">
        <w:t>ых жертвам (статьи 3 и 7).</w:t>
      </w:r>
    </w:p>
    <w:p w:rsidR="00EB0BAF" w:rsidRDefault="00EB0BAF" w:rsidP="00CC2E8C">
      <w:pPr>
        <w:pStyle w:val="SingleTxt"/>
        <w:rPr>
          <w:b/>
        </w:rPr>
      </w:pPr>
      <w:r w:rsidRPr="00EB0BAF">
        <w:t>26.</w:t>
      </w:r>
      <w:r w:rsidRPr="00EB0BAF">
        <w:tab/>
      </w:r>
      <w:r w:rsidRPr="00EB0BAF">
        <w:rPr>
          <w:b/>
        </w:rPr>
        <w:t>Государству-участнику следует обеспечивать тщательное расследование случаев гендерного насилия, привлечение к уголовной ответственности в</w:t>
      </w:r>
      <w:r w:rsidRPr="00EB0BAF">
        <w:rPr>
          <w:b/>
        </w:rPr>
        <w:t>и</w:t>
      </w:r>
      <w:r w:rsidRPr="00EB0BAF">
        <w:rPr>
          <w:b/>
        </w:rPr>
        <w:t xml:space="preserve">новных </w:t>
      </w:r>
      <w:r w:rsidR="00CC2E8C">
        <w:rPr>
          <w:b/>
        </w:rPr>
        <w:t xml:space="preserve">лиц </w:t>
      </w:r>
      <w:r w:rsidRPr="00EB0BAF">
        <w:rPr>
          <w:b/>
        </w:rPr>
        <w:t>и применение к ним в случае осуждения соответствующих мер нака</w:t>
      </w:r>
      <w:r w:rsidR="00CC2E8C">
        <w:rPr>
          <w:b/>
        </w:rPr>
        <w:t>зания, а также</w:t>
      </w:r>
      <w:r w:rsidRPr="00EB0BAF">
        <w:rPr>
          <w:b/>
        </w:rPr>
        <w:t xml:space="preserve"> предоставление жертвам</w:t>
      </w:r>
      <w:r w:rsidR="00CC2E8C">
        <w:rPr>
          <w:b/>
        </w:rPr>
        <w:t xml:space="preserve"> адекватной компенсации</w:t>
      </w:r>
      <w:r w:rsidRPr="00EB0BAF">
        <w:rPr>
          <w:b/>
        </w:rPr>
        <w:t xml:space="preserve">. Ему следует </w:t>
      </w:r>
      <w:r w:rsidR="00CC2E8C" w:rsidRPr="00EB0BAF">
        <w:rPr>
          <w:b/>
        </w:rPr>
        <w:t xml:space="preserve">также </w:t>
      </w:r>
      <w:r w:rsidRPr="00EB0BAF">
        <w:rPr>
          <w:b/>
        </w:rPr>
        <w:t>проводить обязательную подготовку всех сотрудников прав</w:t>
      </w:r>
      <w:r w:rsidRPr="00EB0BAF">
        <w:rPr>
          <w:b/>
        </w:rPr>
        <w:t>о</w:t>
      </w:r>
      <w:r w:rsidRPr="00EB0BAF">
        <w:rPr>
          <w:b/>
        </w:rPr>
        <w:t>охранительных и судебных органов, прокуроров и социальных работников по вопросам судебного преследования лиц, виновных в гендерном насилии, и содействовать доступу жертв к правосудию.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CC2E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 xml:space="preserve">Произвольные аресты лесбиянок, гомосексуалистов, бисексуалов, </w:t>
      </w:r>
      <w:r w:rsidR="00CC2E8C">
        <w:t>трансгендеров</w:t>
      </w:r>
      <w:r w:rsidR="00EB0BAF" w:rsidRPr="00EB0BAF">
        <w:t xml:space="preserve"> и интерсексуалов и неправомерное обращение с ними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8B0AA2">
      <w:pPr>
        <w:pStyle w:val="SingleTxt"/>
      </w:pPr>
      <w:r w:rsidRPr="00EB0BAF">
        <w:t>27.</w:t>
      </w:r>
      <w:r w:rsidRPr="00EB0BAF">
        <w:tab/>
        <w:t>Признавая усилия, предпринимаемые государством-участником для пов</w:t>
      </w:r>
      <w:r w:rsidRPr="00EB0BAF">
        <w:t>ы</w:t>
      </w:r>
      <w:r w:rsidRPr="00EB0BAF">
        <w:t>шения терпимости к лицам из числа лесбиянок, гомосексуалистов, бисексуалов, транс</w:t>
      </w:r>
      <w:r w:rsidR="008B0AA2">
        <w:t>гендеров</w:t>
      </w:r>
      <w:r w:rsidRPr="00EB0BAF">
        <w:t xml:space="preserve"> и интерсексуалов, Комитет</w:t>
      </w:r>
      <w:r w:rsidR="00CC2E8C">
        <w:t>,</w:t>
      </w:r>
      <w:r w:rsidRPr="00EB0BAF">
        <w:t xml:space="preserve"> вместе с тем</w:t>
      </w:r>
      <w:r w:rsidR="00CC2E8C">
        <w:t>,</w:t>
      </w:r>
      <w:r w:rsidRPr="00EB0BAF">
        <w:t xml:space="preserve"> выражает обеспокое</w:t>
      </w:r>
      <w:r w:rsidRPr="00EB0BAF">
        <w:t>н</w:t>
      </w:r>
      <w:r w:rsidRPr="00EB0BAF">
        <w:t xml:space="preserve">ность </w:t>
      </w:r>
      <w:r w:rsidR="00CC2E8C">
        <w:t xml:space="preserve">в связи с </w:t>
      </w:r>
      <w:r w:rsidRPr="00EB0BAF">
        <w:t xml:space="preserve">сообщениями о произвольных </w:t>
      </w:r>
      <w:r w:rsidR="00CC2E8C">
        <w:t>задержаниях</w:t>
      </w:r>
      <w:r w:rsidRPr="00EB0BAF">
        <w:t xml:space="preserve"> таких лиц и неправ</w:t>
      </w:r>
      <w:r w:rsidRPr="00EB0BAF">
        <w:t>о</w:t>
      </w:r>
      <w:r w:rsidRPr="00EB0BAF">
        <w:t>мерном обращении с ними, в особенности с женщинами-</w:t>
      </w:r>
      <w:r w:rsidR="00CC2E8C">
        <w:t>трансгендерами</w:t>
      </w:r>
      <w:r w:rsidRPr="00EB0BAF">
        <w:t>, со ст</w:t>
      </w:r>
      <w:r w:rsidRPr="00EB0BAF">
        <w:t>о</w:t>
      </w:r>
      <w:r w:rsidRPr="00EB0BAF">
        <w:t>роны сотрудников сил безопасности. Комитет сожалеет о том, что государ</w:t>
      </w:r>
      <w:r w:rsidR="00CC2E8C">
        <w:t>ство-участник не представило информацию</w:t>
      </w:r>
      <w:r w:rsidRPr="00EB0BAF">
        <w:t xml:space="preserve"> о вынесенных приговорах и назначенных виновным мерах уголовного или дисциплинарного наказания (статьи 7 и 9).</w:t>
      </w:r>
    </w:p>
    <w:p w:rsidR="00EB0BAF" w:rsidRDefault="00EB0BAF" w:rsidP="00CC2E8C">
      <w:pPr>
        <w:pStyle w:val="SingleTxt"/>
        <w:rPr>
          <w:b/>
        </w:rPr>
      </w:pPr>
      <w:r w:rsidRPr="00EB0BAF">
        <w:t>28.</w:t>
      </w:r>
      <w:r w:rsidRPr="00EB0BAF">
        <w:tab/>
      </w:r>
      <w:r w:rsidRPr="00EB0BAF">
        <w:rPr>
          <w:b/>
        </w:rPr>
        <w:t>Государству-участнику следует принять эффективные меры, чтобы п</w:t>
      </w:r>
      <w:r w:rsidRPr="00EB0BAF">
        <w:rPr>
          <w:b/>
        </w:rPr>
        <w:t>о</w:t>
      </w:r>
      <w:r w:rsidRPr="00EB0BAF">
        <w:rPr>
          <w:b/>
        </w:rPr>
        <w:t>ложить конец произвольным арестам лесбиянок, гомосексуалистов, бисе</w:t>
      </w:r>
      <w:r w:rsidRPr="00EB0BAF">
        <w:rPr>
          <w:b/>
        </w:rPr>
        <w:t>к</w:t>
      </w:r>
      <w:r w:rsidRPr="00EB0BAF">
        <w:rPr>
          <w:b/>
        </w:rPr>
        <w:t xml:space="preserve">суалов, </w:t>
      </w:r>
      <w:r w:rsidR="00CC2E8C">
        <w:rPr>
          <w:b/>
        </w:rPr>
        <w:t>трансгендеров</w:t>
      </w:r>
      <w:r w:rsidRPr="00EB0BAF">
        <w:rPr>
          <w:b/>
        </w:rPr>
        <w:t xml:space="preserve"> и интерсексуалов. Все случаи неправомерного обр</w:t>
      </w:r>
      <w:r w:rsidRPr="00EB0BAF">
        <w:rPr>
          <w:b/>
        </w:rPr>
        <w:t>а</w:t>
      </w:r>
      <w:r w:rsidRPr="00EB0BAF">
        <w:rPr>
          <w:b/>
        </w:rPr>
        <w:t xml:space="preserve">щения должны расследоваться, а </w:t>
      </w:r>
      <w:r w:rsidR="00CC2E8C">
        <w:rPr>
          <w:b/>
        </w:rPr>
        <w:t>при их подтверждении</w:t>
      </w:r>
      <w:r w:rsidRPr="00EB0BAF">
        <w:rPr>
          <w:b/>
        </w:rPr>
        <w:t xml:space="preserve"> виновные должны привлекаться к ответственности и подвергаться соответствующим наказ</w:t>
      </w:r>
      <w:r w:rsidRPr="00EB0BAF">
        <w:rPr>
          <w:b/>
        </w:rPr>
        <w:t>а</w:t>
      </w:r>
      <w:r w:rsidRPr="00EB0BAF">
        <w:rPr>
          <w:b/>
        </w:rPr>
        <w:t>ниям.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Торговля людьми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EB0BAF">
      <w:pPr>
        <w:pStyle w:val="SingleTxt"/>
      </w:pPr>
      <w:r w:rsidRPr="00EB0BAF">
        <w:t>29.</w:t>
      </w:r>
      <w:r w:rsidRPr="00EB0BAF">
        <w:tab/>
        <w:t>Отмечая усилия, предпринимаемые государством-участником для борьбы с торговлей людьми, в том числе в рамках международного сотрудничества, Ком</w:t>
      </w:r>
      <w:r w:rsidRPr="00EB0BAF">
        <w:t>и</w:t>
      </w:r>
      <w:r w:rsidRPr="00EB0BAF">
        <w:t>тет</w:t>
      </w:r>
      <w:r w:rsidR="00CC2E8C">
        <w:t>, тем не менее,</w:t>
      </w:r>
      <w:r w:rsidRPr="00EB0BAF">
        <w:t xml:space="preserve"> обеспокоен трудностями, с которыми сталкиваются жертвы в плане получения доступа к эффективной защите, приютам и возмещению ущерба (статья 8).</w:t>
      </w:r>
    </w:p>
    <w:p w:rsidR="00EB0BAF" w:rsidRDefault="00EB0BAF" w:rsidP="00EB0BAF">
      <w:pPr>
        <w:pStyle w:val="SingleTxt"/>
        <w:rPr>
          <w:b/>
        </w:rPr>
      </w:pPr>
      <w:r w:rsidRPr="00EB0BAF">
        <w:t>30.</w:t>
      </w:r>
      <w:r w:rsidRPr="00EB0BAF">
        <w:tab/>
      </w:r>
      <w:r w:rsidRPr="00EB0BAF">
        <w:rPr>
          <w:b/>
        </w:rPr>
        <w:t>Государству-участнику следует гарантировать надлежащую защиту и возмещение ущерба, включая предоставление компенсаций и реабилитацию жертв. Государству следует</w:t>
      </w:r>
      <w:r w:rsidRPr="00EB0BAF">
        <w:t xml:space="preserve"> </w:t>
      </w:r>
      <w:r w:rsidR="00CC2E8C">
        <w:rPr>
          <w:b/>
        </w:rPr>
        <w:t>выдели</w:t>
      </w:r>
      <w:r w:rsidRPr="00EB0BAF">
        <w:rPr>
          <w:b/>
        </w:rPr>
        <w:t>ть ресурсы на создание и функционир</w:t>
      </w:r>
      <w:r w:rsidRPr="00EB0BAF">
        <w:rPr>
          <w:b/>
        </w:rPr>
        <w:t>о</w:t>
      </w:r>
      <w:r w:rsidRPr="00EB0BAF">
        <w:rPr>
          <w:b/>
        </w:rPr>
        <w:t>вание приютов для жертв торговли людьми.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Судебный контроль за содержанием под стражей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AE14E8">
      <w:pPr>
        <w:pStyle w:val="SingleTxt"/>
      </w:pPr>
      <w:r w:rsidRPr="00EB0BAF">
        <w:t>31.</w:t>
      </w:r>
      <w:r w:rsidRPr="00EB0BAF">
        <w:tab/>
        <w:t>Комитет обеспокоен тем, что, согласно информации, представленной дел</w:t>
      </w:r>
      <w:r w:rsidRPr="00EB0BAF">
        <w:t>е</w:t>
      </w:r>
      <w:r w:rsidRPr="00EB0BAF">
        <w:t xml:space="preserve">гацией, лицо, арестованное или задержанное по уголовному обвинению, может </w:t>
      </w:r>
      <w:r w:rsidR="00CC2E8C">
        <w:t>содержаться под стражей</w:t>
      </w:r>
      <w:r w:rsidRPr="00EB0BAF">
        <w:t xml:space="preserve"> в полицейском участке в течение трех или четырех дней, преж</w:t>
      </w:r>
      <w:r w:rsidR="00CC2E8C">
        <w:t>де чем оно</w:t>
      </w:r>
      <w:r w:rsidRPr="00EB0BAF">
        <w:t xml:space="preserve"> предста</w:t>
      </w:r>
      <w:r w:rsidR="00CC2E8C">
        <w:t>нет</w:t>
      </w:r>
      <w:r w:rsidRPr="00EB0BAF">
        <w:t xml:space="preserve"> перед </w:t>
      </w:r>
      <w:r w:rsidR="00AE14E8">
        <w:t>прокурором</w:t>
      </w:r>
      <w:r w:rsidRPr="00EB0BAF">
        <w:t xml:space="preserve">, который </w:t>
      </w:r>
      <w:r w:rsidR="00AE14E8" w:rsidRPr="00EB0BAF">
        <w:t xml:space="preserve">без судебного надзора </w:t>
      </w:r>
      <w:r w:rsidRPr="00EB0BAF">
        <w:t xml:space="preserve">может </w:t>
      </w:r>
      <w:r w:rsidR="00AE14E8">
        <w:t>принять решение</w:t>
      </w:r>
      <w:r w:rsidRPr="00EB0BAF">
        <w:t xml:space="preserve"> о продлении срока </w:t>
      </w:r>
      <w:r w:rsidR="00AE14E8">
        <w:t>его</w:t>
      </w:r>
      <w:r w:rsidRPr="00EB0BAF">
        <w:t xml:space="preserve"> задержания (статья 9).</w:t>
      </w:r>
    </w:p>
    <w:p w:rsidR="00EB0BAF" w:rsidRDefault="00EB0BAF" w:rsidP="00EB0BAF">
      <w:pPr>
        <w:pStyle w:val="SingleTxt"/>
        <w:rPr>
          <w:b/>
        </w:rPr>
      </w:pPr>
      <w:r w:rsidRPr="00EB0BAF">
        <w:t>32.</w:t>
      </w:r>
      <w:r w:rsidRPr="00EB0BAF">
        <w:tab/>
      </w:r>
      <w:r w:rsidRPr="00EB0BAF">
        <w:rPr>
          <w:b/>
        </w:rPr>
        <w:t>Государству-участнику следует принять законодательство для обесп</w:t>
      </w:r>
      <w:r w:rsidRPr="00EB0BAF">
        <w:rPr>
          <w:b/>
        </w:rPr>
        <w:t>е</w:t>
      </w:r>
      <w:r w:rsidRPr="00EB0BAF">
        <w:rPr>
          <w:b/>
        </w:rPr>
        <w:t>чения того, чтобы каждое арестованное или задержанное по уголовному о</w:t>
      </w:r>
      <w:r w:rsidRPr="00EB0BAF">
        <w:rPr>
          <w:b/>
        </w:rPr>
        <w:t>б</w:t>
      </w:r>
      <w:r w:rsidRPr="00EB0BAF">
        <w:rPr>
          <w:b/>
        </w:rPr>
        <w:t>винению лицо доставлялось к судье в течение 48 часов. Комитет обращает внимание государства-участника на свое замечание общего порядка № 35 (2014</w:t>
      </w:r>
      <w:r w:rsidR="00AE14E8">
        <w:rPr>
          <w:b/>
        </w:rPr>
        <w:t xml:space="preserve"> год</w:t>
      </w:r>
      <w:r w:rsidRPr="00EB0BAF">
        <w:rPr>
          <w:b/>
        </w:rPr>
        <w:t>) о свободе и личной неприкоснов</w:t>
      </w:r>
      <w:r w:rsidR="00193BFC">
        <w:rPr>
          <w:b/>
        </w:rPr>
        <w:t>енности, в особенности на пункт </w:t>
      </w:r>
      <w:r w:rsidRPr="00EB0BAF">
        <w:rPr>
          <w:b/>
        </w:rPr>
        <w:t>33, в котором Комитет заявляет, что 48 часов, как правило, достато</w:t>
      </w:r>
      <w:r w:rsidRPr="00EB0BAF">
        <w:rPr>
          <w:b/>
        </w:rPr>
        <w:t>ч</w:t>
      </w:r>
      <w:r w:rsidRPr="00EB0BAF">
        <w:rPr>
          <w:b/>
        </w:rPr>
        <w:t>но для доставки отдельных лиц, а также для подготовки судебного слушания. Особо строгий стандарт срочности, такой как 24 часа, следует применять в отношении несовершеннолетних. Кроме того, государственный прокурор не может считаться должностным лицом, правомочным осуществлять суде</w:t>
      </w:r>
      <w:r w:rsidRPr="00EB0BAF">
        <w:rPr>
          <w:b/>
        </w:rPr>
        <w:t>б</w:t>
      </w:r>
      <w:r w:rsidRPr="00EB0BAF">
        <w:rPr>
          <w:b/>
        </w:rPr>
        <w:t>ную власть в соответствии с пунктом 3 статьи 9 Пакта (см. пункт 32 замеч</w:t>
      </w:r>
      <w:r w:rsidRPr="00EB0BAF">
        <w:rPr>
          <w:b/>
        </w:rPr>
        <w:t>а</w:t>
      </w:r>
      <w:r w:rsidRPr="00EB0BAF">
        <w:rPr>
          <w:b/>
        </w:rPr>
        <w:t>ния общего порядка).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AE14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Доступ к адвокату</w:t>
      </w:r>
    </w:p>
    <w:p w:rsidR="009A3BB2" w:rsidRPr="009A3BB2" w:rsidRDefault="009A3BB2" w:rsidP="00AE14E8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B0BAF" w:rsidRPr="00EB0BAF" w:rsidRDefault="00EB0BAF" w:rsidP="00AE14E8">
      <w:pPr>
        <w:pStyle w:val="SingleTxt"/>
        <w:keepNext/>
        <w:keepLines/>
      </w:pPr>
      <w:r w:rsidRPr="00EB0BAF">
        <w:t>33.</w:t>
      </w:r>
      <w:r w:rsidRPr="00EB0BAF">
        <w:tab/>
        <w:t xml:space="preserve">Комитет обеспокоен отсутствием </w:t>
      </w:r>
      <w:r w:rsidR="00AE14E8">
        <w:t>ясности</w:t>
      </w:r>
      <w:r w:rsidRPr="00EB0BAF">
        <w:t xml:space="preserve"> и единообразия в правилах, кас</w:t>
      </w:r>
      <w:r w:rsidRPr="00EB0BAF">
        <w:t>а</w:t>
      </w:r>
      <w:r w:rsidRPr="00EB0BAF">
        <w:t xml:space="preserve">ющихся общения между адвокатами защиты и заключенными лицами, а также тем, что такое общение может </w:t>
      </w:r>
      <w:r w:rsidR="00AE14E8">
        <w:t>необоснованно</w:t>
      </w:r>
      <w:r w:rsidRPr="00EB0BAF">
        <w:t xml:space="preserve"> ограничиваться. Комитет также обеспокоен тем, что в интересах проводимого расследования прокурор или суд могут распорядиться о заключении </w:t>
      </w:r>
      <w:r w:rsidR="00AE14E8">
        <w:t>лица под стражу без связи с внешним</w:t>
      </w:r>
      <w:r w:rsidRPr="00EB0BAF">
        <w:t xml:space="preserve"> миром на </w:t>
      </w:r>
      <w:r w:rsidR="00AE14E8">
        <w:t>восемь суток</w:t>
      </w:r>
      <w:r w:rsidRPr="00EB0BAF">
        <w:t xml:space="preserve"> без юридического представительства, в том числе в </w:t>
      </w:r>
      <w:r w:rsidR="00AE14E8">
        <w:t>случае пр</w:t>
      </w:r>
      <w:r w:rsidR="00AE14E8">
        <w:t>е</w:t>
      </w:r>
      <w:r w:rsidR="00AE14E8">
        <w:t>ступлений, связанных с</w:t>
      </w:r>
      <w:r w:rsidRPr="00EB0BAF">
        <w:t xml:space="preserve"> торговле</w:t>
      </w:r>
      <w:r w:rsidR="00AE14E8">
        <w:t>й наркотиками или терроризмом</w:t>
      </w:r>
      <w:r w:rsidRPr="00EB0BAF">
        <w:t>. Помимо этого, Комитет выражает обеспокоенность по поводу качества юридических услуг, предоставляемых малоимущим лицам (статья 14).</w:t>
      </w:r>
    </w:p>
    <w:p w:rsidR="00EB0BAF" w:rsidRDefault="00EB0BAF" w:rsidP="00FA6EB9">
      <w:pPr>
        <w:pStyle w:val="SingleTxt"/>
        <w:spacing w:line="230" w:lineRule="exact"/>
        <w:rPr>
          <w:b/>
        </w:rPr>
      </w:pPr>
      <w:r w:rsidRPr="00EB0BAF">
        <w:t>34.</w:t>
      </w:r>
      <w:r w:rsidRPr="00EB0BAF">
        <w:tab/>
      </w:r>
      <w:r w:rsidRPr="00EB0BAF">
        <w:rPr>
          <w:b/>
        </w:rPr>
        <w:t>Государству-участнику следует определить единую пра</w:t>
      </w:r>
      <w:r w:rsidR="008B0AA2">
        <w:rPr>
          <w:b/>
        </w:rPr>
        <w:t>вовую основу, применимую ко всем</w:t>
      </w:r>
      <w:r w:rsidRPr="00EB0BAF">
        <w:rPr>
          <w:b/>
        </w:rPr>
        <w:t xml:space="preserve"> местам содержания под стражей, и гарантировать и облегчать доступ к адвокату для задержанных по уголовным делам с самого начала их содержания под стражей с должным учетом статьи 14 Пакта и принятого Комитетом замечания общего порядка № 32 (2007</w:t>
      </w:r>
      <w:r w:rsidR="00AE14E8">
        <w:rPr>
          <w:b/>
        </w:rPr>
        <w:t xml:space="preserve"> год</w:t>
      </w:r>
      <w:r w:rsidRPr="00EB0BAF">
        <w:rPr>
          <w:b/>
        </w:rPr>
        <w:t>) по вопросу о равенстве перед судами и трибуналами и праве на справедливое судебное разбирательство (пункты 10, 23, 32, 34 и 38).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Условия содержания под стражей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FA6EB9">
      <w:pPr>
        <w:pStyle w:val="SingleTxt"/>
        <w:spacing w:line="230" w:lineRule="exact"/>
      </w:pPr>
      <w:r w:rsidRPr="00EB0BAF">
        <w:t>35.</w:t>
      </w:r>
      <w:r w:rsidRPr="00EB0BAF">
        <w:tab/>
        <w:t>Отмечая усилия, предпринятые государством-участником для улучшения условий содержания в центрах лишения свободы, Комитет по-прежнему обесп</w:t>
      </w:r>
      <w:r w:rsidRPr="00EB0BAF">
        <w:t>о</w:t>
      </w:r>
      <w:r w:rsidRPr="00EB0BAF">
        <w:t>коен сообщениями о не соответствующих нормам условиях содержания, в первую очередь переполненности и низком уровне санитарии, в полицейских участках и других местах временного содержания под стражей. Комитет прин</w:t>
      </w:r>
      <w:r w:rsidRPr="00EB0BAF">
        <w:t>и</w:t>
      </w:r>
      <w:r w:rsidRPr="00EB0BAF">
        <w:t>мает к сведению заверения делегации в том, что несовершеннолетние лица ник</w:t>
      </w:r>
      <w:r w:rsidRPr="00EB0BAF">
        <w:t>о</w:t>
      </w:r>
      <w:r w:rsidRPr="00EB0BAF">
        <w:t>гда не помещаются в местах содержания под стражей вместе со взрослыми в</w:t>
      </w:r>
      <w:r w:rsidRPr="00EB0BAF">
        <w:t>о</w:t>
      </w:r>
      <w:r w:rsidRPr="00EB0BAF">
        <w:t xml:space="preserve">преки поступающей из других источников информации, свидетельствующей об обратном (статья 10). </w:t>
      </w:r>
    </w:p>
    <w:p w:rsidR="00EB0BAF" w:rsidRDefault="00EB0BAF" w:rsidP="00FA6EB9">
      <w:pPr>
        <w:pStyle w:val="SingleTxt"/>
        <w:spacing w:line="230" w:lineRule="exact"/>
        <w:rPr>
          <w:b/>
        </w:rPr>
      </w:pPr>
      <w:r w:rsidRPr="00EB0BAF">
        <w:t>36.</w:t>
      </w:r>
      <w:r w:rsidRPr="00EB0BAF">
        <w:tab/>
      </w:r>
      <w:r w:rsidRPr="00EB0BAF">
        <w:rPr>
          <w:b/>
        </w:rPr>
        <w:t>Государству-участнику следует принять эффективные меры для обе</w:t>
      </w:r>
      <w:r w:rsidRPr="00EB0BAF">
        <w:rPr>
          <w:b/>
        </w:rPr>
        <w:t>с</w:t>
      </w:r>
      <w:r w:rsidR="008B0AA2">
        <w:rPr>
          <w:b/>
        </w:rPr>
        <w:t>печения</w:t>
      </w:r>
      <w:r w:rsidRPr="00EB0BAF">
        <w:rPr>
          <w:b/>
        </w:rPr>
        <w:t xml:space="preserve"> условий </w:t>
      </w:r>
      <w:r w:rsidR="00AE14E8">
        <w:rPr>
          <w:b/>
        </w:rPr>
        <w:t>содержания под стражей</w:t>
      </w:r>
      <w:r w:rsidRPr="00EB0BAF">
        <w:rPr>
          <w:b/>
        </w:rPr>
        <w:t>, не принижающих достоинство з</w:t>
      </w:r>
      <w:r w:rsidRPr="00EB0BAF">
        <w:rPr>
          <w:b/>
        </w:rPr>
        <w:t>а</w:t>
      </w:r>
      <w:r w:rsidRPr="00EB0BAF">
        <w:rPr>
          <w:b/>
        </w:rPr>
        <w:t xml:space="preserve">ключенных, в соответствии со статьей 10 Пакта, в том числе </w:t>
      </w:r>
      <w:r w:rsidR="00AE14E8">
        <w:rPr>
          <w:b/>
        </w:rPr>
        <w:t>посредством</w:t>
      </w:r>
      <w:r w:rsidRPr="00EB0BAF">
        <w:rPr>
          <w:b/>
        </w:rPr>
        <w:t xml:space="preserve"> применения </w:t>
      </w:r>
      <w:r w:rsidRPr="00EB0BAF">
        <w:rPr>
          <w:b/>
          <w:bCs/>
        </w:rPr>
        <w:t>мер, не связанных с лишением свободы</w:t>
      </w:r>
      <w:r w:rsidRPr="00EB0BAF">
        <w:rPr>
          <w:b/>
        </w:rPr>
        <w:t xml:space="preserve">. Ему </w:t>
      </w:r>
      <w:r w:rsidR="00AE14E8" w:rsidRPr="00EB0BAF">
        <w:rPr>
          <w:b/>
        </w:rPr>
        <w:t xml:space="preserve">следует </w:t>
      </w:r>
      <w:r w:rsidRPr="00EB0BAF">
        <w:rPr>
          <w:b/>
        </w:rPr>
        <w:t xml:space="preserve">также обеспечить раздельное содержание несовершеннолетних и взрослых </w:t>
      </w:r>
      <w:r w:rsidR="00AE14E8">
        <w:rPr>
          <w:b/>
        </w:rPr>
        <w:t>лиц</w:t>
      </w:r>
      <w:r w:rsidRPr="00EB0BAF">
        <w:rPr>
          <w:b/>
        </w:rPr>
        <w:t xml:space="preserve"> во всех местах содержания под стражей.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Психиатрические учреждения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FA6EB9">
      <w:pPr>
        <w:pStyle w:val="SingleTxt"/>
        <w:spacing w:line="230" w:lineRule="exact"/>
      </w:pPr>
      <w:r w:rsidRPr="00EB0BAF">
        <w:t>37.</w:t>
      </w:r>
      <w:r w:rsidRPr="00EB0BAF">
        <w:tab/>
        <w:t>Отмечая принятие плана работы в области охран</w:t>
      </w:r>
      <w:r w:rsidR="00FA6EB9">
        <w:t>ы психического здоровья на 2015–</w:t>
      </w:r>
      <w:r w:rsidRPr="00EB0BAF">
        <w:t>2017 годы, Комитет</w:t>
      </w:r>
      <w:r w:rsidR="00FA6EB9">
        <w:t>, тем не менее,</w:t>
      </w:r>
      <w:r w:rsidRPr="00EB0BAF">
        <w:t xml:space="preserve"> выражает сожаление в связи с огр</w:t>
      </w:r>
      <w:r w:rsidRPr="00EB0BAF">
        <w:t>а</w:t>
      </w:r>
      <w:r w:rsidRPr="00EB0BAF">
        <w:t>ниченностью имеющейся информации о принудительном психиатрическом леч</w:t>
      </w:r>
      <w:r w:rsidRPr="00EB0BAF">
        <w:t>е</w:t>
      </w:r>
      <w:r w:rsidRPr="00EB0BAF">
        <w:t>нии и использовании альтернативных форм лечения (статья 9).</w:t>
      </w:r>
    </w:p>
    <w:p w:rsidR="00EB0BAF" w:rsidRDefault="00EB0BAF" w:rsidP="00FA6EB9">
      <w:pPr>
        <w:pStyle w:val="SingleTxt"/>
        <w:spacing w:line="230" w:lineRule="exact"/>
        <w:rPr>
          <w:b/>
        </w:rPr>
      </w:pPr>
      <w:r w:rsidRPr="00EB0BAF">
        <w:t>38.</w:t>
      </w:r>
      <w:r w:rsidRPr="00EB0BAF">
        <w:tab/>
      </w:r>
      <w:r w:rsidRPr="00EB0BAF">
        <w:rPr>
          <w:b/>
        </w:rPr>
        <w:t>Государству-участнику</w:t>
      </w:r>
      <w:r w:rsidRPr="00EB0BAF">
        <w:t xml:space="preserve"> </w:t>
      </w:r>
      <w:r w:rsidRPr="00EB0BAF">
        <w:rPr>
          <w:b/>
        </w:rPr>
        <w:t>следует пересмотреть свои законы и практику в области охраны психического здоровья, с тем чтобы не допускать прои</w:t>
      </w:r>
      <w:r w:rsidRPr="00EB0BAF">
        <w:rPr>
          <w:b/>
        </w:rPr>
        <w:t>з</w:t>
      </w:r>
      <w:r w:rsidRPr="00EB0BAF">
        <w:rPr>
          <w:b/>
        </w:rPr>
        <w:t xml:space="preserve">вольного </w:t>
      </w:r>
      <w:r w:rsidR="00FA6EB9">
        <w:rPr>
          <w:b/>
        </w:rPr>
        <w:t xml:space="preserve">принудительного </w:t>
      </w:r>
      <w:r w:rsidRPr="00EB0BAF">
        <w:rPr>
          <w:b/>
        </w:rPr>
        <w:t xml:space="preserve">содержания, в соответствии со статьей 9 Пакта и принятым Комитетом замечанием общего порядка № 35 (пункт </w:t>
      </w:r>
      <w:r w:rsidR="009A3BB2">
        <w:rPr>
          <w:b/>
        </w:rPr>
        <w:t>19).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Отправление правосудия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FA6EB9">
      <w:pPr>
        <w:pStyle w:val="SingleTxt"/>
        <w:spacing w:line="230" w:lineRule="exact"/>
      </w:pPr>
      <w:r w:rsidRPr="00EB0BAF">
        <w:t>39.</w:t>
      </w:r>
      <w:r w:rsidRPr="00EB0BAF">
        <w:tab/>
        <w:t xml:space="preserve">Комитет обеспокоен многочисленными недостатками в </w:t>
      </w:r>
      <w:r w:rsidR="00FA6EB9">
        <w:t xml:space="preserve">судебной </w:t>
      </w:r>
      <w:r w:rsidRPr="00EB0BAF">
        <w:t>системе государства-участника, в частности недостаточным числом судей и прокуро</w:t>
      </w:r>
      <w:r w:rsidR="00FA6EB9">
        <w:t>ров, задержками</w:t>
      </w:r>
      <w:r w:rsidRPr="00EB0BAF">
        <w:t xml:space="preserve"> с рассмотрением дел в судах и </w:t>
      </w:r>
      <w:r w:rsidR="00FA6EB9">
        <w:t>явным отсутствием</w:t>
      </w:r>
      <w:r w:rsidRPr="00EB0BAF">
        <w:t xml:space="preserve"> независи</w:t>
      </w:r>
      <w:r w:rsidR="00FA6EB9">
        <w:t>мости</w:t>
      </w:r>
      <w:r w:rsidRPr="00EB0BAF">
        <w:t xml:space="preserve"> судебной власти, что подрывает гарантии справедливого судебного разбирател</w:t>
      </w:r>
      <w:r w:rsidRPr="00EB0BAF">
        <w:t>ь</w:t>
      </w:r>
      <w:r w:rsidRPr="00EB0BAF">
        <w:t>ства. Комитет отмечает, что, по признанию делегации, зарплаты судей не счит</w:t>
      </w:r>
      <w:r w:rsidRPr="00EB0BAF">
        <w:t>а</w:t>
      </w:r>
      <w:r w:rsidRPr="00EB0BAF">
        <w:t>ются достаточно привлекательными и что новые правила предусматривают ув</w:t>
      </w:r>
      <w:r w:rsidRPr="00EB0BAF">
        <w:t>е</w:t>
      </w:r>
      <w:r w:rsidRPr="00EB0BAF">
        <w:t xml:space="preserve">личение </w:t>
      </w:r>
      <w:r w:rsidR="00FA6EB9">
        <w:t xml:space="preserve">их размера </w:t>
      </w:r>
      <w:r w:rsidRPr="00EB0BAF">
        <w:t>(статья 14).</w:t>
      </w:r>
    </w:p>
    <w:p w:rsidR="00EB0BAF" w:rsidRDefault="00EB0BAF" w:rsidP="00FA6EB9">
      <w:pPr>
        <w:pStyle w:val="SingleTxt"/>
        <w:rPr>
          <w:b/>
        </w:rPr>
      </w:pPr>
      <w:r w:rsidRPr="00EB0BAF">
        <w:t>40.</w:t>
      </w:r>
      <w:r w:rsidRPr="00EB0BAF">
        <w:tab/>
      </w:r>
      <w:r w:rsidRPr="00EB0BAF">
        <w:rPr>
          <w:b/>
        </w:rPr>
        <w:t>Государству-участнику следует обеспечить систему правосудия надл</w:t>
      </w:r>
      <w:r w:rsidRPr="00EB0BAF">
        <w:rPr>
          <w:b/>
        </w:rPr>
        <w:t>е</w:t>
      </w:r>
      <w:r w:rsidRPr="00EB0BAF">
        <w:rPr>
          <w:b/>
        </w:rPr>
        <w:t>жащими кадровыми и финансовыми ресурсами для ее эффективного фун</w:t>
      </w:r>
      <w:r w:rsidRPr="00EB0BAF">
        <w:rPr>
          <w:b/>
        </w:rPr>
        <w:t>к</w:t>
      </w:r>
      <w:r w:rsidRPr="00EB0BAF">
        <w:rPr>
          <w:b/>
        </w:rPr>
        <w:t>ционирования. В частности, ему следует обеспечить наем и подготовку д</w:t>
      </w:r>
      <w:r w:rsidRPr="00EB0BAF">
        <w:rPr>
          <w:b/>
        </w:rPr>
        <w:t>о</w:t>
      </w:r>
      <w:r w:rsidRPr="00EB0BAF">
        <w:rPr>
          <w:b/>
        </w:rPr>
        <w:t>статочного числа судей и прокуроров в интересах надлежащего отправления правосудия и соблюдения гарантий справедливого судебного разбирател</w:t>
      </w:r>
      <w:r w:rsidRPr="00EB0BAF">
        <w:rPr>
          <w:b/>
        </w:rPr>
        <w:t>ь</w:t>
      </w:r>
      <w:r w:rsidRPr="00EB0BAF">
        <w:rPr>
          <w:b/>
        </w:rPr>
        <w:t>ства в масштабах всей страны</w:t>
      </w:r>
      <w:r w:rsidR="00FA6EB9">
        <w:rPr>
          <w:b/>
        </w:rPr>
        <w:t>.</w:t>
      </w:r>
      <w:r w:rsidRPr="00EB0BAF">
        <w:rPr>
          <w:b/>
        </w:rPr>
        <w:t xml:space="preserve"> Государству-участнику следует также пре</w:t>
      </w:r>
      <w:r w:rsidRPr="00EB0BAF">
        <w:rPr>
          <w:b/>
        </w:rPr>
        <w:t>д</w:t>
      </w:r>
      <w:r w:rsidRPr="00EB0BAF">
        <w:rPr>
          <w:b/>
        </w:rPr>
        <w:t xml:space="preserve">принять все </w:t>
      </w:r>
      <w:r w:rsidR="00FA6EB9" w:rsidRPr="00EB0BAF">
        <w:rPr>
          <w:b/>
        </w:rPr>
        <w:t xml:space="preserve">необходимые </w:t>
      </w:r>
      <w:r w:rsidR="00FA6EB9">
        <w:rPr>
          <w:b/>
        </w:rPr>
        <w:t>шаги для</w:t>
      </w:r>
      <w:r w:rsidRPr="00EB0BAF">
        <w:rPr>
          <w:b/>
        </w:rPr>
        <w:t xml:space="preserve"> обеспечения независимости судебной власти, в том числе выплату </w:t>
      </w:r>
      <w:r w:rsidR="00FA6EB9">
        <w:rPr>
          <w:b/>
        </w:rPr>
        <w:t>адекватных</w:t>
      </w:r>
      <w:r w:rsidRPr="00EB0BAF">
        <w:rPr>
          <w:b/>
        </w:rPr>
        <w:t xml:space="preserve"> зарплат судьям.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Свобода выражения мнений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FA6EB9">
      <w:pPr>
        <w:pStyle w:val="SingleTxt"/>
      </w:pPr>
      <w:r w:rsidRPr="00EB0BAF">
        <w:t>41.</w:t>
      </w:r>
      <w:r w:rsidRPr="00EB0BAF">
        <w:tab/>
        <w:t>Комитет по-прежнему обеспокоен сообщениями о запугивании и преслед</w:t>
      </w:r>
      <w:r w:rsidRPr="00EB0BAF">
        <w:t>о</w:t>
      </w:r>
      <w:r w:rsidRPr="00EB0BAF">
        <w:t xml:space="preserve">вании правозащитников и журналистов. Комитет </w:t>
      </w:r>
      <w:r w:rsidR="00FA6EB9" w:rsidRPr="00EB0BAF">
        <w:t xml:space="preserve">выражает </w:t>
      </w:r>
      <w:r w:rsidRPr="00EB0BAF">
        <w:t>также обеспокое</w:t>
      </w:r>
      <w:r w:rsidRPr="00EB0BAF">
        <w:t>н</w:t>
      </w:r>
      <w:r w:rsidRPr="00EB0BAF">
        <w:t>ность в связи с тем, что диффамация до сих пор является преступлением, наказ</w:t>
      </w:r>
      <w:r w:rsidRPr="00EB0BAF">
        <w:t>у</w:t>
      </w:r>
      <w:r w:rsidRPr="00EB0BAF">
        <w:t>емым лишением свободы, что может служить препятствием для опубликования средствами массовой информации критических статей по вопросам, представл</w:t>
      </w:r>
      <w:r w:rsidRPr="00EB0BAF">
        <w:t>я</w:t>
      </w:r>
      <w:r w:rsidRPr="00EB0BAF">
        <w:t xml:space="preserve">ющим общественный интерес (статьи 7 и 19). </w:t>
      </w:r>
    </w:p>
    <w:p w:rsidR="00EB0BAF" w:rsidRPr="00EB0BAF" w:rsidRDefault="00EB0BAF" w:rsidP="00EB0BAF">
      <w:pPr>
        <w:pStyle w:val="SingleTxt"/>
        <w:rPr>
          <w:b/>
        </w:rPr>
      </w:pPr>
      <w:r w:rsidRPr="00EB0BAF">
        <w:t>42.</w:t>
      </w:r>
      <w:r w:rsidRPr="00EB0BAF">
        <w:tab/>
      </w:r>
      <w:r w:rsidRPr="00EB0BAF">
        <w:rPr>
          <w:b/>
        </w:rPr>
        <w:t>Государству-участнику следует:</w:t>
      </w:r>
    </w:p>
    <w:p w:rsidR="00EB0BAF" w:rsidRPr="00EB0BAF" w:rsidRDefault="00EB0BAF" w:rsidP="00EB0BAF">
      <w:pPr>
        <w:pStyle w:val="SingleTxt"/>
        <w:rPr>
          <w:b/>
        </w:rPr>
      </w:pPr>
      <w:r w:rsidRPr="00EB0BAF">
        <w:rPr>
          <w:b/>
        </w:rPr>
        <w:tab/>
      </w:r>
      <w:r w:rsidRPr="009A3BB2">
        <w:rPr>
          <w:b/>
        </w:rPr>
        <w:t>a)</w:t>
      </w:r>
      <w:r w:rsidRPr="00EB0BAF">
        <w:rPr>
          <w:b/>
        </w:rPr>
        <w:tab/>
        <w:t>принять надлежащие меры для предотвращения дальнейшего ограничения свободы выражения</w:t>
      </w:r>
      <w:r w:rsidR="00FA6EB9">
        <w:rPr>
          <w:b/>
        </w:rPr>
        <w:t xml:space="preserve"> мнений, в частности запугиваний</w:t>
      </w:r>
      <w:r w:rsidRPr="00EB0BAF">
        <w:rPr>
          <w:b/>
        </w:rPr>
        <w:t xml:space="preserve"> и пр</w:t>
      </w:r>
      <w:r w:rsidRPr="00EB0BAF">
        <w:rPr>
          <w:b/>
        </w:rPr>
        <w:t>е</w:t>
      </w:r>
      <w:r w:rsidRPr="00EB0BAF">
        <w:rPr>
          <w:b/>
        </w:rPr>
        <w:t>следования правозащитников и журналистов, а также обеспечить, чтобы т</w:t>
      </w:r>
      <w:r w:rsidRPr="00EB0BAF">
        <w:rPr>
          <w:b/>
        </w:rPr>
        <w:t>а</w:t>
      </w:r>
      <w:r w:rsidRPr="00EB0BAF">
        <w:rPr>
          <w:b/>
        </w:rPr>
        <w:t>кие случаи безотлагательно расследовались, а в отношении виновных пр</w:t>
      </w:r>
      <w:r w:rsidRPr="00EB0BAF">
        <w:rPr>
          <w:b/>
        </w:rPr>
        <w:t>и</w:t>
      </w:r>
      <w:r w:rsidRPr="00EB0BAF">
        <w:rPr>
          <w:b/>
        </w:rPr>
        <w:t>нимались надлежащие меры;</w:t>
      </w:r>
    </w:p>
    <w:p w:rsidR="00EB0BAF" w:rsidRDefault="00EB0BAF" w:rsidP="00EB0BAF">
      <w:pPr>
        <w:pStyle w:val="SingleTxt"/>
        <w:rPr>
          <w:b/>
        </w:rPr>
      </w:pPr>
      <w:r w:rsidRPr="00EB0BAF">
        <w:rPr>
          <w:b/>
        </w:rPr>
        <w:tab/>
      </w:r>
      <w:r w:rsidRPr="009A3BB2">
        <w:rPr>
          <w:b/>
        </w:rPr>
        <w:t>b)</w:t>
      </w:r>
      <w:r w:rsidRPr="00EB0BAF">
        <w:rPr>
          <w:b/>
        </w:rPr>
        <w:tab/>
        <w:t xml:space="preserve">рассмотреть возможность отмены уголовной ответственности за диффамацию, обеспечить, чтобы диффамация не влекла за собой лишение свободы, и привести </w:t>
      </w:r>
      <w:r w:rsidR="00FA6EB9">
        <w:rPr>
          <w:b/>
        </w:rPr>
        <w:t xml:space="preserve">любые </w:t>
      </w:r>
      <w:r w:rsidRPr="00EB0BAF">
        <w:rPr>
          <w:b/>
        </w:rPr>
        <w:t xml:space="preserve">другие соответствующие положения Уголовного кодекса </w:t>
      </w:r>
      <w:r w:rsidR="00FA6EB9">
        <w:rPr>
          <w:b/>
        </w:rPr>
        <w:t xml:space="preserve">по этому вопросу </w:t>
      </w:r>
      <w:r w:rsidRPr="00EB0BAF">
        <w:rPr>
          <w:b/>
        </w:rPr>
        <w:t>в с</w:t>
      </w:r>
      <w:r w:rsidR="00FA6EB9">
        <w:rPr>
          <w:b/>
        </w:rPr>
        <w:t>оответствие со статьей 19 Пакта</w:t>
      </w:r>
      <w:r w:rsidRPr="00EB0BAF">
        <w:rPr>
          <w:b/>
        </w:rPr>
        <w:t xml:space="preserve"> с учетом ее толкования, приведенного в замечании общего порядка № 34 (2011 год) о свободе мнений и их выражения.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A6EB9">
        <w:t>Регистрация рождений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FA6EB9">
      <w:pPr>
        <w:pStyle w:val="SingleTxt"/>
      </w:pPr>
      <w:r w:rsidRPr="00EB0BAF">
        <w:t>43.</w:t>
      </w:r>
      <w:r w:rsidRPr="00EB0BAF">
        <w:tab/>
        <w:t xml:space="preserve">Комитет обеспокоен тем, что детей, </w:t>
      </w:r>
      <w:r w:rsidR="00FA6EB9">
        <w:t>рождающихся в семьях родителей-</w:t>
      </w:r>
      <w:r w:rsidRPr="00EB0BAF">
        <w:t>мигрантов</w:t>
      </w:r>
      <w:r w:rsidR="00FA6EB9">
        <w:t xml:space="preserve"> с неурегулированным статусом</w:t>
      </w:r>
      <w:r w:rsidR="008B0AA2">
        <w:t>, часто не регистрирую</w:t>
      </w:r>
      <w:r w:rsidRPr="00EB0BAF">
        <w:t>т из-за страха ареста и/или депортации, что подвергает их опасности стать апатридами и огр</w:t>
      </w:r>
      <w:r w:rsidRPr="00EB0BAF">
        <w:t>а</w:t>
      </w:r>
      <w:r w:rsidRPr="00EB0BAF">
        <w:t>ничивает их доступ к основным социальным услугам, таким как услуги в обл</w:t>
      </w:r>
      <w:r w:rsidRPr="00EB0BAF">
        <w:t>а</w:t>
      </w:r>
      <w:r w:rsidRPr="00EB0BAF">
        <w:t>сти здравоохранения и образования (статья 24).</w:t>
      </w:r>
    </w:p>
    <w:p w:rsidR="00EB0BAF" w:rsidRDefault="00EB0BAF" w:rsidP="00FA6EB9">
      <w:pPr>
        <w:pStyle w:val="SingleTxt"/>
        <w:rPr>
          <w:b/>
        </w:rPr>
      </w:pPr>
      <w:r w:rsidRPr="00EB0BAF">
        <w:t>44.</w:t>
      </w:r>
      <w:r w:rsidRPr="00EB0BAF">
        <w:tab/>
      </w:r>
      <w:r w:rsidRPr="00EB0BAF">
        <w:rPr>
          <w:b/>
        </w:rPr>
        <w:t>Государству-участнику следует принять эффективные меры для пр</w:t>
      </w:r>
      <w:r w:rsidRPr="00EB0BAF">
        <w:rPr>
          <w:b/>
        </w:rPr>
        <w:t>е</w:t>
      </w:r>
      <w:r w:rsidRPr="00EB0BAF">
        <w:rPr>
          <w:b/>
        </w:rPr>
        <w:t>одоления трудностей, связанных с регистрацией актов гражданского состо</w:t>
      </w:r>
      <w:r w:rsidRPr="00EB0BAF">
        <w:rPr>
          <w:b/>
        </w:rPr>
        <w:t>я</w:t>
      </w:r>
      <w:r w:rsidRPr="00EB0BAF">
        <w:rPr>
          <w:b/>
        </w:rPr>
        <w:t>ния, и обеспечит</w:t>
      </w:r>
      <w:r w:rsidR="00FA6EB9">
        <w:rPr>
          <w:b/>
        </w:rPr>
        <w:t>ь</w:t>
      </w:r>
      <w:r w:rsidRPr="00EB0BAF">
        <w:rPr>
          <w:b/>
        </w:rPr>
        <w:t xml:space="preserve"> регистрацию всех рожд</w:t>
      </w:r>
      <w:r w:rsidR="00FA6EB9">
        <w:rPr>
          <w:b/>
        </w:rPr>
        <w:t>ающихся</w:t>
      </w:r>
      <w:r w:rsidRPr="00EB0BAF">
        <w:rPr>
          <w:b/>
        </w:rPr>
        <w:t xml:space="preserve"> на </w:t>
      </w:r>
      <w:r w:rsidR="00FA6EB9">
        <w:rPr>
          <w:b/>
        </w:rPr>
        <w:t>его</w:t>
      </w:r>
      <w:r w:rsidRPr="00EB0BAF">
        <w:rPr>
          <w:b/>
        </w:rPr>
        <w:t xml:space="preserve"> территории де</w:t>
      </w:r>
      <w:r w:rsidR="00FA6EB9">
        <w:rPr>
          <w:b/>
        </w:rPr>
        <w:t>тей и предоставление</w:t>
      </w:r>
      <w:r w:rsidRPr="00EB0BAF">
        <w:rPr>
          <w:b/>
        </w:rPr>
        <w:t xml:space="preserve"> им </w:t>
      </w:r>
      <w:r w:rsidR="00FA6EB9">
        <w:rPr>
          <w:b/>
        </w:rPr>
        <w:t xml:space="preserve">официальных </w:t>
      </w:r>
      <w:r w:rsidRPr="00EB0BAF">
        <w:rPr>
          <w:b/>
        </w:rPr>
        <w:t>свидетельств о рождении. Ему следует также проводить кампании для повышения осведомленности о важности р</w:t>
      </w:r>
      <w:r w:rsidRPr="00EB0BAF">
        <w:rPr>
          <w:b/>
        </w:rPr>
        <w:t>е</w:t>
      </w:r>
      <w:r w:rsidRPr="00EB0BAF">
        <w:rPr>
          <w:b/>
        </w:rPr>
        <w:t xml:space="preserve">гистрации всех детей, включая детей, </w:t>
      </w:r>
      <w:r w:rsidR="00FA6EB9">
        <w:rPr>
          <w:b/>
        </w:rPr>
        <w:t>рождающихся в семьях родителей-</w:t>
      </w:r>
      <w:r w:rsidRPr="00EB0BAF">
        <w:rPr>
          <w:b/>
        </w:rPr>
        <w:t>мигрантов</w:t>
      </w:r>
      <w:r w:rsidR="00FA6EB9">
        <w:rPr>
          <w:b/>
        </w:rPr>
        <w:t xml:space="preserve"> с неурегулированным статусом</w:t>
      </w:r>
      <w:r w:rsidRPr="00EB0BAF">
        <w:rPr>
          <w:b/>
        </w:rPr>
        <w:t>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Телесные наказания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9A3BB2">
      <w:pPr>
        <w:pStyle w:val="SingleTxt"/>
        <w:spacing w:line="238" w:lineRule="exact"/>
      </w:pPr>
      <w:r w:rsidRPr="00EB0BAF">
        <w:t>45.</w:t>
      </w:r>
      <w:r w:rsidRPr="00EB0BAF">
        <w:tab/>
        <w:t>Комитет отмечает, что, хотя телесные наказания прямо запрещены в системе уголовного правосудия, само явление по-прежнему широко распространено и допустимо в обществе (статьи 7 и 24).</w:t>
      </w:r>
    </w:p>
    <w:p w:rsidR="00EB0BAF" w:rsidRDefault="00EB0BAF" w:rsidP="00FA6EB9">
      <w:pPr>
        <w:pStyle w:val="SingleTxt"/>
        <w:spacing w:line="238" w:lineRule="exact"/>
        <w:rPr>
          <w:b/>
        </w:rPr>
      </w:pPr>
      <w:r w:rsidRPr="00EB0BAF">
        <w:t>46.</w:t>
      </w:r>
      <w:r w:rsidRPr="00EB0BAF">
        <w:tab/>
      </w:r>
      <w:r w:rsidRPr="00EB0BAF">
        <w:rPr>
          <w:b/>
        </w:rPr>
        <w:t xml:space="preserve">Государству-участнику следует предпринять практические шаги, в том </w:t>
      </w:r>
      <w:r w:rsidR="00FA6EB9">
        <w:rPr>
          <w:b/>
        </w:rPr>
        <w:t>числе в соответствующих случаях</w:t>
      </w:r>
      <w:r w:rsidRPr="00EB0BAF">
        <w:rPr>
          <w:b/>
        </w:rPr>
        <w:t xml:space="preserve"> законодательные меры, чтобы положить конец телесным наказаниям детей при любых обстоятельствах. Ему следует поощрять ненасильственные формы обеспечения дисциплины в качестве альтернатив телесному наказанию и проводить информационно-просветительские кампании </w:t>
      </w:r>
      <w:r w:rsidR="00FA6EB9">
        <w:rPr>
          <w:b/>
        </w:rPr>
        <w:t>в целях</w:t>
      </w:r>
      <w:r w:rsidRPr="00EB0BAF">
        <w:rPr>
          <w:b/>
        </w:rPr>
        <w:t xml:space="preserve"> повышения уровня осведомленности о пагубных последствиях телесных наказаний.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9A3B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BAF" w:rsidRPr="00EB0BAF">
        <w:t>Права лиц, принадлежащих к меньшинствам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Pr="00EB0BAF" w:rsidRDefault="00EB0BAF" w:rsidP="00193BFC">
      <w:pPr>
        <w:pStyle w:val="SingleTxt"/>
      </w:pPr>
      <w:r w:rsidRPr="00EB0BAF">
        <w:t>47.</w:t>
      </w:r>
      <w:r w:rsidRPr="00EB0BAF">
        <w:tab/>
        <w:t>Комитет обеспокоен тем, что с коренными</w:t>
      </w:r>
      <w:r w:rsidR="008B0AA2">
        <w:t xml:space="preserve"> народами</w:t>
      </w:r>
      <w:r w:rsidRPr="00EB0BAF">
        <w:t xml:space="preserve"> и народами</w:t>
      </w:r>
      <w:r w:rsidR="00193BFC">
        <w:t>, ведущими</w:t>
      </w:r>
      <w:r w:rsidRPr="00EB0BAF">
        <w:t xml:space="preserve"> </w:t>
      </w:r>
      <w:r w:rsidR="00193BFC" w:rsidRPr="00EB0BAF">
        <w:t>племенн</w:t>
      </w:r>
      <w:r w:rsidR="00193BFC">
        <w:t>ой образ жизни,</w:t>
      </w:r>
      <w:r w:rsidR="00193BFC" w:rsidRPr="00EB0BAF">
        <w:t xml:space="preserve"> </w:t>
      </w:r>
      <w:r w:rsidRPr="00EB0BAF">
        <w:t>не проводятся надлежащие консультации при принятии решений по вопросам, представляющим интерес для их общин. В связи с этим продолжается выдача концессий и лицензий предприятиям добывающей отрасли, в том числе горнодобывающим, для проведения работ и осуществления крупн</w:t>
      </w:r>
      <w:r w:rsidRPr="00EB0BAF">
        <w:t>о</w:t>
      </w:r>
      <w:r w:rsidRPr="00EB0BAF">
        <w:t>масштабных проектов на землях, на которые претендуют эти народы, без пров</w:t>
      </w:r>
      <w:r w:rsidRPr="00EB0BAF">
        <w:t>е</w:t>
      </w:r>
      <w:r w:rsidRPr="00EB0BAF">
        <w:t>дения предварительных консультаций с коренными общинами (статья 27).</w:t>
      </w:r>
    </w:p>
    <w:p w:rsidR="00EB0BAF" w:rsidRDefault="00EB0BAF" w:rsidP="00193BFC">
      <w:pPr>
        <w:pStyle w:val="SingleTxt"/>
        <w:rPr>
          <w:b/>
        </w:rPr>
      </w:pPr>
      <w:r w:rsidRPr="00EB0BAF">
        <w:t>48.</w:t>
      </w:r>
      <w:r w:rsidRPr="00EB0BAF">
        <w:tab/>
      </w:r>
      <w:r w:rsidRPr="00EB0BAF">
        <w:rPr>
          <w:b/>
        </w:rPr>
        <w:t>Государству-участнику следует также принять все необходимые меры для проведения эффективных и конструктивных консультаций с коренн</w:t>
      </w:r>
      <w:r w:rsidRPr="00EB0BAF">
        <w:rPr>
          <w:b/>
        </w:rPr>
        <w:t>ы</w:t>
      </w:r>
      <w:r w:rsidRPr="00EB0BAF">
        <w:rPr>
          <w:b/>
        </w:rPr>
        <w:t xml:space="preserve">ми </w:t>
      </w:r>
      <w:r w:rsidR="008B0AA2">
        <w:rPr>
          <w:b/>
        </w:rPr>
        <w:t xml:space="preserve">народа </w:t>
      </w:r>
      <w:r w:rsidRPr="00EB0BAF">
        <w:rPr>
          <w:b/>
        </w:rPr>
        <w:t>и народами</w:t>
      </w:r>
      <w:r w:rsidR="00193BFC">
        <w:rPr>
          <w:b/>
        </w:rPr>
        <w:t>, ведущими племенной образ жизни,</w:t>
      </w:r>
      <w:r w:rsidRPr="00EB0BAF">
        <w:rPr>
          <w:b/>
        </w:rPr>
        <w:t xml:space="preserve"> при принятии решений во всех областях, затрагивающих их права.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EB0BAF" w:rsidRDefault="009A3BB2" w:rsidP="00193B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B0BAF" w:rsidRPr="00EB0BAF">
        <w:t>D.</w:t>
      </w:r>
      <w:r w:rsidR="00EB0BAF" w:rsidRPr="00EB0BAF">
        <w:tab/>
        <w:t xml:space="preserve">Распространение информации, касающейся </w:t>
      </w:r>
      <w:r w:rsidR="00193BFC">
        <w:t>Пакта</w:t>
      </w:r>
    </w:p>
    <w:p w:rsidR="009A3BB2" w:rsidRPr="009A3BB2" w:rsidRDefault="009A3BB2" w:rsidP="009A3BB2">
      <w:pPr>
        <w:pStyle w:val="SingleTxt"/>
        <w:spacing w:after="0" w:line="120" w:lineRule="exact"/>
        <w:rPr>
          <w:b/>
          <w:sz w:val="10"/>
        </w:rPr>
      </w:pPr>
    </w:p>
    <w:p w:rsidR="009A3BB2" w:rsidRPr="009A3BB2" w:rsidRDefault="009A3BB2" w:rsidP="009A3BB2">
      <w:pPr>
        <w:pStyle w:val="SingleTxt"/>
        <w:spacing w:after="0" w:line="120" w:lineRule="exact"/>
        <w:rPr>
          <w:b/>
          <w:i/>
          <w:sz w:val="10"/>
        </w:rPr>
      </w:pPr>
    </w:p>
    <w:p w:rsidR="00EB0BAF" w:rsidRPr="00EB0BAF" w:rsidRDefault="00EB0BAF" w:rsidP="00193BFC">
      <w:pPr>
        <w:pStyle w:val="SingleTxt"/>
        <w:rPr>
          <w:b/>
          <w:bCs/>
        </w:rPr>
      </w:pPr>
      <w:r w:rsidRPr="00EB0BAF">
        <w:rPr>
          <w:bCs/>
        </w:rPr>
        <w:t>49.</w:t>
      </w:r>
      <w:r w:rsidRPr="00EB0BAF">
        <w:rPr>
          <w:bCs/>
        </w:rPr>
        <w:tab/>
      </w:r>
      <w:r w:rsidRPr="00EB0BAF">
        <w:rPr>
          <w:b/>
          <w:bCs/>
        </w:rPr>
        <w:t>Государству-участнику следует обеспечить широкое распространение Пакта и первого Факультативного протокола к нему, текста своего третьего периодического доклада, письменных ответов на перечень вопросов, соста</w:t>
      </w:r>
      <w:r w:rsidRPr="00EB0BAF">
        <w:rPr>
          <w:b/>
          <w:bCs/>
        </w:rPr>
        <w:t>в</w:t>
      </w:r>
      <w:r w:rsidRPr="00EB0BAF">
        <w:rPr>
          <w:b/>
          <w:bCs/>
        </w:rPr>
        <w:t>ленный Комитетом, и настоящих заключительных замечаний среди суде</w:t>
      </w:r>
      <w:r w:rsidRPr="00EB0BAF">
        <w:rPr>
          <w:b/>
          <w:bCs/>
        </w:rPr>
        <w:t>б</w:t>
      </w:r>
      <w:r w:rsidRPr="00EB0BAF">
        <w:rPr>
          <w:b/>
          <w:bCs/>
        </w:rPr>
        <w:t>ных, законодательных и административных органов, гражданского общ</w:t>
      </w:r>
      <w:r w:rsidRPr="00EB0BAF">
        <w:rPr>
          <w:b/>
          <w:bCs/>
        </w:rPr>
        <w:t>е</w:t>
      </w:r>
      <w:r w:rsidRPr="00EB0BAF">
        <w:rPr>
          <w:b/>
          <w:bCs/>
        </w:rPr>
        <w:t>ства и неправительственных организаций, действующих в стране, а также широкой общественности.</w:t>
      </w:r>
    </w:p>
    <w:p w:rsidR="00EB0BAF" w:rsidRPr="00EB0BAF" w:rsidRDefault="00EB0BAF" w:rsidP="00EB0BAF">
      <w:pPr>
        <w:pStyle w:val="SingleTxt"/>
        <w:rPr>
          <w:b/>
          <w:bCs/>
        </w:rPr>
      </w:pPr>
      <w:r w:rsidRPr="00EB0BAF">
        <w:rPr>
          <w:bCs/>
        </w:rPr>
        <w:t>50.</w:t>
      </w:r>
      <w:r w:rsidRPr="00EB0BAF">
        <w:rPr>
          <w:bCs/>
        </w:rPr>
        <w:tab/>
      </w:r>
      <w:r w:rsidRPr="00EB0BAF">
        <w:rPr>
          <w:b/>
          <w:bCs/>
        </w:rPr>
        <w:t>В соответствии с пунктом 5 правила 71 правил процедуры Комитета государству-участнику предлагается в течение одного года с момента прин</w:t>
      </w:r>
      <w:r w:rsidRPr="00EB0BAF">
        <w:rPr>
          <w:b/>
          <w:bCs/>
        </w:rPr>
        <w:t>я</w:t>
      </w:r>
      <w:r w:rsidRPr="00EB0BAF">
        <w:rPr>
          <w:b/>
          <w:bCs/>
        </w:rPr>
        <w:t>тия настоящих заключительных замечаний представить соответствующую информацию об осуществлении им рекомендаций, вынесенных Комитетом в пунктах 10 (национальное правозащитное учреждение), 22 (безнаказанность совершенных в прошлом нарушений прав человека) и 32 (судебный ко</w:t>
      </w:r>
      <w:r w:rsidRPr="00EB0BAF">
        <w:rPr>
          <w:b/>
          <w:bCs/>
        </w:rPr>
        <w:t>н</w:t>
      </w:r>
      <w:r w:rsidRPr="00EB0BAF">
        <w:rPr>
          <w:b/>
          <w:bCs/>
        </w:rPr>
        <w:t>троль за содержанием под стражей) выше.</w:t>
      </w:r>
    </w:p>
    <w:p w:rsidR="0087040C" w:rsidRDefault="00EB0BAF" w:rsidP="00193BFC">
      <w:pPr>
        <w:pStyle w:val="SingleTxt"/>
        <w:rPr>
          <w:b/>
          <w:bCs/>
        </w:rPr>
      </w:pPr>
      <w:r w:rsidRPr="00EB0BAF">
        <w:rPr>
          <w:bCs/>
        </w:rPr>
        <w:t>51.</w:t>
      </w:r>
      <w:r w:rsidRPr="00EB0BAF">
        <w:rPr>
          <w:bCs/>
        </w:rPr>
        <w:tab/>
      </w:r>
      <w:r w:rsidRPr="00EB0BAF">
        <w:rPr>
          <w:b/>
          <w:bCs/>
        </w:rPr>
        <w:t>Комитет просит государство-участник представить его следующий п</w:t>
      </w:r>
      <w:r w:rsidRPr="00EB0BAF">
        <w:rPr>
          <w:b/>
          <w:bCs/>
        </w:rPr>
        <w:t>е</w:t>
      </w:r>
      <w:r w:rsidRPr="00EB0BAF">
        <w:rPr>
          <w:b/>
          <w:bCs/>
        </w:rPr>
        <w:t xml:space="preserve">риодический доклад </w:t>
      </w:r>
      <w:r w:rsidR="00193BFC">
        <w:rPr>
          <w:b/>
          <w:bCs/>
        </w:rPr>
        <w:t>к</w:t>
      </w:r>
      <w:r w:rsidRPr="00EB0BAF">
        <w:rPr>
          <w:b/>
          <w:bCs/>
        </w:rPr>
        <w:t xml:space="preserve"> 6 ноября 2020 года и включить в него конкретную о</w:t>
      </w:r>
      <w:r w:rsidRPr="00EB0BAF">
        <w:rPr>
          <w:b/>
          <w:bCs/>
        </w:rPr>
        <w:t>б</w:t>
      </w:r>
      <w:r w:rsidRPr="00EB0BAF">
        <w:rPr>
          <w:b/>
          <w:bCs/>
        </w:rPr>
        <w:t xml:space="preserve">новленную информацию об осуществлении рекомендаций, содержащихся в настоящих заключительных замечаниях, и Пакта в целом. Комитет </w:t>
      </w:r>
      <w:r w:rsidR="00193BFC" w:rsidRPr="00EB0BAF">
        <w:rPr>
          <w:b/>
          <w:bCs/>
        </w:rPr>
        <w:t xml:space="preserve">просит </w:t>
      </w:r>
      <w:r w:rsidRPr="00EB0BAF">
        <w:rPr>
          <w:b/>
          <w:bCs/>
        </w:rPr>
        <w:t>также государство-участник при подготовке доклада провести широкие ко</w:t>
      </w:r>
      <w:r w:rsidRPr="00EB0BAF">
        <w:rPr>
          <w:b/>
          <w:bCs/>
        </w:rPr>
        <w:t>н</w:t>
      </w:r>
      <w:r w:rsidRPr="00EB0BAF">
        <w:rPr>
          <w:b/>
          <w:bCs/>
        </w:rPr>
        <w:t>сультации с гражданским обществом и действующими в стране неправ</w:t>
      </w:r>
      <w:r w:rsidRPr="00EB0BAF">
        <w:rPr>
          <w:b/>
          <w:bCs/>
        </w:rPr>
        <w:t>и</w:t>
      </w:r>
      <w:r w:rsidRPr="00EB0BAF">
        <w:rPr>
          <w:b/>
          <w:bCs/>
        </w:rPr>
        <w:t>тельственными организациями. В соответствии с резолюцией 68/268 Ген</w:t>
      </w:r>
      <w:r w:rsidRPr="00EB0BAF">
        <w:rPr>
          <w:b/>
          <w:bCs/>
        </w:rPr>
        <w:t>е</w:t>
      </w:r>
      <w:r w:rsidRPr="00EB0BAF">
        <w:rPr>
          <w:b/>
          <w:bCs/>
        </w:rPr>
        <w:t>ральной Ассамблеи объем доклада не должен превышать 21 200 слов.</w:t>
      </w:r>
    </w:p>
    <w:p w:rsidR="009A3BB2" w:rsidRPr="009A3BB2" w:rsidRDefault="009A3BB2" w:rsidP="009A3BB2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A3BB2" w:rsidRPr="009A3BB2" w:rsidSect="0087040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3T15:05:00Z" w:initials="Start">
    <w:p w:rsidR="004360B1" w:rsidRPr="00BB7BA6" w:rsidRDefault="004360B1">
      <w:pPr>
        <w:pStyle w:val="CommentText"/>
        <w:rPr>
          <w:lang w:val="en-US"/>
        </w:rPr>
      </w:pPr>
      <w:r>
        <w:fldChar w:fldCharType="begin"/>
      </w:r>
      <w:r w:rsidRPr="00BB7BA6">
        <w:rPr>
          <w:rStyle w:val="CommentReference"/>
          <w:lang w:val="en-US"/>
        </w:rPr>
        <w:instrText xml:space="preserve"> </w:instrText>
      </w:r>
      <w:r w:rsidRPr="00BB7BA6">
        <w:rPr>
          <w:lang w:val="en-US"/>
        </w:rPr>
        <w:instrText>PAGE \# "'Page: '#'</w:instrText>
      </w:r>
      <w:r w:rsidRPr="00BB7BA6">
        <w:rPr>
          <w:lang w:val="en-US"/>
        </w:rPr>
        <w:br/>
        <w:instrText>'"</w:instrText>
      </w:r>
      <w:r w:rsidRPr="00BB7BA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B7BA6">
        <w:rPr>
          <w:lang w:val="en-US"/>
        </w:rPr>
        <w:t>&lt;&lt;ODS JOB NO&gt;&gt;N1527487R&lt;&lt;ODS JOB NO&gt;&gt;</w:t>
      </w:r>
    </w:p>
    <w:p w:rsidR="004360B1" w:rsidRDefault="004360B1">
      <w:pPr>
        <w:pStyle w:val="CommentText"/>
      </w:pPr>
      <w:r>
        <w:t>&lt;&lt;ODS DOC SYMBOL1&gt;&gt;CCPR/C/SUR/CO/3&lt;&lt;ODS DOC SYMBOL1&gt;&gt;</w:t>
      </w:r>
    </w:p>
    <w:p w:rsidR="004360B1" w:rsidRDefault="004360B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B1" w:rsidRDefault="004360B1" w:rsidP="008A1A7A">
      <w:pPr>
        <w:spacing w:line="240" w:lineRule="auto"/>
      </w:pPr>
      <w:r>
        <w:separator/>
      </w:r>
    </w:p>
  </w:endnote>
  <w:endnote w:type="continuationSeparator" w:id="0">
    <w:p w:rsidR="004360B1" w:rsidRDefault="004360B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360B1" w:rsidTr="0087040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3FF8">
            <w:rPr>
              <w:noProof/>
            </w:rPr>
            <w:t>8</w:t>
          </w:r>
          <w:r>
            <w:fldChar w:fldCharType="end"/>
          </w:r>
          <w:r>
            <w:t>/</w:t>
          </w:r>
          <w:r w:rsidR="00DD3FF8">
            <w:fldChar w:fldCharType="begin"/>
          </w:r>
          <w:r w:rsidR="00DD3FF8">
            <w:instrText xml:space="preserve"> NUMPAGES  \* Arabic  \* MERGEFORMAT </w:instrText>
          </w:r>
          <w:r w:rsidR="00DD3FF8">
            <w:fldChar w:fldCharType="separate"/>
          </w:r>
          <w:r w:rsidR="00DD3FF8">
            <w:rPr>
              <w:noProof/>
            </w:rPr>
            <w:t>8</w:t>
          </w:r>
          <w:r w:rsidR="00DD3FF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27BCD">
            <w:rPr>
              <w:b w:val="0"/>
              <w:color w:val="000000"/>
              <w:sz w:val="14"/>
            </w:rPr>
            <w:t>GE.15-20616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360B1" w:rsidRPr="0087040C" w:rsidRDefault="004360B1" w:rsidP="00870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360B1" w:rsidTr="0087040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27BCD">
            <w:rPr>
              <w:b w:val="0"/>
              <w:color w:val="000000"/>
              <w:sz w:val="14"/>
            </w:rPr>
            <w:t>GE.15-20616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3FF8">
            <w:rPr>
              <w:noProof/>
            </w:rPr>
            <w:t>9</w:t>
          </w:r>
          <w:r>
            <w:fldChar w:fldCharType="end"/>
          </w:r>
          <w:r>
            <w:t>/</w:t>
          </w:r>
          <w:r w:rsidR="00DD3FF8">
            <w:fldChar w:fldCharType="begin"/>
          </w:r>
          <w:r w:rsidR="00DD3FF8">
            <w:instrText xml:space="preserve"> NUMPAGES  \* Arabic  \* MERGEFORMAT </w:instrText>
          </w:r>
          <w:r w:rsidR="00DD3FF8">
            <w:fldChar w:fldCharType="separate"/>
          </w:r>
          <w:r w:rsidR="00DD3FF8">
            <w:rPr>
              <w:noProof/>
            </w:rPr>
            <w:t>9</w:t>
          </w:r>
          <w:r w:rsidR="00DD3FF8">
            <w:rPr>
              <w:noProof/>
            </w:rPr>
            <w:fldChar w:fldCharType="end"/>
          </w:r>
        </w:p>
      </w:tc>
    </w:tr>
  </w:tbl>
  <w:p w:rsidR="004360B1" w:rsidRPr="0087040C" w:rsidRDefault="004360B1" w:rsidP="00870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360B1" w:rsidTr="0087040C">
      <w:tc>
        <w:tcPr>
          <w:tcW w:w="3873" w:type="dxa"/>
        </w:tcPr>
        <w:p w:rsidR="004360B1" w:rsidRDefault="004360B1" w:rsidP="0087040C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957E5" wp14:editId="017D8F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SUR/CO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SUR/CO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GE.15-20616 (R)</w:t>
          </w:r>
          <w:r>
            <w:rPr>
              <w:color w:val="010000"/>
            </w:rPr>
            <w:t xml:space="preserve">    231215    231215</w:t>
          </w:r>
        </w:p>
        <w:p w:rsidR="004360B1" w:rsidRPr="0087040C" w:rsidRDefault="004360B1" w:rsidP="0087040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*1520616*</w:t>
          </w:r>
        </w:p>
      </w:tc>
      <w:tc>
        <w:tcPr>
          <w:tcW w:w="5127" w:type="dxa"/>
        </w:tcPr>
        <w:p w:rsidR="004360B1" w:rsidRDefault="004360B1" w:rsidP="0087040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8EAD13F" wp14:editId="736A36D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60B1" w:rsidRPr="0087040C" w:rsidRDefault="004360B1" w:rsidP="0087040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B1" w:rsidRPr="00EB0BAF" w:rsidRDefault="004360B1" w:rsidP="00EB0BAF">
      <w:pPr>
        <w:pStyle w:val="Footer"/>
        <w:spacing w:after="80"/>
        <w:ind w:left="792"/>
        <w:rPr>
          <w:sz w:val="16"/>
        </w:rPr>
      </w:pPr>
      <w:r w:rsidRPr="00EB0BAF">
        <w:rPr>
          <w:sz w:val="16"/>
        </w:rPr>
        <w:t>__________________</w:t>
      </w:r>
    </w:p>
  </w:footnote>
  <w:footnote w:type="continuationSeparator" w:id="0">
    <w:p w:rsidR="004360B1" w:rsidRPr="00EB0BAF" w:rsidRDefault="004360B1" w:rsidP="00EB0BAF">
      <w:pPr>
        <w:pStyle w:val="Footer"/>
        <w:spacing w:after="80"/>
        <w:ind w:left="792"/>
        <w:rPr>
          <w:sz w:val="16"/>
        </w:rPr>
      </w:pPr>
      <w:r w:rsidRPr="00EB0BAF">
        <w:rPr>
          <w:sz w:val="16"/>
        </w:rPr>
        <w:t>__________________</w:t>
      </w:r>
    </w:p>
  </w:footnote>
  <w:footnote w:id="1">
    <w:p w:rsidR="004360B1" w:rsidRPr="00316325" w:rsidRDefault="004360B1" w:rsidP="00EB0BA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6325">
        <w:rPr>
          <w:rStyle w:val="FootnoteReference"/>
        </w:rPr>
        <w:tab/>
      </w:r>
      <w:r w:rsidRPr="00EB0BAF">
        <w:rPr>
          <w:rStyle w:val="FootnoteReference"/>
          <w:vertAlign w:val="baseline"/>
        </w:rPr>
        <w:t>*</w:t>
      </w:r>
      <w:r w:rsidRPr="00316325">
        <w:tab/>
      </w:r>
      <w:r>
        <w:t>Приняты Комитетом на его 115-й сессии</w:t>
      </w:r>
      <w:r w:rsidRPr="00316325">
        <w:t xml:space="preserve"> (19 </w:t>
      </w:r>
      <w:r>
        <w:t xml:space="preserve">октября – </w:t>
      </w:r>
      <w:r w:rsidRPr="00316325">
        <w:t xml:space="preserve">6 </w:t>
      </w:r>
      <w:r>
        <w:t xml:space="preserve">ноября </w:t>
      </w:r>
      <w:r w:rsidRPr="00316325">
        <w:t>2015</w:t>
      </w:r>
      <w:r>
        <w:t xml:space="preserve"> года</w:t>
      </w:r>
      <w:r w:rsidRPr="00316325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360B1" w:rsidTr="0087040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27BCD">
            <w:rPr>
              <w:b/>
            </w:rPr>
            <w:t>CCPR/C/SUR/CO/3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60B1" w:rsidRDefault="004360B1" w:rsidP="0087040C">
          <w:pPr>
            <w:pStyle w:val="Header"/>
          </w:pPr>
        </w:p>
      </w:tc>
    </w:tr>
  </w:tbl>
  <w:p w:rsidR="004360B1" w:rsidRPr="0087040C" w:rsidRDefault="004360B1" w:rsidP="0087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360B1" w:rsidTr="0087040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360B1" w:rsidRDefault="004360B1" w:rsidP="0087040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360B1" w:rsidRPr="0087040C" w:rsidRDefault="004360B1" w:rsidP="0087040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27BCD">
            <w:rPr>
              <w:b/>
            </w:rPr>
            <w:t>CCPR/C/SUR/CO/3</w:t>
          </w:r>
          <w:r>
            <w:rPr>
              <w:b/>
            </w:rPr>
            <w:fldChar w:fldCharType="end"/>
          </w:r>
        </w:p>
      </w:tc>
    </w:tr>
  </w:tbl>
  <w:p w:rsidR="004360B1" w:rsidRPr="0087040C" w:rsidRDefault="004360B1" w:rsidP="00870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360B1" w:rsidTr="0087040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360B1" w:rsidRPr="0087040C" w:rsidRDefault="004360B1" w:rsidP="0087040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60B1" w:rsidRDefault="004360B1" w:rsidP="0087040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360B1" w:rsidRPr="0087040C" w:rsidRDefault="004360B1" w:rsidP="0087040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/C/SUR/CO/3</w:t>
          </w:r>
        </w:p>
      </w:tc>
    </w:tr>
    <w:tr w:rsidR="004360B1" w:rsidRPr="00BB7BA6" w:rsidTr="0087040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0B1" w:rsidRPr="0087040C" w:rsidRDefault="004360B1" w:rsidP="0087040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73CB9DF" wp14:editId="5FB363D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0B1" w:rsidRPr="0087040C" w:rsidRDefault="004360B1" w:rsidP="0087040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</w:t>
          </w:r>
          <w:r>
            <w:rPr>
              <w:sz w:val="34"/>
            </w:rPr>
            <w:br/>
            <w:t>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0B1" w:rsidRPr="0087040C" w:rsidRDefault="004360B1" w:rsidP="0087040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0B1" w:rsidRPr="00BB7BA6" w:rsidRDefault="004360B1" w:rsidP="0087040C">
          <w:pPr>
            <w:pStyle w:val="Distribution"/>
            <w:rPr>
              <w:color w:val="000000"/>
              <w:lang w:val="en-US"/>
            </w:rPr>
          </w:pPr>
          <w:r w:rsidRPr="00BB7BA6">
            <w:rPr>
              <w:color w:val="000000"/>
              <w:lang w:val="en-US"/>
            </w:rPr>
            <w:t>Distr.: General</w:t>
          </w:r>
        </w:p>
        <w:p w:rsidR="004360B1" w:rsidRPr="00BB7BA6" w:rsidRDefault="004360B1" w:rsidP="0087040C">
          <w:pPr>
            <w:pStyle w:val="Publication"/>
            <w:rPr>
              <w:color w:val="000000"/>
              <w:lang w:val="en-US"/>
            </w:rPr>
          </w:pPr>
          <w:r w:rsidRPr="00BB7BA6">
            <w:rPr>
              <w:color w:val="000000"/>
              <w:lang w:val="en-US"/>
            </w:rPr>
            <w:t>3 December 2015</w:t>
          </w:r>
        </w:p>
        <w:p w:rsidR="004360B1" w:rsidRPr="00BB7BA6" w:rsidRDefault="004360B1" w:rsidP="0087040C">
          <w:pPr>
            <w:rPr>
              <w:color w:val="000000"/>
              <w:lang w:val="en-US"/>
            </w:rPr>
          </w:pPr>
          <w:r w:rsidRPr="00BB7BA6">
            <w:rPr>
              <w:color w:val="000000"/>
              <w:lang w:val="en-US"/>
            </w:rPr>
            <w:t>Russian</w:t>
          </w:r>
        </w:p>
        <w:p w:rsidR="004360B1" w:rsidRPr="00BB7BA6" w:rsidRDefault="004360B1" w:rsidP="0087040C">
          <w:pPr>
            <w:pStyle w:val="Original"/>
            <w:rPr>
              <w:color w:val="000000"/>
              <w:lang w:val="en-US"/>
            </w:rPr>
          </w:pPr>
          <w:r w:rsidRPr="00BB7BA6">
            <w:rPr>
              <w:color w:val="000000"/>
              <w:lang w:val="en-US"/>
            </w:rPr>
            <w:t>Original: English</w:t>
          </w:r>
        </w:p>
        <w:p w:rsidR="004360B1" w:rsidRPr="00BB7BA6" w:rsidRDefault="004360B1" w:rsidP="0087040C">
          <w:pPr>
            <w:rPr>
              <w:lang w:val="en-US"/>
            </w:rPr>
          </w:pPr>
        </w:p>
      </w:tc>
    </w:tr>
  </w:tbl>
  <w:p w:rsidR="004360B1" w:rsidRPr="00BB7BA6" w:rsidRDefault="004360B1" w:rsidP="0087040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616*"/>
    <w:docVar w:name="CreationDt" w:val="12/23/2015 3:05: PM"/>
    <w:docVar w:name="DocCategory" w:val="Doc"/>
    <w:docVar w:name="DocType" w:val="Final"/>
    <w:docVar w:name="DutyStation" w:val="Geneva"/>
    <w:docVar w:name="FooterJN" w:val="GE.15-20616"/>
    <w:docVar w:name="jobn" w:val="GE.15-20616 (R)"/>
    <w:docVar w:name="jobnDT" w:val="GE.15-20616 (R)   231215"/>
    <w:docVar w:name="jobnDTDT" w:val="GE.15-20616 (R)   231215   231215"/>
    <w:docVar w:name="JobNo" w:val="GE.1520616R"/>
    <w:docVar w:name="JobNo2" w:val="1527487R"/>
    <w:docVar w:name="LocalDrive" w:val="0"/>
    <w:docVar w:name="OandT" w:val="U.A."/>
    <w:docVar w:name="PaperSize" w:val="A4"/>
    <w:docVar w:name="sss1" w:val="CCPR/C/SUR/CO/3"/>
    <w:docVar w:name="sss2" w:val="-"/>
    <w:docVar w:name="Symbol1" w:val="CCPR/C/SUR/CO/3"/>
    <w:docVar w:name="Symbol2" w:val="-"/>
  </w:docVars>
  <w:rsids>
    <w:rsidRoot w:val="0051248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3BFC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3DCF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BCD"/>
    <w:rsid w:val="00427FE5"/>
    <w:rsid w:val="00433222"/>
    <w:rsid w:val="004360B1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48A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6309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74B8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040C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0AA2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3B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14E8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BA6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2E8C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3FF8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0BAF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6EB9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7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0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0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7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0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0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54E7-E18E-4444-BB45-9B0CC16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3150</Words>
  <Characters>21959</Characters>
  <Application>Microsoft Office Word</Application>
  <DocSecurity>0</DocSecurity>
  <Lines>461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Uliana Antipova</cp:lastModifiedBy>
  <cp:revision>4</cp:revision>
  <cp:lastPrinted>2015-12-23T16:26:00Z</cp:lastPrinted>
  <dcterms:created xsi:type="dcterms:W3CDTF">2015-12-23T16:26:00Z</dcterms:created>
  <dcterms:modified xsi:type="dcterms:W3CDTF">2015-12-23T16:27:00Z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1520616R</vt:lpwstr>
  </property>
  <property fmtid="{D5CDD505-2E9C-101B-9397-08002B2CF9AE}" pid="3" name="ODSRefJobNo">
    <vt:lpwstr>1527487R</vt:lpwstr>
  </property>
  <property fmtid="{D5CDD505-2E9C-101B-9397-08002B2CF9AE}" pid="4" name="Symbol1">
    <vt:lpwstr>CCPR/C/SUR/CO/3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231215</vt:lpwstr>
  </property>
</Properties>
</file>