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F203FC" w:rsidTr="009D5F1A">
        <w:trPr>
          <w:trHeight w:hRule="exact" w:val="851"/>
        </w:trPr>
        <w:tc>
          <w:tcPr>
            <w:tcW w:w="1276" w:type="dxa"/>
            <w:tcBorders>
              <w:bottom w:val="single" w:sz="4" w:space="0" w:color="auto"/>
            </w:tcBorders>
          </w:tcPr>
          <w:p w:rsidR="00DC0149" w:rsidRPr="00DB58B5" w:rsidRDefault="00DC0149" w:rsidP="00F203FC"/>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F203FC" w:rsidRDefault="00F203FC" w:rsidP="00F203FC">
            <w:pPr>
              <w:jc w:val="right"/>
              <w:rPr>
                <w:lang w:val="en-US"/>
              </w:rPr>
            </w:pPr>
            <w:r w:rsidRPr="00F203FC">
              <w:rPr>
                <w:sz w:val="40"/>
                <w:lang w:val="en-US"/>
              </w:rPr>
              <w:t>CERD</w:t>
            </w:r>
            <w:r w:rsidRPr="00F203FC">
              <w:rPr>
                <w:lang w:val="en-US"/>
              </w:rPr>
              <w:t>/C/MDA/CO/10-11/Add.1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F203FC" w:rsidP="009D5F1A">
            <w:pPr>
              <w:spacing w:before="240"/>
            </w:pPr>
            <w:r>
              <w:t>Distr. générale</w:t>
            </w:r>
          </w:p>
          <w:p w:rsidR="00F203FC" w:rsidRDefault="00F203FC" w:rsidP="00F203FC">
            <w:pPr>
              <w:spacing w:line="240" w:lineRule="exact"/>
            </w:pPr>
            <w:r>
              <w:t>17 septembre 2018</w:t>
            </w:r>
          </w:p>
          <w:p w:rsidR="00F203FC" w:rsidRDefault="00F203FC" w:rsidP="00F203FC">
            <w:pPr>
              <w:spacing w:line="240" w:lineRule="exact"/>
            </w:pPr>
            <w:r>
              <w:t>Français</w:t>
            </w:r>
          </w:p>
          <w:p w:rsidR="00F203FC" w:rsidRDefault="00F203FC" w:rsidP="00F203FC">
            <w:pPr>
              <w:spacing w:line="240" w:lineRule="exact"/>
            </w:pPr>
            <w:r>
              <w:t>Original : russe</w:t>
            </w:r>
          </w:p>
          <w:p w:rsidR="00F203FC" w:rsidRPr="00DB58B5" w:rsidRDefault="00F203FC" w:rsidP="00F203FC">
            <w:pPr>
              <w:spacing w:line="240" w:lineRule="exact"/>
            </w:pPr>
            <w:r>
              <w:t xml:space="preserve">Anglais, espagnol, français </w:t>
            </w:r>
            <w:r>
              <w:br/>
              <w:t>et russe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9618BC" w:rsidRPr="001E670B" w:rsidRDefault="009618BC" w:rsidP="009618BC">
      <w:pPr>
        <w:pStyle w:val="HMG"/>
        <w:rPr>
          <w:lang w:val="fr-FR"/>
        </w:rPr>
      </w:pPr>
      <w:r w:rsidRPr="001E670B">
        <w:rPr>
          <w:lang w:val="fr-FR"/>
        </w:rPr>
        <w:tab/>
      </w:r>
      <w:r w:rsidRPr="001E670B">
        <w:rPr>
          <w:lang w:val="fr-FR"/>
        </w:rPr>
        <w:tab/>
        <w:t xml:space="preserve">Observations finales concernant le rapport </w:t>
      </w:r>
      <w:r>
        <w:rPr>
          <w:lang w:val="fr-FR"/>
        </w:rPr>
        <w:br/>
      </w:r>
      <w:r w:rsidRPr="001E670B">
        <w:rPr>
          <w:lang w:val="fr-FR"/>
        </w:rPr>
        <w:t xml:space="preserve">de la République de Moldova valant dixième </w:t>
      </w:r>
      <w:r>
        <w:rPr>
          <w:lang w:val="fr-FR"/>
        </w:rPr>
        <w:br/>
      </w:r>
      <w:r w:rsidRPr="001E670B">
        <w:rPr>
          <w:lang w:val="fr-FR"/>
        </w:rPr>
        <w:t>et onzième rapports périodiques</w:t>
      </w:r>
    </w:p>
    <w:p w:rsidR="009618BC" w:rsidRPr="001E670B" w:rsidRDefault="009618BC" w:rsidP="009618BC">
      <w:pPr>
        <w:pStyle w:val="H23G"/>
        <w:rPr>
          <w:lang w:val="fr-FR"/>
        </w:rPr>
      </w:pPr>
      <w:r w:rsidRPr="001E670B">
        <w:rPr>
          <w:lang w:val="fr-FR"/>
        </w:rPr>
        <w:tab/>
      </w:r>
      <w:r w:rsidRPr="001E670B">
        <w:rPr>
          <w:lang w:val="fr-FR"/>
        </w:rPr>
        <w:tab/>
        <w:t>Additif</w:t>
      </w:r>
    </w:p>
    <w:p w:rsidR="009618BC" w:rsidRPr="001E670B" w:rsidRDefault="009618BC" w:rsidP="009618BC">
      <w:pPr>
        <w:pStyle w:val="HMG"/>
        <w:rPr>
          <w:lang w:val="fr-FR"/>
        </w:rPr>
      </w:pPr>
      <w:r w:rsidRPr="001E670B">
        <w:rPr>
          <w:lang w:val="fr-FR"/>
        </w:rPr>
        <w:tab/>
      </w:r>
      <w:r w:rsidRPr="001E670B">
        <w:rPr>
          <w:lang w:val="fr-FR"/>
        </w:rPr>
        <w:tab/>
        <w:t xml:space="preserve">Renseignements reçus de la République </w:t>
      </w:r>
      <w:r>
        <w:rPr>
          <w:lang w:val="fr-FR"/>
        </w:rPr>
        <w:br/>
      </w:r>
      <w:r w:rsidRPr="001E670B">
        <w:rPr>
          <w:lang w:val="fr-FR"/>
        </w:rPr>
        <w:t xml:space="preserve">de Moldova au sujet de la suite donnée </w:t>
      </w:r>
      <w:r>
        <w:rPr>
          <w:lang w:val="fr-FR"/>
        </w:rPr>
        <w:br/>
      </w:r>
      <w:r w:rsidRPr="001E670B">
        <w:rPr>
          <w:lang w:val="fr-FR"/>
        </w:rPr>
        <w:t>aux observations finales</w:t>
      </w:r>
      <w:r w:rsidR="001B4EB0" w:rsidRPr="001B4EB0">
        <w:rPr>
          <w:rStyle w:val="Appelnotedebasdep"/>
          <w:b w:val="0"/>
          <w:sz w:val="20"/>
          <w:vertAlign w:val="baseline"/>
        </w:rPr>
        <w:footnoteReference w:customMarkFollows="1" w:id="2"/>
        <w:t>*</w:t>
      </w:r>
    </w:p>
    <w:p w:rsidR="009618BC" w:rsidRDefault="009618BC" w:rsidP="009618BC">
      <w:pPr>
        <w:pStyle w:val="SingleTxtG"/>
        <w:jc w:val="right"/>
        <w:rPr>
          <w:lang w:val="fr-FR"/>
        </w:rPr>
      </w:pPr>
      <w:r>
        <w:rPr>
          <w:lang w:val="fr-FR"/>
        </w:rPr>
        <w:t>[Date de réception </w:t>
      </w:r>
      <w:r w:rsidRPr="001E670B">
        <w:rPr>
          <w:lang w:val="fr-FR"/>
        </w:rPr>
        <w:t>: 24 juillet 2018]</w:t>
      </w:r>
    </w:p>
    <w:p w:rsidR="00A72177" w:rsidRPr="009618BC" w:rsidRDefault="009618BC" w:rsidP="009618BC">
      <w:pPr>
        <w:pStyle w:val="HChG"/>
        <w:rPr>
          <w:lang w:val="fr-FR"/>
        </w:rPr>
      </w:pPr>
      <w:r>
        <w:rPr>
          <w:lang w:val="fr-FR"/>
        </w:rPr>
        <w:br w:type="page"/>
      </w:r>
      <w:r w:rsidR="00A72177" w:rsidRPr="009618BC">
        <w:rPr>
          <w:lang w:val="fr-FR"/>
        </w:rPr>
        <w:lastRenderedPageBreak/>
        <w:tab/>
      </w:r>
      <w:r w:rsidR="00A72177" w:rsidRPr="009618BC">
        <w:rPr>
          <w:lang w:val="fr-FR"/>
        </w:rPr>
        <w:tab/>
        <w:t xml:space="preserve">Information </w:t>
      </w:r>
    </w:p>
    <w:p w:rsidR="00A72177" w:rsidRPr="009618BC" w:rsidRDefault="00A72177" w:rsidP="009618BC">
      <w:pPr>
        <w:pStyle w:val="SingleTxtG"/>
        <w:rPr>
          <w:lang w:val="fr-FR"/>
        </w:rPr>
      </w:pPr>
      <w:r w:rsidRPr="009618BC">
        <w:rPr>
          <w:lang w:val="fr-FR"/>
        </w:rPr>
        <w:t>1.</w:t>
      </w:r>
      <w:r w:rsidRPr="009618BC">
        <w:rPr>
          <w:lang w:val="fr-FR"/>
        </w:rPr>
        <w:tab/>
      </w:r>
      <w:r w:rsidR="00F47C73">
        <w:rPr>
          <w:lang w:val="fr-FR"/>
        </w:rPr>
        <w:t xml:space="preserve">La présente communication contient des renseignements </w:t>
      </w:r>
      <w:r w:rsidRPr="009618BC">
        <w:rPr>
          <w:lang w:val="fr-FR"/>
        </w:rPr>
        <w:t>sur la mise en œuvre des recommandations formulées aux paragraphes 19 et 23 des observations finales que le Comité pour l</w:t>
      </w:r>
      <w:r w:rsidR="009618BC" w:rsidRPr="009618BC">
        <w:rPr>
          <w:lang w:val="fr-FR"/>
        </w:rPr>
        <w:t>’</w:t>
      </w:r>
      <w:r w:rsidRPr="009618BC">
        <w:rPr>
          <w:lang w:val="fr-FR"/>
        </w:rPr>
        <w:t>élimination de la discrimination raciale a adoptées à sa 2537</w:t>
      </w:r>
      <w:r w:rsidRPr="00583CEA">
        <w:rPr>
          <w:vertAlign w:val="superscript"/>
          <w:lang w:val="fr-FR"/>
        </w:rPr>
        <w:t>e</w:t>
      </w:r>
      <w:r w:rsidR="00750C5D">
        <w:rPr>
          <w:lang w:val="fr-FR"/>
        </w:rPr>
        <w:t> </w:t>
      </w:r>
      <w:r w:rsidR="00583CEA">
        <w:rPr>
          <w:lang w:val="fr-FR"/>
        </w:rPr>
        <w:t>séance, le 8 </w:t>
      </w:r>
      <w:r w:rsidRPr="009618BC">
        <w:rPr>
          <w:lang w:val="fr-FR"/>
        </w:rPr>
        <w:t>mai 2017, à l</w:t>
      </w:r>
      <w:r w:rsidR="009618BC" w:rsidRPr="009618BC">
        <w:rPr>
          <w:lang w:val="fr-FR"/>
        </w:rPr>
        <w:t>’</w:t>
      </w:r>
      <w:r w:rsidRPr="009618BC">
        <w:rPr>
          <w:lang w:val="fr-FR"/>
        </w:rPr>
        <w:t>issue de l</w:t>
      </w:r>
      <w:r w:rsidR="009618BC" w:rsidRPr="009618BC">
        <w:rPr>
          <w:lang w:val="fr-FR"/>
        </w:rPr>
        <w:t>’</w:t>
      </w:r>
      <w:r w:rsidRPr="009618BC">
        <w:rPr>
          <w:lang w:val="fr-FR"/>
        </w:rPr>
        <w:t>examen du rapport de la République de Moldova valant dixième et onzième rapports périodiques sur l</w:t>
      </w:r>
      <w:r w:rsidR="009618BC" w:rsidRPr="009618BC">
        <w:rPr>
          <w:lang w:val="fr-FR"/>
        </w:rPr>
        <w:t>’</w:t>
      </w:r>
      <w:r w:rsidRPr="009618BC">
        <w:rPr>
          <w:lang w:val="fr-FR"/>
        </w:rPr>
        <w:t>application de la Convention internationale sur l</w:t>
      </w:r>
      <w:r w:rsidR="009618BC" w:rsidRPr="009618BC">
        <w:rPr>
          <w:lang w:val="fr-FR"/>
        </w:rPr>
        <w:t>’</w:t>
      </w:r>
      <w:r w:rsidRPr="009618BC">
        <w:rPr>
          <w:lang w:val="fr-FR"/>
        </w:rPr>
        <w:t>élimination de toutes les formes de discrimination raciale.</w:t>
      </w:r>
    </w:p>
    <w:p w:rsidR="00A72177" w:rsidRPr="009618BC" w:rsidRDefault="00A72177" w:rsidP="009618BC">
      <w:pPr>
        <w:pStyle w:val="HChG"/>
        <w:rPr>
          <w:lang w:val="fr-FR"/>
        </w:rPr>
      </w:pPr>
      <w:r w:rsidRPr="009618BC">
        <w:rPr>
          <w:lang w:val="fr-FR"/>
        </w:rPr>
        <w:tab/>
        <w:t>I.</w:t>
      </w:r>
      <w:r w:rsidRPr="009618BC">
        <w:rPr>
          <w:lang w:val="fr-FR"/>
        </w:rPr>
        <w:tab/>
        <w:t>Introduction</w:t>
      </w:r>
    </w:p>
    <w:p w:rsidR="00A72177" w:rsidRPr="009618BC" w:rsidRDefault="00A72177" w:rsidP="009618BC">
      <w:pPr>
        <w:pStyle w:val="SingleTxtG"/>
        <w:rPr>
          <w:lang w:val="fr-FR"/>
        </w:rPr>
      </w:pPr>
      <w:r w:rsidRPr="009618BC">
        <w:rPr>
          <w:lang w:val="fr-FR"/>
        </w:rPr>
        <w:t>2.</w:t>
      </w:r>
      <w:r w:rsidRPr="009618BC">
        <w:rPr>
          <w:lang w:val="fr-FR"/>
        </w:rPr>
        <w:tab/>
        <w:t>La présente communication a été établie par le Bureau des relations interethniques conformément au paragraphe 31 des observations finales que le Comité pour l</w:t>
      </w:r>
      <w:r w:rsidR="009618BC" w:rsidRPr="009618BC">
        <w:rPr>
          <w:lang w:val="fr-FR"/>
        </w:rPr>
        <w:t>’</w:t>
      </w:r>
      <w:r w:rsidRPr="009618BC">
        <w:rPr>
          <w:lang w:val="fr-FR"/>
        </w:rPr>
        <w:t>élimination de la discrim</w:t>
      </w:r>
      <w:r w:rsidR="00583CEA">
        <w:rPr>
          <w:lang w:val="fr-FR"/>
        </w:rPr>
        <w:t>ination raciale a adoptées le 8 </w:t>
      </w:r>
      <w:r w:rsidRPr="009618BC">
        <w:rPr>
          <w:lang w:val="fr-FR"/>
        </w:rPr>
        <w:t>mai 2017, à la 2537</w:t>
      </w:r>
      <w:r w:rsidRPr="00583CEA">
        <w:rPr>
          <w:vertAlign w:val="superscript"/>
          <w:lang w:val="fr-FR"/>
        </w:rPr>
        <w:t>e</w:t>
      </w:r>
      <w:r w:rsidR="00583CEA">
        <w:rPr>
          <w:lang w:val="fr-FR"/>
        </w:rPr>
        <w:t> </w:t>
      </w:r>
      <w:r w:rsidRPr="009618BC">
        <w:rPr>
          <w:lang w:val="fr-FR"/>
        </w:rPr>
        <w:t xml:space="preserve">séance de sa </w:t>
      </w:r>
      <w:r w:rsidR="00583CEA">
        <w:rPr>
          <w:lang w:val="fr-FR"/>
        </w:rPr>
        <w:t>quatre-vingt-douzième</w:t>
      </w:r>
      <w:r w:rsidRPr="009618BC">
        <w:rPr>
          <w:lang w:val="fr-FR"/>
        </w:rPr>
        <w:t xml:space="preserve"> session, à l</w:t>
      </w:r>
      <w:r w:rsidR="009618BC" w:rsidRPr="009618BC">
        <w:rPr>
          <w:lang w:val="fr-FR"/>
        </w:rPr>
        <w:t>’</w:t>
      </w:r>
      <w:r w:rsidRPr="009618BC">
        <w:rPr>
          <w:lang w:val="fr-FR"/>
        </w:rPr>
        <w:t>issue de l</w:t>
      </w:r>
      <w:r w:rsidR="009618BC" w:rsidRPr="009618BC">
        <w:rPr>
          <w:lang w:val="fr-FR"/>
        </w:rPr>
        <w:t>’</w:t>
      </w:r>
      <w:r w:rsidRPr="009618BC">
        <w:rPr>
          <w:lang w:val="fr-FR"/>
        </w:rPr>
        <w:t>examen du rapport de la République de Moldova valant dixième et onzième rapports périodiques sur l</w:t>
      </w:r>
      <w:r w:rsidR="009618BC" w:rsidRPr="009618BC">
        <w:rPr>
          <w:lang w:val="fr-FR"/>
        </w:rPr>
        <w:t>’</w:t>
      </w:r>
      <w:r w:rsidRPr="009618BC">
        <w:rPr>
          <w:lang w:val="fr-FR"/>
        </w:rPr>
        <w:t>application de la Convention internationale sur l</w:t>
      </w:r>
      <w:r w:rsidR="009618BC" w:rsidRPr="009618BC">
        <w:rPr>
          <w:lang w:val="fr-FR"/>
        </w:rPr>
        <w:t>’</w:t>
      </w:r>
      <w:r w:rsidRPr="009618BC">
        <w:rPr>
          <w:lang w:val="fr-FR"/>
        </w:rPr>
        <w:t>élimination de toutes les formes de discrimination raciale.</w:t>
      </w:r>
    </w:p>
    <w:p w:rsidR="00A72177" w:rsidRPr="009618BC" w:rsidRDefault="00A72177" w:rsidP="009618BC">
      <w:pPr>
        <w:pStyle w:val="SingleTxtG"/>
        <w:rPr>
          <w:lang w:val="fr-FR"/>
        </w:rPr>
      </w:pPr>
      <w:r w:rsidRPr="009618BC">
        <w:rPr>
          <w:lang w:val="fr-FR"/>
        </w:rPr>
        <w:t>3.</w:t>
      </w:r>
      <w:r w:rsidRPr="009618BC">
        <w:rPr>
          <w:lang w:val="fr-FR"/>
        </w:rPr>
        <w:tab/>
        <w:t>Dans le paragraphe susmentionné, le Comité demande à l</w:t>
      </w:r>
      <w:r w:rsidR="009618BC" w:rsidRPr="009618BC">
        <w:rPr>
          <w:lang w:val="fr-FR"/>
        </w:rPr>
        <w:t>’</w:t>
      </w:r>
      <w:r w:rsidRPr="009618BC">
        <w:rPr>
          <w:lang w:val="fr-FR"/>
        </w:rPr>
        <w:t>État partie de fournir, dans un délai d</w:t>
      </w:r>
      <w:r w:rsidR="009618BC" w:rsidRPr="009618BC">
        <w:rPr>
          <w:lang w:val="fr-FR"/>
        </w:rPr>
        <w:t>’</w:t>
      </w:r>
      <w:r w:rsidRPr="009618BC">
        <w:rPr>
          <w:lang w:val="fr-FR"/>
        </w:rPr>
        <w:t>un an à compter de l</w:t>
      </w:r>
      <w:r w:rsidR="009618BC" w:rsidRPr="009618BC">
        <w:rPr>
          <w:lang w:val="fr-FR"/>
        </w:rPr>
        <w:t>’</w:t>
      </w:r>
      <w:r w:rsidRPr="009618BC">
        <w:rPr>
          <w:lang w:val="fr-FR"/>
        </w:rPr>
        <w:t>adoption des observations finales, des renseignements sur les mesures qu</w:t>
      </w:r>
      <w:r w:rsidR="009618BC" w:rsidRPr="009618BC">
        <w:rPr>
          <w:lang w:val="fr-FR"/>
        </w:rPr>
        <w:t>’</w:t>
      </w:r>
      <w:r w:rsidRPr="009618BC">
        <w:rPr>
          <w:lang w:val="fr-FR"/>
        </w:rPr>
        <w:t xml:space="preserve">il aura prises pour donner suite aux recommandations figurant aux </w:t>
      </w:r>
      <w:r w:rsidR="00070A7A">
        <w:rPr>
          <w:lang w:val="fr-FR"/>
        </w:rPr>
        <w:t>paragraphes </w:t>
      </w:r>
      <w:r w:rsidRPr="009618BC">
        <w:rPr>
          <w:lang w:val="fr-FR"/>
        </w:rPr>
        <w:t>19 et 23</w:t>
      </w:r>
      <w:r w:rsidRPr="009618BC">
        <w:rPr>
          <w:rStyle w:val="Appelnotedebasdep"/>
        </w:rPr>
        <w:footnoteReference w:id="3"/>
      </w:r>
      <w:r w:rsidRPr="009618BC">
        <w:rPr>
          <w:lang w:val="fr-FR"/>
        </w:rPr>
        <w:t>.</w:t>
      </w:r>
    </w:p>
    <w:p w:rsidR="00A72177" w:rsidRPr="009618BC" w:rsidRDefault="00A72177" w:rsidP="009618BC">
      <w:pPr>
        <w:pStyle w:val="SingleTxtG"/>
        <w:rPr>
          <w:lang w:val="fr-FR"/>
        </w:rPr>
      </w:pPr>
      <w:r w:rsidRPr="009618BC">
        <w:rPr>
          <w:lang w:val="fr-FR"/>
        </w:rPr>
        <w:t>4.</w:t>
      </w:r>
      <w:r w:rsidRPr="009618BC">
        <w:rPr>
          <w:lang w:val="fr-FR"/>
        </w:rPr>
        <w:tab/>
        <w:t>Le Bureau des relations interethniques, en tant que coordonnateur national chargé de l</w:t>
      </w:r>
      <w:r w:rsidR="009618BC" w:rsidRPr="009618BC">
        <w:rPr>
          <w:lang w:val="fr-FR"/>
        </w:rPr>
        <w:t>’</w:t>
      </w:r>
      <w:r w:rsidRPr="009618BC">
        <w:rPr>
          <w:lang w:val="fr-FR"/>
        </w:rPr>
        <w:t>établissement des rapports périodiques relatifs à l</w:t>
      </w:r>
      <w:r w:rsidR="009618BC" w:rsidRPr="009618BC">
        <w:rPr>
          <w:lang w:val="fr-FR"/>
        </w:rPr>
        <w:t>’</w:t>
      </w:r>
      <w:r w:rsidRPr="009618BC">
        <w:rPr>
          <w:lang w:val="fr-FR"/>
        </w:rPr>
        <w:t>application de la Convention, a fait traduire les observations finales du Comité dans la langue officielle et les a transmises aux ministères et aux autres autorités concernés pour information, examen et mise en œuvre.</w:t>
      </w:r>
    </w:p>
    <w:p w:rsidR="00A72177" w:rsidRPr="009618BC" w:rsidRDefault="00A72177" w:rsidP="009618BC">
      <w:pPr>
        <w:pStyle w:val="SingleTxtG"/>
        <w:rPr>
          <w:lang w:val="fr-FR"/>
        </w:rPr>
      </w:pPr>
      <w:r w:rsidRPr="009618BC">
        <w:rPr>
          <w:lang w:val="fr-FR"/>
        </w:rPr>
        <w:t>5.</w:t>
      </w:r>
      <w:r w:rsidRPr="009618BC">
        <w:rPr>
          <w:lang w:val="fr-FR"/>
        </w:rPr>
        <w:tab/>
        <w:t>Le Bureau des relations interethniques, en collaboration avec les ministères et d</w:t>
      </w:r>
      <w:r w:rsidR="009618BC" w:rsidRPr="009618BC">
        <w:rPr>
          <w:lang w:val="fr-FR"/>
        </w:rPr>
        <w:t>’</w:t>
      </w:r>
      <w:r w:rsidRPr="009618BC">
        <w:rPr>
          <w:lang w:val="fr-FR"/>
        </w:rPr>
        <w:t>autres organes spécialisés du Gouvernement central, a élaboré un plan d</w:t>
      </w:r>
      <w:r w:rsidR="009618BC" w:rsidRPr="009618BC">
        <w:rPr>
          <w:lang w:val="fr-FR"/>
        </w:rPr>
        <w:t>’</w:t>
      </w:r>
      <w:r w:rsidRPr="009618BC">
        <w:rPr>
          <w:lang w:val="fr-FR"/>
        </w:rPr>
        <w:t>action pour le suivi et la mise en œuvre des observations finales du Comité.</w:t>
      </w:r>
    </w:p>
    <w:p w:rsidR="00A72177" w:rsidRPr="009618BC" w:rsidRDefault="00A72177" w:rsidP="009618BC">
      <w:pPr>
        <w:pStyle w:val="SingleTxtG"/>
        <w:rPr>
          <w:lang w:val="fr-FR"/>
        </w:rPr>
      </w:pPr>
      <w:r w:rsidRPr="009618BC">
        <w:rPr>
          <w:lang w:val="fr-FR"/>
        </w:rPr>
        <w:t>6.</w:t>
      </w:r>
      <w:r w:rsidRPr="009618BC">
        <w:rPr>
          <w:lang w:val="fr-FR"/>
        </w:rPr>
        <w:tab/>
        <w:t>Les observations finales du Comité, datées du 8 mai 2017, ainsi que le plan d</w:t>
      </w:r>
      <w:r w:rsidR="009618BC" w:rsidRPr="009618BC">
        <w:rPr>
          <w:lang w:val="fr-FR"/>
        </w:rPr>
        <w:t>’</w:t>
      </w:r>
      <w:r w:rsidRPr="009618BC">
        <w:rPr>
          <w:lang w:val="fr-FR"/>
        </w:rPr>
        <w:t xml:space="preserve">action pour le suivi et la mise en œuvre de ces observations, ont été publiés sur le site Web du Bureau des relations interethniques : </w:t>
      </w:r>
      <w:hyperlink r:id="rId8" w:history="1">
        <w:r w:rsidRPr="00BA469D">
          <w:rPr>
            <w:rStyle w:val="Lienhypertexte"/>
            <w:lang w:val="fr-FR"/>
          </w:rPr>
          <w:t>www.gov.md</w:t>
        </w:r>
      </w:hyperlink>
      <w:r w:rsidRPr="009618BC">
        <w:rPr>
          <w:lang w:val="fr-FR"/>
        </w:rPr>
        <w:t>.</w:t>
      </w:r>
    </w:p>
    <w:p w:rsidR="00A72177" w:rsidRPr="009618BC" w:rsidRDefault="00A72177" w:rsidP="009618BC">
      <w:pPr>
        <w:pStyle w:val="SingleTxtG"/>
        <w:rPr>
          <w:bCs/>
          <w:lang w:val="fr-FR"/>
        </w:rPr>
      </w:pPr>
      <w:r w:rsidRPr="009618BC">
        <w:rPr>
          <w:lang w:val="fr-FR"/>
        </w:rPr>
        <w:t>7.</w:t>
      </w:r>
      <w:r w:rsidRPr="009618BC">
        <w:rPr>
          <w:lang w:val="fr-FR"/>
        </w:rPr>
        <w:tab/>
        <w:t>Au cours de la période 2017-2018, un certain nombre d</w:t>
      </w:r>
      <w:r w:rsidR="009618BC" w:rsidRPr="009618BC">
        <w:rPr>
          <w:lang w:val="fr-FR"/>
        </w:rPr>
        <w:t>’</w:t>
      </w:r>
      <w:r w:rsidRPr="009618BC">
        <w:rPr>
          <w:lang w:val="fr-FR"/>
        </w:rPr>
        <w:t>actions concrètes ont été menées dans le but, entre autres, de réellement donner suite aux observations finales du Comité, datées du 8 mai 2017. Dans ce contexte, il y a lieu de constater qu</w:t>
      </w:r>
      <w:r w:rsidR="009618BC" w:rsidRPr="009618BC">
        <w:rPr>
          <w:lang w:val="fr-FR"/>
        </w:rPr>
        <w:t>’</w:t>
      </w:r>
      <w:r w:rsidRPr="009618BC">
        <w:rPr>
          <w:lang w:val="fr-FR"/>
        </w:rPr>
        <w:t>après l</w:t>
      </w:r>
      <w:r w:rsidR="009618BC" w:rsidRPr="009618BC">
        <w:rPr>
          <w:lang w:val="fr-FR"/>
        </w:rPr>
        <w:t>’</w:t>
      </w:r>
      <w:r w:rsidRPr="009618BC">
        <w:rPr>
          <w:lang w:val="fr-FR"/>
        </w:rPr>
        <w:t>adoption des observations finales par le Comité, des progrès ont été accomplis.</w:t>
      </w:r>
    </w:p>
    <w:p w:rsidR="00A72177" w:rsidRPr="009618BC" w:rsidRDefault="00A72177" w:rsidP="009618BC">
      <w:pPr>
        <w:pStyle w:val="SingleTxtG"/>
        <w:rPr>
          <w:bCs/>
          <w:lang w:val="fr-FR"/>
        </w:rPr>
      </w:pPr>
      <w:r w:rsidRPr="009618BC">
        <w:rPr>
          <w:lang w:val="fr-FR"/>
        </w:rPr>
        <w:t>8.</w:t>
      </w:r>
      <w:r w:rsidRPr="009618BC">
        <w:rPr>
          <w:lang w:val="fr-FR"/>
        </w:rPr>
        <w:tab/>
        <w:t>Les actions les plus efficaces menées en 2017 et 2018 sont présentées ci-après</w:t>
      </w:r>
      <w:r w:rsidR="00EC0ECE">
        <w:rPr>
          <w:lang w:val="fr-FR"/>
        </w:rPr>
        <w:t> </w:t>
      </w:r>
      <w:r w:rsidRPr="009618BC">
        <w:rPr>
          <w:lang w:val="fr-FR"/>
        </w:rPr>
        <w:t>:</w:t>
      </w:r>
    </w:p>
    <w:p w:rsidR="00A72177" w:rsidRPr="009618BC" w:rsidRDefault="00A72177" w:rsidP="009618BC">
      <w:pPr>
        <w:pStyle w:val="H4G"/>
        <w:rPr>
          <w:bCs/>
          <w:lang w:val="fr-FR"/>
        </w:rPr>
      </w:pPr>
      <w:r w:rsidRPr="009618BC">
        <w:rPr>
          <w:lang w:val="fr-FR"/>
        </w:rPr>
        <w:tab/>
      </w:r>
      <w:r w:rsidRPr="009618BC">
        <w:rPr>
          <w:lang w:val="fr-FR"/>
        </w:rPr>
        <w:tab/>
        <w:t>1)</w:t>
      </w:r>
    </w:p>
    <w:p w:rsidR="00A72177" w:rsidRPr="009618BC" w:rsidRDefault="00A72177" w:rsidP="009618BC">
      <w:pPr>
        <w:pStyle w:val="SingleTxtG"/>
        <w:rPr>
          <w:bCs/>
          <w:lang w:val="fr-FR"/>
        </w:rPr>
      </w:pPr>
      <w:r w:rsidRPr="009618BC">
        <w:rPr>
          <w:lang w:val="fr-FR"/>
        </w:rPr>
        <w:t>9.</w:t>
      </w:r>
      <w:r w:rsidRPr="009618BC">
        <w:rPr>
          <w:lang w:val="fr-FR"/>
        </w:rPr>
        <w:tab/>
        <w:t>Le Plan d</w:t>
      </w:r>
      <w:r w:rsidR="009618BC" w:rsidRPr="009618BC">
        <w:rPr>
          <w:lang w:val="fr-FR"/>
        </w:rPr>
        <w:t>’</w:t>
      </w:r>
      <w:r w:rsidRPr="009618BC">
        <w:rPr>
          <w:lang w:val="fr-FR"/>
        </w:rPr>
        <w:t>action 2017-2020 relatif à la mise en œuvre de la Stratégie 2017-2027 pour l</w:t>
      </w:r>
      <w:r w:rsidR="009618BC" w:rsidRPr="009618BC">
        <w:rPr>
          <w:lang w:val="fr-FR"/>
        </w:rPr>
        <w:t>’</w:t>
      </w:r>
      <w:r w:rsidRPr="009618BC">
        <w:rPr>
          <w:lang w:val="fr-FR"/>
        </w:rPr>
        <w:t>amélioration des relations interethniques dans la République de Moldova a été adopté par</w:t>
      </w:r>
      <w:r w:rsidR="00EC0ECE">
        <w:rPr>
          <w:lang w:val="fr-FR"/>
        </w:rPr>
        <w:t xml:space="preserve"> </w:t>
      </w:r>
      <w:r w:rsidRPr="009618BC">
        <w:rPr>
          <w:lang w:val="fr-FR"/>
        </w:rPr>
        <w:t>l</w:t>
      </w:r>
      <w:r w:rsidR="009618BC" w:rsidRPr="009618BC">
        <w:rPr>
          <w:lang w:val="fr-FR"/>
        </w:rPr>
        <w:t>’</w:t>
      </w:r>
      <w:r w:rsidRPr="009618BC">
        <w:rPr>
          <w:lang w:val="fr-FR"/>
        </w:rPr>
        <w:t>ordonnance gouvernementale n</w:t>
      </w:r>
      <w:r w:rsidRPr="009618BC">
        <w:rPr>
          <w:vertAlign w:val="superscript"/>
          <w:lang w:val="fr-FR"/>
        </w:rPr>
        <w:t>o</w:t>
      </w:r>
      <w:r w:rsidRPr="009618BC">
        <w:rPr>
          <w:lang w:val="fr-FR"/>
        </w:rPr>
        <w:t> 1019 du 29 novembre 2017.</w:t>
      </w:r>
    </w:p>
    <w:p w:rsidR="00A72177" w:rsidRPr="009618BC" w:rsidRDefault="00A72177" w:rsidP="009618BC">
      <w:pPr>
        <w:pStyle w:val="SingleTxtG"/>
        <w:rPr>
          <w:lang w:val="fr-FR"/>
        </w:rPr>
      </w:pPr>
      <w:r w:rsidRPr="009618BC">
        <w:rPr>
          <w:lang w:val="fr-FR"/>
        </w:rPr>
        <w:t>10.</w:t>
      </w:r>
      <w:r w:rsidRPr="009618BC">
        <w:rPr>
          <w:lang w:val="fr-FR"/>
        </w:rPr>
        <w:tab/>
        <w:t>Compte tenu de la structure de la Stratégie 2017-2027 pour l</w:t>
      </w:r>
      <w:r w:rsidR="009618BC" w:rsidRPr="009618BC">
        <w:rPr>
          <w:lang w:val="fr-FR"/>
        </w:rPr>
        <w:t>’</w:t>
      </w:r>
      <w:r w:rsidRPr="009618BC">
        <w:rPr>
          <w:lang w:val="fr-FR"/>
        </w:rPr>
        <w:t>amélioration des relations interethniques dans la République de Moldova</w:t>
      </w:r>
      <w:r w:rsidRPr="009618BC">
        <w:rPr>
          <w:rStyle w:val="Appelnotedebasdep"/>
        </w:rPr>
        <w:footnoteReference w:id="4"/>
      </w:r>
      <w:r w:rsidRPr="009618BC">
        <w:rPr>
          <w:lang w:val="fr-FR"/>
        </w:rPr>
        <w:t>, les actions prioritaires inscrites dans le Plan relatif à sa mise en œuvre ont été regroupées en quatre domaines prioritaires : la participation à la vie publique ; la langue comme moyen d</w:t>
      </w:r>
      <w:r w:rsidR="009618BC" w:rsidRPr="009618BC">
        <w:rPr>
          <w:lang w:val="fr-FR"/>
        </w:rPr>
        <w:t>’</w:t>
      </w:r>
      <w:r w:rsidRPr="009618BC">
        <w:rPr>
          <w:lang w:val="fr-FR"/>
        </w:rPr>
        <w:t>intégration : les politiques concernant la langue officielle et les langues minoritaires ; le dialogue interculturel et l</w:t>
      </w:r>
      <w:r w:rsidR="009618BC" w:rsidRPr="009618BC">
        <w:rPr>
          <w:lang w:val="fr-FR"/>
        </w:rPr>
        <w:t>’</w:t>
      </w:r>
      <w:r w:rsidRPr="009618BC">
        <w:rPr>
          <w:lang w:val="fr-FR"/>
        </w:rPr>
        <w:t>appartenance citoyenne à la République de Moldova ; les médias.</w:t>
      </w:r>
    </w:p>
    <w:p w:rsidR="00A72177" w:rsidRPr="009618BC" w:rsidRDefault="00A72177" w:rsidP="0030226E">
      <w:pPr>
        <w:pStyle w:val="SingleTxtG"/>
        <w:keepNext/>
        <w:keepLines/>
        <w:rPr>
          <w:lang w:val="fr-FR"/>
        </w:rPr>
      </w:pPr>
      <w:r w:rsidRPr="009618BC">
        <w:rPr>
          <w:lang w:val="fr-FR"/>
        </w:rPr>
        <w:lastRenderedPageBreak/>
        <w:t>11.</w:t>
      </w:r>
      <w:r w:rsidRPr="009618BC">
        <w:rPr>
          <w:lang w:val="fr-FR"/>
        </w:rPr>
        <w:tab/>
        <w:t>Il convient en particulier de noter l</w:t>
      </w:r>
      <w:r w:rsidR="009618BC" w:rsidRPr="009618BC">
        <w:rPr>
          <w:lang w:val="fr-FR"/>
        </w:rPr>
        <w:t>’</w:t>
      </w:r>
      <w:r w:rsidRPr="009618BC">
        <w:rPr>
          <w:lang w:val="fr-FR"/>
        </w:rPr>
        <w:t>objectif n</w:t>
      </w:r>
      <w:r w:rsidRPr="009618BC">
        <w:rPr>
          <w:vertAlign w:val="superscript"/>
          <w:lang w:val="fr-FR"/>
        </w:rPr>
        <w:t>o</w:t>
      </w:r>
      <w:r w:rsidRPr="009618BC">
        <w:rPr>
          <w:lang w:val="fr-FR"/>
        </w:rPr>
        <w:t> 3 « Prévention et élimination de la discrimination, de la xénophobie, des stéréotypes à caractère ethnique, des tensions interethniques et de la ségrégation » du chapitre III intitulé « Dialogue interculturel et appartenance citoyenne à la République de Moldova ».</w:t>
      </w:r>
    </w:p>
    <w:p w:rsidR="00A72177" w:rsidRPr="009618BC" w:rsidRDefault="00A72177" w:rsidP="009618BC">
      <w:pPr>
        <w:pStyle w:val="SingleTxtG"/>
        <w:rPr>
          <w:lang w:val="fr-FR"/>
        </w:rPr>
      </w:pPr>
      <w:r w:rsidRPr="009618BC">
        <w:rPr>
          <w:lang w:val="fr-FR"/>
        </w:rPr>
        <w:t>12.</w:t>
      </w:r>
      <w:r w:rsidRPr="009618BC">
        <w:rPr>
          <w:lang w:val="fr-FR"/>
        </w:rPr>
        <w:tab/>
        <w:t>La réalisation des objectifs indiqués dans le plan sera financée par les ressources budgétaires des autorités concernées, ainsi que par d</w:t>
      </w:r>
      <w:r w:rsidR="009618BC" w:rsidRPr="009618BC">
        <w:rPr>
          <w:lang w:val="fr-FR"/>
        </w:rPr>
        <w:t>’</w:t>
      </w:r>
      <w:r w:rsidRPr="009618BC">
        <w:rPr>
          <w:lang w:val="fr-FR"/>
        </w:rPr>
        <w:t>autres sources de financement, y compris externes, dans le respect de la législation en vigueur</w:t>
      </w:r>
      <w:r w:rsidR="009931A6">
        <w:rPr>
          <w:lang w:val="fr-FR"/>
        </w:rPr>
        <w:t>. Ainsi, pour la période 2017</w:t>
      </w:r>
      <w:r w:rsidR="009931A6">
        <w:rPr>
          <w:lang w:val="fr-FR"/>
        </w:rPr>
        <w:noBreakHyphen/>
      </w:r>
      <w:r w:rsidRPr="009618BC">
        <w:rPr>
          <w:lang w:val="fr-FR"/>
        </w:rPr>
        <w:t>2020, les financements internes s</w:t>
      </w:r>
      <w:r w:rsidR="009618BC" w:rsidRPr="009618BC">
        <w:rPr>
          <w:lang w:val="fr-FR"/>
        </w:rPr>
        <w:t>’</w:t>
      </w:r>
      <w:r w:rsidR="0030226E">
        <w:rPr>
          <w:lang w:val="fr-FR"/>
        </w:rPr>
        <w:t>élèvent à 2 570 795 </w:t>
      </w:r>
      <w:r w:rsidRPr="009618BC">
        <w:rPr>
          <w:lang w:val="fr-FR"/>
        </w:rPr>
        <w:t>lei contre 2 101 822 lei pour les financements externes.</w:t>
      </w:r>
    </w:p>
    <w:p w:rsidR="00A72177" w:rsidRPr="009618BC" w:rsidRDefault="00A72177" w:rsidP="009618BC">
      <w:pPr>
        <w:pStyle w:val="H4G"/>
        <w:rPr>
          <w:bCs/>
          <w:lang w:val="fr-FR"/>
        </w:rPr>
      </w:pPr>
      <w:r w:rsidRPr="009618BC">
        <w:rPr>
          <w:lang w:val="fr-FR"/>
        </w:rPr>
        <w:tab/>
      </w:r>
      <w:r w:rsidRPr="009618BC">
        <w:rPr>
          <w:lang w:val="fr-FR"/>
        </w:rPr>
        <w:tab/>
        <w:t>2)</w:t>
      </w:r>
    </w:p>
    <w:p w:rsidR="00A72177" w:rsidRPr="009618BC" w:rsidRDefault="00A72177" w:rsidP="009618BC">
      <w:pPr>
        <w:pStyle w:val="SingleTxtG"/>
        <w:rPr>
          <w:lang w:val="fr-FR"/>
        </w:rPr>
      </w:pPr>
      <w:r w:rsidRPr="009618BC">
        <w:rPr>
          <w:lang w:val="fr-FR"/>
        </w:rPr>
        <w:t>13.</w:t>
      </w:r>
      <w:r w:rsidRPr="009618BC">
        <w:rPr>
          <w:lang w:val="fr-FR"/>
        </w:rPr>
        <w:tab/>
        <w:t>Le 1</w:t>
      </w:r>
      <w:r w:rsidRPr="009618BC">
        <w:rPr>
          <w:vertAlign w:val="superscript"/>
          <w:lang w:val="fr-FR"/>
        </w:rPr>
        <w:t>er</w:t>
      </w:r>
      <w:r w:rsidRPr="009618BC">
        <w:rPr>
          <w:lang w:val="fr-FR"/>
        </w:rPr>
        <w:t> mars 2018, le Bureau des relations interethniques a organisé une réunion du groupe de travail interministériel chargé de l</w:t>
      </w:r>
      <w:r w:rsidR="009618BC" w:rsidRPr="009618BC">
        <w:rPr>
          <w:lang w:val="fr-FR"/>
        </w:rPr>
        <w:t>’</w:t>
      </w:r>
      <w:r w:rsidRPr="009618BC">
        <w:rPr>
          <w:lang w:val="fr-FR"/>
        </w:rPr>
        <w:t>exécution du Plan d</w:t>
      </w:r>
      <w:r w:rsidR="009618BC" w:rsidRPr="009618BC">
        <w:rPr>
          <w:lang w:val="fr-FR"/>
        </w:rPr>
        <w:t>’</w:t>
      </w:r>
      <w:r w:rsidRPr="009618BC">
        <w:rPr>
          <w:lang w:val="fr-FR"/>
        </w:rPr>
        <w:t>action 2017-2020 relatif à la mise en œuvre de la Stratégie 2017-2027 pour l</w:t>
      </w:r>
      <w:r w:rsidR="009618BC" w:rsidRPr="009618BC">
        <w:rPr>
          <w:lang w:val="fr-FR"/>
        </w:rPr>
        <w:t>’</w:t>
      </w:r>
      <w:r w:rsidRPr="009618BC">
        <w:rPr>
          <w:lang w:val="fr-FR"/>
        </w:rPr>
        <w:t>amélioration des relations interethniques dans la République de Moldova. Des experts des ministères et d</w:t>
      </w:r>
      <w:r w:rsidR="009618BC" w:rsidRPr="009618BC">
        <w:rPr>
          <w:lang w:val="fr-FR"/>
        </w:rPr>
        <w:t>’</w:t>
      </w:r>
      <w:r w:rsidRPr="009618BC">
        <w:rPr>
          <w:lang w:val="fr-FR"/>
        </w:rPr>
        <w:t>autres organes spécialisés du Gouvernement central, des représentants de la mission de l</w:t>
      </w:r>
      <w:r w:rsidR="009618BC" w:rsidRPr="009618BC">
        <w:rPr>
          <w:lang w:val="fr-FR"/>
        </w:rPr>
        <w:t>’</w:t>
      </w:r>
      <w:r w:rsidRPr="009618BC">
        <w:rPr>
          <w:lang w:val="fr-FR"/>
        </w:rPr>
        <w:t>Organisation pour la sécurité et la coopération en Europe (OSCE) en Moldova et des responsables d</w:t>
      </w:r>
      <w:r w:rsidR="009618BC" w:rsidRPr="009618BC">
        <w:rPr>
          <w:lang w:val="fr-FR"/>
        </w:rPr>
        <w:t>’</w:t>
      </w:r>
      <w:r w:rsidR="0030226E">
        <w:rPr>
          <w:lang w:val="fr-FR"/>
        </w:rPr>
        <w:t>organisations ethno</w:t>
      </w:r>
      <w:r w:rsidRPr="009618BC">
        <w:rPr>
          <w:lang w:val="fr-FR"/>
        </w:rPr>
        <w:t>culturelles accréditées auprès du Bureau ont participé à la réunion.</w:t>
      </w:r>
    </w:p>
    <w:p w:rsidR="00A72177" w:rsidRPr="009618BC" w:rsidRDefault="00A72177" w:rsidP="009618BC">
      <w:pPr>
        <w:pStyle w:val="SingleTxtG"/>
        <w:rPr>
          <w:lang w:val="fr-FR"/>
        </w:rPr>
      </w:pPr>
      <w:r w:rsidRPr="009618BC">
        <w:rPr>
          <w:lang w:val="fr-FR"/>
        </w:rPr>
        <w:t>14.</w:t>
      </w:r>
      <w:r w:rsidRPr="009618BC">
        <w:rPr>
          <w:lang w:val="fr-FR"/>
        </w:rPr>
        <w:tab/>
        <w:t>Les participants à la réunion ont discuté des mesures indispensables à l</w:t>
      </w:r>
      <w:r w:rsidR="009618BC" w:rsidRPr="009618BC">
        <w:rPr>
          <w:lang w:val="fr-FR"/>
        </w:rPr>
        <w:t>’</w:t>
      </w:r>
      <w:r w:rsidRPr="009618BC">
        <w:rPr>
          <w:lang w:val="fr-FR"/>
        </w:rPr>
        <w:t>exécution pleine et entière des actions prévues dans le Plan et ont défini les priorités pour l</w:t>
      </w:r>
      <w:r w:rsidR="009618BC" w:rsidRPr="009618BC">
        <w:rPr>
          <w:lang w:val="fr-FR"/>
        </w:rPr>
        <w:t>’</w:t>
      </w:r>
      <w:r w:rsidR="0030226E">
        <w:rPr>
          <w:lang w:val="fr-FR"/>
        </w:rPr>
        <w:t>année </w:t>
      </w:r>
      <w:r w:rsidRPr="009618BC">
        <w:rPr>
          <w:lang w:val="fr-FR"/>
        </w:rPr>
        <w:t>2018, dont la formation des experts du Bureau et des ministères concernés aux fins d</w:t>
      </w:r>
      <w:r w:rsidR="009618BC" w:rsidRPr="009618BC">
        <w:rPr>
          <w:lang w:val="fr-FR"/>
        </w:rPr>
        <w:t>’</w:t>
      </w:r>
      <w:r w:rsidRPr="009618BC">
        <w:rPr>
          <w:lang w:val="fr-FR"/>
        </w:rPr>
        <w:t>un renforcement des capacités dans le domaine du suivi et de l</w:t>
      </w:r>
      <w:r w:rsidR="009618BC" w:rsidRPr="009618BC">
        <w:rPr>
          <w:lang w:val="fr-FR"/>
        </w:rPr>
        <w:t>’</w:t>
      </w:r>
      <w:r w:rsidRPr="009618BC">
        <w:rPr>
          <w:lang w:val="fr-FR"/>
        </w:rPr>
        <w:t>évaluation de l</w:t>
      </w:r>
      <w:r w:rsidR="009618BC" w:rsidRPr="009618BC">
        <w:rPr>
          <w:lang w:val="fr-FR"/>
        </w:rPr>
        <w:t>’</w:t>
      </w:r>
      <w:r w:rsidRPr="009618BC">
        <w:rPr>
          <w:lang w:val="fr-FR"/>
        </w:rPr>
        <w:t>exécution du Plan, l</w:t>
      </w:r>
      <w:r w:rsidR="009618BC" w:rsidRPr="009618BC">
        <w:rPr>
          <w:lang w:val="fr-FR"/>
        </w:rPr>
        <w:t>’</w:t>
      </w:r>
      <w:r w:rsidRPr="009618BC">
        <w:rPr>
          <w:lang w:val="fr-FR"/>
        </w:rPr>
        <w:t>élaboration de projets, etc. Ainsi, notamment entre le 22 et le 24 mai 2018, la mission de l</w:t>
      </w:r>
      <w:r w:rsidR="009618BC" w:rsidRPr="009618BC">
        <w:rPr>
          <w:lang w:val="fr-FR"/>
        </w:rPr>
        <w:t>’</w:t>
      </w:r>
      <w:r w:rsidRPr="009618BC">
        <w:rPr>
          <w:lang w:val="fr-FR"/>
        </w:rPr>
        <w:t>OSCE en Moldova, en partenariat avec le Bureau des relations interethniques, a organisé un séminaire de formation pour les fonctionnaires du Bureau et les membres du groupe de travail interministériel. Au cours de ce séminaire, des experts internationaux ont présenté l</w:t>
      </w:r>
      <w:r w:rsidR="009618BC" w:rsidRPr="009618BC">
        <w:rPr>
          <w:lang w:val="fr-FR"/>
        </w:rPr>
        <w:t>’</w:t>
      </w:r>
      <w:r w:rsidRPr="009618BC">
        <w:rPr>
          <w:lang w:val="fr-FR"/>
        </w:rPr>
        <w:t>expérience et les pratiques européennes modernes en matière d</w:t>
      </w:r>
      <w:r w:rsidR="009618BC" w:rsidRPr="009618BC">
        <w:rPr>
          <w:lang w:val="fr-FR"/>
        </w:rPr>
        <w:t>’</w:t>
      </w:r>
      <w:r w:rsidRPr="009618BC">
        <w:rPr>
          <w:lang w:val="fr-FR"/>
        </w:rPr>
        <w:t>amélioration des relations interethniques, en prenant l</w:t>
      </w:r>
      <w:r w:rsidR="009618BC" w:rsidRPr="009618BC">
        <w:rPr>
          <w:lang w:val="fr-FR"/>
        </w:rPr>
        <w:t>’</w:t>
      </w:r>
      <w:r w:rsidRPr="009618BC">
        <w:rPr>
          <w:lang w:val="fr-FR"/>
        </w:rPr>
        <w:t>exemple de l</w:t>
      </w:r>
      <w:r w:rsidR="009618BC" w:rsidRPr="009618BC">
        <w:rPr>
          <w:lang w:val="fr-FR"/>
        </w:rPr>
        <w:t>’</w:t>
      </w:r>
      <w:r w:rsidRPr="009618BC">
        <w:rPr>
          <w:lang w:val="fr-FR"/>
        </w:rPr>
        <w:t>Estonie.</w:t>
      </w:r>
    </w:p>
    <w:p w:rsidR="00A72177" w:rsidRPr="009618BC" w:rsidRDefault="00A72177" w:rsidP="009618BC">
      <w:pPr>
        <w:pStyle w:val="H4G"/>
        <w:rPr>
          <w:lang w:val="fr-FR"/>
        </w:rPr>
      </w:pPr>
      <w:r w:rsidRPr="009618BC">
        <w:rPr>
          <w:lang w:val="fr-FR"/>
        </w:rPr>
        <w:tab/>
      </w:r>
      <w:r w:rsidRPr="009618BC">
        <w:rPr>
          <w:lang w:val="fr-FR"/>
        </w:rPr>
        <w:tab/>
        <w:t>3)</w:t>
      </w:r>
    </w:p>
    <w:p w:rsidR="00A72177" w:rsidRPr="009618BC" w:rsidRDefault="00A72177" w:rsidP="009618BC">
      <w:pPr>
        <w:pStyle w:val="SingleTxtG"/>
        <w:rPr>
          <w:lang w:val="fr-FR"/>
        </w:rPr>
      </w:pPr>
      <w:r w:rsidRPr="009618BC">
        <w:rPr>
          <w:lang w:val="fr-FR"/>
        </w:rPr>
        <w:t>15.</w:t>
      </w:r>
      <w:r w:rsidRPr="009618BC">
        <w:rPr>
          <w:lang w:val="fr-FR"/>
        </w:rPr>
        <w:tab/>
        <w:t>Le 19 mars 2018, des représentants du Bureau des relations interethniques, du bureau de l</w:t>
      </w:r>
      <w:r w:rsidR="009618BC" w:rsidRPr="009618BC">
        <w:rPr>
          <w:lang w:val="fr-FR"/>
        </w:rPr>
        <w:t>’</w:t>
      </w:r>
      <w:r w:rsidRPr="009618BC">
        <w:rPr>
          <w:lang w:val="fr-FR"/>
        </w:rPr>
        <w:t>avocat du peuple et du Conseil pour la prévention et l</w:t>
      </w:r>
      <w:r w:rsidR="009618BC" w:rsidRPr="009618BC">
        <w:rPr>
          <w:lang w:val="fr-FR"/>
        </w:rPr>
        <w:t>’</w:t>
      </w:r>
      <w:r w:rsidRPr="009618BC">
        <w:rPr>
          <w:lang w:val="fr-FR"/>
        </w:rPr>
        <w:t>élimination de la discrimination et le respect de l</w:t>
      </w:r>
      <w:r w:rsidR="009618BC" w:rsidRPr="009618BC">
        <w:rPr>
          <w:lang w:val="fr-FR"/>
        </w:rPr>
        <w:t>’</w:t>
      </w:r>
      <w:r w:rsidRPr="009618BC">
        <w:rPr>
          <w:lang w:val="fr-FR"/>
        </w:rPr>
        <w:t>égalité se sont réunis, principalement afin de définir les moyens d</w:t>
      </w:r>
      <w:r w:rsidR="009618BC" w:rsidRPr="009618BC">
        <w:rPr>
          <w:lang w:val="fr-FR"/>
        </w:rPr>
        <w:t>’</w:t>
      </w:r>
      <w:r w:rsidRPr="009618BC">
        <w:rPr>
          <w:lang w:val="fr-FR"/>
        </w:rPr>
        <w:t>une collaboration efficace dans le domaine des droits de l</w:t>
      </w:r>
      <w:r w:rsidR="009618BC" w:rsidRPr="009618BC">
        <w:rPr>
          <w:lang w:val="fr-FR"/>
        </w:rPr>
        <w:t>’</w:t>
      </w:r>
      <w:r w:rsidRPr="009618BC">
        <w:rPr>
          <w:lang w:val="fr-FR"/>
        </w:rPr>
        <w:t>homme, notamment pour l</w:t>
      </w:r>
      <w:r w:rsidR="009618BC" w:rsidRPr="009618BC">
        <w:rPr>
          <w:lang w:val="fr-FR"/>
        </w:rPr>
        <w:t>’</w:t>
      </w:r>
      <w:r w:rsidRPr="009618BC">
        <w:rPr>
          <w:lang w:val="fr-FR"/>
        </w:rPr>
        <w:t>exécution du Plan d</w:t>
      </w:r>
      <w:r w:rsidR="009618BC" w:rsidRPr="009618BC">
        <w:rPr>
          <w:lang w:val="fr-FR"/>
        </w:rPr>
        <w:t>’</w:t>
      </w:r>
      <w:r w:rsidRPr="009618BC">
        <w:rPr>
          <w:lang w:val="fr-FR"/>
        </w:rPr>
        <w:t>action 2017-2020 relatif à la mise en œuvre de la Stratégie 2017-2027 pour l</w:t>
      </w:r>
      <w:r w:rsidR="009618BC" w:rsidRPr="009618BC">
        <w:rPr>
          <w:lang w:val="fr-FR"/>
        </w:rPr>
        <w:t>’</w:t>
      </w:r>
      <w:r w:rsidRPr="009618BC">
        <w:rPr>
          <w:lang w:val="fr-FR"/>
        </w:rPr>
        <w:t>amélioration des relations interethniques dans la République de Moldova. À l</w:t>
      </w:r>
      <w:r w:rsidR="009618BC" w:rsidRPr="009618BC">
        <w:rPr>
          <w:lang w:val="fr-FR"/>
        </w:rPr>
        <w:t>’</w:t>
      </w:r>
      <w:r w:rsidRPr="009618BC">
        <w:rPr>
          <w:lang w:val="fr-FR"/>
        </w:rPr>
        <w:t>issue de la réunion, les trois institutions représentées ont convenu de signer un accord de coopération.</w:t>
      </w:r>
    </w:p>
    <w:p w:rsidR="00A72177" w:rsidRPr="009618BC" w:rsidRDefault="00A72177" w:rsidP="009618BC">
      <w:pPr>
        <w:pStyle w:val="H4G"/>
        <w:rPr>
          <w:lang w:val="fr-FR"/>
        </w:rPr>
      </w:pPr>
      <w:r w:rsidRPr="009618BC">
        <w:rPr>
          <w:lang w:val="fr-FR"/>
        </w:rPr>
        <w:tab/>
      </w:r>
      <w:r w:rsidRPr="009618BC">
        <w:rPr>
          <w:lang w:val="fr-FR"/>
        </w:rPr>
        <w:tab/>
        <w:t>4)</w:t>
      </w:r>
    </w:p>
    <w:p w:rsidR="00A72177" w:rsidRPr="009618BC" w:rsidRDefault="00A72177" w:rsidP="009618BC">
      <w:pPr>
        <w:pStyle w:val="SingleTxtG"/>
        <w:rPr>
          <w:lang w:val="fr-FR"/>
        </w:rPr>
      </w:pPr>
      <w:r w:rsidRPr="009618BC">
        <w:rPr>
          <w:lang w:val="fr-FR"/>
        </w:rPr>
        <w:t>16.</w:t>
      </w:r>
      <w:r w:rsidRPr="009618BC">
        <w:rPr>
          <w:lang w:val="fr-FR"/>
        </w:rPr>
        <w:tab/>
        <w:t>Grâce à un soutien financier de la Mission de l</w:t>
      </w:r>
      <w:r w:rsidR="009618BC" w:rsidRPr="009618BC">
        <w:rPr>
          <w:lang w:val="fr-FR"/>
        </w:rPr>
        <w:t>’</w:t>
      </w:r>
      <w:r w:rsidRPr="009618BC">
        <w:rPr>
          <w:lang w:val="fr-FR"/>
        </w:rPr>
        <w:t>OSCE en Moldova, le Bureau des relations interethniques a rassemblé en un volume les textes de la Stratégie et du Plan d</w:t>
      </w:r>
      <w:r w:rsidR="009618BC" w:rsidRPr="009618BC">
        <w:rPr>
          <w:lang w:val="fr-FR"/>
        </w:rPr>
        <w:t>’</w:t>
      </w:r>
      <w:r w:rsidRPr="009618BC">
        <w:rPr>
          <w:lang w:val="fr-FR"/>
        </w:rPr>
        <w:t>action 2017-2020, en roumain et en russe, et les a publiés ensemble à 3</w:t>
      </w:r>
      <w:r w:rsidR="0030226E">
        <w:rPr>
          <w:lang w:val="fr-FR"/>
        </w:rPr>
        <w:t> </w:t>
      </w:r>
      <w:r w:rsidRPr="009618BC">
        <w:rPr>
          <w:lang w:val="fr-FR"/>
        </w:rPr>
        <w:t>000 exemplaires destinés à être distribués aux ministères et autres organes du Gouvernement central, aux autorités locales, aux organisations non gouvernementales des groupes minoritaires et aux institutions de la société civile.</w:t>
      </w:r>
    </w:p>
    <w:p w:rsidR="00A72177" w:rsidRPr="009618BC" w:rsidRDefault="00A72177" w:rsidP="009618BC">
      <w:pPr>
        <w:pStyle w:val="H4G"/>
        <w:rPr>
          <w:lang w:val="fr-FR"/>
        </w:rPr>
      </w:pPr>
      <w:r w:rsidRPr="009618BC">
        <w:rPr>
          <w:lang w:val="fr-FR"/>
        </w:rPr>
        <w:tab/>
      </w:r>
      <w:r w:rsidRPr="009618BC">
        <w:rPr>
          <w:lang w:val="fr-FR"/>
        </w:rPr>
        <w:tab/>
        <w:t>5)</w:t>
      </w:r>
    </w:p>
    <w:p w:rsidR="00A72177" w:rsidRPr="009618BC" w:rsidRDefault="00A72177" w:rsidP="009618BC">
      <w:pPr>
        <w:pStyle w:val="SingleTxtG"/>
        <w:rPr>
          <w:lang w:val="fr-FR"/>
        </w:rPr>
      </w:pPr>
      <w:r w:rsidRPr="009618BC">
        <w:rPr>
          <w:lang w:val="fr-FR"/>
        </w:rPr>
        <w:t>17.</w:t>
      </w:r>
      <w:r w:rsidRPr="009618BC">
        <w:rPr>
          <w:lang w:val="fr-FR"/>
        </w:rPr>
        <w:tab/>
        <w:t>Le 22 mai 2017, par l</w:t>
      </w:r>
      <w:r w:rsidR="009618BC" w:rsidRPr="009618BC">
        <w:rPr>
          <w:lang w:val="fr-FR"/>
        </w:rPr>
        <w:t>’</w:t>
      </w:r>
      <w:r w:rsidRPr="009618BC">
        <w:rPr>
          <w:lang w:val="fr-FR"/>
        </w:rPr>
        <w:t>ordonnance n</w:t>
      </w:r>
      <w:r w:rsidRPr="009618BC">
        <w:rPr>
          <w:vertAlign w:val="superscript"/>
          <w:lang w:val="fr-FR"/>
        </w:rPr>
        <w:t>o</w:t>
      </w:r>
      <w:r w:rsidRPr="009618BC">
        <w:rPr>
          <w:lang w:val="fr-FR"/>
        </w:rPr>
        <w:t> 313, le Gouvernement a approuvé le Plan d</w:t>
      </w:r>
      <w:r w:rsidR="009618BC" w:rsidRPr="009618BC">
        <w:rPr>
          <w:lang w:val="fr-FR"/>
        </w:rPr>
        <w:t>’</w:t>
      </w:r>
      <w:r w:rsidRPr="009618BC">
        <w:rPr>
          <w:lang w:val="fr-FR"/>
        </w:rPr>
        <w:t>action 2017-2019 relatif à la mise en œuvre de la Déclaration par laquelle le Parlement de la République de Moldova a adopté le rapport final de la Commission internationale pour l</w:t>
      </w:r>
      <w:r w:rsidR="009618BC" w:rsidRPr="009618BC">
        <w:rPr>
          <w:lang w:val="fr-FR"/>
        </w:rPr>
        <w:t>’</w:t>
      </w:r>
      <w:r w:rsidRPr="009618BC">
        <w:rPr>
          <w:lang w:val="fr-FR"/>
        </w:rPr>
        <w:t>étude de l</w:t>
      </w:r>
      <w:r w:rsidR="009618BC" w:rsidRPr="009618BC">
        <w:rPr>
          <w:lang w:val="fr-FR"/>
        </w:rPr>
        <w:t>’</w:t>
      </w:r>
      <w:r w:rsidRPr="009618BC">
        <w:rPr>
          <w:lang w:val="fr-FR"/>
        </w:rPr>
        <w:t>Holocauste présidée par Elie Wiesel. En application de cette ordonnance, le Bureau des relations interethniques doit régulièrement rendre compte au Gouvernement de la réalisation des activités prévues dans le Plan d</w:t>
      </w:r>
      <w:r w:rsidR="009618BC" w:rsidRPr="009618BC">
        <w:rPr>
          <w:lang w:val="fr-FR"/>
        </w:rPr>
        <w:t>’</w:t>
      </w:r>
      <w:r w:rsidRPr="009618BC">
        <w:rPr>
          <w:lang w:val="fr-FR"/>
        </w:rPr>
        <w:t>action.</w:t>
      </w:r>
    </w:p>
    <w:p w:rsidR="00A72177" w:rsidRPr="009618BC" w:rsidRDefault="00A72177" w:rsidP="0030226E">
      <w:pPr>
        <w:pStyle w:val="SingleTxtG"/>
        <w:keepNext/>
        <w:keepLines/>
        <w:spacing w:line="236" w:lineRule="atLeast"/>
        <w:rPr>
          <w:lang w:val="fr-FR"/>
        </w:rPr>
      </w:pPr>
      <w:r w:rsidRPr="009618BC">
        <w:rPr>
          <w:lang w:val="fr-FR"/>
        </w:rPr>
        <w:lastRenderedPageBreak/>
        <w:t>18.</w:t>
      </w:r>
      <w:r w:rsidRPr="009618BC">
        <w:rPr>
          <w:lang w:val="fr-FR"/>
        </w:rPr>
        <w:tab/>
        <w:t>Ci-dessous, un aperçu des événements les plus importants organisés dans le cadre du plan d</w:t>
      </w:r>
      <w:r w:rsidR="009618BC" w:rsidRPr="009618BC">
        <w:rPr>
          <w:lang w:val="fr-FR"/>
        </w:rPr>
        <w:t>’</w:t>
      </w:r>
      <w:r w:rsidRPr="009618BC">
        <w:rPr>
          <w:lang w:val="fr-FR"/>
        </w:rPr>
        <w:t>action susmentionné afin de prévenir la discrimination raciale et l</w:t>
      </w:r>
      <w:r w:rsidR="009618BC" w:rsidRPr="009618BC">
        <w:rPr>
          <w:lang w:val="fr-FR"/>
        </w:rPr>
        <w:t>’</w:t>
      </w:r>
      <w:r w:rsidRPr="009618BC">
        <w:rPr>
          <w:lang w:val="fr-FR"/>
        </w:rPr>
        <w:t>intolérance, lutter contre toutes les formes de racisme, de xénophobie et d</w:t>
      </w:r>
      <w:r w:rsidR="009618BC" w:rsidRPr="009618BC">
        <w:rPr>
          <w:lang w:val="fr-FR"/>
        </w:rPr>
        <w:t>’</w:t>
      </w:r>
      <w:r w:rsidRPr="009618BC">
        <w:rPr>
          <w:lang w:val="fr-FR"/>
        </w:rPr>
        <w:t>antisémitisme et étudier l</w:t>
      </w:r>
      <w:r w:rsidR="009618BC" w:rsidRPr="009618BC">
        <w:rPr>
          <w:lang w:val="fr-FR"/>
        </w:rPr>
        <w:t>’</w:t>
      </w:r>
      <w:r w:rsidRPr="009618BC">
        <w:rPr>
          <w:lang w:val="fr-FR"/>
        </w:rPr>
        <w:t>Holoca</w:t>
      </w:r>
      <w:r w:rsidR="0030226E">
        <w:rPr>
          <w:lang w:val="fr-FR"/>
        </w:rPr>
        <w:t>uste et en préserver la mémoire </w:t>
      </w:r>
      <w:r w:rsidRPr="009618BC">
        <w:rPr>
          <w:lang w:val="fr-FR"/>
        </w:rPr>
        <w:t>:</w:t>
      </w:r>
    </w:p>
    <w:p w:rsidR="00A72177" w:rsidRPr="009618BC" w:rsidRDefault="00A72177" w:rsidP="0030226E">
      <w:pPr>
        <w:pStyle w:val="SingleTxtG"/>
        <w:spacing w:line="236" w:lineRule="atLeast"/>
        <w:ind w:firstLine="567"/>
        <w:rPr>
          <w:lang w:val="fr-FR"/>
        </w:rPr>
      </w:pPr>
      <w:r w:rsidRPr="009618BC">
        <w:rPr>
          <w:lang w:val="fr-FR"/>
        </w:rPr>
        <w:t>a)</w:t>
      </w:r>
      <w:r w:rsidRPr="009618BC">
        <w:rPr>
          <w:lang w:val="fr-FR"/>
        </w:rPr>
        <w:tab/>
        <w:t>Le 14 juin 2017, le Ministère de l</w:t>
      </w:r>
      <w:r w:rsidR="009618BC" w:rsidRPr="009618BC">
        <w:rPr>
          <w:lang w:val="fr-FR"/>
        </w:rPr>
        <w:t>’</w:t>
      </w:r>
      <w:r w:rsidRPr="009618BC">
        <w:rPr>
          <w:lang w:val="fr-FR"/>
        </w:rPr>
        <w:t>éducation, de la culture et de la recherche a signé un accord de coopération avec la communauté juive de la République de Moldova. Cet accord repose sur le développement de relations de partenariat, dans le but de réaliser des projets, programmes et autres initiatives communs visant à élaborer et appliquer une méthodologie pour l</w:t>
      </w:r>
      <w:r w:rsidR="009618BC" w:rsidRPr="009618BC">
        <w:rPr>
          <w:lang w:val="fr-FR"/>
        </w:rPr>
        <w:t>’</w:t>
      </w:r>
      <w:r w:rsidRPr="009618BC">
        <w:rPr>
          <w:lang w:val="fr-FR"/>
        </w:rPr>
        <w:t>enseignement des thèmes liés à l</w:t>
      </w:r>
      <w:r w:rsidR="009618BC" w:rsidRPr="009618BC">
        <w:rPr>
          <w:lang w:val="fr-FR"/>
        </w:rPr>
        <w:t>’</w:t>
      </w:r>
      <w:r w:rsidRPr="009618BC">
        <w:rPr>
          <w:lang w:val="fr-FR"/>
        </w:rPr>
        <w:t>Holocauste. L</w:t>
      </w:r>
      <w:r w:rsidR="009618BC" w:rsidRPr="009618BC">
        <w:rPr>
          <w:lang w:val="fr-FR"/>
        </w:rPr>
        <w:t>’</w:t>
      </w:r>
      <w:r w:rsidRPr="009618BC">
        <w:rPr>
          <w:lang w:val="fr-FR"/>
        </w:rPr>
        <w:t>accord prévoit en outre que les experts du Ministère de l</w:t>
      </w:r>
      <w:r w:rsidR="009618BC" w:rsidRPr="009618BC">
        <w:rPr>
          <w:lang w:val="fr-FR"/>
        </w:rPr>
        <w:t>’</w:t>
      </w:r>
      <w:r w:rsidRPr="009618BC">
        <w:rPr>
          <w:lang w:val="fr-FR"/>
        </w:rPr>
        <w:t>éducation, de la culture et de la recherche élaborent de nouveaux programmes d</w:t>
      </w:r>
      <w:r w:rsidR="009618BC" w:rsidRPr="009618BC">
        <w:rPr>
          <w:lang w:val="fr-FR"/>
        </w:rPr>
        <w:t>’</w:t>
      </w:r>
      <w:r w:rsidRPr="009618BC">
        <w:rPr>
          <w:lang w:val="fr-FR"/>
        </w:rPr>
        <w:t>enseignement sur le thème de l</w:t>
      </w:r>
      <w:r w:rsidR="009618BC" w:rsidRPr="009618BC">
        <w:rPr>
          <w:lang w:val="fr-FR"/>
        </w:rPr>
        <w:t>’</w:t>
      </w:r>
      <w:r w:rsidRPr="009618BC">
        <w:rPr>
          <w:lang w:val="fr-FR"/>
        </w:rPr>
        <w:t>Holocauste, mais également sur l</w:t>
      </w:r>
      <w:r w:rsidR="009618BC" w:rsidRPr="009618BC">
        <w:rPr>
          <w:lang w:val="fr-FR"/>
        </w:rPr>
        <w:t>’</w:t>
      </w:r>
      <w:r w:rsidRPr="009618BC">
        <w:rPr>
          <w:lang w:val="fr-FR"/>
        </w:rPr>
        <w:t>histoire, la culture et les traditions des communautés ethniques de Mold</w:t>
      </w:r>
      <w:r w:rsidR="009931A6">
        <w:rPr>
          <w:lang w:val="fr-FR"/>
        </w:rPr>
        <w:t>ova</w:t>
      </w:r>
      <w:r w:rsidRPr="009618BC">
        <w:rPr>
          <w:lang w:val="fr-FR"/>
        </w:rPr>
        <w:t>, à l</w:t>
      </w:r>
      <w:r w:rsidR="009618BC" w:rsidRPr="009618BC">
        <w:rPr>
          <w:lang w:val="fr-FR"/>
        </w:rPr>
        <w:t>’</w:t>
      </w:r>
      <w:r w:rsidRPr="009618BC">
        <w:rPr>
          <w:lang w:val="fr-FR"/>
        </w:rPr>
        <w:t>intention des enseignants de l</w:t>
      </w:r>
      <w:r w:rsidR="009618BC" w:rsidRPr="009618BC">
        <w:rPr>
          <w:lang w:val="fr-FR"/>
        </w:rPr>
        <w:t>’</w:t>
      </w:r>
      <w:r w:rsidRPr="009618BC">
        <w:rPr>
          <w:lang w:val="fr-FR"/>
        </w:rPr>
        <w:t>enseignement g</w:t>
      </w:r>
      <w:r w:rsidR="0030226E">
        <w:rPr>
          <w:lang w:val="fr-FR"/>
        </w:rPr>
        <w:t>énéral secondaire et supérieur ;</w:t>
      </w:r>
    </w:p>
    <w:p w:rsidR="00A72177" w:rsidRPr="009618BC" w:rsidRDefault="00A72177" w:rsidP="0030226E">
      <w:pPr>
        <w:pStyle w:val="SingleTxtG"/>
        <w:spacing w:line="236" w:lineRule="atLeast"/>
        <w:ind w:firstLine="567"/>
        <w:rPr>
          <w:lang w:val="fr-FR"/>
        </w:rPr>
      </w:pPr>
      <w:r w:rsidRPr="009618BC">
        <w:rPr>
          <w:lang w:val="fr-FR"/>
        </w:rPr>
        <w:t>b)</w:t>
      </w:r>
      <w:r w:rsidRPr="009618BC">
        <w:rPr>
          <w:lang w:val="fr-FR"/>
        </w:rPr>
        <w:tab/>
        <w:t>Le 26 janvier 2018 a été inauguré le premier musée consacré à l</w:t>
      </w:r>
      <w:r w:rsidR="009618BC" w:rsidRPr="009618BC">
        <w:rPr>
          <w:lang w:val="fr-FR"/>
        </w:rPr>
        <w:t>’</w:t>
      </w:r>
      <w:r w:rsidRPr="009618BC">
        <w:rPr>
          <w:lang w:val="fr-FR"/>
        </w:rPr>
        <w:t>Holocauste en Moldova pendant la Seconde Guerre mondiale. Et dans les locaux mêmes de la Maison des nationalités placée sous l</w:t>
      </w:r>
      <w:r w:rsidR="009618BC" w:rsidRPr="009618BC">
        <w:rPr>
          <w:lang w:val="fr-FR"/>
        </w:rPr>
        <w:t>’</w:t>
      </w:r>
      <w:r w:rsidRPr="009618BC">
        <w:rPr>
          <w:lang w:val="fr-FR"/>
        </w:rPr>
        <w:t>égide du Bureau des relations interethniques, un musée intitulé « Mémoire de l</w:t>
      </w:r>
      <w:r w:rsidR="009618BC" w:rsidRPr="009618BC">
        <w:rPr>
          <w:lang w:val="fr-FR"/>
        </w:rPr>
        <w:t>’</w:t>
      </w:r>
      <w:r w:rsidRPr="009618BC">
        <w:rPr>
          <w:lang w:val="fr-FR"/>
        </w:rPr>
        <w:t>Holocauste et tolérance interethnique » a vu le jour. Il a été créé par des experts du Bureau des relations interethniques, avec le soutien du Gouvernement de la République de Moldova, sous forme notamment d</w:t>
      </w:r>
      <w:r w:rsidR="009618BC" w:rsidRPr="009618BC">
        <w:rPr>
          <w:lang w:val="fr-FR"/>
        </w:rPr>
        <w:t>’</w:t>
      </w:r>
      <w:r w:rsidRPr="009618BC">
        <w:rPr>
          <w:lang w:val="fr-FR"/>
        </w:rPr>
        <w:t>une aide financière prélevée sur le budget de l</w:t>
      </w:r>
      <w:r w:rsidR="009618BC" w:rsidRPr="009618BC">
        <w:rPr>
          <w:lang w:val="fr-FR"/>
        </w:rPr>
        <w:t>’</w:t>
      </w:r>
      <w:r w:rsidRPr="009618BC">
        <w:rPr>
          <w:lang w:val="fr-FR"/>
        </w:rPr>
        <w:t>État.</w:t>
      </w:r>
    </w:p>
    <w:p w:rsidR="00A72177" w:rsidRPr="009618BC" w:rsidRDefault="00A72177" w:rsidP="009618BC">
      <w:pPr>
        <w:pStyle w:val="H4G"/>
        <w:rPr>
          <w:lang w:val="fr-FR"/>
        </w:rPr>
      </w:pPr>
      <w:r w:rsidRPr="009618BC">
        <w:rPr>
          <w:lang w:val="fr-FR"/>
        </w:rPr>
        <w:tab/>
      </w:r>
      <w:r w:rsidRPr="009618BC">
        <w:rPr>
          <w:lang w:val="fr-FR"/>
        </w:rPr>
        <w:tab/>
        <w:t>6)</w:t>
      </w:r>
    </w:p>
    <w:p w:rsidR="00A72177" w:rsidRPr="009618BC" w:rsidRDefault="00A72177" w:rsidP="009618BC">
      <w:pPr>
        <w:pStyle w:val="SingleTxtG"/>
        <w:rPr>
          <w:lang w:val="fr-FR"/>
        </w:rPr>
      </w:pPr>
      <w:r w:rsidRPr="009618BC">
        <w:rPr>
          <w:lang w:val="fr-FR"/>
        </w:rPr>
        <w:t>19.</w:t>
      </w:r>
      <w:r w:rsidRPr="009618BC">
        <w:rPr>
          <w:lang w:val="fr-FR"/>
        </w:rPr>
        <w:tab/>
        <w:t>Le 24 mai 2018, réuni en session ordinaire, le Parlement de la République de Moldova, a adopté le Plan d</w:t>
      </w:r>
      <w:r w:rsidR="009618BC" w:rsidRPr="009618BC">
        <w:rPr>
          <w:lang w:val="fr-FR"/>
        </w:rPr>
        <w:t>’</w:t>
      </w:r>
      <w:r w:rsidRPr="009618BC">
        <w:rPr>
          <w:lang w:val="fr-FR"/>
        </w:rPr>
        <w:t>action national en faveur des droits de l</w:t>
      </w:r>
      <w:r w:rsidR="009618BC" w:rsidRPr="009618BC">
        <w:rPr>
          <w:lang w:val="fr-FR"/>
        </w:rPr>
        <w:t>’</w:t>
      </w:r>
      <w:r w:rsidRPr="009618BC">
        <w:rPr>
          <w:lang w:val="fr-FR"/>
        </w:rPr>
        <w:t>homme 2018-2022. Ce plan se divise en deux parties : une partie narrative et une partie comprenant des tableaux. Les activités inscrites dans le Plan doivent contribuer à la réalisation de 31 objectifs généraux et de 51 objectifs stratégiques, regroupés en 16 domaines d</w:t>
      </w:r>
      <w:r w:rsidR="009618BC" w:rsidRPr="009618BC">
        <w:rPr>
          <w:lang w:val="fr-FR"/>
        </w:rPr>
        <w:t>’</w:t>
      </w:r>
      <w:r w:rsidRPr="009618BC">
        <w:rPr>
          <w:lang w:val="fr-FR"/>
        </w:rPr>
        <w:t>action prioritaires.</w:t>
      </w:r>
    </w:p>
    <w:p w:rsidR="00A72177" w:rsidRPr="009618BC" w:rsidRDefault="00A72177" w:rsidP="009618BC">
      <w:pPr>
        <w:pStyle w:val="SingleTxtG"/>
        <w:rPr>
          <w:lang w:val="fr-FR"/>
        </w:rPr>
      </w:pPr>
      <w:r w:rsidRPr="009618BC">
        <w:rPr>
          <w:lang w:val="fr-FR"/>
        </w:rPr>
        <w:t>20.</w:t>
      </w:r>
      <w:r w:rsidRPr="009618BC">
        <w:rPr>
          <w:lang w:val="fr-FR"/>
        </w:rPr>
        <w:tab/>
        <w:t>Le Plan d</w:t>
      </w:r>
      <w:r w:rsidR="009618BC" w:rsidRPr="009618BC">
        <w:rPr>
          <w:lang w:val="fr-FR"/>
        </w:rPr>
        <w:t>’</w:t>
      </w:r>
      <w:r w:rsidRPr="009618BC">
        <w:rPr>
          <w:lang w:val="fr-FR"/>
        </w:rPr>
        <w:t>action national en faveur des droits de l</w:t>
      </w:r>
      <w:r w:rsidR="009618BC" w:rsidRPr="009618BC">
        <w:rPr>
          <w:lang w:val="fr-FR"/>
        </w:rPr>
        <w:t>’</w:t>
      </w:r>
      <w:r w:rsidRPr="009618BC">
        <w:rPr>
          <w:lang w:val="fr-FR"/>
        </w:rPr>
        <w:t>homme 2018-2022 est le troisième document de la politique gouvernementale, à l</w:t>
      </w:r>
      <w:r w:rsidR="009618BC" w:rsidRPr="009618BC">
        <w:rPr>
          <w:lang w:val="fr-FR"/>
        </w:rPr>
        <w:t>’</w:t>
      </w:r>
      <w:r w:rsidRPr="009618BC">
        <w:rPr>
          <w:lang w:val="fr-FR"/>
        </w:rPr>
        <w:t>échelon national, relative au respect et à la promotion des droits de l</w:t>
      </w:r>
      <w:r w:rsidR="009618BC" w:rsidRPr="009618BC">
        <w:rPr>
          <w:lang w:val="fr-FR"/>
        </w:rPr>
        <w:t>’</w:t>
      </w:r>
      <w:r w:rsidRPr="009618BC">
        <w:rPr>
          <w:lang w:val="fr-FR"/>
        </w:rPr>
        <w:t>homme. Il a été élaboré sur la base des recommandations que le Conseil des droits de l</w:t>
      </w:r>
      <w:r w:rsidR="009618BC" w:rsidRPr="009618BC">
        <w:rPr>
          <w:lang w:val="fr-FR"/>
        </w:rPr>
        <w:t>’</w:t>
      </w:r>
      <w:r w:rsidRPr="009618BC">
        <w:rPr>
          <w:lang w:val="fr-FR"/>
        </w:rPr>
        <w:t>homme a adressées à la République de Moldova à l</w:t>
      </w:r>
      <w:r w:rsidR="009618BC" w:rsidRPr="009618BC">
        <w:rPr>
          <w:lang w:val="fr-FR"/>
        </w:rPr>
        <w:t>’</w:t>
      </w:r>
      <w:r w:rsidRPr="009618BC">
        <w:rPr>
          <w:lang w:val="fr-FR"/>
        </w:rPr>
        <w:t>issue du deuxième Examen périodique universel en octobre 2016, ainsi que des recommandations formulées par d</w:t>
      </w:r>
      <w:r w:rsidR="009618BC" w:rsidRPr="009618BC">
        <w:rPr>
          <w:lang w:val="fr-FR"/>
        </w:rPr>
        <w:t>’</w:t>
      </w:r>
      <w:r w:rsidRPr="009618BC">
        <w:rPr>
          <w:lang w:val="fr-FR"/>
        </w:rPr>
        <w:t>autres mécanismes internationaux de suivi du respect des droits de l</w:t>
      </w:r>
      <w:r w:rsidR="009618BC" w:rsidRPr="009618BC">
        <w:rPr>
          <w:lang w:val="fr-FR"/>
        </w:rPr>
        <w:t>’</w:t>
      </w:r>
      <w:r w:rsidRPr="009618BC">
        <w:rPr>
          <w:lang w:val="fr-FR"/>
        </w:rPr>
        <w:t xml:space="preserve">homme. </w:t>
      </w:r>
    </w:p>
    <w:p w:rsidR="00A72177" w:rsidRPr="009618BC" w:rsidRDefault="00A72177" w:rsidP="009618BC">
      <w:pPr>
        <w:pStyle w:val="SingleTxtG"/>
        <w:rPr>
          <w:lang w:val="fr-FR"/>
        </w:rPr>
      </w:pPr>
      <w:r w:rsidRPr="009618BC">
        <w:rPr>
          <w:lang w:val="fr-FR"/>
        </w:rPr>
        <w:t>21.</w:t>
      </w:r>
      <w:r w:rsidRPr="009618BC">
        <w:rPr>
          <w:lang w:val="fr-FR"/>
        </w:rPr>
        <w:tab/>
        <w:t>Le Plan d</w:t>
      </w:r>
      <w:r w:rsidR="009618BC" w:rsidRPr="009618BC">
        <w:rPr>
          <w:lang w:val="fr-FR"/>
        </w:rPr>
        <w:t>’</w:t>
      </w:r>
      <w:r w:rsidRPr="009618BC">
        <w:rPr>
          <w:lang w:val="fr-FR"/>
        </w:rPr>
        <w:t>action national en faveur des droits de l</w:t>
      </w:r>
      <w:r w:rsidR="009618BC" w:rsidRPr="009618BC">
        <w:rPr>
          <w:lang w:val="fr-FR"/>
        </w:rPr>
        <w:t>’</w:t>
      </w:r>
      <w:r w:rsidRPr="009618BC">
        <w:rPr>
          <w:lang w:val="fr-FR"/>
        </w:rPr>
        <w:t>homme 2018-2022 a été élaboré par un groupe de travail composé de représentants des autorités nationales, de la société civile et de partenaires dans le domaine du développement, dont les droits de l</w:t>
      </w:r>
      <w:r w:rsidR="009618BC" w:rsidRPr="009618BC">
        <w:rPr>
          <w:lang w:val="fr-FR"/>
        </w:rPr>
        <w:t>’</w:t>
      </w:r>
      <w:r w:rsidRPr="009618BC">
        <w:rPr>
          <w:lang w:val="fr-FR"/>
        </w:rPr>
        <w:t>homme constituent l</w:t>
      </w:r>
      <w:r w:rsidR="009618BC" w:rsidRPr="009618BC">
        <w:rPr>
          <w:lang w:val="fr-FR"/>
        </w:rPr>
        <w:t>’</w:t>
      </w:r>
      <w:r w:rsidRPr="009618BC">
        <w:rPr>
          <w:lang w:val="fr-FR"/>
        </w:rPr>
        <w:t>un des domaines de travail prioritaire</w:t>
      </w:r>
      <w:r w:rsidRPr="009618BC">
        <w:rPr>
          <w:rStyle w:val="Appelnotedebasdep"/>
        </w:rPr>
        <w:footnoteReference w:id="5"/>
      </w:r>
      <w:r w:rsidRPr="009618BC">
        <w:rPr>
          <w:lang w:val="fr-FR"/>
        </w:rPr>
        <w:t>.</w:t>
      </w:r>
    </w:p>
    <w:p w:rsidR="00A72177" w:rsidRPr="009618BC" w:rsidRDefault="00A72177" w:rsidP="009618BC">
      <w:pPr>
        <w:pStyle w:val="SingleTxtG"/>
        <w:rPr>
          <w:lang w:val="fr-FR"/>
        </w:rPr>
      </w:pPr>
      <w:r w:rsidRPr="009618BC">
        <w:rPr>
          <w:lang w:val="fr-FR"/>
        </w:rPr>
        <w:t>22.</w:t>
      </w:r>
      <w:r w:rsidRPr="009618BC">
        <w:rPr>
          <w:lang w:val="fr-FR"/>
        </w:rPr>
        <w:tab/>
        <w:t>Le Plan d</w:t>
      </w:r>
      <w:r w:rsidR="009618BC" w:rsidRPr="009618BC">
        <w:rPr>
          <w:lang w:val="fr-FR"/>
        </w:rPr>
        <w:t>’</w:t>
      </w:r>
      <w:r w:rsidRPr="009618BC">
        <w:rPr>
          <w:lang w:val="fr-FR"/>
        </w:rPr>
        <w:t>action doit entraîner la mise en œuvre de mesures qui contribueront au développement équitable et à la prospérité de tous les citoyens de la République de Moldova. L</w:t>
      </w:r>
      <w:r w:rsidR="009618BC" w:rsidRPr="009618BC">
        <w:rPr>
          <w:lang w:val="fr-FR"/>
        </w:rPr>
        <w:t>’</w:t>
      </w:r>
      <w:r w:rsidRPr="009618BC">
        <w:rPr>
          <w:lang w:val="fr-FR"/>
        </w:rPr>
        <w:t>objectif prioritaire est de créer les conditions pour que tous les citoyens, en particulier ceux qui appartiennent aux groupes les plus vulnérables, puissent jouir des droits fondamentaux et des garanties et services</w:t>
      </w:r>
      <w:r w:rsidR="00EC0ECE">
        <w:rPr>
          <w:lang w:val="fr-FR"/>
        </w:rPr>
        <w:t xml:space="preserve"> </w:t>
      </w:r>
      <w:r w:rsidRPr="009618BC">
        <w:rPr>
          <w:lang w:val="fr-FR"/>
        </w:rPr>
        <w:t>prévus par la loi, conformément aux normes internationales en matière de droits de l</w:t>
      </w:r>
      <w:r w:rsidR="009618BC" w:rsidRPr="009618BC">
        <w:rPr>
          <w:lang w:val="fr-FR"/>
        </w:rPr>
        <w:t>’</w:t>
      </w:r>
      <w:r w:rsidRPr="009618BC">
        <w:rPr>
          <w:lang w:val="fr-FR"/>
        </w:rPr>
        <w:t>homme.</w:t>
      </w:r>
    </w:p>
    <w:p w:rsidR="00A72177" w:rsidRPr="009618BC" w:rsidRDefault="00A72177" w:rsidP="009618BC">
      <w:pPr>
        <w:pStyle w:val="SingleTxtG"/>
        <w:rPr>
          <w:lang w:val="fr-FR"/>
        </w:rPr>
      </w:pPr>
      <w:r w:rsidRPr="009618BC">
        <w:rPr>
          <w:lang w:val="fr-FR"/>
        </w:rPr>
        <w:t>23.</w:t>
      </w:r>
      <w:r w:rsidRPr="009618BC">
        <w:rPr>
          <w:lang w:val="fr-FR"/>
        </w:rPr>
        <w:tab/>
        <w:t>Les activités inscrites dans le Plan d</w:t>
      </w:r>
      <w:r w:rsidR="009618BC" w:rsidRPr="009618BC">
        <w:rPr>
          <w:lang w:val="fr-FR"/>
        </w:rPr>
        <w:t>’</w:t>
      </w:r>
      <w:r w:rsidRPr="009618BC">
        <w:rPr>
          <w:lang w:val="fr-FR"/>
        </w:rPr>
        <w:t>action doivent concourir à la réalisation de plusieurs objectifs stratégiques relatifs à l</w:t>
      </w:r>
      <w:r w:rsidR="009618BC" w:rsidRPr="009618BC">
        <w:rPr>
          <w:lang w:val="fr-FR"/>
        </w:rPr>
        <w:t>’</w:t>
      </w:r>
      <w:r w:rsidRPr="009618BC">
        <w:rPr>
          <w:lang w:val="fr-FR"/>
        </w:rPr>
        <w:t>harmonisation de la législation avec les normes internationales, notamment en ce qui concerne la justice, la transparence, l</w:t>
      </w:r>
      <w:r w:rsidR="009618BC" w:rsidRPr="009618BC">
        <w:rPr>
          <w:lang w:val="fr-FR"/>
        </w:rPr>
        <w:t>’</w:t>
      </w:r>
      <w:r w:rsidRPr="009618BC">
        <w:rPr>
          <w:lang w:val="fr-FR"/>
        </w:rPr>
        <w:t>accès à l</w:t>
      </w:r>
      <w:r w:rsidR="009618BC" w:rsidRPr="009618BC">
        <w:rPr>
          <w:lang w:val="fr-FR"/>
        </w:rPr>
        <w:t>’</w:t>
      </w:r>
      <w:r w:rsidRPr="009618BC">
        <w:rPr>
          <w:lang w:val="fr-FR"/>
        </w:rPr>
        <w:t>information et la liberté d</w:t>
      </w:r>
      <w:r w:rsidR="009618BC" w:rsidRPr="009618BC">
        <w:rPr>
          <w:lang w:val="fr-FR"/>
        </w:rPr>
        <w:t>’</w:t>
      </w:r>
      <w:r w:rsidRPr="009618BC">
        <w:rPr>
          <w:lang w:val="fr-FR"/>
        </w:rPr>
        <w:t>expression et d</w:t>
      </w:r>
      <w:r w:rsidR="009618BC" w:rsidRPr="009618BC">
        <w:rPr>
          <w:lang w:val="fr-FR"/>
        </w:rPr>
        <w:t>’</w:t>
      </w:r>
      <w:r w:rsidRPr="009618BC">
        <w:rPr>
          <w:lang w:val="fr-FR"/>
        </w:rPr>
        <w:t>opinion, l</w:t>
      </w:r>
      <w:r w:rsidR="009618BC" w:rsidRPr="009618BC">
        <w:rPr>
          <w:lang w:val="fr-FR"/>
        </w:rPr>
        <w:t>’</w:t>
      </w:r>
      <w:r w:rsidRPr="009618BC">
        <w:rPr>
          <w:lang w:val="fr-FR"/>
        </w:rPr>
        <w:t>égalité des sexes et la lutte contre la violence familiale, la non-discrimination et l</w:t>
      </w:r>
      <w:r w:rsidR="009618BC" w:rsidRPr="009618BC">
        <w:rPr>
          <w:lang w:val="fr-FR"/>
        </w:rPr>
        <w:t>’</w:t>
      </w:r>
      <w:r w:rsidRPr="009618BC">
        <w:rPr>
          <w:lang w:val="fr-FR"/>
        </w:rPr>
        <w:t>égalité. Le document comprend également des activités destinées à garantir le droit à l</w:t>
      </w:r>
      <w:r w:rsidR="009618BC" w:rsidRPr="009618BC">
        <w:rPr>
          <w:lang w:val="fr-FR"/>
        </w:rPr>
        <w:t>’</w:t>
      </w:r>
      <w:r w:rsidRPr="009618BC">
        <w:rPr>
          <w:lang w:val="fr-FR"/>
        </w:rPr>
        <w:t>éducation, à la santé, au travail, à la protection sociale, ainsi que des activités qui concernent les droits des jeunes, des personnes âgées, des personnes handicapées, des personnes appartenant à des minorités ethniques, religieuses ou linguistiques, et aux habitants de la rive gauche du Dniestr.</w:t>
      </w:r>
    </w:p>
    <w:p w:rsidR="00A72177" w:rsidRPr="009618BC" w:rsidRDefault="00A72177" w:rsidP="009618BC">
      <w:pPr>
        <w:pStyle w:val="SingleTxtG"/>
        <w:rPr>
          <w:lang w:val="fr-FR"/>
        </w:rPr>
      </w:pPr>
      <w:r w:rsidRPr="009618BC">
        <w:rPr>
          <w:lang w:val="fr-FR"/>
        </w:rPr>
        <w:lastRenderedPageBreak/>
        <w:t>24.</w:t>
      </w:r>
      <w:r w:rsidRPr="009618BC">
        <w:rPr>
          <w:lang w:val="fr-FR"/>
        </w:rPr>
        <w:tab/>
        <w:t>Le Gouvernement de la République de Moldova doit établir, dans un délai de deux mois, le Conseil national des droits de l</w:t>
      </w:r>
      <w:r w:rsidR="009618BC" w:rsidRPr="009618BC">
        <w:rPr>
          <w:lang w:val="fr-FR"/>
        </w:rPr>
        <w:t>’</w:t>
      </w:r>
      <w:r w:rsidRPr="009618BC">
        <w:rPr>
          <w:lang w:val="fr-FR"/>
        </w:rPr>
        <w:t>homme qui sera chargé de surveiller et d</w:t>
      </w:r>
      <w:r w:rsidR="009618BC" w:rsidRPr="009618BC">
        <w:rPr>
          <w:lang w:val="fr-FR"/>
        </w:rPr>
        <w:t>’</w:t>
      </w:r>
      <w:r w:rsidRPr="009618BC">
        <w:rPr>
          <w:lang w:val="fr-FR"/>
        </w:rPr>
        <w:t>évaluer l</w:t>
      </w:r>
      <w:r w:rsidR="009618BC" w:rsidRPr="009618BC">
        <w:rPr>
          <w:lang w:val="fr-FR"/>
        </w:rPr>
        <w:t>’</w:t>
      </w:r>
      <w:r w:rsidRPr="009618BC">
        <w:rPr>
          <w:lang w:val="fr-FR"/>
        </w:rPr>
        <w:t>exécution du Plan d</w:t>
      </w:r>
      <w:r w:rsidR="009618BC" w:rsidRPr="009618BC">
        <w:rPr>
          <w:lang w:val="fr-FR"/>
        </w:rPr>
        <w:t>’</w:t>
      </w:r>
      <w:r w:rsidRPr="009618BC">
        <w:rPr>
          <w:lang w:val="fr-FR"/>
        </w:rPr>
        <w:t>action national en faveur des droits de l</w:t>
      </w:r>
      <w:r w:rsidR="009618BC" w:rsidRPr="009618BC">
        <w:rPr>
          <w:lang w:val="fr-FR"/>
        </w:rPr>
        <w:t>’</w:t>
      </w:r>
      <w:r w:rsidRPr="009618BC">
        <w:rPr>
          <w:lang w:val="fr-FR"/>
        </w:rPr>
        <w:t>homme 2018-2022 et d</w:t>
      </w:r>
      <w:r w:rsidR="009618BC" w:rsidRPr="009618BC">
        <w:rPr>
          <w:lang w:val="fr-FR"/>
        </w:rPr>
        <w:t>’</w:t>
      </w:r>
      <w:r w:rsidRPr="009618BC">
        <w:rPr>
          <w:lang w:val="fr-FR"/>
        </w:rPr>
        <w:t>autres documents nationaux de politique en la matière.</w:t>
      </w:r>
    </w:p>
    <w:p w:rsidR="00A72177" w:rsidRPr="009618BC" w:rsidRDefault="00A72177" w:rsidP="009618BC">
      <w:pPr>
        <w:pStyle w:val="H4G"/>
        <w:rPr>
          <w:lang w:val="fr-FR"/>
        </w:rPr>
      </w:pPr>
      <w:r w:rsidRPr="009618BC">
        <w:rPr>
          <w:lang w:val="fr-FR"/>
        </w:rPr>
        <w:tab/>
      </w:r>
      <w:r w:rsidRPr="009618BC">
        <w:rPr>
          <w:lang w:val="fr-FR"/>
        </w:rPr>
        <w:tab/>
        <w:t>7)</w:t>
      </w:r>
    </w:p>
    <w:p w:rsidR="00A72177" w:rsidRPr="009618BC" w:rsidRDefault="00A72177" w:rsidP="009618BC">
      <w:pPr>
        <w:pStyle w:val="SingleTxtG"/>
        <w:rPr>
          <w:lang w:val="fr-FR"/>
        </w:rPr>
      </w:pPr>
      <w:r w:rsidRPr="009618BC">
        <w:rPr>
          <w:lang w:val="fr-FR"/>
        </w:rPr>
        <w:t>25.</w:t>
      </w:r>
      <w:r w:rsidRPr="009618BC">
        <w:rPr>
          <w:lang w:val="fr-FR"/>
        </w:rPr>
        <w:tab/>
        <w:t>Reconnaissant le rôle et l</w:t>
      </w:r>
      <w:r w:rsidR="009618BC" w:rsidRPr="009618BC">
        <w:rPr>
          <w:lang w:val="fr-FR"/>
        </w:rPr>
        <w:t>’</w:t>
      </w:r>
      <w:r w:rsidRPr="009618BC">
        <w:rPr>
          <w:lang w:val="fr-FR"/>
        </w:rPr>
        <w:t>importance des services rendus par les médiateurs communautaires à la population rom, les autorités moldoves ont pris les mesures nécessaires pour résoudre les problèmes existants dans ce domaine, notamment pour employer davantage de médiateurs communautaires.</w:t>
      </w:r>
    </w:p>
    <w:p w:rsidR="00A72177" w:rsidRPr="009618BC" w:rsidRDefault="00A72177" w:rsidP="009618BC">
      <w:pPr>
        <w:pStyle w:val="SingleTxtG"/>
        <w:rPr>
          <w:lang w:val="fr-FR"/>
        </w:rPr>
      </w:pPr>
      <w:r w:rsidRPr="009618BC">
        <w:rPr>
          <w:lang w:val="fr-FR"/>
        </w:rPr>
        <w:t>26.</w:t>
      </w:r>
      <w:r w:rsidRPr="009618BC">
        <w:rPr>
          <w:lang w:val="fr-FR"/>
        </w:rPr>
        <w:tab/>
        <w:t xml:space="preserve">Le 4 août 2017, la </w:t>
      </w:r>
      <w:r w:rsidR="002C6B4D">
        <w:rPr>
          <w:lang w:val="fr-FR"/>
        </w:rPr>
        <w:t>C</w:t>
      </w:r>
      <w:r w:rsidRPr="009618BC">
        <w:rPr>
          <w:lang w:val="fr-FR"/>
        </w:rPr>
        <w:t xml:space="preserve">onseillère principale du Premier </w:t>
      </w:r>
      <w:r w:rsidR="002C6B4D">
        <w:rPr>
          <w:lang w:val="fr-FR"/>
        </w:rPr>
        <w:t>M</w:t>
      </w:r>
      <w:r w:rsidRPr="009618BC">
        <w:rPr>
          <w:lang w:val="fr-FR"/>
        </w:rPr>
        <w:t>inistre, Viorelia Moldovan-Batrinac, a rencontré les fonctionnaires compétents afin de définir des mesures destinées à améliorer la situation des médiateurs communautaires roms. Il a ainsi été décidé de modifier le paragraphe 3 de l</w:t>
      </w:r>
      <w:r w:rsidR="009618BC" w:rsidRPr="009618BC">
        <w:rPr>
          <w:lang w:val="fr-FR"/>
        </w:rPr>
        <w:t>’</w:t>
      </w:r>
      <w:r w:rsidRPr="009618BC">
        <w:rPr>
          <w:lang w:val="fr-FR"/>
        </w:rPr>
        <w:t>ordonnance gouvernementale n</w:t>
      </w:r>
      <w:r w:rsidRPr="009618BC">
        <w:rPr>
          <w:vertAlign w:val="superscript"/>
          <w:lang w:val="fr-FR"/>
        </w:rPr>
        <w:t>o</w:t>
      </w:r>
      <w:r w:rsidRPr="009618BC">
        <w:rPr>
          <w:lang w:val="fr-FR"/>
        </w:rPr>
        <w:t> 557 du 17 juillet 2013 relative aux dispositions-cadres pour l</w:t>
      </w:r>
      <w:r w:rsidR="009618BC" w:rsidRPr="009618BC">
        <w:rPr>
          <w:lang w:val="fr-FR"/>
        </w:rPr>
        <w:t>’</w:t>
      </w:r>
      <w:r w:rsidRPr="009618BC">
        <w:rPr>
          <w:lang w:val="fr-FR"/>
        </w:rPr>
        <w:t>organisation des activités des médiateurs communautaires. En particulier, il a été proposé que ces activités soient financées par le budget de l</w:t>
      </w:r>
      <w:r w:rsidR="009618BC" w:rsidRPr="009618BC">
        <w:rPr>
          <w:lang w:val="fr-FR"/>
        </w:rPr>
        <w:t>’</w:t>
      </w:r>
      <w:r w:rsidRPr="009618BC">
        <w:rPr>
          <w:lang w:val="fr-FR"/>
        </w:rPr>
        <w:t>État et non par les allocations approuvées dans les budgets des entités territoriales ou administratives de premier niveau, ce qui encouragera le recrutement des médiateurs au niveau local.</w:t>
      </w:r>
    </w:p>
    <w:p w:rsidR="00A72177" w:rsidRPr="009618BC" w:rsidRDefault="00A72177" w:rsidP="009618BC">
      <w:pPr>
        <w:pStyle w:val="SingleTxtG"/>
        <w:rPr>
          <w:lang w:val="fr-FR"/>
        </w:rPr>
      </w:pPr>
      <w:r w:rsidRPr="009618BC">
        <w:rPr>
          <w:lang w:val="fr-FR"/>
        </w:rPr>
        <w:t>27.</w:t>
      </w:r>
      <w:r w:rsidRPr="009618BC">
        <w:rPr>
          <w:lang w:val="fr-FR"/>
        </w:rPr>
        <w:tab/>
        <w:t>En raison des mesures proposées, l</w:t>
      </w:r>
      <w:r w:rsidR="009618BC" w:rsidRPr="009618BC">
        <w:rPr>
          <w:lang w:val="fr-FR"/>
        </w:rPr>
        <w:t>’</w:t>
      </w:r>
      <w:r w:rsidRPr="009618BC">
        <w:rPr>
          <w:lang w:val="fr-FR"/>
        </w:rPr>
        <w:t>ordonnance gouvernementale n</w:t>
      </w:r>
      <w:r w:rsidRPr="009618BC">
        <w:rPr>
          <w:vertAlign w:val="superscript"/>
          <w:lang w:val="fr-FR"/>
        </w:rPr>
        <w:t>o</w:t>
      </w:r>
      <w:r w:rsidRPr="009618BC">
        <w:rPr>
          <w:lang w:val="fr-FR"/>
        </w:rPr>
        <w:t> 425, modifiant et complétant</w:t>
      </w:r>
      <w:r w:rsidR="00EC0ECE">
        <w:rPr>
          <w:lang w:val="fr-FR"/>
        </w:rPr>
        <w:t xml:space="preserve"> </w:t>
      </w:r>
      <w:r w:rsidRPr="009618BC">
        <w:rPr>
          <w:lang w:val="fr-FR"/>
        </w:rPr>
        <w:t>l</w:t>
      </w:r>
      <w:r w:rsidR="009618BC" w:rsidRPr="009618BC">
        <w:rPr>
          <w:lang w:val="fr-FR"/>
        </w:rPr>
        <w:t>’</w:t>
      </w:r>
      <w:r w:rsidRPr="009618BC">
        <w:rPr>
          <w:lang w:val="fr-FR"/>
        </w:rPr>
        <w:t>ordonnance gouvernementale n</w:t>
      </w:r>
      <w:r w:rsidRPr="009618BC">
        <w:rPr>
          <w:vertAlign w:val="superscript"/>
          <w:lang w:val="fr-FR"/>
        </w:rPr>
        <w:t>o</w:t>
      </w:r>
      <w:r w:rsidRPr="009618BC">
        <w:rPr>
          <w:lang w:val="fr-FR"/>
        </w:rPr>
        <w:t> 557 du 17 juillet 2013, a été ado</w:t>
      </w:r>
      <w:r w:rsidR="0030226E">
        <w:rPr>
          <w:lang w:val="fr-FR"/>
        </w:rPr>
        <w:t>ptée le 15 </w:t>
      </w:r>
      <w:r w:rsidRPr="009618BC">
        <w:rPr>
          <w:lang w:val="fr-FR"/>
        </w:rPr>
        <w:t>mai 2018. Conformément aux modifications apportées, les activités des médiateurs communautaires seront financées par des transferts spéciaux du budget de l</w:t>
      </w:r>
      <w:r w:rsidR="009618BC" w:rsidRPr="009618BC">
        <w:rPr>
          <w:lang w:val="fr-FR"/>
        </w:rPr>
        <w:t>’</w:t>
      </w:r>
      <w:r w:rsidRPr="009618BC">
        <w:rPr>
          <w:lang w:val="fr-FR"/>
        </w:rPr>
        <w:t>État aux budgets locaux de premier niveau, au budget central de l</w:t>
      </w:r>
      <w:r w:rsidR="009618BC" w:rsidRPr="009618BC">
        <w:rPr>
          <w:lang w:val="fr-FR"/>
        </w:rPr>
        <w:t>’</w:t>
      </w:r>
      <w:r w:rsidRPr="009618BC">
        <w:rPr>
          <w:lang w:val="fr-FR"/>
        </w:rPr>
        <w:t>Unité territoriale autonome au statut juridique particulier et aux budgets municipaux de Bălţi et de Chisinau, ainsi que par d</w:t>
      </w:r>
      <w:r w:rsidR="009618BC" w:rsidRPr="009618BC">
        <w:rPr>
          <w:lang w:val="fr-FR"/>
        </w:rPr>
        <w:t>’</w:t>
      </w:r>
      <w:r w:rsidRPr="009618BC">
        <w:rPr>
          <w:lang w:val="fr-FR"/>
        </w:rPr>
        <w:t>autres sources conformément à la législation en vigueur, compte tenu des modifications proposées dans le financement du service des médiateurs communautaires</w:t>
      </w:r>
      <w:r w:rsidRPr="009618BC">
        <w:rPr>
          <w:rStyle w:val="Appelnotedebasdep"/>
        </w:rPr>
        <w:footnoteReference w:id="6"/>
      </w:r>
      <w:r w:rsidRPr="009618BC">
        <w:rPr>
          <w:lang w:val="fr-FR"/>
        </w:rPr>
        <w:t>.</w:t>
      </w:r>
    </w:p>
    <w:p w:rsidR="00A72177" w:rsidRPr="009618BC" w:rsidRDefault="00A72177" w:rsidP="009618BC">
      <w:pPr>
        <w:pStyle w:val="H4G"/>
        <w:rPr>
          <w:lang w:val="fr-FR"/>
        </w:rPr>
      </w:pPr>
      <w:r w:rsidRPr="009618BC">
        <w:rPr>
          <w:lang w:val="fr-FR"/>
        </w:rPr>
        <w:tab/>
      </w:r>
      <w:r w:rsidRPr="009618BC">
        <w:rPr>
          <w:lang w:val="fr-FR"/>
        </w:rPr>
        <w:tab/>
        <w:t>8)</w:t>
      </w:r>
    </w:p>
    <w:p w:rsidR="00A72177" w:rsidRPr="009618BC" w:rsidRDefault="00A72177" w:rsidP="009618BC">
      <w:pPr>
        <w:pStyle w:val="SingleTxtG"/>
        <w:rPr>
          <w:lang w:val="fr-FR"/>
        </w:rPr>
      </w:pPr>
      <w:r w:rsidRPr="009618BC">
        <w:rPr>
          <w:lang w:val="fr-FR"/>
        </w:rPr>
        <w:t>28.</w:t>
      </w:r>
      <w:r w:rsidRPr="009618BC">
        <w:rPr>
          <w:lang w:val="fr-FR"/>
        </w:rPr>
        <w:tab/>
        <w:t>Pendant le deuxième semestre 2017, à l</w:t>
      </w:r>
      <w:r w:rsidR="009618BC" w:rsidRPr="009618BC">
        <w:rPr>
          <w:lang w:val="fr-FR"/>
        </w:rPr>
        <w:t>’</w:t>
      </w:r>
      <w:r w:rsidRPr="009618BC">
        <w:rPr>
          <w:lang w:val="fr-FR"/>
        </w:rPr>
        <w:t>initiative du Bureau des relations interethniques et avec le soutien du Haut-Commissariat des Nations Unies aux droits de l</w:t>
      </w:r>
      <w:r w:rsidR="009618BC" w:rsidRPr="009618BC">
        <w:rPr>
          <w:lang w:val="fr-FR"/>
        </w:rPr>
        <w:t>’</w:t>
      </w:r>
      <w:r w:rsidRPr="009618BC">
        <w:rPr>
          <w:lang w:val="fr-FR"/>
        </w:rPr>
        <w:t>homme (HCDH)</w:t>
      </w:r>
      <w:r w:rsidR="00EC0ECE">
        <w:rPr>
          <w:lang w:val="fr-FR"/>
        </w:rPr>
        <w:t>,</w:t>
      </w:r>
      <w:r w:rsidRPr="009618BC">
        <w:rPr>
          <w:lang w:val="fr-FR"/>
        </w:rPr>
        <w:t xml:space="preserve"> sept réunions ont été organisées dans sept conseils de districts en vue de mieux faire comprendre l</w:t>
      </w:r>
      <w:r w:rsidR="009618BC" w:rsidRPr="009618BC">
        <w:rPr>
          <w:lang w:val="fr-FR"/>
        </w:rPr>
        <w:t>’</w:t>
      </w:r>
      <w:r w:rsidRPr="009618BC">
        <w:rPr>
          <w:lang w:val="fr-FR"/>
        </w:rPr>
        <w:t>efficacité du travail des médiateurs communautaires et la nécessité de les employer, mais également de discuter de questions générales qui se posent dans le cadre de l</w:t>
      </w:r>
      <w:r w:rsidR="009618BC" w:rsidRPr="009618BC">
        <w:rPr>
          <w:lang w:val="fr-FR"/>
        </w:rPr>
        <w:t>’</w:t>
      </w:r>
      <w:r w:rsidRPr="009618BC">
        <w:rPr>
          <w:lang w:val="fr-FR"/>
        </w:rPr>
        <w:t>exécution du Plan d</w:t>
      </w:r>
      <w:r w:rsidR="009618BC" w:rsidRPr="009618BC">
        <w:rPr>
          <w:lang w:val="fr-FR"/>
        </w:rPr>
        <w:t>’</w:t>
      </w:r>
      <w:r w:rsidRPr="009618BC">
        <w:rPr>
          <w:lang w:val="fr-FR"/>
        </w:rPr>
        <w:t>action 2016-2020 en faveur de la population rom dans la République de Moldova</w:t>
      </w:r>
      <w:r w:rsidRPr="009618BC">
        <w:rPr>
          <w:rStyle w:val="Appelnotedebasdep"/>
        </w:rPr>
        <w:footnoteReference w:id="7"/>
      </w:r>
      <w:r w:rsidRPr="009618BC">
        <w:rPr>
          <w:lang w:val="fr-FR"/>
        </w:rPr>
        <w:t>.</w:t>
      </w:r>
    </w:p>
    <w:p w:rsidR="00A72177" w:rsidRPr="009618BC" w:rsidRDefault="00A72177" w:rsidP="009618BC">
      <w:pPr>
        <w:pStyle w:val="H4G"/>
        <w:rPr>
          <w:lang w:val="fr-FR"/>
        </w:rPr>
      </w:pPr>
      <w:r w:rsidRPr="009618BC">
        <w:rPr>
          <w:lang w:val="fr-FR"/>
        </w:rPr>
        <w:tab/>
      </w:r>
      <w:r w:rsidRPr="009618BC">
        <w:rPr>
          <w:lang w:val="fr-FR"/>
        </w:rPr>
        <w:tab/>
        <w:t>9)</w:t>
      </w:r>
    </w:p>
    <w:p w:rsidR="00A72177" w:rsidRPr="009618BC" w:rsidRDefault="00A72177" w:rsidP="009618BC">
      <w:pPr>
        <w:pStyle w:val="SingleTxtG"/>
        <w:rPr>
          <w:lang w:val="fr-FR"/>
        </w:rPr>
      </w:pPr>
      <w:r w:rsidRPr="009618BC">
        <w:rPr>
          <w:lang w:val="fr-FR"/>
        </w:rPr>
        <w:t>29.</w:t>
      </w:r>
      <w:r w:rsidRPr="009618BC">
        <w:rPr>
          <w:lang w:val="fr-FR"/>
        </w:rPr>
        <w:tab/>
        <w:t>Le 16 mai 2018, à Chisinau, s</w:t>
      </w:r>
      <w:r w:rsidR="009618BC" w:rsidRPr="009618BC">
        <w:rPr>
          <w:lang w:val="fr-FR"/>
        </w:rPr>
        <w:t>’</w:t>
      </w:r>
      <w:r w:rsidRPr="009618BC">
        <w:rPr>
          <w:lang w:val="fr-FR"/>
        </w:rPr>
        <w:t>est tenu le forum des jeunes intitulé « Minorités et média : changer de vision, donner le micro à ceux qu</w:t>
      </w:r>
      <w:r w:rsidR="009618BC" w:rsidRPr="009618BC">
        <w:rPr>
          <w:lang w:val="fr-FR"/>
        </w:rPr>
        <w:t>’</w:t>
      </w:r>
      <w:r w:rsidRPr="009618BC">
        <w:rPr>
          <w:lang w:val="fr-FR"/>
        </w:rPr>
        <w:t>on n</w:t>
      </w:r>
      <w:r w:rsidR="009618BC" w:rsidRPr="009618BC">
        <w:rPr>
          <w:lang w:val="fr-FR"/>
        </w:rPr>
        <w:t>’</w:t>
      </w:r>
      <w:r w:rsidRPr="009618BC">
        <w:rPr>
          <w:lang w:val="fr-FR"/>
        </w:rPr>
        <w:t>entend pas ». Il était organisé par l</w:t>
      </w:r>
      <w:r w:rsidR="009618BC" w:rsidRPr="009618BC">
        <w:rPr>
          <w:lang w:val="fr-FR"/>
        </w:rPr>
        <w:t>’</w:t>
      </w:r>
      <w:r w:rsidRPr="009618BC">
        <w:rPr>
          <w:lang w:val="fr-FR"/>
        </w:rPr>
        <w:t>organisation « Plateforme des jeunes pour la solidarité interethnique », avec le soutien du Haut-Commissariat des Nations Unies aux droits de l</w:t>
      </w:r>
      <w:r w:rsidR="009618BC" w:rsidRPr="009618BC">
        <w:rPr>
          <w:lang w:val="fr-FR"/>
        </w:rPr>
        <w:t>’</w:t>
      </w:r>
      <w:r w:rsidRPr="009618BC">
        <w:rPr>
          <w:lang w:val="fr-FR"/>
        </w:rPr>
        <w:t>homme.</w:t>
      </w:r>
    </w:p>
    <w:p w:rsidR="00A72177" w:rsidRPr="009618BC" w:rsidRDefault="00A72177" w:rsidP="009618BC">
      <w:pPr>
        <w:pStyle w:val="SingleTxtG"/>
        <w:rPr>
          <w:lang w:val="fr-FR"/>
        </w:rPr>
      </w:pPr>
      <w:r w:rsidRPr="009618BC">
        <w:rPr>
          <w:lang w:val="fr-FR"/>
        </w:rPr>
        <w:t>30.</w:t>
      </w:r>
      <w:r w:rsidRPr="009618BC">
        <w:rPr>
          <w:lang w:val="fr-FR"/>
        </w:rPr>
        <w:tab/>
        <w:t>De jeunes journalistes, mais également des représentants de la société civile de l</w:t>
      </w:r>
      <w:r w:rsidR="009618BC" w:rsidRPr="009618BC">
        <w:rPr>
          <w:lang w:val="fr-FR"/>
        </w:rPr>
        <w:t>’</w:t>
      </w:r>
      <w:r w:rsidRPr="009618BC">
        <w:rPr>
          <w:lang w:val="fr-FR"/>
        </w:rPr>
        <w:t>Unité territoriale autonome de Gagaouzie, du district de Taraclia, de Transnistrie et d</w:t>
      </w:r>
      <w:r w:rsidR="009618BC" w:rsidRPr="009618BC">
        <w:rPr>
          <w:lang w:val="fr-FR"/>
        </w:rPr>
        <w:t>’</w:t>
      </w:r>
      <w:r w:rsidRPr="009618BC">
        <w:rPr>
          <w:lang w:val="fr-FR"/>
        </w:rPr>
        <w:t>autres régions de Moldova ont participé à ce forum.</w:t>
      </w:r>
    </w:p>
    <w:p w:rsidR="00A72177" w:rsidRPr="009618BC" w:rsidRDefault="00A72177" w:rsidP="0030226E">
      <w:pPr>
        <w:pStyle w:val="SingleTxtG"/>
        <w:keepNext/>
        <w:keepLines/>
        <w:rPr>
          <w:bCs/>
          <w:lang w:val="fr-FR"/>
        </w:rPr>
      </w:pPr>
      <w:r w:rsidRPr="009618BC">
        <w:rPr>
          <w:lang w:val="fr-FR"/>
        </w:rPr>
        <w:lastRenderedPageBreak/>
        <w:t>31.</w:t>
      </w:r>
      <w:r w:rsidRPr="009618BC">
        <w:rPr>
          <w:lang w:val="fr-FR"/>
        </w:rPr>
        <w:tab/>
        <w:t>Ont également pris part aux travaux : la</w:t>
      </w:r>
      <w:r w:rsidR="00EC0ECE">
        <w:rPr>
          <w:lang w:val="fr-FR"/>
        </w:rPr>
        <w:t xml:space="preserve"> </w:t>
      </w:r>
      <w:r w:rsidR="00500AA7">
        <w:rPr>
          <w:lang w:val="fr-FR"/>
        </w:rPr>
        <w:t>C</w:t>
      </w:r>
      <w:r w:rsidRPr="009618BC">
        <w:rPr>
          <w:lang w:val="fr-FR"/>
        </w:rPr>
        <w:t>oordonnatrice résidente de l</w:t>
      </w:r>
      <w:r w:rsidR="009618BC" w:rsidRPr="009618BC">
        <w:rPr>
          <w:lang w:val="fr-FR"/>
        </w:rPr>
        <w:t>’</w:t>
      </w:r>
      <w:r w:rsidRPr="009618BC">
        <w:rPr>
          <w:lang w:val="fr-FR"/>
        </w:rPr>
        <w:t>ONU en Moldova, Dafina Gercheva ; l</w:t>
      </w:r>
      <w:r w:rsidR="009618BC" w:rsidRPr="009618BC">
        <w:rPr>
          <w:lang w:val="fr-FR"/>
        </w:rPr>
        <w:t>’</w:t>
      </w:r>
      <w:r w:rsidRPr="009618BC">
        <w:rPr>
          <w:lang w:val="fr-FR"/>
        </w:rPr>
        <w:t xml:space="preserve">experte de la </w:t>
      </w:r>
      <w:r w:rsidR="00500AA7">
        <w:rPr>
          <w:lang w:val="fr-FR"/>
        </w:rPr>
        <w:t>D</w:t>
      </w:r>
      <w:r w:rsidRPr="009618BC">
        <w:rPr>
          <w:lang w:val="fr-FR"/>
        </w:rPr>
        <w:t>ivision du droit des minorités et des peuples autochtones du Haut-Commissariat des Nations Unies aux droits de l</w:t>
      </w:r>
      <w:r w:rsidR="009618BC" w:rsidRPr="009618BC">
        <w:rPr>
          <w:lang w:val="fr-FR"/>
        </w:rPr>
        <w:t>’</w:t>
      </w:r>
      <w:r w:rsidRPr="009618BC">
        <w:rPr>
          <w:lang w:val="fr-FR"/>
        </w:rPr>
        <w:t xml:space="preserve">homme, </w:t>
      </w:r>
      <w:r w:rsidRPr="009618BC">
        <w:rPr>
          <w:bCs/>
          <w:lang w:val="fr-FR"/>
        </w:rPr>
        <w:t>Belen Rodriguez de Alba, le représentant de la Commission des droits de l</w:t>
      </w:r>
      <w:r w:rsidR="009618BC" w:rsidRPr="009618BC">
        <w:rPr>
          <w:bCs/>
          <w:lang w:val="fr-FR"/>
        </w:rPr>
        <w:t>’</w:t>
      </w:r>
      <w:r w:rsidRPr="009618BC">
        <w:rPr>
          <w:bCs/>
          <w:lang w:val="fr-FR"/>
        </w:rPr>
        <w:t>homme et des relations interethniques du Parlement de la République de Moldova, le représentant du Conseil pour la prévention et l</w:t>
      </w:r>
      <w:r w:rsidR="009618BC" w:rsidRPr="009618BC">
        <w:rPr>
          <w:bCs/>
          <w:lang w:val="fr-FR"/>
        </w:rPr>
        <w:t>’</w:t>
      </w:r>
      <w:r w:rsidRPr="009618BC">
        <w:rPr>
          <w:bCs/>
          <w:lang w:val="fr-FR"/>
        </w:rPr>
        <w:t>élimination de la discrimination et la promotion de l</w:t>
      </w:r>
      <w:r w:rsidR="009618BC" w:rsidRPr="009618BC">
        <w:rPr>
          <w:bCs/>
          <w:lang w:val="fr-FR"/>
        </w:rPr>
        <w:t>’</w:t>
      </w:r>
      <w:r w:rsidRPr="009618BC">
        <w:rPr>
          <w:bCs/>
          <w:lang w:val="fr-FR"/>
        </w:rPr>
        <w:t xml:space="preserve">égalité, le Défenseur du peuple, le représentant du </w:t>
      </w:r>
      <w:r w:rsidR="00500AA7">
        <w:rPr>
          <w:bCs/>
          <w:lang w:val="fr-FR"/>
        </w:rPr>
        <w:t>C</w:t>
      </w:r>
      <w:r w:rsidRPr="009618BC">
        <w:rPr>
          <w:bCs/>
          <w:lang w:val="fr-FR"/>
        </w:rPr>
        <w:t>onseil de coordination pour la télévision et la radio, ainsi que des représentants d</w:t>
      </w:r>
      <w:r w:rsidR="009618BC" w:rsidRPr="009618BC">
        <w:rPr>
          <w:bCs/>
          <w:lang w:val="fr-FR"/>
        </w:rPr>
        <w:t>’</w:t>
      </w:r>
      <w:r w:rsidRPr="009618BC">
        <w:rPr>
          <w:bCs/>
          <w:lang w:val="fr-FR"/>
        </w:rPr>
        <w:t>organismes gouvernementaux.</w:t>
      </w:r>
    </w:p>
    <w:p w:rsidR="00A72177" w:rsidRPr="009618BC" w:rsidRDefault="00A72177" w:rsidP="009618BC">
      <w:pPr>
        <w:pStyle w:val="SingleTxtG"/>
        <w:rPr>
          <w:lang w:val="fr-FR"/>
        </w:rPr>
      </w:pPr>
      <w:r w:rsidRPr="009618BC">
        <w:rPr>
          <w:lang w:val="fr-FR"/>
        </w:rPr>
        <w:t>32.</w:t>
      </w:r>
      <w:r w:rsidRPr="009618BC">
        <w:rPr>
          <w:lang w:val="fr-FR"/>
        </w:rPr>
        <w:tab/>
        <w:t>Les participants au forum, appartenant à divers groupes ethniques, linguistiques et religieux, ont débattu de questions liées à la promotion de la tolérance et de la compréhension mutuelle, à la prévention de la discrimination et au renforcement des relations interethniques par l</w:t>
      </w:r>
      <w:r w:rsidR="009618BC" w:rsidRPr="009618BC">
        <w:rPr>
          <w:lang w:val="fr-FR"/>
        </w:rPr>
        <w:t>’</w:t>
      </w:r>
      <w:r w:rsidRPr="009618BC">
        <w:rPr>
          <w:lang w:val="fr-FR"/>
        </w:rPr>
        <w:t>intermédiaire des médias.</w:t>
      </w:r>
    </w:p>
    <w:p w:rsidR="00A72177" w:rsidRPr="009618BC" w:rsidRDefault="009618BC" w:rsidP="009618BC">
      <w:pPr>
        <w:pStyle w:val="HChG"/>
        <w:rPr>
          <w:lang w:val="fr-FR"/>
        </w:rPr>
      </w:pPr>
      <w:r>
        <w:rPr>
          <w:lang w:val="fr-FR"/>
        </w:rPr>
        <w:tab/>
        <w:t>II.</w:t>
      </w:r>
      <w:r w:rsidR="00A72177" w:rsidRPr="009618BC">
        <w:rPr>
          <w:lang w:val="fr-FR"/>
        </w:rPr>
        <w:tab/>
        <w:t>Informations sur la mise en œuvre des recommandations formulées aux paragraphes 19 et 23</w:t>
      </w:r>
    </w:p>
    <w:p w:rsidR="00A72177" w:rsidRPr="009618BC" w:rsidRDefault="00A72177" w:rsidP="009618BC">
      <w:pPr>
        <w:pStyle w:val="H1G"/>
        <w:rPr>
          <w:lang w:val="fr-FR"/>
        </w:rPr>
      </w:pPr>
      <w:r w:rsidRPr="009618BC">
        <w:rPr>
          <w:lang w:val="fr-FR"/>
        </w:rPr>
        <w:tab/>
      </w:r>
      <w:r w:rsidRPr="009618BC">
        <w:rPr>
          <w:lang w:val="fr-FR"/>
        </w:rPr>
        <w:tab/>
        <w:t>Paragraphe 19</w:t>
      </w:r>
    </w:p>
    <w:p w:rsidR="00A72177" w:rsidRPr="0030226E" w:rsidRDefault="00A72177" w:rsidP="0030226E">
      <w:pPr>
        <w:pStyle w:val="SingleTxtG"/>
        <w:ind w:firstLine="567"/>
        <w:rPr>
          <w:b/>
          <w:lang w:val="fr-FR"/>
        </w:rPr>
      </w:pPr>
      <w:r w:rsidRPr="0030226E">
        <w:rPr>
          <w:b/>
          <w:lang w:val="fr-FR"/>
        </w:rPr>
        <w:t>Le Comité recommande à l</w:t>
      </w:r>
      <w:r w:rsidR="009618BC" w:rsidRPr="0030226E">
        <w:rPr>
          <w:b/>
          <w:lang w:val="fr-FR"/>
        </w:rPr>
        <w:t>’</w:t>
      </w:r>
      <w:r w:rsidRPr="0030226E">
        <w:rPr>
          <w:b/>
          <w:lang w:val="fr-FR"/>
        </w:rPr>
        <w:t>État partie de prendre les mesures nécessaires pour garantir l</w:t>
      </w:r>
      <w:r w:rsidR="009618BC" w:rsidRPr="0030226E">
        <w:rPr>
          <w:b/>
          <w:lang w:val="fr-FR"/>
        </w:rPr>
        <w:t>’</w:t>
      </w:r>
      <w:r w:rsidRPr="0030226E">
        <w:rPr>
          <w:b/>
          <w:lang w:val="fr-FR"/>
        </w:rPr>
        <w:t>accès des enfants issus des minorités ethniques à un enseignement dans leur langue maternelle à l</w:t>
      </w:r>
      <w:r w:rsidR="009618BC" w:rsidRPr="0030226E">
        <w:rPr>
          <w:b/>
          <w:lang w:val="fr-FR"/>
        </w:rPr>
        <w:t>’</w:t>
      </w:r>
      <w:r w:rsidRPr="0030226E">
        <w:rPr>
          <w:b/>
          <w:lang w:val="fr-FR"/>
        </w:rPr>
        <w:t>école. Il recommande aussi à l</w:t>
      </w:r>
      <w:r w:rsidR="009618BC" w:rsidRPr="0030226E">
        <w:rPr>
          <w:b/>
          <w:lang w:val="fr-FR"/>
        </w:rPr>
        <w:t>’</w:t>
      </w:r>
      <w:r w:rsidRPr="0030226E">
        <w:rPr>
          <w:b/>
          <w:lang w:val="fr-FR"/>
        </w:rPr>
        <w:t>État partie de prendre les mesures voulues pour garantir un enseignement de qualité de la langue officielle aux élèves issus de minorités scolarisés dans des établissements dispensant un enseignement dans la langue maternelle, et de ne ménager aucun effort pour prévenir la discrimination à l</w:t>
      </w:r>
      <w:r w:rsidR="009618BC" w:rsidRPr="0030226E">
        <w:rPr>
          <w:b/>
          <w:lang w:val="fr-FR"/>
        </w:rPr>
        <w:t>’</w:t>
      </w:r>
      <w:r w:rsidRPr="0030226E">
        <w:rPr>
          <w:b/>
          <w:lang w:val="fr-FR"/>
        </w:rPr>
        <w:t>égard de ces élèves, en raison de la langue, en ce qui concerne l</w:t>
      </w:r>
      <w:r w:rsidR="009618BC" w:rsidRPr="0030226E">
        <w:rPr>
          <w:b/>
          <w:lang w:val="fr-FR"/>
        </w:rPr>
        <w:t>’</w:t>
      </w:r>
      <w:r w:rsidRPr="0030226E">
        <w:rPr>
          <w:b/>
          <w:lang w:val="fr-FR"/>
        </w:rPr>
        <w:t>accès à l</w:t>
      </w:r>
      <w:r w:rsidR="009618BC" w:rsidRPr="0030226E">
        <w:rPr>
          <w:b/>
          <w:lang w:val="fr-FR"/>
        </w:rPr>
        <w:t>’</w:t>
      </w:r>
      <w:r w:rsidRPr="0030226E">
        <w:rPr>
          <w:b/>
          <w:lang w:val="fr-FR"/>
        </w:rPr>
        <w:t>enseignement supérieur et à des emplois.</w:t>
      </w:r>
    </w:p>
    <w:p w:rsidR="00A72177" w:rsidRPr="009618BC" w:rsidRDefault="00A72177" w:rsidP="009618BC">
      <w:pPr>
        <w:pStyle w:val="H23G"/>
        <w:rPr>
          <w:lang w:val="fr-FR"/>
        </w:rPr>
      </w:pPr>
      <w:r w:rsidRPr="009618BC">
        <w:rPr>
          <w:lang w:val="fr-FR"/>
        </w:rPr>
        <w:tab/>
      </w:r>
      <w:r w:rsidRPr="009618BC">
        <w:rPr>
          <w:lang w:val="fr-FR"/>
        </w:rPr>
        <w:tab/>
        <w:t>Accès à l</w:t>
      </w:r>
      <w:r w:rsidR="009618BC" w:rsidRPr="009618BC">
        <w:rPr>
          <w:lang w:val="fr-FR"/>
        </w:rPr>
        <w:t>’</w:t>
      </w:r>
      <w:r w:rsidRPr="009618BC">
        <w:rPr>
          <w:lang w:val="fr-FR"/>
        </w:rPr>
        <w:t>enseignement pour les enfants i</w:t>
      </w:r>
      <w:r w:rsidR="0030226E">
        <w:rPr>
          <w:lang w:val="fr-FR"/>
        </w:rPr>
        <w:t xml:space="preserve">ssus des minorités nationales </w:t>
      </w:r>
      <w:r w:rsidR="0030226E">
        <w:rPr>
          <w:lang w:val="fr-FR"/>
        </w:rPr>
        <w:br/>
        <w:t>− </w:t>
      </w:r>
      <w:r w:rsidRPr="009618BC">
        <w:rPr>
          <w:lang w:val="fr-FR"/>
        </w:rPr>
        <w:t xml:space="preserve">Accès à un enseignement préscolaire en langue maternelle </w:t>
      </w:r>
      <w:r w:rsidR="0030226E">
        <w:rPr>
          <w:lang w:val="fr-FR"/>
        </w:rPr>
        <w:br/>
      </w:r>
      <w:r w:rsidRPr="009618BC">
        <w:rPr>
          <w:lang w:val="fr-FR"/>
        </w:rPr>
        <w:t>pour les enfants</w:t>
      </w:r>
      <w:r w:rsidR="00500AA7">
        <w:rPr>
          <w:lang w:val="fr-FR"/>
        </w:rPr>
        <w:t xml:space="preserve"> issus des minorités nationales</w:t>
      </w:r>
    </w:p>
    <w:p w:rsidR="00A72177" w:rsidRPr="009618BC" w:rsidRDefault="00A72177" w:rsidP="009618BC">
      <w:pPr>
        <w:pStyle w:val="Titre1"/>
        <w:spacing w:after="120"/>
        <w:rPr>
          <w:b/>
          <w:lang w:val="fr-FR"/>
        </w:rPr>
      </w:pPr>
      <w:r w:rsidRPr="009618BC">
        <w:rPr>
          <w:lang w:val="fr-FR"/>
        </w:rPr>
        <w:t>Tableau 1</w:t>
      </w:r>
      <w:r w:rsidR="009618BC">
        <w:rPr>
          <w:lang w:val="fr-FR"/>
        </w:rPr>
        <w:t xml:space="preserve"> </w:t>
      </w:r>
      <w:r w:rsidRPr="009618BC">
        <w:rPr>
          <w:lang w:val="fr-FR"/>
        </w:rPr>
        <w:br/>
      </w:r>
      <w:r w:rsidRPr="009618BC">
        <w:rPr>
          <w:b/>
          <w:lang w:val="fr-FR"/>
        </w:rPr>
        <w:t>Distribution des établissements d</w:t>
      </w:r>
      <w:r w:rsidR="009618BC" w:rsidRPr="009618BC">
        <w:rPr>
          <w:b/>
          <w:lang w:val="fr-FR"/>
        </w:rPr>
        <w:t>’</w:t>
      </w:r>
      <w:r w:rsidRPr="009618BC">
        <w:rPr>
          <w:b/>
          <w:lang w:val="fr-FR"/>
        </w:rPr>
        <w:t>éducation préscolaire</w:t>
      </w:r>
      <w:r w:rsidRPr="009618BC">
        <w:rPr>
          <w:rStyle w:val="Appelnotedebasdep"/>
        </w:rPr>
        <w:footnoteReference w:id="8"/>
      </w:r>
      <w:r w:rsidRPr="009618BC">
        <w:rPr>
          <w:lang w:val="fr-FR"/>
        </w:rPr>
        <w:t xml:space="preserve"> </w:t>
      </w:r>
      <w:r w:rsidR="009618BC">
        <w:rPr>
          <w:b/>
          <w:lang w:val="fr-FR"/>
        </w:rPr>
        <w:br/>
      </w:r>
      <w:r w:rsidRPr="009618BC">
        <w:rPr>
          <w:b/>
          <w:lang w:val="fr-FR"/>
        </w:rPr>
        <w:t>selon la langue (roumaine et russe)</w:t>
      </w:r>
    </w:p>
    <w:tbl>
      <w:tblPr>
        <w:tblW w:w="7370" w:type="dxa"/>
        <w:tblInd w:w="1134" w:type="dxa"/>
        <w:tblLayout w:type="fixed"/>
        <w:tblCellMar>
          <w:left w:w="0" w:type="dxa"/>
          <w:right w:w="0" w:type="dxa"/>
        </w:tblCellMar>
        <w:tblLook w:val="04A0" w:firstRow="1" w:lastRow="0" w:firstColumn="1" w:lastColumn="0" w:noHBand="0" w:noVBand="1"/>
      </w:tblPr>
      <w:tblGrid>
        <w:gridCol w:w="4395"/>
        <w:gridCol w:w="1275"/>
        <w:gridCol w:w="851"/>
        <w:gridCol w:w="849"/>
      </w:tblGrid>
      <w:tr w:rsidR="00A72177" w:rsidRPr="009618BC" w:rsidTr="00C62BE7">
        <w:trPr>
          <w:tblHeader/>
        </w:trPr>
        <w:tc>
          <w:tcPr>
            <w:tcW w:w="4395" w:type="dxa"/>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rPr>
                <w:i/>
                <w:sz w:val="16"/>
                <w:lang w:val="fr-FR"/>
              </w:rPr>
            </w:pPr>
          </w:p>
        </w:tc>
        <w:tc>
          <w:tcPr>
            <w:tcW w:w="1275" w:type="dxa"/>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jc w:val="right"/>
              <w:rPr>
                <w:i/>
                <w:sz w:val="16"/>
                <w:lang w:val="fr-FR"/>
              </w:rPr>
            </w:pPr>
            <w:r w:rsidRPr="009618BC">
              <w:rPr>
                <w:i/>
                <w:sz w:val="16"/>
                <w:lang w:val="fr-FR"/>
              </w:rPr>
              <w:t>2014</w:t>
            </w:r>
          </w:p>
        </w:tc>
        <w:tc>
          <w:tcPr>
            <w:tcW w:w="851" w:type="dxa"/>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jc w:val="right"/>
              <w:rPr>
                <w:i/>
                <w:sz w:val="16"/>
                <w:lang w:val="fr-FR"/>
              </w:rPr>
            </w:pPr>
            <w:r w:rsidRPr="009618BC">
              <w:rPr>
                <w:i/>
                <w:sz w:val="16"/>
                <w:lang w:val="fr-FR"/>
              </w:rPr>
              <w:t>2015</w:t>
            </w:r>
          </w:p>
        </w:tc>
        <w:tc>
          <w:tcPr>
            <w:tcW w:w="849" w:type="dxa"/>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jc w:val="right"/>
              <w:rPr>
                <w:i/>
                <w:sz w:val="16"/>
                <w:lang w:val="fr-FR"/>
              </w:rPr>
            </w:pPr>
            <w:r w:rsidRPr="009618BC">
              <w:rPr>
                <w:i/>
                <w:sz w:val="16"/>
                <w:lang w:val="fr-FR"/>
              </w:rPr>
              <w:t>2016</w:t>
            </w:r>
          </w:p>
        </w:tc>
      </w:tr>
      <w:tr w:rsidR="00A72177" w:rsidRPr="009618BC" w:rsidTr="00C62BE7">
        <w:tc>
          <w:tcPr>
            <w:tcW w:w="4395" w:type="dxa"/>
            <w:tcBorders>
              <w:top w:val="single" w:sz="12" w:space="0" w:color="auto"/>
            </w:tcBorders>
            <w:shd w:val="clear" w:color="auto" w:fill="auto"/>
          </w:tcPr>
          <w:p w:rsidR="00A72177" w:rsidRPr="009618BC" w:rsidRDefault="00A72177" w:rsidP="009618BC">
            <w:pPr>
              <w:suppressAutoHyphens w:val="0"/>
              <w:spacing w:before="40" w:after="40" w:line="220" w:lineRule="exact"/>
              <w:rPr>
                <w:bCs/>
                <w:sz w:val="18"/>
                <w:lang w:val="fr-FR"/>
              </w:rPr>
            </w:pPr>
            <w:r w:rsidRPr="009618BC">
              <w:rPr>
                <w:sz w:val="18"/>
                <w:lang w:val="fr-FR"/>
              </w:rPr>
              <w:t>Établissements dans lesquels l</w:t>
            </w:r>
            <w:r w:rsidR="009618BC" w:rsidRPr="009618BC">
              <w:rPr>
                <w:sz w:val="18"/>
                <w:lang w:val="fr-FR"/>
              </w:rPr>
              <w:t>’</w:t>
            </w:r>
            <w:r w:rsidRPr="009618BC">
              <w:rPr>
                <w:sz w:val="18"/>
                <w:lang w:val="fr-FR"/>
              </w:rPr>
              <w:t>enseignement est dispensé dans une seule langue :</w:t>
            </w:r>
          </w:p>
        </w:tc>
        <w:tc>
          <w:tcPr>
            <w:tcW w:w="1275" w:type="dxa"/>
            <w:tcBorders>
              <w:top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C62BE7">
              <w:rPr>
                <w:sz w:val="18"/>
                <w:lang w:val="fr-FR"/>
              </w:rPr>
              <w:t xml:space="preserve"> </w:t>
            </w:r>
            <w:r w:rsidRPr="009618BC">
              <w:rPr>
                <w:sz w:val="18"/>
                <w:lang w:val="fr-FR"/>
              </w:rPr>
              <w:t>332</w:t>
            </w:r>
          </w:p>
        </w:tc>
        <w:tc>
          <w:tcPr>
            <w:tcW w:w="851" w:type="dxa"/>
            <w:tcBorders>
              <w:top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C62BE7">
              <w:rPr>
                <w:sz w:val="18"/>
                <w:lang w:val="fr-FR"/>
              </w:rPr>
              <w:t xml:space="preserve"> </w:t>
            </w:r>
            <w:r w:rsidRPr="009618BC">
              <w:rPr>
                <w:sz w:val="18"/>
                <w:lang w:val="fr-FR"/>
              </w:rPr>
              <w:t>338</w:t>
            </w:r>
          </w:p>
        </w:tc>
        <w:tc>
          <w:tcPr>
            <w:tcW w:w="849" w:type="dxa"/>
            <w:tcBorders>
              <w:top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C62BE7">
              <w:rPr>
                <w:sz w:val="18"/>
                <w:lang w:val="fr-FR"/>
              </w:rPr>
              <w:t xml:space="preserve"> </w:t>
            </w:r>
            <w:r w:rsidRPr="009618BC">
              <w:rPr>
                <w:sz w:val="18"/>
                <w:lang w:val="fr-FR"/>
              </w:rPr>
              <w:t>351</w:t>
            </w:r>
          </w:p>
        </w:tc>
      </w:tr>
      <w:tr w:rsidR="00A72177" w:rsidRPr="009618BC" w:rsidTr="00C62BE7">
        <w:tc>
          <w:tcPr>
            <w:tcW w:w="4395" w:type="dxa"/>
            <w:shd w:val="clear" w:color="auto" w:fill="auto"/>
          </w:tcPr>
          <w:p w:rsidR="00A72177" w:rsidRPr="009618BC" w:rsidRDefault="00A72177" w:rsidP="003C1045">
            <w:pPr>
              <w:suppressAutoHyphens w:val="0"/>
              <w:spacing w:before="40" w:after="40" w:line="220" w:lineRule="exact"/>
              <w:ind w:left="284"/>
              <w:rPr>
                <w:bCs/>
                <w:sz w:val="18"/>
                <w:lang w:val="fr-FR"/>
              </w:rPr>
            </w:pPr>
            <w:r w:rsidRPr="009618BC">
              <w:rPr>
                <w:bCs/>
                <w:sz w:val="18"/>
                <w:lang w:val="fr-FR"/>
              </w:rPr>
              <w:t>roumain</w:t>
            </w:r>
          </w:p>
        </w:tc>
        <w:tc>
          <w:tcPr>
            <w:tcW w:w="127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C62BE7">
              <w:rPr>
                <w:sz w:val="18"/>
                <w:lang w:val="fr-FR"/>
              </w:rPr>
              <w:t xml:space="preserve"> </w:t>
            </w:r>
            <w:r w:rsidRPr="009618BC">
              <w:rPr>
                <w:sz w:val="18"/>
                <w:lang w:val="fr-FR"/>
              </w:rPr>
              <w:t>120</w:t>
            </w:r>
          </w:p>
        </w:tc>
        <w:tc>
          <w:tcPr>
            <w:tcW w:w="851"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C62BE7">
              <w:rPr>
                <w:sz w:val="18"/>
                <w:lang w:val="fr-FR"/>
              </w:rPr>
              <w:t xml:space="preserve"> </w:t>
            </w:r>
            <w:r w:rsidRPr="009618BC">
              <w:rPr>
                <w:sz w:val="18"/>
                <w:lang w:val="fr-FR"/>
              </w:rPr>
              <w:t>126</w:t>
            </w:r>
          </w:p>
        </w:tc>
        <w:tc>
          <w:tcPr>
            <w:tcW w:w="849"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C62BE7">
              <w:rPr>
                <w:sz w:val="18"/>
                <w:lang w:val="fr-FR"/>
              </w:rPr>
              <w:t xml:space="preserve"> </w:t>
            </w:r>
            <w:r w:rsidRPr="009618BC">
              <w:rPr>
                <w:sz w:val="18"/>
                <w:lang w:val="fr-FR"/>
              </w:rPr>
              <w:t>134</w:t>
            </w:r>
          </w:p>
        </w:tc>
      </w:tr>
      <w:tr w:rsidR="00A72177" w:rsidRPr="009618BC" w:rsidTr="00C62BE7">
        <w:tc>
          <w:tcPr>
            <w:tcW w:w="4395" w:type="dxa"/>
            <w:shd w:val="clear" w:color="auto" w:fill="auto"/>
          </w:tcPr>
          <w:p w:rsidR="00A72177" w:rsidRPr="009618BC" w:rsidRDefault="00A72177" w:rsidP="003C1045">
            <w:pPr>
              <w:suppressAutoHyphens w:val="0"/>
              <w:spacing w:before="40" w:after="40" w:line="220" w:lineRule="exact"/>
              <w:ind w:left="284"/>
              <w:rPr>
                <w:bCs/>
                <w:sz w:val="18"/>
                <w:lang w:val="fr-FR"/>
              </w:rPr>
            </w:pPr>
            <w:r w:rsidRPr="009618BC">
              <w:rPr>
                <w:bCs/>
                <w:sz w:val="18"/>
                <w:lang w:val="fr-FR"/>
              </w:rPr>
              <w:t>russe</w:t>
            </w:r>
          </w:p>
        </w:tc>
        <w:tc>
          <w:tcPr>
            <w:tcW w:w="127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210</w:t>
            </w:r>
          </w:p>
        </w:tc>
        <w:tc>
          <w:tcPr>
            <w:tcW w:w="851"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210</w:t>
            </w:r>
          </w:p>
        </w:tc>
        <w:tc>
          <w:tcPr>
            <w:tcW w:w="849"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217</w:t>
            </w:r>
          </w:p>
        </w:tc>
      </w:tr>
      <w:tr w:rsidR="00A72177" w:rsidRPr="009618BC" w:rsidTr="00C62BE7">
        <w:tc>
          <w:tcPr>
            <w:tcW w:w="4395" w:type="dxa"/>
            <w:tcBorders>
              <w:bottom w:val="single" w:sz="4" w:space="0" w:color="auto"/>
            </w:tcBorders>
            <w:shd w:val="clear" w:color="auto" w:fill="auto"/>
          </w:tcPr>
          <w:p w:rsidR="00A72177" w:rsidRPr="009618BC" w:rsidRDefault="00A72177" w:rsidP="009618BC">
            <w:pPr>
              <w:suppressAutoHyphens w:val="0"/>
              <w:spacing w:before="40" w:after="40" w:line="220" w:lineRule="exact"/>
              <w:rPr>
                <w:bCs/>
                <w:sz w:val="18"/>
                <w:lang w:val="fr-FR"/>
              </w:rPr>
            </w:pPr>
            <w:r w:rsidRPr="009618BC">
              <w:rPr>
                <w:sz w:val="18"/>
                <w:lang w:val="fr-FR"/>
              </w:rPr>
              <w:t>Établissements dans lesquels l</w:t>
            </w:r>
            <w:r w:rsidR="009618BC" w:rsidRPr="009618BC">
              <w:rPr>
                <w:sz w:val="18"/>
                <w:lang w:val="fr-FR"/>
              </w:rPr>
              <w:t>’</w:t>
            </w:r>
            <w:r w:rsidRPr="009618BC">
              <w:rPr>
                <w:sz w:val="18"/>
                <w:lang w:val="fr-FR"/>
              </w:rPr>
              <w:t>enseignement est dispensé dans plusieurs langues</w:t>
            </w:r>
            <w:r w:rsidR="00EC0ECE">
              <w:rPr>
                <w:sz w:val="18"/>
                <w:lang w:val="fr-FR"/>
              </w:rPr>
              <w:t xml:space="preserve"> </w:t>
            </w:r>
            <w:r w:rsidRPr="009618BC">
              <w:rPr>
                <w:sz w:val="18"/>
                <w:lang w:val="fr-FR"/>
              </w:rPr>
              <w:t xml:space="preserve">(combinaison : roumain et russe) </w:t>
            </w:r>
          </w:p>
        </w:tc>
        <w:tc>
          <w:tcPr>
            <w:tcW w:w="1275" w:type="dxa"/>
            <w:tcBorders>
              <w:bottom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119</w:t>
            </w:r>
          </w:p>
        </w:tc>
        <w:tc>
          <w:tcPr>
            <w:tcW w:w="851" w:type="dxa"/>
            <w:tcBorders>
              <w:bottom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122</w:t>
            </w:r>
          </w:p>
        </w:tc>
        <w:tc>
          <w:tcPr>
            <w:tcW w:w="849" w:type="dxa"/>
            <w:tcBorders>
              <w:bottom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118</w:t>
            </w:r>
          </w:p>
        </w:tc>
      </w:tr>
      <w:tr w:rsidR="00A72177" w:rsidRPr="003C1045" w:rsidTr="00C62BE7">
        <w:tc>
          <w:tcPr>
            <w:tcW w:w="4395" w:type="dxa"/>
            <w:tcBorders>
              <w:top w:val="single" w:sz="4" w:space="0" w:color="auto"/>
              <w:bottom w:val="single" w:sz="4" w:space="0" w:color="auto"/>
            </w:tcBorders>
            <w:shd w:val="clear" w:color="auto" w:fill="auto"/>
          </w:tcPr>
          <w:p w:rsidR="00A72177" w:rsidRPr="003C1045" w:rsidRDefault="00A72177" w:rsidP="003C1045">
            <w:pPr>
              <w:suppressAutoHyphens w:val="0"/>
              <w:spacing w:before="80" w:after="80" w:line="240" w:lineRule="exact"/>
              <w:ind w:left="284"/>
              <w:rPr>
                <w:b/>
                <w:bCs/>
                <w:sz w:val="18"/>
                <w:lang w:val="fr-FR"/>
              </w:rPr>
            </w:pPr>
            <w:r w:rsidRPr="003C1045">
              <w:rPr>
                <w:b/>
                <w:bCs/>
                <w:sz w:val="18"/>
                <w:lang w:val="fr-FR"/>
              </w:rPr>
              <w:t>Total</w:t>
            </w:r>
          </w:p>
        </w:tc>
        <w:tc>
          <w:tcPr>
            <w:tcW w:w="1275" w:type="dxa"/>
            <w:tcBorders>
              <w:top w:val="single" w:sz="4" w:space="0" w:color="auto"/>
              <w:bottom w:val="single" w:sz="4" w:space="0" w:color="auto"/>
            </w:tcBorders>
            <w:shd w:val="clear" w:color="auto" w:fill="auto"/>
            <w:vAlign w:val="bottom"/>
          </w:tcPr>
          <w:p w:rsidR="00A72177" w:rsidRPr="003C1045" w:rsidRDefault="00A72177" w:rsidP="003C1045">
            <w:pPr>
              <w:suppressAutoHyphens w:val="0"/>
              <w:spacing w:before="80" w:after="80" w:line="240" w:lineRule="exact"/>
              <w:jc w:val="right"/>
              <w:rPr>
                <w:b/>
                <w:bCs/>
                <w:sz w:val="18"/>
                <w:lang w:val="fr-FR"/>
              </w:rPr>
            </w:pPr>
            <w:r w:rsidRPr="003C1045">
              <w:rPr>
                <w:b/>
                <w:sz w:val="18"/>
                <w:lang w:val="fr-FR"/>
              </w:rPr>
              <w:t>1</w:t>
            </w:r>
            <w:r w:rsidR="00C62BE7">
              <w:rPr>
                <w:b/>
                <w:sz w:val="18"/>
                <w:lang w:val="fr-FR"/>
              </w:rPr>
              <w:t xml:space="preserve"> </w:t>
            </w:r>
            <w:r w:rsidRPr="003C1045">
              <w:rPr>
                <w:b/>
                <w:sz w:val="18"/>
                <w:lang w:val="fr-FR"/>
              </w:rPr>
              <w:t>451</w:t>
            </w:r>
          </w:p>
        </w:tc>
        <w:tc>
          <w:tcPr>
            <w:tcW w:w="851" w:type="dxa"/>
            <w:tcBorders>
              <w:top w:val="single" w:sz="4" w:space="0" w:color="auto"/>
              <w:bottom w:val="single" w:sz="4" w:space="0" w:color="auto"/>
            </w:tcBorders>
            <w:shd w:val="clear" w:color="auto" w:fill="auto"/>
            <w:vAlign w:val="bottom"/>
          </w:tcPr>
          <w:p w:rsidR="00A72177" w:rsidRPr="003C1045" w:rsidRDefault="00A72177" w:rsidP="003C1045">
            <w:pPr>
              <w:suppressAutoHyphens w:val="0"/>
              <w:spacing w:before="80" w:after="80" w:line="240" w:lineRule="exact"/>
              <w:jc w:val="right"/>
              <w:rPr>
                <w:b/>
                <w:bCs/>
                <w:sz w:val="18"/>
                <w:lang w:val="fr-FR"/>
              </w:rPr>
            </w:pPr>
            <w:r w:rsidRPr="003C1045">
              <w:rPr>
                <w:b/>
                <w:sz w:val="18"/>
                <w:lang w:val="fr-FR"/>
              </w:rPr>
              <w:t>1</w:t>
            </w:r>
            <w:r w:rsidR="00C62BE7">
              <w:rPr>
                <w:b/>
                <w:sz w:val="18"/>
                <w:lang w:val="fr-FR"/>
              </w:rPr>
              <w:t xml:space="preserve"> </w:t>
            </w:r>
            <w:r w:rsidRPr="003C1045">
              <w:rPr>
                <w:b/>
                <w:sz w:val="18"/>
                <w:lang w:val="fr-FR"/>
              </w:rPr>
              <w:t>460</w:t>
            </w:r>
          </w:p>
        </w:tc>
        <w:tc>
          <w:tcPr>
            <w:tcW w:w="849" w:type="dxa"/>
            <w:tcBorders>
              <w:top w:val="single" w:sz="4" w:space="0" w:color="auto"/>
              <w:bottom w:val="single" w:sz="4" w:space="0" w:color="auto"/>
            </w:tcBorders>
            <w:shd w:val="clear" w:color="auto" w:fill="auto"/>
            <w:vAlign w:val="bottom"/>
          </w:tcPr>
          <w:p w:rsidR="00A72177" w:rsidRPr="003C1045" w:rsidRDefault="00A72177" w:rsidP="003C1045">
            <w:pPr>
              <w:suppressAutoHyphens w:val="0"/>
              <w:spacing w:before="80" w:after="80" w:line="240" w:lineRule="exact"/>
              <w:jc w:val="right"/>
              <w:rPr>
                <w:b/>
                <w:bCs/>
                <w:sz w:val="18"/>
                <w:lang w:val="fr-FR"/>
              </w:rPr>
            </w:pPr>
            <w:r w:rsidRPr="003C1045">
              <w:rPr>
                <w:b/>
                <w:sz w:val="18"/>
                <w:lang w:val="fr-FR"/>
              </w:rPr>
              <w:t>1</w:t>
            </w:r>
            <w:r w:rsidR="00C62BE7">
              <w:rPr>
                <w:b/>
                <w:sz w:val="18"/>
                <w:lang w:val="fr-FR"/>
              </w:rPr>
              <w:t xml:space="preserve"> </w:t>
            </w:r>
            <w:r w:rsidRPr="003C1045">
              <w:rPr>
                <w:b/>
                <w:sz w:val="18"/>
                <w:lang w:val="fr-FR"/>
              </w:rPr>
              <w:t>469</w:t>
            </w:r>
          </w:p>
        </w:tc>
      </w:tr>
      <w:tr w:rsidR="00A72177" w:rsidRPr="003C1045" w:rsidTr="00C62BE7">
        <w:tc>
          <w:tcPr>
            <w:tcW w:w="4395" w:type="dxa"/>
            <w:tcBorders>
              <w:top w:val="single" w:sz="4" w:space="0" w:color="auto"/>
              <w:bottom w:val="single" w:sz="4" w:space="0" w:color="auto"/>
            </w:tcBorders>
            <w:shd w:val="clear" w:color="auto" w:fill="auto"/>
          </w:tcPr>
          <w:p w:rsidR="00A72177" w:rsidRPr="003C1045" w:rsidRDefault="00A72177" w:rsidP="003C1045">
            <w:pPr>
              <w:suppressAutoHyphens w:val="0"/>
              <w:spacing w:before="80" w:after="80" w:line="240" w:lineRule="exact"/>
              <w:ind w:left="284"/>
              <w:rPr>
                <w:b/>
                <w:bCs/>
                <w:sz w:val="18"/>
                <w:lang w:val="fr-FR"/>
              </w:rPr>
            </w:pPr>
            <w:r w:rsidRPr="003C1045">
              <w:rPr>
                <w:b/>
                <w:bCs/>
                <w:sz w:val="18"/>
                <w:lang w:val="fr-FR"/>
              </w:rPr>
              <w:t xml:space="preserve">Total des enfants </w:t>
            </w:r>
          </w:p>
        </w:tc>
        <w:tc>
          <w:tcPr>
            <w:tcW w:w="1275" w:type="dxa"/>
            <w:tcBorders>
              <w:top w:val="single" w:sz="4" w:space="0" w:color="auto"/>
              <w:bottom w:val="single" w:sz="4" w:space="0" w:color="auto"/>
            </w:tcBorders>
            <w:shd w:val="clear" w:color="auto" w:fill="auto"/>
            <w:vAlign w:val="bottom"/>
          </w:tcPr>
          <w:p w:rsidR="00A72177" w:rsidRPr="003C1045" w:rsidRDefault="00A72177" w:rsidP="003C1045">
            <w:pPr>
              <w:suppressAutoHyphens w:val="0"/>
              <w:spacing w:before="80" w:after="80" w:line="240" w:lineRule="exact"/>
              <w:jc w:val="right"/>
              <w:rPr>
                <w:b/>
                <w:bCs/>
                <w:sz w:val="18"/>
                <w:lang w:val="fr-FR"/>
              </w:rPr>
            </w:pPr>
            <w:r w:rsidRPr="003C1045">
              <w:rPr>
                <w:b/>
                <w:bCs/>
                <w:sz w:val="18"/>
                <w:lang w:val="fr-FR"/>
              </w:rPr>
              <w:t>147</w:t>
            </w:r>
            <w:r w:rsidR="00C62BE7">
              <w:rPr>
                <w:b/>
                <w:bCs/>
                <w:sz w:val="18"/>
                <w:lang w:val="fr-FR"/>
              </w:rPr>
              <w:t xml:space="preserve"> </w:t>
            </w:r>
            <w:r w:rsidRPr="003C1045">
              <w:rPr>
                <w:b/>
                <w:bCs/>
                <w:sz w:val="18"/>
                <w:lang w:val="fr-FR"/>
              </w:rPr>
              <w:t>733</w:t>
            </w:r>
          </w:p>
        </w:tc>
        <w:tc>
          <w:tcPr>
            <w:tcW w:w="851" w:type="dxa"/>
            <w:tcBorders>
              <w:top w:val="single" w:sz="4" w:space="0" w:color="auto"/>
              <w:bottom w:val="single" w:sz="4" w:space="0" w:color="auto"/>
            </w:tcBorders>
            <w:shd w:val="clear" w:color="auto" w:fill="auto"/>
            <w:vAlign w:val="bottom"/>
          </w:tcPr>
          <w:p w:rsidR="00A72177" w:rsidRPr="003C1045" w:rsidRDefault="00A72177" w:rsidP="003C1045">
            <w:pPr>
              <w:suppressAutoHyphens w:val="0"/>
              <w:spacing w:before="80" w:after="80" w:line="240" w:lineRule="exact"/>
              <w:jc w:val="right"/>
              <w:rPr>
                <w:b/>
                <w:bCs/>
                <w:sz w:val="18"/>
                <w:lang w:val="fr-FR"/>
              </w:rPr>
            </w:pPr>
            <w:r w:rsidRPr="003C1045">
              <w:rPr>
                <w:b/>
                <w:bCs/>
                <w:sz w:val="18"/>
                <w:lang w:val="fr-FR"/>
              </w:rPr>
              <w:t>149</w:t>
            </w:r>
            <w:r w:rsidR="00C62BE7">
              <w:rPr>
                <w:b/>
                <w:bCs/>
                <w:sz w:val="18"/>
                <w:lang w:val="fr-FR"/>
              </w:rPr>
              <w:t xml:space="preserve"> </w:t>
            </w:r>
            <w:r w:rsidRPr="003C1045">
              <w:rPr>
                <w:b/>
                <w:bCs/>
                <w:sz w:val="18"/>
                <w:lang w:val="fr-FR"/>
              </w:rPr>
              <w:t>936</w:t>
            </w:r>
          </w:p>
        </w:tc>
        <w:tc>
          <w:tcPr>
            <w:tcW w:w="849" w:type="dxa"/>
            <w:tcBorders>
              <w:top w:val="single" w:sz="4" w:space="0" w:color="auto"/>
              <w:bottom w:val="single" w:sz="4" w:space="0" w:color="auto"/>
            </w:tcBorders>
            <w:shd w:val="clear" w:color="auto" w:fill="auto"/>
            <w:vAlign w:val="bottom"/>
          </w:tcPr>
          <w:p w:rsidR="00A72177" w:rsidRPr="003C1045" w:rsidRDefault="00A72177" w:rsidP="003C1045">
            <w:pPr>
              <w:suppressAutoHyphens w:val="0"/>
              <w:spacing w:before="80" w:after="80" w:line="240" w:lineRule="exact"/>
              <w:jc w:val="right"/>
              <w:rPr>
                <w:b/>
                <w:bCs/>
                <w:sz w:val="18"/>
                <w:lang w:val="fr-FR"/>
              </w:rPr>
            </w:pPr>
            <w:r w:rsidRPr="003C1045">
              <w:rPr>
                <w:b/>
                <w:bCs/>
                <w:sz w:val="18"/>
                <w:lang w:val="fr-FR"/>
              </w:rPr>
              <w:t>150</w:t>
            </w:r>
            <w:r w:rsidR="00C62BE7">
              <w:rPr>
                <w:b/>
                <w:bCs/>
                <w:sz w:val="18"/>
                <w:lang w:val="fr-FR"/>
              </w:rPr>
              <w:t xml:space="preserve"> </w:t>
            </w:r>
            <w:r w:rsidRPr="003C1045">
              <w:rPr>
                <w:b/>
                <w:bCs/>
                <w:sz w:val="18"/>
                <w:lang w:val="fr-FR"/>
              </w:rPr>
              <w:t>177</w:t>
            </w:r>
          </w:p>
        </w:tc>
      </w:tr>
      <w:tr w:rsidR="00A72177" w:rsidRPr="009618BC" w:rsidTr="00C62BE7">
        <w:tc>
          <w:tcPr>
            <w:tcW w:w="4395" w:type="dxa"/>
            <w:tcBorders>
              <w:top w:val="single" w:sz="4" w:space="0" w:color="auto"/>
            </w:tcBorders>
            <w:shd w:val="clear" w:color="auto" w:fill="auto"/>
          </w:tcPr>
          <w:p w:rsidR="00A72177" w:rsidRPr="009618BC" w:rsidRDefault="00A72177" w:rsidP="009618BC">
            <w:pPr>
              <w:suppressAutoHyphens w:val="0"/>
              <w:spacing w:before="40" w:after="40" w:line="220" w:lineRule="exact"/>
              <w:rPr>
                <w:bCs/>
                <w:sz w:val="18"/>
                <w:lang w:val="fr-FR"/>
              </w:rPr>
            </w:pPr>
            <w:r w:rsidRPr="009618BC">
              <w:rPr>
                <w:bCs/>
                <w:sz w:val="18"/>
                <w:lang w:val="fr-FR"/>
              </w:rPr>
              <w:t>Nombre d</w:t>
            </w:r>
            <w:r w:rsidR="009618BC" w:rsidRPr="009618BC">
              <w:rPr>
                <w:bCs/>
                <w:sz w:val="18"/>
                <w:lang w:val="fr-FR"/>
              </w:rPr>
              <w:t>’</w:t>
            </w:r>
            <w:r w:rsidRPr="009618BC">
              <w:rPr>
                <w:bCs/>
                <w:sz w:val="18"/>
                <w:lang w:val="fr-FR"/>
              </w:rPr>
              <w:t>enfants scolarisés dans une seule langue :</w:t>
            </w:r>
          </w:p>
        </w:tc>
        <w:tc>
          <w:tcPr>
            <w:tcW w:w="1275"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851"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849"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r>
      <w:tr w:rsidR="00A72177" w:rsidRPr="009618BC" w:rsidTr="00C62BE7">
        <w:tc>
          <w:tcPr>
            <w:tcW w:w="4395" w:type="dxa"/>
            <w:shd w:val="clear" w:color="auto" w:fill="auto"/>
          </w:tcPr>
          <w:p w:rsidR="00A72177" w:rsidRPr="009618BC" w:rsidRDefault="00A72177" w:rsidP="00C62BE7">
            <w:pPr>
              <w:suppressAutoHyphens w:val="0"/>
              <w:spacing w:before="40" w:after="40" w:line="220" w:lineRule="exact"/>
              <w:ind w:left="284"/>
              <w:rPr>
                <w:bCs/>
                <w:sz w:val="18"/>
                <w:lang w:val="fr-FR"/>
              </w:rPr>
            </w:pPr>
            <w:r w:rsidRPr="009618BC">
              <w:rPr>
                <w:bCs/>
                <w:sz w:val="18"/>
                <w:lang w:val="fr-FR"/>
              </w:rPr>
              <w:t>roumain</w:t>
            </w:r>
          </w:p>
        </w:tc>
        <w:tc>
          <w:tcPr>
            <w:tcW w:w="127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121</w:t>
            </w:r>
            <w:r w:rsidR="00C62BE7">
              <w:rPr>
                <w:sz w:val="18"/>
                <w:lang w:val="fr-FR"/>
              </w:rPr>
              <w:t xml:space="preserve"> </w:t>
            </w:r>
            <w:r w:rsidRPr="009618BC">
              <w:rPr>
                <w:sz w:val="18"/>
                <w:lang w:val="fr-FR"/>
              </w:rPr>
              <w:t>054</w:t>
            </w:r>
          </w:p>
        </w:tc>
        <w:tc>
          <w:tcPr>
            <w:tcW w:w="851"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123</w:t>
            </w:r>
            <w:r w:rsidR="00C62BE7">
              <w:rPr>
                <w:sz w:val="18"/>
                <w:lang w:val="fr-FR"/>
              </w:rPr>
              <w:t xml:space="preserve"> </w:t>
            </w:r>
            <w:r w:rsidRPr="009618BC">
              <w:rPr>
                <w:sz w:val="18"/>
                <w:lang w:val="fr-FR"/>
              </w:rPr>
              <w:t>239</w:t>
            </w:r>
          </w:p>
        </w:tc>
        <w:tc>
          <w:tcPr>
            <w:tcW w:w="849"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123</w:t>
            </w:r>
            <w:r w:rsidR="00C62BE7">
              <w:rPr>
                <w:sz w:val="18"/>
                <w:lang w:val="fr-FR"/>
              </w:rPr>
              <w:t xml:space="preserve"> </w:t>
            </w:r>
            <w:r w:rsidRPr="009618BC">
              <w:rPr>
                <w:sz w:val="18"/>
                <w:lang w:val="fr-FR"/>
              </w:rPr>
              <w:t>809</w:t>
            </w:r>
          </w:p>
        </w:tc>
      </w:tr>
      <w:tr w:rsidR="00A72177" w:rsidRPr="009618BC" w:rsidTr="00C62BE7">
        <w:tc>
          <w:tcPr>
            <w:tcW w:w="4395" w:type="dxa"/>
            <w:shd w:val="clear" w:color="auto" w:fill="auto"/>
          </w:tcPr>
          <w:p w:rsidR="00A72177" w:rsidRPr="009618BC" w:rsidRDefault="00A72177" w:rsidP="00C62BE7">
            <w:pPr>
              <w:suppressAutoHyphens w:val="0"/>
              <w:spacing w:before="40" w:after="40" w:line="220" w:lineRule="exact"/>
              <w:ind w:left="284"/>
              <w:rPr>
                <w:bCs/>
                <w:sz w:val="18"/>
                <w:lang w:val="fr-FR"/>
              </w:rPr>
            </w:pPr>
            <w:r w:rsidRPr="009618BC">
              <w:rPr>
                <w:bCs/>
                <w:sz w:val="18"/>
                <w:lang w:val="fr-FR"/>
              </w:rPr>
              <w:t>russe</w:t>
            </w:r>
          </w:p>
        </w:tc>
        <w:tc>
          <w:tcPr>
            <w:tcW w:w="127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26</w:t>
            </w:r>
            <w:r w:rsidR="00C62BE7">
              <w:rPr>
                <w:sz w:val="18"/>
                <w:lang w:val="fr-FR"/>
              </w:rPr>
              <w:t xml:space="preserve"> </w:t>
            </w:r>
            <w:r w:rsidRPr="009618BC">
              <w:rPr>
                <w:sz w:val="18"/>
                <w:lang w:val="fr-FR"/>
              </w:rPr>
              <w:t>527</w:t>
            </w:r>
          </w:p>
        </w:tc>
        <w:tc>
          <w:tcPr>
            <w:tcW w:w="851"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26</w:t>
            </w:r>
            <w:r w:rsidR="00C62BE7">
              <w:rPr>
                <w:sz w:val="18"/>
                <w:lang w:val="fr-FR"/>
              </w:rPr>
              <w:t xml:space="preserve"> </w:t>
            </w:r>
            <w:r w:rsidRPr="009618BC">
              <w:rPr>
                <w:sz w:val="18"/>
                <w:lang w:val="fr-FR"/>
              </w:rPr>
              <w:t>543</w:t>
            </w:r>
          </w:p>
        </w:tc>
        <w:tc>
          <w:tcPr>
            <w:tcW w:w="849"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26</w:t>
            </w:r>
            <w:r w:rsidR="00C62BE7">
              <w:rPr>
                <w:sz w:val="18"/>
                <w:lang w:val="fr-FR"/>
              </w:rPr>
              <w:t xml:space="preserve"> </w:t>
            </w:r>
            <w:r w:rsidRPr="009618BC">
              <w:rPr>
                <w:sz w:val="18"/>
                <w:lang w:val="fr-FR"/>
              </w:rPr>
              <w:t>368</w:t>
            </w:r>
          </w:p>
        </w:tc>
      </w:tr>
      <w:tr w:rsidR="00A72177" w:rsidRPr="009618BC" w:rsidTr="00C62BE7">
        <w:tc>
          <w:tcPr>
            <w:tcW w:w="4395" w:type="dxa"/>
            <w:shd w:val="clear" w:color="auto" w:fill="auto"/>
          </w:tcPr>
          <w:p w:rsidR="00A72177" w:rsidRPr="009618BC" w:rsidRDefault="00A72177" w:rsidP="00C62BE7">
            <w:pPr>
              <w:keepNext/>
              <w:suppressAutoHyphens w:val="0"/>
              <w:spacing w:before="40" w:after="40" w:line="220" w:lineRule="exact"/>
              <w:rPr>
                <w:bCs/>
                <w:sz w:val="18"/>
                <w:lang w:val="fr-FR"/>
              </w:rPr>
            </w:pPr>
            <w:r w:rsidRPr="009618BC">
              <w:rPr>
                <w:bCs/>
                <w:sz w:val="18"/>
                <w:lang w:val="fr-FR"/>
              </w:rPr>
              <w:lastRenderedPageBreak/>
              <w:t>Pourcentage du total des enfants</w:t>
            </w:r>
          </w:p>
        </w:tc>
        <w:tc>
          <w:tcPr>
            <w:tcW w:w="1275" w:type="dxa"/>
            <w:shd w:val="clear" w:color="auto" w:fill="auto"/>
            <w:vAlign w:val="bottom"/>
          </w:tcPr>
          <w:p w:rsidR="00A72177" w:rsidRPr="009618BC" w:rsidRDefault="00A72177" w:rsidP="00C62BE7">
            <w:pPr>
              <w:keepNext/>
              <w:suppressAutoHyphens w:val="0"/>
              <w:spacing w:before="40" w:after="40" w:line="220" w:lineRule="exact"/>
              <w:jc w:val="right"/>
              <w:rPr>
                <w:sz w:val="18"/>
                <w:lang w:val="fr-FR"/>
              </w:rPr>
            </w:pPr>
            <w:r w:rsidRPr="009618BC">
              <w:rPr>
                <w:sz w:val="18"/>
                <w:lang w:val="fr-FR"/>
              </w:rPr>
              <w:t>100 %</w:t>
            </w:r>
          </w:p>
        </w:tc>
        <w:tc>
          <w:tcPr>
            <w:tcW w:w="851" w:type="dxa"/>
            <w:shd w:val="clear" w:color="auto" w:fill="auto"/>
            <w:vAlign w:val="bottom"/>
          </w:tcPr>
          <w:p w:rsidR="00A72177" w:rsidRPr="009618BC" w:rsidRDefault="00A72177" w:rsidP="00C62BE7">
            <w:pPr>
              <w:keepNext/>
              <w:suppressAutoHyphens w:val="0"/>
              <w:spacing w:before="40" w:after="40" w:line="220" w:lineRule="exact"/>
              <w:jc w:val="right"/>
              <w:rPr>
                <w:sz w:val="18"/>
                <w:lang w:val="fr-FR"/>
              </w:rPr>
            </w:pPr>
            <w:r w:rsidRPr="009618BC">
              <w:rPr>
                <w:sz w:val="18"/>
                <w:lang w:val="fr-FR"/>
              </w:rPr>
              <w:t>100 %</w:t>
            </w:r>
          </w:p>
        </w:tc>
        <w:tc>
          <w:tcPr>
            <w:tcW w:w="849" w:type="dxa"/>
            <w:shd w:val="clear" w:color="auto" w:fill="auto"/>
            <w:vAlign w:val="bottom"/>
          </w:tcPr>
          <w:p w:rsidR="00A72177" w:rsidRPr="009618BC" w:rsidRDefault="00A72177" w:rsidP="00C62BE7">
            <w:pPr>
              <w:keepNext/>
              <w:suppressAutoHyphens w:val="0"/>
              <w:spacing w:before="40" w:after="40" w:line="220" w:lineRule="exact"/>
              <w:jc w:val="right"/>
              <w:rPr>
                <w:sz w:val="18"/>
                <w:lang w:val="fr-FR"/>
              </w:rPr>
            </w:pPr>
            <w:r w:rsidRPr="009618BC">
              <w:rPr>
                <w:sz w:val="18"/>
                <w:lang w:val="fr-FR"/>
              </w:rPr>
              <w:t>100 %</w:t>
            </w:r>
          </w:p>
        </w:tc>
      </w:tr>
      <w:tr w:rsidR="00A72177" w:rsidRPr="009618BC" w:rsidTr="00C62BE7">
        <w:tc>
          <w:tcPr>
            <w:tcW w:w="4395" w:type="dxa"/>
            <w:shd w:val="clear" w:color="auto" w:fill="auto"/>
          </w:tcPr>
          <w:p w:rsidR="00A72177" w:rsidRPr="009618BC" w:rsidRDefault="00A72177" w:rsidP="00C62BE7">
            <w:pPr>
              <w:keepNext/>
              <w:suppressAutoHyphens w:val="0"/>
              <w:spacing w:before="40" w:after="40" w:line="220" w:lineRule="exact"/>
              <w:rPr>
                <w:bCs/>
                <w:sz w:val="18"/>
                <w:lang w:val="fr-FR"/>
              </w:rPr>
            </w:pPr>
            <w:r w:rsidRPr="009618BC">
              <w:rPr>
                <w:bCs/>
                <w:sz w:val="18"/>
                <w:lang w:val="fr-FR"/>
              </w:rPr>
              <w:t>Pourcentage d</w:t>
            </w:r>
            <w:r w:rsidR="009618BC" w:rsidRPr="009618BC">
              <w:rPr>
                <w:bCs/>
                <w:sz w:val="18"/>
                <w:lang w:val="fr-FR"/>
              </w:rPr>
              <w:t>’</w:t>
            </w:r>
            <w:r w:rsidRPr="009618BC">
              <w:rPr>
                <w:bCs/>
                <w:sz w:val="18"/>
                <w:lang w:val="fr-FR"/>
              </w:rPr>
              <w:t>enfants scolarisés dans une seule langue :</w:t>
            </w:r>
          </w:p>
        </w:tc>
        <w:tc>
          <w:tcPr>
            <w:tcW w:w="1275" w:type="dxa"/>
            <w:shd w:val="clear" w:color="auto" w:fill="auto"/>
            <w:vAlign w:val="bottom"/>
          </w:tcPr>
          <w:p w:rsidR="00A72177" w:rsidRPr="009618BC" w:rsidRDefault="00A72177" w:rsidP="00C62BE7">
            <w:pPr>
              <w:keepNext/>
              <w:suppressAutoHyphens w:val="0"/>
              <w:spacing w:before="40" w:after="40" w:line="220" w:lineRule="exact"/>
              <w:jc w:val="right"/>
              <w:rPr>
                <w:sz w:val="18"/>
                <w:lang w:val="fr-FR"/>
              </w:rPr>
            </w:pPr>
          </w:p>
        </w:tc>
        <w:tc>
          <w:tcPr>
            <w:tcW w:w="851" w:type="dxa"/>
            <w:shd w:val="clear" w:color="auto" w:fill="auto"/>
            <w:vAlign w:val="bottom"/>
          </w:tcPr>
          <w:p w:rsidR="00A72177" w:rsidRPr="009618BC" w:rsidRDefault="00A72177" w:rsidP="00C62BE7">
            <w:pPr>
              <w:keepNext/>
              <w:suppressAutoHyphens w:val="0"/>
              <w:spacing w:before="40" w:after="40" w:line="220" w:lineRule="exact"/>
              <w:jc w:val="right"/>
              <w:rPr>
                <w:sz w:val="18"/>
                <w:lang w:val="fr-FR"/>
              </w:rPr>
            </w:pPr>
          </w:p>
        </w:tc>
        <w:tc>
          <w:tcPr>
            <w:tcW w:w="849" w:type="dxa"/>
            <w:shd w:val="clear" w:color="auto" w:fill="auto"/>
            <w:vAlign w:val="bottom"/>
          </w:tcPr>
          <w:p w:rsidR="00A72177" w:rsidRPr="009618BC" w:rsidRDefault="00A72177" w:rsidP="00C62BE7">
            <w:pPr>
              <w:keepNext/>
              <w:suppressAutoHyphens w:val="0"/>
              <w:spacing w:before="40" w:after="40" w:line="220" w:lineRule="exact"/>
              <w:jc w:val="right"/>
              <w:rPr>
                <w:sz w:val="18"/>
                <w:lang w:val="fr-FR"/>
              </w:rPr>
            </w:pPr>
          </w:p>
        </w:tc>
      </w:tr>
      <w:tr w:rsidR="00A72177" w:rsidRPr="009618BC" w:rsidTr="00C62BE7">
        <w:tc>
          <w:tcPr>
            <w:tcW w:w="4395" w:type="dxa"/>
            <w:shd w:val="clear" w:color="auto" w:fill="auto"/>
          </w:tcPr>
          <w:p w:rsidR="00A72177" w:rsidRPr="009618BC" w:rsidRDefault="00A72177" w:rsidP="00C62BE7">
            <w:pPr>
              <w:keepNext/>
              <w:suppressAutoHyphens w:val="0"/>
              <w:spacing w:before="40" w:after="40" w:line="220" w:lineRule="exact"/>
              <w:ind w:left="284"/>
              <w:rPr>
                <w:sz w:val="18"/>
                <w:lang w:val="fr-FR"/>
              </w:rPr>
            </w:pPr>
            <w:r w:rsidRPr="009618BC">
              <w:rPr>
                <w:bCs/>
                <w:sz w:val="18"/>
                <w:lang w:val="fr-FR"/>
              </w:rPr>
              <w:t>roumain</w:t>
            </w:r>
          </w:p>
        </w:tc>
        <w:tc>
          <w:tcPr>
            <w:tcW w:w="127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81,9</w:t>
            </w:r>
          </w:p>
        </w:tc>
        <w:tc>
          <w:tcPr>
            <w:tcW w:w="851"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82,2</w:t>
            </w:r>
          </w:p>
        </w:tc>
        <w:tc>
          <w:tcPr>
            <w:tcW w:w="849"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82,4</w:t>
            </w:r>
          </w:p>
        </w:tc>
      </w:tr>
      <w:tr w:rsidR="00A72177" w:rsidRPr="009618BC" w:rsidTr="00C62BE7">
        <w:tc>
          <w:tcPr>
            <w:tcW w:w="4395" w:type="dxa"/>
            <w:tcBorders>
              <w:bottom w:val="single" w:sz="12" w:space="0" w:color="auto"/>
            </w:tcBorders>
            <w:shd w:val="clear" w:color="auto" w:fill="auto"/>
          </w:tcPr>
          <w:p w:rsidR="00A72177" w:rsidRPr="009618BC" w:rsidRDefault="00A72177" w:rsidP="00C62BE7">
            <w:pPr>
              <w:keepNext/>
              <w:suppressAutoHyphens w:val="0"/>
              <w:spacing w:before="40" w:after="40" w:line="220" w:lineRule="exact"/>
              <w:ind w:left="284"/>
              <w:rPr>
                <w:sz w:val="18"/>
                <w:lang w:val="fr-FR"/>
              </w:rPr>
            </w:pPr>
            <w:r w:rsidRPr="009618BC">
              <w:rPr>
                <w:bCs/>
                <w:sz w:val="18"/>
                <w:lang w:val="fr-FR"/>
              </w:rPr>
              <w:t>russe</w:t>
            </w:r>
          </w:p>
        </w:tc>
        <w:tc>
          <w:tcPr>
            <w:tcW w:w="1275"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18,0</w:t>
            </w:r>
          </w:p>
        </w:tc>
        <w:tc>
          <w:tcPr>
            <w:tcW w:w="851"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17,7</w:t>
            </w:r>
          </w:p>
        </w:tc>
        <w:tc>
          <w:tcPr>
            <w:tcW w:w="849"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17,6</w:t>
            </w:r>
          </w:p>
        </w:tc>
      </w:tr>
    </w:tbl>
    <w:p w:rsidR="00A72177" w:rsidRPr="009618BC" w:rsidRDefault="00A72177" w:rsidP="009618BC">
      <w:pPr>
        <w:pStyle w:val="H23G"/>
        <w:rPr>
          <w:lang w:val="fr-FR"/>
        </w:rPr>
      </w:pPr>
      <w:r w:rsidRPr="009618BC">
        <w:rPr>
          <w:lang w:val="fr-FR"/>
        </w:rPr>
        <w:tab/>
      </w:r>
      <w:r w:rsidRPr="009618BC">
        <w:rPr>
          <w:lang w:val="fr-FR"/>
        </w:rPr>
        <w:tab/>
        <w:t>Accès à l</w:t>
      </w:r>
      <w:r w:rsidR="009618BC" w:rsidRPr="009618BC">
        <w:rPr>
          <w:lang w:val="fr-FR"/>
        </w:rPr>
        <w:t>’</w:t>
      </w:r>
      <w:r w:rsidRPr="009618BC">
        <w:rPr>
          <w:lang w:val="fr-FR"/>
        </w:rPr>
        <w:t>enseignement primaire et secondaire général</w:t>
      </w:r>
    </w:p>
    <w:p w:rsidR="00A72177" w:rsidRPr="009618BC" w:rsidRDefault="00A72177" w:rsidP="009618BC">
      <w:pPr>
        <w:pStyle w:val="SingleTxtG"/>
        <w:rPr>
          <w:lang w:val="fr-FR"/>
        </w:rPr>
      </w:pPr>
      <w:r w:rsidRPr="009618BC">
        <w:rPr>
          <w:lang w:val="fr-FR"/>
        </w:rPr>
        <w:t>33.</w:t>
      </w:r>
      <w:r w:rsidRPr="009618BC">
        <w:rPr>
          <w:lang w:val="fr-FR"/>
        </w:rPr>
        <w:tab/>
        <w:t>Le réseau des établissements d</w:t>
      </w:r>
      <w:r w:rsidR="009618BC" w:rsidRPr="009618BC">
        <w:rPr>
          <w:lang w:val="fr-FR"/>
        </w:rPr>
        <w:t>’</w:t>
      </w:r>
      <w:r w:rsidRPr="009618BC">
        <w:rPr>
          <w:lang w:val="fr-FR"/>
        </w:rPr>
        <w:t>enseignement primaire et secondaire général comprenait, pour l</w:t>
      </w:r>
      <w:r w:rsidR="009618BC" w:rsidRPr="009618BC">
        <w:rPr>
          <w:lang w:val="fr-FR"/>
        </w:rPr>
        <w:t>’</w:t>
      </w:r>
      <w:r w:rsidR="00D24E36">
        <w:rPr>
          <w:lang w:val="fr-FR"/>
        </w:rPr>
        <w:t>année scolaire 2016/</w:t>
      </w:r>
      <w:r w:rsidRPr="009618BC">
        <w:rPr>
          <w:lang w:val="fr-FR"/>
        </w:rPr>
        <w:t>17, 1</w:t>
      </w:r>
      <w:r w:rsidR="004D7E1C">
        <w:rPr>
          <w:lang w:val="fr-FR"/>
        </w:rPr>
        <w:t> </w:t>
      </w:r>
      <w:r w:rsidRPr="009618BC">
        <w:rPr>
          <w:lang w:val="fr-FR"/>
        </w:rPr>
        <w:t>291 (333</w:t>
      </w:r>
      <w:r w:rsidR="000938C7">
        <w:rPr>
          <w:lang w:val="fr-FR"/>
        </w:rPr>
        <w:t> </w:t>
      </w:r>
      <w:r w:rsidRPr="009618BC">
        <w:rPr>
          <w:lang w:val="fr-FR"/>
        </w:rPr>
        <w:t>729</w:t>
      </w:r>
      <w:r w:rsidR="000938C7">
        <w:rPr>
          <w:lang w:val="fr-FR"/>
        </w:rPr>
        <w:t> </w:t>
      </w:r>
      <w:r w:rsidRPr="009618BC">
        <w:rPr>
          <w:lang w:val="fr-FR"/>
        </w:rPr>
        <w:t>élèves) établissements (écoles primaires, collèges et lycées), dont :</w:t>
      </w:r>
    </w:p>
    <w:p w:rsidR="00A72177" w:rsidRPr="009618BC" w:rsidRDefault="00A72177" w:rsidP="009618BC">
      <w:pPr>
        <w:pStyle w:val="Bullet1G"/>
        <w:rPr>
          <w:lang w:val="fr-FR"/>
        </w:rPr>
      </w:pPr>
      <w:r w:rsidRPr="009618BC">
        <w:rPr>
          <w:lang w:val="fr-FR"/>
        </w:rPr>
        <w:t>1</w:t>
      </w:r>
      <w:r w:rsidR="00C62BE7">
        <w:rPr>
          <w:lang w:val="fr-FR"/>
        </w:rPr>
        <w:t> </w:t>
      </w:r>
      <w:r w:rsidRPr="009618BC">
        <w:rPr>
          <w:lang w:val="fr-FR"/>
        </w:rPr>
        <w:t>004 (257</w:t>
      </w:r>
      <w:r w:rsidR="00C62BE7">
        <w:rPr>
          <w:lang w:val="fr-FR"/>
        </w:rPr>
        <w:t> 335 </w:t>
      </w:r>
      <w:r w:rsidRPr="009618BC">
        <w:rPr>
          <w:lang w:val="fr-FR"/>
        </w:rPr>
        <w:t>élèves) établissements d</w:t>
      </w:r>
      <w:r w:rsidR="009618BC" w:rsidRPr="009618BC">
        <w:rPr>
          <w:lang w:val="fr-FR"/>
        </w:rPr>
        <w:t>’</w:t>
      </w:r>
      <w:r w:rsidRPr="009618BC">
        <w:rPr>
          <w:lang w:val="fr-FR"/>
        </w:rPr>
        <w:t>enseignement en roumain et 227 (58</w:t>
      </w:r>
      <w:r w:rsidR="00C62BE7">
        <w:rPr>
          <w:lang w:val="fr-FR"/>
        </w:rPr>
        <w:t> 930 </w:t>
      </w:r>
      <w:r w:rsidRPr="009618BC">
        <w:rPr>
          <w:lang w:val="fr-FR"/>
        </w:rPr>
        <w:t>élèves) établissements d</w:t>
      </w:r>
      <w:r w:rsidR="009618BC" w:rsidRPr="009618BC">
        <w:rPr>
          <w:lang w:val="fr-FR"/>
        </w:rPr>
        <w:t>’</w:t>
      </w:r>
      <w:r w:rsidRPr="009618BC">
        <w:rPr>
          <w:lang w:val="fr-FR"/>
        </w:rPr>
        <w:t>enseignement en russe ;</w:t>
      </w:r>
    </w:p>
    <w:p w:rsidR="00A72177" w:rsidRPr="009618BC" w:rsidRDefault="00A72177" w:rsidP="009618BC">
      <w:pPr>
        <w:pStyle w:val="Bullet1G"/>
        <w:rPr>
          <w:lang w:val="fr-FR"/>
        </w:rPr>
      </w:pPr>
      <w:r w:rsidRPr="009618BC">
        <w:rPr>
          <w:lang w:val="fr-FR"/>
        </w:rPr>
        <w:t>2 (411 élèves) établissements d</w:t>
      </w:r>
      <w:r w:rsidR="009618BC" w:rsidRPr="009618BC">
        <w:rPr>
          <w:lang w:val="fr-FR"/>
        </w:rPr>
        <w:t>’</w:t>
      </w:r>
      <w:r w:rsidRPr="009618BC">
        <w:rPr>
          <w:lang w:val="fr-FR"/>
        </w:rPr>
        <w:t>enseignement en ukrainien ;</w:t>
      </w:r>
    </w:p>
    <w:p w:rsidR="00A72177" w:rsidRPr="009618BC" w:rsidRDefault="00A72177" w:rsidP="009618BC">
      <w:pPr>
        <w:pStyle w:val="Bullet1G"/>
        <w:rPr>
          <w:lang w:val="fr-FR"/>
        </w:rPr>
      </w:pPr>
      <w:r w:rsidRPr="009618BC">
        <w:rPr>
          <w:lang w:val="fr-FR"/>
        </w:rPr>
        <w:t>58 (17</w:t>
      </w:r>
      <w:r w:rsidR="00C62BE7">
        <w:rPr>
          <w:lang w:val="fr-FR"/>
        </w:rPr>
        <w:t> 053 </w:t>
      </w:r>
      <w:r w:rsidRPr="009618BC">
        <w:rPr>
          <w:lang w:val="fr-FR"/>
        </w:rPr>
        <w:t xml:space="preserve">élèves) écoles mixtes, dont 57 offrent un enseignement en </w:t>
      </w:r>
      <w:r w:rsidR="00C62BE7">
        <w:rPr>
          <w:lang w:val="fr-FR"/>
        </w:rPr>
        <w:t>roumain et en russe et une (326 </w:t>
      </w:r>
      <w:r w:rsidRPr="009618BC">
        <w:rPr>
          <w:lang w:val="fr-FR"/>
        </w:rPr>
        <w:t>élèves) offre un enseignement en bulgare et en russe.</w:t>
      </w:r>
    </w:p>
    <w:p w:rsidR="00A72177" w:rsidRPr="009618BC" w:rsidRDefault="00A72177" w:rsidP="009618BC">
      <w:pPr>
        <w:pStyle w:val="Titre1"/>
        <w:spacing w:after="120"/>
        <w:rPr>
          <w:b/>
          <w:lang w:val="fr-FR"/>
        </w:rPr>
      </w:pPr>
      <w:r w:rsidRPr="009618BC">
        <w:rPr>
          <w:bCs/>
          <w:lang w:val="fr-FR"/>
        </w:rPr>
        <w:t>Tableau 2</w:t>
      </w:r>
      <w:r w:rsidRPr="009618BC">
        <w:rPr>
          <w:lang w:val="fr-FR"/>
        </w:rPr>
        <w:br/>
      </w:r>
      <w:r w:rsidRPr="009618BC">
        <w:rPr>
          <w:b/>
          <w:lang w:val="fr-FR"/>
        </w:rPr>
        <w:t>Nombre d</w:t>
      </w:r>
      <w:r w:rsidR="009618BC" w:rsidRPr="009618BC">
        <w:rPr>
          <w:b/>
          <w:lang w:val="fr-FR"/>
        </w:rPr>
        <w:t>’</w:t>
      </w:r>
      <w:r w:rsidRPr="009618BC">
        <w:rPr>
          <w:b/>
          <w:lang w:val="fr-FR"/>
        </w:rPr>
        <w:t>écoles dans lesquelles sont enseignées les langues des minorités nationales</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A72177" w:rsidRPr="009618BC" w:rsidTr="009618BC">
        <w:trPr>
          <w:tblHeader/>
        </w:trPr>
        <w:tc>
          <w:tcPr>
            <w:tcW w:w="368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72177" w:rsidRPr="009618BC" w:rsidRDefault="00A72177" w:rsidP="009618BC">
            <w:pPr>
              <w:suppressAutoHyphens w:val="0"/>
              <w:spacing w:before="80" w:after="80" w:line="200" w:lineRule="exact"/>
              <w:rPr>
                <w:i/>
                <w:sz w:val="16"/>
                <w:lang w:val="fr-FR"/>
              </w:rPr>
            </w:pPr>
            <w:r w:rsidRPr="009618BC">
              <w:rPr>
                <w:i/>
                <w:sz w:val="16"/>
                <w:lang w:val="fr-FR"/>
              </w:rPr>
              <w:t>Langue enseignée</w:t>
            </w:r>
          </w:p>
        </w:tc>
        <w:tc>
          <w:tcPr>
            <w:tcW w:w="368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72177" w:rsidRPr="009618BC" w:rsidRDefault="00C62BE7" w:rsidP="009618BC">
            <w:pPr>
              <w:suppressAutoHyphens w:val="0"/>
              <w:spacing w:before="80" w:after="80" w:line="200" w:lineRule="exact"/>
              <w:jc w:val="right"/>
              <w:rPr>
                <w:i/>
                <w:sz w:val="16"/>
                <w:lang w:val="fr-FR"/>
              </w:rPr>
            </w:pPr>
            <w:r>
              <w:rPr>
                <w:i/>
                <w:sz w:val="16"/>
                <w:lang w:val="fr-FR"/>
              </w:rPr>
              <w:t>Année scolaire 2017/</w:t>
            </w:r>
            <w:r w:rsidR="00A72177" w:rsidRPr="009618BC">
              <w:rPr>
                <w:i/>
                <w:sz w:val="16"/>
                <w:lang w:val="fr-FR"/>
              </w:rPr>
              <w:t>18</w:t>
            </w:r>
          </w:p>
        </w:tc>
      </w:tr>
      <w:tr w:rsidR="00A72177" w:rsidRPr="009618BC" w:rsidTr="009618BC">
        <w:tc>
          <w:tcPr>
            <w:tcW w:w="3685" w:type="dxa"/>
            <w:tcBorders>
              <w:top w:val="single" w:sz="12" w:space="0" w:color="auto"/>
            </w:tcBorders>
            <w:shd w:val="clear" w:color="auto" w:fill="auto"/>
            <w:tcMar>
              <w:top w:w="0" w:type="dxa"/>
              <w:left w:w="0" w:type="dxa"/>
              <w:bottom w:w="0" w:type="dxa"/>
              <w:right w:w="0" w:type="dxa"/>
            </w:tcMar>
            <w:hideMark/>
          </w:tcPr>
          <w:p w:rsidR="00A72177" w:rsidRPr="009618BC" w:rsidRDefault="00A72177" w:rsidP="009618BC">
            <w:pPr>
              <w:suppressAutoHyphens w:val="0"/>
              <w:spacing w:before="40" w:after="40" w:line="220" w:lineRule="exact"/>
              <w:rPr>
                <w:sz w:val="18"/>
                <w:lang w:val="fr-FR"/>
              </w:rPr>
            </w:pPr>
            <w:r w:rsidRPr="009618BC">
              <w:rPr>
                <w:sz w:val="18"/>
                <w:lang w:val="fr-FR"/>
              </w:rPr>
              <w:t>ukrainien</w:t>
            </w:r>
          </w:p>
        </w:tc>
        <w:tc>
          <w:tcPr>
            <w:tcW w:w="3685" w:type="dxa"/>
            <w:tcBorders>
              <w:top w:val="single" w:sz="12" w:space="0" w:color="auto"/>
            </w:tcBorders>
            <w:shd w:val="clear" w:color="auto" w:fill="auto"/>
            <w:tcMar>
              <w:top w:w="0" w:type="dxa"/>
              <w:left w:w="0" w:type="dxa"/>
              <w:bottom w:w="0" w:type="dxa"/>
              <w:right w:w="0" w:type="dxa"/>
            </w:tcMar>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41 écoles</w:t>
            </w:r>
          </w:p>
        </w:tc>
      </w:tr>
      <w:tr w:rsidR="00A72177" w:rsidRPr="009618BC" w:rsidTr="009618BC">
        <w:tc>
          <w:tcPr>
            <w:tcW w:w="3685" w:type="dxa"/>
            <w:shd w:val="clear" w:color="auto" w:fill="auto"/>
            <w:tcMar>
              <w:top w:w="0" w:type="dxa"/>
              <w:left w:w="0" w:type="dxa"/>
              <w:bottom w:w="0" w:type="dxa"/>
              <w:right w:w="0" w:type="dxa"/>
            </w:tcMar>
            <w:hideMark/>
          </w:tcPr>
          <w:p w:rsidR="00A72177" w:rsidRPr="009618BC" w:rsidRDefault="00A72177" w:rsidP="009618BC">
            <w:pPr>
              <w:suppressAutoHyphens w:val="0"/>
              <w:spacing w:before="40" w:after="40" w:line="220" w:lineRule="exact"/>
              <w:rPr>
                <w:sz w:val="18"/>
                <w:lang w:val="fr-FR"/>
              </w:rPr>
            </w:pPr>
            <w:r w:rsidRPr="009618BC">
              <w:rPr>
                <w:sz w:val="18"/>
                <w:lang w:val="fr-FR"/>
              </w:rPr>
              <w:t>gagaouze</w:t>
            </w:r>
          </w:p>
        </w:tc>
        <w:tc>
          <w:tcPr>
            <w:tcW w:w="3685" w:type="dxa"/>
            <w:shd w:val="clear" w:color="auto" w:fill="auto"/>
            <w:tcMar>
              <w:top w:w="0" w:type="dxa"/>
              <w:left w:w="0" w:type="dxa"/>
              <w:bottom w:w="0" w:type="dxa"/>
              <w:right w:w="0" w:type="dxa"/>
            </w:tcMar>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42 écoles</w:t>
            </w:r>
          </w:p>
        </w:tc>
      </w:tr>
      <w:tr w:rsidR="00A72177" w:rsidRPr="009618BC" w:rsidTr="009618BC">
        <w:tc>
          <w:tcPr>
            <w:tcW w:w="3685" w:type="dxa"/>
            <w:shd w:val="clear" w:color="auto" w:fill="auto"/>
            <w:tcMar>
              <w:top w:w="0" w:type="dxa"/>
              <w:left w:w="0" w:type="dxa"/>
              <w:bottom w:w="0" w:type="dxa"/>
              <w:right w:w="0" w:type="dxa"/>
            </w:tcMar>
            <w:hideMark/>
          </w:tcPr>
          <w:p w:rsidR="00A72177" w:rsidRPr="009618BC" w:rsidRDefault="00A72177" w:rsidP="009618BC">
            <w:pPr>
              <w:suppressAutoHyphens w:val="0"/>
              <w:spacing w:before="40" w:after="40" w:line="220" w:lineRule="exact"/>
              <w:rPr>
                <w:sz w:val="18"/>
                <w:lang w:val="fr-FR"/>
              </w:rPr>
            </w:pPr>
            <w:r w:rsidRPr="009618BC">
              <w:rPr>
                <w:sz w:val="18"/>
                <w:lang w:val="fr-FR"/>
              </w:rPr>
              <w:t>bulgare</w:t>
            </w:r>
          </w:p>
        </w:tc>
        <w:tc>
          <w:tcPr>
            <w:tcW w:w="3685" w:type="dxa"/>
            <w:shd w:val="clear" w:color="auto" w:fill="auto"/>
            <w:tcMar>
              <w:top w:w="0" w:type="dxa"/>
              <w:left w:w="0" w:type="dxa"/>
              <w:bottom w:w="0" w:type="dxa"/>
              <w:right w:w="0" w:type="dxa"/>
            </w:tcMar>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28 écoles</w:t>
            </w:r>
          </w:p>
        </w:tc>
      </w:tr>
      <w:tr w:rsidR="00A72177" w:rsidRPr="009618BC" w:rsidTr="009618BC">
        <w:tc>
          <w:tcPr>
            <w:tcW w:w="3685" w:type="dxa"/>
            <w:shd w:val="clear" w:color="auto" w:fill="auto"/>
            <w:tcMar>
              <w:top w:w="0" w:type="dxa"/>
              <w:left w:w="0" w:type="dxa"/>
              <w:bottom w:w="0" w:type="dxa"/>
              <w:right w:w="0" w:type="dxa"/>
            </w:tcMar>
            <w:hideMark/>
          </w:tcPr>
          <w:p w:rsidR="00A72177" w:rsidRPr="009618BC" w:rsidRDefault="00A72177" w:rsidP="009618BC">
            <w:pPr>
              <w:suppressAutoHyphens w:val="0"/>
              <w:spacing w:before="40" w:after="40" w:line="220" w:lineRule="exact"/>
              <w:rPr>
                <w:sz w:val="18"/>
                <w:lang w:val="fr-FR"/>
              </w:rPr>
            </w:pPr>
            <w:r w:rsidRPr="009618BC">
              <w:rPr>
                <w:sz w:val="18"/>
                <w:lang w:val="fr-FR"/>
              </w:rPr>
              <w:t>polonais</w:t>
            </w:r>
          </w:p>
        </w:tc>
        <w:tc>
          <w:tcPr>
            <w:tcW w:w="3685" w:type="dxa"/>
            <w:shd w:val="clear" w:color="auto" w:fill="auto"/>
            <w:tcMar>
              <w:top w:w="0" w:type="dxa"/>
              <w:left w:w="0" w:type="dxa"/>
              <w:bottom w:w="0" w:type="dxa"/>
              <w:right w:w="0" w:type="dxa"/>
            </w:tcMar>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3 écoles</w:t>
            </w:r>
          </w:p>
        </w:tc>
      </w:tr>
      <w:tr w:rsidR="00A72177" w:rsidRPr="009618BC" w:rsidTr="009618BC">
        <w:tc>
          <w:tcPr>
            <w:tcW w:w="3685" w:type="dxa"/>
            <w:shd w:val="clear" w:color="auto" w:fill="auto"/>
            <w:tcMar>
              <w:top w:w="0" w:type="dxa"/>
              <w:left w:w="0" w:type="dxa"/>
              <w:bottom w:w="0" w:type="dxa"/>
              <w:right w:w="0" w:type="dxa"/>
            </w:tcMar>
            <w:hideMark/>
          </w:tcPr>
          <w:p w:rsidR="00A72177" w:rsidRPr="009618BC" w:rsidRDefault="00A72177" w:rsidP="009618BC">
            <w:pPr>
              <w:suppressAutoHyphens w:val="0"/>
              <w:spacing w:before="40" w:after="40" w:line="220" w:lineRule="exact"/>
              <w:rPr>
                <w:sz w:val="18"/>
                <w:lang w:val="fr-FR"/>
              </w:rPr>
            </w:pPr>
            <w:r w:rsidRPr="009618BC">
              <w:rPr>
                <w:sz w:val="18"/>
                <w:lang w:val="fr-FR"/>
              </w:rPr>
              <w:t>hébreu</w:t>
            </w:r>
          </w:p>
        </w:tc>
        <w:tc>
          <w:tcPr>
            <w:tcW w:w="3685" w:type="dxa"/>
            <w:shd w:val="clear" w:color="auto" w:fill="auto"/>
            <w:tcMar>
              <w:top w:w="0" w:type="dxa"/>
              <w:left w:w="0" w:type="dxa"/>
              <w:bottom w:w="0" w:type="dxa"/>
              <w:right w:w="0" w:type="dxa"/>
            </w:tcMar>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2 écoles</w:t>
            </w:r>
          </w:p>
        </w:tc>
      </w:tr>
      <w:tr w:rsidR="00A72177" w:rsidRPr="009618BC" w:rsidTr="009618BC">
        <w:tc>
          <w:tcPr>
            <w:tcW w:w="3685" w:type="dxa"/>
            <w:tcBorders>
              <w:bottom w:val="single" w:sz="12" w:space="0" w:color="auto"/>
            </w:tcBorders>
            <w:shd w:val="clear" w:color="auto" w:fill="auto"/>
            <w:tcMar>
              <w:top w:w="0" w:type="dxa"/>
              <w:left w:w="0" w:type="dxa"/>
              <w:bottom w:w="0" w:type="dxa"/>
              <w:right w:w="0" w:type="dxa"/>
            </w:tcMar>
            <w:hideMark/>
          </w:tcPr>
          <w:p w:rsidR="00A72177" w:rsidRPr="009618BC" w:rsidRDefault="00A72177" w:rsidP="009618BC">
            <w:pPr>
              <w:suppressAutoHyphens w:val="0"/>
              <w:spacing w:before="40" w:after="40" w:line="220" w:lineRule="exact"/>
              <w:rPr>
                <w:sz w:val="18"/>
                <w:lang w:val="fr-FR"/>
              </w:rPr>
            </w:pPr>
            <w:r w:rsidRPr="009618BC">
              <w:rPr>
                <w:sz w:val="18"/>
                <w:lang w:val="fr-FR"/>
              </w:rPr>
              <w:t>allemand</w:t>
            </w:r>
          </w:p>
        </w:tc>
        <w:tc>
          <w:tcPr>
            <w:tcW w:w="3685" w:type="dxa"/>
            <w:tcBorders>
              <w:bottom w:val="single" w:sz="12" w:space="0" w:color="auto"/>
            </w:tcBorders>
            <w:shd w:val="clear" w:color="auto" w:fill="auto"/>
            <w:tcMar>
              <w:top w:w="0" w:type="dxa"/>
              <w:left w:w="0" w:type="dxa"/>
              <w:bottom w:w="0" w:type="dxa"/>
              <w:right w:w="0" w:type="dxa"/>
            </w:tcMar>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3 écoles</w:t>
            </w:r>
          </w:p>
        </w:tc>
      </w:tr>
    </w:tbl>
    <w:p w:rsidR="00A72177" w:rsidRPr="009618BC" w:rsidRDefault="00A72177" w:rsidP="009618BC">
      <w:pPr>
        <w:pStyle w:val="Titre1"/>
        <w:spacing w:before="240" w:after="120"/>
        <w:rPr>
          <w:b/>
          <w:lang w:val="fr-FR"/>
        </w:rPr>
      </w:pPr>
      <w:r w:rsidRPr="009618BC">
        <w:rPr>
          <w:bCs/>
          <w:lang w:val="fr-FR"/>
        </w:rPr>
        <w:t>Tableau 3</w:t>
      </w:r>
      <w:r w:rsidRPr="009618BC">
        <w:rPr>
          <w:lang w:val="fr-FR"/>
        </w:rPr>
        <w:br/>
      </w:r>
      <w:r w:rsidRPr="009618BC">
        <w:rPr>
          <w:b/>
          <w:lang w:val="fr-FR"/>
        </w:rPr>
        <w:t>Langue étudiée en tant que matière distincte ou facultative pendant l</w:t>
      </w:r>
      <w:r w:rsidR="009618BC" w:rsidRPr="009618BC">
        <w:rPr>
          <w:b/>
          <w:lang w:val="fr-FR"/>
        </w:rPr>
        <w:t>’</w:t>
      </w:r>
      <w:r w:rsidR="00C62BE7">
        <w:rPr>
          <w:b/>
          <w:lang w:val="fr-FR"/>
        </w:rPr>
        <w:t>année scolaire 2016/</w:t>
      </w:r>
      <w:r w:rsidRPr="009618BC">
        <w:rPr>
          <w:b/>
          <w:lang w:val="fr-FR"/>
        </w:rPr>
        <w:t xml:space="preserve">17, </w:t>
      </w:r>
      <w:r w:rsidR="000A3538">
        <w:rPr>
          <w:b/>
          <w:lang w:val="fr-FR"/>
        </w:rPr>
        <w:br/>
      </w:r>
      <w:r w:rsidRPr="009618BC">
        <w:rPr>
          <w:b/>
          <w:lang w:val="fr-FR"/>
        </w:rPr>
        <w:t>dans les établissements dispensant un enseignement dans les langues des minorités nationales</w:t>
      </w:r>
    </w:p>
    <w:tbl>
      <w:tblPr>
        <w:tblW w:w="8504" w:type="dxa"/>
        <w:tblInd w:w="1134" w:type="dxa"/>
        <w:tblLayout w:type="fixed"/>
        <w:tblCellMar>
          <w:left w:w="0" w:type="dxa"/>
          <w:right w:w="0" w:type="dxa"/>
        </w:tblCellMar>
        <w:tblLook w:val="04A0" w:firstRow="1" w:lastRow="0" w:firstColumn="1" w:lastColumn="0" w:noHBand="0" w:noVBand="1"/>
      </w:tblPr>
      <w:tblGrid>
        <w:gridCol w:w="2977"/>
        <w:gridCol w:w="2387"/>
        <w:gridCol w:w="785"/>
        <w:gridCol w:w="785"/>
        <w:gridCol w:w="785"/>
        <w:gridCol w:w="785"/>
      </w:tblGrid>
      <w:tr w:rsidR="00A72177" w:rsidRPr="009618BC" w:rsidTr="00C62BE7">
        <w:trPr>
          <w:tblHeader/>
        </w:trPr>
        <w:tc>
          <w:tcPr>
            <w:tcW w:w="2977" w:type="dxa"/>
            <w:vMerge w:val="restart"/>
            <w:tcBorders>
              <w:top w:val="single" w:sz="4" w:space="0" w:color="auto"/>
              <w:bottom w:val="single" w:sz="12" w:space="0" w:color="auto"/>
            </w:tcBorders>
            <w:shd w:val="clear" w:color="auto" w:fill="auto"/>
            <w:vAlign w:val="bottom"/>
            <w:hideMark/>
          </w:tcPr>
          <w:p w:rsidR="00A72177" w:rsidRPr="009618BC" w:rsidRDefault="00A72177" w:rsidP="009618BC">
            <w:pPr>
              <w:suppressAutoHyphens w:val="0"/>
              <w:spacing w:before="80" w:after="80" w:line="200" w:lineRule="exact"/>
              <w:rPr>
                <w:i/>
                <w:sz w:val="16"/>
                <w:lang w:val="fr-FR"/>
              </w:rPr>
            </w:pPr>
            <w:r w:rsidRPr="009618BC">
              <w:rPr>
                <w:i/>
                <w:sz w:val="16"/>
                <w:lang w:val="fr-FR"/>
              </w:rPr>
              <w:t> Langue étudiée en tant que</w:t>
            </w:r>
            <w:r w:rsidR="00500AA7">
              <w:rPr>
                <w:i/>
                <w:sz w:val="16"/>
                <w:lang w:val="fr-FR"/>
              </w:rPr>
              <w:t xml:space="preserve"> </w:t>
            </w:r>
            <w:r w:rsidR="00500AA7">
              <w:rPr>
                <w:i/>
                <w:sz w:val="16"/>
                <w:lang w:val="fr-FR"/>
              </w:rPr>
              <w:br/>
            </w:r>
            <w:r w:rsidRPr="009618BC">
              <w:rPr>
                <w:i/>
                <w:sz w:val="16"/>
                <w:lang w:val="fr-FR"/>
              </w:rPr>
              <w:t>matière distincte ou facultative</w:t>
            </w:r>
          </w:p>
        </w:tc>
        <w:tc>
          <w:tcPr>
            <w:tcW w:w="2387" w:type="dxa"/>
            <w:vMerge w:val="restart"/>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jc w:val="right"/>
              <w:rPr>
                <w:i/>
                <w:sz w:val="16"/>
                <w:lang w:val="fr-FR"/>
              </w:rPr>
            </w:pPr>
            <w:r w:rsidRPr="009618BC">
              <w:rPr>
                <w:i/>
                <w:sz w:val="16"/>
                <w:lang w:val="fr-FR"/>
              </w:rPr>
              <w:t>Nombre d</w:t>
            </w:r>
            <w:r w:rsidR="009618BC" w:rsidRPr="009618BC">
              <w:rPr>
                <w:i/>
                <w:sz w:val="16"/>
                <w:lang w:val="fr-FR"/>
              </w:rPr>
              <w:t>’</w:t>
            </w:r>
            <w:r w:rsidRPr="009618BC">
              <w:rPr>
                <w:i/>
                <w:sz w:val="16"/>
                <w:lang w:val="fr-FR"/>
              </w:rPr>
              <w:t xml:space="preserve">élèves dans </w:t>
            </w:r>
            <w:r w:rsidR="00C62BE7">
              <w:rPr>
                <w:i/>
                <w:sz w:val="16"/>
                <w:lang w:val="fr-FR"/>
              </w:rPr>
              <w:br/>
            </w:r>
            <w:r w:rsidRPr="009618BC">
              <w:rPr>
                <w:i/>
                <w:sz w:val="16"/>
                <w:lang w:val="fr-FR"/>
              </w:rPr>
              <w:t xml:space="preserve">les établissements dispensant </w:t>
            </w:r>
            <w:r w:rsidR="00C62BE7">
              <w:rPr>
                <w:i/>
                <w:sz w:val="16"/>
                <w:lang w:val="fr-FR"/>
              </w:rPr>
              <w:br/>
            </w:r>
            <w:r w:rsidRPr="009618BC">
              <w:rPr>
                <w:i/>
                <w:sz w:val="16"/>
                <w:lang w:val="fr-FR"/>
              </w:rPr>
              <w:t>un enseignement dans les langues des minorités nationales</w:t>
            </w:r>
          </w:p>
        </w:tc>
        <w:tc>
          <w:tcPr>
            <w:tcW w:w="785" w:type="dxa"/>
            <w:vMerge w:val="restart"/>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jc w:val="right"/>
              <w:rPr>
                <w:i/>
                <w:sz w:val="16"/>
                <w:lang w:val="fr-FR"/>
              </w:rPr>
            </w:pPr>
            <w:r w:rsidRPr="009618BC">
              <w:rPr>
                <w:i/>
                <w:sz w:val="16"/>
                <w:lang w:val="fr-FR"/>
              </w:rPr>
              <w:t>%</w:t>
            </w:r>
          </w:p>
        </w:tc>
        <w:tc>
          <w:tcPr>
            <w:tcW w:w="2355" w:type="dxa"/>
            <w:gridSpan w:val="3"/>
            <w:tcBorders>
              <w:top w:val="single" w:sz="4" w:space="0" w:color="auto"/>
              <w:bottom w:val="single" w:sz="4" w:space="0" w:color="auto"/>
            </w:tcBorders>
            <w:shd w:val="clear" w:color="auto" w:fill="auto"/>
            <w:vAlign w:val="bottom"/>
            <w:hideMark/>
          </w:tcPr>
          <w:p w:rsidR="00A72177" w:rsidRPr="009618BC" w:rsidRDefault="009618BC" w:rsidP="009618BC">
            <w:pPr>
              <w:suppressAutoHyphens w:val="0"/>
              <w:spacing w:before="80" w:after="80" w:line="200" w:lineRule="exact"/>
              <w:jc w:val="center"/>
              <w:rPr>
                <w:i/>
                <w:sz w:val="16"/>
                <w:lang w:val="fr-FR"/>
              </w:rPr>
            </w:pPr>
            <w:r>
              <w:rPr>
                <w:i/>
                <w:sz w:val="16"/>
                <w:lang w:val="fr-FR"/>
              </w:rPr>
              <w:t>N</w:t>
            </w:r>
            <w:r w:rsidR="00A72177" w:rsidRPr="009618BC">
              <w:rPr>
                <w:i/>
                <w:sz w:val="16"/>
                <w:lang w:val="fr-FR"/>
              </w:rPr>
              <w:t>ombre par classe</w:t>
            </w:r>
          </w:p>
        </w:tc>
      </w:tr>
      <w:tr w:rsidR="00A72177" w:rsidRPr="009618BC" w:rsidTr="00C62BE7">
        <w:trPr>
          <w:tblHeader/>
        </w:trPr>
        <w:tc>
          <w:tcPr>
            <w:tcW w:w="2977" w:type="dxa"/>
            <w:vMerge/>
            <w:tcBorders>
              <w:top w:val="single" w:sz="12" w:space="0" w:color="auto"/>
              <w:bottom w:val="single" w:sz="12" w:space="0" w:color="auto"/>
            </w:tcBorders>
            <w:shd w:val="clear" w:color="auto" w:fill="auto"/>
            <w:vAlign w:val="bottom"/>
            <w:hideMark/>
          </w:tcPr>
          <w:p w:rsidR="00A72177" w:rsidRPr="009618BC" w:rsidRDefault="00A72177" w:rsidP="009618BC">
            <w:pPr>
              <w:suppressAutoHyphens w:val="0"/>
              <w:spacing w:before="40" w:after="40" w:line="220" w:lineRule="exact"/>
              <w:rPr>
                <w:sz w:val="18"/>
                <w:lang w:val="fr-FR"/>
              </w:rPr>
            </w:pPr>
          </w:p>
        </w:tc>
        <w:tc>
          <w:tcPr>
            <w:tcW w:w="2387" w:type="dxa"/>
            <w:vMerge/>
            <w:tcBorders>
              <w:top w:val="single" w:sz="12" w:space="0" w:color="auto"/>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785" w:type="dxa"/>
            <w:vMerge/>
            <w:tcBorders>
              <w:top w:val="single" w:sz="12" w:space="0" w:color="auto"/>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785" w:type="dxa"/>
            <w:tcBorders>
              <w:top w:val="single" w:sz="4" w:space="0" w:color="auto"/>
              <w:bottom w:val="single" w:sz="12" w:space="0" w:color="auto"/>
            </w:tcBorders>
            <w:shd w:val="clear" w:color="auto" w:fill="auto"/>
            <w:vAlign w:val="bottom"/>
            <w:hideMark/>
          </w:tcPr>
          <w:p w:rsidR="00A72177" w:rsidRPr="009618BC" w:rsidRDefault="00A72177" w:rsidP="009618BC">
            <w:pPr>
              <w:suppressAutoHyphens w:val="0"/>
              <w:spacing w:before="80" w:after="80" w:line="200" w:lineRule="exact"/>
              <w:jc w:val="right"/>
              <w:rPr>
                <w:i/>
                <w:sz w:val="16"/>
                <w:szCs w:val="16"/>
                <w:lang w:val="fr-FR"/>
              </w:rPr>
            </w:pPr>
            <w:r w:rsidRPr="009618BC">
              <w:rPr>
                <w:i/>
                <w:sz w:val="16"/>
                <w:szCs w:val="16"/>
                <w:lang w:val="fr-FR"/>
              </w:rPr>
              <w:t>1-4</w:t>
            </w:r>
          </w:p>
        </w:tc>
        <w:tc>
          <w:tcPr>
            <w:tcW w:w="785" w:type="dxa"/>
            <w:tcBorders>
              <w:top w:val="single" w:sz="4" w:space="0" w:color="auto"/>
              <w:bottom w:val="single" w:sz="12" w:space="0" w:color="auto"/>
            </w:tcBorders>
            <w:shd w:val="clear" w:color="auto" w:fill="auto"/>
            <w:vAlign w:val="bottom"/>
            <w:hideMark/>
          </w:tcPr>
          <w:p w:rsidR="00A72177" w:rsidRPr="009618BC" w:rsidRDefault="00A72177" w:rsidP="009618BC">
            <w:pPr>
              <w:suppressAutoHyphens w:val="0"/>
              <w:spacing w:before="80" w:after="80" w:line="200" w:lineRule="exact"/>
              <w:jc w:val="right"/>
              <w:rPr>
                <w:i/>
                <w:sz w:val="16"/>
                <w:szCs w:val="16"/>
                <w:lang w:val="fr-FR"/>
              </w:rPr>
            </w:pPr>
            <w:r w:rsidRPr="009618BC">
              <w:rPr>
                <w:i/>
                <w:sz w:val="16"/>
                <w:szCs w:val="16"/>
                <w:lang w:val="fr-FR"/>
              </w:rPr>
              <w:t>5-9</w:t>
            </w:r>
          </w:p>
        </w:tc>
        <w:tc>
          <w:tcPr>
            <w:tcW w:w="785" w:type="dxa"/>
            <w:tcBorders>
              <w:top w:val="single" w:sz="4" w:space="0" w:color="auto"/>
              <w:bottom w:val="single" w:sz="12" w:space="0" w:color="auto"/>
            </w:tcBorders>
            <w:shd w:val="clear" w:color="auto" w:fill="auto"/>
            <w:vAlign w:val="bottom"/>
            <w:hideMark/>
          </w:tcPr>
          <w:p w:rsidR="00A72177" w:rsidRPr="009618BC" w:rsidRDefault="00A72177" w:rsidP="009618BC">
            <w:pPr>
              <w:suppressAutoHyphens w:val="0"/>
              <w:spacing w:before="80" w:after="80" w:line="200" w:lineRule="exact"/>
              <w:jc w:val="right"/>
              <w:rPr>
                <w:i/>
                <w:sz w:val="16"/>
                <w:szCs w:val="16"/>
                <w:lang w:val="fr-FR"/>
              </w:rPr>
            </w:pPr>
            <w:r w:rsidRPr="009618BC">
              <w:rPr>
                <w:i/>
                <w:sz w:val="16"/>
                <w:szCs w:val="16"/>
                <w:lang w:val="fr-FR"/>
              </w:rPr>
              <w:t>10-12</w:t>
            </w:r>
          </w:p>
        </w:tc>
      </w:tr>
      <w:tr w:rsidR="00A72177" w:rsidRPr="00C62BE7" w:rsidTr="00C62BE7">
        <w:tc>
          <w:tcPr>
            <w:tcW w:w="2977" w:type="dxa"/>
            <w:tcBorders>
              <w:top w:val="single" w:sz="12" w:space="0" w:color="auto"/>
              <w:bottom w:val="single" w:sz="4" w:space="0" w:color="auto"/>
            </w:tcBorders>
            <w:shd w:val="clear" w:color="auto" w:fill="auto"/>
            <w:hideMark/>
          </w:tcPr>
          <w:p w:rsidR="00A72177" w:rsidRPr="00C62BE7" w:rsidRDefault="00A72177" w:rsidP="00C62BE7">
            <w:pPr>
              <w:suppressAutoHyphens w:val="0"/>
              <w:spacing w:before="80" w:after="80" w:line="240" w:lineRule="exact"/>
              <w:ind w:left="284"/>
              <w:rPr>
                <w:b/>
                <w:sz w:val="18"/>
                <w:lang w:val="fr-FR"/>
              </w:rPr>
            </w:pPr>
            <w:r w:rsidRPr="00C62BE7">
              <w:rPr>
                <w:b/>
                <w:bCs/>
                <w:sz w:val="18"/>
                <w:lang w:val="fr-FR"/>
              </w:rPr>
              <w:t>Nombre total d</w:t>
            </w:r>
            <w:r w:rsidR="009618BC" w:rsidRPr="00C62BE7">
              <w:rPr>
                <w:b/>
                <w:bCs/>
                <w:sz w:val="18"/>
                <w:lang w:val="fr-FR"/>
              </w:rPr>
              <w:t>’</w:t>
            </w:r>
            <w:r w:rsidRPr="00C62BE7">
              <w:rPr>
                <w:b/>
                <w:bCs/>
                <w:sz w:val="18"/>
                <w:lang w:val="fr-FR"/>
              </w:rPr>
              <w:t xml:space="preserve">élèves dans </w:t>
            </w:r>
            <w:r w:rsidR="00C62BE7">
              <w:rPr>
                <w:b/>
                <w:bCs/>
                <w:sz w:val="18"/>
                <w:lang w:val="fr-FR"/>
              </w:rPr>
              <w:br/>
            </w:r>
            <w:r w:rsidRPr="00C62BE7">
              <w:rPr>
                <w:b/>
                <w:bCs/>
                <w:sz w:val="18"/>
                <w:lang w:val="fr-FR"/>
              </w:rPr>
              <w:t xml:space="preserve">les établissements dispensant </w:t>
            </w:r>
            <w:r w:rsidR="00C62BE7">
              <w:rPr>
                <w:b/>
                <w:bCs/>
                <w:sz w:val="18"/>
                <w:lang w:val="fr-FR"/>
              </w:rPr>
              <w:br/>
            </w:r>
            <w:r w:rsidRPr="00C62BE7">
              <w:rPr>
                <w:b/>
                <w:bCs/>
                <w:sz w:val="18"/>
                <w:lang w:val="fr-FR"/>
              </w:rPr>
              <w:t>un enseignement dans les langues des minorités nationales</w:t>
            </w:r>
          </w:p>
        </w:tc>
        <w:tc>
          <w:tcPr>
            <w:tcW w:w="2387" w:type="dxa"/>
            <w:tcBorders>
              <w:top w:val="single" w:sz="12" w:space="0" w:color="auto"/>
              <w:bottom w:val="single" w:sz="4" w:space="0" w:color="auto"/>
            </w:tcBorders>
            <w:shd w:val="clear" w:color="auto" w:fill="auto"/>
            <w:vAlign w:val="bottom"/>
          </w:tcPr>
          <w:p w:rsidR="00A72177" w:rsidRPr="00C62BE7" w:rsidRDefault="00A72177" w:rsidP="00C62BE7">
            <w:pPr>
              <w:suppressAutoHyphens w:val="0"/>
              <w:spacing w:before="80" w:after="80" w:line="240" w:lineRule="exact"/>
              <w:jc w:val="right"/>
              <w:rPr>
                <w:b/>
                <w:sz w:val="18"/>
                <w:lang w:val="fr-FR"/>
              </w:rPr>
            </w:pPr>
            <w:r w:rsidRPr="00C62BE7">
              <w:rPr>
                <w:b/>
                <w:sz w:val="18"/>
                <w:lang w:val="fr-FR"/>
              </w:rPr>
              <w:t>64</w:t>
            </w:r>
            <w:r w:rsidR="00C62BE7">
              <w:rPr>
                <w:b/>
                <w:sz w:val="18"/>
                <w:lang w:val="fr-FR"/>
              </w:rPr>
              <w:t xml:space="preserve"> </w:t>
            </w:r>
            <w:r w:rsidRPr="00C62BE7">
              <w:rPr>
                <w:b/>
                <w:sz w:val="18"/>
                <w:lang w:val="fr-FR"/>
              </w:rPr>
              <w:t>955</w:t>
            </w:r>
          </w:p>
        </w:tc>
        <w:tc>
          <w:tcPr>
            <w:tcW w:w="785" w:type="dxa"/>
            <w:tcBorders>
              <w:top w:val="single" w:sz="12" w:space="0" w:color="auto"/>
              <w:bottom w:val="single" w:sz="4" w:space="0" w:color="auto"/>
            </w:tcBorders>
            <w:shd w:val="clear" w:color="auto" w:fill="auto"/>
            <w:vAlign w:val="bottom"/>
          </w:tcPr>
          <w:p w:rsidR="00A72177" w:rsidRPr="00C62BE7" w:rsidRDefault="00A72177" w:rsidP="00C62BE7">
            <w:pPr>
              <w:suppressAutoHyphens w:val="0"/>
              <w:spacing w:before="80" w:after="80" w:line="240" w:lineRule="exact"/>
              <w:jc w:val="right"/>
              <w:rPr>
                <w:b/>
                <w:sz w:val="18"/>
                <w:lang w:val="fr-FR"/>
              </w:rPr>
            </w:pPr>
            <w:r w:rsidRPr="00C62BE7">
              <w:rPr>
                <w:b/>
                <w:sz w:val="18"/>
                <w:lang w:val="fr-FR"/>
              </w:rPr>
              <w:t>100</w:t>
            </w:r>
          </w:p>
        </w:tc>
        <w:tc>
          <w:tcPr>
            <w:tcW w:w="785" w:type="dxa"/>
            <w:tcBorders>
              <w:top w:val="single" w:sz="12" w:space="0" w:color="auto"/>
              <w:bottom w:val="single" w:sz="4" w:space="0" w:color="auto"/>
            </w:tcBorders>
            <w:shd w:val="clear" w:color="auto" w:fill="auto"/>
            <w:vAlign w:val="bottom"/>
            <w:hideMark/>
          </w:tcPr>
          <w:p w:rsidR="00A72177" w:rsidRPr="00C62BE7" w:rsidRDefault="00A72177" w:rsidP="00C62BE7">
            <w:pPr>
              <w:suppressAutoHyphens w:val="0"/>
              <w:spacing w:before="80" w:after="80" w:line="240" w:lineRule="exact"/>
              <w:jc w:val="right"/>
              <w:rPr>
                <w:b/>
                <w:sz w:val="18"/>
                <w:lang w:val="fr-FR"/>
              </w:rPr>
            </w:pPr>
            <w:r w:rsidRPr="00C62BE7">
              <w:rPr>
                <w:b/>
                <w:sz w:val="18"/>
                <w:lang w:val="fr-FR"/>
              </w:rPr>
              <w:t>26</w:t>
            </w:r>
            <w:r w:rsidR="00C62BE7">
              <w:rPr>
                <w:b/>
                <w:sz w:val="18"/>
                <w:lang w:val="fr-FR"/>
              </w:rPr>
              <w:t xml:space="preserve"> </w:t>
            </w:r>
            <w:r w:rsidRPr="00C62BE7">
              <w:rPr>
                <w:b/>
                <w:sz w:val="18"/>
                <w:lang w:val="fr-FR"/>
              </w:rPr>
              <w:t>306</w:t>
            </w:r>
          </w:p>
        </w:tc>
        <w:tc>
          <w:tcPr>
            <w:tcW w:w="785" w:type="dxa"/>
            <w:tcBorders>
              <w:top w:val="single" w:sz="12" w:space="0" w:color="auto"/>
              <w:bottom w:val="single" w:sz="4" w:space="0" w:color="auto"/>
            </w:tcBorders>
            <w:shd w:val="clear" w:color="auto" w:fill="auto"/>
            <w:vAlign w:val="bottom"/>
            <w:hideMark/>
          </w:tcPr>
          <w:p w:rsidR="00A72177" w:rsidRPr="00C62BE7" w:rsidRDefault="00A72177" w:rsidP="00C62BE7">
            <w:pPr>
              <w:suppressAutoHyphens w:val="0"/>
              <w:spacing w:before="80" w:after="80" w:line="240" w:lineRule="exact"/>
              <w:jc w:val="right"/>
              <w:rPr>
                <w:b/>
                <w:sz w:val="18"/>
                <w:lang w:val="fr-FR"/>
              </w:rPr>
            </w:pPr>
            <w:r w:rsidRPr="00C62BE7">
              <w:rPr>
                <w:b/>
                <w:sz w:val="18"/>
                <w:lang w:val="fr-FR"/>
              </w:rPr>
              <w:t>31</w:t>
            </w:r>
            <w:r w:rsidR="00C62BE7">
              <w:rPr>
                <w:b/>
                <w:sz w:val="18"/>
                <w:lang w:val="fr-FR"/>
              </w:rPr>
              <w:t xml:space="preserve"> </w:t>
            </w:r>
            <w:r w:rsidRPr="00C62BE7">
              <w:rPr>
                <w:b/>
                <w:sz w:val="18"/>
                <w:lang w:val="fr-FR"/>
              </w:rPr>
              <w:t>089</w:t>
            </w:r>
          </w:p>
        </w:tc>
        <w:tc>
          <w:tcPr>
            <w:tcW w:w="785" w:type="dxa"/>
            <w:tcBorders>
              <w:top w:val="single" w:sz="12" w:space="0" w:color="auto"/>
              <w:bottom w:val="single" w:sz="4" w:space="0" w:color="auto"/>
            </w:tcBorders>
            <w:shd w:val="clear" w:color="auto" w:fill="auto"/>
            <w:vAlign w:val="bottom"/>
            <w:hideMark/>
          </w:tcPr>
          <w:p w:rsidR="00A72177" w:rsidRPr="00C62BE7" w:rsidRDefault="00A72177" w:rsidP="00C62BE7">
            <w:pPr>
              <w:suppressAutoHyphens w:val="0"/>
              <w:spacing w:before="80" w:after="80" w:line="240" w:lineRule="exact"/>
              <w:jc w:val="right"/>
              <w:rPr>
                <w:b/>
                <w:sz w:val="18"/>
                <w:lang w:val="fr-FR"/>
              </w:rPr>
            </w:pPr>
            <w:r w:rsidRPr="00C62BE7">
              <w:rPr>
                <w:b/>
                <w:sz w:val="18"/>
                <w:lang w:val="fr-FR"/>
              </w:rPr>
              <w:t>7</w:t>
            </w:r>
            <w:r w:rsidR="00C62BE7">
              <w:rPr>
                <w:b/>
                <w:sz w:val="18"/>
                <w:lang w:val="fr-FR"/>
              </w:rPr>
              <w:t xml:space="preserve"> </w:t>
            </w:r>
            <w:r w:rsidRPr="00C62BE7">
              <w:rPr>
                <w:b/>
                <w:sz w:val="18"/>
                <w:lang w:val="fr-FR"/>
              </w:rPr>
              <w:t>560</w:t>
            </w:r>
          </w:p>
        </w:tc>
      </w:tr>
      <w:tr w:rsidR="00A72177" w:rsidRPr="009618BC" w:rsidTr="00C62BE7">
        <w:tc>
          <w:tcPr>
            <w:tcW w:w="2977" w:type="dxa"/>
            <w:tcBorders>
              <w:top w:val="single" w:sz="4" w:space="0" w:color="auto"/>
            </w:tcBorders>
            <w:shd w:val="clear" w:color="auto" w:fill="auto"/>
          </w:tcPr>
          <w:p w:rsidR="00A72177" w:rsidRPr="009618BC" w:rsidRDefault="00A72177" w:rsidP="009618BC">
            <w:pPr>
              <w:suppressAutoHyphens w:val="0"/>
              <w:spacing w:before="40" w:after="40" w:line="220" w:lineRule="exact"/>
              <w:rPr>
                <w:sz w:val="18"/>
                <w:lang w:val="fr-FR"/>
              </w:rPr>
            </w:pPr>
            <w:r w:rsidRPr="009618BC">
              <w:rPr>
                <w:sz w:val="18"/>
                <w:lang w:val="fr-FR"/>
              </w:rPr>
              <w:t>qui étudient</w:t>
            </w:r>
            <w:r w:rsidR="00EC0ECE">
              <w:rPr>
                <w:sz w:val="18"/>
                <w:lang w:val="fr-FR"/>
              </w:rPr>
              <w:t> </w:t>
            </w:r>
            <w:r w:rsidRPr="009618BC">
              <w:rPr>
                <w:sz w:val="18"/>
                <w:lang w:val="fr-FR"/>
              </w:rPr>
              <w:t>:</w:t>
            </w:r>
          </w:p>
        </w:tc>
        <w:tc>
          <w:tcPr>
            <w:tcW w:w="2387"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785"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785"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785"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785"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r>
      <w:tr w:rsidR="00A72177" w:rsidRPr="009618BC" w:rsidTr="00C62BE7">
        <w:tc>
          <w:tcPr>
            <w:tcW w:w="2977" w:type="dxa"/>
            <w:shd w:val="clear" w:color="auto" w:fill="auto"/>
          </w:tcPr>
          <w:p w:rsidR="00A72177" w:rsidRPr="009618BC" w:rsidRDefault="00A72177" w:rsidP="00C62BE7">
            <w:pPr>
              <w:suppressAutoHyphens w:val="0"/>
              <w:spacing w:before="40" w:after="40" w:line="220" w:lineRule="exact"/>
              <w:ind w:left="284"/>
              <w:rPr>
                <w:sz w:val="18"/>
                <w:lang w:val="fr-FR"/>
              </w:rPr>
            </w:pPr>
            <w:r w:rsidRPr="009618BC">
              <w:rPr>
                <w:sz w:val="18"/>
                <w:lang w:val="fr-FR"/>
              </w:rPr>
              <w:t>le roumain</w:t>
            </w:r>
          </w:p>
        </w:tc>
        <w:tc>
          <w:tcPr>
            <w:tcW w:w="2387"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64</w:t>
            </w:r>
            <w:r w:rsidR="00C62BE7">
              <w:rPr>
                <w:sz w:val="18"/>
                <w:lang w:val="fr-FR"/>
              </w:rPr>
              <w:t xml:space="preserve"> </w:t>
            </w:r>
            <w:r w:rsidRPr="009618BC">
              <w:rPr>
                <w:sz w:val="18"/>
                <w:lang w:val="fr-FR"/>
              </w:rPr>
              <w:t>955</w:t>
            </w:r>
          </w:p>
        </w:tc>
        <w:tc>
          <w:tcPr>
            <w:tcW w:w="78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100</w:t>
            </w:r>
          </w:p>
        </w:tc>
        <w:tc>
          <w:tcPr>
            <w:tcW w:w="78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26</w:t>
            </w:r>
            <w:r w:rsidR="00C62BE7">
              <w:rPr>
                <w:sz w:val="18"/>
                <w:lang w:val="fr-FR"/>
              </w:rPr>
              <w:t xml:space="preserve"> </w:t>
            </w:r>
            <w:r w:rsidRPr="009618BC">
              <w:rPr>
                <w:sz w:val="18"/>
                <w:lang w:val="fr-FR"/>
              </w:rPr>
              <w:t>306</w:t>
            </w:r>
          </w:p>
        </w:tc>
        <w:tc>
          <w:tcPr>
            <w:tcW w:w="78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31</w:t>
            </w:r>
            <w:r w:rsidR="00C62BE7">
              <w:rPr>
                <w:sz w:val="18"/>
                <w:lang w:val="fr-FR"/>
              </w:rPr>
              <w:t xml:space="preserve"> </w:t>
            </w:r>
            <w:r w:rsidRPr="009618BC">
              <w:rPr>
                <w:sz w:val="18"/>
                <w:lang w:val="fr-FR"/>
              </w:rPr>
              <w:t>089</w:t>
            </w:r>
          </w:p>
        </w:tc>
        <w:tc>
          <w:tcPr>
            <w:tcW w:w="78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7</w:t>
            </w:r>
            <w:r w:rsidR="00C37E82">
              <w:rPr>
                <w:sz w:val="18"/>
                <w:lang w:val="fr-FR"/>
              </w:rPr>
              <w:t xml:space="preserve"> </w:t>
            </w:r>
            <w:r w:rsidRPr="009618BC">
              <w:rPr>
                <w:sz w:val="18"/>
                <w:lang w:val="fr-FR"/>
              </w:rPr>
              <w:t>560</w:t>
            </w:r>
          </w:p>
        </w:tc>
      </w:tr>
      <w:tr w:rsidR="00A72177" w:rsidRPr="009618BC" w:rsidTr="00C62BE7">
        <w:tc>
          <w:tcPr>
            <w:tcW w:w="2977" w:type="dxa"/>
            <w:shd w:val="clear" w:color="auto" w:fill="auto"/>
            <w:hideMark/>
          </w:tcPr>
          <w:p w:rsidR="00A72177" w:rsidRPr="009618BC" w:rsidRDefault="00A72177" w:rsidP="00C62BE7">
            <w:pPr>
              <w:suppressAutoHyphens w:val="0"/>
              <w:spacing w:before="40" w:after="40" w:line="220" w:lineRule="exact"/>
              <w:ind w:left="284"/>
              <w:rPr>
                <w:sz w:val="18"/>
                <w:lang w:val="fr-FR"/>
              </w:rPr>
            </w:pPr>
            <w:r w:rsidRPr="009618BC">
              <w:rPr>
                <w:sz w:val="18"/>
                <w:lang w:val="fr-FR"/>
              </w:rPr>
              <w:t>l</w:t>
            </w:r>
            <w:r w:rsidR="009618BC" w:rsidRPr="009618BC">
              <w:rPr>
                <w:sz w:val="18"/>
                <w:lang w:val="fr-FR"/>
              </w:rPr>
              <w:t>’</w:t>
            </w:r>
            <w:r w:rsidRPr="009618BC">
              <w:rPr>
                <w:sz w:val="18"/>
                <w:lang w:val="fr-FR"/>
              </w:rPr>
              <w:t xml:space="preserve">ukrainien </w:t>
            </w:r>
          </w:p>
        </w:tc>
        <w:tc>
          <w:tcPr>
            <w:tcW w:w="2387"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3</w:t>
            </w:r>
            <w:r w:rsidR="00C62BE7">
              <w:rPr>
                <w:sz w:val="18"/>
                <w:lang w:val="fr-FR"/>
              </w:rPr>
              <w:t xml:space="preserve"> </w:t>
            </w:r>
            <w:r w:rsidRPr="009618BC">
              <w:rPr>
                <w:sz w:val="18"/>
                <w:lang w:val="fr-FR"/>
              </w:rPr>
              <w:t>807</w:t>
            </w:r>
          </w:p>
        </w:tc>
        <w:tc>
          <w:tcPr>
            <w:tcW w:w="78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 xml:space="preserve">5,9 </w:t>
            </w:r>
          </w:p>
        </w:tc>
        <w:tc>
          <w:tcPr>
            <w:tcW w:w="785" w:type="dxa"/>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C37E82">
              <w:rPr>
                <w:sz w:val="18"/>
                <w:lang w:val="fr-FR"/>
              </w:rPr>
              <w:t xml:space="preserve"> </w:t>
            </w:r>
            <w:r w:rsidRPr="009618BC">
              <w:rPr>
                <w:sz w:val="18"/>
                <w:lang w:val="fr-FR"/>
              </w:rPr>
              <w:t>495</w:t>
            </w:r>
          </w:p>
        </w:tc>
        <w:tc>
          <w:tcPr>
            <w:tcW w:w="785" w:type="dxa"/>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2</w:t>
            </w:r>
            <w:r w:rsidR="00C37E82">
              <w:rPr>
                <w:sz w:val="18"/>
                <w:lang w:val="fr-FR"/>
              </w:rPr>
              <w:t xml:space="preserve"> </w:t>
            </w:r>
            <w:r w:rsidRPr="009618BC">
              <w:rPr>
                <w:sz w:val="18"/>
                <w:lang w:val="fr-FR"/>
              </w:rPr>
              <w:t>054</w:t>
            </w:r>
          </w:p>
        </w:tc>
        <w:tc>
          <w:tcPr>
            <w:tcW w:w="785" w:type="dxa"/>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258</w:t>
            </w:r>
          </w:p>
        </w:tc>
      </w:tr>
      <w:tr w:rsidR="00A72177" w:rsidRPr="009618BC" w:rsidTr="00C62BE7">
        <w:tc>
          <w:tcPr>
            <w:tcW w:w="2977" w:type="dxa"/>
            <w:shd w:val="clear" w:color="auto" w:fill="auto"/>
            <w:hideMark/>
          </w:tcPr>
          <w:p w:rsidR="00A72177" w:rsidRPr="009618BC" w:rsidRDefault="00A72177" w:rsidP="00C62BE7">
            <w:pPr>
              <w:suppressAutoHyphens w:val="0"/>
              <w:spacing w:before="40" w:after="40" w:line="220" w:lineRule="exact"/>
              <w:ind w:left="284"/>
              <w:rPr>
                <w:sz w:val="18"/>
                <w:lang w:val="fr-FR"/>
              </w:rPr>
            </w:pPr>
            <w:r w:rsidRPr="009618BC">
              <w:rPr>
                <w:sz w:val="18"/>
                <w:lang w:val="fr-FR"/>
              </w:rPr>
              <w:t>le gagaouze</w:t>
            </w:r>
          </w:p>
        </w:tc>
        <w:tc>
          <w:tcPr>
            <w:tcW w:w="2387"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12</w:t>
            </w:r>
            <w:r w:rsidR="00C62BE7">
              <w:rPr>
                <w:sz w:val="18"/>
                <w:lang w:val="fr-FR"/>
              </w:rPr>
              <w:t xml:space="preserve"> </w:t>
            </w:r>
            <w:r w:rsidRPr="009618BC">
              <w:rPr>
                <w:sz w:val="18"/>
                <w:lang w:val="fr-FR"/>
              </w:rPr>
              <w:t>724</w:t>
            </w:r>
          </w:p>
        </w:tc>
        <w:tc>
          <w:tcPr>
            <w:tcW w:w="78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19,6</w:t>
            </w:r>
          </w:p>
        </w:tc>
        <w:tc>
          <w:tcPr>
            <w:tcW w:w="785" w:type="dxa"/>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5</w:t>
            </w:r>
            <w:r w:rsidR="00C37E82">
              <w:rPr>
                <w:sz w:val="18"/>
                <w:lang w:val="fr-FR"/>
              </w:rPr>
              <w:t xml:space="preserve"> </w:t>
            </w:r>
            <w:r w:rsidRPr="009618BC">
              <w:rPr>
                <w:sz w:val="18"/>
                <w:lang w:val="fr-FR"/>
              </w:rPr>
              <w:t>735</w:t>
            </w:r>
          </w:p>
        </w:tc>
        <w:tc>
          <w:tcPr>
            <w:tcW w:w="785" w:type="dxa"/>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6</w:t>
            </w:r>
            <w:r w:rsidR="00C37E82">
              <w:rPr>
                <w:sz w:val="18"/>
                <w:lang w:val="fr-FR"/>
              </w:rPr>
              <w:t xml:space="preserve"> </w:t>
            </w:r>
            <w:r w:rsidRPr="009618BC">
              <w:rPr>
                <w:sz w:val="18"/>
                <w:lang w:val="fr-FR"/>
              </w:rPr>
              <w:t>097</w:t>
            </w:r>
          </w:p>
        </w:tc>
        <w:tc>
          <w:tcPr>
            <w:tcW w:w="785" w:type="dxa"/>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892</w:t>
            </w:r>
          </w:p>
        </w:tc>
      </w:tr>
      <w:tr w:rsidR="00A72177" w:rsidRPr="009618BC" w:rsidTr="00C62BE7">
        <w:tc>
          <w:tcPr>
            <w:tcW w:w="2977" w:type="dxa"/>
            <w:shd w:val="clear" w:color="auto" w:fill="auto"/>
            <w:hideMark/>
          </w:tcPr>
          <w:p w:rsidR="00A72177" w:rsidRPr="009618BC" w:rsidRDefault="00A72177" w:rsidP="00C62BE7">
            <w:pPr>
              <w:suppressAutoHyphens w:val="0"/>
              <w:spacing w:before="40" w:after="40" w:line="220" w:lineRule="exact"/>
              <w:ind w:left="284"/>
              <w:rPr>
                <w:sz w:val="18"/>
                <w:lang w:val="fr-FR"/>
              </w:rPr>
            </w:pPr>
            <w:r w:rsidRPr="009618BC">
              <w:rPr>
                <w:sz w:val="18"/>
                <w:lang w:val="fr-FR"/>
              </w:rPr>
              <w:t>le bulgare</w:t>
            </w:r>
          </w:p>
        </w:tc>
        <w:tc>
          <w:tcPr>
            <w:tcW w:w="2387"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4</w:t>
            </w:r>
            <w:r w:rsidR="00C62BE7">
              <w:rPr>
                <w:sz w:val="18"/>
                <w:lang w:val="fr-FR"/>
              </w:rPr>
              <w:t xml:space="preserve"> </w:t>
            </w:r>
            <w:r w:rsidRPr="009618BC">
              <w:rPr>
                <w:sz w:val="18"/>
                <w:lang w:val="fr-FR"/>
              </w:rPr>
              <w:t>938</w:t>
            </w:r>
          </w:p>
        </w:tc>
        <w:tc>
          <w:tcPr>
            <w:tcW w:w="785"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7,6</w:t>
            </w:r>
          </w:p>
        </w:tc>
        <w:tc>
          <w:tcPr>
            <w:tcW w:w="785" w:type="dxa"/>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C37E82">
              <w:rPr>
                <w:sz w:val="18"/>
                <w:lang w:val="fr-FR"/>
              </w:rPr>
              <w:t xml:space="preserve"> </w:t>
            </w:r>
            <w:r w:rsidRPr="009618BC">
              <w:rPr>
                <w:sz w:val="18"/>
                <w:lang w:val="fr-FR"/>
              </w:rPr>
              <w:t>915</w:t>
            </w:r>
          </w:p>
        </w:tc>
        <w:tc>
          <w:tcPr>
            <w:tcW w:w="785" w:type="dxa"/>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2</w:t>
            </w:r>
            <w:r w:rsidR="00C37E82">
              <w:rPr>
                <w:sz w:val="18"/>
                <w:lang w:val="fr-FR"/>
              </w:rPr>
              <w:t xml:space="preserve"> </w:t>
            </w:r>
            <w:r w:rsidRPr="009618BC">
              <w:rPr>
                <w:sz w:val="18"/>
                <w:lang w:val="fr-FR"/>
              </w:rPr>
              <w:t>443</w:t>
            </w:r>
          </w:p>
        </w:tc>
        <w:tc>
          <w:tcPr>
            <w:tcW w:w="785" w:type="dxa"/>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580</w:t>
            </w:r>
          </w:p>
        </w:tc>
      </w:tr>
      <w:tr w:rsidR="00A72177" w:rsidRPr="009618BC" w:rsidTr="00C62BE7">
        <w:tc>
          <w:tcPr>
            <w:tcW w:w="2977" w:type="dxa"/>
            <w:tcBorders>
              <w:bottom w:val="single" w:sz="12" w:space="0" w:color="auto"/>
            </w:tcBorders>
            <w:shd w:val="clear" w:color="auto" w:fill="auto"/>
            <w:hideMark/>
          </w:tcPr>
          <w:p w:rsidR="00A72177" w:rsidRPr="009618BC" w:rsidRDefault="00A72177" w:rsidP="00C62BE7">
            <w:pPr>
              <w:suppressAutoHyphens w:val="0"/>
              <w:spacing w:before="40" w:after="40" w:line="220" w:lineRule="exact"/>
              <w:ind w:left="284"/>
              <w:rPr>
                <w:sz w:val="18"/>
                <w:lang w:val="fr-FR"/>
              </w:rPr>
            </w:pPr>
            <w:r w:rsidRPr="009618BC">
              <w:rPr>
                <w:sz w:val="18"/>
                <w:lang w:val="fr-FR"/>
              </w:rPr>
              <w:t>l</w:t>
            </w:r>
            <w:r w:rsidR="009618BC" w:rsidRPr="009618BC">
              <w:rPr>
                <w:sz w:val="18"/>
                <w:lang w:val="fr-FR"/>
              </w:rPr>
              <w:t>’</w:t>
            </w:r>
            <w:r w:rsidRPr="009618BC">
              <w:rPr>
                <w:sz w:val="18"/>
                <w:lang w:val="fr-FR"/>
              </w:rPr>
              <w:t>hébreu</w:t>
            </w:r>
          </w:p>
        </w:tc>
        <w:tc>
          <w:tcPr>
            <w:tcW w:w="2387"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C62BE7">
              <w:rPr>
                <w:sz w:val="18"/>
                <w:lang w:val="fr-FR"/>
              </w:rPr>
              <w:t xml:space="preserve"> </w:t>
            </w:r>
            <w:r w:rsidRPr="009618BC">
              <w:rPr>
                <w:sz w:val="18"/>
                <w:lang w:val="fr-FR"/>
              </w:rPr>
              <w:t>044</w:t>
            </w:r>
          </w:p>
        </w:tc>
        <w:tc>
          <w:tcPr>
            <w:tcW w:w="785"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1,6</w:t>
            </w:r>
          </w:p>
        </w:tc>
        <w:tc>
          <w:tcPr>
            <w:tcW w:w="785" w:type="dxa"/>
            <w:tcBorders>
              <w:bottom w:val="single" w:sz="12" w:space="0" w:color="auto"/>
            </w:tcBorders>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406</w:t>
            </w:r>
          </w:p>
        </w:tc>
        <w:tc>
          <w:tcPr>
            <w:tcW w:w="785" w:type="dxa"/>
            <w:tcBorders>
              <w:bottom w:val="single" w:sz="12" w:space="0" w:color="auto"/>
            </w:tcBorders>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491</w:t>
            </w:r>
          </w:p>
        </w:tc>
        <w:tc>
          <w:tcPr>
            <w:tcW w:w="785" w:type="dxa"/>
            <w:tcBorders>
              <w:bottom w:val="single" w:sz="12" w:space="0" w:color="auto"/>
            </w:tcBorders>
            <w:shd w:val="clear" w:color="auto" w:fill="auto"/>
            <w:vAlign w:val="bottom"/>
            <w:hideMark/>
          </w:tcPr>
          <w:p w:rsidR="00A72177" w:rsidRPr="009618BC" w:rsidRDefault="00A72177" w:rsidP="009618BC">
            <w:pPr>
              <w:suppressAutoHyphens w:val="0"/>
              <w:spacing w:before="40" w:after="40" w:line="220" w:lineRule="exact"/>
              <w:jc w:val="right"/>
              <w:rPr>
                <w:sz w:val="18"/>
                <w:lang w:val="fr-FR"/>
              </w:rPr>
            </w:pPr>
            <w:r w:rsidRPr="009618BC">
              <w:rPr>
                <w:sz w:val="18"/>
                <w:lang w:val="fr-FR"/>
              </w:rPr>
              <w:t>147</w:t>
            </w:r>
          </w:p>
        </w:tc>
      </w:tr>
    </w:tbl>
    <w:p w:rsidR="00A72177" w:rsidRPr="009618BC" w:rsidRDefault="00A72177" w:rsidP="009618BC">
      <w:pPr>
        <w:pStyle w:val="SingleTxtG"/>
        <w:spacing w:before="240"/>
        <w:rPr>
          <w:lang w:val="fr-FR"/>
        </w:rPr>
      </w:pPr>
      <w:r w:rsidRPr="009618BC">
        <w:rPr>
          <w:lang w:val="fr-FR"/>
        </w:rPr>
        <w:t>34.</w:t>
      </w:r>
      <w:r w:rsidRPr="009618BC">
        <w:rPr>
          <w:lang w:val="fr-FR"/>
        </w:rPr>
        <w:tab/>
        <w:t>Le programme-cadre pour l</w:t>
      </w:r>
      <w:r w:rsidR="009618BC" w:rsidRPr="009618BC">
        <w:rPr>
          <w:lang w:val="fr-FR"/>
        </w:rPr>
        <w:t>’</w:t>
      </w:r>
      <w:r w:rsidRPr="009618BC">
        <w:rPr>
          <w:lang w:val="fr-FR"/>
        </w:rPr>
        <w:t>enseignement prévoit l</w:t>
      </w:r>
      <w:r w:rsidR="009618BC" w:rsidRPr="009618BC">
        <w:rPr>
          <w:lang w:val="fr-FR"/>
        </w:rPr>
        <w:t>’</w:t>
      </w:r>
      <w:r w:rsidRPr="009618BC">
        <w:rPr>
          <w:lang w:val="fr-FR"/>
        </w:rPr>
        <w:t>étude de « l</w:t>
      </w:r>
      <w:r w:rsidR="009618BC" w:rsidRPr="009618BC">
        <w:rPr>
          <w:lang w:val="fr-FR"/>
        </w:rPr>
        <w:t>’</w:t>
      </w:r>
      <w:r w:rsidRPr="009618BC">
        <w:rPr>
          <w:lang w:val="fr-FR"/>
        </w:rPr>
        <w:t xml:space="preserve">histoire, de la culture et des </w:t>
      </w:r>
      <w:bookmarkStart w:id="0" w:name="_GoBack"/>
      <w:bookmarkEnd w:id="0"/>
      <w:r w:rsidRPr="009618BC">
        <w:rPr>
          <w:lang w:val="fr-FR"/>
        </w:rPr>
        <w:t>traditions des peuples russe, ukrainien, gagaouze, bulgare, rom et autres », une discipline obligatoire de la première à la neuvième année dans les établissements dispensant un enseignement dans les langues des minorités nationales. La « culture du bon voisinage » figure parmi les disciplines facultatives proposées pendant les quatre premières années.</w:t>
      </w:r>
    </w:p>
    <w:p w:rsidR="00A72177" w:rsidRPr="009618BC" w:rsidRDefault="00A72177" w:rsidP="009618BC">
      <w:pPr>
        <w:pStyle w:val="SingleTxtG"/>
        <w:rPr>
          <w:lang w:val="fr-FR"/>
        </w:rPr>
      </w:pPr>
      <w:r w:rsidRPr="009618BC">
        <w:rPr>
          <w:lang w:val="fr-FR"/>
        </w:rPr>
        <w:lastRenderedPageBreak/>
        <w:t>35.</w:t>
      </w:r>
      <w:r w:rsidRPr="009618BC">
        <w:rPr>
          <w:lang w:val="fr-FR"/>
        </w:rPr>
        <w:tab/>
        <w:t>Actuellement, les établissements scolaires dispensant un enseignement dans les langues des minorités nationales disposent de divers supports méthodologiques et didactiques pour l</w:t>
      </w:r>
      <w:r w:rsidR="009618BC" w:rsidRPr="009618BC">
        <w:rPr>
          <w:lang w:val="fr-FR"/>
        </w:rPr>
        <w:t>’</w:t>
      </w:r>
      <w:r w:rsidRPr="009618BC">
        <w:rPr>
          <w:lang w:val="fr-FR"/>
        </w:rPr>
        <w:t>enseignement du russe, de l</w:t>
      </w:r>
      <w:r w:rsidR="009618BC" w:rsidRPr="009618BC">
        <w:rPr>
          <w:lang w:val="fr-FR"/>
        </w:rPr>
        <w:t>’</w:t>
      </w:r>
      <w:r w:rsidRPr="009618BC">
        <w:rPr>
          <w:lang w:val="fr-FR"/>
        </w:rPr>
        <w:t>ukrainien, du gagaouze et du bulgare, notamment :</w:t>
      </w:r>
    </w:p>
    <w:p w:rsidR="00A72177" w:rsidRPr="009618BC" w:rsidRDefault="009618BC" w:rsidP="009618BC">
      <w:pPr>
        <w:pStyle w:val="Bullet1G"/>
        <w:rPr>
          <w:lang w:val="fr-FR"/>
        </w:rPr>
      </w:pPr>
      <w:r>
        <w:rPr>
          <w:lang w:val="fr-FR"/>
        </w:rPr>
        <w:t>L</w:t>
      </w:r>
      <w:r w:rsidR="00A72177" w:rsidRPr="009618BC">
        <w:rPr>
          <w:lang w:val="fr-FR"/>
        </w:rPr>
        <w:t>es normes pour l</w:t>
      </w:r>
      <w:r w:rsidRPr="009618BC">
        <w:rPr>
          <w:lang w:val="fr-FR"/>
        </w:rPr>
        <w:t>’</w:t>
      </w:r>
      <w:r w:rsidR="00A72177" w:rsidRPr="009618BC">
        <w:rPr>
          <w:lang w:val="fr-FR"/>
        </w:rPr>
        <w:t>enseignement de la langue et de la littérature de la première à la douzième année ;</w:t>
      </w:r>
    </w:p>
    <w:p w:rsidR="00A72177" w:rsidRPr="009618BC" w:rsidRDefault="009618BC" w:rsidP="009618BC">
      <w:pPr>
        <w:pStyle w:val="Bullet1G"/>
        <w:rPr>
          <w:lang w:val="fr-FR"/>
        </w:rPr>
      </w:pPr>
      <w:r>
        <w:rPr>
          <w:lang w:val="fr-FR"/>
        </w:rPr>
        <w:t>L</w:t>
      </w:r>
      <w:r w:rsidR="00A72177" w:rsidRPr="009618BC">
        <w:rPr>
          <w:lang w:val="fr-FR"/>
        </w:rPr>
        <w:t>es programmes d</w:t>
      </w:r>
      <w:r w:rsidRPr="009618BC">
        <w:rPr>
          <w:lang w:val="fr-FR"/>
        </w:rPr>
        <w:t>’</w:t>
      </w:r>
      <w:r w:rsidR="00A72177" w:rsidRPr="009618BC">
        <w:rPr>
          <w:lang w:val="fr-FR"/>
        </w:rPr>
        <w:t>enseignement pour la langue et la littérature de la première à la douzième année ;</w:t>
      </w:r>
    </w:p>
    <w:p w:rsidR="00A72177" w:rsidRPr="009618BC" w:rsidRDefault="009618BC" w:rsidP="009618BC">
      <w:pPr>
        <w:pStyle w:val="Bullet1G"/>
        <w:rPr>
          <w:lang w:val="fr-FR"/>
        </w:rPr>
      </w:pPr>
      <w:r>
        <w:rPr>
          <w:lang w:val="fr-FR"/>
        </w:rPr>
        <w:t>D</w:t>
      </w:r>
      <w:r w:rsidR="00A72177" w:rsidRPr="009618BC">
        <w:rPr>
          <w:lang w:val="fr-FR"/>
        </w:rPr>
        <w:t>es directives méthodologiques/guides pour l</w:t>
      </w:r>
      <w:r w:rsidRPr="009618BC">
        <w:rPr>
          <w:lang w:val="fr-FR"/>
        </w:rPr>
        <w:t>’</w:t>
      </w:r>
      <w:r w:rsidR="00A72177" w:rsidRPr="009618BC">
        <w:rPr>
          <w:lang w:val="fr-FR"/>
        </w:rPr>
        <w:t>application des programmes d</w:t>
      </w:r>
      <w:r w:rsidRPr="009618BC">
        <w:rPr>
          <w:lang w:val="fr-FR"/>
        </w:rPr>
        <w:t>’</w:t>
      </w:r>
      <w:r w:rsidR="00A72177" w:rsidRPr="009618BC">
        <w:rPr>
          <w:lang w:val="fr-FR"/>
        </w:rPr>
        <w:t>enseignement ;</w:t>
      </w:r>
    </w:p>
    <w:p w:rsidR="00A72177" w:rsidRPr="009618BC" w:rsidRDefault="009618BC" w:rsidP="009618BC">
      <w:pPr>
        <w:pStyle w:val="Bullet1G"/>
        <w:rPr>
          <w:lang w:val="fr-FR"/>
        </w:rPr>
      </w:pPr>
      <w:r>
        <w:rPr>
          <w:lang w:val="fr-FR"/>
        </w:rPr>
        <w:t>D</w:t>
      </w:r>
      <w:r w:rsidR="00A72177" w:rsidRPr="009618BC">
        <w:rPr>
          <w:lang w:val="fr-FR"/>
        </w:rPr>
        <w:t>es manuels pour l</w:t>
      </w:r>
      <w:r w:rsidRPr="009618BC">
        <w:rPr>
          <w:lang w:val="fr-FR"/>
        </w:rPr>
        <w:t>’</w:t>
      </w:r>
      <w:r w:rsidR="00A72177" w:rsidRPr="009618BC">
        <w:rPr>
          <w:lang w:val="fr-FR"/>
        </w:rPr>
        <w:t>enseignement de la langue et de la littérature de la première à la neuvième année ;</w:t>
      </w:r>
    </w:p>
    <w:p w:rsidR="00A72177" w:rsidRPr="009618BC" w:rsidRDefault="009618BC" w:rsidP="009618BC">
      <w:pPr>
        <w:pStyle w:val="Bullet1G"/>
        <w:rPr>
          <w:lang w:val="fr-FR"/>
        </w:rPr>
      </w:pPr>
      <w:r>
        <w:rPr>
          <w:lang w:val="fr-FR"/>
        </w:rPr>
        <w:t>D</w:t>
      </w:r>
      <w:r w:rsidR="00A72177" w:rsidRPr="009618BC">
        <w:rPr>
          <w:lang w:val="fr-FR"/>
        </w:rPr>
        <w:t>es programmes et tests pour l</w:t>
      </w:r>
      <w:r w:rsidRPr="009618BC">
        <w:rPr>
          <w:lang w:val="fr-FR"/>
        </w:rPr>
        <w:t>’</w:t>
      </w:r>
      <w:r w:rsidR="00A72177" w:rsidRPr="009618BC">
        <w:rPr>
          <w:lang w:val="fr-FR"/>
        </w:rPr>
        <w:t>examen national en quatrième et en neuvième année ;</w:t>
      </w:r>
    </w:p>
    <w:p w:rsidR="00A72177" w:rsidRPr="009618BC" w:rsidRDefault="009618BC" w:rsidP="009618BC">
      <w:pPr>
        <w:pStyle w:val="Bullet1G"/>
        <w:rPr>
          <w:lang w:val="fr-FR"/>
        </w:rPr>
      </w:pPr>
      <w:r>
        <w:rPr>
          <w:lang w:val="fr-FR"/>
        </w:rPr>
        <w:t>D</w:t>
      </w:r>
      <w:r w:rsidR="00A72177" w:rsidRPr="009618BC">
        <w:rPr>
          <w:lang w:val="fr-FR"/>
        </w:rPr>
        <w:t>es programmes pour l</w:t>
      </w:r>
      <w:r w:rsidRPr="009618BC">
        <w:rPr>
          <w:lang w:val="fr-FR"/>
        </w:rPr>
        <w:t>’</w:t>
      </w:r>
      <w:r w:rsidR="00A72177" w:rsidRPr="009618BC">
        <w:rPr>
          <w:lang w:val="fr-FR"/>
        </w:rPr>
        <w:t>enseignement de la langue et de la littérature pour le diplôme du baccalauréat.</w:t>
      </w:r>
    </w:p>
    <w:p w:rsidR="00A72177" w:rsidRPr="009618BC" w:rsidRDefault="00A72177" w:rsidP="009618BC">
      <w:pPr>
        <w:pStyle w:val="SingleTxtG"/>
        <w:rPr>
          <w:lang w:val="fr-FR"/>
        </w:rPr>
      </w:pPr>
      <w:r w:rsidRPr="009618BC">
        <w:rPr>
          <w:lang w:val="fr-FR"/>
        </w:rPr>
        <w:t>36.</w:t>
      </w:r>
      <w:r w:rsidRPr="009618BC">
        <w:rPr>
          <w:lang w:val="fr-FR"/>
        </w:rPr>
        <w:tab/>
        <w:t>Le personnel enseignant chargé de l</w:t>
      </w:r>
      <w:r w:rsidR="009618BC" w:rsidRPr="009618BC">
        <w:rPr>
          <w:lang w:val="fr-FR"/>
        </w:rPr>
        <w:t>’</w:t>
      </w:r>
      <w:r w:rsidRPr="009618BC">
        <w:rPr>
          <w:lang w:val="fr-FR"/>
        </w:rPr>
        <w:t>enseignement des langues des minorités nationales est formé dans les établissements suivants :</w:t>
      </w:r>
    </w:p>
    <w:p w:rsidR="00A72177" w:rsidRPr="009618BC" w:rsidRDefault="00A72177" w:rsidP="009618BC">
      <w:pPr>
        <w:pStyle w:val="Bullet1G"/>
        <w:rPr>
          <w:lang w:val="fr-FR"/>
        </w:rPr>
      </w:pPr>
      <w:r w:rsidRPr="009618BC">
        <w:rPr>
          <w:lang w:val="fr-FR"/>
        </w:rPr>
        <w:t>Écoles supérieures de Comrat et Taraclia, pour les éducateurs des jardins d</w:t>
      </w:r>
      <w:r w:rsidR="009618BC" w:rsidRPr="009618BC">
        <w:rPr>
          <w:lang w:val="fr-FR"/>
        </w:rPr>
        <w:t>’</w:t>
      </w:r>
      <w:r w:rsidRPr="009618BC">
        <w:rPr>
          <w:lang w:val="fr-FR"/>
        </w:rPr>
        <w:t>enfants de langue gagaouze et bulgare ;</w:t>
      </w:r>
    </w:p>
    <w:p w:rsidR="00A72177" w:rsidRPr="009618BC" w:rsidRDefault="00A72177" w:rsidP="009618BC">
      <w:pPr>
        <w:pStyle w:val="Bullet1G"/>
        <w:rPr>
          <w:lang w:val="fr-FR"/>
        </w:rPr>
      </w:pPr>
      <w:r w:rsidRPr="009618BC">
        <w:rPr>
          <w:lang w:val="fr-FR"/>
        </w:rPr>
        <w:t>Université d</w:t>
      </w:r>
      <w:r w:rsidR="009618BC" w:rsidRPr="009618BC">
        <w:rPr>
          <w:lang w:val="fr-FR"/>
        </w:rPr>
        <w:t>’</w:t>
      </w:r>
      <w:r w:rsidRPr="009618BC">
        <w:rPr>
          <w:lang w:val="fr-FR"/>
        </w:rPr>
        <w:t>État de Moldova, pour les enseignants de langue et littérature russes ;</w:t>
      </w:r>
    </w:p>
    <w:p w:rsidR="00A72177" w:rsidRPr="009618BC" w:rsidRDefault="00A72177" w:rsidP="009618BC">
      <w:pPr>
        <w:pStyle w:val="Bullet1G"/>
        <w:rPr>
          <w:lang w:val="fr-FR"/>
        </w:rPr>
      </w:pPr>
      <w:r w:rsidRPr="009618BC">
        <w:rPr>
          <w:lang w:val="fr-FR"/>
        </w:rPr>
        <w:t>Université d</w:t>
      </w:r>
      <w:r w:rsidR="009618BC" w:rsidRPr="009618BC">
        <w:rPr>
          <w:lang w:val="fr-FR"/>
        </w:rPr>
        <w:t>’</w:t>
      </w:r>
      <w:r w:rsidRPr="009618BC">
        <w:rPr>
          <w:lang w:val="fr-FR"/>
        </w:rPr>
        <w:t>État Alecu Russo à Bălţi, pour les enseignants de philologie roumaine et ukrainienne ;</w:t>
      </w:r>
    </w:p>
    <w:p w:rsidR="00A72177" w:rsidRPr="009618BC" w:rsidRDefault="00A72177" w:rsidP="009618BC">
      <w:pPr>
        <w:pStyle w:val="Bullet1G"/>
        <w:rPr>
          <w:lang w:val="fr-FR"/>
        </w:rPr>
      </w:pPr>
      <w:r w:rsidRPr="009618BC">
        <w:rPr>
          <w:lang w:val="fr-FR"/>
        </w:rPr>
        <w:t>Université pédagogique d</w:t>
      </w:r>
      <w:r w:rsidR="009618BC" w:rsidRPr="009618BC">
        <w:rPr>
          <w:lang w:val="fr-FR"/>
        </w:rPr>
        <w:t>’</w:t>
      </w:r>
      <w:r w:rsidRPr="009618BC">
        <w:rPr>
          <w:lang w:val="fr-FR"/>
        </w:rPr>
        <w:t xml:space="preserve">État </w:t>
      </w:r>
      <w:r w:rsidRPr="009618BC">
        <w:rPr>
          <w:bCs/>
        </w:rPr>
        <w:t>Ion Creangă</w:t>
      </w:r>
      <w:r w:rsidRPr="009618BC">
        <w:rPr>
          <w:lang w:val="fr-FR"/>
        </w:rPr>
        <w:t xml:space="preserve"> à Chisinau, pour les enseignants de philologie russe et roumaine, de philologie roumaine et gagaouze et de philologie roumaine et bulgare ;</w:t>
      </w:r>
    </w:p>
    <w:p w:rsidR="00A72177" w:rsidRPr="009618BC" w:rsidRDefault="00A72177" w:rsidP="009618BC">
      <w:pPr>
        <w:pStyle w:val="Bullet1G"/>
        <w:rPr>
          <w:lang w:val="fr-FR"/>
        </w:rPr>
      </w:pPr>
      <w:r w:rsidRPr="009618BC">
        <w:rPr>
          <w:lang w:val="fr-FR"/>
        </w:rPr>
        <w:t>Université d</w:t>
      </w:r>
      <w:r w:rsidR="009618BC" w:rsidRPr="009618BC">
        <w:rPr>
          <w:lang w:val="fr-FR"/>
        </w:rPr>
        <w:t>’</w:t>
      </w:r>
      <w:r w:rsidRPr="009618BC">
        <w:rPr>
          <w:lang w:val="fr-FR"/>
        </w:rPr>
        <w:t>État à Comrat, pour les enseignants de philologie gagaouze et roumaine et de philologie bulgare et roumaine.</w:t>
      </w:r>
    </w:p>
    <w:p w:rsidR="00A72177" w:rsidRPr="009618BC" w:rsidRDefault="00A72177" w:rsidP="009618BC">
      <w:pPr>
        <w:pStyle w:val="SingleTxtG"/>
        <w:rPr>
          <w:lang w:val="fr-FR"/>
        </w:rPr>
      </w:pPr>
      <w:r w:rsidRPr="009618BC">
        <w:rPr>
          <w:lang w:val="fr-FR"/>
        </w:rPr>
        <w:t>37.</w:t>
      </w:r>
      <w:r w:rsidRPr="009618BC">
        <w:rPr>
          <w:lang w:val="fr-FR"/>
        </w:rPr>
        <w:tab/>
        <w:t>Depuis 2004, l</w:t>
      </w:r>
      <w:r w:rsidR="009618BC" w:rsidRPr="009618BC">
        <w:rPr>
          <w:lang w:val="fr-FR"/>
        </w:rPr>
        <w:t>’</w:t>
      </w:r>
      <w:r w:rsidRPr="009618BC">
        <w:rPr>
          <w:lang w:val="fr-FR"/>
        </w:rPr>
        <w:t>Université d</w:t>
      </w:r>
      <w:r w:rsidR="009618BC" w:rsidRPr="009618BC">
        <w:rPr>
          <w:lang w:val="fr-FR"/>
        </w:rPr>
        <w:t>’</w:t>
      </w:r>
      <w:r w:rsidRPr="009618BC">
        <w:rPr>
          <w:lang w:val="fr-FR"/>
        </w:rPr>
        <w:t>État Grygoriy Tsambalak à Taraclia fonctionne bien. Au cours de la période écoulée, la structure de l</w:t>
      </w:r>
      <w:r w:rsidR="009618BC" w:rsidRPr="009618BC">
        <w:rPr>
          <w:lang w:val="fr-FR"/>
        </w:rPr>
        <w:t>’</w:t>
      </w:r>
      <w:r w:rsidR="00500AA7">
        <w:rPr>
          <w:lang w:val="fr-FR"/>
        </w:rPr>
        <w:t>U</w:t>
      </w:r>
      <w:r w:rsidRPr="009618BC">
        <w:rPr>
          <w:lang w:val="fr-FR"/>
        </w:rPr>
        <w:t>niversité a été définie, une équipe pédagogique de haut niveau a été mise en place et les moyens matériels et techniques ont été renforcés. La création d</w:t>
      </w:r>
      <w:r w:rsidR="009618BC" w:rsidRPr="009618BC">
        <w:rPr>
          <w:lang w:val="fr-FR"/>
        </w:rPr>
        <w:t>’</w:t>
      </w:r>
      <w:r w:rsidRPr="009618BC">
        <w:rPr>
          <w:lang w:val="fr-FR"/>
        </w:rPr>
        <w:t xml:space="preserve">une </w:t>
      </w:r>
      <w:r w:rsidR="00500AA7">
        <w:rPr>
          <w:lang w:val="fr-FR"/>
        </w:rPr>
        <w:t>U</w:t>
      </w:r>
      <w:r w:rsidRPr="009618BC">
        <w:rPr>
          <w:lang w:val="fr-FR"/>
        </w:rPr>
        <w:t>niversité à Taraclia a permis de garantir l</w:t>
      </w:r>
      <w:r w:rsidR="009618BC" w:rsidRPr="009618BC">
        <w:rPr>
          <w:lang w:val="fr-FR"/>
        </w:rPr>
        <w:t>’</w:t>
      </w:r>
      <w:r w:rsidRPr="009618BC">
        <w:rPr>
          <w:lang w:val="fr-FR"/>
        </w:rPr>
        <w:t>accès de personnes issues de la minorité nationale bulgare à l</w:t>
      </w:r>
      <w:r w:rsidR="009618BC" w:rsidRPr="009618BC">
        <w:rPr>
          <w:lang w:val="fr-FR"/>
        </w:rPr>
        <w:t>’</w:t>
      </w:r>
      <w:r w:rsidRPr="009618BC">
        <w:rPr>
          <w:lang w:val="fr-FR"/>
        </w:rPr>
        <w:t>enseignement supérieur, dans la région où cette minorité est fortement représentée. L</w:t>
      </w:r>
      <w:r w:rsidR="009618BC" w:rsidRPr="009618BC">
        <w:rPr>
          <w:lang w:val="fr-FR"/>
        </w:rPr>
        <w:t>’</w:t>
      </w:r>
      <w:r w:rsidRPr="009618BC">
        <w:rPr>
          <w:lang w:val="fr-FR"/>
        </w:rPr>
        <w:t>enseignement à l</w:t>
      </w:r>
      <w:r w:rsidR="009618BC" w:rsidRPr="009618BC">
        <w:rPr>
          <w:lang w:val="fr-FR"/>
        </w:rPr>
        <w:t>’</w:t>
      </w:r>
      <w:r w:rsidR="00500AA7">
        <w:rPr>
          <w:lang w:val="fr-FR"/>
        </w:rPr>
        <w:t>U</w:t>
      </w:r>
      <w:r w:rsidRPr="009618BC">
        <w:rPr>
          <w:lang w:val="fr-FR"/>
        </w:rPr>
        <w:t>niversité de Taraclia est dispensé en trois langues : le roumain, le bulgare et le russe. L</w:t>
      </w:r>
      <w:r w:rsidR="009618BC" w:rsidRPr="009618BC">
        <w:rPr>
          <w:lang w:val="fr-FR"/>
        </w:rPr>
        <w:t>’</w:t>
      </w:r>
      <w:r w:rsidR="00500AA7">
        <w:rPr>
          <w:lang w:val="fr-FR"/>
        </w:rPr>
        <w:t>U</w:t>
      </w:r>
      <w:r w:rsidRPr="009618BC">
        <w:rPr>
          <w:lang w:val="fr-FR"/>
        </w:rPr>
        <w:t>niversité forme des enseignants de langue, histoire, littérature, culture et traditions bulgares, mais également des personnes capables d</w:t>
      </w:r>
      <w:r w:rsidR="009618BC" w:rsidRPr="009618BC">
        <w:rPr>
          <w:lang w:val="fr-FR"/>
        </w:rPr>
        <w:t>’</w:t>
      </w:r>
      <w:r w:rsidRPr="009618BC">
        <w:rPr>
          <w:lang w:val="fr-FR"/>
        </w:rPr>
        <w:t>enseigner le roumain et l</w:t>
      </w:r>
      <w:r w:rsidR="009618BC" w:rsidRPr="009618BC">
        <w:rPr>
          <w:lang w:val="fr-FR"/>
        </w:rPr>
        <w:t>’</w:t>
      </w:r>
      <w:r w:rsidRPr="009618BC">
        <w:rPr>
          <w:lang w:val="fr-FR"/>
        </w:rPr>
        <w:t>anglais, ainsi que les langues et littératures bulgares et roumaines. Tous les diplômés de cette université ont trouvé du travail dans le district de Taraclia et d</w:t>
      </w:r>
      <w:r w:rsidR="009618BC" w:rsidRPr="009618BC">
        <w:rPr>
          <w:lang w:val="fr-FR"/>
        </w:rPr>
        <w:t>’</w:t>
      </w:r>
      <w:r w:rsidRPr="009618BC">
        <w:rPr>
          <w:lang w:val="fr-FR"/>
        </w:rPr>
        <w:t xml:space="preserve">autres districts du sud du pays. </w:t>
      </w:r>
    </w:p>
    <w:p w:rsidR="00A72177" w:rsidRPr="009618BC" w:rsidRDefault="00A72177" w:rsidP="009618BC">
      <w:pPr>
        <w:pStyle w:val="SingleTxtG"/>
        <w:rPr>
          <w:lang w:val="fr-FR"/>
        </w:rPr>
      </w:pPr>
      <w:r w:rsidRPr="009618BC">
        <w:rPr>
          <w:lang w:val="fr-FR"/>
        </w:rPr>
        <w:t>38.</w:t>
      </w:r>
      <w:r w:rsidRPr="009618BC">
        <w:rPr>
          <w:lang w:val="fr-FR"/>
        </w:rPr>
        <w:tab/>
        <w:t>Il convient de faire remarquer qu</w:t>
      </w:r>
      <w:r w:rsidR="009618BC" w:rsidRPr="009618BC">
        <w:rPr>
          <w:lang w:val="fr-FR"/>
        </w:rPr>
        <w:t>’</w:t>
      </w:r>
      <w:r w:rsidRPr="009618BC">
        <w:rPr>
          <w:lang w:val="fr-FR"/>
        </w:rPr>
        <w:t>en Moldova, la difficulté de trouver du personnel pour l</w:t>
      </w:r>
      <w:r w:rsidR="009618BC" w:rsidRPr="009618BC">
        <w:rPr>
          <w:lang w:val="fr-FR"/>
        </w:rPr>
        <w:t>’</w:t>
      </w:r>
      <w:r w:rsidRPr="009618BC">
        <w:rPr>
          <w:lang w:val="fr-FR"/>
        </w:rPr>
        <w:t>enseignement des langues des minorités nationales est globalement résolue. Ainsi, entre 19</w:t>
      </w:r>
      <w:r w:rsidR="00500AA7">
        <w:rPr>
          <w:lang w:val="fr-FR"/>
        </w:rPr>
        <w:t>93 et 2017 :</w:t>
      </w:r>
    </w:p>
    <w:p w:rsidR="00A72177" w:rsidRPr="009618BC" w:rsidRDefault="00A72177" w:rsidP="009618BC">
      <w:pPr>
        <w:pStyle w:val="Bullet1G"/>
        <w:rPr>
          <w:lang w:val="fr-FR"/>
        </w:rPr>
      </w:pPr>
      <w:r w:rsidRPr="009618BC">
        <w:rPr>
          <w:lang w:val="fr-FR"/>
        </w:rPr>
        <w:t>254 enseignants de langue ukrainienne ;</w:t>
      </w:r>
    </w:p>
    <w:p w:rsidR="00A72177" w:rsidRPr="009618BC" w:rsidRDefault="00A72177" w:rsidP="009618BC">
      <w:pPr>
        <w:pStyle w:val="Bullet1G"/>
        <w:rPr>
          <w:lang w:val="fr-FR"/>
        </w:rPr>
      </w:pPr>
      <w:r w:rsidRPr="009618BC">
        <w:rPr>
          <w:lang w:val="fr-FR"/>
        </w:rPr>
        <w:t>309 enseignants de langue gagaouze ;</w:t>
      </w:r>
    </w:p>
    <w:p w:rsidR="00A72177" w:rsidRPr="009618BC" w:rsidRDefault="00A72177" w:rsidP="009618BC">
      <w:pPr>
        <w:pStyle w:val="Bullet1G"/>
        <w:rPr>
          <w:lang w:val="fr-FR"/>
        </w:rPr>
      </w:pPr>
      <w:r w:rsidRPr="009618BC">
        <w:rPr>
          <w:lang w:val="fr-FR"/>
        </w:rPr>
        <w:t>232 enseignants de langue bulgare</w:t>
      </w:r>
      <w:r w:rsidR="002A0600">
        <w:rPr>
          <w:lang w:val="fr-FR"/>
        </w:rPr>
        <w:t> ;</w:t>
      </w:r>
    </w:p>
    <w:p w:rsidR="00A72177" w:rsidRPr="009618BC" w:rsidRDefault="00A72177" w:rsidP="009618BC">
      <w:pPr>
        <w:pStyle w:val="SingleTxtG"/>
        <w:rPr>
          <w:lang w:val="fr-FR"/>
        </w:rPr>
      </w:pPr>
      <w:r w:rsidRPr="009618BC">
        <w:rPr>
          <w:lang w:val="fr-FR"/>
        </w:rPr>
        <w:t>ont été formés ou ont renforcé leurs compétences.</w:t>
      </w:r>
    </w:p>
    <w:p w:rsidR="00A72177" w:rsidRPr="009618BC" w:rsidRDefault="00A72177" w:rsidP="009618BC">
      <w:pPr>
        <w:pStyle w:val="H23G"/>
        <w:rPr>
          <w:lang w:val="fr-FR"/>
        </w:rPr>
      </w:pPr>
      <w:r w:rsidRPr="009618BC">
        <w:rPr>
          <w:lang w:val="fr-FR"/>
        </w:rPr>
        <w:lastRenderedPageBreak/>
        <w:tab/>
      </w:r>
      <w:r w:rsidRPr="009618BC">
        <w:rPr>
          <w:lang w:val="fr-FR"/>
        </w:rPr>
        <w:tab/>
        <w:t>Accès à l</w:t>
      </w:r>
      <w:r w:rsidR="009618BC" w:rsidRPr="009618BC">
        <w:rPr>
          <w:lang w:val="fr-FR"/>
        </w:rPr>
        <w:t>’</w:t>
      </w:r>
      <w:r w:rsidRPr="009618BC">
        <w:rPr>
          <w:lang w:val="fr-FR"/>
        </w:rPr>
        <w:t>enseignement professionnel et technique et à l</w:t>
      </w:r>
      <w:r w:rsidR="009618BC" w:rsidRPr="009618BC">
        <w:rPr>
          <w:lang w:val="fr-FR"/>
        </w:rPr>
        <w:t>’</w:t>
      </w:r>
      <w:r w:rsidR="003C3743">
        <w:rPr>
          <w:lang w:val="fr-FR"/>
        </w:rPr>
        <w:t xml:space="preserve">enseignement supérieur </w:t>
      </w:r>
      <w:r w:rsidRPr="009618BC">
        <w:rPr>
          <w:lang w:val="fr-FR"/>
        </w:rPr>
        <w:br/>
        <w:t>Établissements secondaires d</w:t>
      </w:r>
      <w:r w:rsidR="009618BC" w:rsidRPr="009618BC">
        <w:rPr>
          <w:lang w:val="fr-FR"/>
        </w:rPr>
        <w:t>’</w:t>
      </w:r>
      <w:r w:rsidRPr="009618BC">
        <w:rPr>
          <w:lang w:val="fr-FR"/>
        </w:rPr>
        <w:t>enseignement technique : 43</w:t>
      </w:r>
    </w:p>
    <w:p w:rsidR="00A72177" w:rsidRPr="009618BC" w:rsidRDefault="00A72177" w:rsidP="009618BC">
      <w:pPr>
        <w:pStyle w:val="Titre1"/>
        <w:spacing w:after="120"/>
        <w:rPr>
          <w:b/>
          <w:lang w:val="fr-FR"/>
        </w:rPr>
      </w:pPr>
      <w:r w:rsidRPr="009618BC">
        <w:rPr>
          <w:bCs/>
          <w:lang w:val="fr-FR"/>
        </w:rPr>
        <w:t>Tableau 4</w:t>
      </w:r>
      <w:r w:rsidR="009618BC">
        <w:rPr>
          <w:bCs/>
          <w:lang w:val="fr-FR"/>
        </w:rPr>
        <w:t xml:space="preserve"> </w:t>
      </w:r>
      <w:r w:rsidRPr="009618BC">
        <w:rPr>
          <w:lang w:val="fr-FR"/>
        </w:rPr>
        <w:br/>
      </w:r>
      <w:r w:rsidRPr="009618BC">
        <w:rPr>
          <w:b/>
          <w:lang w:val="fr-FR"/>
        </w:rPr>
        <w:t>Nombre d</w:t>
      </w:r>
      <w:r w:rsidR="009618BC" w:rsidRPr="009618BC">
        <w:rPr>
          <w:b/>
          <w:lang w:val="fr-FR"/>
        </w:rPr>
        <w:t>’</w:t>
      </w:r>
      <w:r w:rsidRPr="009618BC">
        <w:rPr>
          <w:b/>
          <w:lang w:val="fr-FR"/>
        </w:rPr>
        <w:t xml:space="preserve">élèves dans les établissements professionnels et techniques secondaires, </w:t>
      </w:r>
      <w:r w:rsidR="009618BC">
        <w:rPr>
          <w:b/>
          <w:lang w:val="fr-FR"/>
        </w:rPr>
        <w:br/>
      </w:r>
      <w:r w:rsidRPr="009618BC">
        <w:rPr>
          <w:b/>
          <w:lang w:val="fr-FR"/>
        </w:rPr>
        <w:t>en fonction de la langue d</w:t>
      </w:r>
      <w:r w:rsidR="009618BC" w:rsidRPr="009618BC">
        <w:rPr>
          <w:b/>
          <w:lang w:val="fr-FR"/>
        </w:rPr>
        <w:t>’</w:t>
      </w:r>
      <w:r w:rsidRPr="009618BC">
        <w:rPr>
          <w:b/>
          <w:lang w:val="fr-FR"/>
        </w:rPr>
        <w:t>enseignement</w:t>
      </w:r>
    </w:p>
    <w:tbl>
      <w:tblPr>
        <w:tblW w:w="7370" w:type="dxa"/>
        <w:tblInd w:w="1134" w:type="dxa"/>
        <w:tblLayout w:type="fixed"/>
        <w:tblCellMar>
          <w:left w:w="0" w:type="dxa"/>
          <w:right w:w="0" w:type="dxa"/>
        </w:tblCellMar>
        <w:tblLook w:val="04A0" w:firstRow="1" w:lastRow="0" w:firstColumn="1" w:lastColumn="0" w:noHBand="0" w:noVBand="1"/>
      </w:tblPr>
      <w:tblGrid>
        <w:gridCol w:w="3119"/>
        <w:gridCol w:w="1417"/>
        <w:gridCol w:w="1417"/>
        <w:gridCol w:w="1417"/>
      </w:tblGrid>
      <w:tr w:rsidR="00A72177" w:rsidRPr="009618BC" w:rsidTr="003C3743">
        <w:trPr>
          <w:tblHeader/>
        </w:trPr>
        <w:tc>
          <w:tcPr>
            <w:tcW w:w="3119" w:type="dxa"/>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rPr>
                <w:i/>
                <w:sz w:val="16"/>
                <w:lang w:val="fr-FR"/>
              </w:rPr>
            </w:pPr>
          </w:p>
        </w:tc>
        <w:tc>
          <w:tcPr>
            <w:tcW w:w="1418" w:type="dxa"/>
            <w:tcBorders>
              <w:top w:val="single" w:sz="4" w:space="0" w:color="auto"/>
              <w:bottom w:val="single" w:sz="12" w:space="0" w:color="auto"/>
            </w:tcBorders>
            <w:shd w:val="clear" w:color="auto" w:fill="auto"/>
            <w:vAlign w:val="bottom"/>
          </w:tcPr>
          <w:p w:rsidR="00A72177" w:rsidRPr="009618BC" w:rsidRDefault="003C3743" w:rsidP="009618BC">
            <w:pPr>
              <w:suppressAutoHyphens w:val="0"/>
              <w:spacing w:before="80" w:after="80" w:line="200" w:lineRule="exact"/>
              <w:jc w:val="right"/>
              <w:rPr>
                <w:i/>
                <w:sz w:val="16"/>
                <w:lang w:val="fr-FR"/>
              </w:rPr>
            </w:pPr>
            <w:r>
              <w:rPr>
                <w:i/>
                <w:sz w:val="16"/>
                <w:lang w:val="fr-FR"/>
              </w:rPr>
              <w:t>2014/</w:t>
            </w:r>
            <w:r w:rsidR="00A72177" w:rsidRPr="009618BC">
              <w:rPr>
                <w:i/>
                <w:sz w:val="16"/>
                <w:lang w:val="fr-FR"/>
              </w:rPr>
              <w:t>15</w:t>
            </w:r>
          </w:p>
        </w:tc>
        <w:tc>
          <w:tcPr>
            <w:tcW w:w="1418" w:type="dxa"/>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jc w:val="right"/>
              <w:rPr>
                <w:i/>
                <w:sz w:val="16"/>
                <w:lang w:val="fr-FR"/>
              </w:rPr>
            </w:pPr>
            <w:r w:rsidRPr="009618BC">
              <w:rPr>
                <w:i/>
                <w:sz w:val="16"/>
                <w:lang w:val="fr-FR"/>
              </w:rPr>
              <w:t>2015</w:t>
            </w:r>
            <w:r w:rsidR="003C3743">
              <w:rPr>
                <w:i/>
                <w:sz w:val="16"/>
                <w:lang w:val="fr-FR"/>
              </w:rPr>
              <w:t>/</w:t>
            </w:r>
            <w:r w:rsidRPr="009618BC">
              <w:rPr>
                <w:i/>
                <w:sz w:val="16"/>
                <w:lang w:val="fr-FR"/>
              </w:rPr>
              <w:t>16</w:t>
            </w:r>
          </w:p>
        </w:tc>
        <w:tc>
          <w:tcPr>
            <w:tcW w:w="1418" w:type="dxa"/>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jc w:val="right"/>
              <w:rPr>
                <w:i/>
                <w:sz w:val="16"/>
                <w:lang w:val="fr-FR"/>
              </w:rPr>
            </w:pPr>
            <w:r w:rsidRPr="009618BC">
              <w:rPr>
                <w:i/>
                <w:sz w:val="16"/>
                <w:lang w:val="fr-FR"/>
              </w:rPr>
              <w:t>2016</w:t>
            </w:r>
            <w:r w:rsidR="003C3743">
              <w:rPr>
                <w:i/>
                <w:sz w:val="16"/>
                <w:lang w:val="fr-FR"/>
              </w:rPr>
              <w:t>/</w:t>
            </w:r>
            <w:r w:rsidRPr="009618BC">
              <w:rPr>
                <w:i/>
                <w:sz w:val="16"/>
                <w:lang w:val="fr-FR"/>
              </w:rPr>
              <w:t>17</w:t>
            </w:r>
          </w:p>
        </w:tc>
      </w:tr>
      <w:tr w:rsidR="00A72177" w:rsidRPr="003C3743" w:rsidTr="003C3743">
        <w:tc>
          <w:tcPr>
            <w:tcW w:w="3119" w:type="dxa"/>
            <w:tcBorders>
              <w:top w:val="single" w:sz="12" w:space="0" w:color="auto"/>
              <w:bottom w:val="single" w:sz="4" w:space="0" w:color="auto"/>
            </w:tcBorders>
            <w:shd w:val="clear" w:color="auto" w:fill="auto"/>
          </w:tcPr>
          <w:p w:rsidR="00A72177" w:rsidRPr="003C3743" w:rsidRDefault="00A72177" w:rsidP="003C3743">
            <w:pPr>
              <w:suppressAutoHyphens w:val="0"/>
              <w:spacing w:before="80" w:after="80" w:line="240" w:lineRule="exact"/>
              <w:ind w:left="284"/>
              <w:rPr>
                <w:b/>
                <w:sz w:val="18"/>
                <w:lang w:val="fr-FR"/>
              </w:rPr>
            </w:pPr>
            <w:r w:rsidRPr="003C3743">
              <w:rPr>
                <w:b/>
                <w:sz w:val="18"/>
                <w:lang w:val="fr-FR"/>
              </w:rPr>
              <w:t>Nombre total d</w:t>
            </w:r>
            <w:r w:rsidR="009618BC" w:rsidRPr="003C3743">
              <w:rPr>
                <w:b/>
                <w:sz w:val="18"/>
                <w:lang w:val="fr-FR"/>
              </w:rPr>
              <w:t>’</w:t>
            </w:r>
            <w:r w:rsidRPr="003C3743">
              <w:rPr>
                <w:b/>
                <w:sz w:val="18"/>
                <w:lang w:val="fr-FR"/>
              </w:rPr>
              <w:t xml:space="preserve">élèves </w:t>
            </w:r>
          </w:p>
        </w:tc>
        <w:tc>
          <w:tcPr>
            <w:tcW w:w="1418" w:type="dxa"/>
            <w:tcBorders>
              <w:top w:val="single" w:sz="12" w:space="0" w:color="auto"/>
              <w:bottom w:val="single" w:sz="4" w:space="0" w:color="auto"/>
            </w:tcBorders>
            <w:shd w:val="clear" w:color="auto" w:fill="auto"/>
            <w:vAlign w:val="bottom"/>
          </w:tcPr>
          <w:p w:rsidR="00A72177" w:rsidRPr="003C3743" w:rsidRDefault="00A72177" w:rsidP="003C3743">
            <w:pPr>
              <w:suppressAutoHyphens w:val="0"/>
              <w:spacing w:before="80" w:after="80" w:line="240" w:lineRule="exact"/>
              <w:jc w:val="right"/>
              <w:rPr>
                <w:b/>
                <w:sz w:val="18"/>
                <w:lang w:val="fr-FR"/>
              </w:rPr>
            </w:pPr>
            <w:r w:rsidRPr="003C3743">
              <w:rPr>
                <w:b/>
                <w:sz w:val="18"/>
                <w:lang w:val="fr-FR"/>
              </w:rPr>
              <w:t>17</w:t>
            </w:r>
            <w:r w:rsidR="003C3743">
              <w:rPr>
                <w:b/>
                <w:sz w:val="18"/>
                <w:lang w:val="fr-FR"/>
              </w:rPr>
              <w:t xml:space="preserve"> </w:t>
            </w:r>
            <w:r w:rsidRPr="003C3743">
              <w:rPr>
                <w:b/>
                <w:sz w:val="18"/>
                <w:lang w:val="fr-FR"/>
              </w:rPr>
              <w:t>508 (100</w:t>
            </w:r>
            <w:r w:rsidR="003C3743">
              <w:rPr>
                <w:b/>
                <w:sz w:val="18"/>
                <w:lang w:val="fr-FR"/>
              </w:rPr>
              <w:t> </w:t>
            </w:r>
            <w:r w:rsidRPr="003C3743">
              <w:rPr>
                <w:b/>
                <w:sz w:val="18"/>
                <w:lang w:val="fr-FR"/>
              </w:rPr>
              <w:t>%)</w:t>
            </w:r>
          </w:p>
        </w:tc>
        <w:tc>
          <w:tcPr>
            <w:tcW w:w="1418" w:type="dxa"/>
            <w:tcBorders>
              <w:top w:val="single" w:sz="12" w:space="0" w:color="auto"/>
              <w:bottom w:val="single" w:sz="4" w:space="0" w:color="auto"/>
            </w:tcBorders>
            <w:shd w:val="clear" w:color="auto" w:fill="auto"/>
            <w:vAlign w:val="bottom"/>
          </w:tcPr>
          <w:p w:rsidR="00A72177" w:rsidRPr="003C3743" w:rsidRDefault="00A72177" w:rsidP="003C3743">
            <w:pPr>
              <w:suppressAutoHyphens w:val="0"/>
              <w:spacing w:before="80" w:after="80" w:line="240" w:lineRule="exact"/>
              <w:jc w:val="right"/>
              <w:rPr>
                <w:b/>
                <w:sz w:val="18"/>
                <w:lang w:val="fr-FR"/>
              </w:rPr>
            </w:pPr>
            <w:r w:rsidRPr="003C3743">
              <w:rPr>
                <w:b/>
                <w:sz w:val="18"/>
                <w:lang w:val="fr-FR"/>
              </w:rPr>
              <w:t>16</w:t>
            </w:r>
            <w:r w:rsidR="003C3743">
              <w:rPr>
                <w:b/>
                <w:sz w:val="18"/>
                <w:lang w:val="fr-FR"/>
              </w:rPr>
              <w:t xml:space="preserve"> </w:t>
            </w:r>
            <w:r w:rsidRPr="003C3743">
              <w:rPr>
                <w:b/>
                <w:sz w:val="18"/>
                <w:lang w:val="fr-FR"/>
              </w:rPr>
              <w:t>098 (100</w:t>
            </w:r>
            <w:r w:rsidR="003C3743">
              <w:rPr>
                <w:b/>
                <w:sz w:val="18"/>
                <w:lang w:val="fr-FR"/>
              </w:rPr>
              <w:t> </w:t>
            </w:r>
            <w:r w:rsidRPr="003C3743">
              <w:rPr>
                <w:b/>
                <w:sz w:val="18"/>
                <w:lang w:val="fr-FR"/>
              </w:rPr>
              <w:t>%)</w:t>
            </w:r>
          </w:p>
        </w:tc>
        <w:tc>
          <w:tcPr>
            <w:tcW w:w="1418" w:type="dxa"/>
            <w:tcBorders>
              <w:top w:val="single" w:sz="12" w:space="0" w:color="auto"/>
              <w:bottom w:val="single" w:sz="4" w:space="0" w:color="auto"/>
            </w:tcBorders>
            <w:shd w:val="clear" w:color="auto" w:fill="auto"/>
            <w:vAlign w:val="bottom"/>
          </w:tcPr>
          <w:p w:rsidR="00A72177" w:rsidRPr="003C3743" w:rsidRDefault="00A72177" w:rsidP="003C3743">
            <w:pPr>
              <w:suppressAutoHyphens w:val="0"/>
              <w:spacing w:before="80" w:after="80" w:line="240" w:lineRule="exact"/>
              <w:jc w:val="right"/>
              <w:rPr>
                <w:b/>
                <w:sz w:val="18"/>
                <w:lang w:val="fr-FR"/>
              </w:rPr>
            </w:pPr>
            <w:r w:rsidRPr="003C3743">
              <w:rPr>
                <w:b/>
                <w:sz w:val="18"/>
                <w:lang w:val="fr-FR"/>
              </w:rPr>
              <w:t>18</w:t>
            </w:r>
            <w:r w:rsidR="003C3743">
              <w:rPr>
                <w:b/>
                <w:sz w:val="18"/>
                <w:lang w:val="fr-FR"/>
              </w:rPr>
              <w:t xml:space="preserve"> </w:t>
            </w:r>
            <w:r w:rsidRPr="003C3743">
              <w:rPr>
                <w:b/>
                <w:sz w:val="18"/>
                <w:lang w:val="fr-FR"/>
              </w:rPr>
              <w:t>980 (100</w:t>
            </w:r>
            <w:r w:rsidR="003C3743">
              <w:rPr>
                <w:b/>
                <w:sz w:val="18"/>
                <w:lang w:val="fr-FR"/>
              </w:rPr>
              <w:t> </w:t>
            </w:r>
            <w:r w:rsidRPr="003C3743">
              <w:rPr>
                <w:b/>
                <w:sz w:val="18"/>
                <w:lang w:val="fr-FR"/>
              </w:rPr>
              <w:t>%)</w:t>
            </w:r>
          </w:p>
        </w:tc>
      </w:tr>
      <w:tr w:rsidR="00A72177" w:rsidRPr="009618BC" w:rsidTr="003C3743">
        <w:tc>
          <w:tcPr>
            <w:tcW w:w="3119" w:type="dxa"/>
            <w:tcBorders>
              <w:top w:val="single" w:sz="4" w:space="0" w:color="auto"/>
            </w:tcBorders>
            <w:shd w:val="clear" w:color="auto" w:fill="auto"/>
          </w:tcPr>
          <w:p w:rsidR="00A72177" w:rsidRPr="009618BC" w:rsidRDefault="00A72177" w:rsidP="009618BC">
            <w:pPr>
              <w:suppressAutoHyphens w:val="0"/>
              <w:spacing w:before="40" w:after="40" w:line="220" w:lineRule="exact"/>
              <w:rPr>
                <w:sz w:val="18"/>
                <w:lang w:val="fr-FR"/>
              </w:rPr>
            </w:pPr>
            <w:r w:rsidRPr="009618BC">
              <w:rPr>
                <w:sz w:val="18"/>
                <w:lang w:val="fr-FR"/>
              </w:rPr>
              <w:t xml:space="preserve">qui étudient : </w:t>
            </w:r>
          </w:p>
        </w:tc>
        <w:tc>
          <w:tcPr>
            <w:tcW w:w="1418"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1418"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c>
          <w:tcPr>
            <w:tcW w:w="1418"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p>
        </w:tc>
      </w:tr>
      <w:tr w:rsidR="00A72177" w:rsidRPr="009618BC" w:rsidTr="009618BC">
        <w:tc>
          <w:tcPr>
            <w:tcW w:w="3119" w:type="dxa"/>
            <w:shd w:val="clear" w:color="auto" w:fill="auto"/>
          </w:tcPr>
          <w:p w:rsidR="00A72177" w:rsidRPr="009618BC" w:rsidRDefault="00A72177" w:rsidP="003C3743">
            <w:pPr>
              <w:suppressAutoHyphens w:val="0"/>
              <w:spacing w:before="40" w:after="40" w:line="220" w:lineRule="exact"/>
              <w:ind w:left="284"/>
              <w:rPr>
                <w:sz w:val="18"/>
                <w:lang w:val="fr-FR"/>
              </w:rPr>
            </w:pPr>
            <w:r w:rsidRPr="009618BC">
              <w:rPr>
                <w:sz w:val="18"/>
                <w:lang w:val="fr-FR"/>
              </w:rPr>
              <w:t>en roumain</w:t>
            </w:r>
          </w:p>
        </w:tc>
        <w:tc>
          <w:tcPr>
            <w:tcW w:w="1418"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15</w:t>
            </w:r>
            <w:r w:rsidR="003C3743">
              <w:rPr>
                <w:sz w:val="18"/>
                <w:lang w:val="fr-FR"/>
              </w:rPr>
              <w:t xml:space="preserve"> </w:t>
            </w:r>
            <w:r w:rsidRPr="009618BC">
              <w:rPr>
                <w:sz w:val="18"/>
                <w:lang w:val="fr-FR"/>
              </w:rPr>
              <w:t>107 (86</w:t>
            </w:r>
            <w:r w:rsidR="003C3743">
              <w:rPr>
                <w:sz w:val="18"/>
                <w:lang w:val="fr-FR"/>
              </w:rPr>
              <w:t> </w:t>
            </w:r>
            <w:r w:rsidRPr="009618BC">
              <w:rPr>
                <w:sz w:val="18"/>
                <w:lang w:val="fr-FR"/>
              </w:rPr>
              <w:t>%)</w:t>
            </w:r>
          </w:p>
        </w:tc>
        <w:tc>
          <w:tcPr>
            <w:tcW w:w="1418"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14</w:t>
            </w:r>
            <w:r w:rsidR="003C3743">
              <w:rPr>
                <w:sz w:val="18"/>
                <w:lang w:val="fr-FR"/>
              </w:rPr>
              <w:t xml:space="preserve"> </w:t>
            </w:r>
            <w:r w:rsidRPr="009618BC">
              <w:rPr>
                <w:sz w:val="18"/>
                <w:lang w:val="fr-FR"/>
              </w:rPr>
              <w:t>162 (88</w:t>
            </w:r>
            <w:r w:rsidR="003C3743">
              <w:rPr>
                <w:sz w:val="18"/>
                <w:lang w:val="fr-FR"/>
              </w:rPr>
              <w:t> </w:t>
            </w:r>
            <w:r w:rsidRPr="009618BC">
              <w:rPr>
                <w:sz w:val="18"/>
                <w:lang w:val="fr-FR"/>
              </w:rPr>
              <w:t>%)</w:t>
            </w:r>
          </w:p>
        </w:tc>
        <w:tc>
          <w:tcPr>
            <w:tcW w:w="1418"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16</w:t>
            </w:r>
            <w:r w:rsidR="003C3743">
              <w:rPr>
                <w:sz w:val="18"/>
                <w:lang w:val="fr-FR"/>
              </w:rPr>
              <w:t xml:space="preserve"> </w:t>
            </w:r>
            <w:r w:rsidRPr="009618BC">
              <w:rPr>
                <w:sz w:val="18"/>
                <w:lang w:val="fr-FR"/>
              </w:rPr>
              <w:t>642 (88</w:t>
            </w:r>
            <w:r w:rsidR="003C3743">
              <w:rPr>
                <w:sz w:val="18"/>
                <w:lang w:val="fr-FR"/>
              </w:rPr>
              <w:t> </w:t>
            </w:r>
            <w:r w:rsidRPr="009618BC">
              <w:rPr>
                <w:sz w:val="18"/>
                <w:lang w:val="fr-FR"/>
              </w:rPr>
              <w:t>%)</w:t>
            </w:r>
          </w:p>
        </w:tc>
      </w:tr>
      <w:tr w:rsidR="00A72177" w:rsidRPr="009618BC" w:rsidTr="009618BC">
        <w:tc>
          <w:tcPr>
            <w:tcW w:w="3119" w:type="dxa"/>
            <w:tcBorders>
              <w:bottom w:val="single" w:sz="12" w:space="0" w:color="auto"/>
            </w:tcBorders>
            <w:shd w:val="clear" w:color="auto" w:fill="auto"/>
          </w:tcPr>
          <w:p w:rsidR="00A72177" w:rsidRPr="009618BC" w:rsidRDefault="00A72177" w:rsidP="003C3743">
            <w:pPr>
              <w:suppressAutoHyphens w:val="0"/>
              <w:spacing w:before="40" w:after="40" w:line="220" w:lineRule="exact"/>
              <w:ind w:left="284"/>
              <w:rPr>
                <w:sz w:val="18"/>
                <w:lang w:val="fr-FR"/>
              </w:rPr>
            </w:pPr>
            <w:r w:rsidRPr="009618BC">
              <w:rPr>
                <w:sz w:val="18"/>
                <w:lang w:val="fr-FR"/>
              </w:rPr>
              <w:t>en russe</w:t>
            </w:r>
          </w:p>
        </w:tc>
        <w:tc>
          <w:tcPr>
            <w:tcW w:w="1418"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w:t>
            </w:r>
            <w:r w:rsidR="003C3743">
              <w:rPr>
                <w:sz w:val="18"/>
                <w:lang w:val="fr-FR"/>
              </w:rPr>
              <w:t xml:space="preserve"> </w:t>
            </w:r>
            <w:r w:rsidRPr="009618BC">
              <w:rPr>
                <w:sz w:val="18"/>
                <w:lang w:val="fr-FR"/>
              </w:rPr>
              <w:t>401 (14</w:t>
            </w:r>
            <w:r w:rsidR="003C3743">
              <w:rPr>
                <w:sz w:val="18"/>
                <w:lang w:val="fr-FR"/>
              </w:rPr>
              <w:t> </w:t>
            </w:r>
            <w:r w:rsidRPr="009618BC">
              <w:rPr>
                <w:sz w:val="18"/>
                <w:lang w:val="fr-FR"/>
              </w:rPr>
              <w:t>%)</w:t>
            </w:r>
          </w:p>
        </w:tc>
        <w:tc>
          <w:tcPr>
            <w:tcW w:w="1418"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1</w:t>
            </w:r>
            <w:r w:rsidR="003C3743">
              <w:rPr>
                <w:sz w:val="18"/>
                <w:lang w:val="fr-FR"/>
              </w:rPr>
              <w:t xml:space="preserve"> </w:t>
            </w:r>
            <w:r w:rsidRPr="009618BC">
              <w:rPr>
                <w:sz w:val="18"/>
                <w:lang w:val="fr-FR"/>
              </w:rPr>
              <w:t>936 (12</w:t>
            </w:r>
            <w:r w:rsidR="003C3743">
              <w:rPr>
                <w:sz w:val="18"/>
                <w:lang w:val="fr-FR"/>
              </w:rPr>
              <w:t> </w:t>
            </w:r>
            <w:r w:rsidRPr="009618BC">
              <w:rPr>
                <w:sz w:val="18"/>
                <w:lang w:val="fr-FR"/>
              </w:rPr>
              <w:t>%)</w:t>
            </w:r>
          </w:p>
        </w:tc>
        <w:tc>
          <w:tcPr>
            <w:tcW w:w="1418"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w:t>
            </w:r>
            <w:r w:rsidR="003C3743">
              <w:rPr>
                <w:sz w:val="18"/>
                <w:lang w:val="fr-FR"/>
              </w:rPr>
              <w:t xml:space="preserve"> </w:t>
            </w:r>
            <w:r w:rsidRPr="009618BC">
              <w:rPr>
                <w:sz w:val="18"/>
                <w:lang w:val="fr-FR"/>
              </w:rPr>
              <w:t>338 (12</w:t>
            </w:r>
            <w:r w:rsidR="003C3743">
              <w:rPr>
                <w:sz w:val="18"/>
                <w:lang w:val="fr-FR"/>
              </w:rPr>
              <w:t> </w:t>
            </w:r>
            <w:r w:rsidRPr="009618BC">
              <w:rPr>
                <w:sz w:val="18"/>
                <w:lang w:val="fr-FR"/>
              </w:rPr>
              <w:t>%)</w:t>
            </w:r>
          </w:p>
        </w:tc>
      </w:tr>
    </w:tbl>
    <w:p w:rsidR="00A72177" w:rsidRPr="009618BC" w:rsidRDefault="00A72177" w:rsidP="009618BC">
      <w:pPr>
        <w:pStyle w:val="H23G"/>
        <w:rPr>
          <w:lang w:val="fr-FR"/>
        </w:rPr>
      </w:pPr>
      <w:r w:rsidRPr="009618BC">
        <w:rPr>
          <w:lang w:val="fr-FR"/>
        </w:rPr>
        <w:tab/>
      </w:r>
      <w:r w:rsidRPr="009618BC">
        <w:rPr>
          <w:lang w:val="fr-FR"/>
        </w:rPr>
        <w:tab/>
        <w:t xml:space="preserve">Établissements professionnels et techniques postsecondaires </w:t>
      </w:r>
      <w:r w:rsidR="009618BC">
        <w:rPr>
          <w:lang w:val="fr-FR"/>
        </w:rPr>
        <w:br/>
      </w:r>
      <w:r w:rsidRPr="009618BC">
        <w:rPr>
          <w:lang w:val="fr-FR"/>
        </w:rPr>
        <w:t>(</w:t>
      </w:r>
      <w:r w:rsidRPr="002A0600">
        <w:rPr>
          <w:lang w:val="fr-FR"/>
        </w:rPr>
        <w:t>collèges</w:t>
      </w:r>
      <w:r w:rsidRPr="009618BC">
        <w:rPr>
          <w:lang w:val="fr-FR"/>
        </w:rPr>
        <w:t xml:space="preserve"> et centres-pilotes</w:t>
      </w:r>
      <w:r w:rsidRPr="009618BC">
        <w:rPr>
          <w:rStyle w:val="Appelnotedebasdep"/>
          <w:b w:val="0"/>
        </w:rPr>
        <w:footnoteReference w:id="9"/>
      </w:r>
      <w:r w:rsidRPr="009618BC">
        <w:rPr>
          <w:lang w:val="fr-FR"/>
        </w:rPr>
        <w:t>) : 43</w:t>
      </w:r>
    </w:p>
    <w:p w:rsidR="00A72177" w:rsidRPr="009618BC" w:rsidRDefault="00A72177" w:rsidP="009618BC">
      <w:pPr>
        <w:pStyle w:val="Titre1"/>
        <w:spacing w:after="120"/>
        <w:rPr>
          <w:b/>
          <w:lang w:val="fr-FR"/>
        </w:rPr>
      </w:pPr>
      <w:r w:rsidRPr="009618BC">
        <w:rPr>
          <w:bCs/>
          <w:lang w:val="fr-FR"/>
        </w:rPr>
        <w:t>Tableau 5</w:t>
      </w:r>
      <w:r w:rsidRPr="009618BC">
        <w:rPr>
          <w:lang w:val="fr-FR"/>
        </w:rPr>
        <w:br/>
      </w:r>
      <w:r w:rsidRPr="009618BC">
        <w:rPr>
          <w:b/>
          <w:lang w:val="fr-FR"/>
        </w:rPr>
        <w:t>Nombre d</w:t>
      </w:r>
      <w:r w:rsidR="009618BC" w:rsidRPr="009618BC">
        <w:rPr>
          <w:b/>
          <w:lang w:val="fr-FR"/>
        </w:rPr>
        <w:t>’</w:t>
      </w:r>
      <w:r w:rsidRPr="009618BC">
        <w:rPr>
          <w:b/>
          <w:lang w:val="fr-FR"/>
        </w:rPr>
        <w:t xml:space="preserve">étudiants dans les établissements professionnels et techniques </w:t>
      </w:r>
      <w:r w:rsidR="009618BC">
        <w:rPr>
          <w:b/>
          <w:lang w:val="fr-FR"/>
        </w:rPr>
        <w:br/>
      </w:r>
      <w:r w:rsidRPr="009618BC">
        <w:rPr>
          <w:b/>
          <w:lang w:val="fr-FR"/>
        </w:rPr>
        <w:t>postsecondaires, en fonction de la langue d</w:t>
      </w:r>
      <w:r w:rsidR="009618BC" w:rsidRPr="009618BC">
        <w:rPr>
          <w:b/>
          <w:lang w:val="fr-FR"/>
        </w:rPr>
        <w:t>’</w:t>
      </w:r>
      <w:r w:rsidRPr="009618BC">
        <w:rPr>
          <w:b/>
          <w:lang w:val="fr-FR"/>
        </w:rPr>
        <w:t>enseignement</w:t>
      </w:r>
    </w:p>
    <w:tbl>
      <w:tblPr>
        <w:tblW w:w="8504" w:type="dxa"/>
        <w:tblInd w:w="1134" w:type="dxa"/>
        <w:tblLayout w:type="fixed"/>
        <w:tblCellMar>
          <w:left w:w="0" w:type="dxa"/>
          <w:right w:w="0" w:type="dxa"/>
        </w:tblCellMar>
        <w:tblLook w:val="04A0" w:firstRow="1" w:lastRow="0" w:firstColumn="1" w:lastColumn="0" w:noHBand="0" w:noVBand="1"/>
      </w:tblPr>
      <w:tblGrid>
        <w:gridCol w:w="3926"/>
        <w:gridCol w:w="1472"/>
        <w:gridCol w:w="1636"/>
        <w:gridCol w:w="1470"/>
      </w:tblGrid>
      <w:tr w:rsidR="009618BC" w:rsidRPr="009618BC" w:rsidTr="005111B6">
        <w:trPr>
          <w:tblHeader/>
        </w:trPr>
        <w:tc>
          <w:tcPr>
            <w:tcW w:w="3402" w:type="dxa"/>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rPr>
                <w:i/>
                <w:sz w:val="16"/>
                <w:lang w:val="fr-FR"/>
              </w:rPr>
            </w:pPr>
          </w:p>
        </w:tc>
        <w:tc>
          <w:tcPr>
            <w:tcW w:w="1276" w:type="dxa"/>
            <w:tcBorders>
              <w:top w:val="single" w:sz="4" w:space="0" w:color="auto"/>
              <w:bottom w:val="single" w:sz="12" w:space="0" w:color="auto"/>
            </w:tcBorders>
            <w:shd w:val="clear" w:color="auto" w:fill="auto"/>
            <w:vAlign w:val="bottom"/>
          </w:tcPr>
          <w:p w:rsidR="00A72177" w:rsidRPr="009618BC" w:rsidRDefault="003C3743" w:rsidP="009618BC">
            <w:pPr>
              <w:suppressAutoHyphens w:val="0"/>
              <w:spacing w:before="80" w:after="80" w:line="200" w:lineRule="exact"/>
              <w:jc w:val="right"/>
              <w:rPr>
                <w:i/>
                <w:sz w:val="16"/>
                <w:lang w:val="fr-FR"/>
              </w:rPr>
            </w:pPr>
            <w:r>
              <w:rPr>
                <w:i/>
                <w:sz w:val="16"/>
                <w:lang w:val="fr-FR"/>
              </w:rPr>
              <w:t>2014/</w:t>
            </w:r>
            <w:r w:rsidR="00A72177" w:rsidRPr="009618BC">
              <w:rPr>
                <w:i/>
                <w:sz w:val="16"/>
                <w:lang w:val="fr-FR"/>
              </w:rPr>
              <w:t>15</w:t>
            </w:r>
          </w:p>
        </w:tc>
        <w:tc>
          <w:tcPr>
            <w:tcW w:w="1418" w:type="dxa"/>
            <w:tcBorders>
              <w:top w:val="single" w:sz="4" w:space="0" w:color="auto"/>
              <w:bottom w:val="single" w:sz="12" w:space="0" w:color="auto"/>
            </w:tcBorders>
            <w:shd w:val="clear" w:color="auto" w:fill="auto"/>
            <w:vAlign w:val="bottom"/>
          </w:tcPr>
          <w:p w:rsidR="00A72177" w:rsidRPr="009618BC" w:rsidRDefault="00A72177" w:rsidP="009618BC">
            <w:pPr>
              <w:suppressAutoHyphens w:val="0"/>
              <w:spacing w:before="80" w:after="80" w:line="200" w:lineRule="exact"/>
              <w:jc w:val="right"/>
              <w:rPr>
                <w:i/>
                <w:sz w:val="16"/>
                <w:lang w:val="fr-FR"/>
              </w:rPr>
            </w:pPr>
            <w:r w:rsidRPr="009618BC">
              <w:rPr>
                <w:i/>
                <w:sz w:val="16"/>
                <w:lang w:val="fr-FR"/>
              </w:rPr>
              <w:t>2015</w:t>
            </w:r>
            <w:r w:rsidR="003C3743">
              <w:rPr>
                <w:i/>
                <w:sz w:val="16"/>
                <w:lang w:val="fr-FR"/>
              </w:rPr>
              <w:t>/</w:t>
            </w:r>
            <w:r w:rsidRPr="009618BC">
              <w:rPr>
                <w:i/>
                <w:sz w:val="16"/>
                <w:lang w:val="fr-FR"/>
              </w:rPr>
              <w:t>16</w:t>
            </w:r>
          </w:p>
        </w:tc>
        <w:tc>
          <w:tcPr>
            <w:tcW w:w="1274" w:type="dxa"/>
            <w:tcBorders>
              <w:top w:val="single" w:sz="4" w:space="0" w:color="auto"/>
              <w:bottom w:val="single" w:sz="12" w:space="0" w:color="auto"/>
            </w:tcBorders>
            <w:shd w:val="clear" w:color="auto" w:fill="auto"/>
            <w:vAlign w:val="bottom"/>
          </w:tcPr>
          <w:p w:rsidR="00A72177" w:rsidRPr="009618BC" w:rsidRDefault="003C3743" w:rsidP="009618BC">
            <w:pPr>
              <w:suppressAutoHyphens w:val="0"/>
              <w:spacing w:before="80" w:after="80" w:line="200" w:lineRule="exact"/>
              <w:jc w:val="right"/>
              <w:rPr>
                <w:i/>
                <w:sz w:val="16"/>
                <w:lang w:val="fr-FR"/>
              </w:rPr>
            </w:pPr>
            <w:r>
              <w:rPr>
                <w:i/>
                <w:sz w:val="16"/>
                <w:lang w:val="fr-FR"/>
              </w:rPr>
              <w:t>2016/</w:t>
            </w:r>
            <w:r w:rsidR="00A72177" w:rsidRPr="009618BC">
              <w:rPr>
                <w:i/>
                <w:sz w:val="16"/>
                <w:lang w:val="fr-FR"/>
              </w:rPr>
              <w:t>17</w:t>
            </w:r>
          </w:p>
        </w:tc>
      </w:tr>
      <w:tr w:rsidR="00A72177" w:rsidRPr="005111B6" w:rsidTr="005111B6">
        <w:tc>
          <w:tcPr>
            <w:tcW w:w="3402" w:type="dxa"/>
            <w:tcBorders>
              <w:top w:val="single" w:sz="12" w:space="0" w:color="auto"/>
              <w:bottom w:val="single" w:sz="4" w:space="0" w:color="auto"/>
            </w:tcBorders>
            <w:shd w:val="clear" w:color="auto" w:fill="auto"/>
          </w:tcPr>
          <w:p w:rsidR="00A72177" w:rsidRPr="005111B6" w:rsidRDefault="00A72177" w:rsidP="005111B6">
            <w:pPr>
              <w:suppressAutoHyphens w:val="0"/>
              <w:spacing w:before="80" w:after="80" w:line="240" w:lineRule="exact"/>
              <w:ind w:left="284"/>
              <w:rPr>
                <w:b/>
                <w:bCs/>
                <w:sz w:val="18"/>
                <w:lang w:val="fr-FR"/>
              </w:rPr>
            </w:pPr>
            <w:r w:rsidRPr="005111B6">
              <w:rPr>
                <w:b/>
                <w:sz w:val="18"/>
                <w:lang w:val="fr-FR"/>
              </w:rPr>
              <w:t>Nombre total d</w:t>
            </w:r>
            <w:r w:rsidR="009618BC" w:rsidRPr="005111B6">
              <w:rPr>
                <w:b/>
                <w:sz w:val="18"/>
                <w:lang w:val="fr-FR"/>
              </w:rPr>
              <w:t>’</w:t>
            </w:r>
            <w:r w:rsidRPr="005111B6">
              <w:rPr>
                <w:b/>
                <w:sz w:val="18"/>
                <w:lang w:val="fr-FR"/>
              </w:rPr>
              <w:t>élèves, qui étudient </w:t>
            </w:r>
            <w:r w:rsidRPr="005111B6">
              <w:rPr>
                <w:b/>
                <w:bCs/>
                <w:sz w:val="18"/>
                <w:lang w:val="fr-FR"/>
              </w:rPr>
              <w:t>:</w:t>
            </w:r>
          </w:p>
        </w:tc>
        <w:tc>
          <w:tcPr>
            <w:tcW w:w="1276" w:type="dxa"/>
            <w:tcBorders>
              <w:top w:val="single" w:sz="12" w:space="0" w:color="auto"/>
              <w:bottom w:val="single" w:sz="4" w:space="0" w:color="auto"/>
            </w:tcBorders>
            <w:shd w:val="clear" w:color="auto" w:fill="auto"/>
            <w:vAlign w:val="bottom"/>
          </w:tcPr>
          <w:p w:rsidR="00A72177" w:rsidRPr="005111B6" w:rsidRDefault="00A72177" w:rsidP="005111B6">
            <w:pPr>
              <w:suppressAutoHyphens w:val="0"/>
              <w:spacing w:before="80" w:after="80" w:line="240" w:lineRule="exact"/>
              <w:jc w:val="right"/>
              <w:rPr>
                <w:b/>
                <w:sz w:val="18"/>
                <w:lang w:val="fr-FR"/>
              </w:rPr>
            </w:pPr>
            <w:r w:rsidRPr="005111B6">
              <w:rPr>
                <w:b/>
                <w:sz w:val="18"/>
                <w:lang w:val="fr-FR"/>
              </w:rPr>
              <w:t>29</w:t>
            </w:r>
            <w:r w:rsidR="003C3743" w:rsidRPr="005111B6">
              <w:rPr>
                <w:b/>
                <w:sz w:val="18"/>
                <w:lang w:val="fr-FR"/>
              </w:rPr>
              <w:t xml:space="preserve"> </w:t>
            </w:r>
            <w:r w:rsidRPr="005111B6">
              <w:rPr>
                <w:b/>
                <w:sz w:val="18"/>
                <w:lang w:val="fr-FR"/>
              </w:rPr>
              <w:t>810 (100</w:t>
            </w:r>
            <w:r w:rsidR="003C3743" w:rsidRPr="005111B6">
              <w:rPr>
                <w:b/>
                <w:sz w:val="18"/>
                <w:lang w:val="fr-FR"/>
              </w:rPr>
              <w:t xml:space="preserve"> </w:t>
            </w:r>
            <w:r w:rsidRPr="005111B6">
              <w:rPr>
                <w:b/>
                <w:sz w:val="18"/>
                <w:lang w:val="fr-FR"/>
              </w:rPr>
              <w:t>%)</w:t>
            </w:r>
          </w:p>
        </w:tc>
        <w:tc>
          <w:tcPr>
            <w:tcW w:w="1418" w:type="dxa"/>
            <w:tcBorders>
              <w:top w:val="single" w:sz="12" w:space="0" w:color="auto"/>
              <w:bottom w:val="single" w:sz="4" w:space="0" w:color="auto"/>
            </w:tcBorders>
            <w:shd w:val="clear" w:color="auto" w:fill="auto"/>
            <w:vAlign w:val="bottom"/>
          </w:tcPr>
          <w:p w:rsidR="00A72177" w:rsidRPr="005111B6" w:rsidRDefault="00A72177" w:rsidP="005111B6">
            <w:pPr>
              <w:suppressAutoHyphens w:val="0"/>
              <w:spacing w:before="80" w:after="80" w:line="240" w:lineRule="exact"/>
              <w:jc w:val="right"/>
              <w:rPr>
                <w:b/>
                <w:sz w:val="18"/>
                <w:lang w:val="fr-FR"/>
              </w:rPr>
            </w:pPr>
            <w:r w:rsidRPr="005111B6">
              <w:rPr>
                <w:b/>
                <w:sz w:val="18"/>
                <w:lang w:val="fr-FR"/>
              </w:rPr>
              <w:t>30</w:t>
            </w:r>
            <w:r w:rsidR="003C3743" w:rsidRPr="005111B6">
              <w:rPr>
                <w:b/>
                <w:sz w:val="18"/>
                <w:lang w:val="fr-FR"/>
              </w:rPr>
              <w:t xml:space="preserve"> </w:t>
            </w:r>
            <w:r w:rsidRPr="005111B6">
              <w:rPr>
                <w:b/>
                <w:sz w:val="18"/>
                <w:lang w:val="fr-FR"/>
              </w:rPr>
              <w:t>428 (100</w:t>
            </w:r>
            <w:r w:rsidR="003C3743" w:rsidRPr="005111B6">
              <w:rPr>
                <w:b/>
                <w:sz w:val="18"/>
                <w:lang w:val="fr-FR"/>
              </w:rPr>
              <w:t xml:space="preserve"> </w:t>
            </w:r>
            <w:r w:rsidRPr="005111B6">
              <w:rPr>
                <w:b/>
                <w:sz w:val="18"/>
                <w:lang w:val="fr-FR"/>
              </w:rPr>
              <w:t>%)</w:t>
            </w:r>
          </w:p>
        </w:tc>
        <w:tc>
          <w:tcPr>
            <w:tcW w:w="1274" w:type="dxa"/>
            <w:tcBorders>
              <w:top w:val="single" w:sz="12" w:space="0" w:color="auto"/>
              <w:bottom w:val="single" w:sz="4" w:space="0" w:color="auto"/>
            </w:tcBorders>
            <w:shd w:val="clear" w:color="auto" w:fill="auto"/>
            <w:vAlign w:val="bottom"/>
          </w:tcPr>
          <w:p w:rsidR="00A72177" w:rsidRPr="005111B6" w:rsidRDefault="00A72177" w:rsidP="005111B6">
            <w:pPr>
              <w:suppressAutoHyphens w:val="0"/>
              <w:spacing w:before="80" w:after="80" w:line="240" w:lineRule="exact"/>
              <w:jc w:val="right"/>
              <w:rPr>
                <w:b/>
                <w:sz w:val="18"/>
                <w:lang w:val="fr-FR"/>
              </w:rPr>
            </w:pPr>
            <w:r w:rsidRPr="005111B6">
              <w:rPr>
                <w:b/>
                <w:sz w:val="18"/>
                <w:lang w:val="fr-FR"/>
              </w:rPr>
              <w:t>29</w:t>
            </w:r>
            <w:r w:rsidR="003C3743" w:rsidRPr="005111B6">
              <w:rPr>
                <w:b/>
                <w:sz w:val="18"/>
                <w:lang w:val="fr-FR"/>
              </w:rPr>
              <w:t xml:space="preserve"> </w:t>
            </w:r>
            <w:r w:rsidRPr="005111B6">
              <w:rPr>
                <w:b/>
                <w:sz w:val="18"/>
                <w:lang w:val="fr-FR"/>
              </w:rPr>
              <w:t>811 (100</w:t>
            </w:r>
            <w:r w:rsidR="003C3743" w:rsidRPr="005111B6">
              <w:rPr>
                <w:b/>
                <w:sz w:val="18"/>
                <w:lang w:val="fr-FR"/>
              </w:rPr>
              <w:t xml:space="preserve"> </w:t>
            </w:r>
            <w:r w:rsidRPr="005111B6">
              <w:rPr>
                <w:b/>
                <w:sz w:val="18"/>
                <w:lang w:val="fr-FR"/>
              </w:rPr>
              <w:t>%)</w:t>
            </w:r>
          </w:p>
        </w:tc>
      </w:tr>
      <w:tr w:rsidR="00A72177" w:rsidRPr="009618BC" w:rsidTr="005111B6">
        <w:tc>
          <w:tcPr>
            <w:tcW w:w="3402" w:type="dxa"/>
            <w:tcBorders>
              <w:top w:val="single" w:sz="4" w:space="0" w:color="auto"/>
            </w:tcBorders>
            <w:shd w:val="clear" w:color="auto" w:fill="auto"/>
          </w:tcPr>
          <w:p w:rsidR="00A72177" w:rsidRPr="009618BC" w:rsidRDefault="00A72177" w:rsidP="009618BC">
            <w:pPr>
              <w:suppressAutoHyphens w:val="0"/>
              <w:spacing w:before="40" w:after="40" w:line="220" w:lineRule="exact"/>
              <w:rPr>
                <w:sz w:val="18"/>
                <w:lang w:val="fr-FR"/>
              </w:rPr>
            </w:pPr>
            <w:r w:rsidRPr="009618BC">
              <w:rPr>
                <w:sz w:val="18"/>
                <w:lang w:val="fr-FR"/>
              </w:rPr>
              <w:t xml:space="preserve">en roumain </w:t>
            </w:r>
          </w:p>
        </w:tc>
        <w:tc>
          <w:tcPr>
            <w:tcW w:w="1276"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25</w:t>
            </w:r>
            <w:r w:rsidR="003C3743">
              <w:rPr>
                <w:sz w:val="18"/>
                <w:lang w:val="fr-FR"/>
              </w:rPr>
              <w:t xml:space="preserve"> </w:t>
            </w:r>
            <w:r w:rsidRPr="009618BC">
              <w:rPr>
                <w:sz w:val="18"/>
                <w:lang w:val="fr-FR"/>
              </w:rPr>
              <w:t>836 (87</w:t>
            </w:r>
            <w:r w:rsidR="003C3743">
              <w:rPr>
                <w:sz w:val="18"/>
                <w:lang w:val="fr-FR"/>
              </w:rPr>
              <w:t xml:space="preserve"> </w:t>
            </w:r>
            <w:r w:rsidRPr="009618BC">
              <w:rPr>
                <w:sz w:val="18"/>
                <w:lang w:val="fr-FR"/>
              </w:rPr>
              <w:t>%)</w:t>
            </w:r>
          </w:p>
        </w:tc>
        <w:tc>
          <w:tcPr>
            <w:tcW w:w="1418"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26</w:t>
            </w:r>
            <w:r w:rsidR="003C3743">
              <w:rPr>
                <w:sz w:val="18"/>
                <w:lang w:val="fr-FR"/>
              </w:rPr>
              <w:t xml:space="preserve"> </w:t>
            </w:r>
            <w:r w:rsidRPr="009618BC">
              <w:rPr>
                <w:sz w:val="18"/>
                <w:lang w:val="fr-FR"/>
              </w:rPr>
              <w:t>445 (87</w:t>
            </w:r>
            <w:r w:rsidR="003C3743">
              <w:rPr>
                <w:sz w:val="18"/>
                <w:lang w:val="fr-FR"/>
              </w:rPr>
              <w:t xml:space="preserve"> </w:t>
            </w:r>
            <w:r w:rsidRPr="009618BC">
              <w:rPr>
                <w:sz w:val="18"/>
                <w:lang w:val="fr-FR"/>
              </w:rPr>
              <w:t>%)</w:t>
            </w:r>
          </w:p>
        </w:tc>
        <w:tc>
          <w:tcPr>
            <w:tcW w:w="1274" w:type="dxa"/>
            <w:tcBorders>
              <w:top w:val="single" w:sz="4"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25</w:t>
            </w:r>
            <w:r w:rsidR="003C3743">
              <w:rPr>
                <w:sz w:val="18"/>
                <w:lang w:val="fr-FR"/>
              </w:rPr>
              <w:t> </w:t>
            </w:r>
            <w:r w:rsidRPr="009618BC">
              <w:rPr>
                <w:sz w:val="18"/>
                <w:lang w:val="fr-FR"/>
              </w:rPr>
              <w:t>824</w:t>
            </w:r>
            <w:r w:rsidR="003C3743">
              <w:rPr>
                <w:sz w:val="18"/>
                <w:lang w:val="fr-FR"/>
              </w:rPr>
              <w:t xml:space="preserve"> </w:t>
            </w:r>
            <w:r w:rsidRPr="009618BC">
              <w:rPr>
                <w:sz w:val="18"/>
                <w:lang w:val="fr-FR"/>
              </w:rPr>
              <w:t>(87</w:t>
            </w:r>
            <w:r w:rsidR="003C3743">
              <w:rPr>
                <w:sz w:val="18"/>
                <w:lang w:val="fr-FR"/>
              </w:rPr>
              <w:t xml:space="preserve"> </w:t>
            </w:r>
            <w:r w:rsidRPr="009618BC">
              <w:rPr>
                <w:sz w:val="18"/>
                <w:lang w:val="fr-FR"/>
              </w:rPr>
              <w:t>%)</w:t>
            </w:r>
          </w:p>
        </w:tc>
      </w:tr>
      <w:tr w:rsidR="00A72177" w:rsidRPr="009618BC" w:rsidTr="003C3743">
        <w:tc>
          <w:tcPr>
            <w:tcW w:w="3402" w:type="dxa"/>
            <w:shd w:val="clear" w:color="auto" w:fill="auto"/>
          </w:tcPr>
          <w:p w:rsidR="00A72177" w:rsidRPr="009618BC" w:rsidRDefault="00A72177" w:rsidP="009618BC">
            <w:pPr>
              <w:suppressAutoHyphens w:val="0"/>
              <w:spacing w:before="40" w:after="40" w:line="220" w:lineRule="exact"/>
              <w:rPr>
                <w:sz w:val="18"/>
                <w:lang w:val="fr-FR"/>
              </w:rPr>
            </w:pPr>
            <w:r w:rsidRPr="009618BC">
              <w:rPr>
                <w:sz w:val="18"/>
                <w:lang w:val="fr-FR"/>
              </w:rPr>
              <w:t xml:space="preserve">en russe </w:t>
            </w:r>
          </w:p>
        </w:tc>
        <w:tc>
          <w:tcPr>
            <w:tcW w:w="1276"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3</w:t>
            </w:r>
            <w:r w:rsidR="003C3743">
              <w:rPr>
                <w:sz w:val="18"/>
                <w:lang w:val="fr-FR"/>
              </w:rPr>
              <w:t xml:space="preserve"> </w:t>
            </w:r>
            <w:r w:rsidRPr="009618BC">
              <w:rPr>
                <w:sz w:val="18"/>
                <w:lang w:val="fr-FR"/>
              </w:rPr>
              <w:t>568 (12</w:t>
            </w:r>
            <w:r w:rsidR="003C3743">
              <w:rPr>
                <w:sz w:val="18"/>
                <w:lang w:val="fr-FR"/>
              </w:rPr>
              <w:t xml:space="preserve"> </w:t>
            </w:r>
            <w:r w:rsidRPr="009618BC">
              <w:rPr>
                <w:sz w:val="18"/>
                <w:lang w:val="fr-FR"/>
              </w:rPr>
              <w:t>%)</w:t>
            </w:r>
          </w:p>
        </w:tc>
        <w:tc>
          <w:tcPr>
            <w:tcW w:w="1418"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3</w:t>
            </w:r>
            <w:r w:rsidR="003C3743">
              <w:rPr>
                <w:sz w:val="18"/>
                <w:lang w:val="fr-FR"/>
              </w:rPr>
              <w:t xml:space="preserve"> </w:t>
            </w:r>
            <w:r w:rsidRPr="009618BC">
              <w:rPr>
                <w:sz w:val="18"/>
                <w:lang w:val="fr-FR"/>
              </w:rPr>
              <w:t>566 (12</w:t>
            </w:r>
            <w:r w:rsidR="003C3743">
              <w:rPr>
                <w:sz w:val="18"/>
                <w:lang w:val="fr-FR"/>
              </w:rPr>
              <w:t xml:space="preserve"> </w:t>
            </w:r>
            <w:r w:rsidRPr="009618BC">
              <w:rPr>
                <w:sz w:val="18"/>
                <w:lang w:val="fr-FR"/>
              </w:rPr>
              <w:t>%)</w:t>
            </w:r>
          </w:p>
        </w:tc>
        <w:tc>
          <w:tcPr>
            <w:tcW w:w="1274" w:type="dxa"/>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3</w:t>
            </w:r>
            <w:r w:rsidR="003C3743">
              <w:rPr>
                <w:sz w:val="18"/>
                <w:lang w:val="fr-FR"/>
              </w:rPr>
              <w:t xml:space="preserve"> </w:t>
            </w:r>
            <w:r w:rsidRPr="009618BC">
              <w:rPr>
                <w:sz w:val="18"/>
                <w:lang w:val="fr-FR"/>
              </w:rPr>
              <w:t>591 (12</w:t>
            </w:r>
            <w:r w:rsidR="003C3743">
              <w:rPr>
                <w:sz w:val="18"/>
                <w:lang w:val="fr-FR"/>
              </w:rPr>
              <w:t xml:space="preserve"> </w:t>
            </w:r>
            <w:r w:rsidRPr="009618BC">
              <w:rPr>
                <w:sz w:val="18"/>
                <w:lang w:val="fr-FR"/>
              </w:rPr>
              <w:t>%)</w:t>
            </w:r>
          </w:p>
        </w:tc>
      </w:tr>
      <w:tr w:rsidR="00A72177" w:rsidRPr="009618BC" w:rsidTr="003C3743">
        <w:tc>
          <w:tcPr>
            <w:tcW w:w="3402" w:type="dxa"/>
            <w:tcBorders>
              <w:bottom w:val="single" w:sz="12" w:space="0" w:color="auto"/>
            </w:tcBorders>
            <w:shd w:val="clear" w:color="auto" w:fill="auto"/>
          </w:tcPr>
          <w:p w:rsidR="00A72177" w:rsidRPr="009618BC" w:rsidRDefault="00A72177" w:rsidP="009618BC">
            <w:pPr>
              <w:suppressAutoHyphens w:val="0"/>
              <w:spacing w:before="40" w:after="40" w:line="220" w:lineRule="exact"/>
              <w:rPr>
                <w:sz w:val="18"/>
                <w:lang w:val="fr-FR"/>
              </w:rPr>
            </w:pPr>
            <w:r w:rsidRPr="009618BC">
              <w:rPr>
                <w:sz w:val="18"/>
                <w:lang w:val="fr-FR"/>
              </w:rPr>
              <w:t>Autres langues (gagaouze/russe, bulgare</w:t>
            </w:r>
            <w:r w:rsidR="002A0600">
              <w:rPr>
                <w:sz w:val="18"/>
                <w:lang w:val="fr-FR"/>
              </w:rPr>
              <w:t>/</w:t>
            </w:r>
            <w:r w:rsidRPr="009618BC">
              <w:rPr>
                <w:sz w:val="18"/>
                <w:lang w:val="fr-FR"/>
              </w:rPr>
              <w:t>russe)</w:t>
            </w:r>
          </w:p>
        </w:tc>
        <w:tc>
          <w:tcPr>
            <w:tcW w:w="1276"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406 (1</w:t>
            </w:r>
            <w:r w:rsidR="003C3743">
              <w:rPr>
                <w:sz w:val="18"/>
                <w:lang w:val="fr-FR"/>
              </w:rPr>
              <w:t xml:space="preserve"> </w:t>
            </w:r>
            <w:r w:rsidRPr="009618BC">
              <w:rPr>
                <w:sz w:val="18"/>
                <w:lang w:val="fr-FR"/>
              </w:rPr>
              <w:t>%)</w:t>
            </w:r>
          </w:p>
        </w:tc>
        <w:tc>
          <w:tcPr>
            <w:tcW w:w="1418"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417 (1</w:t>
            </w:r>
            <w:r w:rsidR="003C3743">
              <w:rPr>
                <w:sz w:val="18"/>
                <w:lang w:val="fr-FR"/>
              </w:rPr>
              <w:t xml:space="preserve"> </w:t>
            </w:r>
            <w:r w:rsidRPr="009618BC">
              <w:rPr>
                <w:sz w:val="18"/>
                <w:lang w:val="fr-FR"/>
              </w:rPr>
              <w:t>%)</w:t>
            </w:r>
          </w:p>
        </w:tc>
        <w:tc>
          <w:tcPr>
            <w:tcW w:w="1274" w:type="dxa"/>
            <w:tcBorders>
              <w:bottom w:val="single" w:sz="12" w:space="0" w:color="auto"/>
            </w:tcBorders>
            <w:shd w:val="clear" w:color="auto" w:fill="auto"/>
            <w:vAlign w:val="bottom"/>
          </w:tcPr>
          <w:p w:rsidR="00A72177" w:rsidRPr="009618BC" w:rsidRDefault="00A72177" w:rsidP="009618BC">
            <w:pPr>
              <w:suppressAutoHyphens w:val="0"/>
              <w:spacing w:before="40" w:after="40" w:line="220" w:lineRule="exact"/>
              <w:jc w:val="right"/>
              <w:rPr>
                <w:sz w:val="18"/>
                <w:lang w:val="fr-FR"/>
              </w:rPr>
            </w:pPr>
            <w:r w:rsidRPr="009618BC">
              <w:rPr>
                <w:sz w:val="18"/>
                <w:lang w:val="fr-FR"/>
              </w:rPr>
              <w:t>396 (1</w:t>
            </w:r>
            <w:r w:rsidR="003C3743">
              <w:rPr>
                <w:sz w:val="18"/>
                <w:lang w:val="fr-FR"/>
              </w:rPr>
              <w:t xml:space="preserve"> </w:t>
            </w:r>
            <w:r w:rsidRPr="009618BC">
              <w:rPr>
                <w:sz w:val="18"/>
                <w:lang w:val="fr-FR"/>
              </w:rPr>
              <w:t>%)</w:t>
            </w:r>
          </w:p>
        </w:tc>
      </w:tr>
    </w:tbl>
    <w:p w:rsidR="00A72177" w:rsidRPr="009618BC" w:rsidRDefault="00A72177" w:rsidP="009618BC">
      <w:pPr>
        <w:pStyle w:val="H23G"/>
        <w:rPr>
          <w:lang w:val="fr-FR"/>
        </w:rPr>
      </w:pPr>
      <w:r w:rsidRPr="009618BC">
        <w:rPr>
          <w:lang w:val="fr-FR"/>
        </w:rPr>
        <w:tab/>
      </w:r>
      <w:r w:rsidRPr="009618BC">
        <w:rPr>
          <w:lang w:val="fr-FR"/>
        </w:rPr>
        <w:tab/>
        <w:t>Accès à l</w:t>
      </w:r>
      <w:r w:rsidR="009618BC" w:rsidRPr="009618BC">
        <w:rPr>
          <w:lang w:val="fr-FR"/>
        </w:rPr>
        <w:t>’</w:t>
      </w:r>
      <w:r w:rsidRPr="009618BC">
        <w:rPr>
          <w:lang w:val="fr-FR"/>
        </w:rPr>
        <w:t>enseignement supérieur</w:t>
      </w:r>
    </w:p>
    <w:p w:rsidR="00A72177" w:rsidRPr="009618BC" w:rsidRDefault="00A72177" w:rsidP="009618BC">
      <w:pPr>
        <w:pStyle w:val="SingleTxtG"/>
        <w:rPr>
          <w:lang w:val="fr-FR"/>
        </w:rPr>
      </w:pPr>
      <w:r w:rsidRPr="009618BC">
        <w:rPr>
          <w:lang w:val="fr-FR"/>
        </w:rPr>
        <w:t>39.</w:t>
      </w:r>
      <w:r w:rsidRPr="009618BC">
        <w:rPr>
          <w:lang w:val="fr-FR"/>
        </w:rPr>
        <w:tab/>
        <w:t>Conformément aux dispositions</w:t>
      </w:r>
      <w:r w:rsidR="002A0600">
        <w:t>-</w:t>
      </w:r>
      <w:r w:rsidRPr="009618BC">
        <w:rPr>
          <w:lang w:val="fr-FR"/>
        </w:rPr>
        <w:t>cadres relatives à l</w:t>
      </w:r>
      <w:r w:rsidR="009618BC" w:rsidRPr="009618BC">
        <w:rPr>
          <w:lang w:val="fr-FR"/>
        </w:rPr>
        <w:t>’</w:t>
      </w:r>
      <w:r w:rsidRPr="009618BC">
        <w:rPr>
          <w:lang w:val="fr-FR"/>
        </w:rPr>
        <w:t>organisation des admissions dans les établissements d</w:t>
      </w:r>
      <w:r w:rsidR="009618BC" w:rsidRPr="009618BC">
        <w:rPr>
          <w:lang w:val="fr-FR"/>
        </w:rPr>
        <w:t>’</w:t>
      </w:r>
      <w:r w:rsidRPr="009618BC">
        <w:rPr>
          <w:lang w:val="fr-FR"/>
        </w:rPr>
        <w:t>enseignement supérieur de la République de Moldova, dispositions qui sont confirmées chaque année, des privilèges sont accordés à certains groupes sociaux vulnérables de la population : 15 % des places subventionnées par l</w:t>
      </w:r>
      <w:r w:rsidR="009618BC" w:rsidRPr="009618BC">
        <w:rPr>
          <w:lang w:val="fr-FR"/>
        </w:rPr>
        <w:t>’</w:t>
      </w:r>
      <w:r w:rsidRPr="009618BC">
        <w:rPr>
          <w:lang w:val="fr-FR"/>
        </w:rPr>
        <w:t>État (pour chaque spécialité ou domaine de formation professionnelle et forme d</w:t>
      </w:r>
      <w:r w:rsidR="009618BC" w:rsidRPr="009618BC">
        <w:rPr>
          <w:lang w:val="fr-FR"/>
        </w:rPr>
        <w:t>’</w:t>
      </w:r>
      <w:r w:rsidRPr="009618BC">
        <w:rPr>
          <w:lang w:val="fr-FR"/>
        </w:rPr>
        <w:t>enseignement conformément au quota d</w:t>
      </w:r>
      <w:r w:rsidR="009618BC" w:rsidRPr="009618BC">
        <w:rPr>
          <w:lang w:val="fr-FR"/>
        </w:rPr>
        <w:t>’</w:t>
      </w:r>
      <w:r w:rsidRPr="009618BC">
        <w:rPr>
          <w:lang w:val="fr-FR"/>
        </w:rPr>
        <w:t>admission) sont réservées aux bacheliers issus de ces groupes, notamment roms. L</w:t>
      </w:r>
      <w:r w:rsidR="009618BC" w:rsidRPr="009618BC">
        <w:rPr>
          <w:lang w:val="fr-FR"/>
        </w:rPr>
        <w:t>’</w:t>
      </w:r>
      <w:r w:rsidRPr="009618BC">
        <w:rPr>
          <w:lang w:val="fr-FR"/>
        </w:rPr>
        <w:t>inclusion dans ce quota se fait à la demande des candidats.</w:t>
      </w:r>
    </w:p>
    <w:p w:rsidR="00A72177" w:rsidRPr="009618BC" w:rsidRDefault="00A72177" w:rsidP="009618BC">
      <w:pPr>
        <w:pStyle w:val="SingleTxtG"/>
        <w:rPr>
          <w:lang w:val="fr-FR"/>
        </w:rPr>
      </w:pPr>
      <w:r w:rsidRPr="009618BC">
        <w:rPr>
          <w:lang w:val="fr-FR"/>
        </w:rPr>
        <w:t>40.</w:t>
      </w:r>
      <w:r w:rsidRPr="009618BC">
        <w:rPr>
          <w:lang w:val="fr-FR"/>
        </w:rPr>
        <w:tab/>
        <w:t>À l</w:t>
      </w:r>
      <w:r w:rsidR="009618BC" w:rsidRPr="009618BC">
        <w:rPr>
          <w:lang w:val="fr-FR"/>
        </w:rPr>
        <w:t>’</w:t>
      </w:r>
      <w:r w:rsidRPr="009618BC">
        <w:rPr>
          <w:lang w:val="fr-FR"/>
        </w:rPr>
        <w:t>heure actuelle, le réseau des établissements d</w:t>
      </w:r>
      <w:r w:rsidR="009618BC" w:rsidRPr="009618BC">
        <w:rPr>
          <w:lang w:val="fr-FR"/>
        </w:rPr>
        <w:t>’</w:t>
      </w:r>
      <w:r w:rsidRPr="009618BC">
        <w:rPr>
          <w:lang w:val="fr-FR"/>
        </w:rPr>
        <w:t>enseignement supérieur compte 30 universités (19 publiques et 11 privées), dans lesquelles étudient 74 726 étudiants.</w:t>
      </w:r>
    </w:p>
    <w:p w:rsidR="00A72177" w:rsidRPr="00315C5B" w:rsidRDefault="00A72177" w:rsidP="00315C5B">
      <w:pPr>
        <w:pStyle w:val="Titre1"/>
        <w:spacing w:after="120"/>
        <w:rPr>
          <w:b/>
          <w:spacing w:val="-4"/>
          <w:lang w:val="fr-FR"/>
        </w:rPr>
      </w:pPr>
      <w:r w:rsidRPr="009618BC">
        <w:rPr>
          <w:bCs/>
          <w:lang w:val="fr-FR"/>
        </w:rPr>
        <w:t>Tableau 6</w:t>
      </w:r>
      <w:r w:rsidRPr="009618BC">
        <w:rPr>
          <w:lang w:val="fr-FR"/>
        </w:rPr>
        <w:br/>
      </w:r>
      <w:r w:rsidRPr="00315C5B">
        <w:rPr>
          <w:b/>
          <w:spacing w:val="-4"/>
          <w:lang w:val="fr-FR"/>
        </w:rPr>
        <w:t>Nombre d</w:t>
      </w:r>
      <w:r w:rsidR="009618BC" w:rsidRPr="00315C5B">
        <w:rPr>
          <w:b/>
          <w:spacing w:val="-4"/>
          <w:lang w:val="fr-FR"/>
        </w:rPr>
        <w:t>’</w:t>
      </w:r>
      <w:r w:rsidRPr="00315C5B">
        <w:rPr>
          <w:b/>
          <w:spacing w:val="-4"/>
          <w:lang w:val="fr-FR"/>
        </w:rPr>
        <w:t>étudiants de l</w:t>
      </w:r>
      <w:r w:rsidR="009618BC" w:rsidRPr="00315C5B">
        <w:rPr>
          <w:b/>
          <w:spacing w:val="-4"/>
          <w:lang w:val="fr-FR"/>
        </w:rPr>
        <w:t>’</w:t>
      </w:r>
      <w:r w:rsidRPr="00315C5B">
        <w:rPr>
          <w:b/>
          <w:spacing w:val="-4"/>
          <w:lang w:val="fr-FR"/>
        </w:rPr>
        <w:t>enseignement supérieur, en fonction de la langue d</w:t>
      </w:r>
      <w:r w:rsidR="009618BC" w:rsidRPr="00315C5B">
        <w:rPr>
          <w:b/>
          <w:spacing w:val="-4"/>
          <w:lang w:val="fr-FR"/>
        </w:rPr>
        <w:t>’</w:t>
      </w:r>
      <w:r w:rsidRPr="00315C5B">
        <w:rPr>
          <w:b/>
          <w:spacing w:val="-4"/>
          <w:lang w:val="fr-FR"/>
        </w:rPr>
        <w:t>enseignement</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1418"/>
        <w:gridCol w:w="1276"/>
        <w:gridCol w:w="1274"/>
      </w:tblGrid>
      <w:tr w:rsidR="00A72177" w:rsidRPr="00315C5B" w:rsidTr="00F37079">
        <w:trPr>
          <w:tblHeader/>
        </w:trPr>
        <w:tc>
          <w:tcPr>
            <w:tcW w:w="3402" w:type="dxa"/>
            <w:tcBorders>
              <w:top w:val="single" w:sz="4" w:space="0" w:color="auto"/>
              <w:bottom w:val="single" w:sz="12" w:space="0" w:color="auto"/>
            </w:tcBorders>
            <w:shd w:val="clear" w:color="auto" w:fill="auto"/>
            <w:vAlign w:val="bottom"/>
          </w:tcPr>
          <w:p w:rsidR="00A72177" w:rsidRPr="00315C5B" w:rsidRDefault="00A72177" w:rsidP="00315C5B">
            <w:pPr>
              <w:suppressAutoHyphens w:val="0"/>
              <w:spacing w:before="80" w:after="80" w:line="200" w:lineRule="exact"/>
              <w:rPr>
                <w:i/>
                <w:sz w:val="16"/>
                <w:lang w:val="fr-FR"/>
              </w:rPr>
            </w:pPr>
          </w:p>
        </w:tc>
        <w:tc>
          <w:tcPr>
            <w:tcW w:w="1418" w:type="dxa"/>
            <w:tcBorders>
              <w:top w:val="single" w:sz="4" w:space="0" w:color="auto"/>
              <w:bottom w:val="single" w:sz="12" w:space="0" w:color="auto"/>
            </w:tcBorders>
            <w:shd w:val="clear" w:color="auto" w:fill="auto"/>
            <w:vAlign w:val="bottom"/>
          </w:tcPr>
          <w:p w:rsidR="00A72177" w:rsidRPr="00315C5B" w:rsidRDefault="00E73692" w:rsidP="00315C5B">
            <w:pPr>
              <w:suppressAutoHyphens w:val="0"/>
              <w:spacing w:before="80" w:after="80" w:line="200" w:lineRule="exact"/>
              <w:jc w:val="right"/>
              <w:rPr>
                <w:i/>
                <w:sz w:val="16"/>
                <w:lang w:val="fr-FR"/>
              </w:rPr>
            </w:pPr>
            <w:r>
              <w:rPr>
                <w:i/>
                <w:sz w:val="16"/>
                <w:lang w:val="fr-FR"/>
              </w:rPr>
              <w:t>2014/</w:t>
            </w:r>
            <w:r w:rsidR="00A72177" w:rsidRPr="00315C5B">
              <w:rPr>
                <w:i/>
                <w:sz w:val="16"/>
                <w:lang w:val="fr-FR"/>
              </w:rPr>
              <w:t>15</w:t>
            </w:r>
          </w:p>
        </w:tc>
        <w:tc>
          <w:tcPr>
            <w:tcW w:w="1276" w:type="dxa"/>
            <w:tcBorders>
              <w:top w:val="single" w:sz="4" w:space="0" w:color="auto"/>
              <w:bottom w:val="single" w:sz="12" w:space="0" w:color="auto"/>
            </w:tcBorders>
            <w:shd w:val="clear" w:color="auto" w:fill="auto"/>
            <w:vAlign w:val="bottom"/>
          </w:tcPr>
          <w:p w:rsidR="00A72177" w:rsidRPr="00315C5B" w:rsidRDefault="00E73692" w:rsidP="00315C5B">
            <w:pPr>
              <w:suppressAutoHyphens w:val="0"/>
              <w:spacing w:before="80" w:after="80" w:line="200" w:lineRule="exact"/>
              <w:jc w:val="right"/>
              <w:rPr>
                <w:i/>
                <w:sz w:val="16"/>
                <w:lang w:val="fr-FR"/>
              </w:rPr>
            </w:pPr>
            <w:r>
              <w:rPr>
                <w:i/>
                <w:sz w:val="16"/>
                <w:lang w:val="fr-FR"/>
              </w:rPr>
              <w:t>2015/</w:t>
            </w:r>
            <w:r w:rsidR="00A72177" w:rsidRPr="00315C5B">
              <w:rPr>
                <w:i/>
                <w:sz w:val="16"/>
                <w:lang w:val="fr-FR"/>
              </w:rPr>
              <w:t>16</w:t>
            </w:r>
          </w:p>
        </w:tc>
        <w:tc>
          <w:tcPr>
            <w:tcW w:w="1274" w:type="dxa"/>
            <w:tcBorders>
              <w:top w:val="single" w:sz="4" w:space="0" w:color="auto"/>
              <w:bottom w:val="single" w:sz="12" w:space="0" w:color="auto"/>
            </w:tcBorders>
            <w:shd w:val="clear" w:color="auto" w:fill="auto"/>
            <w:vAlign w:val="bottom"/>
          </w:tcPr>
          <w:p w:rsidR="00A72177" w:rsidRPr="00315C5B" w:rsidRDefault="00E73692" w:rsidP="00315C5B">
            <w:pPr>
              <w:suppressAutoHyphens w:val="0"/>
              <w:spacing w:before="80" w:after="80" w:line="200" w:lineRule="exact"/>
              <w:jc w:val="right"/>
              <w:rPr>
                <w:i/>
                <w:sz w:val="16"/>
                <w:lang w:val="fr-FR"/>
              </w:rPr>
            </w:pPr>
            <w:r>
              <w:rPr>
                <w:i/>
                <w:sz w:val="16"/>
                <w:lang w:val="fr-FR"/>
              </w:rPr>
              <w:t>2016/</w:t>
            </w:r>
            <w:r w:rsidR="00A72177" w:rsidRPr="00315C5B">
              <w:rPr>
                <w:i/>
                <w:sz w:val="16"/>
                <w:lang w:val="fr-FR"/>
              </w:rPr>
              <w:t>17</w:t>
            </w:r>
          </w:p>
        </w:tc>
      </w:tr>
      <w:tr w:rsidR="00A72177" w:rsidRPr="00E73692" w:rsidTr="00F37079">
        <w:tc>
          <w:tcPr>
            <w:tcW w:w="3402" w:type="dxa"/>
            <w:tcBorders>
              <w:top w:val="single" w:sz="12" w:space="0" w:color="auto"/>
              <w:bottom w:val="single" w:sz="4" w:space="0" w:color="auto"/>
            </w:tcBorders>
            <w:shd w:val="clear" w:color="auto" w:fill="auto"/>
          </w:tcPr>
          <w:p w:rsidR="00A72177" w:rsidRPr="00E73692" w:rsidRDefault="00A72177" w:rsidP="00E73692">
            <w:pPr>
              <w:suppressAutoHyphens w:val="0"/>
              <w:spacing w:before="80" w:after="80" w:line="240" w:lineRule="exact"/>
              <w:ind w:left="284"/>
              <w:rPr>
                <w:b/>
                <w:sz w:val="18"/>
                <w:lang w:val="fr-FR"/>
              </w:rPr>
            </w:pPr>
            <w:r w:rsidRPr="00E73692">
              <w:rPr>
                <w:b/>
                <w:sz w:val="18"/>
                <w:lang w:val="fr-FR"/>
              </w:rPr>
              <w:t>Nombre total d</w:t>
            </w:r>
            <w:r w:rsidR="009618BC" w:rsidRPr="00E73692">
              <w:rPr>
                <w:b/>
                <w:sz w:val="18"/>
                <w:lang w:val="fr-FR"/>
              </w:rPr>
              <w:t>’</w:t>
            </w:r>
            <w:r w:rsidRPr="00E73692">
              <w:rPr>
                <w:b/>
                <w:sz w:val="18"/>
                <w:lang w:val="fr-FR"/>
              </w:rPr>
              <w:t>étudiants, qui étudient :</w:t>
            </w:r>
          </w:p>
        </w:tc>
        <w:tc>
          <w:tcPr>
            <w:tcW w:w="1418" w:type="dxa"/>
            <w:tcBorders>
              <w:top w:val="single" w:sz="12" w:space="0" w:color="auto"/>
              <w:bottom w:val="single" w:sz="4" w:space="0" w:color="auto"/>
            </w:tcBorders>
            <w:shd w:val="clear" w:color="auto" w:fill="auto"/>
            <w:vAlign w:val="bottom"/>
          </w:tcPr>
          <w:p w:rsidR="00A72177" w:rsidRPr="00E73692" w:rsidRDefault="00A72177" w:rsidP="00E73692">
            <w:pPr>
              <w:suppressAutoHyphens w:val="0"/>
              <w:spacing w:before="80" w:after="80" w:line="240" w:lineRule="exact"/>
              <w:jc w:val="right"/>
              <w:rPr>
                <w:b/>
                <w:sz w:val="18"/>
                <w:lang w:val="fr-FR"/>
              </w:rPr>
            </w:pPr>
            <w:r w:rsidRPr="00E73692">
              <w:rPr>
                <w:b/>
                <w:sz w:val="18"/>
                <w:lang w:val="fr-FR"/>
              </w:rPr>
              <w:t>89</w:t>
            </w:r>
            <w:r w:rsidR="00F37079">
              <w:rPr>
                <w:b/>
                <w:sz w:val="18"/>
                <w:lang w:val="fr-FR"/>
              </w:rPr>
              <w:t xml:space="preserve"> </w:t>
            </w:r>
            <w:r w:rsidRPr="00E73692">
              <w:rPr>
                <w:b/>
                <w:sz w:val="18"/>
                <w:lang w:val="fr-FR"/>
              </w:rPr>
              <w:t>529 (100</w:t>
            </w:r>
            <w:r w:rsidR="00F37079">
              <w:rPr>
                <w:b/>
                <w:sz w:val="18"/>
                <w:lang w:val="fr-FR"/>
              </w:rPr>
              <w:t xml:space="preserve"> </w:t>
            </w:r>
            <w:r w:rsidRPr="00E73692">
              <w:rPr>
                <w:b/>
                <w:sz w:val="18"/>
                <w:lang w:val="fr-FR"/>
              </w:rPr>
              <w:t>%)</w:t>
            </w:r>
          </w:p>
        </w:tc>
        <w:tc>
          <w:tcPr>
            <w:tcW w:w="1276" w:type="dxa"/>
            <w:tcBorders>
              <w:top w:val="single" w:sz="12" w:space="0" w:color="auto"/>
              <w:bottom w:val="single" w:sz="4" w:space="0" w:color="auto"/>
            </w:tcBorders>
            <w:shd w:val="clear" w:color="auto" w:fill="auto"/>
            <w:vAlign w:val="bottom"/>
          </w:tcPr>
          <w:p w:rsidR="00A72177" w:rsidRPr="00E73692" w:rsidRDefault="00A72177" w:rsidP="00E73692">
            <w:pPr>
              <w:suppressAutoHyphens w:val="0"/>
              <w:spacing w:before="80" w:after="80" w:line="240" w:lineRule="exact"/>
              <w:jc w:val="right"/>
              <w:rPr>
                <w:b/>
                <w:sz w:val="18"/>
                <w:lang w:val="fr-FR"/>
              </w:rPr>
            </w:pPr>
            <w:r w:rsidRPr="00E73692">
              <w:rPr>
                <w:b/>
                <w:sz w:val="18"/>
                <w:lang w:val="fr-FR"/>
              </w:rPr>
              <w:t>81</w:t>
            </w:r>
            <w:r w:rsidR="00F37079">
              <w:rPr>
                <w:b/>
                <w:sz w:val="18"/>
                <w:lang w:val="fr-FR"/>
              </w:rPr>
              <w:t xml:space="preserve"> </w:t>
            </w:r>
            <w:r w:rsidRPr="00E73692">
              <w:rPr>
                <w:b/>
                <w:sz w:val="18"/>
                <w:lang w:val="fr-FR"/>
              </w:rPr>
              <w:t>669 (100</w:t>
            </w:r>
            <w:r w:rsidR="00F37079">
              <w:rPr>
                <w:b/>
                <w:sz w:val="18"/>
                <w:lang w:val="fr-FR"/>
              </w:rPr>
              <w:t xml:space="preserve"> </w:t>
            </w:r>
            <w:r w:rsidRPr="00E73692">
              <w:rPr>
                <w:b/>
                <w:sz w:val="18"/>
                <w:lang w:val="fr-FR"/>
              </w:rPr>
              <w:t>%)</w:t>
            </w:r>
          </w:p>
        </w:tc>
        <w:tc>
          <w:tcPr>
            <w:tcW w:w="1274" w:type="dxa"/>
            <w:tcBorders>
              <w:top w:val="single" w:sz="12" w:space="0" w:color="auto"/>
              <w:bottom w:val="single" w:sz="4" w:space="0" w:color="auto"/>
            </w:tcBorders>
            <w:shd w:val="clear" w:color="auto" w:fill="auto"/>
            <w:vAlign w:val="bottom"/>
          </w:tcPr>
          <w:p w:rsidR="00A72177" w:rsidRPr="00E73692" w:rsidRDefault="00A72177" w:rsidP="00E73692">
            <w:pPr>
              <w:suppressAutoHyphens w:val="0"/>
              <w:spacing w:before="80" w:after="80" w:line="240" w:lineRule="exact"/>
              <w:jc w:val="right"/>
              <w:rPr>
                <w:b/>
                <w:sz w:val="18"/>
                <w:lang w:val="fr-FR"/>
              </w:rPr>
            </w:pPr>
            <w:r w:rsidRPr="00E73692">
              <w:rPr>
                <w:b/>
                <w:sz w:val="18"/>
                <w:lang w:val="fr-FR"/>
              </w:rPr>
              <w:t>74</w:t>
            </w:r>
            <w:r w:rsidR="00F37079">
              <w:rPr>
                <w:b/>
                <w:sz w:val="18"/>
                <w:lang w:val="fr-FR"/>
              </w:rPr>
              <w:t xml:space="preserve"> </w:t>
            </w:r>
            <w:r w:rsidRPr="00E73692">
              <w:rPr>
                <w:b/>
                <w:sz w:val="18"/>
                <w:lang w:val="fr-FR"/>
              </w:rPr>
              <w:t>726 (100</w:t>
            </w:r>
            <w:r w:rsidR="00F37079">
              <w:rPr>
                <w:b/>
                <w:sz w:val="18"/>
                <w:lang w:val="fr-FR"/>
              </w:rPr>
              <w:t xml:space="preserve"> </w:t>
            </w:r>
            <w:r w:rsidRPr="00E73692">
              <w:rPr>
                <w:b/>
                <w:sz w:val="18"/>
                <w:lang w:val="fr-FR"/>
              </w:rPr>
              <w:t>%)</w:t>
            </w:r>
          </w:p>
        </w:tc>
      </w:tr>
      <w:tr w:rsidR="00A72177" w:rsidRPr="00315C5B" w:rsidTr="00F37079">
        <w:tc>
          <w:tcPr>
            <w:tcW w:w="3402" w:type="dxa"/>
            <w:tcBorders>
              <w:top w:val="single" w:sz="4" w:space="0" w:color="auto"/>
            </w:tcBorders>
            <w:shd w:val="clear" w:color="auto" w:fill="auto"/>
          </w:tcPr>
          <w:p w:rsidR="00A72177" w:rsidRPr="00315C5B" w:rsidRDefault="00A72177" w:rsidP="00315C5B">
            <w:pPr>
              <w:suppressAutoHyphens w:val="0"/>
              <w:spacing w:before="40" w:after="40" w:line="220" w:lineRule="exact"/>
              <w:rPr>
                <w:sz w:val="18"/>
                <w:lang w:val="fr-FR"/>
              </w:rPr>
            </w:pPr>
            <w:r w:rsidRPr="00315C5B">
              <w:rPr>
                <w:sz w:val="18"/>
                <w:lang w:val="fr-FR"/>
              </w:rPr>
              <w:t>en roumain</w:t>
            </w:r>
          </w:p>
        </w:tc>
        <w:tc>
          <w:tcPr>
            <w:tcW w:w="1418" w:type="dxa"/>
            <w:tcBorders>
              <w:top w:val="single" w:sz="4" w:space="0" w:color="auto"/>
            </w:tcBorders>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75</w:t>
            </w:r>
            <w:r w:rsidR="00F37079">
              <w:rPr>
                <w:sz w:val="18"/>
                <w:lang w:val="fr-FR"/>
              </w:rPr>
              <w:t xml:space="preserve"> </w:t>
            </w:r>
            <w:r w:rsidRPr="00315C5B">
              <w:rPr>
                <w:sz w:val="18"/>
                <w:lang w:val="fr-FR"/>
              </w:rPr>
              <w:t>065 (83,8</w:t>
            </w:r>
            <w:r w:rsidR="00F37079">
              <w:rPr>
                <w:sz w:val="18"/>
                <w:lang w:val="fr-FR"/>
              </w:rPr>
              <w:t xml:space="preserve"> </w:t>
            </w:r>
            <w:r w:rsidRPr="00315C5B">
              <w:rPr>
                <w:sz w:val="18"/>
                <w:lang w:val="fr-FR"/>
              </w:rPr>
              <w:t>%)</w:t>
            </w:r>
          </w:p>
        </w:tc>
        <w:tc>
          <w:tcPr>
            <w:tcW w:w="1276" w:type="dxa"/>
            <w:tcBorders>
              <w:top w:val="single" w:sz="4" w:space="0" w:color="auto"/>
            </w:tcBorders>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69</w:t>
            </w:r>
            <w:r w:rsidR="00F37079">
              <w:rPr>
                <w:sz w:val="18"/>
                <w:lang w:val="fr-FR"/>
              </w:rPr>
              <w:t xml:space="preserve"> </w:t>
            </w:r>
            <w:r w:rsidRPr="00315C5B">
              <w:rPr>
                <w:sz w:val="18"/>
                <w:lang w:val="fr-FR"/>
              </w:rPr>
              <w:t>181 (84,7</w:t>
            </w:r>
            <w:r w:rsidR="00F37079">
              <w:rPr>
                <w:sz w:val="18"/>
                <w:lang w:val="fr-FR"/>
              </w:rPr>
              <w:t xml:space="preserve"> </w:t>
            </w:r>
            <w:r w:rsidRPr="00315C5B">
              <w:rPr>
                <w:sz w:val="18"/>
                <w:lang w:val="fr-FR"/>
              </w:rPr>
              <w:t>%)</w:t>
            </w:r>
          </w:p>
        </w:tc>
        <w:tc>
          <w:tcPr>
            <w:tcW w:w="1274" w:type="dxa"/>
            <w:tcBorders>
              <w:top w:val="single" w:sz="4" w:space="0" w:color="auto"/>
            </w:tcBorders>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63</w:t>
            </w:r>
            <w:r w:rsidR="00F37079">
              <w:rPr>
                <w:sz w:val="18"/>
                <w:lang w:val="fr-FR"/>
              </w:rPr>
              <w:t xml:space="preserve"> </w:t>
            </w:r>
            <w:r w:rsidRPr="00315C5B">
              <w:rPr>
                <w:sz w:val="18"/>
                <w:lang w:val="fr-FR"/>
              </w:rPr>
              <w:t>665 (85,2</w:t>
            </w:r>
            <w:r w:rsidR="00F37079">
              <w:rPr>
                <w:sz w:val="18"/>
                <w:lang w:val="fr-FR"/>
              </w:rPr>
              <w:t xml:space="preserve"> </w:t>
            </w:r>
            <w:r w:rsidRPr="00315C5B">
              <w:rPr>
                <w:sz w:val="18"/>
                <w:lang w:val="fr-FR"/>
              </w:rPr>
              <w:t>%)</w:t>
            </w:r>
          </w:p>
        </w:tc>
      </w:tr>
      <w:tr w:rsidR="00A72177" w:rsidRPr="00315C5B" w:rsidTr="00F37079">
        <w:tc>
          <w:tcPr>
            <w:tcW w:w="3402" w:type="dxa"/>
            <w:shd w:val="clear" w:color="auto" w:fill="auto"/>
          </w:tcPr>
          <w:p w:rsidR="00A72177" w:rsidRPr="00315C5B" w:rsidRDefault="00A72177" w:rsidP="00315C5B">
            <w:pPr>
              <w:suppressAutoHyphens w:val="0"/>
              <w:spacing w:before="40" w:after="40" w:line="220" w:lineRule="exact"/>
              <w:rPr>
                <w:sz w:val="18"/>
                <w:lang w:val="fr-FR"/>
              </w:rPr>
            </w:pPr>
            <w:r w:rsidRPr="00315C5B">
              <w:rPr>
                <w:sz w:val="18"/>
                <w:lang w:val="fr-FR"/>
              </w:rPr>
              <w:t>en russe</w:t>
            </w:r>
          </w:p>
        </w:tc>
        <w:tc>
          <w:tcPr>
            <w:tcW w:w="1418" w:type="dxa"/>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12</w:t>
            </w:r>
            <w:r w:rsidR="00F37079">
              <w:rPr>
                <w:sz w:val="18"/>
                <w:lang w:val="fr-FR"/>
              </w:rPr>
              <w:t xml:space="preserve"> </w:t>
            </w:r>
            <w:r w:rsidRPr="00315C5B">
              <w:rPr>
                <w:sz w:val="18"/>
                <w:lang w:val="fr-FR"/>
              </w:rPr>
              <w:t>554 (14,0</w:t>
            </w:r>
            <w:r w:rsidR="00F37079">
              <w:rPr>
                <w:sz w:val="18"/>
                <w:lang w:val="fr-FR"/>
              </w:rPr>
              <w:t xml:space="preserve"> </w:t>
            </w:r>
            <w:r w:rsidRPr="00315C5B">
              <w:rPr>
                <w:sz w:val="18"/>
                <w:lang w:val="fr-FR"/>
              </w:rPr>
              <w:t>%)</w:t>
            </w:r>
          </w:p>
        </w:tc>
        <w:tc>
          <w:tcPr>
            <w:tcW w:w="1276" w:type="dxa"/>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10</w:t>
            </w:r>
            <w:r w:rsidR="00F37079">
              <w:rPr>
                <w:sz w:val="18"/>
                <w:lang w:val="fr-FR"/>
              </w:rPr>
              <w:t xml:space="preserve"> </w:t>
            </w:r>
            <w:r w:rsidRPr="00315C5B">
              <w:rPr>
                <w:sz w:val="18"/>
                <w:lang w:val="fr-FR"/>
              </w:rPr>
              <w:t>429 (12,8</w:t>
            </w:r>
            <w:r w:rsidR="00F37079">
              <w:rPr>
                <w:sz w:val="18"/>
                <w:lang w:val="fr-FR"/>
              </w:rPr>
              <w:t xml:space="preserve"> </w:t>
            </w:r>
            <w:r w:rsidRPr="00315C5B">
              <w:rPr>
                <w:sz w:val="18"/>
                <w:lang w:val="fr-FR"/>
              </w:rPr>
              <w:t>%)</w:t>
            </w:r>
          </w:p>
        </w:tc>
        <w:tc>
          <w:tcPr>
            <w:tcW w:w="1274" w:type="dxa"/>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9</w:t>
            </w:r>
            <w:r w:rsidR="00F37079">
              <w:rPr>
                <w:sz w:val="18"/>
                <w:lang w:val="fr-FR"/>
              </w:rPr>
              <w:t xml:space="preserve"> </w:t>
            </w:r>
            <w:r w:rsidRPr="00315C5B">
              <w:rPr>
                <w:sz w:val="18"/>
                <w:lang w:val="fr-FR"/>
              </w:rPr>
              <w:t>242 (12,4</w:t>
            </w:r>
            <w:r w:rsidR="00F37079">
              <w:rPr>
                <w:sz w:val="18"/>
                <w:lang w:val="fr-FR"/>
              </w:rPr>
              <w:t xml:space="preserve"> </w:t>
            </w:r>
            <w:r w:rsidRPr="00315C5B">
              <w:rPr>
                <w:sz w:val="18"/>
                <w:lang w:val="fr-FR"/>
              </w:rPr>
              <w:t>%)</w:t>
            </w:r>
          </w:p>
        </w:tc>
      </w:tr>
      <w:tr w:rsidR="00A72177" w:rsidRPr="00315C5B" w:rsidTr="00F37079">
        <w:tc>
          <w:tcPr>
            <w:tcW w:w="3402" w:type="dxa"/>
            <w:shd w:val="clear" w:color="auto" w:fill="auto"/>
          </w:tcPr>
          <w:p w:rsidR="00A72177" w:rsidRPr="00315C5B" w:rsidRDefault="00A72177" w:rsidP="00315C5B">
            <w:pPr>
              <w:suppressAutoHyphens w:val="0"/>
              <w:spacing w:before="40" w:after="40" w:line="220" w:lineRule="exact"/>
              <w:rPr>
                <w:sz w:val="18"/>
                <w:lang w:val="fr-FR"/>
              </w:rPr>
            </w:pPr>
            <w:r w:rsidRPr="00315C5B">
              <w:rPr>
                <w:sz w:val="18"/>
                <w:lang w:val="fr-FR"/>
              </w:rPr>
              <w:t>en anglais</w:t>
            </w:r>
          </w:p>
        </w:tc>
        <w:tc>
          <w:tcPr>
            <w:tcW w:w="1418" w:type="dxa"/>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1</w:t>
            </w:r>
            <w:r w:rsidR="00F37079">
              <w:rPr>
                <w:sz w:val="18"/>
                <w:lang w:val="fr-FR"/>
              </w:rPr>
              <w:t xml:space="preserve"> </w:t>
            </w:r>
            <w:r w:rsidRPr="00315C5B">
              <w:rPr>
                <w:sz w:val="18"/>
                <w:lang w:val="fr-FR"/>
              </w:rPr>
              <w:t>103 (1,2</w:t>
            </w:r>
            <w:r w:rsidR="00F37079">
              <w:rPr>
                <w:sz w:val="18"/>
                <w:lang w:val="fr-FR"/>
              </w:rPr>
              <w:t xml:space="preserve"> </w:t>
            </w:r>
            <w:r w:rsidRPr="00315C5B">
              <w:rPr>
                <w:sz w:val="18"/>
                <w:lang w:val="fr-FR"/>
              </w:rPr>
              <w:t>%)</w:t>
            </w:r>
          </w:p>
        </w:tc>
        <w:tc>
          <w:tcPr>
            <w:tcW w:w="1276" w:type="dxa"/>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1</w:t>
            </w:r>
            <w:r w:rsidR="00F37079">
              <w:rPr>
                <w:sz w:val="18"/>
                <w:lang w:val="fr-FR"/>
              </w:rPr>
              <w:t xml:space="preserve"> </w:t>
            </w:r>
            <w:r w:rsidRPr="00315C5B">
              <w:rPr>
                <w:sz w:val="18"/>
                <w:lang w:val="fr-FR"/>
              </w:rPr>
              <w:t>400 (1,7</w:t>
            </w:r>
            <w:r w:rsidR="00F37079">
              <w:rPr>
                <w:sz w:val="18"/>
                <w:lang w:val="fr-FR"/>
              </w:rPr>
              <w:t xml:space="preserve"> </w:t>
            </w:r>
            <w:r w:rsidRPr="00315C5B">
              <w:rPr>
                <w:sz w:val="18"/>
                <w:lang w:val="fr-FR"/>
              </w:rPr>
              <w:t>%)</w:t>
            </w:r>
          </w:p>
        </w:tc>
        <w:tc>
          <w:tcPr>
            <w:tcW w:w="1274" w:type="dxa"/>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1</w:t>
            </w:r>
            <w:r w:rsidR="00F37079">
              <w:rPr>
                <w:sz w:val="18"/>
                <w:lang w:val="fr-FR"/>
              </w:rPr>
              <w:t xml:space="preserve"> </w:t>
            </w:r>
            <w:r w:rsidRPr="00315C5B">
              <w:rPr>
                <w:sz w:val="18"/>
                <w:lang w:val="fr-FR"/>
              </w:rPr>
              <w:t>217 (1,6</w:t>
            </w:r>
            <w:r w:rsidR="00F37079">
              <w:rPr>
                <w:sz w:val="18"/>
                <w:lang w:val="fr-FR"/>
              </w:rPr>
              <w:t xml:space="preserve"> </w:t>
            </w:r>
            <w:r w:rsidRPr="00315C5B">
              <w:rPr>
                <w:sz w:val="18"/>
                <w:lang w:val="fr-FR"/>
              </w:rPr>
              <w:t>%)</w:t>
            </w:r>
          </w:p>
        </w:tc>
      </w:tr>
      <w:tr w:rsidR="00A72177" w:rsidRPr="00315C5B" w:rsidTr="00F37079">
        <w:tc>
          <w:tcPr>
            <w:tcW w:w="3402" w:type="dxa"/>
            <w:shd w:val="clear" w:color="auto" w:fill="auto"/>
          </w:tcPr>
          <w:p w:rsidR="00A72177" w:rsidRPr="00315C5B" w:rsidRDefault="00A72177" w:rsidP="00315C5B">
            <w:pPr>
              <w:suppressAutoHyphens w:val="0"/>
              <w:spacing w:before="40" w:after="40" w:line="220" w:lineRule="exact"/>
              <w:rPr>
                <w:sz w:val="18"/>
                <w:lang w:val="fr-FR"/>
              </w:rPr>
            </w:pPr>
            <w:r w:rsidRPr="00315C5B">
              <w:rPr>
                <w:sz w:val="18"/>
                <w:lang w:val="fr-FR"/>
              </w:rPr>
              <w:t>en français</w:t>
            </w:r>
          </w:p>
        </w:tc>
        <w:tc>
          <w:tcPr>
            <w:tcW w:w="1418" w:type="dxa"/>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603 (0,7</w:t>
            </w:r>
            <w:r w:rsidR="00F37079">
              <w:rPr>
                <w:sz w:val="18"/>
                <w:lang w:val="fr-FR"/>
              </w:rPr>
              <w:t xml:space="preserve"> </w:t>
            </w:r>
            <w:r w:rsidRPr="00315C5B">
              <w:rPr>
                <w:sz w:val="18"/>
                <w:lang w:val="fr-FR"/>
              </w:rPr>
              <w:t>%)</w:t>
            </w:r>
          </w:p>
        </w:tc>
        <w:tc>
          <w:tcPr>
            <w:tcW w:w="1276" w:type="dxa"/>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512 (0,6</w:t>
            </w:r>
            <w:r w:rsidR="00F37079">
              <w:rPr>
                <w:sz w:val="18"/>
                <w:lang w:val="fr-FR"/>
              </w:rPr>
              <w:t xml:space="preserve"> </w:t>
            </w:r>
            <w:r w:rsidRPr="00315C5B">
              <w:rPr>
                <w:sz w:val="18"/>
                <w:lang w:val="fr-FR"/>
              </w:rPr>
              <w:t>%)</w:t>
            </w:r>
          </w:p>
        </w:tc>
        <w:tc>
          <w:tcPr>
            <w:tcW w:w="1274" w:type="dxa"/>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401 (0,6</w:t>
            </w:r>
            <w:r w:rsidR="00F37079">
              <w:rPr>
                <w:sz w:val="18"/>
                <w:lang w:val="fr-FR"/>
              </w:rPr>
              <w:t xml:space="preserve"> </w:t>
            </w:r>
            <w:r w:rsidRPr="00315C5B">
              <w:rPr>
                <w:sz w:val="18"/>
                <w:lang w:val="fr-FR"/>
              </w:rPr>
              <w:t>%)</w:t>
            </w:r>
          </w:p>
        </w:tc>
      </w:tr>
      <w:tr w:rsidR="00A72177" w:rsidRPr="00315C5B" w:rsidTr="00F37079">
        <w:tc>
          <w:tcPr>
            <w:tcW w:w="3402" w:type="dxa"/>
            <w:tcBorders>
              <w:bottom w:val="single" w:sz="12" w:space="0" w:color="auto"/>
            </w:tcBorders>
            <w:shd w:val="clear" w:color="auto" w:fill="auto"/>
          </w:tcPr>
          <w:p w:rsidR="00A72177" w:rsidRPr="00315C5B" w:rsidRDefault="00A72177" w:rsidP="00315C5B">
            <w:pPr>
              <w:suppressAutoHyphens w:val="0"/>
              <w:spacing w:before="40" w:after="40" w:line="220" w:lineRule="exact"/>
              <w:rPr>
                <w:sz w:val="18"/>
                <w:lang w:val="fr-FR"/>
              </w:rPr>
            </w:pPr>
            <w:r w:rsidRPr="00315C5B">
              <w:rPr>
                <w:sz w:val="18"/>
                <w:lang w:val="fr-FR"/>
              </w:rPr>
              <w:t>dans d</w:t>
            </w:r>
            <w:r w:rsidR="009618BC" w:rsidRPr="00315C5B">
              <w:rPr>
                <w:sz w:val="18"/>
                <w:lang w:val="fr-FR"/>
              </w:rPr>
              <w:t>’</w:t>
            </w:r>
            <w:r w:rsidRPr="00315C5B">
              <w:rPr>
                <w:sz w:val="18"/>
                <w:lang w:val="fr-FR"/>
              </w:rPr>
              <w:t>autres langues (italien/allemand)</w:t>
            </w:r>
          </w:p>
        </w:tc>
        <w:tc>
          <w:tcPr>
            <w:tcW w:w="1418" w:type="dxa"/>
            <w:tcBorders>
              <w:bottom w:val="single" w:sz="12" w:space="0" w:color="auto"/>
            </w:tcBorders>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204 (0,2</w:t>
            </w:r>
            <w:r w:rsidR="00F37079">
              <w:rPr>
                <w:sz w:val="18"/>
                <w:lang w:val="fr-FR"/>
              </w:rPr>
              <w:t xml:space="preserve"> </w:t>
            </w:r>
            <w:r w:rsidRPr="00315C5B">
              <w:rPr>
                <w:sz w:val="18"/>
                <w:lang w:val="fr-FR"/>
              </w:rPr>
              <w:t>%)</w:t>
            </w:r>
          </w:p>
        </w:tc>
        <w:tc>
          <w:tcPr>
            <w:tcW w:w="1276" w:type="dxa"/>
            <w:tcBorders>
              <w:bottom w:val="single" w:sz="12" w:space="0" w:color="auto"/>
            </w:tcBorders>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147 (0,2</w:t>
            </w:r>
            <w:r w:rsidR="00F37079">
              <w:rPr>
                <w:sz w:val="18"/>
                <w:lang w:val="fr-FR"/>
              </w:rPr>
              <w:t xml:space="preserve"> </w:t>
            </w:r>
            <w:r w:rsidRPr="00315C5B">
              <w:rPr>
                <w:sz w:val="18"/>
                <w:lang w:val="fr-FR"/>
              </w:rPr>
              <w:t>%)</w:t>
            </w:r>
          </w:p>
        </w:tc>
        <w:tc>
          <w:tcPr>
            <w:tcW w:w="1274" w:type="dxa"/>
            <w:tcBorders>
              <w:bottom w:val="single" w:sz="12" w:space="0" w:color="auto"/>
            </w:tcBorders>
            <w:shd w:val="clear" w:color="auto" w:fill="auto"/>
            <w:vAlign w:val="bottom"/>
          </w:tcPr>
          <w:p w:rsidR="00A72177" w:rsidRPr="00315C5B" w:rsidRDefault="00A72177" w:rsidP="00315C5B">
            <w:pPr>
              <w:suppressAutoHyphens w:val="0"/>
              <w:spacing w:before="40" w:after="40" w:line="220" w:lineRule="exact"/>
              <w:jc w:val="right"/>
              <w:rPr>
                <w:sz w:val="18"/>
                <w:lang w:val="fr-FR"/>
              </w:rPr>
            </w:pPr>
            <w:r w:rsidRPr="00315C5B">
              <w:rPr>
                <w:sz w:val="18"/>
                <w:lang w:val="fr-FR"/>
              </w:rPr>
              <w:t>141 (0,2</w:t>
            </w:r>
            <w:r w:rsidR="00F37079">
              <w:rPr>
                <w:sz w:val="18"/>
                <w:lang w:val="fr-FR"/>
              </w:rPr>
              <w:t xml:space="preserve"> </w:t>
            </w:r>
            <w:r w:rsidRPr="00315C5B">
              <w:rPr>
                <w:sz w:val="18"/>
                <w:lang w:val="fr-FR"/>
              </w:rPr>
              <w:t>%)</w:t>
            </w:r>
          </w:p>
        </w:tc>
      </w:tr>
    </w:tbl>
    <w:p w:rsidR="00A72177" w:rsidRPr="009618BC" w:rsidRDefault="00A72177" w:rsidP="00315C5B">
      <w:pPr>
        <w:pStyle w:val="H23G"/>
        <w:rPr>
          <w:lang w:val="fr-FR"/>
        </w:rPr>
      </w:pPr>
      <w:r w:rsidRPr="009618BC">
        <w:rPr>
          <w:lang w:val="fr-FR"/>
        </w:rPr>
        <w:lastRenderedPageBreak/>
        <w:tab/>
      </w:r>
      <w:r w:rsidRPr="009618BC">
        <w:rPr>
          <w:lang w:val="fr-FR"/>
        </w:rPr>
        <w:tab/>
        <w:t>Accès des minorités nationales à l</w:t>
      </w:r>
      <w:r w:rsidR="009618BC" w:rsidRPr="009618BC">
        <w:rPr>
          <w:lang w:val="fr-FR"/>
        </w:rPr>
        <w:t>’</w:t>
      </w:r>
      <w:r w:rsidRPr="009618BC">
        <w:rPr>
          <w:lang w:val="fr-FR"/>
        </w:rPr>
        <w:t xml:space="preserve">étude de la langue officielle </w:t>
      </w:r>
    </w:p>
    <w:p w:rsidR="00A72177" w:rsidRPr="00F37079" w:rsidRDefault="00A72177" w:rsidP="009618BC">
      <w:pPr>
        <w:pStyle w:val="SingleTxtG"/>
        <w:rPr>
          <w:spacing w:val="-3"/>
          <w:lang w:val="fr-FR"/>
        </w:rPr>
      </w:pPr>
      <w:r w:rsidRPr="00F37079">
        <w:rPr>
          <w:spacing w:val="-3"/>
          <w:lang w:val="fr-FR"/>
        </w:rPr>
        <w:t>41.</w:t>
      </w:r>
      <w:r w:rsidRPr="00F37079">
        <w:rPr>
          <w:spacing w:val="-3"/>
          <w:lang w:val="fr-FR"/>
        </w:rPr>
        <w:tab/>
        <w:t>Le Programme national d</w:t>
      </w:r>
      <w:r w:rsidR="009618BC" w:rsidRPr="00F37079">
        <w:rPr>
          <w:spacing w:val="-3"/>
          <w:lang w:val="fr-FR"/>
        </w:rPr>
        <w:t>’</w:t>
      </w:r>
      <w:r w:rsidRPr="00F37079">
        <w:rPr>
          <w:spacing w:val="-3"/>
          <w:lang w:val="fr-FR"/>
        </w:rPr>
        <w:t>amélioration de la qualité de l</w:t>
      </w:r>
      <w:r w:rsidR="009618BC" w:rsidRPr="00F37079">
        <w:rPr>
          <w:spacing w:val="-3"/>
          <w:lang w:val="fr-FR"/>
        </w:rPr>
        <w:t>’</w:t>
      </w:r>
      <w:r w:rsidRPr="00F37079">
        <w:rPr>
          <w:spacing w:val="-3"/>
          <w:lang w:val="fr-FR"/>
        </w:rPr>
        <w:t>enseignement de la langue roumaine dans les établissements d</w:t>
      </w:r>
      <w:r w:rsidR="009618BC" w:rsidRPr="00F37079">
        <w:rPr>
          <w:spacing w:val="-3"/>
          <w:lang w:val="fr-FR"/>
        </w:rPr>
        <w:t>’</w:t>
      </w:r>
      <w:r w:rsidRPr="00F37079">
        <w:rPr>
          <w:spacing w:val="-3"/>
          <w:lang w:val="fr-FR"/>
        </w:rPr>
        <w:t xml:space="preserve">enseignement général qui dispensent un enseignement dans les </w:t>
      </w:r>
      <w:bookmarkStart w:id="1" w:name="_Hlk525659159"/>
      <w:r w:rsidRPr="00F37079">
        <w:rPr>
          <w:spacing w:val="-3"/>
          <w:lang w:val="fr-FR"/>
        </w:rPr>
        <w:t xml:space="preserve">langues des minorités nationales (2016-2020), ainsi que le </w:t>
      </w:r>
      <w:r w:rsidR="002A0600">
        <w:rPr>
          <w:spacing w:val="-3"/>
          <w:lang w:val="fr-FR"/>
        </w:rPr>
        <w:t>P</w:t>
      </w:r>
      <w:r w:rsidRPr="00F37079">
        <w:rPr>
          <w:spacing w:val="-3"/>
          <w:lang w:val="fr-FR"/>
        </w:rPr>
        <w:t>lan d</w:t>
      </w:r>
      <w:r w:rsidR="009618BC" w:rsidRPr="00F37079">
        <w:rPr>
          <w:spacing w:val="-3"/>
          <w:lang w:val="fr-FR"/>
        </w:rPr>
        <w:t>’</w:t>
      </w:r>
      <w:r w:rsidRPr="00F37079">
        <w:rPr>
          <w:spacing w:val="-3"/>
          <w:lang w:val="fr-FR"/>
        </w:rPr>
        <w:t>action relatif à sa mise en œuvre</w:t>
      </w:r>
      <w:bookmarkEnd w:id="1"/>
      <w:r w:rsidRPr="00F37079">
        <w:rPr>
          <w:spacing w:val="-3"/>
          <w:lang w:val="fr-FR"/>
        </w:rPr>
        <w:t xml:space="preserve"> ont été approuvés par l</w:t>
      </w:r>
      <w:r w:rsidR="009618BC" w:rsidRPr="00F37079">
        <w:rPr>
          <w:spacing w:val="-3"/>
          <w:lang w:val="fr-FR"/>
        </w:rPr>
        <w:t>’</w:t>
      </w:r>
      <w:r w:rsidRPr="00F37079">
        <w:rPr>
          <w:spacing w:val="-3"/>
          <w:lang w:val="fr-FR"/>
        </w:rPr>
        <w:t>ordonnance gouvernementale n</w:t>
      </w:r>
      <w:r w:rsidRPr="00F37079">
        <w:rPr>
          <w:spacing w:val="-3"/>
          <w:vertAlign w:val="superscript"/>
          <w:lang w:val="fr-FR"/>
        </w:rPr>
        <w:t>o</w:t>
      </w:r>
      <w:r w:rsidRPr="00F37079">
        <w:rPr>
          <w:spacing w:val="-3"/>
          <w:lang w:val="fr-FR"/>
        </w:rPr>
        <w:t> 904 du 31 décembre 2015.</w:t>
      </w:r>
    </w:p>
    <w:p w:rsidR="00A72177" w:rsidRPr="009618BC" w:rsidRDefault="00A72177" w:rsidP="009618BC">
      <w:pPr>
        <w:pStyle w:val="SingleTxtG"/>
        <w:rPr>
          <w:lang w:val="fr-FR"/>
        </w:rPr>
      </w:pPr>
      <w:r w:rsidRPr="009618BC">
        <w:rPr>
          <w:lang w:val="fr-FR"/>
        </w:rPr>
        <w:t>42.</w:t>
      </w:r>
      <w:r w:rsidRPr="009618BC">
        <w:rPr>
          <w:lang w:val="fr-FR"/>
        </w:rPr>
        <w:tab/>
        <w:t>L</w:t>
      </w:r>
      <w:r w:rsidR="009618BC" w:rsidRPr="009618BC">
        <w:rPr>
          <w:lang w:val="fr-FR"/>
        </w:rPr>
        <w:t>’</w:t>
      </w:r>
      <w:r w:rsidRPr="009618BC">
        <w:rPr>
          <w:lang w:val="fr-FR"/>
        </w:rPr>
        <w:t>objectif du Programme est de créer les conditions permettant d</w:t>
      </w:r>
      <w:r w:rsidR="009618BC" w:rsidRPr="009618BC">
        <w:rPr>
          <w:lang w:val="fr-FR"/>
        </w:rPr>
        <w:t>’</w:t>
      </w:r>
      <w:r w:rsidRPr="009618BC">
        <w:rPr>
          <w:lang w:val="fr-FR"/>
        </w:rPr>
        <w:t>améliorer les compétences de communication en langue roumaine chez les enfants et les élèves inscrits dans des établissements où l</w:t>
      </w:r>
      <w:r w:rsidR="009618BC" w:rsidRPr="009618BC">
        <w:rPr>
          <w:lang w:val="fr-FR"/>
        </w:rPr>
        <w:t>’</w:t>
      </w:r>
      <w:r w:rsidRPr="009618BC">
        <w:rPr>
          <w:lang w:val="fr-FR"/>
        </w:rPr>
        <w:t>enseignement est dispensé dans une des langues des minorités nationales.</w:t>
      </w:r>
    </w:p>
    <w:p w:rsidR="00A72177" w:rsidRPr="009618BC" w:rsidRDefault="00A72177" w:rsidP="009618BC">
      <w:pPr>
        <w:pStyle w:val="SingleTxtG"/>
        <w:rPr>
          <w:lang w:val="fr-FR"/>
        </w:rPr>
      </w:pPr>
      <w:r w:rsidRPr="009618BC">
        <w:rPr>
          <w:lang w:val="fr-FR"/>
        </w:rPr>
        <w:t>43.</w:t>
      </w:r>
      <w:r w:rsidRPr="009618BC">
        <w:rPr>
          <w:lang w:val="fr-FR"/>
        </w:rPr>
        <w:tab/>
        <w:t>Les objectifs prioritaires sont les suivants :</w:t>
      </w:r>
    </w:p>
    <w:p w:rsidR="00A72177" w:rsidRPr="009618BC" w:rsidRDefault="00A72177" w:rsidP="00A72177">
      <w:pPr>
        <w:pStyle w:val="Bullet1G"/>
        <w:rPr>
          <w:lang w:val="fr-FR"/>
        </w:rPr>
      </w:pPr>
      <w:r w:rsidRPr="009618BC">
        <w:rPr>
          <w:lang w:val="fr-FR"/>
        </w:rPr>
        <w:t>Introduction de modèles d</w:t>
      </w:r>
      <w:r w:rsidR="009618BC" w:rsidRPr="009618BC">
        <w:rPr>
          <w:lang w:val="fr-FR"/>
        </w:rPr>
        <w:t>’</w:t>
      </w:r>
      <w:r w:rsidRPr="009618BC">
        <w:rPr>
          <w:lang w:val="fr-FR"/>
        </w:rPr>
        <w:t>apprentissage du roumain dans les établissements préscolaires où le programme est enseigné dans l</w:t>
      </w:r>
      <w:r w:rsidR="009618BC" w:rsidRPr="009618BC">
        <w:rPr>
          <w:lang w:val="fr-FR"/>
        </w:rPr>
        <w:t>’</w:t>
      </w:r>
      <w:r w:rsidRPr="009618BC">
        <w:rPr>
          <w:lang w:val="fr-FR"/>
        </w:rPr>
        <w:t>une des langues des minorités nationales ;</w:t>
      </w:r>
    </w:p>
    <w:p w:rsidR="00A72177" w:rsidRPr="009618BC" w:rsidRDefault="00A72177" w:rsidP="00A72177">
      <w:pPr>
        <w:pStyle w:val="Bullet1G"/>
        <w:rPr>
          <w:lang w:val="fr-FR"/>
        </w:rPr>
      </w:pPr>
      <w:r w:rsidRPr="009618BC">
        <w:rPr>
          <w:lang w:val="fr-FR"/>
        </w:rPr>
        <w:t>Modernisation du processus enseignement, apprentissage, évaluation pour la langue et la littérature roumaines, à l</w:t>
      </w:r>
      <w:r w:rsidR="009618BC" w:rsidRPr="009618BC">
        <w:rPr>
          <w:lang w:val="fr-FR"/>
        </w:rPr>
        <w:t>’</w:t>
      </w:r>
      <w:r w:rsidRPr="009618BC">
        <w:rPr>
          <w:lang w:val="fr-FR"/>
        </w:rPr>
        <w:t>école primaire, au collège et au lycée ;</w:t>
      </w:r>
    </w:p>
    <w:p w:rsidR="00A72177" w:rsidRPr="009618BC" w:rsidRDefault="00A72177" w:rsidP="00A72177">
      <w:pPr>
        <w:pStyle w:val="Bullet1G"/>
        <w:rPr>
          <w:lang w:val="fr-FR"/>
        </w:rPr>
      </w:pPr>
      <w:r w:rsidRPr="009618BC">
        <w:rPr>
          <w:lang w:val="fr-FR"/>
        </w:rPr>
        <w:t>Promotion de l</w:t>
      </w:r>
      <w:r w:rsidR="009618BC" w:rsidRPr="009618BC">
        <w:rPr>
          <w:lang w:val="fr-FR"/>
        </w:rPr>
        <w:t>’</w:t>
      </w:r>
      <w:r w:rsidRPr="009618BC">
        <w:rPr>
          <w:lang w:val="fr-FR"/>
        </w:rPr>
        <w:t>intégration sociolinguistique des élèves allophones moyennant l</w:t>
      </w:r>
      <w:r w:rsidR="009618BC" w:rsidRPr="009618BC">
        <w:rPr>
          <w:lang w:val="fr-FR"/>
        </w:rPr>
        <w:t>’</w:t>
      </w:r>
      <w:r w:rsidRPr="009618BC">
        <w:rPr>
          <w:lang w:val="fr-FR"/>
        </w:rPr>
        <w:t>enseignement de plusieurs disciplines scolaires en roumain ;</w:t>
      </w:r>
    </w:p>
    <w:p w:rsidR="00A72177" w:rsidRPr="009618BC" w:rsidRDefault="00A72177" w:rsidP="00A72177">
      <w:pPr>
        <w:pStyle w:val="Bullet1G"/>
        <w:rPr>
          <w:lang w:val="fr-FR"/>
        </w:rPr>
      </w:pPr>
      <w:r w:rsidRPr="009618BC">
        <w:rPr>
          <w:lang w:val="fr-FR"/>
        </w:rPr>
        <w:t>Élargissement de l</w:t>
      </w:r>
      <w:r w:rsidR="009618BC" w:rsidRPr="009618BC">
        <w:rPr>
          <w:lang w:val="fr-FR"/>
        </w:rPr>
        <w:t>’</w:t>
      </w:r>
      <w:r w:rsidRPr="009618BC">
        <w:rPr>
          <w:lang w:val="fr-FR"/>
        </w:rPr>
        <w:t>environnement de communication en roumain moyennant l</w:t>
      </w:r>
      <w:r w:rsidR="009618BC" w:rsidRPr="009618BC">
        <w:rPr>
          <w:lang w:val="fr-FR"/>
        </w:rPr>
        <w:t>’</w:t>
      </w:r>
      <w:r w:rsidRPr="009618BC">
        <w:rPr>
          <w:lang w:val="fr-FR"/>
        </w:rPr>
        <w:t>organisation d</w:t>
      </w:r>
      <w:r w:rsidR="009618BC" w:rsidRPr="009618BC">
        <w:rPr>
          <w:lang w:val="fr-FR"/>
        </w:rPr>
        <w:t>’</w:t>
      </w:r>
      <w:r w:rsidRPr="009618BC">
        <w:rPr>
          <w:lang w:val="fr-FR"/>
        </w:rPr>
        <w:t xml:space="preserve">événements extrascolaires ; </w:t>
      </w:r>
    </w:p>
    <w:p w:rsidR="00A72177" w:rsidRPr="009618BC" w:rsidRDefault="00A72177" w:rsidP="00A72177">
      <w:pPr>
        <w:pStyle w:val="Bullet1G"/>
        <w:rPr>
          <w:lang w:val="fr-FR"/>
        </w:rPr>
      </w:pPr>
      <w:r w:rsidRPr="009618BC">
        <w:rPr>
          <w:lang w:val="fr-FR"/>
        </w:rPr>
        <w:t>Augmentation des possibilités pour les enseignants allophones (d</w:t>
      </w:r>
      <w:r w:rsidR="009618BC" w:rsidRPr="009618BC">
        <w:rPr>
          <w:lang w:val="fr-FR"/>
        </w:rPr>
        <w:t>’</w:t>
      </w:r>
      <w:r w:rsidRPr="009618BC">
        <w:rPr>
          <w:lang w:val="fr-FR"/>
        </w:rPr>
        <w:t>autres disciplines) moyennant le développement des compétences de communication en langue roumaine.</w:t>
      </w:r>
    </w:p>
    <w:p w:rsidR="00A72177" w:rsidRPr="009618BC" w:rsidRDefault="00A72177" w:rsidP="009618BC">
      <w:pPr>
        <w:pStyle w:val="SingleTxtG"/>
        <w:rPr>
          <w:lang w:val="fr-FR"/>
        </w:rPr>
      </w:pPr>
      <w:r w:rsidRPr="009618BC">
        <w:rPr>
          <w:lang w:val="fr-FR"/>
        </w:rPr>
        <w:t>44.</w:t>
      </w:r>
      <w:r w:rsidRPr="009618BC">
        <w:rPr>
          <w:lang w:val="fr-FR"/>
        </w:rPr>
        <w:tab/>
        <w:t>Dans ce contexte, il importe de prendre des mesures concrètes pour motiver les élèves, les parents, les enseignants et le personnel scolaire administratif allophones à augmenter la qualité des disciplines étudiées, en prenant soin de les informer des avantages d</w:t>
      </w:r>
      <w:r w:rsidR="009618BC" w:rsidRPr="009618BC">
        <w:rPr>
          <w:lang w:val="fr-FR"/>
        </w:rPr>
        <w:t>’</w:t>
      </w:r>
      <w:r w:rsidRPr="009618BC">
        <w:rPr>
          <w:lang w:val="fr-FR"/>
        </w:rPr>
        <w:t>une formation multilingue et des perspectives de bénéficier d</w:t>
      </w:r>
      <w:r w:rsidR="009618BC" w:rsidRPr="009618BC">
        <w:rPr>
          <w:lang w:val="fr-FR"/>
        </w:rPr>
        <w:t>’</w:t>
      </w:r>
      <w:r w:rsidRPr="009618BC">
        <w:rPr>
          <w:lang w:val="fr-FR"/>
        </w:rPr>
        <w:t>une formation professionnelle et de trouver un emploi.</w:t>
      </w:r>
    </w:p>
    <w:p w:rsidR="00A72177" w:rsidRPr="009618BC" w:rsidRDefault="00A72177" w:rsidP="00A72177">
      <w:pPr>
        <w:pStyle w:val="H23G"/>
        <w:rPr>
          <w:lang w:val="fr-FR"/>
        </w:rPr>
      </w:pPr>
      <w:r w:rsidRPr="009618BC">
        <w:rPr>
          <w:lang w:val="fr-FR"/>
        </w:rPr>
        <w:tab/>
      </w:r>
      <w:r w:rsidRPr="009618BC">
        <w:rPr>
          <w:lang w:val="fr-FR"/>
        </w:rPr>
        <w:tab/>
        <w:t xml:space="preserve">Selon les prévisions budgétaires à moyen terme, 2016-2018, les sommes prévues </w:t>
      </w:r>
      <w:r w:rsidR="00CA108F">
        <w:rPr>
          <w:lang w:val="fr-FR"/>
        </w:rPr>
        <w:br/>
      </w:r>
      <w:r w:rsidRPr="009618BC">
        <w:rPr>
          <w:lang w:val="fr-FR"/>
        </w:rPr>
        <w:t>pour la réalisation de ce programme sont les suivantes :</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851"/>
        <w:gridCol w:w="850"/>
        <w:gridCol w:w="851"/>
        <w:gridCol w:w="1841"/>
      </w:tblGrid>
      <w:tr w:rsidR="00A72177" w:rsidRPr="005679DA" w:rsidTr="00F37079">
        <w:trPr>
          <w:tblHeader/>
        </w:trPr>
        <w:tc>
          <w:tcPr>
            <w:tcW w:w="2977" w:type="dxa"/>
            <w:vMerge w:val="restart"/>
            <w:tcBorders>
              <w:top w:val="single" w:sz="4" w:space="0" w:color="auto"/>
              <w:bottom w:val="single" w:sz="12" w:space="0" w:color="auto"/>
            </w:tcBorders>
            <w:shd w:val="clear" w:color="auto" w:fill="auto"/>
            <w:noWrap/>
            <w:vAlign w:val="bottom"/>
            <w:hideMark/>
          </w:tcPr>
          <w:p w:rsidR="00A72177" w:rsidRPr="005679DA" w:rsidRDefault="00A72177" w:rsidP="005679DA">
            <w:pPr>
              <w:suppressAutoHyphens w:val="0"/>
              <w:spacing w:before="80" w:after="80" w:line="200" w:lineRule="exact"/>
              <w:rPr>
                <w:i/>
                <w:sz w:val="16"/>
                <w:lang w:val="fr-FR"/>
              </w:rPr>
            </w:pPr>
            <w:r w:rsidRPr="005679DA">
              <w:rPr>
                <w:i/>
                <w:sz w:val="16"/>
                <w:lang w:val="fr-FR"/>
              </w:rPr>
              <w:t>Activités budgétaires</w:t>
            </w:r>
          </w:p>
        </w:tc>
        <w:tc>
          <w:tcPr>
            <w:tcW w:w="2552" w:type="dxa"/>
            <w:gridSpan w:val="3"/>
            <w:tcBorders>
              <w:top w:val="single" w:sz="4" w:space="0" w:color="auto"/>
              <w:bottom w:val="single" w:sz="4" w:space="0" w:color="auto"/>
            </w:tcBorders>
            <w:shd w:val="clear" w:color="auto" w:fill="auto"/>
            <w:noWrap/>
            <w:vAlign w:val="bottom"/>
            <w:hideMark/>
          </w:tcPr>
          <w:p w:rsidR="00A72177" w:rsidRPr="005679DA" w:rsidRDefault="00A72177" w:rsidP="005679DA">
            <w:pPr>
              <w:suppressAutoHyphens w:val="0"/>
              <w:spacing w:before="80" w:after="80" w:line="200" w:lineRule="exact"/>
              <w:jc w:val="center"/>
              <w:rPr>
                <w:i/>
                <w:sz w:val="16"/>
                <w:lang w:val="fr-FR"/>
              </w:rPr>
            </w:pPr>
            <w:r w:rsidRPr="005679DA">
              <w:rPr>
                <w:i/>
                <w:sz w:val="16"/>
                <w:lang w:val="fr-FR"/>
              </w:rPr>
              <w:t xml:space="preserve">Prévisions budgétaires </w:t>
            </w:r>
            <w:r w:rsidR="00F37079">
              <w:rPr>
                <w:i/>
                <w:sz w:val="16"/>
                <w:lang w:val="fr-FR"/>
              </w:rPr>
              <w:br/>
            </w:r>
            <w:r w:rsidRPr="005679DA">
              <w:rPr>
                <w:i/>
                <w:sz w:val="16"/>
                <w:lang w:val="fr-FR"/>
              </w:rPr>
              <w:t>à moyen terme, en milliers de lei</w:t>
            </w:r>
          </w:p>
        </w:tc>
        <w:tc>
          <w:tcPr>
            <w:tcW w:w="1841" w:type="dxa"/>
            <w:vMerge w:val="restart"/>
            <w:tcBorders>
              <w:top w:val="single" w:sz="4" w:space="0" w:color="auto"/>
              <w:bottom w:val="single" w:sz="4" w:space="0" w:color="auto"/>
            </w:tcBorders>
            <w:shd w:val="clear" w:color="auto" w:fill="auto"/>
            <w:noWrap/>
            <w:vAlign w:val="bottom"/>
            <w:hideMark/>
          </w:tcPr>
          <w:p w:rsidR="00A72177" w:rsidRPr="005679DA" w:rsidRDefault="00A72177" w:rsidP="00F37079">
            <w:pPr>
              <w:suppressAutoHyphens w:val="0"/>
              <w:spacing w:before="80" w:after="80" w:line="200" w:lineRule="exact"/>
              <w:ind w:left="170"/>
              <w:rPr>
                <w:i/>
                <w:sz w:val="16"/>
                <w:lang w:val="fr-FR"/>
              </w:rPr>
            </w:pPr>
            <w:r w:rsidRPr="005679DA">
              <w:rPr>
                <w:i/>
                <w:sz w:val="16"/>
                <w:lang w:val="fr-FR"/>
              </w:rPr>
              <w:t>Budget-programme</w:t>
            </w:r>
          </w:p>
        </w:tc>
      </w:tr>
      <w:tr w:rsidR="00A72177" w:rsidRPr="005679DA" w:rsidTr="00F37079">
        <w:trPr>
          <w:tblHeader/>
        </w:trPr>
        <w:tc>
          <w:tcPr>
            <w:tcW w:w="2977" w:type="dxa"/>
            <w:vMerge/>
            <w:tcBorders>
              <w:top w:val="single" w:sz="12" w:space="0" w:color="auto"/>
              <w:bottom w:val="single" w:sz="12" w:space="0" w:color="auto"/>
            </w:tcBorders>
            <w:shd w:val="clear" w:color="auto" w:fill="auto"/>
            <w:vAlign w:val="bottom"/>
            <w:hideMark/>
          </w:tcPr>
          <w:p w:rsidR="00A72177" w:rsidRPr="005679DA" w:rsidRDefault="00A72177" w:rsidP="005679DA">
            <w:pPr>
              <w:suppressAutoHyphens w:val="0"/>
              <w:spacing w:before="40" w:after="40" w:line="220" w:lineRule="exact"/>
              <w:rPr>
                <w:sz w:val="18"/>
                <w:lang w:val="fr-FR"/>
              </w:rPr>
            </w:pPr>
          </w:p>
        </w:tc>
        <w:tc>
          <w:tcPr>
            <w:tcW w:w="851" w:type="dxa"/>
            <w:tcBorders>
              <w:top w:val="single" w:sz="4" w:space="0" w:color="auto"/>
              <w:bottom w:val="single" w:sz="12" w:space="0" w:color="auto"/>
            </w:tcBorders>
            <w:shd w:val="clear" w:color="auto" w:fill="auto"/>
            <w:noWrap/>
            <w:vAlign w:val="bottom"/>
            <w:hideMark/>
          </w:tcPr>
          <w:p w:rsidR="00A72177" w:rsidRPr="005679DA" w:rsidRDefault="00A72177" w:rsidP="005679DA">
            <w:pPr>
              <w:suppressAutoHyphens w:val="0"/>
              <w:spacing w:before="80" w:after="80" w:line="200" w:lineRule="exact"/>
              <w:jc w:val="right"/>
              <w:rPr>
                <w:i/>
                <w:sz w:val="16"/>
                <w:szCs w:val="16"/>
                <w:lang w:val="fr-FR"/>
              </w:rPr>
            </w:pPr>
            <w:r w:rsidRPr="005679DA">
              <w:rPr>
                <w:i/>
                <w:sz w:val="16"/>
                <w:szCs w:val="16"/>
                <w:lang w:val="fr-FR"/>
              </w:rPr>
              <w:t>2016</w:t>
            </w:r>
          </w:p>
        </w:tc>
        <w:tc>
          <w:tcPr>
            <w:tcW w:w="850" w:type="dxa"/>
            <w:tcBorders>
              <w:top w:val="single" w:sz="4" w:space="0" w:color="auto"/>
              <w:bottom w:val="single" w:sz="12" w:space="0" w:color="auto"/>
            </w:tcBorders>
            <w:shd w:val="clear" w:color="auto" w:fill="auto"/>
            <w:noWrap/>
            <w:vAlign w:val="bottom"/>
            <w:hideMark/>
          </w:tcPr>
          <w:p w:rsidR="00A72177" w:rsidRPr="005679DA" w:rsidRDefault="00A72177" w:rsidP="005679DA">
            <w:pPr>
              <w:suppressAutoHyphens w:val="0"/>
              <w:spacing w:before="80" w:after="80" w:line="200" w:lineRule="exact"/>
              <w:jc w:val="right"/>
              <w:rPr>
                <w:i/>
                <w:sz w:val="16"/>
                <w:szCs w:val="16"/>
                <w:lang w:val="fr-FR"/>
              </w:rPr>
            </w:pPr>
            <w:r w:rsidRPr="005679DA">
              <w:rPr>
                <w:i/>
                <w:sz w:val="16"/>
                <w:szCs w:val="16"/>
                <w:lang w:val="fr-FR"/>
              </w:rPr>
              <w:t>2017</w:t>
            </w:r>
          </w:p>
        </w:tc>
        <w:tc>
          <w:tcPr>
            <w:tcW w:w="851" w:type="dxa"/>
            <w:tcBorders>
              <w:top w:val="single" w:sz="4" w:space="0" w:color="auto"/>
              <w:bottom w:val="single" w:sz="12" w:space="0" w:color="auto"/>
            </w:tcBorders>
            <w:shd w:val="clear" w:color="auto" w:fill="auto"/>
            <w:noWrap/>
            <w:vAlign w:val="bottom"/>
            <w:hideMark/>
          </w:tcPr>
          <w:p w:rsidR="00A72177" w:rsidRPr="005679DA" w:rsidRDefault="00A72177" w:rsidP="00F37079">
            <w:pPr>
              <w:suppressAutoHyphens w:val="0"/>
              <w:spacing w:before="80" w:after="80" w:line="200" w:lineRule="exact"/>
              <w:jc w:val="right"/>
              <w:rPr>
                <w:i/>
                <w:sz w:val="16"/>
                <w:szCs w:val="16"/>
                <w:lang w:val="fr-FR"/>
              </w:rPr>
            </w:pPr>
            <w:r w:rsidRPr="005679DA">
              <w:rPr>
                <w:i/>
                <w:sz w:val="16"/>
                <w:szCs w:val="16"/>
                <w:lang w:val="fr-FR"/>
              </w:rPr>
              <w:t>2018</w:t>
            </w:r>
          </w:p>
        </w:tc>
        <w:tc>
          <w:tcPr>
            <w:tcW w:w="1841" w:type="dxa"/>
            <w:vMerge/>
            <w:tcBorders>
              <w:top w:val="single" w:sz="4" w:space="0" w:color="auto"/>
              <w:bottom w:val="single" w:sz="12" w:space="0" w:color="auto"/>
            </w:tcBorders>
            <w:shd w:val="clear" w:color="auto" w:fill="auto"/>
            <w:vAlign w:val="bottom"/>
            <w:hideMark/>
          </w:tcPr>
          <w:p w:rsidR="00A72177" w:rsidRPr="005679DA" w:rsidRDefault="00A72177" w:rsidP="00F37079">
            <w:pPr>
              <w:suppressAutoHyphens w:val="0"/>
              <w:spacing w:before="40" w:after="40" w:line="220" w:lineRule="exact"/>
              <w:ind w:left="170"/>
              <w:jc w:val="right"/>
              <w:rPr>
                <w:sz w:val="18"/>
                <w:lang w:val="fr-FR"/>
              </w:rPr>
            </w:pPr>
          </w:p>
        </w:tc>
      </w:tr>
      <w:tr w:rsidR="00A72177" w:rsidRPr="005679DA" w:rsidTr="00F37079">
        <w:tc>
          <w:tcPr>
            <w:tcW w:w="2977" w:type="dxa"/>
            <w:tcBorders>
              <w:top w:val="single" w:sz="12" w:space="0" w:color="auto"/>
              <w:bottom w:val="single" w:sz="12" w:space="0" w:color="auto"/>
            </w:tcBorders>
            <w:shd w:val="clear" w:color="auto" w:fill="auto"/>
            <w:hideMark/>
          </w:tcPr>
          <w:p w:rsidR="00A72177" w:rsidRPr="005679DA" w:rsidRDefault="00A72177" w:rsidP="005679DA">
            <w:pPr>
              <w:suppressAutoHyphens w:val="0"/>
              <w:spacing w:before="40" w:after="40" w:line="220" w:lineRule="exact"/>
              <w:rPr>
                <w:sz w:val="18"/>
                <w:lang w:val="fr-FR"/>
              </w:rPr>
            </w:pPr>
            <w:r w:rsidRPr="005679DA">
              <w:rPr>
                <w:sz w:val="18"/>
                <w:lang w:val="fr-FR"/>
              </w:rPr>
              <w:t>Programme national d</w:t>
            </w:r>
            <w:r w:rsidR="009618BC" w:rsidRPr="005679DA">
              <w:rPr>
                <w:sz w:val="18"/>
                <w:lang w:val="fr-FR"/>
              </w:rPr>
              <w:t>’</w:t>
            </w:r>
            <w:r w:rsidRPr="005679DA">
              <w:rPr>
                <w:sz w:val="18"/>
                <w:lang w:val="fr-FR"/>
              </w:rPr>
              <w:t xml:space="preserve">amélioration </w:t>
            </w:r>
            <w:r w:rsidR="002A0600">
              <w:rPr>
                <w:sz w:val="18"/>
                <w:lang w:val="fr-FR"/>
              </w:rPr>
              <w:br/>
            </w:r>
            <w:r w:rsidRPr="005679DA">
              <w:rPr>
                <w:sz w:val="18"/>
                <w:lang w:val="fr-FR"/>
              </w:rPr>
              <w:t>de la qualité de l</w:t>
            </w:r>
            <w:r w:rsidR="009618BC" w:rsidRPr="005679DA">
              <w:rPr>
                <w:sz w:val="18"/>
                <w:lang w:val="fr-FR"/>
              </w:rPr>
              <w:t>’</w:t>
            </w:r>
            <w:r w:rsidRPr="005679DA">
              <w:rPr>
                <w:sz w:val="18"/>
                <w:lang w:val="fr-FR"/>
              </w:rPr>
              <w:t>enseignement de la langue roumaine dans les établissements d</w:t>
            </w:r>
            <w:r w:rsidR="009618BC" w:rsidRPr="005679DA">
              <w:rPr>
                <w:sz w:val="18"/>
                <w:lang w:val="fr-FR"/>
              </w:rPr>
              <w:t>’</w:t>
            </w:r>
            <w:r w:rsidRPr="005679DA">
              <w:rPr>
                <w:sz w:val="18"/>
                <w:lang w:val="fr-FR"/>
              </w:rPr>
              <w:t xml:space="preserve">enseignement général qui dispensent un enseignement dans les langues </w:t>
            </w:r>
            <w:r w:rsidR="002A0600">
              <w:rPr>
                <w:sz w:val="18"/>
                <w:lang w:val="fr-FR"/>
              </w:rPr>
              <w:br/>
            </w:r>
            <w:r w:rsidRPr="005679DA">
              <w:rPr>
                <w:sz w:val="18"/>
                <w:lang w:val="fr-FR"/>
              </w:rPr>
              <w:t>des minorités nationales</w:t>
            </w:r>
          </w:p>
        </w:tc>
        <w:tc>
          <w:tcPr>
            <w:tcW w:w="851" w:type="dxa"/>
            <w:tcBorders>
              <w:top w:val="single" w:sz="12" w:space="0" w:color="auto"/>
              <w:bottom w:val="single" w:sz="12" w:space="0" w:color="auto"/>
            </w:tcBorders>
            <w:shd w:val="clear" w:color="auto" w:fill="auto"/>
            <w:noWrap/>
            <w:vAlign w:val="bottom"/>
            <w:hideMark/>
          </w:tcPr>
          <w:p w:rsidR="00A72177" w:rsidRPr="005679DA" w:rsidRDefault="00A72177" w:rsidP="005679DA">
            <w:pPr>
              <w:suppressAutoHyphens w:val="0"/>
              <w:spacing w:before="40" w:after="40" w:line="220" w:lineRule="exact"/>
              <w:jc w:val="right"/>
              <w:rPr>
                <w:sz w:val="18"/>
                <w:lang w:val="fr-FR"/>
              </w:rPr>
            </w:pPr>
            <w:r w:rsidRPr="005679DA">
              <w:rPr>
                <w:sz w:val="18"/>
                <w:lang w:val="fr-FR"/>
              </w:rPr>
              <w:t>605,6</w:t>
            </w:r>
          </w:p>
        </w:tc>
        <w:tc>
          <w:tcPr>
            <w:tcW w:w="850" w:type="dxa"/>
            <w:tcBorders>
              <w:top w:val="single" w:sz="12" w:space="0" w:color="auto"/>
              <w:bottom w:val="single" w:sz="12" w:space="0" w:color="auto"/>
            </w:tcBorders>
            <w:shd w:val="clear" w:color="auto" w:fill="auto"/>
            <w:noWrap/>
            <w:vAlign w:val="bottom"/>
            <w:hideMark/>
          </w:tcPr>
          <w:p w:rsidR="00A72177" w:rsidRPr="005679DA" w:rsidRDefault="00A72177" w:rsidP="005679DA">
            <w:pPr>
              <w:suppressAutoHyphens w:val="0"/>
              <w:spacing w:before="40" w:after="40" w:line="220" w:lineRule="exact"/>
              <w:jc w:val="right"/>
              <w:rPr>
                <w:sz w:val="18"/>
                <w:lang w:val="fr-FR"/>
              </w:rPr>
            </w:pPr>
            <w:r w:rsidRPr="005679DA">
              <w:rPr>
                <w:sz w:val="18"/>
                <w:lang w:val="fr-FR"/>
              </w:rPr>
              <w:t>579,4</w:t>
            </w:r>
          </w:p>
        </w:tc>
        <w:tc>
          <w:tcPr>
            <w:tcW w:w="851" w:type="dxa"/>
            <w:tcBorders>
              <w:top w:val="single" w:sz="12" w:space="0" w:color="auto"/>
              <w:bottom w:val="single" w:sz="12" w:space="0" w:color="auto"/>
            </w:tcBorders>
            <w:shd w:val="clear" w:color="auto" w:fill="auto"/>
            <w:noWrap/>
            <w:vAlign w:val="bottom"/>
          </w:tcPr>
          <w:p w:rsidR="00A72177" w:rsidRPr="005679DA" w:rsidRDefault="002A0600" w:rsidP="00F37079">
            <w:pPr>
              <w:suppressAutoHyphens w:val="0"/>
              <w:spacing w:before="40" w:after="40" w:line="220" w:lineRule="exact"/>
              <w:jc w:val="right"/>
              <w:rPr>
                <w:sz w:val="18"/>
                <w:lang w:val="fr-FR"/>
              </w:rPr>
            </w:pPr>
            <w:r>
              <w:rPr>
                <w:sz w:val="18"/>
                <w:lang w:val="fr-FR"/>
              </w:rPr>
              <w:t>512,</w:t>
            </w:r>
            <w:r w:rsidR="00A72177" w:rsidRPr="005679DA">
              <w:rPr>
                <w:sz w:val="18"/>
                <w:lang w:val="fr-FR"/>
              </w:rPr>
              <w:t>9</w:t>
            </w:r>
          </w:p>
        </w:tc>
        <w:tc>
          <w:tcPr>
            <w:tcW w:w="1841" w:type="dxa"/>
            <w:tcBorders>
              <w:top w:val="single" w:sz="12" w:space="0" w:color="auto"/>
              <w:bottom w:val="single" w:sz="12" w:space="0" w:color="auto"/>
            </w:tcBorders>
            <w:shd w:val="clear" w:color="auto" w:fill="auto"/>
            <w:vAlign w:val="bottom"/>
          </w:tcPr>
          <w:p w:rsidR="00A72177" w:rsidRPr="005679DA" w:rsidRDefault="00A72177" w:rsidP="00F37079">
            <w:pPr>
              <w:suppressAutoHyphens w:val="0"/>
              <w:spacing w:before="40" w:after="40" w:line="220" w:lineRule="exact"/>
              <w:ind w:left="170"/>
              <w:rPr>
                <w:sz w:val="18"/>
                <w:lang w:val="fr-FR"/>
              </w:rPr>
            </w:pPr>
            <w:r w:rsidRPr="005679DA">
              <w:rPr>
                <w:sz w:val="18"/>
                <w:lang w:val="fr-FR"/>
              </w:rPr>
              <w:t xml:space="preserve">Services généraux </w:t>
            </w:r>
            <w:r w:rsidR="00F37079">
              <w:rPr>
                <w:sz w:val="18"/>
                <w:lang w:val="fr-FR"/>
              </w:rPr>
              <w:br/>
            </w:r>
            <w:r w:rsidRPr="005679DA">
              <w:rPr>
                <w:sz w:val="18"/>
                <w:lang w:val="fr-FR"/>
              </w:rPr>
              <w:t>de l</w:t>
            </w:r>
            <w:r w:rsidR="009618BC" w:rsidRPr="005679DA">
              <w:rPr>
                <w:sz w:val="18"/>
                <w:lang w:val="fr-FR"/>
              </w:rPr>
              <w:t>’</w:t>
            </w:r>
            <w:r w:rsidRPr="005679DA">
              <w:rPr>
                <w:sz w:val="18"/>
                <w:lang w:val="fr-FR"/>
              </w:rPr>
              <w:t xml:space="preserve">enseignement </w:t>
            </w:r>
          </w:p>
        </w:tc>
      </w:tr>
    </w:tbl>
    <w:p w:rsidR="00A72177" w:rsidRPr="009618BC" w:rsidRDefault="00A72177" w:rsidP="005679DA">
      <w:pPr>
        <w:pStyle w:val="SingleTxtG"/>
        <w:spacing w:before="240"/>
        <w:rPr>
          <w:lang w:val="fr-FR"/>
        </w:rPr>
      </w:pPr>
      <w:r w:rsidRPr="009618BC">
        <w:rPr>
          <w:lang w:val="fr-FR"/>
        </w:rPr>
        <w:t>45.</w:t>
      </w:r>
      <w:r w:rsidRPr="009618BC">
        <w:rPr>
          <w:lang w:val="fr-FR"/>
        </w:rPr>
        <w:tab/>
        <w:t>Les sources de financement prévues sont le budget de l</w:t>
      </w:r>
      <w:r w:rsidR="009618BC" w:rsidRPr="009618BC">
        <w:rPr>
          <w:lang w:val="fr-FR"/>
        </w:rPr>
        <w:t>’</w:t>
      </w:r>
      <w:r w:rsidRPr="009618BC">
        <w:rPr>
          <w:lang w:val="fr-FR"/>
        </w:rPr>
        <w:t>état, les budgets locaux, mais également des subventions, des parrainages et d</w:t>
      </w:r>
      <w:r w:rsidR="009618BC" w:rsidRPr="009618BC">
        <w:rPr>
          <w:lang w:val="fr-FR"/>
        </w:rPr>
        <w:t>’</w:t>
      </w:r>
      <w:r w:rsidRPr="009618BC">
        <w:rPr>
          <w:lang w:val="fr-FR"/>
        </w:rPr>
        <w:t>autres sources de financement légales.</w:t>
      </w:r>
    </w:p>
    <w:p w:rsidR="00A72177" w:rsidRPr="009618BC" w:rsidRDefault="00A72177" w:rsidP="009618BC">
      <w:pPr>
        <w:pStyle w:val="SingleTxtG"/>
        <w:rPr>
          <w:lang w:val="fr-FR"/>
        </w:rPr>
      </w:pPr>
      <w:r w:rsidRPr="009618BC">
        <w:rPr>
          <w:lang w:val="fr-FR"/>
        </w:rPr>
        <w:t>46.</w:t>
      </w:r>
      <w:r w:rsidRPr="009618BC">
        <w:rPr>
          <w:lang w:val="fr-FR"/>
        </w:rPr>
        <w:tab/>
        <w:t>La mise en œuvre de ce programme, au moyen du plan d</w:t>
      </w:r>
      <w:r w:rsidR="009618BC" w:rsidRPr="009618BC">
        <w:rPr>
          <w:lang w:val="fr-FR"/>
        </w:rPr>
        <w:t>’</w:t>
      </w:r>
      <w:r w:rsidRPr="009618BC">
        <w:rPr>
          <w:lang w:val="fr-FR"/>
        </w:rPr>
        <w:t>action correspondant, permettra d</w:t>
      </w:r>
      <w:r w:rsidR="009618BC" w:rsidRPr="009618BC">
        <w:rPr>
          <w:lang w:val="fr-FR"/>
        </w:rPr>
        <w:t>’</w:t>
      </w:r>
      <w:r w:rsidRPr="009618BC">
        <w:rPr>
          <w:lang w:val="fr-FR"/>
        </w:rPr>
        <w:t>améliorer considérablement la qualité de l</w:t>
      </w:r>
      <w:r w:rsidR="009618BC" w:rsidRPr="009618BC">
        <w:rPr>
          <w:lang w:val="fr-FR"/>
        </w:rPr>
        <w:t>’</w:t>
      </w:r>
      <w:r w:rsidRPr="009618BC">
        <w:rPr>
          <w:lang w:val="fr-FR"/>
        </w:rPr>
        <w:t>enseignement de la langue roumaine aux personnes issues de minorités nationales.</w:t>
      </w:r>
    </w:p>
    <w:p w:rsidR="00A72177" w:rsidRPr="009618BC" w:rsidRDefault="00A72177" w:rsidP="009618BC">
      <w:pPr>
        <w:pStyle w:val="SingleTxtG"/>
        <w:rPr>
          <w:lang w:val="fr-FR"/>
        </w:rPr>
      </w:pPr>
      <w:r w:rsidRPr="009618BC">
        <w:rPr>
          <w:lang w:val="fr-FR"/>
        </w:rPr>
        <w:t>47.</w:t>
      </w:r>
      <w:r w:rsidRPr="009618BC">
        <w:rPr>
          <w:lang w:val="fr-FR"/>
        </w:rPr>
        <w:tab/>
        <w:t xml:space="preserve">Dans ce domaine, certains progrès ont été réalisés. Par exemple, dans le cadre du </w:t>
      </w:r>
      <w:r w:rsidR="00381391">
        <w:rPr>
          <w:lang w:val="fr-FR"/>
        </w:rPr>
        <w:t>P</w:t>
      </w:r>
      <w:r w:rsidRPr="009618BC">
        <w:rPr>
          <w:lang w:val="fr-FR"/>
        </w:rPr>
        <w:t>lan d</w:t>
      </w:r>
      <w:r w:rsidR="009618BC" w:rsidRPr="009618BC">
        <w:rPr>
          <w:lang w:val="fr-FR"/>
        </w:rPr>
        <w:t>’</w:t>
      </w:r>
      <w:r w:rsidRPr="009618BC">
        <w:rPr>
          <w:lang w:val="fr-FR"/>
        </w:rPr>
        <w:t>action relatif à la mise en œuvre du Programme national d</w:t>
      </w:r>
      <w:r w:rsidR="009618BC" w:rsidRPr="009618BC">
        <w:rPr>
          <w:lang w:val="fr-FR"/>
        </w:rPr>
        <w:t>’</w:t>
      </w:r>
      <w:r w:rsidRPr="009618BC">
        <w:rPr>
          <w:lang w:val="fr-FR"/>
        </w:rPr>
        <w:t>amélioration de la qualité de l</w:t>
      </w:r>
      <w:r w:rsidR="009618BC" w:rsidRPr="009618BC">
        <w:rPr>
          <w:lang w:val="fr-FR"/>
        </w:rPr>
        <w:t>’</w:t>
      </w:r>
      <w:r w:rsidRPr="009618BC">
        <w:rPr>
          <w:lang w:val="fr-FR"/>
        </w:rPr>
        <w:t>enseignement de la langue roumaine dans les établissements d</w:t>
      </w:r>
      <w:r w:rsidR="009618BC" w:rsidRPr="009618BC">
        <w:rPr>
          <w:lang w:val="fr-FR"/>
        </w:rPr>
        <w:t>’</w:t>
      </w:r>
      <w:r w:rsidRPr="009618BC">
        <w:rPr>
          <w:lang w:val="fr-FR"/>
        </w:rPr>
        <w:t xml:space="preserve">enseignement général qui dispensent un enseignement dans les langues des minorités nationales (2016-2020), le projet éducatif intitulé « Intégration sociolinguistique des élèves allophones moyennant une </w:t>
      </w:r>
      <w:r w:rsidRPr="009618BC">
        <w:rPr>
          <w:lang w:val="fr-FR"/>
        </w:rPr>
        <w:lastRenderedPageBreak/>
        <w:t>augmentation du nombre de disciplines scolaires enseignées en roumain</w:t>
      </w:r>
      <w:r w:rsidRPr="009618BC">
        <w:rPr>
          <w:rStyle w:val="Appelnotedebasdep"/>
        </w:rPr>
        <w:footnoteReference w:id="10"/>
      </w:r>
      <w:r w:rsidRPr="009618BC">
        <w:rPr>
          <w:lang w:val="fr-FR"/>
        </w:rPr>
        <w:t> » a été élargi. À l</w:t>
      </w:r>
      <w:r w:rsidR="009618BC" w:rsidRPr="009618BC">
        <w:rPr>
          <w:lang w:val="fr-FR"/>
        </w:rPr>
        <w:t>’</w:t>
      </w:r>
      <w:r w:rsidRPr="009618BC">
        <w:rPr>
          <w:lang w:val="fr-FR"/>
        </w:rPr>
        <w:t xml:space="preserve">heure actuelle, ce projet est mis </w:t>
      </w:r>
      <w:r w:rsidR="00F37079">
        <w:rPr>
          <w:lang w:val="fr-FR"/>
        </w:rPr>
        <w:t>en œuvre dans 168 classes de 40 </w:t>
      </w:r>
      <w:r w:rsidRPr="009618BC">
        <w:rPr>
          <w:lang w:val="fr-FR"/>
        </w:rPr>
        <w:t xml:space="preserve">établissements scolaires du pays. Au total, 89 enseignants enseignent </w:t>
      </w:r>
      <w:r w:rsidR="00F37079">
        <w:rPr>
          <w:lang w:val="fr-FR"/>
        </w:rPr>
        <w:t>huit </w:t>
      </w:r>
      <w:r w:rsidRPr="009618BC">
        <w:rPr>
          <w:lang w:val="fr-FR"/>
        </w:rPr>
        <w:t>disciplines scolaires en roumain, créant ainsi de bonnes conditions pour augmenter considérablement la connaissance de la langue roumaine.</w:t>
      </w:r>
    </w:p>
    <w:p w:rsidR="00A72177" w:rsidRPr="009618BC" w:rsidRDefault="00A72177" w:rsidP="009618BC">
      <w:pPr>
        <w:pStyle w:val="SingleTxtG"/>
        <w:rPr>
          <w:lang w:val="fr-FR"/>
        </w:rPr>
      </w:pPr>
      <w:r w:rsidRPr="009618BC">
        <w:rPr>
          <w:lang w:val="fr-FR"/>
        </w:rPr>
        <w:t>48.</w:t>
      </w:r>
      <w:r w:rsidRPr="009618BC">
        <w:rPr>
          <w:lang w:val="fr-FR"/>
        </w:rPr>
        <w:tab/>
        <w:t>Ce même projet est également activement mis en œuvre dans plusieurs établissements de Gagaouzie afin d</w:t>
      </w:r>
      <w:r w:rsidR="009618BC" w:rsidRPr="009618BC">
        <w:rPr>
          <w:lang w:val="fr-FR"/>
        </w:rPr>
        <w:t>’</w:t>
      </w:r>
      <w:r w:rsidRPr="009618BC">
        <w:rPr>
          <w:lang w:val="fr-FR"/>
        </w:rPr>
        <w:t>étendre l</w:t>
      </w:r>
      <w:r w:rsidR="009618BC" w:rsidRPr="009618BC">
        <w:rPr>
          <w:lang w:val="fr-FR"/>
        </w:rPr>
        <w:t>’</w:t>
      </w:r>
      <w:r w:rsidRPr="009618BC">
        <w:rPr>
          <w:lang w:val="fr-FR"/>
        </w:rPr>
        <w:t>usage de la langue officielle dans l</w:t>
      </w:r>
      <w:r w:rsidR="009618BC" w:rsidRPr="009618BC">
        <w:rPr>
          <w:lang w:val="fr-FR"/>
        </w:rPr>
        <w:t>’</w:t>
      </w:r>
      <w:r w:rsidRPr="009618BC">
        <w:rPr>
          <w:lang w:val="fr-FR"/>
        </w:rPr>
        <w:t>enseignement. Ainsi, dans l</w:t>
      </w:r>
      <w:r w:rsidR="009618BC" w:rsidRPr="009618BC">
        <w:rPr>
          <w:lang w:val="fr-FR"/>
        </w:rPr>
        <w:t>’</w:t>
      </w:r>
      <w:r w:rsidRPr="009618BC">
        <w:rPr>
          <w:lang w:val="fr-FR"/>
        </w:rPr>
        <w:t>école secondaire Gabriel Gaydarzhi à Comrat, depuis huit ans, le cours d</w:t>
      </w:r>
      <w:r w:rsidR="009618BC" w:rsidRPr="009618BC">
        <w:rPr>
          <w:lang w:val="fr-FR"/>
        </w:rPr>
        <w:t>’</w:t>
      </w:r>
      <w:r w:rsidRPr="009618BC">
        <w:rPr>
          <w:lang w:val="fr-FR"/>
        </w:rPr>
        <w:t>éducation spirituelle et morale est donné dans la langue officielle pendant les trois premières années de la scolarité. À l</w:t>
      </w:r>
      <w:r w:rsidR="009618BC" w:rsidRPr="009618BC">
        <w:rPr>
          <w:lang w:val="fr-FR"/>
        </w:rPr>
        <w:t>’</w:t>
      </w:r>
      <w:r w:rsidRPr="009618BC">
        <w:rPr>
          <w:lang w:val="fr-FR"/>
        </w:rPr>
        <w:t>école secondaire Mikhail Guboglo à Ceadir-Lunga, le cours de culture du bon voisinage est enseigné dans trois classes dans la langue officielle, et le cours facultatif d</w:t>
      </w:r>
      <w:r w:rsidR="009618BC" w:rsidRPr="009618BC">
        <w:rPr>
          <w:lang w:val="fr-FR"/>
        </w:rPr>
        <w:t>’</w:t>
      </w:r>
      <w:r w:rsidRPr="009618BC">
        <w:rPr>
          <w:lang w:val="fr-FR"/>
        </w:rPr>
        <w:t>éducation interculturelle, dans sept classes.</w:t>
      </w:r>
    </w:p>
    <w:p w:rsidR="00A72177" w:rsidRPr="009618BC" w:rsidRDefault="00A72177" w:rsidP="009618BC">
      <w:pPr>
        <w:pStyle w:val="SingleTxtG"/>
        <w:rPr>
          <w:lang w:val="fr-FR"/>
        </w:rPr>
      </w:pPr>
      <w:r w:rsidRPr="009618BC">
        <w:rPr>
          <w:lang w:val="fr-FR"/>
        </w:rPr>
        <w:t>49.</w:t>
      </w:r>
      <w:r w:rsidRPr="009618BC">
        <w:rPr>
          <w:lang w:val="fr-FR"/>
        </w:rPr>
        <w:tab/>
        <w:t>Dans le district de Taraclia, pendant l</w:t>
      </w:r>
      <w:r w:rsidR="009618BC" w:rsidRPr="009618BC">
        <w:rPr>
          <w:lang w:val="fr-FR"/>
        </w:rPr>
        <w:t>’</w:t>
      </w:r>
      <w:r w:rsidR="00F37079">
        <w:rPr>
          <w:lang w:val="fr-FR"/>
        </w:rPr>
        <w:t>année scolaire 2017/18, 13 </w:t>
      </w:r>
      <w:r w:rsidRPr="009618BC">
        <w:rPr>
          <w:lang w:val="fr-FR"/>
        </w:rPr>
        <w:t>établissements scolaires participent à ce projet d</w:t>
      </w:r>
      <w:r w:rsidR="009618BC" w:rsidRPr="009618BC">
        <w:rPr>
          <w:lang w:val="fr-FR"/>
        </w:rPr>
        <w:t>’</w:t>
      </w:r>
      <w:r w:rsidRPr="009618BC">
        <w:rPr>
          <w:lang w:val="fr-FR"/>
        </w:rPr>
        <w:t>intégration sociolinguistique, touchant ainsi 857 élèves. L</w:t>
      </w:r>
      <w:r w:rsidR="009618BC" w:rsidRPr="009618BC">
        <w:rPr>
          <w:lang w:val="fr-FR"/>
        </w:rPr>
        <w:t>’</w:t>
      </w:r>
      <w:r w:rsidRPr="009618BC">
        <w:rPr>
          <w:lang w:val="fr-FR"/>
        </w:rPr>
        <w:t>enseignement des disciplines scolaires dans la langue officielle est assuré par 24 enseignants diplômés de l</w:t>
      </w:r>
      <w:r w:rsidR="009618BC" w:rsidRPr="009618BC">
        <w:rPr>
          <w:lang w:val="fr-FR"/>
        </w:rPr>
        <w:t>’</w:t>
      </w:r>
      <w:r w:rsidRPr="009618BC">
        <w:rPr>
          <w:lang w:val="fr-FR"/>
        </w:rPr>
        <w:t>enseignement supérieur, en langue et littérature roumaines pour la plupart. Dans le cadre de ce projet, les disciplines suivantes sont enseignées dans la langue officielle : technologie, éducation musicale, éducation physique, éducation civique, éducation spirituelle et morale.</w:t>
      </w:r>
    </w:p>
    <w:p w:rsidR="00A72177" w:rsidRPr="009618BC" w:rsidRDefault="00A72177" w:rsidP="009618BC">
      <w:pPr>
        <w:pStyle w:val="SingleTxtG"/>
        <w:rPr>
          <w:lang w:val="fr-FR"/>
        </w:rPr>
      </w:pPr>
      <w:r w:rsidRPr="009618BC">
        <w:rPr>
          <w:lang w:val="fr-FR"/>
        </w:rPr>
        <w:t>50.</w:t>
      </w:r>
      <w:r w:rsidRPr="009618BC">
        <w:rPr>
          <w:lang w:val="fr-FR"/>
        </w:rPr>
        <w:tab/>
      </w:r>
      <w:bookmarkStart w:id="2" w:name="_Hlk526170139"/>
      <w:r w:rsidRPr="009618BC">
        <w:rPr>
          <w:lang w:val="fr-FR"/>
        </w:rPr>
        <w:t>L</w:t>
      </w:r>
      <w:r w:rsidR="009618BC" w:rsidRPr="009618BC">
        <w:rPr>
          <w:lang w:val="fr-FR"/>
        </w:rPr>
        <w:t>’</w:t>
      </w:r>
      <w:r w:rsidRPr="009618BC">
        <w:rPr>
          <w:lang w:val="fr-FR"/>
        </w:rPr>
        <w:t xml:space="preserve">Association nationale des enseignants européens de Moldova </w:t>
      </w:r>
      <w:bookmarkEnd w:id="2"/>
      <w:r w:rsidRPr="009618BC">
        <w:rPr>
          <w:lang w:val="fr-FR"/>
        </w:rPr>
        <w:t>(ANTEM)</w:t>
      </w:r>
      <w:r w:rsidRPr="009618BC">
        <w:rPr>
          <w:rStyle w:val="Appelnotedebasdep"/>
        </w:rPr>
        <w:footnoteReference w:id="11"/>
      </w:r>
      <w:r w:rsidRPr="009618BC">
        <w:rPr>
          <w:lang w:val="fr-FR"/>
        </w:rPr>
        <w:t xml:space="preserve"> poursuit la mise en œuvre du programme intitulé « Intégration da</w:t>
      </w:r>
      <w:r w:rsidR="00F37079">
        <w:rPr>
          <w:lang w:val="fr-FR"/>
        </w:rPr>
        <w:t>ns le respect de la diversité − </w:t>
      </w:r>
      <w:r w:rsidRPr="009618BC">
        <w:rPr>
          <w:lang w:val="fr-FR"/>
        </w:rPr>
        <w:t>apprentissage simultané des l</w:t>
      </w:r>
      <w:r w:rsidR="00F6423B">
        <w:rPr>
          <w:lang w:val="fr-FR"/>
        </w:rPr>
        <w:t>angues roumaine</w:t>
      </w:r>
      <w:r w:rsidRPr="009618BC">
        <w:rPr>
          <w:lang w:val="fr-FR"/>
        </w:rPr>
        <w:t xml:space="preserve"> et gagaouze en Gagaouzie »</w:t>
      </w:r>
      <w:r w:rsidR="00381391" w:rsidRPr="009618BC">
        <w:rPr>
          <w:rStyle w:val="Appelnotedebasdep"/>
        </w:rPr>
        <w:footnoteReference w:id="12"/>
      </w:r>
      <w:r w:rsidRPr="009618BC">
        <w:rPr>
          <w:lang w:val="fr-FR"/>
        </w:rPr>
        <w:t>. En décembre 2017, la deuxième étape du programme a été présentée à Comrat.</w:t>
      </w:r>
    </w:p>
    <w:p w:rsidR="00A72177" w:rsidRPr="009618BC" w:rsidRDefault="00A72177" w:rsidP="009618BC">
      <w:pPr>
        <w:pStyle w:val="SingleTxtG"/>
        <w:rPr>
          <w:lang w:val="fr-FR"/>
        </w:rPr>
      </w:pPr>
      <w:r w:rsidRPr="009618BC">
        <w:rPr>
          <w:lang w:val="fr-FR"/>
        </w:rPr>
        <w:t>51.</w:t>
      </w:r>
      <w:r w:rsidRPr="009618BC">
        <w:rPr>
          <w:lang w:val="fr-FR"/>
        </w:rPr>
        <w:tab/>
        <w:t>L</w:t>
      </w:r>
      <w:r w:rsidR="009618BC" w:rsidRPr="009618BC">
        <w:rPr>
          <w:lang w:val="fr-FR"/>
        </w:rPr>
        <w:t>’</w:t>
      </w:r>
      <w:r w:rsidRPr="009618BC">
        <w:rPr>
          <w:lang w:val="fr-FR"/>
        </w:rPr>
        <w:t>objectif principal de ce projet est de créer les conditions favorables à l</w:t>
      </w:r>
      <w:r w:rsidR="009618BC" w:rsidRPr="009618BC">
        <w:rPr>
          <w:lang w:val="fr-FR"/>
        </w:rPr>
        <w:t>’</w:t>
      </w:r>
      <w:r w:rsidRPr="009618BC">
        <w:rPr>
          <w:lang w:val="fr-FR"/>
        </w:rPr>
        <w:t>apprentissage parallèle des langues roumaine et gagaou</w:t>
      </w:r>
      <w:r w:rsidR="00F37079">
        <w:rPr>
          <w:lang w:val="fr-FR"/>
        </w:rPr>
        <w:t>ze chez les enfants de 5-6 </w:t>
      </w:r>
      <w:r w:rsidRPr="009618BC">
        <w:rPr>
          <w:lang w:val="fr-FR"/>
        </w:rPr>
        <w:t>ans et leurs parents, de manière à favoriser leur intégration linguistique, sociale et professionnelle, tout en préservant leur identité ethnique et leur patrimoine culturel.</w:t>
      </w:r>
    </w:p>
    <w:p w:rsidR="00A72177" w:rsidRPr="009618BC" w:rsidRDefault="00A72177" w:rsidP="009618BC">
      <w:pPr>
        <w:pStyle w:val="SingleTxtG"/>
        <w:rPr>
          <w:lang w:val="fr-FR"/>
        </w:rPr>
      </w:pPr>
      <w:r w:rsidRPr="009618BC">
        <w:rPr>
          <w:lang w:val="fr-FR"/>
        </w:rPr>
        <w:t>52.</w:t>
      </w:r>
      <w:r w:rsidRPr="009618BC">
        <w:rPr>
          <w:lang w:val="fr-FR"/>
        </w:rPr>
        <w:tab/>
        <w:t>Lors de la présentation de la deuxième étape du programme, 10 nouveaux jardins d</w:t>
      </w:r>
      <w:r w:rsidR="009618BC" w:rsidRPr="009618BC">
        <w:rPr>
          <w:lang w:val="fr-FR"/>
        </w:rPr>
        <w:t>’</w:t>
      </w:r>
      <w:r w:rsidRPr="009618BC">
        <w:rPr>
          <w:lang w:val="fr-FR"/>
        </w:rPr>
        <w:t>enfants bénéficiaires dans sept communautés de Gaga</w:t>
      </w:r>
      <w:r w:rsidR="00F37079">
        <w:rPr>
          <w:lang w:val="fr-FR"/>
        </w:rPr>
        <w:t>ouzie ont reçu 300 manuels, 100 </w:t>
      </w:r>
      <w:r w:rsidRPr="009618BC">
        <w:rPr>
          <w:lang w:val="fr-FR"/>
        </w:rPr>
        <w:t>jeux de fiches, 200 recueils de poèmes et chansons et 200 recueils de contes et courtes histoires drôles compilés par les membres d</w:t>
      </w:r>
      <w:r w:rsidR="009618BC" w:rsidRPr="009618BC">
        <w:rPr>
          <w:lang w:val="fr-FR"/>
        </w:rPr>
        <w:t>’</w:t>
      </w:r>
      <w:r w:rsidRPr="009618BC">
        <w:rPr>
          <w:lang w:val="fr-FR"/>
        </w:rPr>
        <w:t>ANTEM. Tous ces supports didactiques sont publiés en deux langues, le roumain et le gagaouze, et accompagnés de cassettes audio. Au total, 224 enfants et 180 parents participent à la deuxième étape du programme.</w:t>
      </w:r>
    </w:p>
    <w:p w:rsidR="00A72177" w:rsidRPr="009618BC" w:rsidRDefault="00A72177" w:rsidP="009618BC">
      <w:pPr>
        <w:pStyle w:val="SingleTxtG"/>
        <w:rPr>
          <w:lang w:val="fr-FR"/>
        </w:rPr>
      </w:pPr>
      <w:r w:rsidRPr="009618BC">
        <w:rPr>
          <w:lang w:val="fr-FR"/>
        </w:rPr>
        <w:t>53.</w:t>
      </w:r>
      <w:r w:rsidRPr="009618BC">
        <w:rPr>
          <w:lang w:val="fr-FR"/>
        </w:rPr>
        <w:tab/>
        <w:t>En 2017 et 2018, les événements ci-après ont été organisés dans le cadre du Programme d</w:t>
      </w:r>
      <w:r w:rsidR="009618BC" w:rsidRPr="009618BC">
        <w:rPr>
          <w:lang w:val="fr-FR"/>
        </w:rPr>
        <w:t>’</w:t>
      </w:r>
      <w:r w:rsidRPr="009618BC">
        <w:rPr>
          <w:lang w:val="fr-FR"/>
        </w:rPr>
        <w:t>intégration da</w:t>
      </w:r>
      <w:r w:rsidR="00F6423B">
        <w:rPr>
          <w:lang w:val="fr-FR"/>
        </w:rPr>
        <w:t>ns le respect de la diversité − </w:t>
      </w:r>
      <w:r w:rsidRPr="009618BC">
        <w:rPr>
          <w:lang w:val="fr-FR"/>
        </w:rPr>
        <w:t>apprentissage</w:t>
      </w:r>
      <w:r w:rsidR="00F6423B">
        <w:rPr>
          <w:lang w:val="fr-FR"/>
        </w:rPr>
        <w:t xml:space="preserve"> simultané des langues roumaine</w:t>
      </w:r>
      <w:r w:rsidRPr="009618BC">
        <w:rPr>
          <w:lang w:val="fr-FR"/>
        </w:rPr>
        <w:t xml:space="preserve"> et gagaouze en Gagaouzie :</w:t>
      </w:r>
    </w:p>
    <w:p w:rsidR="00A72177" w:rsidRPr="009618BC" w:rsidRDefault="00CA108F" w:rsidP="00CA108F">
      <w:pPr>
        <w:pStyle w:val="Bullet1G"/>
        <w:rPr>
          <w:lang w:val="fr-FR"/>
        </w:rPr>
      </w:pPr>
      <w:r>
        <w:rPr>
          <w:lang w:val="fr-FR"/>
        </w:rPr>
        <w:t>Q</w:t>
      </w:r>
      <w:r w:rsidR="00A72177" w:rsidRPr="009618BC">
        <w:rPr>
          <w:lang w:val="fr-FR"/>
        </w:rPr>
        <w:t>uatre séminaires de formation pour les directeurs des jardins d</w:t>
      </w:r>
      <w:r w:rsidR="009618BC" w:rsidRPr="009618BC">
        <w:rPr>
          <w:lang w:val="fr-FR"/>
        </w:rPr>
        <w:t>’</w:t>
      </w:r>
      <w:r w:rsidR="00A72177" w:rsidRPr="009618BC">
        <w:rPr>
          <w:lang w:val="fr-FR"/>
        </w:rPr>
        <w:t>enfants de Gagaouzie, auxquels ont participé les directeurs et pédagogues de 10 jardins d</w:t>
      </w:r>
      <w:r w:rsidR="009618BC" w:rsidRPr="009618BC">
        <w:rPr>
          <w:lang w:val="fr-FR"/>
        </w:rPr>
        <w:t>’</w:t>
      </w:r>
      <w:r w:rsidR="00A72177" w:rsidRPr="009618BC">
        <w:rPr>
          <w:lang w:val="fr-FR"/>
        </w:rPr>
        <w:t>enfants couverts par le projet. Ces séminaires ont donné l</w:t>
      </w:r>
      <w:r w:rsidR="009618BC" w:rsidRPr="009618BC">
        <w:rPr>
          <w:lang w:val="fr-FR"/>
        </w:rPr>
        <w:t>’</w:t>
      </w:r>
      <w:r w:rsidR="00A72177" w:rsidRPr="009618BC">
        <w:rPr>
          <w:lang w:val="fr-FR"/>
        </w:rPr>
        <w:t>occasion à 20 enseignants des langues roumaine et gagaouze de prendre connaissance de l</w:t>
      </w:r>
      <w:r w:rsidR="009618BC" w:rsidRPr="009618BC">
        <w:rPr>
          <w:lang w:val="fr-FR"/>
        </w:rPr>
        <w:t>’</w:t>
      </w:r>
      <w:r w:rsidR="00A72177" w:rsidRPr="009618BC">
        <w:rPr>
          <w:lang w:val="fr-FR"/>
        </w:rPr>
        <w:t>expérience positive accumulée en matière d</w:t>
      </w:r>
      <w:r w:rsidR="009618BC" w:rsidRPr="009618BC">
        <w:rPr>
          <w:lang w:val="fr-FR"/>
        </w:rPr>
        <w:t>’</w:t>
      </w:r>
      <w:r w:rsidR="00A72177" w:rsidRPr="009618BC">
        <w:rPr>
          <w:lang w:val="fr-FR"/>
        </w:rPr>
        <w:t>enseignement/apprentissage simultané des langues roumaine et gagaouze chez les enfants et leurs parents, ainsi que des méthodes d</w:t>
      </w:r>
      <w:r w:rsidR="009618BC" w:rsidRPr="009618BC">
        <w:rPr>
          <w:lang w:val="fr-FR"/>
        </w:rPr>
        <w:t>’</w:t>
      </w:r>
      <w:r w:rsidR="00A72177" w:rsidRPr="009618BC">
        <w:rPr>
          <w:lang w:val="fr-FR"/>
        </w:rPr>
        <w:t>utilisation optimale du matériel didactique mis au point pour ce programme ;</w:t>
      </w:r>
    </w:p>
    <w:p w:rsidR="00A72177" w:rsidRPr="009618BC" w:rsidRDefault="00CA108F" w:rsidP="00F37079">
      <w:pPr>
        <w:pStyle w:val="Bullet1G"/>
        <w:keepNext/>
        <w:keepLines/>
        <w:rPr>
          <w:lang w:val="fr-FR"/>
        </w:rPr>
      </w:pPr>
      <w:r>
        <w:rPr>
          <w:lang w:val="fr-FR"/>
        </w:rPr>
        <w:lastRenderedPageBreak/>
        <w:t>U</w:t>
      </w:r>
      <w:r w:rsidR="00A72177" w:rsidRPr="009618BC">
        <w:rPr>
          <w:lang w:val="fr-FR"/>
        </w:rPr>
        <w:t>ne série de séances d</w:t>
      </w:r>
      <w:r w:rsidR="009618BC" w:rsidRPr="009618BC">
        <w:rPr>
          <w:lang w:val="fr-FR"/>
        </w:rPr>
        <w:t>’</w:t>
      </w:r>
      <w:r w:rsidR="00A72177" w:rsidRPr="009618BC">
        <w:rPr>
          <w:lang w:val="fr-FR"/>
        </w:rPr>
        <w:t>information pour les parents, au cours desquelles 150 parents ont été informés des particularités et activités concrètes du programme. En conséquence, des parents ont confirmé par écrit leur acceptation d</w:t>
      </w:r>
      <w:r w:rsidR="009618BC" w:rsidRPr="009618BC">
        <w:rPr>
          <w:lang w:val="fr-FR"/>
        </w:rPr>
        <w:t>’</w:t>
      </w:r>
      <w:r w:rsidR="00A72177" w:rsidRPr="009618BC">
        <w:rPr>
          <w:lang w:val="fr-FR"/>
        </w:rPr>
        <w:t>y participer avec leurs enfants.</w:t>
      </w:r>
    </w:p>
    <w:p w:rsidR="00A72177" w:rsidRPr="009618BC" w:rsidRDefault="00A72177" w:rsidP="009618BC">
      <w:pPr>
        <w:pStyle w:val="SingleTxtG"/>
        <w:rPr>
          <w:lang w:val="fr-FR"/>
        </w:rPr>
      </w:pPr>
      <w:r w:rsidRPr="009618BC">
        <w:rPr>
          <w:lang w:val="fr-FR"/>
        </w:rPr>
        <w:t>54.</w:t>
      </w:r>
      <w:r w:rsidRPr="009618BC">
        <w:rPr>
          <w:lang w:val="fr-FR"/>
        </w:rPr>
        <w:tab/>
        <w:t>Force est de reconnaître que l</w:t>
      </w:r>
      <w:r w:rsidR="009618BC" w:rsidRPr="009618BC">
        <w:rPr>
          <w:lang w:val="fr-FR"/>
        </w:rPr>
        <w:t>’</w:t>
      </w:r>
      <w:r w:rsidRPr="009618BC">
        <w:rPr>
          <w:lang w:val="fr-FR"/>
        </w:rPr>
        <w:t>enseignement simultané de deux langues dans les jardins d</w:t>
      </w:r>
      <w:r w:rsidR="009618BC" w:rsidRPr="009618BC">
        <w:rPr>
          <w:lang w:val="fr-FR"/>
        </w:rPr>
        <w:t>’</w:t>
      </w:r>
      <w:r w:rsidRPr="009618BC">
        <w:rPr>
          <w:lang w:val="fr-FR"/>
        </w:rPr>
        <w:t>enfants de Moldova est une méthode fondamentalement nouvelle et efficace. Un nombre croissant de jardins d</w:t>
      </w:r>
      <w:r w:rsidR="009618BC" w:rsidRPr="009618BC">
        <w:rPr>
          <w:lang w:val="fr-FR"/>
        </w:rPr>
        <w:t>’</w:t>
      </w:r>
      <w:r w:rsidRPr="009618BC">
        <w:rPr>
          <w:lang w:val="fr-FR"/>
        </w:rPr>
        <w:t>enfants fréquentés par des enfants allophones constatent que ce type de programme d</w:t>
      </w:r>
      <w:r w:rsidR="009618BC" w:rsidRPr="009618BC">
        <w:rPr>
          <w:lang w:val="fr-FR"/>
        </w:rPr>
        <w:t>’</w:t>
      </w:r>
      <w:r w:rsidRPr="009618BC">
        <w:rPr>
          <w:lang w:val="fr-FR"/>
        </w:rPr>
        <w:t>enseignement est nécessaire. C</w:t>
      </w:r>
      <w:r w:rsidR="009618BC" w:rsidRPr="009618BC">
        <w:rPr>
          <w:lang w:val="fr-FR"/>
        </w:rPr>
        <w:t>’</w:t>
      </w:r>
      <w:r w:rsidRPr="009618BC">
        <w:rPr>
          <w:lang w:val="fr-FR"/>
        </w:rPr>
        <w:t>est pourquoi, le Ministère de l</w:t>
      </w:r>
      <w:r w:rsidR="009618BC" w:rsidRPr="009618BC">
        <w:rPr>
          <w:lang w:val="fr-FR"/>
        </w:rPr>
        <w:t>’</w:t>
      </w:r>
      <w:r w:rsidRPr="009618BC">
        <w:rPr>
          <w:lang w:val="fr-FR"/>
        </w:rPr>
        <w:t>éducation, de la culture et de la recherche a l</w:t>
      </w:r>
      <w:r w:rsidR="009618BC" w:rsidRPr="009618BC">
        <w:rPr>
          <w:lang w:val="fr-FR"/>
        </w:rPr>
        <w:t>’</w:t>
      </w:r>
      <w:r w:rsidRPr="009618BC">
        <w:rPr>
          <w:lang w:val="fr-FR"/>
        </w:rPr>
        <w:t>intention d</w:t>
      </w:r>
      <w:r w:rsidR="009618BC" w:rsidRPr="009618BC">
        <w:rPr>
          <w:lang w:val="fr-FR"/>
        </w:rPr>
        <w:t>’</w:t>
      </w:r>
      <w:r w:rsidRPr="009618BC">
        <w:rPr>
          <w:lang w:val="fr-FR"/>
        </w:rPr>
        <w:t>élaborer, en 2018, des programmes d</w:t>
      </w:r>
      <w:r w:rsidR="009618BC" w:rsidRPr="009618BC">
        <w:rPr>
          <w:lang w:val="fr-FR"/>
        </w:rPr>
        <w:t>’</w:t>
      </w:r>
      <w:r w:rsidRPr="009618BC">
        <w:rPr>
          <w:lang w:val="fr-FR"/>
        </w:rPr>
        <w:t>enseignement de la langue roumaine dans les établissements préscolaires russophones.</w:t>
      </w:r>
    </w:p>
    <w:p w:rsidR="00A72177" w:rsidRPr="009618BC" w:rsidRDefault="00A72177" w:rsidP="009618BC">
      <w:pPr>
        <w:pStyle w:val="SingleTxtG"/>
        <w:rPr>
          <w:lang w:val="fr-FR"/>
        </w:rPr>
      </w:pPr>
      <w:r w:rsidRPr="009618BC">
        <w:rPr>
          <w:lang w:val="fr-FR"/>
        </w:rPr>
        <w:t>55.</w:t>
      </w:r>
      <w:r w:rsidRPr="009618BC">
        <w:rPr>
          <w:lang w:val="fr-FR"/>
        </w:rPr>
        <w:tab/>
        <w:t>En 2017 et 2018, dans le but d</w:t>
      </w:r>
      <w:r w:rsidR="009618BC" w:rsidRPr="009618BC">
        <w:rPr>
          <w:lang w:val="fr-FR"/>
        </w:rPr>
        <w:t>’</w:t>
      </w:r>
      <w:r w:rsidRPr="009618BC">
        <w:rPr>
          <w:lang w:val="fr-FR"/>
        </w:rPr>
        <w:t>améliorer la qualité de l</w:t>
      </w:r>
      <w:r w:rsidR="009618BC" w:rsidRPr="009618BC">
        <w:rPr>
          <w:lang w:val="fr-FR"/>
        </w:rPr>
        <w:t>’</w:t>
      </w:r>
      <w:r w:rsidRPr="009618BC">
        <w:rPr>
          <w:lang w:val="fr-FR"/>
        </w:rPr>
        <w:t>enseignement et de l</w:t>
      </w:r>
      <w:r w:rsidR="009618BC" w:rsidRPr="009618BC">
        <w:rPr>
          <w:lang w:val="fr-FR"/>
        </w:rPr>
        <w:t>’</w:t>
      </w:r>
      <w:r w:rsidRPr="009618BC">
        <w:rPr>
          <w:lang w:val="fr-FR"/>
        </w:rPr>
        <w:t>apprentissage du roumain et de promouvoir l</w:t>
      </w:r>
      <w:r w:rsidR="009618BC" w:rsidRPr="009618BC">
        <w:rPr>
          <w:lang w:val="fr-FR"/>
        </w:rPr>
        <w:t>’</w:t>
      </w:r>
      <w:r w:rsidRPr="009618BC">
        <w:rPr>
          <w:lang w:val="fr-FR"/>
        </w:rPr>
        <w:t>intégration sociolinguistiques des élèves issus de minorités nationales, le Ministère de l</w:t>
      </w:r>
      <w:r w:rsidR="009618BC" w:rsidRPr="009618BC">
        <w:rPr>
          <w:lang w:val="fr-FR"/>
        </w:rPr>
        <w:t>’</w:t>
      </w:r>
      <w:r w:rsidRPr="009618BC">
        <w:rPr>
          <w:lang w:val="fr-FR"/>
        </w:rPr>
        <w:t>éducation, de la culture et de la recherche a organisé un certain nombre d</w:t>
      </w:r>
      <w:r w:rsidR="009618BC" w:rsidRPr="009618BC">
        <w:rPr>
          <w:lang w:val="fr-FR"/>
        </w:rPr>
        <w:t>’</w:t>
      </w:r>
      <w:r w:rsidRPr="009618BC">
        <w:rPr>
          <w:lang w:val="fr-FR"/>
        </w:rPr>
        <w:t>activités diverses, notamment :</w:t>
      </w:r>
    </w:p>
    <w:p w:rsidR="00A72177" w:rsidRPr="009618BC" w:rsidRDefault="00CA108F" w:rsidP="00CA108F">
      <w:pPr>
        <w:pStyle w:val="Bullet1G"/>
        <w:rPr>
          <w:lang w:val="fr-FR"/>
        </w:rPr>
      </w:pPr>
      <w:r>
        <w:rPr>
          <w:lang w:val="fr-FR"/>
        </w:rPr>
        <w:t>U</w:t>
      </w:r>
      <w:r w:rsidR="00A72177" w:rsidRPr="009618BC">
        <w:rPr>
          <w:lang w:val="fr-FR"/>
        </w:rPr>
        <w:t>n</w:t>
      </w:r>
      <w:r w:rsidR="00A72177" w:rsidRPr="009618BC">
        <w:t>e</w:t>
      </w:r>
      <w:r w:rsidR="00A72177" w:rsidRPr="009618BC">
        <w:rPr>
          <w:lang w:val="fr-FR"/>
        </w:rPr>
        <w:t xml:space="preserve"> présentation du programme intitulé « Ambassadeurs de la langue roumaine » a été organisée dans les districts d</w:t>
      </w:r>
      <w:r w:rsidR="009618BC" w:rsidRPr="009618BC">
        <w:rPr>
          <w:lang w:val="fr-FR"/>
        </w:rPr>
        <w:t>’</w:t>
      </w:r>
      <w:r w:rsidR="00A72177" w:rsidRPr="009618BC">
        <w:rPr>
          <w:lang w:val="fr-FR"/>
        </w:rPr>
        <w:t xml:space="preserve">Ocnita, de </w:t>
      </w:r>
      <w:r w:rsidR="00A72177" w:rsidRPr="009618BC">
        <w:rPr>
          <w:bCs/>
          <w:lang w:val="fr-FR"/>
        </w:rPr>
        <w:t>Făleşti</w:t>
      </w:r>
      <w:r w:rsidR="00A72177" w:rsidRPr="009618BC">
        <w:rPr>
          <w:lang w:val="fr-FR"/>
        </w:rPr>
        <w:t xml:space="preserve"> et de Comrat, en partenariat avec l</w:t>
      </w:r>
      <w:r w:rsidR="009618BC" w:rsidRPr="009618BC">
        <w:rPr>
          <w:lang w:val="fr-FR"/>
        </w:rPr>
        <w:t>’</w:t>
      </w:r>
      <w:r w:rsidR="00A72177" w:rsidRPr="009618BC">
        <w:rPr>
          <w:lang w:val="fr-FR"/>
        </w:rPr>
        <w:t>ambassade de Roumanie en Moldova ;</w:t>
      </w:r>
    </w:p>
    <w:p w:rsidR="00A72177" w:rsidRPr="009618BC" w:rsidRDefault="00CA108F" w:rsidP="00CA108F">
      <w:pPr>
        <w:pStyle w:val="Bullet1G"/>
        <w:rPr>
          <w:lang w:val="fr-FR"/>
        </w:rPr>
      </w:pPr>
      <w:r>
        <w:rPr>
          <w:lang w:val="fr-FR"/>
        </w:rPr>
        <w:t>D</w:t>
      </w:r>
      <w:r w:rsidR="00A72177" w:rsidRPr="009618BC">
        <w:rPr>
          <w:lang w:val="fr-FR"/>
        </w:rPr>
        <w:t>es experts du Ministère se sont rendus dans 18 établissements d</w:t>
      </w:r>
      <w:r w:rsidR="009618BC" w:rsidRPr="009618BC">
        <w:rPr>
          <w:lang w:val="fr-FR"/>
        </w:rPr>
        <w:t>’</w:t>
      </w:r>
      <w:r w:rsidR="00A72177" w:rsidRPr="009618BC">
        <w:rPr>
          <w:lang w:val="fr-FR"/>
        </w:rPr>
        <w:t>enseignement général (</w:t>
      </w:r>
      <w:r w:rsidR="00F37079">
        <w:rPr>
          <w:lang w:val="fr-FR"/>
        </w:rPr>
        <w:t>7</w:t>
      </w:r>
      <w:r w:rsidR="00A72177" w:rsidRPr="009618BC">
        <w:rPr>
          <w:lang w:val="fr-FR"/>
        </w:rPr>
        <w:t xml:space="preserve"> à Taraclia, </w:t>
      </w:r>
      <w:r w:rsidR="00F37079">
        <w:rPr>
          <w:lang w:val="fr-FR"/>
        </w:rPr>
        <w:t>1</w:t>
      </w:r>
      <w:r w:rsidR="00A72177" w:rsidRPr="009618BC">
        <w:rPr>
          <w:lang w:val="fr-FR"/>
        </w:rPr>
        <w:t xml:space="preserve"> en Gagaouzie et </w:t>
      </w:r>
      <w:r w:rsidR="00F37079">
        <w:rPr>
          <w:lang w:val="fr-FR"/>
        </w:rPr>
        <w:t>10</w:t>
      </w:r>
      <w:r w:rsidR="00A72177" w:rsidRPr="009618BC">
        <w:rPr>
          <w:lang w:val="fr-FR"/>
        </w:rPr>
        <w:t xml:space="preserve"> à Chisinau) pour le suivi et l</w:t>
      </w:r>
      <w:r w:rsidR="009618BC" w:rsidRPr="009618BC">
        <w:rPr>
          <w:lang w:val="fr-FR"/>
        </w:rPr>
        <w:t>’</w:t>
      </w:r>
      <w:r w:rsidR="00A72177" w:rsidRPr="009618BC">
        <w:rPr>
          <w:lang w:val="fr-FR"/>
        </w:rPr>
        <w:t>évaluation du processus d</w:t>
      </w:r>
      <w:r w:rsidR="009618BC" w:rsidRPr="009618BC">
        <w:rPr>
          <w:lang w:val="fr-FR"/>
        </w:rPr>
        <w:t>’</w:t>
      </w:r>
      <w:r w:rsidR="00A72177" w:rsidRPr="009618BC">
        <w:rPr>
          <w:lang w:val="fr-FR"/>
        </w:rPr>
        <w:t>enseignement/apprentissage des disciplines scolaires enseignées en roumain ;</w:t>
      </w:r>
    </w:p>
    <w:p w:rsidR="00A72177" w:rsidRPr="009618BC" w:rsidRDefault="00CA108F" w:rsidP="00CA108F">
      <w:pPr>
        <w:pStyle w:val="Bullet1G"/>
        <w:rPr>
          <w:lang w:val="fr-FR"/>
        </w:rPr>
      </w:pPr>
      <w:r>
        <w:rPr>
          <w:lang w:val="fr-FR"/>
        </w:rPr>
        <w:t>D</w:t>
      </w:r>
      <w:r w:rsidR="00A72177" w:rsidRPr="009618BC">
        <w:rPr>
          <w:lang w:val="fr-FR"/>
        </w:rPr>
        <w:t>eux tables rondes ont été organisées à Taraclia et dans l</w:t>
      </w:r>
      <w:r w:rsidR="009618BC" w:rsidRPr="009618BC">
        <w:rPr>
          <w:lang w:val="fr-FR"/>
        </w:rPr>
        <w:t>’</w:t>
      </w:r>
      <w:r w:rsidR="00A72177" w:rsidRPr="009618BC">
        <w:rPr>
          <w:lang w:val="fr-FR"/>
        </w:rPr>
        <w:t>Unité territoriale autonome de Gagaouzie à l</w:t>
      </w:r>
      <w:r w:rsidR="009618BC" w:rsidRPr="009618BC">
        <w:rPr>
          <w:lang w:val="fr-FR"/>
        </w:rPr>
        <w:t>’</w:t>
      </w:r>
      <w:r w:rsidR="00A72177" w:rsidRPr="009618BC">
        <w:rPr>
          <w:lang w:val="fr-FR"/>
        </w:rPr>
        <w:t>intention des directeurs d</w:t>
      </w:r>
      <w:r w:rsidR="009618BC" w:rsidRPr="009618BC">
        <w:rPr>
          <w:lang w:val="fr-FR"/>
        </w:rPr>
        <w:t>’</w:t>
      </w:r>
      <w:r w:rsidR="00A72177" w:rsidRPr="009618BC">
        <w:rPr>
          <w:lang w:val="fr-FR"/>
        </w:rPr>
        <w:t>établissements dans lesquels l</w:t>
      </w:r>
      <w:r w:rsidR="009618BC" w:rsidRPr="009618BC">
        <w:rPr>
          <w:lang w:val="fr-FR"/>
        </w:rPr>
        <w:t>’</w:t>
      </w:r>
      <w:r w:rsidR="00A72177" w:rsidRPr="009618BC">
        <w:rPr>
          <w:lang w:val="fr-FR"/>
        </w:rPr>
        <w:t>enseignement est dispensé en russe, afin d</w:t>
      </w:r>
      <w:r w:rsidR="009618BC" w:rsidRPr="009618BC">
        <w:rPr>
          <w:lang w:val="fr-FR"/>
        </w:rPr>
        <w:t>’</w:t>
      </w:r>
      <w:r w:rsidR="00A72177" w:rsidRPr="009618BC">
        <w:rPr>
          <w:lang w:val="fr-FR"/>
        </w:rPr>
        <w:t>élaborer des recommandations pour la modernisation du processus d</w:t>
      </w:r>
      <w:r w:rsidR="009618BC" w:rsidRPr="009618BC">
        <w:rPr>
          <w:lang w:val="fr-FR"/>
        </w:rPr>
        <w:t>’</w:t>
      </w:r>
      <w:r w:rsidR="00A72177" w:rsidRPr="009618BC">
        <w:rPr>
          <w:lang w:val="fr-FR"/>
        </w:rPr>
        <w:t>enseignement de la langue et de la littérature roumaine ;</w:t>
      </w:r>
    </w:p>
    <w:p w:rsidR="00A72177" w:rsidRPr="009618BC" w:rsidRDefault="00CA108F" w:rsidP="00CA108F">
      <w:pPr>
        <w:pStyle w:val="Bullet1G"/>
        <w:rPr>
          <w:lang w:val="fr-FR"/>
        </w:rPr>
      </w:pPr>
      <w:r>
        <w:rPr>
          <w:lang w:val="fr-FR"/>
        </w:rPr>
        <w:t>D</w:t>
      </w:r>
      <w:r w:rsidR="00A72177" w:rsidRPr="009618BC">
        <w:rPr>
          <w:lang w:val="fr-FR"/>
        </w:rPr>
        <w:t>eux ateliers de travail ont réuni des enseignants de langue et littérature roumaines de Taraclia et de l</w:t>
      </w:r>
      <w:r w:rsidR="009618BC" w:rsidRPr="009618BC">
        <w:rPr>
          <w:lang w:val="fr-FR"/>
        </w:rPr>
        <w:t>’</w:t>
      </w:r>
      <w:r w:rsidR="00A72177" w:rsidRPr="009618BC">
        <w:rPr>
          <w:lang w:val="fr-FR"/>
        </w:rPr>
        <w:t>Unité territoriale autonome de Gagaouzie ;</w:t>
      </w:r>
    </w:p>
    <w:p w:rsidR="00A72177" w:rsidRPr="009618BC" w:rsidRDefault="00CA108F" w:rsidP="00CA108F">
      <w:pPr>
        <w:pStyle w:val="Bullet1G"/>
        <w:rPr>
          <w:lang w:val="fr-FR"/>
        </w:rPr>
      </w:pPr>
      <w:r>
        <w:rPr>
          <w:lang w:val="fr-FR"/>
        </w:rPr>
        <w:t>U</w:t>
      </w:r>
      <w:r w:rsidR="00A72177" w:rsidRPr="009618BC">
        <w:rPr>
          <w:lang w:val="fr-FR"/>
        </w:rPr>
        <w:t>n séminaire pour l</w:t>
      </w:r>
      <w:r w:rsidR="009618BC" w:rsidRPr="009618BC">
        <w:rPr>
          <w:lang w:val="fr-FR"/>
        </w:rPr>
        <w:t>’</w:t>
      </w:r>
      <w:r w:rsidR="00A72177" w:rsidRPr="009618BC">
        <w:rPr>
          <w:lang w:val="fr-FR"/>
        </w:rPr>
        <w:t>ensemble du district a été organisé à Taraclia à l</w:t>
      </w:r>
      <w:r w:rsidR="009618BC" w:rsidRPr="009618BC">
        <w:rPr>
          <w:lang w:val="fr-FR"/>
        </w:rPr>
        <w:t>’</w:t>
      </w:r>
      <w:r w:rsidR="00A72177" w:rsidRPr="009618BC">
        <w:rPr>
          <w:lang w:val="fr-FR"/>
        </w:rPr>
        <w:t>intention des enseignants allophones ; six cours ouverts y ont été organisés puis débattus afin d</w:t>
      </w:r>
      <w:r w:rsidR="009618BC" w:rsidRPr="009618BC">
        <w:rPr>
          <w:lang w:val="fr-FR"/>
        </w:rPr>
        <w:t>’</w:t>
      </w:r>
      <w:r w:rsidR="00A72177" w:rsidRPr="009618BC">
        <w:rPr>
          <w:lang w:val="fr-FR"/>
        </w:rPr>
        <w:t>apporter une aide didactique et méthodologique dans le cadre de l</w:t>
      </w:r>
      <w:r w:rsidR="009618BC" w:rsidRPr="009618BC">
        <w:rPr>
          <w:lang w:val="fr-FR"/>
        </w:rPr>
        <w:t>’</w:t>
      </w:r>
      <w:r w:rsidR="00A72177" w:rsidRPr="009618BC">
        <w:rPr>
          <w:lang w:val="fr-FR"/>
        </w:rPr>
        <w:t>enseignement de la discipline facultative « culture du bon voisinage » ;</w:t>
      </w:r>
    </w:p>
    <w:p w:rsidR="00A72177" w:rsidRPr="009618BC" w:rsidRDefault="00CA108F" w:rsidP="00CA108F">
      <w:pPr>
        <w:pStyle w:val="Bullet1G"/>
        <w:rPr>
          <w:lang w:val="fr-FR"/>
        </w:rPr>
      </w:pPr>
      <w:r>
        <w:rPr>
          <w:lang w:val="fr-FR"/>
        </w:rPr>
        <w:t>L</w:t>
      </w:r>
      <w:r w:rsidR="00A72177" w:rsidRPr="009618BC">
        <w:rPr>
          <w:lang w:val="fr-FR"/>
        </w:rPr>
        <w:t>e programme d</w:t>
      </w:r>
      <w:r w:rsidR="009618BC" w:rsidRPr="009618BC">
        <w:rPr>
          <w:lang w:val="fr-FR"/>
        </w:rPr>
        <w:t>’</w:t>
      </w:r>
      <w:r w:rsidR="00A72177" w:rsidRPr="009618BC">
        <w:rPr>
          <w:lang w:val="fr-FR"/>
        </w:rPr>
        <w:t>enseignement pour la troisième année d</w:t>
      </w:r>
      <w:r w:rsidR="009618BC" w:rsidRPr="009618BC">
        <w:rPr>
          <w:lang w:val="fr-FR"/>
        </w:rPr>
        <w:t>’</w:t>
      </w:r>
      <w:r w:rsidR="00A72177" w:rsidRPr="009618BC">
        <w:rPr>
          <w:lang w:val="fr-FR"/>
        </w:rPr>
        <w:t>enseignement a été élaboré (en russe et en roumain) ;</w:t>
      </w:r>
    </w:p>
    <w:p w:rsidR="00A72177" w:rsidRPr="009618BC" w:rsidRDefault="00CA108F" w:rsidP="00CA108F">
      <w:pPr>
        <w:pStyle w:val="Bullet1G"/>
        <w:rPr>
          <w:lang w:val="fr-FR"/>
        </w:rPr>
      </w:pPr>
      <w:r>
        <w:rPr>
          <w:lang w:val="fr-FR"/>
        </w:rPr>
        <w:t>L</w:t>
      </w:r>
      <w:r w:rsidR="00A72177" w:rsidRPr="009618BC">
        <w:rPr>
          <w:lang w:val="fr-FR"/>
        </w:rPr>
        <w:t>e manuel pour la troisième année d</w:t>
      </w:r>
      <w:r w:rsidR="009618BC" w:rsidRPr="009618BC">
        <w:rPr>
          <w:lang w:val="fr-FR"/>
        </w:rPr>
        <w:t>’</w:t>
      </w:r>
      <w:r w:rsidR="00A72177" w:rsidRPr="009618BC">
        <w:rPr>
          <w:lang w:val="fr-FR"/>
        </w:rPr>
        <w:t>enseignement a été élaboré (en russe et en roumain) ;</w:t>
      </w:r>
    </w:p>
    <w:p w:rsidR="00A72177" w:rsidRPr="009618BC" w:rsidRDefault="00CA108F" w:rsidP="00CA108F">
      <w:pPr>
        <w:pStyle w:val="Bullet1G"/>
        <w:rPr>
          <w:lang w:val="fr-FR"/>
        </w:rPr>
      </w:pPr>
      <w:r>
        <w:rPr>
          <w:lang w:val="fr-FR"/>
        </w:rPr>
        <w:t>D</w:t>
      </w:r>
      <w:r w:rsidR="00A72177" w:rsidRPr="009618BC">
        <w:rPr>
          <w:lang w:val="fr-FR"/>
        </w:rPr>
        <w:t>es matériels méthodologiques mis au point ont été distribués aux établissements scolaires du pays, y compris ceux situés sur la rive gauche du Dniestr ;</w:t>
      </w:r>
    </w:p>
    <w:p w:rsidR="00A72177" w:rsidRPr="009618BC" w:rsidRDefault="00CA108F" w:rsidP="00CA108F">
      <w:pPr>
        <w:pStyle w:val="Bullet1G"/>
        <w:rPr>
          <w:lang w:val="fr-FR"/>
        </w:rPr>
      </w:pPr>
      <w:r>
        <w:rPr>
          <w:lang w:val="fr-FR"/>
        </w:rPr>
        <w:t>U</w:t>
      </w:r>
      <w:r w:rsidR="00A72177" w:rsidRPr="009618BC">
        <w:rPr>
          <w:lang w:val="fr-FR"/>
        </w:rPr>
        <w:t>n suivi de l</w:t>
      </w:r>
      <w:r w:rsidR="009618BC" w:rsidRPr="009618BC">
        <w:rPr>
          <w:lang w:val="fr-FR"/>
        </w:rPr>
        <w:t>’</w:t>
      </w:r>
      <w:r w:rsidR="00A72177" w:rsidRPr="009618BC">
        <w:rPr>
          <w:lang w:val="fr-FR"/>
        </w:rPr>
        <w:t xml:space="preserve">enseignement de la discipline facultative « culture du bon voisinage » a été effectué dans des établissements scolaires </w:t>
      </w:r>
      <w:r w:rsidR="006C5DD2">
        <w:rPr>
          <w:lang w:val="fr-FR"/>
        </w:rPr>
        <w:t>des districts de Comrat, Ceadir</w:t>
      </w:r>
      <w:r w:rsidR="006C5DD2">
        <w:rPr>
          <w:lang w:val="fr-FR"/>
        </w:rPr>
        <w:noBreakHyphen/>
      </w:r>
      <w:r w:rsidR="00A72177" w:rsidRPr="009618BC">
        <w:rPr>
          <w:lang w:val="fr-FR"/>
        </w:rPr>
        <w:t>Lunga, Riscani ainsi que dans les villes de Bălţi et de Chisinau ;</w:t>
      </w:r>
    </w:p>
    <w:p w:rsidR="00A72177" w:rsidRPr="009618BC" w:rsidRDefault="00A72177" w:rsidP="00CA108F">
      <w:pPr>
        <w:pStyle w:val="Bullet1G"/>
        <w:rPr>
          <w:lang w:val="fr-FR"/>
        </w:rPr>
      </w:pPr>
      <w:r w:rsidRPr="009618BC">
        <w:rPr>
          <w:lang w:val="fr-FR"/>
        </w:rPr>
        <w:t>82 enseignants de langue et littérature roumaines ont participé à un cours de formation continue.</w:t>
      </w:r>
    </w:p>
    <w:p w:rsidR="00A72177" w:rsidRPr="009618BC" w:rsidRDefault="00A72177" w:rsidP="004B281B">
      <w:pPr>
        <w:pStyle w:val="H1G"/>
        <w:rPr>
          <w:lang w:val="fr-FR"/>
        </w:rPr>
      </w:pPr>
      <w:r w:rsidRPr="009618BC">
        <w:rPr>
          <w:lang w:val="fr-FR"/>
        </w:rPr>
        <w:lastRenderedPageBreak/>
        <w:tab/>
      </w:r>
      <w:r w:rsidRPr="009618BC">
        <w:rPr>
          <w:lang w:val="fr-FR"/>
        </w:rPr>
        <w:tab/>
        <w:t>Scolarisation et non-fréquentation scolaire chez</w:t>
      </w:r>
      <w:r w:rsidR="00EC0ECE">
        <w:rPr>
          <w:lang w:val="fr-FR"/>
        </w:rPr>
        <w:t xml:space="preserve"> </w:t>
      </w:r>
      <w:r w:rsidRPr="009618BC">
        <w:rPr>
          <w:lang w:val="fr-FR"/>
        </w:rPr>
        <w:t xml:space="preserve">les élèves roms </w:t>
      </w:r>
      <w:r w:rsidR="004B281B">
        <w:rPr>
          <w:lang w:val="fr-FR"/>
        </w:rPr>
        <w:br/>
      </w:r>
      <w:r w:rsidRPr="009618BC">
        <w:rPr>
          <w:lang w:val="fr-FR"/>
        </w:rPr>
        <w:t>âgés de 7 à 16 ans</w:t>
      </w:r>
    </w:p>
    <w:p w:rsidR="00A72177" w:rsidRPr="009618BC" w:rsidRDefault="00A72177" w:rsidP="009618BC">
      <w:pPr>
        <w:pStyle w:val="SingleTxtG"/>
        <w:rPr>
          <w:lang w:val="fr-FR"/>
        </w:rPr>
      </w:pPr>
      <w:r w:rsidRPr="009618BC">
        <w:rPr>
          <w:lang w:val="fr-FR"/>
        </w:rPr>
        <w:t>56.</w:t>
      </w:r>
      <w:r w:rsidRPr="009618BC">
        <w:rPr>
          <w:lang w:val="fr-FR"/>
        </w:rPr>
        <w:tab/>
        <w:t>Selon les données fournies par les organismes loc</w:t>
      </w:r>
      <w:r w:rsidR="00700E2E">
        <w:rPr>
          <w:lang w:val="fr-FR"/>
        </w:rPr>
        <w:t>aux spécialisés dans le domaine</w:t>
      </w:r>
      <w:r w:rsidRPr="009618BC">
        <w:rPr>
          <w:lang w:val="fr-FR"/>
        </w:rPr>
        <w:t xml:space="preserve"> de l</w:t>
      </w:r>
      <w:r w:rsidR="009618BC" w:rsidRPr="009618BC">
        <w:rPr>
          <w:lang w:val="fr-FR"/>
        </w:rPr>
        <w:t>’</w:t>
      </w:r>
      <w:r w:rsidRPr="009618BC">
        <w:rPr>
          <w:lang w:val="fr-FR"/>
        </w:rPr>
        <w:t>éducation, 1</w:t>
      </w:r>
      <w:r w:rsidR="006C5DD2">
        <w:rPr>
          <w:lang w:val="fr-FR"/>
        </w:rPr>
        <w:t> </w:t>
      </w:r>
      <w:r w:rsidRPr="009618BC">
        <w:rPr>
          <w:lang w:val="fr-FR"/>
        </w:rPr>
        <w:t>739 élèves roms sont enregistrés en République de Moldova</w:t>
      </w:r>
      <w:r w:rsidRPr="009618BC">
        <w:rPr>
          <w:rStyle w:val="Appelnotedebasdep"/>
        </w:rPr>
        <w:footnoteReference w:id="13"/>
      </w:r>
      <w:r w:rsidRPr="009618BC">
        <w:rPr>
          <w:lang w:val="fr-FR"/>
        </w:rPr>
        <w:t>.</w:t>
      </w:r>
    </w:p>
    <w:p w:rsidR="00A72177" w:rsidRPr="009618BC" w:rsidRDefault="00A72177" w:rsidP="009618BC">
      <w:pPr>
        <w:pStyle w:val="SingleTxtG"/>
        <w:rPr>
          <w:lang w:val="fr-FR"/>
        </w:rPr>
      </w:pPr>
      <w:r w:rsidRPr="009618BC">
        <w:rPr>
          <w:lang w:val="fr-FR"/>
        </w:rPr>
        <w:t>57.</w:t>
      </w:r>
      <w:r w:rsidRPr="009618BC">
        <w:rPr>
          <w:lang w:val="fr-FR"/>
        </w:rPr>
        <w:tab/>
        <w:t>Les autorités publiques locales de premier et de deuxième niveaux collaborent activement avec les organisations non gouvernementales (ONG) qui se consacrent à une meilleure intégration des Roms, afin que la communauté rom participe davantage à résoudre les problèmes liés à l</w:t>
      </w:r>
      <w:r w:rsidR="009618BC" w:rsidRPr="009618BC">
        <w:rPr>
          <w:lang w:val="fr-FR"/>
        </w:rPr>
        <w:t>’</w:t>
      </w:r>
      <w:r w:rsidRPr="009618BC">
        <w:rPr>
          <w:lang w:val="fr-FR"/>
        </w:rPr>
        <w:t>inclusion des enfants roms dans l</w:t>
      </w:r>
      <w:r w:rsidR="009618BC" w:rsidRPr="009618BC">
        <w:rPr>
          <w:lang w:val="fr-FR"/>
        </w:rPr>
        <w:t>’</w:t>
      </w:r>
      <w:r w:rsidRPr="009618BC">
        <w:rPr>
          <w:lang w:val="fr-FR"/>
        </w:rPr>
        <w:t>enseignement. Les efforts conjoints des autorités locales et des ONG permettent de repérer les enfants qui ne fréquentent pas l</w:t>
      </w:r>
      <w:r w:rsidR="009618BC" w:rsidRPr="009618BC">
        <w:rPr>
          <w:lang w:val="fr-FR"/>
        </w:rPr>
        <w:t>’</w:t>
      </w:r>
      <w:r w:rsidRPr="009618BC">
        <w:rPr>
          <w:lang w:val="fr-FR"/>
        </w:rPr>
        <w:t>école ou qui manquent les cours de façon systématique.</w:t>
      </w:r>
    </w:p>
    <w:p w:rsidR="00A72177" w:rsidRPr="009618BC" w:rsidRDefault="00A72177" w:rsidP="009618BC">
      <w:pPr>
        <w:pStyle w:val="SingleTxtG"/>
        <w:rPr>
          <w:lang w:val="fr-FR"/>
        </w:rPr>
      </w:pPr>
      <w:r w:rsidRPr="009618BC">
        <w:rPr>
          <w:lang w:val="fr-FR"/>
        </w:rPr>
        <w:t>58.</w:t>
      </w:r>
      <w:r w:rsidRPr="009618BC">
        <w:rPr>
          <w:lang w:val="fr-FR"/>
        </w:rPr>
        <w:tab/>
        <w:t>Les mesures prises ont permis de réduire progressivement le nombre de mineurs roms déscolarisés. Ainsi, si a</w:t>
      </w:r>
      <w:r w:rsidR="006C5DD2">
        <w:rPr>
          <w:lang w:val="fr-FR"/>
        </w:rPr>
        <w:t xml:space="preserve">u 15 octobre 2016, 29 enfants de 7 à 16 ans étaient </w:t>
      </w:r>
      <w:r w:rsidRPr="009618BC">
        <w:rPr>
          <w:lang w:val="fr-FR"/>
        </w:rPr>
        <w:t>déscolarisés, ils n</w:t>
      </w:r>
      <w:r w:rsidR="009618BC" w:rsidRPr="009618BC">
        <w:rPr>
          <w:lang w:val="fr-FR"/>
        </w:rPr>
        <w:t>’</w:t>
      </w:r>
      <w:r w:rsidRPr="009618BC">
        <w:rPr>
          <w:lang w:val="fr-FR"/>
        </w:rPr>
        <w:t>étaient plus que 17 au 29 décembre 2016</w:t>
      </w:r>
      <w:r w:rsidRPr="009618BC">
        <w:rPr>
          <w:rStyle w:val="Appelnotedebasdep"/>
        </w:rPr>
        <w:footnoteReference w:id="14"/>
      </w:r>
      <w:r w:rsidRPr="009618BC">
        <w:rPr>
          <w:lang w:val="fr-FR"/>
        </w:rPr>
        <w:t>.</w:t>
      </w:r>
    </w:p>
    <w:p w:rsidR="00A72177" w:rsidRPr="009618BC" w:rsidRDefault="00A72177" w:rsidP="009618BC">
      <w:pPr>
        <w:pStyle w:val="SingleTxtG"/>
        <w:rPr>
          <w:lang w:val="fr-FR"/>
        </w:rPr>
      </w:pPr>
      <w:r w:rsidRPr="009618BC">
        <w:rPr>
          <w:lang w:val="fr-FR"/>
        </w:rPr>
        <w:t>59.</w:t>
      </w:r>
      <w:r w:rsidRPr="009618BC">
        <w:rPr>
          <w:lang w:val="fr-FR"/>
        </w:rPr>
        <w:tab/>
        <w:t>Diverses raisons expliquent la déscolarisation des</w:t>
      </w:r>
      <w:r w:rsidR="00EC0ECE">
        <w:rPr>
          <w:lang w:val="fr-FR"/>
        </w:rPr>
        <w:t xml:space="preserve"> </w:t>
      </w:r>
      <w:r w:rsidRPr="009618BC">
        <w:rPr>
          <w:lang w:val="fr-FR"/>
        </w:rPr>
        <w:t>enfants roms, notamment la situation matérielle précaire, l</w:t>
      </w:r>
      <w:r w:rsidR="009618BC" w:rsidRPr="009618BC">
        <w:rPr>
          <w:lang w:val="fr-FR"/>
        </w:rPr>
        <w:t>’</w:t>
      </w:r>
      <w:r w:rsidRPr="009618BC">
        <w:rPr>
          <w:lang w:val="fr-FR"/>
        </w:rPr>
        <w:t>itinérance ou le déplacem</w:t>
      </w:r>
      <w:r w:rsidR="00700E2E">
        <w:rPr>
          <w:lang w:val="fr-FR"/>
        </w:rPr>
        <w:t>ent</w:t>
      </w:r>
      <w:r w:rsidRPr="009618BC">
        <w:rPr>
          <w:lang w:val="fr-FR"/>
        </w:rPr>
        <w:t xml:space="preserve"> d</w:t>
      </w:r>
      <w:r w:rsidR="009618BC" w:rsidRPr="009618BC">
        <w:rPr>
          <w:lang w:val="fr-FR"/>
        </w:rPr>
        <w:t>’</w:t>
      </w:r>
      <w:r w:rsidRPr="009618BC">
        <w:rPr>
          <w:lang w:val="fr-FR"/>
        </w:rPr>
        <w:t>un endroit à l</w:t>
      </w:r>
      <w:r w:rsidR="009618BC" w:rsidRPr="009618BC">
        <w:rPr>
          <w:lang w:val="fr-FR"/>
        </w:rPr>
        <w:t>’</w:t>
      </w:r>
      <w:r w:rsidRPr="009618BC">
        <w:rPr>
          <w:lang w:val="fr-FR"/>
        </w:rPr>
        <w:t xml:space="preserve">autre, le changement de résidence, le refus des parents, etc. </w:t>
      </w:r>
    </w:p>
    <w:p w:rsidR="00A72177" w:rsidRPr="006C5DD2" w:rsidRDefault="00A72177" w:rsidP="009618BC">
      <w:pPr>
        <w:pStyle w:val="SingleTxtG"/>
        <w:rPr>
          <w:spacing w:val="-4"/>
          <w:lang w:val="fr-FR"/>
        </w:rPr>
      </w:pPr>
      <w:r w:rsidRPr="006C5DD2">
        <w:rPr>
          <w:spacing w:val="-4"/>
          <w:lang w:val="fr-FR"/>
        </w:rPr>
        <w:t>60.</w:t>
      </w:r>
      <w:r w:rsidRPr="006C5DD2">
        <w:rPr>
          <w:spacing w:val="-4"/>
          <w:lang w:val="fr-FR"/>
        </w:rPr>
        <w:tab/>
        <w:t>La non-fréquentation de l</w:t>
      </w:r>
      <w:r w:rsidR="009618BC" w:rsidRPr="006C5DD2">
        <w:rPr>
          <w:spacing w:val="-4"/>
          <w:lang w:val="fr-FR"/>
        </w:rPr>
        <w:t>’</w:t>
      </w:r>
      <w:r w:rsidRPr="006C5DD2">
        <w:rPr>
          <w:spacing w:val="-4"/>
          <w:lang w:val="fr-FR"/>
        </w:rPr>
        <w:t xml:space="preserve">école par les enfants roms diminue quelque </w:t>
      </w:r>
      <w:r w:rsidR="006C5DD2" w:rsidRPr="006C5DD2">
        <w:rPr>
          <w:spacing w:val="-4"/>
          <w:lang w:val="fr-FR"/>
        </w:rPr>
        <w:t>peu. Ainsi, au 31 mai 2017, 108 </w:t>
      </w:r>
      <w:r w:rsidRPr="006C5DD2">
        <w:rPr>
          <w:spacing w:val="-4"/>
          <w:lang w:val="fr-FR"/>
        </w:rPr>
        <w:t>enfants en âge scolaire n</w:t>
      </w:r>
      <w:r w:rsidR="009618BC" w:rsidRPr="006C5DD2">
        <w:rPr>
          <w:spacing w:val="-4"/>
          <w:lang w:val="fr-FR"/>
        </w:rPr>
        <w:t>’</w:t>
      </w:r>
      <w:r w:rsidRPr="006C5DD2">
        <w:rPr>
          <w:spacing w:val="-4"/>
          <w:lang w:val="fr-FR"/>
        </w:rPr>
        <w:t>allaient pas à l</w:t>
      </w:r>
      <w:r w:rsidR="009618BC" w:rsidRPr="006C5DD2">
        <w:rPr>
          <w:spacing w:val="-4"/>
          <w:lang w:val="fr-FR"/>
        </w:rPr>
        <w:t>’</w:t>
      </w:r>
      <w:r w:rsidRPr="006C5DD2">
        <w:rPr>
          <w:spacing w:val="-4"/>
          <w:lang w:val="fr-FR"/>
        </w:rPr>
        <w:t>école, alors que pendant l</w:t>
      </w:r>
      <w:r w:rsidR="009618BC" w:rsidRPr="006C5DD2">
        <w:rPr>
          <w:spacing w:val="-4"/>
          <w:lang w:val="fr-FR"/>
        </w:rPr>
        <w:t>’</w:t>
      </w:r>
      <w:r w:rsidR="006C5DD2" w:rsidRPr="006C5DD2">
        <w:rPr>
          <w:spacing w:val="-4"/>
          <w:lang w:val="fr-FR"/>
        </w:rPr>
        <w:t>année scolaire 2015/</w:t>
      </w:r>
      <w:r w:rsidRPr="006C5DD2">
        <w:rPr>
          <w:spacing w:val="-4"/>
          <w:lang w:val="fr-FR"/>
        </w:rPr>
        <w:t>16, ce nombre s</w:t>
      </w:r>
      <w:r w:rsidR="009618BC" w:rsidRPr="006C5DD2">
        <w:rPr>
          <w:spacing w:val="-4"/>
          <w:lang w:val="fr-FR"/>
        </w:rPr>
        <w:t>’</w:t>
      </w:r>
      <w:r w:rsidRPr="006C5DD2">
        <w:rPr>
          <w:spacing w:val="-4"/>
          <w:lang w:val="fr-FR"/>
        </w:rPr>
        <w:t>élevait à 121. Le Ministère de l</w:t>
      </w:r>
      <w:r w:rsidR="009618BC" w:rsidRPr="006C5DD2">
        <w:rPr>
          <w:spacing w:val="-4"/>
          <w:lang w:val="fr-FR"/>
        </w:rPr>
        <w:t>’</w:t>
      </w:r>
      <w:r w:rsidRPr="006C5DD2">
        <w:rPr>
          <w:spacing w:val="-4"/>
          <w:lang w:val="fr-FR"/>
        </w:rPr>
        <w:t>éducation, de la culture et de la recherche suit constamment l</w:t>
      </w:r>
      <w:r w:rsidR="009618BC" w:rsidRPr="006C5DD2">
        <w:rPr>
          <w:spacing w:val="-4"/>
          <w:lang w:val="fr-FR"/>
        </w:rPr>
        <w:t>’</w:t>
      </w:r>
      <w:r w:rsidRPr="006C5DD2">
        <w:rPr>
          <w:spacing w:val="-4"/>
          <w:lang w:val="fr-FR"/>
        </w:rPr>
        <w:t>état de la couverture scolaire, ainsi que les cas de non-fréquentation scolaire concernant les enfants roms de 7 à 16 ans. Les enfants des agglomérations à forte densité de population rom, éloignées de plus de trois kilomètres de l</w:t>
      </w:r>
      <w:r w:rsidR="009618BC" w:rsidRPr="006C5DD2">
        <w:rPr>
          <w:spacing w:val="-4"/>
          <w:lang w:val="fr-FR"/>
        </w:rPr>
        <w:t>’</w:t>
      </w:r>
      <w:r w:rsidRPr="006C5DD2">
        <w:rPr>
          <w:spacing w:val="-4"/>
          <w:lang w:val="fr-FR"/>
        </w:rPr>
        <w:t>établissement scolaire le plus proche, bénéficient du transport scolaire gratuit. Les écoliers roms bénéficient d</w:t>
      </w:r>
      <w:r w:rsidR="009618BC" w:rsidRPr="006C5DD2">
        <w:rPr>
          <w:spacing w:val="-4"/>
          <w:lang w:val="fr-FR"/>
        </w:rPr>
        <w:t>’</w:t>
      </w:r>
      <w:r w:rsidRPr="006C5DD2">
        <w:rPr>
          <w:spacing w:val="-4"/>
          <w:lang w:val="fr-FR"/>
        </w:rPr>
        <w:t>un horaire scolaire allongé qui leur permet de faire leurs devoirs et des heures de méditation.</w:t>
      </w:r>
    </w:p>
    <w:p w:rsidR="00A72177" w:rsidRPr="009618BC" w:rsidRDefault="00A72177" w:rsidP="004B281B">
      <w:pPr>
        <w:pStyle w:val="H23G"/>
        <w:rPr>
          <w:lang w:val="fr-FR"/>
        </w:rPr>
      </w:pPr>
      <w:r w:rsidRPr="009618BC">
        <w:rPr>
          <w:lang w:val="fr-FR"/>
        </w:rPr>
        <w:tab/>
      </w:r>
      <w:r w:rsidRPr="009618BC">
        <w:rPr>
          <w:lang w:val="fr-FR"/>
        </w:rPr>
        <w:tab/>
        <w:t>Organisation des repas pour les enfants roms</w:t>
      </w:r>
    </w:p>
    <w:p w:rsidR="00A72177" w:rsidRPr="009618BC" w:rsidRDefault="00A72177" w:rsidP="009618BC">
      <w:pPr>
        <w:pStyle w:val="SingleTxtG"/>
        <w:rPr>
          <w:lang w:val="fr-FR"/>
        </w:rPr>
      </w:pPr>
      <w:r w:rsidRPr="009618BC">
        <w:rPr>
          <w:lang w:val="fr-FR"/>
        </w:rPr>
        <w:t>61.</w:t>
      </w:r>
      <w:r w:rsidRPr="009618BC">
        <w:rPr>
          <w:lang w:val="fr-FR"/>
        </w:rPr>
        <w:tab/>
        <w:t>Les repas sont fournis gratuitement à l</w:t>
      </w:r>
      <w:r w:rsidR="009618BC" w:rsidRPr="009618BC">
        <w:rPr>
          <w:lang w:val="fr-FR"/>
        </w:rPr>
        <w:t>’</w:t>
      </w:r>
      <w:r w:rsidRPr="009618BC">
        <w:rPr>
          <w:lang w:val="fr-FR"/>
        </w:rPr>
        <w:t>école pour les enfants roms (1</w:t>
      </w:r>
      <w:r w:rsidR="006C5DD2">
        <w:rPr>
          <w:lang w:val="fr-FR"/>
        </w:rPr>
        <w:t> </w:t>
      </w:r>
      <w:r w:rsidRPr="009618BC">
        <w:rPr>
          <w:lang w:val="fr-FR"/>
        </w:rPr>
        <w:t xml:space="preserve">739 au total), conformément aux </w:t>
      </w:r>
      <w:r w:rsidRPr="009618BC">
        <w:t xml:space="preserve">ordonnances </w:t>
      </w:r>
      <w:r w:rsidRPr="009618BC">
        <w:rPr>
          <w:lang w:val="fr-FR"/>
        </w:rPr>
        <w:t>gouvernementales n</w:t>
      </w:r>
      <w:r w:rsidRPr="009618BC">
        <w:rPr>
          <w:vertAlign w:val="superscript"/>
          <w:lang w:val="fr-FR"/>
        </w:rPr>
        <w:t>o</w:t>
      </w:r>
      <w:r w:rsidRPr="009618BC">
        <w:rPr>
          <w:lang w:val="fr-FR"/>
        </w:rPr>
        <w:t> 234 du 25 février 2005 et n</w:t>
      </w:r>
      <w:r w:rsidRPr="009618BC">
        <w:rPr>
          <w:vertAlign w:val="superscript"/>
          <w:lang w:val="fr-FR"/>
        </w:rPr>
        <w:t>o</w:t>
      </w:r>
      <w:r w:rsidRPr="009618BC">
        <w:rPr>
          <w:lang w:val="fr-FR"/>
        </w:rPr>
        <w:t> 188 du 16 avril 1993.</w:t>
      </w:r>
    </w:p>
    <w:p w:rsidR="00A72177" w:rsidRPr="009618BC" w:rsidRDefault="00A72177" w:rsidP="004B281B">
      <w:pPr>
        <w:pStyle w:val="H23G"/>
        <w:rPr>
          <w:lang w:val="fr-FR"/>
        </w:rPr>
      </w:pPr>
      <w:r w:rsidRPr="009618BC">
        <w:rPr>
          <w:lang w:val="fr-FR"/>
        </w:rPr>
        <w:tab/>
      </w:r>
      <w:r w:rsidRPr="009618BC">
        <w:rPr>
          <w:lang w:val="fr-FR"/>
        </w:rPr>
        <w:tab/>
        <w:t>Fourniture de manuels scolaires aux enfants roms</w:t>
      </w:r>
    </w:p>
    <w:p w:rsidR="00A72177" w:rsidRPr="009618BC" w:rsidRDefault="00A72177" w:rsidP="009618BC">
      <w:pPr>
        <w:pStyle w:val="SingleTxtG"/>
        <w:rPr>
          <w:lang w:val="fr-FR"/>
        </w:rPr>
      </w:pPr>
      <w:r w:rsidRPr="009618BC">
        <w:rPr>
          <w:lang w:val="fr-FR"/>
        </w:rPr>
        <w:t>62.</w:t>
      </w:r>
      <w:r w:rsidRPr="009618BC">
        <w:rPr>
          <w:lang w:val="fr-FR"/>
        </w:rPr>
        <w:tab/>
        <w:t>La fourniture de manuels scolaires aux enfants roms dans les établissements scolaires s</w:t>
      </w:r>
      <w:r w:rsidR="009618BC" w:rsidRPr="009618BC">
        <w:rPr>
          <w:lang w:val="fr-FR"/>
        </w:rPr>
        <w:t>’</w:t>
      </w:r>
      <w:r w:rsidRPr="009618BC">
        <w:rPr>
          <w:lang w:val="fr-FR"/>
        </w:rPr>
        <w:t>organise sur la base d</w:t>
      </w:r>
      <w:r w:rsidR="009618BC" w:rsidRPr="009618BC">
        <w:rPr>
          <w:lang w:val="fr-FR"/>
        </w:rPr>
        <w:t>’</w:t>
      </w:r>
      <w:r w:rsidRPr="009618BC">
        <w:rPr>
          <w:lang w:val="fr-FR"/>
        </w:rPr>
        <w:t>une location auprès du Fonds spécial des manuels scolaires</w:t>
      </w:r>
      <w:r w:rsidRPr="009618BC">
        <w:rPr>
          <w:rStyle w:val="Appelnotedebasdep"/>
        </w:rPr>
        <w:footnoteReference w:id="15"/>
      </w:r>
      <w:r w:rsidRPr="009618BC">
        <w:rPr>
          <w:lang w:val="fr-FR"/>
        </w:rPr>
        <w:t>. Conformément à l</w:t>
      </w:r>
      <w:r w:rsidR="009618BC" w:rsidRPr="009618BC">
        <w:rPr>
          <w:lang w:val="fr-FR"/>
        </w:rPr>
        <w:t>’</w:t>
      </w:r>
      <w:r w:rsidRPr="009618BC">
        <w:rPr>
          <w:lang w:val="fr-FR"/>
        </w:rPr>
        <w:t>ordonnance</w:t>
      </w:r>
      <w:r w:rsidR="00EC0ECE">
        <w:rPr>
          <w:lang w:val="fr-FR"/>
        </w:rPr>
        <w:t xml:space="preserve"> </w:t>
      </w:r>
      <w:r w:rsidRPr="009618BC">
        <w:rPr>
          <w:lang w:val="fr-FR"/>
        </w:rPr>
        <w:t>gouvernementale n</w:t>
      </w:r>
      <w:r w:rsidRPr="009618BC">
        <w:rPr>
          <w:vertAlign w:val="superscript"/>
          <w:lang w:val="fr-FR"/>
        </w:rPr>
        <w:t>o</w:t>
      </w:r>
      <w:r w:rsidRPr="009618BC">
        <w:rPr>
          <w:lang w:val="fr-FR"/>
        </w:rPr>
        <w:t> 1040 du 5 octobre 2005, les manuels scolaires sont fournis gratuitement aux enfants, y compris aux enfants roms, pendant les quatre premières années d</w:t>
      </w:r>
      <w:r w:rsidR="009618BC" w:rsidRPr="009618BC">
        <w:rPr>
          <w:lang w:val="fr-FR"/>
        </w:rPr>
        <w:t>’</w:t>
      </w:r>
      <w:r w:rsidRPr="009618BC">
        <w:rPr>
          <w:lang w:val="fr-FR"/>
        </w:rPr>
        <w:t>enseignement. D</w:t>
      </w:r>
      <w:r w:rsidR="009618BC" w:rsidRPr="009618BC">
        <w:rPr>
          <w:lang w:val="fr-FR"/>
        </w:rPr>
        <w:t>’</w:t>
      </w:r>
      <w:r w:rsidRPr="009618BC">
        <w:rPr>
          <w:lang w:val="fr-FR"/>
        </w:rPr>
        <w:t>après les informations transmises par les autorités locales, au début de chaque année scolaire, les enfants des familles socialement vulnérables dans les agglomérations où les Roms constituent une proportion importante de la population reçoivent une aide matérielle pour l</w:t>
      </w:r>
      <w:r w:rsidR="009618BC" w:rsidRPr="009618BC">
        <w:rPr>
          <w:lang w:val="fr-FR"/>
        </w:rPr>
        <w:t>’</w:t>
      </w:r>
      <w:r w:rsidRPr="009618BC">
        <w:rPr>
          <w:lang w:val="fr-FR"/>
        </w:rPr>
        <w:t>achat de fournitures scolaires et, au besoin, de vêtements et de chaussures.</w:t>
      </w:r>
    </w:p>
    <w:p w:rsidR="00A72177" w:rsidRPr="009618BC" w:rsidRDefault="00A72177" w:rsidP="004B281B">
      <w:pPr>
        <w:pStyle w:val="H23G"/>
        <w:rPr>
          <w:lang w:val="fr-FR"/>
        </w:rPr>
      </w:pPr>
      <w:r w:rsidRPr="009618BC">
        <w:rPr>
          <w:lang w:val="fr-FR"/>
        </w:rPr>
        <w:tab/>
      </w:r>
      <w:r w:rsidRPr="009618BC">
        <w:rPr>
          <w:lang w:val="fr-FR"/>
        </w:rPr>
        <w:tab/>
        <w:t xml:space="preserve">Apprentissage de la langue officielle dans les établissements scolaires </w:t>
      </w:r>
      <w:r w:rsidR="006C5DD2">
        <w:rPr>
          <w:lang w:val="fr-FR"/>
        </w:rPr>
        <w:br/>
      </w:r>
      <w:r w:rsidRPr="009618BC">
        <w:rPr>
          <w:lang w:val="fr-FR"/>
        </w:rPr>
        <w:t>de l</w:t>
      </w:r>
      <w:r w:rsidR="009618BC" w:rsidRPr="009618BC">
        <w:rPr>
          <w:lang w:val="fr-FR"/>
        </w:rPr>
        <w:t>’</w:t>
      </w:r>
      <w:r w:rsidRPr="009618BC">
        <w:rPr>
          <w:lang w:val="fr-FR"/>
        </w:rPr>
        <w:t>Unité territoriale autonome de Gagaouzie</w:t>
      </w:r>
    </w:p>
    <w:p w:rsidR="00A72177" w:rsidRPr="009618BC" w:rsidRDefault="00A72177" w:rsidP="009618BC">
      <w:pPr>
        <w:pStyle w:val="SingleTxtG"/>
        <w:rPr>
          <w:lang w:val="fr-FR"/>
        </w:rPr>
      </w:pPr>
      <w:r w:rsidRPr="009618BC">
        <w:rPr>
          <w:lang w:val="fr-FR"/>
        </w:rPr>
        <w:t>63.</w:t>
      </w:r>
      <w:r w:rsidRPr="009618BC">
        <w:rPr>
          <w:lang w:val="fr-FR"/>
        </w:rPr>
        <w:tab/>
        <w:t>Le territoire de la Gagaouzie compte 47 établissements scolaires, dans lesquels 14 814 élèves apprennent la langue officielle à titre obligatoire. Il y a également deux lycées : dans le premier, l</w:t>
      </w:r>
      <w:r w:rsidR="009618BC" w:rsidRPr="009618BC">
        <w:rPr>
          <w:lang w:val="fr-FR"/>
        </w:rPr>
        <w:t>’</w:t>
      </w:r>
      <w:r w:rsidRPr="009618BC">
        <w:rPr>
          <w:lang w:val="fr-FR"/>
        </w:rPr>
        <w:t>enseignement est dispensé en langue officielle, dans l</w:t>
      </w:r>
      <w:r w:rsidR="009618BC" w:rsidRPr="009618BC">
        <w:rPr>
          <w:lang w:val="fr-FR"/>
        </w:rPr>
        <w:t>’</w:t>
      </w:r>
      <w:r w:rsidRPr="009618BC">
        <w:rPr>
          <w:lang w:val="fr-FR"/>
        </w:rPr>
        <w:t>autre, en roumain et en russe.</w:t>
      </w:r>
    </w:p>
    <w:p w:rsidR="00A72177" w:rsidRPr="009618BC" w:rsidRDefault="00A72177" w:rsidP="009618BC">
      <w:pPr>
        <w:pStyle w:val="SingleTxtG"/>
        <w:rPr>
          <w:lang w:val="fr-FR"/>
        </w:rPr>
      </w:pPr>
      <w:r w:rsidRPr="009618BC">
        <w:rPr>
          <w:lang w:val="fr-FR"/>
        </w:rPr>
        <w:lastRenderedPageBreak/>
        <w:t>64.</w:t>
      </w:r>
      <w:r w:rsidRPr="009618BC">
        <w:rPr>
          <w:lang w:val="fr-FR"/>
        </w:rPr>
        <w:tab/>
        <w:t>À l</w:t>
      </w:r>
      <w:r w:rsidR="009618BC" w:rsidRPr="009618BC">
        <w:rPr>
          <w:lang w:val="fr-FR"/>
        </w:rPr>
        <w:t>’</w:t>
      </w:r>
      <w:r w:rsidRPr="009618BC">
        <w:rPr>
          <w:lang w:val="fr-FR"/>
        </w:rPr>
        <w:t>heure actuelle, 98 % des établissements scolaires de Gagaouzie disposent d</w:t>
      </w:r>
      <w:r w:rsidR="009618BC" w:rsidRPr="009618BC">
        <w:rPr>
          <w:lang w:val="fr-FR"/>
        </w:rPr>
        <w:t>’</w:t>
      </w:r>
      <w:r w:rsidRPr="009618BC">
        <w:rPr>
          <w:lang w:val="fr-FR"/>
        </w:rPr>
        <w:t>enseignants qualifiés pour la langue et la littérature roumaines. Le nombre total d</w:t>
      </w:r>
      <w:r w:rsidR="009618BC" w:rsidRPr="009618BC">
        <w:rPr>
          <w:lang w:val="fr-FR"/>
        </w:rPr>
        <w:t>’</w:t>
      </w:r>
      <w:r w:rsidRPr="009618BC">
        <w:rPr>
          <w:lang w:val="fr-FR"/>
        </w:rPr>
        <w:t>enseignants s</w:t>
      </w:r>
      <w:r w:rsidR="009618BC" w:rsidRPr="009618BC">
        <w:rPr>
          <w:lang w:val="fr-FR"/>
        </w:rPr>
        <w:t>’</w:t>
      </w:r>
      <w:r w:rsidRPr="009618BC">
        <w:rPr>
          <w:lang w:val="fr-FR"/>
        </w:rPr>
        <w:t>élève à 168.</w:t>
      </w:r>
    </w:p>
    <w:p w:rsidR="00A72177" w:rsidRPr="009618BC" w:rsidRDefault="00A72177" w:rsidP="009618BC">
      <w:pPr>
        <w:pStyle w:val="SingleTxtG"/>
        <w:rPr>
          <w:lang w:val="fr-FR"/>
        </w:rPr>
      </w:pPr>
      <w:r w:rsidRPr="009618BC">
        <w:rPr>
          <w:lang w:val="fr-FR"/>
        </w:rPr>
        <w:t>65.</w:t>
      </w:r>
      <w:r w:rsidRPr="009618BC">
        <w:rPr>
          <w:lang w:val="fr-FR"/>
        </w:rPr>
        <w:tab/>
        <w:t>Des formations continues sont constamment proposées aux enseignants de langue roumaine. Par exemple, dans le cadre du « Programme d</w:t>
      </w:r>
      <w:r w:rsidR="009618BC" w:rsidRPr="009618BC">
        <w:rPr>
          <w:lang w:val="fr-FR"/>
        </w:rPr>
        <w:t>’</w:t>
      </w:r>
      <w:r w:rsidRPr="009618BC">
        <w:rPr>
          <w:lang w:val="fr-FR"/>
        </w:rPr>
        <w:t>amélioration de l</w:t>
      </w:r>
      <w:r w:rsidR="009618BC" w:rsidRPr="009618BC">
        <w:rPr>
          <w:lang w:val="fr-FR"/>
        </w:rPr>
        <w:t>’</w:t>
      </w:r>
      <w:r w:rsidRPr="009618BC">
        <w:rPr>
          <w:lang w:val="fr-FR"/>
        </w:rPr>
        <w:t>efficacité de l</w:t>
      </w:r>
      <w:r w:rsidR="009618BC" w:rsidRPr="009618BC">
        <w:rPr>
          <w:lang w:val="fr-FR"/>
        </w:rPr>
        <w:t>’</w:t>
      </w:r>
      <w:r w:rsidRPr="009618BC">
        <w:rPr>
          <w:lang w:val="fr-FR"/>
        </w:rPr>
        <w:t>enseignement de la langue roumaine dans les écoles de Gagaouzie et dans le district de Taraclia en République de Moldova » dont le but est d</w:t>
      </w:r>
      <w:r w:rsidR="009618BC" w:rsidRPr="009618BC">
        <w:rPr>
          <w:lang w:val="fr-FR"/>
        </w:rPr>
        <w:t>’</w:t>
      </w:r>
      <w:r w:rsidRPr="009618BC">
        <w:rPr>
          <w:lang w:val="fr-FR"/>
        </w:rPr>
        <w:t>organiser la formation continue des enseignants en Roumanie, 30 enseignants des régions concernées ont suivi un cours de formation continue en Roumanie en 2016 et 27 en 2017.</w:t>
      </w:r>
    </w:p>
    <w:p w:rsidR="00A72177" w:rsidRPr="009618BC" w:rsidRDefault="00A72177" w:rsidP="009618BC">
      <w:pPr>
        <w:pStyle w:val="SingleTxtG"/>
        <w:rPr>
          <w:lang w:val="fr-FR"/>
        </w:rPr>
      </w:pPr>
      <w:r w:rsidRPr="009618BC">
        <w:rPr>
          <w:lang w:val="fr-FR"/>
        </w:rPr>
        <w:t>66.</w:t>
      </w:r>
      <w:r w:rsidRPr="009618BC">
        <w:rPr>
          <w:lang w:val="fr-FR"/>
        </w:rPr>
        <w:tab/>
        <w:t>L</w:t>
      </w:r>
      <w:r w:rsidR="009618BC" w:rsidRPr="009618BC">
        <w:rPr>
          <w:lang w:val="fr-FR"/>
        </w:rPr>
        <w:t>’</w:t>
      </w:r>
      <w:r w:rsidRPr="009618BC">
        <w:rPr>
          <w:lang w:val="fr-FR"/>
        </w:rPr>
        <w:t>intérêt accru des élèves pour la langue roumaine permet d</w:t>
      </w:r>
      <w:r w:rsidR="009618BC" w:rsidRPr="009618BC">
        <w:rPr>
          <w:lang w:val="fr-FR"/>
        </w:rPr>
        <w:t>’</w:t>
      </w:r>
      <w:r w:rsidRPr="009618BC">
        <w:rPr>
          <w:lang w:val="fr-FR"/>
        </w:rPr>
        <w:t>organiser des activités périscolaires interactives variées, destinées à créer un environnement linguistique, notamment des semaines de la langue roumaine, des soirées littéraires, des rencontres folkloriques, des quiz, des concours d</w:t>
      </w:r>
      <w:r w:rsidR="009618BC" w:rsidRPr="009618BC">
        <w:rPr>
          <w:lang w:val="fr-FR"/>
        </w:rPr>
        <w:t>’</w:t>
      </w:r>
      <w:r w:rsidRPr="009618BC">
        <w:rPr>
          <w:lang w:val="fr-FR"/>
        </w:rPr>
        <w:t>œuvres créatives, des conférences scientifiques en roumain pour les élèves des classes supérieures.</w:t>
      </w:r>
    </w:p>
    <w:p w:rsidR="00A72177" w:rsidRPr="009618BC" w:rsidRDefault="00A72177" w:rsidP="009618BC">
      <w:pPr>
        <w:pStyle w:val="SingleTxtG"/>
        <w:rPr>
          <w:lang w:val="fr-FR"/>
        </w:rPr>
      </w:pPr>
      <w:r w:rsidRPr="009618BC">
        <w:rPr>
          <w:lang w:val="fr-FR"/>
        </w:rPr>
        <w:t>67.</w:t>
      </w:r>
      <w:r w:rsidRPr="009618BC">
        <w:rPr>
          <w:lang w:val="fr-FR"/>
        </w:rPr>
        <w:tab/>
        <w:t xml:space="preserve">En 2016, la </w:t>
      </w:r>
      <w:r w:rsidR="00C52DC2">
        <w:rPr>
          <w:lang w:val="fr-FR"/>
        </w:rPr>
        <w:t>D</w:t>
      </w:r>
      <w:r w:rsidRPr="009618BC">
        <w:rPr>
          <w:lang w:val="fr-FR"/>
        </w:rPr>
        <w:t>irection générale de l</w:t>
      </w:r>
      <w:r w:rsidR="009618BC" w:rsidRPr="009618BC">
        <w:rPr>
          <w:lang w:val="fr-FR"/>
        </w:rPr>
        <w:t>’</w:t>
      </w:r>
      <w:r w:rsidRPr="009618BC">
        <w:rPr>
          <w:lang w:val="fr-FR"/>
        </w:rPr>
        <w:t>éducation en Gagaouzie a organisé un concours de déclamation en roumain qui a, entre autres, efficacement contribué au développement d</w:t>
      </w:r>
      <w:r w:rsidR="006C5DD2">
        <w:rPr>
          <w:lang w:val="fr-FR"/>
        </w:rPr>
        <w:t>e la langue parlée. Quelque 115 </w:t>
      </w:r>
      <w:r w:rsidRPr="009618BC">
        <w:rPr>
          <w:lang w:val="fr-FR"/>
        </w:rPr>
        <w:t>élèves de tous âges ont participé à ce concours.</w:t>
      </w:r>
    </w:p>
    <w:p w:rsidR="00A72177" w:rsidRPr="009618BC" w:rsidRDefault="00A72177" w:rsidP="009618BC">
      <w:pPr>
        <w:pStyle w:val="SingleTxtG"/>
        <w:rPr>
          <w:lang w:val="fr-FR"/>
        </w:rPr>
      </w:pPr>
      <w:r w:rsidRPr="009618BC">
        <w:rPr>
          <w:lang w:val="fr-FR"/>
        </w:rPr>
        <w:t>68.</w:t>
      </w:r>
      <w:r w:rsidRPr="009618BC">
        <w:rPr>
          <w:lang w:val="fr-FR"/>
        </w:rPr>
        <w:tab/>
        <w:t>En 2017 et 2018, le concours intitulé « Notre langue est un trésor » a été organisé sous l</w:t>
      </w:r>
      <w:r w:rsidR="009618BC" w:rsidRPr="009618BC">
        <w:rPr>
          <w:lang w:val="fr-FR"/>
        </w:rPr>
        <w:t>’</w:t>
      </w:r>
      <w:r w:rsidRPr="009618BC">
        <w:rPr>
          <w:lang w:val="fr-FR"/>
        </w:rPr>
        <w:t xml:space="preserve">égide de la </w:t>
      </w:r>
      <w:r w:rsidR="00C52DC2">
        <w:rPr>
          <w:lang w:val="fr-FR"/>
        </w:rPr>
        <w:t>D</w:t>
      </w:r>
      <w:r w:rsidRPr="009618BC">
        <w:rPr>
          <w:lang w:val="fr-FR"/>
        </w:rPr>
        <w:t>irection générale de l</w:t>
      </w:r>
      <w:r w:rsidR="009618BC" w:rsidRPr="009618BC">
        <w:rPr>
          <w:lang w:val="fr-FR"/>
        </w:rPr>
        <w:t>’</w:t>
      </w:r>
      <w:r w:rsidRPr="009618BC">
        <w:rPr>
          <w:lang w:val="fr-FR"/>
        </w:rPr>
        <w:t>éducation en Gagaouzie, l</w:t>
      </w:r>
      <w:r w:rsidR="009618BC" w:rsidRPr="009618BC">
        <w:rPr>
          <w:lang w:val="fr-FR"/>
        </w:rPr>
        <w:t>’</w:t>
      </w:r>
      <w:r w:rsidRPr="009618BC">
        <w:rPr>
          <w:lang w:val="fr-FR"/>
        </w:rPr>
        <w:t>objectif étant de rehausser le prestige de la langue roumaine et de motiver davantage de jeunes à l</w:t>
      </w:r>
      <w:r w:rsidR="009618BC" w:rsidRPr="009618BC">
        <w:rPr>
          <w:lang w:val="fr-FR"/>
        </w:rPr>
        <w:t>’</w:t>
      </w:r>
      <w:r w:rsidRPr="009618BC">
        <w:rPr>
          <w:lang w:val="fr-FR"/>
        </w:rPr>
        <w:t>apprendre. En 2018, 29 travaux individuels et collectifs ont été présentés dans le cadre du concours, notamment des essais, des films thématiques, des interviews, des projets individuels et de groupe destinés à développer la connaissance de la langue pour favoriser la communication dans différents environnements linguistiques.</w:t>
      </w:r>
    </w:p>
    <w:p w:rsidR="00A72177" w:rsidRPr="006C5DD2" w:rsidRDefault="00A72177" w:rsidP="009618BC">
      <w:pPr>
        <w:pStyle w:val="SingleTxtG"/>
        <w:rPr>
          <w:spacing w:val="-2"/>
          <w:lang w:val="fr-FR"/>
        </w:rPr>
      </w:pPr>
      <w:r w:rsidRPr="006C5DD2">
        <w:rPr>
          <w:spacing w:val="-2"/>
          <w:lang w:val="fr-FR"/>
        </w:rPr>
        <w:t>69.</w:t>
      </w:r>
      <w:r w:rsidRPr="006C5DD2">
        <w:rPr>
          <w:spacing w:val="-2"/>
          <w:lang w:val="fr-FR"/>
        </w:rPr>
        <w:tab/>
        <w:t>Cependant, certains problèmes se posent en raison du manque de livres en roumain dans les bibliothèques scolaires et de l</w:t>
      </w:r>
      <w:r w:rsidR="009618BC" w:rsidRPr="006C5DD2">
        <w:rPr>
          <w:spacing w:val="-2"/>
          <w:lang w:val="fr-FR"/>
        </w:rPr>
        <w:t>’</w:t>
      </w:r>
      <w:r w:rsidRPr="006C5DD2">
        <w:rPr>
          <w:spacing w:val="-2"/>
          <w:lang w:val="fr-FR"/>
        </w:rPr>
        <w:t xml:space="preserve">insuffisance de moyens techniques. Les fonctionnaires de la </w:t>
      </w:r>
      <w:r w:rsidR="00C52DC2">
        <w:rPr>
          <w:spacing w:val="-2"/>
          <w:lang w:val="fr-FR"/>
        </w:rPr>
        <w:t>D</w:t>
      </w:r>
      <w:r w:rsidRPr="006C5DD2">
        <w:rPr>
          <w:spacing w:val="-2"/>
          <w:lang w:val="fr-FR"/>
        </w:rPr>
        <w:t>irection générale de l</w:t>
      </w:r>
      <w:r w:rsidR="009618BC" w:rsidRPr="006C5DD2">
        <w:rPr>
          <w:spacing w:val="-2"/>
          <w:lang w:val="fr-FR"/>
        </w:rPr>
        <w:t>’</w:t>
      </w:r>
      <w:r w:rsidRPr="006C5DD2">
        <w:rPr>
          <w:spacing w:val="-2"/>
          <w:lang w:val="fr-FR"/>
        </w:rPr>
        <w:t>éducation en Gagaouzie collaborent avec le Ministère de l</w:t>
      </w:r>
      <w:r w:rsidR="009618BC" w:rsidRPr="006C5DD2">
        <w:rPr>
          <w:spacing w:val="-2"/>
          <w:lang w:val="fr-FR"/>
        </w:rPr>
        <w:t>’</w:t>
      </w:r>
      <w:r w:rsidRPr="006C5DD2">
        <w:rPr>
          <w:spacing w:val="-2"/>
          <w:lang w:val="fr-FR"/>
        </w:rPr>
        <w:t>éducation, de la culture et de la recherche pour tenter de résoudre ces problèmes.</w:t>
      </w:r>
    </w:p>
    <w:p w:rsidR="00A72177" w:rsidRPr="009618BC" w:rsidRDefault="00A72177" w:rsidP="004B281B">
      <w:pPr>
        <w:pStyle w:val="H23G"/>
        <w:rPr>
          <w:lang w:val="fr-FR"/>
        </w:rPr>
      </w:pPr>
      <w:r w:rsidRPr="009618BC">
        <w:rPr>
          <w:lang w:val="fr-FR"/>
        </w:rPr>
        <w:tab/>
      </w:r>
      <w:r w:rsidRPr="009618BC">
        <w:rPr>
          <w:lang w:val="fr-FR"/>
        </w:rPr>
        <w:tab/>
        <w:t>Accès à l</w:t>
      </w:r>
      <w:r w:rsidR="009618BC" w:rsidRPr="009618BC">
        <w:rPr>
          <w:lang w:val="fr-FR"/>
        </w:rPr>
        <w:t>’</w:t>
      </w:r>
      <w:r w:rsidRPr="009618BC">
        <w:rPr>
          <w:lang w:val="fr-FR"/>
        </w:rPr>
        <w:t xml:space="preserve">éducation pour les personnes issues des minorités nationales </w:t>
      </w:r>
      <w:r w:rsidR="004B281B">
        <w:rPr>
          <w:lang w:val="fr-FR"/>
        </w:rPr>
        <w:br/>
      </w:r>
      <w:r w:rsidRPr="009618BC">
        <w:rPr>
          <w:lang w:val="fr-FR"/>
        </w:rPr>
        <w:t>dans le district de Taraclia</w:t>
      </w:r>
    </w:p>
    <w:p w:rsidR="00A72177" w:rsidRPr="009618BC" w:rsidRDefault="00A72177" w:rsidP="009618BC">
      <w:pPr>
        <w:pStyle w:val="SingleTxtG"/>
        <w:rPr>
          <w:lang w:val="fr-FR"/>
        </w:rPr>
      </w:pPr>
      <w:r w:rsidRPr="009618BC">
        <w:rPr>
          <w:lang w:val="fr-FR"/>
        </w:rPr>
        <w:t>70.</w:t>
      </w:r>
      <w:r w:rsidRPr="009618BC">
        <w:rPr>
          <w:lang w:val="fr-FR"/>
        </w:rPr>
        <w:tab/>
        <w:t>Dans tous les établissements scolaires du district de Taraclia, des mesures ont été prises pour assurer un enseignement de qualité de la langue maternelle et de la langue officielle aux élèves issus des minorités nationales.</w:t>
      </w:r>
    </w:p>
    <w:p w:rsidR="00A72177" w:rsidRPr="009618BC" w:rsidRDefault="00A72177" w:rsidP="004B281B">
      <w:pPr>
        <w:pStyle w:val="H4G"/>
        <w:rPr>
          <w:lang w:val="fr-FR"/>
        </w:rPr>
      </w:pPr>
      <w:r w:rsidRPr="009618BC">
        <w:rPr>
          <w:b/>
          <w:lang w:val="fr-FR"/>
        </w:rPr>
        <w:tab/>
      </w:r>
      <w:r w:rsidRPr="009618BC">
        <w:rPr>
          <w:b/>
          <w:lang w:val="fr-FR"/>
        </w:rPr>
        <w:tab/>
      </w:r>
      <w:r w:rsidRPr="009618BC">
        <w:rPr>
          <w:lang w:val="fr-FR"/>
        </w:rPr>
        <w:t>Au niveau préscolaire</w:t>
      </w:r>
    </w:p>
    <w:p w:rsidR="00A72177" w:rsidRPr="009618BC" w:rsidRDefault="00A72177" w:rsidP="009618BC">
      <w:pPr>
        <w:pStyle w:val="SingleTxtG"/>
        <w:rPr>
          <w:lang w:val="fr-FR"/>
        </w:rPr>
      </w:pPr>
      <w:r w:rsidRPr="009618BC">
        <w:rPr>
          <w:lang w:val="fr-FR"/>
        </w:rPr>
        <w:t>71.</w:t>
      </w:r>
      <w:r w:rsidRPr="009618BC">
        <w:rPr>
          <w:lang w:val="fr-FR"/>
        </w:rPr>
        <w:tab/>
        <w:t>Depuis l</w:t>
      </w:r>
      <w:r w:rsidR="009618BC" w:rsidRPr="009618BC">
        <w:rPr>
          <w:lang w:val="fr-FR"/>
        </w:rPr>
        <w:t>’</w:t>
      </w:r>
      <w:r w:rsidR="006C5DD2">
        <w:rPr>
          <w:lang w:val="fr-FR"/>
        </w:rPr>
        <w:t>année scolaire 2017/</w:t>
      </w:r>
      <w:r w:rsidRPr="009618BC">
        <w:rPr>
          <w:lang w:val="fr-FR"/>
        </w:rPr>
        <w:t>18, l</w:t>
      </w:r>
      <w:r w:rsidR="009618BC" w:rsidRPr="009618BC">
        <w:rPr>
          <w:lang w:val="fr-FR"/>
        </w:rPr>
        <w:t>’</w:t>
      </w:r>
      <w:r w:rsidRPr="009618BC">
        <w:rPr>
          <w:lang w:val="fr-FR"/>
        </w:rPr>
        <w:t>apprentissage du bulgare a été introduit dans sept établissements préscolaires situés dans des agglomérations à forte présence bulgare (ville de Taraclia et villages d</w:t>
      </w:r>
      <w:r w:rsidR="009618BC" w:rsidRPr="009618BC">
        <w:rPr>
          <w:lang w:val="fr-FR"/>
        </w:rPr>
        <w:t>’</w:t>
      </w:r>
      <w:r w:rsidRPr="009618BC">
        <w:rPr>
          <w:lang w:val="fr-FR"/>
        </w:rPr>
        <w:t xml:space="preserve">Albota de Sus, de Tvardiţa </w:t>
      </w:r>
      <w:r w:rsidR="006C5DD2">
        <w:rPr>
          <w:lang w:val="fr-FR"/>
        </w:rPr>
        <w:t>et de Cairaclia). Au total, 635 </w:t>
      </w:r>
      <w:r w:rsidRPr="009618BC">
        <w:rPr>
          <w:lang w:val="fr-FR"/>
        </w:rPr>
        <w:t>enfants apprennent le bulgare en qualité de langue maternelle. Les budgets locaux prennent en charge le financement de cet enseignement dans les établissements mentionnés.</w:t>
      </w:r>
    </w:p>
    <w:p w:rsidR="00A72177" w:rsidRPr="009618BC" w:rsidRDefault="00A72177" w:rsidP="009618BC">
      <w:pPr>
        <w:pStyle w:val="SingleTxtG"/>
        <w:rPr>
          <w:lang w:val="fr-FR"/>
        </w:rPr>
      </w:pPr>
      <w:r w:rsidRPr="009618BC">
        <w:rPr>
          <w:lang w:val="fr-FR"/>
        </w:rPr>
        <w:t>72.</w:t>
      </w:r>
      <w:r w:rsidRPr="009618BC">
        <w:rPr>
          <w:lang w:val="fr-FR"/>
        </w:rPr>
        <w:tab/>
        <w:t>La langue officielle est enseignée deux fois par semaine dans 14 établissements préscolaires de langue russe qui, ensemble, comptent 865 enfants. Onze enseignants, diplômés de l</w:t>
      </w:r>
      <w:r w:rsidR="009618BC" w:rsidRPr="009618BC">
        <w:rPr>
          <w:lang w:val="fr-FR"/>
        </w:rPr>
        <w:t>’</w:t>
      </w:r>
      <w:r w:rsidRPr="009618BC">
        <w:rPr>
          <w:lang w:val="fr-FR"/>
        </w:rPr>
        <w:t>enseignement supérieur</w:t>
      </w:r>
      <w:r w:rsidR="00C52DC2">
        <w:rPr>
          <w:lang w:val="fr-FR"/>
        </w:rPr>
        <w:t>,</w:t>
      </w:r>
      <w:r w:rsidRPr="009618BC">
        <w:rPr>
          <w:lang w:val="fr-FR"/>
        </w:rPr>
        <w:t xml:space="preserve"> assurent cet enseignement</w:t>
      </w:r>
    </w:p>
    <w:p w:rsidR="00A72177" w:rsidRPr="009618BC" w:rsidRDefault="00A72177" w:rsidP="004B281B">
      <w:pPr>
        <w:pStyle w:val="H4G"/>
        <w:rPr>
          <w:lang w:val="fr-FR"/>
        </w:rPr>
      </w:pPr>
      <w:r w:rsidRPr="009618BC">
        <w:rPr>
          <w:lang w:val="fr-FR"/>
        </w:rPr>
        <w:tab/>
      </w:r>
      <w:r w:rsidRPr="009618BC">
        <w:rPr>
          <w:lang w:val="fr-FR"/>
        </w:rPr>
        <w:tab/>
        <w:t>Au niveau scolaire</w:t>
      </w:r>
    </w:p>
    <w:p w:rsidR="00A72177" w:rsidRPr="009618BC" w:rsidRDefault="00A72177" w:rsidP="004B281B">
      <w:pPr>
        <w:pStyle w:val="H56G"/>
        <w:rPr>
          <w:lang w:val="fr-FR"/>
        </w:rPr>
      </w:pPr>
      <w:r w:rsidRPr="009618BC">
        <w:rPr>
          <w:lang w:val="fr-FR"/>
        </w:rPr>
        <w:tab/>
      </w:r>
      <w:r w:rsidRPr="009618BC">
        <w:rPr>
          <w:lang w:val="fr-FR"/>
        </w:rPr>
        <w:tab/>
        <w:t>Langue maternelle</w:t>
      </w:r>
    </w:p>
    <w:p w:rsidR="00A72177" w:rsidRPr="009618BC" w:rsidRDefault="00A72177" w:rsidP="009618BC">
      <w:pPr>
        <w:pStyle w:val="SingleTxtG"/>
        <w:rPr>
          <w:lang w:val="fr-FR"/>
        </w:rPr>
      </w:pPr>
      <w:r w:rsidRPr="009618BC">
        <w:rPr>
          <w:lang w:val="fr-FR"/>
        </w:rPr>
        <w:t>73.</w:t>
      </w:r>
      <w:r w:rsidRPr="009618BC">
        <w:rPr>
          <w:lang w:val="fr-FR"/>
        </w:rPr>
        <w:tab/>
        <w:t>Dans 12 écoles sur les 18 que compte le district (67 %), le bulgare est enseigné en tant que langue maternelle. Quelque 2 845 élèves (79,2 %) suivent les disciplines suivantes : langue et littérature bulgares à raison de trois heures par semaine ; histoire, culture et traditions du peuple bulgare à raison d</w:t>
      </w:r>
      <w:r w:rsidR="009618BC" w:rsidRPr="009618BC">
        <w:rPr>
          <w:lang w:val="fr-FR"/>
        </w:rPr>
        <w:t>’</w:t>
      </w:r>
      <w:r w:rsidRPr="009618BC">
        <w:rPr>
          <w:lang w:val="fr-FR"/>
        </w:rPr>
        <w:t>une heure par semaine. Les classes qui comptent 25 élèves ou plus sont divisées en sous-groupes. Au total, 73 enseignants diplômés en philologie bulgare (langue et littérature) enseignent le bulgare dans les écoles du district.</w:t>
      </w:r>
    </w:p>
    <w:p w:rsidR="00A72177" w:rsidRPr="009618BC" w:rsidRDefault="00A72177" w:rsidP="009618BC">
      <w:pPr>
        <w:pStyle w:val="SingleTxtG"/>
        <w:rPr>
          <w:lang w:val="fr-FR"/>
        </w:rPr>
      </w:pPr>
      <w:r w:rsidRPr="009618BC">
        <w:rPr>
          <w:lang w:val="fr-FR"/>
        </w:rPr>
        <w:lastRenderedPageBreak/>
        <w:t>74.</w:t>
      </w:r>
      <w:r w:rsidRPr="009618BC">
        <w:rPr>
          <w:lang w:val="fr-FR"/>
        </w:rPr>
        <w:tab/>
        <w:t>Dans l</w:t>
      </w:r>
      <w:r w:rsidR="009618BC" w:rsidRPr="009618BC">
        <w:rPr>
          <w:lang w:val="fr-FR"/>
        </w:rPr>
        <w:t>’</w:t>
      </w:r>
      <w:r w:rsidRPr="009618BC">
        <w:rPr>
          <w:lang w:val="fr-FR"/>
        </w:rPr>
        <w:t>établissement Nicolas Gogol du village de Musaitu, où réside une forte proportion d</w:t>
      </w:r>
      <w:r w:rsidR="009618BC" w:rsidRPr="009618BC">
        <w:rPr>
          <w:lang w:val="fr-FR"/>
        </w:rPr>
        <w:t>’</w:t>
      </w:r>
      <w:r w:rsidRPr="009618BC">
        <w:rPr>
          <w:lang w:val="fr-FR"/>
        </w:rPr>
        <w:t>Ukrainiens, l</w:t>
      </w:r>
      <w:r w:rsidR="009618BC" w:rsidRPr="009618BC">
        <w:rPr>
          <w:lang w:val="fr-FR"/>
        </w:rPr>
        <w:t>’</w:t>
      </w:r>
      <w:r w:rsidRPr="009618BC">
        <w:rPr>
          <w:lang w:val="fr-FR"/>
        </w:rPr>
        <w:t>ukrainien est enseigné en tant que langue maternelle (</w:t>
      </w:r>
      <w:r w:rsidR="006C5DD2">
        <w:rPr>
          <w:lang w:val="fr-FR"/>
        </w:rPr>
        <w:t xml:space="preserve">quatre </w:t>
      </w:r>
      <w:r w:rsidRPr="009618BC">
        <w:rPr>
          <w:lang w:val="fr-FR"/>
        </w:rPr>
        <w:t xml:space="preserve">classes, 53 élèves). Le cours de langue et littérature ukrainiennes est enseigné à raison de </w:t>
      </w:r>
      <w:r w:rsidR="006C5DD2">
        <w:rPr>
          <w:lang w:val="fr-FR"/>
        </w:rPr>
        <w:t>trois</w:t>
      </w:r>
      <w:r w:rsidRPr="009618BC">
        <w:rPr>
          <w:lang w:val="fr-FR"/>
        </w:rPr>
        <w:t> heures par semaine et celui de l</w:t>
      </w:r>
      <w:r w:rsidR="009618BC" w:rsidRPr="009618BC">
        <w:rPr>
          <w:lang w:val="fr-FR"/>
        </w:rPr>
        <w:t>’</w:t>
      </w:r>
      <w:r w:rsidRPr="009618BC">
        <w:rPr>
          <w:lang w:val="fr-FR"/>
        </w:rPr>
        <w:t>histoire, de la culture et des traditions du peuple ukrainien, à raison d</w:t>
      </w:r>
      <w:r w:rsidR="009618BC" w:rsidRPr="009618BC">
        <w:rPr>
          <w:lang w:val="fr-FR"/>
        </w:rPr>
        <w:t>’</w:t>
      </w:r>
      <w:r w:rsidRPr="009618BC">
        <w:rPr>
          <w:lang w:val="fr-FR"/>
        </w:rPr>
        <w:t>une heure par semaine.</w:t>
      </w:r>
    </w:p>
    <w:p w:rsidR="00A72177" w:rsidRPr="009618BC" w:rsidRDefault="00A72177" w:rsidP="004B281B">
      <w:pPr>
        <w:pStyle w:val="H56G"/>
        <w:rPr>
          <w:lang w:val="fr-FR"/>
        </w:rPr>
      </w:pPr>
      <w:r w:rsidRPr="009618BC">
        <w:rPr>
          <w:lang w:val="fr-FR"/>
        </w:rPr>
        <w:tab/>
      </w:r>
      <w:r w:rsidRPr="009618BC">
        <w:rPr>
          <w:lang w:val="fr-FR"/>
        </w:rPr>
        <w:tab/>
        <w:t>Langue officielle</w:t>
      </w:r>
    </w:p>
    <w:p w:rsidR="00A72177" w:rsidRPr="009618BC" w:rsidRDefault="00A72177" w:rsidP="009618BC">
      <w:pPr>
        <w:pStyle w:val="SingleTxtG"/>
        <w:rPr>
          <w:lang w:val="fr-FR"/>
        </w:rPr>
      </w:pPr>
      <w:r w:rsidRPr="009618BC">
        <w:rPr>
          <w:lang w:val="fr-FR"/>
        </w:rPr>
        <w:t>75.</w:t>
      </w:r>
      <w:r w:rsidRPr="009618BC">
        <w:rPr>
          <w:lang w:val="fr-FR"/>
        </w:rPr>
        <w:tab/>
        <w:t>La langue officielle est enseignée à raison de quatre heures par semaine dans tous les établissements scolaires dans lesquels l</w:t>
      </w:r>
      <w:r w:rsidR="009618BC" w:rsidRPr="009618BC">
        <w:rPr>
          <w:lang w:val="fr-FR"/>
        </w:rPr>
        <w:t>’</w:t>
      </w:r>
      <w:r w:rsidRPr="009618BC">
        <w:rPr>
          <w:lang w:val="fr-FR"/>
        </w:rPr>
        <w:t>enseignement est dispensé en russe. Les classes comptant 25 élèves ou plus sont divisées en sous-groupes. Les enseignants, au nombre de 54, sont diplômés de l</w:t>
      </w:r>
      <w:r w:rsidR="009618BC" w:rsidRPr="009618BC">
        <w:rPr>
          <w:lang w:val="fr-FR"/>
        </w:rPr>
        <w:t>’</w:t>
      </w:r>
      <w:r w:rsidRPr="009618BC">
        <w:rPr>
          <w:lang w:val="fr-FR"/>
        </w:rPr>
        <w:t>enseignement supérieur.</w:t>
      </w:r>
    </w:p>
    <w:p w:rsidR="00A72177" w:rsidRPr="009618BC" w:rsidRDefault="00A72177" w:rsidP="009618BC">
      <w:pPr>
        <w:pStyle w:val="SingleTxtG"/>
        <w:rPr>
          <w:lang w:val="fr-FR"/>
        </w:rPr>
      </w:pPr>
      <w:r w:rsidRPr="009618BC">
        <w:rPr>
          <w:lang w:val="fr-FR"/>
        </w:rPr>
        <w:t>76.</w:t>
      </w:r>
      <w:r w:rsidRPr="009618BC">
        <w:rPr>
          <w:lang w:val="fr-FR"/>
        </w:rPr>
        <w:tab/>
        <w:t>À la demande des parents et des élèves, l</w:t>
      </w:r>
      <w:r w:rsidR="009618BC" w:rsidRPr="009618BC">
        <w:rPr>
          <w:lang w:val="fr-FR"/>
        </w:rPr>
        <w:t>’</w:t>
      </w:r>
      <w:r w:rsidRPr="009618BC">
        <w:rPr>
          <w:lang w:val="fr-FR"/>
        </w:rPr>
        <w:t>enseignement de certaines disciplines facultatives est également organisé dans la langue officielle. C</w:t>
      </w:r>
      <w:r w:rsidR="009618BC" w:rsidRPr="009618BC">
        <w:rPr>
          <w:lang w:val="fr-FR"/>
        </w:rPr>
        <w:t>’</w:t>
      </w:r>
      <w:r w:rsidRPr="009618BC">
        <w:rPr>
          <w:lang w:val="fr-FR"/>
        </w:rPr>
        <w:t>est par exemple le cas du cours d</w:t>
      </w:r>
      <w:r w:rsidR="009618BC" w:rsidRPr="009618BC">
        <w:rPr>
          <w:lang w:val="fr-FR"/>
        </w:rPr>
        <w:t>’</w:t>
      </w:r>
      <w:r w:rsidRPr="009618BC">
        <w:rPr>
          <w:lang w:val="fr-FR"/>
        </w:rPr>
        <w:t>économie et commerce, au Lycée Ivan Vazov à Taraclia, du cours d</w:t>
      </w:r>
      <w:r w:rsidR="009618BC" w:rsidRPr="009618BC">
        <w:rPr>
          <w:lang w:val="fr-FR"/>
        </w:rPr>
        <w:t>’</w:t>
      </w:r>
      <w:r w:rsidRPr="009618BC">
        <w:rPr>
          <w:lang w:val="fr-FR"/>
        </w:rPr>
        <w:t>éducation interculturelle, au Collège Ivan Inzov à Taraclia, du cours de relations familiales harmonieuses, au Lycée Saint Païssii de Hilendar dans le village de Corten.</w:t>
      </w:r>
    </w:p>
    <w:p w:rsidR="00A72177" w:rsidRPr="009618BC" w:rsidRDefault="00A72177" w:rsidP="009618BC">
      <w:pPr>
        <w:pStyle w:val="SingleTxtG"/>
        <w:rPr>
          <w:lang w:val="fr-FR"/>
        </w:rPr>
      </w:pPr>
      <w:r w:rsidRPr="009618BC">
        <w:rPr>
          <w:lang w:val="fr-FR"/>
        </w:rPr>
        <w:t>77.</w:t>
      </w:r>
      <w:r w:rsidRPr="009618BC">
        <w:rPr>
          <w:lang w:val="fr-FR"/>
        </w:rPr>
        <w:tab/>
        <w:t>Les cours susmentionnés sont enseignés en langue officielle depuis plusieurs années et les élèves les choisissent délibérément afin d</w:t>
      </w:r>
      <w:r w:rsidR="009618BC" w:rsidRPr="009618BC">
        <w:rPr>
          <w:lang w:val="fr-FR"/>
        </w:rPr>
        <w:t>’</w:t>
      </w:r>
      <w:r w:rsidRPr="009618BC">
        <w:rPr>
          <w:lang w:val="fr-FR"/>
        </w:rPr>
        <w:t>améliorer leurs connaissances et compétences de communication en roumain. Les enseignants utilisent diverses méthodes interactives pour créer un environnement linguistique roumain.</w:t>
      </w:r>
    </w:p>
    <w:p w:rsidR="00A72177" w:rsidRPr="009618BC" w:rsidRDefault="00A72177" w:rsidP="009618BC">
      <w:pPr>
        <w:pStyle w:val="SingleTxtG"/>
        <w:rPr>
          <w:lang w:val="fr-FR"/>
        </w:rPr>
      </w:pPr>
      <w:r w:rsidRPr="009618BC">
        <w:rPr>
          <w:lang w:val="fr-FR"/>
        </w:rPr>
        <w:t>78.</w:t>
      </w:r>
      <w:r w:rsidRPr="009618BC">
        <w:rPr>
          <w:lang w:val="fr-FR"/>
        </w:rPr>
        <w:tab/>
        <w:t>Les autorités publiques du district de Taraclia ne ménagent aucun effort pour créer des conditions susceptibles de favoriser l</w:t>
      </w:r>
      <w:r w:rsidR="009618BC" w:rsidRPr="009618BC">
        <w:rPr>
          <w:lang w:val="fr-FR"/>
        </w:rPr>
        <w:t>’</w:t>
      </w:r>
      <w:r w:rsidRPr="009618BC">
        <w:rPr>
          <w:lang w:val="fr-FR"/>
        </w:rPr>
        <w:t>accès des minorités nationales à l</w:t>
      </w:r>
      <w:r w:rsidR="009618BC" w:rsidRPr="009618BC">
        <w:rPr>
          <w:lang w:val="fr-FR"/>
        </w:rPr>
        <w:t>’</w:t>
      </w:r>
      <w:r w:rsidRPr="009618BC">
        <w:rPr>
          <w:lang w:val="fr-FR"/>
        </w:rPr>
        <w:t>éducation en général, et l</w:t>
      </w:r>
      <w:r w:rsidR="009618BC" w:rsidRPr="009618BC">
        <w:rPr>
          <w:lang w:val="fr-FR"/>
        </w:rPr>
        <w:t>’</w:t>
      </w:r>
      <w:r w:rsidRPr="009618BC">
        <w:rPr>
          <w:lang w:val="fr-FR"/>
        </w:rPr>
        <w:t>apprentissage de la langue maternelle et la maîtrise de la langue nationale. Cependant, les établissements scolaires comme les enseignants manquent de littérature méthodologique, de manuels, de supports visuels et de moyens techniques.</w:t>
      </w:r>
    </w:p>
    <w:p w:rsidR="00A72177" w:rsidRPr="009618BC" w:rsidRDefault="00A72177" w:rsidP="004B281B">
      <w:pPr>
        <w:pStyle w:val="H1G"/>
        <w:rPr>
          <w:lang w:val="fr-FR"/>
        </w:rPr>
      </w:pPr>
      <w:r w:rsidRPr="009618BC">
        <w:rPr>
          <w:lang w:val="fr-FR"/>
        </w:rPr>
        <w:tab/>
      </w:r>
      <w:r w:rsidRPr="009618BC">
        <w:rPr>
          <w:lang w:val="fr-FR"/>
        </w:rPr>
        <w:tab/>
        <w:t>Paragraphe 23</w:t>
      </w:r>
    </w:p>
    <w:p w:rsidR="00A72177" w:rsidRPr="006C5DD2" w:rsidRDefault="00A72177" w:rsidP="006C5DD2">
      <w:pPr>
        <w:pStyle w:val="SingleTxtG"/>
        <w:ind w:firstLine="567"/>
        <w:rPr>
          <w:b/>
          <w:lang w:val="fr-FR"/>
        </w:rPr>
      </w:pPr>
      <w:r w:rsidRPr="006C5DD2">
        <w:rPr>
          <w:b/>
          <w:lang w:val="fr-FR"/>
        </w:rPr>
        <w:t>Rappelant sa recommandation générale n</w:t>
      </w:r>
      <w:r w:rsidRPr="006C5DD2">
        <w:rPr>
          <w:b/>
          <w:vertAlign w:val="superscript"/>
          <w:lang w:val="fr-FR"/>
        </w:rPr>
        <w:t>o </w:t>
      </w:r>
      <w:r w:rsidRPr="006C5DD2">
        <w:rPr>
          <w:b/>
          <w:lang w:val="fr-FR"/>
        </w:rPr>
        <w:t>30 (2004) concernant la discrimination contre les non-ressortissants et sa recommandation générale n</w:t>
      </w:r>
      <w:r w:rsidRPr="006C5DD2">
        <w:rPr>
          <w:b/>
          <w:vertAlign w:val="superscript"/>
          <w:lang w:val="fr-FR"/>
        </w:rPr>
        <w:t>o</w:t>
      </w:r>
      <w:r w:rsidRPr="006C5DD2">
        <w:rPr>
          <w:b/>
          <w:lang w:val="fr-FR"/>
        </w:rPr>
        <w:t> 22 concernant l</w:t>
      </w:r>
      <w:r w:rsidR="009618BC" w:rsidRPr="006C5DD2">
        <w:rPr>
          <w:b/>
          <w:lang w:val="fr-FR"/>
        </w:rPr>
        <w:t>’</w:t>
      </w:r>
      <w:r w:rsidRPr="006C5DD2">
        <w:rPr>
          <w:b/>
          <w:lang w:val="fr-FR"/>
        </w:rPr>
        <w:t>article 5 et les réfugiés et personnes déplacées, le Comité recommande à l</w:t>
      </w:r>
      <w:r w:rsidR="009618BC" w:rsidRPr="006C5DD2">
        <w:rPr>
          <w:b/>
          <w:lang w:val="fr-FR"/>
        </w:rPr>
        <w:t>’</w:t>
      </w:r>
      <w:r w:rsidRPr="006C5DD2">
        <w:rPr>
          <w:b/>
          <w:lang w:val="fr-FR"/>
        </w:rPr>
        <w:t>État partie de fournir aux non-ressortissants l</w:t>
      </w:r>
      <w:r w:rsidR="009618BC" w:rsidRPr="006C5DD2">
        <w:rPr>
          <w:b/>
          <w:lang w:val="fr-FR"/>
        </w:rPr>
        <w:t>’</w:t>
      </w:r>
      <w:r w:rsidRPr="006C5DD2">
        <w:rPr>
          <w:b/>
          <w:lang w:val="fr-FR"/>
        </w:rPr>
        <w:t>accès à l</w:t>
      </w:r>
      <w:r w:rsidR="009618BC" w:rsidRPr="006C5DD2">
        <w:rPr>
          <w:b/>
          <w:lang w:val="fr-FR"/>
        </w:rPr>
        <w:t>’</w:t>
      </w:r>
      <w:r w:rsidRPr="006C5DD2">
        <w:rPr>
          <w:b/>
          <w:lang w:val="fr-FR"/>
        </w:rPr>
        <w:t>éducation, au logement, aux soins de santé et à l</w:t>
      </w:r>
      <w:r w:rsidR="009618BC" w:rsidRPr="006C5DD2">
        <w:rPr>
          <w:b/>
          <w:lang w:val="fr-FR"/>
        </w:rPr>
        <w:t>’</w:t>
      </w:r>
      <w:r w:rsidRPr="006C5DD2">
        <w:rPr>
          <w:b/>
          <w:lang w:val="fr-FR"/>
        </w:rPr>
        <w:t>emploi, sans discrimination. Il lui recommande de fournir des informations sur la mise en œuvre de la Stratégie nationale relative aux migrants et réfugiés (2011-2020) et du Plan d</w:t>
      </w:r>
      <w:r w:rsidR="009618BC" w:rsidRPr="006C5DD2">
        <w:rPr>
          <w:b/>
          <w:lang w:val="fr-FR"/>
        </w:rPr>
        <w:t>’</w:t>
      </w:r>
      <w:r w:rsidRPr="006C5DD2">
        <w:rPr>
          <w:b/>
          <w:lang w:val="fr-FR"/>
        </w:rPr>
        <w:t>action 2016-2020, et sur leurs effets sur la capacité des non-ressortissants tels que les migrants, les réfugiés et les demandeurs d</w:t>
      </w:r>
      <w:r w:rsidR="009618BC" w:rsidRPr="006C5DD2">
        <w:rPr>
          <w:b/>
          <w:lang w:val="fr-FR"/>
        </w:rPr>
        <w:t>’</w:t>
      </w:r>
      <w:r w:rsidRPr="006C5DD2">
        <w:rPr>
          <w:b/>
          <w:lang w:val="fr-FR"/>
        </w:rPr>
        <w:t>asile d</w:t>
      </w:r>
      <w:r w:rsidR="009618BC" w:rsidRPr="006C5DD2">
        <w:rPr>
          <w:b/>
          <w:lang w:val="fr-FR"/>
        </w:rPr>
        <w:t>’</w:t>
      </w:r>
      <w:r w:rsidRPr="006C5DD2">
        <w:rPr>
          <w:b/>
          <w:lang w:val="fr-FR"/>
        </w:rPr>
        <w:t>avoir accès sans discrimination à l</w:t>
      </w:r>
      <w:r w:rsidR="009618BC" w:rsidRPr="006C5DD2">
        <w:rPr>
          <w:b/>
          <w:lang w:val="fr-FR"/>
        </w:rPr>
        <w:t>’</w:t>
      </w:r>
      <w:r w:rsidRPr="006C5DD2">
        <w:rPr>
          <w:b/>
          <w:lang w:val="fr-FR"/>
        </w:rPr>
        <w:t>éducation, à l</w:t>
      </w:r>
      <w:r w:rsidR="009618BC" w:rsidRPr="006C5DD2">
        <w:rPr>
          <w:b/>
          <w:lang w:val="fr-FR"/>
        </w:rPr>
        <w:t>’</w:t>
      </w:r>
      <w:r w:rsidRPr="006C5DD2">
        <w:rPr>
          <w:b/>
          <w:lang w:val="fr-FR"/>
        </w:rPr>
        <w:t>emploi, au logement, aux soins de santé et aux services de base.</w:t>
      </w:r>
    </w:p>
    <w:p w:rsidR="00A72177" w:rsidRPr="009618BC" w:rsidRDefault="00A72177" w:rsidP="004B281B">
      <w:pPr>
        <w:pStyle w:val="H23G"/>
        <w:rPr>
          <w:lang w:val="fr-FR"/>
        </w:rPr>
      </w:pPr>
      <w:r w:rsidRPr="009618BC">
        <w:rPr>
          <w:lang w:val="fr-FR"/>
        </w:rPr>
        <w:tab/>
      </w:r>
      <w:r w:rsidRPr="009618BC">
        <w:rPr>
          <w:lang w:val="fr-FR"/>
        </w:rPr>
        <w:tab/>
        <w:t>Données statistiques</w:t>
      </w:r>
      <w:r w:rsidRPr="004B281B">
        <w:rPr>
          <w:rStyle w:val="Appelnotedebasdep"/>
          <w:b w:val="0"/>
        </w:rPr>
        <w:footnoteReference w:id="16"/>
      </w:r>
    </w:p>
    <w:p w:rsidR="00A72177" w:rsidRPr="009618BC" w:rsidRDefault="00A72177" w:rsidP="009618BC">
      <w:pPr>
        <w:pStyle w:val="SingleTxtG"/>
        <w:rPr>
          <w:lang w:val="fr-FR"/>
        </w:rPr>
      </w:pPr>
      <w:r w:rsidRPr="009618BC">
        <w:rPr>
          <w:lang w:val="fr-FR"/>
        </w:rPr>
        <w:t>79.</w:t>
      </w:r>
      <w:r w:rsidRPr="009618BC">
        <w:rPr>
          <w:lang w:val="fr-FR"/>
        </w:rPr>
        <w:tab/>
        <w:t>Au 30 juin 2017, 18 936 étrangers en possession d</w:t>
      </w:r>
      <w:r w:rsidR="009618BC" w:rsidRPr="009618BC">
        <w:rPr>
          <w:lang w:val="fr-FR"/>
        </w:rPr>
        <w:t>’</w:t>
      </w:r>
      <w:r w:rsidRPr="009618BC">
        <w:rPr>
          <w:lang w:val="fr-FR"/>
        </w:rPr>
        <w:t>un permis de séjour étaient enregistrés sur le territoire de la Ré</w:t>
      </w:r>
      <w:r w:rsidR="006C5DD2">
        <w:rPr>
          <w:lang w:val="fr-FR"/>
        </w:rPr>
        <w:t>publique de Moldova, dont 8 715 </w:t>
      </w:r>
      <w:r w:rsidRPr="009618BC">
        <w:rPr>
          <w:lang w:val="fr-FR"/>
        </w:rPr>
        <w:t>titulaires d</w:t>
      </w:r>
      <w:r w:rsidR="009618BC" w:rsidRPr="009618BC">
        <w:rPr>
          <w:lang w:val="fr-FR"/>
        </w:rPr>
        <w:t>’</w:t>
      </w:r>
      <w:r w:rsidRPr="009618BC">
        <w:rPr>
          <w:lang w:val="fr-FR"/>
        </w:rPr>
        <w:t>un permi</w:t>
      </w:r>
      <w:r w:rsidR="006C5DD2">
        <w:rPr>
          <w:lang w:val="fr-FR"/>
        </w:rPr>
        <w:t>s de séjour permanent et 10 221 </w:t>
      </w:r>
      <w:r w:rsidRPr="009618BC">
        <w:rPr>
          <w:lang w:val="fr-FR"/>
        </w:rPr>
        <w:t>titulaires d</w:t>
      </w:r>
      <w:r w:rsidR="009618BC" w:rsidRPr="009618BC">
        <w:rPr>
          <w:lang w:val="fr-FR"/>
        </w:rPr>
        <w:t>’</w:t>
      </w:r>
      <w:r w:rsidRPr="009618BC">
        <w:rPr>
          <w:lang w:val="fr-FR"/>
        </w:rPr>
        <w:t>un permis temporaire. Les raisons ayant justifié l</w:t>
      </w:r>
      <w:r w:rsidR="009618BC" w:rsidRPr="009618BC">
        <w:rPr>
          <w:lang w:val="fr-FR"/>
        </w:rPr>
        <w:t>’</w:t>
      </w:r>
      <w:r w:rsidRPr="009618BC">
        <w:rPr>
          <w:lang w:val="fr-FR"/>
        </w:rPr>
        <w:t>octroi de ces permis temporaires sont les suivantes :</w:t>
      </w:r>
    </w:p>
    <w:p w:rsidR="00A72177" w:rsidRPr="009618BC" w:rsidRDefault="004B281B" w:rsidP="004B281B">
      <w:pPr>
        <w:pStyle w:val="Bullet1G"/>
        <w:rPr>
          <w:lang w:val="fr-FR"/>
        </w:rPr>
      </w:pPr>
      <w:r>
        <w:rPr>
          <w:lang w:val="fr-FR"/>
        </w:rPr>
        <w:t>T</w:t>
      </w:r>
      <w:r w:rsidR="00A72177" w:rsidRPr="009618BC">
        <w:rPr>
          <w:lang w:val="fr-FR"/>
        </w:rPr>
        <w:t>ravail : 1</w:t>
      </w:r>
      <w:r w:rsidR="006C5DD2">
        <w:rPr>
          <w:lang w:val="fr-FR"/>
        </w:rPr>
        <w:t xml:space="preserve"> </w:t>
      </w:r>
      <w:r w:rsidR="00A72177" w:rsidRPr="009618BC">
        <w:rPr>
          <w:lang w:val="fr-FR"/>
        </w:rPr>
        <w:t>067 ;</w:t>
      </w:r>
    </w:p>
    <w:p w:rsidR="00A72177" w:rsidRPr="009618BC" w:rsidRDefault="004B281B" w:rsidP="004B281B">
      <w:pPr>
        <w:pStyle w:val="Bullet1G"/>
        <w:rPr>
          <w:lang w:val="fr-FR"/>
        </w:rPr>
      </w:pPr>
      <w:r>
        <w:rPr>
          <w:lang w:val="fr-FR"/>
        </w:rPr>
        <w:t>F</w:t>
      </w:r>
      <w:r w:rsidR="00A72177" w:rsidRPr="009618BC">
        <w:rPr>
          <w:lang w:val="fr-FR"/>
        </w:rPr>
        <w:t>amille : 4</w:t>
      </w:r>
      <w:r w:rsidR="006C5DD2">
        <w:rPr>
          <w:lang w:val="fr-FR"/>
        </w:rPr>
        <w:t xml:space="preserve"> </w:t>
      </w:r>
      <w:r w:rsidR="00A72177" w:rsidRPr="009618BC">
        <w:rPr>
          <w:lang w:val="fr-FR"/>
        </w:rPr>
        <w:t>714 ;</w:t>
      </w:r>
    </w:p>
    <w:p w:rsidR="00A72177" w:rsidRPr="009618BC" w:rsidRDefault="004B281B" w:rsidP="004B281B">
      <w:pPr>
        <w:pStyle w:val="Bullet1G"/>
        <w:rPr>
          <w:lang w:val="fr-FR"/>
        </w:rPr>
      </w:pPr>
      <w:r>
        <w:rPr>
          <w:lang w:val="fr-FR"/>
        </w:rPr>
        <w:t>É</w:t>
      </w:r>
      <w:r w:rsidR="00A72177" w:rsidRPr="009618BC">
        <w:rPr>
          <w:lang w:val="fr-FR"/>
        </w:rPr>
        <w:t>tudes : 2</w:t>
      </w:r>
      <w:r w:rsidR="006C5DD2">
        <w:rPr>
          <w:lang w:val="fr-FR"/>
        </w:rPr>
        <w:t xml:space="preserve"> </w:t>
      </w:r>
      <w:r w:rsidR="00A72177" w:rsidRPr="009618BC">
        <w:rPr>
          <w:lang w:val="fr-FR"/>
        </w:rPr>
        <w:t>688 ;</w:t>
      </w:r>
    </w:p>
    <w:p w:rsidR="00A72177" w:rsidRPr="009618BC" w:rsidRDefault="004B281B" w:rsidP="004B281B">
      <w:pPr>
        <w:pStyle w:val="Bullet1G"/>
        <w:rPr>
          <w:lang w:val="fr-FR"/>
        </w:rPr>
      </w:pPr>
      <w:r>
        <w:rPr>
          <w:lang w:val="fr-FR"/>
        </w:rPr>
        <w:t>A</w:t>
      </w:r>
      <w:r w:rsidR="00A72177" w:rsidRPr="009618BC">
        <w:rPr>
          <w:lang w:val="fr-FR"/>
        </w:rPr>
        <w:t>ctivités humanitaires : 110 ;</w:t>
      </w:r>
    </w:p>
    <w:p w:rsidR="00A72177" w:rsidRPr="009618BC" w:rsidRDefault="004B281B" w:rsidP="004B281B">
      <w:pPr>
        <w:pStyle w:val="Bullet1G"/>
        <w:rPr>
          <w:lang w:val="fr-FR"/>
        </w:rPr>
      </w:pPr>
      <w:r>
        <w:rPr>
          <w:lang w:val="fr-FR"/>
        </w:rPr>
        <w:t>T</w:t>
      </w:r>
      <w:r w:rsidR="00A72177" w:rsidRPr="009618BC">
        <w:rPr>
          <w:lang w:val="fr-FR"/>
        </w:rPr>
        <w:t>raitement médical : 2 ;</w:t>
      </w:r>
    </w:p>
    <w:p w:rsidR="00A72177" w:rsidRPr="009618BC" w:rsidRDefault="004B281B" w:rsidP="004B281B">
      <w:pPr>
        <w:pStyle w:val="Bullet1G"/>
        <w:rPr>
          <w:lang w:val="fr-FR"/>
        </w:rPr>
      </w:pPr>
      <w:r>
        <w:rPr>
          <w:lang w:val="fr-FR"/>
        </w:rPr>
        <w:t>A</w:t>
      </w:r>
      <w:r w:rsidR="00A72177" w:rsidRPr="009618BC">
        <w:rPr>
          <w:lang w:val="fr-FR"/>
        </w:rPr>
        <w:t>ctivité religieuse : 302 ;</w:t>
      </w:r>
    </w:p>
    <w:p w:rsidR="00A72177" w:rsidRPr="009618BC" w:rsidRDefault="004B281B" w:rsidP="004B281B">
      <w:pPr>
        <w:pStyle w:val="Bullet1G"/>
        <w:rPr>
          <w:lang w:val="fr-FR"/>
        </w:rPr>
      </w:pPr>
      <w:r>
        <w:rPr>
          <w:lang w:val="fr-FR"/>
        </w:rPr>
        <w:lastRenderedPageBreak/>
        <w:t>B</w:t>
      </w:r>
      <w:r w:rsidR="00A72177" w:rsidRPr="009618BC">
        <w:rPr>
          <w:lang w:val="fr-FR"/>
        </w:rPr>
        <w:t>énévolat : 34 ;</w:t>
      </w:r>
    </w:p>
    <w:p w:rsidR="00A72177" w:rsidRPr="009618BC" w:rsidRDefault="004B281B" w:rsidP="004B281B">
      <w:pPr>
        <w:pStyle w:val="Bullet1G"/>
        <w:rPr>
          <w:lang w:val="fr-FR"/>
        </w:rPr>
      </w:pPr>
      <w:r>
        <w:rPr>
          <w:lang w:val="fr-FR"/>
        </w:rPr>
        <w:t>I</w:t>
      </w:r>
      <w:r w:rsidR="00A72177" w:rsidRPr="009618BC">
        <w:rPr>
          <w:lang w:val="fr-FR"/>
        </w:rPr>
        <w:t>nvestisseurs étrangers : 558 ;</w:t>
      </w:r>
    </w:p>
    <w:p w:rsidR="00A72177" w:rsidRPr="009618BC" w:rsidRDefault="004B281B" w:rsidP="004B281B">
      <w:pPr>
        <w:pStyle w:val="Bullet1G"/>
        <w:rPr>
          <w:lang w:val="fr-FR"/>
        </w:rPr>
      </w:pPr>
      <w:r>
        <w:rPr>
          <w:lang w:val="fr-FR"/>
        </w:rPr>
        <w:t>A</w:t>
      </w:r>
      <w:r w:rsidR="00A72177" w:rsidRPr="009618BC">
        <w:rPr>
          <w:lang w:val="fr-FR"/>
        </w:rPr>
        <w:t>utres raisons : 746.</w:t>
      </w:r>
    </w:p>
    <w:p w:rsidR="00A72177" w:rsidRPr="009618BC" w:rsidRDefault="00A72177" w:rsidP="009618BC">
      <w:pPr>
        <w:pStyle w:val="SingleTxtG"/>
        <w:rPr>
          <w:lang w:val="fr-FR"/>
        </w:rPr>
      </w:pPr>
      <w:r w:rsidRPr="009618BC">
        <w:rPr>
          <w:lang w:val="fr-FR"/>
        </w:rPr>
        <w:t>80.</w:t>
      </w:r>
      <w:r w:rsidRPr="009618BC">
        <w:rPr>
          <w:lang w:val="fr-FR"/>
        </w:rPr>
        <w:tab/>
        <w:t>Quelque 3</w:t>
      </w:r>
      <w:r w:rsidR="00A66531">
        <w:rPr>
          <w:lang w:val="fr-FR"/>
        </w:rPr>
        <w:t> 164 </w:t>
      </w:r>
      <w:r w:rsidRPr="009618BC">
        <w:rPr>
          <w:lang w:val="fr-FR"/>
        </w:rPr>
        <w:t>étrangers porteurs de documents d</w:t>
      </w:r>
      <w:r w:rsidR="009618BC" w:rsidRPr="009618BC">
        <w:rPr>
          <w:lang w:val="fr-FR"/>
        </w:rPr>
        <w:t>’</w:t>
      </w:r>
      <w:r w:rsidRPr="009618BC">
        <w:rPr>
          <w:lang w:val="fr-FR"/>
        </w:rPr>
        <w:t>identité valides sont enregistrés sur le territoire de la Transnistrie : 2</w:t>
      </w:r>
      <w:r w:rsidR="00A66531">
        <w:rPr>
          <w:lang w:val="fr-FR"/>
        </w:rPr>
        <w:t> </w:t>
      </w:r>
      <w:r w:rsidRPr="009618BC">
        <w:rPr>
          <w:lang w:val="fr-FR"/>
        </w:rPr>
        <w:t>427 d</w:t>
      </w:r>
      <w:r w:rsidR="009618BC" w:rsidRPr="009618BC">
        <w:rPr>
          <w:lang w:val="fr-FR"/>
        </w:rPr>
        <w:t>’</w:t>
      </w:r>
      <w:r w:rsidRPr="009618BC">
        <w:rPr>
          <w:lang w:val="fr-FR"/>
        </w:rPr>
        <w:t xml:space="preserve">entre eux ont un permis de séjour permanent et 737, un permis de séjour temporaire. </w:t>
      </w:r>
    </w:p>
    <w:p w:rsidR="00A72177" w:rsidRPr="009618BC" w:rsidRDefault="00C52DC2" w:rsidP="009618BC">
      <w:pPr>
        <w:pStyle w:val="SingleTxtG"/>
        <w:rPr>
          <w:lang w:val="fr-FR"/>
        </w:rPr>
      </w:pPr>
      <w:r>
        <w:rPr>
          <w:lang w:val="fr-FR"/>
        </w:rPr>
        <w:t>81.</w:t>
      </w:r>
      <w:r>
        <w:rPr>
          <w:lang w:val="fr-FR"/>
        </w:rPr>
        <w:tab/>
        <w:t>Au 30 septembre 2017,</w:t>
      </w:r>
      <w:r w:rsidR="00A72177" w:rsidRPr="009618BC">
        <w:rPr>
          <w:lang w:val="fr-FR"/>
        </w:rPr>
        <w:t xml:space="preserve"> 477 personnes étaient enregistrées dans le système d</w:t>
      </w:r>
      <w:r w:rsidR="009618BC" w:rsidRPr="009618BC">
        <w:rPr>
          <w:lang w:val="fr-FR"/>
        </w:rPr>
        <w:t>’</w:t>
      </w:r>
      <w:r w:rsidR="00A72177" w:rsidRPr="009618BC">
        <w:rPr>
          <w:lang w:val="fr-FR"/>
        </w:rPr>
        <w:t>asile :</w:t>
      </w:r>
    </w:p>
    <w:p w:rsidR="00A72177" w:rsidRPr="00A66531" w:rsidRDefault="00A66531" w:rsidP="004B281B">
      <w:pPr>
        <w:pStyle w:val="Bullet1G"/>
        <w:rPr>
          <w:spacing w:val="-4"/>
          <w:lang w:val="fr-FR"/>
        </w:rPr>
      </w:pPr>
      <w:r w:rsidRPr="00A66531">
        <w:rPr>
          <w:spacing w:val="-4"/>
          <w:lang w:val="fr-FR"/>
        </w:rPr>
        <w:t>72 </w:t>
      </w:r>
      <w:r w:rsidR="00A72177" w:rsidRPr="00A66531">
        <w:rPr>
          <w:spacing w:val="-4"/>
          <w:lang w:val="fr-FR"/>
        </w:rPr>
        <w:t>demandeurs d</w:t>
      </w:r>
      <w:r w:rsidR="009618BC" w:rsidRPr="00A66531">
        <w:rPr>
          <w:spacing w:val="-4"/>
          <w:lang w:val="fr-FR"/>
        </w:rPr>
        <w:t>’</w:t>
      </w:r>
      <w:r w:rsidR="00A72177" w:rsidRPr="00A66531">
        <w:rPr>
          <w:spacing w:val="-4"/>
          <w:lang w:val="fr-FR"/>
        </w:rPr>
        <w:t>asile (Afghanistan : 8 ; Arménie : 3</w:t>
      </w:r>
      <w:r w:rsidRPr="00A66531">
        <w:rPr>
          <w:spacing w:val="-4"/>
          <w:lang w:val="fr-FR"/>
        </w:rPr>
        <w:t> ; Azerbaïdjan : 1 ; Cameroun : </w:t>
      </w:r>
      <w:r w:rsidR="00A72177" w:rsidRPr="00A66531">
        <w:rPr>
          <w:spacing w:val="-4"/>
          <w:lang w:val="fr-FR"/>
        </w:rPr>
        <w:t>2 ; Côte d</w:t>
      </w:r>
      <w:r w:rsidR="009618BC" w:rsidRPr="00A66531">
        <w:rPr>
          <w:spacing w:val="-4"/>
          <w:lang w:val="fr-FR"/>
        </w:rPr>
        <w:t>’</w:t>
      </w:r>
      <w:r w:rsidR="00A72177" w:rsidRPr="00A66531">
        <w:rPr>
          <w:spacing w:val="-4"/>
          <w:lang w:val="fr-FR"/>
        </w:rPr>
        <w:t xml:space="preserve">Ivoire : 2 ; Géorgie : 5 ; Guinée : 1 ; Iran : 2 ; Iraq : 1 ; Kazakhstan : 2 ; </w:t>
      </w:r>
      <w:r w:rsidR="00A72177" w:rsidRPr="00A66531">
        <w:rPr>
          <w:bCs/>
          <w:spacing w:val="-4"/>
          <w:lang w:val="fr-FR"/>
        </w:rPr>
        <w:t>Kirghizistan</w:t>
      </w:r>
      <w:r w:rsidR="00A72177" w:rsidRPr="00A66531">
        <w:rPr>
          <w:spacing w:val="-4"/>
          <w:lang w:val="fr-FR"/>
        </w:rPr>
        <w:t xml:space="preserve"> : 3 ; Liban : </w:t>
      </w:r>
      <w:r w:rsidRPr="00A66531">
        <w:rPr>
          <w:spacing w:val="-4"/>
          <w:lang w:val="fr-FR"/>
        </w:rPr>
        <w:t>2 ; Nigéria : 2 ; Ouzbékistan : </w:t>
      </w:r>
      <w:r w:rsidR="00A72177" w:rsidRPr="00A66531">
        <w:rPr>
          <w:spacing w:val="-4"/>
          <w:lang w:val="fr-FR"/>
        </w:rPr>
        <w:t>3 ; Pakistan : 1 ; Pologne : 1 ; Russie :</w:t>
      </w:r>
      <w:r w:rsidRPr="00A66531">
        <w:rPr>
          <w:spacing w:val="-4"/>
          <w:lang w:val="fr-FR"/>
        </w:rPr>
        <w:t xml:space="preserve"> 4 ; Syrie : 9 ; Turkménistan : </w:t>
      </w:r>
      <w:r w:rsidR="00A72177" w:rsidRPr="00A66531">
        <w:rPr>
          <w:spacing w:val="-4"/>
          <w:lang w:val="fr-FR"/>
        </w:rPr>
        <w:t>1 ; Turquie : 4 ; Ukraine : 14 ; Yémen :1) ;</w:t>
      </w:r>
    </w:p>
    <w:p w:rsidR="00A72177" w:rsidRPr="009618BC" w:rsidRDefault="00A66531" w:rsidP="004B281B">
      <w:pPr>
        <w:pStyle w:val="Bullet1G"/>
        <w:rPr>
          <w:lang w:val="fr-FR"/>
        </w:rPr>
      </w:pPr>
      <w:r>
        <w:rPr>
          <w:lang w:val="fr-FR"/>
        </w:rPr>
        <w:t>153 </w:t>
      </w:r>
      <w:r w:rsidR="00A72177" w:rsidRPr="009618BC">
        <w:rPr>
          <w:lang w:val="fr-FR"/>
        </w:rPr>
        <w:t>réfugi</w:t>
      </w:r>
      <w:r>
        <w:rPr>
          <w:lang w:val="fr-FR"/>
        </w:rPr>
        <w:t>és (Afghanistan : 17 ; Arménie :</w:t>
      </w:r>
      <w:r w:rsidR="00A72177" w:rsidRPr="009618BC">
        <w:rPr>
          <w:lang w:val="fr-FR"/>
        </w:rPr>
        <w:t xml:space="preserve"> 3 ; Azerbaïdj</w:t>
      </w:r>
      <w:r>
        <w:rPr>
          <w:lang w:val="fr-FR"/>
        </w:rPr>
        <w:t>an : 3 ; Bélarus : 1 ; Égypte : </w:t>
      </w:r>
      <w:r w:rsidR="00A72177" w:rsidRPr="009618BC">
        <w:rPr>
          <w:lang w:val="fr-FR"/>
        </w:rPr>
        <w:t xml:space="preserve">2 ; Inde : 1 ; Iraq : 8 ; Jordanie : 2 ; </w:t>
      </w:r>
      <w:r w:rsidR="00A72177" w:rsidRPr="009618BC">
        <w:rPr>
          <w:bCs/>
          <w:lang w:val="fr-FR"/>
        </w:rPr>
        <w:t>Kirghizistan </w:t>
      </w:r>
      <w:r w:rsidR="00A72177" w:rsidRPr="009618BC">
        <w:rPr>
          <w:lang w:val="fr-FR"/>
        </w:rPr>
        <w:t>: 11 ; Nigéria : 2 ; Ouzbékistan : 6 ; Palestine : 4 ; Russie : 3 ; Soudan : 3 ; Syrie : 77 ; Tadjikistan : 7 ; Turkménistan : 1 ;</w:t>
      </w:r>
      <w:r w:rsidR="00700E2E">
        <w:rPr>
          <w:lang w:val="fr-FR"/>
        </w:rPr>
        <w:t xml:space="preserve"> </w:t>
      </w:r>
      <w:r w:rsidR="00A72177" w:rsidRPr="009618BC">
        <w:rPr>
          <w:lang w:val="fr-FR"/>
        </w:rPr>
        <w:t>Turquie : 2) ;</w:t>
      </w:r>
    </w:p>
    <w:p w:rsidR="00A72177" w:rsidRPr="009618BC" w:rsidRDefault="00A72177" w:rsidP="004B281B">
      <w:pPr>
        <w:pStyle w:val="Bullet1G"/>
        <w:rPr>
          <w:lang w:val="fr-FR"/>
        </w:rPr>
      </w:pPr>
      <w:r w:rsidRPr="009618BC">
        <w:rPr>
          <w:lang w:val="fr-FR"/>
        </w:rPr>
        <w:t>252</w:t>
      </w:r>
      <w:r w:rsidR="00A66531">
        <w:rPr>
          <w:lang w:val="fr-FR"/>
        </w:rPr>
        <w:t> </w:t>
      </w:r>
      <w:r w:rsidRPr="009618BC">
        <w:rPr>
          <w:lang w:val="fr-FR"/>
        </w:rPr>
        <w:t>bénéficiaires de protection humanitaire (Afghanist</w:t>
      </w:r>
      <w:r w:rsidR="00A66531">
        <w:rPr>
          <w:lang w:val="fr-FR"/>
        </w:rPr>
        <w:t>an : 2 ; Angola : 1 ; Arménie : </w:t>
      </w:r>
      <w:r w:rsidRPr="009618BC">
        <w:rPr>
          <w:lang w:val="fr-FR"/>
        </w:rPr>
        <w:t>16 ; Égypte : 1 ; Géorgie : 1 ; Iran : 4 ; Iraq : 18 ; Libéria : 1 ; Libye : 2 ; Népal : 1 ; Ouzbékistan : 2 ; Pakistan : 1 ; Palestine : 1 ; Soudan : 6 ; Syrie : 129 ; Turkménistan : 1 ; Ukraine : 61 ; Yémen : 4).</w:t>
      </w:r>
    </w:p>
    <w:p w:rsidR="00A72177" w:rsidRPr="009618BC" w:rsidRDefault="00A72177" w:rsidP="004B281B">
      <w:pPr>
        <w:pStyle w:val="H23G"/>
        <w:rPr>
          <w:lang w:val="fr-FR"/>
        </w:rPr>
      </w:pPr>
      <w:r w:rsidRPr="009618BC">
        <w:rPr>
          <w:lang w:val="fr-FR"/>
        </w:rPr>
        <w:tab/>
      </w:r>
      <w:r w:rsidRPr="009618BC">
        <w:rPr>
          <w:lang w:val="fr-FR"/>
        </w:rPr>
        <w:tab/>
        <w:t>Modifications législatives</w:t>
      </w:r>
    </w:p>
    <w:p w:rsidR="00A72177" w:rsidRPr="009618BC" w:rsidRDefault="00A72177" w:rsidP="009618BC">
      <w:pPr>
        <w:pStyle w:val="SingleTxtG"/>
        <w:rPr>
          <w:lang w:val="fr-FR"/>
        </w:rPr>
      </w:pPr>
      <w:r w:rsidRPr="009618BC">
        <w:rPr>
          <w:lang w:val="fr-FR"/>
        </w:rPr>
        <w:t>82.</w:t>
      </w:r>
      <w:r w:rsidRPr="009618BC">
        <w:rPr>
          <w:lang w:val="fr-FR"/>
        </w:rPr>
        <w:tab/>
        <w:t>Les modifications apportées à la loi n</w:t>
      </w:r>
      <w:r w:rsidRPr="009618BC">
        <w:rPr>
          <w:vertAlign w:val="superscript"/>
          <w:lang w:val="fr-FR"/>
        </w:rPr>
        <w:t>o</w:t>
      </w:r>
      <w:r w:rsidRPr="009618BC">
        <w:rPr>
          <w:lang w:val="fr-FR"/>
        </w:rPr>
        <w:t> 270 du 18 décembre 2008 relative à l</w:t>
      </w:r>
      <w:r w:rsidR="009618BC" w:rsidRPr="009618BC">
        <w:rPr>
          <w:lang w:val="fr-FR"/>
        </w:rPr>
        <w:t>’</w:t>
      </w:r>
      <w:r w:rsidRPr="009618BC">
        <w:rPr>
          <w:lang w:val="fr-FR"/>
        </w:rPr>
        <w:t>asile en République de Moldova</w:t>
      </w:r>
      <w:r w:rsidRPr="009618BC">
        <w:rPr>
          <w:rStyle w:val="Appelnotedebasdep"/>
        </w:rPr>
        <w:footnoteReference w:id="17"/>
      </w:r>
      <w:r w:rsidRPr="009618BC">
        <w:rPr>
          <w:lang w:val="fr-FR"/>
        </w:rPr>
        <w:t xml:space="preserve"> ont permis l</w:t>
      </w:r>
      <w:r w:rsidR="009618BC" w:rsidRPr="009618BC">
        <w:rPr>
          <w:lang w:val="fr-FR"/>
        </w:rPr>
        <w:t>’</w:t>
      </w:r>
      <w:r w:rsidRPr="009618BC">
        <w:rPr>
          <w:lang w:val="fr-FR"/>
        </w:rPr>
        <w:t>introduction des concepts suivants :</w:t>
      </w:r>
    </w:p>
    <w:p w:rsidR="00A72177" w:rsidRPr="009618BC" w:rsidRDefault="004B281B" w:rsidP="004B281B">
      <w:pPr>
        <w:pStyle w:val="Bullet1G"/>
        <w:rPr>
          <w:lang w:val="fr-FR"/>
        </w:rPr>
      </w:pPr>
      <w:r w:rsidRPr="004B281B">
        <w:rPr>
          <w:i/>
          <w:lang w:val="fr-FR"/>
        </w:rPr>
        <w:t>D</w:t>
      </w:r>
      <w:r w:rsidR="00A72177" w:rsidRPr="009618BC">
        <w:rPr>
          <w:i/>
          <w:lang w:val="fr-FR"/>
        </w:rPr>
        <w:t>emandeur d</w:t>
      </w:r>
      <w:r w:rsidR="009618BC" w:rsidRPr="009618BC">
        <w:rPr>
          <w:i/>
          <w:lang w:val="fr-FR"/>
        </w:rPr>
        <w:t>’</w:t>
      </w:r>
      <w:r w:rsidR="00A72177" w:rsidRPr="009618BC">
        <w:rPr>
          <w:i/>
          <w:lang w:val="fr-FR"/>
        </w:rPr>
        <w:t>asile </w:t>
      </w:r>
      <w:r w:rsidR="00A72177" w:rsidRPr="009618BC">
        <w:rPr>
          <w:lang w:val="fr-FR"/>
        </w:rPr>
        <w:t>: étranger ayant introduit une demande d</w:t>
      </w:r>
      <w:r w:rsidR="009618BC" w:rsidRPr="009618BC">
        <w:rPr>
          <w:lang w:val="fr-FR"/>
        </w:rPr>
        <w:t>’</w:t>
      </w:r>
      <w:r w:rsidR="00A72177" w:rsidRPr="009618BC">
        <w:rPr>
          <w:lang w:val="fr-FR"/>
        </w:rPr>
        <w:t>asile sur laquelle il n</w:t>
      </w:r>
      <w:r w:rsidR="009618BC" w:rsidRPr="009618BC">
        <w:rPr>
          <w:lang w:val="fr-FR"/>
        </w:rPr>
        <w:t>’</w:t>
      </w:r>
      <w:r w:rsidR="00A72177" w:rsidRPr="009618BC">
        <w:rPr>
          <w:lang w:val="fr-FR"/>
        </w:rPr>
        <w:t>a pas encore été définitivement statué ;</w:t>
      </w:r>
    </w:p>
    <w:p w:rsidR="00A72177" w:rsidRPr="009618BC" w:rsidRDefault="004B281B" w:rsidP="004B281B">
      <w:pPr>
        <w:pStyle w:val="Bullet1G"/>
        <w:rPr>
          <w:lang w:val="fr-FR"/>
        </w:rPr>
      </w:pPr>
      <w:r w:rsidRPr="004B281B">
        <w:rPr>
          <w:i/>
          <w:lang w:val="fr-FR"/>
        </w:rPr>
        <w:t>S</w:t>
      </w:r>
      <w:r w:rsidR="00A72177" w:rsidRPr="009618BC">
        <w:rPr>
          <w:i/>
          <w:iCs/>
          <w:lang w:val="fr-FR"/>
        </w:rPr>
        <w:t>tatut de réfugié</w:t>
      </w:r>
      <w:r w:rsidR="00A72177" w:rsidRPr="009618BC">
        <w:rPr>
          <w:iCs/>
          <w:lang w:val="fr-FR"/>
        </w:rPr>
        <w:t> :</w:t>
      </w:r>
      <w:r w:rsidR="00A72177" w:rsidRPr="009618BC">
        <w:rPr>
          <w:lang w:val="fr-FR"/>
        </w:rPr>
        <w:t xml:space="preserve"> forme de protection reconnue par la République de Moldova pour les citoyens étrangers ou les apatrides, selon les conditions prévues par la Convention de Genève du 28 juillet 1951 et le Protocole du 31 janvier 1967 relatif au statut des réfugiés.</w:t>
      </w:r>
    </w:p>
    <w:p w:rsidR="00A72177" w:rsidRPr="009618BC" w:rsidRDefault="00A72177" w:rsidP="009618BC">
      <w:pPr>
        <w:pStyle w:val="SingleTxtG"/>
        <w:rPr>
          <w:lang w:val="fr-FR"/>
        </w:rPr>
      </w:pPr>
      <w:r w:rsidRPr="009618BC">
        <w:rPr>
          <w:lang w:val="fr-FR"/>
        </w:rPr>
        <w:t>83.</w:t>
      </w:r>
      <w:r w:rsidRPr="009618BC">
        <w:rPr>
          <w:lang w:val="fr-FR"/>
        </w:rPr>
        <w:tab/>
        <w:t>Les modifications apportées à la loi n</w:t>
      </w:r>
      <w:r w:rsidRPr="009618BC">
        <w:rPr>
          <w:vertAlign w:val="superscript"/>
          <w:lang w:val="fr-FR"/>
        </w:rPr>
        <w:t>o</w:t>
      </w:r>
      <w:r w:rsidRPr="009618BC">
        <w:rPr>
          <w:lang w:val="fr-FR"/>
        </w:rPr>
        <w:t> 200 du 16 juillet 2010 sur le régime des étrangers en République de Moldova ont permis l</w:t>
      </w:r>
      <w:r w:rsidR="009618BC" w:rsidRPr="009618BC">
        <w:rPr>
          <w:lang w:val="fr-FR"/>
        </w:rPr>
        <w:t>’</w:t>
      </w:r>
      <w:r w:rsidRPr="009618BC">
        <w:rPr>
          <w:lang w:val="fr-FR"/>
        </w:rPr>
        <w:t>introduction des concepts suivants</w:t>
      </w:r>
      <w:r w:rsidRPr="009618BC">
        <w:rPr>
          <w:rStyle w:val="Appelnotedebasdep"/>
        </w:rPr>
        <w:footnoteReference w:id="18"/>
      </w:r>
      <w:r w:rsidRPr="009618BC">
        <w:rPr>
          <w:lang w:val="fr-FR"/>
        </w:rPr>
        <w:t> :</w:t>
      </w:r>
    </w:p>
    <w:p w:rsidR="00A72177" w:rsidRPr="009618BC" w:rsidRDefault="004B281B" w:rsidP="004B281B">
      <w:pPr>
        <w:pStyle w:val="Bullet1G"/>
        <w:rPr>
          <w:lang w:val="fr-FR"/>
        </w:rPr>
      </w:pPr>
      <w:r w:rsidRPr="004B281B">
        <w:rPr>
          <w:i/>
          <w:iCs/>
          <w:lang w:val="fr-FR"/>
        </w:rPr>
        <w:t>A</w:t>
      </w:r>
      <w:r w:rsidR="00A72177" w:rsidRPr="009618BC">
        <w:rPr>
          <w:i/>
          <w:lang w:val="fr-FR"/>
        </w:rPr>
        <w:t>patride</w:t>
      </w:r>
      <w:r w:rsidR="00A72177" w:rsidRPr="009618BC">
        <w:rPr>
          <w:lang w:val="fr-FR"/>
        </w:rPr>
        <w:t> : personne qu</w:t>
      </w:r>
      <w:r w:rsidR="009618BC" w:rsidRPr="009618BC">
        <w:rPr>
          <w:lang w:val="fr-FR"/>
        </w:rPr>
        <w:t>’</w:t>
      </w:r>
      <w:r w:rsidR="00A72177" w:rsidRPr="009618BC">
        <w:rPr>
          <w:lang w:val="fr-FR"/>
        </w:rPr>
        <w:t>aucun État ne considère comme son ressortissant par application de sa législation ;</w:t>
      </w:r>
    </w:p>
    <w:p w:rsidR="00A72177" w:rsidRPr="009618BC" w:rsidRDefault="004B281B" w:rsidP="004B281B">
      <w:pPr>
        <w:pStyle w:val="Bullet1G"/>
        <w:rPr>
          <w:lang w:val="fr-FR"/>
        </w:rPr>
      </w:pPr>
      <w:r w:rsidRPr="004B281B">
        <w:rPr>
          <w:i/>
          <w:lang w:val="fr-FR"/>
        </w:rPr>
        <w:t>M</w:t>
      </w:r>
      <w:r w:rsidR="00A72177" w:rsidRPr="009618BC">
        <w:rPr>
          <w:i/>
          <w:lang w:val="fr-FR"/>
        </w:rPr>
        <w:t>ineur non accompagné </w:t>
      </w:r>
      <w:r w:rsidR="00A72177" w:rsidRPr="009618BC">
        <w:rPr>
          <w:lang w:val="fr-FR"/>
        </w:rPr>
        <w:t>: étranger âgé de moins de 18 ans qui se trouve sur le territoire de la République de Moldova sans être accompagné d</w:t>
      </w:r>
      <w:r w:rsidR="009618BC" w:rsidRPr="009618BC">
        <w:rPr>
          <w:lang w:val="fr-FR"/>
        </w:rPr>
        <w:t>’</w:t>
      </w:r>
      <w:r w:rsidR="00A72177" w:rsidRPr="009618BC">
        <w:rPr>
          <w:lang w:val="fr-FR"/>
        </w:rPr>
        <w:t>un adulte qui en est responsable en application de la loi ou d</w:t>
      </w:r>
      <w:r w:rsidR="009618BC" w:rsidRPr="009618BC">
        <w:rPr>
          <w:lang w:val="fr-FR"/>
        </w:rPr>
        <w:t>’</w:t>
      </w:r>
      <w:r w:rsidR="00A72177" w:rsidRPr="009618BC">
        <w:rPr>
          <w:lang w:val="fr-FR"/>
        </w:rPr>
        <w:t>un acte juridique, jusqu</w:t>
      </w:r>
      <w:r w:rsidR="009618BC" w:rsidRPr="009618BC">
        <w:rPr>
          <w:lang w:val="fr-FR"/>
        </w:rPr>
        <w:t>’</w:t>
      </w:r>
      <w:r w:rsidR="00A72177" w:rsidRPr="009618BC">
        <w:rPr>
          <w:lang w:val="fr-FR"/>
        </w:rPr>
        <w:t>à ce qu</w:t>
      </w:r>
      <w:r w:rsidR="009618BC" w:rsidRPr="009618BC">
        <w:rPr>
          <w:lang w:val="fr-FR"/>
        </w:rPr>
        <w:t>’</w:t>
      </w:r>
      <w:r w:rsidR="00A72177" w:rsidRPr="009618BC">
        <w:rPr>
          <w:lang w:val="fr-FR"/>
        </w:rPr>
        <w:t>il soit remis à un tel adulte ; ce concept s</w:t>
      </w:r>
      <w:r w:rsidR="009618BC" w:rsidRPr="009618BC">
        <w:rPr>
          <w:lang w:val="fr-FR"/>
        </w:rPr>
        <w:t>’</w:t>
      </w:r>
      <w:r w:rsidR="00A72177" w:rsidRPr="009618BC">
        <w:rPr>
          <w:lang w:val="fr-FR"/>
        </w:rPr>
        <w:t>applique également à un mineur devenu non accompagné après son arrivée sur le territoire de la République de Moldova.</w:t>
      </w:r>
    </w:p>
    <w:p w:rsidR="00A72177" w:rsidRPr="009618BC" w:rsidRDefault="00A72177" w:rsidP="009618BC">
      <w:pPr>
        <w:pStyle w:val="SingleTxtG"/>
        <w:rPr>
          <w:lang w:val="fr-FR"/>
        </w:rPr>
      </w:pPr>
      <w:r w:rsidRPr="009618BC">
        <w:rPr>
          <w:lang w:val="fr-FR"/>
        </w:rPr>
        <w:t>84.</w:t>
      </w:r>
      <w:r w:rsidRPr="009618BC">
        <w:rPr>
          <w:lang w:val="fr-FR"/>
        </w:rPr>
        <w:tab/>
        <w:t>La loi n</w:t>
      </w:r>
      <w:r w:rsidRPr="009618BC">
        <w:rPr>
          <w:vertAlign w:val="superscript"/>
          <w:lang w:val="fr-FR"/>
        </w:rPr>
        <w:t>o</w:t>
      </w:r>
      <w:r w:rsidRPr="009618BC">
        <w:rPr>
          <w:lang w:val="fr-FR"/>
        </w:rPr>
        <w:t> 270 du 18 décembre 2008 relative à l</w:t>
      </w:r>
      <w:r w:rsidR="009618BC" w:rsidRPr="009618BC">
        <w:rPr>
          <w:lang w:val="fr-FR"/>
        </w:rPr>
        <w:t>’</w:t>
      </w:r>
      <w:r w:rsidRPr="009618BC">
        <w:rPr>
          <w:lang w:val="fr-FR"/>
        </w:rPr>
        <w:t>asile en République de Moldova a également été modifiée conformément à la législation de l</w:t>
      </w:r>
      <w:r w:rsidR="009618BC" w:rsidRPr="009618BC">
        <w:rPr>
          <w:lang w:val="fr-FR"/>
        </w:rPr>
        <w:t>’</w:t>
      </w:r>
      <w:r w:rsidRPr="009618BC">
        <w:rPr>
          <w:lang w:val="fr-FR"/>
        </w:rPr>
        <w:t>Union européenne. Les modifications sont entrées en vigueur le 19 août 2016 et correspondaient aux directives suivantes :</w:t>
      </w:r>
    </w:p>
    <w:p w:rsidR="00A72177" w:rsidRPr="009618BC" w:rsidRDefault="004B281B" w:rsidP="004B281B">
      <w:pPr>
        <w:pStyle w:val="Bullet1G"/>
        <w:rPr>
          <w:lang w:val="fr-FR"/>
        </w:rPr>
      </w:pPr>
      <w:r>
        <w:rPr>
          <w:lang w:val="fr-FR"/>
        </w:rPr>
        <w:t>D</w:t>
      </w:r>
      <w:r w:rsidR="00A72177" w:rsidRPr="009618BC">
        <w:rPr>
          <w:lang w:val="fr-FR"/>
        </w:rPr>
        <w:t>irective 2011/95/UE du Parlement européen et du Conseil du 13 décembre 2011, concernant les normes relatives aux conditions que doivent remplir les ressortissants des pays tiers ou les apatrides pour pouvoir bénéficier d</w:t>
      </w:r>
      <w:r w:rsidR="009618BC" w:rsidRPr="009618BC">
        <w:rPr>
          <w:lang w:val="fr-FR"/>
        </w:rPr>
        <w:t>’</w:t>
      </w:r>
      <w:r w:rsidR="00A72177" w:rsidRPr="009618BC">
        <w:rPr>
          <w:lang w:val="fr-FR"/>
        </w:rPr>
        <w:t xml:space="preserve">une protection internationale, à un statut uniforme pour les réfugiés ou les personnes pouvant bénéficier de la protection subsidiaire, et au contenu de cette protection ; </w:t>
      </w:r>
    </w:p>
    <w:p w:rsidR="00A72177" w:rsidRPr="009618BC" w:rsidRDefault="004B281B" w:rsidP="004B281B">
      <w:pPr>
        <w:pStyle w:val="Bullet1G"/>
        <w:rPr>
          <w:lang w:val="fr-FR"/>
        </w:rPr>
      </w:pPr>
      <w:r>
        <w:rPr>
          <w:lang w:val="fr-FR"/>
        </w:rPr>
        <w:lastRenderedPageBreak/>
        <w:t>D</w:t>
      </w:r>
      <w:r w:rsidR="00A72177" w:rsidRPr="009618BC">
        <w:rPr>
          <w:lang w:val="fr-FR"/>
        </w:rPr>
        <w:t xml:space="preserve">irective 2013/32/UE du Parlement européen et du Conseil du 26 juin 2013 </w:t>
      </w:r>
      <w:r w:rsidR="00A72177" w:rsidRPr="009618BC">
        <w:rPr>
          <w:bCs/>
          <w:lang w:val="fr-FR"/>
        </w:rPr>
        <w:t>relative à des procédures communes pour l</w:t>
      </w:r>
      <w:r w:rsidR="009618BC" w:rsidRPr="009618BC">
        <w:rPr>
          <w:bCs/>
          <w:lang w:val="fr-FR"/>
        </w:rPr>
        <w:t>’</w:t>
      </w:r>
      <w:r w:rsidR="00A72177" w:rsidRPr="009618BC">
        <w:rPr>
          <w:bCs/>
          <w:lang w:val="fr-FR"/>
        </w:rPr>
        <w:t>octroi et le retrait de la protection internationale </w:t>
      </w:r>
      <w:r w:rsidR="00A72177" w:rsidRPr="009618BC">
        <w:rPr>
          <w:lang w:val="fr-FR"/>
        </w:rPr>
        <w:t>;</w:t>
      </w:r>
    </w:p>
    <w:p w:rsidR="00A72177" w:rsidRPr="009618BC" w:rsidRDefault="004B281B" w:rsidP="004B281B">
      <w:pPr>
        <w:pStyle w:val="Bullet1G"/>
        <w:rPr>
          <w:lang w:val="fr-FR"/>
        </w:rPr>
      </w:pPr>
      <w:r>
        <w:rPr>
          <w:lang w:val="fr-FR"/>
        </w:rPr>
        <w:t>D</w:t>
      </w:r>
      <w:r w:rsidR="00A72177" w:rsidRPr="009618BC">
        <w:rPr>
          <w:lang w:val="fr-FR"/>
        </w:rPr>
        <w:t>irective 2013/33/UE du Parlement européen et du Conseil du 26 juin 2013, établissant des normes pour l</w:t>
      </w:r>
      <w:r w:rsidR="009618BC" w:rsidRPr="009618BC">
        <w:rPr>
          <w:lang w:val="fr-FR"/>
        </w:rPr>
        <w:t>’</w:t>
      </w:r>
      <w:r w:rsidR="00A72177" w:rsidRPr="009618BC">
        <w:rPr>
          <w:lang w:val="fr-FR"/>
        </w:rPr>
        <w:t>accueil des personnes demandant la protection internationale.</w:t>
      </w:r>
    </w:p>
    <w:p w:rsidR="00A72177" w:rsidRPr="009618BC" w:rsidRDefault="00A72177" w:rsidP="009618BC">
      <w:pPr>
        <w:pStyle w:val="SingleTxtG"/>
        <w:rPr>
          <w:lang w:val="fr-FR"/>
        </w:rPr>
      </w:pPr>
      <w:r w:rsidRPr="009618BC">
        <w:rPr>
          <w:lang w:val="fr-FR"/>
        </w:rPr>
        <w:t>85.</w:t>
      </w:r>
      <w:r w:rsidRPr="009618BC">
        <w:rPr>
          <w:lang w:val="fr-FR"/>
        </w:rPr>
        <w:tab/>
        <w:t>Les modifications apportées concernent :</w:t>
      </w:r>
    </w:p>
    <w:p w:rsidR="00A72177" w:rsidRPr="009618BC" w:rsidRDefault="004B281B" w:rsidP="004B281B">
      <w:pPr>
        <w:pStyle w:val="Bullet1G"/>
        <w:rPr>
          <w:lang w:val="fr-FR"/>
        </w:rPr>
      </w:pPr>
      <w:r>
        <w:rPr>
          <w:lang w:val="fr-FR"/>
        </w:rPr>
        <w:t>L</w:t>
      </w:r>
      <w:r w:rsidR="00A72177" w:rsidRPr="009618BC">
        <w:rPr>
          <w:lang w:val="fr-FR"/>
        </w:rPr>
        <w:t>e renforcement des garanties procédurales concernant les catégories de personnes vulnérables, en particulier les mineurs et les mineurs non accompagnés ;</w:t>
      </w:r>
    </w:p>
    <w:p w:rsidR="00A72177" w:rsidRPr="009618BC" w:rsidRDefault="004B281B" w:rsidP="004B281B">
      <w:pPr>
        <w:pStyle w:val="Bullet1G"/>
        <w:rPr>
          <w:lang w:val="fr-FR"/>
        </w:rPr>
      </w:pPr>
      <w:r>
        <w:rPr>
          <w:lang w:val="fr-FR"/>
        </w:rPr>
        <w:t>U</w:t>
      </w:r>
      <w:r w:rsidR="00A72177" w:rsidRPr="009618BC">
        <w:rPr>
          <w:lang w:val="fr-FR"/>
        </w:rPr>
        <w:t>n élargissement de l</w:t>
      </w:r>
      <w:r w:rsidR="009618BC" w:rsidRPr="009618BC">
        <w:rPr>
          <w:lang w:val="fr-FR"/>
        </w:rPr>
        <w:t>’</w:t>
      </w:r>
      <w:r w:rsidR="00A72177" w:rsidRPr="009618BC">
        <w:rPr>
          <w:lang w:val="fr-FR"/>
        </w:rPr>
        <w:t>éventail des droits d</w:t>
      </w:r>
      <w:r w:rsidR="009618BC" w:rsidRPr="009618BC">
        <w:rPr>
          <w:lang w:val="fr-FR"/>
        </w:rPr>
        <w:t>’</w:t>
      </w:r>
      <w:r w:rsidR="00A72177" w:rsidRPr="009618BC">
        <w:rPr>
          <w:lang w:val="fr-FR"/>
        </w:rPr>
        <w:t>accès aux soins de santé, à toutes les formes d</w:t>
      </w:r>
      <w:r w:rsidR="009618BC" w:rsidRPr="009618BC">
        <w:rPr>
          <w:lang w:val="fr-FR"/>
        </w:rPr>
        <w:t>’</w:t>
      </w:r>
      <w:r w:rsidR="00A72177" w:rsidRPr="009618BC">
        <w:rPr>
          <w:lang w:val="fr-FR"/>
        </w:rPr>
        <w:t>éducation et d</w:t>
      </w:r>
      <w:r w:rsidR="009618BC" w:rsidRPr="009618BC">
        <w:rPr>
          <w:lang w:val="fr-FR"/>
        </w:rPr>
        <w:t>’</w:t>
      </w:r>
      <w:r w:rsidR="00A72177" w:rsidRPr="009618BC">
        <w:rPr>
          <w:lang w:val="fr-FR"/>
        </w:rPr>
        <w:t>aide financière, pour les personnes qui bénéficient d</w:t>
      </w:r>
      <w:r w:rsidR="009618BC" w:rsidRPr="009618BC">
        <w:rPr>
          <w:lang w:val="fr-FR"/>
        </w:rPr>
        <w:t>’</w:t>
      </w:r>
      <w:r w:rsidR="00A72177" w:rsidRPr="009618BC">
        <w:rPr>
          <w:lang w:val="fr-FR"/>
        </w:rPr>
        <w:t>une protection internationale ;</w:t>
      </w:r>
    </w:p>
    <w:p w:rsidR="00A72177" w:rsidRPr="009618BC" w:rsidRDefault="004B281B" w:rsidP="004B281B">
      <w:pPr>
        <w:pStyle w:val="Bullet1G"/>
        <w:rPr>
          <w:lang w:val="fr-FR"/>
        </w:rPr>
      </w:pPr>
      <w:r>
        <w:rPr>
          <w:lang w:val="fr-FR"/>
        </w:rPr>
        <w:t>L</w:t>
      </w:r>
      <w:r w:rsidR="009618BC" w:rsidRPr="009618BC">
        <w:rPr>
          <w:lang w:val="fr-FR"/>
        </w:rPr>
        <w:t>’</w:t>
      </w:r>
      <w:r w:rsidR="00A72177" w:rsidRPr="009618BC">
        <w:rPr>
          <w:lang w:val="fr-FR"/>
        </w:rPr>
        <w:t>intégration des normes établies par les directives de l</w:t>
      </w:r>
      <w:r w:rsidR="009618BC" w:rsidRPr="009618BC">
        <w:rPr>
          <w:lang w:val="fr-FR"/>
        </w:rPr>
        <w:t>’</w:t>
      </w:r>
      <w:r w:rsidR="00A72177" w:rsidRPr="009618BC">
        <w:rPr>
          <w:lang w:val="fr-FR"/>
        </w:rPr>
        <w:t>Union européenne dans les procédures d</w:t>
      </w:r>
      <w:r w:rsidR="009618BC" w:rsidRPr="009618BC">
        <w:rPr>
          <w:lang w:val="fr-FR"/>
        </w:rPr>
        <w:t>’</w:t>
      </w:r>
      <w:r w:rsidR="00A72177" w:rsidRPr="009618BC">
        <w:rPr>
          <w:lang w:val="fr-FR"/>
        </w:rPr>
        <w:t>examen des demandes d</w:t>
      </w:r>
      <w:r w:rsidR="009618BC" w:rsidRPr="009618BC">
        <w:rPr>
          <w:lang w:val="fr-FR"/>
        </w:rPr>
        <w:t>’</w:t>
      </w:r>
      <w:r w:rsidR="00A72177" w:rsidRPr="009618BC">
        <w:rPr>
          <w:lang w:val="fr-FR"/>
        </w:rPr>
        <w:t>asile ;</w:t>
      </w:r>
    </w:p>
    <w:p w:rsidR="00A72177" w:rsidRPr="009618BC" w:rsidRDefault="004B281B" w:rsidP="004B281B">
      <w:pPr>
        <w:pStyle w:val="Bullet1G"/>
        <w:rPr>
          <w:lang w:val="fr-FR"/>
        </w:rPr>
      </w:pPr>
      <w:r>
        <w:rPr>
          <w:lang w:val="fr-FR"/>
        </w:rPr>
        <w:t>C</w:t>
      </w:r>
      <w:r w:rsidR="00A72177" w:rsidRPr="009618BC">
        <w:rPr>
          <w:lang w:val="fr-FR"/>
        </w:rPr>
        <w:t>ertains aspects de l</w:t>
      </w:r>
      <w:r w:rsidR="009618BC" w:rsidRPr="009618BC">
        <w:rPr>
          <w:lang w:val="fr-FR"/>
        </w:rPr>
        <w:t>’</w:t>
      </w:r>
      <w:r w:rsidR="00A72177" w:rsidRPr="009618BC">
        <w:rPr>
          <w:lang w:val="fr-FR"/>
        </w:rPr>
        <w:t>hébergement ;</w:t>
      </w:r>
    </w:p>
    <w:p w:rsidR="00A72177" w:rsidRPr="009618BC" w:rsidRDefault="004B281B" w:rsidP="004B281B">
      <w:pPr>
        <w:pStyle w:val="Bullet1G"/>
        <w:rPr>
          <w:lang w:val="fr-FR"/>
        </w:rPr>
      </w:pPr>
      <w:r>
        <w:rPr>
          <w:lang w:val="fr-FR"/>
        </w:rPr>
        <w:t>L</w:t>
      </w:r>
      <w:r w:rsidR="00A72177" w:rsidRPr="009618BC">
        <w:rPr>
          <w:lang w:val="fr-FR"/>
        </w:rPr>
        <w:t>a garantie que les bénéficiaires d</w:t>
      </w:r>
      <w:r w:rsidR="009618BC" w:rsidRPr="009618BC">
        <w:rPr>
          <w:lang w:val="fr-FR"/>
        </w:rPr>
        <w:t>’</w:t>
      </w:r>
      <w:r w:rsidR="00A72177" w:rsidRPr="009618BC">
        <w:rPr>
          <w:lang w:val="fr-FR"/>
        </w:rPr>
        <w:t>une protection internationale ne devront pas rembourser l</w:t>
      </w:r>
      <w:r w:rsidR="009618BC" w:rsidRPr="009618BC">
        <w:rPr>
          <w:lang w:val="fr-FR"/>
        </w:rPr>
        <w:t>’</w:t>
      </w:r>
      <w:r w:rsidR="00A72177" w:rsidRPr="009618BC">
        <w:rPr>
          <w:lang w:val="fr-FR"/>
        </w:rPr>
        <w:t>aide reçue.</w:t>
      </w:r>
    </w:p>
    <w:p w:rsidR="00A72177" w:rsidRPr="009618BC" w:rsidRDefault="00A72177" w:rsidP="004B281B">
      <w:pPr>
        <w:pStyle w:val="H23G"/>
        <w:rPr>
          <w:lang w:val="fr-FR"/>
        </w:rPr>
      </w:pPr>
      <w:r w:rsidRPr="009618BC">
        <w:rPr>
          <w:lang w:val="fr-FR"/>
        </w:rPr>
        <w:tab/>
      </w:r>
      <w:r w:rsidRPr="009618BC">
        <w:rPr>
          <w:lang w:val="fr-FR"/>
        </w:rPr>
        <w:tab/>
        <w:t>Coopération intersectorielle</w:t>
      </w:r>
    </w:p>
    <w:p w:rsidR="00A72177" w:rsidRPr="009618BC" w:rsidRDefault="00A72177" w:rsidP="009618BC">
      <w:pPr>
        <w:pStyle w:val="SingleTxtG"/>
        <w:rPr>
          <w:lang w:val="fr-FR"/>
        </w:rPr>
      </w:pPr>
      <w:r w:rsidRPr="009618BC">
        <w:rPr>
          <w:lang w:val="fr-FR"/>
        </w:rPr>
        <w:t>86.</w:t>
      </w:r>
      <w:r w:rsidRPr="009618BC">
        <w:rPr>
          <w:lang w:val="fr-FR"/>
        </w:rPr>
        <w:tab/>
        <w:t>Le 16 février 2016 le Ministère de l</w:t>
      </w:r>
      <w:r w:rsidR="009618BC" w:rsidRPr="009618BC">
        <w:rPr>
          <w:lang w:val="fr-FR"/>
        </w:rPr>
        <w:t>’</w:t>
      </w:r>
      <w:r w:rsidRPr="009618BC">
        <w:rPr>
          <w:lang w:val="fr-FR"/>
        </w:rPr>
        <w:t>intérieur, le Ministère de la santé, le Ministère de l</w:t>
      </w:r>
      <w:r w:rsidR="009618BC" w:rsidRPr="009618BC">
        <w:rPr>
          <w:lang w:val="fr-FR"/>
        </w:rPr>
        <w:t>’</w:t>
      </w:r>
      <w:r w:rsidRPr="009618BC">
        <w:rPr>
          <w:lang w:val="fr-FR"/>
        </w:rPr>
        <w:t>éducation, le Ministère de la culture, le Ministère du travail, de la protection sociale et de la famille, la Caisse nationale de sécurité sociale et la Société nationale d</w:t>
      </w:r>
      <w:r w:rsidR="009618BC" w:rsidRPr="009618BC">
        <w:rPr>
          <w:lang w:val="fr-FR"/>
        </w:rPr>
        <w:t>’</w:t>
      </w:r>
      <w:r w:rsidRPr="009618BC">
        <w:rPr>
          <w:lang w:val="fr-FR"/>
        </w:rPr>
        <w:t>assurance maladie ont signé l</w:t>
      </w:r>
      <w:r w:rsidR="009618BC" w:rsidRPr="009618BC">
        <w:rPr>
          <w:lang w:val="fr-FR"/>
        </w:rPr>
        <w:t>’</w:t>
      </w:r>
      <w:r w:rsidRPr="009618BC">
        <w:rPr>
          <w:lang w:val="fr-FR"/>
        </w:rPr>
        <w:t>arrêté n</w:t>
      </w:r>
      <w:r w:rsidRPr="009618BC">
        <w:rPr>
          <w:vertAlign w:val="superscript"/>
          <w:lang w:val="fr-FR"/>
        </w:rPr>
        <w:t>o</w:t>
      </w:r>
      <w:r w:rsidRPr="009618BC">
        <w:rPr>
          <w:lang w:val="fr-FR"/>
        </w:rPr>
        <w:t> 42/26/46/128/61/28-A/107-A par lequel ils ont établi le « Mécanisme destiné à encourager les étrangers à participer aux activités d</w:t>
      </w:r>
      <w:r w:rsidR="009618BC" w:rsidRPr="009618BC">
        <w:rPr>
          <w:lang w:val="fr-FR"/>
        </w:rPr>
        <w:t>’</w:t>
      </w:r>
      <w:r w:rsidRPr="009618BC">
        <w:rPr>
          <w:lang w:val="fr-FR"/>
        </w:rPr>
        <w:t>intégration ».</w:t>
      </w:r>
    </w:p>
    <w:p w:rsidR="00A72177" w:rsidRPr="009618BC" w:rsidRDefault="00A72177" w:rsidP="009618BC">
      <w:pPr>
        <w:pStyle w:val="SingleTxtG"/>
        <w:rPr>
          <w:lang w:val="fr-FR"/>
        </w:rPr>
      </w:pPr>
      <w:r w:rsidRPr="009618BC">
        <w:rPr>
          <w:lang w:val="fr-FR"/>
        </w:rPr>
        <w:t>87.</w:t>
      </w:r>
      <w:r w:rsidRPr="009618BC">
        <w:rPr>
          <w:lang w:val="fr-FR"/>
        </w:rPr>
        <w:tab/>
        <w:t>Le 5 mai 2016, le Bureau de la migration et de l</w:t>
      </w:r>
      <w:r w:rsidR="009618BC" w:rsidRPr="009618BC">
        <w:rPr>
          <w:lang w:val="fr-FR"/>
        </w:rPr>
        <w:t>’</w:t>
      </w:r>
      <w:r w:rsidRPr="009618BC">
        <w:rPr>
          <w:lang w:val="fr-FR"/>
        </w:rPr>
        <w:t>asile du Ministère de l</w:t>
      </w:r>
      <w:r w:rsidR="009618BC" w:rsidRPr="009618BC">
        <w:rPr>
          <w:lang w:val="fr-FR"/>
        </w:rPr>
        <w:t>’</w:t>
      </w:r>
      <w:r w:rsidRPr="009618BC">
        <w:rPr>
          <w:lang w:val="fr-FR"/>
        </w:rPr>
        <w:t>intérieur et l</w:t>
      </w:r>
      <w:r w:rsidR="009618BC" w:rsidRPr="009618BC">
        <w:rPr>
          <w:lang w:val="fr-FR"/>
        </w:rPr>
        <w:t>’</w:t>
      </w:r>
      <w:r w:rsidRPr="009618BC">
        <w:rPr>
          <w:lang w:val="fr-FR"/>
        </w:rPr>
        <w:t>organe municipal chargé de la protection des droits des enfants subordonné au Conseil municipal de Chisinau ont signé un accord de coopération portant sur l</w:t>
      </w:r>
      <w:r w:rsidR="009618BC" w:rsidRPr="009618BC">
        <w:rPr>
          <w:lang w:val="fr-FR"/>
        </w:rPr>
        <w:t>’</w:t>
      </w:r>
      <w:r w:rsidRPr="009618BC">
        <w:rPr>
          <w:lang w:val="fr-FR"/>
        </w:rPr>
        <w:t>aide à apporter aux mineurs étrangers non accompagnés.</w:t>
      </w:r>
    </w:p>
    <w:p w:rsidR="00A72177" w:rsidRPr="009618BC" w:rsidRDefault="00A72177" w:rsidP="009618BC">
      <w:pPr>
        <w:pStyle w:val="SingleTxtG"/>
        <w:rPr>
          <w:lang w:val="fr-FR"/>
        </w:rPr>
      </w:pPr>
      <w:r w:rsidRPr="009618BC">
        <w:rPr>
          <w:lang w:val="fr-FR"/>
        </w:rPr>
        <w:t>88.</w:t>
      </w:r>
      <w:r w:rsidRPr="009618BC">
        <w:rPr>
          <w:lang w:val="fr-FR"/>
        </w:rPr>
        <w:tab/>
        <w:t>Afin d</w:t>
      </w:r>
      <w:r w:rsidR="009618BC" w:rsidRPr="009618BC">
        <w:rPr>
          <w:lang w:val="fr-FR"/>
        </w:rPr>
        <w:t>’</w:t>
      </w:r>
      <w:r w:rsidRPr="009618BC">
        <w:rPr>
          <w:lang w:val="fr-FR"/>
        </w:rPr>
        <w:t>assurer un dialogue continu et constructif avec la société civile et une gestion efficace en matière de migration et d</w:t>
      </w:r>
      <w:r w:rsidR="009618BC" w:rsidRPr="009618BC">
        <w:rPr>
          <w:lang w:val="fr-FR"/>
        </w:rPr>
        <w:t>’</w:t>
      </w:r>
      <w:r w:rsidRPr="009618BC">
        <w:rPr>
          <w:lang w:val="fr-FR"/>
        </w:rPr>
        <w:t>asile, le Bureau de la migration et de l</w:t>
      </w:r>
      <w:r w:rsidR="009618BC" w:rsidRPr="009618BC">
        <w:rPr>
          <w:lang w:val="fr-FR"/>
        </w:rPr>
        <w:t>’</w:t>
      </w:r>
      <w:r w:rsidRPr="009618BC">
        <w:rPr>
          <w:lang w:val="fr-FR"/>
        </w:rPr>
        <w:t>asile a conclu une série d</w:t>
      </w:r>
      <w:r w:rsidR="009618BC" w:rsidRPr="009618BC">
        <w:rPr>
          <w:lang w:val="fr-FR"/>
        </w:rPr>
        <w:t>’</w:t>
      </w:r>
      <w:r w:rsidRPr="009618BC">
        <w:rPr>
          <w:lang w:val="fr-FR"/>
        </w:rPr>
        <w:t>accords de coopération avec des ONG actives dans ce domaine :</w:t>
      </w:r>
    </w:p>
    <w:p w:rsidR="00A72177" w:rsidRPr="009618BC" w:rsidRDefault="00A72177" w:rsidP="004B281B">
      <w:pPr>
        <w:pStyle w:val="Bullet1G"/>
        <w:rPr>
          <w:lang w:val="fr-FR"/>
        </w:rPr>
      </w:pPr>
      <w:r w:rsidRPr="009618BC">
        <w:rPr>
          <w:lang w:val="fr-FR"/>
        </w:rPr>
        <w:t>Le 24 mai 2016, un accord de coopération a été signé avec AVE Copiii, association pour les questions d</w:t>
      </w:r>
      <w:r w:rsidR="009618BC" w:rsidRPr="009618BC">
        <w:rPr>
          <w:lang w:val="fr-FR"/>
        </w:rPr>
        <w:t>’</w:t>
      </w:r>
      <w:r w:rsidRPr="009618BC">
        <w:rPr>
          <w:lang w:val="fr-FR"/>
        </w:rPr>
        <w:t>autonomisation des enfants et des familles, au sujet de l</w:t>
      </w:r>
      <w:r w:rsidR="009618BC" w:rsidRPr="009618BC">
        <w:rPr>
          <w:lang w:val="fr-FR"/>
        </w:rPr>
        <w:t>’</w:t>
      </w:r>
      <w:r w:rsidRPr="009618BC">
        <w:rPr>
          <w:lang w:val="fr-FR"/>
        </w:rPr>
        <w:t>assistance à fournir aux demandeurs d</w:t>
      </w:r>
      <w:r w:rsidR="009618BC" w:rsidRPr="009618BC">
        <w:rPr>
          <w:lang w:val="fr-FR"/>
        </w:rPr>
        <w:t>’</w:t>
      </w:r>
      <w:r w:rsidRPr="009618BC">
        <w:rPr>
          <w:lang w:val="fr-FR"/>
        </w:rPr>
        <w:t>asile, aux bénéficiaires d</w:t>
      </w:r>
      <w:r w:rsidR="009618BC" w:rsidRPr="009618BC">
        <w:rPr>
          <w:lang w:val="fr-FR"/>
        </w:rPr>
        <w:t>’</w:t>
      </w:r>
      <w:r w:rsidRPr="009618BC">
        <w:rPr>
          <w:lang w:val="fr-FR"/>
        </w:rPr>
        <w:t>une protection humanitaire et aux ré</w:t>
      </w:r>
      <w:r w:rsidR="00A66531">
        <w:rPr>
          <w:lang w:val="fr-FR"/>
        </w:rPr>
        <w:t>fugiés en République de Moldova ;</w:t>
      </w:r>
    </w:p>
    <w:p w:rsidR="00A72177" w:rsidRPr="009618BC" w:rsidRDefault="00A72177" w:rsidP="004B281B">
      <w:pPr>
        <w:pStyle w:val="Bullet1G"/>
        <w:rPr>
          <w:lang w:val="fr-FR"/>
        </w:rPr>
      </w:pPr>
      <w:r w:rsidRPr="009618BC">
        <w:rPr>
          <w:lang w:val="fr-FR"/>
        </w:rPr>
        <w:t>Le 24 mai 2016, un accord de coopération a été signé avec le centre de réadaptation pour les victimes de torture « Mémoire », au sujet d</w:t>
      </w:r>
      <w:r w:rsidR="009618BC" w:rsidRPr="009618BC">
        <w:rPr>
          <w:lang w:val="fr-FR"/>
        </w:rPr>
        <w:t>’</w:t>
      </w:r>
      <w:r w:rsidRPr="009618BC">
        <w:rPr>
          <w:lang w:val="fr-FR"/>
        </w:rPr>
        <w:t>une assistance pluridisciplinaire à la réadaptation et de l</w:t>
      </w:r>
      <w:r w:rsidR="009618BC" w:rsidRPr="009618BC">
        <w:rPr>
          <w:lang w:val="fr-FR"/>
        </w:rPr>
        <w:t>’</w:t>
      </w:r>
      <w:r w:rsidRPr="009618BC">
        <w:rPr>
          <w:lang w:val="fr-FR"/>
        </w:rPr>
        <w:t>enregistrement de cas concrets de consultations médicales, psychologiques, sociales et juridiques de demandeurs d</w:t>
      </w:r>
      <w:r w:rsidR="009618BC" w:rsidRPr="009618BC">
        <w:rPr>
          <w:lang w:val="fr-FR"/>
        </w:rPr>
        <w:t>’</w:t>
      </w:r>
      <w:r w:rsidRPr="009618BC">
        <w:rPr>
          <w:lang w:val="fr-FR"/>
        </w:rPr>
        <w:t>asile, de bénéficiaires d</w:t>
      </w:r>
      <w:r w:rsidR="009618BC" w:rsidRPr="009618BC">
        <w:rPr>
          <w:lang w:val="fr-FR"/>
        </w:rPr>
        <w:t>’</w:t>
      </w:r>
      <w:r w:rsidRPr="009618BC">
        <w:rPr>
          <w:lang w:val="fr-FR"/>
        </w:rPr>
        <w:t>une protection humanitaire et de ré</w:t>
      </w:r>
      <w:r w:rsidR="00A66531">
        <w:rPr>
          <w:lang w:val="fr-FR"/>
        </w:rPr>
        <w:t>fugiés en République de Moldova ;</w:t>
      </w:r>
    </w:p>
    <w:p w:rsidR="00A72177" w:rsidRPr="009618BC" w:rsidRDefault="00A72177" w:rsidP="004B281B">
      <w:pPr>
        <w:pStyle w:val="Bullet1G"/>
        <w:rPr>
          <w:lang w:val="fr-FR"/>
        </w:rPr>
      </w:pPr>
      <w:r w:rsidRPr="009618BC">
        <w:rPr>
          <w:lang w:val="fr-FR"/>
        </w:rPr>
        <w:t>Le 25 août 2016, c</w:t>
      </w:r>
      <w:r w:rsidR="009618BC" w:rsidRPr="009618BC">
        <w:rPr>
          <w:lang w:val="fr-FR"/>
        </w:rPr>
        <w:t>’</w:t>
      </w:r>
      <w:r w:rsidRPr="009618BC">
        <w:rPr>
          <w:lang w:val="fr-FR"/>
        </w:rPr>
        <w:t>est avec le Conseil national de l</w:t>
      </w:r>
      <w:r w:rsidR="009618BC" w:rsidRPr="009618BC">
        <w:rPr>
          <w:lang w:val="fr-FR"/>
        </w:rPr>
        <w:t>’</w:t>
      </w:r>
      <w:r w:rsidRPr="009618BC">
        <w:rPr>
          <w:lang w:val="fr-FR"/>
        </w:rPr>
        <w:t>aide juridictionnelle garantie par l</w:t>
      </w:r>
      <w:r w:rsidR="009618BC" w:rsidRPr="009618BC">
        <w:rPr>
          <w:lang w:val="fr-FR"/>
        </w:rPr>
        <w:t>’</w:t>
      </w:r>
      <w:r w:rsidRPr="009618BC">
        <w:rPr>
          <w:lang w:val="fr-FR"/>
        </w:rPr>
        <w:t>État et le Centre juridique des avocats qu</w:t>
      </w:r>
      <w:r w:rsidR="009618BC" w:rsidRPr="009618BC">
        <w:rPr>
          <w:lang w:val="fr-FR"/>
        </w:rPr>
        <w:t>’</w:t>
      </w:r>
      <w:r w:rsidRPr="009618BC">
        <w:rPr>
          <w:lang w:val="fr-FR"/>
        </w:rPr>
        <w:t>un accord de coopération a été conclu dans le domaine des consultations et services juridiques pour les demandeurs d</w:t>
      </w:r>
      <w:r w:rsidR="009618BC" w:rsidRPr="009618BC">
        <w:rPr>
          <w:lang w:val="fr-FR"/>
        </w:rPr>
        <w:t>’</w:t>
      </w:r>
      <w:r w:rsidRPr="009618BC">
        <w:rPr>
          <w:lang w:val="fr-FR"/>
        </w:rPr>
        <w:t>asiles, les bénéficiaires d</w:t>
      </w:r>
      <w:r w:rsidR="009618BC" w:rsidRPr="009618BC">
        <w:rPr>
          <w:lang w:val="fr-FR"/>
        </w:rPr>
        <w:t>’</w:t>
      </w:r>
      <w:r w:rsidRPr="009618BC">
        <w:rPr>
          <w:lang w:val="fr-FR"/>
        </w:rPr>
        <w:t>une des formes de protection, les personnes qui demandent le statut d</w:t>
      </w:r>
      <w:r w:rsidR="009618BC" w:rsidRPr="009618BC">
        <w:rPr>
          <w:lang w:val="fr-FR"/>
        </w:rPr>
        <w:t>’</w:t>
      </w:r>
      <w:r w:rsidRPr="009618BC">
        <w:rPr>
          <w:lang w:val="fr-FR"/>
        </w:rPr>
        <w:t>apatride, les apatrides, les ressortissants étrangers, notamment ceux pour qui un placement en détention a été ordonné. L</w:t>
      </w:r>
      <w:r w:rsidR="009618BC" w:rsidRPr="009618BC">
        <w:rPr>
          <w:lang w:val="fr-FR"/>
        </w:rPr>
        <w:t>’</w:t>
      </w:r>
      <w:r w:rsidRPr="009618BC">
        <w:rPr>
          <w:lang w:val="fr-FR"/>
        </w:rPr>
        <w:t>objectif de cet accord est la mise en place d</w:t>
      </w:r>
      <w:r w:rsidR="009618BC" w:rsidRPr="009618BC">
        <w:rPr>
          <w:lang w:val="fr-FR"/>
        </w:rPr>
        <w:t>’</w:t>
      </w:r>
      <w:r w:rsidRPr="009618BC">
        <w:rPr>
          <w:lang w:val="fr-FR"/>
        </w:rPr>
        <w:t>un mécanisme efficace d</w:t>
      </w:r>
      <w:r w:rsidR="009618BC" w:rsidRPr="009618BC">
        <w:rPr>
          <w:lang w:val="fr-FR"/>
        </w:rPr>
        <w:t>’</w:t>
      </w:r>
      <w:r w:rsidRPr="009618BC">
        <w:rPr>
          <w:lang w:val="fr-FR"/>
        </w:rPr>
        <w:t>aide juridique et le renforcement des capacités institutionnelles et professionnelles d</w:t>
      </w:r>
      <w:r w:rsidR="00A66531">
        <w:rPr>
          <w:lang w:val="fr-FR"/>
        </w:rPr>
        <w:t>es intervenants dans ce domaine ;</w:t>
      </w:r>
    </w:p>
    <w:p w:rsidR="00A72177" w:rsidRPr="009618BC" w:rsidRDefault="00A72177" w:rsidP="004B281B">
      <w:pPr>
        <w:pStyle w:val="Bullet1G"/>
        <w:rPr>
          <w:lang w:val="fr-FR"/>
        </w:rPr>
      </w:pPr>
      <w:r w:rsidRPr="009618BC">
        <w:rPr>
          <w:lang w:val="fr-FR"/>
        </w:rPr>
        <w:t>Le 14 septembre 2016, un accord a été conclu avec ARTICO, le Centre national pour les enfants et les jeunes, dans le but de favoriser l</w:t>
      </w:r>
      <w:r w:rsidR="009618BC" w:rsidRPr="009618BC">
        <w:rPr>
          <w:lang w:val="fr-FR"/>
        </w:rPr>
        <w:t>’</w:t>
      </w:r>
      <w:r w:rsidRPr="009618BC">
        <w:rPr>
          <w:lang w:val="fr-FR"/>
        </w:rPr>
        <w:t>intégration des mineurs et des jeunes dans la société et le dialogue interculturel. L</w:t>
      </w:r>
      <w:r w:rsidR="009618BC" w:rsidRPr="009618BC">
        <w:rPr>
          <w:lang w:val="fr-FR"/>
        </w:rPr>
        <w:t>’</w:t>
      </w:r>
      <w:r w:rsidRPr="009618BC">
        <w:rPr>
          <w:lang w:val="fr-FR"/>
        </w:rPr>
        <w:t>accord prévoit une assistance et des services en matière d</w:t>
      </w:r>
      <w:r w:rsidR="009618BC" w:rsidRPr="009618BC">
        <w:rPr>
          <w:lang w:val="fr-FR"/>
        </w:rPr>
        <w:t>’</w:t>
      </w:r>
      <w:r w:rsidRPr="009618BC">
        <w:rPr>
          <w:lang w:val="fr-FR"/>
        </w:rPr>
        <w:t>éducation, de consultations, de formation, d</w:t>
      </w:r>
      <w:r w:rsidR="009618BC" w:rsidRPr="009618BC">
        <w:rPr>
          <w:lang w:val="fr-FR"/>
        </w:rPr>
        <w:t>’</w:t>
      </w:r>
      <w:r w:rsidRPr="009618BC">
        <w:rPr>
          <w:lang w:val="fr-FR"/>
        </w:rPr>
        <w:t>information, de protection, de loisirs, etc.</w:t>
      </w:r>
    </w:p>
    <w:p w:rsidR="00A72177" w:rsidRPr="009618BC" w:rsidRDefault="00A72177" w:rsidP="004B281B">
      <w:pPr>
        <w:pStyle w:val="H23G"/>
        <w:rPr>
          <w:lang w:val="fr-FR"/>
        </w:rPr>
      </w:pPr>
      <w:r w:rsidRPr="009618BC">
        <w:rPr>
          <w:lang w:val="fr-FR"/>
        </w:rPr>
        <w:lastRenderedPageBreak/>
        <w:tab/>
      </w:r>
      <w:r w:rsidRPr="009618BC">
        <w:rPr>
          <w:lang w:val="fr-FR"/>
        </w:rPr>
        <w:tab/>
        <w:t>Plan d</w:t>
      </w:r>
      <w:r w:rsidR="009618BC" w:rsidRPr="009618BC">
        <w:rPr>
          <w:lang w:val="fr-FR"/>
        </w:rPr>
        <w:t>’</w:t>
      </w:r>
      <w:r w:rsidRPr="009618BC">
        <w:rPr>
          <w:lang w:val="fr-FR"/>
        </w:rPr>
        <w:t xml:space="preserve">action 2016-2020 pour la mise en œuvre de la Stratégie nationale </w:t>
      </w:r>
      <w:r w:rsidR="004B281B">
        <w:rPr>
          <w:lang w:val="fr-FR"/>
        </w:rPr>
        <w:br/>
      </w:r>
      <w:r w:rsidRPr="009618BC">
        <w:rPr>
          <w:lang w:val="fr-FR"/>
        </w:rPr>
        <w:t>en matière de migration et d</w:t>
      </w:r>
      <w:r w:rsidR="009618BC" w:rsidRPr="009618BC">
        <w:rPr>
          <w:lang w:val="fr-FR"/>
        </w:rPr>
        <w:t>’</w:t>
      </w:r>
      <w:r w:rsidRPr="009618BC">
        <w:rPr>
          <w:lang w:val="fr-FR"/>
        </w:rPr>
        <w:t>asile (2011-2020)</w:t>
      </w:r>
    </w:p>
    <w:p w:rsidR="00A72177" w:rsidRPr="009618BC" w:rsidRDefault="00A72177" w:rsidP="009618BC">
      <w:pPr>
        <w:pStyle w:val="SingleTxtG"/>
        <w:rPr>
          <w:lang w:val="fr-FR"/>
        </w:rPr>
      </w:pPr>
      <w:r w:rsidRPr="009618BC">
        <w:rPr>
          <w:lang w:val="fr-FR"/>
        </w:rPr>
        <w:t>89.</w:t>
      </w:r>
      <w:r w:rsidRPr="009618BC">
        <w:rPr>
          <w:lang w:val="fr-FR"/>
        </w:rPr>
        <w:tab/>
        <w:t xml:space="preserve">Le </w:t>
      </w:r>
      <w:r w:rsidR="00C52DC2">
        <w:rPr>
          <w:lang w:val="fr-FR"/>
        </w:rPr>
        <w:t>P</w:t>
      </w:r>
      <w:r w:rsidRPr="009618BC">
        <w:rPr>
          <w:lang w:val="fr-FR"/>
        </w:rPr>
        <w:t>lan d</w:t>
      </w:r>
      <w:r w:rsidR="009618BC" w:rsidRPr="009618BC">
        <w:rPr>
          <w:lang w:val="fr-FR"/>
        </w:rPr>
        <w:t>’</w:t>
      </w:r>
      <w:r w:rsidRPr="009618BC">
        <w:rPr>
          <w:lang w:val="fr-FR"/>
        </w:rPr>
        <w:t>action 2016-2020 relatif à la mise en œuvre de la Stratégie nationale en matière de migration et d</w:t>
      </w:r>
      <w:r w:rsidR="009618BC" w:rsidRPr="009618BC">
        <w:rPr>
          <w:lang w:val="fr-FR"/>
        </w:rPr>
        <w:t>’</w:t>
      </w:r>
      <w:r w:rsidRPr="009618BC">
        <w:rPr>
          <w:lang w:val="fr-FR"/>
        </w:rPr>
        <w:t>asile a été élaboré conformément à l</w:t>
      </w:r>
      <w:r w:rsidR="009618BC" w:rsidRPr="009618BC">
        <w:rPr>
          <w:lang w:val="fr-FR"/>
        </w:rPr>
        <w:t>’</w:t>
      </w:r>
      <w:r w:rsidRPr="009618BC">
        <w:rPr>
          <w:lang w:val="fr-FR"/>
        </w:rPr>
        <w:t>ordonnance gouvernementale n</w:t>
      </w:r>
      <w:r w:rsidRPr="009618BC">
        <w:rPr>
          <w:vertAlign w:val="superscript"/>
          <w:lang w:val="fr-FR"/>
        </w:rPr>
        <w:t>o</w:t>
      </w:r>
      <w:r w:rsidRPr="009618BC">
        <w:rPr>
          <w:lang w:val="fr-FR"/>
        </w:rPr>
        <w:t> 655 du 8 septembre 2011 relative à l</w:t>
      </w:r>
      <w:r w:rsidR="009618BC" w:rsidRPr="009618BC">
        <w:rPr>
          <w:lang w:val="fr-FR"/>
        </w:rPr>
        <w:t>’</w:t>
      </w:r>
      <w:r w:rsidRPr="009618BC">
        <w:rPr>
          <w:lang w:val="fr-FR"/>
        </w:rPr>
        <w:t>adoption de cette stratégie et dans le contexte de la mise en œuvre du paragraphe 3 de l</w:t>
      </w:r>
      <w:r w:rsidR="009618BC" w:rsidRPr="009618BC">
        <w:rPr>
          <w:lang w:val="fr-FR"/>
        </w:rPr>
        <w:t>’</w:t>
      </w:r>
      <w:r w:rsidRPr="009618BC">
        <w:rPr>
          <w:lang w:val="fr-FR"/>
        </w:rPr>
        <w:t>article 14 de l</w:t>
      </w:r>
      <w:r w:rsidR="009618BC" w:rsidRPr="009618BC">
        <w:rPr>
          <w:lang w:val="fr-FR"/>
        </w:rPr>
        <w:t>’</w:t>
      </w:r>
      <w:r w:rsidRPr="009618BC">
        <w:rPr>
          <w:lang w:val="fr-FR"/>
        </w:rPr>
        <w:t>Accord d</w:t>
      </w:r>
      <w:r w:rsidR="009618BC" w:rsidRPr="009618BC">
        <w:rPr>
          <w:lang w:val="fr-FR"/>
        </w:rPr>
        <w:t>’</w:t>
      </w:r>
      <w:r w:rsidRPr="009618BC">
        <w:rPr>
          <w:lang w:val="fr-FR"/>
        </w:rPr>
        <w:t>association entre la République de Moldova et l</w:t>
      </w:r>
      <w:r w:rsidR="009618BC" w:rsidRPr="009618BC">
        <w:rPr>
          <w:lang w:val="fr-FR"/>
        </w:rPr>
        <w:t>’</w:t>
      </w:r>
      <w:r w:rsidRPr="009618BC">
        <w:rPr>
          <w:lang w:val="fr-FR"/>
        </w:rPr>
        <w:t>Union européenne. Cette mise en œuvre est inscrite dans le Plan d</w:t>
      </w:r>
      <w:r w:rsidR="009618BC" w:rsidRPr="009618BC">
        <w:rPr>
          <w:lang w:val="fr-FR"/>
        </w:rPr>
        <w:t>’</w:t>
      </w:r>
      <w:r w:rsidRPr="009618BC">
        <w:rPr>
          <w:lang w:val="fr-FR"/>
        </w:rPr>
        <w:t>action 2014-2016 relatif à la mise en œuvre de l</w:t>
      </w:r>
      <w:r w:rsidR="009618BC" w:rsidRPr="009618BC">
        <w:rPr>
          <w:lang w:val="fr-FR"/>
        </w:rPr>
        <w:t>’</w:t>
      </w:r>
      <w:r w:rsidRPr="009618BC">
        <w:rPr>
          <w:lang w:val="fr-FR"/>
        </w:rPr>
        <w:t>Accord d</w:t>
      </w:r>
      <w:r w:rsidR="009618BC" w:rsidRPr="009618BC">
        <w:rPr>
          <w:lang w:val="fr-FR"/>
        </w:rPr>
        <w:t>’</w:t>
      </w:r>
      <w:r w:rsidRPr="009618BC">
        <w:rPr>
          <w:lang w:val="fr-FR"/>
        </w:rPr>
        <w:t>association, adopté par l</w:t>
      </w:r>
      <w:r w:rsidR="009618BC" w:rsidRPr="009618BC">
        <w:rPr>
          <w:lang w:val="fr-FR"/>
        </w:rPr>
        <w:t>’</w:t>
      </w:r>
      <w:r w:rsidRPr="009618BC">
        <w:rPr>
          <w:lang w:val="fr-FR"/>
        </w:rPr>
        <w:t>ordonnance gouvernementale n</w:t>
      </w:r>
      <w:r w:rsidRPr="009618BC">
        <w:rPr>
          <w:vertAlign w:val="superscript"/>
          <w:lang w:val="fr-FR"/>
        </w:rPr>
        <w:t>o</w:t>
      </w:r>
      <w:r w:rsidRPr="009618BC">
        <w:rPr>
          <w:lang w:val="fr-FR"/>
        </w:rPr>
        <w:t> 808 du 7 juillet 2014.</w:t>
      </w:r>
    </w:p>
    <w:p w:rsidR="00A72177" w:rsidRPr="009618BC" w:rsidRDefault="00A72177" w:rsidP="009618BC">
      <w:pPr>
        <w:pStyle w:val="SingleTxtG"/>
        <w:rPr>
          <w:lang w:val="fr-FR"/>
        </w:rPr>
      </w:pPr>
      <w:r w:rsidRPr="009618BC">
        <w:rPr>
          <w:lang w:val="fr-FR"/>
        </w:rPr>
        <w:t>90.</w:t>
      </w:r>
      <w:r w:rsidRPr="009618BC">
        <w:rPr>
          <w:lang w:val="fr-FR"/>
        </w:rPr>
        <w:tab/>
        <w:t>Compte tenu du fait que la Stratégie nationale en matière de migration et d</w:t>
      </w:r>
      <w:r w:rsidR="009618BC" w:rsidRPr="009618BC">
        <w:rPr>
          <w:lang w:val="fr-FR"/>
        </w:rPr>
        <w:t>’</w:t>
      </w:r>
      <w:r w:rsidRPr="009618BC">
        <w:rPr>
          <w:lang w:val="fr-FR"/>
        </w:rPr>
        <w:t>asile (2011-2020) couvre tous les aspects du processus migratoire (émigration, immigration, intégration, réintégration, octroi de l</w:t>
      </w:r>
      <w:r w:rsidR="009618BC" w:rsidRPr="009618BC">
        <w:rPr>
          <w:lang w:val="fr-FR"/>
        </w:rPr>
        <w:t>’</w:t>
      </w:r>
      <w:r w:rsidRPr="009618BC">
        <w:rPr>
          <w:lang w:val="fr-FR"/>
        </w:rPr>
        <w:t>asile, apatridie, lutte contre l</w:t>
      </w:r>
      <w:r w:rsidR="009618BC" w:rsidRPr="009618BC">
        <w:rPr>
          <w:lang w:val="fr-FR"/>
        </w:rPr>
        <w:t>’</w:t>
      </w:r>
      <w:r w:rsidRPr="009618BC">
        <w:rPr>
          <w:lang w:val="fr-FR"/>
        </w:rPr>
        <w:t>immigration illégale, mesures destinées à gérer les migrations et politique nationale en la matière) qui relèvent de la compétence de divers organes de l</w:t>
      </w:r>
      <w:r w:rsidR="009618BC" w:rsidRPr="009618BC">
        <w:rPr>
          <w:lang w:val="fr-FR"/>
        </w:rPr>
        <w:t>’</w:t>
      </w:r>
      <w:r w:rsidRPr="009618BC">
        <w:rPr>
          <w:lang w:val="fr-FR"/>
        </w:rPr>
        <w:t>État, le Bureau de la migration et de l</w:t>
      </w:r>
      <w:r w:rsidR="009618BC" w:rsidRPr="009618BC">
        <w:rPr>
          <w:lang w:val="fr-FR"/>
        </w:rPr>
        <w:t>’</w:t>
      </w:r>
      <w:r w:rsidRPr="009618BC">
        <w:rPr>
          <w:lang w:val="fr-FR"/>
        </w:rPr>
        <w:t>asile, en collaboration avec le groupe de travail interministériel, a élaboré le Plan d</w:t>
      </w:r>
      <w:r w:rsidR="009618BC" w:rsidRPr="009618BC">
        <w:rPr>
          <w:lang w:val="fr-FR"/>
        </w:rPr>
        <w:t>’</w:t>
      </w:r>
      <w:r w:rsidRPr="009618BC">
        <w:rPr>
          <w:lang w:val="fr-FR"/>
        </w:rPr>
        <w:t>action qui a été approuvé par l</w:t>
      </w:r>
      <w:r w:rsidR="009618BC" w:rsidRPr="009618BC">
        <w:rPr>
          <w:lang w:val="fr-FR"/>
        </w:rPr>
        <w:t>’</w:t>
      </w:r>
      <w:r w:rsidRPr="009618BC">
        <w:rPr>
          <w:lang w:val="fr-FR"/>
        </w:rPr>
        <w:t>ordonnance gouvernementale n</w:t>
      </w:r>
      <w:r w:rsidRPr="009618BC">
        <w:rPr>
          <w:vertAlign w:val="superscript"/>
          <w:lang w:val="fr-FR"/>
        </w:rPr>
        <w:t>o</w:t>
      </w:r>
      <w:r w:rsidRPr="009618BC">
        <w:rPr>
          <w:lang w:val="fr-FR"/>
        </w:rPr>
        <w:t> 736 du 10 juin 2016.</w:t>
      </w:r>
    </w:p>
    <w:p w:rsidR="00A72177" w:rsidRPr="009618BC" w:rsidRDefault="00A72177" w:rsidP="009618BC">
      <w:pPr>
        <w:pStyle w:val="SingleTxtG"/>
        <w:rPr>
          <w:lang w:val="fr-FR"/>
        </w:rPr>
      </w:pPr>
      <w:r w:rsidRPr="009618BC">
        <w:rPr>
          <w:lang w:val="fr-FR"/>
        </w:rPr>
        <w:t>91.</w:t>
      </w:r>
      <w:r w:rsidRPr="009618BC">
        <w:rPr>
          <w:lang w:val="fr-FR"/>
        </w:rPr>
        <w:tab/>
        <w:t>L</w:t>
      </w:r>
      <w:r w:rsidR="009618BC" w:rsidRPr="009618BC">
        <w:rPr>
          <w:lang w:val="fr-FR"/>
        </w:rPr>
        <w:t>’</w:t>
      </w:r>
      <w:r w:rsidRPr="009618BC">
        <w:rPr>
          <w:lang w:val="fr-FR"/>
        </w:rPr>
        <w:t>objectif principal du Plan d</w:t>
      </w:r>
      <w:r w:rsidR="009618BC" w:rsidRPr="009618BC">
        <w:rPr>
          <w:lang w:val="fr-FR"/>
        </w:rPr>
        <w:t>’</w:t>
      </w:r>
      <w:r w:rsidRPr="009618BC">
        <w:rPr>
          <w:lang w:val="fr-FR"/>
        </w:rPr>
        <w:t>action est la réalisation des activités prévues par la Stratégie en matière de migration et, par conséquent, le renforcement des capacités des institutions gouvernementales pour ce qui est de la gestion des migrations, de l</w:t>
      </w:r>
      <w:r w:rsidR="009618BC" w:rsidRPr="009618BC">
        <w:rPr>
          <w:lang w:val="fr-FR"/>
        </w:rPr>
        <w:t>’</w:t>
      </w:r>
      <w:r w:rsidRPr="009618BC">
        <w:rPr>
          <w:lang w:val="fr-FR"/>
        </w:rPr>
        <w:t>utilisation des instruments juridiques et des systèmes institutionnels conformément aux modèles efficaces fondés sur les pratiques européennes et internationales, l</w:t>
      </w:r>
      <w:r w:rsidR="009618BC" w:rsidRPr="009618BC">
        <w:rPr>
          <w:lang w:val="fr-FR"/>
        </w:rPr>
        <w:t>’</w:t>
      </w:r>
      <w:r w:rsidRPr="009618BC">
        <w:rPr>
          <w:lang w:val="fr-FR"/>
        </w:rPr>
        <w:t>élaboration du cadre juridique nécessaire dans le contexte du dialogue avec l</w:t>
      </w:r>
      <w:r w:rsidR="009618BC" w:rsidRPr="009618BC">
        <w:rPr>
          <w:lang w:val="fr-FR"/>
        </w:rPr>
        <w:t>’</w:t>
      </w:r>
      <w:r w:rsidRPr="009618BC">
        <w:rPr>
          <w:lang w:val="fr-FR"/>
        </w:rPr>
        <w:t>Union européenne au sujet de la libéralisation du régime de visas pour le citoyens de la République de Moldova et des stratégies sectorielles de développement dans les domaines qui relèvent de divers ministères (par exemple, le marché du travail, la santé, le contrôle intégré des frontières).</w:t>
      </w:r>
    </w:p>
    <w:p w:rsidR="00A72177" w:rsidRPr="009618BC" w:rsidRDefault="00A72177" w:rsidP="009618BC">
      <w:pPr>
        <w:pStyle w:val="SingleTxtG"/>
        <w:rPr>
          <w:lang w:val="fr-FR"/>
        </w:rPr>
      </w:pPr>
      <w:r w:rsidRPr="009618BC">
        <w:rPr>
          <w:lang w:val="fr-FR"/>
        </w:rPr>
        <w:t>92.</w:t>
      </w:r>
      <w:r w:rsidRPr="009618BC">
        <w:rPr>
          <w:lang w:val="fr-FR"/>
        </w:rPr>
        <w:tab/>
        <w:t>La réalisation des objectifs qui concernent les étrangers doit permettre d</w:t>
      </w:r>
      <w:r w:rsidR="009618BC" w:rsidRPr="009618BC">
        <w:rPr>
          <w:lang w:val="fr-FR"/>
        </w:rPr>
        <w:t>’</w:t>
      </w:r>
      <w:r w:rsidRPr="009618BC">
        <w:rPr>
          <w:lang w:val="fr-FR"/>
        </w:rPr>
        <w:t>éliminer la xénophobie et de garantir les droits de l</w:t>
      </w:r>
      <w:r w:rsidR="009618BC" w:rsidRPr="009618BC">
        <w:rPr>
          <w:lang w:val="fr-FR"/>
        </w:rPr>
        <w:t>’</w:t>
      </w:r>
      <w:r w:rsidRPr="009618BC">
        <w:rPr>
          <w:lang w:val="fr-FR"/>
        </w:rPr>
        <w:t>homme inscrits dans la Constitution et dans les conventions internationales auxquelles la République de Moldova a adhéré. Parallèlement, compte tenu des conséquences négatives qu</w:t>
      </w:r>
      <w:r w:rsidR="009618BC" w:rsidRPr="009618BC">
        <w:rPr>
          <w:lang w:val="fr-FR"/>
        </w:rPr>
        <w:t>’</w:t>
      </w:r>
      <w:r w:rsidRPr="009618BC">
        <w:rPr>
          <w:lang w:val="fr-FR"/>
        </w:rPr>
        <w:t>entraîne l</w:t>
      </w:r>
      <w:r w:rsidR="009618BC" w:rsidRPr="009618BC">
        <w:rPr>
          <w:lang w:val="fr-FR"/>
        </w:rPr>
        <w:t>’</w:t>
      </w:r>
      <w:r w:rsidRPr="009618BC">
        <w:rPr>
          <w:lang w:val="fr-FR"/>
        </w:rPr>
        <w:t>afflux massif d</w:t>
      </w:r>
      <w:r w:rsidR="009618BC" w:rsidRPr="009618BC">
        <w:rPr>
          <w:lang w:val="fr-FR"/>
        </w:rPr>
        <w:t>’</w:t>
      </w:r>
      <w:r w:rsidRPr="009618BC">
        <w:rPr>
          <w:lang w:val="fr-FR"/>
        </w:rPr>
        <w:t>étrangers dans les pays de l</w:t>
      </w:r>
      <w:r w:rsidR="009618BC" w:rsidRPr="009618BC">
        <w:rPr>
          <w:lang w:val="fr-FR"/>
        </w:rPr>
        <w:t>’</w:t>
      </w:r>
      <w:r w:rsidRPr="009618BC">
        <w:rPr>
          <w:lang w:val="fr-FR"/>
        </w:rPr>
        <w:t>Union européenne, des mesures appropriées doivent conduire à une réduction des risques sociaux et des risques pour la sécurité et l</w:t>
      </w:r>
      <w:r w:rsidR="009618BC" w:rsidRPr="009618BC">
        <w:rPr>
          <w:lang w:val="fr-FR"/>
        </w:rPr>
        <w:t>’</w:t>
      </w:r>
      <w:r w:rsidRPr="009618BC">
        <w:rPr>
          <w:lang w:val="fr-FR"/>
        </w:rPr>
        <w:t>ordre social ainsi que d</w:t>
      </w:r>
      <w:r w:rsidR="009618BC" w:rsidRPr="009618BC">
        <w:rPr>
          <w:lang w:val="fr-FR"/>
        </w:rPr>
        <w:t>’</w:t>
      </w:r>
      <w:r w:rsidRPr="009618BC">
        <w:rPr>
          <w:lang w:val="fr-FR"/>
        </w:rPr>
        <w:t>autres aspects</w:t>
      </w:r>
      <w:r w:rsidR="00C52DC2">
        <w:rPr>
          <w:lang w:val="fr-FR"/>
        </w:rPr>
        <w:t xml:space="preserve"> relatifs aux différences socio</w:t>
      </w:r>
      <w:r w:rsidRPr="009618BC">
        <w:rPr>
          <w:lang w:val="fr-FR"/>
        </w:rPr>
        <w:t>culturelles entre personnes de différents pays.</w:t>
      </w:r>
    </w:p>
    <w:p w:rsidR="00A72177" w:rsidRPr="009618BC" w:rsidRDefault="00A72177" w:rsidP="009618BC">
      <w:pPr>
        <w:pStyle w:val="SingleTxtG"/>
        <w:rPr>
          <w:lang w:val="fr-FR"/>
        </w:rPr>
      </w:pPr>
      <w:r w:rsidRPr="009618BC">
        <w:rPr>
          <w:lang w:val="fr-FR"/>
        </w:rPr>
        <w:t>93.</w:t>
      </w:r>
      <w:r w:rsidRPr="009618BC">
        <w:rPr>
          <w:lang w:val="fr-FR"/>
        </w:rPr>
        <w:tab/>
        <w:t xml:space="preserve">Le </w:t>
      </w:r>
      <w:r w:rsidR="00C52DC2">
        <w:rPr>
          <w:lang w:val="fr-FR"/>
        </w:rPr>
        <w:t>P</w:t>
      </w:r>
      <w:r w:rsidRPr="009618BC">
        <w:rPr>
          <w:lang w:val="fr-FR"/>
        </w:rPr>
        <w:t>lan d</w:t>
      </w:r>
      <w:r w:rsidR="009618BC" w:rsidRPr="009618BC">
        <w:rPr>
          <w:lang w:val="fr-FR"/>
        </w:rPr>
        <w:t>’</w:t>
      </w:r>
      <w:r w:rsidRPr="009618BC">
        <w:rPr>
          <w:lang w:val="fr-FR"/>
        </w:rPr>
        <w:t xml:space="preserve">action compte 30 objectifs et 121 activités, regroupés en </w:t>
      </w:r>
      <w:r w:rsidR="00A66531">
        <w:rPr>
          <w:lang w:val="fr-FR"/>
        </w:rPr>
        <w:t>six</w:t>
      </w:r>
      <w:r w:rsidRPr="009618BC">
        <w:rPr>
          <w:lang w:val="fr-FR"/>
        </w:rPr>
        <w:t xml:space="preserve"> parties :</w:t>
      </w:r>
    </w:p>
    <w:p w:rsidR="00A72177" w:rsidRPr="009618BC" w:rsidRDefault="004B281B" w:rsidP="00A66531">
      <w:pPr>
        <w:pStyle w:val="Bullet1G"/>
        <w:rPr>
          <w:lang w:val="fr-FR"/>
        </w:rPr>
      </w:pPr>
      <w:r>
        <w:rPr>
          <w:lang w:val="fr-FR"/>
        </w:rPr>
        <w:t>P</w:t>
      </w:r>
      <w:r w:rsidR="00A72177" w:rsidRPr="009618BC">
        <w:rPr>
          <w:lang w:val="fr-FR"/>
        </w:rPr>
        <w:t>artie I : renforcement et développement des fondements de la coopération internationale dans le domaine de la migration et de l</w:t>
      </w:r>
      <w:r w:rsidR="009618BC" w:rsidRPr="009618BC">
        <w:rPr>
          <w:lang w:val="fr-FR"/>
        </w:rPr>
        <w:t>’</w:t>
      </w:r>
      <w:r w:rsidR="00A72177" w:rsidRPr="009618BC">
        <w:rPr>
          <w:lang w:val="fr-FR"/>
        </w:rPr>
        <w:t>asile ;</w:t>
      </w:r>
    </w:p>
    <w:p w:rsidR="00A72177" w:rsidRPr="009618BC" w:rsidRDefault="004B281B" w:rsidP="004B281B">
      <w:pPr>
        <w:pStyle w:val="Bullet1G"/>
        <w:rPr>
          <w:lang w:val="fr-FR"/>
        </w:rPr>
      </w:pPr>
      <w:r>
        <w:rPr>
          <w:lang w:val="fr-FR"/>
        </w:rPr>
        <w:t>P</w:t>
      </w:r>
      <w:r w:rsidR="00A72177" w:rsidRPr="009618BC">
        <w:rPr>
          <w:lang w:val="fr-FR"/>
        </w:rPr>
        <w:t>artie II : migration légale ;</w:t>
      </w:r>
    </w:p>
    <w:p w:rsidR="00A72177" w:rsidRPr="009618BC" w:rsidRDefault="004B281B" w:rsidP="004B281B">
      <w:pPr>
        <w:pStyle w:val="Bullet1G"/>
        <w:rPr>
          <w:lang w:val="fr-FR"/>
        </w:rPr>
      </w:pPr>
      <w:r>
        <w:rPr>
          <w:lang w:val="fr-FR"/>
        </w:rPr>
        <w:t>P</w:t>
      </w:r>
      <w:r w:rsidR="00A72177" w:rsidRPr="009618BC">
        <w:rPr>
          <w:lang w:val="fr-FR"/>
        </w:rPr>
        <w:t>artie III : migration et développement ;</w:t>
      </w:r>
    </w:p>
    <w:p w:rsidR="00A72177" w:rsidRPr="009618BC" w:rsidRDefault="004B281B" w:rsidP="004B281B">
      <w:pPr>
        <w:pStyle w:val="Bullet1G"/>
        <w:rPr>
          <w:lang w:val="fr-FR"/>
        </w:rPr>
      </w:pPr>
      <w:r>
        <w:rPr>
          <w:lang w:val="fr-FR"/>
        </w:rPr>
        <w:t>P</w:t>
      </w:r>
      <w:r w:rsidR="00A72177" w:rsidRPr="009618BC">
        <w:rPr>
          <w:lang w:val="fr-FR"/>
        </w:rPr>
        <w:t>artie IV : gestion de la migration en cas d</w:t>
      </w:r>
      <w:r w:rsidR="009618BC" w:rsidRPr="009618BC">
        <w:rPr>
          <w:lang w:val="fr-FR"/>
        </w:rPr>
        <w:t>’</w:t>
      </w:r>
      <w:r w:rsidR="00A72177" w:rsidRPr="009618BC">
        <w:rPr>
          <w:lang w:val="fr-FR"/>
        </w:rPr>
        <w:t>afflux accrus d</w:t>
      </w:r>
      <w:r w:rsidR="009618BC" w:rsidRPr="009618BC">
        <w:rPr>
          <w:lang w:val="fr-FR"/>
        </w:rPr>
        <w:t>’</w:t>
      </w:r>
      <w:r w:rsidR="00A72177" w:rsidRPr="009618BC">
        <w:rPr>
          <w:lang w:val="fr-FR"/>
        </w:rPr>
        <w:t>étrangers (migrants, réfugiés) ;</w:t>
      </w:r>
    </w:p>
    <w:p w:rsidR="00A72177" w:rsidRPr="009618BC" w:rsidRDefault="004B281B" w:rsidP="004B281B">
      <w:pPr>
        <w:pStyle w:val="Bullet1G"/>
        <w:rPr>
          <w:lang w:val="fr-FR"/>
        </w:rPr>
      </w:pPr>
      <w:r>
        <w:rPr>
          <w:lang w:val="fr-FR"/>
        </w:rPr>
        <w:t>P</w:t>
      </w:r>
      <w:r w:rsidR="00A72177" w:rsidRPr="009618BC">
        <w:rPr>
          <w:lang w:val="fr-FR"/>
        </w:rPr>
        <w:t>artie V : lutte contre la migration illégale ;</w:t>
      </w:r>
    </w:p>
    <w:p w:rsidR="00A72177" w:rsidRPr="009618BC" w:rsidRDefault="004B281B" w:rsidP="004B281B">
      <w:pPr>
        <w:pStyle w:val="Bullet1G"/>
        <w:rPr>
          <w:lang w:val="fr-FR"/>
        </w:rPr>
      </w:pPr>
      <w:r>
        <w:rPr>
          <w:lang w:val="fr-FR"/>
        </w:rPr>
        <w:t>P</w:t>
      </w:r>
      <w:r w:rsidR="00A72177" w:rsidRPr="009618BC">
        <w:rPr>
          <w:lang w:val="fr-FR"/>
        </w:rPr>
        <w:t>artie VI : instruments de contrôle des migrations.</w:t>
      </w:r>
    </w:p>
    <w:p w:rsidR="00A72177" w:rsidRPr="009618BC" w:rsidRDefault="00A72177" w:rsidP="009618BC">
      <w:pPr>
        <w:pStyle w:val="SingleTxtG"/>
        <w:rPr>
          <w:lang w:val="fr-FR"/>
        </w:rPr>
      </w:pPr>
      <w:r w:rsidRPr="009618BC">
        <w:rPr>
          <w:lang w:val="fr-FR"/>
        </w:rPr>
        <w:t>94.</w:t>
      </w:r>
      <w:r w:rsidRPr="009618BC">
        <w:rPr>
          <w:lang w:val="fr-FR"/>
        </w:rPr>
        <w:tab/>
        <w:t>Dans ce contexte, il convient d</w:t>
      </w:r>
      <w:r w:rsidR="009618BC" w:rsidRPr="009618BC">
        <w:rPr>
          <w:lang w:val="fr-FR"/>
        </w:rPr>
        <w:t>’</w:t>
      </w:r>
      <w:r w:rsidRPr="009618BC">
        <w:rPr>
          <w:lang w:val="fr-FR"/>
        </w:rPr>
        <w:t>attirer l</w:t>
      </w:r>
      <w:r w:rsidR="009618BC" w:rsidRPr="009618BC">
        <w:rPr>
          <w:lang w:val="fr-FR"/>
        </w:rPr>
        <w:t>’</w:t>
      </w:r>
      <w:r w:rsidRPr="009618BC">
        <w:rPr>
          <w:lang w:val="fr-FR"/>
        </w:rPr>
        <w:t>attention sur la partie II</w:t>
      </w:r>
      <w:r w:rsidR="00EC0ECE">
        <w:rPr>
          <w:lang w:val="fr-FR"/>
        </w:rPr>
        <w:t xml:space="preserve"> </w:t>
      </w:r>
      <w:r w:rsidRPr="009618BC">
        <w:rPr>
          <w:lang w:val="fr-FR"/>
        </w:rPr>
        <w:t>« Migration légale », qui comprend les sous-parties suivantes :</w:t>
      </w:r>
    </w:p>
    <w:p w:rsidR="00A72177" w:rsidRPr="009618BC" w:rsidRDefault="004B281B" w:rsidP="004B281B">
      <w:pPr>
        <w:pStyle w:val="Bullet1G"/>
        <w:rPr>
          <w:lang w:val="fr-FR"/>
        </w:rPr>
      </w:pPr>
      <w:r w:rsidRPr="004B281B">
        <w:rPr>
          <w:i/>
          <w:lang w:val="fr-FR"/>
        </w:rPr>
        <w:t>I</w:t>
      </w:r>
      <w:r w:rsidR="00A72177" w:rsidRPr="009618BC">
        <w:rPr>
          <w:i/>
          <w:lang w:val="fr-FR"/>
        </w:rPr>
        <w:t>mmigration</w:t>
      </w:r>
      <w:r w:rsidR="00A72177" w:rsidRPr="009618BC">
        <w:rPr>
          <w:lang w:val="fr-FR"/>
        </w:rPr>
        <w:t> : cette sous-partie porte sur les mesures destinées à faciliter l</w:t>
      </w:r>
      <w:r w:rsidR="009618BC" w:rsidRPr="009618BC">
        <w:rPr>
          <w:lang w:val="fr-FR"/>
        </w:rPr>
        <w:t>’</w:t>
      </w:r>
      <w:r w:rsidR="00A72177" w:rsidRPr="009618BC">
        <w:rPr>
          <w:lang w:val="fr-FR"/>
        </w:rPr>
        <w:t>entrée et le séjour en République de Moldova d</w:t>
      </w:r>
      <w:r w:rsidR="009618BC" w:rsidRPr="009618BC">
        <w:rPr>
          <w:lang w:val="fr-FR"/>
        </w:rPr>
        <w:t>’</w:t>
      </w:r>
      <w:r w:rsidR="00A72177" w:rsidRPr="009618BC">
        <w:rPr>
          <w:lang w:val="fr-FR"/>
        </w:rPr>
        <w:t>investisseurs étrangers ainsi que de personnes qui gèrent des investissements étrangers et l</w:t>
      </w:r>
      <w:r w:rsidR="009618BC" w:rsidRPr="009618BC">
        <w:rPr>
          <w:lang w:val="fr-FR"/>
        </w:rPr>
        <w:t>’</w:t>
      </w:r>
      <w:r w:rsidR="00A72177" w:rsidRPr="009618BC">
        <w:rPr>
          <w:lang w:val="fr-FR"/>
        </w:rPr>
        <w:t>accueil des étrangers à des fins d</w:t>
      </w:r>
      <w:r w:rsidR="009618BC" w:rsidRPr="009618BC">
        <w:rPr>
          <w:lang w:val="fr-FR"/>
        </w:rPr>
        <w:t>’</w:t>
      </w:r>
      <w:r w:rsidR="00A72177" w:rsidRPr="009618BC">
        <w:rPr>
          <w:lang w:val="fr-FR"/>
        </w:rPr>
        <w:t>emploi selon les besoins identifiés sur le marché du travail, à favoriser l</w:t>
      </w:r>
      <w:r w:rsidR="009618BC" w:rsidRPr="009618BC">
        <w:rPr>
          <w:lang w:val="fr-FR"/>
        </w:rPr>
        <w:t>’</w:t>
      </w:r>
      <w:r w:rsidR="00A72177" w:rsidRPr="009618BC">
        <w:rPr>
          <w:lang w:val="fr-FR"/>
        </w:rPr>
        <w:t>entrée d</w:t>
      </w:r>
      <w:r w:rsidR="009618BC" w:rsidRPr="009618BC">
        <w:rPr>
          <w:lang w:val="fr-FR"/>
        </w:rPr>
        <w:t>’</w:t>
      </w:r>
      <w:r w:rsidR="00A72177" w:rsidRPr="009618BC">
        <w:rPr>
          <w:lang w:val="fr-FR"/>
        </w:rPr>
        <w:t>étrangers hautement qualifiés, à garantir les droits des étrangers qui séjournent légalement en République de Moldova, et sur le renforcement des capacités du personnel qui travaille dans le domaine des migrations et de l</w:t>
      </w:r>
      <w:r w:rsidR="009618BC" w:rsidRPr="009618BC">
        <w:rPr>
          <w:lang w:val="fr-FR"/>
        </w:rPr>
        <w:t>’</w:t>
      </w:r>
      <w:r w:rsidR="00A72177" w:rsidRPr="009618BC">
        <w:rPr>
          <w:lang w:val="fr-FR"/>
        </w:rPr>
        <w:t>asile ;</w:t>
      </w:r>
    </w:p>
    <w:p w:rsidR="00A72177" w:rsidRPr="009618BC" w:rsidRDefault="00A66531" w:rsidP="00A66531">
      <w:pPr>
        <w:pStyle w:val="Bullet1G"/>
        <w:keepNext/>
        <w:keepLines/>
        <w:rPr>
          <w:lang w:val="fr-FR"/>
        </w:rPr>
      </w:pPr>
      <w:r>
        <w:rPr>
          <w:i/>
          <w:lang w:val="fr-FR"/>
        </w:rPr>
        <w:lastRenderedPageBreak/>
        <w:t>A</w:t>
      </w:r>
      <w:r w:rsidR="00A72177" w:rsidRPr="009618BC">
        <w:rPr>
          <w:i/>
          <w:lang w:val="fr-FR"/>
        </w:rPr>
        <w:t>sile et apatridie</w:t>
      </w:r>
      <w:r w:rsidR="00A72177" w:rsidRPr="009618BC">
        <w:rPr>
          <w:lang w:val="fr-FR"/>
        </w:rPr>
        <w:t> : cette sous-partie prévoit le développement du système d</w:t>
      </w:r>
      <w:r w:rsidR="009618BC" w:rsidRPr="009618BC">
        <w:rPr>
          <w:lang w:val="fr-FR"/>
        </w:rPr>
        <w:t>’</w:t>
      </w:r>
      <w:r w:rsidR="00A72177" w:rsidRPr="009618BC">
        <w:rPr>
          <w:lang w:val="fr-FR"/>
        </w:rPr>
        <w:t>asile, le renforcement des capacités du personnel concerné par la procédure d</w:t>
      </w:r>
      <w:r w:rsidR="009618BC" w:rsidRPr="009618BC">
        <w:rPr>
          <w:lang w:val="fr-FR"/>
        </w:rPr>
        <w:t>’</w:t>
      </w:r>
      <w:r w:rsidR="00A72177" w:rsidRPr="009618BC">
        <w:rPr>
          <w:lang w:val="fr-FR"/>
        </w:rPr>
        <w:t>asile, un renforcement du régime de l</w:t>
      </w:r>
      <w:r w:rsidR="009618BC" w:rsidRPr="009618BC">
        <w:rPr>
          <w:lang w:val="fr-FR"/>
        </w:rPr>
        <w:t>’</w:t>
      </w:r>
      <w:r w:rsidR="00A72177" w:rsidRPr="009618BC">
        <w:rPr>
          <w:lang w:val="fr-FR"/>
        </w:rPr>
        <w:t>apatridie, ainsi qu</w:t>
      </w:r>
      <w:r w:rsidR="009618BC" w:rsidRPr="009618BC">
        <w:rPr>
          <w:lang w:val="fr-FR"/>
        </w:rPr>
        <w:t>’</w:t>
      </w:r>
      <w:r w:rsidR="00A72177" w:rsidRPr="009618BC">
        <w:rPr>
          <w:lang w:val="fr-FR"/>
        </w:rPr>
        <w:t>une systématisation des procédures de reconnaissance du statut d</w:t>
      </w:r>
      <w:r w:rsidR="009618BC" w:rsidRPr="009618BC">
        <w:rPr>
          <w:lang w:val="fr-FR"/>
        </w:rPr>
        <w:t>’</w:t>
      </w:r>
      <w:r w:rsidR="00A72177" w:rsidRPr="009618BC">
        <w:rPr>
          <w:lang w:val="fr-FR"/>
        </w:rPr>
        <w:t>apatride ;</w:t>
      </w:r>
    </w:p>
    <w:p w:rsidR="00A72177" w:rsidRPr="009618BC" w:rsidRDefault="004B281B" w:rsidP="004B281B">
      <w:pPr>
        <w:pStyle w:val="Bullet1G"/>
        <w:rPr>
          <w:lang w:val="fr-FR"/>
        </w:rPr>
      </w:pPr>
      <w:r>
        <w:rPr>
          <w:i/>
          <w:lang w:val="fr-FR"/>
        </w:rPr>
        <w:t>P</w:t>
      </w:r>
      <w:r w:rsidR="00A72177" w:rsidRPr="009618BC">
        <w:rPr>
          <w:i/>
          <w:lang w:val="fr-FR"/>
        </w:rPr>
        <w:t>olitique d</w:t>
      </w:r>
      <w:r w:rsidR="009618BC" w:rsidRPr="009618BC">
        <w:rPr>
          <w:i/>
          <w:lang w:val="fr-FR"/>
        </w:rPr>
        <w:t>’</w:t>
      </w:r>
      <w:r w:rsidR="00A72177" w:rsidRPr="009618BC">
        <w:rPr>
          <w:i/>
          <w:lang w:val="fr-FR"/>
        </w:rPr>
        <w:t>intégration et de réintégration</w:t>
      </w:r>
      <w:r w:rsidR="00A72177" w:rsidRPr="009618BC">
        <w:rPr>
          <w:lang w:val="fr-FR"/>
        </w:rPr>
        <w:t> : cette sous-partie comprend les mesures destinées à l</w:t>
      </w:r>
      <w:r w:rsidR="009618BC" w:rsidRPr="009618BC">
        <w:rPr>
          <w:lang w:val="fr-FR"/>
        </w:rPr>
        <w:t>’</w:t>
      </w:r>
      <w:r w:rsidR="00A72177" w:rsidRPr="009618BC">
        <w:rPr>
          <w:lang w:val="fr-FR"/>
        </w:rPr>
        <w:t>élaboration, au niveau central, d</w:t>
      </w:r>
      <w:r w:rsidR="009618BC" w:rsidRPr="009618BC">
        <w:rPr>
          <w:lang w:val="fr-FR"/>
        </w:rPr>
        <w:t>’</w:t>
      </w:r>
      <w:r w:rsidR="00A72177" w:rsidRPr="009618BC">
        <w:rPr>
          <w:lang w:val="fr-FR"/>
        </w:rPr>
        <w:t>une approche intégrée pour la réintégration des migrants moldoves et l</w:t>
      </w:r>
      <w:r w:rsidR="009618BC" w:rsidRPr="009618BC">
        <w:rPr>
          <w:lang w:val="fr-FR"/>
        </w:rPr>
        <w:t>’</w:t>
      </w:r>
      <w:r w:rsidR="00A72177" w:rsidRPr="009618BC">
        <w:rPr>
          <w:lang w:val="fr-FR"/>
        </w:rPr>
        <w:t>intégration des étrangers, et à sa mise en œuvre au niveau local.</w:t>
      </w:r>
    </w:p>
    <w:p w:rsidR="00A72177" w:rsidRPr="009618BC" w:rsidRDefault="00A72177" w:rsidP="009618BC">
      <w:pPr>
        <w:pStyle w:val="SingleTxtG"/>
        <w:rPr>
          <w:lang w:val="fr-FR"/>
        </w:rPr>
      </w:pPr>
      <w:r w:rsidRPr="009618BC">
        <w:rPr>
          <w:lang w:val="fr-FR"/>
        </w:rPr>
        <w:t>95.</w:t>
      </w:r>
      <w:r w:rsidRPr="009618BC">
        <w:rPr>
          <w:lang w:val="fr-FR"/>
        </w:rPr>
        <w:tab/>
        <w:t>En 2017 et 2018, un certain nombre d</w:t>
      </w:r>
      <w:r w:rsidR="009618BC" w:rsidRPr="009618BC">
        <w:rPr>
          <w:lang w:val="fr-FR"/>
        </w:rPr>
        <w:t>’</w:t>
      </w:r>
      <w:r w:rsidRPr="009618BC">
        <w:rPr>
          <w:lang w:val="fr-FR"/>
        </w:rPr>
        <w:t xml:space="preserve">activités ont été réalisées dans le cadre du </w:t>
      </w:r>
      <w:r w:rsidR="00A125EC">
        <w:rPr>
          <w:lang w:val="fr-FR"/>
        </w:rPr>
        <w:t>P</w:t>
      </w:r>
      <w:r w:rsidRPr="009618BC">
        <w:rPr>
          <w:lang w:val="fr-FR"/>
        </w:rPr>
        <w:t>lan d</w:t>
      </w:r>
      <w:r w:rsidR="009618BC" w:rsidRPr="009618BC">
        <w:rPr>
          <w:lang w:val="fr-FR"/>
        </w:rPr>
        <w:t>’</w:t>
      </w:r>
      <w:r w:rsidRPr="009618BC">
        <w:rPr>
          <w:lang w:val="fr-FR"/>
        </w:rPr>
        <w:t>action susmentionné :</w:t>
      </w:r>
    </w:p>
    <w:p w:rsidR="00A72177" w:rsidRPr="009618BC" w:rsidRDefault="00A72177" w:rsidP="004B281B">
      <w:pPr>
        <w:pStyle w:val="H4G"/>
        <w:rPr>
          <w:lang w:val="fr-FR"/>
        </w:rPr>
      </w:pPr>
      <w:r w:rsidRPr="009618BC">
        <w:rPr>
          <w:lang w:val="fr-FR"/>
        </w:rPr>
        <w:tab/>
      </w:r>
      <w:r w:rsidRPr="009618BC">
        <w:rPr>
          <w:lang w:val="fr-FR"/>
        </w:rPr>
        <w:tab/>
        <w:t>1)</w:t>
      </w:r>
    </w:p>
    <w:p w:rsidR="00A72177" w:rsidRPr="009618BC" w:rsidRDefault="00A72177" w:rsidP="009618BC">
      <w:pPr>
        <w:pStyle w:val="SingleTxtG"/>
        <w:rPr>
          <w:lang w:val="fr-FR"/>
        </w:rPr>
      </w:pPr>
      <w:r w:rsidRPr="009618BC">
        <w:rPr>
          <w:lang w:val="fr-FR"/>
        </w:rPr>
        <w:t>96.</w:t>
      </w:r>
      <w:r w:rsidRPr="009618BC">
        <w:rPr>
          <w:lang w:val="fr-FR"/>
        </w:rPr>
        <w:tab/>
        <w:t>Le Gouvernement a adopté le 12 juillet 2017 l</w:t>
      </w:r>
      <w:r w:rsidR="009618BC" w:rsidRPr="009618BC">
        <w:rPr>
          <w:lang w:val="fr-FR"/>
        </w:rPr>
        <w:t>’</w:t>
      </w:r>
      <w:r w:rsidRPr="009618BC">
        <w:rPr>
          <w:lang w:val="fr-FR"/>
        </w:rPr>
        <w:t>ordonnance n</w:t>
      </w:r>
      <w:r w:rsidRPr="009618BC">
        <w:rPr>
          <w:vertAlign w:val="superscript"/>
          <w:lang w:val="fr-FR"/>
        </w:rPr>
        <w:t>o</w:t>
      </w:r>
      <w:r w:rsidRPr="009618BC">
        <w:rPr>
          <w:lang w:val="fr-FR"/>
        </w:rPr>
        <w:t> 553 relative à la création de centres d</w:t>
      </w:r>
      <w:r w:rsidR="009618BC" w:rsidRPr="009618BC">
        <w:rPr>
          <w:lang w:val="fr-FR"/>
        </w:rPr>
        <w:t>’</w:t>
      </w:r>
      <w:r w:rsidRPr="009618BC">
        <w:rPr>
          <w:lang w:val="fr-FR"/>
        </w:rPr>
        <w:t>intégration pour étrangers. Conformément à cette ordonnance, trois de ces centres ont été mis en place sous l</w:t>
      </w:r>
      <w:r w:rsidR="009618BC" w:rsidRPr="009618BC">
        <w:rPr>
          <w:lang w:val="fr-FR"/>
        </w:rPr>
        <w:t>’</w:t>
      </w:r>
      <w:r w:rsidRPr="009618BC">
        <w:rPr>
          <w:lang w:val="fr-FR"/>
        </w:rPr>
        <w:t>égide du Bureau de la migration et de l</w:t>
      </w:r>
      <w:r w:rsidR="009618BC" w:rsidRPr="009618BC">
        <w:rPr>
          <w:lang w:val="fr-FR"/>
        </w:rPr>
        <w:t>’</w:t>
      </w:r>
      <w:r w:rsidRPr="009618BC">
        <w:rPr>
          <w:lang w:val="fr-FR"/>
        </w:rPr>
        <w:t>asile et dotés de l</w:t>
      </w:r>
      <w:r w:rsidR="009618BC" w:rsidRPr="009618BC">
        <w:rPr>
          <w:lang w:val="fr-FR"/>
        </w:rPr>
        <w:t>’</w:t>
      </w:r>
      <w:r w:rsidRPr="009618BC">
        <w:rPr>
          <w:lang w:val="fr-FR"/>
        </w:rPr>
        <w:t>équipement nécessaire, grâce au soutien du Centre international pour le développement des politiques migratoires, de l</w:t>
      </w:r>
      <w:r w:rsidR="009618BC" w:rsidRPr="009618BC">
        <w:rPr>
          <w:lang w:val="fr-FR"/>
        </w:rPr>
        <w:t>’</w:t>
      </w:r>
      <w:r w:rsidRPr="009618BC">
        <w:rPr>
          <w:lang w:val="fr-FR"/>
        </w:rPr>
        <w:t>ambassade de Roumanie, et également grâce à une aide budgétaire de l</w:t>
      </w:r>
      <w:r w:rsidR="009618BC" w:rsidRPr="009618BC">
        <w:rPr>
          <w:lang w:val="fr-FR"/>
        </w:rPr>
        <w:t>’</w:t>
      </w:r>
      <w:r w:rsidRPr="009618BC">
        <w:rPr>
          <w:lang w:val="fr-FR"/>
        </w:rPr>
        <w:t>Union européenne.</w:t>
      </w:r>
    </w:p>
    <w:p w:rsidR="00A72177" w:rsidRPr="009618BC" w:rsidRDefault="00A72177" w:rsidP="009618BC">
      <w:pPr>
        <w:pStyle w:val="SingleTxtG"/>
        <w:rPr>
          <w:lang w:val="fr-FR"/>
        </w:rPr>
      </w:pPr>
      <w:r w:rsidRPr="009618BC">
        <w:rPr>
          <w:lang w:val="fr-FR"/>
        </w:rPr>
        <w:t>97.</w:t>
      </w:r>
      <w:r w:rsidRPr="009618BC">
        <w:rPr>
          <w:lang w:val="fr-FR"/>
        </w:rPr>
        <w:tab/>
        <w:t>L</w:t>
      </w:r>
      <w:r w:rsidR="009618BC" w:rsidRPr="009618BC">
        <w:rPr>
          <w:lang w:val="fr-FR"/>
        </w:rPr>
        <w:t>’</w:t>
      </w:r>
      <w:r w:rsidRPr="009618BC">
        <w:rPr>
          <w:lang w:val="fr-FR"/>
        </w:rPr>
        <w:t xml:space="preserve">ordonnance </w:t>
      </w:r>
      <w:r w:rsidR="00A125EC" w:rsidRPr="009618BC">
        <w:rPr>
          <w:lang w:val="fr-FR"/>
        </w:rPr>
        <w:t>n</w:t>
      </w:r>
      <w:r w:rsidR="00A125EC" w:rsidRPr="009618BC">
        <w:rPr>
          <w:vertAlign w:val="superscript"/>
          <w:lang w:val="fr-FR"/>
        </w:rPr>
        <w:t>o</w:t>
      </w:r>
      <w:r w:rsidR="00A125EC" w:rsidRPr="009618BC">
        <w:rPr>
          <w:lang w:val="fr-FR"/>
        </w:rPr>
        <w:t> 553</w:t>
      </w:r>
      <w:r w:rsidR="00A125EC">
        <w:rPr>
          <w:lang w:val="fr-FR"/>
        </w:rPr>
        <w:t xml:space="preserve"> </w:t>
      </w:r>
      <w:r w:rsidRPr="009618BC">
        <w:rPr>
          <w:lang w:val="fr-FR"/>
        </w:rPr>
        <w:t>du 12 juillet 2017 a également approuvé le Règlement des centres d</w:t>
      </w:r>
      <w:r w:rsidR="009618BC" w:rsidRPr="009618BC">
        <w:rPr>
          <w:lang w:val="fr-FR"/>
        </w:rPr>
        <w:t>’</w:t>
      </w:r>
      <w:r w:rsidRPr="009618BC">
        <w:rPr>
          <w:lang w:val="fr-FR"/>
        </w:rPr>
        <w:t>intégration pour étrangers, dans lequel lesdits centres</w:t>
      </w:r>
      <w:r w:rsidR="00EC0ECE">
        <w:rPr>
          <w:lang w:val="fr-FR"/>
        </w:rPr>
        <w:t xml:space="preserve"> </w:t>
      </w:r>
      <w:r w:rsidRPr="009618BC">
        <w:rPr>
          <w:lang w:val="fr-FR"/>
        </w:rPr>
        <w:t>sont définis comme des centres spécialisés subordonnés au Bureau de la migration et de l</w:t>
      </w:r>
      <w:r w:rsidR="009618BC" w:rsidRPr="009618BC">
        <w:rPr>
          <w:lang w:val="fr-FR"/>
        </w:rPr>
        <w:t>’</w:t>
      </w:r>
      <w:r w:rsidRPr="009618BC">
        <w:rPr>
          <w:lang w:val="fr-FR"/>
        </w:rPr>
        <w:t>asile. Ils constituent un service distinct, chargé d</w:t>
      </w:r>
      <w:r w:rsidR="009618BC" w:rsidRPr="009618BC">
        <w:rPr>
          <w:lang w:val="fr-FR"/>
        </w:rPr>
        <w:t>’</w:t>
      </w:r>
      <w:r w:rsidRPr="009618BC">
        <w:rPr>
          <w:lang w:val="fr-FR"/>
        </w:rPr>
        <w:t>organiser des activités d</w:t>
      </w:r>
      <w:r w:rsidR="009618BC" w:rsidRPr="009618BC">
        <w:rPr>
          <w:lang w:val="fr-FR"/>
        </w:rPr>
        <w:t>’</w:t>
      </w:r>
      <w:r w:rsidRPr="009618BC">
        <w:rPr>
          <w:lang w:val="fr-FR"/>
        </w:rPr>
        <w:t>intégration, d</w:t>
      </w:r>
      <w:r w:rsidR="009618BC" w:rsidRPr="009618BC">
        <w:rPr>
          <w:lang w:val="fr-FR"/>
        </w:rPr>
        <w:t>’</w:t>
      </w:r>
      <w:r w:rsidRPr="009618BC">
        <w:rPr>
          <w:lang w:val="fr-FR"/>
        </w:rPr>
        <w:t>offrir des consultations et informations et d</w:t>
      </w:r>
      <w:r w:rsidR="009618BC" w:rsidRPr="009618BC">
        <w:rPr>
          <w:lang w:val="fr-FR"/>
        </w:rPr>
        <w:t>’</w:t>
      </w:r>
      <w:r w:rsidRPr="009618BC">
        <w:rPr>
          <w:lang w:val="fr-FR"/>
        </w:rPr>
        <w:t>apporter une aide aux étrangers. Ils n</w:t>
      </w:r>
      <w:r w:rsidR="009618BC" w:rsidRPr="009618BC">
        <w:rPr>
          <w:lang w:val="fr-FR"/>
        </w:rPr>
        <w:t>’</w:t>
      </w:r>
      <w:r w:rsidRPr="009618BC">
        <w:rPr>
          <w:lang w:val="fr-FR"/>
        </w:rPr>
        <w:t>ont pas de statut juridique propre.</w:t>
      </w:r>
    </w:p>
    <w:p w:rsidR="00A72177" w:rsidRPr="009618BC" w:rsidRDefault="00A72177" w:rsidP="009618BC">
      <w:pPr>
        <w:pStyle w:val="SingleTxtG"/>
        <w:rPr>
          <w:lang w:val="fr-FR"/>
        </w:rPr>
      </w:pPr>
      <w:r w:rsidRPr="009618BC">
        <w:rPr>
          <w:lang w:val="fr-FR"/>
        </w:rPr>
        <w:t>98.</w:t>
      </w:r>
      <w:r w:rsidRPr="009618BC">
        <w:rPr>
          <w:lang w:val="fr-FR"/>
        </w:rPr>
        <w:tab/>
        <w:t xml:space="preserve">Les </w:t>
      </w:r>
      <w:r w:rsidR="00F2509C">
        <w:rPr>
          <w:lang w:val="fr-FR"/>
        </w:rPr>
        <w:t>c</w:t>
      </w:r>
      <w:r w:rsidRPr="009618BC">
        <w:rPr>
          <w:lang w:val="fr-FR"/>
        </w:rPr>
        <w:t>entres opèrent dans trois zones : le Nord, dans la commune de Bălţi, le Centre, dans la commune de Chisinau, le Sud, dans la commune de Cahul :</w:t>
      </w:r>
    </w:p>
    <w:p w:rsidR="00A72177" w:rsidRPr="009618BC" w:rsidRDefault="00A72177" w:rsidP="004B281B">
      <w:pPr>
        <w:pStyle w:val="Bullet1G"/>
        <w:rPr>
          <w:lang w:val="fr-FR"/>
        </w:rPr>
      </w:pPr>
      <w:r w:rsidRPr="009618BC">
        <w:rPr>
          <w:lang w:val="fr-FR"/>
        </w:rPr>
        <w:t>Centre d</w:t>
      </w:r>
      <w:r w:rsidR="009618BC" w:rsidRPr="009618BC">
        <w:rPr>
          <w:lang w:val="fr-FR"/>
        </w:rPr>
        <w:t>’</w:t>
      </w:r>
      <w:r w:rsidRPr="009618BC">
        <w:rPr>
          <w:lang w:val="fr-FR"/>
        </w:rPr>
        <w:t>intégration pour étrangers, service régional Nord (Bălţi) : dessert la commune de Bălţi et 14 districts ;</w:t>
      </w:r>
    </w:p>
    <w:p w:rsidR="00A72177" w:rsidRPr="009618BC" w:rsidRDefault="00A72177" w:rsidP="004B281B">
      <w:pPr>
        <w:pStyle w:val="Bullet1G"/>
        <w:rPr>
          <w:lang w:val="fr-FR"/>
        </w:rPr>
      </w:pPr>
      <w:r w:rsidRPr="009618BC">
        <w:rPr>
          <w:lang w:val="fr-FR"/>
        </w:rPr>
        <w:t>Centre d</w:t>
      </w:r>
      <w:r w:rsidR="009618BC" w:rsidRPr="009618BC">
        <w:rPr>
          <w:lang w:val="fr-FR"/>
        </w:rPr>
        <w:t>’</w:t>
      </w:r>
      <w:r w:rsidRPr="009618BC">
        <w:rPr>
          <w:lang w:val="fr-FR"/>
        </w:rPr>
        <w:t>intégration pour étrangers, service régional Centre (Chisinau) : dessert la commune de Bălţi et 12 districts ;</w:t>
      </w:r>
    </w:p>
    <w:p w:rsidR="00A72177" w:rsidRPr="009618BC" w:rsidRDefault="00A72177" w:rsidP="004B281B">
      <w:pPr>
        <w:pStyle w:val="Bullet1G"/>
        <w:rPr>
          <w:lang w:val="fr-FR"/>
        </w:rPr>
      </w:pPr>
      <w:r w:rsidRPr="009618BC">
        <w:rPr>
          <w:lang w:val="fr-FR"/>
        </w:rPr>
        <w:t>Centre d</w:t>
      </w:r>
      <w:r w:rsidR="009618BC" w:rsidRPr="009618BC">
        <w:rPr>
          <w:lang w:val="fr-FR"/>
        </w:rPr>
        <w:t>’</w:t>
      </w:r>
      <w:r w:rsidRPr="009618BC">
        <w:rPr>
          <w:lang w:val="fr-FR"/>
        </w:rPr>
        <w:t>intégration pour étrangers, service régional Sud (Cahul) : dessert l</w:t>
      </w:r>
      <w:r w:rsidR="009618BC" w:rsidRPr="009618BC">
        <w:rPr>
          <w:lang w:val="fr-FR"/>
        </w:rPr>
        <w:t>’</w:t>
      </w:r>
      <w:r w:rsidRPr="009618BC">
        <w:rPr>
          <w:lang w:val="fr-FR"/>
        </w:rPr>
        <w:t>Unité territoriale autonome de Gagaouzie et 6 districts.</w:t>
      </w:r>
    </w:p>
    <w:p w:rsidR="00A72177" w:rsidRPr="009618BC" w:rsidRDefault="00A72177" w:rsidP="009618BC">
      <w:pPr>
        <w:pStyle w:val="SingleTxtG"/>
        <w:rPr>
          <w:lang w:val="fr-FR"/>
        </w:rPr>
      </w:pPr>
      <w:r w:rsidRPr="009618BC">
        <w:rPr>
          <w:lang w:val="fr-FR"/>
        </w:rPr>
        <w:t>99.</w:t>
      </w:r>
      <w:r w:rsidRPr="009618BC">
        <w:rPr>
          <w:lang w:val="fr-FR"/>
        </w:rPr>
        <w:tab/>
        <w:t xml:space="preserve">Les activités des </w:t>
      </w:r>
      <w:r w:rsidR="00F2509C">
        <w:rPr>
          <w:lang w:val="fr-FR"/>
        </w:rPr>
        <w:t>c</w:t>
      </w:r>
      <w:r w:rsidRPr="009618BC">
        <w:rPr>
          <w:lang w:val="fr-FR"/>
        </w:rPr>
        <w:t>entres sont financées par des allocations du budget de l</w:t>
      </w:r>
      <w:r w:rsidR="009618BC" w:rsidRPr="009618BC">
        <w:rPr>
          <w:lang w:val="fr-FR"/>
        </w:rPr>
        <w:t>’</w:t>
      </w:r>
      <w:r w:rsidRPr="009618BC">
        <w:rPr>
          <w:lang w:val="fr-FR"/>
        </w:rPr>
        <w:t>État approuvées pour le Ministère de l</w:t>
      </w:r>
      <w:r w:rsidR="009618BC" w:rsidRPr="009618BC">
        <w:rPr>
          <w:lang w:val="fr-FR"/>
        </w:rPr>
        <w:t>’</w:t>
      </w:r>
      <w:r w:rsidRPr="009618BC">
        <w:rPr>
          <w:lang w:val="fr-FR"/>
        </w:rPr>
        <w:t>intérieur, ainsi que par d</w:t>
      </w:r>
      <w:r w:rsidR="009618BC" w:rsidRPr="009618BC">
        <w:rPr>
          <w:lang w:val="fr-FR"/>
        </w:rPr>
        <w:t>’</w:t>
      </w:r>
      <w:r w:rsidRPr="009618BC">
        <w:rPr>
          <w:lang w:val="fr-FR"/>
        </w:rPr>
        <w:t>autres sources de financement dans le respect de la législation en vigueur.</w:t>
      </w:r>
    </w:p>
    <w:p w:rsidR="00A72177" w:rsidRPr="009618BC" w:rsidRDefault="00A72177" w:rsidP="009618BC">
      <w:pPr>
        <w:pStyle w:val="SingleTxtG"/>
        <w:rPr>
          <w:lang w:val="fr-FR"/>
        </w:rPr>
      </w:pPr>
      <w:r w:rsidRPr="009618BC">
        <w:rPr>
          <w:lang w:val="fr-FR"/>
        </w:rPr>
        <w:t>100.</w:t>
      </w:r>
      <w:r w:rsidRPr="009618BC">
        <w:rPr>
          <w:lang w:val="fr-FR"/>
        </w:rPr>
        <w:tab/>
        <w:t xml:space="preserve">Les </w:t>
      </w:r>
      <w:r w:rsidR="00F2509C">
        <w:rPr>
          <w:lang w:val="fr-FR"/>
        </w:rPr>
        <w:t>c</w:t>
      </w:r>
      <w:r w:rsidRPr="009618BC">
        <w:rPr>
          <w:lang w:val="fr-FR"/>
        </w:rPr>
        <w:t>entres ont été mis en place pour apporter aux étrangers un accompagnement à long terme dans le processus d</w:t>
      </w:r>
      <w:r w:rsidR="009618BC" w:rsidRPr="009618BC">
        <w:rPr>
          <w:lang w:val="fr-FR"/>
        </w:rPr>
        <w:t>’</w:t>
      </w:r>
      <w:r w:rsidRPr="009618BC">
        <w:rPr>
          <w:lang w:val="fr-FR"/>
        </w:rPr>
        <w:t>intégration. Ils servent de guichet unique pour les demandes de participation aux activités ou programmes d</w:t>
      </w:r>
      <w:r w:rsidR="009618BC" w:rsidRPr="009618BC">
        <w:rPr>
          <w:lang w:val="fr-FR"/>
        </w:rPr>
        <w:t>’</w:t>
      </w:r>
      <w:r w:rsidRPr="009618BC">
        <w:rPr>
          <w:lang w:val="fr-FR"/>
        </w:rPr>
        <w:t>intégration, l</w:t>
      </w:r>
      <w:r w:rsidR="009618BC" w:rsidRPr="009618BC">
        <w:rPr>
          <w:lang w:val="fr-FR"/>
        </w:rPr>
        <w:t>’</w:t>
      </w:r>
      <w:r w:rsidRPr="009618BC">
        <w:rPr>
          <w:lang w:val="fr-FR"/>
        </w:rPr>
        <w:t>introduction du mécanisme de réorientation et la mise en œuvre de la coordination interinstitutions sur le terrain. En outre, ils représentent un service à long terme, tourné vers la population majoritaire locale.</w:t>
      </w:r>
    </w:p>
    <w:p w:rsidR="00A72177" w:rsidRPr="009618BC" w:rsidRDefault="00A72177" w:rsidP="004B281B">
      <w:pPr>
        <w:pStyle w:val="H4G"/>
        <w:rPr>
          <w:lang w:val="fr-FR"/>
        </w:rPr>
      </w:pPr>
      <w:r w:rsidRPr="009618BC">
        <w:rPr>
          <w:lang w:val="fr-FR"/>
        </w:rPr>
        <w:tab/>
      </w:r>
      <w:r w:rsidRPr="009618BC">
        <w:rPr>
          <w:lang w:val="fr-FR"/>
        </w:rPr>
        <w:tab/>
        <w:t>2)</w:t>
      </w:r>
    </w:p>
    <w:p w:rsidR="00A72177" w:rsidRPr="009618BC" w:rsidRDefault="00A72177" w:rsidP="009618BC">
      <w:pPr>
        <w:pStyle w:val="SingleTxtG"/>
        <w:rPr>
          <w:lang w:val="fr-FR"/>
        </w:rPr>
      </w:pPr>
      <w:r w:rsidRPr="009618BC">
        <w:rPr>
          <w:lang w:val="fr-FR"/>
        </w:rPr>
        <w:t>101.</w:t>
      </w:r>
      <w:r w:rsidRPr="009618BC">
        <w:rPr>
          <w:lang w:val="fr-FR"/>
        </w:rPr>
        <w:tab/>
        <w:t>La procédure d</w:t>
      </w:r>
      <w:r w:rsidR="009618BC" w:rsidRPr="009618BC">
        <w:rPr>
          <w:lang w:val="fr-FR"/>
        </w:rPr>
        <w:t>’</w:t>
      </w:r>
      <w:r w:rsidRPr="009618BC">
        <w:rPr>
          <w:lang w:val="fr-FR"/>
        </w:rPr>
        <w:t>établissement des documents</w:t>
      </w:r>
      <w:r w:rsidR="00EC0ECE">
        <w:rPr>
          <w:lang w:val="fr-FR"/>
        </w:rPr>
        <w:t xml:space="preserve"> </w:t>
      </w:r>
      <w:r w:rsidRPr="009618BC">
        <w:rPr>
          <w:lang w:val="fr-FR"/>
        </w:rPr>
        <w:t>concernant les travailleurs détachés a été modifiée par l</w:t>
      </w:r>
      <w:r w:rsidR="009618BC" w:rsidRPr="009618BC">
        <w:rPr>
          <w:lang w:val="fr-FR"/>
        </w:rPr>
        <w:t>’</w:t>
      </w:r>
      <w:r w:rsidRPr="009618BC">
        <w:rPr>
          <w:lang w:val="fr-FR"/>
        </w:rPr>
        <w:t>adoption de la loi n</w:t>
      </w:r>
      <w:r w:rsidRPr="009618BC">
        <w:rPr>
          <w:vertAlign w:val="superscript"/>
          <w:lang w:val="fr-FR"/>
        </w:rPr>
        <w:t>o</w:t>
      </w:r>
      <w:r w:rsidRPr="009618BC">
        <w:rPr>
          <w:lang w:val="fr-FR"/>
        </w:rPr>
        <w:t> 165 du 20 juillet 2017 modifiant et complétant</w:t>
      </w:r>
      <w:r w:rsidR="00EC0ECE">
        <w:rPr>
          <w:lang w:val="fr-FR"/>
        </w:rPr>
        <w:t xml:space="preserve"> </w:t>
      </w:r>
      <w:r w:rsidRPr="009618BC">
        <w:rPr>
          <w:lang w:val="fr-FR"/>
        </w:rPr>
        <w:t>la loi n</w:t>
      </w:r>
      <w:r w:rsidRPr="009618BC">
        <w:rPr>
          <w:vertAlign w:val="superscript"/>
          <w:lang w:val="fr-FR"/>
        </w:rPr>
        <w:t>o</w:t>
      </w:r>
      <w:r w:rsidRPr="009618BC">
        <w:rPr>
          <w:lang w:val="fr-FR"/>
        </w:rPr>
        <w:t> 180 du 10 juillet 2008 relative à la migration liée au travail et de la loi n</w:t>
      </w:r>
      <w:r w:rsidRPr="009618BC">
        <w:rPr>
          <w:vertAlign w:val="superscript"/>
          <w:lang w:val="fr-FR"/>
        </w:rPr>
        <w:t>o</w:t>
      </w:r>
      <w:r w:rsidR="00F2509C">
        <w:rPr>
          <w:lang w:val="fr-FR"/>
        </w:rPr>
        <w:t> 200 du 16 juillet </w:t>
      </w:r>
      <w:r w:rsidRPr="009618BC">
        <w:rPr>
          <w:lang w:val="fr-FR"/>
        </w:rPr>
        <w:t>2010 relative au statut des étrangers en République de Moldova. Les modifications apportées ont entraîné une simplification de la procédure d</w:t>
      </w:r>
      <w:r w:rsidR="009618BC" w:rsidRPr="009618BC">
        <w:rPr>
          <w:lang w:val="fr-FR"/>
        </w:rPr>
        <w:t>’</w:t>
      </w:r>
      <w:r w:rsidRPr="009618BC">
        <w:rPr>
          <w:lang w:val="fr-FR"/>
        </w:rPr>
        <w:t>obtention d</w:t>
      </w:r>
      <w:r w:rsidR="009618BC" w:rsidRPr="009618BC">
        <w:rPr>
          <w:lang w:val="fr-FR"/>
        </w:rPr>
        <w:t>’</w:t>
      </w:r>
      <w:r w:rsidRPr="009618BC">
        <w:rPr>
          <w:lang w:val="fr-FR"/>
        </w:rPr>
        <w:t>un droit de séjour temporaire aux fins d</w:t>
      </w:r>
      <w:r w:rsidR="009618BC" w:rsidRPr="009618BC">
        <w:rPr>
          <w:lang w:val="fr-FR"/>
        </w:rPr>
        <w:t>’</w:t>
      </w:r>
      <w:r w:rsidRPr="009618BC">
        <w:rPr>
          <w:lang w:val="fr-FR"/>
        </w:rPr>
        <w:t>activités professionnelles et supprimé la procédure d</w:t>
      </w:r>
      <w:r w:rsidR="009618BC" w:rsidRPr="009618BC">
        <w:rPr>
          <w:lang w:val="fr-FR"/>
        </w:rPr>
        <w:t>’</w:t>
      </w:r>
      <w:r w:rsidRPr="009618BC">
        <w:rPr>
          <w:lang w:val="fr-FR"/>
        </w:rPr>
        <w:t>approbation de l</w:t>
      </w:r>
      <w:r w:rsidR="009618BC" w:rsidRPr="009618BC">
        <w:rPr>
          <w:lang w:val="fr-FR"/>
        </w:rPr>
        <w:t>’</w:t>
      </w:r>
      <w:r w:rsidRPr="009618BC">
        <w:rPr>
          <w:lang w:val="fr-FR"/>
        </w:rPr>
        <w:t>Agence nationale pour l</w:t>
      </w:r>
      <w:r w:rsidR="009618BC" w:rsidRPr="009618BC">
        <w:rPr>
          <w:lang w:val="fr-FR"/>
        </w:rPr>
        <w:t>’</w:t>
      </w:r>
      <w:r w:rsidRPr="009618BC">
        <w:rPr>
          <w:lang w:val="fr-FR"/>
        </w:rPr>
        <w:t>emploi. Parallèlement, selon les nouvelles dispositions, les travailleurs détachés ne reçoivent pas de permis de travail, exceptés pour un détachement d</w:t>
      </w:r>
      <w:r w:rsidR="009618BC" w:rsidRPr="009618BC">
        <w:rPr>
          <w:lang w:val="fr-FR"/>
        </w:rPr>
        <w:t>’</w:t>
      </w:r>
      <w:r w:rsidRPr="009618BC">
        <w:rPr>
          <w:lang w:val="fr-FR"/>
        </w:rPr>
        <w:t xml:space="preserve">une durée supérieure à </w:t>
      </w:r>
      <w:r w:rsidR="00A66531">
        <w:rPr>
          <w:lang w:val="fr-FR"/>
        </w:rPr>
        <w:t>quatre-vingt-dix</w:t>
      </w:r>
      <w:r w:rsidRPr="009618BC">
        <w:rPr>
          <w:lang w:val="fr-FR"/>
        </w:rPr>
        <w:t> jours.</w:t>
      </w:r>
    </w:p>
    <w:p w:rsidR="00A72177" w:rsidRPr="009618BC" w:rsidRDefault="00A72177" w:rsidP="004B281B">
      <w:pPr>
        <w:pStyle w:val="H4G"/>
        <w:rPr>
          <w:lang w:val="fr-FR"/>
        </w:rPr>
      </w:pPr>
      <w:r w:rsidRPr="009618BC">
        <w:rPr>
          <w:lang w:val="fr-FR"/>
        </w:rPr>
        <w:lastRenderedPageBreak/>
        <w:tab/>
      </w:r>
      <w:r w:rsidRPr="009618BC">
        <w:rPr>
          <w:lang w:val="fr-FR"/>
        </w:rPr>
        <w:tab/>
        <w:t>3)</w:t>
      </w:r>
    </w:p>
    <w:p w:rsidR="00A72177" w:rsidRPr="009618BC" w:rsidRDefault="00A72177" w:rsidP="009618BC">
      <w:pPr>
        <w:pStyle w:val="SingleTxtG"/>
        <w:rPr>
          <w:lang w:val="fr-FR"/>
        </w:rPr>
      </w:pPr>
      <w:r w:rsidRPr="009618BC">
        <w:rPr>
          <w:lang w:val="fr-FR"/>
        </w:rPr>
        <w:t>102.</w:t>
      </w:r>
      <w:r w:rsidRPr="009618BC">
        <w:rPr>
          <w:lang w:val="fr-FR"/>
        </w:rPr>
        <w:tab/>
        <w:t>Conformément aux dispositions de la loi n</w:t>
      </w:r>
      <w:r w:rsidRPr="009618BC">
        <w:rPr>
          <w:vertAlign w:val="superscript"/>
          <w:lang w:val="fr-FR"/>
        </w:rPr>
        <w:t>o</w:t>
      </w:r>
      <w:r w:rsidRPr="009618BC">
        <w:rPr>
          <w:lang w:val="fr-FR"/>
        </w:rPr>
        <w:t> 102 du 13 mars 2003 relative à l</w:t>
      </w:r>
      <w:r w:rsidR="009618BC" w:rsidRPr="009618BC">
        <w:rPr>
          <w:lang w:val="fr-FR"/>
        </w:rPr>
        <w:t>’</w:t>
      </w:r>
      <w:r w:rsidRPr="009618BC">
        <w:rPr>
          <w:lang w:val="fr-FR"/>
        </w:rPr>
        <w:t>emploi et la protection sociale des demandeurs d</w:t>
      </w:r>
      <w:r w:rsidR="009618BC" w:rsidRPr="009618BC">
        <w:rPr>
          <w:lang w:val="fr-FR"/>
        </w:rPr>
        <w:t>’</w:t>
      </w:r>
      <w:r w:rsidR="00A66531">
        <w:rPr>
          <w:lang w:val="fr-FR"/>
        </w:rPr>
        <w:t>emploi, en 2017, 3 774 </w:t>
      </w:r>
      <w:r w:rsidRPr="009618BC">
        <w:rPr>
          <w:lang w:val="fr-FR"/>
        </w:rPr>
        <w:t>étrangers ont reçu un permis de séjour, permanent pour 66 personnes et temporaire pour 3</w:t>
      </w:r>
      <w:r w:rsidR="00A66531">
        <w:rPr>
          <w:lang w:val="fr-FR"/>
        </w:rPr>
        <w:t> </w:t>
      </w:r>
      <w:r w:rsidRPr="009618BC">
        <w:rPr>
          <w:lang w:val="fr-FR"/>
        </w:rPr>
        <w:t>708 autres. Quelque 829 personnes ont été enregistrées comme travailleurs immigrés et 1</w:t>
      </w:r>
      <w:r w:rsidR="00A66531">
        <w:rPr>
          <w:lang w:val="fr-FR"/>
        </w:rPr>
        <w:t> </w:t>
      </w:r>
      <w:r w:rsidRPr="009618BC">
        <w:rPr>
          <w:lang w:val="fr-FR"/>
        </w:rPr>
        <w:t>437 personnes ont reçu un permis de séjour au titre de la réunification familiale. Ces dernières ont légalement le droit d</w:t>
      </w:r>
      <w:r w:rsidR="009618BC" w:rsidRPr="009618BC">
        <w:rPr>
          <w:lang w:val="fr-FR"/>
        </w:rPr>
        <w:t>’</w:t>
      </w:r>
      <w:r w:rsidRPr="009618BC">
        <w:rPr>
          <w:lang w:val="fr-FR"/>
        </w:rPr>
        <w:t>exercer une activité professionnelle.</w:t>
      </w:r>
    </w:p>
    <w:p w:rsidR="00A72177" w:rsidRPr="009618BC" w:rsidRDefault="00A72177" w:rsidP="004B281B">
      <w:pPr>
        <w:pStyle w:val="H4G"/>
        <w:rPr>
          <w:lang w:val="fr-FR"/>
        </w:rPr>
      </w:pPr>
      <w:r w:rsidRPr="009618BC">
        <w:rPr>
          <w:lang w:val="fr-FR"/>
        </w:rPr>
        <w:tab/>
      </w:r>
      <w:r w:rsidRPr="009618BC">
        <w:rPr>
          <w:lang w:val="fr-FR"/>
        </w:rPr>
        <w:tab/>
        <w:t>4)</w:t>
      </w:r>
    </w:p>
    <w:p w:rsidR="00A72177" w:rsidRPr="009618BC" w:rsidRDefault="00A72177" w:rsidP="009618BC">
      <w:pPr>
        <w:pStyle w:val="SingleTxtG"/>
        <w:rPr>
          <w:lang w:val="fr-FR"/>
        </w:rPr>
      </w:pPr>
      <w:r w:rsidRPr="009618BC">
        <w:rPr>
          <w:lang w:val="fr-FR"/>
        </w:rPr>
        <w:t>103.</w:t>
      </w:r>
      <w:r w:rsidRPr="009618BC">
        <w:rPr>
          <w:lang w:val="fr-FR"/>
        </w:rPr>
        <w:tab/>
        <w:t>Le Bureau des migrations et de l</w:t>
      </w:r>
      <w:r w:rsidR="009618BC" w:rsidRPr="009618BC">
        <w:rPr>
          <w:lang w:val="fr-FR"/>
        </w:rPr>
        <w:t>’</w:t>
      </w:r>
      <w:r w:rsidRPr="009618BC">
        <w:rPr>
          <w:lang w:val="fr-FR"/>
        </w:rPr>
        <w:t>asile contrôle l</w:t>
      </w:r>
      <w:r w:rsidR="009618BC" w:rsidRPr="009618BC">
        <w:rPr>
          <w:lang w:val="fr-FR"/>
        </w:rPr>
        <w:t>’</w:t>
      </w:r>
      <w:r w:rsidRPr="009618BC">
        <w:rPr>
          <w:lang w:val="fr-FR"/>
        </w:rPr>
        <w:t>application de la législation du travail au sujet des étrangers et assure la compatibilité des textes législatifs nationaux dans ce domaine en les rendant conformes aux exigences de l</w:t>
      </w:r>
      <w:r w:rsidR="009618BC" w:rsidRPr="009618BC">
        <w:rPr>
          <w:lang w:val="fr-FR"/>
        </w:rPr>
        <w:t>’</w:t>
      </w:r>
      <w:r w:rsidRPr="009618BC">
        <w:rPr>
          <w:lang w:val="fr-FR"/>
        </w:rPr>
        <w:t>Accord d</w:t>
      </w:r>
      <w:r w:rsidR="009618BC" w:rsidRPr="009618BC">
        <w:rPr>
          <w:lang w:val="fr-FR"/>
        </w:rPr>
        <w:t>’</w:t>
      </w:r>
      <w:r w:rsidRPr="009618BC">
        <w:rPr>
          <w:lang w:val="fr-FR"/>
        </w:rPr>
        <w:t>association entre la République de Moldova et l</w:t>
      </w:r>
      <w:r w:rsidR="009618BC" w:rsidRPr="009618BC">
        <w:rPr>
          <w:lang w:val="fr-FR"/>
        </w:rPr>
        <w:t>’</w:t>
      </w:r>
      <w:r w:rsidRPr="009618BC">
        <w:rPr>
          <w:lang w:val="fr-FR"/>
        </w:rPr>
        <w:t>Union européenne, et en modifiant les procédures de documentation. À ce sujet, il convient de mentionner :</w:t>
      </w:r>
    </w:p>
    <w:p w:rsidR="00A72177" w:rsidRPr="009618BC" w:rsidRDefault="004B281B" w:rsidP="004B281B">
      <w:pPr>
        <w:pStyle w:val="Bullet1G"/>
        <w:rPr>
          <w:lang w:val="fr-FR"/>
        </w:rPr>
      </w:pPr>
      <w:r>
        <w:rPr>
          <w:lang w:val="fr-FR"/>
        </w:rPr>
        <w:t>L</w:t>
      </w:r>
      <w:r w:rsidR="009618BC" w:rsidRPr="009618BC">
        <w:rPr>
          <w:lang w:val="fr-FR"/>
        </w:rPr>
        <w:t>’</w:t>
      </w:r>
      <w:r w:rsidR="00A72177" w:rsidRPr="009618BC">
        <w:rPr>
          <w:lang w:val="fr-FR"/>
        </w:rPr>
        <w:t>ordonnance gouvernementale modifiant et complétant l</w:t>
      </w:r>
      <w:r w:rsidR="009618BC" w:rsidRPr="009618BC">
        <w:rPr>
          <w:lang w:val="fr-FR"/>
        </w:rPr>
        <w:t>’</w:t>
      </w:r>
      <w:r w:rsidR="00A72177" w:rsidRPr="009618BC">
        <w:rPr>
          <w:lang w:val="fr-FR"/>
        </w:rPr>
        <w:t>ordonnance gouvernementale n</w:t>
      </w:r>
      <w:r w:rsidR="00A72177" w:rsidRPr="009618BC">
        <w:rPr>
          <w:vertAlign w:val="superscript"/>
          <w:lang w:val="fr-FR"/>
        </w:rPr>
        <w:t>o</w:t>
      </w:r>
      <w:r w:rsidR="00A72177" w:rsidRPr="009618BC">
        <w:rPr>
          <w:lang w:val="fr-FR"/>
        </w:rPr>
        <w:t> 331 du 5 mai 2011 relative à la délivrance d</w:t>
      </w:r>
      <w:r w:rsidR="009618BC" w:rsidRPr="009618BC">
        <w:rPr>
          <w:lang w:val="fr-FR"/>
        </w:rPr>
        <w:t>’</w:t>
      </w:r>
      <w:r w:rsidR="00A72177" w:rsidRPr="009618BC">
        <w:rPr>
          <w:lang w:val="fr-FR"/>
        </w:rPr>
        <w:t>invitations aux étrangers (approuvé par le décret gouvernemental n</w:t>
      </w:r>
      <w:r w:rsidR="00A72177" w:rsidRPr="009618BC">
        <w:rPr>
          <w:vertAlign w:val="superscript"/>
          <w:lang w:val="fr-FR"/>
        </w:rPr>
        <w:t>o</w:t>
      </w:r>
      <w:r w:rsidR="00A72177" w:rsidRPr="009618BC">
        <w:rPr>
          <w:lang w:val="fr-FR"/>
        </w:rPr>
        <w:t> 424 du 12 juin 2017) ;</w:t>
      </w:r>
    </w:p>
    <w:p w:rsidR="00A72177" w:rsidRPr="009618BC" w:rsidRDefault="004B281B" w:rsidP="004B281B">
      <w:pPr>
        <w:pStyle w:val="Bullet1G"/>
        <w:rPr>
          <w:lang w:val="fr-FR"/>
        </w:rPr>
      </w:pPr>
      <w:r>
        <w:rPr>
          <w:lang w:val="fr-FR"/>
        </w:rPr>
        <w:t>L</w:t>
      </w:r>
      <w:r w:rsidR="00A72177" w:rsidRPr="009618BC">
        <w:rPr>
          <w:lang w:val="fr-FR"/>
        </w:rPr>
        <w:t xml:space="preserve">a loi </w:t>
      </w:r>
      <w:r w:rsidR="00A66531" w:rsidRPr="00A66531">
        <w:rPr>
          <w:rFonts w:eastAsia="MS Mincho"/>
          <w:lang w:val="fr-FR"/>
        </w:rPr>
        <w:t>n</w:t>
      </w:r>
      <w:r w:rsidR="00A66531" w:rsidRPr="00A66531">
        <w:rPr>
          <w:rFonts w:eastAsia="MS Mincho"/>
          <w:vertAlign w:val="superscript"/>
          <w:lang w:val="fr-FR"/>
        </w:rPr>
        <w:t>o</w:t>
      </w:r>
      <w:r w:rsidR="00A66531">
        <w:rPr>
          <w:rFonts w:eastAsia="MS Mincho"/>
          <w:vertAlign w:val="superscript"/>
          <w:lang w:val="fr-FR"/>
        </w:rPr>
        <w:t> </w:t>
      </w:r>
      <w:r w:rsidR="00A72177" w:rsidRPr="009618BC">
        <w:rPr>
          <w:lang w:val="fr-FR"/>
        </w:rPr>
        <w:t>165 du 20 juillet 2017 modifiant et complétant la loi n</w:t>
      </w:r>
      <w:r w:rsidR="00A72177" w:rsidRPr="009618BC">
        <w:rPr>
          <w:vertAlign w:val="superscript"/>
          <w:lang w:val="fr-FR"/>
        </w:rPr>
        <w:t>o</w:t>
      </w:r>
      <w:r w:rsidR="00A72177" w:rsidRPr="009618BC">
        <w:rPr>
          <w:lang w:val="fr-FR"/>
        </w:rPr>
        <w:t> 180-VI du 10 juillet 2008 relative à la migration de travail et de la loi n</w:t>
      </w:r>
      <w:r w:rsidR="00A72177" w:rsidRPr="009618BC">
        <w:rPr>
          <w:vertAlign w:val="superscript"/>
          <w:lang w:val="fr-FR"/>
        </w:rPr>
        <w:t>o</w:t>
      </w:r>
      <w:r w:rsidR="00A72177" w:rsidRPr="009618BC">
        <w:rPr>
          <w:lang w:val="fr-FR"/>
        </w:rPr>
        <w:t> 200 du 16 juillet 2010 relative au statut des étrangers en République de Moldova ;</w:t>
      </w:r>
    </w:p>
    <w:p w:rsidR="00A72177" w:rsidRPr="009618BC" w:rsidRDefault="004B281B" w:rsidP="004B281B">
      <w:pPr>
        <w:pStyle w:val="Bullet1G"/>
        <w:rPr>
          <w:lang w:val="fr-FR"/>
        </w:rPr>
      </w:pPr>
      <w:r>
        <w:rPr>
          <w:lang w:val="fr-FR"/>
        </w:rPr>
        <w:t>L</w:t>
      </w:r>
      <w:r w:rsidR="009618BC" w:rsidRPr="009618BC">
        <w:rPr>
          <w:lang w:val="fr-FR"/>
        </w:rPr>
        <w:t>’</w:t>
      </w:r>
      <w:r w:rsidR="00A72177" w:rsidRPr="009618BC">
        <w:rPr>
          <w:lang w:val="fr-FR"/>
        </w:rPr>
        <w:t>ordonnance gouvernementale modifiant et complétant le Règlement relatif au fonctionnement du guichet unique pour la documentation des étrangers</w:t>
      </w:r>
      <w:r w:rsidR="00A72177" w:rsidRPr="009618BC">
        <w:rPr>
          <w:rStyle w:val="Appelnotedebasdep"/>
        </w:rPr>
        <w:footnoteReference w:id="19"/>
      </w:r>
      <w:r w:rsidR="00A72177" w:rsidRPr="009618BC">
        <w:rPr>
          <w:lang w:val="fr-FR"/>
        </w:rPr>
        <w:t xml:space="preserve"> (approuvé par l</w:t>
      </w:r>
      <w:r w:rsidR="009618BC" w:rsidRPr="009618BC">
        <w:rPr>
          <w:lang w:val="fr-FR"/>
        </w:rPr>
        <w:t>’</w:t>
      </w:r>
      <w:r w:rsidR="00A72177" w:rsidRPr="009618BC">
        <w:rPr>
          <w:lang w:val="fr-FR"/>
        </w:rPr>
        <w:t>ordonnance gouvernementale n</w:t>
      </w:r>
      <w:r w:rsidR="00A72177" w:rsidRPr="009618BC">
        <w:rPr>
          <w:vertAlign w:val="superscript"/>
          <w:lang w:val="fr-FR"/>
        </w:rPr>
        <w:t>o</w:t>
      </w:r>
      <w:r w:rsidR="00A72177" w:rsidRPr="009618BC">
        <w:rPr>
          <w:lang w:val="fr-FR"/>
        </w:rPr>
        <w:t> 710 du 6 septembre 2017).</w:t>
      </w:r>
    </w:p>
    <w:p w:rsidR="00A72177" w:rsidRPr="009618BC" w:rsidRDefault="00A72177" w:rsidP="004B281B">
      <w:pPr>
        <w:pStyle w:val="H4G"/>
        <w:rPr>
          <w:lang w:val="fr-FR"/>
        </w:rPr>
      </w:pPr>
      <w:r w:rsidRPr="009618BC">
        <w:rPr>
          <w:lang w:val="fr-FR"/>
        </w:rPr>
        <w:tab/>
      </w:r>
      <w:r w:rsidRPr="009618BC">
        <w:rPr>
          <w:lang w:val="fr-FR"/>
        </w:rPr>
        <w:tab/>
        <w:t>5)</w:t>
      </w:r>
    </w:p>
    <w:p w:rsidR="00A72177" w:rsidRPr="009618BC" w:rsidRDefault="00A72177" w:rsidP="009618BC">
      <w:pPr>
        <w:pStyle w:val="SingleTxtG"/>
        <w:rPr>
          <w:lang w:val="fr-FR"/>
        </w:rPr>
      </w:pPr>
      <w:r w:rsidRPr="009618BC">
        <w:rPr>
          <w:lang w:val="fr-FR"/>
        </w:rPr>
        <w:t>104.</w:t>
      </w:r>
      <w:r w:rsidRPr="009618BC">
        <w:rPr>
          <w:lang w:val="fr-FR"/>
        </w:rPr>
        <w:tab/>
        <w:t>Au cours de l</w:t>
      </w:r>
      <w:r w:rsidR="009618BC" w:rsidRPr="009618BC">
        <w:rPr>
          <w:lang w:val="fr-FR"/>
        </w:rPr>
        <w:t>’</w:t>
      </w:r>
      <w:r w:rsidRPr="009618BC">
        <w:rPr>
          <w:lang w:val="fr-FR"/>
        </w:rPr>
        <w:t>année 2017, dans le but de maintenir un dialogue constant et constructif avec la société civile et d</w:t>
      </w:r>
      <w:r w:rsidR="009618BC" w:rsidRPr="009618BC">
        <w:rPr>
          <w:lang w:val="fr-FR"/>
        </w:rPr>
        <w:t>’</w:t>
      </w:r>
      <w:r w:rsidRPr="009618BC">
        <w:rPr>
          <w:lang w:val="fr-FR"/>
        </w:rPr>
        <w:t>assurer une gestion efficace de la migration et de l</w:t>
      </w:r>
      <w:r w:rsidR="009618BC" w:rsidRPr="009618BC">
        <w:rPr>
          <w:lang w:val="fr-FR"/>
        </w:rPr>
        <w:t>’</w:t>
      </w:r>
      <w:r w:rsidRPr="009618BC">
        <w:rPr>
          <w:lang w:val="fr-FR"/>
        </w:rPr>
        <w:t>asile, dans le contexte de la mise en œuvre de l</w:t>
      </w:r>
      <w:r w:rsidR="009618BC" w:rsidRPr="009618BC">
        <w:rPr>
          <w:lang w:val="fr-FR"/>
        </w:rPr>
        <w:t>’</w:t>
      </w:r>
      <w:r w:rsidRPr="009618BC">
        <w:rPr>
          <w:lang w:val="fr-FR"/>
        </w:rPr>
        <w:t>accord de collaboration entre le Bureau de la migration et de l</w:t>
      </w:r>
      <w:r w:rsidR="009618BC" w:rsidRPr="009618BC">
        <w:rPr>
          <w:lang w:val="fr-FR"/>
        </w:rPr>
        <w:t>’</w:t>
      </w:r>
      <w:r w:rsidRPr="009618BC">
        <w:rPr>
          <w:lang w:val="fr-FR"/>
        </w:rPr>
        <w:t>asile et les ONG partenaires, une série de séminaires et de cours ont été organisés, notamment :</w:t>
      </w:r>
    </w:p>
    <w:p w:rsidR="00A72177" w:rsidRPr="009618BC" w:rsidRDefault="004B281B" w:rsidP="004B281B">
      <w:pPr>
        <w:pStyle w:val="Bullet1G"/>
        <w:rPr>
          <w:lang w:val="fr-FR"/>
        </w:rPr>
      </w:pPr>
      <w:r>
        <w:rPr>
          <w:lang w:val="fr-FR"/>
        </w:rPr>
        <w:t>U</w:t>
      </w:r>
      <w:r w:rsidR="00A72177" w:rsidRPr="009618BC">
        <w:rPr>
          <w:lang w:val="fr-FR"/>
        </w:rPr>
        <w:t>ne table ronde intitulée « Aspects de l</w:t>
      </w:r>
      <w:r w:rsidR="009618BC" w:rsidRPr="009618BC">
        <w:rPr>
          <w:lang w:val="fr-FR"/>
        </w:rPr>
        <w:t>’</w:t>
      </w:r>
      <w:r w:rsidR="00A72177" w:rsidRPr="009618BC">
        <w:rPr>
          <w:lang w:val="fr-FR"/>
        </w:rPr>
        <w:t>intégration des étrangers en République de Moldova », organisée avec la collaboration du Centre juridique des avocats, dans le but de renforcer les capacités des autorités nationales compétentes dans le domaine de l</w:t>
      </w:r>
      <w:r w:rsidR="009618BC" w:rsidRPr="009618BC">
        <w:rPr>
          <w:lang w:val="fr-FR"/>
        </w:rPr>
        <w:t>’</w:t>
      </w:r>
      <w:r w:rsidR="00A72177" w:rsidRPr="009618BC">
        <w:rPr>
          <w:lang w:val="fr-FR"/>
        </w:rPr>
        <w:t>intégration des étrangers. Au total, 23 personnes ont suivi cette formation.</w:t>
      </w:r>
    </w:p>
    <w:p w:rsidR="00A72177" w:rsidRPr="009618BC" w:rsidRDefault="004B281B" w:rsidP="004B281B">
      <w:pPr>
        <w:pStyle w:val="Bullet1G"/>
        <w:rPr>
          <w:lang w:val="fr-FR"/>
        </w:rPr>
      </w:pPr>
      <w:r>
        <w:rPr>
          <w:lang w:val="fr-FR"/>
        </w:rPr>
        <w:t>U</w:t>
      </w:r>
      <w:r w:rsidR="00A72177" w:rsidRPr="009618BC">
        <w:rPr>
          <w:lang w:val="fr-FR"/>
        </w:rPr>
        <w:t>ne exposition de dessins d</w:t>
      </w:r>
      <w:r w:rsidR="009618BC" w:rsidRPr="009618BC">
        <w:rPr>
          <w:lang w:val="fr-FR"/>
        </w:rPr>
        <w:t>’</w:t>
      </w:r>
      <w:r w:rsidR="00A72177" w:rsidRPr="009618BC">
        <w:rPr>
          <w:lang w:val="fr-FR"/>
        </w:rPr>
        <w:t>enfants réfugiés, organisée à l</w:t>
      </w:r>
      <w:r w:rsidR="009618BC" w:rsidRPr="009618BC">
        <w:rPr>
          <w:lang w:val="fr-FR"/>
        </w:rPr>
        <w:t>’</w:t>
      </w:r>
      <w:r w:rsidR="00A72177" w:rsidRPr="009618BC">
        <w:rPr>
          <w:lang w:val="fr-FR"/>
        </w:rPr>
        <w:t>occasion de la journée internationale des droits de l</w:t>
      </w:r>
      <w:r w:rsidR="009618BC" w:rsidRPr="009618BC">
        <w:rPr>
          <w:lang w:val="fr-FR"/>
        </w:rPr>
        <w:t>’</w:t>
      </w:r>
      <w:r w:rsidR="00A72177" w:rsidRPr="009618BC">
        <w:rPr>
          <w:lang w:val="fr-FR"/>
        </w:rPr>
        <w:t>enfant, en collaboration avec le Centre caritatif pour les réfugiés ;</w:t>
      </w:r>
    </w:p>
    <w:p w:rsidR="00A72177" w:rsidRPr="009618BC" w:rsidRDefault="004B281B" w:rsidP="004B281B">
      <w:pPr>
        <w:pStyle w:val="Bullet1G"/>
        <w:rPr>
          <w:lang w:val="fr-FR"/>
        </w:rPr>
      </w:pPr>
      <w:r>
        <w:rPr>
          <w:lang w:val="fr-FR"/>
        </w:rPr>
        <w:t>L</w:t>
      </w:r>
      <w:r w:rsidR="009618BC" w:rsidRPr="009618BC">
        <w:rPr>
          <w:lang w:val="fr-FR"/>
        </w:rPr>
        <w:t>’</w:t>
      </w:r>
      <w:r w:rsidR="00A72177" w:rsidRPr="009618BC">
        <w:rPr>
          <w:lang w:val="fr-FR"/>
        </w:rPr>
        <w:t>école d</w:t>
      </w:r>
      <w:r w:rsidR="009618BC" w:rsidRPr="009618BC">
        <w:rPr>
          <w:lang w:val="fr-FR"/>
        </w:rPr>
        <w:t>’</w:t>
      </w:r>
      <w:r w:rsidR="00A72177" w:rsidRPr="009618BC">
        <w:rPr>
          <w:lang w:val="fr-FR"/>
        </w:rPr>
        <w:t>été 2017, organisée en collaboration avec le Centre caritatif pour les réfugiés. Dans ce cadre, un cours sur le jour de l</w:t>
      </w:r>
      <w:r w:rsidR="009618BC" w:rsidRPr="009618BC">
        <w:rPr>
          <w:lang w:val="fr-FR"/>
        </w:rPr>
        <w:t>’</w:t>
      </w:r>
      <w:r w:rsidR="00A72177" w:rsidRPr="009618BC">
        <w:rPr>
          <w:lang w:val="fr-FR"/>
        </w:rPr>
        <w:t>indépendance et la fête intitulée « Notre langue » a été donné ;</w:t>
      </w:r>
    </w:p>
    <w:p w:rsidR="00A72177" w:rsidRPr="009618BC" w:rsidRDefault="004B281B" w:rsidP="004B281B">
      <w:pPr>
        <w:pStyle w:val="Bullet1G"/>
        <w:rPr>
          <w:lang w:val="fr-FR"/>
        </w:rPr>
      </w:pPr>
      <w:r>
        <w:rPr>
          <w:lang w:val="fr-FR"/>
        </w:rPr>
        <w:t>U</w:t>
      </w:r>
      <w:r w:rsidR="00A72177" w:rsidRPr="009618BC">
        <w:rPr>
          <w:lang w:val="fr-FR"/>
        </w:rPr>
        <w:t>n séminaire sur les droits des migrants, organisé à l</w:t>
      </w:r>
      <w:r w:rsidR="009618BC" w:rsidRPr="009618BC">
        <w:rPr>
          <w:lang w:val="fr-FR"/>
        </w:rPr>
        <w:t>’</w:t>
      </w:r>
      <w:r w:rsidR="00A72177" w:rsidRPr="009618BC">
        <w:rPr>
          <w:lang w:val="fr-FR"/>
        </w:rPr>
        <w:t>attention des juges et procureurs, en collaboration avec l</w:t>
      </w:r>
      <w:r w:rsidR="009618BC" w:rsidRPr="009618BC">
        <w:rPr>
          <w:lang w:val="fr-FR"/>
        </w:rPr>
        <w:t>’</w:t>
      </w:r>
      <w:r w:rsidR="00A72177" w:rsidRPr="009618BC">
        <w:rPr>
          <w:lang w:val="fr-FR"/>
        </w:rPr>
        <w:t>Institut national de la justice ;</w:t>
      </w:r>
    </w:p>
    <w:p w:rsidR="00A72177" w:rsidRPr="009618BC" w:rsidRDefault="004B281B" w:rsidP="004B281B">
      <w:pPr>
        <w:pStyle w:val="Bullet1G"/>
        <w:rPr>
          <w:lang w:val="fr-FR"/>
        </w:rPr>
      </w:pPr>
      <w:r>
        <w:rPr>
          <w:lang w:val="fr-FR"/>
        </w:rPr>
        <w:t>U</w:t>
      </w:r>
      <w:r w:rsidR="00A72177" w:rsidRPr="009618BC">
        <w:rPr>
          <w:lang w:val="fr-FR"/>
        </w:rPr>
        <w:t>ne présentation de matériel didactique destiné aux réfugiés, à savoir un programme d</w:t>
      </w:r>
      <w:r w:rsidR="009618BC" w:rsidRPr="009618BC">
        <w:rPr>
          <w:lang w:val="fr-FR"/>
        </w:rPr>
        <w:t>’</w:t>
      </w:r>
      <w:r w:rsidR="00A72177" w:rsidRPr="009618BC">
        <w:rPr>
          <w:lang w:val="fr-FR"/>
        </w:rPr>
        <w:t>enseignement du roumain et un module d</w:t>
      </w:r>
      <w:r w:rsidR="009618BC" w:rsidRPr="009618BC">
        <w:rPr>
          <w:lang w:val="fr-FR"/>
        </w:rPr>
        <w:t>’</w:t>
      </w:r>
      <w:r w:rsidR="00A72177" w:rsidRPr="009618BC">
        <w:rPr>
          <w:lang w:val="fr-FR"/>
        </w:rPr>
        <w:t>apprentissage du roumain à distance, élaborés par l</w:t>
      </w:r>
      <w:r w:rsidR="009618BC" w:rsidRPr="009618BC">
        <w:rPr>
          <w:lang w:val="fr-FR"/>
        </w:rPr>
        <w:t>’</w:t>
      </w:r>
      <w:r w:rsidR="00A72177" w:rsidRPr="009618BC">
        <w:rPr>
          <w:lang w:val="fr-FR"/>
        </w:rPr>
        <w:t>Association nationale des enseignants européens de Moldova.</w:t>
      </w:r>
    </w:p>
    <w:p w:rsidR="00A72177" w:rsidRPr="009618BC" w:rsidRDefault="00A72177" w:rsidP="004B281B">
      <w:pPr>
        <w:pStyle w:val="H4G"/>
        <w:rPr>
          <w:lang w:val="fr-FR"/>
        </w:rPr>
      </w:pPr>
      <w:r w:rsidRPr="009618BC">
        <w:rPr>
          <w:lang w:val="fr-FR"/>
        </w:rPr>
        <w:tab/>
      </w:r>
      <w:r w:rsidRPr="009618BC">
        <w:rPr>
          <w:lang w:val="fr-FR"/>
        </w:rPr>
        <w:tab/>
        <w:t>6)</w:t>
      </w:r>
    </w:p>
    <w:p w:rsidR="00A72177" w:rsidRPr="009618BC" w:rsidRDefault="00A72177" w:rsidP="009618BC">
      <w:pPr>
        <w:pStyle w:val="SingleTxtG"/>
        <w:rPr>
          <w:lang w:val="fr-FR"/>
        </w:rPr>
      </w:pPr>
      <w:r w:rsidRPr="009618BC">
        <w:rPr>
          <w:lang w:val="fr-FR"/>
        </w:rPr>
        <w:t>105.</w:t>
      </w:r>
      <w:r w:rsidRPr="009618BC">
        <w:rPr>
          <w:lang w:val="fr-FR"/>
        </w:rPr>
        <w:tab/>
        <w:t>Un centre d</w:t>
      </w:r>
      <w:r w:rsidR="009618BC" w:rsidRPr="009618BC">
        <w:rPr>
          <w:lang w:val="fr-FR"/>
        </w:rPr>
        <w:t>’</w:t>
      </w:r>
      <w:r w:rsidRPr="009618BC">
        <w:rPr>
          <w:lang w:val="fr-FR"/>
        </w:rPr>
        <w:t>enseignement de la langue roumaine aux étrangers bénéficiant d</w:t>
      </w:r>
      <w:r w:rsidR="009618BC" w:rsidRPr="009618BC">
        <w:rPr>
          <w:lang w:val="fr-FR"/>
        </w:rPr>
        <w:t>’</w:t>
      </w:r>
      <w:r w:rsidRPr="009618BC">
        <w:rPr>
          <w:lang w:val="fr-FR"/>
        </w:rPr>
        <w:t>une protection en République de Moldova opère sous l</w:t>
      </w:r>
      <w:r w:rsidR="009618BC" w:rsidRPr="009618BC">
        <w:rPr>
          <w:lang w:val="fr-FR"/>
        </w:rPr>
        <w:t>’</w:t>
      </w:r>
      <w:r w:rsidRPr="009618BC">
        <w:rPr>
          <w:lang w:val="fr-FR"/>
        </w:rPr>
        <w:t>égide de l</w:t>
      </w:r>
      <w:r w:rsidR="009618BC" w:rsidRPr="009618BC">
        <w:rPr>
          <w:lang w:val="fr-FR"/>
        </w:rPr>
        <w:t>’</w:t>
      </w:r>
      <w:r w:rsidRPr="009618BC">
        <w:rPr>
          <w:lang w:val="fr-FR"/>
        </w:rPr>
        <w:t>Université pédagogique d</w:t>
      </w:r>
      <w:r w:rsidR="009618BC" w:rsidRPr="009618BC">
        <w:rPr>
          <w:lang w:val="fr-FR"/>
        </w:rPr>
        <w:t>’</w:t>
      </w:r>
      <w:r w:rsidRPr="009618BC">
        <w:rPr>
          <w:lang w:val="fr-FR"/>
        </w:rPr>
        <w:t xml:space="preserve">État </w:t>
      </w:r>
      <w:r w:rsidRPr="009618BC">
        <w:rPr>
          <w:bCs/>
        </w:rPr>
        <w:t>Ion Creangă</w:t>
      </w:r>
      <w:r w:rsidRPr="009618BC">
        <w:rPr>
          <w:lang w:val="fr-FR"/>
        </w:rPr>
        <w:t xml:space="preserve">. En 2017, environ 40 étrangers y ont suivi un cours de roumain. À la </w:t>
      </w:r>
      <w:r w:rsidRPr="009618BC">
        <w:rPr>
          <w:lang w:val="fr-FR"/>
        </w:rPr>
        <w:lastRenderedPageBreak/>
        <w:t>demande du Bureau de la migration et de l</w:t>
      </w:r>
      <w:r w:rsidR="009618BC" w:rsidRPr="009618BC">
        <w:rPr>
          <w:lang w:val="fr-FR"/>
        </w:rPr>
        <w:t>’</w:t>
      </w:r>
      <w:r w:rsidRPr="009618BC">
        <w:rPr>
          <w:lang w:val="fr-FR"/>
        </w:rPr>
        <w:t>asile, le centre organise une à deux fois par an des séminaires d</w:t>
      </w:r>
      <w:r w:rsidR="009618BC" w:rsidRPr="009618BC">
        <w:rPr>
          <w:lang w:val="fr-FR"/>
        </w:rPr>
        <w:t>’</w:t>
      </w:r>
      <w:r w:rsidRPr="009618BC">
        <w:rPr>
          <w:lang w:val="fr-FR"/>
        </w:rPr>
        <w:t>intégration socioculturelle. En 2017, de tels séminaires ont été organisés en août et en septembre, auxquels ont participé respectivement 30 et 19 étrangers originaires d</w:t>
      </w:r>
      <w:r w:rsidR="009618BC" w:rsidRPr="009618BC">
        <w:rPr>
          <w:lang w:val="fr-FR"/>
        </w:rPr>
        <w:t>’</w:t>
      </w:r>
      <w:r w:rsidRPr="009618BC">
        <w:rPr>
          <w:lang w:val="fr-FR"/>
        </w:rPr>
        <w:t>Irak, de Syrie, du Yémen, du Kirghizistan, de la Fédération de Russie et d</w:t>
      </w:r>
      <w:r w:rsidR="009618BC" w:rsidRPr="009618BC">
        <w:rPr>
          <w:lang w:val="fr-FR"/>
        </w:rPr>
        <w:t>’</w:t>
      </w:r>
      <w:r w:rsidRPr="009618BC">
        <w:rPr>
          <w:lang w:val="fr-FR"/>
        </w:rPr>
        <w:t>Espagne.</w:t>
      </w:r>
    </w:p>
    <w:p w:rsidR="00A72177" w:rsidRPr="009618BC" w:rsidRDefault="00A72177" w:rsidP="004B281B">
      <w:pPr>
        <w:pStyle w:val="H4G"/>
        <w:rPr>
          <w:lang w:val="fr-FR"/>
        </w:rPr>
      </w:pPr>
      <w:r w:rsidRPr="009618BC">
        <w:rPr>
          <w:lang w:val="fr-FR"/>
        </w:rPr>
        <w:tab/>
      </w:r>
      <w:r w:rsidRPr="009618BC">
        <w:rPr>
          <w:lang w:val="fr-FR"/>
        </w:rPr>
        <w:tab/>
        <w:t>7)</w:t>
      </w:r>
    </w:p>
    <w:p w:rsidR="00A72177" w:rsidRPr="009618BC" w:rsidRDefault="00A72177" w:rsidP="009618BC">
      <w:pPr>
        <w:pStyle w:val="SingleTxtG"/>
        <w:rPr>
          <w:lang w:val="fr-FR"/>
        </w:rPr>
      </w:pPr>
      <w:r w:rsidRPr="009618BC">
        <w:rPr>
          <w:lang w:val="fr-FR"/>
        </w:rPr>
        <w:t>106.</w:t>
      </w:r>
      <w:r w:rsidRPr="009618BC">
        <w:rPr>
          <w:lang w:val="fr-FR"/>
        </w:rPr>
        <w:tab/>
        <w:t>Le Plan d</w:t>
      </w:r>
      <w:r w:rsidR="009618BC" w:rsidRPr="009618BC">
        <w:rPr>
          <w:lang w:val="fr-FR"/>
        </w:rPr>
        <w:t>’</w:t>
      </w:r>
      <w:r w:rsidRPr="009618BC">
        <w:rPr>
          <w:lang w:val="fr-FR"/>
        </w:rPr>
        <w:t>action 2018 relatif à l</w:t>
      </w:r>
      <w:r w:rsidR="009618BC" w:rsidRPr="009618BC">
        <w:rPr>
          <w:lang w:val="fr-FR"/>
        </w:rPr>
        <w:t>’</w:t>
      </w:r>
      <w:r w:rsidRPr="009618BC">
        <w:rPr>
          <w:lang w:val="fr-FR"/>
        </w:rPr>
        <w:t>intégration des étrangers a été adopté par l</w:t>
      </w:r>
      <w:r w:rsidR="009618BC" w:rsidRPr="009618BC">
        <w:rPr>
          <w:lang w:val="fr-FR"/>
        </w:rPr>
        <w:t>’</w:t>
      </w:r>
      <w:r w:rsidRPr="009618BC">
        <w:rPr>
          <w:lang w:val="fr-FR"/>
        </w:rPr>
        <w:t>ordonnance gouvernementale n</w:t>
      </w:r>
      <w:r w:rsidRPr="009618BC">
        <w:rPr>
          <w:vertAlign w:val="superscript"/>
          <w:lang w:val="fr-FR"/>
        </w:rPr>
        <w:t>o</w:t>
      </w:r>
      <w:r w:rsidRPr="009618BC">
        <w:rPr>
          <w:lang w:val="fr-FR"/>
        </w:rPr>
        <w:t> 71</w:t>
      </w:r>
      <w:r w:rsidR="00F2509C">
        <w:rPr>
          <w:lang w:val="fr-FR"/>
        </w:rPr>
        <w:t xml:space="preserve"> du </w:t>
      </w:r>
      <w:r w:rsidR="00F2509C" w:rsidRPr="009618BC">
        <w:rPr>
          <w:lang w:val="fr-FR"/>
        </w:rPr>
        <w:t>23 janvier 2018</w:t>
      </w:r>
      <w:r w:rsidRPr="009618BC">
        <w:rPr>
          <w:lang w:val="fr-FR"/>
        </w:rPr>
        <w:t xml:space="preserve">, </w:t>
      </w:r>
      <w:r w:rsidR="00BD0931">
        <w:rPr>
          <w:lang w:val="fr-FR"/>
        </w:rPr>
        <w:t>aux fins de l’application d</w:t>
      </w:r>
      <w:r w:rsidRPr="009618BC">
        <w:rPr>
          <w:lang w:val="fr-FR"/>
        </w:rPr>
        <w:t>es dispositions de la loi n</w:t>
      </w:r>
      <w:r w:rsidRPr="009618BC">
        <w:rPr>
          <w:vertAlign w:val="superscript"/>
          <w:lang w:val="fr-FR"/>
        </w:rPr>
        <w:t>o</w:t>
      </w:r>
      <w:r w:rsidRPr="009618BC">
        <w:rPr>
          <w:lang w:val="fr-FR"/>
        </w:rPr>
        <w:t xml:space="preserve"> 274 </w:t>
      </w:r>
      <w:r w:rsidR="00BD0931">
        <w:rPr>
          <w:lang w:val="fr-FR"/>
        </w:rPr>
        <w:t xml:space="preserve">du 27 décembre 2011 </w:t>
      </w:r>
      <w:r w:rsidRPr="009618BC">
        <w:rPr>
          <w:lang w:val="fr-FR"/>
        </w:rPr>
        <w:t>sur l</w:t>
      </w:r>
      <w:r w:rsidR="009618BC" w:rsidRPr="009618BC">
        <w:rPr>
          <w:lang w:val="fr-FR"/>
        </w:rPr>
        <w:t>’</w:t>
      </w:r>
      <w:r w:rsidRPr="009618BC">
        <w:rPr>
          <w:lang w:val="fr-FR"/>
        </w:rPr>
        <w:t>intégration des étrangers en République de Moldova.</w:t>
      </w:r>
    </w:p>
    <w:p w:rsidR="00A72177" w:rsidRPr="009618BC" w:rsidRDefault="00A72177" w:rsidP="009618BC">
      <w:pPr>
        <w:pStyle w:val="SingleTxtG"/>
        <w:rPr>
          <w:lang w:val="fr-FR"/>
        </w:rPr>
      </w:pPr>
      <w:r w:rsidRPr="009618BC">
        <w:rPr>
          <w:lang w:val="fr-FR"/>
        </w:rPr>
        <w:t>107.</w:t>
      </w:r>
      <w:r w:rsidRPr="009618BC">
        <w:rPr>
          <w:lang w:val="fr-FR"/>
        </w:rPr>
        <w:tab/>
        <w:t>Ce plan d</w:t>
      </w:r>
      <w:r w:rsidR="009618BC" w:rsidRPr="009618BC">
        <w:rPr>
          <w:lang w:val="fr-FR"/>
        </w:rPr>
        <w:t>’</w:t>
      </w:r>
      <w:r w:rsidRPr="009618BC">
        <w:rPr>
          <w:lang w:val="fr-FR"/>
        </w:rPr>
        <w:t>action vise à réaliser les objectifs inscrits dans la Stratégie nationale en matière de migration et d</w:t>
      </w:r>
      <w:r w:rsidR="009618BC" w:rsidRPr="009618BC">
        <w:rPr>
          <w:lang w:val="fr-FR"/>
        </w:rPr>
        <w:t>’</w:t>
      </w:r>
      <w:r w:rsidRPr="009618BC">
        <w:rPr>
          <w:lang w:val="fr-FR"/>
        </w:rPr>
        <w:t>asile (2011-2020) et à introduire les dispositions de la cinquième activité du 19</w:t>
      </w:r>
      <w:r w:rsidRPr="009618BC">
        <w:rPr>
          <w:vertAlign w:val="superscript"/>
          <w:lang w:val="fr-FR"/>
        </w:rPr>
        <w:t>e</w:t>
      </w:r>
      <w:r w:rsidRPr="009618BC">
        <w:rPr>
          <w:lang w:val="fr-FR"/>
        </w:rPr>
        <w:t> objectif du Plan d</w:t>
      </w:r>
      <w:r w:rsidR="009618BC" w:rsidRPr="009618BC">
        <w:rPr>
          <w:lang w:val="fr-FR"/>
        </w:rPr>
        <w:t>’</w:t>
      </w:r>
      <w:r w:rsidRPr="009618BC">
        <w:rPr>
          <w:lang w:val="fr-FR"/>
        </w:rPr>
        <w:t>action 2016-2020 relatif à la mise en œuvre de la Stratégie nationale en matière de migration et d</w:t>
      </w:r>
      <w:r w:rsidR="009618BC" w:rsidRPr="009618BC">
        <w:rPr>
          <w:lang w:val="fr-FR"/>
        </w:rPr>
        <w:t>’</w:t>
      </w:r>
      <w:r w:rsidRPr="009618BC">
        <w:rPr>
          <w:lang w:val="fr-FR"/>
        </w:rPr>
        <w:t>asile (2011-2020).</w:t>
      </w:r>
    </w:p>
    <w:p w:rsidR="00A72177" w:rsidRPr="009618BC" w:rsidRDefault="00A72177" w:rsidP="009618BC">
      <w:pPr>
        <w:pStyle w:val="SingleTxtG"/>
        <w:rPr>
          <w:lang w:val="fr-FR"/>
        </w:rPr>
      </w:pPr>
      <w:r w:rsidRPr="009618BC">
        <w:rPr>
          <w:lang w:val="fr-FR"/>
        </w:rPr>
        <w:t>108.</w:t>
      </w:r>
      <w:r w:rsidRPr="009618BC">
        <w:rPr>
          <w:lang w:val="fr-FR"/>
        </w:rPr>
        <w:tab/>
        <w:t>Le plan susmentionné prévoit une hiérarchisation des activités et une concentration d</w:t>
      </w:r>
      <w:r w:rsidR="009618BC" w:rsidRPr="009618BC">
        <w:rPr>
          <w:lang w:val="fr-FR"/>
        </w:rPr>
        <w:t>’</w:t>
      </w:r>
      <w:r w:rsidRPr="009618BC">
        <w:rPr>
          <w:lang w:val="fr-FR"/>
        </w:rPr>
        <w:t>efforts pour la réalisation des objectifs principaux, ce qui favorisera l</w:t>
      </w:r>
      <w:r w:rsidR="009618BC" w:rsidRPr="009618BC">
        <w:rPr>
          <w:lang w:val="fr-FR"/>
        </w:rPr>
        <w:t>’</w:t>
      </w:r>
      <w:r w:rsidRPr="009618BC">
        <w:rPr>
          <w:lang w:val="fr-FR"/>
        </w:rPr>
        <w:t>accès aux droits, l</w:t>
      </w:r>
      <w:r w:rsidR="009618BC" w:rsidRPr="009618BC">
        <w:rPr>
          <w:lang w:val="fr-FR"/>
        </w:rPr>
        <w:t>’</w:t>
      </w:r>
      <w:r w:rsidRPr="009618BC">
        <w:rPr>
          <w:lang w:val="fr-FR"/>
        </w:rPr>
        <w:t>amélioration du cadre juridique et normatif et le renforcement des capacités des services responsables des services aux étrangers sur l</w:t>
      </w:r>
      <w:r w:rsidR="009618BC" w:rsidRPr="009618BC">
        <w:rPr>
          <w:lang w:val="fr-FR"/>
        </w:rPr>
        <w:t>’</w:t>
      </w:r>
      <w:r w:rsidRPr="009618BC">
        <w:rPr>
          <w:lang w:val="fr-FR"/>
        </w:rPr>
        <w:t>ensemble du territoire national.</w:t>
      </w:r>
    </w:p>
    <w:p w:rsidR="00A72177" w:rsidRPr="009618BC" w:rsidRDefault="00A72177" w:rsidP="009618BC">
      <w:pPr>
        <w:pStyle w:val="SingleTxtG"/>
        <w:rPr>
          <w:lang w:val="fr-FR"/>
        </w:rPr>
      </w:pPr>
      <w:r w:rsidRPr="009618BC">
        <w:rPr>
          <w:lang w:val="fr-FR"/>
        </w:rPr>
        <w:t>109.</w:t>
      </w:r>
      <w:r w:rsidRPr="009618BC">
        <w:rPr>
          <w:lang w:val="fr-FR"/>
        </w:rPr>
        <w:tab/>
        <w:t>En outre, ce plan devra, d</w:t>
      </w:r>
      <w:r w:rsidR="009618BC" w:rsidRPr="009618BC">
        <w:rPr>
          <w:lang w:val="fr-FR"/>
        </w:rPr>
        <w:t>’</w:t>
      </w:r>
      <w:r w:rsidRPr="009618BC">
        <w:rPr>
          <w:lang w:val="fr-FR"/>
        </w:rPr>
        <w:t>une part, permettre aux autorités de programmer des activités d</w:t>
      </w:r>
      <w:r w:rsidR="009618BC" w:rsidRPr="009618BC">
        <w:rPr>
          <w:lang w:val="fr-FR"/>
        </w:rPr>
        <w:t>’</w:t>
      </w:r>
      <w:r w:rsidRPr="009618BC">
        <w:rPr>
          <w:lang w:val="fr-FR"/>
        </w:rPr>
        <w:t>intégration, d</w:t>
      </w:r>
      <w:r w:rsidR="009618BC" w:rsidRPr="009618BC">
        <w:rPr>
          <w:lang w:val="fr-FR"/>
        </w:rPr>
        <w:t>’</w:t>
      </w:r>
      <w:r w:rsidRPr="009618BC">
        <w:rPr>
          <w:lang w:val="fr-FR"/>
        </w:rPr>
        <w:t>élargir la participation des instances territoriales et de garantir une application uniforme du cadre juridique dans le domaine de l</w:t>
      </w:r>
      <w:r w:rsidR="009618BC" w:rsidRPr="009618BC">
        <w:rPr>
          <w:lang w:val="fr-FR"/>
        </w:rPr>
        <w:t>’</w:t>
      </w:r>
      <w:r w:rsidRPr="009618BC">
        <w:rPr>
          <w:lang w:val="fr-FR"/>
        </w:rPr>
        <w:t>intégration des étrangers sur l</w:t>
      </w:r>
      <w:r w:rsidR="009618BC" w:rsidRPr="009618BC">
        <w:rPr>
          <w:lang w:val="fr-FR"/>
        </w:rPr>
        <w:t>’</w:t>
      </w:r>
      <w:r w:rsidRPr="009618BC">
        <w:rPr>
          <w:lang w:val="fr-FR"/>
        </w:rPr>
        <w:t>ensemble du territoire national, notamment moyennant la participation des autorités locales et de la société civile. D</w:t>
      </w:r>
      <w:r w:rsidR="009618BC" w:rsidRPr="009618BC">
        <w:rPr>
          <w:lang w:val="fr-FR"/>
        </w:rPr>
        <w:t>’</w:t>
      </w:r>
      <w:r w:rsidRPr="009618BC">
        <w:rPr>
          <w:lang w:val="fr-FR"/>
        </w:rPr>
        <w:t>autre part, il permettra aux étrangers de mieux comprendre à quel point l</w:t>
      </w:r>
      <w:r w:rsidR="009618BC" w:rsidRPr="009618BC">
        <w:rPr>
          <w:lang w:val="fr-FR"/>
        </w:rPr>
        <w:t>’</w:t>
      </w:r>
      <w:r w:rsidRPr="009618BC">
        <w:rPr>
          <w:lang w:val="fr-FR"/>
        </w:rPr>
        <w:t>État participe à la réalisation des activités d</w:t>
      </w:r>
      <w:r w:rsidR="009618BC" w:rsidRPr="009618BC">
        <w:rPr>
          <w:lang w:val="fr-FR"/>
        </w:rPr>
        <w:t>’</w:t>
      </w:r>
      <w:r w:rsidRPr="009618BC">
        <w:rPr>
          <w:lang w:val="fr-FR"/>
        </w:rPr>
        <w:t>intégration.</w:t>
      </w:r>
    </w:p>
    <w:p w:rsidR="00A72177" w:rsidRPr="009618BC" w:rsidRDefault="004B281B" w:rsidP="004B281B">
      <w:pPr>
        <w:pStyle w:val="HChG"/>
        <w:rPr>
          <w:lang w:val="fr-FR"/>
        </w:rPr>
      </w:pPr>
      <w:r>
        <w:rPr>
          <w:lang w:val="fr-FR"/>
        </w:rPr>
        <w:tab/>
        <w:t>III.</w:t>
      </w:r>
      <w:r>
        <w:rPr>
          <w:lang w:val="fr-FR"/>
        </w:rPr>
        <w:tab/>
      </w:r>
      <w:r w:rsidR="00A72177" w:rsidRPr="009618BC">
        <w:rPr>
          <w:lang w:val="fr-FR"/>
        </w:rPr>
        <w:t>Conclusions</w:t>
      </w:r>
    </w:p>
    <w:p w:rsidR="00A72177" w:rsidRPr="009618BC" w:rsidRDefault="00A72177" w:rsidP="009618BC">
      <w:pPr>
        <w:pStyle w:val="SingleTxtG"/>
        <w:rPr>
          <w:lang w:val="fr-FR"/>
        </w:rPr>
      </w:pPr>
      <w:r w:rsidRPr="009618BC">
        <w:rPr>
          <w:lang w:val="fr-FR"/>
        </w:rPr>
        <w:t>110.</w:t>
      </w:r>
      <w:r w:rsidRPr="009618BC">
        <w:rPr>
          <w:lang w:val="fr-FR"/>
        </w:rPr>
        <w:tab/>
        <w:t>La présente communication sur la mise en œuvre des recommandations formulées aux paragraphes 19 et 23 des observations finales que le Comité pour l</w:t>
      </w:r>
      <w:r w:rsidR="009618BC" w:rsidRPr="009618BC">
        <w:rPr>
          <w:lang w:val="fr-FR"/>
        </w:rPr>
        <w:t>’</w:t>
      </w:r>
      <w:r w:rsidRPr="009618BC">
        <w:rPr>
          <w:lang w:val="fr-FR"/>
        </w:rPr>
        <w:t>élimination de la discrimination raciale a adoptées le 8</w:t>
      </w:r>
      <w:r w:rsidR="00A66531">
        <w:rPr>
          <w:lang w:val="fr-FR"/>
        </w:rPr>
        <w:t> </w:t>
      </w:r>
      <w:r w:rsidRPr="009618BC">
        <w:rPr>
          <w:lang w:val="fr-FR"/>
        </w:rPr>
        <w:t>mai 2017 a été établie par le Bureau des relations interethniques</w:t>
      </w:r>
      <w:r w:rsidRPr="009618BC">
        <w:rPr>
          <w:rStyle w:val="Appelnotedebasdep"/>
        </w:rPr>
        <w:footnoteReference w:id="20"/>
      </w:r>
      <w:r w:rsidRPr="009618BC">
        <w:rPr>
          <w:lang w:val="fr-FR"/>
        </w:rPr>
        <w:t>, sur la base des informations que lui ont communiquées le Ministère de l</w:t>
      </w:r>
      <w:r w:rsidR="009618BC" w:rsidRPr="009618BC">
        <w:rPr>
          <w:lang w:val="fr-FR"/>
        </w:rPr>
        <w:t>’</w:t>
      </w:r>
      <w:r w:rsidRPr="009618BC">
        <w:rPr>
          <w:lang w:val="fr-FR"/>
        </w:rPr>
        <w:t>éducation, de la culture et de la recherche, le Bureau des migrations et de l</w:t>
      </w:r>
      <w:r w:rsidR="009618BC" w:rsidRPr="009618BC">
        <w:rPr>
          <w:lang w:val="fr-FR"/>
        </w:rPr>
        <w:t>’</w:t>
      </w:r>
      <w:r w:rsidRPr="009618BC">
        <w:rPr>
          <w:lang w:val="fr-FR"/>
        </w:rPr>
        <w:t>asile du Ministère de l</w:t>
      </w:r>
      <w:r w:rsidR="009618BC" w:rsidRPr="009618BC">
        <w:rPr>
          <w:lang w:val="fr-FR"/>
        </w:rPr>
        <w:t>’</w:t>
      </w:r>
      <w:r w:rsidRPr="009618BC">
        <w:rPr>
          <w:lang w:val="fr-FR"/>
        </w:rPr>
        <w:t>intérieur, les organismes spécialisés dans le domaine de l</w:t>
      </w:r>
      <w:r w:rsidR="009618BC" w:rsidRPr="009618BC">
        <w:rPr>
          <w:lang w:val="fr-FR"/>
        </w:rPr>
        <w:t>’</w:t>
      </w:r>
      <w:r w:rsidRPr="009618BC">
        <w:rPr>
          <w:lang w:val="fr-FR"/>
        </w:rPr>
        <w:t>éducation de l</w:t>
      </w:r>
      <w:r w:rsidR="009618BC" w:rsidRPr="009618BC">
        <w:rPr>
          <w:lang w:val="fr-FR"/>
        </w:rPr>
        <w:t>’</w:t>
      </w:r>
      <w:r w:rsidRPr="009618BC">
        <w:rPr>
          <w:lang w:val="fr-FR"/>
        </w:rPr>
        <w:t>Unité territoriale autonome de Gagaouzie et du district de Taraclia, et d</w:t>
      </w:r>
      <w:r w:rsidR="009618BC" w:rsidRPr="009618BC">
        <w:rPr>
          <w:lang w:val="fr-FR"/>
        </w:rPr>
        <w:t>’</w:t>
      </w:r>
      <w:r w:rsidRPr="009618BC">
        <w:rPr>
          <w:lang w:val="fr-FR"/>
        </w:rPr>
        <w:t>autres sources officielles d</w:t>
      </w:r>
      <w:r w:rsidR="009618BC" w:rsidRPr="009618BC">
        <w:rPr>
          <w:lang w:val="fr-FR"/>
        </w:rPr>
        <w:t>’</w:t>
      </w:r>
      <w:r w:rsidRPr="009618BC">
        <w:rPr>
          <w:lang w:val="fr-FR"/>
        </w:rPr>
        <w:t>informations (rapports d</w:t>
      </w:r>
      <w:r w:rsidR="009618BC" w:rsidRPr="009618BC">
        <w:rPr>
          <w:lang w:val="fr-FR"/>
        </w:rPr>
        <w:t>’</w:t>
      </w:r>
      <w:r w:rsidRPr="009618BC">
        <w:rPr>
          <w:lang w:val="fr-FR"/>
        </w:rPr>
        <w:t xml:space="preserve">activité du Bureau des relations interethniques, sites Web </w:t>
      </w:r>
      <w:hyperlink r:id="rId9" w:history="1">
        <w:r w:rsidRPr="00A66531">
          <w:rPr>
            <w:rStyle w:val="Lienhypertexte"/>
            <w:lang w:val="fr-FR"/>
          </w:rPr>
          <w:t>www.justice.md</w:t>
        </w:r>
      </w:hyperlink>
      <w:r w:rsidRPr="009618BC">
        <w:rPr>
          <w:lang w:val="fr-FR"/>
        </w:rPr>
        <w:t xml:space="preserve">, </w:t>
      </w:r>
      <w:hyperlink r:id="rId10" w:history="1">
        <w:r w:rsidRPr="00A66531">
          <w:rPr>
            <w:rStyle w:val="Lienhypertexte"/>
            <w:lang w:val="fr-FR"/>
          </w:rPr>
          <w:t>www.bri.gov.md</w:t>
        </w:r>
      </w:hyperlink>
      <w:r w:rsidR="000B6947">
        <w:rPr>
          <w:lang w:val="fr-FR"/>
        </w:rPr>
        <w:t xml:space="preserve">, </w:t>
      </w:r>
      <w:r w:rsidRPr="009618BC">
        <w:rPr>
          <w:lang w:val="fr-FR"/>
        </w:rPr>
        <w:t>etc.).</w:t>
      </w:r>
    </w:p>
    <w:p w:rsidR="00A72177" w:rsidRPr="009618BC" w:rsidRDefault="00A72177" w:rsidP="009618BC">
      <w:pPr>
        <w:pStyle w:val="SingleTxtG"/>
        <w:rPr>
          <w:lang w:val="fr-FR"/>
        </w:rPr>
      </w:pPr>
      <w:r w:rsidRPr="009618BC">
        <w:rPr>
          <w:lang w:val="fr-FR"/>
        </w:rPr>
        <w:t>111.</w:t>
      </w:r>
      <w:r w:rsidRPr="009618BC">
        <w:rPr>
          <w:lang w:val="fr-FR"/>
        </w:rPr>
        <w:tab/>
        <w:t>Au cours de la période considérée, les autorités moldoves qui œuvrent au respect des engagements internationaux ont réalisé des progrès pour ce qui est de l</w:t>
      </w:r>
      <w:r w:rsidR="009618BC" w:rsidRPr="009618BC">
        <w:rPr>
          <w:lang w:val="fr-FR"/>
        </w:rPr>
        <w:t>’</w:t>
      </w:r>
      <w:r w:rsidRPr="009618BC">
        <w:rPr>
          <w:lang w:val="fr-FR"/>
        </w:rPr>
        <w:t>application de la Convention internationale sur l</w:t>
      </w:r>
      <w:r w:rsidR="009618BC" w:rsidRPr="009618BC">
        <w:rPr>
          <w:lang w:val="fr-FR"/>
        </w:rPr>
        <w:t>’</w:t>
      </w:r>
      <w:r w:rsidRPr="009618BC">
        <w:rPr>
          <w:lang w:val="fr-FR"/>
        </w:rPr>
        <w:t>élimination de toutes les formes de discrimination raciale.</w:t>
      </w:r>
    </w:p>
    <w:p w:rsidR="00A72177" w:rsidRPr="009618BC" w:rsidRDefault="00A72177" w:rsidP="009618BC">
      <w:pPr>
        <w:pStyle w:val="SingleTxtG"/>
        <w:rPr>
          <w:lang w:val="fr-FR"/>
        </w:rPr>
      </w:pPr>
      <w:r w:rsidRPr="009618BC">
        <w:rPr>
          <w:lang w:val="fr-FR"/>
        </w:rPr>
        <w:t>112.</w:t>
      </w:r>
      <w:r w:rsidRPr="009618BC">
        <w:rPr>
          <w:lang w:val="fr-FR"/>
        </w:rPr>
        <w:tab/>
        <w:t>Le Gouvernement de la République de Moldova continuera à mettre en œuvre les recommandations formulées le 8 mai 2017 par le Comité afin de réaliser les objectifs de la Convention.</w:t>
      </w:r>
    </w:p>
    <w:p w:rsidR="00A72177" w:rsidRPr="009618BC" w:rsidRDefault="00A72177" w:rsidP="004B281B">
      <w:pPr>
        <w:pStyle w:val="H23G"/>
        <w:rPr>
          <w:lang w:val="fr-FR"/>
        </w:rPr>
      </w:pPr>
      <w:r w:rsidRPr="009618BC">
        <w:rPr>
          <w:lang w:val="fr-FR"/>
        </w:rPr>
        <w:tab/>
      </w:r>
      <w:r w:rsidRPr="009618BC">
        <w:rPr>
          <w:lang w:val="fr-FR"/>
        </w:rPr>
        <w:tab/>
        <w:t>Liste d</w:t>
      </w:r>
      <w:r w:rsidR="009618BC" w:rsidRPr="009618BC">
        <w:rPr>
          <w:lang w:val="fr-FR"/>
        </w:rPr>
        <w:t>’</w:t>
      </w:r>
      <w:r w:rsidRPr="009618BC">
        <w:rPr>
          <w:lang w:val="fr-FR"/>
        </w:rPr>
        <w:t>abréviations</w:t>
      </w:r>
    </w:p>
    <w:p w:rsidR="00984B29" w:rsidRDefault="00A72177" w:rsidP="004B281B">
      <w:pPr>
        <w:pStyle w:val="SingleTxtG"/>
        <w:rPr>
          <w:lang w:val="fr-FR"/>
        </w:rPr>
      </w:pPr>
      <w:r w:rsidRPr="009618BC">
        <w:rPr>
          <w:lang w:val="fr-FR"/>
        </w:rPr>
        <w:t>Sans objet en français.</w:t>
      </w:r>
    </w:p>
    <w:p w:rsidR="009618BC" w:rsidRPr="009618BC" w:rsidRDefault="009618BC" w:rsidP="009618BC">
      <w:pPr>
        <w:pStyle w:val="SingleTxtG"/>
        <w:spacing w:before="240" w:after="0"/>
        <w:jc w:val="center"/>
        <w:rPr>
          <w:u w:val="single"/>
        </w:rPr>
      </w:pPr>
      <w:r>
        <w:rPr>
          <w:u w:val="single"/>
        </w:rPr>
        <w:tab/>
      </w:r>
      <w:r>
        <w:rPr>
          <w:u w:val="single"/>
        </w:rPr>
        <w:tab/>
      </w:r>
      <w:r>
        <w:rPr>
          <w:u w:val="single"/>
        </w:rPr>
        <w:tab/>
      </w:r>
    </w:p>
    <w:sectPr w:rsidR="009618BC" w:rsidRPr="009618BC" w:rsidSect="00F203F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09C" w:rsidRDefault="00F2509C" w:rsidP="00F95C08">
      <w:pPr>
        <w:spacing w:line="240" w:lineRule="auto"/>
      </w:pPr>
    </w:p>
  </w:endnote>
  <w:endnote w:type="continuationSeparator" w:id="0">
    <w:p w:rsidR="00F2509C" w:rsidRPr="00AC3823" w:rsidRDefault="00F2509C" w:rsidP="00AC3823">
      <w:pPr>
        <w:pStyle w:val="Pieddepage"/>
      </w:pPr>
    </w:p>
  </w:endnote>
  <w:endnote w:type="continuationNotice" w:id="1">
    <w:p w:rsidR="00F2509C" w:rsidRDefault="00F250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9C" w:rsidRPr="00F203FC" w:rsidRDefault="00F2509C" w:rsidP="00F203FC">
    <w:pPr>
      <w:pStyle w:val="Pieddepage"/>
      <w:tabs>
        <w:tab w:val="right" w:pos="9638"/>
      </w:tabs>
    </w:pPr>
    <w:r w:rsidRPr="00F203FC">
      <w:rPr>
        <w:b/>
        <w:sz w:val="18"/>
      </w:rPr>
      <w:fldChar w:fldCharType="begin"/>
    </w:r>
    <w:r w:rsidRPr="00F203FC">
      <w:rPr>
        <w:b/>
        <w:sz w:val="18"/>
      </w:rPr>
      <w:instrText xml:space="preserve"> PAGE  \* MERGEFORMAT </w:instrText>
    </w:r>
    <w:r w:rsidRPr="00F203FC">
      <w:rPr>
        <w:b/>
        <w:sz w:val="18"/>
      </w:rPr>
      <w:fldChar w:fldCharType="separate"/>
    </w:r>
    <w:r w:rsidRPr="00F203FC">
      <w:rPr>
        <w:b/>
        <w:noProof/>
        <w:sz w:val="18"/>
      </w:rPr>
      <w:t>2</w:t>
    </w:r>
    <w:r w:rsidRPr="00F203FC">
      <w:rPr>
        <w:b/>
        <w:sz w:val="18"/>
      </w:rPr>
      <w:fldChar w:fldCharType="end"/>
    </w:r>
    <w:r>
      <w:rPr>
        <w:b/>
        <w:sz w:val="18"/>
      </w:rPr>
      <w:tab/>
    </w:r>
    <w:r>
      <w:t>GE.18-15362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9C" w:rsidRPr="00F203FC" w:rsidRDefault="00F2509C" w:rsidP="00F203FC">
    <w:pPr>
      <w:pStyle w:val="Pieddepage"/>
      <w:tabs>
        <w:tab w:val="right" w:pos="9638"/>
      </w:tabs>
      <w:rPr>
        <w:b/>
        <w:sz w:val="18"/>
      </w:rPr>
    </w:pPr>
    <w:r>
      <w:t>GE.18-15362</w:t>
    </w:r>
    <w:r>
      <w:tab/>
    </w:r>
    <w:r w:rsidRPr="00F203FC">
      <w:rPr>
        <w:b/>
        <w:sz w:val="18"/>
      </w:rPr>
      <w:fldChar w:fldCharType="begin"/>
    </w:r>
    <w:r w:rsidRPr="00F203FC">
      <w:rPr>
        <w:b/>
        <w:sz w:val="18"/>
      </w:rPr>
      <w:instrText xml:space="preserve"> PAGE  \* MERGEFORMAT </w:instrText>
    </w:r>
    <w:r w:rsidRPr="00F203FC">
      <w:rPr>
        <w:b/>
        <w:sz w:val="18"/>
      </w:rPr>
      <w:fldChar w:fldCharType="separate"/>
    </w:r>
    <w:r w:rsidRPr="00F203FC">
      <w:rPr>
        <w:b/>
        <w:noProof/>
        <w:sz w:val="18"/>
      </w:rPr>
      <w:t>3</w:t>
    </w:r>
    <w:r w:rsidRPr="00F203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9C" w:rsidRPr="00F203FC" w:rsidRDefault="00F2509C" w:rsidP="00F203F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18-15362  (F)    091018    241018</w:t>
    </w:r>
    <w:r>
      <w:rPr>
        <w:sz w:val="20"/>
      </w:rPr>
      <w:br/>
    </w:r>
    <w:r w:rsidRPr="00F203FC">
      <w:rPr>
        <w:rFonts w:ascii="C39T30Lfz" w:hAnsi="C39T30Lfz"/>
        <w:sz w:val="56"/>
      </w:rPr>
      <w:t></w:t>
    </w:r>
    <w:r w:rsidRPr="00F203FC">
      <w:rPr>
        <w:rFonts w:ascii="C39T30Lfz" w:hAnsi="C39T30Lfz"/>
        <w:sz w:val="56"/>
      </w:rPr>
      <w:t></w:t>
    </w:r>
    <w:r w:rsidRPr="00F203FC">
      <w:rPr>
        <w:rFonts w:ascii="C39T30Lfz" w:hAnsi="C39T30Lfz"/>
        <w:sz w:val="56"/>
      </w:rPr>
      <w:t></w:t>
    </w:r>
    <w:r w:rsidRPr="00F203FC">
      <w:rPr>
        <w:rFonts w:ascii="C39T30Lfz" w:hAnsi="C39T30Lfz"/>
        <w:sz w:val="56"/>
      </w:rPr>
      <w:t></w:t>
    </w:r>
    <w:r w:rsidRPr="00F203FC">
      <w:rPr>
        <w:rFonts w:ascii="C39T30Lfz" w:hAnsi="C39T30Lfz"/>
        <w:sz w:val="56"/>
      </w:rPr>
      <w:t></w:t>
    </w:r>
    <w:r w:rsidRPr="00F203FC">
      <w:rPr>
        <w:rFonts w:ascii="C39T30Lfz" w:hAnsi="C39T30Lfz"/>
        <w:sz w:val="56"/>
      </w:rPr>
      <w:t></w:t>
    </w:r>
    <w:r w:rsidRPr="00F203FC">
      <w:rPr>
        <w:rFonts w:ascii="C39T30Lfz" w:hAnsi="C39T30Lfz"/>
        <w:sz w:val="56"/>
      </w:rPr>
      <w:t></w:t>
    </w:r>
    <w:r w:rsidRPr="00F203FC">
      <w:rPr>
        <w:rFonts w:ascii="C39T30Lfz" w:hAnsi="C39T30Lfz"/>
        <w:sz w:val="56"/>
      </w:rPr>
      <w:t></w:t>
    </w:r>
    <w:r w:rsidRPr="00F203F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MDA/CO/10-1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DA/CO/10-1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09C" w:rsidRPr="00AC3823" w:rsidRDefault="00F2509C" w:rsidP="00AC3823">
      <w:pPr>
        <w:pStyle w:val="Pieddepage"/>
        <w:tabs>
          <w:tab w:val="right" w:pos="2155"/>
        </w:tabs>
        <w:spacing w:after="80" w:line="240" w:lineRule="atLeast"/>
        <w:ind w:left="680"/>
        <w:rPr>
          <w:u w:val="single"/>
        </w:rPr>
      </w:pPr>
      <w:r>
        <w:rPr>
          <w:u w:val="single"/>
        </w:rPr>
        <w:tab/>
      </w:r>
    </w:p>
  </w:footnote>
  <w:footnote w:type="continuationSeparator" w:id="0">
    <w:p w:rsidR="00F2509C" w:rsidRPr="00AC3823" w:rsidRDefault="00F2509C" w:rsidP="00AC3823">
      <w:pPr>
        <w:pStyle w:val="Pieddepage"/>
        <w:tabs>
          <w:tab w:val="right" w:pos="2155"/>
        </w:tabs>
        <w:spacing w:after="80" w:line="240" w:lineRule="atLeast"/>
        <w:ind w:left="680"/>
        <w:rPr>
          <w:u w:val="single"/>
        </w:rPr>
      </w:pPr>
      <w:r>
        <w:rPr>
          <w:u w:val="single"/>
        </w:rPr>
        <w:tab/>
      </w:r>
    </w:p>
  </w:footnote>
  <w:footnote w:type="continuationNotice" w:id="1">
    <w:p w:rsidR="00F2509C" w:rsidRPr="00AC3823" w:rsidRDefault="00F2509C">
      <w:pPr>
        <w:spacing w:line="240" w:lineRule="auto"/>
        <w:rPr>
          <w:sz w:val="2"/>
          <w:szCs w:val="2"/>
        </w:rPr>
      </w:pPr>
    </w:p>
  </w:footnote>
  <w:footnote w:id="2">
    <w:p w:rsidR="00F2509C" w:rsidRPr="001B4EB0" w:rsidRDefault="00F2509C">
      <w:pPr>
        <w:pStyle w:val="Notedebasdepage"/>
      </w:pPr>
      <w:r>
        <w:rPr>
          <w:rStyle w:val="Appelnotedebasdep"/>
        </w:rPr>
        <w:tab/>
      </w:r>
      <w:r w:rsidRPr="001B4EB0">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F2509C" w:rsidRPr="00DB16B7" w:rsidRDefault="00F2509C" w:rsidP="009618BC">
      <w:pPr>
        <w:pStyle w:val="Notedebasdepage"/>
        <w:rPr>
          <w:szCs w:val="18"/>
        </w:rPr>
      </w:pPr>
      <w:r w:rsidRPr="00DB16B7">
        <w:rPr>
          <w:szCs w:val="18"/>
          <w:lang w:val="fr-FR"/>
        </w:rPr>
        <w:tab/>
      </w:r>
      <w:r w:rsidRPr="009618BC">
        <w:rPr>
          <w:rStyle w:val="Appelnotedebasdep"/>
        </w:rPr>
        <w:footnoteRef/>
      </w:r>
      <w:r>
        <w:rPr>
          <w:lang w:val="fr-FR"/>
        </w:rPr>
        <w:tab/>
        <w:t>Voir partie II du présent document.</w:t>
      </w:r>
    </w:p>
  </w:footnote>
  <w:footnote w:id="4">
    <w:p w:rsidR="00F2509C" w:rsidRPr="00DB16B7" w:rsidRDefault="00F2509C" w:rsidP="009618BC">
      <w:pPr>
        <w:pStyle w:val="Notedebasdepage"/>
        <w:rPr>
          <w:szCs w:val="18"/>
        </w:rPr>
      </w:pPr>
      <w:r w:rsidRPr="00DB16B7">
        <w:rPr>
          <w:szCs w:val="18"/>
          <w:lang w:val="fr-FR"/>
        </w:rPr>
        <w:tab/>
      </w:r>
      <w:r w:rsidRPr="009618BC">
        <w:rPr>
          <w:rStyle w:val="Appelnotedebasdep"/>
        </w:rPr>
        <w:footnoteRef/>
      </w:r>
      <w:r>
        <w:rPr>
          <w:lang w:val="fr-FR"/>
        </w:rPr>
        <w:tab/>
        <w:t xml:space="preserve">Adoptée par l’ordonnance gouvernementale </w:t>
      </w:r>
      <w:r w:rsidRPr="00A40908">
        <w:rPr>
          <w:rFonts w:eastAsia="MS Mincho"/>
          <w:lang w:val="fr-FR"/>
        </w:rPr>
        <w:t>n</w:t>
      </w:r>
      <w:r w:rsidRPr="00A40908">
        <w:rPr>
          <w:rFonts w:eastAsia="MS Mincho"/>
          <w:vertAlign w:val="superscript"/>
          <w:lang w:val="fr-FR"/>
        </w:rPr>
        <w:t>o</w:t>
      </w:r>
      <w:r>
        <w:rPr>
          <w:rFonts w:eastAsia="MS Mincho"/>
          <w:vertAlign w:val="superscript"/>
          <w:lang w:val="fr-FR"/>
        </w:rPr>
        <w:t> </w:t>
      </w:r>
      <w:r>
        <w:rPr>
          <w:lang w:val="fr-FR"/>
        </w:rPr>
        <w:t>1464 du 30 décembre 2016.</w:t>
      </w:r>
    </w:p>
  </w:footnote>
  <w:footnote w:id="5">
    <w:p w:rsidR="00F2509C" w:rsidRPr="004A1F00" w:rsidRDefault="00F2509C" w:rsidP="009618BC">
      <w:pPr>
        <w:pStyle w:val="Notedebasdepage"/>
        <w:rPr>
          <w:szCs w:val="18"/>
          <w:lang w:val="ro-MD"/>
        </w:rPr>
      </w:pPr>
      <w:r w:rsidRPr="00C62868">
        <w:rPr>
          <w:szCs w:val="18"/>
        </w:rPr>
        <w:tab/>
      </w:r>
      <w:r w:rsidRPr="009618BC">
        <w:rPr>
          <w:rStyle w:val="Appelnotedebasdep"/>
        </w:rPr>
        <w:footnoteRef/>
      </w:r>
      <w:r w:rsidRPr="00FB3AB4">
        <w:rPr>
          <w:szCs w:val="18"/>
        </w:rPr>
        <w:tab/>
      </w:r>
      <w:r>
        <w:rPr>
          <w:szCs w:val="18"/>
          <w:lang w:val="fr-FR"/>
        </w:rPr>
        <w:t>Ce</w:t>
      </w:r>
      <w:r w:rsidRPr="00FB3AB4">
        <w:rPr>
          <w:szCs w:val="18"/>
        </w:rPr>
        <w:t xml:space="preserve"> </w:t>
      </w:r>
      <w:r>
        <w:rPr>
          <w:szCs w:val="18"/>
          <w:lang w:val="fr-FR"/>
        </w:rPr>
        <w:t>groupe</w:t>
      </w:r>
      <w:r w:rsidRPr="00FB3AB4">
        <w:rPr>
          <w:szCs w:val="18"/>
        </w:rPr>
        <w:t xml:space="preserve"> </w:t>
      </w:r>
      <w:r>
        <w:rPr>
          <w:szCs w:val="18"/>
          <w:lang w:val="fr-FR"/>
        </w:rPr>
        <w:t>de</w:t>
      </w:r>
      <w:r w:rsidRPr="00FB3AB4">
        <w:rPr>
          <w:szCs w:val="18"/>
        </w:rPr>
        <w:t xml:space="preserve"> </w:t>
      </w:r>
      <w:r>
        <w:rPr>
          <w:szCs w:val="18"/>
          <w:lang w:val="fr-FR"/>
        </w:rPr>
        <w:t>travail</w:t>
      </w:r>
      <w:r w:rsidRPr="00FB3AB4">
        <w:rPr>
          <w:szCs w:val="18"/>
        </w:rPr>
        <w:t xml:space="preserve"> </w:t>
      </w:r>
      <w:r>
        <w:rPr>
          <w:szCs w:val="18"/>
          <w:lang w:val="fr-FR"/>
        </w:rPr>
        <w:t>a</w:t>
      </w:r>
      <w:r w:rsidRPr="00FB3AB4">
        <w:rPr>
          <w:szCs w:val="18"/>
        </w:rPr>
        <w:t xml:space="preserve"> é</w:t>
      </w:r>
      <w:r>
        <w:rPr>
          <w:szCs w:val="18"/>
          <w:lang w:val="fr-FR"/>
        </w:rPr>
        <w:t>t</w:t>
      </w:r>
      <w:r w:rsidRPr="00FB3AB4">
        <w:rPr>
          <w:szCs w:val="18"/>
        </w:rPr>
        <w:t xml:space="preserve">é </w:t>
      </w:r>
      <w:r>
        <w:rPr>
          <w:szCs w:val="18"/>
        </w:rPr>
        <w:t xml:space="preserve">établi </w:t>
      </w:r>
      <w:r>
        <w:rPr>
          <w:szCs w:val="18"/>
          <w:lang w:val="fr-FR"/>
        </w:rPr>
        <w:t>par</w:t>
      </w:r>
      <w:r w:rsidRPr="00FB3AB4">
        <w:rPr>
          <w:szCs w:val="18"/>
        </w:rPr>
        <w:t xml:space="preserve"> </w:t>
      </w:r>
      <w:r w:rsidRPr="000E6DB8">
        <w:rPr>
          <w:szCs w:val="18"/>
          <w:lang w:val="fr-FR"/>
        </w:rPr>
        <w:t>l</w:t>
      </w:r>
      <w:r>
        <w:rPr>
          <w:szCs w:val="18"/>
          <w:lang w:val="fr-FR"/>
        </w:rPr>
        <w:t>’</w:t>
      </w:r>
      <w:r w:rsidRPr="000E6DB8">
        <w:rPr>
          <w:szCs w:val="18"/>
          <w:lang w:val="fr-FR"/>
        </w:rPr>
        <w:t>arrêté</w:t>
      </w:r>
      <w:r>
        <w:rPr>
          <w:szCs w:val="18"/>
          <w:lang w:val="fr-FR"/>
        </w:rPr>
        <w:t xml:space="preserve"> </w:t>
      </w:r>
      <w:r>
        <w:rPr>
          <w:szCs w:val="18"/>
        </w:rPr>
        <w:t>n</w:t>
      </w:r>
      <w:r w:rsidRPr="000E6DB8">
        <w:rPr>
          <w:szCs w:val="18"/>
          <w:vertAlign w:val="superscript"/>
        </w:rPr>
        <w:t>o</w:t>
      </w:r>
      <w:r>
        <w:rPr>
          <w:szCs w:val="18"/>
        </w:rPr>
        <w:t> </w:t>
      </w:r>
      <w:r w:rsidRPr="00FB3AB4">
        <w:rPr>
          <w:szCs w:val="18"/>
        </w:rPr>
        <w:t xml:space="preserve">1056 </w:t>
      </w:r>
      <w:r>
        <w:rPr>
          <w:szCs w:val="18"/>
          <w:lang w:val="fr-FR"/>
        </w:rPr>
        <w:t>du Ministère de la justice, daté du 18 novembre 2016</w:t>
      </w:r>
      <w:r w:rsidRPr="00D82A9B">
        <w:rPr>
          <w:szCs w:val="18"/>
        </w:rPr>
        <w:t>.</w:t>
      </w:r>
    </w:p>
  </w:footnote>
  <w:footnote w:id="6">
    <w:p w:rsidR="00F2509C" w:rsidRPr="00D916DE" w:rsidRDefault="00F2509C" w:rsidP="009618BC">
      <w:pPr>
        <w:pStyle w:val="Notedebasdepage"/>
        <w:rPr>
          <w:lang w:val="fr-FR"/>
        </w:rPr>
      </w:pPr>
      <w:r w:rsidRPr="00D82A9B">
        <w:rPr>
          <w:szCs w:val="18"/>
        </w:rPr>
        <w:tab/>
      </w:r>
      <w:r w:rsidRPr="009618BC">
        <w:rPr>
          <w:rStyle w:val="Appelnotedebasdep"/>
        </w:rPr>
        <w:footnoteRef/>
      </w:r>
      <w:r w:rsidRPr="00D916DE">
        <w:tab/>
      </w:r>
      <w:r>
        <w:rPr>
          <w:lang w:val="fr-FR"/>
        </w:rPr>
        <w:t>Le</w:t>
      </w:r>
      <w:r w:rsidRPr="00D916DE">
        <w:t xml:space="preserve"> </w:t>
      </w:r>
      <w:r>
        <w:rPr>
          <w:lang w:val="fr-FR"/>
        </w:rPr>
        <w:t>service</w:t>
      </w:r>
      <w:r w:rsidRPr="00D916DE">
        <w:t xml:space="preserve"> </w:t>
      </w:r>
      <w:r>
        <w:rPr>
          <w:lang w:val="fr-FR"/>
        </w:rPr>
        <w:t>des médiateurs communautaires a été créé en 2013 et financé par le budget de l’État jusqu’en 2014. À partir de 2015, la responsabilité du financement des activités des médiateurs communautaires a été transférée aux autorités locales, qui n’ont pu en assurer le fonctionnement par manque de ressources dans les budgets locaux. Sur les 48 médiateurs nécessaires, seuls neuf ont travaillé et ont été payés par les budgets des autorités locales. C’est pourquoi, à compter de 2018, le service des médiateurs communautaires est financé par le budget de l’État, à partir duquel les moyens correspondants sont transférés vers le budget des autorités locales de premier niveau</w:t>
      </w:r>
      <w:r w:rsidRPr="00AB09CC">
        <w:t>.</w:t>
      </w:r>
    </w:p>
  </w:footnote>
  <w:footnote w:id="7">
    <w:p w:rsidR="00F2509C" w:rsidRPr="004A1F00" w:rsidRDefault="00F2509C" w:rsidP="009618BC">
      <w:pPr>
        <w:pStyle w:val="Notedebasdepage"/>
        <w:rPr>
          <w:szCs w:val="18"/>
          <w:lang w:val="ro-MD"/>
        </w:rPr>
      </w:pPr>
      <w:r w:rsidRPr="004A1F00">
        <w:rPr>
          <w:szCs w:val="18"/>
          <w:lang w:val="ro-MD"/>
        </w:rPr>
        <w:tab/>
      </w:r>
      <w:r w:rsidRPr="009618BC">
        <w:rPr>
          <w:rStyle w:val="Appelnotedebasdep"/>
        </w:rPr>
        <w:footnoteRef/>
      </w:r>
      <w:r w:rsidRPr="004A1F00">
        <w:rPr>
          <w:szCs w:val="18"/>
          <w:lang w:val="ro-MD"/>
        </w:rPr>
        <w:tab/>
      </w:r>
      <w:r>
        <w:rPr>
          <w:szCs w:val="18"/>
          <w:lang w:val="ro-MD"/>
        </w:rPr>
        <w:t>Adopté par l’ordonnance gouvernementale n</w:t>
      </w:r>
      <w:r w:rsidRPr="000D554F">
        <w:rPr>
          <w:szCs w:val="18"/>
          <w:vertAlign w:val="superscript"/>
          <w:lang w:val="ro-MD"/>
        </w:rPr>
        <w:t>o</w:t>
      </w:r>
      <w:r>
        <w:rPr>
          <w:szCs w:val="18"/>
          <w:lang w:val="ro-MD"/>
        </w:rPr>
        <w:t> 734 du 9 juin 2016.</w:t>
      </w:r>
    </w:p>
  </w:footnote>
  <w:footnote w:id="8">
    <w:p w:rsidR="00F2509C" w:rsidRPr="002A78AA" w:rsidRDefault="00F2509C" w:rsidP="009618BC">
      <w:pPr>
        <w:pStyle w:val="Notedebasdepage"/>
        <w:rPr>
          <w:szCs w:val="18"/>
          <w:lang w:val="fr-FR"/>
        </w:rPr>
      </w:pPr>
      <w:r w:rsidRPr="002A78AA">
        <w:rPr>
          <w:szCs w:val="18"/>
          <w:lang w:val="fr-FR"/>
        </w:rPr>
        <w:tab/>
      </w:r>
      <w:r w:rsidRPr="009618BC">
        <w:rPr>
          <w:rStyle w:val="Appelnotedebasdep"/>
        </w:rPr>
        <w:footnoteRef/>
      </w:r>
      <w:r w:rsidRPr="002A78AA">
        <w:rPr>
          <w:szCs w:val="18"/>
          <w:lang w:val="fr-FR"/>
        </w:rPr>
        <w:tab/>
        <w:t>Selon l</w:t>
      </w:r>
      <w:r>
        <w:rPr>
          <w:szCs w:val="18"/>
          <w:lang w:val="fr-FR"/>
        </w:rPr>
        <w:t>’</w:t>
      </w:r>
      <w:r w:rsidRPr="002A78AA">
        <w:rPr>
          <w:szCs w:val="18"/>
          <w:lang w:val="fr-FR"/>
        </w:rPr>
        <w:t>article 3 du Code de l</w:t>
      </w:r>
      <w:r>
        <w:rPr>
          <w:szCs w:val="18"/>
          <w:lang w:val="fr-FR"/>
        </w:rPr>
        <w:t>’</w:t>
      </w:r>
      <w:r w:rsidRPr="002A78AA">
        <w:rPr>
          <w:szCs w:val="18"/>
          <w:lang w:val="fr-FR"/>
        </w:rPr>
        <w:t>éducation n</w:t>
      </w:r>
      <w:r w:rsidRPr="007072A4">
        <w:rPr>
          <w:szCs w:val="18"/>
          <w:vertAlign w:val="superscript"/>
          <w:lang w:val="fr-FR"/>
        </w:rPr>
        <w:t>o</w:t>
      </w:r>
      <w:r>
        <w:rPr>
          <w:szCs w:val="18"/>
          <w:lang w:val="fr-FR"/>
        </w:rPr>
        <w:t> 152 du 17 </w:t>
      </w:r>
      <w:r w:rsidRPr="002A78AA">
        <w:rPr>
          <w:szCs w:val="18"/>
          <w:lang w:val="fr-FR"/>
        </w:rPr>
        <w:t xml:space="preserve">juillet 2014, </w:t>
      </w:r>
      <w:r>
        <w:rPr>
          <w:szCs w:val="18"/>
          <w:lang w:val="fr-FR"/>
        </w:rPr>
        <w:t>« </w:t>
      </w:r>
      <w:r w:rsidRPr="002A78AA">
        <w:rPr>
          <w:szCs w:val="18"/>
          <w:lang w:val="fr-FR"/>
        </w:rPr>
        <w:t>l</w:t>
      </w:r>
      <w:r>
        <w:rPr>
          <w:szCs w:val="18"/>
          <w:lang w:val="fr-FR"/>
        </w:rPr>
        <w:t>’</w:t>
      </w:r>
      <w:r w:rsidRPr="002A78AA">
        <w:rPr>
          <w:szCs w:val="18"/>
          <w:lang w:val="fr-FR"/>
        </w:rPr>
        <w:t>enseignement préscolaire se définit comme le processus éducatif qui couvre les enfants de 0 à 6 (7) ans, dans des établissements scolaires ou dans les familles, afin d</w:t>
      </w:r>
      <w:r>
        <w:rPr>
          <w:szCs w:val="18"/>
          <w:lang w:val="fr-FR"/>
        </w:rPr>
        <w:t>’</w:t>
      </w:r>
      <w:r w:rsidRPr="002A78AA">
        <w:rPr>
          <w:szCs w:val="18"/>
          <w:lang w:val="fr-FR"/>
        </w:rPr>
        <w:t>assurer leur développement physiq</w:t>
      </w:r>
      <w:r>
        <w:rPr>
          <w:szCs w:val="18"/>
          <w:lang w:val="fr-FR"/>
        </w:rPr>
        <w:t>ue, intellectuel, émotionnel et </w:t>
      </w:r>
      <w:r w:rsidRPr="002A78AA">
        <w:rPr>
          <w:szCs w:val="18"/>
          <w:lang w:val="fr-FR"/>
        </w:rPr>
        <w:t>social</w:t>
      </w:r>
      <w:r>
        <w:rPr>
          <w:szCs w:val="18"/>
          <w:lang w:val="fr-FR"/>
        </w:rPr>
        <w:t> »</w:t>
      </w:r>
      <w:r w:rsidRPr="002A78AA">
        <w:rPr>
          <w:szCs w:val="18"/>
          <w:lang w:val="fr-FR"/>
        </w:rPr>
        <w:t>.</w:t>
      </w:r>
    </w:p>
  </w:footnote>
  <w:footnote w:id="9">
    <w:p w:rsidR="00F2509C" w:rsidRPr="004A1F00" w:rsidRDefault="00F2509C" w:rsidP="009618BC">
      <w:pPr>
        <w:pStyle w:val="Notedebasdepage"/>
        <w:rPr>
          <w:szCs w:val="18"/>
          <w:lang w:val="ro-MD"/>
        </w:rPr>
      </w:pPr>
      <w:r w:rsidRPr="004A1F00">
        <w:rPr>
          <w:szCs w:val="18"/>
          <w:lang w:val="ro-MD"/>
        </w:rPr>
        <w:tab/>
      </w:r>
      <w:r w:rsidRPr="009618BC">
        <w:rPr>
          <w:rStyle w:val="Appelnotedebasdep"/>
        </w:rPr>
        <w:footnoteRef/>
      </w:r>
      <w:r w:rsidRPr="004A1F00">
        <w:rPr>
          <w:szCs w:val="18"/>
          <w:lang w:val="ro-MD"/>
        </w:rPr>
        <w:tab/>
      </w:r>
      <w:r w:rsidRPr="002A78AA">
        <w:rPr>
          <w:szCs w:val="18"/>
          <w:lang w:val="fr-FR"/>
        </w:rPr>
        <w:t>Selon l</w:t>
      </w:r>
      <w:r>
        <w:rPr>
          <w:szCs w:val="18"/>
          <w:lang w:val="fr-FR"/>
        </w:rPr>
        <w:t>’</w:t>
      </w:r>
      <w:r w:rsidRPr="002A78AA">
        <w:rPr>
          <w:szCs w:val="18"/>
          <w:lang w:val="fr-FR"/>
        </w:rPr>
        <w:t>article </w:t>
      </w:r>
      <w:r>
        <w:rPr>
          <w:szCs w:val="18"/>
          <w:lang w:val="fr-FR"/>
        </w:rPr>
        <w:t>15 1) i)</w:t>
      </w:r>
      <w:r w:rsidRPr="002A78AA">
        <w:rPr>
          <w:szCs w:val="18"/>
          <w:lang w:val="fr-FR"/>
        </w:rPr>
        <w:t xml:space="preserve"> du Code de l</w:t>
      </w:r>
      <w:r>
        <w:rPr>
          <w:szCs w:val="18"/>
          <w:lang w:val="fr-FR"/>
        </w:rPr>
        <w:t>’</w:t>
      </w:r>
      <w:r w:rsidRPr="002A78AA">
        <w:rPr>
          <w:szCs w:val="18"/>
          <w:lang w:val="fr-FR"/>
        </w:rPr>
        <w:t>éducation n</w:t>
      </w:r>
      <w:r w:rsidRPr="00E6050F">
        <w:rPr>
          <w:szCs w:val="18"/>
          <w:vertAlign w:val="superscript"/>
          <w:lang w:val="fr-FR"/>
        </w:rPr>
        <w:t>o</w:t>
      </w:r>
      <w:r>
        <w:rPr>
          <w:szCs w:val="18"/>
          <w:lang w:val="fr-FR"/>
        </w:rPr>
        <w:t> 152 du 17 </w:t>
      </w:r>
      <w:r w:rsidRPr="002A78AA">
        <w:rPr>
          <w:szCs w:val="18"/>
          <w:lang w:val="fr-FR"/>
        </w:rPr>
        <w:t xml:space="preserve">juillet 2014, </w:t>
      </w:r>
      <w:r>
        <w:rPr>
          <w:szCs w:val="18"/>
          <w:lang w:val="fr-FR"/>
        </w:rPr>
        <w:t>un centre-pilote</w:t>
      </w:r>
      <w:r w:rsidRPr="002A78AA">
        <w:rPr>
          <w:szCs w:val="18"/>
          <w:lang w:val="fr-FR"/>
        </w:rPr>
        <w:t xml:space="preserve"> </w:t>
      </w:r>
      <w:r>
        <w:rPr>
          <w:szCs w:val="18"/>
          <w:lang w:val="fr-FR"/>
        </w:rPr>
        <w:t>est défini comme un établissement d’enseignement professionnel et technique offrant des programmes combinés.</w:t>
      </w:r>
    </w:p>
  </w:footnote>
  <w:footnote w:id="10">
    <w:p w:rsidR="00F2509C" w:rsidRPr="004A1F00" w:rsidRDefault="00F2509C" w:rsidP="009618BC">
      <w:pPr>
        <w:pStyle w:val="Notedebasdepage"/>
        <w:rPr>
          <w:szCs w:val="18"/>
          <w:lang w:val="ro-MD"/>
        </w:rPr>
      </w:pPr>
      <w:r>
        <w:rPr>
          <w:szCs w:val="18"/>
          <w:lang w:val="ro-MD"/>
        </w:rPr>
        <w:tab/>
      </w:r>
      <w:r w:rsidRPr="009618BC">
        <w:rPr>
          <w:rStyle w:val="Appelnotedebasdep"/>
        </w:rPr>
        <w:footnoteRef/>
      </w:r>
      <w:r>
        <w:rPr>
          <w:szCs w:val="18"/>
          <w:lang w:val="ro-MD"/>
        </w:rPr>
        <w:tab/>
        <w:t>Ce projet a été lancé en 2011 par le Ministère de l’éducation de la République de Moldova et approuvé par l’arrêté ministériel n</w:t>
      </w:r>
      <w:r w:rsidRPr="00F34C81">
        <w:rPr>
          <w:szCs w:val="18"/>
          <w:vertAlign w:val="superscript"/>
          <w:lang w:val="ro-MD"/>
        </w:rPr>
        <w:t>o</w:t>
      </w:r>
      <w:r>
        <w:rPr>
          <w:szCs w:val="18"/>
          <w:lang w:val="ro-MD"/>
        </w:rPr>
        <w:t> 751 du 20 août 2011.</w:t>
      </w:r>
    </w:p>
  </w:footnote>
  <w:footnote w:id="11">
    <w:p w:rsidR="00F2509C" w:rsidRPr="00011846" w:rsidRDefault="00F2509C" w:rsidP="009618BC">
      <w:pPr>
        <w:pStyle w:val="Notedebasdepage"/>
        <w:rPr>
          <w:szCs w:val="18"/>
          <w:lang w:val="fr-FR"/>
        </w:rPr>
      </w:pPr>
      <w:r w:rsidRPr="00F94CC5">
        <w:rPr>
          <w:szCs w:val="18"/>
          <w:lang w:val="fr-FR"/>
        </w:rPr>
        <w:tab/>
      </w:r>
      <w:r w:rsidRPr="009618BC">
        <w:rPr>
          <w:rStyle w:val="Appelnotedebasdep"/>
        </w:rPr>
        <w:footnoteRef/>
      </w:r>
      <w:r w:rsidRPr="00F94CC5">
        <w:rPr>
          <w:szCs w:val="18"/>
          <w:lang w:val="fr-FR"/>
        </w:rPr>
        <w:tab/>
        <w:t xml:space="preserve">Créée en 2005 et enregistrée en 2008, ANTEM est devenue </w:t>
      </w:r>
      <w:r>
        <w:rPr>
          <w:szCs w:val="18"/>
          <w:lang w:val="fr-FR"/>
        </w:rPr>
        <w:t>la promotrice</w:t>
      </w:r>
      <w:r w:rsidRPr="00F94CC5">
        <w:rPr>
          <w:szCs w:val="18"/>
          <w:lang w:val="fr-FR"/>
        </w:rPr>
        <w:t xml:space="preserve"> d</w:t>
      </w:r>
      <w:r>
        <w:rPr>
          <w:szCs w:val="18"/>
          <w:lang w:val="fr-FR"/>
        </w:rPr>
        <w:t>e l’enseignement de la</w:t>
      </w:r>
      <w:r w:rsidRPr="00F94CC5">
        <w:rPr>
          <w:szCs w:val="18"/>
          <w:lang w:val="fr-FR"/>
        </w:rPr>
        <w:t xml:space="preserve"> langue officielle pour les locuteurs allophones en </w:t>
      </w:r>
      <w:r>
        <w:rPr>
          <w:szCs w:val="18"/>
          <w:lang w:val="fr-FR"/>
        </w:rPr>
        <w:t>République de Moldova, ainsi que d’une approche professionnelle, compétente et responsable de l’intégration des minorités nationales moyennant un renforcement des compétences de communication.</w:t>
      </w:r>
    </w:p>
  </w:footnote>
  <w:footnote w:id="12">
    <w:p w:rsidR="00F2509C" w:rsidRPr="004A1F00" w:rsidRDefault="00F2509C" w:rsidP="00381391">
      <w:pPr>
        <w:pStyle w:val="Notedebasdepage"/>
        <w:rPr>
          <w:szCs w:val="18"/>
          <w:lang w:val="ro-MD"/>
        </w:rPr>
      </w:pPr>
      <w:r>
        <w:rPr>
          <w:szCs w:val="18"/>
          <w:lang w:val="ro-MD"/>
        </w:rPr>
        <w:tab/>
      </w:r>
      <w:r w:rsidRPr="009618BC">
        <w:rPr>
          <w:rStyle w:val="Appelnotedebasdep"/>
        </w:rPr>
        <w:footnoteRef/>
      </w:r>
      <w:r>
        <w:rPr>
          <w:szCs w:val="18"/>
          <w:lang w:val="ro-MD"/>
        </w:rPr>
        <w:tab/>
        <w:t>Le projet est mis en oeuvre avec le soutien de la Direction du développement et de la coopération suisse.</w:t>
      </w:r>
    </w:p>
  </w:footnote>
  <w:footnote w:id="13">
    <w:p w:rsidR="00F2509C" w:rsidRPr="009130F7" w:rsidRDefault="00F2509C" w:rsidP="009618BC">
      <w:pPr>
        <w:pStyle w:val="Notedebasdepage"/>
        <w:rPr>
          <w:szCs w:val="18"/>
        </w:rPr>
      </w:pPr>
      <w:r w:rsidRPr="00F74FFA">
        <w:rPr>
          <w:szCs w:val="18"/>
        </w:rPr>
        <w:tab/>
      </w:r>
      <w:r w:rsidRPr="009618BC">
        <w:rPr>
          <w:rStyle w:val="Appelnotedebasdep"/>
        </w:rPr>
        <w:footnoteRef/>
      </w:r>
      <w:r w:rsidRPr="005C39BC">
        <w:tab/>
      </w:r>
      <w:r>
        <w:rPr>
          <w:lang w:val="fr-FR"/>
        </w:rPr>
        <w:t>En application des normes internationales, depuis 2004, le Bureau national des statistiques n’inclut dans aucun rapport les données sur l’appartenance ethnique des personnes de moins de 16 ans.</w:t>
      </w:r>
    </w:p>
  </w:footnote>
  <w:footnote w:id="14">
    <w:p w:rsidR="00F2509C" w:rsidRPr="00DB16B7" w:rsidRDefault="00F2509C" w:rsidP="009618BC">
      <w:pPr>
        <w:pStyle w:val="Notedebasdepage"/>
        <w:rPr>
          <w:lang w:val="ro-MD"/>
        </w:rPr>
      </w:pPr>
      <w:r w:rsidRPr="00DB16B7">
        <w:rPr>
          <w:lang w:val="ro-MD"/>
        </w:rPr>
        <w:tab/>
      </w:r>
      <w:r w:rsidRPr="009618BC">
        <w:rPr>
          <w:rStyle w:val="Appelnotedebasdep"/>
        </w:rPr>
        <w:footnoteRef/>
      </w:r>
      <w:r w:rsidRPr="00DB16B7">
        <w:rPr>
          <w:lang w:val="ro-MD"/>
        </w:rPr>
        <w:tab/>
      </w:r>
      <w:r>
        <w:rPr>
          <w:lang w:val="ro-MD"/>
        </w:rPr>
        <w:t>Ces données ont été recueillies par les cadres du Ministère de l’éducation, de la culture et de la recherche, sur la base des informations transmises par les autorités locales.</w:t>
      </w:r>
    </w:p>
  </w:footnote>
  <w:footnote w:id="15">
    <w:p w:rsidR="00F2509C" w:rsidRPr="00DB16B7" w:rsidRDefault="00F2509C" w:rsidP="009618BC">
      <w:pPr>
        <w:pStyle w:val="Notedebasdepage"/>
        <w:rPr>
          <w:lang w:val="ro-MD"/>
        </w:rPr>
      </w:pPr>
      <w:r w:rsidRPr="00DB16B7">
        <w:rPr>
          <w:lang w:val="ro-MD"/>
        </w:rPr>
        <w:tab/>
      </w:r>
      <w:r w:rsidRPr="009618BC">
        <w:rPr>
          <w:rStyle w:val="Appelnotedebasdep"/>
        </w:rPr>
        <w:footnoteRef/>
      </w:r>
      <w:r w:rsidRPr="00DB16B7">
        <w:rPr>
          <w:lang w:val="ro-MD"/>
        </w:rPr>
        <w:tab/>
      </w:r>
      <w:r>
        <w:rPr>
          <w:lang w:val="ro-MD"/>
        </w:rPr>
        <w:t>Institué par l’ordonnance gouvernementale n</w:t>
      </w:r>
      <w:r w:rsidRPr="00D44FC6">
        <w:rPr>
          <w:vertAlign w:val="superscript"/>
          <w:lang w:val="ro-MD"/>
        </w:rPr>
        <w:t>o</w:t>
      </w:r>
      <w:r>
        <w:rPr>
          <w:lang w:val="ro-MD"/>
        </w:rPr>
        <w:t> 448 du 9 avril 1998 relative à la fourniture de manuels scolaires aux élèves de l’école primaire, du collège et du lycée</w:t>
      </w:r>
      <w:r w:rsidRPr="00315197">
        <w:rPr>
          <w:lang w:val="ro-MD"/>
        </w:rPr>
        <w:t>.</w:t>
      </w:r>
    </w:p>
  </w:footnote>
  <w:footnote w:id="16">
    <w:p w:rsidR="00F2509C" w:rsidRPr="008149FF" w:rsidRDefault="00F2509C" w:rsidP="009618BC">
      <w:pPr>
        <w:pStyle w:val="Notedebasdepage"/>
        <w:rPr>
          <w:szCs w:val="18"/>
        </w:rPr>
      </w:pPr>
      <w:r w:rsidRPr="00AD7C04">
        <w:rPr>
          <w:szCs w:val="18"/>
        </w:rPr>
        <w:tab/>
      </w:r>
      <w:r w:rsidRPr="009618BC">
        <w:rPr>
          <w:rStyle w:val="Appelnotedebasdep"/>
        </w:rPr>
        <w:footnoteRef/>
      </w:r>
      <w:r w:rsidRPr="008149FF">
        <w:tab/>
      </w:r>
      <w:hyperlink r:id="rId1" w:history="1">
        <w:r w:rsidRPr="00700E2E">
          <w:rPr>
            <w:rStyle w:val="Lienhypertexte"/>
            <w:lang w:val="fr-FR"/>
          </w:rPr>
          <w:t>https</w:t>
        </w:r>
        <w:r w:rsidRPr="00700E2E">
          <w:rPr>
            <w:rStyle w:val="Lienhypertexte"/>
          </w:rPr>
          <w:t>://</w:t>
        </w:r>
        <w:r w:rsidRPr="00700E2E">
          <w:rPr>
            <w:rStyle w:val="Lienhypertexte"/>
            <w:lang w:val="fr-FR"/>
          </w:rPr>
          <w:t>gov</w:t>
        </w:r>
        <w:r w:rsidRPr="00700E2E">
          <w:rPr>
            <w:rStyle w:val="Lienhypertexte"/>
          </w:rPr>
          <w:t>.</w:t>
        </w:r>
        <w:r w:rsidRPr="00700E2E">
          <w:rPr>
            <w:rStyle w:val="Lienhypertexte"/>
            <w:lang w:val="fr-FR"/>
          </w:rPr>
          <w:t>md</w:t>
        </w:r>
        <w:r w:rsidRPr="00700E2E">
          <w:rPr>
            <w:rStyle w:val="Lienhypertexte"/>
          </w:rPr>
          <w:t>/</w:t>
        </w:r>
        <w:r w:rsidRPr="00700E2E">
          <w:rPr>
            <w:rStyle w:val="Lienhypertexte"/>
            <w:lang w:val="fr-FR"/>
          </w:rPr>
          <w:t>sites</w:t>
        </w:r>
        <w:r w:rsidRPr="00700E2E">
          <w:rPr>
            <w:rStyle w:val="Lienhypertexte"/>
          </w:rPr>
          <w:t>/</w:t>
        </w:r>
        <w:r w:rsidRPr="00700E2E">
          <w:rPr>
            <w:rStyle w:val="Lienhypertexte"/>
            <w:lang w:val="fr-FR"/>
          </w:rPr>
          <w:t>default</w:t>
        </w:r>
        <w:r w:rsidRPr="00700E2E">
          <w:rPr>
            <w:rStyle w:val="Lienhypertexte"/>
          </w:rPr>
          <w:t>/</w:t>
        </w:r>
        <w:r w:rsidRPr="00700E2E">
          <w:rPr>
            <w:rStyle w:val="Lienhypertexte"/>
            <w:lang w:val="fr-FR"/>
          </w:rPr>
          <w:t>files</w:t>
        </w:r>
        <w:r w:rsidRPr="00700E2E">
          <w:rPr>
            <w:rStyle w:val="Lienhypertexte"/>
          </w:rPr>
          <w:t>/</w:t>
        </w:r>
        <w:r w:rsidRPr="00700E2E">
          <w:rPr>
            <w:rStyle w:val="Lienhypertexte"/>
            <w:lang w:val="fr-FR"/>
          </w:rPr>
          <w:t>document</w:t>
        </w:r>
        <w:r w:rsidRPr="00700E2E">
          <w:rPr>
            <w:rStyle w:val="Lienhypertexte"/>
          </w:rPr>
          <w:t>/</w:t>
        </w:r>
        <w:r w:rsidRPr="00700E2E">
          <w:rPr>
            <w:rStyle w:val="Lienhypertexte"/>
            <w:lang w:val="fr-FR"/>
          </w:rPr>
          <w:t>attachments</w:t>
        </w:r>
        <w:r w:rsidRPr="00700E2E">
          <w:rPr>
            <w:rStyle w:val="Lienhypertexte"/>
          </w:rPr>
          <w:t>/</w:t>
        </w:r>
        <w:r w:rsidRPr="00700E2E">
          <w:rPr>
            <w:rStyle w:val="Lienhypertexte"/>
            <w:lang w:val="fr-FR"/>
          </w:rPr>
          <w:t>intr</w:t>
        </w:r>
        <w:r w:rsidRPr="00700E2E">
          <w:rPr>
            <w:rStyle w:val="Lienhypertexte"/>
          </w:rPr>
          <w:t>11_138.</w:t>
        </w:r>
        <w:r w:rsidRPr="00700E2E">
          <w:rPr>
            <w:rStyle w:val="Lienhypertexte"/>
            <w:lang w:val="fr-FR"/>
          </w:rPr>
          <w:t>pdf</w:t>
        </w:r>
      </w:hyperlink>
      <w:r w:rsidRPr="008149FF">
        <w:t>.</w:t>
      </w:r>
    </w:p>
  </w:footnote>
  <w:footnote w:id="17">
    <w:p w:rsidR="00F2509C" w:rsidRPr="004A1F00" w:rsidRDefault="00F2509C" w:rsidP="009618BC">
      <w:pPr>
        <w:pStyle w:val="Notedebasdepage"/>
        <w:rPr>
          <w:szCs w:val="18"/>
          <w:lang w:val="ro-RO"/>
        </w:rPr>
      </w:pPr>
      <w:r>
        <w:rPr>
          <w:szCs w:val="18"/>
          <w:lang w:val="ro-RO"/>
        </w:rPr>
        <w:tab/>
      </w:r>
      <w:r w:rsidRPr="009618BC">
        <w:rPr>
          <w:rStyle w:val="Appelnotedebasdep"/>
        </w:rPr>
        <w:footnoteRef/>
      </w:r>
      <w:r>
        <w:rPr>
          <w:szCs w:val="18"/>
          <w:lang w:val="ro-RO"/>
        </w:rPr>
        <w:tab/>
        <w:t>Conformément à la loi n</w:t>
      </w:r>
      <w:r w:rsidRPr="00594BCB">
        <w:rPr>
          <w:szCs w:val="18"/>
          <w:vertAlign w:val="superscript"/>
          <w:lang w:val="ro-RO"/>
        </w:rPr>
        <w:t>o</w:t>
      </w:r>
      <w:r>
        <w:rPr>
          <w:szCs w:val="18"/>
          <w:lang w:val="ro-RO"/>
        </w:rPr>
        <w:t> 151 du 1</w:t>
      </w:r>
      <w:r w:rsidRPr="00594BCB">
        <w:rPr>
          <w:szCs w:val="18"/>
          <w:vertAlign w:val="superscript"/>
          <w:lang w:val="ro-RO"/>
        </w:rPr>
        <w:t>er</w:t>
      </w:r>
      <w:r>
        <w:rPr>
          <w:szCs w:val="18"/>
          <w:lang w:val="ro-RO"/>
        </w:rPr>
        <w:t> mai 2016 modifiant et complétant certains textes législatifs</w:t>
      </w:r>
      <w:r w:rsidRPr="004A1F00">
        <w:rPr>
          <w:bCs/>
          <w:color w:val="000000"/>
          <w:szCs w:val="18"/>
          <w:lang w:val="ro-RO"/>
        </w:rPr>
        <w:t>.</w:t>
      </w:r>
    </w:p>
  </w:footnote>
  <w:footnote w:id="18">
    <w:p w:rsidR="00F2509C" w:rsidRPr="004A1F00" w:rsidRDefault="00F2509C" w:rsidP="009618BC">
      <w:pPr>
        <w:pStyle w:val="Notedebasdepage"/>
        <w:rPr>
          <w:szCs w:val="18"/>
          <w:lang w:val="ro-RO"/>
        </w:rPr>
      </w:pPr>
      <w:r>
        <w:rPr>
          <w:szCs w:val="18"/>
          <w:lang w:val="ro-RO"/>
        </w:rPr>
        <w:tab/>
      </w:r>
      <w:r w:rsidRPr="009618BC">
        <w:rPr>
          <w:rStyle w:val="Appelnotedebasdep"/>
        </w:rPr>
        <w:footnoteRef/>
      </w:r>
      <w:r>
        <w:rPr>
          <w:szCs w:val="18"/>
          <w:lang w:val="ro-RO"/>
        </w:rPr>
        <w:tab/>
        <w:t>Conformément à la loi n</w:t>
      </w:r>
      <w:r w:rsidRPr="00594BCB">
        <w:rPr>
          <w:szCs w:val="18"/>
          <w:vertAlign w:val="superscript"/>
          <w:lang w:val="ro-RO"/>
        </w:rPr>
        <w:t>o</w:t>
      </w:r>
      <w:r>
        <w:rPr>
          <w:szCs w:val="18"/>
          <w:lang w:val="ro-RO"/>
        </w:rPr>
        <w:t> 284 du 28 décembre 2011 modifiant et complétant certains textes législatifs.</w:t>
      </w:r>
    </w:p>
  </w:footnote>
  <w:footnote w:id="19">
    <w:p w:rsidR="00F2509C" w:rsidRPr="00594A80" w:rsidRDefault="00F2509C" w:rsidP="009618BC">
      <w:pPr>
        <w:pStyle w:val="Notedebasdepage"/>
        <w:rPr>
          <w:color w:val="000000"/>
          <w:szCs w:val="18"/>
          <w:lang w:val="ro-RO"/>
        </w:rPr>
      </w:pPr>
      <w:r>
        <w:rPr>
          <w:szCs w:val="18"/>
          <w:lang w:val="ro-RO"/>
        </w:rPr>
        <w:tab/>
      </w:r>
      <w:r w:rsidRPr="009618BC">
        <w:rPr>
          <w:rStyle w:val="Appelnotedebasdep"/>
        </w:rPr>
        <w:footnoteRef/>
      </w:r>
      <w:r>
        <w:rPr>
          <w:szCs w:val="18"/>
          <w:lang w:val="ro-RO"/>
        </w:rPr>
        <w:tab/>
      </w:r>
      <w:r>
        <w:rPr>
          <w:lang w:val="ro-RO"/>
        </w:rPr>
        <w:t>A</w:t>
      </w:r>
      <w:r w:rsidRPr="00594A80">
        <w:rPr>
          <w:lang w:val="ro-RO"/>
        </w:rPr>
        <w:t xml:space="preserve">pprouvé par </w:t>
      </w:r>
      <w:r>
        <w:rPr>
          <w:lang w:val="ro-RO"/>
        </w:rPr>
        <w:t>l’ordonnance</w:t>
      </w:r>
      <w:r w:rsidRPr="00594A80">
        <w:rPr>
          <w:lang w:val="ro-RO"/>
        </w:rPr>
        <w:t xml:space="preserve"> gouvernemental</w:t>
      </w:r>
      <w:r>
        <w:rPr>
          <w:lang w:val="ro-RO"/>
        </w:rPr>
        <w:t>e</w:t>
      </w:r>
      <w:r w:rsidRPr="00594A80">
        <w:rPr>
          <w:lang w:val="ro-RO"/>
        </w:rPr>
        <w:t xml:space="preserve"> n</w:t>
      </w:r>
      <w:r w:rsidRPr="00594A80">
        <w:rPr>
          <w:vertAlign w:val="superscript"/>
          <w:lang w:val="ro-RO"/>
        </w:rPr>
        <w:t>o</w:t>
      </w:r>
      <w:r>
        <w:rPr>
          <w:color w:val="000000"/>
          <w:szCs w:val="18"/>
          <w:lang w:val="ro-RO"/>
        </w:rPr>
        <w:t> </w:t>
      </w:r>
      <w:r w:rsidRPr="004A1F00">
        <w:rPr>
          <w:color w:val="000000"/>
          <w:szCs w:val="18"/>
          <w:lang w:val="ro-RO"/>
        </w:rPr>
        <w:t xml:space="preserve">1187 </w:t>
      </w:r>
      <w:r>
        <w:rPr>
          <w:color w:val="000000"/>
          <w:szCs w:val="18"/>
          <w:lang w:val="ro-RO"/>
        </w:rPr>
        <w:t>du</w:t>
      </w:r>
      <w:r w:rsidRPr="004A1F00">
        <w:rPr>
          <w:color w:val="000000"/>
          <w:szCs w:val="18"/>
          <w:lang w:val="ro-RO"/>
        </w:rPr>
        <w:t xml:space="preserve"> 22</w:t>
      </w:r>
      <w:r>
        <w:rPr>
          <w:color w:val="000000"/>
          <w:szCs w:val="18"/>
          <w:lang w:val="ro-RO"/>
        </w:rPr>
        <w:t xml:space="preserve"> décembre</w:t>
      </w:r>
      <w:r w:rsidRPr="004A1F00">
        <w:rPr>
          <w:color w:val="000000"/>
          <w:szCs w:val="18"/>
          <w:lang w:val="ro-RO"/>
        </w:rPr>
        <w:t xml:space="preserve"> 2010</w:t>
      </w:r>
      <w:r>
        <w:rPr>
          <w:color w:val="000000"/>
          <w:szCs w:val="18"/>
          <w:lang w:val="ro-RO"/>
        </w:rPr>
        <w:t>, relatif à l’introduction d’un guichet unique pour documenter les étrangers</w:t>
      </w:r>
      <w:r w:rsidRPr="004A1F00">
        <w:rPr>
          <w:color w:val="000000"/>
          <w:szCs w:val="18"/>
          <w:lang w:val="ro-RO"/>
        </w:rPr>
        <w:t>.</w:t>
      </w:r>
    </w:p>
  </w:footnote>
  <w:footnote w:id="20">
    <w:p w:rsidR="00F2509C" w:rsidRPr="004A1F00" w:rsidRDefault="00F2509C" w:rsidP="009618BC">
      <w:pPr>
        <w:pStyle w:val="Notedebasdepage"/>
        <w:rPr>
          <w:szCs w:val="18"/>
          <w:lang w:val="ro-RO"/>
        </w:rPr>
      </w:pPr>
      <w:r>
        <w:rPr>
          <w:szCs w:val="18"/>
          <w:lang w:val="ro-RO"/>
        </w:rPr>
        <w:tab/>
      </w:r>
      <w:r w:rsidRPr="009618BC">
        <w:rPr>
          <w:rStyle w:val="Appelnotedebasdep"/>
        </w:rPr>
        <w:footnoteRef/>
      </w:r>
      <w:r>
        <w:rPr>
          <w:szCs w:val="18"/>
          <w:lang w:val="ro-RO"/>
        </w:rPr>
        <w:tab/>
        <w:t xml:space="preserve">Dans le contexte de l’actuelle réforme du Gouvernement cental conformément à l’ordonnance gouvenementale </w:t>
      </w:r>
      <w:r w:rsidRPr="00A66531">
        <w:rPr>
          <w:rFonts w:eastAsia="MS Mincho"/>
          <w:szCs w:val="18"/>
          <w:lang w:val="ro-RO"/>
        </w:rPr>
        <w:t>n</w:t>
      </w:r>
      <w:r w:rsidRPr="00A66531">
        <w:rPr>
          <w:rFonts w:eastAsia="MS Mincho"/>
          <w:szCs w:val="18"/>
          <w:vertAlign w:val="superscript"/>
          <w:lang w:val="ro-RO"/>
        </w:rPr>
        <w:t>o</w:t>
      </w:r>
      <w:r>
        <w:rPr>
          <w:szCs w:val="18"/>
          <w:lang w:val="ro-RO"/>
        </w:rPr>
        <w:t> 593 du 25 juin 2018, le Bureau des relations interethniques, sans qu’il y ait restriction ou modification de son mandat, a été renommé Agence des relations interethniques, qui est un organisme administratif central placé sous l’égide du Gouvernement</w:t>
      </w:r>
      <w:r w:rsidRPr="004A1F00">
        <w:rPr>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9C" w:rsidRPr="00F203FC" w:rsidRDefault="00F2509C">
    <w:pPr>
      <w:pStyle w:val="En-tte"/>
    </w:pPr>
    <w:fldSimple w:instr=" TITLE  \* MERGEFORMAT ">
      <w:r w:rsidR="009D0A6E">
        <w:t>CERD/C/MDA/CO/10-11/Add.1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9C" w:rsidRPr="00F203FC" w:rsidRDefault="00F2509C" w:rsidP="00F203FC">
    <w:pPr>
      <w:pStyle w:val="En-tte"/>
      <w:jc w:val="right"/>
    </w:pPr>
    <w:fldSimple w:instr=" TITLE  \* MERGEFORMAT ">
      <w:r w:rsidR="009D0A6E">
        <w:t>CERD/C/MDA/CO/10-11/Add.1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562F5C"/>
    <w:multiLevelType w:val="hybridMultilevel"/>
    <w:tmpl w:val="3830F3B6"/>
    <w:lvl w:ilvl="0" w:tplc="CB4468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4BA1CB5"/>
    <w:multiLevelType w:val="hybridMultilevel"/>
    <w:tmpl w:val="6164CCD0"/>
    <w:lvl w:ilvl="0" w:tplc="8F74F4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0B3450F"/>
    <w:multiLevelType w:val="hybridMultilevel"/>
    <w:tmpl w:val="B576F72A"/>
    <w:lvl w:ilvl="0" w:tplc="9F2AB71C">
      <w:start w:val="1"/>
      <w:numFmt w:val="decimal"/>
      <w:lvlText w:val="%1."/>
      <w:lvlJc w:val="left"/>
      <w:pPr>
        <w:ind w:left="1854" w:hanging="360"/>
      </w:pPr>
      <w:rPr>
        <w:b w:val="0"/>
        <w:bCs/>
        <w:i w:val="0"/>
        <w:iCs/>
        <w:sz w:val="20"/>
        <w:szCs w:val="2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6" w15:restartNumberingAfterBreak="0">
    <w:nsid w:val="41940B54"/>
    <w:multiLevelType w:val="hybridMultilevel"/>
    <w:tmpl w:val="8E1A0CF0"/>
    <w:lvl w:ilvl="0" w:tplc="7D825F7E">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8862366"/>
    <w:multiLevelType w:val="hybridMultilevel"/>
    <w:tmpl w:val="523E6D94"/>
    <w:lvl w:ilvl="0" w:tplc="E24C15DA">
      <w:start w:val="1"/>
      <w:numFmt w:val="bullet"/>
      <w:pStyle w:val="Appelnotedebasdep"/>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6474F92"/>
    <w:multiLevelType w:val="hybridMultilevel"/>
    <w:tmpl w:val="33D6E1A8"/>
    <w:lvl w:ilvl="0" w:tplc="5EB82F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2"/>
  </w:num>
  <w:num w:numId="17">
    <w:abstractNumId w:val="10"/>
  </w:num>
  <w:num w:numId="18">
    <w:abstractNumId w:val="17"/>
  </w:num>
  <w:num w:numId="19">
    <w:abstractNumId w:val="19"/>
  </w:num>
  <w:num w:numId="20">
    <w:abstractNumId w:val="11"/>
  </w:num>
  <w:num w:numId="21">
    <w:abstractNumId w:val="1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3E1B"/>
    <w:rsid w:val="00017F94"/>
    <w:rsid w:val="00023842"/>
    <w:rsid w:val="000334F9"/>
    <w:rsid w:val="00070A7A"/>
    <w:rsid w:val="0007796D"/>
    <w:rsid w:val="000938C7"/>
    <w:rsid w:val="000A3538"/>
    <w:rsid w:val="000B6947"/>
    <w:rsid w:val="000B7790"/>
    <w:rsid w:val="00111F2F"/>
    <w:rsid w:val="0014365E"/>
    <w:rsid w:val="00176178"/>
    <w:rsid w:val="001B4EB0"/>
    <w:rsid w:val="001F0DC8"/>
    <w:rsid w:val="001F525A"/>
    <w:rsid w:val="0020316C"/>
    <w:rsid w:val="00215BEC"/>
    <w:rsid w:val="00223272"/>
    <w:rsid w:val="0024779E"/>
    <w:rsid w:val="002A0600"/>
    <w:rsid w:val="002C6B4D"/>
    <w:rsid w:val="0030226E"/>
    <w:rsid w:val="00315C5B"/>
    <w:rsid w:val="00381391"/>
    <w:rsid w:val="003C1045"/>
    <w:rsid w:val="003C3743"/>
    <w:rsid w:val="00446FE5"/>
    <w:rsid w:val="00452396"/>
    <w:rsid w:val="004B281B"/>
    <w:rsid w:val="004C0808"/>
    <w:rsid w:val="004D7E1C"/>
    <w:rsid w:val="004F094E"/>
    <w:rsid w:val="00500AA7"/>
    <w:rsid w:val="005111B6"/>
    <w:rsid w:val="005505B7"/>
    <w:rsid w:val="005679DA"/>
    <w:rsid w:val="00573BE5"/>
    <w:rsid w:val="00583CEA"/>
    <w:rsid w:val="00586ED3"/>
    <w:rsid w:val="00596AA9"/>
    <w:rsid w:val="00623CA8"/>
    <w:rsid w:val="006C5DD2"/>
    <w:rsid w:val="00700E2E"/>
    <w:rsid w:val="00712E6E"/>
    <w:rsid w:val="0071601D"/>
    <w:rsid w:val="00750C5D"/>
    <w:rsid w:val="00780585"/>
    <w:rsid w:val="00783E9F"/>
    <w:rsid w:val="007A1D34"/>
    <w:rsid w:val="007A62E6"/>
    <w:rsid w:val="0080684C"/>
    <w:rsid w:val="00851492"/>
    <w:rsid w:val="00871C75"/>
    <w:rsid w:val="008776DC"/>
    <w:rsid w:val="008A3788"/>
    <w:rsid w:val="009618BC"/>
    <w:rsid w:val="009705C8"/>
    <w:rsid w:val="00984B29"/>
    <w:rsid w:val="009931A6"/>
    <w:rsid w:val="009D0A6E"/>
    <w:rsid w:val="009D5F1A"/>
    <w:rsid w:val="00A125EC"/>
    <w:rsid w:val="00A30353"/>
    <w:rsid w:val="00A40908"/>
    <w:rsid w:val="00A66531"/>
    <w:rsid w:val="00A72177"/>
    <w:rsid w:val="00AC3823"/>
    <w:rsid w:val="00AE323C"/>
    <w:rsid w:val="00B00181"/>
    <w:rsid w:val="00B765F7"/>
    <w:rsid w:val="00BA0CA9"/>
    <w:rsid w:val="00BA469D"/>
    <w:rsid w:val="00BB0B66"/>
    <w:rsid w:val="00BD0931"/>
    <w:rsid w:val="00C02897"/>
    <w:rsid w:val="00C37E82"/>
    <w:rsid w:val="00C52DC2"/>
    <w:rsid w:val="00C62BE7"/>
    <w:rsid w:val="00CA108F"/>
    <w:rsid w:val="00D24E36"/>
    <w:rsid w:val="00D3439C"/>
    <w:rsid w:val="00DB1831"/>
    <w:rsid w:val="00DC0149"/>
    <w:rsid w:val="00DD3BFD"/>
    <w:rsid w:val="00DF6678"/>
    <w:rsid w:val="00E73692"/>
    <w:rsid w:val="00EC0ECE"/>
    <w:rsid w:val="00F203FC"/>
    <w:rsid w:val="00F2509C"/>
    <w:rsid w:val="00F37079"/>
    <w:rsid w:val="00F47C73"/>
    <w:rsid w:val="00F6423B"/>
    <w:rsid w:val="00F660DF"/>
    <w:rsid w:val="00F83E1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A18F41"/>
  <w15:docId w15:val="{DA89A513-AA8C-4628-BA3F-CA424D0F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4_GR"/>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docheader">
    <w:name w:val="doc_header"/>
    <w:basedOn w:val="Policepardfaut"/>
    <w:rsid w:val="009618BC"/>
  </w:style>
  <w:style w:type="character" w:styleId="Mentionnonrsolue">
    <w:name w:val="Unresolved Mention"/>
    <w:basedOn w:val="Policepardfaut"/>
    <w:uiPriority w:val="99"/>
    <w:semiHidden/>
    <w:unhideWhenUsed/>
    <w:rsid w:val="00A665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nf-share1\LS\FRA\COMMON\MSWDocs\_3Final\www.gov.m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file:///\\conf-share1\LS\FRA\COMMON\MSWDocs\_3Final\www.bri.gov.md" TargetMode="External"/><Relationship Id="rId4" Type="http://schemas.openxmlformats.org/officeDocument/2006/relationships/webSettings" Target="webSettings.xml"/><Relationship Id="rId9" Type="http://schemas.openxmlformats.org/officeDocument/2006/relationships/hyperlink" Target="file:///\\conf-share1\LS\FRA\COMMON\MSWDocs\_3Final\www.justice.md"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ov.md/sites/default/files/document/attachments/intr11_13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21</Pages>
  <Words>8299</Words>
  <Characters>58096</Characters>
  <Application>Microsoft Office Word</Application>
  <DocSecurity>0</DocSecurity>
  <Lines>3873</Lines>
  <Paragraphs>1412</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CERD/C/MDA/CO/10-11/Add.1</vt:lpstr>
      <vt:lpstr>Tableau 1  Distribution des établissements d’éducation préscolaire   selon la la</vt:lpstr>
      <vt:lpstr>Tableau 2 Nombre d’écoles dans lesquelles sont enseignées les langues des minori</vt:lpstr>
      <vt:lpstr>Tableau 3 Langue étudiée en tant que matière distincte ou facultative pendant l’</vt:lpstr>
      <vt:lpstr>Tableau 4  Nombre d’élèves dans les établissements professionnels et techniques </vt:lpstr>
      <vt:lpstr>Tableau 5 Nombre d’étudiants dans les établissements professionnels et technique</vt:lpstr>
      <vt:lpstr>Tableau 6 Nombre d’étudiants de l’enseignement supérieur, en fonction de la lang</vt:lpstr>
    </vt:vector>
  </TitlesOfParts>
  <Company>DCM</Company>
  <LinksUpToDate>false</LinksUpToDate>
  <CharactersWithSpaces>64983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CERD/C/MDA/CO/10-11/Add.1</dc:title>
  <dc:subject/>
  <dc:creator>Maud DARICHE</dc:creator>
  <cp:keywords/>
  <cp:lastModifiedBy>Maud Dariche</cp:lastModifiedBy>
  <cp:revision>3</cp:revision>
  <cp:lastPrinted>2018-10-24T15:20:00Z</cp:lastPrinted>
  <dcterms:created xsi:type="dcterms:W3CDTF">2018-10-24T15:20:00Z</dcterms:created>
  <dcterms:modified xsi:type="dcterms:W3CDTF">2018-10-24T15:23:00Z</dcterms:modified>
</cp:coreProperties>
</file>