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31ED6B2" w14:textId="77777777" w:rsidTr="008D2AAD">
        <w:trPr>
          <w:trHeight w:hRule="exact" w:val="851"/>
        </w:trPr>
        <w:tc>
          <w:tcPr>
            <w:tcW w:w="142" w:type="dxa"/>
            <w:tcBorders>
              <w:bottom w:val="single" w:sz="4" w:space="0" w:color="auto"/>
            </w:tcBorders>
          </w:tcPr>
          <w:p w14:paraId="1DBF2B61" w14:textId="77777777" w:rsidR="002D5AAC" w:rsidRPr="00C554C2" w:rsidRDefault="00C554C2" w:rsidP="00C554C2">
            <w:pPr>
              <w:kinsoku w:val="0"/>
              <w:overflowPunct w:val="0"/>
              <w:autoSpaceDE w:val="0"/>
              <w:autoSpaceDN w:val="0"/>
              <w:adjustRightInd w:val="0"/>
              <w:snapToGrid w:val="0"/>
              <w:rPr>
                <w:lang w:val="en-US"/>
              </w:rPr>
            </w:pPr>
            <w:r>
              <w:rPr>
                <w:lang w:val="en-US"/>
              </w:rPr>
              <w:t xml:space="preserve">                                                                                                                                                                                                                                                                                                                                                                                                                                                                                                                                                            </w:t>
            </w:r>
          </w:p>
        </w:tc>
        <w:tc>
          <w:tcPr>
            <w:tcW w:w="4820" w:type="dxa"/>
            <w:gridSpan w:val="2"/>
            <w:tcBorders>
              <w:bottom w:val="single" w:sz="4" w:space="0" w:color="auto"/>
            </w:tcBorders>
            <w:vAlign w:val="bottom"/>
          </w:tcPr>
          <w:p w14:paraId="49EFF44A" w14:textId="77777777"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57BA2BD" w14:textId="77777777" w:rsidR="002D5AAC" w:rsidRDefault="00C554C2" w:rsidP="00C554C2">
            <w:pPr>
              <w:jc w:val="right"/>
            </w:pPr>
            <w:r w:rsidRPr="00C554C2">
              <w:rPr>
                <w:sz w:val="40"/>
              </w:rPr>
              <w:t>CERD</w:t>
            </w:r>
            <w:r>
              <w:t>/C/MDA/12-14</w:t>
            </w:r>
          </w:p>
        </w:tc>
      </w:tr>
      <w:tr w:rsidR="002D5AAC" w:rsidRPr="006A6B13" w14:paraId="46D3AA94" w14:textId="77777777" w:rsidTr="008D2AAD">
        <w:trPr>
          <w:trHeight w:hRule="exact" w:val="2835"/>
        </w:trPr>
        <w:tc>
          <w:tcPr>
            <w:tcW w:w="1280" w:type="dxa"/>
            <w:gridSpan w:val="2"/>
            <w:tcBorders>
              <w:top w:val="single" w:sz="4" w:space="0" w:color="auto"/>
              <w:bottom w:val="single" w:sz="12" w:space="0" w:color="auto"/>
            </w:tcBorders>
          </w:tcPr>
          <w:p w14:paraId="111F40AF" w14:textId="77777777" w:rsidR="002D5AAC" w:rsidRDefault="002E5067" w:rsidP="008D2AAD">
            <w:pPr>
              <w:spacing w:before="120"/>
              <w:jc w:val="center"/>
            </w:pPr>
            <w:r>
              <w:rPr>
                <w:noProof/>
                <w:lang w:val="fr-CH" w:eastAsia="fr-CH"/>
              </w:rPr>
              <w:drawing>
                <wp:inline distT="0" distB="0" distL="0" distR="0" wp14:anchorId="0C3AF459" wp14:editId="4CBCB9A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7014121" w14:textId="77777777" w:rsidR="002D5AAC" w:rsidRPr="00033EE1" w:rsidRDefault="002B74B1" w:rsidP="008D2AAD">
            <w:pPr>
              <w:spacing w:before="120" w:line="360" w:lineRule="exact"/>
              <w:rPr>
                <w:b/>
                <w:sz w:val="34"/>
                <w:szCs w:val="34"/>
              </w:rPr>
            </w:pPr>
            <w:r w:rsidRPr="007511D7">
              <w:rPr>
                <w:b/>
                <w:spacing w:val="-4"/>
                <w:sz w:val="34"/>
                <w:szCs w:val="40"/>
              </w:rPr>
              <w:t>Международная конвенция</w:t>
            </w:r>
            <w:r w:rsidRPr="007511D7">
              <w:rPr>
                <w:b/>
                <w:spacing w:val="-4"/>
                <w:sz w:val="34"/>
                <w:szCs w:val="40"/>
              </w:rPr>
              <w:br/>
              <w:t>о ликвидации всех форм</w:t>
            </w:r>
            <w:r w:rsidRPr="007511D7">
              <w:rPr>
                <w:b/>
                <w:spacing w:val="-4"/>
                <w:sz w:val="34"/>
                <w:szCs w:val="40"/>
              </w:rPr>
              <w:br/>
              <w:t>расовой дискриминации</w:t>
            </w:r>
          </w:p>
        </w:tc>
        <w:tc>
          <w:tcPr>
            <w:tcW w:w="2819" w:type="dxa"/>
            <w:tcBorders>
              <w:top w:val="single" w:sz="4" w:space="0" w:color="auto"/>
              <w:bottom w:val="single" w:sz="12" w:space="0" w:color="auto"/>
            </w:tcBorders>
          </w:tcPr>
          <w:p w14:paraId="062C7ABD" w14:textId="77777777" w:rsidR="002D5AAC" w:rsidRPr="00C554C2" w:rsidRDefault="00C554C2" w:rsidP="008D2AAD">
            <w:pPr>
              <w:spacing w:before="240"/>
              <w:rPr>
                <w:lang w:val="en-US"/>
              </w:rPr>
            </w:pPr>
            <w:r w:rsidRPr="00C554C2">
              <w:rPr>
                <w:lang w:val="en-US"/>
              </w:rPr>
              <w:t>Distr.: General</w:t>
            </w:r>
          </w:p>
          <w:p w14:paraId="736D5FED" w14:textId="68134AA7" w:rsidR="00C554C2" w:rsidRDefault="00C554C2" w:rsidP="00C554C2">
            <w:pPr>
              <w:spacing w:line="240" w:lineRule="exact"/>
              <w:rPr>
                <w:lang w:val="en-US"/>
              </w:rPr>
            </w:pPr>
            <w:r w:rsidRPr="00C554C2">
              <w:rPr>
                <w:lang w:val="en-US"/>
              </w:rPr>
              <w:t>29 September 2020</w:t>
            </w:r>
          </w:p>
          <w:p w14:paraId="4723DED4" w14:textId="77777777" w:rsidR="00164226" w:rsidRPr="00C554C2" w:rsidRDefault="00164226" w:rsidP="00C554C2">
            <w:pPr>
              <w:spacing w:line="240" w:lineRule="exact"/>
              <w:rPr>
                <w:lang w:val="en-US"/>
              </w:rPr>
            </w:pPr>
            <w:bookmarkStart w:id="0" w:name="_GoBack"/>
            <w:bookmarkEnd w:id="0"/>
          </w:p>
          <w:p w14:paraId="6E789C21" w14:textId="77777777" w:rsidR="00C554C2" w:rsidRDefault="00C554C2" w:rsidP="00C554C2">
            <w:pPr>
              <w:spacing w:line="240" w:lineRule="exact"/>
              <w:rPr>
                <w:lang w:val="en-US"/>
              </w:rPr>
            </w:pPr>
            <w:r w:rsidRPr="00C554C2">
              <w:rPr>
                <w:lang w:val="en-US"/>
              </w:rPr>
              <w:t>Original: Russian</w:t>
            </w:r>
          </w:p>
          <w:p w14:paraId="240AA11D" w14:textId="77777777" w:rsidR="00936DFE" w:rsidRPr="00C554C2" w:rsidRDefault="00936DFE" w:rsidP="00C554C2">
            <w:pPr>
              <w:spacing w:line="240" w:lineRule="exact"/>
              <w:rPr>
                <w:lang w:val="en-US"/>
              </w:rPr>
            </w:pPr>
            <w:r>
              <w:rPr>
                <w:lang w:val="en-US"/>
              </w:rPr>
              <w:t>E</w:t>
            </w:r>
            <w:r w:rsidRPr="002804D1">
              <w:rPr>
                <w:lang w:val="en-US"/>
              </w:rPr>
              <w:t>nglish, French, Russian and Spanish only</w:t>
            </w:r>
          </w:p>
        </w:tc>
      </w:tr>
    </w:tbl>
    <w:p w14:paraId="4143CFD3" w14:textId="77777777" w:rsidR="00936DFE" w:rsidRPr="0075064B" w:rsidRDefault="00936DFE" w:rsidP="00936DFE">
      <w:pPr>
        <w:spacing w:before="120"/>
        <w:rPr>
          <w:b/>
          <w:sz w:val="24"/>
          <w:szCs w:val="24"/>
        </w:rPr>
      </w:pPr>
      <w:r w:rsidRPr="0075064B">
        <w:rPr>
          <w:b/>
          <w:sz w:val="24"/>
          <w:szCs w:val="24"/>
        </w:rPr>
        <w:t>Комитет по ликвидации расовой дискриминации</w:t>
      </w:r>
    </w:p>
    <w:p w14:paraId="6188A63F" w14:textId="77777777" w:rsidR="00936DFE" w:rsidRPr="0075064B" w:rsidRDefault="00936DFE" w:rsidP="00936DFE">
      <w:pPr>
        <w:pStyle w:val="HMG"/>
      </w:pPr>
      <w:r w:rsidRPr="0075064B">
        <w:tab/>
      </w:r>
      <w:r w:rsidRPr="0075064B">
        <w:tab/>
      </w:r>
      <w:r>
        <w:t>Объединенные</w:t>
      </w:r>
      <w:r w:rsidRPr="0075064B">
        <w:t xml:space="preserve"> </w:t>
      </w:r>
      <w:r>
        <w:t>двенадцатый</w:t>
      </w:r>
      <w:r w:rsidRPr="0075064B">
        <w:t>–</w:t>
      </w:r>
      <w:r>
        <w:t>четырнадцатый</w:t>
      </w:r>
      <w:r w:rsidRPr="0075064B">
        <w:t xml:space="preserve"> периодические доклады, представленные </w:t>
      </w:r>
      <w:r>
        <w:t>Республикой Молдова</w:t>
      </w:r>
      <w:r w:rsidRPr="0075064B">
        <w:t xml:space="preserve"> в соответствии со</w:t>
      </w:r>
      <w:r>
        <w:rPr>
          <w:lang w:val="en-US"/>
        </w:rPr>
        <w:t> </w:t>
      </w:r>
      <w:r w:rsidRPr="0075064B">
        <w:t>статьей 9 Конвенции и подлежащие представлению в 20</w:t>
      </w:r>
      <w:r>
        <w:t>20</w:t>
      </w:r>
      <w:r w:rsidRPr="0075064B">
        <w:t xml:space="preserve"> году</w:t>
      </w:r>
      <w:r w:rsidRPr="0075064B">
        <w:rPr>
          <w:b w:val="0"/>
          <w:sz w:val="20"/>
        </w:rPr>
        <w:footnoteReference w:customMarkFollows="1" w:id="1"/>
        <w:t>*</w:t>
      </w:r>
    </w:p>
    <w:p w14:paraId="525E9B7F" w14:textId="77777777" w:rsidR="00936DFE" w:rsidRDefault="00936DFE" w:rsidP="00936DFE">
      <w:pPr>
        <w:pStyle w:val="SingleTxtG"/>
        <w:jc w:val="right"/>
      </w:pPr>
      <w:r w:rsidRPr="00AC293D">
        <w:t>[</w:t>
      </w:r>
      <w:r>
        <w:t xml:space="preserve">Дата получения: </w:t>
      </w:r>
      <w:r w:rsidRPr="00936DFE">
        <w:t xml:space="preserve">18 </w:t>
      </w:r>
      <w:r>
        <w:t>июня 2020 года</w:t>
      </w:r>
      <w:r w:rsidRPr="00AC293D">
        <w:t>]</w:t>
      </w:r>
    </w:p>
    <w:p w14:paraId="12804476" w14:textId="77777777" w:rsidR="00936DFE" w:rsidRPr="00936DFE" w:rsidRDefault="00936DFE" w:rsidP="00936DFE">
      <w:r w:rsidRPr="00936DFE">
        <w:br w:type="page"/>
      </w:r>
    </w:p>
    <w:p w14:paraId="5DCF16DE" w14:textId="77777777" w:rsidR="00936DFE" w:rsidRPr="00936DFE" w:rsidRDefault="00936DFE" w:rsidP="00936DFE">
      <w:pPr>
        <w:pStyle w:val="HChG"/>
      </w:pPr>
      <w:r>
        <w:lastRenderedPageBreak/>
        <w:tab/>
      </w:r>
      <w:r>
        <w:tab/>
      </w:r>
      <w:r w:rsidRPr="00B01326">
        <w:t>Список аббревиатур</w:t>
      </w:r>
    </w:p>
    <w:tbl>
      <w:tblPr>
        <w:tblW w:w="7370" w:type="dxa"/>
        <w:tblInd w:w="1134" w:type="dxa"/>
        <w:tblLayout w:type="fixed"/>
        <w:tblLook w:val="04A0" w:firstRow="1" w:lastRow="0" w:firstColumn="1" w:lastColumn="0" w:noHBand="0" w:noVBand="1"/>
      </w:tblPr>
      <w:tblGrid>
        <w:gridCol w:w="1843"/>
        <w:gridCol w:w="5527"/>
      </w:tblGrid>
      <w:tr w:rsidR="00936DFE" w:rsidRPr="00D05877" w14:paraId="164B9CBE" w14:textId="77777777" w:rsidTr="00044DA6">
        <w:tc>
          <w:tcPr>
            <w:tcW w:w="1843" w:type="dxa"/>
            <w:shd w:val="clear" w:color="auto" w:fill="auto"/>
            <w:vAlign w:val="bottom"/>
          </w:tcPr>
          <w:p w14:paraId="6CAD1EBC" w14:textId="77777777" w:rsidR="00936DFE" w:rsidRPr="00D05877" w:rsidRDefault="00936DFE" w:rsidP="00044DA6">
            <w:pPr>
              <w:suppressAutoHyphens w:val="0"/>
              <w:spacing w:after="120"/>
              <w:rPr>
                <w:rFonts w:cs="Times New Roman"/>
                <w:szCs w:val="20"/>
              </w:rPr>
            </w:pPr>
            <w:r w:rsidRPr="00D05877">
              <w:rPr>
                <w:rFonts w:cs="Times New Roman"/>
                <w:szCs w:val="20"/>
              </w:rPr>
              <w:t>АМО</w:t>
            </w:r>
          </w:p>
        </w:tc>
        <w:tc>
          <w:tcPr>
            <w:tcW w:w="5527" w:type="dxa"/>
            <w:shd w:val="clear" w:color="auto" w:fill="auto"/>
            <w:vAlign w:val="bottom"/>
          </w:tcPr>
          <w:p w14:paraId="4880F534" w14:textId="77777777" w:rsidR="00936DFE" w:rsidRPr="00D05877" w:rsidRDefault="00936DFE" w:rsidP="00044DA6">
            <w:pPr>
              <w:suppressAutoHyphens w:val="0"/>
              <w:spacing w:after="120"/>
              <w:rPr>
                <w:rFonts w:cs="Times New Roman"/>
                <w:szCs w:val="20"/>
              </w:rPr>
            </w:pPr>
            <w:r w:rsidRPr="00D05877">
              <w:rPr>
                <w:rFonts w:cs="Times New Roman"/>
                <w:szCs w:val="20"/>
              </w:rPr>
              <w:t xml:space="preserve">Агентство межэтнических отношений </w:t>
            </w:r>
          </w:p>
        </w:tc>
      </w:tr>
      <w:tr w:rsidR="00936DFE" w:rsidRPr="00CB26B4" w14:paraId="307CF7FF" w14:textId="77777777" w:rsidTr="00044DA6">
        <w:tc>
          <w:tcPr>
            <w:tcW w:w="1843" w:type="dxa"/>
            <w:shd w:val="clear" w:color="auto" w:fill="auto"/>
          </w:tcPr>
          <w:p w14:paraId="6DC8D81F" w14:textId="77777777" w:rsidR="00936DFE" w:rsidRPr="00CB26B4" w:rsidRDefault="00936DFE" w:rsidP="00044DA6">
            <w:pPr>
              <w:spacing w:after="120"/>
              <w:ind w:right="113"/>
              <w:rPr>
                <w:rFonts w:cs="Times New Roman"/>
              </w:rPr>
            </w:pPr>
            <w:r w:rsidRPr="00CB26B4">
              <w:rPr>
                <w:rFonts w:cs="Times New Roman"/>
              </w:rPr>
              <w:t>АТО Гагаузия</w:t>
            </w:r>
          </w:p>
        </w:tc>
        <w:tc>
          <w:tcPr>
            <w:tcW w:w="5527" w:type="dxa"/>
            <w:shd w:val="clear" w:color="auto" w:fill="auto"/>
          </w:tcPr>
          <w:p w14:paraId="4D1818D1" w14:textId="77777777" w:rsidR="00936DFE" w:rsidRPr="00CB26B4" w:rsidRDefault="00936DFE" w:rsidP="00044DA6">
            <w:pPr>
              <w:spacing w:after="120"/>
              <w:ind w:right="113"/>
              <w:rPr>
                <w:rFonts w:cs="Times New Roman"/>
              </w:rPr>
            </w:pPr>
            <w:r w:rsidRPr="00CB26B4">
              <w:rPr>
                <w:rFonts w:cs="Times New Roman"/>
              </w:rPr>
              <w:t>Автономное территориальное</w:t>
            </w:r>
            <w:r w:rsidRPr="00D05877">
              <w:rPr>
                <w:rFonts w:cs="Times New Roman"/>
                <w:szCs w:val="20"/>
              </w:rPr>
              <w:t xml:space="preserve"> образование Гагаузия</w:t>
            </w:r>
          </w:p>
        </w:tc>
      </w:tr>
      <w:tr w:rsidR="00936DFE" w:rsidRPr="00CB26B4" w14:paraId="3F97652D" w14:textId="77777777" w:rsidTr="00044DA6">
        <w:tc>
          <w:tcPr>
            <w:tcW w:w="1843" w:type="dxa"/>
            <w:shd w:val="clear" w:color="auto" w:fill="auto"/>
          </w:tcPr>
          <w:p w14:paraId="4542C4F5" w14:textId="77777777" w:rsidR="00936DFE" w:rsidRPr="00CB26B4" w:rsidRDefault="00936DFE" w:rsidP="00044DA6">
            <w:pPr>
              <w:spacing w:after="120"/>
              <w:ind w:right="113"/>
              <w:rPr>
                <w:rFonts w:cs="Times New Roman"/>
              </w:rPr>
            </w:pPr>
            <w:r w:rsidRPr="00CB26B4">
              <w:rPr>
                <w:rFonts w:cs="Times New Roman"/>
              </w:rPr>
              <w:t>БМУ</w:t>
            </w:r>
          </w:p>
        </w:tc>
        <w:tc>
          <w:tcPr>
            <w:tcW w:w="5527" w:type="dxa"/>
            <w:shd w:val="clear" w:color="auto" w:fill="auto"/>
          </w:tcPr>
          <w:p w14:paraId="2D8AC43F" w14:textId="77777777" w:rsidR="00936DFE" w:rsidRPr="00CB26B4" w:rsidRDefault="00936DFE" w:rsidP="00044DA6">
            <w:pPr>
              <w:spacing w:after="120"/>
              <w:ind w:right="113"/>
              <w:rPr>
                <w:rFonts w:cs="Times New Roman"/>
              </w:rPr>
            </w:pPr>
            <w:r w:rsidRPr="00CB26B4">
              <w:rPr>
                <w:rFonts w:cs="Times New Roman"/>
              </w:rPr>
              <w:t>Бюро по миграции и беженцам</w:t>
            </w:r>
          </w:p>
        </w:tc>
      </w:tr>
      <w:tr w:rsidR="00936DFE" w:rsidRPr="00CB26B4" w14:paraId="35CB3017" w14:textId="77777777" w:rsidTr="00044DA6">
        <w:tc>
          <w:tcPr>
            <w:tcW w:w="1843" w:type="dxa"/>
            <w:shd w:val="clear" w:color="auto" w:fill="auto"/>
          </w:tcPr>
          <w:p w14:paraId="2E114358" w14:textId="77777777" w:rsidR="00936DFE" w:rsidRPr="00CB26B4" w:rsidRDefault="00936DFE" w:rsidP="00044DA6">
            <w:pPr>
              <w:spacing w:after="120"/>
              <w:ind w:right="113"/>
              <w:rPr>
                <w:rFonts w:cs="Times New Roman"/>
              </w:rPr>
            </w:pPr>
            <w:r w:rsidRPr="00CB26B4">
              <w:rPr>
                <w:rFonts w:cs="Times New Roman"/>
              </w:rPr>
              <w:t>ВКДНМ</w:t>
            </w:r>
          </w:p>
        </w:tc>
        <w:tc>
          <w:tcPr>
            <w:tcW w:w="5527" w:type="dxa"/>
            <w:shd w:val="clear" w:color="auto" w:fill="auto"/>
          </w:tcPr>
          <w:p w14:paraId="67515232" w14:textId="77777777" w:rsidR="00936DFE" w:rsidRPr="00CB26B4" w:rsidRDefault="00936DFE" w:rsidP="00044DA6">
            <w:pPr>
              <w:spacing w:after="120"/>
              <w:ind w:right="113"/>
              <w:rPr>
                <w:rFonts w:cs="Times New Roman"/>
              </w:rPr>
            </w:pPr>
            <w:r w:rsidRPr="00CB26B4">
              <w:rPr>
                <w:rFonts w:cs="Times New Roman"/>
              </w:rPr>
              <w:t>Верховный комиссар ОБСЕ по делам национальных меньшинств</w:t>
            </w:r>
          </w:p>
        </w:tc>
      </w:tr>
      <w:tr w:rsidR="00936DFE" w:rsidRPr="00CB26B4" w14:paraId="149393BE" w14:textId="77777777" w:rsidTr="00044DA6">
        <w:tc>
          <w:tcPr>
            <w:tcW w:w="1843" w:type="dxa"/>
            <w:shd w:val="clear" w:color="auto" w:fill="auto"/>
          </w:tcPr>
          <w:p w14:paraId="4F00B9B9" w14:textId="77777777" w:rsidR="00936DFE" w:rsidRPr="00CB26B4" w:rsidRDefault="00936DFE" w:rsidP="00044DA6">
            <w:pPr>
              <w:spacing w:after="120"/>
              <w:ind w:right="113"/>
              <w:rPr>
                <w:rFonts w:cs="Times New Roman"/>
              </w:rPr>
            </w:pPr>
            <w:r w:rsidRPr="00CB26B4">
              <w:rPr>
                <w:rFonts w:cs="Times New Roman"/>
              </w:rPr>
              <w:t>ГИП</w:t>
            </w:r>
          </w:p>
        </w:tc>
        <w:tc>
          <w:tcPr>
            <w:tcW w:w="5527" w:type="dxa"/>
            <w:shd w:val="clear" w:color="auto" w:fill="auto"/>
          </w:tcPr>
          <w:p w14:paraId="69E1C01A" w14:textId="77777777" w:rsidR="00936DFE" w:rsidRPr="00CB26B4" w:rsidRDefault="00936DFE" w:rsidP="00044DA6">
            <w:pPr>
              <w:spacing w:after="120"/>
              <w:ind w:right="113"/>
              <w:rPr>
                <w:rFonts w:cs="Times New Roman"/>
              </w:rPr>
            </w:pPr>
            <w:r w:rsidRPr="00CB26B4">
              <w:rPr>
                <w:rFonts w:cs="Times New Roman"/>
              </w:rPr>
              <w:t>Генеральный инспекторат полиции</w:t>
            </w:r>
          </w:p>
        </w:tc>
      </w:tr>
      <w:tr w:rsidR="00936DFE" w:rsidRPr="00CB26B4" w14:paraId="520C4788" w14:textId="77777777" w:rsidTr="00044DA6">
        <w:tc>
          <w:tcPr>
            <w:tcW w:w="1843" w:type="dxa"/>
            <w:shd w:val="clear" w:color="auto" w:fill="auto"/>
          </w:tcPr>
          <w:p w14:paraId="7C97A1E2" w14:textId="77777777" w:rsidR="00936DFE" w:rsidRPr="00CB26B4" w:rsidRDefault="00936DFE" w:rsidP="00044DA6">
            <w:pPr>
              <w:spacing w:after="120"/>
              <w:ind w:right="113"/>
              <w:rPr>
                <w:rFonts w:cs="Times New Roman"/>
              </w:rPr>
            </w:pPr>
            <w:r w:rsidRPr="00CB26B4">
              <w:rPr>
                <w:rFonts w:cs="Times New Roman"/>
              </w:rPr>
              <w:t>ДН</w:t>
            </w:r>
          </w:p>
        </w:tc>
        <w:tc>
          <w:tcPr>
            <w:tcW w:w="5527" w:type="dxa"/>
            <w:shd w:val="clear" w:color="auto" w:fill="auto"/>
          </w:tcPr>
          <w:p w14:paraId="602A4E57" w14:textId="77777777" w:rsidR="00936DFE" w:rsidRPr="00CB26B4" w:rsidRDefault="00936DFE" w:rsidP="00044DA6">
            <w:pPr>
              <w:spacing w:after="120"/>
              <w:ind w:right="113"/>
              <w:rPr>
                <w:rFonts w:cs="Times New Roman"/>
              </w:rPr>
            </w:pPr>
            <w:r w:rsidRPr="00CB26B4">
              <w:rPr>
                <w:rFonts w:cs="Times New Roman"/>
              </w:rPr>
              <w:t>Дом национальностей</w:t>
            </w:r>
          </w:p>
        </w:tc>
      </w:tr>
      <w:tr w:rsidR="00936DFE" w:rsidRPr="00CB26B4" w14:paraId="1A4C50F3" w14:textId="77777777" w:rsidTr="00044DA6">
        <w:tc>
          <w:tcPr>
            <w:tcW w:w="1843" w:type="dxa"/>
            <w:shd w:val="clear" w:color="auto" w:fill="auto"/>
          </w:tcPr>
          <w:p w14:paraId="3C2103C6" w14:textId="77777777" w:rsidR="00936DFE" w:rsidRPr="00CB26B4" w:rsidRDefault="00936DFE" w:rsidP="00044DA6">
            <w:pPr>
              <w:spacing w:after="120"/>
              <w:ind w:right="113"/>
              <w:rPr>
                <w:rFonts w:cs="Times New Roman"/>
              </w:rPr>
            </w:pPr>
            <w:r w:rsidRPr="00CB26B4">
              <w:rPr>
                <w:rFonts w:cs="Times New Roman"/>
              </w:rPr>
              <w:t>ЕК</w:t>
            </w:r>
          </w:p>
        </w:tc>
        <w:tc>
          <w:tcPr>
            <w:tcW w:w="5527" w:type="dxa"/>
            <w:shd w:val="clear" w:color="auto" w:fill="auto"/>
          </w:tcPr>
          <w:p w14:paraId="599A94D3" w14:textId="77777777" w:rsidR="00936DFE" w:rsidRPr="00CB26B4" w:rsidRDefault="00936DFE" w:rsidP="00044DA6">
            <w:pPr>
              <w:spacing w:after="120"/>
              <w:ind w:right="113"/>
              <w:rPr>
                <w:rFonts w:cs="Times New Roman"/>
              </w:rPr>
            </w:pPr>
            <w:r w:rsidRPr="00CB26B4">
              <w:rPr>
                <w:rFonts w:cs="Times New Roman"/>
              </w:rPr>
              <w:t>Европейская комиссия</w:t>
            </w:r>
          </w:p>
        </w:tc>
      </w:tr>
      <w:tr w:rsidR="00936DFE" w:rsidRPr="00CB26B4" w14:paraId="31286191" w14:textId="77777777" w:rsidTr="00044DA6">
        <w:tc>
          <w:tcPr>
            <w:tcW w:w="1843" w:type="dxa"/>
            <w:shd w:val="clear" w:color="auto" w:fill="auto"/>
          </w:tcPr>
          <w:p w14:paraId="7CCA3C23" w14:textId="77777777" w:rsidR="00936DFE" w:rsidRPr="00CB26B4" w:rsidRDefault="00936DFE" w:rsidP="00044DA6">
            <w:pPr>
              <w:spacing w:after="120"/>
              <w:ind w:right="113"/>
              <w:rPr>
                <w:rFonts w:cs="Times New Roman"/>
              </w:rPr>
            </w:pPr>
            <w:r w:rsidRPr="00CB26B4">
              <w:rPr>
                <w:rFonts w:cs="Times New Roman"/>
              </w:rPr>
              <w:t>ЕОРМ</w:t>
            </w:r>
          </w:p>
        </w:tc>
        <w:tc>
          <w:tcPr>
            <w:tcW w:w="5527" w:type="dxa"/>
            <w:shd w:val="clear" w:color="auto" w:fill="auto"/>
          </w:tcPr>
          <w:p w14:paraId="7571FDF4" w14:textId="77777777" w:rsidR="00936DFE" w:rsidRPr="00CB26B4" w:rsidRDefault="00936DFE" w:rsidP="00044DA6">
            <w:pPr>
              <w:spacing w:after="120"/>
              <w:ind w:right="113"/>
              <w:rPr>
                <w:rFonts w:cs="Times New Roman"/>
              </w:rPr>
            </w:pPr>
            <w:r w:rsidRPr="00CB26B4">
              <w:rPr>
                <w:rFonts w:cs="Times New Roman"/>
              </w:rPr>
              <w:t>Еврейская община Республики Молдова</w:t>
            </w:r>
          </w:p>
        </w:tc>
      </w:tr>
      <w:tr w:rsidR="00936DFE" w:rsidRPr="00CB26B4" w14:paraId="39E1452A" w14:textId="77777777" w:rsidTr="00044DA6">
        <w:tc>
          <w:tcPr>
            <w:tcW w:w="1843" w:type="dxa"/>
            <w:shd w:val="clear" w:color="auto" w:fill="auto"/>
          </w:tcPr>
          <w:p w14:paraId="7533CF1D" w14:textId="77777777" w:rsidR="00936DFE" w:rsidRPr="00CB26B4" w:rsidRDefault="00936DFE" w:rsidP="00044DA6">
            <w:pPr>
              <w:spacing w:after="120"/>
              <w:ind w:right="113"/>
              <w:rPr>
                <w:rFonts w:cs="Times New Roman"/>
              </w:rPr>
            </w:pPr>
            <w:r w:rsidRPr="00CB26B4">
              <w:rPr>
                <w:rFonts w:cs="Times New Roman"/>
              </w:rPr>
              <w:t>ЕС</w:t>
            </w:r>
          </w:p>
        </w:tc>
        <w:tc>
          <w:tcPr>
            <w:tcW w:w="5527" w:type="dxa"/>
            <w:shd w:val="clear" w:color="auto" w:fill="auto"/>
          </w:tcPr>
          <w:p w14:paraId="5F9D8AC3" w14:textId="77777777" w:rsidR="00936DFE" w:rsidRPr="00CB26B4" w:rsidRDefault="00936DFE" w:rsidP="00044DA6">
            <w:pPr>
              <w:spacing w:after="120"/>
              <w:ind w:right="113"/>
              <w:rPr>
                <w:rFonts w:cs="Times New Roman"/>
              </w:rPr>
            </w:pPr>
            <w:r w:rsidRPr="00CB26B4">
              <w:rPr>
                <w:rFonts w:cs="Times New Roman"/>
              </w:rPr>
              <w:t>Европейский союз</w:t>
            </w:r>
          </w:p>
        </w:tc>
      </w:tr>
      <w:tr w:rsidR="00936DFE" w:rsidRPr="00CB26B4" w14:paraId="51BA1F9B" w14:textId="77777777" w:rsidTr="00044DA6">
        <w:tc>
          <w:tcPr>
            <w:tcW w:w="1843" w:type="dxa"/>
            <w:shd w:val="clear" w:color="auto" w:fill="auto"/>
          </w:tcPr>
          <w:p w14:paraId="12272C6F" w14:textId="77777777" w:rsidR="00936DFE" w:rsidRPr="00CB26B4" w:rsidRDefault="00936DFE" w:rsidP="00044DA6">
            <w:pPr>
              <w:spacing w:after="120"/>
              <w:ind w:right="113"/>
              <w:rPr>
                <w:rFonts w:cs="Times New Roman"/>
              </w:rPr>
            </w:pPr>
            <w:r w:rsidRPr="00CB26B4">
              <w:rPr>
                <w:rFonts w:cs="Times New Roman"/>
              </w:rPr>
              <w:t>ЕСПЧ</w:t>
            </w:r>
          </w:p>
        </w:tc>
        <w:tc>
          <w:tcPr>
            <w:tcW w:w="5527" w:type="dxa"/>
            <w:shd w:val="clear" w:color="auto" w:fill="auto"/>
          </w:tcPr>
          <w:p w14:paraId="03E05F71" w14:textId="77777777" w:rsidR="00936DFE" w:rsidRPr="00CB26B4" w:rsidRDefault="00936DFE" w:rsidP="00044DA6">
            <w:pPr>
              <w:spacing w:after="120"/>
              <w:ind w:right="113"/>
              <w:rPr>
                <w:rFonts w:cs="Times New Roman"/>
              </w:rPr>
            </w:pPr>
            <w:r w:rsidRPr="00CB26B4">
              <w:rPr>
                <w:rFonts w:cs="Times New Roman"/>
              </w:rPr>
              <w:t>Европейский суд по правам человека</w:t>
            </w:r>
          </w:p>
        </w:tc>
      </w:tr>
      <w:tr w:rsidR="00936DFE" w:rsidRPr="00CB26B4" w14:paraId="19D9AF5F" w14:textId="77777777" w:rsidTr="00044DA6">
        <w:tc>
          <w:tcPr>
            <w:tcW w:w="1843" w:type="dxa"/>
            <w:shd w:val="clear" w:color="auto" w:fill="auto"/>
          </w:tcPr>
          <w:p w14:paraId="6C5B67EE" w14:textId="77777777" w:rsidR="00936DFE" w:rsidRPr="00CB26B4" w:rsidRDefault="00936DFE" w:rsidP="00044DA6">
            <w:pPr>
              <w:spacing w:after="120"/>
              <w:ind w:right="113"/>
              <w:rPr>
                <w:rFonts w:cs="Times New Roman"/>
              </w:rPr>
            </w:pPr>
            <w:r w:rsidRPr="00CB26B4">
              <w:rPr>
                <w:rFonts w:cs="Times New Roman"/>
              </w:rPr>
              <w:t>ИКН</w:t>
            </w:r>
          </w:p>
        </w:tc>
        <w:tc>
          <w:tcPr>
            <w:tcW w:w="5527" w:type="dxa"/>
            <w:shd w:val="clear" w:color="auto" w:fill="auto"/>
          </w:tcPr>
          <w:p w14:paraId="09AF0183" w14:textId="77777777" w:rsidR="00936DFE" w:rsidRPr="00CB26B4" w:rsidRDefault="00936DFE" w:rsidP="00044DA6">
            <w:pPr>
              <w:spacing w:after="120"/>
              <w:ind w:right="113"/>
              <w:rPr>
                <w:rFonts w:cs="Times New Roman"/>
              </w:rPr>
            </w:pPr>
            <w:r w:rsidRPr="00CB26B4">
              <w:rPr>
                <w:rFonts w:cs="Times New Roman"/>
              </w:rPr>
              <w:t>Институт культурного наследия</w:t>
            </w:r>
          </w:p>
        </w:tc>
      </w:tr>
      <w:tr w:rsidR="00936DFE" w:rsidRPr="00CB26B4" w14:paraId="03D2B6A3" w14:textId="77777777" w:rsidTr="00044DA6">
        <w:tc>
          <w:tcPr>
            <w:tcW w:w="1843" w:type="dxa"/>
            <w:shd w:val="clear" w:color="auto" w:fill="auto"/>
          </w:tcPr>
          <w:p w14:paraId="4F298C81" w14:textId="77777777" w:rsidR="00936DFE" w:rsidRPr="00CB26B4" w:rsidRDefault="00936DFE" w:rsidP="00044DA6">
            <w:pPr>
              <w:spacing w:after="120"/>
              <w:ind w:right="113"/>
              <w:rPr>
                <w:rFonts w:cs="Times New Roman"/>
              </w:rPr>
            </w:pPr>
            <w:r w:rsidRPr="00CB26B4">
              <w:rPr>
                <w:rFonts w:cs="Times New Roman"/>
              </w:rPr>
              <w:t>ИСИ</w:t>
            </w:r>
          </w:p>
        </w:tc>
        <w:tc>
          <w:tcPr>
            <w:tcW w:w="5527" w:type="dxa"/>
            <w:shd w:val="clear" w:color="auto" w:fill="auto"/>
          </w:tcPr>
          <w:p w14:paraId="08000529" w14:textId="77777777" w:rsidR="00936DFE" w:rsidRPr="00CB26B4" w:rsidRDefault="00936DFE" w:rsidP="00044DA6">
            <w:pPr>
              <w:spacing w:after="120"/>
              <w:ind w:right="113"/>
              <w:rPr>
                <w:rFonts w:cs="Times New Roman"/>
              </w:rPr>
            </w:pPr>
            <w:r w:rsidRPr="00CB26B4">
              <w:rPr>
                <w:rFonts w:cs="Times New Roman"/>
              </w:rPr>
              <w:t>Институт стратегических инициатив</w:t>
            </w:r>
          </w:p>
        </w:tc>
      </w:tr>
      <w:tr w:rsidR="00936DFE" w:rsidRPr="00CB26B4" w14:paraId="52AD3658" w14:textId="77777777" w:rsidTr="00044DA6">
        <w:tc>
          <w:tcPr>
            <w:tcW w:w="1843" w:type="dxa"/>
            <w:shd w:val="clear" w:color="auto" w:fill="auto"/>
          </w:tcPr>
          <w:p w14:paraId="45B53C4B" w14:textId="77777777" w:rsidR="00936DFE" w:rsidRPr="00CB26B4" w:rsidRDefault="00936DFE" w:rsidP="00044DA6">
            <w:pPr>
              <w:spacing w:after="120"/>
              <w:ind w:right="113"/>
              <w:rPr>
                <w:rFonts w:cs="Times New Roman"/>
              </w:rPr>
            </w:pPr>
            <w:r w:rsidRPr="00CB26B4">
              <w:rPr>
                <w:rFonts w:cs="Times New Roman"/>
              </w:rPr>
              <w:t>КС</w:t>
            </w:r>
          </w:p>
        </w:tc>
        <w:tc>
          <w:tcPr>
            <w:tcW w:w="5527" w:type="dxa"/>
            <w:shd w:val="clear" w:color="auto" w:fill="auto"/>
          </w:tcPr>
          <w:p w14:paraId="54D6E21C" w14:textId="77777777" w:rsidR="00936DFE" w:rsidRPr="00CB26B4" w:rsidRDefault="00936DFE" w:rsidP="00044DA6">
            <w:pPr>
              <w:spacing w:after="120"/>
              <w:ind w:right="113"/>
              <w:rPr>
                <w:rFonts w:cs="Times New Roman"/>
              </w:rPr>
            </w:pPr>
            <w:r w:rsidRPr="00CB26B4">
              <w:rPr>
                <w:rFonts w:cs="Times New Roman"/>
              </w:rPr>
              <w:t>Координационный совет этнокультурных организаций</w:t>
            </w:r>
          </w:p>
        </w:tc>
      </w:tr>
      <w:tr w:rsidR="00936DFE" w:rsidRPr="00CB26B4" w14:paraId="00B69DDE" w14:textId="77777777" w:rsidTr="00044DA6">
        <w:tc>
          <w:tcPr>
            <w:tcW w:w="1843" w:type="dxa"/>
            <w:shd w:val="clear" w:color="auto" w:fill="auto"/>
          </w:tcPr>
          <w:p w14:paraId="5A0AB691" w14:textId="77777777" w:rsidR="00936DFE" w:rsidRPr="00CB26B4" w:rsidRDefault="00936DFE" w:rsidP="00044DA6">
            <w:pPr>
              <w:spacing w:after="120"/>
              <w:ind w:right="113"/>
              <w:rPr>
                <w:rFonts w:cs="Times New Roman"/>
              </w:rPr>
            </w:pPr>
            <w:r w:rsidRPr="00CB26B4">
              <w:rPr>
                <w:rFonts w:cs="Times New Roman"/>
              </w:rPr>
              <w:t>МВД</w:t>
            </w:r>
          </w:p>
        </w:tc>
        <w:tc>
          <w:tcPr>
            <w:tcW w:w="5527" w:type="dxa"/>
            <w:shd w:val="clear" w:color="auto" w:fill="auto"/>
          </w:tcPr>
          <w:p w14:paraId="680AC864" w14:textId="77777777" w:rsidR="00936DFE" w:rsidRPr="00CB26B4" w:rsidRDefault="00936DFE" w:rsidP="00044DA6">
            <w:pPr>
              <w:spacing w:after="120"/>
              <w:ind w:right="113"/>
              <w:rPr>
                <w:rFonts w:cs="Times New Roman"/>
              </w:rPr>
            </w:pPr>
            <w:r w:rsidRPr="00CB26B4">
              <w:rPr>
                <w:rFonts w:cs="Times New Roman"/>
              </w:rPr>
              <w:t>Министерство внутренних дел</w:t>
            </w:r>
          </w:p>
        </w:tc>
      </w:tr>
      <w:tr w:rsidR="00936DFE" w:rsidRPr="00CB26B4" w14:paraId="60D8DBBF" w14:textId="77777777" w:rsidTr="00044DA6">
        <w:tc>
          <w:tcPr>
            <w:tcW w:w="1843" w:type="dxa"/>
            <w:shd w:val="clear" w:color="auto" w:fill="auto"/>
          </w:tcPr>
          <w:p w14:paraId="78D2F296" w14:textId="77777777" w:rsidR="00936DFE" w:rsidRPr="00CB26B4" w:rsidRDefault="00936DFE" w:rsidP="00044DA6">
            <w:pPr>
              <w:spacing w:after="120"/>
              <w:ind w:right="113"/>
              <w:rPr>
                <w:rFonts w:cs="Times New Roman"/>
              </w:rPr>
            </w:pPr>
            <w:r w:rsidRPr="00CB26B4">
              <w:rPr>
                <w:rFonts w:cs="Times New Roman"/>
              </w:rPr>
              <w:t>МЗТСЗ</w:t>
            </w:r>
          </w:p>
        </w:tc>
        <w:tc>
          <w:tcPr>
            <w:tcW w:w="5527" w:type="dxa"/>
            <w:shd w:val="clear" w:color="auto" w:fill="auto"/>
          </w:tcPr>
          <w:p w14:paraId="4FB15363" w14:textId="77777777" w:rsidR="00936DFE" w:rsidRPr="00CB26B4" w:rsidRDefault="00936DFE" w:rsidP="00044DA6">
            <w:pPr>
              <w:spacing w:after="120"/>
              <w:ind w:right="113"/>
              <w:rPr>
                <w:rFonts w:cs="Times New Roman"/>
              </w:rPr>
            </w:pPr>
            <w:r w:rsidRPr="00CB26B4">
              <w:rPr>
                <w:rFonts w:cs="Times New Roman"/>
              </w:rPr>
              <w:t>Министерство здравоохранения, труда и социальной защиты</w:t>
            </w:r>
          </w:p>
        </w:tc>
      </w:tr>
      <w:tr w:rsidR="00936DFE" w:rsidRPr="00CB26B4" w14:paraId="2FB10B15" w14:textId="77777777" w:rsidTr="00044DA6">
        <w:tc>
          <w:tcPr>
            <w:tcW w:w="1843" w:type="dxa"/>
            <w:shd w:val="clear" w:color="auto" w:fill="auto"/>
          </w:tcPr>
          <w:p w14:paraId="7A7325F8" w14:textId="77777777" w:rsidR="00936DFE" w:rsidRPr="00CB26B4" w:rsidRDefault="00936DFE" w:rsidP="00044DA6">
            <w:pPr>
              <w:spacing w:after="120"/>
              <w:ind w:right="113"/>
              <w:rPr>
                <w:rFonts w:cs="Times New Roman"/>
              </w:rPr>
            </w:pPr>
            <w:r w:rsidRPr="00CB26B4">
              <w:rPr>
                <w:rFonts w:cs="Times New Roman"/>
              </w:rPr>
              <w:t>МИДЕИ</w:t>
            </w:r>
          </w:p>
        </w:tc>
        <w:tc>
          <w:tcPr>
            <w:tcW w:w="5527" w:type="dxa"/>
            <w:shd w:val="clear" w:color="auto" w:fill="auto"/>
          </w:tcPr>
          <w:p w14:paraId="2E849767" w14:textId="77777777" w:rsidR="00936DFE" w:rsidRPr="00CB26B4" w:rsidRDefault="00936DFE" w:rsidP="00044DA6">
            <w:pPr>
              <w:spacing w:after="120"/>
              <w:ind w:right="113"/>
              <w:rPr>
                <w:rFonts w:cs="Times New Roman"/>
              </w:rPr>
            </w:pPr>
            <w:r w:rsidRPr="00CB26B4">
              <w:rPr>
                <w:rFonts w:cs="Times New Roman"/>
              </w:rPr>
              <w:t>Министерство иностранных дел и европейской интеграции</w:t>
            </w:r>
          </w:p>
        </w:tc>
      </w:tr>
      <w:tr w:rsidR="00936DFE" w:rsidRPr="00CB26B4" w14:paraId="4F333CC2" w14:textId="77777777" w:rsidTr="00044DA6">
        <w:tc>
          <w:tcPr>
            <w:tcW w:w="1843" w:type="dxa"/>
            <w:shd w:val="clear" w:color="auto" w:fill="auto"/>
          </w:tcPr>
          <w:p w14:paraId="3602F51A" w14:textId="77777777" w:rsidR="00936DFE" w:rsidRPr="00CB26B4" w:rsidRDefault="00936DFE" w:rsidP="00044DA6">
            <w:pPr>
              <w:spacing w:after="120"/>
              <w:ind w:right="113"/>
              <w:rPr>
                <w:rFonts w:cs="Times New Roman"/>
              </w:rPr>
            </w:pPr>
            <w:r w:rsidRPr="00CB26B4">
              <w:rPr>
                <w:rFonts w:cs="Times New Roman"/>
              </w:rPr>
              <w:t>МОКИ</w:t>
            </w:r>
          </w:p>
        </w:tc>
        <w:tc>
          <w:tcPr>
            <w:tcW w:w="5527" w:type="dxa"/>
            <w:shd w:val="clear" w:color="auto" w:fill="auto"/>
          </w:tcPr>
          <w:p w14:paraId="2A81C36F" w14:textId="77777777" w:rsidR="00936DFE" w:rsidRPr="00CB26B4" w:rsidRDefault="00936DFE" w:rsidP="00044DA6">
            <w:pPr>
              <w:spacing w:after="120"/>
              <w:ind w:right="113"/>
              <w:rPr>
                <w:rFonts w:cs="Times New Roman"/>
              </w:rPr>
            </w:pPr>
            <w:r w:rsidRPr="00CB26B4">
              <w:rPr>
                <w:rFonts w:cs="Times New Roman"/>
              </w:rPr>
              <w:t>Министерство образования, культуры и исследований</w:t>
            </w:r>
          </w:p>
        </w:tc>
      </w:tr>
      <w:tr w:rsidR="00936DFE" w:rsidRPr="00CB26B4" w14:paraId="24A2FEF2" w14:textId="77777777" w:rsidTr="00044DA6">
        <w:tc>
          <w:tcPr>
            <w:tcW w:w="1843" w:type="dxa"/>
            <w:shd w:val="clear" w:color="auto" w:fill="auto"/>
          </w:tcPr>
          <w:p w14:paraId="7BAECA98" w14:textId="77777777" w:rsidR="00936DFE" w:rsidRPr="00CB26B4" w:rsidRDefault="00936DFE" w:rsidP="00044DA6">
            <w:pPr>
              <w:spacing w:after="120"/>
              <w:ind w:right="113"/>
              <w:rPr>
                <w:rFonts w:cs="Times New Roman"/>
              </w:rPr>
            </w:pPr>
            <w:r w:rsidRPr="00CB26B4">
              <w:rPr>
                <w:rFonts w:cs="Times New Roman"/>
              </w:rPr>
              <w:t>МПУ</w:t>
            </w:r>
          </w:p>
        </w:tc>
        <w:tc>
          <w:tcPr>
            <w:tcW w:w="5527" w:type="dxa"/>
            <w:shd w:val="clear" w:color="auto" w:fill="auto"/>
          </w:tcPr>
          <w:p w14:paraId="7B9F2D8A" w14:textId="77777777" w:rsidR="00936DFE" w:rsidRPr="00CB26B4" w:rsidRDefault="00936DFE" w:rsidP="00044DA6">
            <w:pPr>
              <w:spacing w:after="120"/>
              <w:ind w:right="113"/>
              <w:rPr>
                <w:rFonts w:cs="Times New Roman"/>
              </w:rPr>
            </w:pPr>
            <w:r w:rsidRPr="00CB26B4">
              <w:rPr>
                <w:rFonts w:cs="Times New Roman"/>
              </w:rPr>
              <w:t>Местное публичное управление</w:t>
            </w:r>
          </w:p>
        </w:tc>
      </w:tr>
      <w:tr w:rsidR="00936DFE" w:rsidRPr="00CB26B4" w14:paraId="7BDCE375" w14:textId="77777777" w:rsidTr="00044DA6">
        <w:tc>
          <w:tcPr>
            <w:tcW w:w="1843" w:type="dxa"/>
            <w:shd w:val="clear" w:color="auto" w:fill="auto"/>
          </w:tcPr>
          <w:p w14:paraId="1C1B4E7A" w14:textId="77777777" w:rsidR="00936DFE" w:rsidRPr="00CB26B4" w:rsidRDefault="00936DFE" w:rsidP="00044DA6">
            <w:pPr>
              <w:spacing w:after="120"/>
              <w:ind w:right="113"/>
              <w:rPr>
                <w:rFonts w:cs="Times New Roman"/>
              </w:rPr>
            </w:pPr>
            <w:r w:rsidRPr="00CB26B4">
              <w:rPr>
                <w:rFonts w:cs="Times New Roman"/>
              </w:rPr>
              <w:t>МЮ</w:t>
            </w:r>
          </w:p>
        </w:tc>
        <w:tc>
          <w:tcPr>
            <w:tcW w:w="5527" w:type="dxa"/>
            <w:shd w:val="clear" w:color="auto" w:fill="auto"/>
          </w:tcPr>
          <w:p w14:paraId="5E9E5983" w14:textId="77777777" w:rsidR="00936DFE" w:rsidRPr="00CB26B4" w:rsidRDefault="00936DFE" w:rsidP="00044DA6">
            <w:pPr>
              <w:spacing w:after="120"/>
              <w:ind w:right="113"/>
              <w:rPr>
                <w:rFonts w:cs="Times New Roman"/>
              </w:rPr>
            </w:pPr>
            <w:r w:rsidRPr="00CB26B4">
              <w:rPr>
                <w:rFonts w:cs="Times New Roman"/>
              </w:rPr>
              <w:t>Министерство юстиции</w:t>
            </w:r>
          </w:p>
        </w:tc>
      </w:tr>
      <w:tr w:rsidR="00936DFE" w:rsidRPr="00CB26B4" w14:paraId="7CB4D13F" w14:textId="77777777" w:rsidTr="00044DA6">
        <w:tc>
          <w:tcPr>
            <w:tcW w:w="1843" w:type="dxa"/>
            <w:shd w:val="clear" w:color="auto" w:fill="auto"/>
          </w:tcPr>
          <w:p w14:paraId="640EFCC8" w14:textId="77777777" w:rsidR="00936DFE" w:rsidRPr="00CB26B4" w:rsidRDefault="00936DFE" w:rsidP="00044DA6">
            <w:pPr>
              <w:spacing w:after="120"/>
              <w:ind w:right="113"/>
              <w:rPr>
                <w:rFonts w:cs="Times New Roman"/>
              </w:rPr>
            </w:pPr>
            <w:r w:rsidRPr="00CB26B4">
              <w:rPr>
                <w:rFonts w:cs="Times New Roman"/>
              </w:rPr>
              <w:t>НА</w:t>
            </w:r>
          </w:p>
        </w:tc>
        <w:tc>
          <w:tcPr>
            <w:tcW w:w="5527" w:type="dxa"/>
            <w:shd w:val="clear" w:color="auto" w:fill="auto"/>
          </w:tcPr>
          <w:p w14:paraId="2E047979" w14:textId="77777777" w:rsidR="00936DFE" w:rsidRPr="00CB26B4" w:rsidRDefault="00936DFE" w:rsidP="00044DA6">
            <w:pPr>
              <w:spacing w:after="120"/>
              <w:ind w:right="113"/>
              <w:rPr>
                <w:rFonts w:cs="Times New Roman"/>
              </w:rPr>
            </w:pPr>
            <w:r w:rsidRPr="00CB26B4">
              <w:rPr>
                <w:rFonts w:cs="Times New Roman"/>
              </w:rPr>
              <w:t>Народный адвокат</w:t>
            </w:r>
          </w:p>
        </w:tc>
      </w:tr>
      <w:tr w:rsidR="00936DFE" w:rsidRPr="00CB26B4" w14:paraId="3D7C4A17" w14:textId="77777777" w:rsidTr="00044DA6">
        <w:tc>
          <w:tcPr>
            <w:tcW w:w="1843" w:type="dxa"/>
            <w:shd w:val="clear" w:color="auto" w:fill="auto"/>
          </w:tcPr>
          <w:p w14:paraId="3FCC6A3A" w14:textId="77777777" w:rsidR="00936DFE" w:rsidRPr="00CB26B4" w:rsidRDefault="00936DFE" w:rsidP="00044DA6">
            <w:pPr>
              <w:spacing w:after="120"/>
              <w:ind w:right="113"/>
              <w:rPr>
                <w:rFonts w:cs="Times New Roman"/>
              </w:rPr>
            </w:pPr>
            <w:r w:rsidRPr="00CB26B4">
              <w:rPr>
                <w:rFonts w:cs="Times New Roman"/>
              </w:rPr>
              <w:t>НАЗН</w:t>
            </w:r>
          </w:p>
        </w:tc>
        <w:tc>
          <w:tcPr>
            <w:tcW w:w="5527" w:type="dxa"/>
            <w:shd w:val="clear" w:color="auto" w:fill="auto"/>
          </w:tcPr>
          <w:p w14:paraId="20141527" w14:textId="77777777" w:rsidR="00936DFE" w:rsidRPr="00CB26B4" w:rsidRDefault="00936DFE" w:rsidP="00044DA6">
            <w:pPr>
              <w:spacing w:after="120"/>
              <w:ind w:right="113"/>
              <w:rPr>
                <w:rFonts w:cs="Times New Roman"/>
              </w:rPr>
            </w:pPr>
            <w:r w:rsidRPr="00CB26B4">
              <w:rPr>
                <w:rFonts w:cs="Times New Roman"/>
              </w:rPr>
              <w:t>Национальное агентство занятости населения</w:t>
            </w:r>
          </w:p>
        </w:tc>
      </w:tr>
      <w:tr w:rsidR="00936DFE" w:rsidRPr="00CB26B4" w14:paraId="24A12283" w14:textId="77777777" w:rsidTr="00044DA6">
        <w:tc>
          <w:tcPr>
            <w:tcW w:w="1843" w:type="dxa"/>
            <w:shd w:val="clear" w:color="auto" w:fill="auto"/>
          </w:tcPr>
          <w:p w14:paraId="643334C9" w14:textId="77777777" w:rsidR="00936DFE" w:rsidRPr="00CB26B4" w:rsidRDefault="00936DFE" w:rsidP="00044DA6">
            <w:pPr>
              <w:spacing w:after="120"/>
              <w:ind w:right="113"/>
              <w:rPr>
                <w:rFonts w:cs="Times New Roman"/>
              </w:rPr>
            </w:pPr>
            <w:r w:rsidRPr="00CB26B4">
              <w:rPr>
                <w:rFonts w:cs="Times New Roman"/>
              </w:rPr>
              <w:t>НБС</w:t>
            </w:r>
          </w:p>
        </w:tc>
        <w:tc>
          <w:tcPr>
            <w:tcW w:w="5527" w:type="dxa"/>
            <w:shd w:val="clear" w:color="auto" w:fill="auto"/>
          </w:tcPr>
          <w:p w14:paraId="1B7CFA75" w14:textId="77777777" w:rsidR="00936DFE" w:rsidRPr="00CB26B4" w:rsidRDefault="00936DFE" w:rsidP="00044DA6">
            <w:pPr>
              <w:spacing w:after="120"/>
              <w:ind w:right="113"/>
              <w:rPr>
                <w:rFonts w:cs="Times New Roman"/>
              </w:rPr>
            </w:pPr>
            <w:r w:rsidRPr="00CB26B4">
              <w:rPr>
                <w:rFonts w:cs="Times New Roman"/>
              </w:rPr>
              <w:t>Национальное бюро статистики</w:t>
            </w:r>
          </w:p>
        </w:tc>
      </w:tr>
      <w:tr w:rsidR="00936DFE" w:rsidRPr="00CB26B4" w14:paraId="31CD7110" w14:textId="77777777" w:rsidTr="00044DA6">
        <w:tc>
          <w:tcPr>
            <w:tcW w:w="1843" w:type="dxa"/>
            <w:shd w:val="clear" w:color="auto" w:fill="auto"/>
          </w:tcPr>
          <w:p w14:paraId="54B5C46B" w14:textId="77777777" w:rsidR="00936DFE" w:rsidRPr="00CB26B4" w:rsidRDefault="00936DFE" w:rsidP="00044DA6">
            <w:pPr>
              <w:spacing w:after="120"/>
              <w:ind w:right="113"/>
              <w:rPr>
                <w:rFonts w:cs="Times New Roman"/>
              </w:rPr>
            </w:pPr>
            <w:r w:rsidRPr="00CB26B4">
              <w:rPr>
                <w:rFonts w:cs="Times New Roman"/>
              </w:rPr>
              <w:t>НПДПЧ-3</w:t>
            </w:r>
          </w:p>
        </w:tc>
        <w:tc>
          <w:tcPr>
            <w:tcW w:w="5527" w:type="dxa"/>
            <w:shd w:val="clear" w:color="auto" w:fill="auto"/>
          </w:tcPr>
          <w:p w14:paraId="5C3D2BFD" w14:textId="77777777" w:rsidR="00936DFE" w:rsidRPr="00CB26B4" w:rsidRDefault="00936DFE" w:rsidP="00044DA6">
            <w:pPr>
              <w:spacing w:after="120"/>
              <w:ind w:right="113"/>
              <w:rPr>
                <w:rFonts w:cs="Times New Roman"/>
              </w:rPr>
            </w:pPr>
            <w:r w:rsidRPr="00CB26B4">
              <w:rPr>
                <w:rFonts w:cs="Times New Roman"/>
              </w:rPr>
              <w:t>Национальный план действий в области прав человека на</w:t>
            </w:r>
            <w:r>
              <w:rPr>
                <w:rFonts w:cs="Times New Roman"/>
                <w:lang w:val="en-US"/>
              </w:rPr>
              <w:t> </w:t>
            </w:r>
            <w:r w:rsidRPr="00CB26B4">
              <w:rPr>
                <w:rFonts w:cs="Times New Roman"/>
              </w:rPr>
              <w:t>2018–2022 годы</w:t>
            </w:r>
          </w:p>
        </w:tc>
      </w:tr>
      <w:tr w:rsidR="00936DFE" w:rsidRPr="00CB26B4" w14:paraId="1E860015" w14:textId="77777777" w:rsidTr="00044DA6">
        <w:tc>
          <w:tcPr>
            <w:tcW w:w="1843" w:type="dxa"/>
            <w:shd w:val="clear" w:color="auto" w:fill="auto"/>
          </w:tcPr>
          <w:p w14:paraId="317738B9" w14:textId="77777777" w:rsidR="00936DFE" w:rsidRPr="00CB26B4" w:rsidRDefault="00936DFE" w:rsidP="00044DA6">
            <w:pPr>
              <w:spacing w:after="120"/>
              <w:ind w:right="113"/>
              <w:rPr>
                <w:rFonts w:cs="Times New Roman"/>
              </w:rPr>
            </w:pPr>
            <w:r w:rsidRPr="00CB26B4">
              <w:rPr>
                <w:rFonts w:eastAsia="Batang" w:cs="Times New Roman"/>
              </w:rPr>
              <w:t>НПО</w:t>
            </w:r>
          </w:p>
        </w:tc>
        <w:tc>
          <w:tcPr>
            <w:tcW w:w="5527" w:type="dxa"/>
            <w:shd w:val="clear" w:color="auto" w:fill="auto"/>
          </w:tcPr>
          <w:p w14:paraId="45C7D6BE" w14:textId="77777777" w:rsidR="00936DFE" w:rsidRPr="00CB26B4" w:rsidRDefault="00936DFE" w:rsidP="00044DA6">
            <w:pPr>
              <w:spacing w:after="120"/>
              <w:ind w:right="113"/>
              <w:rPr>
                <w:rFonts w:cs="Times New Roman"/>
              </w:rPr>
            </w:pPr>
            <w:r w:rsidRPr="00CB26B4">
              <w:rPr>
                <w:rFonts w:eastAsia="Batang" w:cs="Times New Roman"/>
              </w:rPr>
              <w:t>Неправительственные организации</w:t>
            </w:r>
          </w:p>
        </w:tc>
      </w:tr>
      <w:tr w:rsidR="00936DFE" w:rsidRPr="00CB26B4" w14:paraId="0B590A80" w14:textId="77777777" w:rsidTr="00044DA6">
        <w:tc>
          <w:tcPr>
            <w:tcW w:w="1843" w:type="dxa"/>
            <w:shd w:val="clear" w:color="auto" w:fill="auto"/>
          </w:tcPr>
          <w:p w14:paraId="15BDDCEE" w14:textId="77777777" w:rsidR="00936DFE" w:rsidRPr="00CB26B4" w:rsidRDefault="00936DFE" w:rsidP="00044DA6">
            <w:pPr>
              <w:spacing w:after="120"/>
              <w:ind w:right="113"/>
              <w:rPr>
                <w:rFonts w:eastAsia="Batang" w:cs="Times New Roman"/>
              </w:rPr>
            </w:pPr>
            <w:r w:rsidRPr="00CB26B4">
              <w:rPr>
                <w:rFonts w:cs="Times New Roman"/>
              </w:rPr>
              <w:t>НСК</w:t>
            </w:r>
          </w:p>
        </w:tc>
        <w:tc>
          <w:tcPr>
            <w:tcW w:w="5527" w:type="dxa"/>
            <w:shd w:val="clear" w:color="auto" w:fill="auto"/>
          </w:tcPr>
          <w:p w14:paraId="2FD14BE3" w14:textId="77777777" w:rsidR="00936DFE" w:rsidRPr="00CB26B4" w:rsidRDefault="00936DFE" w:rsidP="00044DA6">
            <w:pPr>
              <w:spacing w:after="120"/>
              <w:ind w:right="113"/>
              <w:rPr>
                <w:rFonts w:eastAsia="Batang" w:cs="Times New Roman"/>
              </w:rPr>
            </w:pPr>
            <w:r w:rsidRPr="00CB26B4">
              <w:rPr>
                <w:rFonts w:cs="Times New Roman"/>
              </w:rPr>
              <w:t xml:space="preserve">Национальный совет по </w:t>
            </w:r>
            <w:proofErr w:type="spellStart"/>
            <w:r w:rsidRPr="00CB26B4">
              <w:rPr>
                <w:rFonts w:cs="Times New Roman"/>
              </w:rPr>
              <w:t>куррикулуму</w:t>
            </w:r>
            <w:proofErr w:type="spellEnd"/>
          </w:p>
        </w:tc>
      </w:tr>
      <w:tr w:rsidR="00936DFE" w:rsidRPr="00CB26B4" w14:paraId="41471B61" w14:textId="77777777" w:rsidTr="00044DA6">
        <w:tc>
          <w:tcPr>
            <w:tcW w:w="1843" w:type="dxa"/>
            <w:shd w:val="clear" w:color="auto" w:fill="auto"/>
          </w:tcPr>
          <w:p w14:paraId="71F48B77" w14:textId="77777777" w:rsidR="00936DFE" w:rsidRPr="00CB26B4" w:rsidRDefault="00936DFE" w:rsidP="00044DA6">
            <w:pPr>
              <w:spacing w:after="120"/>
              <w:ind w:right="113"/>
              <w:rPr>
                <w:rFonts w:eastAsia="Batang" w:cs="Times New Roman"/>
              </w:rPr>
            </w:pPr>
            <w:r w:rsidRPr="00CB26B4">
              <w:rPr>
                <w:rFonts w:cs="Times New Roman"/>
              </w:rPr>
              <w:t>ОБСЕ</w:t>
            </w:r>
          </w:p>
        </w:tc>
        <w:tc>
          <w:tcPr>
            <w:tcW w:w="5527" w:type="dxa"/>
            <w:shd w:val="clear" w:color="auto" w:fill="auto"/>
          </w:tcPr>
          <w:p w14:paraId="4D97528F" w14:textId="77777777" w:rsidR="00936DFE" w:rsidRPr="00CB26B4" w:rsidRDefault="00936DFE" w:rsidP="00044DA6">
            <w:pPr>
              <w:spacing w:after="120"/>
              <w:ind w:right="113"/>
              <w:rPr>
                <w:rFonts w:cs="Times New Roman"/>
              </w:rPr>
            </w:pPr>
            <w:r w:rsidRPr="00CB26B4">
              <w:rPr>
                <w:rFonts w:cs="Times New Roman"/>
              </w:rPr>
              <w:t>Организация по безопасности и сотрудничеству в Европе</w:t>
            </w:r>
          </w:p>
        </w:tc>
      </w:tr>
      <w:tr w:rsidR="00936DFE" w:rsidRPr="00CB26B4" w14:paraId="6A1C7E7F" w14:textId="77777777" w:rsidTr="00044DA6">
        <w:tc>
          <w:tcPr>
            <w:tcW w:w="1843" w:type="dxa"/>
            <w:shd w:val="clear" w:color="auto" w:fill="auto"/>
          </w:tcPr>
          <w:p w14:paraId="5FF23380" w14:textId="77777777" w:rsidR="00936DFE" w:rsidRPr="00CB26B4" w:rsidRDefault="00936DFE" w:rsidP="00044DA6">
            <w:pPr>
              <w:spacing w:after="120"/>
              <w:ind w:right="113"/>
              <w:rPr>
                <w:rFonts w:eastAsia="Batang" w:cs="Times New Roman"/>
              </w:rPr>
            </w:pPr>
            <w:r w:rsidRPr="00CB26B4">
              <w:rPr>
                <w:rFonts w:cs="Times New Roman"/>
              </w:rPr>
              <w:t>ОНА</w:t>
            </w:r>
          </w:p>
        </w:tc>
        <w:tc>
          <w:tcPr>
            <w:tcW w:w="5527" w:type="dxa"/>
            <w:shd w:val="clear" w:color="auto" w:fill="auto"/>
          </w:tcPr>
          <w:p w14:paraId="69AE987A" w14:textId="77777777" w:rsidR="00936DFE" w:rsidRPr="00CB26B4" w:rsidRDefault="00936DFE" w:rsidP="00044DA6">
            <w:pPr>
              <w:spacing w:after="120"/>
              <w:ind w:right="113"/>
              <w:rPr>
                <w:rFonts w:eastAsia="Batang" w:cs="Times New Roman"/>
              </w:rPr>
            </w:pPr>
            <w:r w:rsidRPr="00CB26B4">
              <w:rPr>
                <w:rFonts w:cs="Times New Roman"/>
              </w:rPr>
              <w:t>Офис Народного адвоката</w:t>
            </w:r>
          </w:p>
        </w:tc>
      </w:tr>
      <w:tr w:rsidR="00936DFE" w:rsidRPr="00CB26B4" w14:paraId="0A89F8BF" w14:textId="77777777" w:rsidTr="00044DA6">
        <w:tc>
          <w:tcPr>
            <w:tcW w:w="1843" w:type="dxa"/>
            <w:shd w:val="clear" w:color="auto" w:fill="auto"/>
          </w:tcPr>
          <w:p w14:paraId="622DC9D7" w14:textId="77777777" w:rsidR="00936DFE" w:rsidRPr="00CB26B4" w:rsidRDefault="00936DFE" w:rsidP="00044DA6">
            <w:pPr>
              <w:spacing w:after="120"/>
              <w:ind w:right="113"/>
              <w:rPr>
                <w:rFonts w:eastAsia="Batang" w:cs="Times New Roman"/>
              </w:rPr>
            </w:pPr>
            <w:r w:rsidRPr="00CB26B4">
              <w:rPr>
                <w:rFonts w:cs="Times New Roman"/>
              </w:rPr>
              <w:t>ООН</w:t>
            </w:r>
          </w:p>
        </w:tc>
        <w:tc>
          <w:tcPr>
            <w:tcW w:w="5527" w:type="dxa"/>
            <w:shd w:val="clear" w:color="auto" w:fill="auto"/>
          </w:tcPr>
          <w:p w14:paraId="11A5390A" w14:textId="77777777" w:rsidR="00936DFE" w:rsidRPr="00CB26B4" w:rsidRDefault="00936DFE" w:rsidP="00044DA6">
            <w:pPr>
              <w:spacing w:after="120"/>
              <w:ind w:right="113"/>
              <w:rPr>
                <w:rFonts w:eastAsia="Batang" w:cs="Times New Roman"/>
              </w:rPr>
            </w:pPr>
            <w:r w:rsidRPr="00CB26B4">
              <w:rPr>
                <w:rFonts w:cs="Times New Roman"/>
              </w:rPr>
              <w:t>Организация Объединенных Наций</w:t>
            </w:r>
          </w:p>
        </w:tc>
      </w:tr>
      <w:tr w:rsidR="00936DFE" w:rsidRPr="00CB26B4" w14:paraId="43763129" w14:textId="77777777" w:rsidTr="00044DA6">
        <w:tc>
          <w:tcPr>
            <w:tcW w:w="1843" w:type="dxa"/>
            <w:shd w:val="clear" w:color="auto" w:fill="auto"/>
          </w:tcPr>
          <w:p w14:paraId="6A186F22" w14:textId="77777777" w:rsidR="00936DFE" w:rsidRPr="00CB26B4" w:rsidRDefault="00936DFE" w:rsidP="00044DA6">
            <w:pPr>
              <w:spacing w:after="120"/>
              <w:ind w:right="113"/>
              <w:rPr>
                <w:rFonts w:eastAsia="Batang" w:cs="Times New Roman"/>
              </w:rPr>
            </w:pPr>
            <w:r w:rsidRPr="00CB26B4">
              <w:rPr>
                <w:rFonts w:cs="Times New Roman"/>
              </w:rPr>
              <w:t>ПНЖ 2014</w:t>
            </w:r>
          </w:p>
        </w:tc>
        <w:tc>
          <w:tcPr>
            <w:tcW w:w="5527" w:type="dxa"/>
            <w:shd w:val="clear" w:color="auto" w:fill="auto"/>
          </w:tcPr>
          <w:p w14:paraId="466C4A96" w14:textId="77777777" w:rsidR="00936DFE" w:rsidRPr="00CB26B4" w:rsidRDefault="00936DFE" w:rsidP="00044DA6">
            <w:pPr>
              <w:spacing w:after="120"/>
              <w:ind w:right="113"/>
              <w:rPr>
                <w:rFonts w:eastAsia="Batang" w:cs="Times New Roman"/>
              </w:rPr>
            </w:pPr>
            <w:r w:rsidRPr="00CB26B4">
              <w:rPr>
                <w:rFonts w:cs="Times New Roman"/>
              </w:rPr>
              <w:t>Перепись населения и жилищ 2014 года</w:t>
            </w:r>
          </w:p>
        </w:tc>
      </w:tr>
      <w:tr w:rsidR="00936DFE" w:rsidRPr="00CB26B4" w14:paraId="626C1545" w14:textId="77777777" w:rsidTr="00044DA6">
        <w:tc>
          <w:tcPr>
            <w:tcW w:w="1843" w:type="dxa"/>
            <w:shd w:val="clear" w:color="auto" w:fill="auto"/>
          </w:tcPr>
          <w:p w14:paraId="2848D57A" w14:textId="77777777" w:rsidR="00936DFE" w:rsidRPr="00CB26B4" w:rsidRDefault="00936DFE" w:rsidP="00044DA6">
            <w:pPr>
              <w:spacing w:after="120"/>
              <w:ind w:right="113"/>
              <w:rPr>
                <w:rFonts w:eastAsia="Batang" w:cs="Times New Roman"/>
              </w:rPr>
            </w:pPr>
            <w:r w:rsidRPr="00CB26B4">
              <w:rPr>
                <w:rFonts w:cs="Times New Roman"/>
              </w:rPr>
              <w:t>ПП</w:t>
            </w:r>
          </w:p>
        </w:tc>
        <w:tc>
          <w:tcPr>
            <w:tcW w:w="5527" w:type="dxa"/>
            <w:shd w:val="clear" w:color="auto" w:fill="auto"/>
          </w:tcPr>
          <w:p w14:paraId="0D326C29" w14:textId="77777777" w:rsidR="00936DFE" w:rsidRPr="00CB26B4" w:rsidRDefault="00936DFE" w:rsidP="00044DA6">
            <w:pPr>
              <w:spacing w:after="120"/>
              <w:ind w:right="113"/>
              <w:rPr>
                <w:rFonts w:eastAsia="Batang" w:cs="Times New Roman"/>
              </w:rPr>
            </w:pPr>
            <w:r w:rsidRPr="00CB26B4">
              <w:rPr>
                <w:rFonts w:cs="Times New Roman"/>
              </w:rPr>
              <w:t>Постановление Правительства Республики Молдова</w:t>
            </w:r>
          </w:p>
        </w:tc>
      </w:tr>
      <w:tr w:rsidR="00936DFE" w:rsidRPr="00CB26B4" w14:paraId="18149BE4" w14:textId="77777777" w:rsidTr="00044DA6">
        <w:tc>
          <w:tcPr>
            <w:tcW w:w="1843" w:type="dxa"/>
            <w:shd w:val="clear" w:color="auto" w:fill="auto"/>
          </w:tcPr>
          <w:p w14:paraId="6778D0A1" w14:textId="77777777" w:rsidR="00936DFE" w:rsidRPr="00CB26B4" w:rsidRDefault="00936DFE" w:rsidP="00044DA6">
            <w:pPr>
              <w:spacing w:after="120"/>
              <w:ind w:right="113"/>
              <w:rPr>
                <w:rFonts w:cs="Times New Roman"/>
              </w:rPr>
            </w:pPr>
            <w:r w:rsidRPr="00CB26B4">
              <w:rPr>
                <w:rFonts w:cs="Times New Roman"/>
              </w:rPr>
              <w:t>ПРООН Молдова</w:t>
            </w:r>
          </w:p>
        </w:tc>
        <w:tc>
          <w:tcPr>
            <w:tcW w:w="5527" w:type="dxa"/>
            <w:shd w:val="clear" w:color="auto" w:fill="auto"/>
          </w:tcPr>
          <w:p w14:paraId="20E8A527" w14:textId="77777777" w:rsidR="00936DFE" w:rsidRPr="00CB26B4" w:rsidRDefault="00936DFE" w:rsidP="00044DA6">
            <w:pPr>
              <w:spacing w:after="120"/>
              <w:ind w:right="113"/>
              <w:rPr>
                <w:rFonts w:eastAsia="Batang" w:cs="Times New Roman"/>
              </w:rPr>
            </w:pPr>
            <w:r w:rsidRPr="00CB26B4">
              <w:rPr>
                <w:rFonts w:cs="Times New Roman"/>
              </w:rPr>
              <w:t>Программа развития Организации Объединенных Наций в</w:t>
            </w:r>
            <w:r>
              <w:rPr>
                <w:rFonts w:cs="Times New Roman"/>
                <w:lang w:val="en-US"/>
              </w:rPr>
              <w:t> </w:t>
            </w:r>
            <w:r w:rsidRPr="00CB26B4">
              <w:rPr>
                <w:rFonts w:cs="Times New Roman"/>
              </w:rPr>
              <w:t>Молдове</w:t>
            </w:r>
          </w:p>
        </w:tc>
      </w:tr>
      <w:tr w:rsidR="00936DFE" w:rsidRPr="00CB26B4" w14:paraId="27423761" w14:textId="77777777" w:rsidTr="00044DA6">
        <w:tc>
          <w:tcPr>
            <w:tcW w:w="1843" w:type="dxa"/>
            <w:shd w:val="clear" w:color="auto" w:fill="auto"/>
          </w:tcPr>
          <w:p w14:paraId="69AD41AF" w14:textId="77777777" w:rsidR="00936DFE" w:rsidRPr="00CB26B4" w:rsidRDefault="00936DFE" w:rsidP="00044DA6">
            <w:pPr>
              <w:spacing w:after="120"/>
              <w:ind w:right="113"/>
              <w:rPr>
                <w:rFonts w:cs="Times New Roman"/>
              </w:rPr>
            </w:pPr>
            <w:r w:rsidRPr="00CB26B4">
              <w:rPr>
                <w:rFonts w:cs="Times New Roman"/>
              </w:rPr>
              <w:t>СЕ</w:t>
            </w:r>
          </w:p>
        </w:tc>
        <w:tc>
          <w:tcPr>
            <w:tcW w:w="5527" w:type="dxa"/>
            <w:shd w:val="clear" w:color="auto" w:fill="auto"/>
          </w:tcPr>
          <w:p w14:paraId="36BDB7D5" w14:textId="77777777" w:rsidR="00936DFE" w:rsidRPr="00CB26B4" w:rsidRDefault="00936DFE" w:rsidP="00044DA6">
            <w:pPr>
              <w:spacing w:after="120"/>
              <w:ind w:right="113"/>
              <w:rPr>
                <w:rFonts w:cs="Times New Roman"/>
              </w:rPr>
            </w:pPr>
            <w:r w:rsidRPr="00CB26B4">
              <w:rPr>
                <w:rFonts w:cs="Times New Roman"/>
              </w:rPr>
              <w:t>Совет Европы</w:t>
            </w:r>
          </w:p>
        </w:tc>
      </w:tr>
      <w:tr w:rsidR="00936DFE" w:rsidRPr="00CB26B4" w14:paraId="659F44C4" w14:textId="77777777" w:rsidTr="00044DA6">
        <w:tc>
          <w:tcPr>
            <w:tcW w:w="1843" w:type="dxa"/>
            <w:shd w:val="clear" w:color="auto" w:fill="auto"/>
          </w:tcPr>
          <w:p w14:paraId="32534547" w14:textId="77777777" w:rsidR="00936DFE" w:rsidRPr="00CB26B4" w:rsidRDefault="00936DFE" w:rsidP="00044DA6">
            <w:pPr>
              <w:spacing w:after="120"/>
              <w:ind w:right="113"/>
              <w:rPr>
                <w:rFonts w:cs="Times New Roman"/>
              </w:rPr>
            </w:pPr>
            <w:r w:rsidRPr="00CB26B4">
              <w:rPr>
                <w:rFonts w:cs="Times New Roman"/>
              </w:rPr>
              <w:t>Совет/СПЛДОР</w:t>
            </w:r>
          </w:p>
        </w:tc>
        <w:tc>
          <w:tcPr>
            <w:tcW w:w="5527" w:type="dxa"/>
            <w:shd w:val="clear" w:color="auto" w:fill="auto"/>
          </w:tcPr>
          <w:p w14:paraId="3F9581BF" w14:textId="77777777" w:rsidR="00936DFE" w:rsidRPr="00CB26B4" w:rsidRDefault="00936DFE" w:rsidP="00044DA6">
            <w:pPr>
              <w:spacing w:after="120"/>
              <w:ind w:right="113"/>
              <w:rPr>
                <w:rFonts w:eastAsia="Batang" w:cs="Times New Roman"/>
              </w:rPr>
            </w:pPr>
            <w:r w:rsidRPr="00CB26B4">
              <w:rPr>
                <w:rFonts w:cs="Times New Roman"/>
              </w:rPr>
              <w:t>Совет по предупреждению и ликвидации дискриминации и</w:t>
            </w:r>
            <w:r>
              <w:rPr>
                <w:rFonts w:cs="Times New Roman"/>
                <w:lang w:val="en-US"/>
              </w:rPr>
              <w:t> </w:t>
            </w:r>
            <w:r w:rsidRPr="00CB26B4">
              <w:rPr>
                <w:rFonts w:cs="Times New Roman"/>
              </w:rPr>
              <w:t>обеспечению равенства</w:t>
            </w:r>
          </w:p>
        </w:tc>
      </w:tr>
      <w:tr w:rsidR="00936DFE" w:rsidRPr="00CB26B4" w14:paraId="17003B7E" w14:textId="77777777" w:rsidTr="00044DA6">
        <w:tc>
          <w:tcPr>
            <w:tcW w:w="1843" w:type="dxa"/>
            <w:shd w:val="clear" w:color="auto" w:fill="auto"/>
          </w:tcPr>
          <w:p w14:paraId="2A1DFEE0" w14:textId="77777777" w:rsidR="00936DFE" w:rsidRPr="00CB26B4" w:rsidRDefault="00936DFE" w:rsidP="00044DA6">
            <w:pPr>
              <w:spacing w:after="120"/>
              <w:ind w:right="113"/>
              <w:rPr>
                <w:rFonts w:cs="Times New Roman"/>
              </w:rPr>
            </w:pPr>
            <w:r w:rsidRPr="00CB26B4">
              <w:rPr>
                <w:rFonts w:cs="Times New Roman"/>
              </w:rPr>
              <w:t>СТР</w:t>
            </w:r>
          </w:p>
        </w:tc>
        <w:tc>
          <w:tcPr>
            <w:tcW w:w="5527" w:type="dxa"/>
            <w:shd w:val="clear" w:color="auto" w:fill="auto"/>
          </w:tcPr>
          <w:p w14:paraId="5BC7B1E3" w14:textId="77777777" w:rsidR="00936DFE" w:rsidRPr="00CB26B4" w:rsidRDefault="00936DFE" w:rsidP="00044DA6">
            <w:pPr>
              <w:spacing w:after="120"/>
              <w:ind w:right="113"/>
              <w:rPr>
                <w:rFonts w:eastAsia="Batang" w:cs="Times New Roman"/>
              </w:rPr>
            </w:pPr>
            <w:r w:rsidRPr="00CB26B4">
              <w:rPr>
                <w:rFonts w:cs="Times New Roman"/>
              </w:rPr>
              <w:t>Совет по телевидению и радио</w:t>
            </w:r>
          </w:p>
        </w:tc>
      </w:tr>
      <w:tr w:rsidR="00936DFE" w:rsidRPr="00CB26B4" w14:paraId="0CB0B000" w14:textId="77777777" w:rsidTr="00044DA6">
        <w:tc>
          <w:tcPr>
            <w:tcW w:w="1843" w:type="dxa"/>
            <w:shd w:val="clear" w:color="auto" w:fill="auto"/>
          </w:tcPr>
          <w:p w14:paraId="7EF70512" w14:textId="77777777" w:rsidR="00936DFE" w:rsidRPr="00CB26B4" w:rsidRDefault="00936DFE" w:rsidP="00044DA6">
            <w:pPr>
              <w:spacing w:after="120"/>
              <w:ind w:right="113"/>
              <w:rPr>
                <w:rFonts w:cs="Times New Roman"/>
              </w:rPr>
            </w:pPr>
            <w:r w:rsidRPr="00CB26B4">
              <w:rPr>
                <w:rFonts w:cs="Times New Roman"/>
              </w:rPr>
              <w:lastRenderedPageBreak/>
              <w:t>ТПЗН</w:t>
            </w:r>
          </w:p>
        </w:tc>
        <w:tc>
          <w:tcPr>
            <w:tcW w:w="5527" w:type="dxa"/>
            <w:shd w:val="clear" w:color="auto" w:fill="auto"/>
          </w:tcPr>
          <w:p w14:paraId="658A7B7F" w14:textId="77777777" w:rsidR="00936DFE" w:rsidRPr="00CB26B4" w:rsidRDefault="00936DFE" w:rsidP="00044DA6">
            <w:pPr>
              <w:spacing w:after="120"/>
              <w:ind w:right="113"/>
              <w:rPr>
                <w:rFonts w:eastAsia="Batang" w:cs="Times New Roman"/>
              </w:rPr>
            </w:pPr>
            <w:r w:rsidRPr="00CB26B4">
              <w:rPr>
                <w:rFonts w:cs="Times New Roman"/>
              </w:rPr>
              <w:t>Территориальные подразделения занятости населения</w:t>
            </w:r>
          </w:p>
        </w:tc>
      </w:tr>
      <w:tr w:rsidR="00936DFE" w:rsidRPr="00CB26B4" w14:paraId="125B1482" w14:textId="77777777" w:rsidTr="00044DA6">
        <w:tc>
          <w:tcPr>
            <w:tcW w:w="1843" w:type="dxa"/>
            <w:shd w:val="clear" w:color="auto" w:fill="auto"/>
          </w:tcPr>
          <w:p w14:paraId="715CA2F3" w14:textId="77777777" w:rsidR="00936DFE" w:rsidRPr="00CB26B4" w:rsidRDefault="00936DFE" w:rsidP="00044DA6">
            <w:pPr>
              <w:spacing w:after="120"/>
              <w:ind w:right="113"/>
              <w:rPr>
                <w:rFonts w:cs="Times New Roman"/>
              </w:rPr>
            </w:pPr>
            <w:r w:rsidRPr="00CB26B4">
              <w:rPr>
                <w:rFonts w:cs="Times New Roman"/>
              </w:rPr>
              <w:t>ЦПУ</w:t>
            </w:r>
          </w:p>
        </w:tc>
        <w:tc>
          <w:tcPr>
            <w:tcW w:w="5527" w:type="dxa"/>
            <w:shd w:val="clear" w:color="auto" w:fill="auto"/>
          </w:tcPr>
          <w:p w14:paraId="09E431E7" w14:textId="77777777" w:rsidR="00936DFE" w:rsidRPr="00CB26B4" w:rsidRDefault="00936DFE" w:rsidP="00044DA6">
            <w:pPr>
              <w:spacing w:after="120"/>
              <w:ind w:right="113"/>
              <w:rPr>
                <w:rFonts w:eastAsia="Batang" w:cs="Times New Roman"/>
              </w:rPr>
            </w:pPr>
            <w:r w:rsidRPr="00CB26B4">
              <w:rPr>
                <w:rFonts w:cs="Times New Roman"/>
              </w:rPr>
              <w:t>Центральное публичное управление</w:t>
            </w:r>
          </w:p>
        </w:tc>
      </w:tr>
      <w:tr w:rsidR="00936DFE" w:rsidRPr="00CB26B4" w14:paraId="779960CE" w14:textId="77777777" w:rsidTr="00044DA6">
        <w:tc>
          <w:tcPr>
            <w:tcW w:w="1843" w:type="dxa"/>
            <w:shd w:val="clear" w:color="auto" w:fill="auto"/>
          </w:tcPr>
          <w:p w14:paraId="4B2E6B6F" w14:textId="77777777" w:rsidR="00936DFE" w:rsidRPr="00CB26B4" w:rsidRDefault="00936DFE" w:rsidP="00044DA6">
            <w:pPr>
              <w:spacing w:after="120"/>
              <w:ind w:right="113"/>
              <w:rPr>
                <w:rFonts w:cs="Times New Roman"/>
              </w:rPr>
            </w:pPr>
            <w:r w:rsidRPr="00CB26B4">
              <w:rPr>
                <w:rFonts w:cs="Times New Roman"/>
              </w:rPr>
              <w:t>ANTEM</w:t>
            </w:r>
          </w:p>
        </w:tc>
        <w:tc>
          <w:tcPr>
            <w:tcW w:w="5527" w:type="dxa"/>
            <w:shd w:val="clear" w:color="auto" w:fill="auto"/>
          </w:tcPr>
          <w:p w14:paraId="4EDC619B" w14:textId="77777777" w:rsidR="00936DFE" w:rsidRPr="00CB26B4" w:rsidRDefault="00936DFE" w:rsidP="00044DA6">
            <w:pPr>
              <w:spacing w:after="120"/>
              <w:ind w:right="113"/>
              <w:rPr>
                <w:rFonts w:eastAsia="Batang" w:cs="Times New Roman"/>
              </w:rPr>
            </w:pPr>
            <w:r w:rsidRPr="00CB26B4">
              <w:rPr>
                <w:rFonts w:cs="Times New Roman"/>
              </w:rPr>
              <w:t>Национальная ассоциация европейских тренеров Молдовы</w:t>
            </w:r>
          </w:p>
        </w:tc>
      </w:tr>
      <w:tr w:rsidR="00936DFE" w:rsidRPr="00CB26B4" w14:paraId="4F33DB97" w14:textId="77777777" w:rsidTr="00044DA6">
        <w:tc>
          <w:tcPr>
            <w:tcW w:w="1843" w:type="dxa"/>
            <w:shd w:val="clear" w:color="auto" w:fill="auto"/>
          </w:tcPr>
          <w:p w14:paraId="5223B572" w14:textId="77777777" w:rsidR="00936DFE" w:rsidRPr="00CB26B4" w:rsidRDefault="00936DFE" w:rsidP="00044DA6">
            <w:pPr>
              <w:spacing w:after="120"/>
              <w:ind w:right="113"/>
              <w:rPr>
                <w:rFonts w:eastAsia="Batang" w:cs="Times New Roman"/>
              </w:rPr>
            </w:pPr>
            <w:r w:rsidRPr="00CB26B4">
              <w:rPr>
                <w:rFonts w:cs="Times New Roman"/>
              </w:rPr>
              <w:t>IHRA</w:t>
            </w:r>
          </w:p>
        </w:tc>
        <w:tc>
          <w:tcPr>
            <w:tcW w:w="5527" w:type="dxa"/>
            <w:shd w:val="clear" w:color="auto" w:fill="auto"/>
          </w:tcPr>
          <w:p w14:paraId="3EF4C4EF" w14:textId="77777777" w:rsidR="00936DFE" w:rsidRPr="00CB26B4" w:rsidRDefault="00936DFE" w:rsidP="00044DA6">
            <w:pPr>
              <w:spacing w:after="120"/>
              <w:ind w:right="113"/>
              <w:rPr>
                <w:rFonts w:eastAsia="Batang" w:cs="Times New Roman"/>
              </w:rPr>
            </w:pPr>
            <w:r w:rsidRPr="00CB26B4">
              <w:rPr>
                <w:rStyle w:val="apple-style-span"/>
              </w:rPr>
              <w:t>Международный альянс в память о Холокосте</w:t>
            </w:r>
          </w:p>
        </w:tc>
      </w:tr>
    </w:tbl>
    <w:p w14:paraId="137C16BC" w14:textId="77777777" w:rsidR="00936DFE" w:rsidRDefault="00936DFE" w:rsidP="00936DFE">
      <w:pPr>
        <w:pStyle w:val="SingleTxtG"/>
      </w:pPr>
      <w:r>
        <w:br w:type="page"/>
      </w:r>
    </w:p>
    <w:p w14:paraId="1A80ECD6" w14:textId="77777777" w:rsidR="00936DFE" w:rsidRPr="00CB26B4" w:rsidRDefault="00936DFE" w:rsidP="00936DFE">
      <w:pPr>
        <w:pStyle w:val="HChG"/>
      </w:pPr>
      <w:r>
        <w:lastRenderedPageBreak/>
        <w:tab/>
      </w:r>
      <w:r>
        <w:tab/>
      </w:r>
      <w:r w:rsidRPr="00CB26B4">
        <w:t>Введение</w:t>
      </w:r>
    </w:p>
    <w:p w14:paraId="5F0A8C9B" w14:textId="77777777" w:rsidR="00936DFE" w:rsidRPr="00CB26B4" w:rsidRDefault="00936DFE" w:rsidP="00936DFE">
      <w:pPr>
        <w:pStyle w:val="SingleTxtG"/>
      </w:pPr>
      <w:r w:rsidRPr="00D05877">
        <w:t>1.</w:t>
      </w:r>
      <w:r w:rsidRPr="00D05877">
        <w:tab/>
      </w:r>
      <w:r w:rsidRPr="00CB26B4">
        <w:t xml:space="preserve">Периодический доклад Республики Молдова о ходе выполнения Международной </w:t>
      </w:r>
      <w:r>
        <w:t>к</w:t>
      </w:r>
      <w:r w:rsidRPr="00CB26B4">
        <w:t>онвенции о ликвидации всех форм расовой дискриминации (далее</w:t>
      </w:r>
      <w:r>
        <w:rPr>
          <w:lang w:val="en-US"/>
        </w:rPr>
        <w:t> </w:t>
      </w:r>
      <w:r w:rsidRPr="005303C8">
        <w:t>—</w:t>
      </w:r>
      <w:r w:rsidRPr="00CB26B4">
        <w:t xml:space="preserve"> Конвенция)</w:t>
      </w:r>
      <w:r w:rsidRPr="005303C8">
        <w:rPr>
          <w:sz w:val="18"/>
          <w:szCs w:val="18"/>
          <w:vertAlign w:val="superscript"/>
        </w:rPr>
        <w:footnoteReference w:id="2"/>
      </w:r>
      <w:r w:rsidRPr="00CB26B4">
        <w:t xml:space="preserve"> (</w:t>
      </w:r>
      <w:r w:rsidRPr="00720AEF">
        <w:t>периодические доклады №№ 12,</w:t>
      </w:r>
      <w:r w:rsidRPr="008A7AF8">
        <w:t xml:space="preserve"> </w:t>
      </w:r>
      <w:r w:rsidRPr="00720AEF">
        <w:t>13,</w:t>
      </w:r>
      <w:r w:rsidRPr="008A7AF8">
        <w:t xml:space="preserve"> </w:t>
      </w:r>
      <w:r w:rsidRPr="00720AEF">
        <w:t>14</w:t>
      </w:r>
      <w:r w:rsidRPr="00CB26B4">
        <w:t>, объединенные в один документ) был составлен в соответствии с пунктом 1 b) ст</w:t>
      </w:r>
      <w:r>
        <w:t xml:space="preserve">атьи </w:t>
      </w:r>
      <w:r w:rsidRPr="00CB26B4">
        <w:t xml:space="preserve">9 Конвенции на основании Заключительных замечаний относительно </w:t>
      </w:r>
      <w:r>
        <w:t xml:space="preserve">десятого </w:t>
      </w:r>
      <w:r w:rsidRPr="00720AEF">
        <w:t>и одиннадцатого периодических докладов Республики Молдова, принятых Комитетом ООН по ликвидации расовой</w:t>
      </w:r>
      <w:r w:rsidRPr="00CB26B4">
        <w:t xml:space="preserve"> дискриминации (КЛРД) на заседании № 2537 от 8 мая 2017 г</w:t>
      </w:r>
      <w:r>
        <w:t>ода</w:t>
      </w:r>
      <w:r w:rsidRPr="00CB26B4">
        <w:t xml:space="preserve"> (CERD/C/MDA/CO/10-11).</w:t>
      </w:r>
    </w:p>
    <w:p w14:paraId="32C0FF5C" w14:textId="77777777" w:rsidR="00936DFE" w:rsidRPr="00CB26B4" w:rsidRDefault="00936DFE" w:rsidP="00936DFE">
      <w:pPr>
        <w:pStyle w:val="SingleTxtG"/>
      </w:pPr>
      <w:r w:rsidRPr="00D05877">
        <w:t>2.</w:t>
      </w:r>
      <w:r w:rsidRPr="00D05877">
        <w:tab/>
      </w:r>
      <w:r w:rsidRPr="00CB26B4">
        <w:t xml:space="preserve">Доклад охватывает период </w:t>
      </w:r>
      <w:r>
        <w:t xml:space="preserve">с </w:t>
      </w:r>
      <w:r w:rsidRPr="00CB26B4">
        <w:t>2017</w:t>
      </w:r>
      <w:r w:rsidRPr="00E12D9F">
        <w:t xml:space="preserve"> </w:t>
      </w:r>
      <w:r>
        <w:t>года</w:t>
      </w:r>
      <w:r w:rsidRPr="00CB26B4">
        <w:t xml:space="preserve"> (июнь) </w:t>
      </w:r>
      <w:r>
        <w:t>по</w:t>
      </w:r>
      <w:smartTag w:uri="urn:schemas-microsoft-com:office:smarttags" w:element="metricconverter">
        <w:smartTagPr>
          <w:attr w:name="ProductID" w:val="2019 г"/>
        </w:smartTagPr>
        <w:r w:rsidRPr="00CB26B4">
          <w:t xml:space="preserve"> 2019 г</w:t>
        </w:r>
      </w:smartTag>
      <w:r>
        <w:t>од</w:t>
      </w:r>
      <w:r w:rsidRPr="00CB26B4">
        <w:t xml:space="preserve"> и содержит конкретную информацию о выполнении </w:t>
      </w:r>
      <w:r w:rsidRPr="00720AEF">
        <w:t>статей</w:t>
      </w:r>
      <w:r w:rsidRPr="00CB26B4">
        <w:t xml:space="preserve"> 1</w:t>
      </w:r>
      <w:r>
        <w:t>–</w:t>
      </w:r>
      <w:r w:rsidRPr="00CB26B4">
        <w:t xml:space="preserve">7 Конвенции, а также отражает прогресс, достигнутый в выполнении ее положений. В то же время </w:t>
      </w:r>
      <w:r w:rsidRPr="00B218DF">
        <w:rPr>
          <w:color w:val="000000" w:themeColor="text1"/>
        </w:rPr>
        <w:t xml:space="preserve">Доклад </w:t>
      </w:r>
      <w:r w:rsidRPr="00CB26B4">
        <w:t xml:space="preserve">отражает меры, принятые молдавскими властями, по выполнению рекомендаций, изложенных </w:t>
      </w:r>
      <w:r w:rsidRPr="00B218DF">
        <w:rPr>
          <w:color w:val="000000" w:themeColor="text1"/>
        </w:rPr>
        <w:t xml:space="preserve">КЛРД </w:t>
      </w:r>
      <w:r w:rsidRPr="00CB26B4">
        <w:t>в «Заключительных замечаниях».</w:t>
      </w:r>
    </w:p>
    <w:p w14:paraId="3111393A" w14:textId="77777777" w:rsidR="00936DFE" w:rsidRPr="00CB26B4" w:rsidRDefault="00936DFE" w:rsidP="00936DFE">
      <w:pPr>
        <w:pStyle w:val="SingleTxtG"/>
      </w:pPr>
      <w:r w:rsidRPr="00CB17AB">
        <w:t>3.</w:t>
      </w:r>
      <w:r>
        <w:tab/>
      </w:r>
      <w:r w:rsidRPr="00CB26B4">
        <w:t>По истечении</w:t>
      </w:r>
      <w:r>
        <w:t xml:space="preserve"> </w:t>
      </w:r>
      <w:r w:rsidRPr="00CB26B4">
        <w:t xml:space="preserve">одного года после принятия «Заключительных замечаний относительно </w:t>
      </w:r>
      <w:r>
        <w:t>десятого</w:t>
      </w:r>
      <w:r w:rsidRPr="00CB26B4">
        <w:t xml:space="preserve"> и </w:t>
      </w:r>
      <w:r>
        <w:t xml:space="preserve">одиннадцатого </w:t>
      </w:r>
      <w:r w:rsidRPr="00CB26B4">
        <w:t>периодических докладов Республики Молдова» (п</w:t>
      </w:r>
      <w:r>
        <w:t>ункт</w:t>
      </w:r>
      <w:r w:rsidRPr="00CB26B4">
        <w:t xml:space="preserve"> 31) Агентство межэтнических отношений (АМО) составило Информационную справку о выполнении рекомендаций, содержащихся </w:t>
      </w:r>
      <w:r w:rsidRPr="00720AEF">
        <w:t>в пунктах</w:t>
      </w:r>
      <w:r w:rsidRPr="00CB26B4">
        <w:t xml:space="preserve"> 19 и 23, которая была представлена в КЛРД на рассмотрение при посредничестве Министерства иностранных дел и европейской интеграции (июль </w:t>
      </w:r>
      <w:smartTag w:uri="urn:schemas-microsoft-com:office:smarttags" w:element="metricconverter">
        <w:smartTagPr>
          <w:attr w:name="ProductID" w:val="2018 г"/>
        </w:smartTagPr>
        <w:r w:rsidRPr="00CB26B4">
          <w:t>2018 г</w:t>
        </w:r>
      </w:smartTag>
      <w:r>
        <w:t>ода</w:t>
      </w:r>
      <w:r w:rsidRPr="00CB26B4">
        <w:t>).</w:t>
      </w:r>
    </w:p>
    <w:p w14:paraId="7CCD2083" w14:textId="77777777" w:rsidR="00936DFE" w:rsidRDefault="00936DFE" w:rsidP="00936DFE">
      <w:pPr>
        <w:pStyle w:val="SingleTxtG"/>
      </w:pPr>
      <w:r w:rsidRPr="00CB17AB">
        <w:t>4.</w:t>
      </w:r>
      <w:r>
        <w:tab/>
      </w:r>
      <w:r w:rsidRPr="00CB26B4">
        <w:t>Настоящий доклад был подготовлен Агентством межэтнических отношений (АМО) в сотрудничестве с Министерством иностранных дел и европейской интеграции (МИДЕИ), Министерством здравоохранения, труда и социальной защиты (МЗТСЗ), Министерством юстиции (МЮ), Министерством внутренних дел (МВД), Министерством образования, культуры и исследований (МОКИ), Генеральной прокуратурой (ГП), Национальным бюро статистики (НБС), Бюро по миграции и беженцам (БМБ), Советом по телевидению и радио (СТР), Национальным агентством занятости населения (НАЗН), Агентством государственных услуг (АГУ),</w:t>
      </w:r>
      <w:r>
        <w:t xml:space="preserve"> </w:t>
      </w:r>
      <w:r w:rsidRPr="00CB26B4">
        <w:t>Народным адвокатом (НА), Советом по предупреждению и ликвидации дискриминации и обеспечению равенства (Совет/СПЛДОР), Бюро политик по реинтеграции в составе Государственной канцелярии; органами местного публичного управления (МПУ). При</w:t>
      </w:r>
      <w:r>
        <w:t> </w:t>
      </w:r>
      <w:r w:rsidRPr="00CB26B4">
        <w:t>АМО была создана рабочая группа для координирования процесса разработки и проведения консультаций по докладу, состоящая из представителей названных ведомств и лидеров этнокультурных организаций национальных меньшинств.</w:t>
      </w:r>
    </w:p>
    <w:p w14:paraId="64653581" w14:textId="77777777" w:rsidR="00936DFE" w:rsidRDefault="00936DFE" w:rsidP="00936DFE">
      <w:pPr>
        <w:pStyle w:val="SingleTxtG"/>
      </w:pPr>
      <w:r w:rsidRPr="00CB17AB">
        <w:t>5.</w:t>
      </w:r>
      <w:r w:rsidRPr="00CB17AB">
        <w:tab/>
      </w:r>
      <w:r w:rsidRPr="00CB26B4">
        <w:t>4</w:t>
      </w:r>
      <w:r>
        <w:t>–</w:t>
      </w:r>
      <w:r w:rsidRPr="00CB26B4">
        <w:t xml:space="preserve">5 февраля </w:t>
      </w:r>
      <w:smartTag w:uri="urn:schemas-microsoft-com:office:smarttags" w:element="metricconverter">
        <w:smartTagPr>
          <w:attr w:name="ProductID" w:val="2020 г"/>
        </w:smartTagPr>
        <w:r w:rsidRPr="00CB26B4">
          <w:t>2020 г</w:t>
        </w:r>
      </w:smartTag>
      <w:r>
        <w:t>ода</w:t>
      </w:r>
      <w:r w:rsidRPr="00CB26B4">
        <w:t xml:space="preserve"> состоялся семинар «Международная система мониторинга прав человека. Объединенный отчет № 12,</w:t>
      </w:r>
      <w:r>
        <w:t xml:space="preserve"> </w:t>
      </w:r>
      <w:r w:rsidRPr="00CB26B4">
        <w:t>13,</w:t>
      </w:r>
      <w:r>
        <w:t xml:space="preserve"> </w:t>
      </w:r>
      <w:r w:rsidRPr="00CB26B4">
        <w:t>14 Республики Молдова для Комитета</w:t>
      </w:r>
      <w:r w:rsidRPr="00AB4A29">
        <w:t xml:space="preserve"> </w:t>
      </w:r>
      <w:r w:rsidRPr="00CB26B4">
        <w:t>ООН по ликвидации расовой дискриминации», организованный Офисом</w:t>
      </w:r>
      <w:r>
        <w:t xml:space="preserve"> </w:t>
      </w:r>
      <w:r w:rsidRPr="00CB26B4">
        <w:t>ООН по правам человека в Молдове в партнерстве с АМО. Семинар был предназначен для членов межведомственной рабочей группы. В ходе семинара состоялась презентация и обсуждение доклада. В работе семинара приняли участие представители 13 органов центрального публичного управления и 12 лидеров этнокультурных объединений национальных меньшинств. Впоследствии доклад был дополнен в соответствии</w:t>
      </w:r>
      <w:r>
        <w:t xml:space="preserve"> </w:t>
      </w:r>
      <w:r w:rsidRPr="00CB26B4">
        <w:t>с</w:t>
      </w:r>
      <w:r>
        <w:t xml:space="preserve"> </w:t>
      </w:r>
      <w:r w:rsidRPr="00CB26B4">
        <w:t>рекомендациями, сформулированными участниками дискуссии.</w:t>
      </w:r>
    </w:p>
    <w:p w14:paraId="19C26FB4" w14:textId="77777777" w:rsidR="00936DFE" w:rsidRDefault="00936DFE" w:rsidP="00936DFE">
      <w:pPr>
        <w:pStyle w:val="SingleTxtG"/>
      </w:pPr>
      <w:r w:rsidRPr="00CB17AB">
        <w:t>6.</w:t>
      </w:r>
      <w:r>
        <w:tab/>
      </w:r>
      <w:r w:rsidRPr="00CB26B4">
        <w:t xml:space="preserve">Координационный совет этнокультурных организаций (КС), действующий при АМО, был проинформирован о принятии Комитетом КЛРД «Заключительных замечаний </w:t>
      </w:r>
      <w:r w:rsidRPr="007004C1">
        <w:t>относительно десятого и одиннадцатого периодических</w:t>
      </w:r>
      <w:r w:rsidRPr="00CB26B4">
        <w:t xml:space="preserve"> докладов Республики Молдова». Члены КС были вовлечены в процесс составления Доклада, участвуя в консультациях, организованных в рамках его заседаний. </w:t>
      </w:r>
    </w:p>
    <w:p w14:paraId="53441E10" w14:textId="77777777" w:rsidR="00936DFE" w:rsidRPr="00CB26B4" w:rsidRDefault="00936DFE" w:rsidP="00936DFE">
      <w:pPr>
        <w:pStyle w:val="SingleTxtG"/>
      </w:pPr>
      <w:r w:rsidRPr="00CB17AB">
        <w:lastRenderedPageBreak/>
        <w:t>7.</w:t>
      </w:r>
      <w:r>
        <w:tab/>
      </w:r>
      <w:r w:rsidRPr="00CB26B4">
        <w:t xml:space="preserve">В целях обеспечения прозрачности и принципа участия Доклад был открыт для публичных консультаций, посредством его размещения на официальном сайте АМО </w:t>
      </w:r>
      <w:hyperlink r:id="rId8" w:history="1">
        <w:r w:rsidRPr="00D54B18">
          <w:rPr>
            <w:rStyle w:val="af1"/>
            <w:color w:val="000000" w:themeColor="text1"/>
          </w:rPr>
          <w:t>www.bri.gov.md</w:t>
        </w:r>
      </w:hyperlink>
      <w:r w:rsidRPr="00CB26B4">
        <w:t>.</w:t>
      </w:r>
    </w:p>
    <w:p w14:paraId="77422533" w14:textId="77777777" w:rsidR="00936DFE" w:rsidRPr="00CB26B4" w:rsidRDefault="00936DFE" w:rsidP="00936DFE">
      <w:pPr>
        <w:pStyle w:val="HChG"/>
      </w:pPr>
      <w:r w:rsidRPr="005238BC">
        <w:rPr>
          <w:color w:val="000000" w:themeColor="text1"/>
        </w:rPr>
        <w:tab/>
      </w:r>
      <w:r w:rsidRPr="005238BC">
        <w:rPr>
          <w:color w:val="000000" w:themeColor="text1"/>
        </w:rPr>
        <w:tab/>
        <w:t>Часть первая</w:t>
      </w:r>
      <w:r w:rsidRPr="005238BC">
        <w:rPr>
          <w:color w:val="000000" w:themeColor="text1"/>
        </w:rPr>
        <w:br/>
      </w:r>
      <w:r>
        <w:tab/>
      </w:r>
      <w:r w:rsidRPr="00CB26B4">
        <w:t>Общий обзор государственной политики по</w:t>
      </w:r>
      <w:r>
        <w:rPr>
          <w:lang w:val="en-US"/>
        </w:rPr>
        <w:t> </w:t>
      </w:r>
      <w:r w:rsidRPr="00CB26B4">
        <w:t>предупреждению и</w:t>
      </w:r>
      <w:r>
        <w:t xml:space="preserve"> </w:t>
      </w:r>
      <w:r w:rsidRPr="00CB26B4">
        <w:t xml:space="preserve">ликвидации расовой дискриминации </w:t>
      </w:r>
    </w:p>
    <w:p w14:paraId="3F9A0A1E" w14:textId="77777777" w:rsidR="00936DFE" w:rsidRDefault="00936DFE" w:rsidP="00936DFE">
      <w:pPr>
        <w:pStyle w:val="SingleTxtG"/>
      </w:pPr>
      <w:r w:rsidRPr="00CB17AB">
        <w:t>8.</w:t>
      </w:r>
      <w:r w:rsidRPr="00CB17AB">
        <w:tab/>
      </w:r>
      <w:r w:rsidRPr="00CB26B4">
        <w:t>Принципы равенства и недискриминации, прав и основных свобод, закрепленные в</w:t>
      </w:r>
      <w:r>
        <w:t xml:space="preserve"> </w:t>
      </w:r>
      <w:r w:rsidRPr="00CB26B4">
        <w:t>Конституции Республики Молдова</w:t>
      </w:r>
      <w:r w:rsidRPr="009B1955">
        <w:rPr>
          <w:sz w:val="18"/>
          <w:szCs w:val="18"/>
          <w:vertAlign w:val="superscript"/>
        </w:rPr>
        <w:footnoteReference w:id="3"/>
      </w:r>
      <w:r w:rsidRPr="00CB26B4">
        <w:t>, являются неотъемлемыми и составляют основу всей системы защиты прав человека в Республике Молдова. Законодательная база содержит положения, запрещающие дискриминацию по признаку расы, национальности, этнической принадлежности, языка, религии, социального происхождения, убеждений, пола, политической принадлежности, имущественного положения или социального происхождения или любых других критериев, направленных на ограничение или устранение признания, осуществления в условиях равенства прав человека и основных свобод или прав, признанных законом.</w:t>
      </w:r>
    </w:p>
    <w:p w14:paraId="1382ECA7" w14:textId="77777777" w:rsidR="00936DFE" w:rsidRDefault="00936DFE" w:rsidP="00936DFE">
      <w:pPr>
        <w:pStyle w:val="SingleTxtG"/>
      </w:pPr>
      <w:r w:rsidRPr="00CB17AB">
        <w:t>9.</w:t>
      </w:r>
      <w:r>
        <w:tab/>
      </w:r>
      <w:r w:rsidRPr="00CB26B4">
        <w:t>Нормативная и институциональная база Республики Молдова по продвижению и защите прав человека, включая права лиц, принадлежащих к национальным меньшинствам, постоянно совершенствуется в соответствии с международными стандартами, национальными приоритетами и устремлениями к европейской интеграции. Особое внимание уделяется реализации международных договоров в данной сфере, участником которых является Республика Молдова.</w:t>
      </w:r>
    </w:p>
    <w:p w14:paraId="20BD8EA6" w14:textId="77777777" w:rsidR="00936DFE" w:rsidRDefault="00936DFE" w:rsidP="00936DFE">
      <w:pPr>
        <w:pStyle w:val="SingleTxtG"/>
      </w:pPr>
      <w:r w:rsidRPr="00CB17AB">
        <w:t>10.</w:t>
      </w:r>
      <w:r w:rsidRPr="00CB17AB">
        <w:tab/>
      </w:r>
      <w:r w:rsidRPr="00CB26B4">
        <w:t>Республика Молдова является государством с полиэтническим составом населения (национальные меньшинства составляют около 25</w:t>
      </w:r>
      <w:r>
        <w:t xml:space="preserve"> процентов</w:t>
      </w:r>
      <w:r w:rsidRPr="00CB26B4">
        <w:t xml:space="preserve"> населения), что обуславливает</w:t>
      </w:r>
      <w:r>
        <w:t xml:space="preserve"> </w:t>
      </w:r>
      <w:r w:rsidRPr="00CB26B4">
        <w:t>постоянные меры и усилия, которые предпринимаются</w:t>
      </w:r>
      <w:r>
        <w:t xml:space="preserve"> </w:t>
      </w:r>
      <w:r w:rsidRPr="00CB26B4">
        <w:t>для</w:t>
      </w:r>
      <w:r>
        <w:t xml:space="preserve"> </w:t>
      </w:r>
      <w:r w:rsidRPr="00CB26B4">
        <w:t>того, чтобы обеспечить уважение</w:t>
      </w:r>
      <w:r>
        <w:t xml:space="preserve"> </w:t>
      </w:r>
      <w:r w:rsidRPr="00CB26B4">
        <w:t>этнической, культурной, языковой и религиозной идентичности каждого лица, принадлежащего к национальному меньшинству, одновременно создаются соответствующие условия, позволяющие выражать, сохранять и развивать эту идентичность</w:t>
      </w:r>
      <w:r w:rsidRPr="009B1955">
        <w:rPr>
          <w:sz w:val="18"/>
          <w:szCs w:val="18"/>
          <w:vertAlign w:val="superscript"/>
        </w:rPr>
        <w:footnoteReference w:id="4"/>
      </w:r>
      <w:r w:rsidRPr="00CB26B4">
        <w:t>.</w:t>
      </w:r>
    </w:p>
    <w:p w14:paraId="231630D3" w14:textId="77777777" w:rsidR="00936DFE" w:rsidRDefault="00936DFE" w:rsidP="00936DFE">
      <w:pPr>
        <w:pStyle w:val="SingleTxtG"/>
      </w:pPr>
      <w:r w:rsidRPr="00CB17AB">
        <w:lastRenderedPageBreak/>
        <w:t>11.</w:t>
      </w:r>
      <w:r w:rsidRPr="00CB17AB">
        <w:tab/>
      </w:r>
      <w:r w:rsidRPr="00CB26B4">
        <w:t>Молдавские власти содействуют предотвращению расовой дискриминации и борьбе с любыми проявлениями расизма, ксенофобии, антисемитизма, поощряют и поддерживают осуществление действий по продвижению равенства, воспитанию духа толерантности и взаимного уважения. Расширился спектр деятельности и повысился уровень участия отраслевых органов центрального публичного управления в имплементации Международной конвенции о ликвидации всех форм расовой дискриминации в сферах их компетенции</w:t>
      </w:r>
      <w:r w:rsidRPr="002C2C1E">
        <w:rPr>
          <w:sz w:val="18"/>
          <w:szCs w:val="18"/>
          <w:vertAlign w:val="superscript"/>
        </w:rPr>
        <w:footnoteReference w:id="5"/>
      </w:r>
      <w:r w:rsidRPr="00CB26B4">
        <w:t>.</w:t>
      </w:r>
    </w:p>
    <w:p w14:paraId="255BE32C" w14:textId="77777777" w:rsidR="00936DFE" w:rsidRDefault="00936DFE" w:rsidP="00936DFE">
      <w:pPr>
        <w:pStyle w:val="SingleTxtG"/>
      </w:pPr>
      <w:r w:rsidRPr="00CB17AB">
        <w:t>12.</w:t>
      </w:r>
      <w:r w:rsidRPr="00CB17AB">
        <w:tab/>
      </w:r>
      <w:r w:rsidRPr="00CB26B4">
        <w:t>После реформы публичного управления</w:t>
      </w:r>
      <w:r w:rsidRPr="002C2C1E">
        <w:rPr>
          <w:sz w:val="18"/>
          <w:szCs w:val="18"/>
          <w:vertAlign w:val="superscript"/>
          <w:lang w:val="es-ES"/>
        </w:rPr>
        <w:footnoteReference w:id="6"/>
      </w:r>
      <w:r w:rsidRPr="00CB26B4">
        <w:t xml:space="preserve"> Бюро межэтнических отношений, в</w:t>
      </w:r>
      <w:r>
        <w:t> </w:t>
      </w:r>
      <w:r w:rsidRPr="00CB26B4">
        <w:t>соответствии с ПП № 593 от 25</w:t>
      </w:r>
      <w:r>
        <w:t xml:space="preserve"> июня 2</w:t>
      </w:r>
      <w:r w:rsidRPr="00CB26B4">
        <w:t>018 г</w:t>
      </w:r>
      <w:r>
        <w:t>ода</w:t>
      </w:r>
      <w:r w:rsidRPr="00CB26B4">
        <w:t>, было переименовано в Агентство межэтнических отношений, центральный административный орган в подчинении Правительства Республики Молдова. В то же время функции по разработке и мониторингу политик в области межэтнических отношений и функционирования языков были переданы Министерству образования, культуры и исследований</w:t>
      </w:r>
      <w:r w:rsidRPr="002C2C1E">
        <w:rPr>
          <w:sz w:val="18"/>
          <w:szCs w:val="18"/>
          <w:vertAlign w:val="superscript"/>
          <w:lang w:val="es-ES"/>
        </w:rPr>
        <w:footnoteReference w:id="7"/>
      </w:r>
      <w:r w:rsidRPr="00CB26B4">
        <w:t xml:space="preserve">. Функции по реализации политик в этой области были сохранены за реформированной структурой </w:t>
      </w:r>
      <w:r>
        <w:t>—</w:t>
      </w:r>
      <w:r w:rsidRPr="00CB26B4">
        <w:t xml:space="preserve"> АМО. Эта поправка была внесена согласно ст</w:t>
      </w:r>
      <w:r>
        <w:t>атье</w:t>
      </w:r>
      <w:r w:rsidRPr="00CB26B4">
        <w:t xml:space="preserve"> 4 Закона о центральном отраслевом публичном управлении № 98 от 4</w:t>
      </w:r>
      <w:r>
        <w:t xml:space="preserve"> мая </w:t>
      </w:r>
      <w:r w:rsidRPr="00CB26B4">
        <w:t>2012 г</w:t>
      </w:r>
      <w:r>
        <w:t>ода</w:t>
      </w:r>
      <w:r w:rsidRPr="00CB26B4">
        <w:t>, которая устанавливает основополагающий принцип организации и функционирования центрального отраслевого публичного управления: «разграничения функций разработки и продвижения политик от функций их реализации».</w:t>
      </w:r>
    </w:p>
    <w:p w14:paraId="5126E4A0" w14:textId="77777777" w:rsidR="00936DFE" w:rsidRDefault="00936DFE" w:rsidP="00936DFE">
      <w:pPr>
        <w:pStyle w:val="SingleTxtG"/>
      </w:pPr>
      <w:r w:rsidRPr="00CB17AB">
        <w:t>13.</w:t>
      </w:r>
      <w:r w:rsidRPr="00CB17AB">
        <w:tab/>
      </w:r>
      <w:r w:rsidRPr="00CB26B4">
        <w:t>В 2018 г</w:t>
      </w:r>
      <w:r>
        <w:t>оду</w:t>
      </w:r>
      <w:r w:rsidRPr="00CB26B4">
        <w:t xml:space="preserve"> в рамках проекта «Укрепление сотрудничества и потенциала субъектов, занимающихся поощрением и защитой прав национальных меньшинств», реализуемого Миссией ОБСЕ в Республике Молдова, было проведено 2 исследования: «Сравнительный анализ эффективных практик, применяемых учреждениями по защите прав человека»</w:t>
      </w:r>
      <w:r w:rsidRPr="002C2C1E">
        <w:rPr>
          <w:sz w:val="18"/>
          <w:szCs w:val="18"/>
          <w:vertAlign w:val="superscript"/>
        </w:rPr>
        <w:footnoteReference w:id="8"/>
      </w:r>
      <w:r w:rsidRPr="00CB26B4">
        <w:t xml:space="preserve"> и «Оценка компетенций органов власти, продвигающих права национальных меньшинств. Сравнительный анализ»</w:t>
      </w:r>
      <w:r w:rsidRPr="002C2C1E">
        <w:rPr>
          <w:sz w:val="18"/>
          <w:szCs w:val="18"/>
          <w:vertAlign w:val="superscript"/>
        </w:rPr>
        <w:footnoteReference w:id="9"/>
      </w:r>
      <w:r w:rsidRPr="00CB26B4">
        <w:t>. Общая цель исследований заключалась в укреплении сотрудничества между АМО, Офисом народного адвоката (ОНА) и Советом по предупреждению и ликвидации дискриминации и обеспечению равенства (Совет/СПЛДОР) с целью развития совместной деятельности и укрепления потенциала заинтересованных сторон. В результате исследований было установлено, в частности, что «сфера защиты национальных меньшинств и прав человека рассредоточена в деятельности трех отдельных публичных органов, что</w:t>
      </w:r>
      <w:r>
        <w:t xml:space="preserve"> </w:t>
      </w:r>
      <w:r w:rsidRPr="00CB26B4">
        <w:t>и обуславливает необходимость</w:t>
      </w:r>
      <w:r>
        <w:t xml:space="preserve"> </w:t>
      </w:r>
      <w:r w:rsidRPr="00CB26B4">
        <w:t>сотрудничества для обеспечения единства механизма защиты».</w:t>
      </w:r>
    </w:p>
    <w:p w14:paraId="5C1DBF91" w14:textId="77777777" w:rsidR="00936DFE" w:rsidRDefault="00936DFE" w:rsidP="00936DFE">
      <w:pPr>
        <w:pStyle w:val="SingleTxtG"/>
      </w:pPr>
      <w:r w:rsidRPr="00CB17AB">
        <w:t>14.</w:t>
      </w:r>
      <w:r w:rsidRPr="00CB17AB">
        <w:tab/>
      </w:r>
      <w:r w:rsidRPr="00CB26B4">
        <w:t>По результатам оценки компетенции национальных правозащитных учреждений было рекомендовано создать единый механизм сотрудничества. Для этого 15 ноября 2018 г</w:t>
      </w:r>
      <w:r>
        <w:t>ода</w:t>
      </w:r>
      <w:r w:rsidRPr="00CB26B4">
        <w:t xml:space="preserve"> состоялось подписание Соглашения о взаимопонимании между Офисом Народного адвоката, Агентством межэтнических отношений и</w:t>
      </w:r>
      <w:r>
        <w:t xml:space="preserve"> </w:t>
      </w:r>
      <w:r w:rsidRPr="00CB26B4">
        <w:t>Советом по предупреждению и ликвидации дискриминации и обеспечению равенства</w:t>
      </w:r>
      <w:r w:rsidRPr="002C2C1E">
        <w:rPr>
          <w:sz w:val="18"/>
          <w:szCs w:val="18"/>
          <w:vertAlign w:val="superscript"/>
        </w:rPr>
        <w:footnoteReference w:id="10"/>
      </w:r>
      <w:r w:rsidRPr="00CB26B4">
        <w:t>, которое призвано укреплять сотрудничество между учреждениями и наращивать совместные усилия в области</w:t>
      </w:r>
      <w:r>
        <w:t xml:space="preserve"> </w:t>
      </w:r>
      <w:r w:rsidRPr="00CB26B4">
        <w:t>защиты прав человека. Стороны будут уделять особое внимание правам национальных меньшинств на образование, доступ к информации, участию, а</w:t>
      </w:r>
      <w:r>
        <w:t> </w:t>
      </w:r>
      <w:r w:rsidRPr="00CB26B4">
        <w:t>также культурным, религиозным и лингвистическим правам.</w:t>
      </w:r>
    </w:p>
    <w:p w14:paraId="7C4AF7A9" w14:textId="77777777" w:rsidR="00936DFE" w:rsidRDefault="00936DFE" w:rsidP="00936DFE">
      <w:pPr>
        <w:pStyle w:val="SingleTxtG"/>
      </w:pPr>
      <w:r w:rsidRPr="00CB17AB">
        <w:lastRenderedPageBreak/>
        <w:t>15.</w:t>
      </w:r>
      <w:r w:rsidRPr="00CB17AB">
        <w:tab/>
      </w:r>
      <w:r w:rsidRPr="00CB26B4">
        <w:t>В целях продолжения конструктивного сотрудничества 20 сентября 2019 г</w:t>
      </w:r>
      <w:r>
        <w:t>ода</w:t>
      </w:r>
      <w:r w:rsidRPr="00CB26B4">
        <w:t xml:space="preserve"> три указанных учреждения подписали совместную Декларацию о проведении и отражении избирательной кампании без дискриминации и языка ненависти, которая «подтверждает приверженность соблюдению прав человека и обеспечению равенства всех лиц, находящихся на</w:t>
      </w:r>
      <w:r>
        <w:t xml:space="preserve"> </w:t>
      </w:r>
      <w:r w:rsidRPr="00CB26B4">
        <w:t>территории Республики Молдова, в политической, экономической, социальной, культурной областях, а также в других сферах жизни, независимо от расы, цвета кожи, национальности, этнического происхождения, языка, религии или убеждений, пола, возраста, ограниченных возможностей, мнения, политической принадлежности или любого другого подобного критерия…»</w:t>
      </w:r>
      <w:r w:rsidRPr="002C2C1E">
        <w:rPr>
          <w:sz w:val="18"/>
          <w:szCs w:val="18"/>
          <w:vertAlign w:val="superscript"/>
        </w:rPr>
        <w:footnoteReference w:id="11"/>
      </w:r>
      <w:r w:rsidRPr="00CB26B4">
        <w:t>. В</w:t>
      </w:r>
      <w:r>
        <w:t> </w:t>
      </w:r>
      <w:r w:rsidRPr="00CB26B4">
        <w:t>контексте предвыборной кампании в октябре 2019 г</w:t>
      </w:r>
      <w:r>
        <w:t>ода</w:t>
      </w:r>
      <w:r w:rsidRPr="00CB26B4">
        <w:t xml:space="preserve"> организации-подписанты обратились с призывом к политикам, кандидатам на выборах, журналистам, лидерам общественного мнения, др. соблюдать демократические ценности, продвигать принцип равенства и недискриминации, избегать ненавистнических высказываний и уважать человеческое достоинство.</w:t>
      </w:r>
      <w:r>
        <w:t xml:space="preserve"> </w:t>
      </w:r>
      <w:r w:rsidRPr="00CB26B4">
        <w:t>28 сентября 2019 г</w:t>
      </w:r>
      <w:r>
        <w:t>ода</w:t>
      </w:r>
      <w:r w:rsidRPr="00CB26B4">
        <w:t xml:space="preserve"> Совет по телевидению и радио, в качестве компетентного органа в области аудиовизуальной коммуникации, присоединился к Декларации.</w:t>
      </w:r>
    </w:p>
    <w:p w14:paraId="630C145D" w14:textId="77777777" w:rsidR="00936DFE" w:rsidRDefault="00936DFE" w:rsidP="00936DFE">
      <w:pPr>
        <w:pStyle w:val="SingleTxtG"/>
      </w:pPr>
      <w:r w:rsidRPr="00CB17AB">
        <w:t>16.</w:t>
      </w:r>
      <w:r w:rsidRPr="00CB17AB">
        <w:tab/>
      </w:r>
      <w:r w:rsidRPr="00CB26B4">
        <w:t>Получила развитие деятельность организаций гражданского общества, работающих в области прав человека, в частности, по реализации проектов по тематике, которая, среди прочего, вытекает из контекста Конвенции. Такого рода проекты осуществлялись в сотрудничестве с партнерами по развитию, при поддержке различных программ ПРООН, ЕС, СЕ, ОБСЕ, дипломатических миссий Великобритании, США, Германии, др., аккредитованных в Республике Молдова. К</w:t>
      </w:r>
      <w:r>
        <w:t> </w:t>
      </w:r>
      <w:r w:rsidRPr="00CB26B4">
        <w:t>наиболее активным организациям можно причислить: Институт европейской политики и реформ</w:t>
      </w:r>
      <w:r w:rsidRPr="002C2C1E">
        <w:rPr>
          <w:sz w:val="18"/>
          <w:szCs w:val="18"/>
          <w:vertAlign w:val="superscript"/>
        </w:rPr>
        <w:footnoteReference w:id="12"/>
      </w:r>
      <w:r w:rsidRPr="00CB26B4">
        <w:t>, Институт стратегических инициатив</w:t>
      </w:r>
      <w:r w:rsidRPr="002C2C1E">
        <w:rPr>
          <w:sz w:val="18"/>
          <w:szCs w:val="18"/>
          <w:vertAlign w:val="superscript"/>
        </w:rPr>
        <w:footnoteReference w:id="13"/>
      </w:r>
      <w:r w:rsidRPr="00CB26B4">
        <w:t xml:space="preserve">, Ассоциация </w:t>
      </w:r>
      <w:proofErr w:type="spellStart"/>
      <w:r w:rsidRPr="00CB26B4">
        <w:t>Promo</w:t>
      </w:r>
      <w:proofErr w:type="spellEnd"/>
      <w:r>
        <w:noBreakHyphen/>
      </w:r>
      <w:r w:rsidRPr="00CB26B4">
        <w:t>LEX</w:t>
      </w:r>
      <w:r w:rsidRPr="002C2C1E">
        <w:rPr>
          <w:sz w:val="18"/>
          <w:szCs w:val="18"/>
          <w:vertAlign w:val="superscript"/>
        </w:rPr>
        <w:footnoteReference w:id="14"/>
      </w:r>
      <w:r w:rsidRPr="00CB26B4">
        <w:t>, др.</w:t>
      </w:r>
    </w:p>
    <w:p w14:paraId="61762B4B" w14:textId="77777777" w:rsidR="00936DFE" w:rsidRDefault="00936DFE" w:rsidP="00936DFE">
      <w:pPr>
        <w:pStyle w:val="SingleTxtG"/>
      </w:pPr>
      <w:r w:rsidRPr="00CB17AB">
        <w:t>17.</w:t>
      </w:r>
      <w:r w:rsidRPr="00CB17AB">
        <w:tab/>
      </w:r>
      <w:r w:rsidRPr="00CB26B4">
        <w:t>В период с июля 2018 г</w:t>
      </w:r>
      <w:r>
        <w:t>ода</w:t>
      </w:r>
      <w:r w:rsidRPr="00CB26B4">
        <w:t xml:space="preserve"> по июль 2019 г</w:t>
      </w:r>
      <w:r>
        <w:t>ода</w:t>
      </w:r>
      <w:r w:rsidRPr="00CB26B4">
        <w:t xml:space="preserve"> Институт европейской политики и реформ совместно</w:t>
      </w:r>
      <w:r>
        <w:t xml:space="preserve"> </w:t>
      </w:r>
      <w:r w:rsidRPr="00CB26B4">
        <w:t>с Институтом стратегических инициатив реализовал проект «Продвижение гражданского общества и межэтнического диалога в Республике Молдова в контексте процесса ассоциации с ЕС (CIVID)».</w:t>
      </w:r>
      <w:r>
        <w:t xml:space="preserve"> </w:t>
      </w:r>
      <w:r w:rsidRPr="00CB26B4">
        <w:t>На местном и региональном уровнях состоялся</w:t>
      </w:r>
      <w:r>
        <w:t xml:space="preserve"> </w:t>
      </w:r>
      <w:r w:rsidRPr="00CB26B4">
        <w:t>ряд семинаров, направленных на продвижение диалога с гражданским обществом. Дискуссии касались следующим сфер: 1) образование, 2)</w:t>
      </w:r>
      <w:r>
        <w:t> </w:t>
      </w:r>
      <w:r w:rsidRPr="00CB26B4">
        <w:t xml:space="preserve">экономическое развитие и социальные права, 3) средства массовой информации. Посредством участия АМО проект был также ориентирован на содействие реализации Стратегии укрепления межэтнических отношений в Республике Молдова </w:t>
      </w:r>
      <w:r>
        <w:br/>
      </w:r>
      <w:r w:rsidRPr="00CB26B4">
        <w:t>(2017–2027</w:t>
      </w:r>
      <w:r w:rsidRPr="00AB4A29">
        <w:t xml:space="preserve"> </w:t>
      </w:r>
      <w:r w:rsidRPr="00CB26B4">
        <w:t>годы) и соответствующего плана действий на период 2017–2019 г</w:t>
      </w:r>
      <w:r>
        <w:t>одов</w:t>
      </w:r>
      <w:r w:rsidRPr="002C2C1E">
        <w:rPr>
          <w:sz w:val="18"/>
          <w:szCs w:val="18"/>
          <w:vertAlign w:val="superscript"/>
        </w:rPr>
        <w:footnoteReference w:id="15"/>
      </w:r>
      <w:r w:rsidRPr="00CB26B4">
        <w:t>.</w:t>
      </w:r>
    </w:p>
    <w:p w14:paraId="0D67D196" w14:textId="77777777" w:rsidR="00936DFE" w:rsidRDefault="00936DFE" w:rsidP="00936DFE">
      <w:pPr>
        <w:pStyle w:val="SingleTxtG"/>
      </w:pPr>
      <w:r>
        <w:t>18.</w:t>
      </w:r>
      <w:r>
        <w:tab/>
      </w:r>
      <w:r w:rsidRPr="00CB26B4">
        <w:t xml:space="preserve">Организация </w:t>
      </w:r>
      <w:proofErr w:type="spellStart"/>
      <w:r w:rsidRPr="00CB26B4">
        <w:t>Promo</w:t>
      </w:r>
      <w:proofErr w:type="spellEnd"/>
      <w:r w:rsidRPr="00CB26B4">
        <w:t>-LEX в период 2017–2019 г</w:t>
      </w:r>
      <w:r>
        <w:t>одов</w:t>
      </w:r>
      <w:r w:rsidRPr="00CB26B4">
        <w:t xml:space="preserve"> осуществляла постоянный мониторинг общественного пространства и средств массовой информации и впервые в Республике Молдова представила дезагрегированные данные о разнообразных аспектах ненавистнической риторики: количество выявленных случаев, категории источников, которые распространяют ненавистнические высказывания, </w:t>
      </w:r>
      <w:r w:rsidRPr="00CB26B4">
        <w:lastRenderedPageBreak/>
        <w:t>общественный резонанс, пол и средний возраст авторов и жертв, защищенные критерии и затронутые группы, политиков и средства массовой информации, которые чаще всего используют подобные формы выражения</w:t>
      </w:r>
      <w:r w:rsidRPr="000366CB">
        <w:rPr>
          <w:sz w:val="18"/>
          <w:szCs w:val="18"/>
          <w:vertAlign w:val="superscript"/>
        </w:rPr>
        <w:footnoteReference w:id="16"/>
      </w:r>
      <w:r w:rsidRPr="00CB26B4">
        <w:t>. Результаты мониторинга 2019</w:t>
      </w:r>
      <w:r>
        <w:t> </w:t>
      </w:r>
      <w:r w:rsidRPr="00CB26B4">
        <w:t>г</w:t>
      </w:r>
      <w:r>
        <w:t>ода</w:t>
      </w:r>
      <w:r w:rsidRPr="00CB26B4">
        <w:t xml:space="preserve"> показали, в том числе, что разжигание ненависти чаще всего проявляется в политическом и религиозном контексте. Критериями, которые чаще всего составляли основу ненавистнических высказываний, были пол/род, сексуальная ориентация, политическая принадлежность, взгляды/мнения, религия или убеждения, национальность, язык, этническое происхождение, ограниченные возможности.</w:t>
      </w:r>
    </w:p>
    <w:p w14:paraId="62E02C33" w14:textId="77777777" w:rsidR="00936DFE" w:rsidRDefault="00936DFE" w:rsidP="00936DFE">
      <w:pPr>
        <w:pStyle w:val="SingleTxtG"/>
      </w:pPr>
      <w:r>
        <w:t>19.</w:t>
      </w:r>
      <w:r>
        <w:tab/>
      </w:r>
      <w:r w:rsidRPr="00CB26B4">
        <w:t>Отраженный в докладе период характеризуется укреплением усилий молдавских властей по определению механизмов борьбы с различными проявлениями антисемитизма, расовой дискриминацией, ксенофобией и нетерпимостью. В 2014 г</w:t>
      </w:r>
      <w:r>
        <w:t>оду</w:t>
      </w:r>
      <w:r w:rsidRPr="00CB26B4">
        <w:t xml:space="preserve"> Республика Молдова получила статус наблюдателя в рамках Международного альянса в память о Холокосте (IHRA). Присоединение к IHRA придало дополнительный импульс законодательным инициативам, мероприятиям и программам в этой области в Республике Молдова.</w:t>
      </w:r>
      <w:r>
        <w:t xml:space="preserve"> </w:t>
      </w:r>
    </w:p>
    <w:p w14:paraId="4D0C9005" w14:textId="77777777" w:rsidR="00936DFE" w:rsidRPr="0003144D" w:rsidRDefault="00936DFE" w:rsidP="00936DFE">
      <w:pPr>
        <w:pStyle w:val="SingleTxtG"/>
        <w:rPr>
          <w:color w:val="000000" w:themeColor="text1"/>
        </w:rPr>
      </w:pPr>
      <w:r w:rsidRPr="0003144D">
        <w:rPr>
          <w:color w:val="000000" w:themeColor="text1"/>
        </w:rPr>
        <w:t>20.</w:t>
      </w:r>
      <w:r w:rsidRPr="0003144D">
        <w:rPr>
          <w:color w:val="000000" w:themeColor="text1"/>
        </w:rPr>
        <w:tab/>
        <w:t>26 ноября 2015 года было принято Постановление Парламента № 210 об</w:t>
      </w:r>
      <w:r w:rsidR="0092680A" w:rsidRPr="0092680A">
        <w:rPr>
          <w:color w:val="000000" w:themeColor="text1"/>
        </w:rPr>
        <w:t xml:space="preserve"> </w:t>
      </w:r>
      <w:r w:rsidRPr="0003144D">
        <w:rPr>
          <w:color w:val="000000" w:themeColor="text1"/>
        </w:rPr>
        <w:t>учреждении Национального дня памяти жертв Холокоста — 27 января.</w:t>
      </w:r>
    </w:p>
    <w:p w14:paraId="75FDF471" w14:textId="77777777" w:rsidR="00936DFE" w:rsidRDefault="00936DFE" w:rsidP="00936DFE">
      <w:pPr>
        <w:pStyle w:val="SingleTxtG"/>
      </w:pPr>
      <w:r>
        <w:t>21.</w:t>
      </w:r>
      <w:r>
        <w:tab/>
      </w:r>
      <w:r w:rsidRPr="00CB26B4">
        <w:t>Постановлением Правительства № 313 от 22</w:t>
      </w:r>
      <w:r>
        <w:t xml:space="preserve"> мая </w:t>
      </w:r>
      <w:r w:rsidRPr="00CB26B4">
        <w:t>2017 г</w:t>
      </w:r>
      <w:r>
        <w:t>ода</w:t>
      </w:r>
      <w:r w:rsidRPr="00CB26B4">
        <w:t xml:space="preserve"> был утвержден Плана действий на 2017</w:t>
      </w:r>
      <w:r>
        <w:t>–</w:t>
      </w:r>
      <w:r w:rsidRPr="00CB26B4">
        <w:t xml:space="preserve">2019 годы по реализации Декларации Парламента Республики Молдова об одобрении Итогового доклада Международной комиссии по изучению Холокоста под председательством Эли </w:t>
      </w:r>
      <w:proofErr w:type="spellStart"/>
      <w:r w:rsidRPr="00CB26B4">
        <w:t>Визеля</w:t>
      </w:r>
      <w:proofErr w:type="spellEnd"/>
      <w:r w:rsidRPr="00CB26B4">
        <w:t xml:space="preserve"> (</w:t>
      </w:r>
      <w:proofErr w:type="spellStart"/>
      <w:r w:rsidRPr="00CB26B4">
        <w:rPr>
          <w:lang w:val="es-ES"/>
        </w:rPr>
        <w:t>ElieWiesel</w:t>
      </w:r>
      <w:proofErr w:type="spellEnd"/>
      <w:r w:rsidRPr="00CB26B4">
        <w:t>)</w:t>
      </w:r>
      <w:r w:rsidRPr="000366CB">
        <w:rPr>
          <w:sz w:val="18"/>
          <w:szCs w:val="18"/>
          <w:vertAlign w:val="superscript"/>
          <w:lang w:val="es-ES"/>
        </w:rPr>
        <w:footnoteReference w:id="17"/>
      </w:r>
      <w:r w:rsidRPr="00CB26B4">
        <w:t>.</w:t>
      </w:r>
      <w:r>
        <w:t xml:space="preserve"> </w:t>
      </w:r>
    </w:p>
    <w:p w14:paraId="2A979115" w14:textId="77777777" w:rsidR="00936DFE" w:rsidRDefault="00936DFE" w:rsidP="00936DFE">
      <w:pPr>
        <w:pStyle w:val="SingleTxtG"/>
      </w:pPr>
      <w:r>
        <w:t>22.</w:t>
      </w:r>
      <w:r>
        <w:tab/>
      </w:r>
      <w:r w:rsidRPr="00CB26B4">
        <w:t>Правительство Республики Молдова приняло ПП № 1019 от 17</w:t>
      </w:r>
      <w:r>
        <w:t xml:space="preserve"> октября </w:t>
      </w:r>
      <w:r w:rsidRPr="00CB26B4">
        <w:t>2018</w:t>
      </w:r>
      <w:r>
        <w:t> </w:t>
      </w:r>
      <w:r w:rsidRPr="00CB26B4">
        <w:t>г</w:t>
      </w:r>
      <w:r>
        <w:t>ода</w:t>
      </w:r>
      <w:r w:rsidRPr="00CB26B4">
        <w:t xml:space="preserve"> о создании государственного учреждения «Музей истории евреев Республики Молдова». Основная цель создания этого музейного учреждения заключается в том, чтобы подчеркнуть вклад еврейской общины в развитие молдавского общества на различных исторических этапах, а также сохранить память о Холокосте, активизировать борьбу с антисемитизмом и нетерпимостью. Был</w:t>
      </w:r>
      <w:r>
        <w:t xml:space="preserve"> </w:t>
      </w:r>
      <w:r w:rsidRPr="00CB26B4">
        <w:t xml:space="preserve">также разработан План действий по реабилитации, восстановлению, сохранению, капитализации и продвижению еврейского кладбища в муниципии </w:t>
      </w:r>
      <w:proofErr w:type="spellStart"/>
      <w:r w:rsidRPr="00CB26B4">
        <w:t>Кишинэу</w:t>
      </w:r>
      <w:proofErr w:type="spellEnd"/>
      <w:r w:rsidRPr="00CB26B4">
        <w:t xml:space="preserve"> и созданию мемориально-исторического комплекса, посвященного евреям, которые жили и работали на территории Республики Молдова.</w:t>
      </w:r>
    </w:p>
    <w:p w14:paraId="13A59A30" w14:textId="77777777" w:rsidR="00936DFE" w:rsidRDefault="00936DFE" w:rsidP="00936DFE">
      <w:pPr>
        <w:pStyle w:val="SingleTxtG"/>
      </w:pPr>
      <w:r>
        <w:t>23.</w:t>
      </w:r>
      <w:r>
        <w:tab/>
      </w:r>
      <w:r w:rsidRPr="00CB26B4">
        <w:t>В ПП № 18 от 18</w:t>
      </w:r>
      <w:r>
        <w:t xml:space="preserve"> января </w:t>
      </w:r>
      <w:r w:rsidRPr="00CB26B4">
        <w:t>2019 г</w:t>
      </w:r>
      <w:r>
        <w:t>ода</w:t>
      </w:r>
      <w:r w:rsidRPr="00CB26B4">
        <w:t xml:space="preserve"> об осуждении антисемитизма и продвижении толерантности было утверждено рабочее определение антисемитизма, сформулированное IHRA</w:t>
      </w:r>
      <w:r w:rsidRPr="000366CB">
        <w:rPr>
          <w:sz w:val="18"/>
          <w:szCs w:val="18"/>
          <w:vertAlign w:val="superscript"/>
        </w:rPr>
        <w:footnoteReference w:id="18"/>
      </w:r>
      <w:r w:rsidRPr="00CB26B4">
        <w:t>. Упомянутый документ однозначно подтверждает позицию Республики Молдова в осуждении любых проявлений ненависти, ксенофобии, антисемитизма и других форм дискриминации.</w:t>
      </w:r>
    </w:p>
    <w:p w14:paraId="5318E8D2" w14:textId="77777777" w:rsidR="00936DFE" w:rsidRPr="00CB26B4" w:rsidRDefault="00936DFE" w:rsidP="00936DFE">
      <w:pPr>
        <w:pStyle w:val="SingleTxtG"/>
      </w:pPr>
      <w:r>
        <w:t>24.</w:t>
      </w:r>
      <w:r>
        <w:tab/>
      </w:r>
      <w:r w:rsidRPr="00CB26B4">
        <w:t>Наиболее значимые практические мероприятия в области борьбы с любой формой расизма, ксенофобии и антисемитизма, просвещением, памятью и исследованием Холокоста:</w:t>
      </w:r>
    </w:p>
    <w:p w14:paraId="7DA8A1C4" w14:textId="77777777" w:rsidR="00936DFE" w:rsidRPr="00CB26B4" w:rsidRDefault="00936DFE" w:rsidP="00936DFE">
      <w:pPr>
        <w:pStyle w:val="Bullet1G"/>
        <w:numPr>
          <w:ilvl w:val="0"/>
          <w:numId w:val="16"/>
        </w:numPr>
      </w:pPr>
      <w:r w:rsidRPr="00CB26B4">
        <w:lastRenderedPageBreak/>
        <w:t>ежегодная организация (22</w:t>
      </w:r>
      <w:r>
        <w:t>–</w:t>
      </w:r>
      <w:r w:rsidRPr="00CB26B4">
        <w:t>31 января) Недели памятных мероприятий, посвященных Национальному дню памяти жертв Холокоста. Программа недели включает в себя серию мероприятий, в частности: «Митинг-реквием» у</w:t>
      </w:r>
      <w:r>
        <w:t> </w:t>
      </w:r>
      <w:r w:rsidRPr="00CB26B4">
        <w:t xml:space="preserve">Памятника жертвам фашизма (муниципий </w:t>
      </w:r>
      <w:proofErr w:type="spellStart"/>
      <w:r w:rsidRPr="00CB26B4">
        <w:t>Кишинэу</w:t>
      </w:r>
      <w:proofErr w:type="spellEnd"/>
      <w:r w:rsidRPr="00CB26B4">
        <w:t>, в других населенных пунктах страны; круглый стол «Увековечивание памяти Холокоста в Республике Молдова» (Зал Европы Парламента Республики Молдова); выставки «Холокост в Бессарабии» (Зал Парламента Республики Молдова), Молодежный форум «Будущее принадлежит нам» (Дом национальностей), др.;</w:t>
      </w:r>
      <w:r>
        <w:t xml:space="preserve"> </w:t>
      </w:r>
    </w:p>
    <w:p w14:paraId="4952E878" w14:textId="77777777" w:rsidR="00936DFE" w:rsidRPr="00CB26B4" w:rsidRDefault="00936DFE" w:rsidP="00936DFE">
      <w:pPr>
        <w:pStyle w:val="Bullet1G"/>
        <w:numPr>
          <w:ilvl w:val="0"/>
          <w:numId w:val="16"/>
        </w:numPr>
      </w:pPr>
      <w:r w:rsidRPr="00CB26B4">
        <w:t>подписание Соглашения о сотрудничестве между МОКИ и Еврейской общиной (ЕО) Республики Молдова (2017 г</w:t>
      </w:r>
      <w:r>
        <w:t>од</w:t>
      </w:r>
      <w:r w:rsidRPr="00CB26B4">
        <w:t xml:space="preserve">). Соглашение предусматривает разработку МОКИ новых учебных программ для подготовки дидактического состава общеобразовательных и университетских учебных учреждений по вопросам преподавания истории Холокоста, а также истории, культуры и традиций этнических общин в Республике Молдова; </w:t>
      </w:r>
    </w:p>
    <w:p w14:paraId="0CAD1EA3" w14:textId="77777777" w:rsidR="00936DFE" w:rsidRPr="00CB26B4" w:rsidRDefault="00936DFE" w:rsidP="00936DFE">
      <w:pPr>
        <w:pStyle w:val="Bullet1G"/>
        <w:numPr>
          <w:ilvl w:val="0"/>
          <w:numId w:val="16"/>
        </w:numPr>
      </w:pPr>
      <w:r w:rsidRPr="00CB26B4">
        <w:t>открытие в Доме национальностей (ДН) Центра-музея, посвященного истории Холокоста евреев на современной территории Республики Молдова (27 января 2018 г</w:t>
      </w:r>
      <w:r>
        <w:t>ода</w:t>
      </w:r>
      <w:r w:rsidRPr="00CB26B4">
        <w:t>). Центр-музей «Память о Холокосте и межэтническая толерантность» был учрежден АМО при поддержке, в том числе финансовой, Правительства Республики Молдова. Впервые в</w:t>
      </w:r>
      <w:r>
        <w:t xml:space="preserve"> </w:t>
      </w:r>
      <w:r w:rsidRPr="00CB26B4">
        <w:t xml:space="preserve">Центре-музее оформлена также выставка, посвященная памяти жертв геноцида ромов. </w:t>
      </w:r>
    </w:p>
    <w:p w14:paraId="687CFAED" w14:textId="77777777" w:rsidR="00936DFE" w:rsidRPr="008A7AF8" w:rsidRDefault="00936DFE" w:rsidP="00936DFE">
      <w:pPr>
        <w:pStyle w:val="HChG"/>
        <w:rPr>
          <w:color w:val="000000" w:themeColor="text1"/>
        </w:rPr>
      </w:pPr>
      <w:r w:rsidRPr="005238BC">
        <w:rPr>
          <w:color w:val="000000" w:themeColor="text1"/>
        </w:rPr>
        <w:tab/>
      </w:r>
      <w:r w:rsidRPr="005238BC">
        <w:rPr>
          <w:color w:val="000000" w:themeColor="text1"/>
        </w:rPr>
        <w:tab/>
        <w:t>Часть вторая</w:t>
      </w:r>
      <w:r w:rsidRPr="005238BC">
        <w:br/>
      </w:r>
      <w:r>
        <w:tab/>
      </w:r>
      <w:r w:rsidRPr="00CB26B4">
        <w:t>Информация о мерах, принятых Республикой Молдова для</w:t>
      </w:r>
      <w:r>
        <w:t> </w:t>
      </w:r>
      <w:r w:rsidRPr="00CB26B4">
        <w:t>выполнения Международной конвенции о</w:t>
      </w:r>
      <w:r>
        <w:rPr>
          <w:lang w:val="en-US"/>
        </w:rPr>
        <w:t> </w:t>
      </w:r>
      <w:r w:rsidRPr="00CB26B4">
        <w:t>ликвидации всех форм расовой дискриминации и</w:t>
      </w:r>
      <w:r>
        <w:rPr>
          <w:lang w:val="en-US"/>
        </w:rPr>
        <w:t> </w:t>
      </w:r>
      <w:r w:rsidRPr="00CB26B4">
        <w:t xml:space="preserve">реализации Заключительных замечаний относительно </w:t>
      </w:r>
      <w:r w:rsidRPr="008A7AF8">
        <w:rPr>
          <w:color w:val="000000" w:themeColor="text1"/>
        </w:rPr>
        <w:t xml:space="preserve">десятого и одиннадцатого периодических докладов Республики Молдова, принятых КЛРД 8 мая 2017 года </w:t>
      </w:r>
    </w:p>
    <w:p w14:paraId="1DB33A47" w14:textId="77777777" w:rsidR="00936DFE" w:rsidRPr="008A7AF8" w:rsidRDefault="00936DFE" w:rsidP="00936DFE">
      <w:pPr>
        <w:pStyle w:val="H1G"/>
        <w:rPr>
          <w:i/>
        </w:rPr>
      </w:pPr>
      <w:r w:rsidRPr="008A7AF8">
        <w:tab/>
      </w:r>
      <w:r w:rsidRPr="008A7AF8">
        <w:tab/>
        <w:t xml:space="preserve">Информация о последующей деятельности в связи с пунктом 3 заключительных замечаний </w:t>
      </w:r>
      <w:r w:rsidRPr="008A7AF8">
        <w:rPr>
          <w:lang w:val="en-US"/>
        </w:rPr>
        <w:t>CERD</w:t>
      </w:r>
      <w:r w:rsidRPr="008A7AF8">
        <w:t>/</w:t>
      </w:r>
      <w:r w:rsidRPr="008A7AF8">
        <w:rPr>
          <w:lang w:val="en-US"/>
        </w:rPr>
        <w:t>C</w:t>
      </w:r>
      <w:r w:rsidRPr="008A7AF8">
        <w:t>/</w:t>
      </w:r>
      <w:r w:rsidRPr="008A7AF8">
        <w:rPr>
          <w:lang w:val="en-US"/>
        </w:rPr>
        <w:t>MDA</w:t>
      </w:r>
      <w:r w:rsidRPr="008A7AF8">
        <w:t>/</w:t>
      </w:r>
      <w:r w:rsidRPr="008A7AF8">
        <w:rPr>
          <w:lang w:val="en-US"/>
        </w:rPr>
        <w:t>CO</w:t>
      </w:r>
      <w:r w:rsidRPr="008A7AF8">
        <w:t>/10-11</w:t>
      </w:r>
    </w:p>
    <w:p w14:paraId="7FCF8A02" w14:textId="77777777" w:rsidR="00936DFE" w:rsidRDefault="00936DFE" w:rsidP="00936DFE">
      <w:pPr>
        <w:pStyle w:val="H23G"/>
      </w:pPr>
      <w:r>
        <w:tab/>
      </w:r>
      <w:r>
        <w:tab/>
      </w:r>
      <w:r w:rsidRPr="00CB26B4">
        <w:t>Положение в области прав человека в Приднестровском регионе</w:t>
      </w:r>
    </w:p>
    <w:p w14:paraId="57EE7539" w14:textId="77777777" w:rsidR="00936DFE" w:rsidRDefault="00936DFE" w:rsidP="00936DFE">
      <w:pPr>
        <w:pStyle w:val="SingleTxtG"/>
      </w:pPr>
      <w:r>
        <w:t>25.</w:t>
      </w:r>
      <w:r>
        <w:tab/>
      </w:r>
      <w:r w:rsidRPr="00CB26B4">
        <w:t>Несмотря на невозможность эффективного контроля над ситуацией в приднестровском регионе, факт, неоднократно подтвержденный Европейским судом по правам человека, молдавские власти предпринимают многосторонние действия для обеспечения соблюдения прав человека в этом регионе. В частности, Бюро политик по реинтеграции, действующее в структуре</w:t>
      </w:r>
      <w:r>
        <w:t xml:space="preserve"> </w:t>
      </w:r>
      <w:r w:rsidRPr="00CB26B4">
        <w:t>Государственной канцелярии Республики Молдова, оказывает необходимую помощь пострадавшим лицам и принимает все возможные меры для восстановления нарушенных прав. В течение 2019 г</w:t>
      </w:r>
      <w:r>
        <w:t>ода</w:t>
      </w:r>
      <w:r w:rsidRPr="00CB26B4">
        <w:t xml:space="preserve"> были рассмотрены и разрешены 402 жалобы о нарушении различных прав в приднестровском регионе, предоставлены консультации 475 заявителям, также были проведены 193 межведомственные встречи по различным вопросам, связанным с трудностями, возникшими в результате односторонних действий представителей структур Тирасполя или исходя из неурегулированной ситуации в приднестровском регионе.</w:t>
      </w:r>
    </w:p>
    <w:p w14:paraId="7213E757" w14:textId="77777777" w:rsidR="00936DFE" w:rsidRDefault="00936DFE" w:rsidP="00936DFE">
      <w:pPr>
        <w:pStyle w:val="SingleTxtG"/>
      </w:pPr>
      <w:r>
        <w:t>26.</w:t>
      </w:r>
      <w:r>
        <w:tab/>
      </w:r>
      <w:r w:rsidRPr="00CB26B4">
        <w:t xml:space="preserve">Действия по обеспечению соблюдения прав человека в приднестровском регионе включены в следующие программные документы: Национальный план действий по внедрению Соглашения об ассоциации Республика Молдова </w:t>
      </w:r>
      <w:r>
        <w:t>—</w:t>
      </w:r>
      <w:r w:rsidRPr="00CB26B4">
        <w:t xml:space="preserve"> Европейский союз на 2017</w:t>
      </w:r>
      <w:r>
        <w:t>–</w:t>
      </w:r>
      <w:r w:rsidRPr="00CB26B4">
        <w:t>2019 г</w:t>
      </w:r>
      <w:r>
        <w:t>оды</w:t>
      </w:r>
      <w:r w:rsidRPr="00CB26B4">
        <w:t xml:space="preserve">, Индивидуальный план действий по партнерству Республика Молдова </w:t>
      </w:r>
      <w:r>
        <w:t>—</w:t>
      </w:r>
      <w:r w:rsidRPr="00CB26B4">
        <w:t xml:space="preserve"> НАТО на 2017</w:t>
      </w:r>
      <w:r>
        <w:t>–</w:t>
      </w:r>
      <w:r w:rsidRPr="00CB26B4">
        <w:t>2019 г</w:t>
      </w:r>
      <w:r>
        <w:t>оды</w:t>
      </w:r>
      <w:r w:rsidRPr="00CB26B4">
        <w:t>, План действий Правительства на 2020</w:t>
      </w:r>
      <w:r>
        <w:t>–</w:t>
      </w:r>
      <w:r w:rsidRPr="00CB26B4">
        <w:t>2023 г</w:t>
      </w:r>
      <w:r>
        <w:t>оды</w:t>
      </w:r>
      <w:r w:rsidRPr="00CB26B4">
        <w:t>, Национальный план действий в области прав человека на 2018–2022 г</w:t>
      </w:r>
      <w:r>
        <w:t>оды</w:t>
      </w:r>
      <w:r w:rsidRPr="00CB26B4">
        <w:t xml:space="preserve"> (НПДПЧ-3), в которых определен ряд ключевых действий для обеспечения гарантий различных категорий прав в приднестровском регионе и </w:t>
      </w:r>
      <w:r w:rsidRPr="00CB26B4">
        <w:lastRenderedPageBreak/>
        <w:t>изъятии любых оговорок о территориальной применимости международных договоров по правам человека.</w:t>
      </w:r>
    </w:p>
    <w:p w14:paraId="009EFA6E" w14:textId="77777777" w:rsidR="00936DFE" w:rsidRDefault="00936DFE" w:rsidP="00936DFE">
      <w:pPr>
        <w:pStyle w:val="SingleTxtG"/>
      </w:pPr>
      <w:r>
        <w:t>27.</w:t>
      </w:r>
      <w:r>
        <w:tab/>
      </w:r>
      <w:r w:rsidRPr="00CB26B4">
        <w:t>Вопросы, связанные с защитой прав человека и основных свобод в приднестровском регионе, остаются в повестке дня диалога</w:t>
      </w:r>
      <w:r>
        <w:t xml:space="preserve"> </w:t>
      </w:r>
      <w:r w:rsidRPr="00CB26B4">
        <w:t>в формате «Кишинев</w:t>
      </w:r>
      <w:r>
        <w:t> — </w:t>
      </w:r>
      <w:r w:rsidRPr="00CB26B4">
        <w:t>Тирасполь», включая рабочие группы по правам человека с привлечением экспертов с обоих берегов Днестра, в ходе которых</w:t>
      </w:r>
      <w:r>
        <w:t xml:space="preserve"> </w:t>
      </w:r>
      <w:r w:rsidRPr="00CB26B4">
        <w:t>молдавская сторона настаивает на восстановлении нарушенных прав с сопутствующим ходатайством о поддержке со стороны международных партнеров в формате переговоров «5+2». Повестка дня включает и рассматривает вопросы, связанные с защитой прав лиц с ограниченными возможностями, защитой прав детей, находящихся в ситуации риска, репатриацией детей, ставших жертвами торговли людьми, предотвращением насилия в Интернете, предотвращением и борьбой с насилием в семье, защитой лиц, живущих с ВИЧ/СПИД, против дискриминации/сегрегации и их ресоциализация.</w:t>
      </w:r>
      <w:r>
        <w:t xml:space="preserve"> </w:t>
      </w:r>
      <w:r w:rsidRPr="00CB26B4">
        <w:t>Но,</w:t>
      </w:r>
      <w:r>
        <w:t> </w:t>
      </w:r>
      <w:r w:rsidRPr="00CB26B4">
        <w:t>к</w:t>
      </w:r>
      <w:r>
        <w:t> </w:t>
      </w:r>
      <w:r w:rsidRPr="00CB26B4">
        <w:t>сожалению, констатируется отсутствие воли со стороны Тирасполя к достижению прогресса по значимым вопросам в области соблюдения и защиты основных прав человека.</w:t>
      </w:r>
    </w:p>
    <w:p w14:paraId="6DFA1152" w14:textId="77777777" w:rsidR="00936DFE" w:rsidRDefault="00936DFE" w:rsidP="00936DFE">
      <w:pPr>
        <w:pStyle w:val="SingleTxtG"/>
      </w:pPr>
      <w:r>
        <w:t>28.</w:t>
      </w:r>
      <w:r>
        <w:tab/>
      </w:r>
      <w:r w:rsidRPr="00CB26B4">
        <w:t xml:space="preserve">Недавняя тенденция заключается в увеличении числа дел в ЕСПЧ, в которых фигурируют заявители из приднестровского региона, вынесенные Европейским судом против Республики Молдова и Российской Федерации, в которых указаны различные злоупотребления и нарушения, совершенные представителями, так называемых, приднестровских структур, констатируя одновременно факт того, что конституционные власти </w:t>
      </w:r>
      <w:proofErr w:type="spellStart"/>
      <w:r w:rsidRPr="00CB26B4">
        <w:t>Кишинэу</w:t>
      </w:r>
      <w:proofErr w:type="spellEnd"/>
      <w:r w:rsidRPr="00CB26B4">
        <w:t xml:space="preserve"> выполняют, по мере возможностей, позитивные обязательства перед своими гражданами в восточных районах страны, а Российская Федерация признана ответственной за существующую в регионе ситуацию и за оказание постоянной и многоплановой помощи самопровозглашенной администрации Тирасполя, в то же время Российская Федерация, отказываясь выполнять вынесенные против нее решения и политизируя аспект эффективного контроля,</w:t>
      </w:r>
      <w:r>
        <w:t xml:space="preserve"> </w:t>
      </w:r>
      <w:r w:rsidRPr="00CB26B4">
        <w:t xml:space="preserve">временно не осуществляемого властями </w:t>
      </w:r>
      <w:proofErr w:type="spellStart"/>
      <w:r w:rsidRPr="00CB26B4">
        <w:t>Кишинэу</w:t>
      </w:r>
      <w:proofErr w:type="spellEnd"/>
      <w:r w:rsidRPr="00CB26B4">
        <w:t xml:space="preserve"> над ситуацией в регионе, и находящейся под рычагами влияния</w:t>
      </w:r>
      <w:r>
        <w:t xml:space="preserve"> </w:t>
      </w:r>
      <w:r w:rsidRPr="00CB26B4">
        <w:t>московских властей.</w:t>
      </w:r>
    </w:p>
    <w:p w14:paraId="2D775BF2" w14:textId="77777777" w:rsidR="00936DFE" w:rsidRDefault="00936DFE" w:rsidP="00936DFE">
      <w:pPr>
        <w:pStyle w:val="SingleTxtG"/>
      </w:pPr>
      <w:r>
        <w:t>29.</w:t>
      </w:r>
      <w:r>
        <w:tab/>
      </w:r>
      <w:r w:rsidRPr="00CB26B4">
        <w:t>На сегодняшний день не решена проблема доступа в приднестровский регион представителей института омбудсмена Республики Молдова, который должен оказывать помощь и консультации лицам, чьи права были нарушены (в частности</w:t>
      </w:r>
      <w:r>
        <w:t>,</w:t>
      </w:r>
      <w:r w:rsidRPr="00CB26B4">
        <w:t xml:space="preserve"> лицам в местах лишения свободы, детям оставшихся без родительской опеки, жертвам домашнего насилия и т. д.), несмотря на то, что эта проблема постоянно поднимается в контексте диалога между </w:t>
      </w:r>
      <w:proofErr w:type="spellStart"/>
      <w:r w:rsidRPr="00CB26B4">
        <w:t>Кишинэу</w:t>
      </w:r>
      <w:proofErr w:type="spellEnd"/>
      <w:r w:rsidRPr="00CB26B4">
        <w:t xml:space="preserve"> и Тирасполем, приднестровская сторона </w:t>
      </w:r>
      <w:proofErr w:type="spellStart"/>
      <w:r w:rsidRPr="00CB26B4">
        <w:t>неаргументированно</w:t>
      </w:r>
      <w:proofErr w:type="spellEnd"/>
      <w:r w:rsidRPr="00CB26B4">
        <w:t xml:space="preserve"> уклоняется от решения этого вопроса, что приводит к широкому кругу проблем, связанных с созданием и поддержанием представителями Тираспольского режима искусственных препятствий для свободного передвижения чиновников, государственных служащих, правозащитников и граждан Республики Молдова с правого берега реки Днестр.</w:t>
      </w:r>
    </w:p>
    <w:p w14:paraId="570F1A2B" w14:textId="77777777" w:rsidR="00936DFE" w:rsidRDefault="00936DFE" w:rsidP="00936DFE">
      <w:pPr>
        <w:pStyle w:val="SingleTxtG"/>
      </w:pPr>
      <w:r>
        <w:t>30.</w:t>
      </w:r>
      <w:r>
        <w:tab/>
      </w:r>
      <w:r w:rsidRPr="00CB26B4">
        <w:t xml:space="preserve">В ходе диалога со всеми международными партнерами неоднократно повторяется, что защита прав человека в регионе является нулевым приоритетом, а также излагается призыв к активному участию в целях гарантированного соблюдения основных прав человека в отдельных случаях злоупотреблений со стороны представителей Тирасполя, в том числе в разрешении резонансных дел, таких как случаи граждан Республики Молдова Александра </w:t>
      </w:r>
      <w:proofErr w:type="spellStart"/>
      <w:r w:rsidRPr="00CB26B4">
        <w:t>Ржавитина</w:t>
      </w:r>
      <w:proofErr w:type="spellEnd"/>
      <w:r w:rsidRPr="00CB26B4">
        <w:t xml:space="preserve"> и Олега </w:t>
      </w:r>
      <w:proofErr w:type="spellStart"/>
      <w:r w:rsidRPr="00CB26B4">
        <w:t>Хоржан</w:t>
      </w:r>
      <w:proofErr w:type="spellEnd"/>
      <w:r w:rsidRPr="00CB26B4">
        <w:t>.</w:t>
      </w:r>
    </w:p>
    <w:p w14:paraId="796BD9DB" w14:textId="77777777" w:rsidR="00936DFE" w:rsidRPr="008A7AF8" w:rsidRDefault="00936DFE" w:rsidP="00936DFE">
      <w:pPr>
        <w:pStyle w:val="H1G"/>
      </w:pPr>
      <w:r w:rsidRPr="008A7AF8">
        <w:tab/>
      </w:r>
      <w:r w:rsidRPr="008A7AF8">
        <w:tab/>
        <w:t>В контексте статей 1 и 5 Конвенции</w:t>
      </w:r>
    </w:p>
    <w:p w14:paraId="39919886" w14:textId="77777777" w:rsidR="00936DFE" w:rsidRPr="00CB26B4" w:rsidRDefault="00936DFE" w:rsidP="00936DFE">
      <w:pPr>
        <w:pStyle w:val="H1G"/>
      </w:pPr>
      <w:r>
        <w:tab/>
      </w:r>
      <w:r>
        <w:tab/>
        <w:t>Информация о последующей деятельности в связи с пунктами 6 и</w:t>
      </w:r>
      <w:r>
        <w:rPr>
          <w:lang w:val="en-US"/>
        </w:rPr>
        <w:t> </w:t>
      </w:r>
      <w:r>
        <w:t>7 з</w:t>
      </w:r>
      <w:r w:rsidRPr="00CB26B4">
        <w:t>аключительны</w:t>
      </w:r>
      <w:r>
        <w:t>х</w:t>
      </w:r>
      <w:r w:rsidRPr="00CB26B4">
        <w:t xml:space="preserve"> замечани</w:t>
      </w:r>
      <w:r>
        <w:t xml:space="preserve">й </w:t>
      </w:r>
    </w:p>
    <w:p w14:paraId="21953129" w14:textId="77777777" w:rsidR="00936DFE" w:rsidRDefault="00936DFE" w:rsidP="00936DFE">
      <w:pPr>
        <w:pStyle w:val="H23G"/>
      </w:pPr>
      <w:r>
        <w:tab/>
      </w:r>
      <w:r>
        <w:tab/>
      </w:r>
      <w:r w:rsidRPr="00CB26B4">
        <w:t>Статистические данные</w:t>
      </w:r>
    </w:p>
    <w:p w14:paraId="738BBB9F" w14:textId="77777777" w:rsidR="00936DFE" w:rsidRDefault="00936DFE" w:rsidP="00936DFE">
      <w:pPr>
        <w:pStyle w:val="SingleTxtG"/>
      </w:pPr>
      <w:r>
        <w:t>31.</w:t>
      </w:r>
      <w:r>
        <w:tab/>
      </w:r>
      <w:r w:rsidRPr="00CB26B4">
        <w:t>В марте 2017 года были представлены результаты последней переписи населения и жилищ (ПНЖ</w:t>
      </w:r>
      <w:r>
        <w:t xml:space="preserve"> </w:t>
      </w:r>
      <w:r w:rsidRPr="00CB26B4">
        <w:t>2014), проведенной в 2014 г</w:t>
      </w:r>
      <w:r>
        <w:t>оду.</w:t>
      </w:r>
      <w:r w:rsidRPr="00CB26B4">
        <w:t xml:space="preserve"> Национальное бюро </w:t>
      </w:r>
      <w:r w:rsidRPr="00CB26B4">
        <w:lastRenderedPageBreak/>
        <w:t>статистики (НБС) для облегчения доступа к результатам переписи разработало приложение для визуализации данных ПНЖ 2014 в доступной для просмотра и понимания форме. Этот инструмент позволяет оценить огромный объем собранных данных, обеспечивая возможность их разбивки также по критерию национальности/</w:t>
      </w:r>
      <w:r>
        <w:br/>
      </w:r>
      <w:r w:rsidRPr="00CB26B4">
        <w:t xml:space="preserve">этнической принадлежности и по территориальному аспекту на уровне общин. Результаты переписи населения и жилищ представлены на </w:t>
      </w:r>
      <w:r>
        <w:t>трех</w:t>
      </w:r>
      <w:r w:rsidRPr="00CB26B4">
        <w:t xml:space="preserve"> языках: румынском, русском и английском (</w:t>
      </w:r>
      <w:hyperlink r:id="rId9" w:history="1">
        <w:r w:rsidRPr="007004C1">
          <w:rPr>
            <w:rStyle w:val="af1"/>
            <w:rFonts w:eastAsiaTheme="minorHAnsi"/>
          </w:rPr>
          <w:t>https://recensamint.statistica.md/ro</w:t>
        </w:r>
      </w:hyperlink>
      <w:r w:rsidRPr="00CB26B4">
        <w:t>).</w:t>
      </w:r>
    </w:p>
    <w:p w14:paraId="52A9B8C6" w14:textId="77777777" w:rsidR="00936DFE" w:rsidRDefault="00936DFE" w:rsidP="00936DFE">
      <w:pPr>
        <w:pStyle w:val="SingleTxtG"/>
      </w:pPr>
      <w:r>
        <w:t>32.</w:t>
      </w:r>
      <w:r>
        <w:tab/>
      </w:r>
      <w:r w:rsidRPr="00CB26B4">
        <w:t>В ПНЖ 2014 г</w:t>
      </w:r>
      <w:r>
        <w:t>ода</w:t>
      </w:r>
      <w:r w:rsidRPr="00CB26B4">
        <w:t xml:space="preserve"> сбор данных об этнокультурных характеристиках: a)</w:t>
      </w:r>
      <w:r>
        <w:t> </w:t>
      </w:r>
      <w:r w:rsidRPr="00CB26B4">
        <w:t>национальность/этническая принадлежность; b) родной язык; c) язык общения в повседневной жизни; d) религия в качестве факультативных вопросов осуществлялся по свободному заявлению лица в соответствии с рекомендациями переписи населения и жилищ 2010 г</w:t>
      </w:r>
      <w:r>
        <w:t>ода</w:t>
      </w:r>
      <w:r w:rsidRPr="00CB26B4">
        <w:t xml:space="preserve">, представленными на Конференции европейских статистиков, </w:t>
      </w:r>
      <w:r w:rsidRPr="007004C1">
        <w:rPr>
          <w:color w:val="000000" w:themeColor="text1"/>
        </w:rPr>
        <w:t xml:space="preserve">глава </w:t>
      </w:r>
      <w:r w:rsidRPr="00CB26B4">
        <w:t>IX</w:t>
      </w:r>
      <w:r w:rsidRPr="00FC2985">
        <w:rPr>
          <w:sz w:val="18"/>
          <w:szCs w:val="18"/>
          <w:vertAlign w:val="superscript"/>
        </w:rPr>
        <w:footnoteReference w:id="19"/>
      </w:r>
      <w:r w:rsidRPr="00CB26B4">
        <w:t>. В населенных пунктах, компактно населенных этническими меньшинствами, в соответствии со статьей 10 Закона № 90/2012 о переписи населения и жилищ в Республике Молдова в 2014 г</w:t>
      </w:r>
      <w:r>
        <w:t>оду</w:t>
      </w:r>
      <w:r w:rsidRPr="00CB26B4">
        <w:t xml:space="preserve"> были задействованы переписчики из числа представителей той же этнической группы. Лица, привлеченные к проведению переписи, были проинструктированы относительно записи информации в точности со слов опрашиваемых, с целью обеспечения права на свободное самоопределение.</w:t>
      </w:r>
    </w:p>
    <w:p w14:paraId="54226111" w14:textId="77777777" w:rsidR="00936DFE" w:rsidRDefault="00936DFE" w:rsidP="00936DFE">
      <w:pPr>
        <w:pStyle w:val="SingleTxtG"/>
      </w:pPr>
      <w:r>
        <w:t>33.</w:t>
      </w:r>
      <w:r>
        <w:tab/>
      </w:r>
      <w:r w:rsidRPr="00CB26B4">
        <w:t>По результатам ПНЖ 2014 г</w:t>
      </w:r>
      <w:r>
        <w:t>ода</w:t>
      </w:r>
      <w:r w:rsidRPr="00CB26B4">
        <w:t xml:space="preserve"> молдаванами себя считают 75,1</w:t>
      </w:r>
      <w:r>
        <w:t xml:space="preserve"> процента</w:t>
      </w:r>
      <w:r w:rsidRPr="00CB26B4">
        <w:t xml:space="preserve"> населения, румыны составляют 7,0</w:t>
      </w:r>
      <w:r>
        <w:t xml:space="preserve"> процентов</w:t>
      </w:r>
      <w:r w:rsidRPr="00CB26B4">
        <w:t xml:space="preserve">, украинцы </w:t>
      </w:r>
      <w:r>
        <w:t>—</w:t>
      </w:r>
      <w:r w:rsidRPr="00CB26B4">
        <w:t xml:space="preserve"> 6,6</w:t>
      </w:r>
      <w:r>
        <w:t xml:space="preserve"> процента</w:t>
      </w:r>
      <w:r w:rsidRPr="00CB26B4">
        <w:t xml:space="preserve">, гагаузы </w:t>
      </w:r>
      <w:r>
        <w:t>—</w:t>
      </w:r>
      <w:r w:rsidRPr="00CB26B4">
        <w:t xml:space="preserve"> 4,6</w:t>
      </w:r>
      <w:r>
        <w:t> процента</w:t>
      </w:r>
      <w:r w:rsidRPr="00CB26B4">
        <w:t xml:space="preserve">, русские </w:t>
      </w:r>
      <w:r>
        <w:t>—</w:t>
      </w:r>
      <w:r w:rsidRPr="00CB26B4">
        <w:t xml:space="preserve"> 4,1</w:t>
      </w:r>
      <w:r>
        <w:t xml:space="preserve"> процента</w:t>
      </w:r>
      <w:r w:rsidRPr="00CB26B4">
        <w:t xml:space="preserve">, болгары </w:t>
      </w:r>
      <w:r>
        <w:t xml:space="preserve">— </w:t>
      </w:r>
      <w:r w:rsidRPr="00CB26B4">
        <w:t>1,9</w:t>
      </w:r>
      <w:r>
        <w:t xml:space="preserve"> процента</w:t>
      </w:r>
      <w:r w:rsidRPr="00CB26B4">
        <w:t>, ром</w:t>
      </w:r>
      <w:r>
        <w:t>а</w:t>
      </w:r>
      <w:r w:rsidRPr="00CB26B4">
        <w:t xml:space="preserve"> </w:t>
      </w:r>
      <w:r>
        <w:t>—</w:t>
      </w:r>
      <w:r w:rsidRPr="00CB26B4">
        <w:t xml:space="preserve"> 0,3</w:t>
      </w:r>
      <w:r>
        <w:t xml:space="preserve"> процента</w:t>
      </w:r>
      <w:r w:rsidRPr="00CB26B4">
        <w:t>, другие этнические группы составляют 0,5</w:t>
      </w:r>
      <w:r>
        <w:t xml:space="preserve"> процента</w:t>
      </w:r>
      <w:r w:rsidRPr="00CB26B4">
        <w:t xml:space="preserve">. </w:t>
      </w:r>
    </w:p>
    <w:p w14:paraId="45F29A8C" w14:textId="77777777" w:rsidR="00936DFE" w:rsidRDefault="00936DFE" w:rsidP="00936DFE">
      <w:pPr>
        <w:pStyle w:val="SingleTxtG"/>
      </w:pPr>
      <w:r>
        <w:t>34.</w:t>
      </w:r>
      <w:r>
        <w:tab/>
      </w:r>
      <w:r w:rsidRPr="00CB26B4">
        <w:t>По данным переписи 2014 г</w:t>
      </w:r>
      <w:r>
        <w:t>ода,</w:t>
      </w:r>
      <w:r w:rsidRPr="00CB26B4">
        <w:t xml:space="preserve"> в Молдове насчитывается 36 этнических групп, численность которых превышает 50 человек. Таким образом, молдаванами себя назвали</w:t>
      </w:r>
      <w:r>
        <w:t xml:space="preserve"> </w:t>
      </w:r>
      <w:r w:rsidRPr="00CB26B4">
        <w:t>2</w:t>
      </w:r>
      <w:r>
        <w:t> </w:t>
      </w:r>
      <w:r w:rsidRPr="00CB26B4">
        <w:t>068</w:t>
      </w:r>
      <w:r>
        <w:t xml:space="preserve"> </w:t>
      </w:r>
      <w:r w:rsidRPr="00CB26B4">
        <w:t>058 чел</w:t>
      </w:r>
      <w:r>
        <w:t>овек</w:t>
      </w:r>
      <w:r w:rsidRPr="00CB26B4">
        <w:t xml:space="preserve">, румыны </w:t>
      </w:r>
      <w:r>
        <w:t>—</w:t>
      </w:r>
      <w:r w:rsidRPr="00CB26B4">
        <w:t xml:space="preserve"> 192 800, украинцы </w:t>
      </w:r>
      <w:r>
        <w:t>—</w:t>
      </w:r>
      <w:r w:rsidRPr="00CB26B4">
        <w:t xml:space="preserve"> 181</w:t>
      </w:r>
      <w:r>
        <w:t> </w:t>
      </w:r>
      <w:r w:rsidRPr="00CB26B4">
        <w:t xml:space="preserve">035, гагаузы </w:t>
      </w:r>
      <w:r>
        <w:t>—</w:t>
      </w:r>
      <w:r w:rsidRPr="00CB26B4">
        <w:t xml:space="preserve"> 126</w:t>
      </w:r>
      <w:r>
        <w:t> </w:t>
      </w:r>
      <w:r w:rsidRPr="00CB26B4">
        <w:t xml:space="preserve">010, русские </w:t>
      </w:r>
      <w:r>
        <w:t>—</w:t>
      </w:r>
      <w:r w:rsidRPr="00CB26B4">
        <w:t xml:space="preserve"> 11</w:t>
      </w:r>
      <w:r>
        <w:t> </w:t>
      </w:r>
      <w:r w:rsidRPr="00CB26B4">
        <w:t xml:space="preserve">726, болгары </w:t>
      </w:r>
      <w:r>
        <w:t>—</w:t>
      </w:r>
      <w:r w:rsidRPr="00CB26B4">
        <w:t xml:space="preserve"> 51</w:t>
      </w:r>
      <w:r>
        <w:t> </w:t>
      </w:r>
      <w:r w:rsidRPr="00CB26B4">
        <w:t>867, цыгане/ром</w:t>
      </w:r>
      <w:r>
        <w:t>а</w:t>
      </w:r>
      <w:r w:rsidRPr="00CB26B4">
        <w:t xml:space="preserve"> </w:t>
      </w:r>
      <w:r>
        <w:t>—</w:t>
      </w:r>
      <w:r w:rsidRPr="00CB26B4">
        <w:t xml:space="preserve"> 9323, белорусы </w:t>
      </w:r>
      <w:r>
        <w:t>—</w:t>
      </w:r>
      <w:r w:rsidRPr="00CB26B4">
        <w:t xml:space="preserve"> 2828, евреи </w:t>
      </w:r>
      <w:r>
        <w:t>—</w:t>
      </w:r>
      <w:r w:rsidRPr="00CB26B4">
        <w:t xml:space="preserve"> 1597, поляки </w:t>
      </w:r>
      <w:r>
        <w:t>—</w:t>
      </w:r>
      <w:r w:rsidRPr="00CB26B4">
        <w:t xml:space="preserve">1404, армяне </w:t>
      </w:r>
      <w:r>
        <w:t>—</w:t>
      </w:r>
      <w:r w:rsidRPr="00CB26B4">
        <w:t xml:space="preserve">1080, немцы </w:t>
      </w:r>
      <w:r>
        <w:t>—</w:t>
      </w:r>
      <w:r w:rsidRPr="00CB26B4">
        <w:t xml:space="preserve"> 914, азербайджанцы </w:t>
      </w:r>
      <w:r>
        <w:t>—</w:t>
      </w:r>
      <w:r w:rsidRPr="00CB26B4">
        <w:t xml:space="preserve"> 667, турки </w:t>
      </w:r>
      <w:r>
        <w:t>—</w:t>
      </w:r>
      <w:r w:rsidRPr="00CB26B4">
        <w:t xml:space="preserve"> 594, татары </w:t>
      </w:r>
      <w:r>
        <w:t>—</w:t>
      </w:r>
      <w:r w:rsidRPr="00CB26B4">
        <w:t xml:space="preserve"> 527, греки </w:t>
      </w:r>
      <w:r>
        <w:t>—</w:t>
      </w:r>
      <w:r w:rsidRPr="00CB26B4">
        <w:t xml:space="preserve"> 322, грузины </w:t>
      </w:r>
      <w:r>
        <w:t xml:space="preserve">— </w:t>
      </w:r>
      <w:r w:rsidRPr="00CB26B4">
        <w:t xml:space="preserve">313, арабы </w:t>
      </w:r>
      <w:r>
        <w:t>—</w:t>
      </w:r>
      <w:r w:rsidRPr="00CB26B4">
        <w:t xml:space="preserve"> 312, узбеки </w:t>
      </w:r>
      <w:r>
        <w:t>—</w:t>
      </w:r>
      <w:r w:rsidRPr="00CB26B4">
        <w:t xml:space="preserve"> 259, итальянцы </w:t>
      </w:r>
      <w:r>
        <w:t>—</w:t>
      </w:r>
      <w:r w:rsidRPr="00CB26B4">
        <w:t xml:space="preserve"> 251, чехи </w:t>
      </w:r>
      <w:r>
        <w:t>—</w:t>
      </w:r>
      <w:r w:rsidRPr="00CB26B4">
        <w:t xml:space="preserve"> 230, литовцы </w:t>
      </w:r>
      <w:r>
        <w:t xml:space="preserve">— </w:t>
      </w:r>
      <w:r w:rsidRPr="00CB26B4">
        <w:t xml:space="preserve">218, таджики </w:t>
      </w:r>
      <w:r>
        <w:t>—</w:t>
      </w:r>
      <w:r w:rsidRPr="00CB26B4">
        <w:t xml:space="preserve"> 155, чуваши </w:t>
      </w:r>
      <w:r>
        <w:t>—</w:t>
      </w:r>
      <w:r w:rsidRPr="00CB26B4">
        <w:t xml:space="preserve"> 152, казахи</w:t>
      </w:r>
      <w:r>
        <w:t> —</w:t>
      </w:r>
      <w:r w:rsidRPr="00CB26B4">
        <w:t xml:space="preserve"> 150, марийцы </w:t>
      </w:r>
      <w:r>
        <w:t>—</w:t>
      </w:r>
      <w:r w:rsidRPr="00CB26B4">
        <w:t xml:space="preserve"> 110, туркмены </w:t>
      </w:r>
      <w:r>
        <w:t xml:space="preserve">— </w:t>
      </w:r>
      <w:r w:rsidRPr="00CB26B4">
        <w:t xml:space="preserve">107, башкиры </w:t>
      </w:r>
      <w:r>
        <w:t>—</w:t>
      </w:r>
      <w:r w:rsidRPr="00CB26B4">
        <w:t xml:space="preserve"> 103, удмурты </w:t>
      </w:r>
      <w:r>
        <w:t>—</w:t>
      </w:r>
      <w:r w:rsidRPr="00CB26B4">
        <w:t xml:space="preserve"> 91, албанцы </w:t>
      </w:r>
      <w:r>
        <w:t>—</w:t>
      </w:r>
      <w:r w:rsidRPr="00CB26B4">
        <w:t xml:space="preserve"> 87, американцы </w:t>
      </w:r>
      <w:r>
        <w:t xml:space="preserve">— </w:t>
      </w:r>
      <w:r w:rsidRPr="00CB26B4">
        <w:t xml:space="preserve">77, латыши </w:t>
      </w:r>
      <w:r>
        <w:t>—</w:t>
      </w:r>
      <w:r w:rsidRPr="00CB26B4">
        <w:t xml:space="preserve"> 77, португальцы </w:t>
      </w:r>
      <w:r>
        <w:t>—</w:t>
      </w:r>
      <w:r w:rsidRPr="00CB26B4">
        <w:t xml:space="preserve"> 76, корейцы </w:t>
      </w:r>
      <w:r>
        <w:t>—</w:t>
      </w:r>
      <w:r w:rsidRPr="00CB26B4">
        <w:t xml:space="preserve"> 75, сербы/косовары </w:t>
      </w:r>
      <w:r>
        <w:t>—</w:t>
      </w:r>
      <w:r w:rsidRPr="00CB26B4">
        <w:t xml:space="preserve"> 67, сирийцы </w:t>
      </w:r>
      <w:r>
        <w:t>—</w:t>
      </w:r>
      <w:r w:rsidRPr="00CB26B4">
        <w:t xml:space="preserve"> 51</w:t>
      </w:r>
      <w:r w:rsidRPr="00FC2985">
        <w:rPr>
          <w:sz w:val="18"/>
          <w:szCs w:val="18"/>
          <w:vertAlign w:val="superscript"/>
        </w:rPr>
        <w:footnoteReference w:id="20"/>
      </w:r>
      <w:r w:rsidRPr="00CB26B4">
        <w:t>.</w:t>
      </w:r>
      <w:r>
        <w:t xml:space="preserve"> </w:t>
      </w:r>
    </w:p>
    <w:p w14:paraId="071FD0BE" w14:textId="77777777" w:rsidR="00936DFE" w:rsidRPr="0003144D" w:rsidRDefault="00936DFE" w:rsidP="00936DFE">
      <w:pPr>
        <w:pStyle w:val="SingleTxtG"/>
        <w:rPr>
          <w:color w:val="000000" w:themeColor="text1"/>
        </w:rPr>
      </w:pPr>
      <w:r w:rsidRPr="0003144D">
        <w:rPr>
          <w:color w:val="000000" w:themeColor="text1"/>
        </w:rPr>
        <w:t>3</w:t>
      </w:r>
      <w:r>
        <w:rPr>
          <w:color w:val="000000" w:themeColor="text1"/>
        </w:rPr>
        <w:t>5</w:t>
      </w:r>
      <w:r w:rsidRPr="0003144D">
        <w:rPr>
          <w:color w:val="000000" w:themeColor="text1"/>
        </w:rPr>
        <w:t>.</w:t>
      </w:r>
      <w:r w:rsidRPr="0003144D">
        <w:rPr>
          <w:color w:val="000000" w:themeColor="text1"/>
        </w:rPr>
        <w:tab/>
        <w:t>По результатам переписи населения и жилищ 2014 года представлены данные об участии национальных меньшинств на рынке труда, в государственном управлении и т. д.</w:t>
      </w:r>
    </w:p>
    <w:p w14:paraId="6A97C15E" w14:textId="77777777" w:rsidR="00936DFE" w:rsidRDefault="00936DFE" w:rsidP="00936DFE">
      <w:pPr>
        <w:pStyle w:val="H23G"/>
      </w:pPr>
      <w:r>
        <w:tab/>
      </w:r>
      <w:r>
        <w:tab/>
      </w:r>
      <w:r w:rsidRPr="00CB26B4">
        <w:rPr>
          <w:b w:val="0"/>
          <w:bCs/>
        </w:rPr>
        <w:t>Таблица 1</w:t>
      </w:r>
      <w:r w:rsidRPr="00CB26B4">
        <w:t xml:space="preserve"> </w:t>
      </w:r>
      <w:r>
        <w:br/>
      </w:r>
      <w:r w:rsidRPr="00CB26B4">
        <w:t>Статистические данные ПНЖ 2014 по основным профессиональным группам, с</w:t>
      </w:r>
      <w:r>
        <w:t> </w:t>
      </w:r>
      <w:r w:rsidRPr="00CB26B4">
        <w:t>разбивкой по этническому признаку (%)</w:t>
      </w:r>
    </w:p>
    <w:tbl>
      <w:tblPr>
        <w:tblW w:w="8504" w:type="dxa"/>
        <w:tblInd w:w="1134" w:type="dxa"/>
        <w:tblLayout w:type="fixed"/>
        <w:tblCellMar>
          <w:left w:w="0" w:type="dxa"/>
          <w:right w:w="0" w:type="dxa"/>
        </w:tblCellMar>
        <w:tblLook w:val="00A0" w:firstRow="1" w:lastRow="0" w:firstColumn="1" w:lastColumn="0" w:noHBand="0" w:noVBand="0"/>
      </w:tblPr>
      <w:tblGrid>
        <w:gridCol w:w="2127"/>
        <w:gridCol w:w="1134"/>
        <w:gridCol w:w="850"/>
        <w:gridCol w:w="851"/>
        <w:gridCol w:w="708"/>
        <w:gridCol w:w="851"/>
        <w:gridCol w:w="992"/>
        <w:gridCol w:w="991"/>
      </w:tblGrid>
      <w:tr w:rsidR="00936DFE" w:rsidRPr="00CB26B4" w14:paraId="42FD1DDC" w14:textId="77777777" w:rsidTr="00044DA6">
        <w:trPr>
          <w:tblHeader/>
        </w:trPr>
        <w:tc>
          <w:tcPr>
            <w:tcW w:w="2127" w:type="dxa"/>
            <w:tcBorders>
              <w:top w:val="single" w:sz="4" w:space="0" w:color="auto"/>
              <w:bottom w:val="single" w:sz="12" w:space="0" w:color="auto"/>
            </w:tcBorders>
            <w:shd w:val="clear" w:color="auto" w:fill="auto"/>
            <w:vAlign w:val="bottom"/>
            <w:hideMark/>
          </w:tcPr>
          <w:p w14:paraId="5AE223C4" w14:textId="77777777" w:rsidR="00936DFE" w:rsidRPr="00CB26B4" w:rsidRDefault="00936DFE" w:rsidP="00044DA6">
            <w:pPr>
              <w:spacing w:before="80" w:after="80" w:line="200" w:lineRule="exact"/>
              <w:rPr>
                <w:rFonts w:cs="Times New Roman"/>
                <w:i/>
                <w:sz w:val="16"/>
              </w:rPr>
            </w:pPr>
            <w:r w:rsidRPr="00CB26B4">
              <w:rPr>
                <w:rFonts w:cs="Times New Roman"/>
                <w:i/>
                <w:sz w:val="16"/>
              </w:rPr>
              <w:t>Этническая принадлежность</w:t>
            </w:r>
          </w:p>
        </w:tc>
        <w:tc>
          <w:tcPr>
            <w:tcW w:w="1134" w:type="dxa"/>
            <w:tcBorders>
              <w:top w:val="single" w:sz="4" w:space="0" w:color="auto"/>
              <w:bottom w:val="single" w:sz="12" w:space="0" w:color="auto"/>
            </w:tcBorders>
            <w:shd w:val="clear" w:color="auto" w:fill="auto"/>
            <w:vAlign w:val="bottom"/>
            <w:hideMark/>
          </w:tcPr>
          <w:p w14:paraId="3082F045" w14:textId="77777777" w:rsidR="00936DFE" w:rsidRPr="00CB26B4" w:rsidRDefault="00936DFE" w:rsidP="00044DA6">
            <w:pPr>
              <w:spacing w:before="80" w:after="80" w:line="200" w:lineRule="exact"/>
              <w:jc w:val="right"/>
              <w:rPr>
                <w:rFonts w:cs="Times New Roman"/>
                <w:i/>
                <w:sz w:val="16"/>
              </w:rPr>
            </w:pPr>
            <w:proofErr w:type="spellStart"/>
            <w:r w:rsidRPr="007004C1">
              <w:rPr>
                <w:rFonts w:cs="Times New Roman"/>
                <w:i/>
                <w:sz w:val="16"/>
              </w:rPr>
              <w:t>Молд</w:t>
            </w:r>
            <w:proofErr w:type="spellEnd"/>
            <w:r w:rsidRPr="007004C1">
              <w:rPr>
                <w:rFonts w:cs="Times New Roman"/>
                <w:i/>
                <w:sz w:val="16"/>
              </w:rPr>
              <w:t>./</w:t>
            </w:r>
            <w:r w:rsidRPr="00CB26B4">
              <w:rPr>
                <w:rFonts w:cs="Times New Roman"/>
                <w:i/>
                <w:sz w:val="16"/>
              </w:rPr>
              <w:t>румыны</w:t>
            </w:r>
          </w:p>
        </w:tc>
        <w:tc>
          <w:tcPr>
            <w:tcW w:w="850" w:type="dxa"/>
            <w:tcBorders>
              <w:top w:val="single" w:sz="4" w:space="0" w:color="auto"/>
              <w:bottom w:val="single" w:sz="12" w:space="0" w:color="auto"/>
            </w:tcBorders>
            <w:shd w:val="clear" w:color="auto" w:fill="auto"/>
            <w:vAlign w:val="bottom"/>
            <w:hideMark/>
          </w:tcPr>
          <w:p w14:paraId="2A484748" w14:textId="77777777" w:rsidR="00936DFE" w:rsidRPr="00CB26B4" w:rsidRDefault="00936DFE" w:rsidP="00044DA6">
            <w:pPr>
              <w:spacing w:before="80" w:after="80" w:line="200" w:lineRule="exact"/>
              <w:jc w:val="right"/>
              <w:rPr>
                <w:rFonts w:cs="Times New Roman"/>
                <w:i/>
                <w:sz w:val="16"/>
              </w:rPr>
            </w:pPr>
            <w:r w:rsidRPr="00CB26B4">
              <w:rPr>
                <w:rFonts w:cs="Times New Roman"/>
                <w:i/>
                <w:sz w:val="16"/>
              </w:rPr>
              <w:t>Украинцы</w:t>
            </w:r>
          </w:p>
        </w:tc>
        <w:tc>
          <w:tcPr>
            <w:tcW w:w="851" w:type="dxa"/>
            <w:tcBorders>
              <w:top w:val="single" w:sz="4" w:space="0" w:color="auto"/>
              <w:bottom w:val="single" w:sz="12" w:space="0" w:color="auto"/>
            </w:tcBorders>
            <w:shd w:val="clear" w:color="auto" w:fill="auto"/>
            <w:vAlign w:val="bottom"/>
            <w:hideMark/>
          </w:tcPr>
          <w:p w14:paraId="31E3622F" w14:textId="77777777" w:rsidR="00936DFE" w:rsidRPr="00CB26B4" w:rsidRDefault="00936DFE" w:rsidP="00044DA6">
            <w:pPr>
              <w:spacing w:before="80" w:after="80" w:line="200" w:lineRule="exact"/>
              <w:jc w:val="right"/>
              <w:rPr>
                <w:rFonts w:cs="Times New Roman"/>
                <w:i/>
                <w:sz w:val="16"/>
              </w:rPr>
            </w:pPr>
            <w:r w:rsidRPr="00CB26B4">
              <w:rPr>
                <w:rFonts w:cs="Times New Roman"/>
                <w:i/>
                <w:sz w:val="16"/>
              </w:rPr>
              <w:t>Русские</w:t>
            </w:r>
          </w:p>
        </w:tc>
        <w:tc>
          <w:tcPr>
            <w:tcW w:w="708" w:type="dxa"/>
            <w:tcBorders>
              <w:top w:val="single" w:sz="4" w:space="0" w:color="auto"/>
              <w:bottom w:val="single" w:sz="12" w:space="0" w:color="auto"/>
            </w:tcBorders>
            <w:shd w:val="clear" w:color="auto" w:fill="auto"/>
            <w:vAlign w:val="bottom"/>
            <w:hideMark/>
          </w:tcPr>
          <w:p w14:paraId="7B3A746C" w14:textId="77777777" w:rsidR="00936DFE" w:rsidRPr="00CB26B4" w:rsidRDefault="00936DFE" w:rsidP="00044DA6">
            <w:pPr>
              <w:spacing w:before="80" w:after="80" w:line="200" w:lineRule="exact"/>
              <w:jc w:val="right"/>
              <w:rPr>
                <w:rFonts w:cs="Times New Roman"/>
                <w:i/>
                <w:sz w:val="16"/>
              </w:rPr>
            </w:pPr>
            <w:r w:rsidRPr="00CB26B4">
              <w:rPr>
                <w:rFonts w:cs="Times New Roman"/>
                <w:i/>
                <w:sz w:val="16"/>
              </w:rPr>
              <w:t>Гагаузы</w:t>
            </w:r>
          </w:p>
        </w:tc>
        <w:tc>
          <w:tcPr>
            <w:tcW w:w="851" w:type="dxa"/>
            <w:tcBorders>
              <w:top w:val="single" w:sz="4" w:space="0" w:color="auto"/>
              <w:bottom w:val="single" w:sz="12" w:space="0" w:color="auto"/>
            </w:tcBorders>
            <w:shd w:val="clear" w:color="auto" w:fill="auto"/>
            <w:vAlign w:val="bottom"/>
            <w:hideMark/>
          </w:tcPr>
          <w:p w14:paraId="0C913ACA" w14:textId="77777777" w:rsidR="00936DFE" w:rsidRPr="00CB26B4" w:rsidRDefault="00936DFE" w:rsidP="00044DA6">
            <w:pPr>
              <w:spacing w:before="80" w:after="80" w:line="200" w:lineRule="exact"/>
              <w:jc w:val="right"/>
              <w:rPr>
                <w:rFonts w:cs="Times New Roman"/>
                <w:i/>
                <w:sz w:val="16"/>
              </w:rPr>
            </w:pPr>
            <w:r w:rsidRPr="00CB26B4">
              <w:rPr>
                <w:rFonts w:cs="Times New Roman"/>
                <w:i/>
                <w:sz w:val="16"/>
              </w:rPr>
              <w:t>Болгары</w:t>
            </w:r>
          </w:p>
        </w:tc>
        <w:tc>
          <w:tcPr>
            <w:tcW w:w="992" w:type="dxa"/>
            <w:tcBorders>
              <w:top w:val="single" w:sz="4" w:space="0" w:color="auto"/>
              <w:bottom w:val="single" w:sz="12" w:space="0" w:color="auto"/>
            </w:tcBorders>
            <w:shd w:val="clear" w:color="auto" w:fill="auto"/>
            <w:vAlign w:val="bottom"/>
            <w:hideMark/>
          </w:tcPr>
          <w:p w14:paraId="3A890C0F" w14:textId="77777777" w:rsidR="00936DFE" w:rsidRPr="00CB26B4" w:rsidRDefault="00936DFE" w:rsidP="00044DA6">
            <w:pPr>
              <w:spacing w:before="80" w:after="80" w:line="200" w:lineRule="exact"/>
              <w:jc w:val="right"/>
              <w:rPr>
                <w:rFonts w:cs="Times New Roman"/>
                <w:i/>
                <w:sz w:val="16"/>
              </w:rPr>
            </w:pPr>
            <w:r w:rsidRPr="00CB26B4">
              <w:rPr>
                <w:rFonts w:cs="Times New Roman"/>
                <w:i/>
                <w:sz w:val="16"/>
              </w:rPr>
              <w:t xml:space="preserve">Другие </w:t>
            </w:r>
            <w:r>
              <w:rPr>
                <w:rFonts w:cs="Times New Roman"/>
                <w:i/>
                <w:sz w:val="16"/>
              </w:rPr>
              <w:br/>
            </w:r>
            <w:r w:rsidRPr="007004C1">
              <w:rPr>
                <w:rFonts w:cs="Times New Roman"/>
                <w:i/>
                <w:color w:val="000000" w:themeColor="text1"/>
                <w:sz w:val="16"/>
              </w:rPr>
              <w:t>этн. группы</w:t>
            </w:r>
          </w:p>
        </w:tc>
        <w:tc>
          <w:tcPr>
            <w:tcW w:w="991" w:type="dxa"/>
            <w:tcBorders>
              <w:top w:val="single" w:sz="4" w:space="0" w:color="auto"/>
              <w:bottom w:val="single" w:sz="12" w:space="0" w:color="auto"/>
            </w:tcBorders>
            <w:shd w:val="clear" w:color="auto" w:fill="auto"/>
            <w:vAlign w:val="bottom"/>
            <w:hideMark/>
          </w:tcPr>
          <w:p w14:paraId="36A06987" w14:textId="77777777" w:rsidR="00936DFE" w:rsidRPr="00CB26B4" w:rsidRDefault="00936DFE" w:rsidP="00044DA6">
            <w:pPr>
              <w:spacing w:before="80" w:after="80" w:line="200" w:lineRule="exact"/>
              <w:jc w:val="right"/>
              <w:rPr>
                <w:rFonts w:cs="Times New Roman"/>
                <w:i/>
                <w:sz w:val="16"/>
              </w:rPr>
            </w:pPr>
            <w:r w:rsidRPr="00CB26B4">
              <w:rPr>
                <w:rFonts w:cs="Times New Roman"/>
                <w:i/>
                <w:sz w:val="16"/>
              </w:rPr>
              <w:t>Незаявленные</w:t>
            </w:r>
          </w:p>
        </w:tc>
      </w:tr>
      <w:tr w:rsidR="00936DFE" w:rsidRPr="00CB26B4" w14:paraId="19DBE598" w14:textId="77777777" w:rsidTr="0092680A">
        <w:tc>
          <w:tcPr>
            <w:tcW w:w="2127" w:type="dxa"/>
            <w:tcBorders>
              <w:top w:val="single" w:sz="12" w:space="0" w:color="auto"/>
            </w:tcBorders>
            <w:shd w:val="clear" w:color="auto" w:fill="auto"/>
            <w:hideMark/>
          </w:tcPr>
          <w:p w14:paraId="036F5525" w14:textId="77777777" w:rsidR="00936DFE" w:rsidRPr="00CB26B4" w:rsidRDefault="00936DFE" w:rsidP="00044DA6">
            <w:pPr>
              <w:spacing w:before="40" w:after="40" w:line="220" w:lineRule="exact"/>
              <w:rPr>
                <w:rFonts w:cs="Times New Roman"/>
                <w:sz w:val="18"/>
              </w:rPr>
            </w:pPr>
            <w:r w:rsidRPr="00CB26B4">
              <w:rPr>
                <w:rFonts w:cs="Times New Roman"/>
                <w:sz w:val="18"/>
              </w:rPr>
              <w:t>Законодатели, члены исполнительной власти, другие высокие должностные лица и руководители государственной администрации, руководители и старшие должностные лица подразделений</w:t>
            </w:r>
          </w:p>
        </w:tc>
        <w:tc>
          <w:tcPr>
            <w:tcW w:w="1134" w:type="dxa"/>
            <w:tcBorders>
              <w:top w:val="single" w:sz="12" w:space="0" w:color="auto"/>
            </w:tcBorders>
            <w:shd w:val="clear" w:color="auto" w:fill="auto"/>
            <w:vAlign w:val="bottom"/>
            <w:hideMark/>
          </w:tcPr>
          <w:p w14:paraId="61222636"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5</w:t>
            </w:r>
            <w:r>
              <w:rPr>
                <w:rFonts w:cs="Times New Roman"/>
                <w:sz w:val="18"/>
              </w:rPr>
              <w:t>,</w:t>
            </w:r>
            <w:r w:rsidRPr="00CB26B4">
              <w:rPr>
                <w:rFonts w:cs="Times New Roman"/>
                <w:sz w:val="18"/>
              </w:rPr>
              <w:t>7</w:t>
            </w:r>
          </w:p>
        </w:tc>
        <w:tc>
          <w:tcPr>
            <w:tcW w:w="850" w:type="dxa"/>
            <w:tcBorders>
              <w:top w:val="single" w:sz="12" w:space="0" w:color="auto"/>
            </w:tcBorders>
            <w:shd w:val="clear" w:color="auto" w:fill="auto"/>
            <w:vAlign w:val="bottom"/>
            <w:hideMark/>
          </w:tcPr>
          <w:p w14:paraId="7620C12D"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7</w:t>
            </w:r>
            <w:r>
              <w:rPr>
                <w:rFonts w:cs="Times New Roman"/>
                <w:sz w:val="18"/>
              </w:rPr>
              <w:t>,</w:t>
            </w:r>
            <w:r w:rsidRPr="00CB26B4">
              <w:rPr>
                <w:rFonts w:cs="Times New Roman"/>
                <w:sz w:val="18"/>
              </w:rPr>
              <w:t>0</w:t>
            </w:r>
          </w:p>
        </w:tc>
        <w:tc>
          <w:tcPr>
            <w:tcW w:w="851" w:type="dxa"/>
            <w:tcBorders>
              <w:top w:val="single" w:sz="12" w:space="0" w:color="auto"/>
            </w:tcBorders>
            <w:shd w:val="clear" w:color="auto" w:fill="auto"/>
            <w:vAlign w:val="bottom"/>
            <w:hideMark/>
          </w:tcPr>
          <w:p w14:paraId="619FDA33"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9</w:t>
            </w:r>
            <w:r>
              <w:rPr>
                <w:rFonts w:cs="Times New Roman"/>
                <w:sz w:val="18"/>
              </w:rPr>
              <w:t>,</w:t>
            </w:r>
            <w:r w:rsidRPr="00CB26B4">
              <w:rPr>
                <w:rFonts w:cs="Times New Roman"/>
                <w:sz w:val="18"/>
              </w:rPr>
              <w:t>1</w:t>
            </w:r>
          </w:p>
        </w:tc>
        <w:tc>
          <w:tcPr>
            <w:tcW w:w="708" w:type="dxa"/>
            <w:tcBorders>
              <w:top w:val="single" w:sz="12" w:space="0" w:color="auto"/>
            </w:tcBorders>
            <w:shd w:val="clear" w:color="auto" w:fill="auto"/>
            <w:vAlign w:val="bottom"/>
            <w:hideMark/>
          </w:tcPr>
          <w:p w14:paraId="4C82C44C"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5</w:t>
            </w:r>
            <w:r>
              <w:rPr>
                <w:rFonts w:cs="Times New Roman"/>
                <w:sz w:val="18"/>
              </w:rPr>
              <w:t>,</w:t>
            </w:r>
            <w:r w:rsidRPr="00CB26B4">
              <w:rPr>
                <w:rFonts w:cs="Times New Roman"/>
                <w:sz w:val="18"/>
              </w:rPr>
              <w:t>8</w:t>
            </w:r>
          </w:p>
        </w:tc>
        <w:tc>
          <w:tcPr>
            <w:tcW w:w="851" w:type="dxa"/>
            <w:tcBorders>
              <w:top w:val="single" w:sz="12" w:space="0" w:color="auto"/>
            </w:tcBorders>
            <w:shd w:val="clear" w:color="auto" w:fill="auto"/>
            <w:vAlign w:val="bottom"/>
            <w:hideMark/>
          </w:tcPr>
          <w:p w14:paraId="4FB1756B"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7</w:t>
            </w:r>
            <w:r>
              <w:rPr>
                <w:rFonts w:cs="Times New Roman"/>
                <w:sz w:val="18"/>
              </w:rPr>
              <w:t>,</w:t>
            </w:r>
            <w:r w:rsidRPr="00CB26B4">
              <w:rPr>
                <w:rFonts w:cs="Times New Roman"/>
                <w:sz w:val="18"/>
              </w:rPr>
              <w:t>9</w:t>
            </w:r>
          </w:p>
        </w:tc>
        <w:tc>
          <w:tcPr>
            <w:tcW w:w="992" w:type="dxa"/>
            <w:tcBorders>
              <w:top w:val="single" w:sz="12" w:space="0" w:color="auto"/>
            </w:tcBorders>
            <w:shd w:val="clear" w:color="auto" w:fill="auto"/>
            <w:vAlign w:val="bottom"/>
            <w:hideMark/>
          </w:tcPr>
          <w:p w14:paraId="65F27398"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12</w:t>
            </w:r>
            <w:r>
              <w:rPr>
                <w:rFonts w:cs="Times New Roman"/>
                <w:sz w:val="18"/>
              </w:rPr>
              <w:t>,</w:t>
            </w:r>
            <w:r w:rsidRPr="00CB26B4">
              <w:rPr>
                <w:rFonts w:cs="Times New Roman"/>
                <w:sz w:val="18"/>
              </w:rPr>
              <w:t>1</w:t>
            </w:r>
          </w:p>
        </w:tc>
        <w:tc>
          <w:tcPr>
            <w:tcW w:w="991" w:type="dxa"/>
            <w:tcBorders>
              <w:top w:val="single" w:sz="12" w:space="0" w:color="auto"/>
            </w:tcBorders>
            <w:shd w:val="clear" w:color="auto" w:fill="auto"/>
            <w:vAlign w:val="bottom"/>
            <w:hideMark/>
          </w:tcPr>
          <w:p w14:paraId="21497360"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4</w:t>
            </w:r>
            <w:r>
              <w:rPr>
                <w:rFonts w:cs="Times New Roman"/>
                <w:sz w:val="18"/>
              </w:rPr>
              <w:t>,</w:t>
            </w:r>
            <w:r w:rsidRPr="00CB26B4">
              <w:rPr>
                <w:rFonts w:cs="Times New Roman"/>
                <w:sz w:val="18"/>
              </w:rPr>
              <w:t>4</w:t>
            </w:r>
          </w:p>
        </w:tc>
      </w:tr>
      <w:tr w:rsidR="00936DFE" w:rsidRPr="00CB26B4" w14:paraId="52BC75A8" w14:textId="77777777" w:rsidTr="0092680A">
        <w:tc>
          <w:tcPr>
            <w:tcW w:w="2127" w:type="dxa"/>
            <w:shd w:val="clear" w:color="auto" w:fill="auto"/>
            <w:hideMark/>
          </w:tcPr>
          <w:p w14:paraId="2403C925" w14:textId="77777777" w:rsidR="00936DFE" w:rsidRPr="00CB26B4" w:rsidRDefault="00936DFE" w:rsidP="00044DA6">
            <w:pPr>
              <w:spacing w:before="40" w:after="40" w:line="220" w:lineRule="exact"/>
              <w:rPr>
                <w:rFonts w:cs="Times New Roman"/>
                <w:sz w:val="18"/>
              </w:rPr>
            </w:pPr>
            <w:r w:rsidRPr="00CB26B4">
              <w:rPr>
                <w:rFonts w:cs="Times New Roman"/>
                <w:sz w:val="18"/>
              </w:rPr>
              <w:lastRenderedPageBreak/>
              <w:t>Специалисты в различных сферах деятельности</w:t>
            </w:r>
          </w:p>
        </w:tc>
        <w:tc>
          <w:tcPr>
            <w:tcW w:w="1134" w:type="dxa"/>
            <w:shd w:val="clear" w:color="auto" w:fill="auto"/>
            <w:vAlign w:val="bottom"/>
            <w:hideMark/>
          </w:tcPr>
          <w:p w14:paraId="40484A83"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14</w:t>
            </w:r>
            <w:r>
              <w:rPr>
                <w:rFonts w:cs="Times New Roman"/>
                <w:sz w:val="18"/>
              </w:rPr>
              <w:t>,</w:t>
            </w:r>
            <w:r w:rsidRPr="00CB26B4">
              <w:rPr>
                <w:rFonts w:cs="Times New Roman"/>
                <w:sz w:val="18"/>
              </w:rPr>
              <w:t>3</w:t>
            </w:r>
          </w:p>
        </w:tc>
        <w:tc>
          <w:tcPr>
            <w:tcW w:w="850" w:type="dxa"/>
            <w:shd w:val="clear" w:color="auto" w:fill="auto"/>
            <w:vAlign w:val="bottom"/>
            <w:hideMark/>
          </w:tcPr>
          <w:p w14:paraId="305F54AA"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14</w:t>
            </w:r>
            <w:r>
              <w:rPr>
                <w:rFonts w:cs="Times New Roman"/>
                <w:sz w:val="18"/>
              </w:rPr>
              <w:t>,</w:t>
            </w:r>
            <w:r w:rsidRPr="00CB26B4">
              <w:rPr>
                <w:rFonts w:cs="Times New Roman"/>
                <w:sz w:val="18"/>
              </w:rPr>
              <w:t>1</w:t>
            </w:r>
          </w:p>
        </w:tc>
        <w:tc>
          <w:tcPr>
            <w:tcW w:w="851" w:type="dxa"/>
            <w:shd w:val="clear" w:color="auto" w:fill="auto"/>
            <w:vAlign w:val="bottom"/>
            <w:hideMark/>
          </w:tcPr>
          <w:p w14:paraId="543FC5C3"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19</w:t>
            </w:r>
            <w:r>
              <w:rPr>
                <w:rFonts w:cs="Times New Roman"/>
                <w:sz w:val="18"/>
              </w:rPr>
              <w:t>,</w:t>
            </w:r>
            <w:r w:rsidRPr="00CB26B4">
              <w:rPr>
                <w:rFonts w:cs="Times New Roman"/>
                <w:sz w:val="18"/>
              </w:rPr>
              <w:t>1</w:t>
            </w:r>
          </w:p>
        </w:tc>
        <w:tc>
          <w:tcPr>
            <w:tcW w:w="708" w:type="dxa"/>
            <w:shd w:val="clear" w:color="auto" w:fill="auto"/>
            <w:vAlign w:val="bottom"/>
            <w:hideMark/>
          </w:tcPr>
          <w:p w14:paraId="2D92B909"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12</w:t>
            </w:r>
            <w:r>
              <w:rPr>
                <w:rFonts w:cs="Times New Roman"/>
                <w:sz w:val="18"/>
              </w:rPr>
              <w:t>,</w:t>
            </w:r>
            <w:r w:rsidRPr="00CB26B4">
              <w:rPr>
                <w:rFonts w:cs="Times New Roman"/>
                <w:sz w:val="18"/>
              </w:rPr>
              <w:t>6</w:t>
            </w:r>
          </w:p>
        </w:tc>
        <w:tc>
          <w:tcPr>
            <w:tcW w:w="851" w:type="dxa"/>
            <w:shd w:val="clear" w:color="auto" w:fill="auto"/>
            <w:vAlign w:val="bottom"/>
            <w:hideMark/>
          </w:tcPr>
          <w:p w14:paraId="70D15706"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16</w:t>
            </w:r>
            <w:r>
              <w:rPr>
                <w:rFonts w:cs="Times New Roman"/>
                <w:sz w:val="18"/>
              </w:rPr>
              <w:t>,</w:t>
            </w:r>
            <w:r w:rsidRPr="00CB26B4">
              <w:rPr>
                <w:rFonts w:cs="Times New Roman"/>
                <w:sz w:val="18"/>
              </w:rPr>
              <w:t>8</w:t>
            </w:r>
          </w:p>
        </w:tc>
        <w:tc>
          <w:tcPr>
            <w:tcW w:w="992" w:type="dxa"/>
            <w:shd w:val="clear" w:color="auto" w:fill="auto"/>
            <w:vAlign w:val="bottom"/>
            <w:hideMark/>
          </w:tcPr>
          <w:p w14:paraId="2A046955"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18</w:t>
            </w:r>
            <w:r>
              <w:rPr>
                <w:rFonts w:cs="Times New Roman"/>
                <w:sz w:val="18"/>
              </w:rPr>
              <w:t>,</w:t>
            </w:r>
            <w:r w:rsidRPr="00CB26B4">
              <w:rPr>
                <w:rFonts w:cs="Times New Roman"/>
                <w:sz w:val="18"/>
              </w:rPr>
              <w:t>5</w:t>
            </w:r>
          </w:p>
        </w:tc>
        <w:tc>
          <w:tcPr>
            <w:tcW w:w="991" w:type="dxa"/>
            <w:shd w:val="clear" w:color="auto" w:fill="auto"/>
            <w:vAlign w:val="bottom"/>
            <w:hideMark/>
          </w:tcPr>
          <w:p w14:paraId="0649A7F1"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13</w:t>
            </w:r>
            <w:r>
              <w:rPr>
                <w:rFonts w:cs="Times New Roman"/>
                <w:sz w:val="18"/>
              </w:rPr>
              <w:t>,</w:t>
            </w:r>
            <w:r w:rsidRPr="00CB26B4">
              <w:rPr>
                <w:rFonts w:cs="Times New Roman"/>
                <w:sz w:val="18"/>
              </w:rPr>
              <w:t>8</w:t>
            </w:r>
          </w:p>
        </w:tc>
      </w:tr>
      <w:tr w:rsidR="00936DFE" w:rsidRPr="00CB26B4" w14:paraId="713F6DF6" w14:textId="77777777" w:rsidTr="0092680A">
        <w:tc>
          <w:tcPr>
            <w:tcW w:w="2127" w:type="dxa"/>
            <w:shd w:val="clear" w:color="auto" w:fill="auto"/>
            <w:hideMark/>
          </w:tcPr>
          <w:p w14:paraId="22FA9536" w14:textId="77777777" w:rsidR="00936DFE" w:rsidRPr="00CB26B4" w:rsidRDefault="00936DFE" w:rsidP="00044DA6">
            <w:pPr>
              <w:spacing w:before="40" w:after="40" w:line="220" w:lineRule="exact"/>
              <w:rPr>
                <w:rFonts w:cs="Times New Roman"/>
                <w:sz w:val="18"/>
              </w:rPr>
            </w:pPr>
            <w:r w:rsidRPr="00CB26B4">
              <w:rPr>
                <w:rFonts w:cs="Times New Roman"/>
                <w:sz w:val="18"/>
              </w:rPr>
              <w:t>Техники и другие специалисты со средним уровнем квалификации</w:t>
            </w:r>
          </w:p>
        </w:tc>
        <w:tc>
          <w:tcPr>
            <w:tcW w:w="1134" w:type="dxa"/>
            <w:shd w:val="clear" w:color="auto" w:fill="auto"/>
            <w:vAlign w:val="bottom"/>
            <w:hideMark/>
          </w:tcPr>
          <w:p w14:paraId="023AF0AB"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6</w:t>
            </w:r>
            <w:r>
              <w:rPr>
                <w:rFonts w:cs="Times New Roman"/>
                <w:sz w:val="18"/>
              </w:rPr>
              <w:t>,</w:t>
            </w:r>
            <w:r w:rsidRPr="00CB26B4">
              <w:rPr>
                <w:rFonts w:cs="Times New Roman"/>
                <w:sz w:val="18"/>
              </w:rPr>
              <w:t>1</w:t>
            </w:r>
          </w:p>
        </w:tc>
        <w:tc>
          <w:tcPr>
            <w:tcW w:w="850" w:type="dxa"/>
            <w:shd w:val="clear" w:color="auto" w:fill="auto"/>
            <w:vAlign w:val="bottom"/>
            <w:hideMark/>
          </w:tcPr>
          <w:p w14:paraId="2A2F7E81"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7</w:t>
            </w:r>
            <w:r>
              <w:rPr>
                <w:rFonts w:cs="Times New Roman"/>
                <w:sz w:val="18"/>
              </w:rPr>
              <w:t>,</w:t>
            </w:r>
            <w:r w:rsidRPr="00CB26B4">
              <w:rPr>
                <w:rFonts w:cs="Times New Roman"/>
                <w:sz w:val="18"/>
              </w:rPr>
              <w:t>0</w:t>
            </w:r>
          </w:p>
        </w:tc>
        <w:tc>
          <w:tcPr>
            <w:tcW w:w="851" w:type="dxa"/>
            <w:shd w:val="clear" w:color="auto" w:fill="auto"/>
            <w:vAlign w:val="bottom"/>
            <w:hideMark/>
          </w:tcPr>
          <w:p w14:paraId="7B14DF0C"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7</w:t>
            </w:r>
            <w:r>
              <w:rPr>
                <w:rFonts w:cs="Times New Roman"/>
                <w:sz w:val="18"/>
              </w:rPr>
              <w:t>,</w:t>
            </w:r>
            <w:r w:rsidRPr="00CB26B4">
              <w:rPr>
                <w:rFonts w:cs="Times New Roman"/>
                <w:sz w:val="18"/>
              </w:rPr>
              <w:t>1</w:t>
            </w:r>
          </w:p>
        </w:tc>
        <w:tc>
          <w:tcPr>
            <w:tcW w:w="708" w:type="dxa"/>
            <w:shd w:val="clear" w:color="auto" w:fill="auto"/>
            <w:vAlign w:val="bottom"/>
            <w:hideMark/>
          </w:tcPr>
          <w:p w14:paraId="6ABDCB70"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6</w:t>
            </w:r>
            <w:r>
              <w:rPr>
                <w:rFonts w:cs="Times New Roman"/>
                <w:sz w:val="18"/>
              </w:rPr>
              <w:t>,</w:t>
            </w:r>
            <w:r w:rsidRPr="00CB26B4">
              <w:rPr>
                <w:rFonts w:cs="Times New Roman"/>
                <w:sz w:val="18"/>
              </w:rPr>
              <w:t>9</w:t>
            </w:r>
          </w:p>
        </w:tc>
        <w:tc>
          <w:tcPr>
            <w:tcW w:w="851" w:type="dxa"/>
            <w:shd w:val="clear" w:color="auto" w:fill="auto"/>
            <w:vAlign w:val="bottom"/>
            <w:hideMark/>
          </w:tcPr>
          <w:p w14:paraId="0E32801A"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8</w:t>
            </w:r>
            <w:r>
              <w:rPr>
                <w:rFonts w:cs="Times New Roman"/>
                <w:sz w:val="18"/>
              </w:rPr>
              <w:t>,</w:t>
            </w:r>
            <w:r w:rsidRPr="00CB26B4">
              <w:rPr>
                <w:rFonts w:cs="Times New Roman"/>
                <w:sz w:val="18"/>
              </w:rPr>
              <w:t>1</w:t>
            </w:r>
          </w:p>
        </w:tc>
        <w:tc>
          <w:tcPr>
            <w:tcW w:w="992" w:type="dxa"/>
            <w:shd w:val="clear" w:color="auto" w:fill="auto"/>
            <w:vAlign w:val="bottom"/>
            <w:hideMark/>
          </w:tcPr>
          <w:p w14:paraId="426914F3"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5</w:t>
            </w:r>
            <w:r>
              <w:rPr>
                <w:rFonts w:cs="Times New Roman"/>
                <w:sz w:val="18"/>
              </w:rPr>
              <w:t>,</w:t>
            </w:r>
            <w:r w:rsidRPr="00CB26B4">
              <w:rPr>
                <w:rFonts w:cs="Times New Roman"/>
                <w:sz w:val="18"/>
              </w:rPr>
              <w:t>6</w:t>
            </w:r>
          </w:p>
        </w:tc>
        <w:tc>
          <w:tcPr>
            <w:tcW w:w="991" w:type="dxa"/>
            <w:shd w:val="clear" w:color="auto" w:fill="auto"/>
            <w:vAlign w:val="bottom"/>
            <w:hideMark/>
          </w:tcPr>
          <w:p w14:paraId="54558E42"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4</w:t>
            </w:r>
            <w:r>
              <w:rPr>
                <w:rFonts w:cs="Times New Roman"/>
                <w:sz w:val="18"/>
              </w:rPr>
              <w:t>,</w:t>
            </w:r>
            <w:r w:rsidRPr="00CB26B4">
              <w:rPr>
                <w:rFonts w:cs="Times New Roman"/>
                <w:sz w:val="18"/>
              </w:rPr>
              <w:t>8</w:t>
            </w:r>
          </w:p>
        </w:tc>
      </w:tr>
      <w:tr w:rsidR="00936DFE" w:rsidRPr="00CB26B4" w14:paraId="107F2AB0" w14:textId="77777777" w:rsidTr="0092680A">
        <w:tc>
          <w:tcPr>
            <w:tcW w:w="2127" w:type="dxa"/>
            <w:shd w:val="clear" w:color="auto" w:fill="auto"/>
            <w:hideMark/>
          </w:tcPr>
          <w:p w14:paraId="296A7D77" w14:textId="77777777" w:rsidR="00936DFE" w:rsidRPr="00CB26B4" w:rsidRDefault="00936DFE" w:rsidP="00044DA6">
            <w:pPr>
              <w:spacing w:before="40" w:after="40" w:line="220" w:lineRule="exact"/>
              <w:rPr>
                <w:rFonts w:cs="Times New Roman"/>
                <w:sz w:val="18"/>
              </w:rPr>
            </w:pPr>
            <w:r w:rsidRPr="00CB26B4">
              <w:rPr>
                <w:rFonts w:cs="Times New Roman"/>
                <w:sz w:val="18"/>
              </w:rPr>
              <w:t>Административные служащие</w:t>
            </w:r>
          </w:p>
        </w:tc>
        <w:tc>
          <w:tcPr>
            <w:tcW w:w="1134" w:type="dxa"/>
            <w:shd w:val="clear" w:color="auto" w:fill="auto"/>
            <w:vAlign w:val="bottom"/>
            <w:hideMark/>
          </w:tcPr>
          <w:p w14:paraId="755C04E3"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w:t>
            </w:r>
            <w:r>
              <w:rPr>
                <w:rFonts w:cs="Times New Roman"/>
                <w:sz w:val="18"/>
              </w:rPr>
              <w:t>,</w:t>
            </w:r>
            <w:r w:rsidRPr="00CB26B4">
              <w:rPr>
                <w:rFonts w:cs="Times New Roman"/>
                <w:sz w:val="18"/>
              </w:rPr>
              <w:t>9</w:t>
            </w:r>
          </w:p>
        </w:tc>
        <w:tc>
          <w:tcPr>
            <w:tcW w:w="850" w:type="dxa"/>
            <w:shd w:val="clear" w:color="auto" w:fill="auto"/>
            <w:vAlign w:val="bottom"/>
            <w:hideMark/>
          </w:tcPr>
          <w:p w14:paraId="66345D51"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w:t>
            </w:r>
            <w:r>
              <w:rPr>
                <w:rFonts w:cs="Times New Roman"/>
                <w:sz w:val="18"/>
              </w:rPr>
              <w:t>,</w:t>
            </w:r>
            <w:r w:rsidRPr="00CB26B4">
              <w:rPr>
                <w:rFonts w:cs="Times New Roman"/>
                <w:sz w:val="18"/>
              </w:rPr>
              <w:t>4</w:t>
            </w:r>
          </w:p>
        </w:tc>
        <w:tc>
          <w:tcPr>
            <w:tcW w:w="851" w:type="dxa"/>
            <w:shd w:val="clear" w:color="auto" w:fill="auto"/>
            <w:vAlign w:val="bottom"/>
            <w:hideMark/>
          </w:tcPr>
          <w:p w14:paraId="01ECD927"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w:t>
            </w:r>
            <w:r>
              <w:rPr>
                <w:rFonts w:cs="Times New Roman"/>
                <w:sz w:val="18"/>
              </w:rPr>
              <w:t>,</w:t>
            </w:r>
            <w:r w:rsidRPr="00CB26B4">
              <w:rPr>
                <w:rFonts w:cs="Times New Roman"/>
                <w:sz w:val="18"/>
              </w:rPr>
              <w:t>9</w:t>
            </w:r>
          </w:p>
        </w:tc>
        <w:tc>
          <w:tcPr>
            <w:tcW w:w="708" w:type="dxa"/>
            <w:shd w:val="clear" w:color="auto" w:fill="auto"/>
            <w:vAlign w:val="bottom"/>
            <w:hideMark/>
          </w:tcPr>
          <w:p w14:paraId="76534FC8"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w:t>
            </w:r>
            <w:r>
              <w:rPr>
                <w:rFonts w:cs="Times New Roman"/>
                <w:sz w:val="18"/>
              </w:rPr>
              <w:t>,</w:t>
            </w:r>
            <w:r w:rsidRPr="00CB26B4">
              <w:rPr>
                <w:rFonts w:cs="Times New Roman"/>
                <w:sz w:val="18"/>
              </w:rPr>
              <w:t>9</w:t>
            </w:r>
          </w:p>
        </w:tc>
        <w:tc>
          <w:tcPr>
            <w:tcW w:w="851" w:type="dxa"/>
            <w:shd w:val="clear" w:color="auto" w:fill="auto"/>
            <w:vAlign w:val="bottom"/>
            <w:hideMark/>
          </w:tcPr>
          <w:p w14:paraId="7528A8B6"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w:t>
            </w:r>
            <w:r>
              <w:rPr>
                <w:rFonts w:cs="Times New Roman"/>
                <w:sz w:val="18"/>
              </w:rPr>
              <w:t>,</w:t>
            </w:r>
            <w:r w:rsidRPr="00CB26B4">
              <w:rPr>
                <w:rFonts w:cs="Times New Roman"/>
                <w:sz w:val="18"/>
              </w:rPr>
              <w:t>4</w:t>
            </w:r>
          </w:p>
        </w:tc>
        <w:tc>
          <w:tcPr>
            <w:tcW w:w="992" w:type="dxa"/>
            <w:shd w:val="clear" w:color="auto" w:fill="auto"/>
            <w:vAlign w:val="bottom"/>
            <w:hideMark/>
          </w:tcPr>
          <w:p w14:paraId="33DD4508"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w:t>
            </w:r>
            <w:r>
              <w:rPr>
                <w:rFonts w:cs="Times New Roman"/>
                <w:sz w:val="18"/>
              </w:rPr>
              <w:t>,</w:t>
            </w:r>
            <w:r w:rsidRPr="00CB26B4">
              <w:rPr>
                <w:rFonts w:cs="Times New Roman"/>
                <w:sz w:val="18"/>
              </w:rPr>
              <w:t>9</w:t>
            </w:r>
          </w:p>
        </w:tc>
        <w:tc>
          <w:tcPr>
            <w:tcW w:w="991" w:type="dxa"/>
            <w:shd w:val="clear" w:color="auto" w:fill="auto"/>
            <w:vAlign w:val="bottom"/>
            <w:hideMark/>
          </w:tcPr>
          <w:p w14:paraId="4AAE0192"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w:t>
            </w:r>
            <w:r>
              <w:rPr>
                <w:rFonts w:cs="Times New Roman"/>
                <w:sz w:val="18"/>
              </w:rPr>
              <w:t>,</w:t>
            </w:r>
            <w:r w:rsidRPr="00CB26B4">
              <w:rPr>
                <w:rFonts w:cs="Times New Roman"/>
                <w:sz w:val="18"/>
              </w:rPr>
              <w:t>9</w:t>
            </w:r>
          </w:p>
        </w:tc>
      </w:tr>
      <w:tr w:rsidR="00936DFE" w:rsidRPr="00CB26B4" w14:paraId="2BAD53C7" w14:textId="77777777" w:rsidTr="0092680A">
        <w:tc>
          <w:tcPr>
            <w:tcW w:w="2127" w:type="dxa"/>
            <w:shd w:val="clear" w:color="auto" w:fill="auto"/>
            <w:hideMark/>
          </w:tcPr>
          <w:p w14:paraId="799563F2" w14:textId="77777777" w:rsidR="00936DFE" w:rsidRPr="00CB26B4" w:rsidRDefault="00936DFE" w:rsidP="00044DA6">
            <w:pPr>
              <w:spacing w:before="40" w:after="40" w:line="220" w:lineRule="exact"/>
              <w:rPr>
                <w:rFonts w:cs="Times New Roman"/>
                <w:sz w:val="18"/>
              </w:rPr>
            </w:pPr>
            <w:r w:rsidRPr="00CB26B4">
              <w:rPr>
                <w:rFonts w:cs="Times New Roman"/>
                <w:sz w:val="18"/>
              </w:rPr>
              <w:t>Работники в сфере услуг и</w:t>
            </w:r>
            <w:r>
              <w:rPr>
                <w:rFonts w:cs="Times New Roman"/>
                <w:sz w:val="18"/>
              </w:rPr>
              <w:t> </w:t>
            </w:r>
            <w:r w:rsidRPr="00CB26B4">
              <w:rPr>
                <w:rFonts w:cs="Times New Roman"/>
                <w:sz w:val="18"/>
              </w:rPr>
              <w:t>торговли</w:t>
            </w:r>
          </w:p>
        </w:tc>
        <w:tc>
          <w:tcPr>
            <w:tcW w:w="1134" w:type="dxa"/>
            <w:shd w:val="clear" w:color="auto" w:fill="auto"/>
            <w:vAlign w:val="bottom"/>
            <w:hideMark/>
          </w:tcPr>
          <w:p w14:paraId="73283C16"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12</w:t>
            </w:r>
            <w:r>
              <w:rPr>
                <w:rFonts w:cs="Times New Roman"/>
                <w:sz w:val="18"/>
              </w:rPr>
              <w:t>,</w:t>
            </w:r>
            <w:r w:rsidRPr="00CB26B4">
              <w:rPr>
                <w:rFonts w:cs="Times New Roman"/>
                <w:sz w:val="18"/>
              </w:rPr>
              <w:t>1</w:t>
            </w:r>
          </w:p>
        </w:tc>
        <w:tc>
          <w:tcPr>
            <w:tcW w:w="850" w:type="dxa"/>
            <w:shd w:val="clear" w:color="auto" w:fill="auto"/>
            <w:vAlign w:val="bottom"/>
            <w:hideMark/>
          </w:tcPr>
          <w:p w14:paraId="69961DE3"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13</w:t>
            </w:r>
            <w:r>
              <w:rPr>
                <w:rFonts w:cs="Times New Roman"/>
                <w:sz w:val="18"/>
              </w:rPr>
              <w:t>,</w:t>
            </w:r>
            <w:r w:rsidRPr="00CB26B4">
              <w:rPr>
                <w:rFonts w:cs="Times New Roman"/>
                <w:sz w:val="18"/>
              </w:rPr>
              <w:t>2</w:t>
            </w:r>
          </w:p>
        </w:tc>
        <w:tc>
          <w:tcPr>
            <w:tcW w:w="851" w:type="dxa"/>
            <w:shd w:val="clear" w:color="auto" w:fill="auto"/>
            <w:vAlign w:val="bottom"/>
            <w:hideMark/>
          </w:tcPr>
          <w:p w14:paraId="3F057E15"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15</w:t>
            </w:r>
            <w:r>
              <w:rPr>
                <w:rFonts w:cs="Times New Roman"/>
                <w:sz w:val="18"/>
              </w:rPr>
              <w:t>,</w:t>
            </w:r>
            <w:r w:rsidRPr="00CB26B4">
              <w:rPr>
                <w:rFonts w:cs="Times New Roman"/>
                <w:sz w:val="18"/>
              </w:rPr>
              <w:t>0</w:t>
            </w:r>
          </w:p>
        </w:tc>
        <w:tc>
          <w:tcPr>
            <w:tcW w:w="708" w:type="dxa"/>
            <w:shd w:val="clear" w:color="auto" w:fill="auto"/>
            <w:vAlign w:val="bottom"/>
            <w:hideMark/>
          </w:tcPr>
          <w:p w14:paraId="50C2C5B1"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12</w:t>
            </w:r>
            <w:r>
              <w:rPr>
                <w:rFonts w:cs="Times New Roman"/>
                <w:sz w:val="18"/>
              </w:rPr>
              <w:t>,</w:t>
            </w:r>
            <w:r w:rsidRPr="00CB26B4">
              <w:rPr>
                <w:rFonts w:cs="Times New Roman"/>
                <w:sz w:val="18"/>
              </w:rPr>
              <w:t>9</w:t>
            </w:r>
          </w:p>
        </w:tc>
        <w:tc>
          <w:tcPr>
            <w:tcW w:w="851" w:type="dxa"/>
            <w:shd w:val="clear" w:color="auto" w:fill="auto"/>
            <w:vAlign w:val="bottom"/>
            <w:hideMark/>
          </w:tcPr>
          <w:p w14:paraId="5B26FDE0"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12</w:t>
            </w:r>
            <w:r>
              <w:rPr>
                <w:rFonts w:cs="Times New Roman"/>
                <w:sz w:val="18"/>
              </w:rPr>
              <w:t>,</w:t>
            </w:r>
            <w:r w:rsidRPr="00CB26B4">
              <w:rPr>
                <w:rFonts w:cs="Times New Roman"/>
                <w:sz w:val="18"/>
              </w:rPr>
              <w:t>4</w:t>
            </w:r>
          </w:p>
        </w:tc>
        <w:tc>
          <w:tcPr>
            <w:tcW w:w="992" w:type="dxa"/>
            <w:shd w:val="clear" w:color="auto" w:fill="auto"/>
            <w:vAlign w:val="bottom"/>
            <w:hideMark/>
          </w:tcPr>
          <w:p w14:paraId="01E66DC5"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12</w:t>
            </w:r>
            <w:r>
              <w:rPr>
                <w:rFonts w:cs="Times New Roman"/>
                <w:sz w:val="18"/>
              </w:rPr>
              <w:t>,</w:t>
            </w:r>
            <w:r w:rsidRPr="00CB26B4">
              <w:rPr>
                <w:rFonts w:cs="Times New Roman"/>
                <w:sz w:val="18"/>
              </w:rPr>
              <w:t>9</w:t>
            </w:r>
          </w:p>
        </w:tc>
        <w:tc>
          <w:tcPr>
            <w:tcW w:w="991" w:type="dxa"/>
            <w:shd w:val="clear" w:color="auto" w:fill="auto"/>
            <w:vAlign w:val="bottom"/>
            <w:hideMark/>
          </w:tcPr>
          <w:p w14:paraId="000DC78E"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10</w:t>
            </w:r>
            <w:r>
              <w:rPr>
                <w:rFonts w:cs="Times New Roman"/>
                <w:sz w:val="18"/>
              </w:rPr>
              <w:t>,</w:t>
            </w:r>
            <w:r w:rsidRPr="00CB26B4">
              <w:rPr>
                <w:rFonts w:cs="Times New Roman"/>
                <w:sz w:val="18"/>
              </w:rPr>
              <w:t>8</w:t>
            </w:r>
          </w:p>
        </w:tc>
      </w:tr>
      <w:tr w:rsidR="00936DFE" w:rsidRPr="00CB26B4" w14:paraId="3704932A" w14:textId="77777777" w:rsidTr="0092680A">
        <w:tc>
          <w:tcPr>
            <w:tcW w:w="2127" w:type="dxa"/>
            <w:shd w:val="clear" w:color="auto" w:fill="auto"/>
            <w:hideMark/>
          </w:tcPr>
          <w:p w14:paraId="3373C4D1" w14:textId="77777777" w:rsidR="00936DFE" w:rsidRPr="00CB26B4" w:rsidRDefault="00936DFE" w:rsidP="00044DA6">
            <w:pPr>
              <w:spacing w:before="40" w:after="40" w:line="220" w:lineRule="exact"/>
              <w:rPr>
                <w:rFonts w:cs="Times New Roman"/>
                <w:sz w:val="18"/>
              </w:rPr>
            </w:pPr>
            <w:r w:rsidRPr="00CB26B4">
              <w:rPr>
                <w:rFonts w:cs="Times New Roman"/>
                <w:sz w:val="18"/>
              </w:rPr>
              <w:t>Квалифицированные работники сельского хозяйства, лесного хозяйства, аквакультуры, рыбоводства и рыболовства</w:t>
            </w:r>
          </w:p>
        </w:tc>
        <w:tc>
          <w:tcPr>
            <w:tcW w:w="1134" w:type="dxa"/>
            <w:shd w:val="clear" w:color="auto" w:fill="auto"/>
            <w:vAlign w:val="bottom"/>
            <w:hideMark/>
          </w:tcPr>
          <w:p w14:paraId="7B525263"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19</w:t>
            </w:r>
            <w:r>
              <w:rPr>
                <w:rFonts w:cs="Times New Roman"/>
                <w:sz w:val="18"/>
              </w:rPr>
              <w:t>,</w:t>
            </w:r>
            <w:r w:rsidRPr="00CB26B4">
              <w:rPr>
                <w:rFonts w:cs="Times New Roman"/>
                <w:sz w:val="18"/>
              </w:rPr>
              <w:t>8</w:t>
            </w:r>
          </w:p>
        </w:tc>
        <w:tc>
          <w:tcPr>
            <w:tcW w:w="850" w:type="dxa"/>
            <w:shd w:val="clear" w:color="auto" w:fill="auto"/>
            <w:vAlign w:val="bottom"/>
            <w:hideMark/>
          </w:tcPr>
          <w:p w14:paraId="202F9AF6"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15</w:t>
            </w:r>
            <w:r>
              <w:rPr>
                <w:rFonts w:cs="Times New Roman"/>
                <w:sz w:val="18"/>
              </w:rPr>
              <w:t>,</w:t>
            </w:r>
            <w:r w:rsidRPr="00CB26B4">
              <w:rPr>
                <w:rFonts w:cs="Times New Roman"/>
                <w:sz w:val="18"/>
              </w:rPr>
              <w:t>5</w:t>
            </w:r>
          </w:p>
        </w:tc>
        <w:tc>
          <w:tcPr>
            <w:tcW w:w="851" w:type="dxa"/>
            <w:shd w:val="clear" w:color="auto" w:fill="auto"/>
            <w:vAlign w:val="bottom"/>
            <w:hideMark/>
          </w:tcPr>
          <w:p w14:paraId="5D589C51"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7</w:t>
            </w:r>
            <w:r>
              <w:rPr>
                <w:rFonts w:cs="Times New Roman"/>
                <w:sz w:val="18"/>
              </w:rPr>
              <w:t>,</w:t>
            </w:r>
            <w:r w:rsidRPr="00CB26B4">
              <w:rPr>
                <w:rFonts w:cs="Times New Roman"/>
                <w:sz w:val="18"/>
              </w:rPr>
              <w:t>6</w:t>
            </w:r>
          </w:p>
        </w:tc>
        <w:tc>
          <w:tcPr>
            <w:tcW w:w="708" w:type="dxa"/>
            <w:shd w:val="clear" w:color="auto" w:fill="auto"/>
            <w:vAlign w:val="bottom"/>
            <w:hideMark/>
          </w:tcPr>
          <w:p w14:paraId="2B71BE2C"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15</w:t>
            </w:r>
            <w:r>
              <w:rPr>
                <w:rFonts w:cs="Times New Roman"/>
                <w:sz w:val="18"/>
              </w:rPr>
              <w:t>,</w:t>
            </w:r>
            <w:r w:rsidRPr="00CB26B4">
              <w:rPr>
                <w:rFonts w:cs="Times New Roman"/>
                <w:sz w:val="18"/>
              </w:rPr>
              <w:t>2</w:t>
            </w:r>
          </w:p>
        </w:tc>
        <w:tc>
          <w:tcPr>
            <w:tcW w:w="851" w:type="dxa"/>
            <w:shd w:val="clear" w:color="auto" w:fill="auto"/>
            <w:vAlign w:val="bottom"/>
            <w:hideMark/>
          </w:tcPr>
          <w:p w14:paraId="4599634B"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11</w:t>
            </w:r>
            <w:r>
              <w:rPr>
                <w:rFonts w:cs="Times New Roman"/>
                <w:sz w:val="18"/>
              </w:rPr>
              <w:t>,</w:t>
            </w:r>
            <w:r w:rsidRPr="00CB26B4">
              <w:rPr>
                <w:rFonts w:cs="Times New Roman"/>
                <w:sz w:val="18"/>
              </w:rPr>
              <w:t>1</w:t>
            </w:r>
          </w:p>
        </w:tc>
        <w:tc>
          <w:tcPr>
            <w:tcW w:w="992" w:type="dxa"/>
            <w:shd w:val="clear" w:color="auto" w:fill="auto"/>
            <w:vAlign w:val="bottom"/>
            <w:hideMark/>
          </w:tcPr>
          <w:p w14:paraId="28830EC3"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7</w:t>
            </w:r>
            <w:r>
              <w:rPr>
                <w:rFonts w:cs="Times New Roman"/>
                <w:sz w:val="18"/>
              </w:rPr>
              <w:t>,</w:t>
            </w:r>
            <w:r w:rsidRPr="00CB26B4">
              <w:rPr>
                <w:rFonts w:cs="Times New Roman"/>
                <w:sz w:val="18"/>
              </w:rPr>
              <w:t>6</w:t>
            </w:r>
          </w:p>
        </w:tc>
        <w:tc>
          <w:tcPr>
            <w:tcW w:w="991" w:type="dxa"/>
            <w:shd w:val="clear" w:color="auto" w:fill="auto"/>
            <w:vAlign w:val="bottom"/>
            <w:hideMark/>
          </w:tcPr>
          <w:p w14:paraId="46DA1280"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10</w:t>
            </w:r>
            <w:r>
              <w:rPr>
                <w:rFonts w:cs="Times New Roman"/>
                <w:sz w:val="18"/>
              </w:rPr>
              <w:t>,</w:t>
            </w:r>
            <w:r w:rsidRPr="00CB26B4">
              <w:rPr>
                <w:rFonts w:cs="Times New Roman"/>
                <w:sz w:val="18"/>
              </w:rPr>
              <w:t>7</w:t>
            </w:r>
          </w:p>
        </w:tc>
      </w:tr>
      <w:tr w:rsidR="00936DFE" w:rsidRPr="00CB26B4" w14:paraId="36AC3A63" w14:textId="77777777" w:rsidTr="0092680A">
        <w:tc>
          <w:tcPr>
            <w:tcW w:w="2127" w:type="dxa"/>
            <w:shd w:val="clear" w:color="auto" w:fill="auto"/>
            <w:hideMark/>
          </w:tcPr>
          <w:p w14:paraId="458E83DB" w14:textId="77777777" w:rsidR="00936DFE" w:rsidRPr="00CB26B4" w:rsidRDefault="00936DFE" w:rsidP="00044DA6">
            <w:pPr>
              <w:spacing w:before="40" w:after="40" w:line="220" w:lineRule="exact"/>
              <w:rPr>
                <w:rFonts w:cs="Times New Roman"/>
                <w:sz w:val="18"/>
              </w:rPr>
            </w:pPr>
            <w:r w:rsidRPr="00CB26B4">
              <w:rPr>
                <w:rFonts w:cs="Times New Roman"/>
                <w:sz w:val="18"/>
              </w:rPr>
              <w:t>Квалифицированные и ассимилированные работники</w:t>
            </w:r>
          </w:p>
        </w:tc>
        <w:tc>
          <w:tcPr>
            <w:tcW w:w="1134" w:type="dxa"/>
            <w:shd w:val="clear" w:color="auto" w:fill="auto"/>
            <w:vAlign w:val="bottom"/>
            <w:hideMark/>
          </w:tcPr>
          <w:p w14:paraId="07653AFC"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10</w:t>
            </w:r>
            <w:r>
              <w:rPr>
                <w:rFonts w:cs="Times New Roman"/>
                <w:sz w:val="18"/>
              </w:rPr>
              <w:t>,</w:t>
            </w:r>
            <w:r w:rsidRPr="00CB26B4">
              <w:rPr>
                <w:rFonts w:cs="Times New Roman"/>
                <w:sz w:val="18"/>
              </w:rPr>
              <w:t>7</w:t>
            </w:r>
          </w:p>
        </w:tc>
        <w:tc>
          <w:tcPr>
            <w:tcW w:w="850" w:type="dxa"/>
            <w:shd w:val="clear" w:color="auto" w:fill="auto"/>
            <w:vAlign w:val="bottom"/>
            <w:hideMark/>
          </w:tcPr>
          <w:p w14:paraId="51948187"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11</w:t>
            </w:r>
            <w:r>
              <w:rPr>
                <w:rFonts w:cs="Times New Roman"/>
                <w:sz w:val="18"/>
              </w:rPr>
              <w:t>,</w:t>
            </w:r>
            <w:r w:rsidRPr="00CB26B4">
              <w:rPr>
                <w:rFonts w:cs="Times New Roman"/>
                <w:sz w:val="18"/>
              </w:rPr>
              <w:t>0</w:t>
            </w:r>
          </w:p>
        </w:tc>
        <w:tc>
          <w:tcPr>
            <w:tcW w:w="851" w:type="dxa"/>
            <w:shd w:val="clear" w:color="auto" w:fill="auto"/>
            <w:vAlign w:val="bottom"/>
            <w:hideMark/>
          </w:tcPr>
          <w:p w14:paraId="493A09C9"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12</w:t>
            </w:r>
            <w:r>
              <w:rPr>
                <w:rFonts w:cs="Times New Roman"/>
                <w:sz w:val="18"/>
              </w:rPr>
              <w:t>,</w:t>
            </w:r>
            <w:r w:rsidRPr="00CB26B4">
              <w:rPr>
                <w:rFonts w:cs="Times New Roman"/>
                <w:sz w:val="18"/>
              </w:rPr>
              <w:t>3</w:t>
            </w:r>
          </w:p>
        </w:tc>
        <w:tc>
          <w:tcPr>
            <w:tcW w:w="708" w:type="dxa"/>
            <w:shd w:val="clear" w:color="auto" w:fill="auto"/>
            <w:vAlign w:val="bottom"/>
            <w:hideMark/>
          </w:tcPr>
          <w:p w14:paraId="52963385"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12</w:t>
            </w:r>
            <w:r>
              <w:rPr>
                <w:rFonts w:cs="Times New Roman"/>
                <w:sz w:val="18"/>
              </w:rPr>
              <w:t>,</w:t>
            </w:r>
            <w:r w:rsidRPr="00CB26B4">
              <w:rPr>
                <w:rFonts w:cs="Times New Roman"/>
                <w:sz w:val="18"/>
              </w:rPr>
              <w:t>2</w:t>
            </w:r>
          </w:p>
        </w:tc>
        <w:tc>
          <w:tcPr>
            <w:tcW w:w="851" w:type="dxa"/>
            <w:shd w:val="clear" w:color="auto" w:fill="auto"/>
            <w:vAlign w:val="bottom"/>
            <w:hideMark/>
          </w:tcPr>
          <w:p w14:paraId="67434470"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11</w:t>
            </w:r>
            <w:r>
              <w:rPr>
                <w:rFonts w:cs="Times New Roman"/>
                <w:sz w:val="18"/>
              </w:rPr>
              <w:t>,</w:t>
            </w:r>
            <w:r w:rsidRPr="00CB26B4">
              <w:rPr>
                <w:rFonts w:cs="Times New Roman"/>
                <w:sz w:val="18"/>
              </w:rPr>
              <w:t>9</w:t>
            </w:r>
          </w:p>
        </w:tc>
        <w:tc>
          <w:tcPr>
            <w:tcW w:w="992" w:type="dxa"/>
            <w:shd w:val="clear" w:color="auto" w:fill="auto"/>
            <w:vAlign w:val="bottom"/>
            <w:hideMark/>
          </w:tcPr>
          <w:p w14:paraId="1AA575B3"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10</w:t>
            </w:r>
            <w:r>
              <w:rPr>
                <w:rFonts w:cs="Times New Roman"/>
                <w:sz w:val="18"/>
              </w:rPr>
              <w:t>,</w:t>
            </w:r>
            <w:r w:rsidRPr="00CB26B4">
              <w:rPr>
                <w:rFonts w:cs="Times New Roman"/>
                <w:sz w:val="18"/>
              </w:rPr>
              <w:t>2</w:t>
            </w:r>
          </w:p>
        </w:tc>
        <w:tc>
          <w:tcPr>
            <w:tcW w:w="991" w:type="dxa"/>
            <w:shd w:val="clear" w:color="auto" w:fill="auto"/>
            <w:vAlign w:val="bottom"/>
            <w:hideMark/>
          </w:tcPr>
          <w:p w14:paraId="58A114EA"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9</w:t>
            </w:r>
            <w:r>
              <w:rPr>
                <w:rFonts w:cs="Times New Roman"/>
                <w:sz w:val="18"/>
              </w:rPr>
              <w:t>,</w:t>
            </w:r>
            <w:r w:rsidRPr="00CB26B4">
              <w:rPr>
                <w:rFonts w:cs="Times New Roman"/>
                <w:sz w:val="18"/>
              </w:rPr>
              <w:t>4</w:t>
            </w:r>
          </w:p>
        </w:tc>
      </w:tr>
      <w:tr w:rsidR="00936DFE" w:rsidRPr="00CB26B4" w14:paraId="139477BD" w14:textId="77777777" w:rsidTr="0092680A">
        <w:tc>
          <w:tcPr>
            <w:tcW w:w="2127" w:type="dxa"/>
            <w:shd w:val="clear" w:color="auto" w:fill="auto"/>
            <w:hideMark/>
          </w:tcPr>
          <w:p w14:paraId="0848B897" w14:textId="77777777" w:rsidR="00936DFE" w:rsidRPr="00CB26B4" w:rsidRDefault="00936DFE" w:rsidP="00044DA6">
            <w:pPr>
              <w:spacing w:before="40" w:after="40" w:line="220" w:lineRule="exact"/>
              <w:rPr>
                <w:rFonts w:cs="Times New Roman"/>
                <w:sz w:val="18"/>
              </w:rPr>
            </w:pPr>
            <w:r w:rsidRPr="00CB26B4">
              <w:rPr>
                <w:rFonts w:cs="Times New Roman"/>
                <w:sz w:val="18"/>
              </w:rPr>
              <w:t>Операторы машин и установок; сборщики машин и оборудования</w:t>
            </w:r>
          </w:p>
        </w:tc>
        <w:tc>
          <w:tcPr>
            <w:tcW w:w="1134" w:type="dxa"/>
            <w:shd w:val="clear" w:color="auto" w:fill="auto"/>
            <w:vAlign w:val="bottom"/>
            <w:hideMark/>
          </w:tcPr>
          <w:p w14:paraId="68DE3D6A"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6</w:t>
            </w:r>
            <w:r>
              <w:rPr>
                <w:rFonts w:cs="Times New Roman"/>
                <w:sz w:val="18"/>
              </w:rPr>
              <w:t>,</w:t>
            </w:r>
            <w:r w:rsidRPr="00CB26B4">
              <w:rPr>
                <w:rFonts w:cs="Times New Roman"/>
                <w:sz w:val="18"/>
              </w:rPr>
              <w:t>4</w:t>
            </w:r>
          </w:p>
        </w:tc>
        <w:tc>
          <w:tcPr>
            <w:tcW w:w="850" w:type="dxa"/>
            <w:shd w:val="clear" w:color="auto" w:fill="auto"/>
            <w:vAlign w:val="bottom"/>
            <w:hideMark/>
          </w:tcPr>
          <w:p w14:paraId="30E6ED11"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7</w:t>
            </w:r>
            <w:r>
              <w:rPr>
                <w:rFonts w:cs="Times New Roman"/>
                <w:sz w:val="18"/>
              </w:rPr>
              <w:t>,</w:t>
            </w:r>
            <w:r w:rsidRPr="00CB26B4">
              <w:rPr>
                <w:rFonts w:cs="Times New Roman"/>
                <w:sz w:val="18"/>
              </w:rPr>
              <w:t>1</w:t>
            </w:r>
          </w:p>
        </w:tc>
        <w:tc>
          <w:tcPr>
            <w:tcW w:w="851" w:type="dxa"/>
            <w:shd w:val="clear" w:color="auto" w:fill="auto"/>
            <w:vAlign w:val="bottom"/>
            <w:hideMark/>
          </w:tcPr>
          <w:p w14:paraId="26216BAF"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5</w:t>
            </w:r>
            <w:r>
              <w:rPr>
                <w:rFonts w:cs="Times New Roman"/>
                <w:sz w:val="18"/>
              </w:rPr>
              <w:t>,</w:t>
            </w:r>
            <w:r w:rsidRPr="00CB26B4">
              <w:rPr>
                <w:rFonts w:cs="Times New Roman"/>
                <w:sz w:val="18"/>
              </w:rPr>
              <w:t>3</w:t>
            </w:r>
          </w:p>
        </w:tc>
        <w:tc>
          <w:tcPr>
            <w:tcW w:w="708" w:type="dxa"/>
            <w:shd w:val="clear" w:color="auto" w:fill="auto"/>
            <w:vAlign w:val="bottom"/>
            <w:hideMark/>
          </w:tcPr>
          <w:p w14:paraId="6B2CEF7D"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8</w:t>
            </w:r>
            <w:r>
              <w:rPr>
                <w:rFonts w:cs="Times New Roman"/>
                <w:sz w:val="18"/>
              </w:rPr>
              <w:t>,</w:t>
            </w:r>
            <w:r w:rsidRPr="00CB26B4">
              <w:rPr>
                <w:rFonts w:cs="Times New Roman"/>
                <w:sz w:val="18"/>
              </w:rPr>
              <w:t>3</w:t>
            </w:r>
          </w:p>
        </w:tc>
        <w:tc>
          <w:tcPr>
            <w:tcW w:w="851" w:type="dxa"/>
            <w:shd w:val="clear" w:color="auto" w:fill="auto"/>
            <w:vAlign w:val="bottom"/>
            <w:hideMark/>
          </w:tcPr>
          <w:p w14:paraId="35EC8339"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8</w:t>
            </w:r>
            <w:r>
              <w:rPr>
                <w:rFonts w:cs="Times New Roman"/>
                <w:sz w:val="18"/>
              </w:rPr>
              <w:t>,</w:t>
            </w:r>
            <w:r w:rsidRPr="00CB26B4">
              <w:rPr>
                <w:rFonts w:cs="Times New Roman"/>
                <w:sz w:val="18"/>
              </w:rPr>
              <w:t>0</w:t>
            </w:r>
          </w:p>
        </w:tc>
        <w:tc>
          <w:tcPr>
            <w:tcW w:w="992" w:type="dxa"/>
            <w:shd w:val="clear" w:color="auto" w:fill="auto"/>
            <w:vAlign w:val="bottom"/>
            <w:hideMark/>
          </w:tcPr>
          <w:p w14:paraId="4D730270"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4</w:t>
            </w:r>
            <w:r>
              <w:rPr>
                <w:rFonts w:cs="Times New Roman"/>
                <w:sz w:val="18"/>
              </w:rPr>
              <w:t>,</w:t>
            </w:r>
            <w:r w:rsidRPr="00CB26B4">
              <w:rPr>
                <w:rFonts w:cs="Times New Roman"/>
                <w:sz w:val="18"/>
              </w:rPr>
              <w:t>4</w:t>
            </w:r>
          </w:p>
        </w:tc>
        <w:tc>
          <w:tcPr>
            <w:tcW w:w="991" w:type="dxa"/>
            <w:shd w:val="clear" w:color="auto" w:fill="auto"/>
            <w:vAlign w:val="bottom"/>
            <w:hideMark/>
          </w:tcPr>
          <w:p w14:paraId="50316FA2"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4</w:t>
            </w:r>
            <w:r>
              <w:rPr>
                <w:rFonts w:cs="Times New Roman"/>
                <w:sz w:val="18"/>
              </w:rPr>
              <w:t>,</w:t>
            </w:r>
            <w:r w:rsidRPr="00CB26B4">
              <w:rPr>
                <w:rFonts w:cs="Times New Roman"/>
                <w:sz w:val="18"/>
              </w:rPr>
              <w:t>2</w:t>
            </w:r>
          </w:p>
        </w:tc>
      </w:tr>
      <w:tr w:rsidR="00936DFE" w:rsidRPr="00CB26B4" w14:paraId="19040BC7" w14:textId="77777777" w:rsidTr="0092680A">
        <w:tc>
          <w:tcPr>
            <w:tcW w:w="2127" w:type="dxa"/>
            <w:shd w:val="clear" w:color="auto" w:fill="auto"/>
            <w:hideMark/>
          </w:tcPr>
          <w:p w14:paraId="41C257FD" w14:textId="77777777" w:rsidR="00936DFE" w:rsidRPr="00CB26B4" w:rsidRDefault="00936DFE" w:rsidP="00044DA6">
            <w:pPr>
              <w:spacing w:before="40" w:after="40" w:line="220" w:lineRule="exact"/>
              <w:rPr>
                <w:rFonts w:cs="Times New Roman"/>
                <w:sz w:val="18"/>
              </w:rPr>
            </w:pPr>
            <w:r w:rsidRPr="00CB26B4">
              <w:rPr>
                <w:rFonts w:cs="Times New Roman"/>
                <w:sz w:val="18"/>
              </w:rPr>
              <w:t>Неквалифицированные работники</w:t>
            </w:r>
          </w:p>
        </w:tc>
        <w:tc>
          <w:tcPr>
            <w:tcW w:w="1134" w:type="dxa"/>
            <w:shd w:val="clear" w:color="auto" w:fill="auto"/>
            <w:vAlign w:val="bottom"/>
            <w:hideMark/>
          </w:tcPr>
          <w:p w14:paraId="57B665F1"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9</w:t>
            </w:r>
            <w:r>
              <w:rPr>
                <w:rFonts w:cs="Times New Roman"/>
                <w:sz w:val="18"/>
              </w:rPr>
              <w:t>,</w:t>
            </w:r>
            <w:r w:rsidRPr="00CB26B4">
              <w:rPr>
                <w:rFonts w:cs="Times New Roman"/>
                <w:sz w:val="18"/>
              </w:rPr>
              <w:t>8</w:t>
            </w:r>
          </w:p>
        </w:tc>
        <w:tc>
          <w:tcPr>
            <w:tcW w:w="850" w:type="dxa"/>
            <w:shd w:val="clear" w:color="auto" w:fill="auto"/>
            <w:vAlign w:val="bottom"/>
            <w:hideMark/>
          </w:tcPr>
          <w:p w14:paraId="0B71B103"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9</w:t>
            </w:r>
            <w:r>
              <w:rPr>
                <w:rFonts w:cs="Times New Roman"/>
                <w:sz w:val="18"/>
              </w:rPr>
              <w:t>,</w:t>
            </w:r>
            <w:r w:rsidRPr="00CB26B4">
              <w:rPr>
                <w:rFonts w:cs="Times New Roman"/>
                <w:sz w:val="18"/>
              </w:rPr>
              <w:t>3</w:t>
            </w:r>
          </w:p>
        </w:tc>
        <w:tc>
          <w:tcPr>
            <w:tcW w:w="851" w:type="dxa"/>
            <w:shd w:val="clear" w:color="auto" w:fill="auto"/>
            <w:vAlign w:val="bottom"/>
            <w:hideMark/>
          </w:tcPr>
          <w:p w14:paraId="23A06721"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7</w:t>
            </w:r>
            <w:r>
              <w:rPr>
                <w:rFonts w:cs="Times New Roman"/>
                <w:sz w:val="18"/>
              </w:rPr>
              <w:t>,</w:t>
            </w:r>
            <w:r w:rsidRPr="00CB26B4">
              <w:rPr>
                <w:rFonts w:cs="Times New Roman"/>
                <w:sz w:val="18"/>
              </w:rPr>
              <w:t>8</w:t>
            </w:r>
          </w:p>
        </w:tc>
        <w:tc>
          <w:tcPr>
            <w:tcW w:w="708" w:type="dxa"/>
            <w:shd w:val="clear" w:color="auto" w:fill="auto"/>
            <w:vAlign w:val="bottom"/>
            <w:hideMark/>
          </w:tcPr>
          <w:p w14:paraId="5BA128D0"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11</w:t>
            </w:r>
            <w:r>
              <w:rPr>
                <w:rFonts w:cs="Times New Roman"/>
                <w:sz w:val="18"/>
              </w:rPr>
              <w:t>,</w:t>
            </w:r>
            <w:r w:rsidRPr="00CB26B4">
              <w:rPr>
                <w:rFonts w:cs="Times New Roman"/>
                <w:sz w:val="18"/>
              </w:rPr>
              <w:t>1</w:t>
            </w:r>
          </w:p>
        </w:tc>
        <w:tc>
          <w:tcPr>
            <w:tcW w:w="851" w:type="dxa"/>
            <w:shd w:val="clear" w:color="auto" w:fill="auto"/>
            <w:vAlign w:val="bottom"/>
            <w:hideMark/>
          </w:tcPr>
          <w:p w14:paraId="50A7ACDF"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10</w:t>
            </w:r>
            <w:r>
              <w:rPr>
                <w:rFonts w:cs="Times New Roman"/>
                <w:sz w:val="18"/>
              </w:rPr>
              <w:t>,</w:t>
            </w:r>
            <w:r w:rsidRPr="00CB26B4">
              <w:rPr>
                <w:rFonts w:cs="Times New Roman"/>
                <w:sz w:val="18"/>
              </w:rPr>
              <w:t>8</w:t>
            </w:r>
          </w:p>
        </w:tc>
        <w:tc>
          <w:tcPr>
            <w:tcW w:w="992" w:type="dxa"/>
            <w:shd w:val="clear" w:color="auto" w:fill="auto"/>
            <w:vAlign w:val="bottom"/>
            <w:hideMark/>
          </w:tcPr>
          <w:p w14:paraId="4B9FC3C6"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7</w:t>
            </w:r>
            <w:r>
              <w:rPr>
                <w:rFonts w:cs="Times New Roman"/>
                <w:sz w:val="18"/>
              </w:rPr>
              <w:t>,</w:t>
            </w:r>
            <w:r w:rsidRPr="00CB26B4">
              <w:rPr>
                <w:rFonts w:cs="Times New Roman"/>
                <w:sz w:val="18"/>
              </w:rPr>
              <w:t>7</w:t>
            </w:r>
          </w:p>
        </w:tc>
        <w:tc>
          <w:tcPr>
            <w:tcW w:w="991" w:type="dxa"/>
            <w:shd w:val="clear" w:color="auto" w:fill="auto"/>
            <w:vAlign w:val="bottom"/>
            <w:hideMark/>
          </w:tcPr>
          <w:p w14:paraId="4B2657D3"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9</w:t>
            </w:r>
            <w:r>
              <w:rPr>
                <w:rFonts w:cs="Times New Roman"/>
                <w:sz w:val="18"/>
              </w:rPr>
              <w:t>,</w:t>
            </w:r>
            <w:r w:rsidRPr="00CB26B4">
              <w:rPr>
                <w:rFonts w:cs="Times New Roman"/>
                <w:sz w:val="18"/>
              </w:rPr>
              <w:t>4</w:t>
            </w:r>
          </w:p>
        </w:tc>
      </w:tr>
      <w:tr w:rsidR="00936DFE" w:rsidRPr="00CB26B4" w14:paraId="662C441A" w14:textId="77777777" w:rsidTr="0092680A">
        <w:tc>
          <w:tcPr>
            <w:tcW w:w="2127" w:type="dxa"/>
            <w:shd w:val="clear" w:color="auto" w:fill="auto"/>
            <w:hideMark/>
          </w:tcPr>
          <w:p w14:paraId="4B4487C4" w14:textId="77777777" w:rsidR="00936DFE" w:rsidRPr="00CB26B4" w:rsidRDefault="00936DFE" w:rsidP="00044DA6">
            <w:pPr>
              <w:spacing w:before="40" w:after="40" w:line="220" w:lineRule="exact"/>
              <w:rPr>
                <w:rFonts w:cs="Times New Roman"/>
                <w:sz w:val="18"/>
              </w:rPr>
            </w:pPr>
            <w:r w:rsidRPr="00CB26B4">
              <w:rPr>
                <w:rFonts w:cs="Times New Roman"/>
                <w:sz w:val="18"/>
              </w:rPr>
              <w:t>Вооруженные силы</w:t>
            </w:r>
          </w:p>
        </w:tc>
        <w:tc>
          <w:tcPr>
            <w:tcW w:w="1134" w:type="dxa"/>
            <w:shd w:val="clear" w:color="auto" w:fill="auto"/>
            <w:vAlign w:val="bottom"/>
            <w:hideMark/>
          </w:tcPr>
          <w:p w14:paraId="1F194611"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0</w:t>
            </w:r>
            <w:r>
              <w:rPr>
                <w:rFonts w:cs="Times New Roman"/>
                <w:sz w:val="18"/>
              </w:rPr>
              <w:t>,</w:t>
            </w:r>
            <w:r w:rsidRPr="00CB26B4">
              <w:rPr>
                <w:rFonts w:cs="Times New Roman"/>
                <w:sz w:val="18"/>
              </w:rPr>
              <w:t>5</w:t>
            </w:r>
          </w:p>
        </w:tc>
        <w:tc>
          <w:tcPr>
            <w:tcW w:w="850" w:type="dxa"/>
            <w:shd w:val="clear" w:color="auto" w:fill="auto"/>
            <w:vAlign w:val="bottom"/>
            <w:hideMark/>
          </w:tcPr>
          <w:p w14:paraId="27A1C82E"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0</w:t>
            </w:r>
            <w:r>
              <w:rPr>
                <w:rFonts w:cs="Times New Roman"/>
                <w:sz w:val="18"/>
              </w:rPr>
              <w:t>,</w:t>
            </w:r>
            <w:r w:rsidRPr="00CB26B4">
              <w:rPr>
                <w:rFonts w:cs="Times New Roman"/>
                <w:sz w:val="18"/>
              </w:rPr>
              <w:t>3</w:t>
            </w:r>
          </w:p>
        </w:tc>
        <w:tc>
          <w:tcPr>
            <w:tcW w:w="851" w:type="dxa"/>
            <w:shd w:val="clear" w:color="auto" w:fill="auto"/>
            <w:vAlign w:val="bottom"/>
            <w:hideMark/>
          </w:tcPr>
          <w:p w14:paraId="04894390"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0</w:t>
            </w:r>
            <w:r>
              <w:rPr>
                <w:rFonts w:cs="Times New Roman"/>
                <w:sz w:val="18"/>
              </w:rPr>
              <w:t>,</w:t>
            </w:r>
            <w:r w:rsidRPr="00CB26B4">
              <w:rPr>
                <w:rFonts w:cs="Times New Roman"/>
                <w:sz w:val="18"/>
              </w:rPr>
              <w:t>3</w:t>
            </w:r>
          </w:p>
        </w:tc>
        <w:tc>
          <w:tcPr>
            <w:tcW w:w="708" w:type="dxa"/>
            <w:shd w:val="clear" w:color="auto" w:fill="auto"/>
            <w:vAlign w:val="bottom"/>
            <w:hideMark/>
          </w:tcPr>
          <w:p w14:paraId="20F19D4B"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0</w:t>
            </w:r>
            <w:r>
              <w:rPr>
                <w:rFonts w:cs="Times New Roman"/>
                <w:sz w:val="18"/>
              </w:rPr>
              <w:t>,</w:t>
            </w:r>
            <w:r w:rsidRPr="00CB26B4">
              <w:rPr>
                <w:rFonts w:cs="Times New Roman"/>
                <w:sz w:val="18"/>
              </w:rPr>
              <w:t>1</w:t>
            </w:r>
          </w:p>
        </w:tc>
        <w:tc>
          <w:tcPr>
            <w:tcW w:w="851" w:type="dxa"/>
            <w:shd w:val="clear" w:color="auto" w:fill="auto"/>
            <w:vAlign w:val="bottom"/>
            <w:hideMark/>
          </w:tcPr>
          <w:p w14:paraId="702BFFA3"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0</w:t>
            </w:r>
            <w:r>
              <w:rPr>
                <w:rFonts w:cs="Times New Roman"/>
                <w:sz w:val="18"/>
              </w:rPr>
              <w:t>,</w:t>
            </w:r>
            <w:r w:rsidRPr="00CB26B4">
              <w:rPr>
                <w:rFonts w:cs="Times New Roman"/>
                <w:sz w:val="18"/>
              </w:rPr>
              <w:t>3</w:t>
            </w:r>
          </w:p>
        </w:tc>
        <w:tc>
          <w:tcPr>
            <w:tcW w:w="992" w:type="dxa"/>
            <w:shd w:val="clear" w:color="auto" w:fill="auto"/>
            <w:vAlign w:val="bottom"/>
            <w:hideMark/>
          </w:tcPr>
          <w:p w14:paraId="62FB15A9"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0</w:t>
            </w:r>
            <w:r>
              <w:rPr>
                <w:rFonts w:cs="Times New Roman"/>
                <w:sz w:val="18"/>
              </w:rPr>
              <w:t>,</w:t>
            </w:r>
            <w:r w:rsidRPr="00CB26B4">
              <w:rPr>
                <w:rFonts w:cs="Times New Roman"/>
                <w:sz w:val="18"/>
              </w:rPr>
              <w:t>1</w:t>
            </w:r>
          </w:p>
        </w:tc>
        <w:tc>
          <w:tcPr>
            <w:tcW w:w="991" w:type="dxa"/>
            <w:shd w:val="clear" w:color="auto" w:fill="auto"/>
            <w:vAlign w:val="bottom"/>
            <w:hideMark/>
          </w:tcPr>
          <w:p w14:paraId="557AE190"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0</w:t>
            </w:r>
            <w:r>
              <w:rPr>
                <w:rFonts w:cs="Times New Roman"/>
                <w:sz w:val="18"/>
              </w:rPr>
              <w:t>,</w:t>
            </w:r>
            <w:r w:rsidRPr="00CB26B4">
              <w:rPr>
                <w:rFonts w:cs="Times New Roman"/>
                <w:sz w:val="18"/>
              </w:rPr>
              <w:t>3</w:t>
            </w:r>
          </w:p>
        </w:tc>
      </w:tr>
      <w:tr w:rsidR="00936DFE" w:rsidRPr="00CB26B4" w14:paraId="57248908" w14:textId="77777777" w:rsidTr="00044DA6">
        <w:tc>
          <w:tcPr>
            <w:tcW w:w="2127" w:type="dxa"/>
            <w:tcBorders>
              <w:bottom w:val="single" w:sz="12" w:space="0" w:color="auto"/>
            </w:tcBorders>
            <w:shd w:val="clear" w:color="auto" w:fill="auto"/>
            <w:hideMark/>
          </w:tcPr>
          <w:p w14:paraId="4B3D7DC6" w14:textId="77777777" w:rsidR="00936DFE" w:rsidRPr="00CB26B4" w:rsidRDefault="00936DFE" w:rsidP="00044DA6">
            <w:pPr>
              <w:spacing w:before="40" w:after="40" w:line="220" w:lineRule="exact"/>
              <w:rPr>
                <w:rFonts w:cs="Times New Roman"/>
                <w:sz w:val="18"/>
              </w:rPr>
            </w:pPr>
            <w:r w:rsidRPr="00CB26B4">
              <w:rPr>
                <w:rFonts w:cs="Times New Roman"/>
                <w:sz w:val="18"/>
              </w:rPr>
              <w:t>Не указали</w:t>
            </w:r>
          </w:p>
        </w:tc>
        <w:tc>
          <w:tcPr>
            <w:tcW w:w="1134" w:type="dxa"/>
            <w:tcBorders>
              <w:bottom w:val="single" w:sz="12" w:space="0" w:color="auto"/>
            </w:tcBorders>
            <w:shd w:val="clear" w:color="auto" w:fill="auto"/>
            <w:hideMark/>
          </w:tcPr>
          <w:p w14:paraId="110EF717" w14:textId="77777777" w:rsidR="00936DFE" w:rsidRPr="00CB26B4" w:rsidRDefault="00936DFE" w:rsidP="00044DA6">
            <w:pPr>
              <w:spacing w:before="40" w:after="40" w:line="220" w:lineRule="exact"/>
              <w:jc w:val="right"/>
              <w:rPr>
                <w:rFonts w:cs="Times New Roman"/>
                <w:sz w:val="18"/>
              </w:rPr>
            </w:pPr>
            <w:r w:rsidRPr="00CB26B4">
              <w:rPr>
                <w:rFonts w:cs="Times New Roman"/>
                <w:sz w:val="18"/>
              </w:rPr>
              <w:t>12</w:t>
            </w:r>
            <w:r>
              <w:rPr>
                <w:rFonts w:cs="Times New Roman"/>
                <w:sz w:val="18"/>
              </w:rPr>
              <w:t>,</w:t>
            </w:r>
            <w:r w:rsidRPr="00CB26B4">
              <w:rPr>
                <w:rFonts w:cs="Times New Roman"/>
                <w:sz w:val="18"/>
              </w:rPr>
              <w:t>6</w:t>
            </w:r>
          </w:p>
        </w:tc>
        <w:tc>
          <w:tcPr>
            <w:tcW w:w="850" w:type="dxa"/>
            <w:tcBorders>
              <w:bottom w:val="single" w:sz="12" w:space="0" w:color="auto"/>
            </w:tcBorders>
            <w:shd w:val="clear" w:color="auto" w:fill="auto"/>
            <w:hideMark/>
          </w:tcPr>
          <w:p w14:paraId="0629DEE3" w14:textId="77777777" w:rsidR="00936DFE" w:rsidRPr="00CB26B4" w:rsidRDefault="00936DFE" w:rsidP="00044DA6">
            <w:pPr>
              <w:spacing w:before="40" w:after="40" w:line="220" w:lineRule="exact"/>
              <w:jc w:val="right"/>
              <w:rPr>
                <w:rFonts w:cs="Times New Roman"/>
                <w:sz w:val="18"/>
              </w:rPr>
            </w:pPr>
            <w:r w:rsidRPr="00CB26B4">
              <w:rPr>
                <w:rFonts w:cs="Times New Roman"/>
                <w:sz w:val="18"/>
              </w:rPr>
              <w:t>13</w:t>
            </w:r>
            <w:r>
              <w:rPr>
                <w:rFonts w:cs="Times New Roman"/>
                <w:sz w:val="18"/>
              </w:rPr>
              <w:t>,</w:t>
            </w:r>
            <w:r w:rsidRPr="00CB26B4">
              <w:rPr>
                <w:rFonts w:cs="Times New Roman"/>
                <w:sz w:val="18"/>
              </w:rPr>
              <w:t>1</w:t>
            </w:r>
          </w:p>
        </w:tc>
        <w:tc>
          <w:tcPr>
            <w:tcW w:w="851" w:type="dxa"/>
            <w:tcBorders>
              <w:bottom w:val="single" w:sz="12" w:space="0" w:color="auto"/>
            </w:tcBorders>
            <w:shd w:val="clear" w:color="auto" w:fill="auto"/>
            <w:hideMark/>
          </w:tcPr>
          <w:p w14:paraId="0F58606B" w14:textId="77777777" w:rsidR="00936DFE" w:rsidRPr="00CB26B4" w:rsidRDefault="00936DFE" w:rsidP="00044DA6">
            <w:pPr>
              <w:spacing w:before="40" w:after="40" w:line="220" w:lineRule="exact"/>
              <w:jc w:val="right"/>
              <w:rPr>
                <w:rFonts w:cs="Times New Roman"/>
                <w:sz w:val="18"/>
              </w:rPr>
            </w:pPr>
            <w:r w:rsidRPr="00CB26B4">
              <w:rPr>
                <w:rFonts w:cs="Times New Roman"/>
                <w:sz w:val="18"/>
              </w:rPr>
              <w:t>13</w:t>
            </w:r>
            <w:r>
              <w:rPr>
                <w:rFonts w:cs="Times New Roman"/>
                <w:sz w:val="18"/>
              </w:rPr>
              <w:t>,</w:t>
            </w:r>
            <w:r w:rsidRPr="00CB26B4">
              <w:rPr>
                <w:rFonts w:cs="Times New Roman"/>
                <w:sz w:val="18"/>
              </w:rPr>
              <w:t>5</w:t>
            </w:r>
          </w:p>
        </w:tc>
        <w:tc>
          <w:tcPr>
            <w:tcW w:w="708" w:type="dxa"/>
            <w:tcBorders>
              <w:bottom w:val="single" w:sz="12" w:space="0" w:color="auto"/>
            </w:tcBorders>
            <w:shd w:val="clear" w:color="auto" w:fill="auto"/>
            <w:hideMark/>
          </w:tcPr>
          <w:p w14:paraId="4C7793F4" w14:textId="77777777" w:rsidR="00936DFE" w:rsidRPr="00CB26B4" w:rsidRDefault="00936DFE" w:rsidP="00044DA6">
            <w:pPr>
              <w:spacing w:before="40" w:after="40" w:line="220" w:lineRule="exact"/>
              <w:jc w:val="right"/>
              <w:rPr>
                <w:rFonts w:cs="Times New Roman"/>
                <w:sz w:val="18"/>
              </w:rPr>
            </w:pPr>
            <w:r w:rsidRPr="00CB26B4">
              <w:rPr>
                <w:rFonts w:cs="Times New Roman"/>
                <w:sz w:val="18"/>
              </w:rPr>
              <w:t>12</w:t>
            </w:r>
            <w:r>
              <w:rPr>
                <w:rFonts w:cs="Times New Roman"/>
                <w:sz w:val="18"/>
              </w:rPr>
              <w:t>,</w:t>
            </w:r>
            <w:r w:rsidRPr="00CB26B4">
              <w:rPr>
                <w:rFonts w:cs="Times New Roman"/>
                <w:sz w:val="18"/>
              </w:rPr>
              <w:t>9</w:t>
            </w:r>
          </w:p>
        </w:tc>
        <w:tc>
          <w:tcPr>
            <w:tcW w:w="851" w:type="dxa"/>
            <w:tcBorders>
              <w:bottom w:val="single" w:sz="12" w:space="0" w:color="auto"/>
            </w:tcBorders>
            <w:shd w:val="clear" w:color="auto" w:fill="auto"/>
            <w:hideMark/>
          </w:tcPr>
          <w:p w14:paraId="2273E27E" w14:textId="77777777" w:rsidR="00936DFE" w:rsidRPr="00CB26B4" w:rsidRDefault="00936DFE" w:rsidP="00044DA6">
            <w:pPr>
              <w:spacing w:before="40" w:after="40" w:line="220" w:lineRule="exact"/>
              <w:jc w:val="right"/>
              <w:rPr>
                <w:rFonts w:cs="Times New Roman"/>
                <w:sz w:val="18"/>
              </w:rPr>
            </w:pPr>
            <w:r w:rsidRPr="00CB26B4">
              <w:rPr>
                <w:rFonts w:cs="Times New Roman"/>
                <w:sz w:val="18"/>
              </w:rPr>
              <w:t>10</w:t>
            </w:r>
            <w:r>
              <w:rPr>
                <w:rFonts w:cs="Times New Roman"/>
                <w:sz w:val="18"/>
              </w:rPr>
              <w:t>,</w:t>
            </w:r>
            <w:r w:rsidRPr="00CB26B4">
              <w:rPr>
                <w:rFonts w:cs="Times New Roman"/>
                <w:sz w:val="18"/>
              </w:rPr>
              <w:t>3</w:t>
            </w:r>
          </w:p>
        </w:tc>
        <w:tc>
          <w:tcPr>
            <w:tcW w:w="992" w:type="dxa"/>
            <w:tcBorders>
              <w:bottom w:val="single" w:sz="12" w:space="0" w:color="auto"/>
            </w:tcBorders>
            <w:shd w:val="clear" w:color="auto" w:fill="auto"/>
            <w:hideMark/>
          </w:tcPr>
          <w:p w14:paraId="52C4AFFF" w14:textId="77777777" w:rsidR="00936DFE" w:rsidRPr="00CB26B4" w:rsidRDefault="00936DFE" w:rsidP="00044DA6">
            <w:pPr>
              <w:spacing w:before="40" w:after="40" w:line="220" w:lineRule="exact"/>
              <w:jc w:val="right"/>
              <w:rPr>
                <w:rFonts w:cs="Times New Roman"/>
                <w:sz w:val="18"/>
              </w:rPr>
            </w:pPr>
            <w:r w:rsidRPr="00CB26B4">
              <w:rPr>
                <w:rFonts w:cs="Times New Roman"/>
                <w:sz w:val="18"/>
              </w:rPr>
              <w:t>19</w:t>
            </w:r>
            <w:r>
              <w:rPr>
                <w:rFonts w:cs="Times New Roman"/>
                <w:sz w:val="18"/>
              </w:rPr>
              <w:t>,</w:t>
            </w:r>
            <w:r w:rsidRPr="00CB26B4">
              <w:rPr>
                <w:rFonts w:cs="Times New Roman"/>
                <w:sz w:val="18"/>
              </w:rPr>
              <w:t>0</w:t>
            </w:r>
          </w:p>
        </w:tc>
        <w:tc>
          <w:tcPr>
            <w:tcW w:w="991" w:type="dxa"/>
            <w:tcBorders>
              <w:bottom w:val="single" w:sz="12" w:space="0" w:color="auto"/>
            </w:tcBorders>
            <w:shd w:val="clear" w:color="auto" w:fill="auto"/>
            <w:hideMark/>
          </w:tcPr>
          <w:p w14:paraId="5EA0BAA1" w14:textId="77777777" w:rsidR="00936DFE" w:rsidRPr="00CB26B4" w:rsidRDefault="00936DFE" w:rsidP="00044DA6">
            <w:pPr>
              <w:spacing w:before="40" w:after="40" w:line="220" w:lineRule="exact"/>
              <w:jc w:val="right"/>
              <w:rPr>
                <w:rFonts w:cs="Times New Roman"/>
                <w:sz w:val="18"/>
              </w:rPr>
            </w:pPr>
            <w:r w:rsidRPr="00CB26B4">
              <w:rPr>
                <w:rFonts w:cs="Times New Roman"/>
                <w:sz w:val="18"/>
              </w:rPr>
              <w:t>30</w:t>
            </w:r>
            <w:r>
              <w:rPr>
                <w:rFonts w:cs="Times New Roman"/>
                <w:sz w:val="18"/>
              </w:rPr>
              <w:t>,</w:t>
            </w:r>
            <w:r w:rsidRPr="00CB26B4">
              <w:rPr>
                <w:rFonts w:cs="Times New Roman"/>
                <w:sz w:val="18"/>
              </w:rPr>
              <w:t>2</w:t>
            </w:r>
          </w:p>
        </w:tc>
      </w:tr>
    </w:tbl>
    <w:p w14:paraId="2FA9C9E1" w14:textId="77777777" w:rsidR="00936DFE" w:rsidRPr="00CB26B4" w:rsidRDefault="00936DFE" w:rsidP="00936DFE">
      <w:pPr>
        <w:pStyle w:val="H23G"/>
      </w:pPr>
      <w:r>
        <w:tab/>
      </w:r>
      <w:r>
        <w:tab/>
      </w:r>
      <w:r w:rsidRPr="00CB26B4">
        <w:rPr>
          <w:b w:val="0"/>
          <w:bCs/>
        </w:rPr>
        <w:t>Таблица 2</w:t>
      </w:r>
      <w:r>
        <w:br/>
      </w:r>
      <w:r w:rsidRPr="00CB26B4">
        <w:t>Статистические данные ПНЖ 2014 об уровне безработицы по этническому признаку (%)</w:t>
      </w:r>
    </w:p>
    <w:tbl>
      <w:tblPr>
        <w:tblW w:w="7370" w:type="dxa"/>
        <w:tblInd w:w="1134" w:type="dxa"/>
        <w:tblLayout w:type="fixed"/>
        <w:tblCellMar>
          <w:left w:w="0" w:type="dxa"/>
          <w:right w:w="0" w:type="dxa"/>
        </w:tblCellMar>
        <w:tblLook w:val="00A0" w:firstRow="1" w:lastRow="0" w:firstColumn="1" w:lastColumn="0" w:noHBand="0" w:noVBand="0"/>
      </w:tblPr>
      <w:tblGrid>
        <w:gridCol w:w="1134"/>
        <w:gridCol w:w="1044"/>
        <w:gridCol w:w="997"/>
        <w:gridCol w:w="1350"/>
        <w:gridCol w:w="805"/>
        <w:gridCol w:w="1238"/>
        <w:gridCol w:w="802"/>
      </w:tblGrid>
      <w:tr w:rsidR="00936DFE" w:rsidRPr="00CB26B4" w14:paraId="107BF5A8" w14:textId="77777777" w:rsidTr="00044DA6">
        <w:trPr>
          <w:tblHeader/>
        </w:trPr>
        <w:tc>
          <w:tcPr>
            <w:tcW w:w="1134" w:type="dxa"/>
            <w:vMerge w:val="restart"/>
            <w:tcBorders>
              <w:top w:val="single" w:sz="4" w:space="0" w:color="auto"/>
              <w:bottom w:val="single" w:sz="12" w:space="0" w:color="auto"/>
            </w:tcBorders>
            <w:shd w:val="clear" w:color="auto" w:fill="auto"/>
            <w:vAlign w:val="bottom"/>
          </w:tcPr>
          <w:p w14:paraId="1FB28BA4" w14:textId="77777777" w:rsidR="00936DFE" w:rsidRPr="00CB26B4" w:rsidRDefault="00936DFE" w:rsidP="00044DA6">
            <w:pPr>
              <w:spacing w:before="80" w:after="80" w:line="200" w:lineRule="exact"/>
              <w:rPr>
                <w:rFonts w:cs="Times New Roman"/>
                <w:i/>
                <w:sz w:val="16"/>
              </w:rPr>
            </w:pPr>
            <w:r w:rsidRPr="00CB26B4">
              <w:rPr>
                <w:rFonts w:cs="Times New Roman"/>
                <w:i/>
                <w:sz w:val="16"/>
              </w:rPr>
              <w:t>Этнос</w:t>
            </w:r>
          </w:p>
        </w:tc>
        <w:tc>
          <w:tcPr>
            <w:tcW w:w="2041" w:type="dxa"/>
            <w:gridSpan w:val="2"/>
            <w:tcBorders>
              <w:top w:val="single" w:sz="4" w:space="0" w:color="auto"/>
              <w:bottom w:val="single" w:sz="4" w:space="0" w:color="auto"/>
            </w:tcBorders>
            <w:shd w:val="clear" w:color="auto" w:fill="auto"/>
            <w:vAlign w:val="bottom"/>
            <w:hideMark/>
          </w:tcPr>
          <w:p w14:paraId="1FA3D052" w14:textId="77777777" w:rsidR="00936DFE" w:rsidRPr="00CB26B4" w:rsidRDefault="00936DFE" w:rsidP="00044DA6">
            <w:pPr>
              <w:spacing w:before="80" w:after="80" w:line="200" w:lineRule="exact"/>
              <w:jc w:val="center"/>
              <w:rPr>
                <w:rFonts w:cs="Times New Roman"/>
                <w:i/>
                <w:sz w:val="16"/>
              </w:rPr>
            </w:pPr>
            <w:r w:rsidRPr="00CB26B4">
              <w:rPr>
                <w:rFonts w:cs="Times New Roman"/>
                <w:i/>
                <w:sz w:val="16"/>
              </w:rPr>
              <w:t>Всего</w:t>
            </w:r>
          </w:p>
        </w:tc>
        <w:tc>
          <w:tcPr>
            <w:tcW w:w="2155" w:type="dxa"/>
            <w:gridSpan w:val="2"/>
            <w:tcBorders>
              <w:top w:val="single" w:sz="4" w:space="0" w:color="auto"/>
              <w:bottom w:val="single" w:sz="4" w:space="0" w:color="auto"/>
            </w:tcBorders>
            <w:shd w:val="clear" w:color="auto" w:fill="auto"/>
            <w:vAlign w:val="bottom"/>
            <w:hideMark/>
          </w:tcPr>
          <w:p w14:paraId="6A7BA70A" w14:textId="77777777" w:rsidR="00936DFE" w:rsidRPr="00CB26B4" w:rsidRDefault="00936DFE" w:rsidP="00044DA6">
            <w:pPr>
              <w:spacing w:before="80" w:after="80" w:line="200" w:lineRule="exact"/>
              <w:jc w:val="center"/>
              <w:rPr>
                <w:rFonts w:cs="Times New Roman"/>
                <w:i/>
                <w:sz w:val="16"/>
              </w:rPr>
            </w:pPr>
            <w:r w:rsidRPr="00CB26B4">
              <w:rPr>
                <w:rFonts w:cs="Times New Roman"/>
                <w:i/>
                <w:sz w:val="16"/>
              </w:rPr>
              <w:t>Город</w:t>
            </w:r>
          </w:p>
        </w:tc>
        <w:tc>
          <w:tcPr>
            <w:tcW w:w="2040" w:type="dxa"/>
            <w:gridSpan w:val="2"/>
            <w:tcBorders>
              <w:top w:val="single" w:sz="4" w:space="0" w:color="auto"/>
              <w:bottom w:val="single" w:sz="4" w:space="0" w:color="auto"/>
            </w:tcBorders>
            <w:shd w:val="clear" w:color="auto" w:fill="auto"/>
            <w:vAlign w:val="bottom"/>
            <w:hideMark/>
          </w:tcPr>
          <w:p w14:paraId="24C40EE4" w14:textId="77777777" w:rsidR="00936DFE" w:rsidRPr="00CB26B4" w:rsidRDefault="00936DFE" w:rsidP="00044DA6">
            <w:pPr>
              <w:spacing w:before="80" w:after="80" w:line="200" w:lineRule="exact"/>
              <w:jc w:val="center"/>
              <w:rPr>
                <w:rFonts w:cs="Times New Roman"/>
                <w:i/>
                <w:sz w:val="16"/>
              </w:rPr>
            </w:pPr>
            <w:r w:rsidRPr="00CB26B4">
              <w:rPr>
                <w:rFonts w:cs="Times New Roman"/>
                <w:i/>
                <w:sz w:val="16"/>
              </w:rPr>
              <w:t>Сельская местность</w:t>
            </w:r>
          </w:p>
        </w:tc>
      </w:tr>
      <w:tr w:rsidR="00936DFE" w:rsidRPr="00CB26B4" w14:paraId="30740EA3" w14:textId="77777777" w:rsidTr="00044DA6">
        <w:trPr>
          <w:tblHeader/>
        </w:trPr>
        <w:tc>
          <w:tcPr>
            <w:tcW w:w="1134" w:type="dxa"/>
            <w:vMerge/>
            <w:tcBorders>
              <w:top w:val="single" w:sz="12" w:space="0" w:color="auto"/>
              <w:bottom w:val="single" w:sz="12" w:space="0" w:color="auto"/>
            </w:tcBorders>
            <w:shd w:val="clear" w:color="auto" w:fill="auto"/>
            <w:vAlign w:val="bottom"/>
            <w:hideMark/>
          </w:tcPr>
          <w:p w14:paraId="7E8BE3AD" w14:textId="77777777" w:rsidR="00936DFE" w:rsidRPr="00CB26B4" w:rsidRDefault="00936DFE" w:rsidP="00044DA6">
            <w:pPr>
              <w:spacing w:before="80" w:after="80" w:line="200" w:lineRule="exact"/>
              <w:rPr>
                <w:rFonts w:cs="Times New Roman"/>
                <w:b/>
                <w:i/>
                <w:sz w:val="16"/>
              </w:rPr>
            </w:pPr>
          </w:p>
        </w:tc>
        <w:tc>
          <w:tcPr>
            <w:tcW w:w="1044" w:type="dxa"/>
            <w:tcBorders>
              <w:top w:val="single" w:sz="4" w:space="0" w:color="auto"/>
              <w:bottom w:val="single" w:sz="12" w:space="0" w:color="auto"/>
            </w:tcBorders>
            <w:shd w:val="clear" w:color="auto" w:fill="auto"/>
            <w:vAlign w:val="bottom"/>
            <w:hideMark/>
          </w:tcPr>
          <w:p w14:paraId="57AA6626" w14:textId="77777777" w:rsidR="00936DFE" w:rsidRPr="00CB26B4" w:rsidRDefault="00936DFE" w:rsidP="00044DA6">
            <w:pPr>
              <w:spacing w:before="80" w:after="80" w:line="200" w:lineRule="exact"/>
              <w:jc w:val="right"/>
              <w:rPr>
                <w:rFonts w:cs="Times New Roman"/>
                <w:bCs/>
                <w:i/>
                <w:sz w:val="16"/>
              </w:rPr>
            </w:pPr>
            <w:r w:rsidRPr="00CB26B4">
              <w:rPr>
                <w:rFonts w:cs="Times New Roman"/>
                <w:bCs/>
                <w:i/>
                <w:sz w:val="16"/>
              </w:rPr>
              <w:t>Уровень безработицы</w:t>
            </w:r>
          </w:p>
        </w:tc>
        <w:tc>
          <w:tcPr>
            <w:tcW w:w="997" w:type="dxa"/>
            <w:tcBorders>
              <w:top w:val="single" w:sz="4" w:space="0" w:color="auto"/>
              <w:bottom w:val="single" w:sz="12" w:space="0" w:color="auto"/>
            </w:tcBorders>
            <w:shd w:val="clear" w:color="auto" w:fill="auto"/>
            <w:vAlign w:val="bottom"/>
            <w:hideMark/>
          </w:tcPr>
          <w:p w14:paraId="3F1D94D9" w14:textId="77777777" w:rsidR="00936DFE" w:rsidRPr="00CB26B4" w:rsidRDefault="00936DFE" w:rsidP="00044DA6">
            <w:pPr>
              <w:spacing w:before="80" w:after="80" w:line="200" w:lineRule="exact"/>
              <w:jc w:val="right"/>
              <w:rPr>
                <w:rFonts w:cs="Times New Roman"/>
                <w:bCs/>
                <w:i/>
                <w:sz w:val="16"/>
              </w:rPr>
            </w:pPr>
            <w:r w:rsidRPr="00CB26B4">
              <w:rPr>
                <w:rFonts w:cs="Times New Roman"/>
                <w:bCs/>
                <w:i/>
                <w:sz w:val="16"/>
              </w:rPr>
              <w:t>Другие этносы</w:t>
            </w:r>
          </w:p>
        </w:tc>
        <w:tc>
          <w:tcPr>
            <w:tcW w:w="1350" w:type="dxa"/>
            <w:tcBorders>
              <w:top w:val="single" w:sz="4" w:space="0" w:color="auto"/>
              <w:bottom w:val="single" w:sz="12" w:space="0" w:color="auto"/>
            </w:tcBorders>
            <w:shd w:val="clear" w:color="auto" w:fill="auto"/>
            <w:vAlign w:val="bottom"/>
            <w:hideMark/>
          </w:tcPr>
          <w:p w14:paraId="6CE428E3" w14:textId="77777777" w:rsidR="00936DFE" w:rsidRPr="00CB26B4" w:rsidRDefault="00936DFE" w:rsidP="00044DA6">
            <w:pPr>
              <w:spacing w:before="80" w:after="80" w:line="200" w:lineRule="exact"/>
              <w:jc w:val="right"/>
              <w:rPr>
                <w:rFonts w:cs="Times New Roman"/>
                <w:bCs/>
                <w:i/>
                <w:sz w:val="16"/>
              </w:rPr>
            </w:pPr>
            <w:r w:rsidRPr="00CB26B4">
              <w:rPr>
                <w:rFonts w:cs="Times New Roman"/>
                <w:bCs/>
                <w:i/>
                <w:sz w:val="16"/>
              </w:rPr>
              <w:t>Уровень безработицы</w:t>
            </w:r>
          </w:p>
        </w:tc>
        <w:tc>
          <w:tcPr>
            <w:tcW w:w="805" w:type="dxa"/>
            <w:tcBorders>
              <w:top w:val="single" w:sz="4" w:space="0" w:color="auto"/>
              <w:bottom w:val="single" w:sz="12" w:space="0" w:color="auto"/>
            </w:tcBorders>
            <w:shd w:val="clear" w:color="auto" w:fill="auto"/>
            <w:vAlign w:val="bottom"/>
            <w:hideMark/>
          </w:tcPr>
          <w:p w14:paraId="0801876D" w14:textId="77777777" w:rsidR="00936DFE" w:rsidRPr="00CB26B4" w:rsidRDefault="00936DFE" w:rsidP="00044DA6">
            <w:pPr>
              <w:spacing w:before="80" w:after="80" w:line="200" w:lineRule="exact"/>
              <w:jc w:val="right"/>
              <w:rPr>
                <w:rFonts w:cs="Times New Roman"/>
                <w:bCs/>
                <w:i/>
                <w:sz w:val="16"/>
              </w:rPr>
            </w:pPr>
            <w:r w:rsidRPr="00CB26B4">
              <w:rPr>
                <w:rFonts w:cs="Times New Roman"/>
                <w:bCs/>
                <w:i/>
                <w:sz w:val="16"/>
              </w:rPr>
              <w:t>Другие этносы</w:t>
            </w:r>
          </w:p>
        </w:tc>
        <w:tc>
          <w:tcPr>
            <w:tcW w:w="1238" w:type="dxa"/>
            <w:tcBorders>
              <w:top w:val="single" w:sz="4" w:space="0" w:color="auto"/>
              <w:bottom w:val="single" w:sz="12" w:space="0" w:color="auto"/>
            </w:tcBorders>
            <w:shd w:val="clear" w:color="auto" w:fill="auto"/>
            <w:vAlign w:val="bottom"/>
            <w:hideMark/>
          </w:tcPr>
          <w:p w14:paraId="3DB516EC" w14:textId="77777777" w:rsidR="00936DFE" w:rsidRPr="00CB26B4" w:rsidRDefault="00936DFE" w:rsidP="00044DA6">
            <w:pPr>
              <w:spacing w:before="80" w:after="80" w:line="200" w:lineRule="exact"/>
              <w:jc w:val="right"/>
              <w:rPr>
                <w:rFonts w:cs="Times New Roman"/>
                <w:bCs/>
                <w:i/>
                <w:sz w:val="16"/>
              </w:rPr>
            </w:pPr>
            <w:r w:rsidRPr="00CB26B4">
              <w:rPr>
                <w:rFonts w:cs="Times New Roman"/>
                <w:bCs/>
                <w:i/>
                <w:sz w:val="16"/>
              </w:rPr>
              <w:t>Уровень безработицы</w:t>
            </w:r>
          </w:p>
        </w:tc>
        <w:tc>
          <w:tcPr>
            <w:tcW w:w="802" w:type="dxa"/>
            <w:tcBorders>
              <w:top w:val="single" w:sz="4" w:space="0" w:color="auto"/>
              <w:bottom w:val="single" w:sz="12" w:space="0" w:color="auto"/>
            </w:tcBorders>
            <w:shd w:val="clear" w:color="auto" w:fill="auto"/>
            <w:vAlign w:val="bottom"/>
            <w:hideMark/>
          </w:tcPr>
          <w:p w14:paraId="673D29A8" w14:textId="77777777" w:rsidR="00936DFE" w:rsidRPr="00CB26B4" w:rsidRDefault="00936DFE" w:rsidP="00044DA6">
            <w:pPr>
              <w:spacing w:before="80" w:after="80" w:line="200" w:lineRule="exact"/>
              <w:jc w:val="right"/>
              <w:rPr>
                <w:rFonts w:cs="Times New Roman"/>
                <w:bCs/>
                <w:i/>
                <w:sz w:val="16"/>
              </w:rPr>
            </w:pPr>
            <w:r w:rsidRPr="00CB26B4">
              <w:rPr>
                <w:rFonts w:cs="Times New Roman"/>
                <w:bCs/>
                <w:i/>
                <w:sz w:val="16"/>
              </w:rPr>
              <w:t>Другие этносы</w:t>
            </w:r>
          </w:p>
        </w:tc>
      </w:tr>
      <w:tr w:rsidR="00936DFE" w:rsidRPr="00CB26B4" w14:paraId="2849C896" w14:textId="77777777" w:rsidTr="0092680A">
        <w:tc>
          <w:tcPr>
            <w:tcW w:w="1134" w:type="dxa"/>
            <w:tcBorders>
              <w:top w:val="single" w:sz="12" w:space="0" w:color="auto"/>
            </w:tcBorders>
            <w:shd w:val="clear" w:color="auto" w:fill="auto"/>
            <w:hideMark/>
          </w:tcPr>
          <w:p w14:paraId="6F625FAC" w14:textId="77777777" w:rsidR="00936DFE" w:rsidRPr="00A1474F" w:rsidRDefault="00936DFE" w:rsidP="00044DA6">
            <w:pPr>
              <w:spacing w:before="40" w:after="40" w:line="220" w:lineRule="exact"/>
              <w:rPr>
                <w:rFonts w:cs="Times New Roman"/>
                <w:bCs/>
                <w:sz w:val="18"/>
              </w:rPr>
            </w:pPr>
            <w:proofErr w:type="spellStart"/>
            <w:r w:rsidRPr="007004C1">
              <w:rPr>
                <w:rFonts w:cs="Times New Roman"/>
                <w:bCs/>
                <w:sz w:val="18"/>
              </w:rPr>
              <w:t>Молд</w:t>
            </w:r>
            <w:proofErr w:type="spellEnd"/>
            <w:r w:rsidRPr="007004C1">
              <w:rPr>
                <w:rFonts w:cs="Times New Roman"/>
                <w:bCs/>
                <w:sz w:val="18"/>
              </w:rPr>
              <w:t>. (ром.)</w:t>
            </w:r>
          </w:p>
        </w:tc>
        <w:tc>
          <w:tcPr>
            <w:tcW w:w="1044" w:type="dxa"/>
            <w:tcBorders>
              <w:top w:val="single" w:sz="12" w:space="0" w:color="auto"/>
            </w:tcBorders>
            <w:shd w:val="clear" w:color="auto" w:fill="auto"/>
            <w:vAlign w:val="bottom"/>
            <w:hideMark/>
          </w:tcPr>
          <w:p w14:paraId="2BFD4F3C" w14:textId="77777777" w:rsidR="00936DFE" w:rsidRPr="00A1474F" w:rsidRDefault="00936DFE" w:rsidP="0092680A">
            <w:pPr>
              <w:spacing w:before="40" w:after="40" w:line="220" w:lineRule="exact"/>
              <w:jc w:val="right"/>
              <w:rPr>
                <w:rFonts w:cs="Times New Roman"/>
                <w:bCs/>
                <w:sz w:val="18"/>
              </w:rPr>
            </w:pPr>
            <w:r w:rsidRPr="00A1474F">
              <w:rPr>
                <w:rFonts w:cs="Times New Roman"/>
                <w:bCs/>
                <w:sz w:val="18"/>
              </w:rPr>
              <w:t>2,8</w:t>
            </w:r>
          </w:p>
        </w:tc>
        <w:tc>
          <w:tcPr>
            <w:tcW w:w="997" w:type="dxa"/>
            <w:tcBorders>
              <w:top w:val="single" w:sz="12" w:space="0" w:color="auto"/>
            </w:tcBorders>
            <w:shd w:val="clear" w:color="auto" w:fill="auto"/>
            <w:vAlign w:val="bottom"/>
            <w:hideMark/>
          </w:tcPr>
          <w:p w14:paraId="2FD56D1E"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3,1</w:t>
            </w:r>
          </w:p>
        </w:tc>
        <w:tc>
          <w:tcPr>
            <w:tcW w:w="1350" w:type="dxa"/>
            <w:tcBorders>
              <w:top w:val="single" w:sz="12" w:space="0" w:color="auto"/>
            </w:tcBorders>
            <w:shd w:val="clear" w:color="auto" w:fill="auto"/>
            <w:vAlign w:val="bottom"/>
            <w:hideMark/>
          </w:tcPr>
          <w:p w14:paraId="29C7D3D8"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3,7</w:t>
            </w:r>
          </w:p>
        </w:tc>
        <w:tc>
          <w:tcPr>
            <w:tcW w:w="805" w:type="dxa"/>
            <w:tcBorders>
              <w:top w:val="single" w:sz="12" w:space="0" w:color="auto"/>
            </w:tcBorders>
            <w:shd w:val="clear" w:color="auto" w:fill="auto"/>
            <w:vAlign w:val="bottom"/>
            <w:hideMark/>
          </w:tcPr>
          <w:p w14:paraId="7216C4EE"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3,7</w:t>
            </w:r>
          </w:p>
        </w:tc>
        <w:tc>
          <w:tcPr>
            <w:tcW w:w="1238" w:type="dxa"/>
            <w:tcBorders>
              <w:top w:val="single" w:sz="12" w:space="0" w:color="auto"/>
            </w:tcBorders>
            <w:shd w:val="clear" w:color="auto" w:fill="auto"/>
            <w:vAlign w:val="bottom"/>
            <w:hideMark/>
          </w:tcPr>
          <w:p w14:paraId="6E8DD8E4"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2,3</w:t>
            </w:r>
          </w:p>
        </w:tc>
        <w:tc>
          <w:tcPr>
            <w:tcW w:w="802" w:type="dxa"/>
            <w:tcBorders>
              <w:top w:val="single" w:sz="12" w:space="0" w:color="auto"/>
            </w:tcBorders>
            <w:shd w:val="clear" w:color="auto" w:fill="auto"/>
            <w:vAlign w:val="bottom"/>
            <w:hideMark/>
          </w:tcPr>
          <w:p w14:paraId="52C69B89"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2,3</w:t>
            </w:r>
          </w:p>
        </w:tc>
      </w:tr>
      <w:tr w:rsidR="00936DFE" w:rsidRPr="00CB26B4" w14:paraId="0C51697F" w14:textId="77777777" w:rsidTr="0092680A">
        <w:tc>
          <w:tcPr>
            <w:tcW w:w="1134" w:type="dxa"/>
            <w:shd w:val="clear" w:color="auto" w:fill="auto"/>
            <w:hideMark/>
          </w:tcPr>
          <w:p w14:paraId="31A0F8F6" w14:textId="77777777" w:rsidR="00936DFE" w:rsidRPr="00A1474F" w:rsidRDefault="00936DFE" w:rsidP="00044DA6">
            <w:pPr>
              <w:spacing w:before="40" w:after="40" w:line="220" w:lineRule="exact"/>
              <w:rPr>
                <w:rFonts w:cs="Times New Roman"/>
                <w:bCs/>
                <w:sz w:val="18"/>
              </w:rPr>
            </w:pPr>
            <w:r w:rsidRPr="00A1474F">
              <w:rPr>
                <w:rFonts w:cs="Times New Roman"/>
                <w:bCs/>
                <w:sz w:val="18"/>
              </w:rPr>
              <w:t>Украинцы</w:t>
            </w:r>
          </w:p>
        </w:tc>
        <w:tc>
          <w:tcPr>
            <w:tcW w:w="1044" w:type="dxa"/>
            <w:shd w:val="clear" w:color="auto" w:fill="auto"/>
            <w:vAlign w:val="bottom"/>
            <w:hideMark/>
          </w:tcPr>
          <w:p w14:paraId="077BC060" w14:textId="77777777" w:rsidR="00936DFE" w:rsidRPr="00A1474F" w:rsidRDefault="00936DFE" w:rsidP="0092680A">
            <w:pPr>
              <w:spacing w:before="40" w:after="40" w:line="220" w:lineRule="exact"/>
              <w:jc w:val="right"/>
              <w:rPr>
                <w:rFonts w:cs="Times New Roman"/>
                <w:bCs/>
                <w:sz w:val="18"/>
              </w:rPr>
            </w:pPr>
            <w:r w:rsidRPr="00A1474F">
              <w:rPr>
                <w:rFonts w:cs="Times New Roman"/>
                <w:bCs/>
                <w:sz w:val="18"/>
              </w:rPr>
              <w:t>2,9</w:t>
            </w:r>
          </w:p>
        </w:tc>
        <w:tc>
          <w:tcPr>
            <w:tcW w:w="997" w:type="dxa"/>
            <w:shd w:val="clear" w:color="auto" w:fill="auto"/>
            <w:vAlign w:val="bottom"/>
          </w:tcPr>
          <w:p w14:paraId="318FCF89" w14:textId="77777777" w:rsidR="00936DFE" w:rsidRPr="00CB26B4" w:rsidRDefault="00936DFE" w:rsidP="0092680A">
            <w:pPr>
              <w:spacing w:before="40" w:after="40" w:line="220" w:lineRule="exact"/>
              <w:jc w:val="right"/>
              <w:rPr>
                <w:rFonts w:cs="Times New Roman"/>
                <w:b/>
                <w:sz w:val="18"/>
              </w:rPr>
            </w:pPr>
          </w:p>
        </w:tc>
        <w:tc>
          <w:tcPr>
            <w:tcW w:w="1350" w:type="dxa"/>
            <w:shd w:val="clear" w:color="auto" w:fill="auto"/>
            <w:vAlign w:val="bottom"/>
            <w:hideMark/>
          </w:tcPr>
          <w:p w14:paraId="75197822"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3,7</w:t>
            </w:r>
          </w:p>
        </w:tc>
        <w:tc>
          <w:tcPr>
            <w:tcW w:w="805" w:type="dxa"/>
            <w:shd w:val="clear" w:color="auto" w:fill="auto"/>
            <w:vAlign w:val="bottom"/>
          </w:tcPr>
          <w:p w14:paraId="6D22A77C" w14:textId="77777777" w:rsidR="00936DFE" w:rsidRPr="00CB26B4" w:rsidRDefault="00936DFE" w:rsidP="0092680A">
            <w:pPr>
              <w:spacing w:before="40" w:after="40" w:line="220" w:lineRule="exact"/>
              <w:jc w:val="right"/>
              <w:rPr>
                <w:rFonts w:cs="Times New Roman"/>
                <w:b/>
                <w:sz w:val="18"/>
              </w:rPr>
            </w:pPr>
          </w:p>
        </w:tc>
        <w:tc>
          <w:tcPr>
            <w:tcW w:w="1238" w:type="dxa"/>
            <w:shd w:val="clear" w:color="auto" w:fill="auto"/>
            <w:vAlign w:val="bottom"/>
            <w:hideMark/>
          </w:tcPr>
          <w:p w14:paraId="6580390E"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2,1</w:t>
            </w:r>
          </w:p>
        </w:tc>
        <w:tc>
          <w:tcPr>
            <w:tcW w:w="802" w:type="dxa"/>
            <w:shd w:val="clear" w:color="auto" w:fill="auto"/>
            <w:vAlign w:val="bottom"/>
          </w:tcPr>
          <w:p w14:paraId="0319B56B" w14:textId="77777777" w:rsidR="00936DFE" w:rsidRPr="00CB26B4" w:rsidRDefault="00936DFE" w:rsidP="0092680A">
            <w:pPr>
              <w:spacing w:before="40" w:after="40" w:line="220" w:lineRule="exact"/>
              <w:jc w:val="right"/>
              <w:rPr>
                <w:rFonts w:cs="Times New Roman"/>
                <w:b/>
                <w:sz w:val="18"/>
              </w:rPr>
            </w:pPr>
          </w:p>
        </w:tc>
      </w:tr>
      <w:tr w:rsidR="00936DFE" w:rsidRPr="00CB26B4" w14:paraId="76F8464F" w14:textId="77777777" w:rsidTr="0092680A">
        <w:tc>
          <w:tcPr>
            <w:tcW w:w="1134" w:type="dxa"/>
            <w:shd w:val="clear" w:color="auto" w:fill="auto"/>
            <w:hideMark/>
          </w:tcPr>
          <w:p w14:paraId="2A48D347" w14:textId="77777777" w:rsidR="00936DFE" w:rsidRPr="00A1474F" w:rsidRDefault="00936DFE" w:rsidP="00044DA6">
            <w:pPr>
              <w:spacing w:before="40" w:after="40" w:line="220" w:lineRule="exact"/>
              <w:rPr>
                <w:rFonts w:cs="Times New Roman"/>
                <w:bCs/>
                <w:sz w:val="18"/>
              </w:rPr>
            </w:pPr>
            <w:r w:rsidRPr="00A1474F">
              <w:rPr>
                <w:rFonts w:cs="Times New Roman"/>
                <w:bCs/>
                <w:sz w:val="18"/>
              </w:rPr>
              <w:t>Русские</w:t>
            </w:r>
          </w:p>
        </w:tc>
        <w:tc>
          <w:tcPr>
            <w:tcW w:w="1044" w:type="dxa"/>
            <w:shd w:val="clear" w:color="auto" w:fill="auto"/>
            <w:vAlign w:val="bottom"/>
            <w:hideMark/>
          </w:tcPr>
          <w:p w14:paraId="46DE26B8" w14:textId="77777777" w:rsidR="00936DFE" w:rsidRPr="00A1474F" w:rsidRDefault="00936DFE" w:rsidP="0092680A">
            <w:pPr>
              <w:spacing w:before="40" w:after="40" w:line="220" w:lineRule="exact"/>
              <w:jc w:val="right"/>
              <w:rPr>
                <w:rFonts w:cs="Times New Roman"/>
                <w:bCs/>
                <w:sz w:val="18"/>
              </w:rPr>
            </w:pPr>
            <w:r w:rsidRPr="00A1474F">
              <w:rPr>
                <w:rFonts w:cs="Times New Roman"/>
                <w:bCs/>
                <w:sz w:val="18"/>
              </w:rPr>
              <w:t>3,6</w:t>
            </w:r>
          </w:p>
        </w:tc>
        <w:tc>
          <w:tcPr>
            <w:tcW w:w="997" w:type="dxa"/>
            <w:shd w:val="clear" w:color="auto" w:fill="auto"/>
            <w:vAlign w:val="bottom"/>
          </w:tcPr>
          <w:p w14:paraId="53804CED" w14:textId="77777777" w:rsidR="00936DFE" w:rsidRPr="00CB26B4" w:rsidRDefault="00936DFE" w:rsidP="0092680A">
            <w:pPr>
              <w:spacing w:before="40" w:after="40" w:line="220" w:lineRule="exact"/>
              <w:jc w:val="right"/>
              <w:rPr>
                <w:rFonts w:cs="Times New Roman"/>
                <w:b/>
                <w:sz w:val="18"/>
              </w:rPr>
            </w:pPr>
          </w:p>
        </w:tc>
        <w:tc>
          <w:tcPr>
            <w:tcW w:w="1350" w:type="dxa"/>
            <w:shd w:val="clear" w:color="auto" w:fill="auto"/>
            <w:vAlign w:val="bottom"/>
            <w:hideMark/>
          </w:tcPr>
          <w:p w14:paraId="7C140DCA"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4,0</w:t>
            </w:r>
          </w:p>
        </w:tc>
        <w:tc>
          <w:tcPr>
            <w:tcW w:w="805" w:type="dxa"/>
            <w:shd w:val="clear" w:color="auto" w:fill="auto"/>
            <w:vAlign w:val="bottom"/>
          </w:tcPr>
          <w:p w14:paraId="2861FB97" w14:textId="77777777" w:rsidR="00936DFE" w:rsidRPr="00CB26B4" w:rsidRDefault="00936DFE" w:rsidP="0092680A">
            <w:pPr>
              <w:spacing w:before="40" w:after="40" w:line="220" w:lineRule="exact"/>
              <w:jc w:val="right"/>
              <w:rPr>
                <w:rFonts w:cs="Times New Roman"/>
                <w:b/>
                <w:sz w:val="18"/>
              </w:rPr>
            </w:pPr>
          </w:p>
        </w:tc>
        <w:tc>
          <w:tcPr>
            <w:tcW w:w="1238" w:type="dxa"/>
            <w:shd w:val="clear" w:color="auto" w:fill="auto"/>
            <w:vAlign w:val="bottom"/>
            <w:hideMark/>
          </w:tcPr>
          <w:p w14:paraId="51FD9769"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2,2</w:t>
            </w:r>
          </w:p>
        </w:tc>
        <w:tc>
          <w:tcPr>
            <w:tcW w:w="802" w:type="dxa"/>
            <w:shd w:val="clear" w:color="auto" w:fill="auto"/>
            <w:vAlign w:val="bottom"/>
          </w:tcPr>
          <w:p w14:paraId="08A682E5" w14:textId="77777777" w:rsidR="00936DFE" w:rsidRPr="00CB26B4" w:rsidRDefault="00936DFE" w:rsidP="0092680A">
            <w:pPr>
              <w:spacing w:before="40" w:after="40" w:line="220" w:lineRule="exact"/>
              <w:jc w:val="right"/>
              <w:rPr>
                <w:rFonts w:cs="Times New Roman"/>
                <w:b/>
                <w:sz w:val="18"/>
              </w:rPr>
            </w:pPr>
          </w:p>
        </w:tc>
      </w:tr>
      <w:tr w:rsidR="00936DFE" w:rsidRPr="00CB26B4" w14:paraId="68810558" w14:textId="77777777" w:rsidTr="0092680A">
        <w:tc>
          <w:tcPr>
            <w:tcW w:w="1134" w:type="dxa"/>
            <w:shd w:val="clear" w:color="auto" w:fill="auto"/>
            <w:hideMark/>
          </w:tcPr>
          <w:p w14:paraId="2DAE2A9A" w14:textId="77777777" w:rsidR="00936DFE" w:rsidRPr="00A1474F" w:rsidRDefault="00936DFE" w:rsidP="00044DA6">
            <w:pPr>
              <w:spacing w:before="40" w:after="40" w:line="220" w:lineRule="exact"/>
              <w:rPr>
                <w:rFonts w:cs="Times New Roman"/>
                <w:bCs/>
                <w:sz w:val="18"/>
              </w:rPr>
            </w:pPr>
            <w:r w:rsidRPr="00A1474F">
              <w:rPr>
                <w:rFonts w:cs="Times New Roman"/>
                <w:bCs/>
                <w:sz w:val="18"/>
              </w:rPr>
              <w:t>Гагаузы</w:t>
            </w:r>
          </w:p>
        </w:tc>
        <w:tc>
          <w:tcPr>
            <w:tcW w:w="1044" w:type="dxa"/>
            <w:shd w:val="clear" w:color="auto" w:fill="auto"/>
            <w:vAlign w:val="bottom"/>
            <w:hideMark/>
          </w:tcPr>
          <w:p w14:paraId="0DA530FD" w14:textId="77777777" w:rsidR="00936DFE" w:rsidRPr="00A1474F" w:rsidRDefault="00936DFE" w:rsidP="0092680A">
            <w:pPr>
              <w:spacing w:before="40" w:after="40" w:line="220" w:lineRule="exact"/>
              <w:jc w:val="right"/>
              <w:rPr>
                <w:rFonts w:cs="Times New Roman"/>
                <w:bCs/>
                <w:sz w:val="18"/>
              </w:rPr>
            </w:pPr>
            <w:r w:rsidRPr="00A1474F">
              <w:rPr>
                <w:rFonts w:cs="Times New Roman"/>
                <w:bCs/>
                <w:sz w:val="18"/>
              </w:rPr>
              <w:t>2,7</w:t>
            </w:r>
          </w:p>
        </w:tc>
        <w:tc>
          <w:tcPr>
            <w:tcW w:w="997" w:type="dxa"/>
            <w:shd w:val="clear" w:color="auto" w:fill="auto"/>
            <w:vAlign w:val="bottom"/>
          </w:tcPr>
          <w:p w14:paraId="155501A0" w14:textId="77777777" w:rsidR="00936DFE" w:rsidRPr="00CB26B4" w:rsidRDefault="00936DFE" w:rsidP="0092680A">
            <w:pPr>
              <w:spacing w:before="40" w:after="40" w:line="220" w:lineRule="exact"/>
              <w:jc w:val="right"/>
              <w:rPr>
                <w:rFonts w:cs="Times New Roman"/>
                <w:b/>
                <w:sz w:val="18"/>
              </w:rPr>
            </w:pPr>
          </w:p>
        </w:tc>
        <w:tc>
          <w:tcPr>
            <w:tcW w:w="1350" w:type="dxa"/>
            <w:shd w:val="clear" w:color="auto" w:fill="auto"/>
            <w:vAlign w:val="bottom"/>
            <w:hideMark/>
          </w:tcPr>
          <w:p w14:paraId="792C14F0"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3,3</w:t>
            </w:r>
          </w:p>
        </w:tc>
        <w:tc>
          <w:tcPr>
            <w:tcW w:w="805" w:type="dxa"/>
            <w:shd w:val="clear" w:color="auto" w:fill="auto"/>
            <w:vAlign w:val="bottom"/>
          </w:tcPr>
          <w:p w14:paraId="2B2C35C6" w14:textId="77777777" w:rsidR="00936DFE" w:rsidRPr="00CB26B4" w:rsidRDefault="00936DFE" w:rsidP="0092680A">
            <w:pPr>
              <w:spacing w:before="40" w:after="40" w:line="220" w:lineRule="exact"/>
              <w:jc w:val="right"/>
              <w:rPr>
                <w:rFonts w:cs="Times New Roman"/>
                <w:b/>
                <w:sz w:val="18"/>
              </w:rPr>
            </w:pPr>
          </w:p>
        </w:tc>
        <w:tc>
          <w:tcPr>
            <w:tcW w:w="1238" w:type="dxa"/>
            <w:shd w:val="clear" w:color="auto" w:fill="auto"/>
            <w:vAlign w:val="bottom"/>
            <w:hideMark/>
          </w:tcPr>
          <w:p w14:paraId="5A17A6B3"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2,2</w:t>
            </w:r>
          </w:p>
        </w:tc>
        <w:tc>
          <w:tcPr>
            <w:tcW w:w="802" w:type="dxa"/>
            <w:shd w:val="clear" w:color="auto" w:fill="auto"/>
            <w:vAlign w:val="bottom"/>
          </w:tcPr>
          <w:p w14:paraId="5862FC97" w14:textId="77777777" w:rsidR="00936DFE" w:rsidRPr="00CB26B4" w:rsidRDefault="00936DFE" w:rsidP="0092680A">
            <w:pPr>
              <w:spacing w:before="40" w:after="40" w:line="220" w:lineRule="exact"/>
              <w:jc w:val="right"/>
              <w:rPr>
                <w:rFonts w:cs="Times New Roman"/>
                <w:b/>
                <w:sz w:val="18"/>
              </w:rPr>
            </w:pPr>
          </w:p>
        </w:tc>
      </w:tr>
      <w:tr w:rsidR="00936DFE" w:rsidRPr="00CB26B4" w14:paraId="30300203" w14:textId="77777777" w:rsidTr="0092680A">
        <w:tc>
          <w:tcPr>
            <w:tcW w:w="1134" w:type="dxa"/>
            <w:shd w:val="clear" w:color="auto" w:fill="auto"/>
            <w:hideMark/>
          </w:tcPr>
          <w:p w14:paraId="38B6EEAA" w14:textId="77777777" w:rsidR="00936DFE" w:rsidRPr="00A1474F" w:rsidRDefault="00936DFE" w:rsidP="00044DA6">
            <w:pPr>
              <w:spacing w:before="40" w:after="40" w:line="220" w:lineRule="exact"/>
              <w:rPr>
                <w:rFonts w:cs="Times New Roman"/>
                <w:bCs/>
                <w:sz w:val="18"/>
              </w:rPr>
            </w:pPr>
            <w:r w:rsidRPr="00A1474F">
              <w:rPr>
                <w:rFonts w:cs="Times New Roman"/>
                <w:bCs/>
                <w:sz w:val="18"/>
              </w:rPr>
              <w:t>Болгары</w:t>
            </w:r>
          </w:p>
        </w:tc>
        <w:tc>
          <w:tcPr>
            <w:tcW w:w="1044" w:type="dxa"/>
            <w:shd w:val="clear" w:color="auto" w:fill="auto"/>
            <w:vAlign w:val="bottom"/>
            <w:hideMark/>
          </w:tcPr>
          <w:p w14:paraId="5CEEC699" w14:textId="77777777" w:rsidR="00936DFE" w:rsidRPr="00A1474F" w:rsidRDefault="00936DFE" w:rsidP="0092680A">
            <w:pPr>
              <w:spacing w:before="40" w:after="40" w:line="220" w:lineRule="exact"/>
              <w:jc w:val="right"/>
              <w:rPr>
                <w:rFonts w:cs="Times New Roman"/>
                <w:bCs/>
                <w:sz w:val="18"/>
              </w:rPr>
            </w:pPr>
            <w:r w:rsidRPr="00A1474F">
              <w:rPr>
                <w:rFonts w:cs="Times New Roman"/>
                <w:bCs/>
                <w:sz w:val="18"/>
              </w:rPr>
              <w:t>2,9</w:t>
            </w:r>
          </w:p>
        </w:tc>
        <w:tc>
          <w:tcPr>
            <w:tcW w:w="997" w:type="dxa"/>
            <w:shd w:val="clear" w:color="auto" w:fill="auto"/>
            <w:vAlign w:val="bottom"/>
          </w:tcPr>
          <w:p w14:paraId="4F45C96D" w14:textId="77777777" w:rsidR="00936DFE" w:rsidRPr="00CB26B4" w:rsidRDefault="00936DFE" w:rsidP="0092680A">
            <w:pPr>
              <w:spacing w:before="40" w:after="40" w:line="220" w:lineRule="exact"/>
              <w:jc w:val="right"/>
              <w:rPr>
                <w:rFonts w:cs="Times New Roman"/>
                <w:b/>
                <w:sz w:val="18"/>
              </w:rPr>
            </w:pPr>
          </w:p>
        </w:tc>
        <w:tc>
          <w:tcPr>
            <w:tcW w:w="1350" w:type="dxa"/>
            <w:shd w:val="clear" w:color="auto" w:fill="auto"/>
            <w:vAlign w:val="bottom"/>
            <w:hideMark/>
          </w:tcPr>
          <w:p w14:paraId="434D3F60"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2,9</w:t>
            </w:r>
          </w:p>
        </w:tc>
        <w:tc>
          <w:tcPr>
            <w:tcW w:w="805" w:type="dxa"/>
            <w:shd w:val="clear" w:color="auto" w:fill="auto"/>
            <w:vAlign w:val="bottom"/>
          </w:tcPr>
          <w:p w14:paraId="05852B7B" w14:textId="77777777" w:rsidR="00936DFE" w:rsidRPr="00CB26B4" w:rsidRDefault="00936DFE" w:rsidP="0092680A">
            <w:pPr>
              <w:spacing w:before="40" w:after="40" w:line="220" w:lineRule="exact"/>
              <w:jc w:val="right"/>
              <w:rPr>
                <w:rFonts w:cs="Times New Roman"/>
                <w:b/>
                <w:sz w:val="18"/>
              </w:rPr>
            </w:pPr>
          </w:p>
        </w:tc>
        <w:tc>
          <w:tcPr>
            <w:tcW w:w="1238" w:type="dxa"/>
            <w:shd w:val="clear" w:color="auto" w:fill="auto"/>
            <w:vAlign w:val="bottom"/>
            <w:hideMark/>
          </w:tcPr>
          <w:p w14:paraId="60E1CCD9"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2,8</w:t>
            </w:r>
          </w:p>
        </w:tc>
        <w:tc>
          <w:tcPr>
            <w:tcW w:w="802" w:type="dxa"/>
            <w:shd w:val="clear" w:color="auto" w:fill="auto"/>
            <w:vAlign w:val="bottom"/>
          </w:tcPr>
          <w:p w14:paraId="517C7F64" w14:textId="77777777" w:rsidR="00936DFE" w:rsidRPr="00CB26B4" w:rsidRDefault="00936DFE" w:rsidP="0092680A">
            <w:pPr>
              <w:spacing w:before="40" w:after="40" w:line="220" w:lineRule="exact"/>
              <w:jc w:val="right"/>
              <w:rPr>
                <w:rFonts w:cs="Times New Roman"/>
                <w:b/>
                <w:sz w:val="18"/>
              </w:rPr>
            </w:pPr>
          </w:p>
        </w:tc>
      </w:tr>
      <w:tr w:rsidR="00936DFE" w:rsidRPr="00CB26B4" w14:paraId="4637AC9C" w14:textId="77777777" w:rsidTr="0092680A">
        <w:tc>
          <w:tcPr>
            <w:tcW w:w="1134" w:type="dxa"/>
            <w:tcBorders>
              <w:bottom w:val="single" w:sz="12" w:space="0" w:color="auto"/>
            </w:tcBorders>
            <w:shd w:val="clear" w:color="auto" w:fill="auto"/>
            <w:hideMark/>
          </w:tcPr>
          <w:p w14:paraId="3CC9E908" w14:textId="77777777" w:rsidR="00936DFE" w:rsidRPr="00A1474F" w:rsidRDefault="00936DFE" w:rsidP="00044DA6">
            <w:pPr>
              <w:spacing w:before="40" w:after="40" w:line="220" w:lineRule="exact"/>
              <w:rPr>
                <w:rFonts w:cs="Times New Roman"/>
                <w:bCs/>
                <w:sz w:val="18"/>
              </w:rPr>
            </w:pPr>
            <w:r w:rsidRPr="00A1474F">
              <w:rPr>
                <w:rFonts w:cs="Times New Roman"/>
                <w:bCs/>
                <w:sz w:val="18"/>
              </w:rPr>
              <w:t>Другие этносы</w:t>
            </w:r>
          </w:p>
        </w:tc>
        <w:tc>
          <w:tcPr>
            <w:tcW w:w="1044" w:type="dxa"/>
            <w:tcBorders>
              <w:bottom w:val="single" w:sz="12" w:space="0" w:color="auto"/>
            </w:tcBorders>
            <w:shd w:val="clear" w:color="auto" w:fill="auto"/>
            <w:vAlign w:val="bottom"/>
            <w:hideMark/>
          </w:tcPr>
          <w:p w14:paraId="28FDBDBC" w14:textId="77777777" w:rsidR="00936DFE" w:rsidRPr="00A1474F" w:rsidRDefault="00936DFE" w:rsidP="0092680A">
            <w:pPr>
              <w:spacing w:before="40" w:after="40" w:line="220" w:lineRule="exact"/>
              <w:jc w:val="right"/>
              <w:rPr>
                <w:rFonts w:cs="Times New Roman"/>
                <w:bCs/>
                <w:sz w:val="18"/>
              </w:rPr>
            </w:pPr>
            <w:r w:rsidRPr="00A1474F">
              <w:rPr>
                <w:rFonts w:cs="Times New Roman"/>
                <w:bCs/>
                <w:sz w:val="18"/>
              </w:rPr>
              <w:t>3,9</w:t>
            </w:r>
          </w:p>
        </w:tc>
        <w:tc>
          <w:tcPr>
            <w:tcW w:w="997" w:type="dxa"/>
            <w:tcBorders>
              <w:bottom w:val="single" w:sz="12" w:space="0" w:color="auto"/>
            </w:tcBorders>
            <w:shd w:val="clear" w:color="auto" w:fill="auto"/>
            <w:vAlign w:val="bottom"/>
          </w:tcPr>
          <w:p w14:paraId="2964A95E" w14:textId="77777777" w:rsidR="00936DFE" w:rsidRPr="00CB26B4" w:rsidRDefault="00936DFE" w:rsidP="0092680A">
            <w:pPr>
              <w:spacing w:before="40" w:after="40" w:line="220" w:lineRule="exact"/>
              <w:jc w:val="right"/>
              <w:rPr>
                <w:rFonts w:cs="Times New Roman"/>
                <w:b/>
                <w:sz w:val="18"/>
              </w:rPr>
            </w:pPr>
          </w:p>
        </w:tc>
        <w:tc>
          <w:tcPr>
            <w:tcW w:w="1350" w:type="dxa"/>
            <w:tcBorders>
              <w:bottom w:val="single" w:sz="12" w:space="0" w:color="auto"/>
            </w:tcBorders>
            <w:shd w:val="clear" w:color="auto" w:fill="auto"/>
            <w:vAlign w:val="bottom"/>
            <w:hideMark/>
          </w:tcPr>
          <w:p w14:paraId="15C24D59"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4,0</w:t>
            </w:r>
          </w:p>
        </w:tc>
        <w:tc>
          <w:tcPr>
            <w:tcW w:w="805" w:type="dxa"/>
            <w:tcBorders>
              <w:bottom w:val="single" w:sz="12" w:space="0" w:color="auto"/>
            </w:tcBorders>
            <w:shd w:val="clear" w:color="auto" w:fill="auto"/>
            <w:vAlign w:val="bottom"/>
          </w:tcPr>
          <w:p w14:paraId="5A1E0CC6" w14:textId="77777777" w:rsidR="00936DFE" w:rsidRPr="00CB26B4" w:rsidRDefault="00936DFE" w:rsidP="0092680A">
            <w:pPr>
              <w:spacing w:before="40" w:after="40" w:line="220" w:lineRule="exact"/>
              <w:jc w:val="right"/>
              <w:rPr>
                <w:rFonts w:cs="Times New Roman"/>
                <w:b/>
                <w:sz w:val="18"/>
              </w:rPr>
            </w:pPr>
          </w:p>
        </w:tc>
        <w:tc>
          <w:tcPr>
            <w:tcW w:w="1238" w:type="dxa"/>
            <w:tcBorders>
              <w:bottom w:val="single" w:sz="12" w:space="0" w:color="auto"/>
            </w:tcBorders>
            <w:shd w:val="clear" w:color="auto" w:fill="auto"/>
            <w:vAlign w:val="bottom"/>
            <w:hideMark/>
          </w:tcPr>
          <w:p w14:paraId="4DDCDFAC"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3,6</w:t>
            </w:r>
          </w:p>
        </w:tc>
        <w:tc>
          <w:tcPr>
            <w:tcW w:w="802" w:type="dxa"/>
            <w:tcBorders>
              <w:bottom w:val="single" w:sz="12" w:space="0" w:color="auto"/>
            </w:tcBorders>
            <w:shd w:val="clear" w:color="auto" w:fill="auto"/>
            <w:vAlign w:val="bottom"/>
          </w:tcPr>
          <w:p w14:paraId="2D7D97DC" w14:textId="77777777" w:rsidR="00936DFE" w:rsidRPr="00CB26B4" w:rsidRDefault="00936DFE" w:rsidP="0092680A">
            <w:pPr>
              <w:spacing w:before="40" w:after="40" w:line="220" w:lineRule="exact"/>
              <w:jc w:val="right"/>
              <w:rPr>
                <w:rFonts w:cs="Times New Roman"/>
                <w:b/>
                <w:sz w:val="18"/>
              </w:rPr>
            </w:pPr>
          </w:p>
        </w:tc>
      </w:tr>
    </w:tbl>
    <w:p w14:paraId="60E5C6C5" w14:textId="77777777" w:rsidR="00936DFE" w:rsidRPr="00CB26B4" w:rsidRDefault="00936DFE" w:rsidP="00936DFE">
      <w:pPr>
        <w:pStyle w:val="H23G"/>
      </w:pPr>
      <w:r>
        <w:tab/>
      </w:r>
      <w:r>
        <w:tab/>
      </w:r>
      <w:r w:rsidRPr="00CB26B4">
        <w:rPr>
          <w:b w:val="0"/>
          <w:bCs/>
        </w:rPr>
        <w:t>Таблица 3</w:t>
      </w:r>
      <w:r>
        <w:br/>
      </w:r>
      <w:r w:rsidRPr="00CB26B4">
        <w:t>Статистические данные ПНЖ 2014 по представительству этнических меньшинств в государственном управлении</w:t>
      </w:r>
    </w:p>
    <w:tbl>
      <w:tblPr>
        <w:tblW w:w="7370" w:type="dxa"/>
        <w:tblInd w:w="1134" w:type="dxa"/>
        <w:tblLayout w:type="fixed"/>
        <w:tblCellMar>
          <w:left w:w="0" w:type="dxa"/>
          <w:right w:w="0" w:type="dxa"/>
        </w:tblCellMar>
        <w:tblLook w:val="00A0" w:firstRow="1" w:lastRow="0" w:firstColumn="1" w:lastColumn="0" w:noHBand="0" w:noVBand="0"/>
      </w:tblPr>
      <w:tblGrid>
        <w:gridCol w:w="1050"/>
        <w:gridCol w:w="980"/>
        <w:gridCol w:w="1106"/>
        <w:gridCol w:w="1008"/>
        <w:gridCol w:w="1101"/>
        <w:gridCol w:w="992"/>
        <w:gridCol w:w="1133"/>
      </w:tblGrid>
      <w:tr w:rsidR="00936DFE" w:rsidRPr="00CB26B4" w14:paraId="72C6D6FA" w14:textId="77777777" w:rsidTr="00044DA6">
        <w:trPr>
          <w:tblHeader/>
        </w:trPr>
        <w:tc>
          <w:tcPr>
            <w:tcW w:w="1050" w:type="dxa"/>
            <w:vMerge w:val="restart"/>
            <w:tcBorders>
              <w:top w:val="single" w:sz="4" w:space="0" w:color="auto"/>
              <w:bottom w:val="single" w:sz="12" w:space="0" w:color="auto"/>
            </w:tcBorders>
            <w:shd w:val="clear" w:color="auto" w:fill="auto"/>
            <w:vAlign w:val="bottom"/>
            <w:hideMark/>
          </w:tcPr>
          <w:p w14:paraId="6A075532" w14:textId="77777777" w:rsidR="00936DFE" w:rsidRPr="00CB26B4" w:rsidRDefault="00936DFE" w:rsidP="00044DA6">
            <w:pPr>
              <w:spacing w:before="80" w:after="80" w:line="200" w:lineRule="exact"/>
              <w:rPr>
                <w:rFonts w:cs="Times New Roman"/>
                <w:i/>
                <w:sz w:val="16"/>
              </w:rPr>
            </w:pPr>
            <w:r w:rsidRPr="00CB26B4">
              <w:rPr>
                <w:rFonts w:cs="Times New Roman"/>
                <w:i/>
                <w:sz w:val="16"/>
              </w:rPr>
              <w:t>Этнос</w:t>
            </w:r>
          </w:p>
        </w:tc>
        <w:tc>
          <w:tcPr>
            <w:tcW w:w="2086" w:type="dxa"/>
            <w:gridSpan w:val="2"/>
            <w:tcBorders>
              <w:top w:val="single" w:sz="4" w:space="0" w:color="auto"/>
              <w:bottom w:val="single" w:sz="4" w:space="0" w:color="auto"/>
            </w:tcBorders>
            <w:shd w:val="clear" w:color="auto" w:fill="auto"/>
            <w:vAlign w:val="bottom"/>
          </w:tcPr>
          <w:p w14:paraId="365C5301" w14:textId="77777777" w:rsidR="00936DFE" w:rsidRPr="00CB26B4" w:rsidRDefault="00936DFE" w:rsidP="00044DA6">
            <w:pPr>
              <w:spacing w:before="80" w:after="80" w:line="200" w:lineRule="exact"/>
              <w:jc w:val="center"/>
              <w:rPr>
                <w:rFonts w:cs="Times New Roman"/>
                <w:i/>
                <w:sz w:val="16"/>
              </w:rPr>
            </w:pPr>
            <w:r w:rsidRPr="00CB26B4">
              <w:rPr>
                <w:rFonts w:cs="Times New Roman"/>
                <w:i/>
                <w:sz w:val="16"/>
              </w:rPr>
              <w:t>Всего</w:t>
            </w:r>
          </w:p>
        </w:tc>
        <w:tc>
          <w:tcPr>
            <w:tcW w:w="2109" w:type="dxa"/>
            <w:gridSpan w:val="2"/>
            <w:tcBorders>
              <w:top w:val="single" w:sz="4" w:space="0" w:color="auto"/>
              <w:bottom w:val="single" w:sz="4" w:space="0" w:color="auto"/>
            </w:tcBorders>
            <w:shd w:val="clear" w:color="auto" w:fill="auto"/>
            <w:vAlign w:val="bottom"/>
            <w:hideMark/>
          </w:tcPr>
          <w:p w14:paraId="0EE9202A" w14:textId="77777777" w:rsidR="00936DFE" w:rsidRPr="00CB26B4" w:rsidRDefault="00936DFE" w:rsidP="00044DA6">
            <w:pPr>
              <w:spacing w:before="80" w:after="80" w:line="200" w:lineRule="exact"/>
              <w:jc w:val="center"/>
              <w:rPr>
                <w:rFonts w:cs="Times New Roman"/>
                <w:i/>
                <w:sz w:val="16"/>
              </w:rPr>
            </w:pPr>
            <w:r w:rsidRPr="00CB26B4">
              <w:rPr>
                <w:rFonts w:cs="Times New Roman"/>
                <w:i/>
                <w:sz w:val="16"/>
              </w:rPr>
              <w:t>Город</w:t>
            </w:r>
          </w:p>
        </w:tc>
        <w:tc>
          <w:tcPr>
            <w:tcW w:w="2125" w:type="dxa"/>
            <w:gridSpan w:val="2"/>
            <w:tcBorders>
              <w:top w:val="single" w:sz="4" w:space="0" w:color="auto"/>
              <w:bottom w:val="single" w:sz="4" w:space="0" w:color="auto"/>
            </w:tcBorders>
            <w:shd w:val="clear" w:color="auto" w:fill="auto"/>
            <w:vAlign w:val="bottom"/>
            <w:hideMark/>
          </w:tcPr>
          <w:p w14:paraId="208393B9" w14:textId="77777777" w:rsidR="00936DFE" w:rsidRPr="00CB26B4" w:rsidRDefault="00936DFE" w:rsidP="00044DA6">
            <w:pPr>
              <w:spacing w:before="80" w:after="80" w:line="200" w:lineRule="exact"/>
              <w:jc w:val="center"/>
              <w:rPr>
                <w:rFonts w:cs="Times New Roman"/>
                <w:i/>
                <w:sz w:val="16"/>
              </w:rPr>
            </w:pPr>
            <w:r w:rsidRPr="00CB26B4">
              <w:rPr>
                <w:rFonts w:cs="Times New Roman"/>
                <w:i/>
                <w:sz w:val="16"/>
              </w:rPr>
              <w:t>Сельская местность</w:t>
            </w:r>
          </w:p>
        </w:tc>
      </w:tr>
      <w:tr w:rsidR="00936DFE" w:rsidRPr="00CB26B4" w14:paraId="4EAC6CC4" w14:textId="77777777" w:rsidTr="00044DA6">
        <w:trPr>
          <w:tblHeader/>
        </w:trPr>
        <w:tc>
          <w:tcPr>
            <w:tcW w:w="1050" w:type="dxa"/>
            <w:vMerge/>
            <w:tcBorders>
              <w:top w:val="single" w:sz="12" w:space="0" w:color="auto"/>
              <w:bottom w:val="single" w:sz="12" w:space="0" w:color="auto"/>
            </w:tcBorders>
            <w:shd w:val="clear" w:color="auto" w:fill="auto"/>
            <w:vAlign w:val="bottom"/>
            <w:hideMark/>
          </w:tcPr>
          <w:p w14:paraId="51322C8E" w14:textId="77777777" w:rsidR="00936DFE" w:rsidRPr="00CB26B4" w:rsidRDefault="00936DFE" w:rsidP="00044DA6">
            <w:pPr>
              <w:spacing w:before="80" w:after="80" w:line="200" w:lineRule="exact"/>
              <w:rPr>
                <w:rFonts w:cs="Times New Roman"/>
                <w:i/>
                <w:sz w:val="16"/>
              </w:rPr>
            </w:pPr>
          </w:p>
        </w:tc>
        <w:tc>
          <w:tcPr>
            <w:tcW w:w="980" w:type="dxa"/>
            <w:tcBorders>
              <w:top w:val="single" w:sz="4" w:space="0" w:color="auto"/>
              <w:bottom w:val="single" w:sz="12" w:space="0" w:color="auto"/>
            </w:tcBorders>
            <w:shd w:val="clear" w:color="auto" w:fill="auto"/>
            <w:vAlign w:val="bottom"/>
            <w:hideMark/>
          </w:tcPr>
          <w:p w14:paraId="0CE4279E" w14:textId="77777777" w:rsidR="00936DFE" w:rsidRPr="00CB26B4" w:rsidRDefault="00936DFE" w:rsidP="00044DA6">
            <w:pPr>
              <w:spacing w:before="80" w:after="80" w:line="200" w:lineRule="exact"/>
              <w:jc w:val="right"/>
              <w:rPr>
                <w:rFonts w:cs="Times New Roman"/>
                <w:i/>
                <w:sz w:val="16"/>
              </w:rPr>
            </w:pPr>
            <w:r w:rsidRPr="00CB26B4">
              <w:rPr>
                <w:rFonts w:cs="Times New Roman"/>
                <w:i/>
                <w:sz w:val="16"/>
              </w:rPr>
              <w:t>Занятые в ГУ</w:t>
            </w:r>
          </w:p>
        </w:tc>
        <w:tc>
          <w:tcPr>
            <w:tcW w:w="1106" w:type="dxa"/>
            <w:tcBorders>
              <w:top w:val="single" w:sz="4" w:space="0" w:color="auto"/>
              <w:bottom w:val="single" w:sz="12" w:space="0" w:color="auto"/>
            </w:tcBorders>
            <w:shd w:val="clear" w:color="auto" w:fill="auto"/>
            <w:vAlign w:val="bottom"/>
            <w:hideMark/>
          </w:tcPr>
          <w:p w14:paraId="27D09EAF" w14:textId="77777777" w:rsidR="00936DFE" w:rsidRPr="00CB26B4" w:rsidRDefault="00936DFE" w:rsidP="00044DA6">
            <w:pPr>
              <w:spacing w:before="80" w:after="80" w:line="200" w:lineRule="exact"/>
              <w:jc w:val="right"/>
              <w:rPr>
                <w:rFonts w:cs="Times New Roman"/>
                <w:i/>
                <w:sz w:val="16"/>
              </w:rPr>
            </w:pPr>
            <w:r w:rsidRPr="00CB26B4">
              <w:rPr>
                <w:rFonts w:cs="Times New Roman"/>
                <w:i/>
                <w:sz w:val="16"/>
              </w:rPr>
              <w:t>Другие этносы</w:t>
            </w:r>
          </w:p>
        </w:tc>
        <w:tc>
          <w:tcPr>
            <w:tcW w:w="1008" w:type="dxa"/>
            <w:tcBorders>
              <w:top w:val="single" w:sz="4" w:space="0" w:color="auto"/>
              <w:bottom w:val="single" w:sz="12" w:space="0" w:color="auto"/>
            </w:tcBorders>
            <w:shd w:val="clear" w:color="auto" w:fill="auto"/>
            <w:vAlign w:val="bottom"/>
            <w:hideMark/>
          </w:tcPr>
          <w:p w14:paraId="09646197" w14:textId="77777777" w:rsidR="00936DFE" w:rsidRPr="00CB26B4" w:rsidRDefault="00936DFE" w:rsidP="00044DA6">
            <w:pPr>
              <w:spacing w:before="80" w:after="80" w:line="200" w:lineRule="exact"/>
              <w:jc w:val="right"/>
              <w:rPr>
                <w:rFonts w:cs="Times New Roman"/>
                <w:i/>
                <w:sz w:val="16"/>
              </w:rPr>
            </w:pPr>
            <w:r w:rsidRPr="00CB26B4">
              <w:rPr>
                <w:rFonts w:cs="Times New Roman"/>
                <w:i/>
                <w:sz w:val="16"/>
              </w:rPr>
              <w:t>Занятые в ГУ</w:t>
            </w:r>
          </w:p>
        </w:tc>
        <w:tc>
          <w:tcPr>
            <w:tcW w:w="1101" w:type="dxa"/>
            <w:tcBorders>
              <w:top w:val="single" w:sz="4" w:space="0" w:color="auto"/>
              <w:bottom w:val="single" w:sz="12" w:space="0" w:color="auto"/>
            </w:tcBorders>
            <w:shd w:val="clear" w:color="auto" w:fill="auto"/>
            <w:vAlign w:val="bottom"/>
            <w:hideMark/>
          </w:tcPr>
          <w:p w14:paraId="6B00924E" w14:textId="77777777" w:rsidR="00936DFE" w:rsidRPr="00CB26B4" w:rsidRDefault="00936DFE" w:rsidP="00044DA6">
            <w:pPr>
              <w:spacing w:before="80" w:after="80" w:line="200" w:lineRule="exact"/>
              <w:jc w:val="right"/>
              <w:rPr>
                <w:rFonts w:cs="Times New Roman"/>
                <w:i/>
                <w:sz w:val="16"/>
              </w:rPr>
            </w:pPr>
            <w:r w:rsidRPr="00CB26B4">
              <w:rPr>
                <w:rFonts w:cs="Times New Roman"/>
                <w:i/>
                <w:sz w:val="16"/>
              </w:rPr>
              <w:t>Другие этносы</w:t>
            </w:r>
          </w:p>
        </w:tc>
        <w:tc>
          <w:tcPr>
            <w:tcW w:w="992" w:type="dxa"/>
            <w:tcBorders>
              <w:top w:val="single" w:sz="4" w:space="0" w:color="auto"/>
              <w:bottom w:val="single" w:sz="12" w:space="0" w:color="auto"/>
            </w:tcBorders>
            <w:shd w:val="clear" w:color="auto" w:fill="auto"/>
            <w:vAlign w:val="bottom"/>
            <w:hideMark/>
          </w:tcPr>
          <w:p w14:paraId="0FF999DF" w14:textId="77777777" w:rsidR="00936DFE" w:rsidRPr="00CB26B4" w:rsidRDefault="00936DFE" w:rsidP="00044DA6">
            <w:pPr>
              <w:spacing w:before="80" w:after="80" w:line="200" w:lineRule="exact"/>
              <w:jc w:val="right"/>
              <w:rPr>
                <w:rFonts w:cs="Times New Roman"/>
                <w:i/>
                <w:sz w:val="16"/>
              </w:rPr>
            </w:pPr>
            <w:r w:rsidRPr="00CB26B4">
              <w:rPr>
                <w:rFonts w:cs="Times New Roman"/>
                <w:i/>
                <w:sz w:val="16"/>
              </w:rPr>
              <w:t>Занятые в ГУ</w:t>
            </w:r>
          </w:p>
        </w:tc>
        <w:tc>
          <w:tcPr>
            <w:tcW w:w="1133" w:type="dxa"/>
            <w:tcBorders>
              <w:top w:val="single" w:sz="4" w:space="0" w:color="auto"/>
              <w:bottom w:val="single" w:sz="12" w:space="0" w:color="auto"/>
            </w:tcBorders>
            <w:shd w:val="clear" w:color="auto" w:fill="auto"/>
            <w:vAlign w:val="bottom"/>
            <w:hideMark/>
          </w:tcPr>
          <w:p w14:paraId="7590CA43" w14:textId="77777777" w:rsidR="00936DFE" w:rsidRPr="00CB26B4" w:rsidRDefault="00936DFE" w:rsidP="00044DA6">
            <w:pPr>
              <w:spacing w:before="80" w:after="80" w:line="200" w:lineRule="exact"/>
              <w:jc w:val="right"/>
              <w:rPr>
                <w:rFonts w:cs="Times New Roman"/>
                <w:i/>
                <w:sz w:val="16"/>
              </w:rPr>
            </w:pPr>
            <w:r w:rsidRPr="00CB26B4">
              <w:rPr>
                <w:rFonts w:cs="Times New Roman"/>
                <w:i/>
                <w:sz w:val="16"/>
              </w:rPr>
              <w:t>Другие этносы</w:t>
            </w:r>
          </w:p>
        </w:tc>
      </w:tr>
      <w:tr w:rsidR="00936DFE" w:rsidRPr="00CB26B4" w14:paraId="54995B15" w14:textId="77777777" w:rsidTr="0092680A">
        <w:tc>
          <w:tcPr>
            <w:tcW w:w="1050" w:type="dxa"/>
            <w:tcBorders>
              <w:top w:val="single" w:sz="12" w:space="0" w:color="auto"/>
            </w:tcBorders>
            <w:shd w:val="clear" w:color="auto" w:fill="auto"/>
            <w:hideMark/>
          </w:tcPr>
          <w:p w14:paraId="47D581EE" w14:textId="77777777" w:rsidR="00936DFE" w:rsidRPr="00CB26B4" w:rsidRDefault="00936DFE" w:rsidP="00044DA6">
            <w:pPr>
              <w:spacing w:before="40" w:after="40" w:line="220" w:lineRule="exact"/>
              <w:rPr>
                <w:rFonts w:cs="Times New Roman"/>
                <w:sz w:val="18"/>
              </w:rPr>
            </w:pPr>
            <w:proofErr w:type="spellStart"/>
            <w:r w:rsidRPr="007004C1">
              <w:rPr>
                <w:rFonts w:cs="Times New Roman"/>
                <w:sz w:val="18"/>
              </w:rPr>
              <w:t>Молд</w:t>
            </w:r>
            <w:proofErr w:type="spellEnd"/>
            <w:r w:rsidRPr="007004C1">
              <w:rPr>
                <w:rFonts w:cs="Times New Roman"/>
                <w:sz w:val="18"/>
              </w:rPr>
              <w:t>. (ром.)</w:t>
            </w:r>
          </w:p>
        </w:tc>
        <w:tc>
          <w:tcPr>
            <w:tcW w:w="980" w:type="dxa"/>
            <w:tcBorders>
              <w:top w:val="single" w:sz="12" w:space="0" w:color="auto"/>
            </w:tcBorders>
            <w:shd w:val="clear" w:color="auto" w:fill="auto"/>
            <w:vAlign w:val="bottom"/>
            <w:hideMark/>
          </w:tcPr>
          <w:p w14:paraId="64E6626C"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3,1</w:t>
            </w:r>
          </w:p>
        </w:tc>
        <w:tc>
          <w:tcPr>
            <w:tcW w:w="1106" w:type="dxa"/>
            <w:tcBorders>
              <w:top w:val="single" w:sz="12" w:space="0" w:color="auto"/>
            </w:tcBorders>
            <w:shd w:val="clear" w:color="auto" w:fill="auto"/>
            <w:vAlign w:val="bottom"/>
          </w:tcPr>
          <w:p w14:paraId="755AB6B4" w14:textId="77777777" w:rsidR="00936DFE" w:rsidRPr="00CB26B4" w:rsidRDefault="00936DFE" w:rsidP="0092680A">
            <w:pPr>
              <w:spacing w:before="40" w:after="40" w:line="220" w:lineRule="exact"/>
              <w:jc w:val="right"/>
              <w:rPr>
                <w:rFonts w:cs="Times New Roman"/>
                <w:sz w:val="18"/>
              </w:rPr>
            </w:pPr>
          </w:p>
        </w:tc>
        <w:tc>
          <w:tcPr>
            <w:tcW w:w="1008" w:type="dxa"/>
            <w:tcBorders>
              <w:top w:val="single" w:sz="12" w:space="0" w:color="auto"/>
            </w:tcBorders>
            <w:shd w:val="clear" w:color="auto" w:fill="auto"/>
            <w:vAlign w:val="bottom"/>
            <w:hideMark/>
          </w:tcPr>
          <w:p w14:paraId="341FFFB1"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5,0</w:t>
            </w:r>
          </w:p>
        </w:tc>
        <w:tc>
          <w:tcPr>
            <w:tcW w:w="1101" w:type="dxa"/>
            <w:tcBorders>
              <w:top w:val="single" w:sz="12" w:space="0" w:color="auto"/>
            </w:tcBorders>
            <w:shd w:val="clear" w:color="auto" w:fill="auto"/>
            <w:vAlign w:val="bottom"/>
          </w:tcPr>
          <w:p w14:paraId="4AA0FD25" w14:textId="77777777" w:rsidR="00936DFE" w:rsidRPr="00CB26B4" w:rsidRDefault="00936DFE" w:rsidP="0092680A">
            <w:pPr>
              <w:spacing w:before="40" w:after="40" w:line="220" w:lineRule="exact"/>
              <w:jc w:val="right"/>
              <w:rPr>
                <w:rFonts w:cs="Times New Roman"/>
                <w:sz w:val="18"/>
              </w:rPr>
            </w:pPr>
          </w:p>
        </w:tc>
        <w:tc>
          <w:tcPr>
            <w:tcW w:w="992" w:type="dxa"/>
            <w:tcBorders>
              <w:top w:val="single" w:sz="12" w:space="0" w:color="auto"/>
            </w:tcBorders>
            <w:shd w:val="clear" w:color="auto" w:fill="auto"/>
            <w:vAlign w:val="bottom"/>
            <w:hideMark/>
          </w:tcPr>
          <w:p w14:paraId="1D1C5819"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2,1</w:t>
            </w:r>
          </w:p>
        </w:tc>
        <w:tc>
          <w:tcPr>
            <w:tcW w:w="1133" w:type="dxa"/>
            <w:tcBorders>
              <w:top w:val="single" w:sz="12" w:space="0" w:color="auto"/>
            </w:tcBorders>
            <w:shd w:val="clear" w:color="auto" w:fill="auto"/>
            <w:vAlign w:val="bottom"/>
          </w:tcPr>
          <w:p w14:paraId="636C80E2" w14:textId="77777777" w:rsidR="00936DFE" w:rsidRPr="00CB26B4" w:rsidRDefault="00936DFE" w:rsidP="0092680A">
            <w:pPr>
              <w:spacing w:before="40" w:after="40" w:line="220" w:lineRule="exact"/>
              <w:jc w:val="right"/>
              <w:rPr>
                <w:rFonts w:cs="Times New Roman"/>
                <w:sz w:val="18"/>
              </w:rPr>
            </w:pPr>
          </w:p>
        </w:tc>
      </w:tr>
      <w:tr w:rsidR="00936DFE" w:rsidRPr="00CB26B4" w14:paraId="2D944A2C" w14:textId="77777777" w:rsidTr="0092680A">
        <w:tc>
          <w:tcPr>
            <w:tcW w:w="1050" w:type="dxa"/>
            <w:shd w:val="clear" w:color="auto" w:fill="auto"/>
            <w:hideMark/>
          </w:tcPr>
          <w:p w14:paraId="1A480D92" w14:textId="77777777" w:rsidR="00936DFE" w:rsidRPr="00CB26B4" w:rsidRDefault="00936DFE" w:rsidP="00044DA6">
            <w:pPr>
              <w:spacing w:before="40" w:after="40" w:line="220" w:lineRule="exact"/>
              <w:rPr>
                <w:rFonts w:cs="Times New Roman"/>
                <w:sz w:val="18"/>
              </w:rPr>
            </w:pPr>
            <w:r w:rsidRPr="00CB26B4">
              <w:rPr>
                <w:rFonts w:cs="Times New Roman"/>
                <w:sz w:val="18"/>
              </w:rPr>
              <w:t>Украинцы</w:t>
            </w:r>
          </w:p>
        </w:tc>
        <w:tc>
          <w:tcPr>
            <w:tcW w:w="980" w:type="dxa"/>
            <w:shd w:val="clear" w:color="auto" w:fill="auto"/>
            <w:vAlign w:val="bottom"/>
            <w:hideMark/>
          </w:tcPr>
          <w:p w14:paraId="593D64D1"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2,1</w:t>
            </w:r>
          </w:p>
        </w:tc>
        <w:tc>
          <w:tcPr>
            <w:tcW w:w="1106" w:type="dxa"/>
            <w:shd w:val="clear" w:color="auto" w:fill="auto"/>
            <w:vAlign w:val="bottom"/>
            <w:hideMark/>
          </w:tcPr>
          <w:p w14:paraId="23518A68"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2,2</w:t>
            </w:r>
          </w:p>
        </w:tc>
        <w:tc>
          <w:tcPr>
            <w:tcW w:w="1008" w:type="dxa"/>
            <w:shd w:val="clear" w:color="auto" w:fill="auto"/>
            <w:vAlign w:val="bottom"/>
            <w:hideMark/>
          </w:tcPr>
          <w:p w14:paraId="0A378184"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2,5</w:t>
            </w:r>
          </w:p>
        </w:tc>
        <w:tc>
          <w:tcPr>
            <w:tcW w:w="1101" w:type="dxa"/>
            <w:shd w:val="clear" w:color="auto" w:fill="auto"/>
            <w:vAlign w:val="bottom"/>
            <w:hideMark/>
          </w:tcPr>
          <w:p w14:paraId="0E704E3E"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2,5</w:t>
            </w:r>
          </w:p>
        </w:tc>
        <w:tc>
          <w:tcPr>
            <w:tcW w:w="992" w:type="dxa"/>
            <w:shd w:val="clear" w:color="auto" w:fill="auto"/>
            <w:vAlign w:val="bottom"/>
            <w:hideMark/>
          </w:tcPr>
          <w:p w14:paraId="0576573A"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1,7</w:t>
            </w:r>
          </w:p>
        </w:tc>
        <w:tc>
          <w:tcPr>
            <w:tcW w:w="1133" w:type="dxa"/>
            <w:shd w:val="clear" w:color="auto" w:fill="auto"/>
            <w:vAlign w:val="bottom"/>
            <w:hideMark/>
          </w:tcPr>
          <w:p w14:paraId="27FCF01D"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1,8</w:t>
            </w:r>
          </w:p>
        </w:tc>
      </w:tr>
      <w:tr w:rsidR="00936DFE" w:rsidRPr="00CB26B4" w14:paraId="618D71EA" w14:textId="77777777" w:rsidTr="0092680A">
        <w:tc>
          <w:tcPr>
            <w:tcW w:w="1050" w:type="dxa"/>
            <w:shd w:val="clear" w:color="auto" w:fill="auto"/>
            <w:hideMark/>
          </w:tcPr>
          <w:p w14:paraId="2CEE5852" w14:textId="77777777" w:rsidR="00936DFE" w:rsidRPr="00CB26B4" w:rsidRDefault="00936DFE" w:rsidP="00044DA6">
            <w:pPr>
              <w:spacing w:before="40" w:after="40" w:line="220" w:lineRule="exact"/>
              <w:rPr>
                <w:rFonts w:cs="Times New Roman"/>
                <w:sz w:val="18"/>
              </w:rPr>
            </w:pPr>
            <w:r w:rsidRPr="00CB26B4">
              <w:rPr>
                <w:rFonts w:cs="Times New Roman"/>
                <w:sz w:val="18"/>
              </w:rPr>
              <w:t>Русские</w:t>
            </w:r>
          </w:p>
        </w:tc>
        <w:tc>
          <w:tcPr>
            <w:tcW w:w="980" w:type="dxa"/>
            <w:shd w:val="clear" w:color="auto" w:fill="auto"/>
            <w:vAlign w:val="bottom"/>
            <w:hideMark/>
          </w:tcPr>
          <w:p w14:paraId="4EBF0F90"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1,8</w:t>
            </w:r>
          </w:p>
        </w:tc>
        <w:tc>
          <w:tcPr>
            <w:tcW w:w="1106" w:type="dxa"/>
            <w:shd w:val="clear" w:color="auto" w:fill="auto"/>
            <w:vAlign w:val="bottom"/>
          </w:tcPr>
          <w:p w14:paraId="12C4F5FC" w14:textId="77777777" w:rsidR="00936DFE" w:rsidRPr="00CB26B4" w:rsidRDefault="00936DFE" w:rsidP="0092680A">
            <w:pPr>
              <w:spacing w:before="40" w:after="40" w:line="220" w:lineRule="exact"/>
              <w:jc w:val="right"/>
              <w:rPr>
                <w:rFonts w:cs="Times New Roman"/>
                <w:sz w:val="18"/>
              </w:rPr>
            </w:pPr>
          </w:p>
        </w:tc>
        <w:tc>
          <w:tcPr>
            <w:tcW w:w="1008" w:type="dxa"/>
            <w:shd w:val="clear" w:color="auto" w:fill="auto"/>
            <w:vAlign w:val="bottom"/>
            <w:hideMark/>
          </w:tcPr>
          <w:p w14:paraId="291D82E4"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1,8</w:t>
            </w:r>
          </w:p>
        </w:tc>
        <w:tc>
          <w:tcPr>
            <w:tcW w:w="1101" w:type="dxa"/>
            <w:shd w:val="clear" w:color="auto" w:fill="auto"/>
            <w:vAlign w:val="bottom"/>
          </w:tcPr>
          <w:p w14:paraId="6C331D19" w14:textId="77777777" w:rsidR="00936DFE" w:rsidRPr="00CB26B4" w:rsidRDefault="00936DFE" w:rsidP="0092680A">
            <w:pPr>
              <w:spacing w:before="40" w:after="40" w:line="220" w:lineRule="exact"/>
              <w:jc w:val="right"/>
              <w:rPr>
                <w:rFonts w:cs="Times New Roman"/>
                <w:sz w:val="18"/>
              </w:rPr>
            </w:pPr>
          </w:p>
        </w:tc>
        <w:tc>
          <w:tcPr>
            <w:tcW w:w="992" w:type="dxa"/>
            <w:shd w:val="clear" w:color="auto" w:fill="auto"/>
            <w:vAlign w:val="bottom"/>
            <w:hideMark/>
          </w:tcPr>
          <w:p w14:paraId="7FF031BA"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1,7</w:t>
            </w:r>
          </w:p>
        </w:tc>
        <w:tc>
          <w:tcPr>
            <w:tcW w:w="1133" w:type="dxa"/>
            <w:shd w:val="clear" w:color="auto" w:fill="auto"/>
            <w:vAlign w:val="bottom"/>
          </w:tcPr>
          <w:p w14:paraId="3CB0B145" w14:textId="77777777" w:rsidR="00936DFE" w:rsidRPr="00CB26B4" w:rsidRDefault="00936DFE" w:rsidP="0092680A">
            <w:pPr>
              <w:spacing w:before="40" w:after="40" w:line="220" w:lineRule="exact"/>
              <w:jc w:val="right"/>
              <w:rPr>
                <w:rFonts w:cs="Times New Roman"/>
                <w:sz w:val="18"/>
              </w:rPr>
            </w:pPr>
          </w:p>
        </w:tc>
      </w:tr>
      <w:tr w:rsidR="00936DFE" w:rsidRPr="00CB26B4" w14:paraId="2A67E776" w14:textId="77777777" w:rsidTr="0092680A">
        <w:tc>
          <w:tcPr>
            <w:tcW w:w="1050" w:type="dxa"/>
            <w:shd w:val="clear" w:color="auto" w:fill="auto"/>
            <w:hideMark/>
          </w:tcPr>
          <w:p w14:paraId="0A5813A6" w14:textId="77777777" w:rsidR="00936DFE" w:rsidRPr="00CB26B4" w:rsidRDefault="00936DFE" w:rsidP="00044DA6">
            <w:pPr>
              <w:spacing w:before="40" w:after="40" w:line="220" w:lineRule="exact"/>
              <w:rPr>
                <w:rFonts w:cs="Times New Roman"/>
                <w:sz w:val="18"/>
              </w:rPr>
            </w:pPr>
            <w:r w:rsidRPr="00CB26B4">
              <w:rPr>
                <w:rFonts w:cs="Times New Roman"/>
                <w:sz w:val="18"/>
              </w:rPr>
              <w:t>Гагаузы</w:t>
            </w:r>
          </w:p>
        </w:tc>
        <w:tc>
          <w:tcPr>
            <w:tcW w:w="980" w:type="dxa"/>
            <w:shd w:val="clear" w:color="auto" w:fill="auto"/>
            <w:vAlign w:val="bottom"/>
            <w:hideMark/>
          </w:tcPr>
          <w:p w14:paraId="6FF68185"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2,3</w:t>
            </w:r>
          </w:p>
        </w:tc>
        <w:tc>
          <w:tcPr>
            <w:tcW w:w="1106" w:type="dxa"/>
            <w:shd w:val="clear" w:color="auto" w:fill="auto"/>
            <w:vAlign w:val="bottom"/>
          </w:tcPr>
          <w:p w14:paraId="5ED3D0B0" w14:textId="77777777" w:rsidR="00936DFE" w:rsidRPr="00CB26B4" w:rsidRDefault="00936DFE" w:rsidP="0092680A">
            <w:pPr>
              <w:spacing w:before="40" w:after="40" w:line="220" w:lineRule="exact"/>
              <w:jc w:val="right"/>
              <w:rPr>
                <w:rFonts w:cs="Times New Roman"/>
                <w:sz w:val="18"/>
              </w:rPr>
            </w:pPr>
          </w:p>
        </w:tc>
        <w:tc>
          <w:tcPr>
            <w:tcW w:w="1008" w:type="dxa"/>
            <w:shd w:val="clear" w:color="auto" w:fill="auto"/>
            <w:vAlign w:val="bottom"/>
            <w:hideMark/>
          </w:tcPr>
          <w:p w14:paraId="7EF9D610"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3,2</w:t>
            </w:r>
          </w:p>
        </w:tc>
        <w:tc>
          <w:tcPr>
            <w:tcW w:w="1101" w:type="dxa"/>
            <w:shd w:val="clear" w:color="auto" w:fill="auto"/>
            <w:vAlign w:val="bottom"/>
          </w:tcPr>
          <w:p w14:paraId="519613C1" w14:textId="77777777" w:rsidR="00936DFE" w:rsidRPr="00CB26B4" w:rsidRDefault="00936DFE" w:rsidP="0092680A">
            <w:pPr>
              <w:spacing w:before="40" w:after="40" w:line="220" w:lineRule="exact"/>
              <w:jc w:val="right"/>
              <w:rPr>
                <w:rFonts w:cs="Times New Roman"/>
                <w:sz w:val="18"/>
              </w:rPr>
            </w:pPr>
          </w:p>
        </w:tc>
        <w:tc>
          <w:tcPr>
            <w:tcW w:w="992" w:type="dxa"/>
            <w:shd w:val="clear" w:color="auto" w:fill="auto"/>
            <w:vAlign w:val="bottom"/>
            <w:hideMark/>
          </w:tcPr>
          <w:p w14:paraId="0580BB58"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1,7</w:t>
            </w:r>
          </w:p>
        </w:tc>
        <w:tc>
          <w:tcPr>
            <w:tcW w:w="1133" w:type="dxa"/>
            <w:shd w:val="clear" w:color="auto" w:fill="auto"/>
            <w:vAlign w:val="bottom"/>
          </w:tcPr>
          <w:p w14:paraId="369FC57C" w14:textId="77777777" w:rsidR="00936DFE" w:rsidRPr="00CB26B4" w:rsidRDefault="00936DFE" w:rsidP="0092680A">
            <w:pPr>
              <w:spacing w:before="40" w:after="40" w:line="220" w:lineRule="exact"/>
              <w:jc w:val="right"/>
              <w:rPr>
                <w:rFonts w:cs="Times New Roman"/>
                <w:sz w:val="18"/>
              </w:rPr>
            </w:pPr>
          </w:p>
        </w:tc>
      </w:tr>
      <w:tr w:rsidR="00936DFE" w:rsidRPr="00CB26B4" w14:paraId="0E5EDB14" w14:textId="77777777" w:rsidTr="0092680A">
        <w:tc>
          <w:tcPr>
            <w:tcW w:w="1050" w:type="dxa"/>
            <w:shd w:val="clear" w:color="auto" w:fill="auto"/>
            <w:hideMark/>
          </w:tcPr>
          <w:p w14:paraId="6F27634B" w14:textId="77777777" w:rsidR="00936DFE" w:rsidRPr="00CB26B4" w:rsidRDefault="00936DFE" w:rsidP="00044DA6">
            <w:pPr>
              <w:spacing w:before="40" w:after="40" w:line="220" w:lineRule="exact"/>
              <w:rPr>
                <w:rFonts w:cs="Times New Roman"/>
                <w:sz w:val="18"/>
              </w:rPr>
            </w:pPr>
            <w:r w:rsidRPr="00CB26B4">
              <w:rPr>
                <w:rFonts w:cs="Times New Roman"/>
                <w:sz w:val="18"/>
              </w:rPr>
              <w:lastRenderedPageBreak/>
              <w:t>Болгары</w:t>
            </w:r>
          </w:p>
        </w:tc>
        <w:tc>
          <w:tcPr>
            <w:tcW w:w="980" w:type="dxa"/>
            <w:shd w:val="clear" w:color="auto" w:fill="auto"/>
            <w:vAlign w:val="bottom"/>
            <w:hideMark/>
          </w:tcPr>
          <w:p w14:paraId="551934BF"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3,0</w:t>
            </w:r>
          </w:p>
        </w:tc>
        <w:tc>
          <w:tcPr>
            <w:tcW w:w="1106" w:type="dxa"/>
            <w:shd w:val="clear" w:color="auto" w:fill="auto"/>
            <w:vAlign w:val="bottom"/>
          </w:tcPr>
          <w:p w14:paraId="43097102" w14:textId="77777777" w:rsidR="00936DFE" w:rsidRPr="00CB26B4" w:rsidRDefault="00936DFE" w:rsidP="0092680A">
            <w:pPr>
              <w:spacing w:before="40" w:after="40" w:line="220" w:lineRule="exact"/>
              <w:jc w:val="right"/>
              <w:rPr>
                <w:rFonts w:cs="Times New Roman"/>
                <w:sz w:val="18"/>
              </w:rPr>
            </w:pPr>
          </w:p>
        </w:tc>
        <w:tc>
          <w:tcPr>
            <w:tcW w:w="1008" w:type="dxa"/>
            <w:shd w:val="clear" w:color="auto" w:fill="auto"/>
            <w:vAlign w:val="bottom"/>
            <w:hideMark/>
          </w:tcPr>
          <w:p w14:paraId="5C412999"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3,3</w:t>
            </w:r>
          </w:p>
        </w:tc>
        <w:tc>
          <w:tcPr>
            <w:tcW w:w="1101" w:type="dxa"/>
            <w:shd w:val="clear" w:color="auto" w:fill="auto"/>
            <w:vAlign w:val="bottom"/>
          </w:tcPr>
          <w:p w14:paraId="4AE5C48C" w14:textId="77777777" w:rsidR="00936DFE" w:rsidRPr="00CB26B4" w:rsidRDefault="00936DFE" w:rsidP="0092680A">
            <w:pPr>
              <w:spacing w:before="40" w:after="40" w:line="220" w:lineRule="exact"/>
              <w:jc w:val="right"/>
              <w:rPr>
                <w:rFonts w:cs="Times New Roman"/>
                <w:sz w:val="18"/>
              </w:rPr>
            </w:pPr>
          </w:p>
        </w:tc>
        <w:tc>
          <w:tcPr>
            <w:tcW w:w="992" w:type="dxa"/>
            <w:shd w:val="clear" w:color="auto" w:fill="auto"/>
            <w:vAlign w:val="bottom"/>
            <w:hideMark/>
          </w:tcPr>
          <w:p w14:paraId="6BB21343"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2,6</w:t>
            </w:r>
          </w:p>
        </w:tc>
        <w:tc>
          <w:tcPr>
            <w:tcW w:w="1133" w:type="dxa"/>
            <w:shd w:val="clear" w:color="auto" w:fill="auto"/>
            <w:vAlign w:val="bottom"/>
          </w:tcPr>
          <w:p w14:paraId="2999DA77" w14:textId="77777777" w:rsidR="00936DFE" w:rsidRPr="00CB26B4" w:rsidRDefault="00936DFE" w:rsidP="0092680A">
            <w:pPr>
              <w:spacing w:before="40" w:after="40" w:line="220" w:lineRule="exact"/>
              <w:jc w:val="right"/>
              <w:rPr>
                <w:rFonts w:cs="Times New Roman"/>
                <w:sz w:val="18"/>
              </w:rPr>
            </w:pPr>
          </w:p>
        </w:tc>
      </w:tr>
      <w:tr w:rsidR="00936DFE" w:rsidRPr="00CB26B4" w14:paraId="55D7B0EB" w14:textId="77777777" w:rsidTr="0092680A">
        <w:tc>
          <w:tcPr>
            <w:tcW w:w="1050" w:type="dxa"/>
            <w:shd w:val="clear" w:color="auto" w:fill="auto"/>
            <w:hideMark/>
          </w:tcPr>
          <w:p w14:paraId="68074B8E" w14:textId="77777777" w:rsidR="00936DFE" w:rsidRPr="00CB26B4" w:rsidRDefault="00936DFE" w:rsidP="00044DA6">
            <w:pPr>
              <w:spacing w:before="40" w:after="40" w:line="220" w:lineRule="exact"/>
              <w:rPr>
                <w:rFonts w:cs="Times New Roman"/>
                <w:sz w:val="18"/>
              </w:rPr>
            </w:pPr>
            <w:r w:rsidRPr="00CB26B4">
              <w:rPr>
                <w:rFonts w:cs="Times New Roman"/>
                <w:sz w:val="18"/>
              </w:rPr>
              <w:t>Другие этносы</w:t>
            </w:r>
          </w:p>
        </w:tc>
        <w:tc>
          <w:tcPr>
            <w:tcW w:w="980" w:type="dxa"/>
            <w:shd w:val="clear" w:color="auto" w:fill="auto"/>
            <w:vAlign w:val="bottom"/>
            <w:hideMark/>
          </w:tcPr>
          <w:p w14:paraId="7AEA76C0"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1,9</w:t>
            </w:r>
          </w:p>
        </w:tc>
        <w:tc>
          <w:tcPr>
            <w:tcW w:w="1106" w:type="dxa"/>
            <w:shd w:val="clear" w:color="auto" w:fill="auto"/>
            <w:vAlign w:val="bottom"/>
          </w:tcPr>
          <w:p w14:paraId="0FDAA0BC" w14:textId="77777777" w:rsidR="00936DFE" w:rsidRPr="00CB26B4" w:rsidRDefault="00936DFE" w:rsidP="0092680A">
            <w:pPr>
              <w:spacing w:before="40" w:after="40" w:line="220" w:lineRule="exact"/>
              <w:jc w:val="right"/>
              <w:rPr>
                <w:rFonts w:cs="Times New Roman"/>
                <w:sz w:val="18"/>
              </w:rPr>
            </w:pPr>
          </w:p>
        </w:tc>
        <w:tc>
          <w:tcPr>
            <w:tcW w:w="1008" w:type="dxa"/>
            <w:shd w:val="clear" w:color="auto" w:fill="auto"/>
            <w:vAlign w:val="bottom"/>
            <w:hideMark/>
          </w:tcPr>
          <w:p w14:paraId="5154FEDF"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2,0</w:t>
            </w:r>
          </w:p>
        </w:tc>
        <w:tc>
          <w:tcPr>
            <w:tcW w:w="1101" w:type="dxa"/>
            <w:shd w:val="clear" w:color="auto" w:fill="auto"/>
            <w:vAlign w:val="bottom"/>
          </w:tcPr>
          <w:p w14:paraId="44C2A227" w14:textId="77777777" w:rsidR="00936DFE" w:rsidRPr="00CB26B4" w:rsidRDefault="00936DFE" w:rsidP="0092680A">
            <w:pPr>
              <w:spacing w:before="40" w:after="40" w:line="220" w:lineRule="exact"/>
              <w:jc w:val="right"/>
              <w:rPr>
                <w:rFonts w:cs="Times New Roman"/>
                <w:sz w:val="18"/>
              </w:rPr>
            </w:pPr>
          </w:p>
        </w:tc>
        <w:tc>
          <w:tcPr>
            <w:tcW w:w="992" w:type="dxa"/>
            <w:shd w:val="clear" w:color="auto" w:fill="auto"/>
            <w:vAlign w:val="bottom"/>
            <w:hideMark/>
          </w:tcPr>
          <w:p w14:paraId="79D396A5"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1,5</w:t>
            </w:r>
          </w:p>
        </w:tc>
        <w:tc>
          <w:tcPr>
            <w:tcW w:w="1133" w:type="dxa"/>
            <w:shd w:val="clear" w:color="auto" w:fill="auto"/>
            <w:vAlign w:val="bottom"/>
          </w:tcPr>
          <w:p w14:paraId="45472809" w14:textId="77777777" w:rsidR="00936DFE" w:rsidRPr="00CB26B4" w:rsidRDefault="00936DFE" w:rsidP="0092680A">
            <w:pPr>
              <w:spacing w:before="40" w:after="40" w:line="220" w:lineRule="exact"/>
              <w:jc w:val="right"/>
              <w:rPr>
                <w:rFonts w:cs="Times New Roman"/>
                <w:sz w:val="18"/>
              </w:rPr>
            </w:pPr>
          </w:p>
        </w:tc>
      </w:tr>
      <w:tr w:rsidR="00936DFE" w:rsidRPr="00CB26B4" w14:paraId="6FF8FC87" w14:textId="77777777" w:rsidTr="0092680A">
        <w:tc>
          <w:tcPr>
            <w:tcW w:w="1050" w:type="dxa"/>
            <w:tcBorders>
              <w:bottom w:val="single" w:sz="12" w:space="0" w:color="auto"/>
            </w:tcBorders>
            <w:shd w:val="clear" w:color="auto" w:fill="auto"/>
            <w:hideMark/>
          </w:tcPr>
          <w:p w14:paraId="4EAB046E" w14:textId="77777777" w:rsidR="00936DFE" w:rsidRPr="00CB26B4" w:rsidRDefault="00936DFE" w:rsidP="00044DA6">
            <w:pPr>
              <w:spacing w:before="40" w:after="40" w:line="220" w:lineRule="exact"/>
              <w:rPr>
                <w:rFonts w:cs="Times New Roman"/>
                <w:sz w:val="18"/>
              </w:rPr>
            </w:pPr>
            <w:r w:rsidRPr="00CB26B4">
              <w:rPr>
                <w:rFonts w:cs="Times New Roman"/>
                <w:sz w:val="18"/>
              </w:rPr>
              <w:t>Не указали</w:t>
            </w:r>
          </w:p>
        </w:tc>
        <w:tc>
          <w:tcPr>
            <w:tcW w:w="980" w:type="dxa"/>
            <w:tcBorders>
              <w:bottom w:val="single" w:sz="12" w:space="0" w:color="auto"/>
            </w:tcBorders>
            <w:shd w:val="clear" w:color="auto" w:fill="auto"/>
            <w:vAlign w:val="bottom"/>
            <w:hideMark/>
          </w:tcPr>
          <w:p w14:paraId="11D5E0BB"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2,7</w:t>
            </w:r>
          </w:p>
        </w:tc>
        <w:tc>
          <w:tcPr>
            <w:tcW w:w="1106" w:type="dxa"/>
            <w:tcBorders>
              <w:bottom w:val="single" w:sz="12" w:space="0" w:color="auto"/>
            </w:tcBorders>
            <w:shd w:val="clear" w:color="auto" w:fill="auto"/>
            <w:vAlign w:val="bottom"/>
          </w:tcPr>
          <w:p w14:paraId="551B2792" w14:textId="77777777" w:rsidR="00936DFE" w:rsidRPr="00CB26B4" w:rsidRDefault="00936DFE" w:rsidP="0092680A">
            <w:pPr>
              <w:spacing w:before="40" w:after="40" w:line="220" w:lineRule="exact"/>
              <w:jc w:val="right"/>
              <w:rPr>
                <w:rFonts w:cs="Times New Roman"/>
                <w:sz w:val="18"/>
              </w:rPr>
            </w:pPr>
          </w:p>
        </w:tc>
        <w:tc>
          <w:tcPr>
            <w:tcW w:w="1008" w:type="dxa"/>
            <w:tcBorders>
              <w:bottom w:val="single" w:sz="12" w:space="0" w:color="auto"/>
            </w:tcBorders>
            <w:shd w:val="clear" w:color="auto" w:fill="auto"/>
            <w:vAlign w:val="bottom"/>
            <w:hideMark/>
          </w:tcPr>
          <w:p w14:paraId="0DC9EA61"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4,0</w:t>
            </w:r>
          </w:p>
        </w:tc>
        <w:tc>
          <w:tcPr>
            <w:tcW w:w="1101" w:type="dxa"/>
            <w:tcBorders>
              <w:bottom w:val="single" w:sz="12" w:space="0" w:color="auto"/>
            </w:tcBorders>
            <w:shd w:val="clear" w:color="auto" w:fill="auto"/>
            <w:vAlign w:val="bottom"/>
          </w:tcPr>
          <w:p w14:paraId="163132A7" w14:textId="77777777" w:rsidR="00936DFE" w:rsidRPr="00CB26B4" w:rsidRDefault="00936DFE" w:rsidP="0092680A">
            <w:pPr>
              <w:spacing w:before="40" w:after="40" w:line="220" w:lineRule="exact"/>
              <w:jc w:val="right"/>
              <w:rPr>
                <w:rFonts w:cs="Times New Roman"/>
                <w:sz w:val="18"/>
              </w:rPr>
            </w:pPr>
          </w:p>
        </w:tc>
        <w:tc>
          <w:tcPr>
            <w:tcW w:w="992" w:type="dxa"/>
            <w:tcBorders>
              <w:bottom w:val="single" w:sz="12" w:space="0" w:color="auto"/>
            </w:tcBorders>
            <w:shd w:val="clear" w:color="auto" w:fill="auto"/>
            <w:vAlign w:val="bottom"/>
            <w:hideMark/>
          </w:tcPr>
          <w:p w14:paraId="7870F8F8" w14:textId="77777777" w:rsidR="00936DFE" w:rsidRPr="00CB26B4" w:rsidRDefault="00936DFE" w:rsidP="0092680A">
            <w:pPr>
              <w:spacing w:before="40" w:after="40" w:line="220" w:lineRule="exact"/>
              <w:jc w:val="right"/>
              <w:rPr>
                <w:rFonts w:cs="Times New Roman"/>
                <w:sz w:val="18"/>
              </w:rPr>
            </w:pPr>
            <w:r w:rsidRPr="00CB26B4">
              <w:rPr>
                <w:rFonts w:cs="Times New Roman"/>
                <w:sz w:val="18"/>
              </w:rPr>
              <w:t>1,4</w:t>
            </w:r>
          </w:p>
        </w:tc>
        <w:tc>
          <w:tcPr>
            <w:tcW w:w="1133" w:type="dxa"/>
            <w:tcBorders>
              <w:bottom w:val="single" w:sz="12" w:space="0" w:color="auto"/>
            </w:tcBorders>
            <w:shd w:val="clear" w:color="auto" w:fill="auto"/>
            <w:vAlign w:val="bottom"/>
          </w:tcPr>
          <w:p w14:paraId="210C4D2A" w14:textId="77777777" w:rsidR="00936DFE" w:rsidRPr="00CB26B4" w:rsidRDefault="00936DFE" w:rsidP="0092680A">
            <w:pPr>
              <w:spacing w:before="40" w:after="40" w:line="220" w:lineRule="exact"/>
              <w:jc w:val="right"/>
              <w:rPr>
                <w:rFonts w:cs="Times New Roman"/>
                <w:sz w:val="18"/>
              </w:rPr>
            </w:pPr>
          </w:p>
        </w:tc>
      </w:tr>
    </w:tbl>
    <w:p w14:paraId="3DFCB0B1" w14:textId="77777777" w:rsidR="00936DFE" w:rsidRDefault="00936DFE" w:rsidP="00936DFE">
      <w:pPr>
        <w:pStyle w:val="SingleTxtG"/>
        <w:spacing w:before="240"/>
      </w:pPr>
      <w:r>
        <w:t>36.</w:t>
      </w:r>
      <w:r>
        <w:tab/>
      </w:r>
      <w:r w:rsidRPr="00CB26B4">
        <w:t>Действующее законодательство гарантирует всем гражданам равное право голосовать и быть избранными независимо от их этнического происхождения и уровня владения государственным языком. В ходе парламентских выборов, состоявшихся 24</w:t>
      </w:r>
      <w:r>
        <w:t> </w:t>
      </w:r>
      <w:r w:rsidRPr="00CB26B4">
        <w:t>февраля 2019 г</w:t>
      </w:r>
      <w:r>
        <w:t>ода</w:t>
      </w:r>
      <w:r w:rsidRPr="00CB26B4">
        <w:t>, были избраны 101 депутат, среди которых помимо этнических молдаван, украинцев, гагаузов, русских, болгар впервые представлены лица, принадлежащие к малочисленным национальным меньшинствам, например: поляки</w:t>
      </w:r>
      <w:r>
        <w:t> —</w:t>
      </w:r>
      <w:r w:rsidRPr="00CB26B4">
        <w:t xml:space="preserve"> 1 чел</w:t>
      </w:r>
      <w:r>
        <w:t>овек</w:t>
      </w:r>
      <w:r w:rsidRPr="00CB26B4">
        <w:t xml:space="preserve">, армяне </w:t>
      </w:r>
      <w:r>
        <w:t>—</w:t>
      </w:r>
      <w:r w:rsidRPr="00CB26B4">
        <w:t xml:space="preserve"> 1 чел</w:t>
      </w:r>
      <w:r>
        <w:t>овек</w:t>
      </w:r>
      <w:r w:rsidRPr="00CB26B4">
        <w:t xml:space="preserve">, ромы </w:t>
      </w:r>
      <w:r>
        <w:t>—</w:t>
      </w:r>
      <w:r w:rsidRPr="00CB26B4">
        <w:t xml:space="preserve"> 1 чел</w:t>
      </w:r>
      <w:r>
        <w:t>овек</w:t>
      </w:r>
      <w:r w:rsidRPr="00CB26B4">
        <w:t>. Таким образом, состав Парламента Республики Молдова отражает разнообразие этнических групп в</w:t>
      </w:r>
      <w:r>
        <w:rPr>
          <w:lang w:val="en-US"/>
        </w:rPr>
        <w:t> </w:t>
      </w:r>
      <w:r w:rsidRPr="00CB26B4">
        <w:t>молдавском обществе, а также гендерный баланс (25,7</w:t>
      </w:r>
      <w:r>
        <w:t xml:space="preserve"> процентов</w:t>
      </w:r>
      <w:r w:rsidRPr="00CB26B4">
        <w:t xml:space="preserve"> из 101 депутата </w:t>
      </w:r>
      <w:r>
        <w:t>—</w:t>
      </w:r>
      <w:r w:rsidRPr="00CB26B4">
        <w:t xml:space="preserve"> женщины).</w:t>
      </w:r>
      <w:r>
        <w:t xml:space="preserve"> </w:t>
      </w:r>
    </w:p>
    <w:p w14:paraId="221354A3" w14:textId="77777777" w:rsidR="00936DFE" w:rsidRPr="00A65919" w:rsidRDefault="00936DFE" w:rsidP="00936DFE">
      <w:pPr>
        <w:pStyle w:val="SingleTxtG"/>
        <w:spacing w:before="120"/>
        <w:rPr>
          <w:color w:val="000000" w:themeColor="text1"/>
        </w:rPr>
      </w:pPr>
      <w:r w:rsidRPr="00A65919">
        <w:rPr>
          <w:color w:val="000000" w:themeColor="text1"/>
        </w:rPr>
        <w:t>3</w:t>
      </w:r>
      <w:r>
        <w:rPr>
          <w:color w:val="000000" w:themeColor="text1"/>
        </w:rPr>
        <w:t>7</w:t>
      </w:r>
      <w:r w:rsidRPr="00A65919">
        <w:rPr>
          <w:color w:val="000000" w:themeColor="text1"/>
        </w:rPr>
        <w:t>.</w:t>
      </w:r>
      <w:r w:rsidRPr="00A65919">
        <w:rPr>
          <w:color w:val="000000" w:themeColor="text1"/>
        </w:rPr>
        <w:tab/>
        <w:t>В результате местных выборов 20 октября 2019 года в органы местного публичного управления были избраны 12 ромов, в том числе шесть женщин рома.</w:t>
      </w:r>
    </w:p>
    <w:p w14:paraId="5AA2BEFD" w14:textId="77777777" w:rsidR="00936DFE" w:rsidRDefault="00936DFE" w:rsidP="00936DFE">
      <w:pPr>
        <w:pStyle w:val="H1G"/>
      </w:pPr>
      <w:r>
        <w:tab/>
      </w:r>
      <w:r>
        <w:tab/>
      </w:r>
      <w:r w:rsidRPr="00CB26B4">
        <w:t xml:space="preserve">В контексте </w:t>
      </w:r>
      <w:r w:rsidRPr="007004C1">
        <w:t>ст</w:t>
      </w:r>
      <w:r>
        <w:t>атьи</w:t>
      </w:r>
      <w:r w:rsidRPr="007004C1">
        <w:t xml:space="preserve"> 2</w:t>
      </w:r>
      <w:r w:rsidRPr="00CB26B4">
        <w:t xml:space="preserve"> Конвенции</w:t>
      </w:r>
    </w:p>
    <w:p w14:paraId="3085DE95" w14:textId="77777777" w:rsidR="00936DFE" w:rsidRDefault="00936DFE" w:rsidP="00936DFE">
      <w:pPr>
        <w:pStyle w:val="H1G"/>
      </w:pPr>
      <w:r>
        <w:tab/>
      </w:r>
      <w:r>
        <w:tab/>
        <w:t>Информация о последующей деятельности в связи с пунктами 8 и</w:t>
      </w:r>
      <w:r>
        <w:rPr>
          <w:lang w:val="en-US"/>
        </w:rPr>
        <w:t> </w:t>
      </w:r>
      <w:r>
        <w:t>9 з</w:t>
      </w:r>
      <w:r w:rsidRPr="00CB26B4">
        <w:t>аключительны</w:t>
      </w:r>
      <w:r>
        <w:t>х</w:t>
      </w:r>
      <w:r w:rsidRPr="00CB26B4">
        <w:t xml:space="preserve"> замечани</w:t>
      </w:r>
      <w:r>
        <w:t xml:space="preserve">й </w:t>
      </w:r>
    </w:p>
    <w:p w14:paraId="1AB8B879" w14:textId="77777777" w:rsidR="00936DFE" w:rsidRDefault="00936DFE" w:rsidP="00936DFE">
      <w:pPr>
        <w:pStyle w:val="H23G"/>
      </w:pPr>
      <w:r>
        <w:tab/>
      </w:r>
      <w:r>
        <w:tab/>
      </w:r>
      <w:r w:rsidRPr="00CB26B4">
        <w:t>Народный Адвокат (Омбудсмен)</w:t>
      </w:r>
    </w:p>
    <w:p w14:paraId="3B89B23B" w14:textId="77777777" w:rsidR="00936DFE" w:rsidRDefault="00936DFE" w:rsidP="00936DFE">
      <w:pPr>
        <w:pStyle w:val="SingleTxtG"/>
      </w:pPr>
      <w:r>
        <w:t>38.</w:t>
      </w:r>
      <w:r>
        <w:tab/>
      </w:r>
      <w:r w:rsidRPr="00CB26B4">
        <w:t xml:space="preserve">Аккредитация статусом «А» Офиса народного адвоката (НА) в соответствии с Парижскими принципами была одной из целей, запланированных на 2018 год в Национальном плане действий в области прав человека на 2018–2020 годы </w:t>
      </w:r>
      <w:r>
        <w:br/>
      </w:r>
      <w:r w:rsidRPr="00CB26B4">
        <w:t>(НПДПЧ-3). Для достижения этой цели Парламент принял Закон № 70 от 13</w:t>
      </w:r>
      <w:r>
        <w:t xml:space="preserve"> апреля </w:t>
      </w:r>
      <w:r w:rsidRPr="00CB26B4">
        <w:t>2017 г</w:t>
      </w:r>
      <w:r>
        <w:t>ода</w:t>
      </w:r>
      <w:r w:rsidRPr="00CB26B4">
        <w:t xml:space="preserve"> о внесении дополнения в раздел II Конституции Республики Молдова, посредством которого была введена норма о статусе и роли Народного Адвоката. </w:t>
      </w:r>
    </w:p>
    <w:p w14:paraId="2C8744B9" w14:textId="77777777" w:rsidR="00936DFE" w:rsidRDefault="00936DFE" w:rsidP="00936DFE">
      <w:pPr>
        <w:pStyle w:val="SingleTxtG"/>
      </w:pPr>
      <w:r>
        <w:t>39.</w:t>
      </w:r>
      <w:r>
        <w:tab/>
      </w:r>
      <w:r w:rsidRPr="00CB26B4">
        <w:t>В соответствии со статьей 59</w:t>
      </w:r>
      <w:r w:rsidRPr="00A1474F">
        <w:rPr>
          <w:sz w:val="18"/>
          <w:szCs w:val="18"/>
          <w:vertAlign w:val="superscript"/>
        </w:rPr>
        <w:t>1</w:t>
      </w:r>
      <w:r w:rsidRPr="00CB26B4">
        <w:t xml:space="preserve"> Конституции Республики Молдова, НА не несет юридической ответственности за взгляды, выраженные при осуществлении полномочий. Вмешательство в деятельность народного адвоката, намеренное игнорирование его обращений и рекомендаций, а также препятствование в любой форме его деятельности влекут юридическую ответственность согласно закону.</w:t>
      </w:r>
    </w:p>
    <w:p w14:paraId="5C642507" w14:textId="77777777" w:rsidR="00936DFE" w:rsidRDefault="00936DFE" w:rsidP="00936DFE">
      <w:pPr>
        <w:pStyle w:val="SingleTxtG"/>
      </w:pPr>
      <w:r>
        <w:t>40.</w:t>
      </w:r>
      <w:r>
        <w:tab/>
      </w:r>
      <w:r w:rsidRPr="00CB26B4">
        <w:t>Закон № 52 от 3</w:t>
      </w:r>
      <w:r>
        <w:t xml:space="preserve"> апреля </w:t>
      </w:r>
      <w:r w:rsidRPr="00CB26B4">
        <w:t xml:space="preserve">2014 </w:t>
      </w:r>
      <w:r>
        <w:t xml:space="preserve">года </w:t>
      </w:r>
      <w:r w:rsidRPr="00CB26B4">
        <w:t xml:space="preserve">о народном адвокате (Омбудсмене) устанавливает гарантии независимости НА. В соответствии со статьей 3, институт НА является автономным и независимым по отношению к любому органу публичной власти, юридическому лицу независимо от вида собственности и организационно-правовой формы, а также к должностному лицу любого уровня. К народному адвокату неприменим какой-либо императивный или представительский мандат. Никто не может обязать народного адвоката подчиняться своим указаниям или распоряжениям. Народный адвокат не может быть обязан давать объяснения или делать заявления по рассмотренным или рассматриваемым им делам, за исключением случаев, когда таковые необходимы в интересах представляемой стороны или содержат информацию, представляющую общественный интерес. </w:t>
      </w:r>
    </w:p>
    <w:p w14:paraId="08ED63C0" w14:textId="77777777" w:rsidR="00936DFE" w:rsidRDefault="00936DFE" w:rsidP="00936DFE">
      <w:pPr>
        <w:pStyle w:val="SingleTxtG"/>
      </w:pPr>
      <w:r>
        <w:t>41.</w:t>
      </w:r>
      <w:r>
        <w:tab/>
      </w:r>
      <w:r w:rsidRPr="00CB26B4">
        <w:t>Согласно предписаниям Положения об организации и функционировании Офиса народного адвоката (ОНА), принятого Законом № 164 от 31</w:t>
      </w:r>
      <w:r>
        <w:t xml:space="preserve"> июля </w:t>
      </w:r>
      <w:r w:rsidRPr="00CB26B4">
        <w:t>2015 г</w:t>
      </w:r>
      <w:r>
        <w:t>ода</w:t>
      </w:r>
      <w:r w:rsidRPr="00CB26B4">
        <w:t xml:space="preserve">, Офис является автономным органом публичной власти и обладает организационной, функциональной, операционной и финансовой независимостью по отношению к любому органу публичной власти, юридическому лицу независимо от вида </w:t>
      </w:r>
      <w:r w:rsidRPr="00CB26B4">
        <w:lastRenderedPageBreak/>
        <w:t>собственности и организационно-правовой формы, любому физическому лицу, в том числе должностному лицу любого уровня.</w:t>
      </w:r>
    </w:p>
    <w:p w14:paraId="161866F0" w14:textId="77777777" w:rsidR="00936DFE" w:rsidRDefault="00936DFE" w:rsidP="00936DFE">
      <w:pPr>
        <w:pStyle w:val="SingleTxtG"/>
      </w:pPr>
      <w:r>
        <w:t>42.</w:t>
      </w:r>
      <w:r>
        <w:tab/>
      </w:r>
      <w:r w:rsidRPr="00CB26B4">
        <w:t>Согласно положениям статьи 37 Закона № 52 от 3</w:t>
      </w:r>
      <w:r>
        <w:t xml:space="preserve"> апреля </w:t>
      </w:r>
      <w:r w:rsidRPr="00CB26B4">
        <w:t>2014 г</w:t>
      </w:r>
      <w:r>
        <w:t>ода</w:t>
      </w:r>
      <w:r w:rsidRPr="00CB26B4">
        <w:t xml:space="preserve"> о народном адвокате (Омбудсмене), офис НА финансируется из государственного бюджета в пределах бюджетных ассигнований, утвержденных ежегодным бюджетным законом. В целях укрепления финансовой независимости учреждения, в Закон о публичных финансах и бюджетно-налоговой ответственности № 181 от 25</w:t>
      </w:r>
      <w:r>
        <w:t xml:space="preserve"> июля </w:t>
      </w:r>
      <w:r w:rsidRPr="00CB26B4">
        <w:t xml:space="preserve">2014 </w:t>
      </w:r>
      <w:r>
        <w:t xml:space="preserve">года </w:t>
      </w:r>
      <w:r w:rsidRPr="00CB26B4">
        <w:t>Законом №</w:t>
      </w:r>
      <w:r w:rsidRPr="00CB26B4">
        <w:rPr>
          <w:iCs/>
        </w:rPr>
        <w:t xml:space="preserve">147/2018 </w:t>
      </w:r>
      <w:r w:rsidRPr="00CB26B4">
        <w:t>были внесены изменения и дополнения</w:t>
      </w:r>
      <w:r w:rsidRPr="00CB26B4">
        <w:rPr>
          <w:iCs/>
        </w:rPr>
        <w:t xml:space="preserve">. </w:t>
      </w:r>
      <w:r w:rsidRPr="00CB26B4">
        <w:t>В соответствии с положениями новой статьи 51</w:t>
      </w:r>
      <w:r w:rsidRPr="007004C1">
        <w:rPr>
          <w:sz w:val="18"/>
          <w:szCs w:val="18"/>
          <w:vertAlign w:val="superscript"/>
        </w:rPr>
        <w:t>1</w:t>
      </w:r>
      <w:r w:rsidRPr="00AB4A29">
        <w:t xml:space="preserve"> </w:t>
      </w:r>
      <w:r w:rsidRPr="00CB26B4">
        <w:t>Закона о публичных финансах и бюджетно-налоговой ответственности</w:t>
      </w:r>
      <w:r w:rsidRPr="00CB26B4">
        <w:rPr>
          <w:iCs/>
        </w:rPr>
        <w:t xml:space="preserve">, проект бюджета независимого/автономного бюджетного органа с консультативным заключением Министерства финансов утверждается этим органом и представляется Правительству, для включения в проект государственного бюджета, представляемого Парламенту для принятия. </w:t>
      </w:r>
      <w:r w:rsidRPr="00CB26B4">
        <w:t>В случае расхождений независимый/</w:t>
      </w:r>
      <w:r>
        <w:t xml:space="preserve"> </w:t>
      </w:r>
      <w:r w:rsidRPr="00CB26B4">
        <w:t>автономный бюджетный орган представляет Парламенту замечания по проекту бюджета, одобренного Правительством, для разрешения разногласий.</w:t>
      </w:r>
    </w:p>
    <w:p w14:paraId="4131C2C7" w14:textId="77777777" w:rsidR="00936DFE" w:rsidRDefault="00936DFE" w:rsidP="00936DFE">
      <w:pPr>
        <w:pStyle w:val="SingleTxtG"/>
      </w:pPr>
      <w:r>
        <w:t>43.</w:t>
      </w:r>
      <w:r>
        <w:tab/>
      </w:r>
      <w:r w:rsidRPr="00CB26B4">
        <w:t>В 2019 году объем ассигнований из государственного бюджета на финансирование учреждения значительно вырос, и в то же время увеличились ассигнования на финансирование мероприятий, проводимых НА и НА по правам детей в рамках своих полномочий. В 2019 году они увеличились на 112,5</w:t>
      </w:r>
      <w:r>
        <w:t xml:space="preserve"> процента</w:t>
      </w:r>
      <w:r w:rsidRPr="00CB26B4">
        <w:t xml:space="preserve"> по сравнению с бюджетными ассигнованиями на 2015 год. </w:t>
      </w:r>
    </w:p>
    <w:p w14:paraId="2D0A31F9" w14:textId="77777777" w:rsidR="00936DFE" w:rsidRDefault="00936DFE" w:rsidP="00936DFE">
      <w:pPr>
        <w:pStyle w:val="SingleTxtG"/>
      </w:pPr>
      <w:r>
        <w:t>44.</w:t>
      </w:r>
      <w:r>
        <w:tab/>
      </w:r>
      <w:r w:rsidRPr="00CB26B4">
        <w:t>Законом № 164 от 31</w:t>
      </w:r>
      <w:r>
        <w:t xml:space="preserve"> июля </w:t>
      </w:r>
      <w:r w:rsidRPr="00CB26B4">
        <w:t xml:space="preserve">2015 </w:t>
      </w:r>
      <w:r>
        <w:t xml:space="preserve">года </w:t>
      </w:r>
      <w:r w:rsidRPr="00CB26B4">
        <w:t xml:space="preserve">об утверждении Положения об организации и функционировании Офиса народного адвоката, была утверждена предельная штатная численность Офиса народного адвоката в количестве 65 единиц. По обоснованному предложению народного адвоката предельная штатная численность Офиса народного адвоката может быть изменена Парламентом. </w:t>
      </w:r>
    </w:p>
    <w:p w14:paraId="7B2BE396" w14:textId="77777777" w:rsidR="00936DFE" w:rsidRDefault="00936DFE" w:rsidP="00936DFE">
      <w:pPr>
        <w:pStyle w:val="SingleTxtG"/>
      </w:pPr>
      <w:r>
        <w:t>45.</w:t>
      </w:r>
      <w:r>
        <w:tab/>
      </w:r>
      <w:r w:rsidRPr="00CB26B4">
        <w:t>В результате комплекса мер, предпринятых в мае 2018 г</w:t>
      </w:r>
      <w:r>
        <w:t>ода</w:t>
      </w:r>
      <w:r w:rsidRPr="00CB26B4">
        <w:t>, в контексте периодического подтверждения аккредитации Офис Народного Адвоката был аккредитован Бюро Глобального альянса национальных правозащитных учреждений (ГАНПЗУ) со статусом «А», что свидетельствует о признании полного соответствия Учреждения Омбудсмена Республики Молдова Парижским принципам.</w:t>
      </w:r>
    </w:p>
    <w:p w14:paraId="5DC6F24B" w14:textId="77777777" w:rsidR="00936DFE" w:rsidRDefault="00936DFE" w:rsidP="00936DFE">
      <w:pPr>
        <w:pStyle w:val="SingleTxtG"/>
      </w:pPr>
      <w:r>
        <w:t>46.</w:t>
      </w:r>
      <w:r>
        <w:tab/>
      </w:r>
      <w:r w:rsidRPr="00CB26B4">
        <w:t xml:space="preserve">Основным вызовом для Учреждения Омбудсмена по-прежнему остается текучесть кадров, которая негативно сказывается на эффективности работы Офиса НА из-за утери навыков и опыта увольняющихся сотрудников. Низкая оплата труда, сложные задачи и высокая нагрузка являются основными </w:t>
      </w:r>
      <w:proofErr w:type="spellStart"/>
      <w:r w:rsidRPr="00CB26B4">
        <w:t>демотивирующими</w:t>
      </w:r>
      <w:proofErr w:type="spellEnd"/>
      <w:r w:rsidRPr="00CB26B4">
        <w:t xml:space="preserve"> факторами для сотрудников. В настоящее время в Офисе Народного Адвоката работают 39 человек, в том числе государственные служащие, сотрудники кабинета Народного Адвоката, обслуживающий технический персонал и сотрудники территориальных представительств. </w:t>
      </w:r>
    </w:p>
    <w:p w14:paraId="344A0A61" w14:textId="77777777" w:rsidR="00936DFE" w:rsidRDefault="00936DFE" w:rsidP="00936DFE">
      <w:pPr>
        <w:pStyle w:val="H1G"/>
      </w:pPr>
      <w:r>
        <w:tab/>
      </w:r>
      <w:r>
        <w:tab/>
      </w:r>
      <w:r w:rsidRPr="00CB26B4">
        <w:t xml:space="preserve">В контексте </w:t>
      </w:r>
      <w:r w:rsidRPr="004F028C">
        <w:t>ст</w:t>
      </w:r>
      <w:r>
        <w:t>атьи</w:t>
      </w:r>
      <w:r w:rsidRPr="004F028C">
        <w:t xml:space="preserve"> 4</w:t>
      </w:r>
      <w:r w:rsidRPr="00CB26B4">
        <w:t xml:space="preserve"> Конвенции</w:t>
      </w:r>
    </w:p>
    <w:p w14:paraId="177CEAA1" w14:textId="77777777" w:rsidR="00936DFE" w:rsidRPr="00CB26B4" w:rsidRDefault="00936DFE" w:rsidP="00936DFE">
      <w:pPr>
        <w:pStyle w:val="H1G"/>
      </w:pPr>
      <w:r>
        <w:tab/>
      </w:r>
      <w:r>
        <w:tab/>
        <w:t>Информация о последующей деятельности в связи с пунктами 10 и</w:t>
      </w:r>
      <w:r>
        <w:rPr>
          <w:lang w:val="en-US"/>
        </w:rPr>
        <w:t> </w:t>
      </w:r>
      <w:r>
        <w:t>11 з</w:t>
      </w:r>
      <w:r w:rsidRPr="00CB26B4">
        <w:t>аключительны</w:t>
      </w:r>
      <w:r>
        <w:t>х</w:t>
      </w:r>
      <w:r w:rsidRPr="00CB26B4">
        <w:t xml:space="preserve"> замечани</w:t>
      </w:r>
      <w:r>
        <w:t xml:space="preserve">й </w:t>
      </w:r>
    </w:p>
    <w:p w14:paraId="2E41EF97" w14:textId="77777777" w:rsidR="00936DFE" w:rsidRDefault="00936DFE" w:rsidP="00936DFE">
      <w:pPr>
        <w:pStyle w:val="H23G"/>
      </w:pPr>
      <w:r>
        <w:tab/>
      </w:r>
      <w:r>
        <w:tab/>
      </w:r>
      <w:r w:rsidRPr="00CB26B4">
        <w:t>Правовая база</w:t>
      </w:r>
    </w:p>
    <w:p w14:paraId="32914A2D" w14:textId="77777777" w:rsidR="00936DFE" w:rsidRDefault="00936DFE" w:rsidP="00936DFE">
      <w:pPr>
        <w:pStyle w:val="H4G"/>
      </w:pPr>
      <w:r>
        <w:tab/>
      </w:r>
      <w:r>
        <w:tab/>
      </w:r>
      <w:r w:rsidRPr="00CB26B4">
        <w:t>Национальный план действий в области прав человека на 2018–2022 годы</w:t>
      </w:r>
    </w:p>
    <w:p w14:paraId="0AD75D6B" w14:textId="77777777" w:rsidR="00936DFE" w:rsidRDefault="00936DFE" w:rsidP="00936DFE">
      <w:pPr>
        <w:pStyle w:val="SingleTxtG"/>
      </w:pPr>
      <w:r>
        <w:t>47.</w:t>
      </w:r>
      <w:r>
        <w:tab/>
      </w:r>
      <w:r w:rsidRPr="00CB26B4">
        <w:t>Постановлением Парламента № 89 от 24</w:t>
      </w:r>
      <w:r>
        <w:t xml:space="preserve"> мая </w:t>
      </w:r>
      <w:r w:rsidRPr="00CB26B4">
        <w:t>2018</w:t>
      </w:r>
      <w:r>
        <w:t xml:space="preserve"> года</w:t>
      </w:r>
      <w:r w:rsidRPr="00CB26B4">
        <w:t xml:space="preserve"> был утвержден Национальный плана действий в области прав человека на 2018–2022 годы </w:t>
      </w:r>
      <w:r>
        <w:br/>
      </w:r>
      <w:r w:rsidRPr="00CB26B4">
        <w:t>(НПДПЧ-3)</w:t>
      </w:r>
      <w:r w:rsidRPr="00A1474F">
        <w:rPr>
          <w:sz w:val="18"/>
          <w:szCs w:val="18"/>
          <w:vertAlign w:val="superscript"/>
        </w:rPr>
        <w:footnoteReference w:id="21"/>
      </w:r>
      <w:r w:rsidRPr="00CB26B4">
        <w:t xml:space="preserve">, который является третьим документом государственной политики, разработанным в целях реализации и продвижения прав человека в Республике Молдова. В основу НПДПЧ-3, среди прочего, легли рекомендации Комитета ООН по </w:t>
      </w:r>
      <w:r w:rsidRPr="00CB26B4">
        <w:lastRenderedPageBreak/>
        <w:t xml:space="preserve">ликвидации расовой дискриминации (КЛРД), сформулированные в «Заключительных замечаний </w:t>
      </w:r>
      <w:r w:rsidRPr="004F028C">
        <w:t xml:space="preserve">относительно </w:t>
      </w:r>
      <w:r>
        <w:t>десят</w:t>
      </w:r>
      <w:r w:rsidRPr="004F028C">
        <w:t xml:space="preserve">ого и </w:t>
      </w:r>
      <w:r>
        <w:t xml:space="preserve">одиннадцатого </w:t>
      </w:r>
      <w:r w:rsidRPr="004F028C">
        <w:t>ого</w:t>
      </w:r>
      <w:r w:rsidRPr="004F028C">
        <w:rPr>
          <w:b/>
        </w:rPr>
        <w:t xml:space="preserve"> </w:t>
      </w:r>
      <w:r w:rsidRPr="004F028C">
        <w:t>периодических докладов</w:t>
      </w:r>
      <w:r w:rsidRPr="00CB26B4">
        <w:t xml:space="preserve"> Республики Молдова» от 8 мая 2017 года.</w:t>
      </w:r>
    </w:p>
    <w:p w14:paraId="032786C6" w14:textId="77777777" w:rsidR="00936DFE" w:rsidRDefault="00936DFE" w:rsidP="00936DFE">
      <w:pPr>
        <w:pStyle w:val="SingleTxtG"/>
      </w:pPr>
      <w:r>
        <w:rPr>
          <w:bCs/>
        </w:rPr>
        <w:t>48.</w:t>
      </w:r>
      <w:r>
        <w:rPr>
          <w:bCs/>
        </w:rPr>
        <w:tab/>
      </w:r>
      <w:r w:rsidRPr="00CB26B4">
        <w:rPr>
          <w:bCs/>
        </w:rPr>
        <w:t>Две из 16 областей деятельности документа посвящены: недискриминации и равенству (глава 6) и правам лиц, принадлежащих к национальным меньшинствам (глава 15).</w:t>
      </w:r>
      <w:r w:rsidRPr="00CB26B4">
        <w:t xml:space="preserve"> Проблемы соблюдения прав </w:t>
      </w:r>
      <w:proofErr w:type="spellStart"/>
      <w:r w:rsidRPr="00CB26B4">
        <w:t>ромского</w:t>
      </w:r>
      <w:proofErr w:type="spellEnd"/>
      <w:r w:rsidRPr="00CB26B4">
        <w:t xml:space="preserve"> населения отражены в задаче II, главы 15: «Этнические ромы полностью и без дискриминации пользуются своими правами». Поскольку население Республики Молдова характеризуется этническим, культурным, языковым и религиозным разнообразием, в котором индивидуальные особенности лиц, принадлежащих к этим меньшинствам, часто бывают множественными, при разработке документа было сочтено целесообразным придать значимость этому разнообразию, таким образом, чтобы разделение общества по этническим, языковым или религиозным критериям было преодолено. Таким образом, в духе подготовки к этапу ратификации Европейской хартии региональных языков или языков меньшинств, согласно НПДПЧ-3, предлагаются меры, направленные на эффективную реализация социальной, культурной и экономической интеграции лиц, принадлежащих к национальным меньшинствам, обеспечение бюджетными средствами в достаточном объеме политических рамок в данной области, укрепление институциональных возможностей государственных структур, вовлеченных в процесс мониторинга общего положения лиц, принадлежащих к национальным меньшинствам, приведение школьных программ в соответствие с дисциплиной религиозного обучения с целью отражения религиозного разнообразия и независимости от религиозных идеологий и догм. Кроме того, дополнительные меры для сокращения социальной дистанции по отношению к лицам, принадлежащим к меньшинствам, будут основаны на повышении результативности расследований преступлений и инцидентов, мотивированных предрассудками, презрением или ненавистью, посредствам</w:t>
      </w:r>
      <w:r>
        <w:t xml:space="preserve"> </w:t>
      </w:r>
      <w:r w:rsidRPr="00CB26B4">
        <w:t xml:space="preserve">пересмотра уголовного законодательства и законодательства о правонарушениях, укрепления потенциала соответствующих субъектов в области правосудия, предоставления необходимой помощи жертвам и сбора дезагрегированных данных о масштабах этих преступлений. </w:t>
      </w:r>
    </w:p>
    <w:p w14:paraId="1E6A168D" w14:textId="77777777" w:rsidR="00936DFE" w:rsidRDefault="00936DFE" w:rsidP="00936DFE">
      <w:pPr>
        <w:pStyle w:val="SingleTxtG"/>
      </w:pPr>
      <w:r>
        <w:t>49.</w:t>
      </w:r>
      <w:r>
        <w:tab/>
      </w:r>
      <w:r w:rsidRPr="00CB26B4">
        <w:t xml:space="preserve">Вследствие принятия НПДПЧ-3, а также ввиду реализации задач, установленных в соответствии с Национальным планом действий по реализации Соглашения об ассоциации Республика Молдова </w:t>
      </w:r>
      <w:r>
        <w:t>—</w:t>
      </w:r>
      <w:r w:rsidRPr="00CB26B4">
        <w:t xml:space="preserve"> Европейский союз</w:t>
      </w:r>
      <w:r>
        <w:t>,</w:t>
      </w:r>
      <w:r w:rsidRPr="00CB26B4">
        <w:t xml:space="preserve"> период </w:t>
      </w:r>
      <w:r>
        <w:br/>
      </w:r>
      <w:r w:rsidRPr="00CB26B4">
        <w:t>2017</w:t>
      </w:r>
      <w:r>
        <w:t>–</w:t>
      </w:r>
      <w:r w:rsidRPr="00CB26B4">
        <w:t>2019</w:t>
      </w:r>
      <w:r w:rsidRPr="00A1474F">
        <w:rPr>
          <w:sz w:val="18"/>
          <w:szCs w:val="18"/>
          <w:vertAlign w:val="superscript"/>
        </w:rPr>
        <w:footnoteReference w:id="22"/>
      </w:r>
      <w:r w:rsidRPr="00CB26B4">
        <w:t xml:space="preserve"> год</w:t>
      </w:r>
      <w:r>
        <w:t>ы</w:t>
      </w:r>
      <w:r w:rsidRPr="00CB26B4">
        <w:t>, было утверждено ПП № 65 от 11</w:t>
      </w:r>
      <w:r>
        <w:t xml:space="preserve"> февраля </w:t>
      </w:r>
      <w:r w:rsidRPr="00CB26B4">
        <w:t>2019</w:t>
      </w:r>
      <w:r>
        <w:t xml:space="preserve"> года</w:t>
      </w:r>
      <w:r w:rsidRPr="00CB26B4">
        <w:t xml:space="preserve"> о Национальном совете по правам человека, целью которого является создание эффективного национального механизма для координации разработки и реализации документов по политике в области прав человека, их мониторинга и оценки, выполнения международных договоров по правам человека, участником которых является Республика Молдова. Текущая деятельность Совета обеспечивается ответственным подразделением Государственной канцелярии, которое выполняет функции Постоянного секретариата по правам человека.</w:t>
      </w:r>
      <w:r>
        <w:t xml:space="preserve"> </w:t>
      </w:r>
      <w:r w:rsidRPr="00CB26B4">
        <w:t>Постоянный секретариат обеспечивает текущую деятельность по мониторингу и оценке реализации НПДПЧ-3. Для</w:t>
      </w:r>
      <w:r>
        <w:t> </w:t>
      </w:r>
      <w:r w:rsidRPr="00CB26B4">
        <w:t xml:space="preserve">обеспечения взаимодействия Национального Совета по правам человека и Постоянным Секретариатом с государственными органами, в каждом ведомстве был назначен координатор в области прав человека. Согласно Постановлению Парламента № 89/2018 Национальный совет по правам человека ежегодно, до 1 апреля, представляет в Парламент отчет о степени реализации Национального плана действий в области прав человека. </w:t>
      </w:r>
    </w:p>
    <w:p w14:paraId="66EFD0AD" w14:textId="77777777" w:rsidR="00936DFE" w:rsidRDefault="00936DFE" w:rsidP="00936DFE">
      <w:pPr>
        <w:pStyle w:val="H4G"/>
      </w:pPr>
      <w:r>
        <w:tab/>
      </w:r>
      <w:r>
        <w:tab/>
      </w:r>
      <w:r w:rsidRPr="00CB26B4">
        <w:t>Закон № 121/2012 об обеспечении равенства</w:t>
      </w:r>
    </w:p>
    <w:p w14:paraId="19256932" w14:textId="77777777" w:rsidR="00936DFE" w:rsidRDefault="00936DFE" w:rsidP="00936DFE">
      <w:pPr>
        <w:pStyle w:val="SingleTxtG"/>
      </w:pPr>
      <w:r>
        <w:t>50.</w:t>
      </w:r>
      <w:r>
        <w:tab/>
      </w:r>
      <w:r w:rsidRPr="00CB26B4">
        <w:t>Комплексным нормативным актом, регулирующим феномен борьбы и предотвращения дискриминации, является Закон об обеспечении равенства № 121 от 25</w:t>
      </w:r>
      <w:r>
        <w:t xml:space="preserve"> мая </w:t>
      </w:r>
      <w:r w:rsidRPr="00CB26B4">
        <w:t>2012 г</w:t>
      </w:r>
      <w:r>
        <w:t>ода.</w:t>
      </w:r>
      <w:r w:rsidRPr="00CB26B4">
        <w:t xml:space="preserve"> Согласно ст</w:t>
      </w:r>
      <w:r>
        <w:t>атье</w:t>
      </w:r>
      <w:r w:rsidRPr="00CB26B4">
        <w:t xml:space="preserve"> 1 параграфу (1) «…Целью настоящего закона </w:t>
      </w:r>
      <w:r w:rsidRPr="00CB26B4">
        <w:lastRenderedPageBreak/>
        <w:t>является предупреждение и борьба с дискриминацией, а также обеспечение равных прав всем лицам, находящимся на территории Республики Молдова, в политической, экономической, социальной, культурной и других сферах жизни независимо от расы, цвета кожи, национальности, этнического происхождения, языка, религии или убеждений, пола, возраста, ограниченных возможностей, взглядов, политической принадлежности, а также на основе любого другого подобного признака». Ст</w:t>
      </w:r>
      <w:r>
        <w:t>атья</w:t>
      </w:r>
      <w:r w:rsidRPr="00CB26B4">
        <w:t xml:space="preserve"> 2 содержит определение дискриминации как «…любое различие, исключение, ограничение или предпочтение в правах и свободах личности или группы лиц, а также поддержка дискриминационного поведения, основанного на реальных признаках, установленных в настоящем законе или предполагаемых…»</w:t>
      </w:r>
      <w:r>
        <w:t>.</w:t>
      </w:r>
    </w:p>
    <w:p w14:paraId="4B416FAA" w14:textId="77777777" w:rsidR="00936DFE" w:rsidRDefault="00936DFE" w:rsidP="00936DFE">
      <w:pPr>
        <w:pStyle w:val="SingleTxtG"/>
      </w:pPr>
      <w:r>
        <w:t>51.</w:t>
      </w:r>
      <w:r>
        <w:tab/>
      </w:r>
      <w:r w:rsidRPr="00CB26B4">
        <w:t>В течение отчетного периода, согласно мнению Совета по предупреждению и ликвидации дискриминации и обеспечению равенства (Совета/СПЛДОР), применение Закона об обеспечении равенства</w:t>
      </w:r>
      <w:r>
        <w:t xml:space="preserve"> </w:t>
      </w:r>
      <w:r w:rsidRPr="00CB26B4">
        <w:t>№121/2012 привело к определенному прогрессу в различных областях, оказав влияние на положение национальных меньшинств.</w:t>
      </w:r>
      <w:r>
        <w:t xml:space="preserve"> </w:t>
      </w:r>
    </w:p>
    <w:p w14:paraId="2865B80F" w14:textId="77777777" w:rsidR="00936DFE" w:rsidRDefault="00936DFE" w:rsidP="00936DFE">
      <w:pPr>
        <w:pStyle w:val="SingleTxtG"/>
      </w:pPr>
      <w:r>
        <w:t>52.</w:t>
      </w:r>
      <w:r>
        <w:tab/>
      </w:r>
      <w:r w:rsidRPr="00CB26B4">
        <w:t xml:space="preserve">В обществе наблюдается небольшой рост уровня толерантности среди населения. В 2018 году Совет/СПЛДОР при поддержке партнеров по развитию провел оценку восприятия и отношения населения к равенству за </w:t>
      </w:r>
      <w:r>
        <w:t>трех</w:t>
      </w:r>
      <w:r w:rsidRPr="00CB26B4">
        <w:t>летний период. Сравнительный анализ результатов исследований восприятия и отношения к равенству, проведенных в 2015 и 2018 годах, показывает снижение индекса социальной дистанции отдельных групп меньшинств в Республике Молдова. Самый низкий уровень принятия остается для ЛГБТ-лиц, ВИЧ/СПИД-инфицированных, этнических ромов, бывших заключенных</w:t>
      </w:r>
      <w:r w:rsidRPr="00A1474F">
        <w:rPr>
          <w:sz w:val="18"/>
          <w:szCs w:val="18"/>
          <w:vertAlign w:val="superscript"/>
        </w:rPr>
        <w:footnoteReference w:id="23"/>
      </w:r>
      <w:r w:rsidRPr="00CB26B4">
        <w:t>.</w:t>
      </w:r>
    </w:p>
    <w:p w14:paraId="6152CF1F" w14:textId="77777777" w:rsidR="00936DFE" w:rsidRDefault="00936DFE" w:rsidP="00936DFE">
      <w:pPr>
        <w:pStyle w:val="SingleTxtG"/>
      </w:pPr>
      <w:r>
        <w:t>53.</w:t>
      </w:r>
      <w:r>
        <w:tab/>
      </w:r>
      <w:r w:rsidRPr="00CB26B4">
        <w:t>В то же время с целью консолидации правовых рамок по предотвращению дискриминации и борьбы с ней, а также укреплению институционального механизма, МЮ разработало законопроект о внесении поправок в некоторые законодательные акты, в частности в Закон № 121/2012 об обеспечении равенства и Закон № 298/2012 о</w:t>
      </w:r>
      <w:r>
        <w:t> </w:t>
      </w:r>
      <w:r w:rsidRPr="00CB26B4">
        <w:t>деятельности Совета/СПЛДОР. Основными целями проекта являются: расширение критериев недискриминации; укрепление институциональной базы в данной области; совершенствование механизма сбора данных относительно равенства, недискриминации и разнообразии, а также мониторинг и оценка этих данных и т. д. Проект был утвержден ПП № 635 от 5 июля 2018 года и был зарегистрирован в Парламенте под № 235, 6 июля 2018 года. Учитывая, что законопроект не был утвержден Парламентом ни в одном чтении, при утверждении нового состава правительства, в соответствии с процедурой парламентского регулирования проект был возвращен в МЮ, который подвергнет его новому процессу консультаций. В</w:t>
      </w:r>
      <w:r>
        <w:t> </w:t>
      </w:r>
      <w:r w:rsidRPr="00CB26B4">
        <w:t>то</w:t>
      </w:r>
      <w:r>
        <w:t> </w:t>
      </w:r>
      <w:r w:rsidRPr="00CB26B4">
        <w:t xml:space="preserve">же время в целях обеспечения соответствия национальной правовой базы международным стандартам в этой области, в частности, которые предписаны в юриспруденции Европейского </w:t>
      </w:r>
      <w:r>
        <w:t>с</w:t>
      </w:r>
      <w:r w:rsidRPr="00CB26B4">
        <w:t>уда по правам человека, а также рекомендациям</w:t>
      </w:r>
      <w:r>
        <w:t xml:space="preserve"> </w:t>
      </w:r>
      <w:r w:rsidRPr="00CB26B4">
        <w:t>ЕКРН, МЮ письмом № 02/7932 от 2</w:t>
      </w:r>
      <w:r>
        <w:t xml:space="preserve"> </w:t>
      </w:r>
      <w:r w:rsidRPr="00CB26B4">
        <w:t>августа</w:t>
      </w:r>
      <w:r>
        <w:t xml:space="preserve"> </w:t>
      </w:r>
      <w:r w:rsidRPr="00CB26B4">
        <w:t xml:space="preserve">2019 </w:t>
      </w:r>
      <w:r>
        <w:t xml:space="preserve">года </w:t>
      </w:r>
      <w:r w:rsidRPr="00CB26B4">
        <w:t xml:space="preserve">обратилось в </w:t>
      </w:r>
      <w:r w:rsidRPr="00F43F47">
        <w:rPr>
          <w:color w:val="000000" w:themeColor="text1"/>
        </w:rPr>
        <w:t xml:space="preserve">Совет </w:t>
      </w:r>
      <w:r w:rsidRPr="00CB26B4">
        <w:t>Европы за оказанием помощи в проведении экспертизы по упомянутому законопроекту.</w:t>
      </w:r>
    </w:p>
    <w:p w14:paraId="40E0B087" w14:textId="77777777" w:rsidR="00936DFE" w:rsidRDefault="00936DFE" w:rsidP="00936DFE">
      <w:pPr>
        <w:pStyle w:val="SingleTxtG"/>
      </w:pPr>
      <w:r>
        <w:t>54.</w:t>
      </w:r>
      <w:r>
        <w:tab/>
      </w:r>
      <w:r w:rsidRPr="00CB26B4">
        <w:t xml:space="preserve">В процессе мониторинга выполнения принятых решений Совет/СПЛДОР установил, что веб-страницы некоторых государственных органов (Парламент Республики Молдова, </w:t>
      </w:r>
      <w:proofErr w:type="spellStart"/>
      <w:r w:rsidRPr="00CB26B4">
        <w:t>примэрия</w:t>
      </w:r>
      <w:proofErr w:type="spellEnd"/>
      <w:r w:rsidRPr="00CB26B4">
        <w:t xml:space="preserve"> </w:t>
      </w:r>
      <w:proofErr w:type="spellStart"/>
      <w:r w:rsidRPr="00CB26B4">
        <w:t>мун</w:t>
      </w:r>
      <w:proofErr w:type="spellEnd"/>
      <w:r w:rsidRPr="00CB26B4">
        <w:t xml:space="preserve">. </w:t>
      </w:r>
      <w:proofErr w:type="spellStart"/>
      <w:r w:rsidRPr="00CB26B4">
        <w:t>Кишинэу</w:t>
      </w:r>
      <w:proofErr w:type="spellEnd"/>
      <w:r w:rsidRPr="00CB26B4">
        <w:t>) стали доступны и для представителей языковых меньшинств, поскольку были запущены версии этих веб-страниц на межэтническом языке общения (русский язык). Также наблюдается скромный прогресс в повышении осведомленности о недопущении выделения этнической принадлежности в официальных коммюнике и/или в прессе.</w:t>
      </w:r>
    </w:p>
    <w:p w14:paraId="06E103D6" w14:textId="77777777" w:rsidR="00936DFE" w:rsidRDefault="00936DFE" w:rsidP="00936DFE">
      <w:pPr>
        <w:pStyle w:val="SingleTxtG"/>
      </w:pPr>
      <w:r>
        <w:t>55.</w:t>
      </w:r>
      <w:r>
        <w:tab/>
      </w:r>
      <w:r w:rsidRPr="00CB26B4">
        <w:t xml:space="preserve">Тем не </w:t>
      </w:r>
      <w:proofErr w:type="gramStart"/>
      <w:r w:rsidRPr="00CB26B4">
        <w:t>менее, несмотря на то, что</w:t>
      </w:r>
      <w:proofErr w:type="gramEnd"/>
      <w:r w:rsidRPr="00CB26B4">
        <w:t xml:space="preserve"> был достигнут определенный прогресс, некоторые вопросы по-прежнему вызывают озабоченность. Молдова не ратифицировала Европейскую хартию региональных языков или языков меньшинств, и власти не указали сроки ее ратификации</w:t>
      </w:r>
      <w:r w:rsidRPr="00A1474F">
        <w:rPr>
          <w:sz w:val="18"/>
          <w:szCs w:val="18"/>
          <w:vertAlign w:val="superscript"/>
          <w:lang w:val="es-ES"/>
        </w:rPr>
        <w:footnoteReference w:id="24"/>
      </w:r>
      <w:r w:rsidRPr="00CB26B4">
        <w:t xml:space="preserve">. Утвержденные правовые рамки по </w:t>
      </w:r>
      <w:r w:rsidRPr="00CB26B4">
        <w:lastRenderedPageBreak/>
        <w:t>предотвращению и борьбе с дискриминацией все же не обеспечивают эффективной защиты жертв дискриминации. Несмотря на прогрессивность Закона об обеспечении равенства № 121/2012, тем не менее</w:t>
      </w:r>
      <w:r>
        <w:t xml:space="preserve">, </w:t>
      </w:r>
      <w:r w:rsidRPr="00CB26B4">
        <w:t>в процессе его применения обнаруживаются некоторые недостатки. Совет/СПЛДОР считает необходимым дать более четкое определение понятию подстрекательства к дискриминации, а именно дифференцировать его и ввести понятия «характер дискриминации» и «дискриминационная риторика», запретить дискриминацию при осуществлении профессии, определить понятие публичного лица, уточнить процедуру пересмотра срока давности в отношении возмещения убытков, причиненных в результате актов дискриминации. Для устранения этих недостатков МЮ разработало законопроект, представленный в парламент в июле 2018 года, но вследствие смены правительства он был возвращен для повторного прохождения законодательной процедуры</w:t>
      </w:r>
      <w:r w:rsidRPr="006F10FB">
        <w:rPr>
          <w:sz w:val="18"/>
          <w:szCs w:val="18"/>
          <w:vertAlign w:val="superscript"/>
          <w:lang w:val="es-ES"/>
        </w:rPr>
        <w:footnoteReference w:id="25"/>
      </w:r>
      <w:r w:rsidRPr="00CB26B4">
        <w:t xml:space="preserve">. </w:t>
      </w:r>
    </w:p>
    <w:p w14:paraId="015CE597" w14:textId="77777777" w:rsidR="00936DFE" w:rsidRDefault="00936DFE" w:rsidP="00936DFE">
      <w:pPr>
        <w:pStyle w:val="SingleTxtG"/>
      </w:pPr>
      <w:r>
        <w:t>56.</w:t>
      </w:r>
      <w:r>
        <w:tab/>
      </w:r>
      <w:r w:rsidRPr="00CB26B4">
        <w:t>Кодекс о правонарушениях не предусматривает санкции против таких форм дискриминации, таких как: домогательство, подстрекательство к дискриминации, виктимизация, расовая сегрегация. Совет/СПЛДОР компетентен только устанавливать нарушения, а вынесение наказания за эти нарушения является прерогативой судебных инстанций. Наделение Совета компетенцией налагать санкции за акты дискриминации обеспечит эффективное осуществление антидискриминационного законодательства и привлечение к ответственности лиц, совершающих дискриминационные акты.</w:t>
      </w:r>
    </w:p>
    <w:p w14:paraId="63E071D9" w14:textId="77777777" w:rsidR="00936DFE" w:rsidRDefault="00936DFE" w:rsidP="00936DFE">
      <w:pPr>
        <w:pStyle w:val="H4G"/>
      </w:pPr>
      <w:r>
        <w:tab/>
      </w:r>
      <w:r>
        <w:tab/>
      </w:r>
      <w:r w:rsidRPr="00CB26B4">
        <w:t xml:space="preserve">Стратегия укрепления межэтнических отношений в Республике Молдова </w:t>
      </w:r>
      <w:r>
        <w:br/>
      </w:r>
      <w:r w:rsidRPr="00CB26B4">
        <w:t>на</w:t>
      </w:r>
      <w:r>
        <w:t> </w:t>
      </w:r>
      <w:r w:rsidRPr="00CB26B4">
        <w:t>2017</w:t>
      </w:r>
      <w:r>
        <w:t>–</w:t>
      </w:r>
      <w:r w:rsidRPr="00CB26B4">
        <w:t>2027 годы, План действий на период 2017</w:t>
      </w:r>
      <w:r>
        <w:t>–</w:t>
      </w:r>
      <w:r w:rsidRPr="00CB26B4">
        <w:t xml:space="preserve">2020 годов по реализации Стратегии укрепления межэтнических отношений в Республике Молдова </w:t>
      </w:r>
      <w:r>
        <w:br/>
      </w:r>
      <w:r w:rsidRPr="00CB26B4">
        <w:t>на</w:t>
      </w:r>
      <w:r>
        <w:t> </w:t>
      </w:r>
      <w:r w:rsidRPr="00CB26B4">
        <w:t>2017</w:t>
      </w:r>
      <w:r>
        <w:t>–</w:t>
      </w:r>
      <w:r w:rsidRPr="00CB26B4">
        <w:t xml:space="preserve">2027 годы </w:t>
      </w:r>
    </w:p>
    <w:p w14:paraId="347C812D" w14:textId="77777777" w:rsidR="00936DFE" w:rsidRDefault="00936DFE" w:rsidP="00936DFE">
      <w:pPr>
        <w:pStyle w:val="SingleTxtG"/>
      </w:pPr>
      <w:r>
        <w:t>57.</w:t>
      </w:r>
      <w:r>
        <w:tab/>
      </w:r>
      <w:r w:rsidRPr="00CB26B4">
        <w:t xml:space="preserve">Значительным прогрессом в совершенствовании системы защиты прав лиц, принадлежащих к национальным меньшинствам, является принятие Стратегии укрепления межэтнических отношений в Республике Молдова на 2017–2027 годы (далее </w:t>
      </w:r>
      <w:r>
        <w:t>—</w:t>
      </w:r>
      <w:r w:rsidRPr="00CB26B4">
        <w:t xml:space="preserve"> Стратегия), утвержденная ПП № 1464 от 30</w:t>
      </w:r>
      <w:r>
        <w:t xml:space="preserve"> декабря </w:t>
      </w:r>
      <w:r w:rsidRPr="00CB26B4">
        <w:t>2016</w:t>
      </w:r>
      <w:r>
        <w:t xml:space="preserve"> года </w:t>
      </w:r>
      <w:r w:rsidRPr="00CB26B4">
        <w:t>Постановлением Правительства № 1019 от 29</w:t>
      </w:r>
      <w:r>
        <w:t xml:space="preserve"> ноября </w:t>
      </w:r>
      <w:r w:rsidRPr="00CB26B4">
        <w:t>2017</w:t>
      </w:r>
      <w:r>
        <w:t xml:space="preserve"> года </w:t>
      </w:r>
      <w:r w:rsidRPr="00CB26B4">
        <w:t>утвержден План действий на период 2017</w:t>
      </w:r>
      <w:r>
        <w:t>–</w:t>
      </w:r>
      <w:r w:rsidRPr="00CB26B4">
        <w:t>2020 г</w:t>
      </w:r>
      <w:r>
        <w:t>одов</w:t>
      </w:r>
      <w:r w:rsidRPr="00CB26B4">
        <w:t xml:space="preserve"> по реализации Стратегии укрепления межнациональных отношений в Республике Молдова на 2017</w:t>
      </w:r>
      <w:r>
        <w:t>–</w:t>
      </w:r>
      <w:r w:rsidRPr="00CB26B4">
        <w:t>2027 г</w:t>
      </w:r>
      <w:r>
        <w:t>оды</w:t>
      </w:r>
      <w:r w:rsidRPr="00CB26B4">
        <w:t xml:space="preserve"> (далее </w:t>
      </w:r>
      <w:r>
        <w:t>—</w:t>
      </w:r>
      <w:r w:rsidRPr="00CB26B4">
        <w:t xml:space="preserve"> План действий). План действий подтвердил решимость правительства предпринимать надлежащие меры для реализации прав лиц, принадлежащих к меньшинствам, в</w:t>
      </w:r>
      <w:r>
        <w:t> </w:t>
      </w:r>
      <w:r w:rsidRPr="00CB26B4">
        <w:t>интегрированном и многоязычном обществе, основанном на уважении многообразия</w:t>
      </w:r>
      <w:r w:rsidRPr="00CB26B4">
        <w:rPr>
          <w:i/>
        </w:rPr>
        <w:t xml:space="preserve">. </w:t>
      </w:r>
      <w:r w:rsidRPr="00CB26B4">
        <w:t xml:space="preserve">Многочисленные меры, действия и проекты, предусмотренные для достижения основных целей Стратегии, были предложены как исполнительными органами, так и представителями общественного сектора. К ним относятся: оперативные исследования, направленные на анализ текущей ситуации в данной области, выявление насущных проблем и рисков, изучение ситуации в области представительства и участия этнических групп в публичном секторе. План предусматривает преемственность в организации традиционных национально-культурных мероприятий </w:t>
      </w:r>
      <w:r>
        <w:t>—</w:t>
      </w:r>
      <w:r w:rsidRPr="00CB26B4">
        <w:t xml:space="preserve"> фестивалей, круглых столов, конференций, летних лагерей и других мероприятий, направленных на развитие межкультурного диалога, межкультурное образование и взаимодействие. При</w:t>
      </w:r>
      <w:r>
        <w:t> </w:t>
      </w:r>
      <w:r w:rsidRPr="00CB26B4">
        <w:t>поддержке международных и национальных экспертов были определены финансовые ресурсы необходимые для покрытия расходов по реализации Плана. Из</w:t>
      </w:r>
      <w:r>
        <w:t> </w:t>
      </w:r>
      <w:r w:rsidRPr="00CB26B4">
        <w:t>государственного бюджета, согласно ПП № 1019/2017, была предусмотрена сумма в размере 2 570 795 MDL; внешняя помощь составит 2 101 822 леев.</w:t>
      </w:r>
    </w:p>
    <w:p w14:paraId="27747D81" w14:textId="77777777" w:rsidR="00936DFE" w:rsidRDefault="00936DFE" w:rsidP="00936DFE">
      <w:pPr>
        <w:pStyle w:val="SingleTxtG"/>
      </w:pPr>
      <w:r>
        <w:t>58.</w:t>
      </w:r>
      <w:r>
        <w:tab/>
      </w:r>
      <w:r w:rsidRPr="00CB26B4">
        <w:t xml:space="preserve">Двуязычное издание, румыно-русское, текстов Стратегии и Плана действий, тиражом в 3000 экземпляров, было напечатано с целью распространения среди министерств, других органов центрального и местного публичного управления, </w:t>
      </w:r>
      <w:r w:rsidRPr="00CB26B4">
        <w:lastRenderedPageBreak/>
        <w:t>ассоциаций национальных меньшинств, учреждений гражданского общества, тем самым способствуя началу реализации этих программных документов</w:t>
      </w:r>
      <w:r w:rsidRPr="006F10FB">
        <w:rPr>
          <w:sz w:val="18"/>
          <w:szCs w:val="18"/>
          <w:vertAlign w:val="superscript"/>
        </w:rPr>
        <w:footnoteReference w:id="26"/>
      </w:r>
      <w:r>
        <w:t>.</w:t>
      </w:r>
      <w:r w:rsidRPr="00CB26B4">
        <w:t xml:space="preserve"> Кроме того, при финансовой поддержке Миссии ОБСЕ в Республике Молдова в рамках проекта «Усовершенствование потенциала и механизмов устойчивого сотрудничества в области национальных меньшинств» текст Стратегии был переведен на </w:t>
      </w:r>
      <w:r>
        <w:t>четыре</w:t>
      </w:r>
      <w:r w:rsidRPr="00CB26B4">
        <w:t xml:space="preserve"> языка меньшинств: украинский, гагаузский, болгарский, </w:t>
      </w:r>
      <w:proofErr w:type="spellStart"/>
      <w:r w:rsidRPr="00CB26B4">
        <w:t>романи</w:t>
      </w:r>
      <w:proofErr w:type="spellEnd"/>
      <w:r w:rsidRPr="00CB26B4">
        <w:t xml:space="preserve"> и опубликован.</w:t>
      </w:r>
    </w:p>
    <w:p w14:paraId="3AFF95C1" w14:textId="77777777" w:rsidR="00936DFE" w:rsidRDefault="00936DFE" w:rsidP="00936DFE">
      <w:pPr>
        <w:pStyle w:val="SingleTxtG"/>
      </w:pPr>
      <w:r>
        <w:t>59.</w:t>
      </w:r>
      <w:r>
        <w:tab/>
      </w:r>
      <w:r w:rsidRPr="00CB26B4">
        <w:t xml:space="preserve">Было инициировано организация и проведение </w:t>
      </w:r>
      <w:proofErr w:type="spellStart"/>
      <w:r w:rsidRPr="00CB26B4">
        <w:t>Этнобарометра</w:t>
      </w:r>
      <w:proofErr w:type="spellEnd"/>
      <w:r w:rsidRPr="00CB26B4">
        <w:t xml:space="preserve"> в Республике Молдова (исследование межэтнических отношений в Республике Молдова), его методология и вопросник были согласованы и утверждены в ходе ряда совещаний, организованных в период с апреля по май 2019 г</w:t>
      </w:r>
      <w:r>
        <w:t>од.</w:t>
      </w:r>
      <w:r w:rsidRPr="00CB26B4">
        <w:t xml:space="preserve"> Ответственными за его проведение были назначены МОКИ и АМО при поддержке со стороны экспертов из Института европейской политики (ИЕП), Офиса Верховного комиссара ОБСЕ по делам национальных меньшинств и Института европейской политики и реформ (ИЕПР).</w:t>
      </w:r>
    </w:p>
    <w:p w14:paraId="7A20E96C" w14:textId="77777777" w:rsidR="00936DFE" w:rsidRDefault="00936DFE" w:rsidP="00936DFE">
      <w:pPr>
        <w:pStyle w:val="SingleTxtG"/>
      </w:pPr>
      <w:r>
        <w:t>60.</w:t>
      </w:r>
      <w:r>
        <w:tab/>
      </w:r>
      <w:r w:rsidRPr="00CB26B4">
        <w:t>В целях развития собственного потенциала, а также для укрепления коалиции ОНА, АМО и Совета/СПЛДОР, сотрудники упомянутых учреждений активно участвуют в учебных программах, целенаправленно организованных с этой целью Миссией ОБСЕ в Молдове. Первый учебный семинар состоялся в октябре 2018 г</w:t>
      </w:r>
      <w:r>
        <w:t>ода</w:t>
      </w:r>
      <w:r w:rsidRPr="00CB26B4">
        <w:t>, в</w:t>
      </w:r>
      <w:r>
        <w:t> </w:t>
      </w:r>
      <w:r w:rsidRPr="00CB26B4">
        <w:t>ходе которого представители ведомств обсудили механизм выявления и устранения существующих недостатков в государственной политике в целевой области. Второй такой семинар состоялся 15</w:t>
      </w:r>
      <w:r>
        <w:t>–</w:t>
      </w:r>
      <w:r w:rsidRPr="00CB26B4">
        <w:t>16 мая 2019 г</w:t>
      </w:r>
      <w:r>
        <w:t>ода</w:t>
      </w:r>
      <w:r w:rsidRPr="00CB26B4">
        <w:t xml:space="preserve"> и был посвящен методам обеспечения участия национальных меньшинств в общественной жизни, в частности, позитивным мерам, необходимым для достижения равенства, в частности в области управления и принятия решений, и об их практическом применении. Третий учебный семинар состоялся в период 21</w:t>
      </w:r>
      <w:r>
        <w:t>–</w:t>
      </w:r>
      <w:r w:rsidRPr="00CB26B4">
        <w:t>22 ноября 2019 г</w:t>
      </w:r>
      <w:r>
        <w:t>ода</w:t>
      </w:r>
      <w:r w:rsidRPr="00CB26B4">
        <w:t xml:space="preserve"> и помог представителям трех учреждений проанализировать основные концепции и ключевые элементы права на здравоохранение, а также влияние различных медицинских услуг на группы меньшинств.</w:t>
      </w:r>
    </w:p>
    <w:p w14:paraId="5BA7CC0B" w14:textId="77777777" w:rsidR="00936DFE" w:rsidRDefault="00936DFE" w:rsidP="00936DFE">
      <w:pPr>
        <w:pStyle w:val="SingleTxtG"/>
      </w:pPr>
      <w:r>
        <w:t>61.</w:t>
      </w:r>
      <w:r>
        <w:tab/>
      </w:r>
      <w:r w:rsidRPr="00CB26B4">
        <w:t>24 октября 2019 г</w:t>
      </w:r>
      <w:r>
        <w:t>ода</w:t>
      </w:r>
      <w:r w:rsidRPr="00CB26B4">
        <w:t xml:space="preserve"> Миссия ОБСЕ поддержала организацию семинара для расширенной целевой группы государственных учреждений, задействованных в области прав национальных меньшинств. В мероприятии приняли участие представители АМО, ОНА, Совета/СПЛДОР, МОКИ, а также этнокультурных организаций национальных меньшинств. Основное внимание в рамках семинара было уделено передовым практикам в области мониторинга и отчетности по правам человека.</w:t>
      </w:r>
      <w:r>
        <w:t xml:space="preserve"> </w:t>
      </w:r>
    </w:p>
    <w:p w14:paraId="4F4BACEB" w14:textId="77777777" w:rsidR="00936DFE" w:rsidRDefault="00936DFE" w:rsidP="00936DFE">
      <w:pPr>
        <w:pStyle w:val="SingleTxtG"/>
      </w:pPr>
      <w:r>
        <w:t>62.</w:t>
      </w:r>
      <w:r>
        <w:tab/>
      </w:r>
      <w:r w:rsidRPr="00CB26B4">
        <w:t>При поддержке Миссии ОБСЕ была разработана дорожная карта по информированию общественности и повышения наглядности деятельности АМО, с</w:t>
      </w:r>
      <w:r>
        <w:t> </w:t>
      </w:r>
      <w:r w:rsidRPr="00CB26B4">
        <w:t>целью продвижения процесса реализации Стратегии и совершенствования коммуникационных платформ с национальными меньшинствами, гражданским обществом, средствами массовой информации.</w:t>
      </w:r>
    </w:p>
    <w:p w14:paraId="253594EE" w14:textId="77777777" w:rsidR="00936DFE" w:rsidRDefault="00936DFE" w:rsidP="00936DFE">
      <w:pPr>
        <w:pStyle w:val="SingleTxtG"/>
      </w:pPr>
      <w:r>
        <w:t>63.</w:t>
      </w:r>
      <w:r>
        <w:tab/>
      </w:r>
      <w:r w:rsidRPr="00CB26B4">
        <w:t xml:space="preserve">АМО продолжает оказывать поддержку, в том числе финансовую, этнокультурным организациям в проведении национально-культурных мероприятий (выставки, презентации книг, вечера памяти и чествования, фестивали, конференции, круглые столы, семинары, концерты, шоу, конкурсы, национальные праздники, летние лагеря) и т. д. Деятельность общественных объединений национальных меньшинств осуществляется при поддержке Дома национальностей </w:t>
      </w:r>
      <w:r>
        <w:t>—</w:t>
      </w:r>
      <w:r w:rsidRPr="00CB26B4">
        <w:t xml:space="preserve"> культурного, методического и информационного центра, функционирующего при АМО. Тематика этих мероприятий часто выходит за рамки межэтнических отношений, привлекая людей с разными взглядами, опытом и возрастом, что способствует формированию духа терпимости и поощряет межкультурный диалог в молдавском обществе.</w:t>
      </w:r>
    </w:p>
    <w:p w14:paraId="139F34F9" w14:textId="77777777" w:rsidR="00936DFE" w:rsidRDefault="00936DFE" w:rsidP="00936DFE">
      <w:pPr>
        <w:pStyle w:val="SingleTxtG"/>
      </w:pPr>
      <w:r>
        <w:t>64.</w:t>
      </w:r>
      <w:r>
        <w:tab/>
      </w:r>
      <w:r w:rsidRPr="00CB26B4">
        <w:t xml:space="preserve">В целях обеспечения равных возможностей для национальных меньшинств участвовать в общественной, культурной и социальной жизни государства, АМО предпринимает меры для повышения эффективности и укрепления сотрудничества с Координационным советом этнокультурных организаций (КС) </w:t>
      </w:r>
      <w:r>
        <w:t>—</w:t>
      </w:r>
      <w:r w:rsidRPr="00CB26B4">
        <w:t xml:space="preserve"> общественным </w:t>
      </w:r>
      <w:r w:rsidRPr="00CB26B4">
        <w:lastRenderedPageBreak/>
        <w:t>консультативным органом при АМО, с тем, чтобы партнерство между этнокультурными организациями и Агентством, обеспечивало активное вовлечение, определение обязанностей и способствовало более эффективному решению проблем национальных меньшинств.</w:t>
      </w:r>
      <w:r>
        <w:t xml:space="preserve"> </w:t>
      </w:r>
      <w:r w:rsidRPr="00CB26B4">
        <w:t>С этой целью АМО недавно внесло ряд поправок в Положении о Координационном Совете</w:t>
      </w:r>
      <w:r w:rsidRPr="006F10FB">
        <w:rPr>
          <w:bCs/>
          <w:sz w:val="18"/>
          <w:szCs w:val="18"/>
          <w:vertAlign w:val="superscript"/>
        </w:rPr>
        <w:footnoteReference w:id="27"/>
      </w:r>
      <w:r w:rsidRPr="00CB26B4">
        <w:rPr>
          <w:bCs/>
        </w:rPr>
        <w:t xml:space="preserve">. Цели КС, его состав и структура были четко определены. Полномочия КС были расширены и полностью соответствуют его публичному статусу. В более долгосрочной перспективе предполагается, что эти поправки помогут улучшить функционирование КС в качестве канала связи между властями и лицами, принадлежащими к национальным меньшинствам. </w:t>
      </w:r>
      <w:r w:rsidRPr="00CB26B4">
        <w:t>В своей деятельности с гражданским обществом АМО делает акцент на воспитание молодежи в духе европейских ценностей, относящихся к межэтническим отношениям, поддерживает молодежные проекты и инициативы, направленные на развитие межкультурного диалога и взаимодействий. В этом контексте предпринимаются усилия по привлечению молодых активистов в состав КС.</w:t>
      </w:r>
    </w:p>
    <w:p w14:paraId="5DBFE502" w14:textId="77777777" w:rsidR="00936DFE" w:rsidRDefault="00936DFE" w:rsidP="00936DFE">
      <w:pPr>
        <w:pStyle w:val="SingleTxtG"/>
      </w:pPr>
      <w:r>
        <w:t>65.</w:t>
      </w:r>
      <w:r>
        <w:tab/>
      </w:r>
      <w:r w:rsidRPr="00CB26B4">
        <w:t>В соответствии с Планом действий был проведен ряд мероприятий в различных областях при финансовой поддержке международных организаций и за счет бюджетных ассигнований соответствующих учреждений.</w:t>
      </w:r>
    </w:p>
    <w:p w14:paraId="25C1728B" w14:textId="77777777" w:rsidR="00936DFE" w:rsidRDefault="00936DFE" w:rsidP="00936DFE">
      <w:pPr>
        <w:pStyle w:val="SingleTxtG"/>
        <w:rPr>
          <w:b/>
        </w:rPr>
      </w:pPr>
      <w:r w:rsidRPr="00CE477E">
        <w:rPr>
          <w:iCs/>
        </w:rPr>
        <w:t>6</w:t>
      </w:r>
      <w:r>
        <w:rPr>
          <w:iCs/>
        </w:rPr>
        <w:t>6</w:t>
      </w:r>
      <w:r w:rsidRPr="00CE477E">
        <w:rPr>
          <w:iCs/>
        </w:rPr>
        <w:t>.</w:t>
      </w:r>
      <w:r w:rsidRPr="00CE477E">
        <w:rPr>
          <w:iCs/>
        </w:rPr>
        <w:tab/>
      </w:r>
      <w:r w:rsidRPr="00656ED8">
        <w:rPr>
          <w:i/>
        </w:rPr>
        <w:t>В области исследований межэтнических отношений</w:t>
      </w:r>
      <w:r w:rsidRPr="00CB26B4">
        <w:rPr>
          <w:i/>
        </w:rPr>
        <w:t xml:space="preserve"> </w:t>
      </w:r>
      <w:r w:rsidRPr="00CB26B4">
        <w:t>в рамках институционального проекта 15.817.06.03F «Многоаспектное повышение значимости этнокультурного наследия как фактор гармонизации и развития общества Республики Молдова</w:t>
      </w:r>
      <w:r w:rsidRPr="00CB26B4">
        <w:rPr>
          <w:i/>
        </w:rPr>
        <w:t xml:space="preserve">. </w:t>
      </w:r>
      <w:r w:rsidRPr="00CB26B4">
        <w:t>Национальное наследие и развитие общества», проведенного Центром этнологии/Института культурного наследия/МОКИ, научные сотрудники отдела «Национальные/этнические меньшинства», провели 125 (2018 г</w:t>
      </w:r>
      <w:r>
        <w:t>од</w:t>
      </w:r>
      <w:r w:rsidRPr="00CB26B4">
        <w:t>) и 11 (2019 г</w:t>
      </w:r>
      <w:r>
        <w:t>од</w:t>
      </w:r>
      <w:r w:rsidRPr="00CB26B4">
        <w:t>) мероприятий, связанных с фундаментальными исследованиями этнокультурного наследия украинцев, гагаузов, русских, болгар, ромов и евреев из Республики Молдова.</w:t>
      </w:r>
    </w:p>
    <w:p w14:paraId="0953F8CB" w14:textId="77777777" w:rsidR="00936DFE" w:rsidRDefault="00936DFE" w:rsidP="00936DFE">
      <w:pPr>
        <w:pStyle w:val="SingleTxtG"/>
      </w:pPr>
      <w:r w:rsidRPr="00CE477E">
        <w:rPr>
          <w:iCs/>
        </w:rPr>
        <w:t>6</w:t>
      </w:r>
      <w:r>
        <w:rPr>
          <w:iCs/>
        </w:rPr>
        <w:t>7</w:t>
      </w:r>
      <w:r w:rsidRPr="00CE477E">
        <w:rPr>
          <w:iCs/>
        </w:rPr>
        <w:t>.</w:t>
      </w:r>
      <w:r w:rsidRPr="00CE477E">
        <w:rPr>
          <w:iCs/>
        </w:rPr>
        <w:tab/>
      </w:r>
      <w:r w:rsidRPr="00656ED8">
        <w:rPr>
          <w:i/>
        </w:rPr>
        <w:t>В области образования</w:t>
      </w:r>
      <w:r w:rsidRPr="00CB26B4">
        <w:rPr>
          <w:i/>
        </w:rPr>
        <w:t xml:space="preserve"> </w:t>
      </w:r>
      <w:r w:rsidRPr="00CB26B4">
        <w:t>в 2018</w:t>
      </w:r>
      <w:r>
        <w:t>–</w:t>
      </w:r>
      <w:r w:rsidRPr="00CB26B4">
        <w:t xml:space="preserve">2019 учебном году в список обязательных предметов были включены две дисциплины: </w:t>
      </w:r>
      <w:r w:rsidRPr="00CB26B4">
        <w:rPr>
          <w:i/>
        </w:rPr>
        <w:t>Личностное развитие</w:t>
      </w:r>
      <w:r w:rsidRPr="00CB26B4">
        <w:t xml:space="preserve"> и </w:t>
      </w:r>
      <w:r w:rsidRPr="00CB26B4">
        <w:rPr>
          <w:i/>
        </w:rPr>
        <w:t>Образование для общества</w:t>
      </w:r>
      <w:r w:rsidRPr="00CB26B4">
        <w:t xml:space="preserve">, которые прямо или косвенно включают такие темы, как оценка культурного разнообразия, культурное разнообразие и плюрализм, толерантность, гармоничные отношения, стереотипы; </w:t>
      </w:r>
      <w:proofErr w:type="spellStart"/>
      <w:r w:rsidRPr="00CB26B4">
        <w:t>ассертивное</w:t>
      </w:r>
      <w:proofErr w:type="spellEnd"/>
      <w:r w:rsidRPr="00CB26B4">
        <w:t xml:space="preserve">, неконфликтное и ненасильственное общение, способствующее развитию позитивного отношения к себе и способа эффективного взаимодействия с другими на протяжении всей жизни. Учитывая обязательный статус указанных предметов, все дидактические кадры начальных классов прошли обучение по их преподаванию в учебных заведениях. Факультативные предметы являются гибким компонентом Рамочного учебного плана, который способствует развитию трансверсальных компетенций. Факультативные предметы </w:t>
      </w:r>
      <w:r w:rsidRPr="00CB26B4">
        <w:rPr>
          <w:i/>
        </w:rPr>
        <w:t>Межкультурное образование, Культура добрососедства (классы I</w:t>
      </w:r>
      <w:r>
        <w:rPr>
          <w:i/>
        </w:rPr>
        <w:t>–</w:t>
      </w:r>
      <w:r w:rsidRPr="00CB26B4">
        <w:rPr>
          <w:i/>
        </w:rPr>
        <w:t>IV), Узнаем лучше друг друга (классы X</w:t>
      </w:r>
      <w:r>
        <w:rPr>
          <w:i/>
        </w:rPr>
        <w:t>–</w:t>
      </w:r>
      <w:r w:rsidRPr="00CB26B4">
        <w:rPr>
          <w:i/>
        </w:rPr>
        <w:t>XII)</w:t>
      </w:r>
      <w:r w:rsidRPr="00CB26B4">
        <w:t xml:space="preserve"> способствуют пониманию и признанию ценностей представителей разных культур, сотрудничеству в духе взаимного уважения с другими людьми различного происхождения, с этнической, культурной, религиозной точки зрения.</w:t>
      </w:r>
    </w:p>
    <w:p w14:paraId="757C435B" w14:textId="77777777" w:rsidR="00936DFE" w:rsidRPr="006F10FB" w:rsidRDefault="00936DFE" w:rsidP="00936DFE">
      <w:pPr>
        <w:pStyle w:val="SingleTxtG"/>
        <w:rPr>
          <w:iCs/>
        </w:rPr>
      </w:pPr>
      <w:r w:rsidRPr="00CE477E">
        <w:rPr>
          <w:iCs/>
        </w:rPr>
        <w:t>6</w:t>
      </w:r>
      <w:r>
        <w:rPr>
          <w:iCs/>
        </w:rPr>
        <w:t>8</w:t>
      </w:r>
      <w:r w:rsidRPr="00CE477E">
        <w:rPr>
          <w:iCs/>
        </w:rPr>
        <w:t>.</w:t>
      </w:r>
      <w:r w:rsidRPr="00CE477E">
        <w:rPr>
          <w:iCs/>
        </w:rPr>
        <w:tab/>
      </w:r>
      <w:r w:rsidRPr="00656ED8">
        <w:rPr>
          <w:i/>
        </w:rPr>
        <w:t>В области культуры</w:t>
      </w:r>
      <w:r w:rsidRPr="00CE477E">
        <w:rPr>
          <w:iCs/>
        </w:rPr>
        <w:t xml:space="preserve"> в 2018</w:t>
      </w:r>
      <w:r>
        <w:rPr>
          <w:iCs/>
        </w:rPr>
        <w:t>–</w:t>
      </w:r>
      <w:r w:rsidRPr="00CB26B4">
        <w:t>2019 годах МОКИ предприняло ряд действий, направленных на интеграцию национальных меньшинств в культурную жизнь</w:t>
      </w:r>
      <w:r w:rsidRPr="00CB26B4">
        <w:rPr>
          <w:i/>
        </w:rPr>
        <w:t xml:space="preserve">. </w:t>
      </w:r>
      <w:r w:rsidRPr="00CB26B4">
        <w:t xml:space="preserve">Основными целями культурных мероприятий являются обеспечение доступа к культуре независимо от расы или национальности, содействие межкультурному диалогу, поощрение граждан к изучению традиций и культурного наследия всех национальностей. Среди наиболее важных культурных мероприятий, проводимых МОКИ, отмечаем: </w:t>
      </w:r>
      <w:r w:rsidRPr="006F10FB">
        <w:rPr>
          <w:iCs/>
        </w:rPr>
        <w:t>«</w:t>
      </w:r>
      <w:r w:rsidRPr="00CB26B4">
        <w:rPr>
          <w:i/>
        </w:rPr>
        <w:t>День народного костюма</w:t>
      </w:r>
      <w:r w:rsidRPr="006F10FB">
        <w:rPr>
          <w:iCs/>
        </w:rPr>
        <w:t>»,</w:t>
      </w:r>
      <w:r w:rsidRPr="00CB26B4">
        <w:t xml:space="preserve"> мероприятие, организованное во исполнение Постановления Парламента № 194 от 19</w:t>
      </w:r>
      <w:r>
        <w:t xml:space="preserve"> ноября </w:t>
      </w:r>
      <w:r w:rsidRPr="00CB26B4">
        <w:t>2015</w:t>
      </w:r>
      <w:r>
        <w:t xml:space="preserve"> года</w:t>
      </w:r>
      <w:r w:rsidRPr="00CB26B4">
        <w:t>, в соответствии с которым последнее воскресенье июня объявлено «Днем народного костюма».</w:t>
      </w:r>
      <w:r>
        <w:t xml:space="preserve"> </w:t>
      </w:r>
      <w:r w:rsidRPr="00CB26B4">
        <w:t>Целью праздника является повышение ценности подлинного румынского народного костюма и народных костюмов этнических групп, проживающих в Республики Молдова. «</w:t>
      </w:r>
      <w:r w:rsidRPr="00CB26B4">
        <w:rPr>
          <w:i/>
        </w:rPr>
        <w:t xml:space="preserve">Национальная ярмарка ковра </w:t>
      </w:r>
      <w:r>
        <w:rPr>
          <w:i/>
        </w:rPr>
        <w:t>—</w:t>
      </w:r>
      <w:r w:rsidRPr="00CB26B4">
        <w:rPr>
          <w:i/>
        </w:rPr>
        <w:t xml:space="preserve"> ковер ностальгии</w:t>
      </w:r>
      <w:r w:rsidRPr="00CB26B4">
        <w:t xml:space="preserve">» </w:t>
      </w:r>
      <w:r>
        <w:t>—</w:t>
      </w:r>
      <w:r w:rsidRPr="00CB26B4">
        <w:t xml:space="preserve"> это событие, объединяет </w:t>
      </w:r>
      <w:r w:rsidRPr="00CB26B4">
        <w:lastRenderedPageBreak/>
        <w:t>различные этнические группы, живущие на территории страны, в рамках которого представляются самые красивые зимние традиции украинцев, русских, гагаузов, болгар и</w:t>
      </w:r>
      <w:r>
        <w:t> </w:t>
      </w:r>
      <w:r w:rsidRPr="00CB26B4">
        <w:t>т.</w:t>
      </w:r>
      <w:r>
        <w:t> </w:t>
      </w:r>
      <w:r w:rsidRPr="00CB26B4">
        <w:t>д., проводятся выставки зимнего народного костюма, мастерские с народными ремесленниками, спектакли, исполняются произведения музыкального фольклора национальных меньшинств Республики Молдова.</w:t>
      </w:r>
    </w:p>
    <w:p w14:paraId="3B31026E" w14:textId="77777777" w:rsidR="00936DFE" w:rsidRDefault="00936DFE" w:rsidP="00936DFE">
      <w:pPr>
        <w:pStyle w:val="SingleTxtG"/>
      </w:pPr>
      <w:r>
        <w:t>69.</w:t>
      </w:r>
      <w:r>
        <w:tab/>
      </w:r>
      <w:r w:rsidRPr="00CB26B4">
        <w:t>В целях поддержки творческого потенциала и создания соответствующих условий для развития культурной деятельности, осуществляемой гражданским обществом, и его вовлечения в процесс достижения национальных целей в области культуры, МОКИ предлагает гранты на конкурсной основе. Общественные объединения получают финансовую поддержку путем финансирования культурных проектов, представляемых ими в порядке, установленном Положением о финансировании из государственного бюджета культурных проектов, осуществляемых общественными объединениями, в соответствии с ПП № 834 от 8</w:t>
      </w:r>
      <w:r>
        <w:t xml:space="preserve"> октября </w:t>
      </w:r>
      <w:r w:rsidRPr="00CB26B4">
        <w:t>2014</w:t>
      </w:r>
      <w:r>
        <w:t xml:space="preserve"> года</w:t>
      </w:r>
      <w:r w:rsidRPr="00CB26B4">
        <w:t>. В 2019 году финансовая поддержка была оказана 6 проектам, направленным на содействие этническому и культурному разнообразию, социальной интеграции и развитию межкультурного диалога в Республике Молдова. Общая стоимость финансовых отчислений составила 310</w:t>
      </w:r>
      <w:r>
        <w:t> </w:t>
      </w:r>
      <w:r w:rsidRPr="00CB26B4">
        <w:t xml:space="preserve">500 леев. В 2018 году </w:t>
      </w:r>
      <w:r>
        <w:t>—</w:t>
      </w:r>
      <w:r w:rsidRPr="00CB26B4">
        <w:t xml:space="preserve"> 12</w:t>
      </w:r>
      <w:r>
        <w:t> </w:t>
      </w:r>
      <w:r w:rsidRPr="00CB26B4">
        <w:t xml:space="preserve">проектов. Общая сумма финансовых отчислений </w:t>
      </w:r>
      <w:r>
        <w:t>—</w:t>
      </w:r>
      <w:r w:rsidRPr="00CB26B4">
        <w:t xml:space="preserve"> 385 000 леев.</w:t>
      </w:r>
    </w:p>
    <w:p w14:paraId="6236FFEA" w14:textId="77777777" w:rsidR="00936DFE" w:rsidRDefault="00936DFE" w:rsidP="00936DFE">
      <w:pPr>
        <w:pStyle w:val="SingleTxtG"/>
      </w:pPr>
      <w:r>
        <w:t>70.</w:t>
      </w:r>
      <w:r>
        <w:tab/>
      </w:r>
      <w:r w:rsidRPr="00CB26B4">
        <w:t>После реформы центрального публичного управления функции разработки и мониторинга политик в области межэтнических отношений и функционирования языков (ранее выполняемые АМО) были переданы МОКИ в соответствии с ПП 598 от 26</w:t>
      </w:r>
      <w:r>
        <w:t xml:space="preserve"> июня 20</w:t>
      </w:r>
      <w:r w:rsidRPr="00CB26B4">
        <w:t>18</w:t>
      </w:r>
      <w:r>
        <w:t xml:space="preserve"> года</w:t>
      </w:r>
      <w:r w:rsidRPr="00CB26B4">
        <w:t xml:space="preserve">. В рамках МОКИ было создано новое подразделение </w:t>
      </w:r>
      <w:r>
        <w:t>—</w:t>
      </w:r>
      <w:r w:rsidRPr="00CB26B4">
        <w:t xml:space="preserve"> Служба политики в области межэтнических отношений, к компетенции которой относится анализ, разработка, мониторинг и продвижение политик в области межэтнических отношений и функционирования языков на территории Республики Молдова, включая Стратегию укрепления межэтнических отношений и соответствующий План действий по ее реализации.</w:t>
      </w:r>
      <w:r>
        <w:t xml:space="preserve"> </w:t>
      </w:r>
    </w:p>
    <w:p w14:paraId="7304988F" w14:textId="77777777" w:rsidR="00936DFE" w:rsidRPr="00CB26B4" w:rsidRDefault="00936DFE" w:rsidP="00936DFE">
      <w:pPr>
        <w:pStyle w:val="H1G"/>
      </w:pPr>
      <w:r>
        <w:tab/>
      </w:r>
      <w:r>
        <w:tab/>
        <w:t>Информация о последующей деятельности в связи с пунктами 12 и 13 з</w:t>
      </w:r>
      <w:r w:rsidRPr="00CB26B4">
        <w:t>аключительны</w:t>
      </w:r>
      <w:r>
        <w:t>х</w:t>
      </w:r>
      <w:r w:rsidRPr="00CB26B4">
        <w:t xml:space="preserve"> замечани</w:t>
      </w:r>
      <w:r>
        <w:t xml:space="preserve">й </w:t>
      </w:r>
    </w:p>
    <w:p w14:paraId="125D9D03" w14:textId="77777777" w:rsidR="00936DFE" w:rsidRDefault="00936DFE" w:rsidP="00936DFE">
      <w:pPr>
        <w:pStyle w:val="H23G"/>
      </w:pPr>
      <w:r>
        <w:tab/>
      </w:r>
      <w:r>
        <w:tab/>
      </w:r>
      <w:r w:rsidRPr="00CB26B4">
        <w:t>Ненавистнические высказывания и преступления на почве ненависти</w:t>
      </w:r>
    </w:p>
    <w:p w14:paraId="2C5D47B2" w14:textId="77777777" w:rsidR="00936DFE" w:rsidRDefault="00936DFE" w:rsidP="00936DFE">
      <w:pPr>
        <w:pStyle w:val="SingleTxtG"/>
      </w:pPr>
      <w:r>
        <w:t>71.</w:t>
      </w:r>
      <w:r>
        <w:tab/>
      </w:r>
      <w:r w:rsidRPr="00CB26B4">
        <w:t>В целях принятия законодательства о противодействии преступлениям, совершенным на почве ненависти и предубеждений, МЮ разработало законопроект, который предлагает внесение нескольких поправок к Уголовный кодекс, в частности изменение состава преступления в ст</w:t>
      </w:r>
      <w:r>
        <w:t>атье</w:t>
      </w:r>
      <w:r w:rsidRPr="00CB26B4">
        <w:t xml:space="preserve"> 346. Таким образом, в ст</w:t>
      </w:r>
      <w:r>
        <w:t xml:space="preserve">атье </w:t>
      </w:r>
      <w:r w:rsidRPr="00CB26B4">
        <w:t xml:space="preserve">346 «умышленные действия, направленные на разжигание национальной, этнической, расовой или религиозной вражды, дифференциации или розни» будут внесены поправки, предусматривающие уголовную ответственность за акты «подстрекательства к насильственным действиям по причине предубеждения» и во всем уголовном законодательстве слова «социальная, национальная, расовая или религиозная ненависть» будут заменены словом «предубеждение». В этом смысле предлагается дополнить Уголовный кодекс статьей 134/1, в которой будет закреплено понятие предубеждения, а именно под этим следует понимать: «предвзятые суждения правонарушителя, </w:t>
      </w:r>
      <w:r w:rsidRPr="00CB26B4">
        <w:rPr>
          <w:bCs/>
        </w:rPr>
        <w:t xml:space="preserve">вызванные на почве признаков, реальных или воспринимаемых как реальные, </w:t>
      </w:r>
      <w:r w:rsidRPr="00CB26B4">
        <w:t xml:space="preserve">расы, цвета кожи, этнического, национального или социального происхождения, гражданства, пола, рода, языка, религии или религиозных убеждений, политических взглядов, ограниченных возможностей, сексуальной ориентация, гендерной идентичности, состояния здоровья, возраста, семейного положения, независимо совершено ли действие в отношении лица, </w:t>
      </w:r>
      <w:r w:rsidRPr="00CB26B4">
        <w:rPr>
          <w:bCs/>
        </w:rPr>
        <w:t>которое может быть индивидуализировано такими защищенными критериями</w:t>
      </w:r>
      <w:r w:rsidRPr="00CB26B4">
        <w:t xml:space="preserve">, в отношении его или связанного с ним имущества, или в отношении лица которое оказывает поддержку лицам, </w:t>
      </w:r>
      <w:r w:rsidRPr="00CB26B4">
        <w:rPr>
          <w:bCs/>
        </w:rPr>
        <w:t>которые могут быть индивидуализированы такими защищенными критериями или ассоциируются</w:t>
      </w:r>
      <w:r>
        <w:rPr>
          <w:bCs/>
        </w:rPr>
        <w:t xml:space="preserve"> </w:t>
      </w:r>
      <w:r w:rsidRPr="00CB26B4">
        <w:rPr>
          <w:bCs/>
        </w:rPr>
        <w:t>с ними</w:t>
      </w:r>
      <w:r w:rsidRPr="00CB26B4">
        <w:t>». Кроме того, для ряда компонентов уголовных деяний, деяние, совершенное «по причине предубеждения», будет считаться отягчающим обстоятельством.</w:t>
      </w:r>
    </w:p>
    <w:p w14:paraId="119435B5" w14:textId="77777777" w:rsidR="00936DFE" w:rsidRDefault="00936DFE" w:rsidP="00936DFE">
      <w:pPr>
        <w:pStyle w:val="SingleTxtG"/>
      </w:pPr>
      <w:r>
        <w:lastRenderedPageBreak/>
        <w:t>72.</w:t>
      </w:r>
      <w:r>
        <w:tab/>
      </w:r>
      <w:r w:rsidRPr="00CB26B4">
        <w:t>Проект закона о внесении изменений в Уголовный кодекс, зарегистрированный в парламенте под № 301, был принят в первом чтении 8 декабря 2016 г</w:t>
      </w:r>
      <w:r>
        <w:t>ода</w:t>
      </w:r>
      <w:r w:rsidRPr="00CB26B4">
        <w:t>. В то же время для обеспечения соответствия текста проекта соответствующим международным стандартам в данной области, МЮ запросило Бюро ОБСЕ по демократическим институтам и правам человека (БДИПЧ) провести его экспертизу. На базе полученного 26 апреля 2019 г</w:t>
      </w:r>
      <w:r>
        <w:t>ода</w:t>
      </w:r>
      <w:r w:rsidRPr="00CB26B4">
        <w:t xml:space="preserve"> заключения ОБСЕ/БДИПЧ содержание законопроекта было скорректировано с учетом сформулированных рекомендаций и будет представлено на пленарном заседании парламента для принятия в окончательном чтении.</w:t>
      </w:r>
    </w:p>
    <w:p w14:paraId="7DDD2383" w14:textId="77777777" w:rsidR="00936DFE" w:rsidRDefault="00936DFE" w:rsidP="00936DFE">
      <w:pPr>
        <w:pStyle w:val="SingleTxtG"/>
      </w:pPr>
      <w:r>
        <w:t>73.</w:t>
      </w:r>
      <w:r>
        <w:tab/>
      </w:r>
      <w:r w:rsidRPr="00CB26B4">
        <w:t>Относительно законопроекта, упомянутого в связи с внесением поправок в некоторые нормативные акты с целью установления преступного деяния, мотивированного предубеждениями, ненавистью и презрением, Совет/СПЛДОР придерживается мнения, что введение пункта 2 в ст</w:t>
      </w:r>
      <w:r>
        <w:t>атье</w:t>
      </w:r>
      <w:r w:rsidRPr="00CB26B4">
        <w:t xml:space="preserve"> 346 Уголовного Кодекса, которая предусматривает исключения из квалификации действий, направленных на разжигание национальной, этнической, расовой или религиозной вражды, дифференциации или разделения, в случаях, когда они были совершены в ходе мирных акций протеста или в научном или образовательном контексте, противоречило бы цели этого проекта и стало бы условием не применять правовую норму.</w:t>
      </w:r>
    </w:p>
    <w:p w14:paraId="27A852BA" w14:textId="77777777" w:rsidR="00936DFE" w:rsidRDefault="00936DFE" w:rsidP="00936DFE">
      <w:pPr>
        <w:pStyle w:val="SingleTxtG"/>
      </w:pPr>
      <w:r>
        <w:t>74.</w:t>
      </w:r>
      <w:r>
        <w:tab/>
      </w:r>
      <w:r w:rsidRPr="00CB26B4">
        <w:t>24 сентября 2019 года МЮ направило пересмотренный законопроект № 301 в</w:t>
      </w:r>
      <w:r>
        <w:t> </w:t>
      </w:r>
      <w:r w:rsidRPr="00CB26B4">
        <w:t>адрес Комиссии по правам человека и межэтнических отношений и Комиссии по вопросам права, назначениям и иммунитету парламента Республики Молдова, предлагая его принятие в окончательном чтении. 22 октября 2019 г</w:t>
      </w:r>
      <w:r>
        <w:t>ода</w:t>
      </w:r>
      <w:r w:rsidRPr="00CB26B4">
        <w:t xml:space="preserve"> Комиссия по</w:t>
      </w:r>
      <w:r>
        <w:t> </w:t>
      </w:r>
      <w:r w:rsidRPr="00CB26B4">
        <w:t xml:space="preserve">правам человека и </w:t>
      </w:r>
      <w:proofErr w:type="gramStart"/>
      <w:r w:rsidRPr="00CB26B4">
        <w:t>межнациональным отношениям</w:t>
      </w:r>
      <w:proofErr w:type="gramEnd"/>
      <w:r w:rsidRPr="00CB26B4">
        <w:t xml:space="preserve"> и Комиссии по вопросам права, назначениям и иммунитету организовали публичные консультации по законопроекту</w:t>
      </w:r>
      <w:r>
        <w:t> </w:t>
      </w:r>
      <w:r w:rsidRPr="00CB26B4">
        <w:t xml:space="preserve">№ 301. В ходе консультаций были сформулированы рекомендации, которые в первую очередь относятся к </w:t>
      </w:r>
      <w:r w:rsidRPr="00AA4C83">
        <w:t>исключению пункта 2 статьи</w:t>
      </w:r>
      <w:r w:rsidRPr="00CB26B4">
        <w:t xml:space="preserve"> 346 Уголовного Кодекса, обновленной версии проекта, учитывая тот факт, что он ограничивает сферу применения основного положения и создает неоднозначность толкования, таким образом, сохранение </w:t>
      </w:r>
      <w:r w:rsidRPr="00AA4C83">
        <w:t>пункта 2 статьи</w:t>
      </w:r>
      <w:r w:rsidRPr="00CB26B4">
        <w:t xml:space="preserve"> 346 Уголовного Кодекса не позволит достичь поставленных целей и эффективно регулировать деяния, мотивированные предубеждениями. Другое предложение заключалось в дополнении Кодекса о правонарушениях новой нормой в категории нарушений политических, трудовых и других конституционных прав физических лиц, которая будет отдельно регулировать факты, которые можно квалифицировать как ненавистнические высказывания, и которые не является нарушением. Однако до завершения отчетного периода парламент не принял законопроект № 301, таким образом, национальное законодательство в этой области остается несоответствующим международным стандартам относительно санкций за ненавистнические высказывания</w:t>
      </w:r>
      <w:r w:rsidRPr="006F10FB">
        <w:rPr>
          <w:sz w:val="18"/>
          <w:szCs w:val="18"/>
          <w:vertAlign w:val="superscript"/>
        </w:rPr>
        <w:footnoteReference w:id="28"/>
      </w:r>
      <w:r w:rsidRPr="00CB26B4">
        <w:t>.</w:t>
      </w:r>
    </w:p>
    <w:p w14:paraId="7F7A600A" w14:textId="77777777" w:rsidR="00936DFE" w:rsidRPr="00CB26B4" w:rsidRDefault="00936DFE" w:rsidP="00936DFE">
      <w:pPr>
        <w:pStyle w:val="SingleTxtG"/>
      </w:pPr>
      <w:r>
        <w:t>75.</w:t>
      </w:r>
      <w:r>
        <w:tab/>
      </w:r>
      <w:r w:rsidRPr="00CB26B4">
        <w:t>В целях повышения осведомления населения и продвижения толерантности и признания разнообразия, в период с 15 октября по 16 ноября 2019 г</w:t>
      </w:r>
      <w:r>
        <w:t>ода</w:t>
      </w:r>
      <w:r w:rsidRPr="00CB26B4">
        <w:t xml:space="preserve"> Совет/СПЛДОР совместно с Офисом народного адвоката объявили конкурс лозунгов в социальных сетях </w:t>
      </w:r>
      <w:r>
        <w:t>«</w:t>
      </w:r>
      <w:r w:rsidRPr="00CB26B4">
        <w:t>#Молдова без стереотипов и предрассудков, #Молдова без ненавистнических высказываний</w:t>
      </w:r>
      <w:r>
        <w:t>»</w:t>
      </w:r>
      <w:r w:rsidRPr="00CB26B4">
        <w:t>. В рамках конкурса было представлено 64 сообщения-лозунга, которые поощряют равенство, терпимость и осуждают дискриминацию и разжигание ненависти.</w:t>
      </w:r>
    </w:p>
    <w:p w14:paraId="14C361DC" w14:textId="77777777" w:rsidR="00936DFE" w:rsidRPr="00CB26B4" w:rsidRDefault="00936DFE" w:rsidP="00936DFE">
      <w:pPr>
        <w:pStyle w:val="SingleTxtG"/>
      </w:pPr>
      <w:r>
        <w:t>76.</w:t>
      </w:r>
      <w:r>
        <w:tab/>
      </w:r>
      <w:r w:rsidRPr="00CB26B4">
        <w:t>В целях повышения осведомленности общественности о правах человека, НА совместно с АМО и Советом/СПЛДОР в 2019 г</w:t>
      </w:r>
      <w:r>
        <w:t>оду</w:t>
      </w:r>
      <w:r w:rsidRPr="00CB26B4">
        <w:t xml:space="preserve"> опубликовали серию информационных брошюр на языках, функционирующих на территории Республики Молдова, а именно: 1. Брошюра для пожилых людей на трех языках: румынском, русском и гагаузском. Материал информирует пожилых людей об основных правах: право на медицинское обслуживание, право на социальное страхование, социальные пособия и услуги, налоговые льготы, которыми могут воспользоваться пожилые люди; 2. Брошюра «Поощрение и защита прав национальных меньшинств» на пяти языках: румынском, украинском, гагаузском, русском, болгарском. Брошюра содержит краткую информацию о трех ведомствах. Издания доступны для всех </w:t>
      </w:r>
      <w:r w:rsidRPr="00CB26B4">
        <w:lastRenderedPageBreak/>
        <w:t>заинтересованных сторон и распространяются бесплатно, как и все другие информационные материалы, разработанные ОНА.</w:t>
      </w:r>
    </w:p>
    <w:p w14:paraId="268E0313" w14:textId="77777777" w:rsidR="00936DFE" w:rsidRDefault="00936DFE" w:rsidP="00936DFE">
      <w:pPr>
        <w:pStyle w:val="SingleTxtG"/>
      </w:pPr>
      <w:r>
        <w:t>77.</w:t>
      </w:r>
      <w:r>
        <w:tab/>
      </w:r>
      <w:r w:rsidRPr="00CB26B4">
        <w:t>За отчетный период ГП не расследовала преступления на почве ненависти или случаи разжигания ненависти.</w:t>
      </w:r>
    </w:p>
    <w:p w14:paraId="3118B4B0" w14:textId="77777777" w:rsidR="00936DFE" w:rsidRDefault="00936DFE" w:rsidP="00936DFE">
      <w:pPr>
        <w:pStyle w:val="SingleTxtG"/>
      </w:pPr>
      <w:r>
        <w:t>78.</w:t>
      </w:r>
      <w:r>
        <w:tab/>
      </w:r>
      <w:r w:rsidRPr="00CB26B4">
        <w:t xml:space="preserve">Орган уголовного преследования предписывает в течение 30 дней, согласно постановлению, начать уголовное расследование, если из содержания акта об уведомлении или констатирующих актов вытекает, по крайней мере, одно обоснованное подозрение, что было совершено правонарушение, и нет какого-либо обстоятельства, исключающего проведения уголовного расследования, уведомив об этом лицо, подавшее уведомление, или соответствующий орган. Соответственно, независимо от того, совершено ли преступление на почве ненависти либо другое преступление, если деяние соответствует составным элементам состава преступления, орган уголовного преследования предписывает немедленно возбудить уголовное дело, и преступление расследуется в соответствии с действующим законодательством. </w:t>
      </w:r>
    </w:p>
    <w:p w14:paraId="1BD8940A" w14:textId="77777777" w:rsidR="00936DFE" w:rsidRDefault="00936DFE" w:rsidP="00936DFE">
      <w:pPr>
        <w:pStyle w:val="SingleTxtG"/>
      </w:pPr>
      <w:r>
        <w:t>79.</w:t>
      </w:r>
      <w:r>
        <w:tab/>
      </w:r>
      <w:r w:rsidRPr="00CB26B4">
        <w:t>С момента регистрации преступления и начала уголовного расследования орган уголовного преследования обеспечивает регистрацию всех преступных действий в соответствии с действующими законодательными и нормативными актами. По</w:t>
      </w:r>
      <w:r>
        <w:t> </w:t>
      </w:r>
      <w:r w:rsidRPr="00CB26B4">
        <w:t>данным Реестра криминалистической и криминологической информации Службы информационных технологий Министерства внутренних дел (МВД), в 2019 г</w:t>
      </w:r>
      <w:r>
        <w:t>оду</w:t>
      </w:r>
      <w:r w:rsidRPr="00CB26B4">
        <w:t xml:space="preserve"> не было зарегистрировано ни одного преступления в категории преступлений на почве ненависти.</w:t>
      </w:r>
    </w:p>
    <w:p w14:paraId="5EB3FDC7" w14:textId="77777777" w:rsidR="00936DFE" w:rsidRDefault="00936DFE" w:rsidP="00936DFE">
      <w:pPr>
        <w:pStyle w:val="SingleTxtG"/>
      </w:pPr>
      <w:r>
        <w:t>80.</w:t>
      </w:r>
      <w:r>
        <w:tab/>
      </w:r>
      <w:r w:rsidRPr="00CB26B4">
        <w:t>ГП издала общую инструкцию №</w:t>
      </w:r>
      <w:r>
        <w:t xml:space="preserve"> </w:t>
      </w:r>
      <w:r w:rsidRPr="00CB26B4">
        <w:t xml:space="preserve">15-1 </w:t>
      </w:r>
      <w:proofErr w:type="spellStart"/>
      <w:r w:rsidRPr="00CB26B4">
        <w:t>Od</w:t>
      </w:r>
      <w:proofErr w:type="spellEnd"/>
      <w:r w:rsidRPr="00CB26B4">
        <w:t>/17-601 от 12</w:t>
      </w:r>
      <w:r>
        <w:t xml:space="preserve"> октября </w:t>
      </w:r>
      <w:r w:rsidRPr="00CB26B4">
        <w:t>2017</w:t>
      </w:r>
      <w:r>
        <w:t xml:space="preserve"> года</w:t>
      </w:r>
      <w:r w:rsidRPr="00CB26B4">
        <w:t>, которая предусматривает обязательное информирование жертв и потерпевших сторон в рамках уголовного процесса, относительно их прав и обязанностей. Новые разработанные бланки содержат письменную информацию о правах сторон в процессе, составленную на базе Уголовно-процессуального кодекса, Закона №</w:t>
      </w:r>
      <w:r>
        <w:t xml:space="preserve"> </w:t>
      </w:r>
      <w:r w:rsidRPr="00CB26B4">
        <w:t>198 от 26</w:t>
      </w:r>
      <w:r>
        <w:t xml:space="preserve"> июля </w:t>
      </w:r>
      <w:r w:rsidRPr="00CB26B4">
        <w:t xml:space="preserve">2007 </w:t>
      </w:r>
      <w:r>
        <w:t xml:space="preserve">года </w:t>
      </w:r>
      <w:r w:rsidRPr="00CB26B4">
        <w:t>о юридической помощи, гарантируемой государством, Закона</w:t>
      </w:r>
      <w:r>
        <w:t> </w:t>
      </w:r>
      <w:r w:rsidRPr="00CB26B4">
        <w:t>№</w:t>
      </w:r>
      <w:r>
        <w:t> </w:t>
      </w:r>
      <w:r w:rsidRPr="00CB26B4">
        <w:t>137 от 29</w:t>
      </w:r>
      <w:r>
        <w:t xml:space="preserve"> июля </w:t>
      </w:r>
      <w:r w:rsidRPr="00CB26B4">
        <w:t>2016</w:t>
      </w:r>
      <w:r>
        <w:t xml:space="preserve"> года</w:t>
      </w:r>
      <w:r w:rsidRPr="00CB26B4">
        <w:t xml:space="preserve"> о реабилитации жертв преступлений и Закона №</w:t>
      </w:r>
      <w:r>
        <w:t> </w:t>
      </w:r>
      <w:r w:rsidRPr="00CB26B4">
        <w:t>105-XVI от 16</w:t>
      </w:r>
      <w:r>
        <w:t xml:space="preserve"> мая </w:t>
      </w:r>
      <w:r w:rsidRPr="00CB26B4">
        <w:t>2008 г</w:t>
      </w:r>
      <w:r>
        <w:t>ода</w:t>
      </w:r>
      <w:r w:rsidRPr="00CB26B4">
        <w:t xml:space="preserve"> о защите свидетелей и других участников уголовного процесса. Указанная инструкция была адресована территориальным и специализированным прокуратурам, органам уголовного преследования в рамках Министерства внутренних дел, Таможенной службе и Национальному антикоррупционному центру. В то же время в целях обеспечения правильного и унифицированного применения материального и уголовно-процессуального законодательства, упорядочения процесса предотвращения правонарушений на почве ненависти и борьбы с ними, а также исполнения НПДПЧ-3, утвержденного Постановлением Парламента №</w:t>
      </w:r>
      <w:r>
        <w:t xml:space="preserve"> </w:t>
      </w:r>
      <w:r w:rsidRPr="00CB26B4">
        <w:t>89 от 24</w:t>
      </w:r>
      <w:r>
        <w:t xml:space="preserve"> мая </w:t>
      </w:r>
      <w:r w:rsidRPr="00CB26B4">
        <w:t>2018 г</w:t>
      </w:r>
      <w:r>
        <w:t>ода</w:t>
      </w:r>
      <w:r w:rsidRPr="00CB26B4">
        <w:t>, с целью защиты от дискриминации, путем обеспечения способности органов уголовного преследования и прокуроров эффективно применять уголовное законодательство в соответствии с положениями п</w:t>
      </w:r>
      <w:r>
        <w:t>ункта</w:t>
      </w:r>
      <w:r w:rsidRPr="00CB26B4">
        <w:t xml:space="preserve"> 4 ст</w:t>
      </w:r>
      <w:r>
        <w:t>атьи</w:t>
      </w:r>
      <w:r w:rsidRPr="00CB26B4">
        <w:t xml:space="preserve"> 531 Уголовно-процессуального кодекса, в соответствии с приказом Генерального прокурора № 28/11от 1</w:t>
      </w:r>
      <w:r>
        <w:t xml:space="preserve"> августа </w:t>
      </w:r>
      <w:r w:rsidRPr="00CB26B4">
        <w:t>2019</w:t>
      </w:r>
      <w:r>
        <w:t xml:space="preserve"> года</w:t>
      </w:r>
      <w:r w:rsidRPr="00CB26B4">
        <w:t>, были утверждены методические инструкции «Руководство по расследованию и судебному разбирательству преступлений на почве ненависти». Инструкции были доведены до сведения прокуроров для применения в деятельности в соответствии с компетенциями.</w:t>
      </w:r>
    </w:p>
    <w:p w14:paraId="3A1B9356" w14:textId="77777777" w:rsidR="00936DFE" w:rsidRDefault="00936DFE" w:rsidP="00936DFE">
      <w:pPr>
        <w:pStyle w:val="SingleTxtG"/>
      </w:pPr>
      <w:r>
        <w:t>81.</w:t>
      </w:r>
      <w:r>
        <w:tab/>
      </w:r>
      <w:r w:rsidRPr="00CB26B4">
        <w:t>В период с 20 сентября по 29 сентября и с 30 сентября по 9 октября 2019 г</w:t>
      </w:r>
      <w:r>
        <w:t>ода</w:t>
      </w:r>
      <w:r w:rsidRPr="00CB26B4">
        <w:t xml:space="preserve"> СТР проводил мониторинг освещения избирательной кампании национальными поставщиками </w:t>
      </w:r>
      <w:proofErr w:type="spellStart"/>
      <w:r w:rsidRPr="00CB26B4">
        <w:t>медиауслуг</w:t>
      </w:r>
      <w:proofErr w:type="spellEnd"/>
      <w:r w:rsidRPr="00CB26B4">
        <w:t xml:space="preserve"> услуг, в частности «Молдова 1», «Молдова 2», «Прайм», «Канал 2» и «Радио Молдова </w:t>
      </w:r>
      <w:proofErr w:type="spellStart"/>
      <w:r w:rsidRPr="00CB26B4">
        <w:t>Тинерет</w:t>
      </w:r>
      <w:proofErr w:type="spellEnd"/>
      <w:r w:rsidRPr="00CB26B4">
        <w:t>». Негативные случаи, такие как: разжигание ненависти или дискриминации; разжигание ненависти между людьми, межэтнический или территориальный сепаратизм; нанесение ущерба достоинству или репутации другого лица, публичное оскорбление; использование сексистской риторики, обнаружено не было.</w:t>
      </w:r>
    </w:p>
    <w:p w14:paraId="4EF00E20" w14:textId="77777777" w:rsidR="00936DFE" w:rsidRDefault="00936DFE" w:rsidP="00936DFE">
      <w:pPr>
        <w:pStyle w:val="H1G"/>
      </w:pPr>
      <w:r>
        <w:lastRenderedPageBreak/>
        <w:tab/>
      </w:r>
      <w:r>
        <w:tab/>
      </w:r>
      <w:r w:rsidRPr="00CB26B4">
        <w:t xml:space="preserve">В контексте </w:t>
      </w:r>
      <w:r w:rsidRPr="00AA4C83">
        <w:t>статьи 5</w:t>
      </w:r>
      <w:r w:rsidRPr="00CB26B4">
        <w:t xml:space="preserve"> Конвенции</w:t>
      </w:r>
    </w:p>
    <w:p w14:paraId="6A5AD131" w14:textId="77777777" w:rsidR="00936DFE" w:rsidRPr="00CB26B4" w:rsidRDefault="00936DFE" w:rsidP="00936DFE">
      <w:pPr>
        <w:pStyle w:val="H1G"/>
      </w:pPr>
      <w:r>
        <w:tab/>
      </w:r>
      <w:r>
        <w:tab/>
        <w:t>Информация о последующей деятельности в связи с пунктами 16 и 17 з</w:t>
      </w:r>
      <w:r w:rsidRPr="00CB26B4">
        <w:t>аключительны</w:t>
      </w:r>
      <w:r>
        <w:t>х</w:t>
      </w:r>
      <w:r w:rsidRPr="00CB26B4">
        <w:t xml:space="preserve"> замечани</w:t>
      </w:r>
      <w:r>
        <w:t xml:space="preserve">й </w:t>
      </w:r>
    </w:p>
    <w:p w14:paraId="39183066" w14:textId="77777777" w:rsidR="00936DFE" w:rsidRDefault="00936DFE" w:rsidP="00936DFE">
      <w:pPr>
        <w:pStyle w:val="H23G"/>
      </w:pPr>
      <w:r>
        <w:tab/>
      </w:r>
      <w:r>
        <w:tab/>
      </w:r>
      <w:r w:rsidRPr="00CB26B4">
        <w:t>Религиозная свобода этнических меньшинств</w:t>
      </w:r>
    </w:p>
    <w:p w14:paraId="70058C99" w14:textId="77777777" w:rsidR="00936DFE" w:rsidRDefault="00936DFE" w:rsidP="00936DFE">
      <w:pPr>
        <w:pStyle w:val="SingleTxtG"/>
      </w:pPr>
      <w:r>
        <w:t>82.</w:t>
      </w:r>
      <w:r>
        <w:tab/>
      </w:r>
      <w:r w:rsidRPr="00CB26B4">
        <w:t>По данным ПНЖ 2014 г</w:t>
      </w:r>
      <w:r>
        <w:t>ода</w:t>
      </w:r>
      <w:r w:rsidRPr="00CB26B4">
        <w:t xml:space="preserve">, население Республики Молдова с разбивкой по религиозным группам: общая численность населения </w:t>
      </w:r>
      <w:r>
        <w:t>—</w:t>
      </w:r>
      <w:r w:rsidRPr="00CB26B4">
        <w:t xml:space="preserve"> 2</w:t>
      </w:r>
      <w:r>
        <w:t> </w:t>
      </w:r>
      <w:r w:rsidRPr="00CB26B4">
        <w:t>804</w:t>
      </w:r>
      <w:r>
        <w:t> </w:t>
      </w:r>
      <w:r w:rsidRPr="00CB26B4">
        <w:t xml:space="preserve">801, население, указавшее религию </w:t>
      </w:r>
      <w:r>
        <w:t>—</w:t>
      </w:r>
      <w:r w:rsidRPr="00CB26B4">
        <w:t xml:space="preserve"> 2 611 795, из них православные </w:t>
      </w:r>
      <w:r>
        <w:t>—</w:t>
      </w:r>
      <w:r w:rsidRPr="00CB26B4">
        <w:t xml:space="preserve"> 2 528 152, старообрядцы </w:t>
      </w:r>
      <w:r>
        <w:t>—</w:t>
      </w:r>
      <w:r w:rsidRPr="00CB26B4">
        <w:t xml:space="preserve"> 2535, католики </w:t>
      </w:r>
      <w:r>
        <w:t>—</w:t>
      </w:r>
      <w:r w:rsidRPr="00CB26B4">
        <w:t xml:space="preserve"> 2745, евангелическое</w:t>
      </w:r>
      <w:r>
        <w:t xml:space="preserve"> </w:t>
      </w:r>
      <w:r w:rsidRPr="00CB26B4">
        <w:t>Аугсбургское вероисповедание</w:t>
      </w:r>
      <w:r>
        <w:t xml:space="preserve"> </w:t>
      </w:r>
      <w:r w:rsidRPr="00CB26B4">
        <w:t>(Лютеранское)</w:t>
      </w:r>
      <w:r>
        <w:t> —</w:t>
      </w:r>
      <w:r w:rsidRPr="00CB26B4">
        <w:t xml:space="preserve"> 2291, евангельские христиане-баптисты </w:t>
      </w:r>
      <w:r>
        <w:t>—</w:t>
      </w:r>
      <w:r w:rsidRPr="00CB26B4">
        <w:t xml:space="preserve"> 25</w:t>
      </w:r>
      <w:r>
        <w:t> </w:t>
      </w:r>
      <w:r w:rsidRPr="00CB26B4">
        <w:t xml:space="preserve">380, адвентисты седьмого дня </w:t>
      </w:r>
      <w:r>
        <w:t>—</w:t>
      </w:r>
      <w:r w:rsidRPr="00CB26B4">
        <w:t xml:space="preserve"> </w:t>
      </w:r>
      <w:r>
        <w:t>9</w:t>
      </w:r>
      <w:r w:rsidRPr="00CB26B4">
        <w:t xml:space="preserve">063, пятидесятники (апостольская церковь бога) </w:t>
      </w:r>
      <w:r>
        <w:t>—</w:t>
      </w:r>
      <w:r w:rsidRPr="00CB26B4">
        <w:t xml:space="preserve"> 10 049, свидетели Иеговы </w:t>
      </w:r>
      <w:r>
        <w:t>—</w:t>
      </w:r>
      <w:r w:rsidRPr="00CB26B4">
        <w:t xml:space="preserve"> 17 341, иудаизм </w:t>
      </w:r>
      <w:r>
        <w:t>—</w:t>
      </w:r>
      <w:r w:rsidRPr="00CB26B4">
        <w:t xml:space="preserve"> 584, ислам </w:t>
      </w:r>
      <w:r>
        <w:t>—</w:t>
      </w:r>
      <w:r w:rsidRPr="00CB26B4">
        <w:t xml:space="preserve"> 2009, бахай </w:t>
      </w:r>
      <w:r>
        <w:t>—</w:t>
      </w:r>
      <w:r w:rsidRPr="00CB26B4">
        <w:t xml:space="preserve"> 88, буддизм </w:t>
      </w:r>
      <w:r>
        <w:t>—</w:t>
      </w:r>
      <w:r w:rsidRPr="00CB26B4">
        <w:t xml:space="preserve"> 60, другие религиозные группы, население, не указавшее религию </w:t>
      </w:r>
      <w:r>
        <w:t>—</w:t>
      </w:r>
      <w:r w:rsidRPr="00CB26B4">
        <w:t xml:space="preserve"> 193 042.</w:t>
      </w:r>
    </w:p>
    <w:p w14:paraId="1FEFB7BB" w14:textId="77777777" w:rsidR="00936DFE" w:rsidRDefault="00936DFE" w:rsidP="00936DFE">
      <w:pPr>
        <w:pStyle w:val="SingleTxtG"/>
      </w:pPr>
      <w:r>
        <w:t>83.</w:t>
      </w:r>
      <w:r>
        <w:tab/>
      </w:r>
      <w:r w:rsidRPr="00CB26B4">
        <w:t>В соответствии с Конституцией Республики Молдова</w:t>
      </w:r>
      <w:r>
        <w:t>,</w:t>
      </w:r>
      <w:r w:rsidRPr="00CB26B4">
        <w:t xml:space="preserve"> ст</w:t>
      </w:r>
      <w:r>
        <w:t>атья</w:t>
      </w:r>
      <w:r w:rsidRPr="00CB26B4">
        <w:t xml:space="preserve"> 31</w:t>
      </w:r>
      <w:r>
        <w:t xml:space="preserve"> —</w:t>
      </w:r>
      <w:r w:rsidRPr="00CB26B4">
        <w:t xml:space="preserve"> </w:t>
      </w:r>
      <w:r>
        <w:t>«</w:t>
      </w:r>
      <w:r w:rsidRPr="00CB26B4">
        <w:t>1) Свобода совести гарантируется. Она должна проявляться в духе терпимости и взаимного уважения. 2) Религиозные культы свободны и организуются сообразно собственным уставам и в соответствии с законом. 3) В отношениях между религиозными культами запрещаются любые проявления вражды. 4) Религиозные культы самостоятельны, отделены от государства и пользуются его поддержкой, в частности, в облегчении религиозного присутствия в армии, больницах, тюрьмах и приютах</w:t>
      </w:r>
      <w:r>
        <w:t>»</w:t>
      </w:r>
      <w:r w:rsidRPr="00CB26B4">
        <w:t>.</w:t>
      </w:r>
    </w:p>
    <w:p w14:paraId="4A683502" w14:textId="77777777" w:rsidR="00936DFE" w:rsidRDefault="00936DFE" w:rsidP="00936DFE">
      <w:pPr>
        <w:pStyle w:val="SingleTxtG"/>
      </w:pPr>
      <w:r>
        <w:t>84.</w:t>
      </w:r>
      <w:r>
        <w:tab/>
      </w:r>
      <w:r w:rsidRPr="00CB26B4">
        <w:t xml:space="preserve">Закон </w:t>
      </w:r>
      <w:r w:rsidRPr="00CB26B4">
        <w:rPr>
          <w:bCs/>
        </w:rPr>
        <w:t>№</w:t>
      </w:r>
      <w:r w:rsidRPr="00CB26B4">
        <w:t xml:space="preserve"> 125 от 11</w:t>
      </w:r>
      <w:r>
        <w:t xml:space="preserve"> мая </w:t>
      </w:r>
      <w:r w:rsidRPr="00CB26B4">
        <w:t>2007 г</w:t>
      </w:r>
      <w:r>
        <w:t>ода</w:t>
      </w:r>
      <w:r w:rsidRPr="00CB26B4">
        <w:t xml:space="preserve"> о свободе совести, мысли и вероисповедания (с изменениями, внесенными Законом </w:t>
      </w:r>
      <w:r w:rsidRPr="00CB26B4">
        <w:rPr>
          <w:bCs/>
        </w:rPr>
        <w:t>№</w:t>
      </w:r>
      <w:r w:rsidRPr="00CB26B4">
        <w:t xml:space="preserve"> 278 от 27</w:t>
      </w:r>
      <w:r>
        <w:t xml:space="preserve"> декабря </w:t>
      </w:r>
      <w:r w:rsidRPr="00CB26B4">
        <w:t>2011</w:t>
      </w:r>
      <w:r>
        <w:t xml:space="preserve"> года</w:t>
      </w:r>
      <w:r w:rsidRPr="00CB26B4">
        <w:t>) регулирует «отношения, связанные со свободой совести, мысли и вероисповедания, гарантированными Конституцией Республики Молдова и международными договорами в области прав человека, одной из сторон которых является Республика Молдова, а также правовой статус религиозных культов и их составных частей</w:t>
      </w:r>
      <w:r>
        <w:t>»</w:t>
      </w:r>
      <w:r w:rsidRPr="00CB26B4">
        <w:t xml:space="preserve">. </w:t>
      </w:r>
    </w:p>
    <w:p w14:paraId="1AC670C9" w14:textId="77777777" w:rsidR="00936DFE" w:rsidRDefault="00936DFE" w:rsidP="00936DFE">
      <w:pPr>
        <w:pStyle w:val="SingleTxtG"/>
      </w:pPr>
      <w:r>
        <w:t>85.</w:t>
      </w:r>
      <w:r>
        <w:tab/>
      </w:r>
      <w:r w:rsidRPr="00CB26B4">
        <w:t xml:space="preserve">Постановлением Правительства </w:t>
      </w:r>
      <w:r w:rsidRPr="00CB26B4">
        <w:rPr>
          <w:bCs/>
        </w:rPr>
        <w:t>№ 314 от 22</w:t>
      </w:r>
      <w:r>
        <w:rPr>
          <w:bCs/>
        </w:rPr>
        <w:t xml:space="preserve"> мая </w:t>
      </w:r>
      <w:r w:rsidRPr="00CB26B4">
        <w:rPr>
          <w:bCs/>
        </w:rPr>
        <w:t>2017</w:t>
      </w:r>
      <w:r>
        <w:rPr>
          <w:bCs/>
        </w:rPr>
        <w:t xml:space="preserve"> года</w:t>
      </w:r>
      <w:r w:rsidRPr="00CB26B4">
        <w:rPr>
          <w:bCs/>
        </w:rPr>
        <w:t xml:space="preserve"> было учреждено Агентство публичных услуг (АГУ)</w:t>
      </w:r>
      <w:r w:rsidRPr="00880F10">
        <w:rPr>
          <w:sz w:val="18"/>
          <w:szCs w:val="18"/>
          <w:vertAlign w:val="superscript"/>
        </w:rPr>
        <w:footnoteReference w:id="29"/>
      </w:r>
      <w:r w:rsidRPr="00CB26B4">
        <w:rPr>
          <w:bCs/>
        </w:rPr>
        <w:t xml:space="preserve">. </w:t>
      </w:r>
      <w:r w:rsidRPr="00CB26B4">
        <w:t>В соответствии с Законом о внесении изменений и дополнений</w:t>
      </w:r>
      <w:r>
        <w:t xml:space="preserve"> </w:t>
      </w:r>
      <w:r w:rsidRPr="00CB26B4">
        <w:t xml:space="preserve">в некоторые законодательные акты </w:t>
      </w:r>
      <w:r w:rsidRPr="00CB26B4">
        <w:rPr>
          <w:bCs/>
        </w:rPr>
        <w:t>№</w:t>
      </w:r>
      <w:r w:rsidRPr="00CB26B4">
        <w:t xml:space="preserve"> 31 от 16</w:t>
      </w:r>
      <w:r>
        <w:t xml:space="preserve"> марта </w:t>
      </w:r>
      <w:r w:rsidRPr="00CB26B4">
        <w:t>2018</w:t>
      </w:r>
      <w:r>
        <w:t xml:space="preserve"> года</w:t>
      </w:r>
      <w:r w:rsidRPr="00CB26B4">
        <w:t>, полномочия по регистрации некоммерческих организаций, включая религиозные конфессии, были переданы из Министерства юстиции в АГУ. Согласно положениям ст</w:t>
      </w:r>
      <w:r>
        <w:t>атьи</w:t>
      </w:r>
      <w:r w:rsidRPr="00CB26B4">
        <w:t xml:space="preserve"> 19</w:t>
      </w:r>
      <w:r>
        <w:t>,</w:t>
      </w:r>
      <w:r w:rsidRPr="00CB26B4">
        <w:t xml:space="preserve"> п</w:t>
      </w:r>
      <w:r>
        <w:t>ункт</w:t>
      </w:r>
      <w:r w:rsidRPr="00CB26B4">
        <w:t xml:space="preserve"> 7</w:t>
      </w:r>
      <w:r>
        <w:t>,</w:t>
      </w:r>
      <w:r w:rsidRPr="00CB26B4">
        <w:t xml:space="preserve"> Закона </w:t>
      </w:r>
      <w:r w:rsidRPr="00CB26B4">
        <w:rPr>
          <w:bCs/>
        </w:rPr>
        <w:t>о свободе совести, мысли и вероисповедания № 125-XVI от 11</w:t>
      </w:r>
      <w:r>
        <w:rPr>
          <w:bCs/>
        </w:rPr>
        <w:t xml:space="preserve"> мая </w:t>
      </w:r>
      <w:r w:rsidRPr="00CB26B4">
        <w:rPr>
          <w:bCs/>
        </w:rPr>
        <w:t>2007</w:t>
      </w:r>
      <w:r>
        <w:rPr>
          <w:bCs/>
        </w:rPr>
        <w:t xml:space="preserve"> года</w:t>
      </w:r>
      <w:r w:rsidRPr="00CB26B4">
        <w:rPr>
          <w:bCs/>
        </w:rPr>
        <w:t xml:space="preserve">, </w:t>
      </w:r>
      <w:r>
        <w:rPr>
          <w:bCs/>
        </w:rPr>
        <w:t>«</w:t>
      </w:r>
      <w:r w:rsidRPr="00CB26B4">
        <w:rPr>
          <w:bCs/>
        </w:rPr>
        <w:t>Если представленные религиозным культом учредительные документы не соответствуют требованиям настоящего закона и/или практики и ритуалы культа представляют угрозу для общества, государственной безопасности, жизни, физического и психического здоровья людей, общественного порядка, нарушают нормы общественной морали или права и свободы других лиц, АГУ отказывает в регистрации соответствующего культа с указанием причин отказа</w:t>
      </w:r>
      <w:r>
        <w:rPr>
          <w:bCs/>
        </w:rPr>
        <w:t>»</w:t>
      </w:r>
      <w:r w:rsidRPr="00CB26B4">
        <w:rPr>
          <w:bCs/>
        </w:rPr>
        <w:t xml:space="preserve">. </w:t>
      </w:r>
      <w:r w:rsidRPr="00CB26B4">
        <w:t>С</w:t>
      </w:r>
      <w:r>
        <w:t> </w:t>
      </w:r>
      <w:r w:rsidRPr="00CB26B4">
        <w:t xml:space="preserve">момента вступления в силу Закона </w:t>
      </w:r>
      <w:r w:rsidRPr="00CB26B4">
        <w:rPr>
          <w:bCs/>
        </w:rPr>
        <w:t>№</w:t>
      </w:r>
      <w:r w:rsidRPr="00CB26B4">
        <w:t xml:space="preserve"> 31 </w:t>
      </w:r>
      <w:r w:rsidRPr="00CB26B4">
        <w:rPr>
          <w:bCs/>
        </w:rPr>
        <w:t xml:space="preserve">от </w:t>
      </w:r>
      <w:r w:rsidRPr="00CB26B4">
        <w:t>16</w:t>
      </w:r>
      <w:r>
        <w:t xml:space="preserve"> марта </w:t>
      </w:r>
      <w:r w:rsidRPr="00CB26B4">
        <w:t>2018</w:t>
      </w:r>
      <w:r>
        <w:t xml:space="preserve"> года</w:t>
      </w:r>
      <w:r w:rsidRPr="00CB26B4">
        <w:t>, не было выявлено решений об отказе в регистрации религиозных культов. В этом контексте отметим, что согласно поправке п</w:t>
      </w:r>
      <w:r>
        <w:t>ункта</w:t>
      </w:r>
      <w:r w:rsidRPr="00CB26B4">
        <w:t xml:space="preserve"> 4 статьи 19, срок регистрации религиозных культов был сокращен по максимуму до 15 дней</w:t>
      </w:r>
      <w:r w:rsidRPr="00880F10">
        <w:rPr>
          <w:sz w:val="18"/>
          <w:szCs w:val="18"/>
          <w:vertAlign w:val="superscript"/>
        </w:rPr>
        <w:footnoteReference w:id="30"/>
      </w:r>
      <w:r w:rsidRPr="00CB26B4">
        <w:t xml:space="preserve">. </w:t>
      </w:r>
    </w:p>
    <w:p w14:paraId="49E18771" w14:textId="77777777" w:rsidR="00936DFE" w:rsidRDefault="00936DFE" w:rsidP="00936DFE">
      <w:pPr>
        <w:pStyle w:val="SingleTxtG"/>
      </w:pPr>
      <w:r>
        <w:t>86.</w:t>
      </w:r>
      <w:r>
        <w:tab/>
      </w:r>
      <w:r w:rsidRPr="00CB26B4">
        <w:t>За отчетный период ГП не расследовала случаи нарушения прав меньшинств по признаку расы, цвета кожи, происхождения или национального, или этнического происхождения, включая их право на свободу мысли, совести и религии.</w:t>
      </w:r>
    </w:p>
    <w:p w14:paraId="6C15CB45" w14:textId="77777777" w:rsidR="00936DFE" w:rsidRPr="00CB26B4" w:rsidRDefault="00936DFE" w:rsidP="00936DFE">
      <w:pPr>
        <w:pStyle w:val="H1G"/>
        <w:rPr>
          <w:bCs/>
        </w:rPr>
      </w:pPr>
      <w:r>
        <w:lastRenderedPageBreak/>
        <w:tab/>
      </w:r>
      <w:r>
        <w:tab/>
        <w:t>Информация о последующей деятельности в связи с пунктами 18 и 19 з</w:t>
      </w:r>
      <w:r w:rsidRPr="00CB26B4">
        <w:t>аключительны</w:t>
      </w:r>
      <w:r>
        <w:t>х</w:t>
      </w:r>
      <w:r w:rsidRPr="00CB26B4">
        <w:t xml:space="preserve"> замечани</w:t>
      </w:r>
      <w:r>
        <w:t xml:space="preserve">й </w:t>
      </w:r>
    </w:p>
    <w:p w14:paraId="1B241260" w14:textId="77777777" w:rsidR="00936DFE" w:rsidRDefault="00936DFE" w:rsidP="00936DFE">
      <w:pPr>
        <w:pStyle w:val="H23G"/>
      </w:pPr>
      <w:r>
        <w:tab/>
      </w:r>
      <w:r>
        <w:tab/>
      </w:r>
      <w:r w:rsidRPr="00CB26B4">
        <w:t>Лингвистические</w:t>
      </w:r>
      <w:r>
        <w:t xml:space="preserve"> </w:t>
      </w:r>
      <w:r w:rsidRPr="00CB26B4">
        <w:t>права этнических меньшинств</w:t>
      </w:r>
    </w:p>
    <w:p w14:paraId="51E1AD8A" w14:textId="77777777" w:rsidR="00936DFE" w:rsidRDefault="00936DFE" w:rsidP="00936DFE">
      <w:pPr>
        <w:pStyle w:val="H4G"/>
      </w:pPr>
      <w:r>
        <w:tab/>
      </w:r>
      <w:r>
        <w:tab/>
      </w:r>
      <w:r w:rsidRPr="00CB26B4">
        <w:t>Меры по защите лингвистических прав национальных меньшинств в условиях пандемии</w:t>
      </w:r>
    </w:p>
    <w:p w14:paraId="59CB579B" w14:textId="77777777" w:rsidR="00936DFE" w:rsidRDefault="00936DFE" w:rsidP="00936DFE">
      <w:pPr>
        <w:pStyle w:val="SingleTxtG"/>
      </w:pPr>
      <w:r>
        <w:t>87.</w:t>
      </w:r>
      <w:r>
        <w:tab/>
      </w:r>
      <w:r w:rsidRPr="00CB26B4">
        <w:t xml:space="preserve">Принимая во внимание призыв Генерального секретаря ООН Антонио </w:t>
      </w:r>
      <w:proofErr w:type="spellStart"/>
      <w:r w:rsidRPr="00CB26B4">
        <w:t>Гутерриша</w:t>
      </w:r>
      <w:proofErr w:type="spellEnd"/>
      <w:r w:rsidRPr="00CB26B4">
        <w:t xml:space="preserve">, а также рекомендации Верховного комиссара ОБСЕ по делам национальных меньшинств </w:t>
      </w:r>
      <w:proofErr w:type="spellStart"/>
      <w:r w:rsidRPr="00CB26B4">
        <w:t>Ламберто</w:t>
      </w:r>
      <w:proofErr w:type="spellEnd"/>
      <w:r w:rsidRPr="00CB26B4">
        <w:t xml:space="preserve"> </w:t>
      </w:r>
      <w:proofErr w:type="spellStart"/>
      <w:r w:rsidRPr="00CB26B4">
        <w:t>Заньер</w:t>
      </w:r>
      <w:proofErr w:type="spellEnd"/>
      <w:r w:rsidRPr="00CB26B4">
        <w:t>, относительно прав человека в условиях пандемии COVID-19, власти Молдовы в сотрудничестве с гражданским обществом осуществили ряд экстренных мер, которые учитывают потребности всех в обществе, в</w:t>
      </w:r>
      <w:r>
        <w:t> </w:t>
      </w:r>
      <w:r w:rsidRPr="00CB26B4">
        <w:t xml:space="preserve">том числе лиц, принадлежащих к национальным меньшинствам. Совместными усилиями МЗТСЗ, МОКИ, </w:t>
      </w:r>
      <w:hyperlink r:id="rId10" w:history="1">
        <w:r w:rsidRPr="00AA4C83">
          <w:rPr>
            <w:rStyle w:val="af1"/>
            <w:color w:val="000000" w:themeColor="text1"/>
          </w:rPr>
          <w:t>UNFPA</w:t>
        </w:r>
      </w:hyperlink>
      <w:r w:rsidRPr="00AA4C83">
        <w:rPr>
          <w:color w:val="000000" w:themeColor="text1"/>
        </w:rPr>
        <w:t xml:space="preserve"> </w:t>
      </w:r>
      <w:r w:rsidRPr="00CB26B4">
        <w:t>Молдова, Молодежной платформы межэтнической солидарности, Национального совета молодежи Молдовы, Офиса Народного Адвоката, АМО был организован ряд мероприятий, направленных, в частности, на обеспечение доступа к информации на языках национальных меньшинств. Так, начиная с 16 апреля 2020 г</w:t>
      </w:r>
      <w:r>
        <w:t>ода</w:t>
      </w:r>
      <w:r w:rsidRPr="00CB26B4">
        <w:t>, действует версия на русском языке онлайн</w:t>
      </w:r>
      <w:r>
        <w:noBreakHyphen/>
      </w:r>
      <w:r w:rsidRPr="00CB26B4">
        <w:t>платформы</w:t>
      </w:r>
      <w:r w:rsidRPr="008600F4">
        <w:rPr>
          <w:sz w:val="18"/>
          <w:szCs w:val="18"/>
          <w:vertAlign w:val="superscript"/>
        </w:rPr>
        <w:footnoteReference w:id="31"/>
      </w:r>
      <w:r w:rsidRPr="00CB26B4">
        <w:t>, которая отражает самую актуальную информацию о случаях COVID-19 и другие статистические данные. Русскоязычная версия платформы была разработана в целях обеспечения доступности информации для всех лиц в духе принципов и ценностей социальной интеграции.</w:t>
      </w:r>
      <w:r>
        <w:t xml:space="preserve"> </w:t>
      </w:r>
      <w:r w:rsidRPr="00CB26B4">
        <w:t xml:space="preserve">Также были опубликованы и распространены руководства по коронавирусу на языках национальных меньшинств Молдовы: на русском, украинском, гагаузском и </w:t>
      </w:r>
      <w:proofErr w:type="spellStart"/>
      <w:r w:rsidRPr="00CB26B4">
        <w:t>романи</w:t>
      </w:r>
      <w:proofErr w:type="spellEnd"/>
      <w:r w:rsidRPr="00CB26B4">
        <w:t xml:space="preserve">. Официальные сайты МЗТСЗ, Национального агентства общественного здравоохранения, МОКИ отражают соответствующую информацию параллельно на </w:t>
      </w:r>
      <w:r>
        <w:t>двух</w:t>
      </w:r>
      <w:r w:rsidRPr="00CB26B4">
        <w:t xml:space="preserve"> языках </w:t>
      </w:r>
      <w:r>
        <w:t>—</w:t>
      </w:r>
      <w:r w:rsidRPr="00CB26B4">
        <w:t xml:space="preserve"> румынском и русском. Совместными усилиями представителей гражданского общества, журналистов, общественных деятелей был создан специальный сайт, который содержит официальные документы, принятые Комиссией по чрезвычайному положению, переведенные на русский язык. Обеспечен процесс дистанционного обучения для всех учащихся, в том числе на языках национальных меньшинств.</w:t>
      </w:r>
    </w:p>
    <w:p w14:paraId="68ECB24B" w14:textId="77777777" w:rsidR="00936DFE" w:rsidRDefault="00936DFE" w:rsidP="00936DFE">
      <w:pPr>
        <w:pStyle w:val="H23G"/>
      </w:pPr>
      <w:r>
        <w:tab/>
      </w:r>
      <w:r>
        <w:tab/>
      </w:r>
      <w:r w:rsidRPr="00CB26B4">
        <w:t>Доступ к образованию на языках национальных меньшинств</w:t>
      </w:r>
    </w:p>
    <w:p w14:paraId="5B80D10B" w14:textId="77777777" w:rsidR="00936DFE" w:rsidRDefault="00936DFE" w:rsidP="00936DFE">
      <w:pPr>
        <w:pStyle w:val="SingleTxtG"/>
      </w:pPr>
      <w:r>
        <w:rPr>
          <w:bCs/>
        </w:rPr>
        <w:t>88.</w:t>
      </w:r>
      <w:r>
        <w:rPr>
          <w:bCs/>
        </w:rPr>
        <w:tab/>
      </w:r>
      <w:r w:rsidRPr="00CB26B4">
        <w:rPr>
          <w:bCs/>
        </w:rPr>
        <w:t>Кодекс об образовании Республики Молдова № 152 от</w:t>
      </w:r>
      <w:r>
        <w:rPr>
          <w:bCs/>
        </w:rPr>
        <w:t xml:space="preserve"> </w:t>
      </w:r>
      <w:r w:rsidRPr="00CB26B4">
        <w:rPr>
          <w:bCs/>
        </w:rPr>
        <w:t>7</w:t>
      </w:r>
      <w:r>
        <w:rPr>
          <w:bCs/>
        </w:rPr>
        <w:t xml:space="preserve"> июля </w:t>
      </w:r>
      <w:r w:rsidRPr="00CB26B4">
        <w:rPr>
          <w:bCs/>
        </w:rPr>
        <w:t>2014 г</w:t>
      </w:r>
      <w:r>
        <w:rPr>
          <w:bCs/>
        </w:rPr>
        <w:t>ода</w:t>
      </w:r>
      <w:r w:rsidRPr="00CB26B4">
        <w:rPr>
          <w:bCs/>
        </w:rPr>
        <w:t xml:space="preserve"> устанавливает правовые основы отношений, связанных с планированием, организацией, функционированием и развитием системы образования в Республике Молдова </w:t>
      </w:r>
      <w:r w:rsidRPr="00CB26B4">
        <w:t>(ст</w:t>
      </w:r>
      <w:r>
        <w:t xml:space="preserve">атья </w:t>
      </w:r>
      <w:r w:rsidRPr="00CB26B4">
        <w:t>1).</w:t>
      </w:r>
      <w:r>
        <w:t xml:space="preserve"> </w:t>
      </w:r>
      <w:r w:rsidRPr="00CB26B4">
        <w:t>Кодекс также</w:t>
      </w:r>
      <w:r>
        <w:t xml:space="preserve"> </w:t>
      </w:r>
      <w:r w:rsidRPr="00CB26B4">
        <w:t>определяет языки обучения. Согласно положениям ст</w:t>
      </w:r>
      <w:r>
        <w:t xml:space="preserve">атьи </w:t>
      </w:r>
      <w:r w:rsidRPr="00CB26B4">
        <w:rPr>
          <w:bCs/>
        </w:rPr>
        <w:t xml:space="preserve">10: </w:t>
      </w:r>
      <w:r>
        <w:rPr>
          <w:bCs/>
        </w:rPr>
        <w:t>«</w:t>
      </w:r>
      <w:r w:rsidRPr="00CB26B4">
        <w:t>1)</w:t>
      </w:r>
      <w:r>
        <w:t xml:space="preserve"> </w:t>
      </w:r>
      <w:r w:rsidRPr="00CB26B4">
        <w:t xml:space="preserve">Учебный процесс в системе образования осуществляется на румынском языке и </w:t>
      </w:r>
      <w:r>
        <w:t>—</w:t>
      </w:r>
      <w:r w:rsidRPr="00CB26B4">
        <w:t xml:space="preserve"> в пределах возможностей системы образования </w:t>
      </w:r>
      <w:r>
        <w:t>—</w:t>
      </w:r>
      <w:r w:rsidRPr="00CB26B4">
        <w:t xml:space="preserve"> на одном из языков международного общения или в соответствии с частью 2</w:t>
      </w:r>
      <w:r>
        <w:t xml:space="preserve"> —</w:t>
      </w:r>
      <w:r w:rsidRPr="00CB26B4">
        <w:t xml:space="preserve"> на языках национальных меньшинств. 2) В районах, где традиционно или в значительном количестве проживают лица, принадлежащие к национальным меньшинствам, в случае достаточной потребности в этом государство обеспечивает, насколько это возможно в рамках системы образования, чтобы лица, принадлежащие к этим меньшинствам, располагали надлежащими возможностями обучаться языку своего меньшинства или обучаться на этом языке на уровне обязательного образования. 3) Изучение румынского языка обязательно во всех образовательных учреждениях любого уровня и регламентируется государственными образовательными стандартами. [...]</w:t>
      </w:r>
      <w:r>
        <w:t>».</w:t>
      </w:r>
    </w:p>
    <w:p w14:paraId="77E07F1D" w14:textId="77777777" w:rsidR="00936DFE" w:rsidRPr="00CB26B4" w:rsidRDefault="00936DFE" w:rsidP="00936DFE">
      <w:pPr>
        <w:pStyle w:val="H4G"/>
      </w:pPr>
      <w:r>
        <w:tab/>
      </w:r>
      <w:r>
        <w:tab/>
      </w:r>
      <w:r w:rsidRPr="00CB26B4">
        <w:t>Доступ к начальному и общему среднему образованию</w:t>
      </w:r>
      <w:r w:rsidRPr="00880261">
        <w:rPr>
          <w:i w:val="0"/>
          <w:iCs/>
          <w:vertAlign w:val="superscript"/>
          <w:lang w:val="es-ES"/>
        </w:rPr>
        <w:footnoteReference w:id="32"/>
      </w:r>
    </w:p>
    <w:p w14:paraId="7A797FDB" w14:textId="77777777" w:rsidR="00936DFE" w:rsidRPr="00CB26B4" w:rsidRDefault="00936DFE" w:rsidP="00936DFE">
      <w:pPr>
        <w:pStyle w:val="SingleTxtG"/>
      </w:pPr>
      <w:r>
        <w:t>89.</w:t>
      </w:r>
      <w:r>
        <w:tab/>
      </w:r>
      <w:r w:rsidRPr="00CB26B4">
        <w:t>Образование национальных меньшинств относится к компетенции Министерства образования, культуры и исследований (МОКИ). В 2018</w:t>
      </w:r>
      <w:r>
        <w:t>–</w:t>
      </w:r>
      <w:r w:rsidRPr="00CB26B4">
        <w:t xml:space="preserve">2019 учебном </w:t>
      </w:r>
      <w:r w:rsidRPr="00CB26B4">
        <w:lastRenderedPageBreak/>
        <w:t>году сеть учреждений общего начального и среднего образования включала 1244 (334</w:t>
      </w:r>
      <w:r>
        <w:t> </w:t>
      </w:r>
      <w:r w:rsidRPr="00CB26B4">
        <w:t>159 учащихся) учреждений, из которых: 967 (258 180 учащихся) учреждений с преподаванием на румынском языке,</w:t>
      </w:r>
      <w:r>
        <w:t xml:space="preserve"> </w:t>
      </w:r>
      <w:r w:rsidRPr="00CB26B4">
        <w:t>217 (58 635 учащихся) учреждений с русским языком обучения; 1 (149 учащихся) с преподаванием на болгарском языке;</w:t>
      </w:r>
      <w:r>
        <w:t xml:space="preserve"> </w:t>
      </w:r>
      <w:r w:rsidRPr="00CB26B4">
        <w:t>59</w:t>
      </w:r>
      <w:r>
        <w:t> </w:t>
      </w:r>
      <w:r w:rsidRPr="00CB26B4">
        <w:t>(17</w:t>
      </w:r>
      <w:r>
        <w:t> </w:t>
      </w:r>
      <w:r w:rsidRPr="00CB26B4">
        <w:t>013</w:t>
      </w:r>
      <w:r>
        <w:t> </w:t>
      </w:r>
      <w:r w:rsidRPr="00CB26B4">
        <w:t xml:space="preserve">учащихся) смешанных школ с преподаванием параллельно на румынском и русском языках. </w:t>
      </w:r>
    </w:p>
    <w:p w14:paraId="222AEC5F" w14:textId="77777777" w:rsidR="00936DFE" w:rsidRPr="00CB26B4" w:rsidRDefault="00936DFE" w:rsidP="00936DFE">
      <w:pPr>
        <w:pStyle w:val="H23G"/>
      </w:pPr>
      <w:r w:rsidRPr="002D390C">
        <w:rPr>
          <w:b w:val="0"/>
          <w:bCs/>
        </w:rPr>
        <w:tab/>
      </w:r>
      <w:r w:rsidRPr="002D390C">
        <w:rPr>
          <w:b w:val="0"/>
          <w:bCs/>
        </w:rPr>
        <w:tab/>
        <w:t>Таблица 4</w:t>
      </w:r>
      <w:r>
        <w:br/>
      </w:r>
      <w:r w:rsidRPr="00CB26B4">
        <w:t>Распределение учебных заведений и учащихся, в соответствии с языком обучения на начало 2018</w:t>
      </w:r>
      <w:r>
        <w:t>–</w:t>
      </w:r>
      <w:r w:rsidRPr="00CB26B4">
        <w:t>2019 учебного года</w:t>
      </w:r>
    </w:p>
    <w:tbl>
      <w:tblPr>
        <w:tblW w:w="7370" w:type="dxa"/>
        <w:tblInd w:w="1134" w:type="dxa"/>
        <w:tblLayout w:type="fixed"/>
        <w:tblCellMar>
          <w:left w:w="0" w:type="dxa"/>
          <w:right w:w="0" w:type="dxa"/>
        </w:tblCellMar>
        <w:tblLook w:val="00A0" w:firstRow="1" w:lastRow="0" w:firstColumn="1" w:lastColumn="0" w:noHBand="0" w:noVBand="0"/>
      </w:tblPr>
      <w:tblGrid>
        <w:gridCol w:w="2898"/>
        <w:gridCol w:w="1484"/>
        <w:gridCol w:w="979"/>
        <w:gridCol w:w="756"/>
        <w:gridCol w:w="644"/>
        <w:gridCol w:w="609"/>
      </w:tblGrid>
      <w:tr w:rsidR="00936DFE" w:rsidRPr="007547F8" w14:paraId="444D5361" w14:textId="77777777" w:rsidTr="00044DA6">
        <w:trPr>
          <w:tblHeader/>
        </w:trPr>
        <w:tc>
          <w:tcPr>
            <w:tcW w:w="2898" w:type="dxa"/>
            <w:vMerge w:val="restart"/>
            <w:tcBorders>
              <w:top w:val="single" w:sz="4" w:space="0" w:color="auto"/>
              <w:bottom w:val="single" w:sz="12" w:space="0" w:color="auto"/>
            </w:tcBorders>
            <w:shd w:val="clear" w:color="auto" w:fill="auto"/>
            <w:vAlign w:val="bottom"/>
            <w:hideMark/>
          </w:tcPr>
          <w:p w14:paraId="63BABD12" w14:textId="77777777" w:rsidR="00936DFE" w:rsidRPr="007547F8" w:rsidRDefault="00936DFE" w:rsidP="00044DA6">
            <w:pPr>
              <w:suppressAutoHyphens w:val="0"/>
              <w:spacing w:before="80" w:after="80" w:line="200" w:lineRule="exact"/>
              <w:rPr>
                <w:rFonts w:cs="Times New Roman"/>
                <w:i/>
                <w:sz w:val="16"/>
              </w:rPr>
            </w:pPr>
            <w:r w:rsidRPr="007547F8">
              <w:rPr>
                <w:rFonts w:cs="Times New Roman"/>
                <w:i/>
                <w:sz w:val="16"/>
              </w:rPr>
              <w:t> </w:t>
            </w:r>
          </w:p>
        </w:tc>
        <w:tc>
          <w:tcPr>
            <w:tcW w:w="1484" w:type="dxa"/>
            <w:vMerge w:val="restart"/>
            <w:tcBorders>
              <w:top w:val="single" w:sz="4" w:space="0" w:color="auto"/>
              <w:bottom w:val="single" w:sz="12" w:space="0" w:color="auto"/>
            </w:tcBorders>
            <w:shd w:val="clear" w:color="auto" w:fill="auto"/>
            <w:vAlign w:val="bottom"/>
            <w:hideMark/>
          </w:tcPr>
          <w:p w14:paraId="0DF43D19" w14:textId="77777777" w:rsidR="00936DFE" w:rsidRPr="007547F8" w:rsidRDefault="00936DFE" w:rsidP="00044DA6">
            <w:pPr>
              <w:spacing w:before="80" w:after="80" w:line="200" w:lineRule="exact"/>
              <w:jc w:val="right"/>
              <w:rPr>
                <w:rFonts w:cs="Times New Roman"/>
                <w:i/>
                <w:sz w:val="16"/>
              </w:rPr>
            </w:pPr>
            <w:r w:rsidRPr="007547F8">
              <w:rPr>
                <w:rFonts w:cs="Times New Roman"/>
                <w:i/>
                <w:sz w:val="16"/>
              </w:rPr>
              <w:t>Учебные заведения</w:t>
            </w:r>
          </w:p>
        </w:tc>
        <w:tc>
          <w:tcPr>
            <w:tcW w:w="979" w:type="dxa"/>
            <w:vMerge w:val="restart"/>
            <w:tcBorders>
              <w:top w:val="single" w:sz="4" w:space="0" w:color="auto"/>
              <w:bottom w:val="single" w:sz="12" w:space="0" w:color="auto"/>
            </w:tcBorders>
            <w:shd w:val="clear" w:color="auto" w:fill="auto"/>
            <w:vAlign w:val="bottom"/>
            <w:hideMark/>
          </w:tcPr>
          <w:p w14:paraId="6DD8AE96" w14:textId="77777777" w:rsidR="00936DFE" w:rsidRPr="007547F8" w:rsidRDefault="00936DFE" w:rsidP="00044DA6">
            <w:pPr>
              <w:suppressAutoHyphens w:val="0"/>
              <w:spacing w:before="80" w:after="80" w:line="200" w:lineRule="exact"/>
              <w:jc w:val="right"/>
              <w:rPr>
                <w:rFonts w:cs="Times New Roman"/>
                <w:i/>
                <w:sz w:val="16"/>
              </w:rPr>
            </w:pPr>
            <w:r w:rsidRPr="007547F8">
              <w:rPr>
                <w:rFonts w:cs="Times New Roman"/>
                <w:i/>
                <w:sz w:val="16"/>
              </w:rPr>
              <w:t>Учащиеся</w:t>
            </w:r>
          </w:p>
        </w:tc>
        <w:tc>
          <w:tcPr>
            <w:tcW w:w="2009" w:type="dxa"/>
            <w:gridSpan w:val="3"/>
            <w:tcBorders>
              <w:top w:val="single" w:sz="4" w:space="0" w:color="auto"/>
              <w:bottom w:val="single" w:sz="4" w:space="0" w:color="auto"/>
            </w:tcBorders>
            <w:shd w:val="clear" w:color="auto" w:fill="auto"/>
            <w:vAlign w:val="bottom"/>
            <w:hideMark/>
          </w:tcPr>
          <w:p w14:paraId="2CAEADC6" w14:textId="77777777" w:rsidR="00936DFE" w:rsidRPr="007547F8" w:rsidRDefault="00936DFE" w:rsidP="00044DA6">
            <w:pPr>
              <w:suppressAutoHyphens w:val="0"/>
              <w:spacing w:before="80" w:after="80" w:line="200" w:lineRule="exact"/>
              <w:jc w:val="center"/>
              <w:rPr>
                <w:rFonts w:cs="Times New Roman"/>
                <w:i/>
                <w:sz w:val="16"/>
              </w:rPr>
            </w:pPr>
            <w:r w:rsidRPr="007547F8">
              <w:rPr>
                <w:rFonts w:cs="Times New Roman"/>
                <w:i/>
                <w:sz w:val="16"/>
              </w:rPr>
              <w:t>В том числе классы</w:t>
            </w:r>
          </w:p>
        </w:tc>
      </w:tr>
      <w:tr w:rsidR="00936DFE" w:rsidRPr="007547F8" w14:paraId="3470DE78" w14:textId="77777777" w:rsidTr="00044DA6">
        <w:trPr>
          <w:tblHeader/>
        </w:trPr>
        <w:tc>
          <w:tcPr>
            <w:tcW w:w="2898" w:type="dxa"/>
            <w:vMerge/>
            <w:tcBorders>
              <w:top w:val="single" w:sz="12" w:space="0" w:color="auto"/>
              <w:bottom w:val="single" w:sz="12" w:space="0" w:color="auto"/>
            </w:tcBorders>
            <w:shd w:val="clear" w:color="auto" w:fill="auto"/>
            <w:vAlign w:val="bottom"/>
            <w:hideMark/>
          </w:tcPr>
          <w:p w14:paraId="658490E5" w14:textId="77777777" w:rsidR="00936DFE" w:rsidRPr="007547F8" w:rsidRDefault="00936DFE" w:rsidP="00044DA6">
            <w:pPr>
              <w:suppressAutoHyphens w:val="0"/>
              <w:spacing w:before="80" w:after="80" w:line="200" w:lineRule="exact"/>
              <w:rPr>
                <w:rFonts w:cs="Times New Roman"/>
                <w:i/>
                <w:sz w:val="16"/>
              </w:rPr>
            </w:pPr>
          </w:p>
        </w:tc>
        <w:tc>
          <w:tcPr>
            <w:tcW w:w="1484" w:type="dxa"/>
            <w:vMerge/>
            <w:tcBorders>
              <w:top w:val="single" w:sz="12" w:space="0" w:color="auto"/>
              <w:bottom w:val="single" w:sz="12" w:space="0" w:color="auto"/>
            </w:tcBorders>
            <w:shd w:val="clear" w:color="auto" w:fill="auto"/>
            <w:vAlign w:val="bottom"/>
            <w:hideMark/>
          </w:tcPr>
          <w:p w14:paraId="29B7872C" w14:textId="77777777" w:rsidR="00936DFE" w:rsidRPr="007547F8" w:rsidRDefault="00936DFE" w:rsidP="00044DA6">
            <w:pPr>
              <w:suppressAutoHyphens w:val="0"/>
              <w:spacing w:before="80" w:after="80" w:line="200" w:lineRule="exact"/>
              <w:jc w:val="right"/>
              <w:rPr>
                <w:rFonts w:cs="Times New Roman"/>
                <w:i/>
                <w:sz w:val="16"/>
              </w:rPr>
            </w:pPr>
          </w:p>
        </w:tc>
        <w:tc>
          <w:tcPr>
            <w:tcW w:w="979" w:type="dxa"/>
            <w:vMerge/>
            <w:tcBorders>
              <w:top w:val="single" w:sz="12" w:space="0" w:color="auto"/>
              <w:bottom w:val="single" w:sz="12" w:space="0" w:color="auto"/>
            </w:tcBorders>
            <w:shd w:val="clear" w:color="auto" w:fill="auto"/>
            <w:vAlign w:val="bottom"/>
            <w:hideMark/>
          </w:tcPr>
          <w:p w14:paraId="00C95EA2" w14:textId="77777777" w:rsidR="00936DFE" w:rsidRPr="007547F8" w:rsidRDefault="00936DFE" w:rsidP="00044DA6">
            <w:pPr>
              <w:suppressAutoHyphens w:val="0"/>
              <w:spacing w:before="80" w:after="80" w:line="200" w:lineRule="exact"/>
              <w:jc w:val="right"/>
              <w:rPr>
                <w:rFonts w:cs="Times New Roman"/>
                <w:i/>
                <w:sz w:val="16"/>
              </w:rPr>
            </w:pPr>
          </w:p>
        </w:tc>
        <w:tc>
          <w:tcPr>
            <w:tcW w:w="756" w:type="dxa"/>
            <w:tcBorders>
              <w:top w:val="single" w:sz="4" w:space="0" w:color="auto"/>
              <w:bottom w:val="single" w:sz="12" w:space="0" w:color="auto"/>
            </w:tcBorders>
            <w:shd w:val="clear" w:color="auto" w:fill="auto"/>
            <w:vAlign w:val="bottom"/>
            <w:hideMark/>
          </w:tcPr>
          <w:p w14:paraId="48401071" w14:textId="77777777" w:rsidR="00936DFE" w:rsidRPr="007547F8" w:rsidRDefault="00936DFE" w:rsidP="00044DA6">
            <w:pPr>
              <w:suppressAutoHyphens w:val="0"/>
              <w:spacing w:before="80" w:after="80" w:line="200" w:lineRule="exact"/>
              <w:jc w:val="right"/>
              <w:rPr>
                <w:rFonts w:cs="Times New Roman"/>
                <w:i/>
                <w:sz w:val="16"/>
              </w:rPr>
            </w:pPr>
            <w:r w:rsidRPr="007547F8">
              <w:rPr>
                <w:rFonts w:cs="Times New Roman"/>
                <w:i/>
                <w:sz w:val="16"/>
              </w:rPr>
              <w:t>1</w:t>
            </w:r>
            <w:r>
              <w:rPr>
                <w:rFonts w:cs="Times New Roman"/>
                <w:i/>
                <w:sz w:val="16"/>
              </w:rPr>
              <w:t>–</w:t>
            </w:r>
            <w:r w:rsidRPr="007547F8">
              <w:rPr>
                <w:rFonts w:cs="Times New Roman"/>
                <w:i/>
                <w:sz w:val="16"/>
              </w:rPr>
              <w:t>4</w:t>
            </w:r>
          </w:p>
        </w:tc>
        <w:tc>
          <w:tcPr>
            <w:tcW w:w="644" w:type="dxa"/>
            <w:tcBorders>
              <w:top w:val="single" w:sz="4" w:space="0" w:color="auto"/>
              <w:bottom w:val="single" w:sz="12" w:space="0" w:color="auto"/>
            </w:tcBorders>
            <w:shd w:val="clear" w:color="auto" w:fill="auto"/>
            <w:vAlign w:val="bottom"/>
            <w:hideMark/>
          </w:tcPr>
          <w:p w14:paraId="5CC3A39B" w14:textId="77777777" w:rsidR="00936DFE" w:rsidRPr="007547F8" w:rsidRDefault="00936DFE" w:rsidP="00044DA6">
            <w:pPr>
              <w:suppressAutoHyphens w:val="0"/>
              <w:spacing w:before="80" w:after="80" w:line="200" w:lineRule="exact"/>
              <w:jc w:val="right"/>
              <w:rPr>
                <w:rFonts w:cs="Times New Roman"/>
                <w:i/>
                <w:sz w:val="16"/>
              </w:rPr>
            </w:pPr>
            <w:r w:rsidRPr="007547F8">
              <w:rPr>
                <w:rFonts w:cs="Times New Roman"/>
                <w:i/>
                <w:sz w:val="16"/>
              </w:rPr>
              <w:t>5</w:t>
            </w:r>
            <w:r>
              <w:rPr>
                <w:rFonts w:cs="Times New Roman"/>
                <w:i/>
                <w:sz w:val="16"/>
              </w:rPr>
              <w:t>–</w:t>
            </w:r>
            <w:r w:rsidRPr="007547F8">
              <w:rPr>
                <w:rFonts w:cs="Times New Roman"/>
                <w:i/>
                <w:sz w:val="16"/>
              </w:rPr>
              <w:t>9</w:t>
            </w:r>
          </w:p>
        </w:tc>
        <w:tc>
          <w:tcPr>
            <w:tcW w:w="609" w:type="dxa"/>
            <w:tcBorders>
              <w:top w:val="single" w:sz="4" w:space="0" w:color="auto"/>
              <w:bottom w:val="single" w:sz="12" w:space="0" w:color="auto"/>
            </w:tcBorders>
            <w:shd w:val="clear" w:color="auto" w:fill="auto"/>
            <w:vAlign w:val="bottom"/>
            <w:hideMark/>
          </w:tcPr>
          <w:p w14:paraId="58684D78" w14:textId="77777777" w:rsidR="00936DFE" w:rsidRPr="007547F8" w:rsidRDefault="00936DFE" w:rsidP="00044DA6">
            <w:pPr>
              <w:suppressAutoHyphens w:val="0"/>
              <w:spacing w:before="80" w:after="80" w:line="200" w:lineRule="exact"/>
              <w:jc w:val="right"/>
              <w:rPr>
                <w:rFonts w:cs="Times New Roman"/>
                <w:i/>
                <w:sz w:val="16"/>
              </w:rPr>
            </w:pPr>
            <w:r w:rsidRPr="007547F8">
              <w:rPr>
                <w:rFonts w:cs="Times New Roman"/>
                <w:i/>
                <w:sz w:val="16"/>
              </w:rPr>
              <w:t>10</w:t>
            </w:r>
            <w:r>
              <w:rPr>
                <w:rFonts w:cs="Times New Roman"/>
                <w:i/>
                <w:sz w:val="16"/>
              </w:rPr>
              <w:t>–</w:t>
            </w:r>
            <w:r w:rsidRPr="007547F8">
              <w:rPr>
                <w:rFonts w:cs="Times New Roman"/>
                <w:i/>
                <w:sz w:val="16"/>
              </w:rPr>
              <w:t>12</w:t>
            </w:r>
          </w:p>
        </w:tc>
      </w:tr>
      <w:tr w:rsidR="00936DFE" w:rsidRPr="00535B12" w14:paraId="347FEB0E" w14:textId="77777777" w:rsidTr="00044DA6">
        <w:tc>
          <w:tcPr>
            <w:tcW w:w="2898" w:type="dxa"/>
            <w:tcBorders>
              <w:top w:val="single" w:sz="12" w:space="0" w:color="auto"/>
              <w:bottom w:val="single" w:sz="4" w:space="0" w:color="auto"/>
            </w:tcBorders>
            <w:shd w:val="clear" w:color="auto" w:fill="auto"/>
            <w:hideMark/>
          </w:tcPr>
          <w:p w14:paraId="69136E51" w14:textId="77777777" w:rsidR="00936DFE" w:rsidRPr="00535B12" w:rsidRDefault="00936DFE" w:rsidP="00044DA6">
            <w:pPr>
              <w:tabs>
                <w:tab w:val="left" w:pos="142"/>
              </w:tabs>
              <w:spacing w:before="80" w:after="80" w:line="220" w:lineRule="exact"/>
              <w:rPr>
                <w:rFonts w:cs="Times New Roman"/>
                <w:b/>
                <w:bCs/>
                <w:sz w:val="18"/>
              </w:rPr>
            </w:pPr>
            <w:r>
              <w:rPr>
                <w:rFonts w:cs="Times New Roman"/>
                <w:b/>
                <w:bCs/>
                <w:sz w:val="18"/>
              </w:rPr>
              <w:tab/>
            </w:r>
            <w:r w:rsidRPr="00535B12">
              <w:rPr>
                <w:rFonts w:cs="Times New Roman"/>
                <w:b/>
                <w:bCs/>
                <w:sz w:val="18"/>
              </w:rPr>
              <w:t>Всего</w:t>
            </w:r>
          </w:p>
        </w:tc>
        <w:tc>
          <w:tcPr>
            <w:tcW w:w="1484" w:type="dxa"/>
            <w:tcBorders>
              <w:top w:val="single" w:sz="12" w:space="0" w:color="auto"/>
              <w:bottom w:val="single" w:sz="4" w:space="0" w:color="auto"/>
            </w:tcBorders>
            <w:shd w:val="clear" w:color="auto" w:fill="auto"/>
            <w:noWrap/>
            <w:vAlign w:val="bottom"/>
            <w:hideMark/>
          </w:tcPr>
          <w:p w14:paraId="297C19A1" w14:textId="77777777" w:rsidR="00936DFE" w:rsidRPr="00535B12" w:rsidRDefault="00936DFE" w:rsidP="00044DA6">
            <w:pPr>
              <w:spacing w:before="80" w:after="80" w:line="220" w:lineRule="exact"/>
              <w:jc w:val="right"/>
              <w:rPr>
                <w:rFonts w:cs="Times New Roman"/>
                <w:b/>
                <w:bCs/>
                <w:sz w:val="18"/>
              </w:rPr>
            </w:pPr>
            <w:r w:rsidRPr="00535B12">
              <w:rPr>
                <w:rFonts w:cs="Times New Roman"/>
                <w:b/>
                <w:bCs/>
                <w:sz w:val="18"/>
              </w:rPr>
              <w:t>1 244</w:t>
            </w:r>
          </w:p>
        </w:tc>
        <w:tc>
          <w:tcPr>
            <w:tcW w:w="979" w:type="dxa"/>
            <w:tcBorders>
              <w:top w:val="single" w:sz="12" w:space="0" w:color="auto"/>
              <w:bottom w:val="single" w:sz="4" w:space="0" w:color="auto"/>
            </w:tcBorders>
            <w:shd w:val="clear" w:color="auto" w:fill="auto"/>
            <w:noWrap/>
            <w:vAlign w:val="bottom"/>
            <w:hideMark/>
          </w:tcPr>
          <w:p w14:paraId="18F0072A" w14:textId="77777777" w:rsidR="00936DFE" w:rsidRPr="00535B12" w:rsidRDefault="00936DFE" w:rsidP="00044DA6">
            <w:pPr>
              <w:spacing w:before="80" w:after="80" w:line="220" w:lineRule="exact"/>
              <w:jc w:val="right"/>
              <w:rPr>
                <w:rFonts w:cs="Times New Roman"/>
                <w:b/>
                <w:bCs/>
                <w:sz w:val="18"/>
              </w:rPr>
            </w:pPr>
            <w:r w:rsidRPr="00535B12">
              <w:rPr>
                <w:rFonts w:cs="Times New Roman"/>
                <w:b/>
                <w:bCs/>
                <w:sz w:val="18"/>
              </w:rPr>
              <w:t>334 159</w:t>
            </w:r>
          </w:p>
        </w:tc>
        <w:tc>
          <w:tcPr>
            <w:tcW w:w="756" w:type="dxa"/>
            <w:tcBorders>
              <w:top w:val="single" w:sz="12" w:space="0" w:color="auto"/>
              <w:bottom w:val="single" w:sz="4" w:space="0" w:color="auto"/>
            </w:tcBorders>
            <w:shd w:val="clear" w:color="auto" w:fill="auto"/>
            <w:noWrap/>
            <w:vAlign w:val="bottom"/>
            <w:hideMark/>
          </w:tcPr>
          <w:p w14:paraId="4B4F8949" w14:textId="77777777" w:rsidR="00936DFE" w:rsidRPr="00535B12" w:rsidRDefault="00936DFE" w:rsidP="00044DA6">
            <w:pPr>
              <w:spacing w:before="80" w:after="80" w:line="220" w:lineRule="exact"/>
              <w:jc w:val="right"/>
              <w:rPr>
                <w:rFonts w:cs="Times New Roman"/>
                <w:b/>
                <w:bCs/>
                <w:sz w:val="18"/>
              </w:rPr>
            </w:pPr>
            <w:r w:rsidRPr="00535B12">
              <w:rPr>
                <w:rFonts w:cs="Times New Roman"/>
                <w:b/>
                <w:bCs/>
                <w:sz w:val="18"/>
              </w:rPr>
              <w:t>139 612</w:t>
            </w:r>
          </w:p>
        </w:tc>
        <w:tc>
          <w:tcPr>
            <w:tcW w:w="644" w:type="dxa"/>
            <w:tcBorders>
              <w:top w:val="single" w:sz="12" w:space="0" w:color="auto"/>
              <w:bottom w:val="single" w:sz="4" w:space="0" w:color="auto"/>
            </w:tcBorders>
            <w:shd w:val="clear" w:color="auto" w:fill="auto"/>
            <w:noWrap/>
            <w:vAlign w:val="bottom"/>
            <w:hideMark/>
          </w:tcPr>
          <w:p w14:paraId="455283BF" w14:textId="77777777" w:rsidR="00936DFE" w:rsidRPr="00535B12" w:rsidRDefault="00936DFE" w:rsidP="00044DA6">
            <w:pPr>
              <w:spacing w:before="80" w:after="80" w:line="220" w:lineRule="exact"/>
              <w:jc w:val="right"/>
              <w:rPr>
                <w:rFonts w:cs="Times New Roman"/>
                <w:b/>
                <w:bCs/>
                <w:sz w:val="18"/>
              </w:rPr>
            </w:pPr>
            <w:r w:rsidRPr="00535B12">
              <w:rPr>
                <w:rFonts w:cs="Times New Roman"/>
                <w:b/>
                <w:bCs/>
                <w:sz w:val="18"/>
              </w:rPr>
              <w:t>159 427</w:t>
            </w:r>
          </w:p>
        </w:tc>
        <w:tc>
          <w:tcPr>
            <w:tcW w:w="609" w:type="dxa"/>
            <w:tcBorders>
              <w:top w:val="single" w:sz="12" w:space="0" w:color="auto"/>
              <w:bottom w:val="single" w:sz="4" w:space="0" w:color="auto"/>
            </w:tcBorders>
            <w:shd w:val="clear" w:color="auto" w:fill="auto"/>
            <w:noWrap/>
            <w:vAlign w:val="bottom"/>
            <w:hideMark/>
          </w:tcPr>
          <w:p w14:paraId="09950225" w14:textId="77777777" w:rsidR="00936DFE" w:rsidRPr="00535B12" w:rsidRDefault="00936DFE" w:rsidP="00044DA6">
            <w:pPr>
              <w:spacing w:before="80" w:after="80" w:line="220" w:lineRule="exact"/>
              <w:jc w:val="right"/>
              <w:rPr>
                <w:rFonts w:cs="Times New Roman"/>
                <w:b/>
                <w:bCs/>
                <w:sz w:val="18"/>
              </w:rPr>
            </w:pPr>
            <w:r w:rsidRPr="00535B12">
              <w:rPr>
                <w:rFonts w:cs="Times New Roman"/>
                <w:b/>
                <w:bCs/>
                <w:sz w:val="18"/>
              </w:rPr>
              <w:t>35 120</w:t>
            </w:r>
          </w:p>
        </w:tc>
      </w:tr>
      <w:tr w:rsidR="00936DFE" w:rsidRPr="002D390C" w14:paraId="501D879E" w14:textId="77777777" w:rsidTr="00044DA6">
        <w:tc>
          <w:tcPr>
            <w:tcW w:w="2898" w:type="dxa"/>
            <w:tcBorders>
              <w:top w:val="single" w:sz="4" w:space="0" w:color="auto"/>
            </w:tcBorders>
            <w:shd w:val="clear" w:color="auto" w:fill="auto"/>
            <w:hideMark/>
          </w:tcPr>
          <w:p w14:paraId="2A6958F8" w14:textId="77777777" w:rsidR="00936DFE" w:rsidRPr="002D390C" w:rsidRDefault="00936DFE" w:rsidP="00044DA6">
            <w:pPr>
              <w:spacing w:before="40" w:after="40" w:line="220" w:lineRule="exact"/>
              <w:rPr>
                <w:rFonts w:cs="Times New Roman"/>
                <w:sz w:val="18"/>
              </w:rPr>
            </w:pPr>
            <w:r w:rsidRPr="002D390C">
              <w:rPr>
                <w:rFonts w:cs="Times New Roman"/>
                <w:sz w:val="18"/>
              </w:rPr>
              <w:t>обучение только на одном языке, всего</w:t>
            </w:r>
            <w:r>
              <w:rPr>
                <w:rFonts w:cs="Times New Roman"/>
                <w:sz w:val="18"/>
              </w:rPr>
              <w:t>,</w:t>
            </w:r>
          </w:p>
          <w:p w14:paraId="2686F69D" w14:textId="77777777" w:rsidR="00936DFE" w:rsidRPr="002D390C" w:rsidRDefault="00936DFE" w:rsidP="00044DA6">
            <w:pPr>
              <w:spacing w:before="40" w:after="40" w:line="220" w:lineRule="exact"/>
              <w:rPr>
                <w:rFonts w:cs="Times New Roman"/>
                <w:sz w:val="18"/>
              </w:rPr>
            </w:pPr>
            <w:r w:rsidRPr="002D390C">
              <w:rPr>
                <w:rFonts w:cs="Times New Roman"/>
                <w:sz w:val="18"/>
              </w:rPr>
              <w:t>в том числе</w:t>
            </w:r>
            <w:r>
              <w:rPr>
                <w:rFonts w:cs="Times New Roman"/>
                <w:sz w:val="18"/>
              </w:rPr>
              <w:t>:</w:t>
            </w:r>
          </w:p>
        </w:tc>
        <w:tc>
          <w:tcPr>
            <w:tcW w:w="1484" w:type="dxa"/>
            <w:tcBorders>
              <w:top w:val="single" w:sz="4" w:space="0" w:color="auto"/>
            </w:tcBorders>
            <w:shd w:val="clear" w:color="auto" w:fill="auto"/>
            <w:noWrap/>
            <w:hideMark/>
          </w:tcPr>
          <w:p w14:paraId="22AFBAAE"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1</w:t>
            </w:r>
            <w:r>
              <w:rPr>
                <w:rFonts w:cs="Times New Roman"/>
                <w:sz w:val="18"/>
              </w:rPr>
              <w:t xml:space="preserve"> </w:t>
            </w:r>
            <w:r w:rsidRPr="002D390C">
              <w:rPr>
                <w:rFonts w:cs="Times New Roman"/>
                <w:sz w:val="18"/>
              </w:rPr>
              <w:t>184</w:t>
            </w:r>
          </w:p>
        </w:tc>
        <w:tc>
          <w:tcPr>
            <w:tcW w:w="979" w:type="dxa"/>
            <w:tcBorders>
              <w:top w:val="single" w:sz="4" w:space="0" w:color="auto"/>
            </w:tcBorders>
            <w:shd w:val="clear" w:color="auto" w:fill="auto"/>
            <w:noWrap/>
            <w:hideMark/>
          </w:tcPr>
          <w:p w14:paraId="4A99704A"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316</w:t>
            </w:r>
            <w:r>
              <w:rPr>
                <w:rFonts w:cs="Times New Roman"/>
                <w:sz w:val="18"/>
              </w:rPr>
              <w:t xml:space="preserve"> </w:t>
            </w:r>
            <w:r w:rsidRPr="002D390C">
              <w:rPr>
                <w:rFonts w:cs="Times New Roman"/>
                <w:sz w:val="18"/>
              </w:rPr>
              <w:t>815</w:t>
            </w:r>
          </w:p>
        </w:tc>
        <w:tc>
          <w:tcPr>
            <w:tcW w:w="756" w:type="dxa"/>
            <w:tcBorders>
              <w:top w:val="single" w:sz="4" w:space="0" w:color="auto"/>
            </w:tcBorders>
            <w:shd w:val="clear" w:color="auto" w:fill="auto"/>
            <w:noWrap/>
            <w:hideMark/>
          </w:tcPr>
          <w:p w14:paraId="7B75A0DE"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133</w:t>
            </w:r>
            <w:r>
              <w:rPr>
                <w:rFonts w:cs="Times New Roman"/>
                <w:sz w:val="18"/>
              </w:rPr>
              <w:t xml:space="preserve"> </w:t>
            </w:r>
            <w:r w:rsidRPr="002D390C">
              <w:rPr>
                <w:rFonts w:cs="Times New Roman"/>
                <w:sz w:val="18"/>
              </w:rPr>
              <w:t>043</w:t>
            </w:r>
          </w:p>
        </w:tc>
        <w:tc>
          <w:tcPr>
            <w:tcW w:w="644" w:type="dxa"/>
            <w:tcBorders>
              <w:top w:val="single" w:sz="4" w:space="0" w:color="auto"/>
            </w:tcBorders>
            <w:shd w:val="clear" w:color="auto" w:fill="auto"/>
            <w:noWrap/>
            <w:hideMark/>
          </w:tcPr>
          <w:p w14:paraId="6AA96A9E"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151</w:t>
            </w:r>
            <w:r>
              <w:rPr>
                <w:rFonts w:cs="Times New Roman"/>
                <w:sz w:val="18"/>
              </w:rPr>
              <w:t xml:space="preserve"> </w:t>
            </w:r>
            <w:r w:rsidRPr="002D390C">
              <w:rPr>
                <w:rFonts w:cs="Times New Roman"/>
                <w:sz w:val="18"/>
              </w:rPr>
              <w:t>406</w:t>
            </w:r>
          </w:p>
        </w:tc>
        <w:tc>
          <w:tcPr>
            <w:tcW w:w="609" w:type="dxa"/>
            <w:tcBorders>
              <w:top w:val="single" w:sz="4" w:space="0" w:color="auto"/>
            </w:tcBorders>
            <w:shd w:val="clear" w:color="auto" w:fill="auto"/>
            <w:noWrap/>
            <w:hideMark/>
          </w:tcPr>
          <w:p w14:paraId="006C26EA"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32</w:t>
            </w:r>
            <w:r>
              <w:rPr>
                <w:rFonts w:cs="Times New Roman"/>
                <w:sz w:val="18"/>
              </w:rPr>
              <w:t xml:space="preserve"> </w:t>
            </w:r>
            <w:r w:rsidRPr="002D390C">
              <w:rPr>
                <w:rFonts w:cs="Times New Roman"/>
                <w:sz w:val="18"/>
              </w:rPr>
              <w:t>366</w:t>
            </w:r>
          </w:p>
        </w:tc>
      </w:tr>
      <w:tr w:rsidR="00936DFE" w:rsidRPr="002D390C" w14:paraId="67CE8069" w14:textId="77777777" w:rsidTr="00044DA6">
        <w:tc>
          <w:tcPr>
            <w:tcW w:w="2898" w:type="dxa"/>
            <w:shd w:val="clear" w:color="auto" w:fill="auto"/>
            <w:hideMark/>
          </w:tcPr>
          <w:p w14:paraId="17E8A37A" w14:textId="77777777" w:rsidR="00936DFE" w:rsidRPr="002D390C" w:rsidRDefault="00936DFE" w:rsidP="00044DA6">
            <w:pPr>
              <w:spacing w:before="40" w:after="40" w:line="220" w:lineRule="exact"/>
              <w:rPr>
                <w:rFonts w:cs="Times New Roman"/>
                <w:sz w:val="18"/>
              </w:rPr>
            </w:pPr>
            <w:r w:rsidRPr="002D390C">
              <w:rPr>
                <w:rFonts w:cs="Times New Roman"/>
                <w:sz w:val="18"/>
              </w:rPr>
              <w:t>румынский</w:t>
            </w:r>
          </w:p>
        </w:tc>
        <w:tc>
          <w:tcPr>
            <w:tcW w:w="1484" w:type="dxa"/>
            <w:shd w:val="clear" w:color="auto" w:fill="auto"/>
            <w:noWrap/>
            <w:vAlign w:val="bottom"/>
            <w:hideMark/>
          </w:tcPr>
          <w:p w14:paraId="52D42D8D"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967</w:t>
            </w:r>
          </w:p>
        </w:tc>
        <w:tc>
          <w:tcPr>
            <w:tcW w:w="979" w:type="dxa"/>
            <w:shd w:val="clear" w:color="auto" w:fill="auto"/>
            <w:noWrap/>
            <w:vAlign w:val="bottom"/>
            <w:hideMark/>
          </w:tcPr>
          <w:p w14:paraId="30E456D6"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258</w:t>
            </w:r>
            <w:r>
              <w:rPr>
                <w:rFonts w:cs="Times New Roman"/>
                <w:sz w:val="18"/>
              </w:rPr>
              <w:t xml:space="preserve"> </w:t>
            </w:r>
            <w:r w:rsidRPr="002D390C">
              <w:rPr>
                <w:rFonts w:cs="Times New Roman"/>
                <w:sz w:val="18"/>
              </w:rPr>
              <w:t>180</w:t>
            </w:r>
          </w:p>
        </w:tc>
        <w:tc>
          <w:tcPr>
            <w:tcW w:w="756" w:type="dxa"/>
            <w:shd w:val="clear" w:color="auto" w:fill="auto"/>
            <w:noWrap/>
            <w:vAlign w:val="bottom"/>
            <w:hideMark/>
          </w:tcPr>
          <w:p w14:paraId="42E416B3"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109</w:t>
            </w:r>
            <w:r>
              <w:rPr>
                <w:rFonts w:cs="Times New Roman"/>
                <w:sz w:val="18"/>
              </w:rPr>
              <w:t xml:space="preserve"> </w:t>
            </w:r>
            <w:r w:rsidRPr="002D390C">
              <w:rPr>
                <w:rFonts w:cs="Times New Roman"/>
                <w:sz w:val="18"/>
              </w:rPr>
              <w:t>114</w:t>
            </w:r>
          </w:p>
        </w:tc>
        <w:tc>
          <w:tcPr>
            <w:tcW w:w="644" w:type="dxa"/>
            <w:shd w:val="clear" w:color="auto" w:fill="auto"/>
            <w:noWrap/>
            <w:vAlign w:val="bottom"/>
            <w:hideMark/>
          </w:tcPr>
          <w:p w14:paraId="4347AB64"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123</w:t>
            </w:r>
            <w:r>
              <w:rPr>
                <w:rFonts w:cs="Times New Roman"/>
                <w:sz w:val="18"/>
              </w:rPr>
              <w:t xml:space="preserve"> </w:t>
            </w:r>
            <w:r w:rsidRPr="002D390C">
              <w:rPr>
                <w:rFonts w:cs="Times New Roman"/>
                <w:sz w:val="18"/>
              </w:rPr>
              <w:t>944</w:t>
            </w:r>
          </w:p>
        </w:tc>
        <w:tc>
          <w:tcPr>
            <w:tcW w:w="609" w:type="dxa"/>
            <w:shd w:val="clear" w:color="auto" w:fill="auto"/>
            <w:noWrap/>
            <w:vAlign w:val="bottom"/>
            <w:hideMark/>
          </w:tcPr>
          <w:p w14:paraId="2F86F76B"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25</w:t>
            </w:r>
            <w:r>
              <w:rPr>
                <w:rFonts w:cs="Times New Roman"/>
                <w:sz w:val="18"/>
              </w:rPr>
              <w:t xml:space="preserve"> </w:t>
            </w:r>
            <w:r w:rsidRPr="002D390C">
              <w:rPr>
                <w:rFonts w:cs="Times New Roman"/>
                <w:sz w:val="18"/>
              </w:rPr>
              <w:t>122</w:t>
            </w:r>
          </w:p>
        </w:tc>
      </w:tr>
      <w:tr w:rsidR="00936DFE" w:rsidRPr="002D390C" w14:paraId="09DED925" w14:textId="77777777" w:rsidTr="00044DA6">
        <w:tc>
          <w:tcPr>
            <w:tcW w:w="2898" w:type="dxa"/>
            <w:shd w:val="clear" w:color="auto" w:fill="auto"/>
            <w:hideMark/>
          </w:tcPr>
          <w:p w14:paraId="7821335A" w14:textId="77777777" w:rsidR="00936DFE" w:rsidRPr="002D390C" w:rsidRDefault="00936DFE" w:rsidP="00044DA6">
            <w:pPr>
              <w:spacing w:before="40" w:after="40" w:line="220" w:lineRule="exact"/>
              <w:rPr>
                <w:rFonts w:cs="Times New Roman"/>
                <w:sz w:val="18"/>
              </w:rPr>
            </w:pPr>
            <w:r w:rsidRPr="002D390C">
              <w:rPr>
                <w:rFonts w:cs="Times New Roman"/>
                <w:sz w:val="18"/>
              </w:rPr>
              <w:t>русский</w:t>
            </w:r>
          </w:p>
        </w:tc>
        <w:tc>
          <w:tcPr>
            <w:tcW w:w="1484" w:type="dxa"/>
            <w:shd w:val="clear" w:color="auto" w:fill="auto"/>
            <w:noWrap/>
            <w:vAlign w:val="bottom"/>
            <w:hideMark/>
          </w:tcPr>
          <w:p w14:paraId="2CBC0386"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217</w:t>
            </w:r>
          </w:p>
        </w:tc>
        <w:tc>
          <w:tcPr>
            <w:tcW w:w="979" w:type="dxa"/>
            <w:shd w:val="clear" w:color="auto" w:fill="auto"/>
            <w:noWrap/>
            <w:vAlign w:val="bottom"/>
            <w:hideMark/>
          </w:tcPr>
          <w:p w14:paraId="43E00106"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58</w:t>
            </w:r>
            <w:r>
              <w:rPr>
                <w:rFonts w:cs="Times New Roman"/>
                <w:sz w:val="18"/>
              </w:rPr>
              <w:t xml:space="preserve"> </w:t>
            </w:r>
            <w:r w:rsidRPr="002D390C">
              <w:rPr>
                <w:rFonts w:cs="Times New Roman"/>
                <w:sz w:val="18"/>
              </w:rPr>
              <w:t>635</w:t>
            </w:r>
          </w:p>
        </w:tc>
        <w:tc>
          <w:tcPr>
            <w:tcW w:w="756" w:type="dxa"/>
            <w:shd w:val="clear" w:color="auto" w:fill="auto"/>
            <w:noWrap/>
            <w:vAlign w:val="bottom"/>
            <w:hideMark/>
          </w:tcPr>
          <w:p w14:paraId="039418C0"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23</w:t>
            </w:r>
            <w:r>
              <w:rPr>
                <w:rFonts w:cs="Times New Roman"/>
                <w:sz w:val="18"/>
              </w:rPr>
              <w:t xml:space="preserve"> </w:t>
            </w:r>
            <w:r w:rsidRPr="002D390C">
              <w:rPr>
                <w:rFonts w:cs="Times New Roman"/>
                <w:sz w:val="18"/>
              </w:rPr>
              <w:t>929</w:t>
            </w:r>
          </w:p>
        </w:tc>
        <w:tc>
          <w:tcPr>
            <w:tcW w:w="644" w:type="dxa"/>
            <w:shd w:val="clear" w:color="auto" w:fill="auto"/>
            <w:noWrap/>
            <w:vAlign w:val="bottom"/>
            <w:hideMark/>
          </w:tcPr>
          <w:p w14:paraId="638641DC"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27</w:t>
            </w:r>
            <w:r>
              <w:rPr>
                <w:rFonts w:cs="Times New Roman"/>
                <w:sz w:val="18"/>
              </w:rPr>
              <w:t xml:space="preserve"> </w:t>
            </w:r>
            <w:r w:rsidRPr="002D390C">
              <w:rPr>
                <w:rFonts w:cs="Times New Roman"/>
                <w:sz w:val="18"/>
              </w:rPr>
              <w:t>556</w:t>
            </w:r>
          </w:p>
        </w:tc>
        <w:tc>
          <w:tcPr>
            <w:tcW w:w="609" w:type="dxa"/>
            <w:shd w:val="clear" w:color="auto" w:fill="auto"/>
            <w:noWrap/>
            <w:vAlign w:val="bottom"/>
            <w:hideMark/>
          </w:tcPr>
          <w:p w14:paraId="30997308"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7</w:t>
            </w:r>
            <w:r>
              <w:rPr>
                <w:rFonts w:cs="Times New Roman"/>
                <w:sz w:val="18"/>
              </w:rPr>
              <w:t xml:space="preserve"> </w:t>
            </w:r>
            <w:r w:rsidRPr="002D390C">
              <w:rPr>
                <w:rFonts w:cs="Times New Roman"/>
                <w:sz w:val="18"/>
              </w:rPr>
              <w:t>302</w:t>
            </w:r>
          </w:p>
        </w:tc>
      </w:tr>
      <w:tr w:rsidR="00936DFE" w:rsidRPr="002D390C" w14:paraId="7F7DDF5A" w14:textId="77777777" w:rsidTr="00044DA6">
        <w:tc>
          <w:tcPr>
            <w:tcW w:w="2898" w:type="dxa"/>
            <w:shd w:val="clear" w:color="auto" w:fill="auto"/>
            <w:hideMark/>
          </w:tcPr>
          <w:p w14:paraId="453D0EBF" w14:textId="77777777" w:rsidR="00936DFE" w:rsidRPr="002D390C" w:rsidRDefault="00936DFE" w:rsidP="00044DA6">
            <w:pPr>
              <w:spacing w:before="40" w:after="40" w:line="220" w:lineRule="exact"/>
              <w:rPr>
                <w:rFonts w:cs="Times New Roman"/>
                <w:sz w:val="18"/>
              </w:rPr>
            </w:pPr>
            <w:r w:rsidRPr="002D390C">
              <w:rPr>
                <w:rFonts w:cs="Times New Roman"/>
                <w:sz w:val="18"/>
              </w:rPr>
              <w:t>болгарский</w:t>
            </w:r>
          </w:p>
        </w:tc>
        <w:tc>
          <w:tcPr>
            <w:tcW w:w="1484" w:type="dxa"/>
            <w:shd w:val="clear" w:color="auto" w:fill="auto"/>
            <w:noWrap/>
            <w:vAlign w:val="bottom"/>
            <w:hideMark/>
          </w:tcPr>
          <w:p w14:paraId="526B98F7"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1</w:t>
            </w:r>
          </w:p>
        </w:tc>
        <w:tc>
          <w:tcPr>
            <w:tcW w:w="979" w:type="dxa"/>
            <w:shd w:val="clear" w:color="auto" w:fill="auto"/>
            <w:noWrap/>
            <w:vAlign w:val="bottom"/>
            <w:hideMark/>
          </w:tcPr>
          <w:p w14:paraId="04D824EF"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149</w:t>
            </w:r>
          </w:p>
        </w:tc>
        <w:tc>
          <w:tcPr>
            <w:tcW w:w="756" w:type="dxa"/>
            <w:shd w:val="clear" w:color="auto" w:fill="auto"/>
            <w:noWrap/>
            <w:vAlign w:val="bottom"/>
            <w:hideMark/>
          </w:tcPr>
          <w:p w14:paraId="730D9932"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149</w:t>
            </w:r>
          </w:p>
        </w:tc>
        <w:tc>
          <w:tcPr>
            <w:tcW w:w="644" w:type="dxa"/>
            <w:shd w:val="clear" w:color="auto" w:fill="auto"/>
            <w:noWrap/>
            <w:vAlign w:val="bottom"/>
            <w:hideMark/>
          </w:tcPr>
          <w:p w14:paraId="6BBB1217"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0</w:t>
            </w:r>
          </w:p>
        </w:tc>
        <w:tc>
          <w:tcPr>
            <w:tcW w:w="609" w:type="dxa"/>
            <w:shd w:val="clear" w:color="auto" w:fill="auto"/>
            <w:noWrap/>
            <w:vAlign w:val="bottom"/>
            <w:hideMark/>
          </w:tcPr>
          <w:p w14:paraId="02B1F12C"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0</w:t>
            </w:r>
          </w:p>
        </w:tc>
      </w:tr>
      <w:tr w:rsidR="00936DFE" w:rsidRPr="002D390C" w14:paraId="5AB9FD32" w14:textId="77777777" w:rsidTr="00044DA6">
        <w:tc>
          <w:tcPr>
            <w:tcW w:w="2898" w:type="dxa"/>
            <w:tcBorders>
              <w:bottom w:val="single" w:sz="12" w:space="0" w:color="auto"/>
            </w:tcBorders>
            <w:shd w:val="clear" w:color="auto" w:fill="auto"/>
            <w:hideMark/>
          </w:tcPr>
          <w:p w14:paraId="1AEE6CA5" w14:textId="77777777" w:rsidR="00936DFE" w:rsidRPr="002D390C" w:rsidRDefault="00936DFE" w:rsidP="00044DA6">
            <w:pPr>
              <w:spacing w:before="40" w:after="40" w:line="220" w:lineRule="exact"/>
              <w:rPr>
                <w:rFonts w:cs="Times New Roman"/>
                <w:sz w:val="18"/>
              </w:rPr>
            </w:pPr>
            <w:r w:rsidRPr="002D390C">
              <w:rPr>
                <w:rFonts w:cs="Times New Roman"/>
                <w:sz w:val="18"/>
              </w:rPr>
              <w:t>смешанные школы: румыно</w:t>
            </w:r>
            <w:r>
              <w:rPr>
                <w:rFonts w:cs="Times New Roman"/>
                <w:sz w:val="18"/>
              </w:rPr>
              <w:t>-р</w:t>
            </w:r>
            <w:r w:rsidRPr="002D390C">
              <w:rPr>
                <w:rFonts w:cs="Times New Roman"/>
                <w:sz w:val="18"/>
              </w:rPr>
              <w:t>усские</w:t>
            </w:r>
          </w:p>
        </w:tc>
        <w:tc>
          <w:tcPr>
            <w:tcW w:w="1484" w:type="dxa"/>
            <w:tcBorders>
              <w:bottom w:val="single" w:sz="12" w:space="0" w:color="auto"/>
            </w:tcBorders>
            <w:shd w:val="clear" w:color="auto" w:fill="auto"/>
            <w:noWrap/>
            <w:vAlign w:val="bottom"/>
            <w:hideMark/>
          </w:tcPr>
          <w:p w14:paraId="47CAC48B"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59</w:t>
            </w:r>
          </w:p>
        </w:tc>
        <w:tc>
          <w:tcPr>
            <w:tcW w:w="979" w:type="dxa"/>
            <w:tcBorders>
              <w:bottom w:val="single" w:sz="12" w:space="0" w:color="auto"/>
            </w:tcBorders>
            <w:shd w:val="clear" w:color="auto" w:fill="auto"/>
            <w:noWrap/>
            <w:vAlign w:val="bottom"/>
            <w:hideMark/>
          </w:tcPr>
          <w:p w14:paraId="48E2D0BA"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17</w:t>
            </w:r>
            <w:r>
              <w:rPr>
                <w:rFonts w:cs="Times New Roman"/>
                <w:sz w:val="18"/>
              </w:rPr>
              <w:t xml:space="preserve"> </w:t>
            </w:r>
            <w:r w:rsidRPr="002D390C">
              <w:rPr>
                <w:rFonts w:cs="Times New Roman"/>
                <w:sz w:val="18"/>
              </w:rPr>
              <w:t>013</w:t>
            </w:r>
          </w:p>
        </w:tc>
        <w:tc>
          <w:tcPr>
            <w:tcW w:w="756" w:type="dxa"/>
            <w:tcBorders>
              <w:bottom w:val="single" w:sz="12" w:space="0" w:color="auto"/>
            </w:tcBorders>
            <w:shd w:val="clear" w:color="auto" w:fill="auto"/>
            <w:noWrap/>
            <w:vAlign w:val="bottom"/>
            <w:hideMark/>
          </w:tcPr>
          <w:p w14:paraId="406E4D4E"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6</w:t>
            </w:r>
            <w:r>
              <w:rPr>
                <w:rFonts w:cs="Times New Roman"/>
                <w:sz w:val="18"/>
              </w:rPr>
              <w:t xml:space="preserve"> </w:t>
            </w:r>
            <w:r w:rsidRPr="002D390C">
              <w:rPr>
                <w:rFonts w:cs="Times New Roman"/>
                <w:sz w:val="18"/>
              </w:rPr>
              <w:t>420</w:t>
            </w:r>
          </w:p>
        </w:tc>
        <w:tc>
          <w:tcPr>
            <w:tcW w:w="644" w:type="dxa"/>
            <w:tcBorders>
              <w:bottom w:val="single" w:sz="12" w:space="0" w:color="auto"/>
            </w:tcBorders>
            <w:shd w:val="clear" w:color="auto" w:fill="auto"/>
            <w:noWrap/>
            <w:vAlign w:val="bottom"/>
            <w:hideMark/>
          </w:tcPr>
          <w:p w14:paraId="62988C17"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7</w:t>
            </w:r>
            <w:r>
              <w:rPr>
                <w:rFonts w:cs="Times New Roman"/>
                <w:sz w:val="18"/>
              </w:rPr>
              <w:t xml:space="preserve"> </w:t>
            </w:r>
            <w:r w:rsidRPr="002D390C">
              <w:rPr>
                <w:rFonts w:cs="Times New Roman"/>
                <w:sz w:val="18"/>
              </w:rPr>
              <w:t>897</w:t>
            </w:r>
          </w:p>
        </w:tc>
        <w:tc>
          <w:tcPr>
            <w:tcW w:w="609" w:type="dxa"/>
            <w:tcBorders>
              <w:bottom w:val="single" w:sz="12" w:space="0" w:color="auto"/>
            </w:tcBorders>
            <w:shd w:val="clear" w:color="auto" w:fill="auto"/>
            <w:noWrap/>
            <w:vAlign w:val="bottom"/>
            <w:hideMark/>
          </w:tcPr>
          <w:p w14:paraId="114337A2" w14:textId="77777777" w:rsidR="00936DFE" w:rsidRPr="002D390C" w:rsidRDefault="00936DFE" w:rsidP="00044DA6">
            <w:pPr>
              <w:spacing w:before="40" w:after="40" w:line="220" w:lineRule="exact"/>
              <w:jc w:val="right"/>
              <w:rPr>
                <w:rFonts w:cs="Times New Roman"/>
                <w:sz w:val="18"/>
              </w:rPr>
            </w:pPr>
            <w:r w:rsidRPr="002D390C">
              <w:rPr>
                <w:rFonts w:cs="Times New Roman"/>
                <w:sz w:val="18"/>
              </w:rPr>
              <w:t>2</w:t>
            </w:r>
            <w:r>
              <w:rPr>
                <w:rFonts w:cs="Times New Roman"/>
                <w:sz w:val="18"/>
              </w:rPr>
              <w:t xml:space="preserve"> </w:t>
            </w:r>
            <w:r w:rsidRPr="002D390C">
              <w:rPr>
                <w:rFonts w:cs="Times New Roman"/>
                <w:sz w:val="18"/>
              </w:rPr>
              <w:t>696</w:t>
            </w:r>
          </w:p>
        </w:tc>
      </w:tr>
    </w:tbl>
    <w:p w14:paraId="2C333B9C" w14:textId="77777777" w:rsidR="00936DFE" w:rsidRDefault="00936DFE" w:rsidP="00936DFE">
      <w:pPr>
        <w:pStyle w:val="SingleTxtG"/>
        <w:spacing w:before="240"/>
      </w:pPr>
      <w:r>
        <w:t>90.</w:t>
      </w:r>
      <w:r>
        <w:tab/>
      </w:r>
      <w:r w:rsidRPr="00CB26B4">
        <w:t>В 2018</w:t>
      </w:r>
      <w:r>
        <w:t>–</w:t>
      </w:r>
      <w:r w:rsidRPr="00CB26B4">
        <w:t xml:space="preserve">2019 учебном году: украинский язык изучался в 42 школах, гагаузский язык </w:t>
      </w:r>
      <w:r>
        <w:t>—</w:t>
      </w:r>
      <w:r w:rsidRPr="00CB26B4">
        <w:t xml:space="preserve"> в 42 школах, болгарский язык </w:t>
      </w:r>
      <w:r>
        <w:t>—</w:t>
      </w:r>
      <w:r w:rsidRPr="00CB26B4">
        <w:t xml:space="preserve"> в 28 школах, польский язык </w:t>
      </w:r>
      <w:r>
        <w:t>—</w:t>
      </w:r>
      <w:r w:rsidRPr="00CB26B4">
        <w:t xml:space="preserve"> в </w:t>
      </w:r>
      <w:r>
        <w:t>одной</w:t>
      </w:r>
      <w:r w:rsidRPr="00CB26B4">
        <w:t xml:space="preserve"> школе, иврит </w:t>
      </w:r>
      <w:r>
        <w:t>—</w:t>
      </w:r>
      <w:r w:rsidRPr="00CB26B4">
        <w:t xml:space="preserve"> в </w:t>
      </w:r>
      <w:r>
        <w:t>двух</w:t>
      </w:r>
      <w:r w:rsidRPr="00CB26B4">
        <w:t xml:space="preserve"> школах.</w:t>
      </w:r>
    </w:p>
    <w:p w14:paraId="44829E59" w14:textId="77777777" w:rsidR="00936DFE" w:rsidRDefault="00936DFE" w:rsidP="00936DFE">
      <w:pPr>
        <w:pStyle w:val="SingleTxtG"/>
      </w:pPr>
      <w:r>
        <w:t>91.</w:t>
      </w:r>
      <w:r>
        <w:tab/>
      </w:r>
      <w:r w:rsidRPr="00CB26B4">
        <w:t>Официальным языком обучения в национальной системе образования является румынский язык, 80,7</w:t>
      </w:r>
      <w:r>
        <w:t xml:space="preserve"> процента</w:t>
      </w:r>
      <w:r w:rsidRPr="00CB26B4">
        <w:t xml:space="preserve"> учащихся начальных и средних школ обучаются на этом языке. Региональное распределение учащихся по языкам обучения показывает, что наибольшая доля учащихся, изучающих румынский язык, зарегистрирована в центральном регионе </w:t>
      </w:r>
      <w:r>
        <w:t>—</w:t>
      </w:r>
      <w:r w:rsidRPr="00CB26B4">
        <w:t xml:space="preserve"> 96,4</w:t>
      </w:r>
      <w:r>
        <w:t xml:space="preserve"> процента</w:t>
      </w:r>
      <w:r w:rsidRPr="00CB26B4">
        <w:t>. В южном регионе</w:t>
      </w:r>
      <w:r>
        <w:t xml:space="preserve"> —</w:t>
      </w:r>
      <w:r w:rsidRPr="00CB26B4">
        <w:t xml:space="preserve"> 82,8</w:t>
      </w:r>
      <w:r>
        <w:t xml:space="preserve"> процента</w:t>
      </w:r>
      <w:r w:rsidRPr="00CB26B4">
        <w:t xml:space="preserve">, на севере </w:t>
      </w:r>
      <w:r w:rsidRPr="00627640">
        <w:rPr>
          <w:color w:val="000000" w:themeColor="text1"/>
        </w:rPr>
        <w:t>Республик</w:t>
      </w:r>
      <w:r w:rsidRPr="00CB26B4">
        <w:t>и</w:t>
      </w:r>
      <w:r>
        <w:t xml:space="preserve"> —</w:t>
      </w:r>
      <w:r w:rsidRPr="00CB26B4">
        <w:t xml:space="preserve"> 78,2</w:t>
      </w:r>
      <w:r>
        <w:t xml:space="preserve"> процента</w:t>
      </w:r>
      <w:r w:rsidRPr="00CB26B4">
        <w:t>,</w:t>
      </w:r>
      <w:r>
        <w:t xml:space="preserve"> </w:t>
      </w:r>
      <w:r w:rsidRPr="00CB26B4">
        <w:t xml:space="preserve">в муниципии </w:t>
      </w:r>
      <w:proofErr w:type="spellStart"/>
      <w:r w:rsidRPr="00CB26B4">
        <w:t>Кишинэу</w:t>
      </w:r>
      <w:proofErr w:type="spellEnd"/>
      <w:r w:rsidRPr="00CB26B4">
        <w:t xml:space="preserve"> </w:t>
      </w:r>
      <w:r>
        <w:t>—</w:t>
      </w:r>
      <w:r w:rsidRPr="00CB26B4">
        <w:t xml:space="preserve"> 77,4</w:t>
      </w:r>
      <w:r>
        <w:t xml:space="preserve"> процента</w:t>
      </w:r>
      <w:r w:rsidRPr="00CB26B4">
        <w:t>.</w:t>
      </w:r>
    </w:p>
    <w:p w14:paraId="62018B88" w14:textId="77777777" w:rsidR="00936DFE" w:rsidRDefault="00936DFE" w:rsidP="00936DFE">
      <w:pPr>
        <w:pStyle w:val="SingleTxtG"/>
      </w:pPr>
      <w:r>
        <w:t>92.</w:t>
      </w:r>
      <w:r>
        <w:tab/>
      </w:r>
      <w:r w:rsidRPr="00CB26B4">
        <w:t>В целях обеспечения прав национальных меньшинств на образование на</w:t>
      </w:r>
      <w:r>
        <w:t xml:space="preserve"> </w:t>
      </w:r>
      <w:r w:rsidRPr="00CB26B4">
        <w:t>родном языке, МОКИ разрабатывает различные модели учебных программ, такие как: учебные программы начального и гимназического образования с обучением на родном языке для учеников украинской, гагаузской, болгарской национальности; учебные программы начального и гимназического образования с обучением на румынском языке для учеников украинской, гагаузской, болгарской национальности; учебные программы лицейского образования с обучением на румынском языке для учеников украинской, гагаузской, болгарской национальности.</w:t>
      </w:r>
    </w:p>
    <w:p w14:paraId="7052BA05" w14:textId="77777777" w:rsidR="00936DFE" w:rsidRDefault="00936DFE" w:rsidP="00936DFE">
      <w:pPr>
        <w:pStyle w:val="SingleTxtG"/>
      </w:pPr>
      <w:r>
        <w:t>93.</w:t>
      </w:r>
      <w:r>
        <w:tab/>
      </w:r>
      <w:r w:rsidRPr="00CB26B4">
        <w:t>Национальные меньшинства обучаются в соответствии с Рамочным учебным планом с этнокультурным компонентом. Преподавание этнокультурного компонента для национальных меньшинств является одним из приоритетов мультикультурной системы образования, внедренной на европейском пространстве. Родной язык и литература, «История, культура и традиции украинцев/русских/гагаузов/болгар/</w:t>
      </w:r>
      <w:r>
        <w:br/>
      </w:r>
      <w:r w:rsidRPr="00CB26B4">
        <w:t>ромов» являются обязательными предметами начального и гимназического образования (</w:t>
      </w:r>
      <w:r>
        <w:t>четыре</w:t>
      </w:r>
      <w:r w:rsidRPr="00CB26B4">
        <w:t xml:space="preserve"> часа в неделю). Преподавание дисциплины «История, культура и традиции русских, украинцев, гагаузов и др.» на языке национальных меньшинств способствует формированию этнического самосознания и чувства гражданской </w:t>
      </w:r>
      <w:r w:rsidRPr="00CB26B4">
        <w:lastRenderedPageBreak/>
        <w:t>принадлежности к стране проживания у младших школьников, принадлежащих к национальным меньшинствам, создавая вместе с тем условия для продвижения</w:t>
      </w:r>
      <w:r>
        <w:t xml:space="preserve"> </w:t>
      </w:r>
      <w:r w:rsidRPr="00CB26B4">
        <w:t>принципов добрососедских отношений в поликультурном обществе Республики Молдова.</w:t>
      </w:r>
    </w:p>
    <w:p w14:paraId="30B734F3" w14:textId="77777777" w:rsidR="00936DFE" w:rsidRDefault="00936DFE" w:rsidP="00936DFE">
      <w:pPr>
        <w:pStyle w:val="SingleTxtG"/>
      </w:pPr>
      <w:r>
        <w:rPr>
          <w:bCs/>
        </w:rPr>
        <w:t>94.</w:t>
      </w:r>
      <w:r>
        <w:rPr>
          <w:bCs/>
        </w:rPr>
        <w:tab/>
      </w:r>
      <w:r w:rsidRPr="00CB26B4">
        <w:rPr>
          <w:bCs/>
        </w:rPr>
        <w:t>В 2018</w:t>
      </w:r>
      <w:r>
        <w:rPr>
          <w:bCs/>
        </w:rPr>
        <w:t>–</w:t>
      </w:r>
      <w:r w:rsidRPr="00CB26B4">
        <w:rPr>
          <w:bCs/>
        </w:rPr>
        <w:t>2019 г</w:t>
      </w:r>
      <w:r>
        <w:rPr>
          <w:bCs/>
        </w:rPr>
        <w:t xml:space="preserve">одах </w:t>
      </w:r>
      <w:r w:rsidRPr="00CB26B4">
        <w:rPr>
          <w:bCs/>
        </w:rPr>
        <w:t>в целях обеспечения благоприятных условий для социолингвистической интеграции представителей этнических меньшинств был проведен ряд мероприятий: в июле 2018 г</w:t>
      </w:r>
      <w:r>
        <w:rPr>
          <w:bCs/>
        </w:rPr>
        <w:t>ода</w:t>
      </w:r>
      <w:r w:rsidRPr="00CB26B4">
        <w:rPr>
          <w:bCs/>
        </w:rPr>
        <w:t xml:space="preserve">. Национальный совет по </w:t>
      </w:r>
      <w:proofErr w:type="spellStart"/>
      <w:r w:rsidRPr="00CB26B4">
        <w:rPr>
          <w:bCs/>
        </w:rPr>
        <w:t>куррикулуму</w:t>
      </w:r>
      <w:proofErr w:type="spellEnd"/>
      <w:r w:rsidRPr="00CB26B4">
        <w:rPr>
          <w:bCs/>
        </w:rPr>
        <w:t xml:space="preserve"> (НСК) утвердил учебные планы нового поколения для начальных классов. </w:t>
      </w:r>
      <w:r w:rsidRPr="00CB26B4">
        <w:t>В 2019 г</w:t>
      </w:r>
      <w:r>
        <w:t>оду</w:t>
      </w:r>
      <w:r w:rsidRPr="00CB26B4">
        <w:t xml:space="preserve"> НСК утвердил модернизированные учебные программы для гимназического и лицейского уровней по дисциплине румынский язык и литература для учебных заведений с преподаванием на языках национальных меньшинств (гимназия и лицей); учебные программы по дисциплине русский язык и литература (гимназия и лицей); учебные программы по дисциплине украинский язык и литература (гимназия и лицей)</w:t>
      </w:r>
      <w:r w:rsidRPr="00CB26B4">
        <w:rPr>
          <w:bCs/>
        </w:rPr>
        <w:t>,</w:t>
      </w:r>
      <w:r>
        <w:rPr>
          <w:bCs/>
        </w:rPr>
        <w:t xml:space="preserve"> </w:t>
      </w:r>
      <w:r w:rsidRPr="00CB26B4">
        <w:t xml:space="preserve">учебные программы по дисциплине гагаузский язык и литература </w:t>
      </w:r>
      <w:r w:rsidRPr="00CB26B4">
        <w:rPr>
          <w:bCs/>
        </w:rPr>
        <w:t>(гимназия и лицей</w:t>
      </w:r>
      <w:r w:rsidRPr="00973D20">
        <w:t>),</w:t>
      </w:r>
      <w:r w:rsidRPr="00CB26B4">
        <w:rPr>
          <w:b/>
          <w:bCs/>
        </w:rPr>
        <w:t xml:space="preserve"> </w:t>
      </w:r>
      <w:r w:rsidRPr="00CB26B4">
        <w:t>учебные программы по</w:t>
      </w:r>
      <w:r>
        <w:t xml:space="preserve"> </w:t>
      </w:r>
      <w:r w:rsidRPr="00CB26B4">
        <w:t xml:space="preserve">дисциплине болгарский язык и литература </w:t>
      </w:r>
      <w:r w:rsidRPr="00CB26B4">
        <w:rPr>
          <w:bCs/>
        </w:rPr>
        <w:t xml:space="preserve">(гимназия и лицей), </w:t>
      </w:r>
      <w:r w:rsidRPr="00CB26B4">
        <w:t xml:space="preserve">учебные программы по дисциплине русский язык для школ с преподаванием на румынском языке (гимназия и лицей). </w:t>
      </w:r>
      <w:r w:rsidRPr="00CB26B4">
        <w:rPr>
          <w:bCs/>
        </w:rPr>
        <w:t>Разработанные учебные планы взаимосвязаны с национальными и европейскими документами политик, Общеевропейской системой компетенции владения иностранным языком и направлены на повышение качества изучения румынского языка, общения на родном языке, содействуя</w:t>
      </w:r>
      <w:r>
        <w:rPr>
          <w:bCs/>
        </w:rPr>
        <w:t xml:space="preserve"> </w:t>
      </w:r>
      <w:r w:rsidRPr="00CB26B4">
        <w:rPr>
          <w:bCs/>
        </w:rPr>
        <w:t>социальной сплоченности и межкультурной коммуникации. В</w:t>
      </w:r>
      <w:r>
        <w:t> </w:t>
      </w:r>
      <w:r w:rsidRPr="00CB26B4">
        <w:t>2019</w:t>
      </w:r>
      <w:r>
        <w:t> </w:t>
      </w:r>
      <w:r w:rsidRPr="00CB26B4">
        <w:t>г</w:t>
      </w:r>
      <w:r>
        <w:t>оду</w:t>
      </w:r>
      <w:r w:rsidRPr="00CB26B4">
        <w:t xml:space="preserve"> были разработаны учебники по украинскому, гагаузскому и болгарскому языкам и литературе для </w:t>
      </w:r>
      <w:r w:rsidR="0092680A">
        <w:br/>
      </w:r>
      <w:r>
        <w:t>1–2</w:t>
      </w:r>
      <w:r w:rsidRPr="00CB26B4">
        <w:t xml:space="preserve"> классов. </w:t>
      </w:r>
      <w:r w:rsidRPr="00CB26B4">
        <w:rPr>
          <w:bCs/>
        </w:rPr>
        <w:t>В период с июля по август 2019 г</w:t>
      </w:r>
      <w:r>
        <w:rPr>
          <w:bCs/>
        </w:rPr>
        <w:t>од</w:t>
      </w:r>
      <w:r w:rsidRPr="00CB26B4">
        <w:rPr>
          <w:bCs/>
        </w:rPr>
        <w:t xml:space="preserve"> MОКИ организовало серию обучающих семинаров для руководителей общеобразовательных учреждений и преподавателей по вопросам внедрения новых учебных программ. </w:t>
      </w:r>
    </w:p>
    <w:p w14:paraId="7F770DBD" w14:textId="77777777" w:rsidR="00936DFE" w:rsidRDefault="00936DFE" w:rsidP="00936DFE">
      <w:pPr>
        <w:pStyle w:val="SingleTxtG"/>
        <w:rPr>
          <w:bCs/>
        </w:rPr>
      </w:pPr>
      <w:r>
        <w:t>95.</w:t>
      </w:r>
      <w:r>
        <w:tab/>
      </w:r>
      <w:r w:rsidRPr="00CB26B4">
        <w:t>Ежегодно МОКИ выделяет соответствующие финансовые средства на разработку и издание учебников для украинцев, гагаузов, болгар. В 2017 г</w:t>
      </w:r>
      <w:r>
        <w:t>оду</w:t>
      </w:r>
      <w:r w:rsidRPr="00CB26B4">
        <w:t xml:space="preserve"> было выделено 1</w:t>
      </w:r>
      <w:r>
        <w:t> </w:t>
      </w:r>
      <w:r w:rsidRPr="00CB26B4">
        <w:t>948</w:t>
      </w:r>
      <w:r>
        <w:t> </w:t>
      </w:r>
      <w:r w:rsidRPr="00CB26B4">
        <w:t xml:space="preserve">000,00 леев на учебники на гагаузском, украинском и болгарском языках для </w:t>
      </w:r>
      <w:r>
        <w:rPr>
          <w:color w:val="000000" w:themeColor="text1"/>
        </w:rPr>
        <w:t>четвертого</w:t>
      </w:r>
      <w:r w:rsidRPr="00AA4C83">
        <w:rPr>
          <w:color w:val="000000" w:themeColor="text1"/>
        </w:rPr>
        <w:t xml:space="preserve"> и </w:t>
      </w:r>
      <w:r>
        <w:rPr>
          <w:color w:val="000000" w:themeColor="text1"/>
        </w:rPr>
        <w:t>шестого</w:t>
      </w:r>
      <w:r w:rsidRPr="00AA4C83">
        <w:rPr>
          <w:color w:val="000000" w:themeColor="text1"/>
        </w:rPr>
        <w:t xml:space="preserve"> </w:t>
      </w:r>
      <w:r w:rsidRPr="00CB26B4">
        <w:t>классов. В 2018 г</w:t>
      </w:r>
      <w:r>
        <w:t>оду</w:t>
      </w:r>
      <w:r w:rsidRPr="00CB26B4">
        <w:t xml:space="preserve"> для учебников на гагаузском, украинском и болгарском языках для </w:t>
      </w:r>
      <w:r>
        <w:t xml:space="preserve">первого </w:t>
      </w:r>
      <w:r w:rsidRPr="00CB26B4">
        <w:t xml:space="preserve">и </w:t>
      </w:r>
      <w:r>
        <w:t>седьмого</w:t>
      </w:r>
      <w:r w:rsidRPr="00CB26B4">
        <w:t xml:space="preserve"> классов было выделено 1</w:t>
      </w:r>
      <w:r>
        <w:t> </w:t>
      </w:r>
      <w:r w:rsidRPr="00CB26B4">
        <w:t>233</w:t>
      </w:r>
      <w:r>
        <w:t> </w:t>
      </w:r>
      <w:r w:rsidRPr="00CB26B4">
        <w:t>100,00 леев. Всего в 2016</w:t>
      </w:r>
      <w:r>
        <w:t>–</w:t>
      </w:r>
      <w:r w:rsidRPr="00CB26B4">
        <w:t>2018 г</w:t>
      </w:r>
      <w:r>
        <w:t>одах</w:t>
      </w:r>
      <w:r w:rsidRPr="00CB26B4">
        <w:t xml:space="preserve"> из государственного бюджета было выделено 5 051 600,00 леев для издания учебников на родном языке.</w:t>
      </w:r>
    </w:p>
    <w:p w14:paraId="15570619" w14:textId="77777777" w:rsidR="00936DFE" w:rsidRDefault="00936DFE" w:rsidP="00936DFE">
      <w:pPr>
        <w:pStyle w:val="SingleTxtG"/>
      </w:pPr>
      <w:r>
        <w:t>96.</w:t>
      </w:r>
      <w:r>
        <w:tab/>
      </w:r>
      <w:r w:rsidRPr="00CB26B4">
        <w:t>В 2018 г</w:t>
      </w:r>
      <w:r>
        <w:t>оду</w:t>
      </w:r>
      <w:r w:rsidRPr="00CB26B4">
        <w:t xml:space="preserve"> в АТО Гагаузия было выделено 10 499,2 млн леев, в 2019 г</w:t>
      </w:r>
      <w:r>
        <w:t>оду</w:t>
      </w:r>
      <w:r w:rsidRPr="00CB26B4">
        <w:t xml:space="preserve"> </w:t>
      </w:r>
      <w:r>
        <w:t>—</w:t>
      </w:r>
      <w:r w:rsidRPr="00CB26B4">
        <w:t xml:space="preserve"> 11 105,4 млн леев. В </w:t>
      </w:r>
      <w:proofErr w:type="spellStart"/>
      <w:r w:rsidRPr="00CB26B4">
        <w:t>Тараклийском</w:t>
      </w:r>
      <w:proofErr w:type="spellEnd"/>
      <w:r w:rsidRPr="00CB26B4">
        <w:t xml:space="preserve"> районе в 2018 г</w:t>
      </w:r>
      <w:r>
        <w:t>оду</w:t>
      </w:r>
      <w:r w:rsidRPr="00CB26B4">
        <w:t xml:space="preserve"> было</w:t>
      </w:r>
      <w:r>
        <w:t xml:space="preserve"> </w:t>
      </w:r>
      <w:r w:rsidRPr="00CB26B4">
        <w:t>выделено 2598,5 млн леев, а в 2019 г</w:t>
      </w:r>
      <w:r>
        <w:t>оду</w:t>
      </w:r>
      <w:r w:rsidRPr="00CB26B4">
        <w:t xml:space="preserve"> </w:t>
      </w:r>
      <w:r w:rsidRPr="007760BF">
        <w:t>—</w:t>
      </w:r>
      <w:r w:rsidRPr="00CB26B4">
        <w:t xml:space="preserve"> 2603,4 млн леев. В 2019 г</w:t>
      </w:r>
      <w:r>
        <w:t>оду</w:t>
      </w:r>
      <w:r w:rsidRPr="00CB26B4">
        <w:t xml:space="preserve"> </w:t>
      </w:r>
      <w:proofErr w:type="gramStart"/>
      <w:r w:rsidRPr="00CB26B4">
        <w:t>для густонаселенных национальными меньшинствами</w:t>
      </w:r>
      <w:proofErr w:type="gramEnd"/>
      <w:r w:rsidRPr="00CB26B4">
        <w:t xml:space="preserve"> северных районов (</w:t>
      </w:r>
      <w:proofErr w:type="spellStart"/>
      <w:r w:rsidRPr="00CB26B4">
        <w:t>Бэлць</w:t>
      </w:r>
      <w:proofErr w:type="spellEnd"/>
      <w:r w:rsidRPr="00CB26B4">
        <w:t xml:space="preserve">, </w:t>
      </w:r>
      <w:proofErr w:type="spellStart"/>
      <w:r w:rsidRPr="00CB26B4">
        <w:t>Рышкань</w:t>
      </w:r>
      <w:proofErr w:type="spellEnd"/>
      <w:r w:rsidRPr="00CB26B4">
        <w:t>, Окница) было выделено 2732,2</w:t>
      </w:r>
      <w:r>
        <w:t> </w:t>
      </w:r>
      <w:r w:rsidRPr="00CB26B4">
        <w:t>млн леев на изучение родного языка.</w:t>
      </w:r>
    </w:p>
    <w:p w14:paraId="46919911" w14:textId="77777777" w:rsidR="00936DFE" w:rsidRDefault="00936DFE" w:rsidP="00936DFE">
      <w:pPr>
        <w:pStyle w:val="SingleTxtG"/>
      </w:pPr>
      <w:r>
        <w:t>97.</w:t>
      </w:r>
      <w:r>
        <w:tab/>
      </w:r>
      <w:r w:rsidRPr="00CB26B4">
        <w:t xml:space="preserve">Преподаватели языков национальных меньшинств первоначально обучаются в следующих учебных заведениях страны: </w:t>
      </w:r>
      <w:proofErr w:type="spellStart"/>
      <w:r w:rsidRPr="00CB26B4">
        <w:t>Комратском</w:t>
      </w:r>
      <w:proofErr w:type="spellEnd"/>
      <w:r w:rsidRPr="00CB26B4">
        <w:t xml:space="preserve"> государственном университете, </w:t>
      </w:r>
      <w:proofErr w:type="spellStart"/>
      <w:r w:rsidRPr="00CB26B4">
        <w:t>Тараклийском</w:t>
      </w:r>
      <w:proofErr w:type="spellEnd"/>
      <w:r w:rsidRPr="00CB26B4">
        <w:t xml:space="preserve"> государственном университете, Государственном педагогическом университете им. Иона </w:t>
      </w:r>
      <w:proofErr w:type="spellStart"/>
      <w:r w:rsidRPr="00CB26B4">
        <w:t>Крянгэ</w:t>
      </w:r>
      <w:proofErr w:type="spellEnd"/>
      <w:r w:rsidRPr="00CB26B4">
        <w:t xml:space="preserve">, Государственном университете Молдовы, </w:t>
      </w:r>
      <w:proofErr w:type="spellStart"/>
      <w:r w:rsidRPr="00CB26B4">
        <w:t>Кишинэу</w:t>
      </w:r>
      <w:proofErr w:type="spellEnd"/>
      <w:r w:rsidRPr="00CB26B4">
        <w:t xml:space="preserve">, Государственном университете им. Алеку Руссо, </w:t>
      </w:r>
      <w:proofErr w:type="spellStart"/>
      <w:r w:rsidRPr="00CB26B4">
        <w:t>Бэлць</w:t>
      </w:r>
      <w:proofErr w:type="spellEnd"/>
      <w:r w:rsidRPr="00CB26B4">
        <w:t>, Педагогическом колледже, Комрат. MОКИ предоставляет бюджетные места для начальной подготовки педагогических кадров.</w:t>
      </w:r>
    </w:p>
    <w:p w14:paraId="5AA9EC8D" w14:textId="77777777" w:rsidR="00936DFE" w:rsidRDefault="00936DFE" w:rsidP="00936DFE">
      <w:pPr>
        <w:pStyle w:val="SingleTxtG"/>
      </w:pPr>
      <w:r>
        <w:t>98.</w:t>
      </w:r>
      <w:r>
        <w:tab/>
      </w:r>
      <w:r w:rsidRPr="00CB26B4">
        <w:t>В период с 5 по 10 августа 2019 г</w:t>
      </w:r>
      <w:r>
        <w:t>ода</w:t>
      </w:r>
      <w:r w:rsidRPr="00CB26B4">
        <w:t xml:space="preserve"> </w:t>
      </w:r>
      <w:r w:rsidRPr="00CB26B4">
        <w:rPr>
          <w:lang w:val="es-ES"/>
        </w:rPr>
        <w:t>M</w:t>
      </w:r>
      <w:r w:rsidRPr="00CB26B4">
        <w:t>ОКИ организовало обучающие сессии для 71 местного методиста</w:t>
      </w:r>
      <w:r>
        <w:t xml:space="preserve"> </w:t>
      </w:r>
      <w:r w:rsidRPr="00CB26B4">
        <w:t xml:space="preserve">в целях внедрения </w:t>
      </w:r>
      <w:proofErr w:type="spellStart"/>
      <w:r w:rsidRPr="00CB26B4">
        <w:t>куррикулумов</w:t>
      </w:r>
      <w:proofErr w:type="spellEnd"/>
      <w:r w:rsidRPr="00CB26B4">
        <w:t>, утвержденных НСК 5</w:t>
      </w:r>
      <w:r>
        <w:t> </w:t>
      </w:r>
      <w:r w:rsidRPr="00CB26B4">
        <w:t>июля 2019 г</w:t>
      </w:r>
      <w:r>
        <w:t>ода</w:t>
      </w:r>
      <w:r w:rsidRPr="00CB26B4">
        <w:t>, в том числе: по русскому языку и литературе (язык обучения),</w:t>
      </w:r>
      <w:r>
        <w:t xml:space="preserve"> </w:t>
      </w:r>
      <w:r w:rsidRPr="00CB26B4">
        <w:t>30</w:t>
      </w:r>
      <w:r>
        <w:t> </w:t>
      </w:r>
      <w:r w:rsidRPr="00CB26B4">
        <w:t xml:space="preserve">местных методистов </w:t>
      </w:r>
      <w:r>
        <w:t>—</w:t>
      </w:r>
      <w:r w:rsidRPr="00CB26B4">
        <w:t xml:space="preserve"> по гагаузскому языку и литературе, 30 местных методистов</w:t>
      </w:r>
      <w:r>
        <w:rPr>
          <w:lang w:val="en-US"/>
        </w:rPr>
        <w:t> </w:t>
      </w:r>
      <w:r>
        <w:t>—</w:t>
      </w:r>
      <w:r w:rsidRPr="00CB26B4">
        <w:t xml:space="preserve"> по украинскому языку и литературе и 25 местных методистов </w:t>
      </w:r>
      <w:r>
        <w:t>—</w:t>
      </w:r>
      <w:r w:rsidRPr="00CB26B4">
        <w:t xml:space="preserve"> по</w:t>
      </w:r>
      <w:r>
        <w:rPr>
          <w:lang w:val="en-US"/>
        </w:rPr>
        <w:t> </w:t>
      </w:r>
      <w:r w:rsidRPr="00CB26B4">
        <w:t>болгарскому языку и литературе (гимназическое и лицейское образование). В свою очередь, местные методисты в августе 2019 г</w:t>
      </w:r>
      <w:r>
        <w:t>ода</w:t>
      </w:r>
      <w:r w:rsidRPr="00CB26B4">
        <w:t xml:space="preserve"> организовали подготовку учителей для общеобразовательных учреждений, которые с 1 сентября приступили к внедрению новых </w:t>
      </w:r>
      <w:proofErr w:type="spellStart"/>
      <w:r w:rsidRPr="00CB26B4">
        <w:t>куррикулумов</w:t>
      </w:r>
      <w:proofErr w:type="spellEnd"/>
      <w:r w:rsidRPr="00CB26B4">
        <w:t>.</w:t>
      </w:r>
    </w:p>
    <w:p w14:paraId="43E4D316" w14:textId="77777777" w:rsidR="00936DFE" w:rsidRPr="00CB26B4" w:rsidRDefault="00936DFE" w:rsidP="00936DFE">
      <w:pPr>
        <w:pStyle w:val="H4G"/>
      </w:pPr>
      <w:r>
        <w:lastRenderedPageBreak/>
        <w:tab/>
      </w:r>
      <w:r>
        <w:tab/>
      </w:r>
      <w:r w:rsidRPr="00CB26B4">
        <w:t>Доступ к профессионально-техническому образованию</w:t>
      </w:r>
    </w:p>
    <w:p w14:paraId="3C82C21E" w14:textId="77777777" w:rsidR="00936DFE" w:rsidRPr="00CB26B4" w:rsidRDefault="00936DFE" w:rsidP="00936DFE">
      <w:pPr>
        <w:pStyle w:val="SingleTxtG"/>
      </w:pPr>
      <w:r>
        <w:t>99.</w:t>
      </w:r>
      <w:r>
        <w:tab/>
      </w:r>
      <w:r w:rsidRPr="00CB26B4">
        <w:t>В 2018</w:t>
      </w:r>
      <w:r>
        <w:t>–</w:t>
      </w:r>
      <w:r w:rsidRPr="00CB26B4">
        <w:t>2019 учебном году сеть учебных заведений профессионально-технического образования включала 89 единиц, из которых 13</w:t>
      </w:r>
      <w:r>
        <w:t xml:space="preserve"> </w:t>
      </w:r>
      <w:r w:rsidRPr="00973D20">
        <w:rPr>
          <w:lang w:val="ro-RO"/>
        </w:rPr>
        <w:t>образцовы</w:t>
      </w:r>
      <w:r w:rsidRPr="00973D20">
        <w:t>х</w:t>
      </w:r>
      <w:r w:rsidRPr="00973D20">
        <w:rPr>
          <w:lang w:val="ro-RO"/>
        </w:rPr>
        <w:t xml:space="preserve"> центр</w:t>
      </w:r>
      <w:proofErr w:type="spellStart"/>
      <w:r w:rsidRPr="00973D20">
        <w:t>ов</w:t>
      </w:r>
      <w:proofErr w:type="spellEnd"/>
      <w:r w:rsidRPr="00CB26B4">
        <w:rPr>
          <w:i/>
          <w:iCs/>
        </w:rPr>
        <w:t xml:space="preserve"> </w:t>
      </w:r>
      <w:r w:rsidRPr="00CB26B4">
        <w:t>профессионально-технического образования</w:t>
      </w:r>
      <w:r>
        <w:t xml:space="preserve"> </w:t>
      </w:r>
      <w:r w:rsidRPr="00CB26B4">
        <w:t xml:space="preserve">(в том числе </w:t>
      </w:r>
      <w:r>
        <w:t>одно</w:t>
      </w:r>
      <w:r w:rsidRPr="00CB26B4">
        <w:t xml:space="preserve"> негосударственное учреждение), 34 колледжа (в том числе </w:t>
      </w:r>
      <w:r>
        <w:t>пять</w:t>
      </w:r>
      <w:r w:rsidRPr="00CB26B4">
        <w:t xml:space="preserve"> негосударственных учреждений) и</w:t>
      </w:r>
      <w:r>
        <w:rPr>
          <w:lang w:val="en-US"/>
        </w:rPr>
        <w:t> </w:t>
      </w:r>
      <w:r w:rsidRPr="00CB26B4">
        <w:t>42</w:t>
      </w:r>
      <w:r>
        <w:rPr>
          <w:lang w:val="en-US"/>
        </w:rPr>
        <w:t> </w:t>
      </w:r>
      <w:r w:rsidRPr="00CB26B4">
        <w:t>профессиональных училища.</w:t>
      </w:r>
    </w:p>
    <w:p w14:paraId="7F5DCB8A" w14:textId="77777777" w:rsidR="00936DFE" w:rsidRPr="00CB26B4" w:rsidRDefault="00936DFE" w:rsidP="00936DFE">
      <w:pPr>
        <w:pStyle w:val="H23G"/>
      </w:pPr>
      <w:r>
        <w:tab/>
      </w:r>
      <w:r>
        <w:tab/>
      </w:r>
      <w:r w:rsidRPr="004B34D1">
        <w:rPr>
          <w:b w:val="0"/>
          <w:bCs/>
        </w:rPr>
        <w:t xml:space="preserve">Таблица 5 </w:t>
      </w:r>
      <w:r w:rsidRPr="004B34D1">
        <w:rPr>
          <w:b w:val="0"/>
          <w:bCs/>
        </w:rPr>
        <w:br/>
      </w:r>
      <w:r w:rsidRPr="00CB26B4">
        <w:t>Учащиеся средних профессиональных учебных заведений по языку обучения</w:t>
      </w:r>
    </w:p>
    <w:tbl>
      <w:tblPr>
        <w:tblW w:w="7370" w:type="dxa"/>
        <w:tblInd w:w="1134" w:type="dxa"/>
        <w:tblLayout w:type="fixed"/>
        <w:tblCellMar>
          <w:left w:w="0" w:type="dxa"/>
          <w:right w:w="0" w:type="dxa"/>
        </w:tblCellMar>
        <w:tblLook w:val="00A0" w:firstRow="1" w:lastRow="0" w:firstColumn="1" w:lastColumn="0" w:noHBand="0" w:noVBand="0"/>
      </w:tblPr>
      <w:tblGrid>
        <w:gridCol w:w="2465"/>
        <w:gridCol w:w="1593"/>
        <w:gridCol w:w="1483"/>
        <w:gridCol w:w="1829"/>
      </w:tblGrid>
      <w:tr w:rsidR="00936DFE" w:rsidRPr="004B34D1" w14:paraId="47B06370" w14:textId="77777777" w:rsidTr="00044DA6">
        <w:trPr>
          <w:tblHeader/>
        </w:trPr>
        <w:tc>
          <w:tcPr>
            <w:tcW w:w="2465" w:type="dxa"/>
            <w:tcBorders>
              <w:top w:val="single" w:sz="4" w:space="0" w:color="auto"/>
              <w:bottom w:val="single" w:sz="12" w:space="0" w:color="auto"/>
            </w:tcBorders>
            <w:shd w:val="clear" w:color="auto" w:fill="auto"/>
            <w:vAlign w:val="bottom"/>
            <w:hideMark/>
          </w:tcPr>
          <w:p w14:paraId="4C567ABF" w14:textId="77777777" w:rsidR="00936DFE" w:rsidRPr="004B34D1" w:rsidRDefault="00936DFE" w:rsidP="00044DA6">
            <w:pPr>
              <w:suppressAutoHyphens w:val="0"/>
              <w:spacing w:before="80" w:after="80" w:line="200" w:lineRule="exact"/>
              <w:rPr>
                <w:rFonts w:cs="Times New Roman"/>
                <w:i/>
                <w:sz w:val="16"/>
              </w:rPr>
            </w:pPr>
            <w:r w:rsidRPr="004B34D1">
              <w:rPr>
                <w:rFonts w:cs="Times New Roman"/>
                <w:i/>
                <w:sz w:val="16"/>
              </w:rPr>
              <w:t>Учебные годы</w:t>
            </w:r>
          </w:p>
        </w:tc>
        <w:tc>
          <w:tcPr>
            <w:tcW w:w="1593" w:type="dxa"/>
            <w:tcBorders>
              <w:top w:val="single" w:sz="4" w:space="0" w:color="auto"/>
              <w:bottom w:val="single" w:sz="12" w:space="0" w:color="auto"/>
            </w:tcBorders>
            <w:shd w:val="clear" w:color="auto" w:fill="auto"/>
            <w:vAlign w:val="bottom"/>
            <w:hideMark/>
          </w:tcPr>
          <w:p w14:paraId="2CAFD6EB" w14:textId="77777777" w:rsidR="00936DFE" w:rsidRPr="004B34D1" w:rsidRDefault="00936DFE" w:rsidP="00044DA6">
            <w:pPr>
              <w:suppressAutoHyphens w:val="0"/>
              <w:spacing w:before="80" w:after="80" w:line="200" w:lineRule="exact"/>
              <w:jc w:val="right"/>
              <w:rPr>
                <w:rFonts w:cs="Times New Roman"/>
                <w:i/>
                <w:sz w:val="16"/>
              </w:rPr>
            </w:pPr>
            <w:r w:rsidRPr="004B34D1">
              <w:rPr>
                <w:rFonts w:cs="Times New Roman"/>
                <w:i/>
                <w:sz w:val="16"/>
              </w:rPr>
              <w:t>2016/17</w:t>
            </w:r>
          </w:p>
        </w:tc>
        <w:tc>
          <w:tcPr>
            <w:tcW w:w="1483" w:type="dxa"/>
            <w:tcBorders>
              <w:top w:val="single" w:sz="4" w:space="0" w:color="auto"/>
              <w:bottom w:val="single" w:sz="12" w:space="0" w:color="auto"/>
            </w:tcBorders>
            <w:shd w:val="clear" w:color="auto" w:fill="auto"/>
            <w:vAlign w:val="bottom"/>
            <w:hideMark/>
          </w:tcPr>
          <w:p w14:paraId="70D4AD91" w14:textId="77777777" w:rsidR="00936DFE" w:rsidRPr="004B34D1" w:rsidRDefault="00936DFE" w:rsidP="00044DA6">
            <w:pPr>
              <w:suppressAutoHyphens w:val="0"/>
              <w:spacing w:before="80" w:after="80" w:line="200" w:lineRule="exact"/>
              <w:jc w:val="right"/>
              <w:rPr>
                <w:rFonts w:cs="Times New Roman"/>
                <w:i/>
                <w:sz w:val="16"/>
              </w:rPr>
            </w:pPr>
            <w:r w:rsidRPr="004B34D1">
              <w:rPr>
                <w:rFonts w:cs="Times New Roman"/>
                <w:i/>
                <w:sz w:val="16"/>
              </w:rPr>
              <w:t>2017/18</w:t>
            </w:r>
          </w:p>
        </w:tc>
        <w:tc>
          <w:tcPr>
            <w:tcW w:w="1829" w:type="dxa"/>
            <w:tcBorders>
              <w:top w:val="single" w:sz="4" w:space="0" w:color="auto"/>
              <w:bottom w:val="single" w:sz="12" w:space="0" w:color="auto"/>
            </w:tcBorders>
            <w:shd w:val="clear" w:color="auto" w:fill="auto"/>
            <w:vAlign w:val="bottom"/>
            <w:hideMark/>
          </w:tcPr>
          <w:p w14:paraId="2A13765C" w14:textId="77777777" w:rsidR="00936DFE" w:rsidRPr="004B34D1" w:rsidRDefault="00936DFE" w:rsidP="00044DA6">
            <w:pPr>
              <w:suppressAutoHyphens w:val="0"/>
              <w:spacing w:before="80" w:after="80" w:line="200" w:lineRule="exact"/>
              <w:jc w:val="right"/>
              <w:rPr>
                <w:rFonts w:cs="Times New Roman"/>
                <w:i/>
                <w:sz w:val="16"/>
              </w:rPr>
            </w:pPr>
            <w:r w:rsidRPr="004B34D1">
              <w:rPr>
                <w:rFonts w:cs="Times New Roman"/>
                <w:i/>
                <w:sz w:val="16"/>
              </w:rPr>
              <w:t>2018/19</w:t>
            </w:r>
          </w:p>
        </w:tc>
      </w:tr>
      <w:tr w:rsidR="00936DFE" w:rsidRPr="004B34D1" w14:paraId="2A3ECF45" w14:textId="77777777" w:rsidTr="00044DA6">
        <w:tc>
          <w:tcPr>
            <w:tcW w:w="2465" w:type="dxa"/>
            <w:tcBorders>
              <w:top w:val="single" w:sz="12" w:space="0" w:color="auto"/>
            </w:tcBorders>
            <w:shd w:val="clear" w:color="auto" w:fill="auto"/>
            <w:hideMark/>
          </w:tcPr>
          <w:p w14:paraId="54E3AC7C" w14:textId="77777777" w:rsidR="00936DFE" w:rsidRPr="004B34D1" w:rsidRDefault="00936DFE" w:rsidP="00044DA6">
            <w:pPr>
              <w:suppressAutoHyphens w:val="0"/>
              <w:spacing w:before="40" w:after="40" w:line="220" w:lineRule="exact"/>
              <w:rPr>
                <w:rFonts w:cs="Times New Roman"/>
                <w:sz w:val="18"/>
              </w:rPr>
            </w:pPr>
            <w:r w:rsidRPr="004B34D1">
              <w:rPr>
                <w:rFonts w:cs="Times New Roman"/>
                <w:sz w:val="18"/>
              </w:rPr>
              <w:t>Всего учащихся</w:t>
            </w:r>
          </w:p>
        </w:tc>
        <w:tc>
          <w:tcPr>
            <w:tcW w:w="1593" w:type="dxa"/>
            <w:tcBorders>
              <w:top w:val="single" w:sz="12" w:space="0" w:color="auto"/>
            </w:tcBorders>
            <w:shd w:val="clear" w:color="auto" w:fill="auto"/>
            <w:vAlign w:val="bottom"/>
            <w:hideMark/>
          </w:tcPr>
          <w:p w14:paraId="3D5CE0FF" w14:textId="77777777" w:rsidR="00936DFE" w:rsidRPr="004B34D1" w:rsidRDefault="00936DFE" w:rsidP="00044DA6">
            <w:pPr>
              <w:suppressAutoHyphens w:val="0"/>
              <w:spacing w:before="40" w:after="40" w:line="220" w:lineRule="exact"/>
              <w:jc w:val="right"/>
              <w:rPr>
                <w:rFonts w:cs="Times New Roman"/>
                <w:sz w:val="18"/>
              </w:rPr>
            </w:pPr>
            <w:r w:rsidRPr="004B34D1">
              <w:rPr>
                <w:rFonts w:cs="Times New Roman"/>
                <w:sz w:val="18"/>
              </w:rPr>
              <w:t>18 980</w:t>
            </w:r>
            <w:r>
              <w:rPr>
                <w:rFonts w:cs="Times New Roman"/>
                <w:sz w:val="18"/>
              </w:rPr>
              <w:t xml:space="preserve"> </w:t>
            </w:r>
            <w:r w:rsidRPr="004B34D1">
              <w:rPr>
                <w:rFonts w:cs="Times New Roman"/>
                <w:sz w:val="18"/>
              </w:rPr>
              <w:t>(100%)</w:t>
            </w:r>
          </w:p>
        </w:tc>
        <w:tc>
          <w:tcPr>
            <w:tcW w:w="1483" w:type="dxa"/>
            <w:tcBorders>
              <w:top w:val="single" w:sz="12" w:space="0" w:color="auto"/>
            </w:tcBorders>
            <w:shd w:val="clear" w:color="auto" w:fill="auto"/>
            <w:vAlign w:val="bottom"/>
            <w:hideMark/>
          </w:tcPr>
          <w:p w14:paraId="2F306936" w14:textId="77777777" w:rsidR="00936DFE" w:rsidRPr="004B34D1" w:rsidRDefault="00936DFE" w:rsidP="00044DA6">
            <w:pPr>
              <w:suppressAutoHyphens w:val="0"/>
              <w:spacing w:before="40" w:after="40" w:line="220" w:lineRule="exact"/>
              <w:jc w:val="right"/>
              <w:rPr>
                <w:rFonts w:cs="Times New Roman"/>
                <w:sz w:val="18"/>
              </w:rPr>
            </w:pPr>
            <w:r w:rsidRPr="004B34D1">
              <w:rPr>
                <w:rFonts w:cs="Times New Roman"/>
                <w:sz w:val="18"/>
              </w:rPr>
              <w:t>16 948 (100%)</w:t>
            </w:r>
          </w:p>
        </w:tc>
        <w:tc>
          <w:tcPr>
            <w:tcW w:w="1829" w:type="dxa"/>
            <w:tcBorders>
              <w:top w:val="single" w:sz="12" w:space="0" w:color="auto"/>
            </w:tcBorders>
            <w:shd w:val="clear" w:color="auto" w:fill="auto"/>
            <w:vAlign w:val="bottom"/>
            <w:hideMark/>
          </w:tcPr>
          <w:p w14:paraId="6F40F689" w14:textId="77777777" w:rsidR="00936DFE" w:rsidRPr="004B34D1" w:rsidRDefault="00936DFE" w:rsidP="00044DA6">
            <w:pPr>
              <w:suppressAutoHyphens w:val="0"/>
              <w:spacing w:before="40" w:after="40" w:line="220" w:lineRule="exact"/>
              <w:jc w:val="right"/>
              <w:rPr>
                <w:rFonts w:cs="Times New Roman"/>
                <w:sz w:val="18"/>
              </w:rPr>
            </w:pPr>
            <w:r w:rsidRPr="004B34D1">
              <w:rPr>
                <w:rFonts w:cs="Times New Roman"/>
                <w:sz w:val="18"/>
              </w:rPr>
              <w:t>15 306 (100%)</w:t>
            </w:r>
          </w:p>
        </w:tc>
      </w:tr>
      <w:tr w:rsidR="00936DFE" w:rsidRPr="004B34D1" w14:paraId="01AE87E0" w14:textId="77777777" w:rsidTr="00044DA6">
        <w:tc>
          <w:tcPr>
            <w:tcW w:w="2465" w:type="dxa"/>
            <w:shd w:val="clear" w:color="auto" w:fill="auto"/>
            <w:hideMark/>
          </w:tcPr>
          <w:p w14:paraId="46A25A51" w14:textId="77777777" w:rsidR="00936DFE" w:rsidRPr="004B34D1" w:rsidRDefault="00936DFE" w:rsidP="00044DA6">
            <w:pPr>
              <w:suppressAutoHyphens w:val="0"/>
              <w:spacing w:before="40" w:after="40" w:line="220" w:lineRule="exact"/>
              <w:rPr>
                <w:rFonts w:cs="Times New Roman"/>
                <w:sz w:val="18"/>
              </w:rPr>
            </w:pPr>
            <w:r w:rsidRPr="004B34D1">
              <w:rPr>
                <w:rFonts w:cs="Times New Roman"/>
                <w:sz w:val="18"/>
              </w:rPr>
              <w:t>Румынский</w:t>
            </w:r>
          </w:p>
        </w:tc>
        <w:tc>
          <w:tcPr>
            <w:tcW w:w="1593" w:type="dxa"/>
            <w:shd w:val="clear" w:color="auto" w:fill="auto"/>
            <w:vAlign w:val="bottom"/>
            <w:hideMark/>
          </w:tcPr>
          <w:p w14:paraId="5D6F9D81" w14:textId="77777777" w:rsidR="00936DFE" w:rsidRPr="004B34D1" w:rsidRDefault="00936DFE" w:rsidP="00044DA6">
            <w:pPr>
              <w:suppressAutoHyphens w:val="0"/>
              <w:spacing w:before="40" w:after="40" w:line="220" w:lineRule="exact"/>
              <w:jc w:val="right"/>
              <w:rPr>
                <w:rFonts w:cs="Times New Roman"/>
                <w:sz w:val="18"/>
              </w:rPr>
            </w:pPr>
            <w:r w:rsidRPr="004B34D1">
              <w:rPr>
                <w:rFonts w:cs="Times New Roman"/>
                <w:sz w:val="18"/>
              </w:rPr>
              <w:t>16 642 (88%)</w:t>
            </w:r>
          </w:p>
        </w:tc>
        <w:tc>
          <w:tcPr>
            <w:tcW w:w="1483" w:type="dxa"/>
            <w:shd w:val="clear" w:color="auto" w:fill="auto"/>
            <w:vAlign w:val="bottom"/>
            <w:hideMark/>
          </w:tcPr>
          <w:p w14:paraId="1DFA5407" w14:textId="77777777" w:rsidR="00936DFE" w:rsidRPr="004B34D1" w:rsidRDefault="00936DFE" w:rsidP="00044DA6">
            <w:pPr>
              <w:suppressAutoHyphens w:val="0"/>
              <w:spacing w:before="40" w:after="40" w:line="220" w:lineRule="exact"/>
              <w:jc w:val="right"/>
              <w:rPr>
                <w:rFonts w:cs="Times New Roman"/>
                <w:sz w:val="18"/>
              </w:rPr>
            </w:pPr>
            <w:r w:rsidRPr="004B34D1">
              <w:rPr>
                <w:rFonts w:cs="Times New Roman"/>
                <w:sz w:val="18"/>
              </w:rPr>
              <w:t>15 160</w:t>
            </w:r>
            <w:r>
              <w:rPr>
                <w:rFonts w:cs="Times New Roman"/>
                <w:sz w:val="18"/>
              </w:rPr>
              <w:t xml:space="preserve"> </w:t>
            </w:r>
            <w:r w:rsidRPr="004B34D1">
              <w:rPr>
                <w:rFonts w:cs="Times New Roman"/>
                <w:sz w:val="18"/>
              </w:rPr>
              <w:t>(89%)</w:t>
            </w:r>
          </w:p>
        </w:tc>
        <w:tc>
          <w:tcPr>
            <w:tcW w:w="1829" w:type="dxa"/>
            <w:shd w:val="clear" w:color="auto" w:fill="auto"/>
            <w:vAlign w:val="bottom"/>
            <w:hideMark/>
          </w:tcPr>
          <w:p w14:paraId="2776552E" w14:textId="77777777" w:rsidR="00936DFE" w:rsidRPr="004B34D1" w:rsidRDefault="00936DFE" w:rsidP="00044DA6">
            <w:pPr>
              <w:suppressAutoHyphens w:val="0"/>
              <w:spacing w:before="40" w:after="40" w:line="220" w:lineRule="exact"/>
              <w:jc w:val="right"/>
              <w:rPr>
                <w:rFonts w:cs="Times New Roman"/>
                <w:sz w:val="18"/>
              </w:rPr>
            </w:pPr>
            <w:r w:rsidRPr="004B34D1">
              <w:rPr>
                <w:rFonts w:cs="Times New Roman"/>
                <w:sz w:val="18"/>
              </w:rPr>
              <w:t>13 315 (87%)</w:t>
            </w:r>
          </w:p>
        </w:tc>
      </w:tr>
      <w:tr w:rsidR="00936DFE" w:rsidRPr="004B34D1" w14:paraId="483D9C8A" w14:textId="77777777" w:rsidTr="00044DA6">
        <w:tc>
          <w:tcPr>
            <w:tcW w:w="2465" w:type="dxa"/>
            <w:tcBorders>
              <w:bottom w:val="single" w:sz="12" w:space="0" w:color="auto"/>
            </w:tcBorders>
            <w:shd w:val="clear" w:color="auto" w:fill="auto"/>
            <w:hideMark/>
          </w:tcPr>
          <w:p w14:paraId="1F9F5EC4" w14:textId="77777777" w:rsidR="00936DFE" w:rsidRPr="004B34D1" w:rsidRDefault="00936DFE" w:rsidP="00044DA6">
            <w:pPr>
              <w:suppressAutoHyphens w:val="0"/>
              <w:spacing w:before="40" w:after="40" w:line="220" w:lineRule="exact"/>
              <w:rPr>
                <w:rFonts w:cs="Times New Roman"/>
                <w:sz w:val="18"/>
              </w:rPr>
            </w:pPr>
            <w:r w:rsidRPr="004B34D1">
              <w:rPr>
                <w:rFonts w:cs="Times New Roman"/>
                <w:sz w:val="18"/>
              </w:rPr>
              <w:t>Русский</w:t>
            </w:r>
          </w:p>
        </w:tc>
        <w:tc>
          <w:tcPr>
            <w:tcW w:w="1593" w:type="dxa"/>
            <w:tcBorders>
              <w:bottom w:val="single" w:sz="12" w:space="0" w:color="auto"/>
            </w:tcBorders>
            <w:shd w:val="clear" w:color="auto" w:fill="auto"/>
            <w:vAlign w:val="bottom"/>
            <w:hideMark/>
          </w:tcPr>
          <w:p w14:paraId="40033622" w14:textId="77777777" w:rsidR="00936DFE" w:rsidRPr="004B34D1" w:rsidRDefault="00936DFE" w:rsidP="00044DA6">
            <w:pPr>
              <w:suppressAutoHyphens w:val="0"/>
              <w:spacing w:before="40" w:after="40" w:line="220" w:lineRule="exact"/>
              <w:jc w:val="right"/>
              <w:rPr>
                <w:rFonts w:cs="Times New Roman"/>
                <w:sz w:val="18"/>
              </w:rPr>
            </w:pPr>
            <w:r w:rsidRPr="004B34D1">
              <w:rPr>
                <w:rFonts w:cs="Times New Roman"/>
                <w:sz w:val="18"/>
              </w:rPr>
              <w:t>2</w:t>
            </w:r>
            <w:r>
              <w:rPr>
                <w:rFonts w:cs="Times New Roman"/>
                <w:sz w:val="18"/>
              </w:rPr>
              <w:t> </w:t>
            </w:r>
            <w:r w:rsidRPr="004B34D1">
              <w:rPr>
                <w:rFonts w:cs="Times New Roman"/>
                <w:sz w:val="18"/>
              </w:rPr>
              <w:t>338 (12%)</w:t>
            </w:r>
          </w:p>
        </w:tc>
        <w:tc>
          <w:tcPr>
            <w:tcW w:w="1483" w:type="dxa"/>
            <w:tcBorders>
              <w:bottom w:val="single" w:sz="12" w:space="0" w:color="auto"/>
            </w:tcBorders>
            <w:shd w:val="clear" w:color="auto" w:fill="auto"/>
            <w:vAlign w:val="bottom"/>
            <w:hideMark/>
          </w:tcPr>
          <w:p w14:paraId="56409848" w14:textId="77777777" w:rsidR="00936DFE" w:rsidRPr="004B34D1" w:rsidRDefault="00936DFE" w:rsidP="00044DA6">
            <w:pPr>
              <w:suppressAutoHyphens w:val="0"/>
              <w:spacing w:before="40" w:after="40" w:line="220" w:lineRule="exact"/>
              <w:jc w:val="right"/>
              <w:rPr>
                <w:rFonts w:cs="Times New Roman"/>
                <w:sz w:val="18"/>
              </w:rPr>
            </w:pPr>
            <w:r w:rsidRPr="004B34D1">
              <w:rPr>
                <w:rFonts w:cs="Times New Roman"/>
                <w:sz w:val="18"/>
              </w:rPr>
              <w:t>1</w:t>
            </w:r>
            <w:r>
              <w:rPr>
                <w:rFonts w:cs="Times New Roman"/>
                <w:sz w:val="18"/>
              </w:rPr>
              <w:t> </w:t>
            </w:r>
            <w:r w:rsidRPr="004B34D1">
              <w:rPr>
                <w:rFonts w:cs="Times New Roman"/>
                <w:sz w:val="18"/>
              </w:rPr>
              <w:t>788 (11%)</w:t>
            </w:r>
          </w:p>
        </w:tc>
        <w:tc>
          <w:tcPr>
            <w:tcW w:w="1829" w:type="dxa"/>
            <w:tcBorders>
              <w:bottom w:val="single" w:sz="12" w:space="0" w:color="auto"/>
            </w:tcBorders>
            <w:shd w:val="clear" w:color="auto" w:fill="auto"/>
            <w:vAlign w:val="bottom"/>
            <w:hideMark/>
          </w:tcPr>
          <w:p w14:paraId="071EEB82" w14:textId="77777777" w:rsidR="00936DFE" w:rsidRPr="004B34D1" w:rsidRDefault="00936DFE" w:rsidP="00044DA6">
            <w:pPr>
              <w:suppressAutoHyphens w:val="0"/>
              <w:spacing w:before="40" w:after="40" w:line="220" w:lineRule="exact"/>
              <w:jc w:val="right"/>
              <w:rPr>
                <w:rFonts w:cs="Times New Roman"/>
                <w:sz w:val="18"/>
              </w:rPr>
            </w:pPr>
            <w:r w:rsidRPr="004B34D1">
              <w:rPr>
                <w:rFonts w:cs="Times New Roman"/>
                <w:sz w:val="18"/>
              </w:rPr>
              <w:t>1 991 (13%)</w:t>
            </w:r>
          </w:p>
        </w:tc>
      </w:tr>
    </w:tbl>
    <w:p w14:paraId="7EAB2A74" w14:textId="77777777" w:rsidR="00936DFE" w:rsidRPr="00CB26B4" w:rsidRDefault="00936DFE" w:rsidP="00936DFE">
      <w:pPr>
        <w:pStyle w:val="H23G"/>
      </w:pPr>
      <w:r>
        <w:tab/>
      </w:r>
      <w:r>
        <w:tab/>
      </w:r>
      <w:r w:rsidRPr="00947195">
        <w:rPr>
          <w:b w:val="0"/>
          <w:bCs/>
        </w:rPr>
        <w:t>Таблица 6</w:t>
      </w:r>
      <w:r>
        <w:br/>
      </w:r>
      <w:r w:rsidRPr="00CB26B4">
        <w:t xml:space="preserve">Учащиеся </w:t>
      </w:r>
      <w:proofErr w:type="spellStart"/>
      <w:r w:rsidRPr="00CB26B4">
        <w:t>послесредних</w:t>
      </w:r>
      <w:proofErr w:type="spellEnd"/>
      <w:r w:rsidRPr="00CB26B4">
        <w:t xml:space="preserve"> профессионально-технических учебных заведений по</w:t>
      </w:r>
      <w:r>
        <w:t> </w:t>
      </w:r>
      <w:r w:rsidRPr="00CB26B4">
        <w:t>языку обучения</w:t>
      </w:r>
    </w:p>
    <w:tbl>
      <w:tblPr>
        <w:tblW w:w="7370" w:type="dxa"/>
        <w:tblInd w:w="1134" w:type="dxa"/>
        <w:tblLayout w:type="fixed"/>
        <w:tblCellMar>
          <w:left w:w="0" w:type="dxa"/>
          <w:right w:w="0" w:type="dxa"/>
        </w:tblCellMar>
        <w:tblLook w:val="00A0" w:firstRow="1" w:lastRow="0" w:firstColumn="1" w:lastColumn="0" w:noHBand="0" w:noVBand="0"/>
      </w:tblPr>
      <w:tblGrid>
        <w:gridCol w:w="1995"/>
        <w:gridCol w:w="2013"/>
        <w:gridCol w:w="1681"/>
        <w:gridCol w:w="1681"/>
      </w:tblGrid>
      <w:tr w:rsidR="00936DFE" w:rsidRPr="00947195" w14:paraId="00D50DB0" w14:textId="77777777" w:rsidTr="00044DA6">
        <w:trPr>
          <w:tblHeader/>
        </w:trPr>
        <w:tc>
          <w:tcPr>
            <w:tcW w:w="1995" w:type="dxa"/>
            <w:tcBorders>
              <w:top w:val="single" w:sz="4" w:space="0" w:color="auto"/>
              <w:bottom w:val="single" w:sz="12" w:space="0" w:color="auto"/>
            </w:tcBorders>
            <w:shd w:val="clear" w:color="auto" w:fill="auto"/>
            <w:vAlign w:val="bottom"/>
            <w:hideMark/>
          </w:tcPr>
          <w:p w14:paraId="0788998F" w14:textId="77777777" w:rsidR="00936DFE" w:rsidRPr="00947195" w:rsidRDefault="00936DFE" w:rsidP="00044DA6">
            <w:pPr>
              <w:suppressAutoHyphens w:val="0"/>
              <w:spacing w:before="80" w:after="80" w:line="200" w:lineRule="exact"/>
              <w:rPr>
                <w:rFonts w:cs="Times New Roman"/>
                <w:i/>
                <w:sz w:val="16"/>
              </w:rPr>
            </w:pPr>
            <w:r w:rsidRPr="00947195">
              <w:rPr>
                <w:rFonts w:cs="Times New Roman"/>
                <w:i/>
                <w:sz w:val="16"/>
              </w:rPr>
              <w:t>Учебные годы</w:t>
            </w:r>
          </w:p>
        </w:tc>
        <w:tc>
          <w:tcPr>
            <w:tcW w:w="2013" w:type="dxa"/>
            <w:tcBorders>
              <w:top w:val="single" w:sz="4" w:space="0" w:color="auto"/>
              <w:bottom w:val="single" w:sz="12" w:space="0" w:color="auto"/>
            </w:tcBorders>
            <w:shd w:val="clear" w:color="auto" w:fill="auto"/>
            <w:vAlign w:val="bottom"/>
            <w:hideMark/>
          </w:tcPr>
          <w:p w14:paraId="1E77A857" w14:textId="77777777" w:rsidR="00936DFE" w:rsidRPr="00947195" w:rsidRDefault="00936DFE" w:rsidP="00044DA6">
            <w:pPr>
              <w:suppressAutoHyphens w:val="0"/>
              <w:spacing w:before="80" w:after="80" w:line="200" w:lineRule="exact"/>
              <w:jc w:val="right"/>
              <w:rPr>
                <w:rFonts w:cs="Times New Roman"/>
                <w:i/>
                <w:sz w:val="16"/>
              </w:rPr>
            </w:pPr>
            <w:r w:rsidRPr="00AA4C83">
              <w:rPr>
                <w:rFonts w:cs="Times New Roman"/>
                <w:i/>
                <w:sz w:val="16"/>
              </w:rPr>
              <w:t>2016/17</w:t>
            </w:r>
          </w:p>
        </w:tc>
        <w:tc>
          <w:tcPr>
            <w:tcW w:w="1681" w:type="dxa"/>
            <w:tcBorders>
              <w:top w:val="single" w:sz="4" w:space="0" w:color="auto"/>
              <w:bottom w:val="single" w:sz="12" w:space="0" w:color="auto"/>
            </w:tcBorders>
            <w:shd w:val="clear" w:color="auto" w:fill="auto"/>
            <w:vAlign w:val="bottom"/>
            <w:hideMark/>
          </w:tcPr>
          <w:p w14:paraId="6F81DD95" w14:textId="77777777" w:rsidR="00936DFE" w:rsidRPr="00947195" w:rsidRDefault="00936DFE" w:rsidP="00044DA6">
            <w:pPr>
              <w:suppressAutoHyphens w:val="0"/>
              <w:spacing w:before="80" w:after="80" w:line="200" w:lineRule="exact"/>
              <w:jc w:val="right"/>
              <w:rPr>
                <w:rFonts w:cs="Times New Roman"/>
                <w:i/>
                <w:sz w:val="16"/>
              </w:rPr>
            </w:pPr>
            <w:r w:rsidRPr="00947195">
              <w:rPr>
                <w:rFonts w:cs="Times New Roman"/>
                <w:i/>
                <w:sz w:val="16"/>
              </w:rPr>
              <w:t>2017</w:t>
            </w:r>
            <w:r>
              <w:rPr>
                <w:rFonts w:cs="Times New Roman"/>
                <w:i/>
                <w:sz w:val="16"/>
              </w:rPr>
              <w:t>/</w:t>
            </w:r>
            <w:r w:rsidRPr="00947195">
              <w:rPr>
                <w:rFonts w:cs="Times New Roman"/>
                <w:i/>
                <w:sz w:val="16"/>
              </w:rPr>
              <w:t>18</w:t>
            </w:r>
          </w:p>
        </w:tc>
        <w:tc>
          <w:tcPr>
            <w:tcW w:w="1681" w:type="dxa"/>
            <w:tcBorders>
              <w:top w:val="single" w:sz="4" w:space="0" w:color="auto"/>
              <w:bottom w:val="single" w:sz="12" w:space="0" w:color="auto"/>
            </w:tcBorders>
            <w:shd w:val="clear" w:color="auto" w:fill="auto"/>
            <w:vAlign w:val="bottom"/>
            <w:hideMark/>
          </w:tcPr>
          <w:p w14:paraId="641E7E02" w14:textId="77777777" w:rsidR="00936DFE" w:rsidRPr="00947195" w:rsidRDefault="00936DFE" w:rsidP="00044DA6">
            <w:pPr>
              <w:suppressAutoHyphens w:val="0"/>
              <w:spacing w:before="80" w:after="80" w:line="200" w:lineRule="exact"/>
              <w:jc w:val="right"/>
              <w:rPr>
                <w:rFonts w:cs="Times New Roman"/>
                <w:i/>
                <w:sz w:val="16"/>
              </w:rPr>
            </w:pPr>
            <w:r w:rsidRPr="00947195">
              <w:rPr>
                <w:rFonts w:cs="Times New Roman"/>
                <w:i/>
                <w:sz w:val="16"/>
              </w:rPr>
              <w:t>2018</w:t>
            </w:r>
            <w:r>
              <w:rPr>
                <w:rFonts w:cs="Times New Roman"/>
                <w:i/>
                <w:sz w:val="16"/>
              </w:rPr>
              <w:t>/</w:t>
            </w:r>
            <w:r w:rsidRPr="00947195">
              <w:rPr>
                <w:rFonts w:cs="Times New Roman"/>
                <w:i/>
                <w:sz w:val="16"/>
              </w:rPr>
              <w:t>19</w:t>
            </w:r>
          </w:p>
        </w:tc>
      </w:tr>
      <w:tr w:rsidR="00936DFE" w:rsidRPr="00947195" w14:paraId="3B8A062C" w14:textId="77777777" w:rsidTr="00044DA6">
        <w:tc>
          <w:tcPr>
            <w:tcW w:w="1995" w:type="dxa"/>
            <w:tcBorders>
              <w:top w:val="single" w:sz="12" w:space="0" w:color="auto"/>
            </w:tcBorders>
            <w:shd w:val="clear" w:color="auto" w:fill="auto"/>
            <w:hideMark/>
          </w:tcPr>
          <w:p w14:paraId="087ACF30" w14:textId="77777777" w:rsidR="00936DFE" w:rsidRPr="00947195" w:rsidRDefault="00936DFE" w:rsidP="00044DA6">
            <w:pPr>
              <w:suppressAutoHyphens w:val="0"/>
              <w:spacing w:before="40" w:after="40" w:line="220" w:lineRule="exact"/>
              <w:rPr>
                <w:rFonts w:cs="Times New Roman"/>
                <w:sz w:val="18"/>
              </w:rPr>
            </w:pPr>
            <w:r w:rsidRPr="00947195">
              <w:rPr>
                <w:rFonts w:cs="Times New Roman"/>
                <w:sz w:val="18"/>
              </w:rPr>
              <w:t>Всего</w:t>
            </w:r>
            <w:r>
              <w:rPr>
                <w:rFonts w:cs="Times New Roman"/>
                <w:sz w:val="18"/>
              </w:rPr>
              <w:t xml:space="preserve"> </w:t>
            </w:r>
            <w:r w:rsidRPr="00947195">
              <w:rPr>
                <w:rFonts w:cs="Times New Roman"/>
                <w:sz w:val="18"/>
              </w:rPr>
              <w:t>учащихся</w:t>
            </w:r>
          </w:p>
        </w:tc>
        <w:tc>
          <w:tcPr>
            <w:tcW w:w="2013" w:type="dxa"/>
            <w:tcBorders>
              <w:top w:val="single" w:sz="12" w:space="0" w:color="auto"/>
            </w:tcBorders>
            <w:shd w:val="clear" w:color="auto" w:fill="auto"/>
            <w:vAlign w:val="bottom"/>
            <w:hideMark/>
          </w:tcPr>
          <w:p w14:paraId="6A6B2B65" w14:textId="77777777" w:rsidR="00936DFE" w:rsidRPr="00947195" w:rsidRDefault="00936DFE" w:rsidP="00044DA6">
            <w:pPr>
              <w:suppressAutoHyphens w:val="0"/>
              <w:spacing w:before="40" w:after="40" w:line="220" w:lineRule="exact"/>
              <w:jc w:val="right"/>
              <w:rPr>
                <w:rFonts w:cs="Times New Roman"/>
                <w:sz w:val="18"/>
              </w:rPr>
            </w:pPr>
            <w:r w:rsidRPr="00947195">
              <w:rPr>
                <w:rFonts w:cs="Times New Roman"/>
                <w:sz w:val="18"/>
              </w:rPr>
              <w:t>29</w:t>
            </w:r>
            <w:r>
              <w:rPr>
                <w:rFonts w:cs="Times New Roman"/>
                <w:sz w:val="18"/>
              </w:rPr>
              <w:t> </w:t>
            </w:r>
            <w:r w:rsidRPr="00947195">
              <w:rPr>
                <w:rFonts w:cs="Times New Roman"/>
                <w:sz w:val="18"/>
              </w:rPr>
              <w:t>811 (100%)</w:t>
            </w:r>
          </w:p>
        </w:tc>
        <w:tc>
          <w:tcPr>
            <w:tcW w:w="1681" w:type="dxa"/>
            <w:tcBorders>
              <w:top w:val="single" w:sz="12" w:space="0" w:color="auto"/>
            </w:tcBorders>
            <w:shd w:val="clear" w:color="auto" w:fill="auto"/>
            <w:vAlign w:val="bottom"/>
            <w:hideMark/>
          </w:tcPr>
          <w:p w14:paraId="2C6CA78F" w14:textId="77777777" w:rsidR="00936DFE" w:rsidRPr="00947195" w:rsidRDefault="00936DFE" w:rsidP="00044DA6">
            <w:pPr>
              <w:suppressAutoHyphens w:val="0"/>
              <w:spacing w:before="40" w:after="40" w:line="220" w:lineRule="exact"/>
              <w:jc w:val="right"/>
              <w:rPr>
                <w:rFonts w:cs="Times New Roman"/>
                <w:sz w:val="18"/>
              </w:rPr>
            </w:pPr>
            <w:r w:rsidRPr="00947195">
              <w:rPr>
                <w:rFonts w:cs="Times New Roman"/>
                <w:sz w:val="18"/>
              </w:rPr>
              <w:t>29</w:t>
            </w:r>
            <w:r>
              <w:rPr>
                <w:rFonts w:cs="Times New Roman"/>
                <w:sz w:val="18"/>
              </w:rPr>
              <w:t> </w:t>
            </w:r>
            <w:r w:rsidRPr="00947195">
              <w:rPr>
                <w:rFonts w:cs="Times New Roman"/>
                <w:sz w:val="18"/>
              </w:rPr>
              <w:t>638 (100%)</w:t>
            </w:r>
          </w:p>
        </w:tc>
        <w:tc>
          <w:tcPr>
            <w:tcW w:w="1681" w:type="dxa"/>
            <w:tcBorders>
              <w:top w:val="single" w:sz="12" w:space="0" w:color="auto"/>
            </w:tcBorders>
            <w:shd w:val="clear" w:color="auto" w:fill="auto"/>
            <w:vAlign w:val="bottom"/>
            <w:hideMark/>
          </w:tcPr>
          <w:p w14:paraId="5F64DD48" w14:textId="77777777" w:rsidR="00936DFE" w:rsidRPr="00947195" w:rsidRDefault="00936DFE" w:rsidP="00044DA6">
            <w:pPr>
              <w:suppressAutoHyphens w:val="0"/>
              <w:spacing w:before="40" w:after="40" w:line="220" w:lineRule="exact"/>
              <w:jc w:val="right"/>
              <w:rPr>
                <w:rFonts w:cs="Times New Roman"/>
                <w:sz w:val="18"/>
              </w:rPr>
            </w:pPr>
            <w:r w:rsidRPr="00947195">
              <w:rPr>
                <w:rFonts w:cs="Times New Roman"/>
                <w:sz w:val="18"/>
              </w:rPr>
              <w:t>29 042 (100%)</w:t>
            </w:r>
          </w:p>
        </w:tc>
      </w:tr>
      <w:tr w:rsidR="00936DFE" w:rsidRPr="00947195" w14:paraId="20A171A5" w14:textId="77777777" w:rsidTr="00044DA6">
        <w:tc>
          <w:tcPr>
            <w:tcW w:w="1995" w:type="dxa"/>
            <w:shd w:val="clear" w:color="auto" w:fill="auto"/>
            <w:hideMark/>
          </w:tcPr>
          <w:p w14:paraId="391B98DB" w14:textId="77777777" w:rsidR="00936DFE" w:rsidRPr="00947195" w:rsidRDefault="00936DFE" w:rsidP="00044DA6">
            <w:pPr>
              <w:suppressAutoHyphens w:val="0"/>
              <w:spacing w:before="40" w:after="40" w:line="220" w:lineRule="exact"/>
              <w:rPr>
                <w:rFonts w:cs="Times New Roman"/>
                <w:sz w:val="18"/>
              </w:rPr>
            </w:pPr>
            <w:r w:rsidRPr="00947195">
              <w:rPr>
                <w:rFonts w:cs="Times New Roman"/>
                <w:sz w:val="18"/>
              </w:rPr>
              <w:t>Румынский</w:t>
            </w:r>
          </w:p>
        </w:tc>
        <w:tc>
          <w:tcPr>
            <w:tcW w:w="2013" w:type="dxa"/>
            <w:shd w:val="clear" w:color="auto" w:fill="auto"/>
            <w:vAlign w:val="bottom"/>
            <w:hideMark/>
          </w:tcPr>
          <w:p w14:paraId="72C3DF59" w14:textId="77777777" w:rsidR="00936DFE" w:rsidRPr="00947195" w:rsidRDefault="00936DFE" w:rsidP="00044DA6">
            <w:pPr>
              <w:suppressAutoHyphens w:val="0"/>
              <w:spacing w:before="40" w:after="40" w:line="220" w:lineRule="exact"/>
              <w:jc w:val="right"/>
              <w:rPr>
                <w:rFonts w:cs="Times New Roman"/>
                <w:sz w:val="18"/>
              </w:rPr>
            </w:pPr>
            <w:r w:rsidRPr="00947195">
              <w:rPr>
                <w:rFonts w:cs="Times New Roman"/>
                <w:sz w:val="18"/>
              </w:rPr>
              <w:t>25</w:t>
            </w:r>
            <w:r>
              <w:rPr>
                <w:rFonts w:cs="Times New Roman"/>
                <w:sz w:val="18"/>
              </w:rPr>
              <w:t> </w:t>
            </w:r>
            <w:r w:rsidRPr="00947195">
              <w:rPr>
                <w:rFonts w:cs="Times New Roman"/>
                <w:sz w:val="18"/>
              </w:rPr>
              <w:t>824(87%)</w:t>
            </w:r>
          </w:p>
        </w:tc>
        <w:tc>
          <w:tcPr>
            <w:tcW w:w="1681" w:type="dxa"/>
            <w:shd w:val="clear" w:color="auto" w:fill="auto"/>
            <w:vAlign w:val="bottom"/>
            <w:hideMark/>
          </w:tcPr>
          <w:p w14:paraId="5F5C58B5" w14:textId="77777777" w:rsidR="00936DFE" w:rsidRPr="00947195" w:rsidRDefault="00936DFE" w:rsidP="00044DA6">
            <w:pPr>
              <w:suppressAutoHyphens w:val="0"/>
              <w:spacing w:before="40" w:after="40" w:line="220" w:lineRule="exact"/>
              <w:jc w:val="right"/>
              <w:rPr>
                <w:rFonts w:cs="Times New Roman"/>
                <w:sz w:val="18"/>
              </w:rPr>
            </w:pPr>
            <w:r w:rsidRPr="00947195">
              <w:rPr>
                <w:rFonts w:cs="Times New Roman"/>
                <w:sz w:val="18"/>
              </w:rPr>
              <w:t>25 694 (87%)</w:t>
            </w:r>
          </w:p>
        </w:tc>
        <w:tc>
          <w:tcPr>
            <w:tcW w:w="1681" w:type="dxa"/>
            <w:shd w:val="clear" w:color="auto" w:fill="auto"/>
            <w:vAlign w:val="bottom"/>
            <w:hideMark/>
          </w:tcPr>
          <w:p w14:paraId="74C40FDC" w14:textId="77777777" w:rsidR="00936DFE" w:rsidRPr="00947195" w:rsidRDefault="00936DFE" w:rsidP="00044DA6">
            <w:pPr>
              <w:suppressAutoHyphens w:val="0"/>
              <w:spacing w:before="40" w:after="40" w:line="220" w:lineRule="exact"/>
              <w:jc w:val="right"/>
              <w:rPr>
                <w:rFonts w:cs="Times New Roman"/>
                <w:sz w:val="18"/>
              </w:rPr>
            </w:pPr>
            <w:r w:rsidRPr="00947195">
              <w:rPr>
                <w:rFonts w:cs="Times New Roman"/>
                <w:sz w:val="18"/>
              </w:rPr>
              <w:t>25 187 (87%)</w:t>
            </w:r>
          </w:p>
        </w:tc>
      </w:tr>
      <w:tr w:rsidR="00936DFE" w:rsidRPr="00947195" w14:paraId="11C6E103" w14:textId="77777777" w:rsidTr="00044DA6">
        <w:tc>
          <w:tcPr>
            <w:tcW w:w="1995" w:type="dxa"/>
            <w:shd w:val="clear" w:color="auto" w:fill="auto"/>
            <w:hideMark/>
          </w:tcPr>
          <w:p w14:paraId="6C919131" w14:textId="77777777" w:rsidR="00936DFE" w:rsidRPr="00947195" w:rsidRDefault="00936DFE" w:rsidP="00044DA6">
            <w:pPr>
              <w:suppressAutoHyphens w:val="0"/>
              <w:spacing w:before="40" w:after="40" w:line="220" w:lineRule="exact"/>
              <w:rPr>
                <w:rFonts w:cs="Times New Roman"/>
                <w:sz w:val="18"/>
              </w:rPr>
            </w:pPr>
            <w:r w:rsidRPr="00947195">
              <w:rPr>
                <w:rFonts w:cs="Times New Roman"/>
                <w:sz w:val="18"/>
              </w:rPr>
              <w:t>Русский</w:t>
            </w:r>
          </w:p>
        </w:tc>
        <w:tc>
          <w:tcPr>
            <w:tcW w:w="2013" w:type="dxa"/>
            <w:shd w:val="clear" w:color="auto" w:fill="auto"/>
            <w:vAlign w:val="bottom"/>
            <w:hideMark/>
          </w:tcPr>
          <w:p w14:paraId="277C053B" w14:textId="77777777" w:rsidR="00936DFE" w:rsidRPr="00947195" w:rsidRDefault="00936DFE" w:rsidP="00044DA6">
            <w:pPr>
              <w:suppressAutoHyphens w:val="0"/>
              <w:spacing w:before="40" w:after="40" w:line="220" w:lineRule="exact"/>
              <w:jc w:val="right"/>
              <w:rPr>
                <w:rFonts w:cs="Times New Roman"/>
                <w:sz w:val="18"/>
              </w:rPr>
            </w:pPr>
            <w:r w:rsidRPr="00947195">
              <w:rPr>
                <w:rFonts w:cs="Times New Roman"/>
                <w:sz w:val="18"/>
              </w:rPr>
              <w:t>3</w:t>
            </w:r>
            <w:r>
              <w:rPr>
                <w:rFonts w:cs="Times New Roman"/>
                <w:sz w:val="18"/>
              </w:rPr>
              <w:t> </w:t>
            </w:r>
            <w:r w:rsidRPr="00947195">
              <w:rPr>
                <w:rFonts w:cs="Times New Roman"/>
                <w:sz w:val="18"/>
              </w:rPr>
              <w:t>591 (12%)</w:t>
            </w:r>
          </w:p>
        </w:tc>
        <w:tc>
          <w:tcPr>
            <w:tcW w:w="1681" w:type="dxa"/>
            <w:shd w:val="clear" w:color="auto" w:fill="auto"/>
            <w:vAlign w:val="bottom"/>
            <w:hideMark/>
          </w:tcPr>
          <w:p w14:paraId="5BE168CC" w14:textId="77777777" w:rsidR="00936DFE" w:rsidRPr="00947195" w:rsidRDefault="00936DFE" w:rsidP="00044DA6">
            <w:pPr>
              <w:suppressAutoHyphens w:val="0"/>
              <w:spacing w:before="40" w:after="40" w:line="220" w:lineRule="exact"/>
              <w:jc w:val="right"/>
              <w:rPr>
                <w:rFonts w:cs="Times New Roman"/>
                <w:sz w:val="18"/>
              </w:rPr>
            </w:pPr>
            <w:r w:rsidRPr="00947195">
              <w:rPr>
                <w:rFonts w:cs="Times New Roman"/>
                <w:sz w:val="18"/>
              </w:rPr>
              <w:t>3 478 (12%)</w:t>
            </w:r>
          </w:p>
        </w:tc>
        <w:tc>
          <w:tcPr>
            <w:tcW w:w="1681" w:type="dxa"/>
            <w:shd w:val="clear" w:color="auto" w:fill="auto"/>
            <w:vAlign w:val="bottom"/>
            <w:hideMark/>
          </w:tcPr>
          <w:p w14:paraId="717E3512" w14:textId="77777777" w:rsidR="00936DFE" w:rsidRPr="00947195" w:rsidRDefault="00936DFE" w:rsidP="00044DA6">
            <w:pPr>
              <w:suppressAutoHyphens w:val="0"/>
              <w:spacing w:before="40" w:after="40" w:line="220" w:lineRule="exact"/>
              <w:jc w:val="right"/>
              <w:rPr>
                <w:rFonts w:cs="Times New Roman"/>
                <w:sz w:val="18"/>
              </w:rPr>
            </w:pPr>
            <w:r w:rsidRPr="00947195">
              <w:rPr>
                <w:rFonts w:cs="Times New Roman"/>
                <w:sz w:val="18"/>
              </w:rPr>
              <w:t>3 340 (11%)</w:t>
            </w:r>
          </w:p>
        </w:tc>
      </w:tr>
      <w:tr w:rsidR="00936DFE" w:rsidRPr="00947195" w14:paraId="2972A4AA" w14:textId="77777777" w:rsidTr="00044DA6">
        <w:tc>
          <w:tcPr>
            <w:tcW w:w="1995" w:type="dxa"/>
            <w:tcBorders>
              <w:bottom w:val="single" w:sz="12" w:space="0" w:color="auto"/>
            </w:tcBorders>
            <w:shd w:val="clear" w:color="auto" w:fill="auto"/>
            <w:hideMark/>
          </w:tcPr>
          <w:p w14:paraId="15B2F21B" w14:textId="77777777" w:rsidR="00936DFE" w:rsidRPr="00947195" w:rsidRDefault="00936DFE" w:rsidP="00044DA6">
            <w:pPr>
              <w:suppressAutoHyphens w:val="0"/>
              <w:spacing w:before="40" w:after="40" w:line="220" w:lineRule="exact"/>
              <w:rPr>
                <w:rFonts w:cs="Times New Roman"/>
                <w:sz w:val="18"/>
              </w:rPr>
            </w:pPr>
            <w:r w:rsidRPr="00947195">
              <w:rPr>
                <w:rFonts w:cs="Times New Roman"/>
                <w:sz w:val="18"/>
              </w:rPr>
              <w:t>Другие языки</w:t>
            </w:r>
          </w:p>
        </w:tc>
        <w:tc>
          <w:tcPr>
            <w:tcW w:w="2013" w:type="dxa"/>
            <w:tcBorders>
              <w:bottom w:val="single" w:sz="12" w:space="0" w:color="auto"/>
            </w:tcBorders>
            <w:shd w:val="clear" w:color="auto" w:fill="auto"/>
            <w:vAlign w:val="bottom"/>
            <w:hideMark/>
          </w:tcPr>
          <w:p w14:paraId="0CFEAA43" w14:textId="77777777" w:rsidR="00936DFE" w:rsidRPr="00947195" w:rsidRDefault="00936DFE" w:rsidP="00044DA6">
            <w:pPr>
              <w:suppressAutoHyphens w:val="0"/>
              <w:spacing w:before="40" w:after="40" w:line="220" w:lineRule="exact"/>
              <w:jc w:val="right"/>
              <w:rPr>
                <w:rFonts w:cs="Times New Roman"/>
                <w:sz w:val="18"/>
              </w:rPr>
            </w:pPr>
            <w:r w:rsidRPr="00947195">
              <w:rPr>
                <w:rFonts w:cs="Times New Roman"/>
                <w:sz w:val="18"/>
              </w:rPr>
              <w:t>396 (1%)</w:t>
            </w:r>
          </w:p>
        </w:tc>
        <w:tc>
          <w:tcPr>
            <w:tcW w:w="1681" w:type="dxa"/>
            <w:tcBorders>
              <w:bottom w:val="single" w:sz="12" w:space="0" w:color="auto"/>
            </w:tcBorders>
            <w:shd w:val="clear" w:color="auto" w:fill="auto"/>
            <w:vAlign w:val="bottom"/>
            <w:hideMark/>
          </w:tcPr>
          <w:p w14:paraId="20D68583" w14:textId="77777777" w:rsidR="00936DFE" w:rsidRPr="00947195" w:rsidRDefault="00936DFE" w:rsidP="00044DA6">
            <w:pPr>
              <w:suppressAutoHyphens w:val="0"/>
              <w:spacing w:before="40" w:after="40" w:line="220" w:lineRule="exact"/>
              <w:jc w:val="right"/>
              <w:rPr>
                <w:rFonts w:cs="Times New Roman"/>
                <w:sz w:val="18"/>
              </w:rPr>
            </w:pPr>
            <w:r w:rsidRPr="00947195">
              <w:rPr>
                <w:rFonts w:cs="Times New Roman"/>
                <w:sz w:val="18"/>
              </w:rPr>
              <w:t>466 (1%)</w:t>
            </w:r>
          </w:p>
        </w:tc>
        <w:tc>
          <w:tcPr>
            <w:tcW w:w="1681" w:type="dxa"/>
            <w:tcBorders>
              <w:bottom w:val="single" w:sz="12" w:space="0" w:color="auto"/>
            </w:tcBorders>
            <w:shd w:val="clear" w:color="auto" w:fill="auto"/>
            <w:vAlign w:val="bottom"/>
            <w:hideMark/>
          </w:tcPr>
          <w:p w14:paraId="60CCBCC4" w14:textId="77777777" w:rsidR="00936DFE" w:rsidRPr="00947195" w:rsidRDefault="00936DFE" w:rsidP="00044DA6">
            <w:pPr>
              <w:suppressAutoHyphens w:val="0"/>
              <w:spacing w:before="40" w:after="40" w:line="220" w:lineRule="exact"/>
              <w:jc w:val="right"/>
              <w:rPr>
                <w:rFonts w:cs="Times New Roman"/>
                <w:sz w:val="18"/>
              </w:rPr>
            </w:pPr>
            <w:r w:rsidRPr="00947195">
              <w:rPr>
                <w:rFonts w:cs="Times New Roman"/>
                <w:sz w:val="18"/>
              </w:rPr>
              <w:t>515 (2%)</w:t>
            </w:r>
          </w:p>
        </w:tc>
      </w:tr>
    </w:tbl>
    <w:p w14:paraId="2E23D218" w14:textId="77777777" w:rsidR="00936DFE" w:rsidRDefault="00936DFE" w:rsidP="00936DFE">
      <w:pPr>
        <w:pStyle w:val="H4G"/>
      </w:pPr>
      <w:r>
        <w:tab/>
      </w:r>
      <w:r>
        <w:tab/>
      </w:r>
      <w:r w:rsidRPr="00CB26B4">
        <w:t>Обеспечение доступа к высшему образованию</w:t>
      </w:r>
    </w:p>
    <w:p w14:paraId="2F3FAF5F" w14:textId="77777777" w:rsidR="00936DFE" w:rsidRDefault="00936DFE" w:rsidP="00936DFE">
      <w:pPr>
        <w:pStyle w:val="SingleTxtG"/>
      </w:pPr>
      <w:r>
        <w:t>100.</w:t>
      </w:r>
      <w:r>
        <w:tab/>
      </w:r>
      <w:r w:rsidRPr="00CB26B4">
        <w:t xml:space="preserve">В </w:t>
      </w:r>
      <w:r w:rsidRPr="00AA4C83">
        <w:t>2018–2019</w:t>
      </w:r>
      <w:r w:rsidRPr="00CB26B4">
        <w:t xml:space="preserve"> учебном году сеть вузов </w:t>
      </w:r>
      <w:r w:rsidRPr="00627640">
        <w:rPr>
          <w:color w:val="000000" w:themeColor="text1"/>
        </w:rPr>
        <w:t xml:space="preserve">Республики </w:t>
      </w:r>
      <w:r w:rsidRPr="00CB26B4">
        <w:t>насчитывала 29</w:t>
      </w:r>
      <w:r>
        <w:t> </w:t>
      </w:r>
      <w:r w:rsidRPr="00CB26B4">
        <w:t>университетов (19 государственных и 10 частных), в которых обучались 60</w:t>
      </w:r>
      <w:r>
        <w:t> </w:t>
      </w:r>
      <w:r w:rsidRPr="00CB26B4">
        <w:t>608</w:t>
      </w:r>
      <w:r>
        <w:rPr>
          <w:lang w:val="en-US"/>
        </w:rPr>
        <w:t> </w:t>
      </w:r>
      <w:r w:rsidRPr="00CB26B4">
        <w:t>студентов.</w:t>
      </w:r>
      <w:r>
        <w:t xml:space="preserve"> </w:t>
      </w:r>
    </w:p>
    <w:p w14:paraId="3937A262" w14:textId="77777777" w:rsidR="00936DFE" w:rsidRPr="00CB26B4" w:rsidRDefault="00936DFE" w:rsidP="00936DFE">
      <w:pPr>
        <w:pStyle w:val="SingleTxtG"/>
      </w:pPr>
      <w:r>
        <w:t>101.</w:t>
      </w:r>
      <w:r>
        <w:tab/>
      </w:r>
      <w:r w:rsidRPr="00CB26B4">
        <w:t xml:space="preserve">В соответствии с Регламентом по организации и проведению приема в высшие учебные заведения, на </w:t>
      </w:r>
      <w:r>
        <w:t>—</w:t>
      </w:r>
      <w:r w:rsidRPr="00CB26B4">
        <w:t xml:space="preserve"> I цикл (высшее лицензионное образование) Республики Молдова, высшие учебные заведения могут планировать для участия в приемном конкурсе, группы и с другим языком обучения, отличным от румынского (русским, английским, французским, немецким, и др.). Кандидаты могут после зачисления выбрать язык обучения, отличный от языка учебного заведения, которое они закончили. Таким образом, выпускники имеют право выбрать язык обучения. В</w:t>
      </w:r>
      <w:r>
        <w:rPr>
          <w:lang w:val="en-US"/>
        </w:rPr>
        <w:t> </w:t>
      </w:r>
      <w:r w:rsidRPr="00CB26B4">
        <w:t>то</w:t>
      </w:r>
      <w:r>
        <w:rPr>
          <w:lang w:val="en-US"/>
        </w:rPr>
        <w:t> </w:t>
      </w:r>
      <w:r w:rsidRPr="00CB26B4">
        <w:t xml:space="preserve">же время в некоторых высших учебных заведениях практикуется создание смешанных групп с преподаванием, организацией консультаций и оценок на двух языках </w:t>
      </w:r>
      <w:r>
        <w:t>—</w:t>
      </w:r>
      <w:r w:rsidRPr="00CB26B4">
        <w:t xml:space="preserve"> на</w:t>
      </w:r>
      <w:r>
        <w:t> </w:t>
      </w:r>
      <w:r w:rsidRPr="00CB26B4">
        <w:t>русском и румынском. В течение нескольких лет в соответствии с политикой реинтеграции страны и обеспечения равных прав и доступа к высшему образованию для всех граждан, Правительство Республики Молдова выделяет в среднем 400 мест, финансируемых из государственного бюджета, целенаправленно предназначенных для кандидатов-выпускников из восточных районов, большинство из которых являются русскоговорящими.</w:t>
      </w:r>
    </w:p>
    <w:p w14:paraId="265D5F65" w14:textId="77777777" w:rsidR="00936DFE" w:rsidRPr="00CB26B4" w:rsidRDefault="00936DFE" w:rsidP="00936DFE">
      <w:pPr>
        <w:pStyle w:val="H23G"/>
      </w:pPr>
      <w:r>
        <w:tab/>
      </w:r>
      <w:r>
        <w:tab/>
      </w:r>
      <w:r w:rsidRPr="003E23D9">
        <w:rPr>
          <w:b w:val="0"/>
          <w:bCs/>
        </w:rPr>
        <w:t>Таблица 7</w:t>
      </w:r>
      <w:r>
        <w:br/>
      </w:r>
      <w:r w:rsidRPr="00CB26B4">
        <w:t>Студенты высших учебных заведений по языку обучения</w:t>
      </w:r>
    </w:p>
    <w:tbl>
      <w:tblPr>
        <w:tblW w:w="7370" w:type="dxa"/>
        <w:tblInd w:w="1134" w:type="dxa"/>
        <w:tblLayout w:type="fixed"/>
        <w:tblCellMar>
          <w:left w:w="0" w:type="dxa"/>
          <w:right w:w="0" w:type="dxa"/>
        </w:tblCellMar>
        <w:tblLook w:val="00A0" w:firstRow="1" w:lastRow="0" w:firstColumn="1" w:lastColumn="0" w:noHBand="0" w:noVBand="0"/>
      </w:tblPr>
      <w:tblGrid>
        <w:gridCol w:w="2552"/>
        <w:gridCol w:w="1442"/>
        <w:gridCol w:w="1688"/>
        <w:gridCol w:w="1688"/>
      </w:tblGrid>
      <w:tr w:rsidR="00936DFE" w:rsidRPr="004544E0" w14:paraId="7913E3AB" w14:textId="77777777" w:rsidTr="00044DA6">
        <w:trPr>
          <w:tblHeader/>
        </w:trPr>
        <w:tc>
          <w:tcPr>
            <w:tcW w:w="2552" w:type="dxa"/>
            <w:tcBorders>
              <w:top w:val="single" w:sz="4" w:space="0" w:color="auto"/>
              <w:bottom w:val="single" w:sz="12" w:space="0" w:color="auto"/>
            </w:tcBorders>
            <w:shd w:val="clear" w:color="auto" w:fill="auto"/>
            <w:vAlign w:val="bottom"/>
            <w:hideMark/>
          </w:tcPr>
          <w:p w14:paraId="67217EB4" w14:textId="77777777" w:rsidR="00936DFE" w:rsidRPr="004544E0" w:rsidRDefault="00936DFE" w:rsidP="00044DA6">
            <w:pPr>
              <w:suppressAutoHyphens w:val="0"/>
              <w:spacing w:before="80" w:after="80" w:line="200" w:lineRule="exact"/>
              <w:rPr>
                <w:rFonts w:cs="Times New Roman"/>
                <w:i/>
                <w:sz w:val="16"/>
              </w:rPr>
            </w:pPr>
            <w:r w:rsidRPr="004544E0">
              <w:rPr>
                <w:rFonts w:cs="Times New Roman"/>
                <w:i/>
                <w:sz w:val="16"/>
              </w:rPr>
              <w:t>Учебные годы</w:t>
            </w:r>
          </w:p>
        </w:tc>
        <w:tc>
          <w:tcPr>
            <w:tcW w:w="1442" w:type="dxa"/>
            <w:tcBorders>
              <w:top w:val="single" w:sz="4" w:space="0" w:color="auto"/>
              <w:bottom w:val="single" w:sz="12" w:space="0" w:color="auto"/>
            </w:tcBorders>
            <w:shd w:val="clear" w:color="auto" w:fill="auto"/>
            <w:vAlign w:val="bottom"/>
            <w:hideMark/>
          </w:tcPr>
          <w:p w14:paraId="0B06B781" w14:textId="77777777" w:rsidR="00936DFE" w:rsidRPr="004544E0" w:rsidRDefault="00936DFE" w:rsidP="00044DA6">
            <w:pPr>
              <w:suppressAutoHyphens w:val="0"/>
              <w:spacing w:before="80" w:after="80" w:line="200" w:lineRule="exact"/>
              <w:jc w:val="right"/>
              <w:rPr>
                <w:rFonts w:cs="Times New Roman"/>
                <w:i/>
                <w:sz w:val="16"/>
              </w:rPr>
            </w:pPr>
            <w:r w:rsidRPr="004544E0">
              <w:rPr>
                <w:rFonts w:cs="Times New Roman"/>
                <w:i/>
                <w:sz w:val="16"/>
              </w:rPr>
              <w:t>2016</w:t>
            </w:r>
            <w:r>
              <w:rPr>
                <w:rFonts w:cs="Times New Roman"/>
                <w:i/>
                <w:sz w:val="16"/>
              </w:rPr>
              <w:t>/</w:t>
            </w:r>
            <w:r w:rsidRPr="004544E0">
              <w:rPr>
                <w:rFonts w:cs="Times New Roman"/>
                <w:i/>
                <w:sz w:val="16"/>
              </w:rPr>
              <w:t>17</w:t>
            </w:r>
          </w:p>
        </w:tc>
        <w:tc>
          <w:tcPr>
            <w:tcW w:w="1688" w:type="dxa"/>
            <w:tcBorders>
              <w:top w:val="single" w:sz="4" w:space="0" w:color="auto"/>
              <w:bottom w:val="single" w:sz="12" w:space="0" w:color="auto"/>
            </w:tcBorders>
            <w:shd w:val="clear" w:color="auto" w:fill="auto"/>
            <w:vAlign w:val="bottom"/>
            <w:hideMark/>
          </w:tcPr>
          <w:p w14:paraId="1BBA89DC" w14:textId="77777777" w:rsidR="00936DFE" w:rsidRPr="004544E0" w:rsidRDefault="00936DFE" w:rsidP="00044DA6">
            <w:pPr>
              <w:suppressAutoHyphens w:val="0"/>
              <w:spacing w:before="80" w:after="80" w:line="200" w:lineRule="exact"/>
              <w:jc w:val="right"/>
              <w:rPr>
                <w:rFonts w:cs="Times New Roman"/>
                <w:i/>
                <w:sz w:val="16"/>
              </w:rPr>
            </w:pPr>
            <w:r w:rsidRPr="004544E0">
              <w:rPr>
                <w:rFonts w:cs="Times New Roman"/>
                <w:i/>
                <w:sz w:val="16"/>
              </w:rPr>
              <w:t>2017</w:t>
            </w:r>
            <w:r>
              <w:rPr>
                <w:rFonts w:cs="Times New Roman"/>
                <w:i/>
                <w:sz w:val="16"/>
              </w:rPr>
              <w:t>/</w:t>
            </w:r>
            <w:r w:rsidRPr="004544E0">
              <w:rPr>
                <w:rFonts w:cs="Times New Roman"/>
                <w:i/>
                <w:sz w:val="16"/>
              </w:rPr>
              <w:t>18</w:t>
            </w:r>
          </w:p>
        </w:tc>
        <w:tc>
          <w:tcPr>
            <w:tcW w:w="1688" w:type="dxa"/>
            <w:tcBorders>
              <w:top w:val="single" w:sz="4" w:space="0" w:color="auto"/>
              <w:bottom w:val="single" w:sz="12" w:space="0" w:color="auto"/>
            </w:tcBorders>
            <w:shd w:val="clear" w:color="auto" w:fill="auto"/>
            <w:vAlign w:val="bottom"/>
            <w:hideMark/>
          </w:tcPr>
          <w:p w14:paraId="5E478706" w14:textId="77777777" w:rsidR="00936DFE" w:rsidRPr="004544E0" w:rsidRDefault="00936DFE" w:rsidP="00044DA6">
            <w:pPr>
              <w:suppressAutoHyphens w:val="0"/>
              <w:spacing w:before="80" w:after="80" w:line="200" w:lineRule="exact"/>
              <w:jc w:val="right"/>
              <w:rPr>
                <w:rFonts w:cs="Times New Roman"/>
                <w:i/>
                <w:sz w:val="16"/>
              </w:rPr>
            </w:pPr>
            <w:r w:rsidRPr="004544E0">
              <w:rPr>
                <w:rFonts w:cs="Times New Roman"/>
                <w:i/>
                <w:sz w:val="16"/>
              </w:rPr>
              <w:t>2018</w:t>
            </w:r>
            <w:r>
              <w:rPr>
                <w:rFonts w:cs="Times New Roman"/>
                <w:i/>
                <w:sz w:val="16"/>
              </w:rPr>
              <w:t>/</w:t>
            </w:r>
            <w:r w:rsidRPr="004544E0">
              <w:rPr>
                <w:rFonts w:cs="Times New Roman"/>
                <w:i/>
                <w:sz w:val="16"/>
              </w:rPr>
              <w:t>19</w:t>
            </w:r>
          </w:p>
        </w:tc>
      </w:tr>
      <w:tr w:rsidR="00936DFE" w:rsidRPr="004544E0" w14:paraId="4EE4E121" w14:textId="77777777" w:rsidTr="00044DA6">
        <w:tc>
          <w:tcPr>
            <w:tcW w:w="2552" w:type="dxa"/>
            <w:tcBorders>
              <w:top w:val="single" w:sz="12" w:space="0" w:color="auto"/>
            </w:tcBorders>
            <w:shd w:val="clear" w:color="auto" w:fill="auto"/>
            <w:hideMark/>
          </w:tcPr>
          <w:p w14:paraId="0B1205F2" w14:textId="77777777" w:rsidR="00936DFE" w:rsidRPr="004544E0" w:rsidRDefault="00936DFE" w:rsidP="00044DA6">
            <w:pPr>
              <w:suppressAutoHyphens w:val="0"/>
              <w:spacing w:before="40" w:after="40" w:line="220" w:lineRule="exact"/>
              <w:rPr>
                <w:rFonts w:cs="Times New Roman"/>
                <w:sz w:val="18"/>
              </w:rPr>
            </w:pPr>
            <w:r w:rsidRPr="004544E0">
              <w:rPr>
                <w:rFonts w:cs="Times New Roman"/>
                <w:sz w:val="18"/>
              </w:rPr>
              <w:t>Количество студентов, всего:</w:t>
            </w:r>
          </w:p>
        </w:tc>
        <w:tc>
          <w:tcPr>
            <w:tcW w:w="1442" w:type="dxa"/>
            <w:tcBorders>
              <w:top w:val="single" w:sz="12" w:space="0" w:color="auto"/>
            </w:tcBorders>
            <w:shd w:val="clear" w:color="auto" w:fill="auto"/>
            <w:vAlign w:val="bottom"/>
            <w:hideMark/>
          </w:tcPr>
          <w:p w14:paraId="4D7ABAE7"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74</w:t>
            </w:r>
            <w:r>
              <w:rPr>
                <w:rFonts w:cs="Times New Roman"/>
                <w:sz w:val="18"/>
              </w:rPr>
              <w:t> </w:t>
            </w:r>
            <w:r w:rsidRPr="004544E0">
              <w:rPr>
                <w:rFonts w:cs="Times New Roman"/>
                <w:sz w:val="18"/>
              </w:rPr>
              <w:t>726 (100%)</w:t>
            </w:r>
          </w:p>
        </w:tc>
        <w:tc>
          <w:tcPr>
            <w:tcW w:w="1688" w:type="dxa"/>
            <w:tcBorders>
              <w:top w:val="single" w:sz="12" w:space="0" w:color="auto"/>
            </w:tcBorders>
            <w:shd w:val="clear" w:color="auto" w:fill="auto"/>
            <w:vAlign w:val="bottom"/>
            <w:hideMark/>
          </w:tcPr>
          <w:p w14:paraId="78610D47"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65 543</w:t>
            </w:r>
          </w:p>
        </w:tc>
        <w:tc>
          <w:tcPr>
            <w:tcW w:w="1688" w:type="dxa"/>
            <w:tcBorders>
              <w:top w:val="single" w:sz="12" w:space="0" w:color="auto"/>
            </w:tcBorders>
            <w:shd w:val="clear" w:color="auto" w:fill="auto"/>
            <w:vAlign w:val="bottom"/>
            <w:hideMark/>
          </w:tcPr>
          <w:p w14:paraId="3E474312"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60 608</w:t>
            </w:r>
          </w:p>
        </w:tc>
      </w:tr>
      <w:tr w:rsidR="00936DFE" w:rsidRPr="004544E0" w14:paraId="2F2FDA9D" w14:textId="77777777" w:rsidTr="00044DA6">
        <w:tc>
          <w:tcPr>
            <w:tcW w:w="2552" w:type="dxa"/>
            <w:shd w:val="clear" w:color="auto" w:fill="auto"/>
            <w:hideMark/>
          </w:tcPr>
          <w:p w14:paraId="3D9D95CA" w14:textId="77777777" w:rsidR="00936DFE" w:rsidRPr="004544E0" w:rsidRDefault="00936DFE" w:rsidP="00044DA6">
            <w:pPr>
              <w:suppressAutoHyphens w:val="0"/>
              <w:spacing w:before="40" w:after="40" w:line="220" w:lineRule="exact"/>
              <w:rPr>
                <w:rFonts w:cs="Times New Roman"/>
                <w:sz w:val="18"/>
              </w:rPr>
            </w:pPr>
            <w:r w:rsidRPr="004544E0">
              <w:rPr>
                <w:rFonts w:cs="Times New Roman"/>
                <w:sz w:val="18"/>
              </w:rPr>
              <w:t>Румынский</w:t>
            </w:r>
          </w:p>
        </w:tc>
        <w:tc>
          <w:tcPr>
            <w:tcW w:w="1442" w:type="dxa"/>
            <w:shd w:val="clear" w:color="auto" w:fill="auto"/>
            <w:vAlign w:val="bottom"/>
            <w:hideMark/>
          </w:tcPr>
          <w:p w14:paraId="61884850"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63</w:t>
            </w:r>
            <w:r>
              <w:rPr>
                <w:rFonts w:cs="Times New Roman"/>
                <w:sz w:val="18"/>
              </w:rPr>
              <w:t> </w:t>
            </w:r>
            <w:r w:rsidRPr="004544E0">
              <w:rPr>
                <w:rFonts w:cs="Times New Roman"/>
                <w:sz w:val="18"/>
              </w:rPr>
              <w:t>665 (85,2%)</w:t>
            </w:r>
          </w:p>
        </w:tc>
        <w:tc>
          <w:tcPr>
            <w:tcW w:w="1688" w:type="dxa"/>
            <w:shd w:val="clear" w:color="auto" w:fill="auto"/>
            <w:vAlign w:val="bottom"/>
            <w:hideMark/>
          </w:tcPr>
          <w:p w14:paraId="444B0E69"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54 264 (82,2%)</w:t>
            </w:r>
          </w:p>
        </w:tc>
        <w:tc>
          <w:tcPr>
            <w:tcW w:w="1688" w:type="dxa"/>
            <w:shd w:val="clear" w:color="auto" w:fill="auto"/>
            <w:vAlign w:val="bottom"/>
            <w:hideMark/>
          </w:tcPr>
          <w:p w14:paraId="0E74BAD3"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50 872 (83,9%)</w:t>
            </w:r>
          </w:p>
        </w:tc>
      </w:tr>
      <w:tr w:rsidR="00936DFE" w:rsidRPr="004544E0" w14:paraId="3CED3270" w14:textId="77777777" w:rsidTr="00044DA6">
        <w:tc>
          <w:tcPr>
            <w:tcW w:w="2552" w:type="dxa"/>
            <w:shd w:val="clear" w:color="auto" w:fill="auto"/>
            <w:hideMark/>
          </w:tcPr>
          <w:p w14:paraId="59E28815" w14:textId="77777777" w:rsidR="00936DFE" w:rsidRPr="004544E0" w:rsidRDefault="00936DFE" w:rsidP="00044DA6">
            <w:pPr>
              <w:suppressAutoHyphens w:val="0"/>
              <w:spacing w:before="40" w:after="40" w:line="220" w:lineRule="exact"/>
              <w:rPr>
                <w:rFonts w:cs="Times New Roman"/>
                <w:sz w:val="18"/>
              </w:rPr>
            </w:pPr>
            <w:r w:rsidRPr="004544E0">
              <w:rPr>
                <w:rFonts w:cs="Times New Roman"/>
                <w:sz w:val="18"/>
              </w:rPr>
              <w:t>Русский</w:t>
            </w:r>
          </w:p>
        </w:tc>
        <w:tc>
          <w:tcPr>
            <w:tcW w:w="1442" w:type="dxa"/>
            <w:shd w:val="clear" w:color="auto" w:fill="auto"/>
            <w:vAlign w:val="bottom"/>
            <w:hideMark/>
          </w:tcPr>
          <w:p w14:paraId="628B7FAB"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9</w:t>
            </w:r>
            <w:r>
              <w:rPr>
                <w:rFonts w:cs="Times New Roman"/>
                <w:sz w:val="18"/>
              </w:rPr>
              <w:t> </w:t>
            </w:r>
            <w:r w:rsidRPr="004544E0">
              <w:rPr>
                <w:rFonts w:cs="Times New Roman"/>
                <w:sz w:val="18"/>
              </w:rPr>
              <w:t>242 (12,4%)</w:t>
            </w:r>
          </w:p>
        </w:tc>
        <w:tc>
          <w:tcPr>
            <w:tcW w:w="1688" w:type="dxa"/>
            <w:shd w:val="clear" w:color="auto" w:fill="auto"/>
            <w:vAlign w:val="bottom"/>
            <w:hideMark/>
          </w:tcPr>
          <w:p w14:paraId="1CADAE7F"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9 717 (14,8%)</w:t>
            </w:r>
          </w:p>
        </w:tc>
        <w:tc>
          <w:tcPr>
            <w:tcW w:w="1688" w:type="dxa"/>
            <w:shd w:val="clear" w:color="auto" w:fill="auto"/>
            <w:vAlign w:val="bottom"/>
            <w:hideMark/>
          </w:tcPr>
          <w:p w14:paraId="4E0BFCC7"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8 336 (13,8%)</w:t>
            </w:r>
          </w:p>
        </w:tc>
      </w:tr>
      <w:tr w:rsidR="00936DFE" w:rsidRPr="004544E0" w14:paraId="3338717C" w14:textId="77777777" w:rsidTr="00044DA6">
        <w:tc>
          <w:tcPr>
            <w:tcW w:w="2552" w:type="dxa"/>
            <w:shd w:val="clear" w:color="auto" w:fill="auto"/>
            <w:hideMark/>
          </w:tcPr>
          <w:p w14:paraId="72B4CBD9" w14:textId="77777777" w:rsidR="00936DFE" w:rsidRPr="004544E0" w:rsidRDefault="00936DFE" w:rsidP="00044DA6">
            <w:pPr>
              <w:suppressAutoHyphens w:val="0"/>
              <w:spacing w:before="40" w:after="40" w:line="220" w:lineRule="exact"/>
              <w:rPr>
                <w:rFonts w:cs="Times New Roman"/>
                <w:sz w:val="18"/>
              </w:rPr>
            </w:pPr>
            <w:r w:rsidRPr="004544E0">
              <w:rPr>
                <w:rFonts w:cs="Times New Roman"/>
                <w:sz w:val="18"/>
              </w:rPr>
              <w:t>Английский</w:t>
            </w:r>
          </w:p>
        </w:tc>
        <w:tc>
          <w:tcPr>
            <w:tcW w:w="1442" w:type="dxa"/>
            <w:shd w:val="clear" w:color="auto" w:fill="auto"/>
            <w:vAlign w:val="bottom"/>
            <w:hideMark/>
          </w:tcPr>
          <w:p w14:paraId="1CFD49E2"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1</w:t>
            </w:r>
            <w:r>
              <w:rPr>
                <w:rFonts w:cs="Times New Roman"/>
                <w:sz w:val="18"/>
              </w:rPr>
              <w:t> </w:t>
            </w:r>
            <w:r w:rsidRPr="004544E0">
              <w:rPr>
                <w:rFonts w:cs="Times New Roman"/>
                <w:sz w:val="18"/>
              </w:rPr>
              <w:t>217 (1,6%)</w:t>
            </w:r>
          </w:p>
        </w:tc>
        <w:tc>
          <w:tcPr>
            <w:tcW w:w="1688" w:type="dxa"/>
            <w:shd w:val="clear" w:color="auto" w:fill="auto"/>
            <w:vAlign w:val="bottom"/>
            <w:hideMark/>
          </w:tcPr>
          <w:p w14:paraId="3C0814EE"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976 (1,5%)</w:t>
            </w:r>
          </w:p>
        </w:tc>
        <w:tc>
          <w:tcPr>
            <w:tcW w:w="1688" w:type="dxa"/>
            <w:shd w:val="clear" w:color="auto" w:fill="auto"/>
            <w:vAlign w:val="bottom"/>
            <w:hideMark/>
          </w:tcPr>
          <w:p w14:paraId="1D17C049"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896 (1,5%)</w:t>
            </w:r>
          </w:p>
        </w:tc>
      </w:tr>
      <w:tr w:rsidR="00936DFE" w:rsidRPr="004544E0" w14:paraId="5038D73D" w14:textId="77777777" w:rsidTr="00044DA6">
        <w:tc>
          <w:tcPr>
            <w:tcW w:w="2552" w:type="dxa"/>
            <w:shd w:val="clear" w:color="auto" w:fill="auto"/>
            <w:hideMark/>
          </w:tcPr>
          <w:p w14:paraId="17666808" w14:textId="77777777" w:rsidR="00936DFE" w:rsidRPr="004544E0" w:rsidRDefault="00936DFE" w:rsidP="00044DA6">
            <w:pPr>
              <w:keepNext/>
              <w:suppressAutoHyphens w:val="0"/>
              <w:spacing w:before="40" w:after="40" w:line="220" w:lineRule="exact"/>
              <w:rPr>
                <w:rFonts w:cs="Times New Roman"/>
                <w:sz w:val="18"/>
              </w:rPr>
            </w:pPr>
            <w:r w:rsidRPr="004544E0">
              <w:rPr>
                <w:rFonts w:cs="Times New Roman"/>
                <w:sz w:val="18"/>
              </w:rPr>
              <w:lastRenderedPageBreak/>
              <w:t>Французский</w:t>
            </w:r>
          </w:p>
        </w:tc>
        <w:tc>
          <w:tcPr>
            <w:tcW w:w="1442" w:type="dxa"/>
            <w:shd w:val="clear" w:color="auto" w:fill="auto"/>
            <w:vAlign w:val="bottom"/>
            <w:hideMark/>
          </w:tcPr>
          <w:p w14:paraId="4EB1C768" w14:textId="77777777" w:rsidR="00936DFE" w:rsidRPr="004544E0" w:rsidRDefault="00936DFE" w:rsidP="00044DA6">
            <w:pPr>
              <w:keepNext/>
              <w:suppressAutoHyphens w:val="0"/>
              <w:spacing w:before="40" w:after="40" w:line="220" w:lineRule="exact"/>
              <w:jc w:val="right"/>
              <w:rPr>
                <w:rFonts w:cs="Times New Roman"/>
                <w:sz w:val="18"/>
              </w:rPr>
            </w:pPr>
            <w:r w:rsidRPr="004544E0">
              <w:rPr>
                <w:rFonts w:cs="Times New Roman"/>
                <w:sz w:val="18"/>
              </w:rPr>
              <w:t>401 (0,6%)</w:t>
            </w:r>
          </w:p>
        </w:tc>
        <w:tc>
          <w:tcPr>
            <w:tcW w:w="1688" w:type="dxa"/>
            <w:shd w:val="clear" w:color="auto" w:fill="auto"/>
            <w:vAlign w:val="bottom"/>
            <w:hideMark/>
          </w:tcPr>
          <w:p w14:paraId="153BCC15" w14:textId="77777777" w:rsidR="00936DFE" w:rsidRPr="004544E0" w:rsidRDefault="00936DFE" w:rsidP="00044DA6">
            <w:pPr>
              <w:keepNext/>
              <w:suppressAutoHyphens w:val="0"/>
              <w:spacing w:before="40" w:after="40" w:line="220" w:lineRule="exact"/>
              <w:jc w:val="right"/>
              <w:rPr>
                <w:rFonts w:cs="Times New Roman"/>
                <w:sz w:val="18"/>
              </w:rPr>
            </w:pPr>
            <w:r w:rsidRPr="004544E0">
              <w:rPr>
                <w:rFonts w:cs="Times New Roman"/>
                <w:sz w:val="18"/>
              </w:rPr>
              <w:t>460 (0,7%)</w:t>
            </w:r>
          </w:p>
        </w:tc>
        <w:tc>
          <w:tcPr>
            <w:tcW w:w="1688" w:type="dxa"/>
            <w:shd w:val="clear" w:color="auto" w:fill="auto"/>
            <w:vAlign w:val="bottom"/>
            <w:hideMark/>
          </w:tcPr>
          <w:p w14:paraId="3210F94D" w14:textId="77777777" w:rsidR="00936DFE" w:rsidRPr="004544E0" w:rsidRDefault="00936DFE" w:rsidP="00044DA6">
            <w:pPr>
              <w:keepNext/>
              <w:suppressAutoHyphens w:val="0"/>
              <w:spacing w:before="40" w:after="40" w:line="220" w:lineRule="exact"/>
              <w:jc w:val="right"/>
              <w:rPr>
                <w:rFonts w:cs="Times New Roman"/>
                <w:sz w:val="18"/>
              </w:rPr>
            </w:pPr>
            <w:r w:rsidRPr="004544E0">
              <w:rPr>
                <w:rFonts w:cs="Times New Roman"/>
                <w:sz w:val="18"/>
              </w:rPr>
              <w:t>400 (0,7%)</w:t>
            </w:r>
          </w:p>
        </w:tc>
      </w:tr>
      <w:tr w:rsidR="00936DFE" w:rsidRPr="004544E0" w14:paraId="1E31F0AF" w14:textId="77777777" w:rsidTr="00044DA6">
        <w:tc>
          <w:tcPr>
            <w:tcW w:w="2552" w:type="dxa"/>
            <w:tcBorders>
              <w:bottom w:val="single" w:sz="12" w:space="0" w:color="auto"/>
            </w:tcBorders>
            <w:shd w:val="clear" w:color="auto" w:fill="auto"/>
            <w:hideMark/>
          </w:tcPr>
          <w:p w14:paraId="2FA617F4" w14:textId="77777777" w:rsidR="00936DFE" w:rsidRPr="004544E0" w:rsidRDefault="00936DFE" w:rsidP="00044DA6">
            <w:pPr>
              <w:suppressAutoHyphens w:val="0"/>
              <w:spacing w:before="40" w:after="40" w:line="220" w:lineRule="exact"/>
              <w:rPr>
                <w:rFonts w:cs="Times New Roman"/>
                <w:sz w:val="18"/>
              </w:rPr>
            </w:pPr>
            <w:r w:rsidRPr="004544E0">
              <w:rPr>
                <w:rFonts w:cs="Times New Roman"/>
                <w:sz w:val="18"/>
              </w:rPr>
              <w:t>Другие (итальянский/немецкий)</w:t>
            </w:r>
          </w:p>
        </w:tc>
        <w:tc>
          <w:tcPr>
            <w:tcW w:w="1442" w:type="dxa"/>
            <w:tcBorders>
              <w:bottom w:val="single" w:sz="12" w:space="0" w:color="auto"/>
            </w:tcBorders>
            <w:shd w:val="clear" w:color="auto" w:fill="auto"/>
            <w:vAlign w:val="bottom"/>
            <w:hideMark/>
          </w:tcPr>
          <w:p w14:paraId="11F1A87C"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141 (0,2%)</w:t>
            </w:r>
          </w:p>
        </w:tc>
        <w:tc>
          <w:tcPr>
            <w:tcW w:w="1688" w:type="dxa"/>
            <w:tcBorders>
              <w:bottom w:val="single" w:sz="12" w:space="0" w:color="auto"/>
            </w:tcBorders>
            <w:shd w:val="clear" w:color="auto" w:fill="auto"/>
            <w:vAlign w:val="bottom"/>
            <w:hideMark/>
          </w:tcPr>
          <w:p w14:paraId="7ED96367"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126 (0,2%)</w:t>
            </w:r>
          </w:p>
        </w:tc>
        <w:tc>
          <w:tcPr>
            <w:tcW w:w="1688" w:type="dxa"/>
            <w:tcBorders>
              <w:bottom w:val="single" w:sz="12" w:space="0" w:color="auto"/>
            </w:tcBorders>
            <w:shd w:val="clear" w:color="auto" w:fill="auto"/>
            <w:vAlign w:val="bottom"/>
            <w:hideMark/>
          </w:tcPr>
          <w:p w14:paraId="74C755C2" w14:textId="77777777" w:rsidR="00936DFE" w:rsidRPr="004544E0" w:rsidRDefault="00936DFE" w:rsidP="00044DA6">
            <w:pPr>
              <w:suppressAutoHyphens w:val="0"/>
              <w:spacing w:before="40" w:after="40" w:line="220" w:lineRule="exact"/>
              <w:jc w:val="right"/>
              <w:rPr>
                <w:rFonts w:cs="Times New Roman"/>
                <w:sz w:val="18"/>
              </w:rPr>
            </w:pPr>
            <w:r w:rsidRPr="004544E0">
              <w:rPr>
                <w:rFonts w:cs="Times New Roman"/>
                <w:sz w:val="18"/>
              </w:rPr>
              <w:t>104 (0,2%)</w:t>
            </w:r>
          </w:p>
        </w:tc>
      </w:tr>
    </w:tbl>
    <w:p w14:paraId="7CEB3121" w14:textId="77777777" w:rsidR="00936DFE" w:rsidRDefault="00936DFE" w:rsidP="00936DFE">
      <w:pPr>
        <w:pStyle w:val="H23G"/>
      </w:pPr>
      <w:r>
        <w:tab/>
      </w:r>
      <w:r>
        <w:tab/>
      </w:r>
      <w:r w:rsidRPr="00CB26B4">
        <w:t>Доступ к образованию в Автономном территориальном образовании Гагаузия</w:t>
      </w:r>
    </w:p>
    <w:p w14:paraId="65C8AABC" w14:textId="77777777" w:rsidR="00936DFE" w:rsidRDefault="00936DFE" w:rsidP="00936DFE">
      <w:pPr>
        <w:pStyle w:val="SingleTxtG"/>
      </w:pPr>
      <w:r>
        <w:t>102.</w:t>
      </w:r>
      <w:r>
        <w:tab/>
      </w:r>
      <w:r w:rsidRPr="00CB26B4">
        <w:t xml:space="preserve">В Автономном территориальном образовании Гагаузия (АТО Гагаузия) действуют 46 </w:t>
      </w:r>
      <w:proofErr w:type="spellStart"/>
      <w:r w:rsidRPr="00CB26B4">
        <w:t>доуниверситетских</w:t>
      </w:r>
      <w:proofErr w:type="spellEnd"/>
      <w:r w:rsidRPr="00CB26B4">
        <w:t xml:space="preserve"> учебных заведений, в которых обучаются 15</w:t>
      </w:r>
      <w:r>
        <w:t> </w:t>
      </w:r>
      <w:r w:rsidRPr="00CB26B4">
        <w:t>462</w:t>
      </w:r>
      <w:r>
        <w:rPr>
          <w:lang w:val="en-US"/>
        </w:rPr>
        <w:t> </w:t>
      </w:r>
      <w:r w:rsidRPr="00CB26B4">
        <w:t xml:space="preserve">учащихся. В Гагаузии функционируют </w:t>
      </w:r>
      <w:r>
        <w:t>два</w:t>
      </w:r>
      <w:r w:rsidRPr="00CB26B4">
        <w:t xml:space="preserve"> лицея с преподаванием на государственном языке, </w:t>
      </w:r>
      <w:r>
        <w:t>один</w:t>
      </w:r>
      <w:r w:rsidRPr="00CB26B4">
        <w:t xml:space="preserve"> молдавско-турецкий лицей и </w:t>
      </w:r>
      <w:r>
        <w:t>один</w:t>
      </w:r>
      <w:r w:rsidRPr="00CB26B4">
        <w:t xml:space="preserve"> смешанный лицей, в</w:t>
      </w:r>
      <w:r>
        <w:rPr>
          <w:lang w:val="en-US"/>
        </w:rPr>
        <w:t> </w:t>
      </w:r>
      <w:r w:rsidRPr="00CB26B4">
        <w:t>которых есть классы с преподаванием на румынском и русском языках. Все учащиеся изучают государственный язык.</w:t>
      </w:r>
    </w:p>
    <w:p w14:paraId="5E4ACFED" w14:textId="77777777" w:rsidR="00936DFE" w:rsidRDefault="00936DFE" w:rsidP="00936DFE">
      <w:pPr>
        <w:pStyle w:val="SingleTxtG"/>
      </w:pPr>
      <w:r>
        <w:t>103.</w:t>
      </w:r>
      <w:r>
        <w:tab/>
      </w:r>
      <w:r w:rsidRPr="00CB26B4">
        <w:t>Общее количество учащихся, изучающих Гагаузский Язык и литературу, составляет 12 396 учеников. Болгарский язык и литературу изучают 1520 учеников. История, культура и традиции гагаузского народа</w:t>
      </w:r>
      <w:r w:rsidRPr="00CB26B4">
        <w:rPr>
          <w:i/>
        </w:rPr>
        <w:t xml:space="preserve"> </w:t>
      </w:r>
      <w:r w:rsidRPr="00CB26B4">
        <w:t>преподается в начальном и гимназическом циклах обучения 11 628 ученикам.</w:t>
      </w:r>
      <w:r w:rsidRPr="006C3020">
        <w:t xml:space="preserve"> </w:t>
      </w:r>
    </w:p>
    <w:p w14:paraId="7717AAEF" w14:textId="77777777" w:rsidR="00936DFE" w:rsidRDefault="00936DFE" w:rsidP="00936DFE">
      <w:pPr>
        <w:pStyle w:val="SingleTxtG"/>
      </w:pPr>
      <w:r>
        <w:t>104.</w:t>
      </w:r>
      <w:r>
        <w:tab/>
      </w:r>
      <w:r w:rsidRPr="00CB26B4">
        <w:t>Все учебные заведения</w:t>
      </w:r>
      <w:r>
        <w:t xml:space="preserve"> </w:t>
      </w:r>
      <w:r w:rsidRPr="00CB26B4">
        <w:t>обеспечены учебниками и дидактическими материалами. В</w:t>
      </w:r>
      <w:r>
        <w:t> </w:t>
      </w:r>
      <w:r w:rsidRPr="00CB26B4">
        <w:t>2019 г</w:t>
      </w:r>
      <w:r>
        <w:t>оду</w:t>
      </w:r>
      <w:r w:rsidRPr="00CB26B4">
        <w:t xml:space="preserve"> впервые под патронажем Главы АТО Гагаузия были изданы учебники по Гагаузскому языку и литературе для </w:t>
      </w:r>
      <w:r>
        <w:t>10–12</w:t>
      </w:r>
      <w:r w:rsidRPr="00CB26B4">
        <w:t xml:space="preserve"> классов лицеев.</w:t>
      </w:r>
    </w:p>
    <w:p w14:paraId="62058BFB" w14:textId="77777777" w:rsidR="00936DFE" w:rsidRPr="00CB26B4" w:rsidRDefault="00936DFE" w:rsidP="00936DFE">
      <w:pPr>
        <w:pStyle w:val="SingleTxtG"/>
      </w:pPr>
      <w:r>
        <w:t>105.</w:t>
      </w:r>
      <w:r>
        <w:tab/>
      </w:r>
      <w:r w:rsidRPr="00CB26B4">
        <w:t>Все учебные заведения автономии обеспечены на 9</w:t>
      </w:r>
      <w:r>
        <w:t>8 процентов</w:t>
      </w:r>
      <w:r w:rsidRPr="00CB26B4">
        <w:t xml:space="preserve"> квалифицированными преподавателями румынского языка и гагаузского языка и литературы. Общее количество дидактического корпуса, которые преподают Гагаузский язык и литературу, а также Историю, культуру и традиции гагаузского народа, составляет 119 человек.</w:t>
      </w:r>
    </w:p>
    <w:p w14:paraId="09D81173" w14:textId="77777777" w:rsidR="00936DFE" w:rsidRPr="00CB26B4" w:rsidRDefault="00936DFE" w:rsidP="00936DFE">
      <w:pPr>
        <w:pStyle w:val="H4G"/>
      </w:pPr>
      <w:r>
        <w:tab/>
      </w:r>
      <w:r>
        <w:tab/>
      </w:r>
      <w:r w:rsidRPr="00CB26B4">
        <w:t>Изучение государственного языка</w:t>
      </w:r>
    </w:p>
    <w:p w14:paraId="41222685" w14:textId="77777777" w:rsidR="00936DFE" w:rsidRDefault="00936DFE" w:rsidP="00936DFE">
      <w:pPr>
        <w:pStyle w:val="SingleTxtG"/>
      </w:pPr>
      <w:r>
        <w:t>106.</w:t>
      </w:r>
      <w:r>
        <w:tab/>
      </w:r>
      <w:r w:rsidRPr="00CB26B4">
        <w:t>Начиная с 2015 г</w:t>
      </w:r>
      <w:r>
        <w:t>ода</w:t>
      </w:r>
      <w:r w:rsidRPr="00CB26B4">
        <w:t xml:space="preserve"> при финансовой поддержке Верховного комиссара ОБСЕ по делам национальных меньшинств (ВКНМ) и органов местного публичного управления успешно внедряется в детских садах Гагаузии двуязычная программа «Интеграция с уважением к разнообразию </w:t>
      </w:r>
      <w:r>
        <w:t>—</w:t>
      </w:r>
      <w:r w:rsidRPr="00CB26B4">
        <w:t xml:space="preserve"> одновременное изучение румынского и гагаузского языков в АТО Гагаузия». </w:t>
      </w:r>
      <w:r w:rsidRPr="00CB26B4">
        <w:rPr>
          <w:bCs/>
        </w:rPr>
        <w:t xml:space="preserve">Цель программы: создание необходимых условий для детей и их родителей для параллельного изучения румынского и гагаузского языков, что будет способствовать их языковой, социальной и профессиональной сплоченности и интеграции, а также сохранению этнической самобытности и культурного наследия в регионе. </w:t>
      </w:r>
    </w:p>
    <w:p w14:paraId="562C8991" w14:textId="77777777" w:rsidR="00936DFE" w:rsidRPr="00CB26B4" w:rsidRDefault="00936DFE" w:rsidP="00936DFE">
      <w:pPr>
        <w:pStyle w:val="SingleTxtG"/>
      </w:pPr>
      <w:r>
        <w:t>107.</w:t>
      </w:r>
      <w:r>
        <w:tab/>
      </w:r>
      <w:r w:rsidRPr="00CB26B4">
        <w:t>В настоящее время 7898 детей из 56 учреждений раннего образования в АТО Гагаузия изучают румынский и гагаузский языки. Все детские сады снабжены учебными материалами на двух языках для изучения их родного и государственного языков, разработанные Национальной ассоциацией европейских тренеров Молдовы (ANTEM)</w:t>
      </w:r>
      <w:r w:rsidRPr="00E547A3">
        <w:rPr>
          <w:sz w:val="18"/>
          <w:szCs w:val="18"/>
          <w:vertAlign w:val="superscript"/>
        </w:rPr>
        <w:footnoteReference w:id="33"/>
      </w:r>
      <w:r w:rsidRPr="00CB26B4">
        <w:t>: учебники, карточки с картинками, сборник песен и стихов, аудиоматериалы. Программу имплементируют 67 преподавателей румынского языка, 64 преподавател</w:t>
      </w:r>
      <w:r>
        <w:t>я</w:t>
      </w:r>
      <w:r w:rsidRPr="00CB26B4">
        <w:t xml:space="preserve"> гагаузского языка.</w:t>
      </w:r>
    </w:p>
    <w:p w14:paraId="05A663EF" w14:textId="77777777" w:rsidR="00936DFE" w:rsidRPr="00CB26B4" w:rsidRDefault="00936DFE" w:rsidP="00936DFE">
      <w:pPr>
        <w:pStyle w:val="H23G"/>
        <w:rPr>
          <w:bCs/>
        </w:rPr>
      </w:pPr>
      <w:r>
        <w:tab/>
      </w:r>
      <w:r>
        <w:tab/>
      </w:r>
      <w:r w:rsidRPr="00CB26B4">
        <w:t xml:space="preserve">Доступ к образованию в </w:t>
      </w:r>
      <w:proofErr w:type="spellStart"/>
      <w:r w:rsidRPr="00CB26B4">
        <w:t>Тараклийском</w:t>
      </w:r>
      <w:proofErr w:type="spellEnd"/>
      <w:r w:rsidRPr="00CB26B4">
        <w:t xml:space="preserve"> районе</w:t>
      </w:r>
    </w:p>
    <w:p w14:paraId="5B547CA6" w14:textId="77777777" w:rsidR="00936DFE" w:rsidRDefault="00936DFE" w:rsidP="00936DFE">
      <w:pPr>
        <w:pStyle w:val="SingleTxtG"/>
      </w:pPr>
      <w:r>
        <w:t>108.</w:t>
      </w:r>
      <w:r>
        <w:tab/>
      </w:r>
      <w:r w:rsidRPr="00CB26B4">
        <w:t xml:space="preserve">В </w:t>
      </w:r>
      <w:proofErr w:type="spellStart"/>
      <w:r w:rsidRPr="00CB26B4">
        <w:t>Тараклийском</w:t>
      </w:r>
      <w:proofErr w:type="spellEnd"/>
      <w:r w:rsidRPr="00CB26B4">
        <w:t xml:space="preserve"> районе действуют 34 общеобразовательных учреждения, в том числе: 16 учреждений раннего образования (1511 детей); </w:t>
      </w:r>
      <w:r>
        <w:t>два</w:t>
      </w:r>
      <w:r w:rsidRPr="00CB26B4">
        <w:t xml:space="preserve"> образовательных комплекса </w:t>
      </w:r>
      <w:r>
        <w:t>—</w:t>
      </w:r>
      <w:r w:rsidRPr="00CB26B4">
        <w:t xml:space="preserve"> детский сад-гимназия; 10 гимназий (1532 ученика); </w:t>
      </w:r>
      <w:r>
        <w:t>шесть</w:t>
      </w:r>
      <w:r w:rsidRPr="00CB26B4">
        <w:t xml:space="preserve"> лицеев </w:t>
      </w:r>
      <w:r w:rsidRPr="00CB26B4">
        <w:lastRenderedPageBreak/>
        <w:t>(1859</w:t>
      </w:r>
      <w:r>
        <w:t> </w:t>
      </w:r>
      <w:r w:rsidRPr="00CB26B4">
        <w:t>ученик</w:t>
      </w:r>
      <w:r>
        <w:t>ов</w:t>
      </w:r>
      <w:r w:rsidRPr="00CB26B4">
        <w:t>). Во всех учебных заведениях принимаются меры по обеспечению качественного преподавания родного и государственного языков.</w:t>
      </w:r>
    </w:p>
    <w:p w14:paraId="533EC851" w14:textId="77777777" w:rsidR="00936DFE" w:rsidRDefault="00936DFE" w:rsidP="00936DFE">
      <w:pPr>
        <w:pStyle w:val="SingleTxtG"/>
      </w:pPr>
      <w:r>
        <w:t>109.</w:t>
      </w:r>
      <w:r>
        <w:tab/>
      </w:r>
      <w:r w:rsidRPr="00CB26B4">
        <w:t>Болгарский язык и литература, История, культура и традиции преподаются</w:t>
      </w:r>
      <w:r w:rsidRPr="00CB26B4">
        <w:rPr>
          <w:i/>
        </w:rPr>
        <w:t xml:space="preserve"> </w:t>
      </w:r>
      <w:r w:rsidRPr="00CB26B4">
        <w:t>в</w:t>
      </w:r>
      <w:r w:rsidRPr="00CB26B4">
        <w:rPr>
          <w:i/>
        </w:rPr>
        <w:t xml:space="preserve"> </w:t>
      </w:r>
      <w:r w:rsidRPr="00CB26B4">
        <w:t>18</w:t>
      </w:r>
      <w:r>
        <w:t> </w:t>
      </w:r>
      <w:r w:rsidRPr="00CB26B4">
        <w:t>гимназиях и лицеях (1477 ученикам). Классы, в которых обучается больше 25</w:t>
      </w:r>
      <w:r>
        <w:t> </w:t>
      </w:r>
      <w:r w:rsidRPr="00CB26B4">
        <w:t xml:space="preserve">учеников, делятся на подгруппы. Болгарский язык преподают 73 преподавателя </w:t>
      </w:r>
      <w:r>
        <w:t>—</w:t>
      </w:r>
      <w:r w:rsidRPr="00CB26B4">
        <w:t xml:space="preserve"> филолога болгарского языка и литературы.</w:t>
      </w:r>
      <w:r>
        <w:t xml:space="preserve"> </w:t>
      </w:r>
      <w:r w:rsidRPr="00CB26B4">
        <w:t xml:space="preserve">В начальных классах болгарский язык преподает учитель начальных классов, если у него есть соответствующая специализация, таких учителей 32 человека. </w:t>
      </w:r>
      <w:proofErr w:type="spellStart"/>
      <w:r w:rsidRPr="00CB26B4">
        <w:t>Тараклийский</w:t>
      </w:r>
      <w:proofErr w:type="spellEnd"/>
      <w:r w:rsidRPr="00CB26B4">
        <w:t xml:space="preserve"> район на 100</w:t>
      </w:r>
      <w:r>
        <w:t xml:space="preserve"> процентов</w:t>
      </w:r>
      <w:r w:rsidRPr="00CB26B4">
        <w:t xml:space="preserve"> обеспечен дидактическими кадрами, которые преподают румынский и болгарский языки и литературу.</w:t>
      </w:r>
    </w:p>
    <w:p w14:paraId="2A97A75D" w14:textId="77777777" w:rsidR="00936DFE" w:rsidRDefault="00936DFE" w:rsidP="00936DFE">
      <w:pPr>
        <w:pStyle w:val="H4G"/>
      </w:pPr>
      <w:r>
        <w:tab/>
      </w:r>
      <w:r>
        <w:tab/>
      </w:r>
      <w:r w:rsidRPr="00CB26B4">
        <w:t>Изучение государственного языка</w:t>
      </w:r>
    </w:p>
    <w:p w14:paraId="16FC6FC2" w14:textId="77777777" w:rsidR="00936DFE" w:rsidRDefault="00936DFE" w:rsidP="00936DFE">
      <w:pPr>
        <w:pStyle w:val="SingleTxtG"/>
      </w:pPr>
      <w:r>
        <w:t>110.</w:t>
      </w:r>
      <w:r>
        <w:tab/>
      </w:r>
      <w:r w:rsidRPr="00AA4C83">
        <w:t>В 2018–1919</w:t>
      </w:r>
      <w:r w:rsidRPr="00CB26B4">
        <w:t xml:space="preserve"> учебном году 3287 учеников изучали румынский язык как не родной язык. Румынский язык и литература преподаются во всех общеобразовательных учреждениях с обучением на русском языке </w:t>
      </w:r>
      <w:r>
        <w:t>—</w:t>
      </w:r>
      <w:r w:rsidRPr="00CB26B4">
        <w:t xml:space="preserve"> </w:t>
      </w:r>
      <w:r>
        <w:t>четыре</w:t>
      </w:r>
      <w:r w:rsidRPr="00CB26B4">
        <w:t xml:space="preserve"> часа в неделю. Классы, в которых занимаются более 25 учеников, делятся на подгруппы. В</w:t>
      </w:r>
      <w:r>
        <w:t> </w:t>
      </w:r>
      <w:proofErr w:type="spellStart"/>
      <w:r w:rsidRPr="00CB26B4">
        <w:t>доуниверситетских</w:t>
      </w:r>
      <w:proofErr w:type="spellEnd"/>
      <w:r w:rsidRPr="00CB26B4">
        <w:t xml:space="preserve"> учебных заведениях </w:t>
      </w:r>
      <w:proofErr w:type="spellStart"/>
      <w:r w:rsidRPr="00CB26B4">
        <w:t>Тараклийского</w:t>
      </w:r>
      <w:proofErr w:type="spellEnd"/>
      <w:r w:rsidRPr="00CB26B4">
        <w:t xml:space="preserve"> района преподают 44</w:t>
      </w:r>
      <w:r>
        <w:t> </w:t>
      </w:r>
      <w:r w:rsidRPr="00CB26B4">
        <w:t xml:space="preserve">учителя румынского языка и литературы, в классах с обучением на языках национальных меньшинств, и </w:t>
      </w:r>
      <w:r>
        <w:t>четыре</w:t>
      </w:r>
      <w:r w:rsidRPr="00CB26B4">
        <w:t xml:space="preserve"> преподавателя </w:t>
      </w:r>
      <w:r>
        <w:t>—</w:t>
      </w:r>
      <w:r w:rsidRPr="00CB26B4">
        <w:t xml:space="preserve"> в классах с</w:t>
      </w:r>
      <w:r>
        <w:t xml:space="preserve"> </w:t>
      </w:r>
      <w:r w:rsidRPr="00CB26B4">
        <w:t xml:space="preserve">обучением на румынском языке. </w:t>
      </w:r>
    </w:p>
    <w:p w14:paraId="6D581833" w14:textId="77777777" w:rsidR="00936DFE" w:rsidRDefault="00936DFE" w:rsidP="00936DFE">
      <w:pPr>
        <w:pStyle w:val="SingleTxtG"/>
      </w:pPr>
      <w:r>
        <w:t>111.</w:t>
      </w:r>
      <w:r>
        <w:tab/>
      </w:r>
      <w:r w:rsidRPr="00CB26B4">
        <w:t xml:space="preserve">В 11 общеобразовательных учреждениях </w:t>
      </w:r>
      <w:proofErr w:type="spellStart"/>
      <w:r w:rsidRPr="00CB26B4">
        <w:t>Тараклийского</w:t>
      </w:r>
      <w:proofErr w:type="spellEnd"/>
      <w:r w:rsidRPr="00CB26B4">
        <w:t xml:space="preserve"> района реализуется проект «Социолингвистическая интеграция иноязычных учащихся посредством увеличения количества школьных предметов, изучаемых на румынском языке». По</w:t>
      </w:r>
      <w:r>
        <w:t> </w:t>
      </w:r>
      <w:r w:rsidRPr="00CB26B4">
        <w:t>просьбе родителей и учеников обеспечивается изучение на государственном языке некоторых предпочтительно выбранных предметов, в частности: Физическое воспитание, Музыкальное образование, Технологическое образование, факультативный курс «Искусство общения». Упомянутые курсы, которые преподаются на румынском языке, сознательно запрашиваются родителями и детьми для улучшения их знаний и навыков общения на румынском языке. Преподаватели используют различные интерактивные методы для создания румынской лингвистической среды.</w:t>
      </w:r>
    </w:p>
    <w:p w14:paraId="67A55B9B" w14:textId="77777777" w:rsidR="00936DFE" w:rsidRDefault="00936DFE" w:rsidP="00936DFE">
      <w:pPr>
        <w:pStyle w:val="H23G"/>
      </w:pPr>
      <w:r>
        <w:tab/>
      </w:r>
      <w:r>
        <w:tab/>
      </w:r>
      <w:r w:rsidRPr="00CB26B4">
        <w:t xml:space="preserve">Доступ национальных меньшинств Республики Молдова к изучению государственного языка </w:t>
      </w:r>
    </w:p>
    <w:p w14:paraId="4DB8258B" w14:textId="77777777" w:rsidR="00936DFE" w:rsidRDefault="00936DFE" w:rsidP="00936DFE">
      <w:pPr>
        <w:pStyle w:val="H4G"/>
      </w:pPr>
      <w:r>
        <w:tab/>
      </w:r>
      <w:r>
        <w:tab/>
      </w:r>
      <w:r w:rsidRPr="00CB26B4">
        <w:t>В общеобразовательных учреждениях</w:t>
      </w:r>
    </w:p>
    <w:p w14:paraId="2C853657" w14:textId="77777777" w:rsidR="00936DFE" w:rsidRDefault="00936DFE" w:rsidP="00936DFE">
      <w:pPr>
        <w:pStyle w:val="SingleTxtG"/>
      </w:pPr>
      <w:r>
        <w:t>112.</w:t>
      </w:r>
      <w:r>
        <w:tab/>
      </w:r>
      <w:r w:rsidRPr="00CB26B4">
        <w:t>План действий по реализации Национальной программы по улучшению качества изучения румынского языка в общеобразовательных учреждениях с обучением на языках национальных меньшинств (2016</w:t>
      </w:r>
      <w:r>
        <w:t>–</w:t>
      </w:r>
      <w:r w:rsidRPr="00CB26B4">
        <w:t>2020 годы), утвержденный ПП</w:t>
      </w:r>
      <w:r>
        <w:t> </w:t>
      </w:r>
      <w:r w:rsidRPr="00CB26B4">
        <w:rPr>
          <w:bCs/>
        </w:rPr>
        <w:t>№</w:t>
      </w:r>
      <w:r w:rsidRPr="00CB26B4">
        <w:t xml:space="preserve"> 904/2015 предусматривает специальные меры по обеспечению качественного преподавания румынского языка, обеспечивая изучение румынского языка, начиная с уровня</w:t>
      </w:r>
      <w:r>
        <w:t xml:space="preserve"> </w:t>
      </w:r>
      <w:r w:rsidRPr="00CB26B4">
        <w:t>дошкольных учреждений.</w:t>
      </w:r>
    </w:p>
    <w:p w14:paraId="0D827037" w14:textId="77777777" w:rsidR="00936DFE" w:rsidRDefault="00936DFE" w:rsidP="00936DFE">
      <w:pPr>
        <w:pStyle w:val="SingleTxtG"/>
      </w:pPr>
      <w:r>
        <w:t>113.</w:t>
      </w:r>
      <w:r>
        <w:tab/>
      </w:r>
      <w:r w:rsidRPr="00CB26B4">
        <w:t>В 2018 г</w:t>
      </w:r>
      <w:r>
        <w:t>оду</w:t>
      </w:r>
      <w:r w:rsidRPr="00CB26B4">
        <w:t xml:space="preserve"> было разработано Руководство и Национальная учебная программа на румынском языке для учреждений раннего образования с программой на языках национальных меньшинств, утвержденное НСК (Приказ МОКИ № 1592 от 25</w:t>
      </w:r>
      <w:r>
        <w:t xml:space="preserve"> октября </w:t>
      </w:r>
      <w:r w:rsidRPr="00CB26B4">
        <w:t>2018 г</w:t>
      </w:r>
      <w:r>
        <w:t>ода</w:t>
      </w:r>
      <w:r w:rsidRPr="00CB26B4">
        <w:t xml:space="preserve">). Этот инновационный документ нацелен на процесс изучения государственного языка в соответствии с современными европейскими тенденциями раннего изучения не родного/иностранного языка, что является новшеством для системы образования в Республике Молдова. </w:t>
      </w:r>
      <w:proofErr w:type="spellStart"/>
      <w:r w:rsidRPr="00CB26B4">
        <w:t>Куррикулум</w:t>
      </w:r>
      <w:proofErr w:type="spellEnd"/>
      <w:r>
        <w:t xml:space="preserve"> </w:t>
      </w:r>
      <w:r w:rsidRPr="00CB26B4">
        <w:t>предназначен для изучения румынского языка как не родного языка в учреждениях раннего образования в группах: средней (4</w:t>
      </w:r>
      <w:r>
        <w:t>–</w:t>
      </w:r>
      <w:r w:rsidRPr="00CB26B4">
        <w:t>5 лет), старшей (5</w:t>
      </w:r>
      <w:r>
        <w:t>–</w:t>
      </w:r>
      <w:r w:rsidRPr="00CB26B4">
        <w:t>6 лет) и подготовительной (6</w:t>
      </w:r>
      <w:r>
        <w:t>–</w:t>
      </w:r>
      <w:r w:rsidRPr="00CB26B4">
        <w:t>7 лет).</w:t>
      </w:r>
    </w:p>
    <w:p w14:paraId="6017A1D4" w14:textId="77777777" w:rsidR="00936DFE" w:rsidRDefault="00936DFE" w:rsidP="00936DFE">
      <w:pPr>
        <w:pStyle w:val="SingleTxtG"/>
      </w:pPr>
      <w:r>
        <w:t>114.</w:t>
      </w:r>
      <w:r>
        <w:tab/>
      </w:r>
      <w:r w:rsidRPr="00CB26B4">
        <w:t>В 2018 г</w:t>
      </w:r>
      <w:r>
        <w:t>оду</w:t>
      </w:r>
      <w:r w:rsidRPr="00CB26B4">
        <w:t xml:space="preserve"> была издана серия учебных материалов для внедрения моделей изучения румынского языка в учреждениях раннего образования с программой на языках национальных меньшинств: </w:t>
      </w:r>
      <w:proofErr w:type="spellStart"/>
      <w:r w:rsidRPr="00CB26B4">
        <w:t>Куррикулум</w:t>
      </w:r>
      <w:proofErr w:type="spellEnd"/>
      <w:r w:rsidRPr="00CB26B4">
        <w:t xml:space="preserve">, Руководство, Учебник по румынскому языку для уровня </w:t>
      </w:r>
      <w:r w:rsidRPr="00CB26B4">
        <w:rPr>
          <w:lang w:val="es-ES"/>
        </w:rPr>
        <w:t>A</w:t>
      </w:r>
      <w:r w:rsidRPr="00CB26B4">
        <w:t>1.1, др.</w:t>
      </w:r>
    </w:p>
    <w:p w14:paraId="05A83688" w14:textId="77777777" w:rsidR="00936DFE" w:rsidRDefault="00936DFE" w:rsidP="00936DFE">
      <w:pPr>
        <w:pStyle w:val="SingleTxtG"/>
      </w:pPr>
      <w:r>
        <w:lastRenderedPageBreak/>
        <w:t>115.</w:t>
      </w:r>
      <w:r>
        <w:tab/>
      </w:r>
      <w:r w:rsidRPr="00CB26B4">
        <w:t xml:space="preserve">В период с 12 по 23 ноября 2018 года </w:t>
      </w:r>
      <w:r w:rsidRPr="00CB26B4">
        <w:rPr>
          <w:lang w:val="es-ES"/>
        </w:rPr>
        <w:t>M</w:t>
      </w:r>
      <w:r w:rsidRPr="00CB26B4">
        <w:t xml:space="preserve">ОКИ в партнерстве с </w:t>
      </w:r>
      <w:r w:rsidRPr="00CB26B4">
        <w:rPr>
          <w:lang w:val="es-ES"/>
        </w:rPr>
        <w:t>ANTEM</w:t>
      </w:r>
      <w:r w:rsidRPr="00CB26B4">
        <w:t xml:space="preserve"> провели </w:t>
      </w:r>
      <w:r>
        <w:t xml:space="preserve">шесть </w:t>
      </w:r>
      <w:r w:rsidRPr="00CB26B4">
        <w:t xml:space="preserve">региональных тренингов по внедрению моделей преподавания румынского языка в учреждениях раннего образования с программой на языках национальных меньшинств на основе нового дисциплинарного </w:t>
      </w:r>
      <w:proofErr w:type="spellStart"/>
      <w:r w:rsidRPr="00CB26B4">
        <w:t>куррикулума</w:t>
      </w:r>
      <w:proofErr w:type="spellEnd"/>
      <w:r w:rsidRPr="00CB26B4">
        <w:t>. Участвовали 83</w:t>
      </w:r>
      <w:r>
        <w:t> </w:t>
      </w:r>
      <w:r w:rsidRPr="00CB26B4">
        <w:t>бенефициара, специалисты учебных управлений, руководители детских садов и методисты из учреждений с преподаванием на языках национальных меньшинств.</w:t>
      </w:r>
    </w:p>
    <w:p w14:paraId="2140C431" w14:textId="77777777" w:rsidR="00936DFE" w:rsidRDefault="00936DFE" w:rsidP="00936DFE">
      <w:pPr>
        <w:pStyle w:val="SingleTxtG"/>
      </w:pPr>
      <w:r>
        <w:t>116.</w:t>
      </w:r>
      <w:r>
        <w:tab/>
      </w:r>
      <w:r w:rsidRPr="00CB26B4">
        <w:t>В рамках программы «Социолингвистическая интеграция иноязычных учащихся посредством увеличения количества школьных предметов, изучаемых на румынском языке» в период с 16 по 23 ноября 2018 г</w:t>
      </w:r>
      <w:r>
        <w:t>ода</w:t>
      </w:r>
      <w:r w:rsidRPr="00CB26B4">
        <w:t xml:space="preserve"> были организованы </w:t>
      </w:r>
      <w:r>
        <w:t>три</w:t>
      </w:r>
      <w:r w:rsidRPr="00CB26B4">
        <w:t xml:space="preserve"> тренинга для преподавателей по внедрению моделей преподавания нелингвистических предметов в учебных заведениях с преподаванием на языках национальных меньшинств (Приказ МОКИ № 1326 от 10</w:t>
      </w:r>
      <w:r>
        <w:t xml:space="preserve"> сентября </w:t>
      </w:r>
      <w:r w:rsidRPr="00CB26B4">
        <w:t>2018 г</w:t>
      </w:r>
      <w:r>
        <w:t>ода</w:t>
      </w:r>
      <w:r w:rsidRPr="00CB26B4">
        <w:t xml:space="preserve">). Было подготовлено 85 учителей, в том числе из </w:t>
      </w:r>
      <w:proofErr w:type="spellStart"/>
      <w:r w:rsidRPr="00CB26B4">
        <w:t>Тараклийского</w:t>
      </w:r>
      <w:proofErr w:type="spellEnd"/>
      <w:r w:rsidRPr="00CB26B4">
        <w:t xml:space="preserve"> района и АТО Гагаузия. В</w:t>
      </w:r>
      <w:r>
        <w:t> </w:t>
      </w:r>
      <w:r w:rsidRPr="00CB26B4">
        <w:t>период с 25 по 30 ноября 2019 г</w:t>
      </w:r>
      <w:r>
        <w:t>ода</w:t>
      </w:r>
      <w:r w:rsidRPr="00CB26B4">
        <w:t xml:space="preserve"> состоялись обучающие тренинги для учителей по внедрению моделей для преподавания нелингвистических предметов в учебных заведениях с преподаванием на языках национальных меньшинств (Приказ МОКИ </w:t>
      </w:r>
      <w:r w:rsidRPr="00CB26B4">
        <w:rPr>
          <w:bCs/>
        </w:rPr>
        <w:t>№</w:t>
      </w:r>
      <w:r>
        <w:t> </w:t>
      </w:r>
      <w:r w:rsidRPr="00CB26B4">
        <w:t>135 от 1</w:t>
      </w:r>
      <w:r>
        <w:t xml:space="preserve"> ноября </w:t>
      </w:r>
      <w:r w:rsidRPr="00CB26B4">
        <w:t>2019 г</w:t>
      </w:r>
      <w:r>
        <w:t>ода</w:t>
      </w:r>
      <w:r w:rsidRPr="00CB26B4">
        <w:t>).</w:t>
      </w:r>
    </w:p>
    <w:p w14:paraId="4CB35BE6" w14:textId="77777777" w:rsidR="00936DFE" w:rsidRDefault="00936DFE" w:rsidP="00936DFE">
      <w:pPr>
        <w:pStyle w:val="SingleTxtG"/>
      </w:pPr>
      <w:r>
        <w:rPr>
          <w:bCs/>
          <w:iCs/>
        </w:rPr>
        <w:t>117.</w:t>
      </w:r>
      <w:r>
        <w:rPr>
          <w:bCs/>
          <w:iCs/>
        </w:rPr>
        <w:tab/>
      </w:r>
      <w:r w:rsidRPr="00CB26B4">
        <w:rPr>
          <w:bCs/>
          <w:iCs/>
        </w:rPr>
        <w:t xml:space="preserve">На основании Приказа </w:t>
      </w:r>
      <w:r w:rsidRPr="00CB26B4">
        <w:rPr>
          <w:bCs/>
          <w:iCs/>
          <w:lang w:val="es-ES"/>
        </w:rPr>
        <w:t>M</w:t>
      </w:r>
      <w:r w:rsidRPr="00CB26B4">
        <w:rPr>
          <w:bCs/>
          <w:iCs/>
        </w:rPr>
        <w:t xml:space="preserve">ОКИ </w:t>
      </w:r>
      <w:r w:rsidRPr="00CB26B4">
        <w:t>№</w:t>
      </w:r>
      <w:r w:rsidRPr="00CB26B4">
        <w:rPr>
          <w:bCs/>
          <w:iCs/>
        </w:rPr>
        <w:t xml:space="preserve"> 1339 от 22</w:t>
      </w:r>
      <w:r>
        <w:rPr>
          <w:bCs/>
          <w:iCs/>
        </w:rPr>
        <w:t xml:space="preserve"> октября </w:t>
      </w:r>
      <w:r w:rsidRPr="00CB26B4">
        <w:rPr>
          <w:bCs/>
          <w:iCs/>
        </w:rPr>
        <w:t>2019 г</w:t>
      </w:r>
      <w:r>
        <w:rPr>
          <w:bCs/>
          <w:iCs/>
        </w:rPr>
        <w:t>ода</w:t>
      </w:r>
      <w:r w:rsidRPr="00CB26B4">
        <w:rPr>
          <w:bCs/>
          <w:iCs/>
        </w:rPr>
        <w:t xml:space="preserve"> были выделены финансовые средства в сумме 165 тыс. леев для издания учебных материалов для преподавания румынского языка в подготовительной группе (уровень А1.2).</w:t>
      </w:r>
    </w:p>
    <w:p w14:paraId="17D96711" w14:textId="77777777" w:rsidR="00936DFE" w:rsidRDefault="00936DFE" w:rsidP="00936DFE">
      <w:pPr>
        <w:pStyle w:val="SingleTxtG"/>
      </w:pPr>
      <w:r>
        <w:t>118.</w:t>
      </w:r>
      <w:r>
        <w:tab/>
      </w:r>
      <w:r w:rsidRPr="00CB26B4">
        <w:t>В период с 27 по 28 ноября 2019 г</w:t>
      </w:r>
      <w:r>
        <w:t>ода</w:t>
      </w:r>
      <w:r w:rsidRPr="00CB26B4">
        <w:t xml:space="preserve"> (Приказ МОКИ </w:t>
      </w:r>
      <w:r w:rsidRPr="00CB26B4">
        <w:rPr>
          <w:bCs/>
        </w:rPr>
        <w:t>№</w:t>
      </w:r>
      <w:r w:rsidRPr="00CB26B4">
        <w:t xml:space="preserve"> 1441 от 7 ноября 2009</w:t>
      </w:r>
      <w:r>
        <w:t> </w:t>
      </w:r>
      <w:r w:rsidRPr="00CB26B4">
        <w:t>г</w:t>
      </w:r>
      <w:r>
        <w:t>ода</w:t>
      </w:r>
      <w:r w:rsidRPr="00CB26B4">
        <w:t xml:space="preserve">) были организованы учебные курсы для преподавателей университетов и учреждений </w:t>
      </w:r>
      <w:proofErr w:type="spellStart"/>
      <w:r w:rsidRPr="00CB26B4">
        <w:t>послесреднего</w:t>
      </w:r>
      <w:proofErr w:type="spellEnd"/>
      <w:r w:rsidRPr="00CB26B4">
        <w:t xml:space="preserve"> образования, которые преподают румынский язык и литературу как не родной язык.</w:t>
      </w:r>
      <w:r>
        <w:t xml:space="preserve"> </w:t>
      </w:r>
      <w:r w:rsidRPr="00CB26B4">
        <w:t>На организацию этого мероприятия были выделены финансовые средства в сумме 48 420,00 леев.</w:t>
      </w:r>
    </w:p>
    <w:p w14:paraId="0A53A8DB" w14:textId="77777777" w:rsidR="00936DFE" w:rsidRDefault="00936DFE" w:rsidP="00936DFE">
      <w:pPr>
        <w:pStyle w:val="H4G"/>
      </w:pPr>
      <w:r>
        <w:tab/>
      </w:r>
      <w:r>
        <w:tab/>
      </w:r>
      <w:r w:rsidRPr="00CB26B4">
        <w:t>На уровне высшего образования</w:t>
      </w:r>
    </w:p>
    <w:p w14:paraId="46819D72" w14:textId="77777777" w:rsidR="00936DFE" w:rsidRDefault="00936DFE" w:rsidP="00936DFE">
      <w:pPr>
        <w:pStyle w:val="SingleTxtG"/>
      </w:pPr>
      <w:r>
        <w:t>119.</w:t>
      </w:r>
      <w:r>
        <w:tab/>
      </w:r>
      <w:r w:rsidRPr="00CB26B4">
        <w:t>На уровне высшего образования в целях имплементации положений Кодекса об образовании, новый Рамочный план высшего образования (</w:t>
      </w:r>
      <w:r w:rsidRPr="00CB26B4">
        <w:rPr>
          <w:lang w:val="es-ES"/>
        </w:rPr>
        <w:t>I</w:t>
      </w:r>
      <w:r w:rsidRPr="00CB26B4">
        <w:t xml:space="preserve"> цикл </w:t>
      </w:r>
      <w:r>
        <w:t>—</w:t>
      </w:r>
      <w:r w:rsidRPr="00CB26B4">
        <w:t xml:space="preserve"> высшее лицензионное образование, </w:t>
      </w:r>
      <w:r w:rsidRPr="00CB26B4">
        <w:rPr>
          <w:lang w:val="es-ES"/>
        </w:rPr>
        <w:t>II</w:t>
      </w:r>
      <w:r w:rsidRPr="00CB26B4">
        <w:t xml:space="preserve"> цикл </w:t>
      </w:r>
      <w:r>
        <w:t>—</w:t>
      </w:r>
      <w:r w:rsidRPr="00CB26B4">
        <w:t xml:space="preserve"> магистратура, интегрированное образование, </w:t>
      </w:r>
      <w:r w:rsidRPr="00CB26B4">
        <w:rPr>
          <w:lang w:val="es-ES"/>
        </w:rPr>
        <w:t>III</w:t>
      </w:r>
      <w:r>
        <w:t> </w:t>
      </w:r>
      <w:r w:rsidRPr="00CB26B4">
        <w:t xml:space="preserve">цикл </w:t>
      </w:r>
      <w:r>
        <w:t>—</w:t>
      </w:r>
      <w:r w:rsidRPr="00CB26B4">
        <w:t xml:space="preserve"> докторантура), утвержденный Приказом МОКИ </w:t>
      </w:r>
      <w:r w:rsidRPr="00CB26B4">
        <w:rPr>
          <w:bCs/>
        </w:rPr>
        <w:t>№</w:t>
      </w:r>
      <w:r w:rsidRPr="00CB26B4">
        <w:t xml:space="preserve"> 1045 от 29 октября 2015</w:t>
      </w:r>
      <w:r>
        <w:t> </w:t>
      </w:r>
      <w:r w:rsidRPr="00CB26B4">
        <w:t>г</w:t>
      </w:r>
      <w:r>
        <w:t>ода</w:t>
      </w:r>
      <w:r w:rsidRPr="00CB26B4">
        <w:t>, в разделе формирования общих навыков и компетенций, учебные планы для иноязычных академических групп, независимо от области профессиональной подготовки, включают в обязательном порядке, курс общения на румынском языке, в</w:t>
      </w:r>
      <w:r>
        <w:t> </w:t>
      </w:r>
      <w:r w:rsidRPr="00CB26B4">
        <w:t>том числе Техники коммуникации/Деловую переписку</w:t>
      </w:r>
      <w:r w:rsidRPr="00CB26B4">
        <w:rPr>
          <w:i/>
        </w:rPr>
        <w:t>.</w:t>
      </w:r>
      <w:r>
        <w:t xml:space="preserve"> </w:t>
      </w:r>
      <w:r w:rsidRPr="00CB26B4">
        <w:t>В целях облегчения трудоустройства иноязычных выпускников для этой категории студентов на старших курсах вводятся предметы по специальности с преподаванием их на румынском языке.</w:t>
      </w:r>
    </w:p>
    <w:p w14:paraId="7581E79E" w14:textId="77777777" w:rsidR="00936DFE" w:rsidRDefault="00936DFE" w:rsidP="00936DFE">
      <w:pPr>
        <w:pStyle w:val="H4G"/>
      </w:pPr>
      <w:r>
        <w:tab/>
      </w:r>
      <w:r>
        <w:tab/>
      </w:r>
      <w:r w:rsidRPr="00CB26B4">
        <w:t>Доступ к изучению государственного языка посредством дистанционного обучения</w:t>
      </w:r>
    </w:p>
    <w:p w14:paraId="139F8400" w14:textId="77777777" w:rsidR="00936DFE" w:rsidRPr="00461831" w:rsidRDefault="00936DFE" w:rsidP="00936DFE">
      <w:pPr>
        <w:pStyle w:val="SingleTxtG"/>
        <w:rPr>
          <w:color w:val="000000" w:themeColor="text1"/>
        </w:rPr>
      </w:pPr>
      <w:r>
        <w:rPr>
          <w:bCs/>
        </w:rPr>
        <w:t>120.</w:t>
      </w:r>
      <w:r>
        <w:rPr>
          <w:bCs/>
        </w:rPr>
        <w:tab/>
      </w:r>
      <w:r w:rsidRPr="00CB26B4">
        <w:rPr>
          <w:bCs/>
        </w:rPr>
        <w:t>В 2017 г</w:t>
      </w:r>
      <w:r>
        <w:rPr>
          <w:bCs/>
        </w:rPr>
        <w:t>оду</w:t>
      </w:r>
      <w:r w:rsidRPr="00CB26B4">
        <w:rPr>
          <w:bCs/>
        </w:rPr>
        <w:t xml:space="preserve"> был реализован проект «Диверсификация доступа к образованию для молод</w:t>
      </w:r>
      <w:r>
        <w:rPr>
          <w:bCs/>
        </w:rPr>
        <w:t>е</w:t>
      </w:r>
      <w:r w:rsidRPr="00CB26B4">
        <w:rPr>
          <w:bCs/>
        </w:rPr>
        <w:t xml:space="preserve">жи посредством дистанционного обучения». </w:t>
      </w:r>
      <w:r w:rsidRPr="00CB26B4">
        <w:t>Целью проекта является повышение уровня лингвистической, социальной и профессиональной интеграции молодежи из</w:t>
      </w:r>
      <w:r>
        <w:t xml:space="preserve"> </w:t>
      </w:r>
      <w:r w:rsidRPr="00CB26B4">
        <w:t xml:space="preserve">представителей этнических меньшинств в северном, южном и центральном регионах Республики Молдова, включая АТО Гагаузия и Приднестровье. Проект осуществляется в рамках Ежегодной программы грантов для молодежного сектора при финансовой поддержке Министерства образования, культуры и исследований. 288 молодых людей, представителей этнических меньшинств, воспользовались дистанционным изучением румынского языка. Платформа </w:t>
      </w:r>
      <w:r>
        <w:t>«</w:t>
      </w:r>
      <w:r w:rsidRPr="00CB26B4">
        <w:t>Учим румынский язык дистанционно</w:t>
      </w:r>
      <w:r>
        <w:t>»</w:t>
      </w:r>
      <w:r w:rsidRPr="00CB26B4">
        <w:t xml:space="preserve"> </w:t>
      </w:r>
      <w:r>
        <w:t>(</w:t>
      </w:r>
      <w:hyperlink r:id="rId11" w:history="1">
        <w:r w:rsidRPr="00AA4C83">
          <w:rPr>
            <w:rStyle w:val="af1"/>
            <w:rFonts w:eastAsiaTheme="minorHAnsi"/>
            <w:color w:val="000000" w:themeColor="text1"/>
          </w:rPr>
          <w:t>https://invat.antem.org/</w:t>
        </w:r>
      </w:hyperlink>
      <w:r>
        <w:t>)</w:t>
      </w:r>
      <w:r w:rsidRPr="00CB26B4">
        <w:t xml:space="preserve"> охватывает уровни A1</w:t>
      </w:r>
      <w:r>
        <w:t>–</w:t>
      </w:r>
      <w:r w:rsidRPr="00CB26B4">
        <w:t xml:space="preserve">A2, B1, B2 и уровень C1 (по профессиональным категориям) в соответствии с </w:t>
      </w:r>
      <w:r>
        <w:t>О</w:t>
      </w:r>
      <w:r w:rsidRPr="00CB26B4">
        <w:t>бщеевропейскими компетенциями владения иностранным языком и основана на</w:t>
      </w:r>
      <w:r>
        <w:rPr>
          <w:lang w:val="en-US"/>
        </w:rPr>
        <w:t> </w:t>
      </w:r>
      <w:r w:rsidRPr="00CB26B4">
        <w:t xml:space="preserve">учебных материалах, разработанных экспертами ANTEM. Стоимость проекта </w:t>
      </w:r>
      <w:r>
        <w:t>—</w:t>
      </w:r>
      <w:r w:rsidRPr="00CB26B4">
        <w:t xml:space="preserve"> 246</w:t>
      </w:r>
      <w:r>
        <w:t> </w:t>
      </w:r>
      <w:r w:rsidRPr="00CB26B4">
        <w:t>981 леев. В рамках проекта было разработано мобильное приложение Румынско-англо-русский разговорник, выполненное по современной технологии, которая</w:t>
      </w:r>
      <w:r>
        <w:rPr>
          <w:lang w:val="en-US"/>
        </w:rPr>
        <w:t> </w:t>
      </w:r>
      <w:r w:rsidRPr="00CB26B4">
        <w:t>позволяет изучать и практиковать модели речи на румынском языке в</w:t>
      </w:r>
      <w:r>
        <w:rPr>
          <w:lang w:val="en-US"/>
        </w:rPr>
        <w:t> </w:t>
      </w:r>
      <w:r w:rsidRPr="00CB26B4">
        <w:t xml:space="preserve">повседневных ситуациях. С помощью мобильных устройств (мобильных телефонов или планшетов) бенефициары могут улучшить свои навыки общения на румынском </w:t>
      </w:r>
      <w:r w:rsidRPr="00CB26B4">
        <w:lastRenderedPageBreak/>
        <w:t>языке. Приложение скачали 1756 человек, число пользователей постоянно растет.</w:t>
      </w:r>
      <w:r>
        <w:t xml:space="preserve"> </w:t>
      </w:r>
      <w:r w:rsidRPr="00CB26B4">
        <w:t xml:space="preserve">Приложение можно загрузить бесплатно, перейдя по ссылкам </w:t>
      </w:r>
      <w:hyperlink r:id="rId12" w:history="1">
        <w:r w:rsidRPr="00AA4C83">
          <w:rPr>
            <w:rStyle w:val="af1"/>
            <w:color w:val="000000" w:themeColor="text1"/>
          </w:rPr>
          <w:t>https://play.google.com/store/apps/details?id=com.invataromina.invataromina</w:t>
        </w:r>
      </w:hyperlink>
      <w:r w:rsidRPr="00AA4C83">
        <w:rPr>
          <w:rStyle w:val="af1"/>
          <w:color w:val="000000" w:themeColor="text1"/>
        </w:rPr>
        <w:t xml:space="preserve"> </w:t>
      </w:r>
      <w:r w:rsidRPr="00AA4C83">
        <w:rPr>
          <w:color w:val="000000" w:themeColor="text1"/>
        </w:rPr>
        <w:t xml:space="preserve">(для </w:t>
      </w:r>
      <w:proofErr w:type="spellStart"/>
      <w:r w:rsidRPr="00AA4C83">
        <w:rPr>
          <w:color w:val="000000" w:themeColor="text1"/>
        </w:rPr>
        <w:t>Android</w:t>
      </w:r>
      <w:proofErr w:type="spellEnd"/>
      <w:r w:rsidRPr="00AA4C83">
        <w:rPr>
          <w:color w:val="000000" w:themeColor="text1"/>
        </w:rPr>
        <w:t xml:space="preserve">) или </w:t>
      </w:r>
      <w:hyperlink r:id="rId13" w:history="1">
        <w:r w:rsidRPr="00461831">
          <w:rPr>
            <w:rStyle w:val="af1"/>
            <w:color w:val="000000" w:themeColor="text1"/>
          </w:rPr>
          <w:t>https://itunes.apple.com/us/app/romanian-english-conversation/</w:t>
        </w:r>
        <w:r w:rsidRPr="00461831">
          <w:rPr>
            <w:rStyle w:val="af1"/>
            <w:color w:val="000000" w:themeColor="text1"/>
          </w:rPr>
          <w:br/>
          <w:t>id1269053908?ls=1&amp;mt=8</w:t>
        </w:r>
      </w:hyperlink>
      <w:r w:rsidRPr="00461831">
        <w:rPr>
          <w:color w:val="000000" w:themeColor="text1"/>
        </w:rPr>
        <w:t>.</w:t>
      </w:r>
    </w:p>
    <w:p w14:paraId="6997A12E" w14:textId="77777777" w:rsidR="00936DFE" w:rsidRPr="00CB26B4" w:rsidRDefault="00936DFE" w:rsidP="00936DFE">
      <w:pPr>
        <w:pStyle w:val="SingleTxtG"/>
      </w:pPr>
      <w:r>
        <w:t>121.</w:t>
      </w:r>
      <w:r>
        <w:tab/>
      </w:r>
      <w:r w:rsidRPr="00CB26B4">
        <w:t>В 2018 г</w:t>
      </w:r>
      <w:r>
        <w:t>оду</w:t>
      </w:r>
      <w:r w:rsidRPr="00CB26B4">
        <w:t xml:space="preserve"> в рамках проекта «Возможности неформального образования для молодежи посредством дистанционного обучения» 494 молодых людей из северного, южного, центрального регионов</w:t>
      </w:r>
      <w:r>
        <w:t xml:space="preserve"> </w:t>
      </w:r>
      <w:r w:rsidRPr="00627640">
        <w:rPr>
          <w:color w:val="000000" w:themeColor="text1"/>
        </w:rPr>
        <w:t>Республики</w:t>
      </w:r>
      <w:r w:rsidRPr="00CB26B4">
        <w:t xml:space="preserve">, а также из АТО Гагаузия и Приднестровья имели возможность изучать румынский язык и проверить свои знания, определив уровень владения румынским языком посредством платформы </w:t>
      </w:r>
      <w:hyperlink r:id="rId14" w:history="1">
        <w:r w:rsidRPr="00AA4C83">
          <w:rPr>
            <w:rStyle w:val="af1"/>
            <w:rFonts w:eastAsiaTheme="minorHAnsi"/>
            <w:color w:val="000000" w:themeColor="text1"/>
          </w:rPr>
          <w:t>https://invat.antem.org/</w:t>
        </w:r>
      </w:hyperlink>
      <w:r w:rsidRPr="00CB26B4">
        <w:t>. Из общего числа бенефициаров 125 молодых людей были сертифицированы по уровню A1</w:t>
      </w:r>
      <w:r>
        <w:t>–</w:t>
      </w:r>
      <w:r w:rsidRPr="00CB26B4">
        <w:t>A2 и 104</w:t>
      </w:r>
      <w:r>
        <w:t xml:space="preserve"> </w:t>
      </w:r>
      <w:r w:rsidRPr="00CB26B4">
        <w:t>человека по уровню B1</w:t>
      </w:r>
      <w:r>
        <w:t>–</w:t>
      </w:r>
      <w:r w:rsidRPr="00CB26B4">
        <w:t>B2. Проект был реализован в рамках Ежегодной программы грантов для молодежных организаций, финансируемый MОКИ, общая сумма проекта составила 326</w:t>
      </w:r>
      <w:r>
        <w:t xml:space="preserve"> </w:t>
      </w:r>
      <w:r w:rsidRPr="00CB26B4">
        <w:t xml:space="preserve">474,44 </w:t>
      </w:r>
      <w:proofErr w:type="gramStart"/>
      <w:r w:rsidRPr="00CB26B4">
        <w:t>леев</w:t>
      </w:r>
      <w:proofErr w:type="gramEnd"/>
      <w:r w:rsidRPr="00CB26B4">
        <w:t>. В июле 2019</w:t>
      </w:r>
      <w:r>
        <w:t> </w:t>
      </w:r>
      <w:r w:rsidRPr="00CB26B4">
        <w:t>г</w:t>
      </w:r>
      <w:r>
        <w:t>ода</w:t>
      </w:r>
      <w:r w:rsidRPr="00CB26B4">
        <w:t xml:space="preserve"> была запущена </w:t>
      </w:r>
      <w:r>
        <w:t>восьмая</w:t>
      </w:r>
      <w:r w:rsidRPr="00CB26B4">
        <w:t xml:space="preserve"> фаза этого проекта, также финансируемого МОКИ в рамках Программы грантов для молодежных организаций, общая стоимость которого оценивается в 184 129 леев.</w:t>
      </w:r>
    </w:p>
    <w:p w14:paraId="790F4FDA" w14:textId="77777777" w:rsidR="00936DFE" w:rsidRPr="00CB26B4" w:rsidRDefault="00936DFE" w:rsidP="00936DFE">
      <w:pPr>
        <w:pStyle w:val="H23G"/>
      </w:pPr>
      <w:r>
        <w:tab/>
      </w:r>
      <w:r>
        <w:tab/>
      </w:r>
      <w:r w:rsidRPr="00CB26B4">
        <w:t>Доступ к СМИ на языках национальных меньшинств</w:t>
      </w:r>
    </w:p>
    <w:p w14:paraId="5B775ED9" w14:textId="77777777" w:rsidR="00936DFE" w:rsidRDefault="00936DFE" w:rsidP="00936DFE">
      <w:pPr>
        <w:pStyle w:val="H4G"/>
      </w:pPr>
      <w:r>
        <w:tab/>
      </w:r>
      <w:r>
        <w:tab/>
      </w:r>
      <w:r w:rsidRPr="00CB26B4">
        <w:t>Укрепление правовой базы</w:t>
      </w:r>
    </w:p>
    <w:p w14:paraId="0D7E8007" w14:textId="77777777" w:rsidR="00936DFE" w:rsidRPr="00CB26B4" w:rsidRDefault="00936DFE" w:rsidP="00936DFE">
      <w:pPr>
        <w:pStyle w:val="SingleTxtG"/>
      </w:pPr>
      <w:r>
        <w:t>122.</w:t>
      </w:r>
      <w:r>
        <w:tab/>
      </w:r>
      <w:r w:rsidRPr="00CB26B4">
        <w:t xml:space="preserve">Законодательство Республики Молдова обеспечивает право производить и транслировать радио и телепередачи на языках национальных меньшинств в соответствии с Кодексом Республики Молдова об аудиовизуальных </w:t>
      </w:r>
      <w:proofErr w:type="spellStart"/>
      <w:r w:rsidRPr="00CB26B4">
        <w:t>медиауслугах</w:t>
      </w:r>
      <w:proofErr w:type="spellEnd"/>
      <w:r w:rsidRPr="00CB26B4">
        <w:t xml:space="preserve">, </w:t>
      </w:r>
      <w:r w:rsidRPr="00CB26B4">
        <w:rPr>
          <w:bCs/>
        </w:rPr>
        <w:t>№</w:t>
      </w:r>
      <w:r>
        <w:rPr>
          <w:bCs/>
        </w:rPr>
        <w:t> </w:t>
      </w:r>
      <w:r w:rsidRPr="00CB26B4">
        <w:t>174 от 8</w:t>
      </w:r>
      <w:r>
        <w:t xml:space="preserve"> ноября </w:t>
      </w:r>
      <w:r w:rsidRPr="00CB26B4">
        <w:t>2018 г</w:t>
      </w:r>
      <w:r>
        <w:t>ода</w:t>
      </w:r>
      <w:r w:rsidRPr="00CB26B4">
        <w:t xml:space="preserve">. Документ предусматривает ряд новых положений о принципах аудиовизуальной коммуникации, в соответствии с которыми должны действовать все поставщики </w:t>
      </w:r>
      <w:proofErr w:type="spellStart"/>
      <w:r w:rsidRPr="00CB26B4">
        <w:t>медиауслуг</w:t>
      </w:r>
      <w:proofErr w:type="spellEnd"/>
      <w:r w:rsidRPr="00CB26B4">
        <w:t>, в том числе: свобода выражения мнения, редакционная независимость, обеспечение корректной информации, защита несовершеннолетних и лиц с ограниченными возможностями, гендерный баланс, защита национального аудиовизуального пространства, прозрачность собственности, доступ к важным событиям, защита журналистов и т. д.</w:t>
      </w:r>
      <w:r>
        <w:t xml:space="preserve"> </w:t>
      </w:r>
      <w:r w:rsidRPr="00CB26B4">
        <w:t xml:space="preserve">Отдельные главы относятся к языкам вещания, включая языки национальных меньшинств, пропорции вещания аудиовизуальных программ, соблюдению ортографических, </w:t>
      </w:r>
      <w:proofErr w:type="spellStart"/>
      <w:r w:rsidRPr="00CB26B4">
        <w:t>ортоэпических</w:t>
      </w:r>
      <w:proofErr w:type="spellEnd"/>
      <w:r w:rsidRPr="00CB26B4">
        <w:t>, морфологических и синтаксических норм языков, в частности</w:t>
      </w:r>
      <w:r w:rsidRPr="006460ED">
        <w:t xml:space="preserve">: статья </w:t>
      </w:r>
      <w:r w:rsidRPr="006460ED">
        <w:rPr>
          <w:bCs/>
        </w:rPr>
        <w:t xml:space="preserve">4, пункт </w:t>
      </w:r>
      <w:r w:rsidRPr="006460ED">
        <w:t xml:space="preserve">8; </w:t>
      </w:r>
      <w:r w:rsidRPr="006460ED">
        <w:rPr>
          <w:bCs/>
        </w:rPr>
        <w:t xml:space="preserve">статья 11, пункты 1, 2 a); статья 12, пункты 1, 2 a); статья </w:t>
      </w:r>
      <w:r w:rsidRPr="006460ED">
        <w:t>19, пункты 1, 2</w:t>
      </w:r>
      <w:r>
        <w:t>;</w:t>
      </w:r>
      <w:r w:rsidRPr="006460ED">
        <w:t xml:space="preserve"> </w:t>
      </w:r>
      <w:r w:rsidRPr="006460ED">
        <w:rPr>
          <w:bCs/>
        </w:rPr>
        <w:t>статья 33, пункт 1 a); статья 55, пункт 6.</w:t>
      </w:r>
    </w:p>
    <w:p w14:paraId="4902542D" w14:textId="77777777" w:rsidR="00936DFE" w:rsidRPr="00461831" w:rsidRDefault="00936DFE" w:rsidP="00936DFE">
      <w:pPr>
        <w:pStyle w:val="H56G"/>
        <w:rPr>
          <w:i/>
          <w:iCs/>
        </w:rPr>
      </w:pPr>
      <w:r>
        <w:tab/>
      </w:r>
      <w:r>
        <w:tab/>
      </w:r>
      <w:r w:rsidRPr="00461831">
        <w:rPr>
          <w:i/>
          <w:iCs/>
        </w:rPr>
        <w:t>Радио и телевизионные станции на языках национальных меньшинств: актуальное положение</w:t>
      </w:r>
    </w:p>
    <w:p w14:paraId="79640EB2" w14:textId="77777777" w:rsidR="00936DFE" w:rsidRDefault="00936DFE" w:rsidP="00936DFE">
      <w:pPr>
        <w:pStyle w:val="SingleTxtG"/>
      </w:pPr>
      <w:r>
        <w:t>123.</w:t>
      </w:r>
      <w:r>
        <w:tab/>
      </w:r>
      <w:r w:rsidRPr="00CB26B4">
        <w:t xml:space="preserve">На территории Республики Молдова, в регионах, где этнические меньшинства составляют большинство населения, действуют 6 радиостанций: </w:t>
      </w:r>
      <w:r>
        <w:t>«</w:t>
      </w:r>
      <w:r w:rsidRPr="00CB26B4">
        <w:t>GRT FM</w:t>
      </w:r>
      <w:r>
        <w:t>»</w:t>
      </w:r>
      <w:r w:rsidRPr="00CB26B4">
        <w:t xml:space="preserve">, </w:t>
      </w:r>
      <w:r>
        <w:t>«</w:t>
      </w:r>
      <w:proofErr w:type="spellStart"/>
      <w:r w:rsidRPr="00CB26B4">
        <w:t>Bas</w:t>
      </w:r>
      <w:proofErr w:type="spellEnd"/>
      <w:r w:rsidRPr="00CB26B4">
        <w:t xml:space="preserve"> FM</w:t>
      </w:r>
      <w:r>
        <w:t>»</w:t>
      </w:r>
      <w:r w:rsidRPr="00CB26B4">
        <w:t xml:space="preserve">, </w:t>
      </w:r>
      <w:r>
        <w:t>«</w:t>
      </w:r>
      <w:proofErr w:type="spellStart"/>
      <w:r w:rsidRPr="00CB26B4">
        <w:t>Albena</w:t>
      </w:r>
      <w:proofErr w:type="spellEnd"/>
      <w:r>
        <w:t>»</w:t>
      </w:r>
      <w:r w:rsidRPr="00CB26B4">
        <w:t xml:space="preserve">, </w:t>
      </w:r>
      <w:r>
        <w:t>«</w:t>
      </w:r>
      <w:proofErr w:type="spellStart"/>
      <w:r w:rsidRPr="00CB26B4">
        <w:t>Pro</w:t>
      </w:r>
      <w:proofErr w:type="spellEnd"/>
      <w:r w:rsidRPr="00CB26B4">
        <w:t xml:space="preserve"> 100 </w:t>
      </w:r>
      <w:proofErr w:type="spellStart"/>
      <w:r w:rsidRPr="00CB26B4">
        <w:t>radio</w:t>
      </w:r>
      <w:proofErr w:type="spellEnd"/>
      <w:r>
        <w:t>»</w:t>
      </w:r>
      <w:r w:rsidRPr="00CB26B4">
        <w:t xml:space="preserve">, </w:t>
      </w:r>
      <w:r>
        <w:t>«</w:t>
      </w:r>
      <w:proofErr w:type="spellStart"/>
      <w:r w:rsidRPr="00CB26B4">
        <w:t>Bugeac</w:t>
      </w:r>
      <w:proofErr w:type="spellEnd"/>
      <w:r w:rsidRPr="00CB26B4">
        <w:t xml:space="preserve"> FM</w:t>
      </w:r>
      <w:r>
        <w:t>»</w:t>
      </w:r>
      <w:r w:rsidRPr="00CB26B4">
        <w:t xml:space="preserve">, </w:t>
      </w:r>
      <w:r>
        <w:t>«</w:t>
      </w:r>
      <w:proofErr w:type="spellStart"/>
      <w:r w:rsidRPr="00CB26B4">
        <w:rPr>
          <w:bCs/>
        </w:rPr>
        <w:t>RomanoPatrin</w:t>
      </w:r>
      <w:proofErr w:type="spellEnd"/>
      <w:r w:rsidRPr="00CB26B4">
        <w:rPr>
          <w:bCs/>
        </w:rPr>
        <w:t xml:space="preserve"> FM</w:t>
      </w:r>
      <w:r>
        <w:rPr>
          <w:bCs/>
        </w:rPr>
        <w:t>»</w:t>
      </w:r>
      <w:r w:rsidRPr="00CB26B4">
        <w:rPr>
          <w:bCs/>
        </w:rPr>
        <w:t xml:space="preserve"> </w:t>
      </w:r>
      <w:r w:rsidRPr="00CB26B4">
        <w:t xml:space="preserve">и девять телевизионных станций: </w:t>
      </w:r>
      <w:r>
        <w:t>«</w:t>
      </w:r>
      <w:r w:rsidRPr="00CB26B4">
        <w:t>TV-</w:t>
      </w:r>
      <w:proofErr w:type="spellStart"/>
      <w:r w:rsidRPr="00CB26B4">
        <w:t>Găgăuzia</w:t>
      </w:r>
      <w:proofErr w:type="spellEnd"/>
      <w:r>
        <w:t>»</w:t>
      </w:r>
      <w:r w:rsidRPr="00CB26B4">
        <w:t xml:space="preserve">, </w:t>
      </w:r>
      <w:r>
        <w:t>«</w:t>
      </w:r>
      <w:r w:rsidRPr="00CB26B4">
        <w:t>TV BIZIM DALGAMIZ</w:t>
      </w:r>
      <w:r>
        <w:t>»</w:t>
      </w:r>
      <w:r w:rsidRPr="00CB26B4">
        <w:t xml:space="preserve">, </w:t>
      </w:r>
      <w:r>
        <w:t>«</w:t>
      </w:r>
      <w:r w:rsidRPr="00CB26B4">
        <w:t>NTS</w:t>
      </w:r>
      <w:r>
        <w:t>»</w:t>
      </w:r>
      <w:r w:rsidRPr="00CB26B4">
        <w:t xml:space="preserve">, </w:t>
      </w:r>
      <w:r>
        <w:t>«</w:t>
      </w:r>
      <w:proofErr w:type="spellStart"/>
      <w:r w:rsidRPr="00CB26B4">
        <w:t>EniAi</w:t>
      </w:r>
      <w:proofErr w:type="spellEnd"/>
      <w:r>
        <w:t>»</w:t>
      </w:r>
      <w:r w:rsidRPr="00CB26B4">
        <w:t xml:space="preserve">, </w:t>
      </w:r>
      <w:r>
        <w:t>«</w:t>
      </w:r>
      <w:r w:rsidRPr="00CB26B4">
        <w:t>BIZIM AIDINIC</w:t>
      </w:r>
      <w:r>
        <w:t>»</w:t>
      </w:r>
      <w:r w:rsidRPr="00CB26B4">
        <w:t xml:space="preserve">, </w:t>
      </w:r>
      <w:r>
        <w:t>«</w:t>
      </w:r>
      <w:r w:rsidRPr="00CB26B4">
        <w:t>BAS TV</w:t>
      </w:r>
      <w:r>
        <w:t>»</w:t>
      </w:r>
      <w:r w:rsidRPr="00CB26B4">
        <w:t xml:space="preserve">, </w:t>
      </w:r>
      <w:r>
        <w:t>«</w:t>
      </w:r>
      <w:r w:rsidRPr="00CB26B4">
        <w:t xml:space="preserve">ATV </w:t>
      </w:r>
      <w:proofErr w:type="spellStart"/>
      <w:r w:rsidRPr="00CB26B4">
        <w:t>Coguk</w:t>
      </w:r>
      <w:proofErr w:type="spellEnd"/>
      <w:r>
        <w:t>»</w:t>
      </w:r>
      <w:r w:rsidRPr="00CB26B4">
        <w:t>,</w:t>
      </w:r>
      <w:r>
        <w:t xml:space="preserve"> «</w:t>
      </w:r>
      <w:r w:rsidRPr="00CB26B4">
        <w:t>ATV</w:t>
      </w:r>
      <w:r>
        <w:t>»</w:t>
      </w:r>
      <w:r w:rsidRPr="00CB26B4">
        <w:t xml:space="preserve"> и </w:t>
      </w:r>
      <w:r>
        <w:t>«</w:t>
      </w:r>
      <w:proofErr w:type="spellStart"/>
      <w:r w:rsidRPr="00CB26B4">
        <w:t>Zona</w:t>
      </w:r>
      <w:proofErr w:type="spellEnd"/>
      <w:r w:rsidRPr="00CB26B4">
        <w:t xml:space="preserve"> M</w:t>
      </w:r>
      <w:r>
        <w:t>»</w:t>
      </w:r>
      <w:r w:rsidRPr="00CB26B4">
        <w:t xml:space="preserve">. Телеканал </w:t>
      </w:r>
      <w:r>
        <w:t>«</w:t>
      </w:r>
      <w:r w:rsidRPr="00CB26B4">
        <w:t>NTS</w:t>
      </w:r>
      <w:r>
        <w:t>»</w:t>
      </w:r>
      <w:r w:rsidRPr="00CB26B4">
        <w:t xml:space="preserve"> вещает на болгарском, румынском, русском языках и ретранслирует телеканал TV из Болгарии BNT; телеканал </w:t>
      </w:r>
      <w:r>
        <w:t>«</w:t>
      </w:r>
      <w:r w:rsidRPr="00CB26B4">
        <w:t>TV-</w:t>
      </w:r>
      <w:proofErr w:type="spellStart"/>
      <w:r w:rsidRPr="00CB26B4">
        <w:t>Găgăuzia</w:t>
      </w:r>
      <w:proofErr w:type="spellEnd"/>
      <w:r>
        <w:t>»</w:t>
      </w:r>
      <w:r w:rsidRPr="00CB26B4">
        <w:t xml:space="preserve"> ретранслирует на турецком языке телеканал</w:t>
      </w:r>
      <w:r>
        <w:t> </w:t>
      </w:r>
      <w:r w:rsidRPr="00CB26B4">
        <w:t xml:space="preserve">TV TRT из Турции, остальные телеканалы вещают на гагаузском, румынском, русском, болгарском языках. Помимо </w:t>
      </w:r>
      <w:proofErr w:type="gramStart"/>
      <w:r w:rsidRPr="00CB26B4">
        <w:t>выше упомянутых</w:t>
      </w:r>
      <w:proofErr w:type="gramEnd"/>
      <w:r w:rsidRPr="00CB26B4">
        <w:t xml:space="preserve"> частных радио и телевизионных станций Национальное общественное аудиовизуальное учреждение </w:t>
      </w:r>
      <w:r>
        <w:t>«</w:t>
      </w:r>
      <w:proofErr w:type="spellStart"/>
      <w:r w:rsidRPr="00CB26B4">
        <w:t>Teleradio-Moldova</w:t>
      </w:r>
      <w:proofErr w:type="spellEnd"/>
      <w:r>
        <w:t>»</w:t>
      </w:r>
      <w:r w:rsidRPr="00CB26B4">
        <w:t xml:space="preserve"> предоставляет медиапродукты, предназначенные и подготовленные на языках национальных меньшинств. В то же время отметим, что региональный публичный радиовещатель Республики Молдова </w:t>
      </w:r>
      <w:r>
        <w:t>—</w:t>
      </w:r>
      <w:r w:rsidRPr="00CB26B4">
        <w:t xml:space="preserve"> общественная компания </w:t>
      </w:r>
      <w:r>
        <w:t>«</w:t>
      </w:r>
      <w:proofErr w:type="spellStart"/>
      <w:r w:rsidRPr="00CB26B4">
        <w:t>TeleradioGagauzia</w:t>
      </w:r>
      <w:proofErr w:type="spellEnd"/>
      <w:r>
        <w:t>»</w:t>
      </w:r>
      <w:r w:rsidRPr="00CB26B4">
        <w:t xml:space="preserve"> предоставляет радио и телепрограммы на территории АТО Гагаузия для населения гагаузской национальности.</w:t>
      </w:r>
    </w:p>
    <w:p w14:paraId="0E94C664" w14:textId="77777777" w:rsidR="00936DFE" w:rsidRPr="00CB26B4" w:rsidRDefault="00936DFE" w:rsidP="00936DFE">
      <w:pPr>
        <w:pStyle w:val="H1G"/>
      </w:pPr>
      <w:r>
        <w:lastRenderedPageBreak/>
        <w:tab/>
      </w:r>
      <w:r>
        <w:tab/>
        <w:t>Информация о последующей деятельности в связи с пунктами 20 и 21 з</w:t>
      </w:r>
      <w:r w:rsidRPr="00CB26B4">
        <w:t>аключительны</w:t>
      </w:r>
      <w:r>
        <w:t>х</w:t>
      </w:r>
      <w:r w:rsidRPr="00CB26B4">
        <w:t xml:space="preserve"> замечани</w:t>
      </w:r>
      <w:r>
        <w:t>й</w:t>
      </w:r>
    </w:p>
    <w:p w14:paraId="7C8BAA63" w14:textId="77777777" w:rsidR="00936DFE" w:rsidRPr="00CB26B4" w:rsidRDefault="00936DFE" w:rsidP="00936DFE">
      <w:pPr>
        <w:pStyle w:val="H23G"/>
      </w:pPr>
      <w:r>
        <w:tab/>
      </w:r>
      <w:r>
        <w:tab/>
      </w:r>
      <w:r w:rsidRPr="00CB26B4">
        <w:t xml:space="preserve">Положение </w:t>
      </w:r>
      <w:r w:rsidRPr="00C17805">
        <w:rPr>
          <w:color w:val="000000" w:themeColor="text1"/>
        </w:rPr>
        <w:t>ромов</w:t>
      </w:r>
    </w:p>
    <w:p w14:paraId="1514A3C9" w14:textId="77777777" w:rsidR="00936DFE" w:rsidRDefault="00936DFE" w:rsidP="00936DFE">
      <w:pPr>
        <w:pStyle w:val="H4G"/>
      </w:pPr>
      <w:r>
        <w:tab/>
      </w:r>
      <w:r>
        <w:tab/>
      </w:r>
      <w:r w:rsidRPr="00CB26B4">
        <w:t xml:space="preserve">Реализация Плана действий по поддержке этнического населения </w:t>
      </w:r>
      <w:r w:rsidRPr="00C17805">
        <w:rPr>
          <w:color w:val="000000" w:themeColor="text1"/>
        </w:rPr>
        <w:t xml:space="preserve">ромов </w:t>
      </w:r>
      <w:r w:rsidRPr="00CB26B4">
        <w:t>Республики Молдова на 2016</w:t>
      </w:r>
      <w:r>
        <w:t>–</w:t>
      </w:r>
      <w:r w:rsidRPr="00CB26B4">
        <w:t>2020</w:t>
      </w:r>
      <w:r w:rsidRPr="0049268A">
        <w:rPr>
          <w:i w:val="0"/>
          <w:iCs/>
          <w:vertAlign w:val="superscript"/>
        </w:rPr>
        <w:footnoteReference w:id="34"/>
      </w:r>
      <w:r w:rsidRPr="00CB26B4">
        <w:t xml:space="preserve"> годы </w:t>
      </w:r>
    </w:p>
    <w:p w14:paraId="53DC0765" w14:textId="77777777" w:rsidR="00936DFE" w:rsidRDefault="00936DFE" w:rsidP="00936DFE">
      <w:pPr>
        <w:pStyle w:val="SingleTxtG"/>
      </w:pPr>
      <w:r>
        <w:t>124.</w:t>
      </w:r>
      <w:r>
        <w:tab/>
      </w:r>
      <w:r w:rsidRPr="00CB26B4">
        <w:t>Агентство межэтнических отношений (АМО) постоянно оценивает и осуществляет мониторинг выполнения Плана действий по поддержке этнического населения ромов</w:t>
      </w:r>
      <w:r>
        <w:t xml:space="preserve"> </w:t>
      </w:r>
      <w:r w:rsidRPr="00CB26B4">
        <w:t>Республики Молдова на 2016</w:t>
      </w:r>
      <w:r>
        <w:t>–</w:t>
      </w:r>
      <w:r w:rsidRPr="00CB26B4">
        <w:t>2020 годы. Деятельность по мониторингу носит системный характер и включает в себя подготовку АМО ежегодных отчетов о мониторинге и прогрессе в ходе реализации документа, с</w:t>
      </w:r>
      <w:r>
        <w:t> </w:t>
      </w:r>
      <w:r w:rsidRPr="00CB26B4">
        <w:t>последующим представлением их Правительству</w:t>
      </w:r>
      <w:r w:rsidRPr="003B61A8">
        <w:rPr>
          <w:sz w:val="18"/>
          <w:szCs w:val="18"/>
          <w:vertAlign w:val="superscript"/>
        </w:rPr>
        <w:footnoteReference w:id="35"/>
      </w:r>
      <w:r w:rsidRPr="00CB26B4">
        <w:t xml:space="preserve">. </w:t>
      </w:r>
    </w:p>
    <w:p w14:paraId="3B14A26E" w14:textId="77777777" w:rsidR="00936DFE" w:rsidRDefault="00936DFE" w:rsidP="00936DFE">
      <w:pPr>
        <w:pStyle w:val="SingleTxtG"/>
      </w:pPr>
      <w:r w:rsidRPr="00CB26B4">
        <w:tab/>
      </w:r>
      <w:r>
        <w:t>125.</w:t>
      </w:r>
      <w:r>
        <w:tab/>
      </w:r>
      <w:r w:rsidRPr="00CB26B4">
        <w:t xml:space="preserve">При АМО действует </w:t>
      </w:r>
      <w:r w:rsidRPr="00CB26B4">
        <w:rPr>
          <w:i/>
        </w:rPr>
        <w:t>Межведомственная рабочая группа</w:t>
      </w:r>
      <w:r w:rsidRPr="00CB26B4">
        <w:t xml:space="preserve"> по координации и контролю за осуществлением Плана действий, которая в течение отчетного периода развивала свою деятельность в рамках периодических заседаний. Группа состоит из представителей государственных органов и организаций гражданского общества. Основная функция рабочей группы (в дополнение к обязанностям каждого органа, чьи представители входят в состав группы) заключается в координации, мониторинге и обеспечении взаимодействия в процессе реализации Плана. В целях определения приоритетов и планирования привлечения внешней помощи в деятельности по поддержке</w:t>
      </w:r>
      <w:r>
        <w:t xml:space="preserve"> </w:t>
      </w:r>
      <w:r w:rsidRPr="00CB26B4">
        <w:t>ромов, АМО предложило расширить существующий формат рабочей группы и включить в ее состав представителей партнеров по развитию, которые участвуют</w:t>
      </w:r>
      <w:r>
        <w:t xml:space="preserve"> </w:t>
      </w:r>
      <w:r w:rsidRPr="00CB26B4">
        <w:t>в поддержке населения рома в Республике Молдова. Таким образом, впервые представители партнеров по развитию (GIZ</w:t>
      </w:r>
      <w:r>
        <w:rPr>
          <w:rStyle w:val="aa"/>
        </w:rPr>
        <w:footnoteReference w:id="36"/>
      </w:r>
      <w:r w:rsidRPr="00CB26B4">
        <w:t>, ОБСЕ, ЕС, ООН и др.) также приняли участие в заседании рабочей группы, состоявшемся</w:t>
      </w:r>
      <w:r>
        <w:t xml:space="preserve"> </w:t>
      </w:r>
      <w:r w:rsidRPr="00CB26B4">
        <w:t>4 октября 2019 г</w:t>
      </w:r>
      <w:r>
        <w:t>ода.</w:t>
      </w:r>
      <w:r w:rsidRPr="00CB26B4">
        <w:t xml:space="preserve"> На</w:t>
      </w:r>
      <w:r>
        <w:t> </w:t>
      </w:r>
      <w:r w:rsidRPr="00CB26B4">
        <w:t>заседании была представлена краткая информация о результатах, приоритетах и мерах, необходимых для полной реализации действий, предусмотренных Планом действий.</w:t>
      </w:r>
    </w:p>
    <w:p w14:paraId="21A82FA7" w14:textId="77777777" w:rsidR="00936DFE" w:rsidRDefault="00936DFE" w:rsidP="00936DFE">
      <w:pPr>
        <w:pStyle w:val="SingleTxtG"/>
      </w:pPr>
      <w:r>
        <w:t>126.</w:t>
      </w:r>
      <w:r>
        <w:tab/>
      </w:r>
      <w:r w:rsidRPr="00CB26B4">
        <w:t xml:space="preserve">АМО сотрудничает с </w:t>
      </w:r>
      <w:r>
        <w:t>семью</w:t>
      </w:r>
      <w:r w:rsidRPr="00CB26B4">
        <w:t xml:space="preserve"> этнокультурными организациями ромов, имеющих национальный статус, поддерживая их уставную деятельность, различные проекты, реализуемые на всей территории </w:t>
      </w:r>
      <w:r w:rsidRPr="00627640">
        <w:rPr>
          <w:color w:val="000000" w:themeColor="text1"/>
        </w:rPr>
        <w:t>Республики</w:t>
      </w:r>
      <w:r w:rsidRPr="00CB26B4">
        <w:t xml:space="preserve">. АМО поддерживает и поощряет участие ромов в программах и проектах, связанных с улучшением и мониторингом социально-культурного положения ромов и их интеграцией в общество, организует различные круглые столы, тренинги, акции по продвижению культурных ценностей и языка </w:t>
      </w:r>
      <w:proofErr w:type="spellStart"/>
      <w:r w:rsidRPr="00CB26B4">
        <w:t>романи</w:t>
      </w:r>
      <w:proofErr w:type="spellEnd"/>
      <w:r w:rsidRPr="00CB26B4">
        <w:t xml:space="preserve">, а также способствует проведению встреч гражданского общества рома с высшим руководством Республики Молдова и представителями органов центрального публичного управления (ЦПУ). </w:t>
      </w:r>
      <w:proofErr w:type="gramStart"/>
      <w:r w:rsidRPr="00CB26B4">
        <w:t>В рамках ежегодного празднования Международного дня ромов,</w:t>
      </w:r>
      <w:proofErr w:type="gramEnd"/>
      <w:r w:rsidRPr="00CB26B4">
        <w:t xml:space="preserve"> АМО предоставляет финансирование (30</w:t>
      </w:r>
      <w:r>
        <w:t>–</w:t>
      </w:r>
      <w:r w:rsidRPr="00CB26B4">
        <w:t>45 тыс. леев ежегодно) для организации различного рода мероприятий, организуемых в тесном сотрудничестве с этнокультурными организациями ромов.</w:t>
      </w:r>
    </w:p>
    <w:p w14:paraId="4C38DD67" w14:textId="77777777" w:rsidR="00936DFE" w:rsidRDefault="00936DFE" w:rsidP="00936DFE">
      <w:pPr>
        <w:pStyle w:val="H4G"/>
      </w:pPr>
      <w:r>
        <w:tab/>
      </w:r>
      <w:r>
        <w:tab/>
      </w:r>
      <w:r w:rsidRPr="00CB26B4">
        <w:t>Служба общинного посредника для общин ромов</w:t>
      </w:r>
    </w:p>
    <w:p w14:paraId="3C929A0D" w14:textId="77777777" w:rsidR="00936DFE" w:rsidRPr="00CB26B4" w:rsidRDefault="00936DFE" w:rsidP="00936DFE">
      <w:pPr>
        <w:pStyle w:val="SingleTxtG"/>
      </w:pPr>
      <w:r>
        <w:t>127.</w:t>
      </w:r>
      <w:r>
        <w:tab/>
      </w:r>
      <w:r w:rsidRPr="00CB26B4">
        <w:t>Признавая роль и дополнительную ценность деятельности службы общинного посредника для общин ромов, Правительство прилагает усилия для обеспечения ее функциональности, а именно для увеличения недостаточного количества общинных посредников. В целях выравнивания ситуации, которая характеризуется негативной тенденцией к снижению их численности</w:t>
      </w:r>
      <w:r>
        <w:t xml:space="preserve"> </w:t>
      </w:r>
      <w:r w:rsidRPr="00CB26B4">
        <w:t xml:space="preserve">в связи с недостатком финансирования было утверждено ПП </w:t>
      </w:r>
      <w:r w:rsidRPr="00CB26B4">
        <w:rPr>
          <w:bCs/>
        </w:rPr>
        <w:t>№</w:t>
      </w:r>
      <w:r w:rsidRPr="00CB26B4">
        <w:t xml:space="preserve"> 425/2018, которое устанавливает финансирование общинных посредников из государственного бюджета, а не за счет ассигнований, утвержденных </w:t>
      </w:r>
      <w:r w:rsidRPr="00CB26B4">
        <w:lastRenderedPageBreak/>
        <w:t>в бюджетах административно-территориальных единиц I уровня, что позволит</w:t>
      </w:r>
      <w:r>
        <w:t xml:space="preserve"> </w:t>
      </w:r>
      <w:r w:rsidRPr="00CB26B4">
        <w:t>стимулировать процесс их приема на работу на местном уровне. Законами о государственном бюджете на 2018 и 2019 г</w:t>
      </w:r>
      <w:r>
        <w:t>оды</w:t>
      </w:r>
      <w:r w:rsidRPr="00CB26B4">
        <w:t xml:space="preserve"> соответственно были предусмотрены 2,2</w:t>
      </w:r>
      <w:r>
        <w:t> </w:t>
      </w:r>
      <w:r w:rsidRPr="00CB26B4">
        <w:t>млн леев, предназначенные для приема на работу и расчета заработной платы</w:t>
      </w:r>
      <w:r>
        <w:t xml:space="preserve"> </w:t>
      </w:r>
      <w:r w:rsidRPr="00CB26B4">
        <w:t>для 48 общинных посредников в 44 населенных пунктах. Соответствующая сумма была установлена</w:t>
      </w:r>
      <w:r>
        <w:t xml:space="preserve">, </w:t>
      </w:r>
      <w:r w:rsidRPr="00CB26B4">
        <w:t>исходя из ежегодных затрат, необходимых на содержание одного общинного посредника (46,6 тыс. леев), а также с учетом числа населенных пунктов, пользующихся услугами общинного посредника.</w:t>
      </w:r>
    </w:p>
    <w:p w14:paraId="5F2CB232" w14:textId="77777777" w:rsidR="00936DFE" w:rsidRDefault="00936DFE" w:rsidP="00936DFE">
      <w:pPr>
        <w:pStyle w:val="SingleTxtG"/>
      </w:pPr>
      <w:r w:rsidRPr="00CB26B4">
        <w:tab/>
      </w:r>
      <w:r>
        <w:t>128.</w:t>
      </w:r>
      <w:r>
        <w:tab/>
      </w:r>
      <w:r w:rsidRPr="00CB26B4">
        <w:t>АМО вменили в обязанность разработку предложений о количестве общинных посредников и расчету суммы финансовых средств, необходимых для обеспечения их деятельности. При поддержке Немецкого агентства международного сотрудничества</w:t>
      </w:r>
      <w:r>
        <w:t> —</w:t>
      </w:r>
      <w:r w:rsidRPr="00CB26B4">
        <w:t xml:space="preserve"> GIZ, АМО разработало и представило Министерству финансов расчет бюджетных расходов, необходимых для деятельности общинных посредников</w:t>
      </w:r>
      <w:r>
        <w:t xml:space="preserve"> </w:t>
      </w:r>
      <w:r w:rsidRPr="00CB26B4">
        <w:t>для включения в Б</w:t>
      </w:r>
      <w:r w:rsidRPr="00CB26B4">
        <w:rPr>
          <w:bCs/>
        </w:rPr>
        <w:t>юджетный прогноз на среднесрочный период</w:t>
      </w:r>
      <w:r w:rsidRPr="00CB26B4">
        <w:t xml:space="preserve"> разработки </w:t>
      </w:r>
      <w:r>
        <w:br/>
      </w:r>
      <w:r w:rsidRPr="00CB26B4">
        <w:t>2020</w:t>
      </w:r>
      <w:r>
        <w:t>–</w:t>
      </w:r>
      <w:r w:rsidRPr="00CB26B4">
        <w:t>2022 г</w:t>
      </w:r>
      <w:r>
        <w:t>одов.</w:t>
      </w:r>
      <w:r w:rsidRPr="00CB26B4">
        <w:t xml:space="preserve"> Общая сумма ежегодных расходов на обеспечение деятельности общинных посредников в Республике Молдова (для 54 общинных посредников </w:t>
      </w:r>
      <w:r>
        <w:t>—</w:t>
      </w:r>
      <w:r w:rsidRPr="00CB26B4">
        <w:t xml:space="preserve"> количество общинных посредников было увеличено в соответствии с выявленными потребностями) запланирована в размере 3904,3 тыс. леев.</w:t>
      </w:r>
    </w:p>
    <w:p w14:paraId="50BD2153" w14:textId="77777777" w:rsidR="00936DFE" w:rsidRDefault="00936DFE" w:rsidP="00936DFE">
      <w:pPr>
        <w:pStyle w:val="SingleTxtG"/>
      </w:pPr>
      <w:r>
        <w:t>129.</w:t>
      </w:r>
      <w:r>
        <w:tab/>
      </w:r>
      <w:r w:rsidRPr="00CB26B4">
        <w:t>Особое внимание уделяется развитию навыков общинных посредников путем организации рабочих встреч, семинаров и консультаций. В 2017 и 2018 г</w:t>
      </w:r>
      <w:r>
        <w:t>одах</w:t>
      </w:r>
      <w:r w:rsidRPr="00CB26B4">
        <w:t xml:space="preserve"> в Кишиневе состоялся Форум общинных посредников (с участием общинных посредников, лидеров этнокультурных организаций ромов, мэров населенных пунктов с компактным проживанием ромов, представителей ЦПУ, международных организаций). В рамках этих мероприятий участники получили возможность более широкого общения и взаимодействия для совместного поиска путей решения проблем, с которыми сталкиваются общинные посредники в Республике Молдова, а также для поощрения их активного участия в жизни </w:t>
      </w:r>
      <w:proofErr w:type="spellStart"/>
      <w:r w:rsidRPr="006F2CA7">
        <w:t>ромских</w:t>
      </w:r>
      <w:proofErr w:type="spellEnd"/>
      <w:r w:rsidRPr="006F2CA7">
        <w:t xml:space="preserve"> сообществ</w:t>
      </w:r>
      <w:r w:rsidRPr="00CB26B4">
        <w:t>.</w:t>
      </w:r>
      <w:r>
        <w:t xml:space="preserve"> </w:t>
      </w:r>
    </w:p>
    <w:p w14:paraId="02B43BFB" w14:textId="77777777" w:rsidR="00936DFE" w:rsidRDefault="00936DFE" w:rsidP="00936DFE">
      <w:pPr>
        <w:pStyle w:val="SingleTxtG"/>
      </w:pPr>
      <w:r>
        <w:t>130.</w:t>
      </w:r>
      <w:r>
        <w:tab/>
      </w:r>
      <w:r w:rsidRPr="00CB26B4">
        <w:t>При участии отраслевых министерств было разработано Руководство для общинных посредников.</w:t>
      </w:r>
      <w:r>
        <w:t xml:space="preserve"> </w:t>
      </w:r>
      <w:r w:rsidRPr="00CB26B4">
        <w:t>В целом благодаря предпринятым усилиям</w:t>
      </w:r>
      <w:r>
        <w:t xml:space="preserve"> </w:t>
      </w:r>
      <w:r w:rsidRPr="00CB26B4">
        <w:t>в настоящее время действуют 32</w:t>
      </w:r>
      <w:r>
        <w:t> </w:t>
      </w:r>
      <w:r w:rsidRPr="00CB26B4">
        <w:t>общинных посредника.</w:t>
      </w:r>
    </w:p>
    <w:p w14:paraId="576DC2F4" w14:textId="77777777" w:rsidR="00936DFE" w:rsidRDefault="00936DFE" w:rsidP="00936DFE">
      <w:pPr>
        <w:pStyle w:val="H4G"/>
      </w:pPr>
      <w:r>
        <w:tab/>
      </w:r>
      <w:r>
        <w:tab/>
      </w:r>
      <w:r w:rsidRPr="00CB26B4">
        <w:t xml:space="preserve">Образование </w:t>
      </w:r>
    </w:p>
    <w:p w14:paraId="28DD0261" w14:textId="77777777" w:rsidR="00936DFE" w:rsidRDefault="00936DFE" w:rsidP="00936DFE">
      <w:pPr>
        <w:pStyle w:val="SingleTxtG"/>
        <w:rPr>
          <w:b/>
          <w:bCs/>
        </w:rPr>
      </w:pPr>
      <w:r>
        <w:t>131.</w:t>
      </w:r>
      <w:r>
        <w:tab/>
      </w:r>
      <w:r w:rsidRPr="00CB26B4">
        <w:t>Министерство образования, культуры и исследований (MОКИ) в партнерстве с НПО и органами местного публичного управления, на постоянной основе, организует информационно-просветительские кампании для родителей, относительно</w:t>
      </w:r>
      <w:r>
        <w:t xml:space="preserve"> </w:t>
      </w:r>
      <w:r w:rsidRPr="00CB26B4">
        <w:t>зачисления детей в систему обязательного образования. Только в 2017 г</w:t>
      </w:r>
      <w:r>
        <w:t xml:space="preserve">оду </w:t>
      </w:r>
      <w:r w:rsidRPr="00CB26B4">
        <w:t>было организовано 35</w:t>
      </w:r>
      <w:r>
        <w:t> </w:t>
      </w:r>
      <w:r w:rsidRPr="00CB26B4">
        <w:t>информационно-просветительских кампаний для родителей, причем число информированных родителей составляло более 876 человек. В 2018 г</w:t>
      </w:r>
      <w:r>
        <w:t>оду</w:t>
      </w:r>
      <w:r w:rsidRPr="00CB26B4">
        <w:t xml:space="preserve"> было организовано 21 информационно-просветительские кампаний для родителей во всех районах страны, а информированных родителей </w:t>
      </w:r>
      <w:r>
        <w:t>—</w:t>
      </w:r>
      <w:r w:rsidRPr="00CB26B4">
        <w:t xml:space="preserve"> более 567 человек.</w:t>
      </w:r>
    </w:p>
    <w:p w14:paraId="41B117C2" w14:textId="77777777" w:rsidR="00936DFE" w:rsidRPr="00CB26B4" w:rsidRDefault="00936DFE" w:rsidP="00936DFE">
      <w:pPr>
        <w:pStyle w:val="SingleTxtG"/>
      </w:pPr>
      <w:r>
        <w:t>132.</w:t>
      </w:r>
      <w:r>
        <w:tab/>
      </w:r>
      <w:r w:rsidRPr="00CB26B4">
        <w:t>В начале 2019</w:t>
      </w:r>
      <w:r>
        <w:t>–</w:t>
      </w:r>
      <w:r w:rsidRPr="00CB26B4">
        <w:t>2020 учебного года было проведено более 450 информационно-просветительских кампаний для родителей рома в целях привлечения и зачисления их детей в систему обязательного образования, таким образом было информировано более 1900 родителей.</w:t>
      </w:r>
    </w:p>
    <w:p w14:paraId="41E9431F" w14:textId="77777777" w:rsidR="00936DFE" w:rsidRDefault="00936DFE" w:rsidP="00936DFE">
      <w:pPr>
        <w:pStyle w:val="SingleTxtG"/>
      </w:pPr>
      <w:r>
        <w:t>133.</w:t>
      </w:r>
      <w:r>
        <w:tab/>
      </w:r>
      <w:r w:rsidRPr="00CB26B4">
        <w:t>В результате сотрудничества органов местного публичного управления (ОМПУ), администраций учебных учреждений и представителей общин ромов, 1778</w:t>
      </w:r>
      <w:r>
        <w:t> </w:t>
      </w:r>
      <w:r w:rsidRPr="00CB26B4">
        <w:t>детей ромов охвачены школой (количество детей, охваченных школой, сохраняется по сравнению с предыдущим годом обучения). Наибольшее количество детей этнических ромов, посещающих школу в 2019 г</w:t>
      </w:r>
      <w:r>
        <w:t>оду</w:t>
      </w:r>
      <w:r w:rsidRPr="00CB26B4">
        <w:t xml:space="preserve">, зарегистрировано в таких районах как: Окница </w:t>
      </w:r>
      <w:r>
        <w:t>—</w:t>
      </w:r>
      <w:r w:rsidRPr="00CB26B4">
        <w:t xml:space="preserve"> 164 детей, Калараш </w:t>
      </w:r>
      <w:r>
        <w:t>—</w:t>
      </w:r>
      <w:r w:rsidRPr="00CB26B4">
        <w:t xml:space="preserve"> 150 , Оргеев </w:t>
      </w:r>
      <w:r>
        <w:t>—</w:t>
      </w:r>
      <w:r w:rsidRPr="00CB26B4">
        <w:t xml:space="preserve"> 146 , Дрокия </w:t>
      </w:r>
      <w:r>
        <w:t>—</w:t>
      </w:r>
      <w:r w:rsidRPr="00CB26B4">
        <w:t xml:space="preserve"> 134, муниципий </w:t>
      </w:r>
      <w:proofErr w:type="spellStart"/>
      <w:r w:rsidRPr="00CB26B4">
        <w:t>Кишинэу</w:t>
      </w:r>
      <w:proofErr w:type="spellEnd"/>
      <w:r w:rsidRPr="00CB26B4">
        <w:t xml:space="preserve"> </w:t>
      </w:r>
      <w:r>
        <w:t>—</w:t>
      </w:r>
      <w:r w:rsidRPr="00CB26B4">
        <w:t xml:space="preserve"> 130, Сорока </w:t>
      </w:r>
      <w:r>
        <w:t>—</w:t>
      </w:r>
      <w:r w:rsidRPr="00CB26B4">
        <w:t xml:space="preserve"> 97,</w:t>
      </w:r>
      <w:r>
        <w:t xml:space="preserve"> </w:t>
      </w:r>
      <w:proofErr w:type="spellStart"/>
      <w:r w:rsidRPr="00CB26B4">
        <w:t>Хынчешть</w:t>
      </w:r>
      <w:proofErr w:type="spellEnd"/>
      <w:r w:rsidRPr="00CB26B4">
        <w:t xml:space="preserve"> </w:t>
      </w:r>
      <w:r>
        <w:t>—</w:t>
      </w:r>
      <w:r w:rsidRPr="00CB26B4">
        <w:rPr>
          <w:b/>
        </w:rPr>
        <w:t xml:space="preserve"> </w:t>
      </w:r>
      <w:r w:rsidRPr="00CB26B4">
        <w:t xml:space="preserve">91, </w:t>
      </w:r>
      <w:proofErr w:type="spellStart"/>
      <w:r w:rsidRPr="00CB26B4">
        <w:t>Глодень</w:t>
      </w:r>
      <w:proofErr w:type="spellEnd"/>
      <w:r w:rsidRPr="00CB26B4">
        <w:t xml:space="preserve"> </w:t>
      </w:r>
      <w:r>
        <w:t>—</w:t>
      </w:r>
      <w:r w:rsidRPr="00CB26B4">
        <w:t xml:space="preserve"> 86, муниципий </w:t>
      </w:r>
      <w:proofErr w:type="spellStart"/>
      <w:r w:rsidRPr="00CB26B4">
        <w:t>Бэлць</w:t>
      </w:r>
      <w:proofErr w:type="spellEnd"/>
      <w:r w:rsidRPr="00CB26B4">
        <w:t xml:space="preserve">, </w:t>
      </w:r>
      <w:proofErr w:type="spellStart"/>
      <w:r w:rsidRPr="00CB26B4">
        <w:t>Кахул</w:t>
      </w:r>
      <w:proofErr w:type="spellEnd"/>
      <w:r w:rsidRPr="00CB26B4">
        <w:t xml:space="preserve"> и </w:t>
      </w:r>
      <w:proofErr w:type="spellStart"/>
      <w:r w:rsidRPr="00CB26B4">
        <w:t>Ниспорены</w:t>
      </w:r>
      <w:proofErr w:type="spellEnd"/>
      <w:r w:rsidRPr="00CB26B4">
        <w:t xml:space="preserve"> </w:t>
      </w:r>
      <w:r>
        <w:t>—</w:t>
      </w:r>
      <w:r w:rsidRPr="00CB26B4">
        <w:t xml:space="preserve"> по 68 детей,</w:t>
      </w:r>
      <w:r>
        <w:t xml:space="preserve"> </w:t>
      </w:r>
      <w:r w:rsidRPr="00CB26B4">
        <w:t>Штефан-</w:t>
      </w:r>
      <w:proofErr w:type="spellStart"/>
      <w:r w:rsidRPr="00CB26B4">
        <w:t>Водэ</w:t>
      </w:r>
      <w:proofErr w:type="spellEnd"/>
      <w:r w:rsidRPr="00CB26B4">
        <w:t xml:space="preserve"> </w:t>
      </w:r>
      <w:r>
        <w:t>—</w:t>
      </w:r>
      <w:r w:rsidRPr="00CB26B4">
        <w:t xml:space="preserve"> 63, </w:t>
      </w:r>
      <w:proofErr w:type="spellStart"/>
      <w:r w:rsidRPr="00CB26B4">
        <w:t>Рышкань</w:t>
      </w:r>
      <w:proofErr w:type="spellEnd"/>
      <w:r w:rsidRPr="00CB26B4">
        <w:t xml:space="preserve"> </w:t>
      </w:r>
      <w:r>
        <w:t>—</w:t>
      </w:r>
      <w:r w:rsidRPr="00CB26B4">
        <w:t xml:space="preserve"> 56,</w:t>
      </w:r>
      <w:r>
        <w:t xml:space="preserve"> </w:t>
      </w:r>
      <w:proofErr w:type="spellStart"/>
      <w:r w:rsidRPr="00CB26B4">
        <w:t>Басарабяска</w:t>
      </w:r>
      <w:proofErr w:type="spellEnd"/>
      <w:r w:rsidRPr="00CB26B4">
        <w:t xml:space="preserve"> </w:t>
      </w:r>
      <w:r>
        <w:t>—</w:t>
      </w:r>
      <w:r w:rsidRPr="00CB26B4">
        <w:t xml:space="preserve"> 50.</w:t>
      </w:r>
    </w:p>
    <w:p w14:paraId="2CC0C757" w14:textId="77777777" w:rsidR="00936DFE" w:rsidRDefault="00936DFE" w:rsidP="00936DFE">
      <w:pPr>
        <w:pStyle w:val="SingleTxtG"/>
        <w:rPr>
          <w:b/>
        </w:rPr>
      </w:pPr>
      <w:r>
        <w:t>134.</w:t>
      </w:r>
      <w:r>
        <w:tab/>
      </w:r>
      <w:r w:rsidRPr="00CB26B4">
        <w:t xml:space="preserve">Питание детей рома было и остается важным фактором защиты и укрепления их здоровья. </w:t>
      </w:r>
      <w:proofErr w:type="gramStart"/>
      <w:r w:rsidRPr="00CB26B4">
        <w:t>Питание всех детей</w:t>
      </w:r>
      <w:proofErr w:type="gramEnd"/>
      <w:r w:rsidRPr="00CB26B4">
        <w:t xml:space="preserve"> охваченных школой, организовано бесплатно в соответствии с ПП № 234 от 25</w:t>
      </w:r>
      <w:r>
        <w:t xml:space="preserve"> февраля </w:t>
      </w:r>
      <w:r w:rsidRPr="00CB26B4">
        <w:t>2005 г</w:t>
      </w:r>
      <w:r>
        <w:t>ода</w:t>
      </w:r>
      <w:r w:rsidRPr="00CB26B4">
        <w:t xml:space="preserve"> и ПП №198 от 16</w:t>
      </w:r>
      <w:r>
        <w:t xml:space="preserve"> апреля </w:t>
      </w:r>
      <w:r w:rsidRPr="00CB26B4">
        <w:t>1993 г</w:t>
      </w:r>
      <w:r>
        <w:t>ода</w:t>
      </w:r>
      <w:r w:rsidRPr="00CB26B4">
        <w:t xml:space="preserve"> </w:t>
      </w:r>
      <w:r w:rsidRPr="00CB26B4">
        <w:lastRenderedPageBreak/>
        <w:t xml:space="preserve">835 детей рома получают бесплатное питание. Все ученики начального цикла питаются бесплатно. В некоторых населенных пунктах органы местного публичного управления выделяют ресурсы для обеспечения бесплатного питания для учащихся рома на всех уровнях образования: Калараш </w:t>
      </w:r>
      <w:r>
        <w:t>—</w:t>
      </w:r>
      <w:r w:rsidRPr="00CB26B4">
        <w:t xml:space="preserve"> 85 учеников,</w:t>
      </w:r>
      <w:r>
        <w:t xml:space="preserve"> </w:t>
      </w:r>
      <w:r w:rsidRPr="00CB26B4">
        <w:t xml:space="preserve">муниципий </w:t>
      </w:r>
      <w:proofErr w:type="spellStart"/>
      <w:r w:rsidRPr="00CB26B4">
        <w:t>Кишинэу</w:t>
      </w:r>
      <w:proofErr w:type="spellEnd"/>
      <w:r w:rsidRPr="00CB26B4">
        <w:t xml:space="preserve"> </w:t>
      </w:r>
      <w:r>
        <w:t>—</w:t>
      </w:r>
      <w:r w:rsidRPr="00CB26B4">
        <w:t xml:space="preserve"> 56</w:t>
      </w:r>
      <w:r>
        <w:t xml:space="preserve"> </w:t>
      </w:r>
      <w:r w:rsidRPr="00CB26B4">
        <w:t>(</w:t>
      </w:r>
      <w:r>
        <w:t>1–4</w:t>
      </w:r>
      <w:r w:rsidRPr="00CB26B4">
        <w:t xml:space="preserve"> классы </w:t>
      </w:r>
      <w:r>
        <w:t>—</w:t>
      </w:r>
      <w:r w:rsidRPr="00CB26B4">
        <w:t xml:space="preserve"> 38 учеников; </w:t>
      </w:r>
      <w:r>
        <w:t>5–9</w:t>
      </w:r>
      <w:r w:rsidRPr="00CB26B4">
        <w:t xml:space="preserve"> классы </w:t>
      </w:r>
      <w:r>
        <w:t>—</w:t>
      </w:r>
      <w:r w:rsidRPr="00CB26B4">
        <w:t xml:space="preserve"> 15; </w:t>
      </w:r>
      <w:r>
        <w:t>10–12 классы —</w:t>
      </w:r>
      <w:r w:rsidRPr="00CB26B4">
        <w:t xml:space="preserve"> 3), муниципий </w:t>
      </w:r>
      <w:proofErr w:type="spellStart"/>
      <w:r w:rsidRPr="00CB26B4">
        <w:t>Бэлць</w:t>
      </w:r>
      <w:proofErr w:type="spellEnd"/>
      <w:r>
        <w:t> —</w:t>
      </w:r>
      <w:r w:rsidRPr="00CB26B4">
        <w:t xml:space="preserve"> 48, </w:t>
      </w:r>
      <w:proofErr w:type="spellStart"/>
      <w:r w:rsidRPr="00CB26B4">
        <w:t>Глодень</w:t>
      </w:r>
      <w:proofErr w:type="spellEnd"/>
      <w:r w:rsidRPr="00CB26B4">
        <w:t xml:space="preserve"> </w:t>
      </w:r>
      <w:r>
        <w:t>—</w:t>
      </w:r>
      <w:r w:rsidRPr="00CB26B4">
        <w:t xml:space="preserve"> 44, Дрокия </w:t>
      </w:r>
      <w:r>
        <w:t>—</w:t>
      </w:r>
      <w:r w:rsidRPr="00CB26B4">
        <w:t xml:space="preserve"> 41,</w:t>
      </w:r>
      <w:r>
        <w:t xml:space="preserve"> </w:t>
      </w:r>
      <w:proofErr w:type="spellStart"/>
      <w:r w:rsidRPr="00CB26B4">
        <w:t>Хынчешть</w:t>
      </w:r>
      <w:proofErr w:type="spellEnd"/>
      <w:r w:rsidRPr="00CB26B4">
        <w:t xml:space="preserve"> </w:t>
      </w:r>
      <w:r>
        <w:t>—</w:t>
      </w:r>
      <w:r w:rsidRPr="00CB26B4">
        <w:t xml:space="preserve"> 39, </w:t>
      </w:r>
      <w:proofErr w:type="spellStart"/>
      <w:r w:rsidRPr="00CB26B4">
        <w:t>Басарабяска</w:t>
      </w:r>
      <w:proofErr w:type="spellEnd"/>
      <w:r w:rsidRPr="00CB26B4">
        <w:t xml:space="preserve"> </w:t>
      </w:r>
      <w:r>
        <w:t>—</w:t>
      </w:r>
      <w:r w:rsidRPr="006F2CA7">
        <w:rPr>
          <w:bCs/>
        </w:rPr>
        <w:t xml:space="preserve"> </w:t>
      </w:r>
      <w:r w:rsidRPr="00CB26B4">
        <w:t xml:space="preserve">27, </w:t>
      </w:r>
      <w:proofErr w:type="spellStart"/>
      <w:r w:rsidRPr="00CB26B4">
        <w:t>Рышкань</w:t>
      </w:r>
      <w:proofErr w:type="spellEnd"/>
      <w:r w:rsidRPr="00CB26B4">
        <w:t xml:space="preserve"> </w:t>
      </w:r>
      <w:r>
        <w:t>—</w:t>
      </w:r>
      <w:r w:rsidRPr="00CB26B4">
        <w:t xml:space="preserve"> 34.</w:t>
      </w:r>
    </w:p>
    <w:p w14:paraId="7AAC2E97" w14:textId="77777777" w:rsidR="00936DFE" w:rsidRDefault="00936DFE" w:rsidP="00936DFE">
      <w:pPr>
        <w:pStyle w:val="SingleTxtG"/>
      </w:pPr>
      <w:r>
        <w:t>135.</w:t>
      </w:r>
      <w:r>
        <w:tab/>
      </w:r>
      <w:r w:rsidRPr="00CB26B4">
        <w:t xml:space="preserve">Все ОМПУ обеспечивают бесплатный проезд детей из населенных пунктов компактного проживания ромов до ближайшего учебного заведения, расположенного на расстоянии не менее </w:t>
      </w:r>
      <w:r>
        <w:t>2</w:t>
      </w:r>
      <w:r w:rsidRPr="00CB26B4">
        <w:t xml:space="preserve"> км, если в месте проживания ученика не функционирует общеобразовательное учебное заведение, соответствующее его циклу образования (начальное, гимназическое, лицейское).</w:t>
      </w:r>
      <w:r>
        <w:t xml:space="preserve"> </w:t>
      </w:r>
      <w:r w:rsidRPr="00CB26B4">
        <w:t>В общей сложности 31 ребенок рома получает бесплатный транспорт в учебное заведение и обратно.</w:t>
      </w:r>
    </w:p>
    <w:p w14:paraId="3A845CD4" w14:textId="77777777" w:rsidR="00936DFE" w:rsidRDefault="00936DFE" w:rsidP="00936DFE">
      <w:pPr>
        <w:pStyle w:val="SingleTxtG"/>
      </w:pPr>
      <w:r>
        <w:t>136.</w:t>
      </w:r>
      <w:r>
        <w:tab/>
      </w:r>
      <w:r w:rsidRPr="00CB26B4">
        <w:t>Несмотря на принимаемые меры по охвату школьным обучением и предотвращению отсева из школы, все еще существуют связанные с этим проблемы, в частности такие как: отсутствие у детей соответствующих регистрационных документов; миграция; отсутствие интереса родителей к школьному и детскому образованию, нестабильная семейная обстановка, недостаточное количество общинных посредников, др.</w:t>
      </w:r>
    </w:p>
    <w:p w14:paraId="02EA022B" w14:textId="77777777" w:rsidR="00936DFE" w:rsidRDefault="00936DFE" w:rsidP="00936DFE">
      <w:pPr>
        <w:pStyle w:val="SingleTxtG"/>
      </w:pPr>
      <w:r>
        <w:t>137.</w:t>
      </w:r>
      <w:r>
        <w:tab/>
      </w:r>
      <w:r w:rsidRPr="00CB26B4">
        <w:t>В 2018 г</w:t>
      </w:r>
      <w:r>
        <w:t>оду</w:t>
      </w:r>
      <w:r w:rsidRPr="00CB26B4">
        <w:t xml:space="preserve"> был разработан </w:t>
      </w:r>
      <w:proofErr w:type="spellStart"/>
      <w:r w:rsidRPr="00CB26B4">
        <w:t>куррикулум</w:t>
      </w:r>
      <w:proofErr w:type="spellEnd"/>
      <w:r w:rsidRPr="00CB26B4">
        <w:t xml:space="preserve"> к дисциплине «История, культура и традиции ромов Республики Молдова», которая была впервые включена в учебные планы </w:t>
      </w:r>
      <w:proofErr w:type="spellStart"/>
      <w:r w:rsidRPr="00CB26B4">
        <w:t>доуниверситетских</w:t>
      </w:r>
      <w:proofErr w:type="spellEnd"/>
      <w:r w:rsidRPr="00CB26B4">
        <w:t xml:space="preserve"> учебных заведений. Дисциплина «История, культура и традиции ромов Республики Молдова» является обязательной в начальных классах учебных заведений, в которых есть контингент учащихся, принадлежащих к этническим ромам. Одна из специфических особенностей общин ромов в Республике Молдовы состоит в том, что</w:t>
      </w:r>
      <w:r>
        <w:t xml:space="preserve"> </w:t>
      </w:r>
      <w:r w:rsidRPr="00CB26B4">
        <w:t xml:space="preserve">в качестве родного языка, на котором они общаются в семье, в сообществе, используются языки </w:t>
      </w:r>
      <w:proofErr w:type="spellStart"/>
      <w:r w:rsidRPr="00CB26B4">
        <w:t>романи</w:t>
      </w:r>
      <w:proofErr w:type="spellEnd"/>
      <w:r w:rsidRPr="00CB26B4">
        <w:t xml:space="preserve">, румынский или русский. В связи с этим для преподавания на родном языке учебная программа </w:t>
      </w:r>
      <w:r>
        <w:t>«</w:t>
      </w:r>
      <w:r w:rsidRPr="00CB26B4">
        <w:t>История, культура и традиции ромов Республики Молдова</w:t>
      </w:r>
      <w:r>
        <w:t>»</w:t>
      </w:r>
      <w:r w:rsidRPr="00CB26B4">
        <w:t xml:space="preserve"> была разработана на </w:t>
      </w:r>
      <w:proofErr w:type="spellStart"/>
      <w:r w:rsidRPr="00CB26B4">
        <w:t>романи</w:t>
      </w:r>
      <w:proofErr w:type="spellEnd"/>
      <w:r w:rsidRPr="00CB26B4">
        <w:t>, румынском и русском языках. Уже в 2019</w:t>
      </w:r>
      <w:r>
        <w:t>–</w:t>
      </w:r>
      <w:r w:rsidRPr="00CB26B4">
        <w:t>2020 учебном году 99 учеников</w:t>
      </w:r>
      <w:r>
        <w:t xml:space="preserve"> </w:t>
      </w:r>
      <w:r w:rsidRPr="00CB26B4">
        <w:t>теоретического лицея им.</w:t>
      </w:r>
      <w:r>
        <w:t> </w:t>
      </w:r>
      <w:proofErr w:type="spellStart"/>
      <w:r w:rsidRPr="00CB26B4">
        <w:t>Михая</w:t>
      </w:r>
      <w:proofErr w:type="spellEnd"/>
      <w:r w:rsidRPr="00CB26B4">
        <w:t xml:space="preserve"> </w:t>
      </w:r>
      <w:proofErr w:type="spellStart"/>
      <w:r w:rsidRPr="00CB26B4">
        <w:t>Еминеску</w:t>
      </w:r>
      <w:proofErr w:type="spellEnd"/>
      <w:r w:rsidRPr="00CB26B4">
        <w:t xml:space="preserve"> в городе </w:t>
      </w:r>
      <w:proofErr w:type="spellStart"/>
      <w:r w:rsidRPr="00CB26B4">
        <w:t>Отачь</w:t>
      </w:r>
      <w:proofErr w:type="spellEnd"/>
      <w:r w:rsidRPr="00CB26B4">
        <w:t xml:space="preserve"> начали изучать указанную дисциплину.</w:t>
      </w:r>
      <w:r>
        <w:t xml:space="preserve"> </w:t>
      </w:r>
    </w:p>
    <w:p w14:paraId="6661D43B" w14:textId="77777777" w:rsidR="00936DFE" w:rsidRDefault="00936DFE" w:rsidP="00936DFE">
      <w:pPr>
        <w:pStyle w:val="SingleTxtG"/>
        <w:rPr>
          <w:iCs/>
        </w:rPr>
      </w:pPr>
      <w:r>
        <w:t>138.</w:t>
      </w:r>
      <w:r>
        <w:tab/>
      </w:r>
      <w:r w:rsidRPr="00CB26B4">
        <w:t>Наблюдается положительная динамика доступа к высшему образованию для этнических ромов в результате некоторых мер, принятых МОКИ.</w:t>
      </w:r>
      <w:r w:rsidRPr="00CB26B4">
        <w:rPr>
          <w:i/>
          <w:iCs/>
        </w:rPr>
        <w:t xml:space="preserve"> </w:t>
      </w:r>
      <w:r w:rsidRPr="00CB26B4">
        <w:rPr>
          <w:iCs/>
        </w:rPr>
        <w:t>Так, в соответствии с</w:t>
      </w:r>
      <w:r w:rsidRPr="00CB26B4">
        <w:rPr>
          <w:i/>
          <w:iCs/>
        </w:rPr>
        <w:t xml:space="preserve"> Положением об организации и проведении приема в высшие учебные заведения Республики Молдова </w:t>
      </w:r>
      <w:r w:rsidRPr="00CB26B4">
        <w:rPr>
          <w:iCs/>
        </w:rPr>
        <w:t>ежегодно</w:t>
      </w:r>
      <w:r w:rsidRPr="00CB26B4">
        <w:rPr>
          <w:i/>
          <w:iCs/>
        </w:rPr>
        <w:t xml:space="preserve"> </w:t>
      </w:r>
      <w:r w:rsidRPr="00CB26B4">
        <w:rPr>
          <w:iCs/>
        </w:rPr>
        <w:t>устанавливается квота в 15</w:t>
      </w:r>
      <w:r>
        <w:rPr>
          <w:iCs/>
        </w:rPr>
        <w:t xml:space="preserve"> процентов</w:t>
      </w:r>
      <w:r w:rsidRPr="00CB26B4">
        <w:rPr>
          <w:iCs/>
        </w:rPr>
        <w:t xml:space="preserve"> от общего количества мест, предусмотренные для приема на основе бюджетного финансировании для ряда категорий абитуриентов, в том числе для молодых ромов (по каждой специальности/области профессионального образования). В 2019 г</w:t>
      </w:r>
      <w:r>
        <w:rPr>
          <w:iCs/>
        </w:rPr>
        <w:t>оду</w:t>
      </w:r>
      <w:r w:rsidRPr="00CB26B4">
        <w:rPr>
          <w:iCs/>
        </w:rPr>
        <w:t xml:space="preserve"> 18</w:t>
      </w:r>
      <w:r>
        <w:rPr>
          <w:iCs/>
        </w:rPr>
        <w:t> </w:t>
      </w:r>
      <w:r w:rsidRPr="00CB26B4">
        <w:rPr>
          <w:iCs/>
        </w:rPr>
        <w:t>молодых ромов были зачислены в высшие учебные заведения,</w:t>
      </w:r>
      <w:r>
        <w:rPr>
          <w:iCs/>
        </w:rPr>
        <w:t xml:space="preserve"> </w:t>
      </w:r>
      <w:r w:rsidRPr="00CB26B4">
        <w:rPr>
          <w:iCs/>
        </w:rPr>
        <w:t>тогда как в 2017 г</w:t>
      </w:r>
      <w:r>
        <w:rPr>
          <w:iCs/>
        </w:rPr>
        <w:t xml:space="preserve">оду </w:t>
      </w:r>
      <w:r w:rsidRPr="00CB26B4">
        <w:rPr>
          <w:iCs/>
        </w:rPr>
        <w:t>их количество составило</w:t>
      </w:r>
      <w:r>
        <w:rPr>
          <w:iCs/>
        </w:rPr>
        <w:t xml:space="preserve"> 7</w:t>
      </w:r>
      <w:r w:rsidRPr="00CB26B4">
        <w:rPr>
          <w:iCs/>
        </w:rPr>
        <w:t xml:space="preserve"> человек.</w:t>
      </w:r>
    </w:p>
    <w:p w14:paraId="5217C682" w14:textId="77777777" w:rsidR="00936DFE" w:rsidRDefault="00936DFE" w:rsidP="00936DFE">
      <w:pPr>
        <w:pStyle w:val="SingleTxtG"/>
      </w:pPr>
      <w:r>
        <w:t>139.</w:t>
      </w:r>
      <w:r>
        <w:tab/>
      </w:r>
      <w:r w:rsidRPr="00CB26B4">
        <w:t>В период 2016</w:t>
      </w:r>
      <w:r>
        <w:t>–</w:t>
      </w:r>
      <w:r w:rsidRPr="00CB26B4">
        <w:t>2019 г</w:t>
      </w:r>
      <w:r>
        <w:t>одов</w:t>
      </w:r>
      <w:r w:rsidRPr="00CB26B4">
        <w:t xml:space="preserve"> в профессионально-технические учебные заведения всего было зачислено 120 </w:t>
      </w:r>
      <w:r w:rsidRPr="006F2CA7">
        <w:t>ромов</w:t>
      </w:r>
      <w:r w:rsidRPr="00CB26B4">
        <w:t>, в том числе в 2016</w:t>
      </w:r>
      <w:r>
        <w:t>–</w:t>
      </w:r>
      <w:r w:rsidRPr="00CB26B4">
        <w:t>2017 г</w:t>
      </w:r>
      <w:r>
        <w:t>одах</w:t>
      </w:r>
      <w:r w:rsidRPr="00CB26B4">
        <w:t xml:space="preserve"> </w:t>
      </w:r>
      <w:r>
        <w:t>—</w:t>
      </w:r>
      <w:r w:rsidRPr="00CB26B4">
        <w:t xml:space="preserve"> 58 человек;</w:t>
      </w:r>
      <w:r>
        <w:t xml:space="preserve"> </w:t>
      </w:r>
      <w:r>
        <w:br/>
      </w:r>
      <w:r w:rsidRPr="00CB26B4">
        <w:t>в 2017</w:t>
      </w:r>
      <w:r>
        <w:t>–</w:t>
      </w:r>
      <w:r w:rsidRPr="00CB26B4">
        <w:t>2018 г</w:t>
      </w:r>
      <w:r>
        <w:t>одах</w:t>
      </w:r>
      <w:r w:rsidRPr="00CB26B4">
        <w:t xml:space="preserve"> </w:t>
      </w:r>
      <w:r>
        <w:t>—</w:t>
      </w:r>
      <w:r w:rsidRPr="00CB26B4">
        <w:t xml:space="preserve"> 43; в 2018–2019 г</w:t>
      </w:r>
      <w:r>
        <w:t>одах</w:t>
      </w:r>
      <w:r w:rsidRPr="00CB26B4">
        <w:t xml:space="preserve"> </w:t>
      </w:r>
      <w:r>
        <w:t>—</w:t>
      </w:r>
      <w:r w:rsidRPr="00CB26B4">
        <w:t xml:space="preserve"> 19.</w:t>
      </w:r>
      <w:r>
        <w:t xml:space="preserve"> </w:t>
      </w:r>
      <w:r w:rsidRPr="00CB26B4">
        <w:t>Все желающие студенты были обеспечены</w:t>
      </w:r>
      <w:r>
        <w:t xml:space="preserve"> </w:t>
      </w:r>
      <w:r w:rsidRPr="00CB26B4">
        <w:t xml:space="preserve">местами для проживания в общежитиях. </w:t>
      </w:r>
    </w:p>
    <w:p w14:paraId="7527495B" w14:textId="77777777" w:rsidR="00936DFE" w:rsidRDefault="00936DFE" w:rsidP="00936DFE">
      <w:pPr>
        <w:pStyle w:val="H4G"/>
      </w:pPr>
      <w:r>
        <w:tab/>
      </w:r>
      <w:r>
        <w:tab/>
      </w:r>
      <w:r w:rsidRPr="00CB26B4">
        <w:t xml:space="preserve">Трудоустройство </w:t>
      </w:r>
    </w:p>
    <w:p w14:paraId="7F3629FB" w14:textId="77777777" w:rsidR="00936DFE" w:rsidRDefault="00936DFE" w:rsidP="00936DFE">
      <w:pPr>
        <w:pStyle w:val="SingleTxtG"/>
      </w:pPr>
      <w:r>
        <w:t>140.</w:t>
      </w:r>
      <w:r>
        <w:tab/>
      </w:r>
      <w:r w:rsidRPr="00CB26B4">
        <w:t>В целях сокращения безработицы и ее социальных последствий, снижения рисков безработицы, обеспечения высокого уровня занятости населения и адаптации рабочей силы к требованиям рынка труда Парламентом был утвержден Закон №</w:t>
      </w:r>
      <w:r>
        <w:t xml:space="preserve"> </w:t>
      </w:r>
      <w:r w:rsidRPr="00CB26B4">
        <w:t>105 от 14</w:t>
      </w:r>
      <w:r>
        <w:t xml:space="preserve"> июня </w:t>
      </w:r>
      <w:r w:rsidRPr="00CB26B4">
        <w:t>2018 г</w:t>
      </w:r>
      <w:r>
        <w:t>ода</w:t>
      </w:r>
      <w:r w:rsidRPr="00CB26B4">
        <w:t xml:space="preserve"> о содействии занятости населения и страховании по безработице (далее </w:t>
      </w:r>
      <w:r>
        <w:t>—</w:t>
      </w:r>
      <w:r w:rsidRPr="00CB26B4">
        <w:t xml:space="preserve"> </w:t>
      </w:r>
      <w:r w:rsidRPr="00786F88">
        <w:rPr>
          <w:iCs/>
        </w:rPr>
        <w:t>Закон 105/2018</w:t>
      </w:r>
      <w:r w:rsidRPr="00CB26B4">
        <w:t>), вступивший в силу 10</w:t>
      </w:r>
      <w:r>
        <w:t xml:space="preserve"> февраля </w:t>
      </w:r>
      <w:r w:rsidRPr="00CB26B4">
        <w:t>2019 г</w:t>
      </w:r>
      <w:r>
        <w:t>ода</w:t>
      </w:r>
      <w:r w:rsidRPr="00CB26B4">
        <w:t xml:space="preserve">. </w:t>
      </w:r>
    </w:p>
    <w:p w14:paraId="5BF58130" w14:textId="77777777" w:rsidR="00936DFE" w:rsidRDefault="00936DFE" w:rsidP="00936DFE">
      <w:pPr>
        <w:pStyle w:val="SingleTxtG"/>
      </w:pPr>
      <w:r>
        <w:t>141.</w:t>
      </w:r>
      <w:r>
        <w:tab/>
      </w:r>
      <w:r w:rsidRPr="00CB26B4">
        <w:t>Ст</w:t>
      </w:r>
      <w:r>
        <w:t xml:space="preserve">атья </w:t>
      </w:r>
      <w:r w:rsidRPr="00CB26B4">
        <w:t>2</w:t>
      </w:r>
      <w:r>
        <w:t xml:space="preserve">, пункт </w:t>
      </w:r>
      <w:r w:rsidRPr="00CB26B4">
        <w:t>4</w:t>
      </w:r>
      <w:r>
        <w:t>,</w:t>
      </w:r>
      <w:r w:rsidRPr="00CB26B4">
        <w:t xml:space="preserve"> Закона 105/2018, гарантирует доступ к мерам по трудоустройству, предоставляемым бесплатно Национальным агентством занятости населения (НАЗН), посредством территориальных подразделений занятости населения (ТПЗН), всем лицам, находящимся в поиске работы. При применении положений настоящего закона запрещается любая дискриминация по признаку расы, </w:t>
      </w:r>
      <w:r w:rsidRPr="00CB26B4">
        <w:lastRenderedPageBreak/>
        <w:t>национальности, этнического происхождения, языка, религии, убеждений, пола, возраста, ограниченных возможностей, взглядов, политической принадлежности, имущественного положения, социального происхождения или любого другого признака</w:t>
      </w:r>
      <w:r w:rsidRPr="00786F88">
        <w:rPr>
          <w:sz w:val="18"/>
          <w:szCs w:val="18"/>
          <w:vertAlign w:val="superscript"/>
        </w:rPr>
        <w:footnoteReference w:id="37"/>
      </w:r>
      <w:r w:rsidRPr="00CB26B4">
        <w:t xml:space="preserve">. </w:t>
      </w:r>
    </w:p>
    <w:p w14:paraId="7469E3C7" w14:textId="77777777" w:rsidR="00936DFE" w:rsidRDefault="00936DFE" w:rsidP="00936DFE">
      <w:pPr>
        <w:pStyle w:val="SingleTxtG"/>
      </w:pPr>
      <w:r>
        <w:t>142.</w:t>
      </w:r>
      <w:r>
        <w:tab/>
      </w:r>
      <w:r w:rsidRPr="00CB26B4">
        <w:t>Согласно Закону 105/2018, все лица, находящиеся в поиске работы, включая этнических ромов, могут бесплатно пользоваться услугами по трудоустройству, в том числе: информацией о рынке труда, профориентацией, помощью в трудоустройстве, информацией о порядке увольнения. В качестве зарегистрированного безработного, этнические ромы могут получить доступ к бесплатным формам обучения: переподготовке, повышению квалификации, обучению на рабочих местах, профессиональной стажировке, сертификации знаний и навыков; они также могут получить консультации, помощь и поддержку в развитии собственного бизнеса, помощь по стимулированию мобильности рабочей силы,</w:t>
      </w:r>
      <w:r>
        <w:t xml:space="preserve"> </w:t>
      </w:r>
      <w:r w:rsidRPr="00CB26B4">
        <w:t>зачисление на работу посредством мер по субсидированию работодателей, услуги по профессиональной реабилитации для лиц с ограниченными возможностями. В соответствии с п</w:t>
      </w:r>
      <w:r>
        <w:t>унктом</w:t>
      </w:r>
      <w:r w:rsidRPr="00CB26B4">
        <w:t xml:space="preserve"> 4 ст</w:t>
      </w:r>
      <w:r>
        <w:t>атьи</w:t>
      </w:r>
      <w:r w:rsidRPr="00CB26B4">
        <w:t xml:space="preserve"> 43 Закона 105/2018 устанавливается пособие по безработице, в том числе тем,</w:t>
      </w:r>
      <w:r>
        <w:t xml:space="preserve"> </w:t>
      </w:r>
      <w:r w:rsidRPr="00CB26B4">
        <w:t>кто на момент установления пособия по безработице не имеют доходов, работали и приобрели страховой стаж в системе государственного социального страхования не менее 12 месяцев за последние 24 календарных месяца, предшествующих дате регистрации.</w:t>
      </w:r>
    </w:p>
    <w:p w14:paraId="1D54453A" w14:textId="77777777" w:rsidR="00936DFE" w:rsidRDefault="00936DFE" w:rsidP="00936DFE">
      <w:pPr>
        <w:pStyle w:val="SingleTxtG"/>
      </w:pPr>
      <w:r>
        <w:t>143.</w:t>
      </w:r>
      <w:r>
        <w:tab/>
      </w:r>
      <w:r w:rsidRPr="00CB26B4">
        <w:t>Для того чтобы воспользоваться мерами по трудоустройству, лица могут обратиться в одно из ТПЗН, и, если они соответствуют условиям предоставления статуса безработного, предусмотренным в ст</w:t>
      </w:r>
      <w:r>
        <w:t>атье</w:t>
      </w:r>
      <w:r w:rsidRPr="00CB26B4">
        <w:t xml:space="preserve"> 20 Закона 105/2018, лицам, находящимся в поиске работы, следует обратиться для регистрации в ТПЗН по месту жительства или по месту нахождения. </w:t>
      </w:r>
    </w:p>
    <w:p w14:paraId="44F08654" w14:textId="77777777" w:rsidR="00936DFE" w:rsidRDefault="00936DFE" w:rsidP="00936DFE">
      <w:pPr>
        <w:pStyle w:val="SingleTxtG"/>
      </w:pPr>
      <w:r>
        <w:t>144.</w:t>
      </w:r>
      <w:r>
        <w:tab/>
      </w:r>
      <w:r w:rsidRPr="00CB26B4">
        <w:t>В последний период (2016–2018 г</w:t>
      </w:r>
      <w:r>
        <w:t>оды</w:t>
      </w:r>
      <w:r w:rsidRPr="00CB26B4">
        <w:t>) наблюдается тенденция к увеличению числа ромов, обратившихся за поддержкой в ТПЗН и зарегистрированных в качестве безработных (с 1464 человек в 2016 г</w:t>
      </w:r>
      <w:r>
        <w:t>оду</w:t>
      </w:r>
      <w:r w:rsidRPr="00CB26B4">
        <w:t xml:space="preserve"> и 1613 человек в 2017 г</w:t>
      </w:r>
      <w:r>
        <w:t>оду</w:t>
      </w:r>
      <w:r w:rsidRPr="00CB26B4">
        <w:t xml:space="preserve"> до 1902 человек в 2018 г</w:t>
      </w:r>
      <w:r>
        <w:t>оду</w:t>
      </w:r>
      <w:r w:rsidRPr="00CB26B4">
        <w:t>). За период 2017–2019 г</w:t>
      </w:r>
      <w:r>
        <w:t>одов</w:t>
      </w:r>
      <w:r w:rsidRPr="00CB26B4">
        <w:t xml:space="preserve"> среднегодовая доля безработных ромов, зарегистрированных в качестве безработных, составила около 4,5</w:t>
      </w:r>
      <w:r>
        <w:t xml:space="preserve"> процента</w:t>
      </w:r>
      <w:r w:rsidRPr="00CB26B4">
        <w:t xml:space="preserve"> от общего числа безработных, зарегистрированных в НАЗН.</w:t>
      </w:r>
    </w:p>
    <w:p w14:paraId="5A5E3090" w14:textId="77777777" w:rsidR="00936DFE" w:rsidRDefault="00936DFE" w:rsidP="00936DFE">
      <w:pPr>
        <w:pStyle w:val="SingleTxtG"/>
      </w:pPr>
      <w:r>
        <w:t>145.</w:t>
      </w:r>
      <w:r>
        <w:tab/>
      </w:r>
      <w:r w:rsidRPr="00CB26B4">
        <w:t>В составе зарегистрированных безработных ромов в период 2017–2019 г</w:t>
      </w:r>
      <w:r>
        <w:t xml:space="preserve">одов </w:t>
      </w:r>
      <w:r w:rsidRPr="00CB26B4">
        <w:t>продолжают преобладать женщины (58,4</w:t>
      </w:r>
      <w:r>
        <w:t xml:space="preserve"> процента</w:t>
      </w:r>
      <w:r w:rsidRPr="00CB26B4">
        <w:t xml:space="preserve"> от общего числа зарегистрированных безработных ромов), а также лица, не имеющие профессионального опыта и впервые находящиеся в поиске работы (87</w:t>
      </w:r>
      <w:r>
        <w:t xml:space="preserve"> процентов</w:t>
      </w:r>
      <w:r w:rsidRPr="00CB26B4">
        <w:t xml:space="preserve"> из общего числа зарегистрированных безработных ромов). Только 6,9</w:t>
      </w:r>
      <w:r>
        <w:t xml:space="preserve"> процента</w:t>
      </w:r>
      <w:r w:rsidRPr="00CB26B4">
        <w:t xml:space="preserve"> ромов, зарегистрированных в качестве безработных, </w:t>
      </w:r>
      <w:r>
        <w:t>—</w:t>
      </w:r>
      <w:r w:rsidRPr="00CB26B4">
        <w:t xml:space="preserve"> это лица с недавним опытом работы, что отражается</w:t>
      </w:r>
      <w:r>
        <w:t xml:space="preserve"> </w:t>
      </w:r>
      <w:r w:rsidRPr="00CB26B4">
        <w:t>и в процессе применения критериев доступа к пассивным мерам социальной защиты. Соответственно, доля бенефициаров пособий по безработице от общего числа безработных ромов, зарегистрированных в период 2017–2019 г</w:t>
      </w:r>
      <w:r>
        <w:t>одов</w:t>
      </w:r>
      <w:r w:rsidRPr="00CB26B4">
        <w:t>, составляет 0,5</w:t>
      </w:r>
      <w:r>
        <w:t xml:space="preserve"> процента</w:t>
      </w:r>
      <w:r w:rsidRPr="00CB26B4">
        <w:t>. Ежегодно чуть более 2</w:t>
      </w:r>
      <w:r>
        <w:t xml:space="preserve"> процентов</w:t>
      </w:r>
      <w:r w:rsidRPr="00CB26B4">
        <w:t xml:space="preserve"> зарегистрированных безработных ромов получали пособие по интеграции или профессиональной реинтеграции. Эта выплата, предусмотренная в Законе 102/2003, представляет собой фиксированную месячную сумму, равную 15</w:t>
      </w:r>
      <w:r>
        <w:t xml:space="preserve"> процентам</w:t>
      </w:r>
      <w:r w:rsidRPr="00CB26B4">
        <w:t xml:space="preserve"> средней заработной платы по экономике за предыдущий год, на дату установления платежа, максимум на 9</w:t>
      </w:r>
      <w:r>
        <w:t> </w:t>
      </w:r>
      <w:r w:rsidRPr="00CB26B4">
        <w:t>календарных месяцев. Однако с вступлением в силу Закона 105/2018 эта пассивная мера более не применяется.</w:t>
      </w:r>
    </w:p>
    <w:p w14:paraId="6A79DB4D" w14:textId="77777777" w:rsidR="00936DFE" w:rsidRDefault="00936DFE" w:rsidP="00936DFE">
      <w:pPr>
        <w:pStyle w:val="SingleTxtG"/>
      </w:pPr>
      <w:r>
        <w:t>146.</w:t>
      </w:r>
      <w:r>
        <w:tab/>
      </w:r>
      <w:r w:rsidRPr="00CB26B4">
        <w:t xml:space="preserve">Одним из основных препятствий для трудоустройства зарегистрированных безработных ромов, является низкий образовательный уровень. Во многих ситуациях из-за отсутствия базовых навыков письма и чтения, лица, принадлежащие </w:t>
      </w:r>
      <w:r w:rsidRPr="00CB26B4">
        <w:lastRenderedPageBreak/>
        <w:t>к</w:t>
      </w:r>
      <w:r>
        <w:t> </w:t>
      </w:r>
      <w:r w:rsidRPr="00CB26B4">
        <w:t>этническим ромам, которые обращаются в НАЗН, не могут быть вовлечены в обучение по программам профессиональной подготовки. В 2019</w:t>
      </w:r>
      <w:r>
        <w:t> </w:t>
      </w:r>
      <w:r w:rsidRPr="00CB26B4">
        <w:t>г</w:t>
      </w:r>
      <w:r>
        <w:t>оду</w:t>
      </w:r>
      <w:r w:rsidRPr="00CB26B4">
        <w:t xml:space="preserve"> около 75</w:t>
      </w:r>
      <w:r>
        <w:t> процентов</w:t>
      </w:r>
      <w:r w:rsidRPr="00CB26B4">
        <w:t xml:space="preserve"> зарегистрированных безработных ромов имели только начальное образование, 18</w:t>
      </w:r>
      <w:r>
        <w:t> процентов —</w:t>
      </w:r>
      <w:r w:rsidRPr="00CB26B4">
        <w:t xml:space="preserve"> среднее/гимназическое образование, 2</w:t>
      </w:r>
      <w:r>
        <w:t xml:space="preserve"> процента — </w:t>
      </w:r>
      <w:r w:rsidRPr="00CB26B4">
        <w:t>общее среднее/лицейское образование. Только 2,5</w:t>
      </w:r>
      <w:r>
        <w:t xml:space="preserve"> процента</w:t>
      </w:r>
      <w:r w:rsidRPr="00CB26B4">
        <w:t xml:space="preserve"> всех зарегистрированных безработных ромов имеют квалификацию и подготовлены к рынку труда. Ежегодно около </w:t>
      </w:r>
      <w:r>
        <w:t>одного процента</w:t>
      </w:r>
      <w:r w:rsidRPr="00CB26B4">
        <w:t xml:space="preserve"> безработных ромов вовлекаются в мероприятия по профессиональной подготовке и после окончания курсов им бесплатно выдается квалификационный сертификат. В 2019 г</w:t>
      </w:r>
      <w:r>
        <w:t>оду семь</w:t>
      </w:r>
      <w:r w:rsidRPr="00CB26B4">
        <w:t xml:space="preserve"> безработных этнических ромов окончили курсы профессионального обучения.</w:t>
      </w:r>
    </w:p>
    <w:p w14:paraId="5FDF14C1" w14:textId="77777777" w:rsidR="00936DFE" w:rsidRDefault="00936DFE" w:rsidP="00936DFE">
      <w:pPr>
        <w:pStyle w:val="SingleTxtG"/>
      </w:pPr>
      <w:r>
        <w:t>147.</w:t>
      </w:r>
      <w:r>
        <w:tab/>
      </w:r>
      <w:r w:rsidRPr="00CB26B4">
        <w:t>Исходя из образовательного уровня, зарегистрированные безработные ромы в большей степени претендуют на трудоустройство, не требующем квалификации, а</w:t>
      </w:r>
      <w:r>
        <w:t> </w:t>
      </w:r>
      <w:r w:rsidRPr="00CB26B4">
        <w:t>именно: подсобный рабочий, смотритель, носильщик, посудомойка, дворник, сторож, неквалифицированный работник в сельском хозяйстве. Лица, владеющие профессией/ремеслом, выбирают рабочие места в качестве виноградаря, почтальона, повара, швеи, тракториста, сапожника, водителя, парикмахера. В целях стимулирования мобильности рабочей силы в 2017 и 2018 г</w:t>
      </w:r>
      <w:r>
        <w:t>одах</w:t>
      </w:r>
      <w:r w:rsidRPr="00CB26B4">
        <w:t xml:space="preserve"> безработным ромам, которые согласились трудоустроиться в другом населенном пункте, расположенном более чем в 30 км от дома, были предоставлены единые пособия для стимулирования мобильности рабочей силы (</w:t>
      </w:r>
      <w:r>
        <w:t>двум</w:t>
      </w:r>
      <w:r w:rsidRPr="00CB26B4">
        <w:t xml:space="preserve"> бенефициарам в 2017 г</w:t>
      </w:r>
      <w:r>
        <w:t>оду</w:t>
      </w:r>
      <w:r w:rsidRPr="00CB26B4">
        <w:t xml:space="preserve"> и </w:t>
      </w:r>
      <w:r>
        <w:t>одному</w:t>
      </w:r>
      <w:r w:rsidRPr="00CB26B4">
        <w:t xml:space="preserve"> бенефициару в 2018 г</w:t>
      </w:r>
      <w:r>
        <w:t>оду</w:t>
      </w:r>
      <w:r w:rsidRPr="00CB26B4">
        <w:t>).</w:t>
      </w:r>
    </w:p>
    <w:p w14:paraId="0C2C0CA7" w14:textId="77777777" w:rsidR="00936DFE" w:rsidRDefault="00936DFE" w:rsidP="00936DFE">
      <w:pPr>
        <w:pStyle w:val="SingleTxtG"/>
      </w:pPr>
      <w:r>
        <w:t>148.</w:t>
      </w:r>
      <w:r>
        <w:tab/>
      </w:r>
      <w:r w:rsidRPr="00CB26B4">
        <w:t>При интеграции ромов в рынок труда возникают некоторые проблемы, среди которых: минимальный уровень образования, отсутствие квалификации, отсутствие профессионального опыта, несоответствие между спросом и предложением на рынке труда, в том числе с точки зрения сельской/городской среды, отсутствие мотивации для поиска работы (предпочтения, связанные с самостоятельной занятостью, внештатной деятельностью) и др. Однако в последние годы наблюдается незначительное увеличение доли безработных трудоустроенных ромов, которая в 2019</w:t>
      </w:r>
      <w:r>
        <w:t> году</w:t>
      </w:r>
      <w:r w:rsidRPr="00CB26B4">
        <w:t xml:space="preserve"> составила около 13,9</w:t>
      </w:r>
      <w:r>
        <w:t xml:space="preserve"> процента</w:t>
      </w:r>
      <w:r w:rsidRPr="00CB26B4">
        <w:t xml:space="preserve"> (198 человек, из которых </w:t>
      </w:r>
      <w:r>
        <w:t>—</w:t>
      </w:r>
      <w:r w:rsidRPr="00CB26B4">
        <w:t xml:space="preserve"> 98 женщин).</w:t>
      </w:r>
    </w:p>
    <w:p w14:paraId="10EE22A9" w14:textId="77777777" w:rsidR="00936DFE" w:rsidRPr="00CB26B4" w:rsidRDefault="00936DFE" w:rsidP="00936DFE">
      <w:pPr>
        <w:pStyle w:val="H23G"/>
      </w:pPr>
      <w:r>
        <w:tab/>
      </w:r>
      <w:r>
        <w:tab/>
      </w:r>
      <w:r w:rsidRPr="00D075DA">
        <w:rPr>
          <w:b w:val="0"/>
          <w:bCs/>
        </w:rPr>
        <w:t>Таблица 8</w:t>
      </w:r>
      <w:r>
        <w:br/>
      </w:r>
      <w:r w:rsidRPr="00CB26B4">
        <w:t>Динамика числа безработных ромов, зарегистрированных в качестве безработных, и показателей услуг и мер,</w:t>
      </w:r>
      <w:r>
        <w:t xml:space="preserve"> </w:t>
      </w:r>
      <w:r w:rsidRPr="00CB26B4">
        <w:t>предлагаемых НАЗН, 2017</w:t>
      </w:r>
      <w:r>
        <w:t>–</w:t>
      </w:r>
      <w:r w:rsidRPr="00CB26B4">
        <w:t>2019 г</w:t>
      </w:r>
      <w:r>
        <w:t>оды</w:t>
      </w:r>
    </w:p>
    <w:tbl>
      <w:tblPr>
        <w:tblW w:w="8504" w:type="dxa"/>
        <w:tblInd w:w="1134" w:type="dxa"/>
        <w:tblLayout w:type="fixed"/>
        <w:tblCellMar>
          <w:left w:w="0" w:type="dxa"/>
          <w:right w:w="0" w:type="dxa"/>
        </w:tblCellMar>
        <w:tblLook w:val="00A0" w:firstRow="1" w:lastRow="0" w:firstColumn="1" w:lastColumn="0" w:noHBand="0" w:noVBand="0"/>
      </w:tblPr>
      <w:tblGrid>
        <w:gridCol w:w="3402"/>
        <w:gridCol w:w="952"/>
        <w:gridCol w:w="1105"/>
        <w:gridCol w:w="1960"/>
        <w:gridCol w:w="1085"/>
      </w:tblGrid>
      <w:tr w:rsidR="00936DFE" w:rsidRPr="00D075DA" w14:paraId="0CD39BA8" w14:textId="77777777" w:rsidTr="00044DA6">
        <w:trPr>
          <w:tblHeader/>
        </w:trPr>
        <w:tc>
          <w:tcPr>
            <w:tcW w:w="3402" w:type="dxa"/>
            <w:tcBorders>
              <w:top w:val="single" w:sz="4" w:space="0" w:color="auto"/>
              <w:bottom w:val="single" w:sz="12" w:space="0" w:color="auto"/>
            </w:tcBorders>
            <w:shd w:val="clear" w:color="auto" w:fill="auto"/>
            <w:vAlign w:val="bottom"/>
            <w:hideMark/>
          </w:tcPr>
          <w:p w14:paraId="1AB46585" w14:textId="77777777" w:rsidR="00936DFE" w:rsidRPr="00D075DA" w:rsidRDefault="00936DFE" w:rsidP="00044DA6">
            <w:pPr>
              <w:spacing w:before="80" w:after="80" w:line="200" w:lineRule="exact"/>
              <w:ind w:left="11"/>
              <w:rPr>
                <w:rFonts w:cs="Times New Roman"/>
                <w:i/>
                <w:sz w:val="16"/>
              </w:rPr>
            </w:pPr>
            <w:r w:rsidRPr="00D075DA">
              <w:rPr>
                <w:rFonts w:cs="Times New Roman"/>
                <w:i/>
                <w:sz w:val="16"/>
              </w:rPr>
              <w:t>Динамика показателей предоставляемых услуг и</w:t>
            </w:r>
            <w:r>
              <w:rPr>
                <w:rFonts w:cs="Times New Roman"/>
                <w:i/>
                <w:sz w:val="16"/>
              </w:rPr>
              <w:t> </w:t>
            </w:r>
            <w:r w:rsidRPr="00D075DA">
              <w:rPr>
                <w:rFonts w:cs="Times New Roman"/>
                <w:i/>
                <w:sz w:val="16"/>
              </w:rPr>
              <w:t>мероприятий</w:t>
            </w:r>
          </w:p>
        </w:tc>
        <w:tc>
          <w:tcPr>
            <w:tcW w:w="952" w:type="dxa"/>
            <w:tcBorders>
              <w:top w:val="single" w:sz="4" w:space="0" w:color="auto"/>
              <w:bottom w:val="single" w:sz="12" w:space="0" w:color="auto"/>
            </w:tcBorders>
            <w:shd w:val="clear" w:color="auto" w:fill="auto"/>
            <w:vAlign w:val="bottom"/>
            <w:hideMark/>
          </w:tcPr>
          <w:p w14:paraId="15A754AB" w14:textId="77777777" w:rsidR="00936DFE" w:rsidRPr="00D075DA" w:rsidRDefault="00936DFE" w:rsidP="00044DA6">
            <w:pPr>
              <w:spacing w:before="80" w:after="80" w:line="200" w:lineRule="exact"/>
              <w:ind w:left="11"/>
              <w:jc w:val="right"/>
              <w:rPr>
                <w:rFonts w:cs="Times New Roman"/>
                <w:i/>
                <w:sz w:val="16"/>
                <w:lang w:val="es-ES"/>
              </w:rPr>
            </w:pPr>
            <w:r w:rsidRPr="00D075DA">
              <w:rPr>
                <w:rFonts w:cs="Times New Roman"/>
                <w:i/>
                <w:sz w:val="16"/>
                <w:lang w:val="es-ES"/>
              </w:rPr>
              <w:t>2017</w:t>
            </w:r>
          </w:p>
        </w:tc>
        <w:tc>
          <w:tcPr>
            <w:tcW w:w="1105" w:type="dxa"/>
            <w:tcBorders>
              <w:top w:val="single" w:sz="4" w:space="0" w:color="auto"/>
              <w:bottom w:val="single" w:sz="12" w:space="0" w:color="auto"/>
            </w:tcBorders>
            <w:shd w:val="clear" w:color="auto" w:fill="auto"/>
            <w:vAlign w:val="bottom"/>
            <w:hideMark/>
          </w:tcPr>
          <w:p w14:paraId="4F67E42F" w14:textId="77777777" w:rsidR="00936DFE" w:rsidRPr="00D075DA" w:rsidRDefault="00936DFE" w:rsidP="00044DA6">
            <w:pPr>
              <w:spacing w:before="80" w:after="80" w:line="200" w:lineRule="exact"/>
              <w:ind w:left="11"/>
              <w:jc w:val="right"/>
              <w:rPr>
                <w:rFonts w:cs="Times New Roman"/>
                <w:i/>
                <w:sz w:val="16"/>
                <w:lang w:val="es-ES"/>
              </w:rPr>
            </w:pPr>
            <w:r w:rsidRPr="00D075DA">
              <w:rPr>
                <w:rFonts w:cs="Times New Roman"/>
                <w:i/>
                <w:sz w:val="16"/>
                <w:lang w:val="es-ES"/>
              </w:rPr>
              <w:t>2018</w:t>
            </w:r>
          </w:p>
        </w:tc>
        <w:tc>
          <w:tcPr>
            <w:tcW w:w="1960" w:type="dxa"/>
            <w:tcBorders>
              <w:top w:val="single" w:sz="4" w:space="0" w:color="auto"/>
              <w:bottom w:val="single" w:sz="12" w:space="0" w:color="auto"/>
            </w:tcBorders>
            <w:shd w:val="clear" w:color="auto" w:fill="auto"/>
            <w:vAlign w:val="bottom"/>
            <w:hideMark/>
          </w:tcPr>
          <w:p w14:paraId="5FA9C487" w14:textId="77777777" w:rsidR="00936DFE" w:rsidRPr="00D075DA" w:rsidRDefault="00936DFE" w:rsidP="00044DA6">
            <w:pPr>
              <w:spacing w:before="80" w:after="80" w:line="200" w:lineRule="exact"/>
              <w:ind w:left="11"/>
              <w:jc w:val="right"/>
              <w:rPr>
                <w:rFonts w:cs="Times New Roman"/>
                <w:i/>
                <w:sz w:val="16"/>
                <w:lang w:val="es-ES"/>
              </w:rPr>
            </w:pPr>
            <w:r w:rsidRPr="00D075DA">
              <w:rPr>
                <w:rFonts w:cs="Times New Roman"/>
                <w:i/>
                <w:sz w:val="16"/>
                <w:lang w:val="es-ES"/>
              </w:rPr>
              <w:t>2019</w:t>
            </w:r>
          </w:p>
        </w:tc>
        <w:tc>
          <w:tcPr>
            <w:tcW w:w="1085" w:type="dxa"/>
            <w:tcBorders>
              <w:top w:val="single" w:sz="4" w:space="0" w:color="auto"/>
              <w:bottom w:val="single" w:sz="12" w:space="0" w:color="auto"/>
            </w:tcBorders>
            <w:shd w:val="clear" w:color="auto" w:fill="auto"/>
            <w:vAlign w:val="bottom"/>
            <w:hideMark/>
          </w:tcPr>
          <w:p w14:paraId="0EE546A3" w14:textId="77777777" w:rsidR="00936DFE" w:rsidRPr="00D075DA" w:rsidRDefault="00936DFE" w:rsidP="00044DA6">
            <w:pPr>
              <w:spacing w:before="80" w:after="80" w:line="200" w:lineRule="exact"/>
              <w:ind w:left="11"/>
              <w:jc w:val="right"/>
              <w:rPr>
                <w:rFonts w:cs="Times New Roman"/>
                <w:i/>
                <w:sz w:val="16"/>
                <w:lang w:val="es-ES"/>
              </w:rPr>
            </w:pPr>
            <w:r w:rsidRPr="00D075DA">
              <w:rPr>
                <w:rFonts w:cs="Times New Roman"/>
                <w:i/>
                <w:sz w:val="16"/>
                <w:lang w:val="es-ES"/>
              </w:rPr>
              <w:t>2017</w:t>
            </w:r>
            <w:r>
              <w:rPr>
                <w:rFonts w:cs="Times New Roman"/>
                <w:i/>
                <w:sz w:val="16"/>
              </w:rPr>
              <w:t>–</w:t>
            </w:r>
            <w:r w:rsidRPr="00D075DA">
              <w:rPr>
                <w:rFonts w:cs="Times New Roman"/>
                <w:i/>
                <w:sz w:val="16"/>
                <w:lang w:val="es-ES"/>
              </w:rPr>
              <w:t>2019</w:t>
            </w:r>
          </w:p>
        </w:tc>
      </w:tr>
      <w:tr w:rsidR="00936DFE" w:rsidRPr="00D075DA" w14:paraId="2B66B0B7" w14:textId="77777777" w:rsidTr="0092680A">
        <w:tc>
          <w:tcPr>
            <w:tcW w:w="3402" w:type="dxa"/>
            <w:tcBorders>
              <w:top w:val="single" w:sz="12" w:space="0" w:color="auto"/>
            </w:tcBorders>
            <w:shd w:val="clear" w:color="auto" w:fill="auto"/>
            <w:hideMark/>
          </w:tcPr>
          <w:p w14:paraId="2D07379A" w14:textId="77777777" w:rsidR="00936DFE" w:rsidRPr="00D075DA" w:rsidRDefault="00936DFE" w:rsidP="00044DA6">
            <w:pPr>
              <w:spacing w:before="40" w:after="40" w:line="220" w:lineRule="exact"/>
              <w:ind w:left="11"/>
              <w:rPr>
                <w:rFonts w:cs="Times New Roman"/>
                <w:sz w:val="18"/>
              </w:rPr>
            </w:pPr>
            <w:r w:rsidRPr="00D075DA">
              <w:rPr>
                <w:rFonts w:cs="Times New Roman"/>
                <w:sz w:val="18"/>
              </w:rPr>
              <w:t>Общее количество безработных, зарегистрированных в НАЗН</w:t>
            </w:r>
          </w:p>
        </w:tc>
        <w:tc>
          <w:tcPr>
            <w:tcW w:w="952" w:type="dxa"/>
            <w:tcBorders>
              <w:top w:val="single" w:sz="12" w:space="0" w:color="auto"/>
            </w:tcBorders>
            <w:shd w:val="clear" w:color="auto" w:fill="auto"/>
            <w:vAlign w:val="bottom"/>
            <w:hideMark/>
          </w:tcPr>
          <w:p w14:paraId="08ECD1EF"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42</w:t>
            </w:r>
            <w:r>
              <w:rPr>
                <w:rFonts w:cs="Times New Roman"/>
                <w:sz w:val="18"/>
              </w:rPr>
              <w:t> </w:t>
            </w:r>
            <w:r w:rsidRPr="00D075DA">
              <w:rPr>
                <w:rFonts w:cs="Times New Roman"/>
                <w:sz w:val="18"/>
                <w:lang w:val="es-ES"/>
              </w:rPr>
              <w:t>119</w:t>
            </w:r>
          </w:p>
        </w:tc>
        <w:tc>
          <w:tcPr>
            <w:tcW w:w="1105" w:type="dxa"/>
            <w:tcBorders>
              <w:top w:val="single" w:sz="12" w:space="0" w:color="auto"/>
            </w:tcBorders>
            <w:shd w:val="clear" w:color="auto" w:fill="auto"/>
            <w:vAlign w:val="bottom"/>
            <w:hideMark/>
          </w:tcPr>
          <w:p w14:paraId="003E8024"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35</w:t>
            </w:r>
            <w:r>
              <w:rPr>
                <w:rFonts w:cs="Times New Roman"/>
                <w:sz w:val="18"/>
              </w:rPr>
              <w:t> </w:t>
            </w:r>
            <w:r w:rsidRPr="00D075DA">
              <w:rPr>
                <w:rFonts w:cs="Times New Roman"/>
                <w:sz w:val="18"/>
                <w:lang w:val="es-ES"/>
              </w:rPr>
              <w:t>544</w:t>
            </w:r>
          </w:p>
        </w:tc>
        <w:tc>
          <w:tcPr>
            <w:tcW w:w="1960" w:type="dxa"/>
            <w:tcBorders>
              <w:top w:val="single" w:sz="12" w:space="0" w:color="auto"/>
            </w:tcBorders>
            <w:shd w:val="clear" w:color="auto" w:fill="auto"/>
            <w:vAlign w:val="bottom"/>
            <w:hideMark/>
          </w:tcPr>
          <w:p w14:paraId="78C68F09"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31</w:t>
            </w:r>
            <w:r>
              <w:rPr>
                <w:rFonts w:cs="Times New Roman"/>
                <w:sz w:val="18"/>
              </w:rPr>
              <w:t xml:space="preserve"> </w:t>
            </w:r>
            <w:r w:rsidRPr="00D075DA">
              <w:rPr>
                <w:rFonts w:cs="Times New Roman"/>
                <w:sz w:val="18"/>
                <w:lang w:val="es-ES"/>
              </w:rPr>
              <w:t>484</w:t>
            </w:r>
          </w:p>
        </w:tc>
        <w:tc>
          <w:tcPr>
            <w:tcW w:w="1085" w:type="dxa"/>
            <w:tcBorders>
              <w:top w:val="single" w:sz="12" w:space="0" w:color="auto"/>
            </w:tcBorders>
            <w:shd w:val="clear" w:color="auto" w:fill="auto"/>
            <w:vAlign w:val="bottom"/>
            <w:hideMark/>
          </w:tcPr>
          <w:p w14:paraId="746A41AE"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109</w:t>
            </w:r>
            <w:r>
              <w:rPr>
                <w:rFonts w:cs="Times New Roman"/>
                <w:sz w:val="18"/>
              </w:rPr>
              <w:t xml:space="preserve"> </w:t>
            </w:r>
            <w:r w:rsidRPr="00D075DA">
              <w:rPr>
                <w:rFonts w:cs="Times New Roman"/>
                <w:sz w:val="18"/>
                <w:lang w:val="es-ES"/>
              </w:rPr>
              <w:t>147</w:t>
            </w:r>
          </w:p>
        </w:tc>
      </w:tr>
      <w:tr w:rsidR="00936DFE" w:rsidRPr="00D075DA" w14:paraId="6F6DD4F5" w14:textId="77777777" w:rsidTr="0092680A">
        <w:tc>
          <w:tcPr>
            <w:tcW w:w="3402" w:type="dxa"/>
            <w:shd w:val="clear" w:color="auto" w:fill="auto"/>
            <w:hideMark/>
          </w:tcPr>
          <w:p w14:paraId="1D9623BD" w14:textId="77777777" w:rsidR="00936DFE" w:rsidRPr="00D075DA" w:rsidRDefault="00936DFE" w:rsidP="00044DA6">
            <w:pPr>
              <w:spacing w:before="40" w:after="40" w:line="220" w:lineRule="exact"/>
              <w:ind w:left="11"/>
              <w:rPr>
                <w:rFonts w:cs="Times New Roman"/>
                <w:i/>
                <w:sz w:val="18"/>
              </w:rPr>
            </w:pPr>
            <w:r w:rsidRPr="00D075DA">
              <w:rPr>
                <w:rFonts w:cs="Times New Roman"/>
                <w:sz w:val="18"/>
              </w:rPr>
              <w:t>Число ромов, зарегистрированных в качестве безработных</w:t>
            </w:r>
            <w:r>
              <w:rPr>
                <w:rFonts w:cs="Times New Roman"/>
                <w:sz w:val="18"/>
              </w:rPr>
              <w:t xml:space="preserve"> </w:t>
            </w:r>
            <w:r w:rsidRPr="00D075DA">
              <w:rPr>
                <w:rFonts w:cs="Times New Roman"/>
                <w:i/>
                <w:sz w:val="18"/>
              </w:rPr>
              <w:t>(% от общего числа зарегистрированных безработных)</w:t>
            </w:r>
          </w:p>
        </w:tc>
        <w:tc>
          <w:tcPr>
            <w:tcW w:w="952" w:type="dxa"/>
            <w:shd w:val="clear" w:color="auto" w:fill="auto"/>
            <w:vAlign w:val="bottom"/>
            <w:hideMark/>
          </w:tcPr>
          <w:p w14:paraId="23E5D989"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w:t>
            </w:r>
            <w:r>
              <w:rPr>
                <w:rFonts w:cs="Times New Roman"/>
                <w:sz w:val="18"/>
              </w:rPr>
              <w:t xml:space="preserve"> </w:t>
            </w:r>
            <w:r w:rsidRPr="00D075DA">
              <w:rPr>
                <w:rFonts w:cs="Times New Roman"/>
                <w:sz w:val="18"/>
                <w:lang w:val="es-ES"/>
              </w:rPr>
              <w:t>613</w:t>
            </w:r>
          </w:p>
          <w:p w14:paraId="43D7285F"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(3,8%)</w:t>
            </w:r>
          </w:p>
        </w:tc>
        <w:tc>
          <w:tcPr>
            <w:tcW w:w="1105" w:type="dxa"/>
            <w:shd w:val="clear" w:color="auto" w:fill="auto"/>
            <w:vAlign w:val="bottom"/>
            <w:hideMark/>
          </w:tcPr>
          <w:p w14:paraId="3034A8EB"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w:t>
            </w:r>
            <w:r>
              <w:rPr>
                <w:rFonts w:cs="Times New Roman"/>
                <w:sz w:val="18"/>
              </w:rPr>
              <w:t xml:space="preserve"> </w:t>
            </w:r>
            <w:r w:rsidRPr="00D075DA">
              <w:rPr>
                <w:rFonts w:cs="Times New Roman"/>
                <w:sz w:val="18"/>
                <w:lang w:val="es-ES"/>
              </w:rPr>
              <w:t>902</w:t>
            </w:r>
          </w:p>
          <w:p w14:paraId="6F41022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(5,4%)</w:t>
            </w:r>
          </w:p>
        </w:tc>
        <w:tc>
          <w:tcPr>
            <w:tcW w:w="1960" w:type="dxa"/>
            <w:shd w:val="clear" w:color="auto" w:fill="auto"/>
            <w:vAlign w:val="bottom"/>
            <w:hideMark/>
          </w:tcPr>
          <w:p w14:paraId="2BFBA61F"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w:t>
            </w:r>
            <w:r>
              <w:rPr>
                <w:rFonts w:cs="Times New Roman"/>
                <w:sz w:val="18"/>
              </w:rPr>
              <w:t xml:space="preserve"> </w:t>
            </w:r>
            <w:r w:rsidRPr="00D075DA">
              <w:rPr>
                <w:rFonts w:cs="Times New Roman"/>
                <w:sz w:val="18"/>
                <w:lang w:val="es-ES"/>
              </w:rPr>
              <w:t>428</w:t>
            </w:r>
          </w:p>
          <w:p w14:paraId="7020D018"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(4,5%)</w:t>
            </w:r>
          </w:p>
        </w:tc>
        <w:tc>
          <w:tcPr>
            <w:tcW w:w="1085" w:type="dxa"/>
            <w:shd w:val="clear" w:color="auto" w:fill="auto"/>
            <w:vAlign w:val="bottom"/>
            <w:hideMark/>
          </w:tcPr>
          <w:p w14:paraId="35DC2AF2"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4</w:t>
            </w:r>
            <w:r>
              <w:rPr>
                <w:rFonts w:cs="Times New Roman"/>
                <w:sz w:val="18"/>
              </w:rPr>
              <w:t xml:space="preserve"> </w:t>
            </w:r>
            <w:r w:rsidRPr="00D075DA">
              <w:rPr>
                <w:rFonts w:cs="Times New Roman"/>
                <w:sz w:val="18"/>
                <w:lang w:val="es-ES"/>
              </w:rPr>
              <w:t>943</w:t>
            </w:r>
          </w:p>
          <w:p w14:paraId="5A685410"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(4,5%)</w:t>
            </w:r>
          </w:p>
        </w:tc>
      </w:tr>
      <w:tr w:rsidR="00936DFE" w:rsidRPr="00D075DA" w14:paraId="453D256B" w14:textId="77777777" w:rsidTr="0092680A">
        <w:tc>
          <w:tcPr>
            <w:tcW w:w="3402" w:type="dxa"/>
            <w:shd w:val="clear" w:color="auto" w:fill="auto"/>
            <w:hideMark/>
          </w:tcPr>
          <w:p w14:paraId="638FB177" w14:textId="77777777" w:rsidR="00936DFE" w:rsidRPr="00D075DA" w:rsidRDefault="00936DFE" w:rsidP="00044DA6">
            <w:pPr>
              <w:spacing w:before="40" w:after="40" w:line="220" w:lineRule="exact"/>
              <w:ind w:left="11"/>
              <w:rPr>
                <w:rFonts w:cs="Times New Roman"/>
                <w:i/>
                <w:sz w:val="18"/>
              </w:rPr>
            </w:pPr>
            <w:proofErr w:type="gramStart"/>
            <w:r w:rsidRPr="00D075DA">
              <w:rPr>
                <w:rFonts w:cs="Times New Roman"/>
                <w:sz w:val="18"/>
              </w:rPr>
              <w:t>Число женщин рома</w:t>
            </w:r>
            <w:proofErr w:type="gramEnd"/>
            <w:r w:rsidRPr="00D075DA">
              <w:rPr>
                <w:rFonts w:cs="Times New Roman"/>
                <w:sz w:val="18"/>
              </w:rPr>
              <w:t xml:space="preserve"> зарегистрированных в качестве безработных </w:t>
            </w:r>
            <w:r w:rsidRPr="00D075DA">
              <w:rPr>
                <w:rFonts w:cs="Times New Roman"/>
                <w:i/>
                <w:sz w:val="18"/>
              </w:rPr>
              <w:t>(% от общего числа зарегистрированных безработных)</w:t>
            </w:r>
          </w:p>
        </w:tc>
        <w:tc>
          <w:tcPr>
            <w:tcW w:w="952" w:type="dxa"/>
            <w:shd w:val="clear" w:color="auto" w:fill="auto"/>
            <w:vAlign w:val="bottom"/>
            <w:hideMark/>
          </w:tcPr>
          <w:p w14:paraId="1A9802D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943</w:t>
            </w:r>
          </w:p>
          <w:p w14:paraId="54B0C492"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(58,5%)</w:t>
            </w:r>
          </w:p>
        </w:tc>
        <w:tc>
          <w:tcPr>
            <w:tcW w:w="1105" w:type="dxa"/>
            <w:shd w:val="clear" w:color="auto" w:fill="auto"/>
            <w:vAlign w:val="bottom"/>
            <w:hideMark/>
          </w:tcPr>
          <w:p w14:paraId="1C71FB2B"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w:t>
            </w:r>
            <w:r>
              <w:rPr>
                <w:rFonts w:cs="Times New Roman"/>
                <w:sz w:val="18"/>
              </w:rPr>
              <w:t xml:space="preserve"> </w:t>
            </w:r>
            <w:r w:rsidRPr="00D075DA">
              <w:rPr>
                <w:rFonts w:cs="Times New Roman"/>
                <w:sz w:val="18"/>
                <w:lang w:val="es-ES"/>
              </w:rPr>
              <w:t>121</w:t>
            </w:r>
          </w:p>
          <w:p w14:paraId="5BBD6A33"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(58,9%)</w:t>
            </w:r>
          </w:p>
        </w:tc>
        <w:tc>
          <w:tcPr>
            <w:tcW w:w="1960" w:type="dxa"/>
            <w:shd w:val="clear" w:color="auto" w:fill="auto"/>
            <w:vAlign w:val="bottom"/>
            <w:hideMark/>
          </w:tcPr>
          <w:p w14:paraId="0CA00E9B"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825</w:t>
            </w:r>
          </w:p>
          <w:p w14:paraId="735D0F3F"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(57,8%)</w:t>
            </w:r>
          </w:p>
        </w:tc>
        <w:tc>
          <w:tcPr>
            <w:tcW w:w="1085" w:type="dxa"/>
            <w:shd w:val="clear" w:color="auto" w:fill="auto"/>
            <w:vAlign w:val="bottom"/>
            <w:hideMark/>
          </w:tcPr>
          <w:p w14:paraId="541ED3E7"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2</w:t>
            </w:r>
            <w:r>
              <w:rPr>
                <w:rFonts w:cs="Times New Roman"/>
                <w:sz w:val="18"/>
              </w:rPr>
              <w:t xml:space="preserve"> </w:t>
            </w:r>
            <w:r w:rsidRPr="00D075DA">
              <w:rPr>
                <w:rFonts w:cs="Times New Roman"/>
                <w:sz w:val="18"/>
                <w:lang w:val="es-ES"/>
              </w:rPr>
              <w:t>889</w:t>
            </w:r>
          </w:p>
          <w:p w14:paraId="3DB43409"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(58,4%)</w:t>
            </w:r>
          </w:p>
        </w:tc>
      </w:tr>
      <w:tr w:rsidR="00936DFE" w:rsidRPr="00D075DA" w14:paraId="3B96813C" w14:textId="77777777" w:rsidTr="0092680A">
        <w:tc>
          <w:tcPr>
            <w:tcW w:w="3402" w:type="dxa"/>
            <w:shd w:val="clear" w:color="auto" w:fill="auto"/>
            <w:hideMark/>
          </w:tcPr>
          <w:p w14:paraId="55D16624" w14:textId="77777777" w:rsidR="00936DFE" w:rsidRPr="00D075DA" w:rsidRDefault="00936DFE" w:rsidP="00044DA6">
            <w:pPr>
              <w:spacing w:before="40" w:after="40" w:line="220" w:lineRule="exact"/>
              <w:ind w:left="11"/>
              <w:rPr>
                <w:rFonts w:cs="Times New Roman"/>
                <w:sz w:val="18"/>
              </w:rPr>
            </w:pPr>
            <w:r w:rsidRPr="00D075DA">
              <w:rPr>
                <w:rFonts w:cs="Times New Roman"/>
                <w:sz w:val="18"/>
              </w:rPr>
              <w:t xml:space="preserve">Число зарегистрированных безработных ромов, имеющих начальное образование </w:t>
            </w:r>
            <w:r>
              <w:rPr>
                <w:rFonts w:cs="Times New Roman"/>
                <w:sz w:val="18"/>
              </w:rPr>
              <w:br/>
            </w:r>
            <w:r w:rsidRPr="00D075DA">
              <w:rPr>
                <w:rFonts w:cs="Times New Roman"/>
                <w:sz w:val="18"/>
              </w:rPr>
              <w:t>(4 класса) или без образования</w:t>
            </w:r>
          </w:p>
        </w:tc>
        <w:tc>
          <w:tcPr>
            <w:tcW w:w="952" w:type="dxa"/>
            <w:shd w:val="clear" w:color="auto" w:fill="auto"/>
            <w:vAlign w:val="bottom"/>
            <w:hideMark/>
          </w:tcPr>
          <w:p w14:paraId="5D485EF9"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w:t>
            </w:r>
            <w:r>
              <w:rPr>
                <w:rFonts w:cs="Times New Roman"/>
                <w:sz w:val="18"/>
              </w:rPr>
              <w:t xml:space="preserve"> </w:t>
            </w:r>
            <w:r w:rsidRPr="00D075DA">
              <w:rPr>
                <w:rFonts w:cs="Times New Roman"/>
                <w:sz w:val="18"/>
                <w:lang w:val="es-ES"/>
              </w:rPr>
              <w:t>195</w:t>
            </w:r>
          </w:p>
          <w:p w14:paraId="3C7065E0"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(74,1)</w:t>
            </w:r>
          </w:p>
        </w:tc>
        <w:tc>
          <w:tcPr>
            <w:tcW w:w="1105" w:type="dxa"/>
            <w:shd w:val="clear" w:color="auto" w:fill="auto"/>
            <w:vAlign w:val="bottom"/>
            <w:hideMark/>
          </w:tcPr>
          <w:p w14:paraId="3F012009"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w:t>
            </w:r>
            <w:r>
              <w:rPr>
                <w:rFonts w:cs="Times New Roman"/>
                <w:sz w:val="18"/>
              </w:rPr>
              <w:t xml:space="preserve"> </w:t>
            </w:r>
            <w:r w:rsidRPr="00D075DA">
              <w:rPr>
                <w:rFonts w:cs="Times New Roman"/>
                <w:sz w:val="18"/>
                <w:lang w:val="es-ES"/>
              </w:rPr>
              <w:t>421</w:t>
            </w:r>
          </w:p>
          <w:p w14:paraId="2936D50F"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(74,7%)</w:t>
            </w:r>
          </w:p>
        </w:tc>
        <w:tc>
          <w:tcPr>
            <w:tcW w:w="1960" w:type="dxa"/>
            <w:shd w:val="clear" w:color="auto" w:fill="auto"/>
            <w:vAlign w:val="bottom"/>
            <w:hideMark/>
          </w:tcPr>
          <w:p w14:paraId="3798677B"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w:t>
            </w:r>
            <w:r>
              <w:rPr>
                <w:rFonts w:cs="Times New Roman"/>
                <w:sz w:val="18"/>
              </w:rPr>
              <w:t xml:space="preserve"> </w:t>
            </w:r>
            <w:r w:rsidRPr="00D075DA">
              <w:rPr>
                <w:rFonts w:cs="Times New Roman"/>
                <w:sz w:val="18"/>
                <w:lang w:val="es-ES"/>
              </w:rPr>
              <w:t>099</w:t>
            </w:r>
          </w:p>
          <w:p w14:paraId="6CC6BB03"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(77,0)</w:t>
            </w:r>
          </w:p>
        </w:tc>
        <w:tc>
          <w:tcPr>
            <w:tcW w:w="1085" w:type="dxa"/>
            <w:shd w:val="clear" w:color="auto" w:fill="auto"/>
            <w:vAlign w:val="bottom"/>
            <w:hideMark/>
          </w:tcPr>
          <w:p w14:paraId="1F01606C"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3</w:t>
            </w:r>
            <w:r>
              <w:rPr>
                <w:rFonts w:cs="Times New Roman"/>
                <w:sz w:val="18"/>
              </w:rPr>
              <w:t xml:space="preserve"> </w:t>
            </w:r>
            <w:r w:rsidRPr="00D075DA">
              <w:rPr>
                <w:rFonts w:cs="Times New Roman"/>
                <w:sz w:val="18"/>
                <w:lang w:val="es-ES"/>
              </w:rPr>
              <w:t>715</w:t>
            </w:r>
          </w:p>
          <w:p w14:paraId="12DCCC4E"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(75,2%)</w:t>
            </w:r>
          </w:p>
        </w:tc>
      </w:tr>
      <w:tr w:rsidR="00936DFE" w:rsidRPr="00D075DA" w14:paraId="35CC4814" w14:textId="77777777" w:rsidTr="0092680A">
        <w:tc>
          <w:tcPr>
            <w:tcW w:w="3402" w:type="dxa"/>
            <w:shd w:val="clear" w:color="auto" w:fill="auto"/>
            <w:hideMark/>
          </w:tcPr>
          <w:p w14:paraId="17E8BDC8" w14:textId="77777777" w:rsidR="00936DFE" w:rsidRPr="00D075DA" w:rsidRDefault="00936DFE" w:rsidP="00044DA6">
            <w:pPr>
              <w:spacing w:before="40" w:after="40" w:line="220" w:lineRule="exact"/>
              <w:ind w:left="11"/>
              <w:rPr>
                <w:rFonts w:cs="Times New Roman"/>
                <w:sz w:val="18"/>
              </w:rPr>
            </w:pPr>
            <w:r w:rsidRPr="00D075DA">
              <w:rPr>
                <w:rFonts w:cs="Times New Roman"/>
                <w:sz w:val="18"/>
              </w:rPr>
              <w:t>Число зарегистрированных безработных ромов, которые не имеют профессионального опыта,</w:t>
            </w:r>
            <w:r>
              <w:rPr>
                <w:rFonts w:cs="Times New Roman"/>
                <w:sz w:val="18"/>
              </w:rPr>
              <w:t xml:space="preserve"> </w:t>
            </w:r>
            <w:r w:rsidRPr="00D075DA">
              <w:rPr>
                <w:rFonts w:cs="Times New Roman"/>
                <w:sz w:val="18"/>
              </w:rPr>
              <w:t xml:space="preserve">впервые в поисках </w:t>
            </w:r>
            <w:r w:rsidRPr="00D075DA">
              <w:rPr>
                <w:rFonts w:cs="Times New Roman"/>
                <w:i/>
                <w:sz w:val="18"/>
              </w:rPr>
              <w:t>работы (% от общего числа зарегистрированных безработных ромов)</w:t>
            </w:r>
          </w:p>
        </w:tc>
        <w:tc>
          <w:tcPr>
            <w:tcW w:w="952" w:type="dxa"/>
            <w:shd w:val="clear" w:color="auto" w:fill="auto"/>
            <w:vAlign w:val="bottom"/>
            <w:hideMark/>
          </w:tcPr>
          <w:p w14:paraId="56C5531C"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w:t>
            </w:r>
            <w:r>
              <w:rPr>
                <w:rFonts w:cs="Times New Roman"/>
                <w:sz w:val="18"/>
              </w:rPr>
              <w:t xml:space="preserve"> </w:t>
            </w:r>
            <w:r w:rsidRPr="00D075DA">
              <w:rPr>
                <w:rFonts w:cs="Times New Roman"/>
                <w:sz w:val="18"/>
                <w:lang w:val="es-ES"/>
              </w:rPr>
              <w:t>412</w:t>
            </w:r>
          </w:p>
          <w:p w14:paraId="6B122E83"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(87,5%)</w:t>
            </w:r>
          </w:p>
        </w:tc>
        <w:tc>
          <w:tcPr>
            <w:tcW w:w="1105" w:type="dxa"/>
            <w:shd w:val="clear" w:color="auto" w:fill="auto"/>
            <w:vAlign w:val="bottom"/>
            <w:hideMark/>
          </w:tcPr>
          <w:p w14:paraId="338F5386"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w:t>
            </w:r>
            <w:r>
              <w:rPr>
                <w:rFonts w:cs="Times New Roman"/>
                <w:sz w:val="18"/>
              </w:rPr>
              <w:t xml:space="preserve"> </w:t>
            </w:r>
            <w:r w:rsidRPr="00D075DA">
              <w:rPr>
                <w:rFonts w:cs="Times New Roman"/>
                <w:sz w:val="18"/>
                <w:lang w:val="es-ES"/>
              </w:rPr>
              <w:t>669</w:t>
            </w:r>
          </w:p>
          <w:p w14:paraId="1C83FFF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(87,7%)</w:t>
            </w:r>
          </w:p>
        </w:tc>
        <w:tc>
          <w:tcPr>
            <w:tcW w:w="1960" w:type="dxa"/>
            <w:shd w:val="clear" w:color="auto" w:fill="auto"/>
            <w:vAlign w:val="bottom"/>
            <w:hideMark/>
          </w:tcPr>
          <w:p w14:paraId="0EFE863D"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w:t>
            </w:r>
            <w:r>
              <w:rPr>
                <w:rFonts w:cs="Times New Roman"/>
                <w:sz w:val="18"/>
              </w:rPr>
              <w:t xml:space="preserve"> </w:t>
            </w:r>
            <w:r w:rsidRPr="00D075DA">
              <w:rPr>
                <w:rFonts w:cs="Times New Roman"/>
                <w:sz w:val="18"/>
                <w:lang w:val="es-ES"/>
              </w:rPr>
              <w:t>218</w:t>
            </w:r>
          </w:p>
          <w:p w14:paraId="557082CA"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(85,3%)</w:t>
            </w:r>
          </w:p>
        </w:tc>
        <w:tc>
          <w:tcPr>
            <w:tcW w:w="1085" w:type="dxa"/>
            <w:shd w:val="clear" w:color="auto" w:fill="auto"/>
            <w:vAlign w:val="bottom"/>
            <w:hideMark/>
          </w:tcPr>
          <w:p w14:paraId="585654CD"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4</w:t>
            </w:r>
            <w:r>
              <w:rPr>
                <w:rFonts w:cs="Times New Roman"/>
                <w:sz w:val="18"/>
              </w:rPr>
              <w:t xml:space="preserve"> </w:t>
            </w:r>
            <w:r w:rsidRPr="00D075DA">
              <w:rPr>
                <w:rFonts w:cs="Times New Roman"/>
                <w:sz w:val="18"/>
                <w:lang w:val="es-ES"/>
              </w:rPr>
              <w:t>299</w:t>
            </w:r>
          </w:p>
          <w:p w14:paraId="03001903"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(87,0%)</w:t>
            </w:r>
          </w:p>
        </w:tc>
      </w:tr>
      <w:tr w:rsidR="00936DFE" w:rsidRPr="00D075DA" w14:paraId="5D71D05E" w14:textId="77777777" w:rsidTr="0092680A">
        <w:tc>
          <w:tcPr>
            <w:tcW w:w="3402" w:type="dxa"/>
            <w:shd w:val="clear" w:color="auto" w:fill="auto"/>
            <w:hideMark/>
          </w:tcPr>
          <w:p w14:paraId="78F605C0" w14:textId="77777777" w:rsidR="00936DFE" w:rsidRPr="00D075DA" w:rsidRDefault="00936DFE" w:rsidP="00044DA6">
            <w:pPr>
              <w:spacing w:before="40" w:after="40" w:line="220" w:lineRule="exact"/>
              <w:ind w:left="11"/>
              <w:rPr>
                <w:rFonts w:cs="Times New Roman"/>
                <w:sz w:val="18"/>
              </w:rPr>
            </w:pPr>
            <w:r w:rsidRPr="00D075DA">
              <w:rPr>
                <w:rFonts w:cs="Times New Roman"/>
                <w:sz w:val="18"/>
              </w:rPr>
              <w:t xml:space="preserve">Число зарегистрированных безработных ромов с недавним опытом работы </w:t>
            </w:r>
            <w:r>
              <w:rPr>
                <w:rFonts w:cs="Times New Roman"/>
                <w:sz w:val="18"/>
              </w:rPr>
              <w:br/>
            </w:r>
            <w:r w:rsidRPr="00D075DA">
              <w:rPr>
                <w:rFonts w:cs="Times New Roman"/>
                <w:i/>
                <w:sz w:val="18"/>
              </w:rPr>
              <w:t>(% от общего числа зарегистрированных безработных ромов)</w:t>
            </w:r>
          </w:p>
        </w:tc>
        <w:tc>
          <w:tcPr>
            <w:tcW w:w="952" w:type="dxa"/>
            <w:shd w:val="clear" w:color="auto" w:fill="auto"/>
            <w:vAlign w:val="bottom"/>
            <w:hideMark/>
          </w:tcPr>
          <w:p w14:paraId="11478978"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103</w:t>
            </w:r>
          </w:p>
          <w:p w14:paraId="007177AC"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(6,4%)</w:t>
            </w:r>
          </w:p>
        </w:tc>
        <w:tc>
          <w:tcPr>
            <w:tcW w:w="1105" w:type="dxa"/>
            <w:shd w:val="clear" w:color="auto" w:fill="auto"/>
            <w:vAlign w:val="bottom"/>
            <w:hideMark/>
          </w:tcPr>
          <w:p w14:paraId="1C08A20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110</w:t>
            </w:r>
          </w:p>
          <w:p w14:paraId="123BD3C3"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(5,8%)</w:t>
            </w:r>
          </w:p>
        </w:tc>
        <w:tc>
          <w:tcPr>
            <w:tcW w:w="1960" w:type="dxa"/>
            <w:shd w:val="clear" w:color="auto" w:fill="auto"/>
            <w:vAlign w:val="bottom"/>
            <w:hideMark/>
          </w:tcPr>
          <w:p w14:paraId="1C37A530"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126</w:t>
            </w:r>
          </w:p>
          <w:p w14:paraId="1DC8ED4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(8,8%)</w:t>
            </w:r>
          </w:p>
        </w:tc>
        <w:tc>
          <w:tcPr>
            <w:tcW w:w="1085" w:type="dxa"/>
            <w:shd w:val="clear" w:color="auto" w:fill="auto"/>
            <w:vAlign w:val="bottom"/>
            <w:hideMark/>
          </w:tcPr>
          <w:p w14:paraId="4042AB65"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339</w:t>
            </w:r>
          </w:p>
          <w:p w14:paraId="58B61C8A"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(6,9%)</w:t>
            </w:r>
          </w:p>
        </w:tc>
      </w:tr>
      <w:tr w:rsidR="00936DFE" w:rsidRPr="00D075DA" w14:paraId="01F83C5F" w14:textId="77777777" w:rsidTr="0092680A">
        <w:tc>
          <w:tcPr>
            <w:tcW w:w="3402" w:type="dxa"/>
            <w:shd w:val="clear" w:color="auto" w:fill="auto"/>
            <w:hideMark/>
          </w:tcPr>
          <w:p w14:paraId="7253981D" w14:textId="77777777" w:rsidR="00936DFE" w:rsidRPr="00D075DA" w:rsidRDefault="00936DFE" w:rsidP="00044DA6">
            <w:pPr>
              <w:spacing w:before="40" w:after="40" w:line="220" w:lineRule="exact"/>
              <w:ind w:left="11"/>
              <w:rPr>
                <w:rFonts w:cs="Times New Roman"/>
                <w:i/>
                <w:sz w:val="18"/>
              </w:rPr>
            </w:pPr>
            <w:r w:rsidRPr="00D075DA">
              <w:rPr>
                <w:rFonts w:cs="Times New Roman"/>
                <w:sz w:val="18"/>
              </w:rPr>
              <w:lastRenderedPageBreak/>
              <w:t xml:space="preserve">Число ромов, занятых на рынке труда </w:t>
            </w:r>
            <w:r>
              <w:rPr>
                <w:rFonts w:cs="Times New Roman"/>
                <w:sz w:val="18"/>
              </w:rPr>
              <w:br/>
            </w:r>
            <w:r w:rsidRPr="00D075DA">
              <w:rPr>
                <w:rFonts w:cs="Times New Roman"/>
                <w:i/>
                <w:sz w:val="18"/>
              </w:rPr>
              <w:t>(% от общего числа зарегистрированных безработных рома)</w:t>
            </w:r>
          </w:p>
        </w:tc>
        <w:tc>
          <w:tcPr>
            <w:tcW w:w="952" w:type="dxa"/>
            <w:shd w:val="clear" w:color="auto" w:fill="auto"/>
            <w:vAlign w:val="bottom"/>
            <w:hideMark/>
          </w:tcPr>
          <w:p w14:paraId="0BFF74F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152</w:t>
            </w:r>
          </w:p>
          <w:p w14:paraId="6236044F"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(9,4%)</w:t>
            </w:r>
          </w:p>
        </w:tc>
        <w:tc>
          <w:tcPr>
            <w:tcW w:w="1105" w:type="dxa"/>
            <w:shd w:val="clear" w:color="auto" w:fill="auto"/>
            <w:vAlign w:val="bottom"/>
            <w:hideMark/>
          </w:tcPr>
          <w:p w14:paraId="4D5044D5"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203</w:t>
            </w:r>
          </w:p>
          <w:p w14:paraId="1B6D7C1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(10,7%)</w:t>
            </w:r>
          </w:p>
        </w:tc>
        <w:tc>
          <w:tcPr>
            <w:tcW w:w="1960" w:type="dxa"/>
            <w:shd w:val="clear" w:color="auto" w:fill="auto"/>
            <w:vAlign w:val="bottom"/>
            <w:hideMark/>
          </w:tcPr>
          <w:p w14:paraId="523D661A"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198</w:t>
            </w:r>
          </w:p>
          <w:p w14:paraId="1882C9B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(13,9%)</w:t>
            </w:r>
          </w:p>
        </w:tc>
        <w:tc>
          <w:tcPr>
            <w:tcW w:w="1085" w:type="dxa"/>
            <w:shd w:val="clear" w:color="auto" w:fill="auto"/>
            <w:vAlign w:val="bottom"/>
            <w:hideMark/>
          </w:tcPr>
          <w:p w14:paraId="6C804166"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553</w:t>
            </w:r>
          </w:p>
          <w:p w14:paraId="0F59C57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(11,2%)</w:t>
            </w:r>
          </w:p>
        </w:tc>
      </w:tr>
      <w:tr w:rsidR="00936DFE" w:rsidRPr="00D075DA" w14:paraId="72F8F853" w14:textId="77777777" w:rsidTr="0092680A">
        <w:tc>
          <w:tcPr>
            <w:tcW w:w="3402" w:type="dxa"/>
            <w:shd w:val="clear" w:color="auto" w:fill="auto"/>
            <w:hideMark/>
          </w:tcPr>
          <w:p w14:paraId="2B30C475" w14:textId="77777777" w:rsidR="00936DFE" w:rsidRPr="00D075DA" w:rsidRDefault="00936DFE" w:rsidP="00044DA6">
            <w:pPr>
              <w:spacing w:before="40" w:after="40" w:line="220" w:lineRule="exact"/>
              <w:ind w:left="11"/>
              <w:rPr>
                <w:rFonts w:cs="Times New Roman"/>
                <w:i/>
                <w:sz w:val="18"/>
              </w:rPr>
            </w:pPr>
            <w:r w:rsidRPr="00D075DA">
              <w:rPr>
                <w:rFonts w:cs="Times New Roman"/>
                <w:sz w:val="18"/>
              </w:rPr>
              <w:t>Число</w:t>
            </w:r>
            <w:r>
              <w:rPr>
                <w:rFonts w:cs="Times New Roman"/>
                <w:sz w:val="18"/>
              </w:rPr>
              <w:t xml:space="preserve"> </w:t>
            </w:r>
            <w:r w:rsidRPr="00D075DA">
              <w:rPr>
                <w:rFonts w:cs="Times New Roman"/>
                <w:sz w:val="18"/>
              </w:rPr>
              <w:t xml:space="preserve">трудоустроенных женщин рома </w:t>
            </w:r>
            <w:r>
              <w:rPr>
                <w:rFonts w:cs="Times New Roman"/>
                <w:sz w:val="18"/>
              </w:rPr>
              <w:br/>
            </w:r>
            <w:r w:rsidRPr="00D075DA">
              <w:rPr>
                <w:rFonts w:cs="Times New Roman"/>
                <w:i/>
                <w:sz w:val="18"/>
              </w:rPr>
              <w:t>(% от общего числа трудоустроенных безработных ромов)</w:t>
            </w:r>
          </w:p>
        </w:tc>
        <w:tc>
          <w:tcPr>
            <w:tcW w:w="952" w:type="dxa"/>
            <w:shd w:val="clear" w:color="auto" w:fill="auto"/>
            <w:vAlign w:val="bottom"/>
            <w:hideMark/>
          </w:tcPr>
          <w:p w14:paraId="08ED7BF9"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79</w:t>
            </w:r>
          </w:p>
          <w:p w14:paraId="19B9C42B"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(51,9%)</w:t>
            </w:r>
          </w:p>
        </w:tc>
        <w:tc>
          <w:tcPr>
            <w:tcW w:w="1105" w:type="dxa"/>
            <w:shd w:val="clear" w:color="auto" w:fill="auto"/>
            <w:vAlign w:val="bottom"/>
            <w:hideMark/>
          </w:tcPr>
          <w:p w14:paraId="06A76EC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109</w:t>
            </w:r>
          </w:p>
          <w:p w14:paraId="6050A06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(53,7%)</w:t>
            </w:r>
          </w:p>
        </w:tc>
        <w:tc>
          <w:tcPr>
            <w:tcW w:w="1960" w:type="dxa"/>
            <w:shd w:val="clear" w:color="auto" w:fill="auto"/>
            <w:vAlign w:val="bottom"/>
            <w:hideMark/>
          </w:tcPr>
          <w:p w14:paraId="102580E8"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98</w:t>
            </w:r>
          </w:p>
          <w:p w14:paraId="09CF0BB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(49,5%)</w:t>
            </w:r>
          </w:p>
        </w:tc>
        <w:tc>
          <w:tcPr>
            <w:tcW w:w="1085" w:type="dxa"/>
            <w:shd w:val="clear" w:color="auto" w:fill="auto"/>
            <w:vAlign w:val="bottom"/>
            <w:hideMark/>
          </w:tcPr>
          <w:p w14:paraId="67003CBF"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286</w:t>
            </w:r>
          </w:p>
          <w:p w14:paraId="0F27551D"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(51,7)</w:t>
            </w:r>
          </w:p>
        </w:tc>
      </w:tr>
      <w:tr w:rsidR="00936DFE" w:rsidRPr="00D075DA" w14:paraId="64C9F723" w14:textId="77777777" w:rsidTr="0092680A">
        <w:tc>
          <w:tcPr>
            <w:tcW w:w="3402" w:type="dxa"/>
            <w:shd w:val="clear" w:color="auto" w:fill="auto"/>
            <w:hideMark/>
          </w:tcPr>
          <w:p w14:paraId="545B6A3C" w14:textId="77777777" w:rsidR="00936DFE" w:rsidRPr="00D075DA" w:rsidRDefault="00936DFE" w:rsidP="00044DA6">
            <w:pPr>
              <w:spacing w:before="40" w:after="40" w:line="220" w:lineRule="exact"/>
              <w:ind w:left="11"/>
              <w:rPr>
                <w:rFonts w:cs="Times New Roman"/>
                <w:sz w:val="18"/>
              </w:rPr>
            </w:pPr>
            <w:r w:rsidRPr="00D075DA">
              <w:rPr>
                <w:rFonts w:cs="Times New Roman"/>
                <w:sz w:val="18"/>
              </w:rPr>
              <w:t>Число бенефициаров трудового посредничества, в том числе лиц, зарегистрированных в предыдущем году</w:t>
            </w:r>
          </w:p>
        </w:tc>
        <w:tc>
          <w:tcPr>
            <w:tcW w:w="952" w:type="dxa"/>
            <w:shd w:val="clear" w:color="auto" w:fill="auto"/>
            <w:vAlign w:val="bottom"/>
          </w:tcPr>
          <w:p w14:paraId="520750CB"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w:t>
            </w:r>
            <w:r>
              <w:rPr>
                <w:rFonts w:cs="Times New Roman"/>
                <w:sz w:val="18"/>
              </w:rPr>
              <w:t> </w:t>
            </w:r>
            <w:r w:rsidRPr="00D075DA">
              <w:rPr>
                <w:rFonts w:cs="Times New Roman"/>
                <w:sz w:val="18"/>
                <w:lang w:val="es-ES"/>
              </w:rPr>
              <w:t>385</w:t>
            </w:r>
          </w:p>
          <w:p w14:paraId="7DB36325" w14:textId="77777777" w:rsidR="00936DFE" w:rsidRPr="00D075DA" w:rsidRDefault="00936DFE" w:rsidP="0092680A">
            <w:pPr>
              <w:spacing w:before="40" w:after="40" w:line="220" w:lineRule="exact"/>
              <w:ind w:left="11"/>
              <w:jc w:val="right"/>
              <w:rPr>
                <w:rFonts w:cs="Times New Roman"/>
                <w:sz w:val="18"/>
                <w:lang w:val="es-ES"/>
              </w:rPr>
            </w:pPr>
          </w:p>
        </w:tc>
        <w:tc>
          <w:tcPr>
            <w:tcW w:w="1105" w:type="dxa"/>
            <w:shd w:val="clear" w:color="auto" w:fill="auto"/>
            <w:vAlign w:val="bottom"/>
          </w:tcPr>
          <w:p w14:paraId="65EF75C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w:t>
            </w:r>
            <w:r>
              <w:rPr>
                <w:rFonts w:cs="Times New Roman"/>
                <w:sz w:val="18"/>
              </w:rPr>
              <w:t> </w:t>
            </w:r>
            <w:r w:rsidRPr="00D075DA">
              <w:rPr>
                <w:rFonts w:cs="Times New Roman"/>
                <w:sz w:val="18"/>
                <w:lang w:val="es-ES"/>
              </w:rPr>
              <w:t>706</w:t>
            </w:r>
          </w:p>
          <w:p w14:paraId="2E855BEF" w14:textId="77777777" w:rsidR="00936DFE" w:rsidRPr="00D075DA" w:rsidRDefault="00936DFE" w:rsidP="0092680A">
            <w:pPr>
              <w:spacing w:before="40" w:after="40" w:line="220" w:lineRule="exact"/>
              <w:ind w:left="11"/>
              <w:jc w:val="right"/>
              <w:rPr>
                <w:rFonts w:cs="Times New Roman"/>
                <w:sz w:val="18"/>
                <w:lang w:val="es-ES"/>
              </w:rPr>
            </w:pPr>
          </w:p>
        </w:tc>
        <w:tc>
          <w:tcPr>
            <w:tcW w:w="1960" w:type="dxa"/>
            <w:shd w:val="clear" w:color="auto" w:fill="auto"/>
            <w:vAlign w:val="bottom"/>
            <w:hideMark/>
          </w:tcPr>
          <w:p w14:paraId="4D24AC1A"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2</w:t>
            </w:r>
            <w:r>
              <w:rPr>
                <w:rFonts w:cs="Times New Roman"/>
                <w:sz w:val="18"/>
              </w:rPr>
              <w:t> </w:t>
            </w:r>
            <w:r w:rsidRPr="00D075DA">
              <w:rPr>
                <w:rFonts w:cs="Times New Roman"/>
                <w:sz w:val="18"/>
                <w:lang w:val="es-ES"/>
              </w:rPr>
              <w:t>119</w:t>
            </w:r>
          </w:p>
        </w:tc>
        <w:tc>
          <w:tcPr>
            <w:tcW w:w="1085" w:type="dxa"/>
            <w:shd w:val="clear" w:color="auto" w:fill="auto"/>
            <w:vAlign w:val="bottom"/>
            <w:hideMark/>
          </w:tcPr>
          <w:p w14:paraId="12EB37D7"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5</w:t>
            </w:r>
            <w:r>
              <w:rPr>
                <w:rFonts w:cs="Times New Roman"/>
                <w:sz w:val="18"/>
              </w:rPr>
              <w:t xml:space="preserve"> </w:t>
            </w:r>
            <w:r w:rsidRPr="00D075DA">
              <w:rPr>
                <w:rFonts w:cs="Times New Roman"/>
                <w:sz w:val="18"/>
                <w:lang w:val="es-ES"/>
              </w:rPr>
              <w:t>210</w:t>
            </w:r>
          </w:p>
        </w:tc>
      </w:tr>
      <w:tr w:rsidR="00936DFE" w:rsidRPr="00D075DA" w14:paraId="578E65AF" w14:textId="77777777" w:rsidTr="0092680A">
        <w:tc>
          <w:tcPr>
            <w:tcW w:w="3402" w:type="dxa"/>
            <w:shd w:val="clear" w:color="auto" w:fill="auto"/>
            <w:hideMark/>
          </w:tcPr>
          <w:p w14:paraId="331AF739" w14:textId="77777777" w:rsidR="00936DFE" w:rsidRPr="00D075DA" w:rsidRDefault="00936DFE" w:rsidP="00044DA6">
            <w:pPr>
              <w:spacing w:before="40" w:after="40" w:line="220" w:lineRule="exact"/>
              <w:ind w:left="11"/>
              <w:rPr>
                <w:rFonts w:cs="Times New Roman"/>
                <w:sz w:val="18"/>
              </w:rPr>
            </w:pPr>
            <w:r w:rsidRPr="00D075DA">
              <w:rPr>
                <w:rFonts w:cs="Times New Roman"/>
                <w:sz w:val="18"/>
              </w:rPr>
              <w:t xml:space="preserve">Число выпускников курсов профессионального обучения </w:t>
            </w:r>
            <w:r>
              <w:rPr>
                <w:rFonts w:cs="Times New Roman"/>
                <w:sz w:val="18"/>
              </w:rPr>
              <w:br/>
            </w:r>
            <w:r w:rsidRPr="00D075DA">
              <w:rPr>
                <w:rFonts w:cs="Times New Roman"/>
                <w:i/>
                <w:sz w:val="18"/>
              </w:rPr>
              <w:t>(% от общего числа зарегистрированных безработных ромов)</w:t>
            </w:r>
          </w:p>
        </w:tc>
        <w:tc>
          <w:tcPr>
            <w:tcW w:w="952" w:type="dxa"/>
            <w:shd w:val="clear" w:color="auto" w:fill="auto"/>
            <w:vAlign w:val="bottom"/>
            <w:hideMark/>
          </w:tcPr>
          <w:p w14:paraId="2C8B02B3"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17</w:t>
            </w:r>
          </w:p>
          <w:p w14:paraId="6BF36152"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(1,1%)</w:t>
            </w:r>
          </w:p>
        </w:tc>
        <w:tc>
          <w:tcPr>
            <w:tcW w:w="1105" w:type="dxa"/>
            <w:shd w:val="clear" w:color="auto" w:fill="auto"/>
            <w:vAlign w:val="bottom"/>
            <w:hideMark/>
          </w:tcPr>
          <w:p w14:paraId="72E96DE3"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16</w:t>
            </w:r>
          </w:p>
          <w:p w14:paraId="00299B46"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(0,8%)</w:t>
            </w:r>
          </w:p>
        </w:tc>
        <w:tc>
          <w:tcPr>
            <w:tcW w:w="1960" w:type="dxa"/>
            <w:shd w:val="clear" w:color="auto" w:fill="auto"/>
            <w:vAlign w:val="bottom"/>
            <w:hideMark/>
          </w:tcPr>
          <w:p w14:paraId="57367F0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7</w:t>
            </w:r>
          </w:p>
          <w:p w14:paraId="60B33A8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(0,5%)</w:t>
            </w:r>
          </w:p>
        </w:tc>
        <w:tc>
          <w:tcPr>
            <w:tcW w:w="1085" w:type="dxa"/>
            <w:shd w:val="clear" w:color="auto" w:fill="auto"/>
            <w:vAlign w:val="bottom"/>
            <w:hideMark/>
          </w:tcPr>
          <w:p w14:paraId="56D859BA"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40</w:t>
            </w:r>
          </w:p>
          <w:p w14:paraId="44F71FDE"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(0,8%)</w:t>
            </w:r>
          </w:p>
        </w:tc>
      </w:tr>
      <w:tr w:rsidR="00936DFE" w:rsidRPr="00D075DA" w14:paraId="4A481530" w14:textId="77777777" w:rsidTr="0092680A">
        <w:tc>
          <w:tcPr>
            <w:tcW w:w="3402" w:type="dxa"/>
            <w:shd w:val="clear" w:color="auto" w:fill="auto"/>
            <w:hideMark/>
          </w:tcPr>
          <w:p w14:paraId="0CDFC2D8" w14:textId="77777777" w:rsidR="00936DFE" w:rsidRPr="00D075DA" w:rsidRDefault="00936DFE" w:rsidP="00044DA6">
            <w:pPr>
              <w:spacing w:before="40" w:after="40" w:line="220" w:lineRule="exact"/>
              <w:ind w:left="11"/>
              <w:rPr>
                <w:rFonts w:cs="Times New Roman"/>
                <w:sz w:val="18"/>
              </w:rPr>
            </w:pPr>
            <w:r w:rsidRPr="00D075DA">
              <w:rPr>
                <w:rFonts w:cs="Times New Roman"/>
                <w:sz w:val="18"/>
              </w:rPr>
              <w:t>Число безработных, вовлеченных в общественные работы</w:t>
            </w:r>
            <w:r>
              <w:rPr>
                <w:rFonts w:cs="Times New Roman"/>
                <w:sz w:val="18"/>
              </w:rPr>
              <w:t xml:space="preserve"> </w:t>
            </w:r>
            <w:r w:rsidRPr="00D075DA">
              <w:rPr>
                <w:rFonts w:cs="Times New Roman"/>
                <w:i/>
                <w:sz w:val="18"/>
              </w:rPr>
              <w:t>(% от общего числа зарегистрированных безработных ромов</w:t>
            </w:r>
            <w:r w:rsidRPr="00D075DA">
              <w:rPr>
                <w:rFonts w:cs="Times New Roman"/>
                <w:sz w:val="18"/>
              </w:rPr>
              <w:t>)</w:t>
            </w:r>
          </w:p>
        </w:tc>
        <w:tc>
          <w:tcPr>
            <w:tcW w:w="952" w:type="dxa"/>
            <w:shd w:val="clear" w:color="auto" w:fill="auto"/>
            <w:vAlign w:val="bottom"/>
            <w:hideMark/>
          </w:tcPr>
          <w:p w14:paraId="7F428AE4"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54</w:t>
            </w:r>
          </w:p>
          <w:p w14:paraId="36D75666"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(3,3%)</w:t>
            </w:r>
          </w:p>
        </w:tc>
        <w:tc>
          <w:tcPr>
            <w:tcW w:w="1105" w:type="dxa"/>
            <w:shd w:val="clear" w:color="auto" w:fill="auto"/>
            <w:vAlign w:val="bottom"/>
            <w:hideMark/>
          </w:tcPr>
          <w:p w14:paraId="7E1A4D69"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45</w:t>
            </w:r>
          </w:p>
          <w:p w14:paraId="5218A47D"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(2,4%)</w:t>
            </w:r>
          </w:p>
        </w:tc>
        <w:tc>
          <w:tcPr>
            <w:tcW w:w="1960" w:type="dxa"/>
            <w:shd w:val="clear" w:color="auto" w:fill="auto"/>
            <w:vAlign w:val="bottom"/>
            <w:hideMark/>
          </w:tcPr>
          <w:p w14:paraId="166B2641" w14:textId="77777777" w:rsidR="00936DFE" w:rsidRPr="009D4B4C" w:rsidRDefault="00936DFE" w:rsidP="0092680A">
            <w:pPr>
              <w:spacing w:before="40" w:after="40" w:line="220" w:lineRule="exact"/>
              <w:ind w:left="11"/>
              <w:jc w:val="right"/>
              <w:rPr>
                <w:rFonts w:cs="Times New Roman"/>
                <w:sz w:val="18"/>
              </w:rPr>
            </w:pPr>
            <w:r w:rsidRPr="009D4B4C">
              <w:rPr>
                <w:rFonts w:cs="Times New Roman"/>
                <w:sz w:val="18"/>
              </w:rPr>
              <w:t xml:space="preserve">с 2019 </w:t>
            </w:r>
            <w:r>
              <w:rPr>
                <w:rFonts w:cs="Times New Roman"/>
                <w:sz w:val="18"/>
              </w:rPr>
              <w:t>года</w:t>
            </w:r>
          </w:p>
          <w:p w14:paraId="27A75319" w14:textId="77777777" w:rsidR="00936DFE" w:rsidRPr="009D4B4C" w:rsidRDefault="00936DFE" w:rsidP="0092680A">
            <w:pPr>
              <w:spacing w:before="40" w:after="40" w:line="220" w:lineRule="exact"/>
              <w:ind w:left="11"/>
              <w:jc w:val="right"/>
              <w:rPr>
                <w:rFonts w:cs="Times New Roman"/>
                <w:sz w:val="18"/>
              </w:rPr>
            </w:pPr>
            <w:r w:rsidRPr="009D4B4C">
              <w:rPr>
                <w:rFonts w:cs="Times New Roman"/>
                <w:sz w:val="18"/>
              </w:rPr>
              <w:t>больше не</w:t>
            </w:r>
            <w:r>
              <w:rPr>
                <w:rFonts w:cs="Times New Roman"/>
                <w:sz w:val="18"/>
              </w:rPr>
              <w:t> </w:t>
            </w:r>
            <w:r w:rsidRPr="009D4B4C">
              <w:rPr>
                <w:rFonts w:cs="Times New Roman"/>
                <w:sz w:val="18"/>
              </w:rPr>
              <w:t xml:space="preserve">осуществляется </w:t>
            </w:r>
          </w:p>
        </w:tc>
        <w:tc>
          <w:tcPr>
            <w:tcW w:w="1085" w:type="dxa"/>
            <w:shd w:val="clear" w:color="auto" w:fill="auto"/>
            <w:vAlign w:val="bottom"/>
            <w:hideMark/>
          </w:tcPr>
          <w:p w14:paraId="592BA47F"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99</w:t>
            </w:r>
          </w:p>
          <w:p w14:paraId="7A5281BC"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(2,0%)</w:t>
            </w:r>
          </w:p>
        </w:tc>
      </w:tr>
      <w:tr w:rsidR="00936DFE" w:rsidRPr="00D075DA" w14:paraId="2F5FE2EB" w14:textId="77777777" w:rsidTr="0092680A">
        <w:tc>
          <w:tcPr>
            <w:tcW w:w="3402" w:type="dxa"/>
            <w:shd w:val="clear" w:color="auto" w:fill="auto"/>
            <w:hideMark/>
          </w:tcPr>
          <w:p w14:paraId="4A61B112" w14:textId="77777777" w:rsidR="00936DFE" w:rsidRPr="00D075DA" w:rsidRDefault="00936DFE" w:rsidP="00044DA6">
            <w:pPr>
              <w:spacing w:before="40" w:after="40" w:line="220" w:lineRule="exact"/>
              <w:ind w:left="11"/>
              <w:rPr>
                <w:rFonts w:cs="Times New Roman"/>
                <w:sz w:val="18"/>
              </w:rPr>
            </w:pPr>
            <w:r w:rsidRPr="00D075DA">
              <w:rPr>
                <w:rFonts w:cs="Times New Roman"/>
                <w:sz w:val="18"/>
              </w:rPr>
              <w:t xml:space="preserve">Бенефициары пособий по интеграции </w:t>
            </w:r>
            <w:r>
              <w:rPr>
                <w:rFonts w:cs="Times New Roman"/>
                <w:sz w:val="18"/>
              </w:rPr>
              <w:br/>
            </w:r>
            <w:r w:rsidRPr="00D075DA">
              <w:rPr>
                <w:rFonts w:cs="Times New Roman"/>
                <w:sz w:val="18"/>
              </w:rPr>
              <w:t>или реинтеграции</w:t>
            </w:r>
            <w:r>
              <w:rPr>
                <w:rFonts w:cs="Times New Roman"/>
                <w:sz w:val="18"/>
              </w:rPr>
              <w:t xml:space="preserve"> </w:t>
            </w:r>
            <w:r w:rsidRPr="00D075DA">
              <w:rPr>
                <w:rFonts w:cs="Times New Roman"/>
                <w:i/>
                <w:sz w:val="18"/>
              </w:rPr>
              <w:t>(% от общего числа зарегистрированных безработных ромов )</w:t>
            </w:r>
          </w:p>
        </w:tc>
        <w:tc>
          <w:tcPr>
            <w:tcW w:w="952" w:type="dxa"/>
            <w:shd w:val="clear" w:color="auto" w:fill="auto"/>
            <w:vAlign w:val="bottom"/>
            <w:hideMark/>
          </w:tcPr>
          <w:p w14:paraId="20D2E93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42</w:t>
            </w:r>
          </w:p>
          <w:p w14:paraId="5648B49F"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(2,6%)</w:t>
            </w:r>
          </w:p>
        </w:tc>
        <w:tc>
          <w:tcPr>
            <w:tcW w:w="1105" w:type="dxa"/>
            <w:shd w:val="clear" w:color="auto" w:fill="auto"/>
            <w:vAlign w:val="bottom"/>
            <w:hideMark/>
          </w:tcPr>
          <w:p w14:paraId="3E461DF7"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42</w:t>
            </w:r>
          </w:p>
          <w:p w14:paraId="22F85D48"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(2,2%)</w:t>
            </w:r>
          </w:p>
        </w:tc>
        <w:tc>
          <w:tcPr>
            <w:tcW w:w="1960" w:type="dxa"/>
            <w:shd w:val="clear" w:color="auto" w:fill="auto"/>
            <w:vAlign w:val="bottom"/>
            <w:hideMark/>
          </w:tcPr>
          <w:p w14:paraId="2D1F50C0" w14:textId="77777777" w:rsidR="00936DFE" w:rsidRPr="009D4B4C" w:rsidRDefault="00936DFE" w:rsidP="0092680A">
            <w:pPr>
              <w:spacing w:before="40" w:after="40" w:line="220" w:lineRule="exact"/>
              <w:ind w:left="11"/>
              <w:jc w:val="right"/>
              <w:rPr>
                <w:rFonts w:cs="Times New Roman"/>
                <w:sz w:val="18"/>
              </w:rPr>
            </w:pPr>
            <w:r w:rsidRPr="009D4B4C">
              <w:rPr>
                <w:rFonts w:cs="Times New Roman"/>
                <w:sz w:val="18"/>
              </w:rPr>
              <w:t>12</w:t>
            </w:r>
          </w:p>
          <w:p w14:paraId="25699511" w14:textId="77777777" w:rsidR="00936DFE" w:rsidRPr="009D4B4C" w:rsidRDefault="00936DFE" w:rsidP="0092680A">
            <w:pPr>
              <w:spacing w:before="40" w:after="40" w:line="220" w:lineRule="exact"/>
              <w:ind w:left="11"/>
              <w:jc w:val="right"/>
              <w:rPr>
                <w:rFonts w:cs="Times New Roman"/>
                <w:sz w:val="18"/>
              </w:rPr>
            </w:pPr>
            <w:r w:rsidRPr="009D4B4C">
              <w:rPr>
                <w:rFonts w:cs="Times New Roman"/>
                <w:sz w:val="18"/>
              </w:rPr>
              <w:t>(0,8%)</w:t>
            </w:r>
          </w:p>
          <w:p w14:paraId="5E88734F" w14:textId="77777777" w:rsidR="00936DFE" w:rsidRPr="009D4B4C" w:rsidRDefault="00936DFE" w:rsidP="0092680A">
            <w:pPr>
              <w:spacing w:before="40" w:after="40" w:line="220" w:lineRule="exact"/>
              <w:ind w:left="11"/>
              <w:jc w:val="right"/>
              <w:rPr>
                <w:rFonts w:cs="Times New Roman"/>
                <w:sz w:val="18"/>
              </w:rPr>
            </w:pPr>
            <w:r w:rsidRPr="009D4B4C">
              <w:rPr>
                <w:rFonts w:cs="Times New Roman"/>
                <w:sz w:val="18"/>
              </w:rPr>
              <w:t>с 10</w:t>
            </w:r>
            <w:r>
              <w:rPr>
                <w:rFonts w:cs="Times New Roman"/>
                <w:sz w:val="18"/>
              </w:rPr>
              <w:t xml:space="preserve"> февраля </w:t>
            </w:r>
            <w:r w:rsidRPr="009D4B4C">
              <w:rPr>
                <w:rFonts w:cs="Times New Roman"/>
                <w:sz w:val="18"/>
              </w:rPr>
              <w:t>2019</w:t>
            </w:r>
            <w:r>
              <w:rPr>
                <w:rFonts w:cs="Times New Roman"/>
                <w:sz w:val="18"/>
              </w:rPr>
              <w:t xml:space="preserve"> года</w:t>
            </w:r>
            <w:r w:rsidRPr="009D4B4C">
              <w:rPr>
                <w:rFonts w:cs="Times New Roman"/>
                <w:sz w:val="18"/>
              </w:rPr>
              <w:t xml:space="preserve"> </w:t>
            </w:r>
          </w:p>
          <w:p w14:paraId="33BC7824" w14:textId="77777777" w:rsidR="00936DFE" w:rsidRPr="009D4B4C" w:rsidRDefault="00936DFE" w:rsidP="0092680A">
            <w:pPr>
              <w:spacing w:before="40" w:after="40" w:line="220" w:lineRule="exact"/>
              <w:ind w:left="11"/>
              <w:jc w:val="right"/>
              <w:rPr>
                <w:rFonts w:cs="Times New Roman"/>
                <w:sz w:val="18"/>
              </w:rPr>
            </w:pPr>
            <w:r w:rsidRPr="009D4B4C">
              <w:rPr>
                <w:rFonts w:cs="Times New Roman"/>
                <w:sz w:val="18"/>
              </w:rPr>
              <w:t>больше не реализуется</w:t>
            </w:r>
          </w:p>
        </w:tc>
        <w:tc>
          <w:tcPr>
            <w:tcW w:w="1085" w:type="dxa"/>
            <w:shd w:val="clear" w:color="auto" w:fill="auto"/>
            <w:vAlign w:val="bottom"/>
            <w:hideMark/>
          </w:tcPr>
          <w:p w14:paraId="6059B9C5"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96</w:t>
            </w:r>
          </w:p>
          <w:p w14:paraId="6D389959"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(1,9%)</w:t>
            </w:r>
          </w:p>
        </w:tc>
      </w:tr>
      <w:tr w:rsidR="00936DFE" w:rsidRPr="00D075DA" w14:paraId="6702A078" w14:textId="77777777" w:rsidTr="0092680A">
        <w:tc>
          <w:tcPr>
            <w:tcW w:w="3402" w:type="dxa"/>
            <w:shd w:val="clear" w:color="auto" w:fill="auto"/>
            <w:hideMark/>
          </w:tcPr>
          <w:p w14:paraId="0C912751" w14:textId="77777777" w:rsidR="00936DFE" w:rsidRPr="00D075DA" w:rsidRDefault="00936DFE" w:rsidP="00044DA6">
            <w:pPr>
              <w:spacing w:before="40" w:after="40" w:line="220" w:lineRule="exact"/>
              <w:ind w:left="11"/>
              <w:rPr>
                <w:rFonts w:cs="Times New Roman"/>
                <w:sz w:val="18"/>
              </w:rPr>
            </w:pPr>
            <w:r w:rsidRPr="00D075DA">
              <w:rPr>
                <w:rFonts w:cs="Times New Roman"/>
                <w:sz w:val="18"/>
              </w:rPr>
              <w:t>Бенефициары пособия по безработице</w:t>
            </w:r>
            <w:r>
              <w:rPr>
                <w:rFonts w:cs="Times New Roman"/>
                <w:sz w:val="18"/>
              </w:rPr>
              <w:t xml:space="preserve"> </w:t>
            </w:r>
            <w:r>
              <w:rPr>
                <w:rFonts w:cs="Times New Roman"/>
                <w:sz w:val="18"/>
              </w:rPr>
              <w:br/>
            </w:r>
            <w:r w:rsidRPr="00D075DA">
              <w:rPr>
                <w:rFonts w:cs="Times New Roman"/>
                <w:i/>
                <w:sz w:val="18"/>
              </w:rPr>
              <w:t>(% от общего числа зарегистрированных безработных ромов )</w:t>
            </w:r>
          </w:p>
        </w:tc>
        <w:tc>
          <w:tcPr>
            <w:tcW w:w="952" w:type="dxa"/>
            <w:shd w:val="clear" w:color="auto" w:fill="auto"/>
            <w:vAlign w:val="bottom"/>
            <w:hideMark/>
          </w:tcPr>
          <w:p w14:paraId="379E0F04"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5</w:t>
            </w:r>
          </w:p>
          <w:p w14:paraId="45B2D5F5"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(0,3%)</w:t>
            </w:r>
          </w:p>
        </w:tc>
        <w:tc>
          <w:tcPr>
            <w:tcW w:w="1105" w:type="dxa"/>
            <w:shd w:val="clear" w:color="auto" w:fill="auto"/>
            <w:vAlign w:val="bottom"/>
            <w:hideMark/>
          </w:tcPr>
          <w:p w14:paraId="78C6F91C"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7</w:t>
            </w:r>
          </w:p>
          <w:p w14:paraId="044F909A"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(0,4%)</w:t>
            </w:r>
          </w:p>
        </w:tc>
        <w:tc>
          <w:tcPr>
            <w:tcW w:w="1960" w:type="dxa"/>
            <w:shd w:val="clear" w:color="auto" w:fill="auto"/>
            <w:vAlign w:val="bottom"/>
            <w:hideMark/>
          </w:tcPr>
          <w:p w14:paraId="7B6B06EF"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11</w:t>
            </w:r>
          </w:p>
          <w:p w14:paraId="53F5F85B"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(0,8%)</w:t>
            </w:r>
          </w:p>
        </w:tc>
        <w:tc>
          <w:tcPr>
            <w:tcW w:w="1085" w:type="dxa"/>
            <w:shd w:val="clear" w:color="auto" w:fill="auto"/>
            <w:vAlign w:val="bottom"/>
            <w:hideMark/>
          </w:tcPr>
          <w:p w14:paraId="1E45ACE1"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23</w:t>
            </w:r>
          </w:p>
          <w:p w14:paraId="7205E3D7"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(0,5%)</w:t>
            </w:r>
          </w:p>
        </w:tc>
      </w:tr>
      <w:tr w:rsidR="00936DFE" w:rsidRPr="00D075DA" w14:paraId="07EAFB4A" w14:textId="77777777" w:rsidTr="0092680A">
        <w:tc>
          <w:tcPr>
            <w:tcW w:w="3402" w:type="dxa"/>
            <w:tcBorders>
              <w:bottom w:val="single" w:sz="12" w:space="0" w:color="auto"/>
            </w:tcBorders>
            <w:shd w:val="clear" w:color="auto" w:fill="auto"/>
            <w:hideMark/>
          </w:tcPr>
          <w:p w14:paraId="6AD3150D" w14:textId="77777777" w:rsidR="00936DFE" w:rsidRPr="00D075DA" w:rsidRDefault="00936DFE" w:rsidP="00044DA6">
            <w:pPr>
              <w:spacing w:before="40" w:after="40" w:line="220" w:lineRule="exact"/>
              <w:ind w:left="11"/>
              <w:rPr>
                <w:rFonts w:cs="Times New Roman"/>
                <w:sz w:val="18"/>
              </w:rPr>
            </w:pPr>
            <w:r w:rsidRPr="00D075DA">
              <w:rPr>
                <w:rFonts w:cs="Times New Roman"/>
                <w:sz w:val="18"/>
              </w:rPr>
              <w:t>Число безработных, бенефициаров пособия для стимулирования мобильности труда</w:t>
            </w:r>
          </w:p>
        </w:tc>
        <w:tc>
          <w:tcPr>
            <w:tcW w:w="952" w:type="dxa"/>
            <w:tcBorders>
              <w:bottom w:val="single" w:sz="12" w:space="0" w:color="auto"/>
            </w:tcBorders>
            <w:shd w:val="clear" w:color="auto" w:fill="auto"/>
            <w:vAlign w:val="bottom"/>
            <w:hideMark/>
          </w:tcPr>
          <w:p w14:paraId="3EDB7E6C"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2</w:t>
            </w:r>
          </w:p>
        </w:tc>
        <w:tc>
          <w:tcPr>
            <w:tcW w:w="1105" w:type="dxa"/>
            <w:tcBorders>
              <w:bottom w:val="single" w:sz="12" w:space="0" w:color="auto"/>
            </w:tcBorders>
            <w:shd w:val="clear" w:color="auto" w:fill="auto"/>
            <w:vAlign w:val="bottom"/>
            <w:hideMark/>
          </w:tcPr>
          <w:p w14:paraId="058DC1E4"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1</w:t>
            </w:r>
          </w:p>
        </w:tc>
        <w:tc>
          <w:tcPr>
            <w:tcW w:w="1960" w:type="dxa"/>
            <w:tcBorders>
              <w:bottom w:val="single" w:sz="12" w:space="0" w:color="auto"/>
            </w:tcBorders>
            <w:shd w:val="clear" w:color="auto" w:fill="auto"/>
            <w:vAlign w:val="bottom"/>
            <w:hideMark/>
          </w:tcPr>
          <w:p w14:paraId="2A53F456"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0</w:t>
            </w:r>
          </w:p>
        </w:tc>
        <w:tc>
          <w:tcPr>
            <w:tcW w:w="1085" w:type="dxa"/>
            <w:tcBorders>
              <w:bottom w:val="single" w:sz="12" w:space="0" w:color="auto"/>
            </w:tcBorders>
            <w:shd w:val="clear" w:color="auto" w:fill="auto"/>
            <w:vAlign w:val="bottom"/>
            <w:hideMark/>
          </w:tcPr>
          <w:p w14:paraId="71D15D08" w14:textId="77777777" w:rsidR="00936DFE" w:rsidRPr="00D075DA" w:rsidRDefault="00936DFE" w:rsidP="0092680A">
            <w:pPr>
              <w:spacing w:before="40" w:after="40" w:line="220" w:lineRule="exact"/>
              <w:ind w:left="11"/>
              <w:jc w:val="right"/>
              <w:rPr>
                <w:rFonts w:cs="Times New Roman"/>
                <w:sz w:val="18"/>
                <w:lang w:val="es-ES"/>
              </w:rPr>
            </w:pPr>
            <w:r w:rsidRPr="00D075DA">
              <w:rPr>
                <w:rFonts w:cs="Times New Roman"/>
                <w:sz w:val="18"/>
                <w:lang w:val="es-ES"/>
              </w:rPr>
              <w:t>3</w:t>
            </w:r>
          </w:p>
        </w:tc>
      </w:tr>
    </w:tbl>
    <w:p w14:paraId="5CB6F144" w14:textId="77777777" w:rsidR="00936DFE" w:rsidRDefault="00936DFE" w:rsidP="00936DFE">
      <w:pPr>
        <w:pStyle w:val="H4G"/>
      </w:pPr>
      <w:r>
        <w:tab/>
      </w:r>
      <w:r>
        <w:tab/>
      </w:r>
      <w:r w:rsidRPr="00CB26B4">
        <w:t>Здоровье</w:t>
      </w:r>
    </w:p>
    <w:p w14:paraId="71529E0F" w14:textId="77777777" w:rsidR="00936DFE" w:rsidRDefault="00936DFE" w:rsidP="00936DFE">
      <w:pPr>
        <w:pStyle w:val="SingleTxtG"/>
      </w:pPr>
      <w:r>
        <w:t>149.</w:t>
      </w:r>
      <w:r>
        <w:tab/>
      </w:r>
      <w:r w:rsidRPr="00CB26B4">
        <w:t>В соответствии с действующим национальным законодательством ромы имеют те же права и обязанности в области обязательного медицинского страхования, что и все граждане Республики Молдова. В рамках обязательного медицинского страхования население получает медицинскую помощь в объеме, установленном Единой программой обязательного медицинского страхования, разработанной в рамках средств фондов обязательного медицинского страхования</w:t>
      </w:r>
      <w:r w:rsidRPr="009D4B4C">
        <w:rPr>
          <w:sz w:val="18"/>
          <w:szCs w:val="18"/>
          <w:vertAlign w:val="superscript"/>
        </w:rPr>
        <w:footnoteReference w:id="38"/>
      </w:r>
      <w:r w:rsidRPr="00CB26B4">
        <w:t>.</w:t>
      </w:r>
    </w:p>
    <w:p w14:paraId="098695EC" w14:textId="77777777" w:rsidR="00936DFE" w:rsidRDefault="00936DFE" w:rsidP="00936DFE">
      <w:pPr>
        <w:pStyle w:val="SingleTxtG"/>
        <w:rPr>
          <w:bCs/>
        </w:rPr>
      </w:pPr>
      <w:r>
        <w:t>150.</w:t>
      </w:r>
      <w:r>
        <w:tab/>
      </w:r>
      <w:r w:rsidRPr="00CB26B4">
        <w:t xml:space="preserve">В соответствии с положениями Единой программы обязательного медицинского страхования застрахованные лица получают следующие виды медицинской помощи: неотложная </w:t>
      </w:r>
      <w:r w:rsidRPr="009D4B4C">
        <w:t>догоспитальная</w:t>
      </w:r>
      <w:r w:rsidRPr="00CB26B4">
        <w:t xml:space="preserve"> медицинская помощь; стационарная медицинская помощь; первичная медицинская помощь; специализированная амбулаторная медицинская помощь, в том числе стоматологическая; высокоспециализированные медицинские услуги; уход на дому.</w:t>
      </w:r>
    </w:p>
    <w:p w14:paraId="0B322494" w14:textId="77777777" w:rsidR="00936DFE" w:rsidRDefault="00936DFE" w:rsidP="00936DFE">
      <w:pPr>
        <w:pStyle w:val="SingleTxtG"/>
      </w:pPr>
      <w:r>
        <w:t>151.</w:t>
      </w:r>
      <w:r>
        <w:tab/>
      </w:r>
      <w:r w:rsidRPr="00CB26B4">
        <w:t xml:space="preserve">Для незастрахованных лиц догоспитальная неотложная медицинская помощь и первичная медицинская помощь предоставляются в объеме, установленном Единой программой </w:t>
      </w:r>
      <w:r w:rsidRPr="009D4B4C">
        <w:t>обязательного</w:t>
      </w:r>
      <w:r w:rsidRPr="00CB26B4">
        <w:t xml:space="preserve"> медицинского страхования, включая назначение компенсируемых лекарственных препаратов</w:t>
      </w:r>
      <w:r>
        <w:t xml:space="preserve"> </w:t>
      </w:r>
      <w:r w:rsidRPr="00CB26B4">
        <w:t xml:space="preserve">без оплаты </w:t>
      </w:r>
      <w:proofErr w:type="gramStart"/>
      <w:r w:rsidRPr="00CB26B4">
        <w:t>за предоставление</w:t>
      </w:r>
      <w:proofErr w:type="gramEnd"/>
      <w:r w:rsidRPr="00CB26B4">
        <w:t xml:space="preserve"> этих услуг.</w:t>
      </w:r>
    </w:p>
    <w:p w14:paraId="1DB1EAD4" w14:textId="77777777" w:rsidR="00936DFE" w:rsidRDefault="00936DFE" w:rsidP="00936DFE">
      <w:pPr>
        <w:pStyle w:val="SingleTxtG"/>
      </w:pPr>
      <w:r>
        <w:t>152.</w:t>
      </w:r>
      <w:r>
        <w:tab/>
      </w:r>
      <w:r w:rsidRPr="00CB26B4">
        <w:t>Специализированная амбулаторная и стационарная медицинская помощь, в</w:t>
      </w:r>
      <w:r>
        <w:t> </w:t>
      </w:r>
      <w:r w:rsidRPr="00CB26B4">
        <w:t>случае социально-обусловленных заболеваний, оказывающих серьезное воздействие на общественное здоровье, покрывается средствами фондов обязательного медицинского страхования в соответствии с действующим законодательством.</w:t>
      </w:r>
    </w:p>
    <w:p w14:paraId="4D8A8F2C" w14:textId="77777777" w:rsidR="00936DFE" w:rsidRDefault="00936DFE" w:rsidP="00936DFE">
      <w:pPr>
        <w:pStyle w:val="SingleTxtG"/>
      </w:pPr>
      <w:r>
        <w:rPr>
          <w:bCs/>
        </w:rPr>
        <w:lastRenderedPageBreak/>
        <w:t>153.</w:t>
      </w:r>
      <w:r>
        <w:rPr>
          <w:bCs/>
        </w:rPr>
        <w:tab/>
      </w:r>
      <w:r w:rsidRPr="00CB26B4">
        <w:rPr>
          <w:bCs/>
        </w:rPr>
        <w:t>Население обеспечено компенсируемыми медицинскими препаратами из фондов обязательного медицинского страхования для вспомогательного лечения в амбулаторных условиях согласно списку компенсируемых лекарственных препаратов, а также бесплатно лекарственными средствами, которые предоставляется национальными программами, и закупаются централизованно Министерством здравоохранения, труда и социальной защиты (МЗТСЗ),том числе для туберкулеза, эндогенных психических заболеваний, сахарного диабета, несахарного диабета. В</w:t>
      </w:r>
      <w:r>
        <w:rPr>
          <w:bCs/>
        </w:rPr>
        <w:t> </w:t>
      </w:r>
      <w:r w:rsidRPr="00CB26B4">
        <w:rPr>
          <w:bCs/>
        </w:rPr>
        <w:t xml:space="preserve">условиях стационара пациенты получают лекарственные препараты, предусмотренные национальными клиническими протоколами. </w:t>
      </w:r>
    </w:p>
    <w:p w14:paraId="57A361C0" w14:textId="77777777" w:rsidR="00936DFE" w:rsidRDefault="00936DFE" w:rsidP="00936DFE">
      <w:pPr>
        <w:pStyle w:val="SingleTxtG"/>
        <w:rPr>
          <w:bCs/>
        </w:rPr>
      </w:pPr>
      <w:r>
        <w:rPr>
          <w:bCs/>
        </w:rPr>
        <w:t>154.</w:t>
      </w:r>
      <w:r>
        <w:rPr>
          <w:bCs/>
        </w:rPr>
        <w:tab/>
      </w:r>
      <w:r w:rsidRPr="00CB26B4">
        <w:rPr>
          <w:bCs/>
        </w:rPr>
        <w:t>В течение 2018 г</w:t>
      </w:r>
      <w:r>
        <w:rPr>
          <w:bCs/>
        </w:rPr>
        <w:t>ода</w:t>
      </w:r>
      <w:r w:rsidRPr="00CB26B4">
        <w:rPr>
          <w:bCs/>
        </w:rPr>
        <w:t xml:space="preserve"> семейные врачи провели около 11 тыс</w:t>
      </w:r>
      <w:r>
        <w:rPr>
          <w:bCs/>
        </w:rPr>
        <w:t>.</w:t>
      </w:r>
      <w:r w:rsidRPr="00CB26B4">
        <w:rPr>
          <w:bCs/>
        </w:rPr>
        <w:t xml:space="preserve"> информационных встреч среди этнического населения ромов по следующим темам: виды медицинской помощи и общий спектр услуг, на которые имеют право лица, застрахованные в системе обязательного медицинского страхования (около 2900); профилактика передающихся заболеваний путем иммунизации (около 3000); профилактика курения, злоупотребления алкоголем и незаконного употребления наркотиков (около 2500), предоставление медицинских услуг, дружественных к молодежи (около 2700).</w:t>
      </w:r>
    </w:p>
    <w:p w14:paraId="31E9E9A1" w14:textId="77777777" w:rsidR="00936DFE" w:rsidRDefault="00936DFE" w:rsidP="00936DFE">
      <w:pPr>
        <w:pStyle w:val="SingleTxtG"/>
      </w:pPr>
      <w:r>
        <w:t>155.</w:t>
      </w:r>
      <w:r>
        <w:tab/>
      </w:r>
      <w:r w:rsidRPr="00CB26B4">
        <w:t>В целях оценки и анализа законодательства в области здравоохранения, в целях выявления потенциально дискриминационных положений и обеспечения равенства в предоставлении медицинских услуг в рамках MЗТСЗ создана Отраслевая комиссия по борьбе с дискриминацией в области здравоохранения. Миссия Комиссии состоит в борьбе с дискриминацией путем выявления и устранения случаев, о которых информируют в петициях, поступивших в Министерство.</w:t>
      </w:r>
    </w:p>
    <w:p w14:paraId="75B48806" w14:textId="77777777" w:rsidR="00936DFE" w:rsidRDefault="00936DFE" w:rsidP="00936DFE">
      <w:pPr>
        <w:pStyle w:val="H4G"/>
      </w:pPr>
      <w:r>
        <w:tab/>
      </w:r>
      <w:r>
        <w:tab/>
      </w:r>
      <w:r w:rsidRPr="00CB26B4">
        <w:t>Выдача документов, удостоверяющих личность</w:t>
      </w:r>
    </w:p>
    <w:p w14:paraId="29D33369" w14:textId="77777777" w:rsidR="00936DFE" w:rsidRDefault="00936DFE" w:rsidP="00936DFE">
      <w:pPr>
        <w:pStyle w:val="SingleTxtG"/>
      </w:pPr>
      <w:r>
        <w:t>156.</w:t>
      </w:r>
      <w:r>
        <w:tab/>
      </w:r>
      <w:r w:rsidRPr="00CB26B4">
        <w:t>Агентство государственных услуг (АГУ) обеспечивает выдачу документов, удостоверяющих личность, всем гражданам Республики Молдова, независимо от их этнической и расовой принадлежности, принимая необходимые меры для оптимизации процессов</w:t>
      </w:r>
      <w:r>
        <w:t xml:space="preserve"> </w:t>
      </w:r>
      <w:r w:rsidRPr="00CB26B4">
        <w:t>оформления документов, удостоверяющих личность и учета населения.</w:t>
      </w:r>
    </w:p>
    <w:p w14:paraId="266805E8" w14:textId="77777777" w:rsidR="00936DFE" w:rsidRDefault="00936DFE" w:rsidP="00936DFE">
      <w:pPr>
        <w:pStyle w:val="SingleTxtG"/>
      </w:pPr>
      <w:r>
        <w:t>157.</w:t>
      </w:r>
      <w:r>
        <w:tab/>
      </w:r>
      <w:r w:rsidRPr="00CB26B4">
        <w:t>Лица, принадлежащие к этническо</w:t>
      </w:r>
      <w:r>
        <w:t>му</w:t>
      </w:r>
      <w:r w:rsidRPr="00CB26B4">
        <w:t xml:space="preserve"> меньшинству ромов</w:t>
      </w:r>
      <w:r>
        <w:t>,</w:t>
      </w:r>
      <w:r w:rsidRPr="00CB26B4">
        <w:t xml:space="preserve"> по-прежнему сталкиваются с препятствиями при получении документов, удостоверяющих личность (в связи с невозможностью</w:t>
      </w:r>
      <w:r>
        <w:t xml:space="preserve"> </w:t>
      </w:r>
      <w:r w:rsidRPr="00CB26B4">
        <w:t>идентификации личности, отсутствием актов гражданского состояния, др. причин). В большинстве случаев препятствия обусловлены</w:t>
      </w:r>
      <w:r>
        <w:t xml:space="preserve"> </w:t>
      </w:r>
      <w:r w:rsidRPr="00CB26B4">
        <w:t>несоблюдением положений ст</w:t>
      </w:r>
      <w:r>
        <w:t>атьи</w:t>
      </w:r>
      <w:r w:rsidRPr="00CB26B4">
        <w:t xml:space="preserve"> 22, п</w:t>
      </w:r>
      <w:r>
        <w:t>ункт</w:t>
      </w:r>
      <w:r w:rsidRPr="00CB26B4">
        <w:t xml:space="preserve"> 5</w:t>
      </w:r>
      <w:r>
        <w:t>,</w:t>
      </w:r>
      <w:r w:rsidRPr="00CB26B4">
        <w:t xml:space="preserve"> Закона № 100/2001 об актах гражданского состояния, которая обязывает родителей заявить в орган гражданского состояния о рождении ребенка не позднее трех месяцев со дня его рождения.</w:t>
      </w:r>
    </w:p>
    <w:p w14:paraId="7FB7690C" w14:textId="77777777" w:rsidR="00936DFE" w:rsidRDefault="00936DFE" w:rsidP="00936DFE">
      <w:pPr>
        <w:pStyle w:val="SingleTxtG"/>
      </w:pPr>
      <w:r>
        <w:t>158.</w:t>
      </w:r>
      <w:r>
        <w:tab/>
      </w:r>
      <w:r w:rsidRPr="00CB26B4">
        <w:t>В соответствии с положениями п</w:t>
      </w:r>
      <w:r>
        <w:t>ункта</w:t>
      </w:r>
      <w:r w:rsidRPr="00CB26B4">
        <w:t xml:space="preserve"> 31 Положения о выдаче документов, удостоверяющих личность, и об учете граждан Республики Молдова, утвержденного ПП № 125/2013, в случае выдачи временного удостоверения личности,</w:t>
      </w:r>
      <w:r>
        <w:t xml:space="preserve"> </w:t>
      </w:r>
      <w:r w:rsidRPr="00CB26B4">
        <w:t>лицам, которые</w:t>
      </w:r>
      <w:r>
        <w:t xml:space="preserve"> </w:t>
      </w:r>
      <w:r w:rsidRPr="00CB26B4">
        <w:t>не располагают всеми необходимыми документами для получения удостоверения личности, подразделения АГУ, выдающие удостоверения личности, или дипломатические миссии и консульские отделы устанавливают факт существования зарегистрированных актов гражданского состояния на имя заявителя с использованием информационных ресурсов Государственного регистра населения или посредством официального запроса</w:t>
      </w:r>
      <w:r>
        <w:t xml:space="preserve"> </w:t>
      </w:r>
      <w:r w:rsidRPr="00CB26B4">
        <w:t>в Главное управление гражданского состояния. Только в случае, если рождение лица не было зарегистрировано в регистре гражданского состояния, предусмотрены особые правовые условия для оформления документов гражданского состояния, в том числе через судебные инстанции. Согласно положениям п</w:t>
      </w:r>
      <w:r>
        <w:t>ункта</w:t>
      </w:r>
      <w:r w:rsidRPr="00CB26B4">
        <w:t xml:space="preserve"> 36 указанного Положения личность лица устанавливается судебной инстанцией, если все административные средства, установленные для его идентификации, были исчерпаны.</w:t>
      </w:r>
    </w:p>
    <w:p w14:paraId="3A45F469" w14:textId="77777777" w:rsidR="00936DFE" w:rsidRDefault="00936DFE" w:rsidP="00936DFE">
      <w:pPr>
        <w:pStyle w:val="SingleTxtG"/>
      </w:pPr>
      <w:r>
        <w:t>159.</w:t>
      </w:r>
      <w:r>
        <w:tab/>
      </w:r>
      <w:r w:rsidRPr="00CB26B4">
        <w:t xml:space="preserve">В соответствии с внесенными изменениями и дополнениями в Положении о выдаче документов, удостоверяющих личность, и об учете граждан Республики Молдова, утвержденное ПП № 125/2013 </w:t>
      </w:r>
      <w:r w:rsidRPr="00CB26B4">
        <w:rPr>
          <w:i/>
        </w:rPr>
        <w:t>(</w:t>
      </w:r>
      <w:r w:rsidRPr="00CB26B4">
        <w:t>измен</w:t>
      </w:r>
      <w:r>
        <w:t>е</w:t>
      </w:r>
      <w:r w:rsidRPr="00CB26B4">
        <w:t>нный</w:t>
      </w:r>
      <w:r w:rsidRPr="00CB26B4">
        <w:rPr>
          <w:i/>
        </w:rPr>
        <w:t xml:space="preserve"> </w:t>
      </w:r>
      <w:r w:rsidRPr="00CB26B4">
        <w:t>ПП № 872/2017, в</w:t>
      </w:r>
      <w:r w:rsidRPr="00CB26B4">
        <w:rPr>
          <w:i/>
        </w:rPr>
        <w:t xml:space="preserve"> </w:t>
      </w:r>
      <w:r w:rsidRPr="00CB26B4">
        <w:t>силе с</w:t>
      </w:r>
      <w:r>
        <w:t xml:space="preserve"> </w:t>
      </w:r>
      <w:r w:rsidRPr="00CB26B4">
        <w:t>3</w:t>
      </w:r>
      <w:r>
        <w:t xml:space="preserve"> ноября </w:t>
      </w:r>
      <w:r w:rsidRPr="00CB26B4">
        <w:t>2017</w:t>
      </w:r>
      <w:r>
        <w:t xml:space="preserve"> года</w:t>
      </w:r>
      <w:r w:rsidRPr="009E1889">
        <w:rPr>
          <w:iCs/>
        </w:rPr>
        <w:t>)</w:t>
      </w:r>
      <w:r w:rsidRPr="00CB26B4">
        <w:rPr>
          <w:i/>
        </w:rPr>
        <w:t xml:space="preserve"> </w:t>
      </w:r>
      <w:r w:rsidRPr="00CB26B4">
        <w:t xml:space="preserve">были расширены категории лиц, которые имеют право подавать под личную ответственность декларацию для идентификации лиц, которые на момент </w:t>
      </w:r>
      <w:r w:rsidRPr="00CB26B4">
        <w:lastRenderedPageBreak/>
        <w:t>обращения не были идентифицированы или их предыдущая идентификация не может быть подтверждена (не имеют документов, удостоверяющих личность и родственников</w:t>
      </w:r>
      <w:r w:rsidRPr="00CB26B4">
        <w:rPr>
          <w:i/>
        </w:rPr>
        <w:t xml:space="preserve"> </w:t>
      </w:r>
      <w:r w:rsidRPr="00CB26B4">
        <w:t>I</w:t>
      </w:r>
      <w:r w:rsidRPr="00423C2F">
        <w:t>–</w:t>
      </w:r>
      <w:r w:rsidRPr="00CB26B4">
        <w:t>III степени для их идентификации). Таким образом, идентификация лиц осуществляется на основании письменных деклараций под личную ответственность, поданных одновременно тремя третьими лицами, являющимися гражданами Республики Молдова, владеющими действительными удостоверяющими личность документами, которым известна личность идентифицируемого лица. Эта норма значительно упростила процесс установления личности и получения документов, удостоверяющих личность, в частности для этнического населения ромов.</w:t>
      </w:r>
    </w:p>
    <w:p w14:paraId="28BE2E26" w14:textId="77777777" w:rsidR="00936DFE" w:rsidRDefault="00936DFE" w:rsidP="00936DFE">
      <w:pPr>
        <w:pStyle w:val="SingleTxtG"/>
      </w:pPr>
      <w:r>
        <w:t>160.</w:t>
      </w:r>
      <w:r>
        <w:tab/>
      </w:r>
      <w:r w:rsidRPr="00CB26B4">
        <w:t xml:space="preserve">Службы АГУ, ответственные за выдачу удостоверяющих личность документов, на территории которых преобладающе проживают этнические ромы (Сорока, </w:t>
      </w:r>
      <w:proofErr w:type="spellStart"/>
      <w:r w:rsidRPr="00CB26B4">
        <w:t>Рышкань</w:t>
      </w:r>
      <w:proofErr w:type="spellEnd"/>
      <w:r w:rsidRPr="00CB26B4">
        <w:t xml:space="preserve">, </w:t>
      </w:r>
      <w:proofErr w:type="spellStart"/>
      <w:r w:rsidRPr="00CB26B4">
        <w:t>Орхей</w:t>
      </w:r>
      <w:proofErr w:type="spellEnd"/>
      <w:r w:rsidRPr="00CB26B4">
        <w:t xml:space="preserve">, Окница, </w:t>
      </w:r>
      <w:proofErr w:type="spellStart"/>
      <w:r w:rsidRPr="00CB26B4">
        <w:t>Отачь</w:t>
      </w:r>
      <w:proofErr w:type="spellEnd"/>
      <w:r w:rsidRPr="00CB26B4">
        <w:t>, др.), совместно с органами местного публичного управления, периодически организуют для них информационные кампании об обязательном наличии</w:t>
      </w:r>
      <w:r>
        <w:t xml:space="preserve"> </w:t>
      </w:r>
      <w:r w:rsidRPr="00CB26B4">
        <w:t>документов, удостоверяющих личность, о предоставляемых услугах и о социально-экономических преимуществах, которыми они могут пользоваться в дальнейшем.</w:t>
      </w:r>
    </w:p>
    <w:p w14:paraId="22FD1EA8" w14:textId="77777777" w:rsidR="00936DFE" w:rsidRDefault="00936DFE" w:rsidP="00936DFE">
      <w:pPr>
        <w:pStyle w:val="H4G"/>
      </w:pPr>
      <w:r>
        <w:tab/>
      </w:r>
      <w:r>
        <w:tab/>
      </w:r>
      <w:r w:rsidRPr="00CB26B4">
        <w:t>Вовлечение ромов в информационные кампании, организуемые полицией</w:t>
      </w:r>
    </w:p>
    <w:p w14:paraId="638DC502" w14:textId="77777777" w:rsidR="00936DFE" w:rsidRDefault="00936DFE" w:rsidP="00936DFE">
      <w:pPr>
        <w:pStyle w:val="SingleTxtG"/>
      </w:pPr>
      <w:r>
        <w:t>161.</w:t>
      </w:r>
      <w:r>
        <w:tab/>
      </w:r>
      <w:r w:rsidRPr="00CB26B4">
        <w:t>В течение 2019 г</w:t>
      </w:r>
      <w:r>
        <w:t>ода</w:t>
      </w:r>
      <w:r w:rsidRPr="00CB26B4">
        <w:t xml:space="preserve"> Главным инспекторатом полиции (ГИП) МВД</w:t>
      </w:r>
      <w:r w:rsidRPr="009E1889">
        <w:rPr>
          <w:sz w:val="18"/>
          <w:szCs w:val="18"/>
          <w:vertAlign w:val="superscript"/>
          <w:lang w:val="es-ES"/>
        </w:rPr>
        <w:footnoteReference w:id="39"/>
      </w:r>
      <w:r w:rsidRPr="00CB26B4">
        <w:t xml:space="preserve"> были проведены </w:t>
      </w:r>
      <w:r>
        <w:t>три</w:t>
      </w:r>
      <w:r w:rsidRPr="00CB26B4">
        <w:t xml:space="preserve"> информационные кампании относительно возможностей для поступления на</w:t>
      </w:r>
      <w:r>
        <w:t xml:space="preserve"> </w:t>
      </w:r>
      <w:r w:rsidRPr="00CB26B4">
        <w:t>службу в полицию (информационная кампания 11</w:t>
      </w:r>
      <w:r>
        <w:t xml:space="preserve"> мая </w:t>
      </w:r>
      <w:r w:rsidRPr="00CB26B4">
        <w:t>2019 г</w:t>
      </w:r>
      <w:r>
        <w:t>ода</w:t>
      </w:r>
      <w:r w:rsidRPr="00CB26B4">
        <w:t>, Ярмарка рабочих мест 30</w:t>
      </w:r>
      <w:r>
        <w:t xml:space="preserve"> мая </w:t>
      </w:r>
      <w:r w:rsidRPr="00CB26B4">
        <w:t>2019 г</w:t>
      </w:r>
      <w:r>
        <w:t>ода</w:t>
      </w:r>
      <w:r w:rsidRPr="00CB26B4">
        <w:t>, информационная кампания 27</w:t>
      </w:r>
      <w:r>
        <w:t xml:space="preserve"> ноября </w:t>
      </w:r>
      <w:r w:rsidRPr="00CB26B4">
        <w:t>2019</w:t>
      </w:r>
      <w:r>
        <w:t> </w:t>
      </w:r>
      <w:r w:rsidRPr="00CB26B4">
        <w:t>г</w:t>
      </w:r>
      <w:r>
        <w:t>ода</w:t>
      </w:r>
      <w:r w:rsidRPr="00CB26B4">
        <w:t>).</w:t>
      </w:r>
    </w:p>
    <w:p w14:paraId="50CBBD7C" w14:textId="77777777" w:rsidR="00936DFE" w:rsidRDefault="00936DFE" w:rsidP="00936DFE">
      <w:pPr>
        <w:pStyle w:val="SingleTxtG"/>
      </w:pPr>
      <w:r>
        <w:t>162.</w:t>
      </w:r>
      <w:r>
        <w:tab/>
      </w:r>
      <w:r w:rsidRPr="00CB26B4">
        <w:t>В 2019 г</w:t>
      </w:r>
      <w:r>
        <w:t>оду</w:t>
      </w:r>
      <w:r w:rsidRPr="00CB26B4">
        <w:t xml:space="preserve"> сотрудники территориальных подразделений ГИП организовали 582 информационных мероприятия, в которых приняли участие 6104 человека, в</w:t>
      </w:r>
      <w:r>
        <w:t> </w:t>
      </w:r>
      <w:r w:rsidRPr="00CB26B4">
        <w:t>рамках которых были рассмотрены актуальные темы, учитывающие территориальную специфику (необходимость включения детей в систему образования, профилактика правонарушений, личная защита и материальные ценности), а также условия призыва и трудоустройства в полиции.</w:t>
      </w:r>
    </w:p>
    <w:p w14:paraId="33311D22" w14:textId="77777777" w:rsidR="00936DFE" w:rsidRDefault="00936DFE" w:rsidP="00936DFE">
      <w:pPr>
        <w:pStyle w:val="SingleTxtG"/>
      </w:pPr>
      <w:r>
        <w:t>163.</w:t>
      </w:r>
      <w:r>
        <w:tab/>
      </w:r>
      <w:r w:rsidRPr="00CB26B4">
        <w:t>В целях сокращения виктимизации граждан, принадлежащих к этническим ромам, и снижения риска совершения ими преступлений и других антиобщественных действий, было организовано 105 мероприятий по повышению осведомленности в</w:t>
      </w:r>
      <w:r>
        <w:t> </w:t>
      </w:r>
      <w:r w:rsidRPr="00CB26B4">
        <w:t>области профилактики и борьбы с преступностью, личной защиты и имущества, а</w:t>
      </w:r>
      <w:r>
        <w:t> </w:t>
      </w:r>
      <w:r w:rsidRPr="00CB26B4">
        <w:t>также безопасности в сообществе, в ходе которых были информированы 1577</w:t>
      </w:r>
      <w:r>
        <w:t> </w:t>
      </w:r>
      <w:r w:rsidRPr="00CB26B4">
        <w:t>человек из указанной целевой группы и распространено 1582 информационных материала.</w:t>
      </w:r>
    </w:p>
    <w:p w14:paraId="7E376815" w14:textId="77777777" w:rsidR="00936DFE" w:rsidRDefault="00936DFE" w:rsidP="00936DFE">
      <w:pPr>
        <w:pStyle w:val="SingleTxtG"/>
      </w:pPr>
      <w:r>
        <w:t>164.</w:t>
      </w:r>
      <w:r>
        <w:tab/>
      </w:r>
      <w:r w:rsidRPr="00CB26B4">
        <w:t>В целях решения проблем, связанных с вовлечением в систему школьного образования и предотвращения отсева детей, были проведены 38 встреч с родителями по вопросу о необходимости включения детей в систему образования, в которых приняли участие 413 граждан из числа этнических ромов.</w:t>
      </w:r>
    </w:p>
    <w:p w14:paraId="2EA0D974" w14:textId="77777777" w:rsidR="00936DFE" w:rsidRDefault="00936DFE" w:rsidP="00936DFE">
      <w:pPr>
        <w:pStyle w:val="SingleTxtG"/>
      </w:pPr>
      <w:r>
        <w:t>165.</w:t>
      </w:r>
      <w:r>
        <w:tab/>
      </w:r>
      <w:r w:rsidRPr="00CB26B4">
        <w:t>Для привлечения внимания представителей</w:t>
      </w:r>
      <w:r>
        <w:t xml:space="preserve"> </w:t>
      </w:r>
      <w:r w:rsidRPr="00CB26B4">
        <w:t>общин ромов к деятельности полиции, а также их вовлечения в решение проблем, с которыми сталкиваются сообщества ромов, были проведены 81 встреча, в которых приняли участие 1037</w:t>
      </w:r>
      <w:r>
        <w:t> </w:t>
      </w:r>
      <w:r w:rsidRPr="00CB26B4">
        <w:t>граждан-ромов. Участники</w:t>
      </w:r>
      <w:r>
        <w:t xml:space="preserve"> </w:t>
      </w:r>
      <w:r w:rsidRPr="00CB26B4">
        <w:t>встреч</w:t>
      </w:r>
      <w:r>
        <w:t xml:space="preserve"> </w:t>
      </w:r>
      <w:r w:rsidRPr="00CB26B4">
        <w:t>были проинформированы о возможностях их вовлечения в организацию и активное участие в кампаниях и проектах, инициированных или поддерживаемых полицией, таких как: соседский надзор, заботливые бабушки и дедушки, аллея безопасности, заботливые внуки, кофе с полицейским, др.</w:t>
      </w:r>
      <w:r>
        <w:t xml:space="preserve"> </w:t>
      </w:r>
    </w:p>
    <w:p w14:paraId="6BC2F94D" w14:textId="77777777" w:rsidR="00936DFE" w:rsidRDefault="00936DFE" w:rsidP="00936DFE">
      <w:pPr>
        <w:pStyle w:val="SingleTxtG"/>
      </w:pPr>
      <w:r>
        <w:lastRenderedPageBreak/>
        <w:t>166.</w:t>
      </w:r>
      <w:r>
        <w:tab/>
      </w:r>
      <w:r w:rsidRPr="00CB26B4">
        <w:t>Территориальными подразделениями ГИП были заключены 17</w:t>
      </w:r>
      <w:r>
        <w:t> </w:t>
      </w:r>
      <w:r w:rsidRPr="00CB26B4">
        <w:t>соглашений о</w:t>
      </w:r>
      <w:r>
        <w:t> </w:t>
      </w:r>
      <w:r w:rsidRPr="00CB26B4">
        <w:t>партнерстве и сотрудничестве с общинными посредниками для общин ромов.</w:t>
      </w:r>
    </w:p>
    <w:p w14:paraId="31E2E7B9" w14:textId="77777777" w:rsidR="00936DFE" w:rsidRDefault="00936DFE" w:rsidP="00936DFE">
      <w:pPr>
        <w:pStyle w:val="H1G"/>
      </w:pPr>
      <w:r>
        <w:tab/>
      </w:r>
      <w:r>
        <w:tab/>
      </w:r>
      <w:r w:rsidRPr="00CB26B4">
        <w:t>В контексте ст</w:t>
      </w:r>
      <w:r>
        <w:t>атей</w:t>
      </w:r>
      <w:r w:rsidRPr="00CB26B4">
        <w:t xml:space="preserve"> 6</w:t>
      </w:r>
      <w:r>
        <w:t xml:space="preserve"> и</w:t>
      </w:r>
      <w:r w:rsidRPr="00CB26B4">
        <w:t xml:space="preserve"> 7 Конвенции</w:t>
      </w:r>
    </w:p>
    <w:p w14:paraId="68E07BA5" w14:textId="77777777" w:rsidR="00936DFE" w:rsidRPr="00CB26B4" w:rsidRDefault="00936DFE" w:rsidP="00936DFE">
      <w:pPr>
        <w:pStyle w:val="H1G"/>
      </w:pPr>
      <w:r>
        <w:tab/>
      </w:r>
      <w:r>
        <w:tab/>
        <w:t>Информация о последующей деятельности в связи с пунктами 14 и 15 з</w:t>
      </w:r>
      <w:r w:rsidRPr="00CB26B4">
        <w:t>аключительны</w:t>
      </w:r>
      <w:r>
        <w:t>х</w:t>
      </w:r>
      <w:r w:rsidRPr="00CB26B4">
        <w:t xml:space="preserve"> замечани</w:t>
      </w:r>
      <w:r>
        <w:t xml:space="preserve">й </w:t>
      </w:r>
    </w:p>
    <w:p w14:paraId="06F4682C" w14:textId="77777777" w:rsidR="00936DFE" w:rsidRDefault="00936DFE" w:rsidP="00936DFE">
      <w:pPr>
        <w:pStyle w:val="H23G"/>
      </w:pPr>
      <w:r>
        <w:tab/>
      </w:r>
      <w:r>
        <w:tab/>
      </w:r>
      <w:r w:rsidRPr="00CB26B4">
        <w:t>Случаи расовой дискриминации</w:t>
      </w:r>
    </w:p>
    <w:p w14:paraId="694D23CB" w14:textId="77777777" w:rsidR="00936DFE" w:rsidRDefault="00936DFE" w:rsidP="00936DFE">
      <w:pPr>
        <w:pStyle w:val="SingleTxtG"/>
      </w:pPr>
      <w:r>
        <w:t>167.</w:t>
      </w:r>
      <w:r>
        <w:tab/>
      </w:r>
      <w:r w:rsidRPr="00CB26B4">
        <w:t>Количество жалоб, поданных в Совет по предупреждению и ликвидации дискриминации и обеспечению равенства (Совет/СПЛДОР) в отношении фактов дискриминации, увеличивается (2017 г</w:t>
      </w:r>
      <w:r>
        <w:t>од</w:t>
      </w:r>
      <w:r w:rsidRPr="00CB26B4">
        <w:t xml:space="preserve"> </w:t>
      </w:r>
      <w:r>
        <w:t>—</w:t>
      </w:r>
      <w:r w:rsidRPr="00CB26B4">
        <w:t xml:space="preserve"> 60, 2018 г</w:t>
      </w:r>
      <w:r>
        <w:t>од —</w:t>
      </w:r>
      <w:r w:rsidRPr="00CB26B4">
        <w:t xml:space="preserve"> 248). Кроме того, результаты исследования по оценке отношения</w:t>
      </w:r>
      <w:r>
        <w:t xml:space="preserve"> </w:t>
      </w:r>
      <w:r w:rsidRPr="00CB26B4">
        <w:t>населения к пожилым людям</w:t>
      </w:r>
      <w:r w:rsidRPr="009E1889">
        <w:rPr>
          <w:sz w:val="18"/>
          <w:szCs w:val="18"/>
          <w:vertAlign w:val="superscript"/>
          <w:lang w:val="es-ES"/>
        </w:rPr>
        <w:footnoteReference w:id="40"/>
      </w:r>
      <w:r w:rsidRPr="00CB26B4">
        <w:t xml:space="preserve"> показывают, что 35</w:t>
      </w:r>
      <w:r>
        <w:t xml:space="preserve"> процентов</w:t>
      </w:r>
      <w:r w:rsidRPr="00CB26B4">
        <w:t xml:space="preserve"> респондентов уже знают о существовании Совета. Совет/СПЛДОР установил, что в период 2017–2018 г</w:t>
      </w:r>
      <w:r>
        <w:t>одов.</w:t>
      </w:r>
      <w:r w:rsidRPr="00CB26B4">
        <w:t xml:space="preserve"> Из 158 принятых решений в 41-м была признана дискриминация по признаку расы, цвета кожи, этнического и национального происхождения, религии или убеждений. Выявленные акты дискриминации касались области доступа к общедоступным</w:t>
      </w:r>
      <w:r w:rsidRPr="009E1889">
        <w:rPr>
          <w:sz w:val="18"/>
          <w:szCs w:val="18"/>
          <w:vertAlign w:val="superscript"/>
          <w:lang w:val="es-ES"/>
        </w:rPr>
        <w:footnoteReference w:id="41"/>
      </w:r>
      <w:r w:rsidRPr="00CB26B4">
        <w:t>, услугам, равного доступа к правосудию, эффективной защиты со стороны закона, нарушения человеческого достоинства путем подстрекательства к дискриминации и преследованиям</w:t>
      </w:r>
      <w:r w:rsidRPr="00F87AED">
        <w:rPr>
          <w:sz w:val="18"/>
          <w:szCs w:val="18"/>
          <w:vertAlign w:val="superscript"/>
          <w:lang w:val="es-ES"/>
        </w:rPr>
        <w:footnoteReference w:id="42"/>
      </w:r>
      <w:r w:rsidRPr="00CB26B4">
        <w:t>, а также осуществления свободы выражения мнений и собраний</w:t>
      </w:r>
      <w:r w:rsidRPr="00F87AED">
        <w:rPr>
          <w:sz w:val="18"/>
          <w:szCs w:val="18"/>
          <w:vertAlign w:val="superscript"/>
          <w:lang w:val="es-ES"/>
        </w:rPr>
        <w:footnoteReference w:id="43"/>
      </w:r>
      <w:r w:rsidRPr="00CB26B4">
        <w:t>. В</w:t>
      </w:r>
      <w:r>
        <w:t> </w:t>
      </w:r>
      <w:r w:rsidRPr="00CB26B4">
        <w:t>двух случаях Совет обнаружил расовое профилирование, одно из которых было направлено на лицо, принадлежащее к этническим ромам. Дискриминационные случаи, мотивированные критерием языка в доступе к правосудию, были отражены в 22 решениях Совета</w:t>
      </w:r>
      <w:r>
        <w:rPr>
          <w:rStyle w:val="aa"/>
        </w:rPr>
        <w:footnoteReference w:id="44"/>
      </w:r>
      <w:r w:rsidRPr="00CB26B4">
        <w:t xml:space="preserve">, в </w:t>
      </w:r>
      <w:r>
        <w:t>четырех</w:t>
      </w:r>
      <w:r w:rsidRPr="00CB26B4">
        <w:t xml:space="preserve"> случаях были установлены дискриминационные </w:t>
      </w:r>
      <w:r w:rsidRPr="00CB26B4">
        <w:lastRenderedPageBreak/>
        <w:t xml:space="preserve">выступления по признаку этнической принадлежности. В принятых решениях Совет/СПЛДОР предложил рекомендации, которые обеспечивали бы справедливое удовлетворение, в некоторых случаях рекомендовалось представить публичные извинения, в других </w:t>
      </w:r>
      <w:r>
        <w:t>—</w:t>
      </w:r>
      <w:r w:rsidRPr="00CB26B4">
        <w:t xml:space="preserve"> дисциплинарное наказание лиц, совершивших дискриминационные действия. Совет также сформулировал общие рекомендации, во избежание подобных ситуаций в будущем. Совет проводит непрерывный мониторинг поведения соответствующих субъектов в целях соблюдения вынесенных рекомендаций.</w:t>
      </w:r>
    </w:p>
    <w:p w14:paraId="4F630B58" w14:textId="77777777" w:rsidR="00936DFE" w:rsidRDefault="00936DFE" w:rsidP="00936DFE">
      <w:pPr>
        <w:pStyle w:val="SingleTxtG"/>
      </w:pPr>
      <w:r>
        <w:t>168.</w:t>
      </w:r>
      <w:r>
        <w:tab/>
      </w:r>
      <w:r w:rsidRPr="00CB26B4">
        <w:t>Увеличение числа жалоб также связано с информационной кампанией, проведенной Советом в 2018</w:t>
      </w:r>
      <w:r>
        <w:t xml:space="preserve"> году</w:t>
      </w:r>
      <w:r w:rsidRPr="00F87AED">
        <w:rPr>
          <w:sz w:val="18"/>
          <w:szCs w:val="18"/>
          <w:vertAlign w:val="superscript"/>
          <w:lang w:val="es-ES"/>
        </w:rPr>
        <w:footnoteReference w:id="45"/>
      </w:r>
      <w:r w:rsidRPr="00CB26B4">
        <w:t xml:space="preserve"> в территориях, где проживают в основном лица, принадлежащие к национальным меньшинствам. В ходе кампании была предоставлена лингвистически доступная информация о Совете/СПЛДОР, а также о том, как составить и подать жалобу. </w:t>
      </w:r>
    </w:p>
    <w:p w14:paraId="25B71EB0" w14:textId="77777777" w:rsidR="00936DFE" w:rsidRDefault="00936DFE" w:rsidP="00936DFE">
      <w:pPr>
        <w:pStyle w:val="SingleTxtG"/>
      </w:pPr>
      <w:r>
        <w:t>169.</w:t>
      </w:r>
      <w:r>
        <w:tab/>
        <w:t>С</w:t>
      </w:r>
      <w:r w:rsidRPr="00CB26B4">
        <w:t xml:space="preserve">овет/СПЛДОР стал более доступным с точки зрения информации для национальных и языковых меньшинств, после перевода руководства заявителя на </w:t>
      </w:r>
      <w:r>
        <w:t>четыре</w:t>
      </w:r>
      <w:r w:rsidRPr="00CB26B4">
        <w:t xml:space="preserve"> миноритарных языка, используемых на территории страны (украинском, гагаузском, болгарском, </w:t>
      </w:r>
      <w:proofErr w:type="spellStart"/>
      <w:r w:rsidRPr="00CB26B4">
        <w:t>романи</w:t>
      </w:r>
      <w:proofErr w:type="spellEnd"/>
      <w:r w:rsidRPr="00CB26B4">
        <w:t>).</w:t>
      </w:r>
      <w:r>
        <w:t xml:space="preserve"> </w:t>
      </w:r>
      <w:r w:rsidRPr="00CB26B4">
        <w:t>Совет принимает к рассмотрению жалобы на языках национальных меньшинств. В то же время новый состав Совета отражает разнообразие этнических групп и гендерный баланс в молдавском обществе.</w:t>
      </w:r>
    </w:p>
    <w:p w14:paraId="7D21191B" w14:textId="77777777" w:rsidR="00936DFE" w:rsidRDefault="00936DFE" w:rsidP="00936DFE">
      <w:pPr>
        <w:pStyle w:val="SingleTxtG"/>
      </w:pPr>
      <w:r>
        <w:t>170.</w:t>
      </w:r>
      <w:r>
        <w:tab/>
      </w:r>
      <w:r w:rsidRPr="00CB26B4">
        <w:t>В соответствии</w:t>
      </w:r>
      <w:r>
        <w:t xml:space="preserve"> </w:t>
      </w:r>
      <w:r w:rsidRPr="00CB26B4">
        <w:t>с положениями ст</w:t>
      </w:r>
      <w:r>
        <w:t>атьи</w:t>
      </w:r>
      <w:r w:rsidRPr="00CB26B4">
        <w:t xml:space="preserve"> 12</w:t>
      </w:r>
      <w:r>
        <w:t>,</w:t>
      </w:r>
      <w:r w:rsidRPr="00CB26B4">
        <w:t xml:space="preserve"> абз</w:t>
      </w:r>
      <w:r>
        <w:t>ац</w:t>
      </w:r>
      <w:r w:rsidRPr="00CB26B4">
        <w:t xml:space="preserve"> 1</w:t>
      </w:r>
      <w:r>
        <w:t>,</w:t>
      </w:r>
      <w:r w:rsidRPr="00CB26B4">
        <w:t xml:space="preserve"> Закона о правах лиц, принадлежащих к национальным меньшинствам, и правовом статусе их организаций № 382/2001, лицам, принадлежащим к национальным меньшинствам, предоставляется право обращаться в публичные учреждения в устной и письменной форме на молдавском или русском языках и получать ответ на языке обращения. Однако на практике эти положения не соблюдаются. Опыт Совета по рассмотрению жалоб показывает, что право лиц, принадлежащих к национальным меньшинствам, на получение ответа на том языке, на котором они были адресованы, нарушается. Совет отмечает, что власти обосновали это нарушение, ссылаясь на нехватку сотрудников, владеющих русским языком, нехватку переводчиков и бюджетные ограничения, которые не позволяют им воспользоваться услугами перевода сторонних исполнителей. Совет придерживается мнения, что для улучшения ситуации в этом сегменте, необходим комплекс системных мер по устранению основных причин указанной проблемы, таких как планирование бюджетных ассигнований непосредственно для контрактных услуг по переводу, прием на работу персонала из рядов национальных меньшинств.</w:t>
      </w:r>
    </w:p>
    <w:p w14:paraId="79CD1279" w14:textId="77777777" w:rsidR="00936DFE" w:rsidRDefault="00936DFE" w:rsidP="00936DFE">
      <w:pPr>
        <w:pStyle w:val="SingleTxtG"/>
      </w:pPr>
      <w:r>
        <w:t>171.</w:t>
      </w:r>
      <w:r>
        <w:tab/>
      </w:r>
      <w:r w:rsidRPr="00CB26B4">
        <w:t>Еще одна проблема, выявленная Советом/СПЛДОР из практики рассмотрения жалоб, относится к невозможности использования лицами, принадлежащими к национальным меньшинствам, русского языка в отношениях с судебными инстанциями, языка, который в Республике Молдова имеет статус языка межнационального общения</w:t>
      </w:r>
      <w:r w:rsidRPr="00C24464">
        <w:rPr>
          <w:sz w:val="18"/>
          <w:szCs w:val="18"/>
          <w:vertAlign w:val="superscript"/>
          <w:lang w:val="es-ES"/>
        </w:rPr>
        <w:footnoteReference w:id="46"/>
      </w:r>
      <w:r w:rsidRPr="00CB26B4">
        <w:t>. Несмотря на предпринятые усилия и вынесенные решения</w:t>
      </w:r>
      <w:r>
        <w:t xml:space="preserve"> </w:t>
      </w:r>
      <w:r w:rsidRPr="00CB26B4">
        <w:t xml:space="preserve">в период 2014–2019 </w:t>
      </w:r>
      <w:r>
        <w:t>годов</w:t>
      </w:r>
      <w:r w:rsidRPr="00CB26B4">
        <w:t>,</w:t>
      </w:r>
      <w:r>
        <w:t xml:space="preserve"> </w:t>
      </w:r>
      <w:r w:rsidRPr="00CB26B4">
        <w:t>Совет с сожалением отмечает, что проблема дискриминации по признаку языка при доступе к правосудию сохраняется и становится все более острой. Казуистика Совета показывает, что исковые заявления, составленные на русском языке, возвращаются без рассмотрения только на том основании, что они не сопровождаются переводом на государственный язык. Совет/СПЛДОР придерживается мнения, что для улучшения ситуации необходимо действовать, как на законодательном уровне (дополнение Гражданского процессуального кодекса, прямо указав, что русский язык не является иностранным языком в Республике Молдова, и что заявление, поданное на русском языке, не</w:t>
      </w:r>
      <w:r>
        <w:t> </w:t>
      </w:r>
      <w:r w:rsidRPr="00CB26B4">
        <w:t xml:space="preserve">является основанием для возвращения заявления), так и на административном </w:t>
      </w:r>
      <w:r w:rsidRPr="00CB26B4">
        <w:lastRenderedPageBreak/>
        <w:t>уровне (наделение судебных инстанций единицами переводчиков, включая обеспечение адекватного уровня их заработной платы).</w:t>
      </w:r>
    </w:p>
    <w:p w14:paraId="4B4A9AED" w14:textId="77777777" w:rsidR="00936DFE" w:rsidRDefault="00936DFE" w:rsidP="00936DFE">
      <w:pPr>
        <w:pStyle w:val="SingleTxtG"/>
      </w:pPr>
      <w:r>
        <w:t>172.</w:t>
      </w:r>
      <w:r>
        <w:tab/>
      </w:r>
      <w:r w:rsidRPr="00CB26B4">
        <w:t>Продолжают беспокоить публичные выступления, подстрекающие к дискриминации. Количество подобных жалоб возрастает, в частности, в контексте избирательных процессов. Вместе с тем предрассудки в отношении определенных групп меньшинств в Республике Молдова сохраняются и проявляются в подстрекательских выступлениях и других участников (адвокатов, представителей СМИ, лидеров общественного мнения или представителей церкви).</w:t>
      </w:r>
      <w:r>
        <w:t xml:space="preserve"> </w:t>
      </w:r>
      <w:r w:rsidRPr="00CB26B4">
        <w:t xml:space="preserve">В целях </w:t>
      </w:r>
      <w:proofErr w:type="spellStart"/>
      <w:r w:rsidRPr="00CB26B4">
        <w:t>проактивной</w:t>
      </w:r>
      <w:proofErr w:type="spellEnd"/>
      <w:r w:rsidRPr="00CB26B4">
        <w:t xml:space="preserve"> борьбы с этим злом Совет рекомендует принятие, как можно скорее, законодательного пакета о правонарушениях, основанных на предубеждениях, презрении или ненависти.</w:t>
      </w:r>
    </w:p>
    <w:p w14:paraId="08265064" w14:textId="77777777" w:rsidR="00936DFE" w:rsidRDefault="00936DFE" w:rsidP="00936DFE">
      <w:pPr>
        <w:pStyle w:val="SingleTxtG"/>
      </w:pPr>
      <w:r>
        <w:t>173.</w:t>
      </w:r>
      <w:r>
        <w:tab/>
      </w:r>
      <w:r w:rsidRPr="00CB26B4">
        <w:t>Еще один пример с расистским значением, установленный Советом/СПЛДОР в</w:t>
      </w:r>
      <w:r>
        <w:t> </w:t>
      </w:r>
      <w:r w:rsidRPr="00CB26B4">
        <w:t>процессе</w:t>
      </w:r>
      <w:r>
        <w:t xml:space="preserve"> </w:t>
      </w:r>
      <w:r w:rsidRPr="00CB26B4">
        <w:t>рассмотрения жалоб, относится к дискриминационной практике сотрудников полиции в ходе расследования, которая заключается в использовании этнической принадлежности лица для установления личности преступника без объективного и разумного обоснования. Совет считает, что для противодействия такому неправомерному поведению со стороны полицейских, расовое профилирование должно быть запрещено на законодательном уровне, и одновременно должны быть организованы учебные курсы для изучения этого аспекта. Профессиональная подготовка сотрудников правоохранительных и судебных органов по вопросам недискриминации и равенства должна продолжаться. В противном случае усилия Совета/СПЛДОР по борьбе и санкционированию за дискриминационное поведение сводятся на нет в условиях, когда судьи отменяют решения этого независимого органа, не понимая сути и применимости принципа недискриминации.</w:t>
      </w:r>
    </w:p>
    <w:p w14:paraId="40E6BB15" w14:textId="77777777" w:rsidR="00936DFE" w:rsidRDefault="00936DFE" w:rsidP="00936DFE">
      <w:pPr>
        <w:pStyle w:val="SingleTxtG"/>
        <w:rPr>
          <w:b/>
        </w:rPr>
      </w:pPr>
      <w:r>
        <w:t>174.</w:t>
      </w:r>
      <w:r>
        <w:tab/>
      </w:r>
      <w:r w:rsidRPr="00CB26B4">
        <w:t>Совет/СПЛДОР подчеркивает безотлагательную необходимость внесения поправок в законодательство в целях укрепления нормативно-правовой базы, регулирующей деятельность и полномочия Совета</w:t>
      </w:r>
      <w:r>
        <w:t>/</w:t>
      </w:r>
      <w:r w:rsidRPr="00CB26B4">
        <w:t>СПЛДОР. Для обеспечения надлежащего функционирования, необходимо исключить правовую законодательную двусмысленность в процедуре рассмотрения жалоб, в частности, относительно возможности продления установленного законом срока рассмотрения жалоб в случаях высокой сложности, назначения функциональных полномочий для проведения визитов мониторинга и расследования, а также полномочия по прямому применению санкций за правонарушения по установленным дискриминационным случаям.</w:t>
      </w:r>
    </w:p>
    <w:p w14:paraId="6EA3FBA7" w14:textId="77777777" w:rsidR="00936DFE" w:rsidRPr="00CB26B4" w:rsidRDefault="00936DFE" w:rsidP="00936DFE">
      <w:pPr>
        <w:pStyle w:val="SingleTxtG"/>
      </w:pPr>
      <w:r>
        <w:t>175.</w:t>
      </w:r>
      <w:r>
        <w:tab/>
      </w:r>
      <w:r w:rsidRPr="00CB26B4">
        <w:t>По мнению Совета/СПЛДОР, вызовы, с которыми сталкивается этот коллегиальный орган, действующий в условиях беспристрастности и независимости от государственных органов, остались нерешенными при выполнении его мандата. Совет по-прежнему испытывает трудности в достижении поставленных целей, что обусловлено нехваткой персонала, а также его значительной текучестью. Принимая во внимание широкий спектр функций и полномочий, а также мероприятий, утвержденное количество единиц персонала является недостаточным для обеспечения эффективности деятельности, соответственно есть необходимость его увеличения. Оплата труда сотрудников административного аппарата ниже, чем у других государственных служащих министерств, финансовая независимость Совета/СПЛДОР не обеспечена.</w:t>
      </w:r>
    </w:p>
    <w:p w14:paraId="23FA2C82" w14:textId="77777777" w:rsidR="00936DFE" w:rsidRPr="00CB26B4" w:rsidRDefault="00936DFE" w:rsidP="00936DFE">
      <w:pPr>
        <w:pStyle w:val="H1G"/>
      </w:pPr>
      <w:r>
        <w:tab/>
      </w:r>
      <w:r>
        <w:tab/>
      </w:r>
      <w:r w:rsidRPr="00CB26B4">
        <w:t>В контексте ст</w:t>
      </w:r>
      <w:r>
        <w:t>атьи</w:t>
      </w:r>
      <w:r w:rsidRPr="00CB26B4">
        <w:t xml:space="preserve"> 7 Конвенции</w:t>
      </w:r>
    </w:p>
    <w:p w14:paraId="4F8A2E00" w14:textId="77777777" w:rsidR="00936DFE" w:rsidRDefault="00936DFE" w:rsidP="00936DFE">
      <w:pPr>
        <w:pStyle w:val="H1G"/>
      </w:pPr>
      <w:r>
        <w:tab/>
      </w:r>
      <w:r>
        <w:tab/>
        <w:t>Информация о последующей деятельности в связи с пунктами 22 и 2</w:t>
      </w:r>
      <w:r w:rsidRPr="00CB26B4">
        <w:t>3</w:t>
      </w:r>
      <w:r>
        <w:t xml:space="preserve"> з</w:t>
      </w:r>
      <w:r w:rsidRPr="00CB26B4">
        <w:t>аключительны</w:t>
      </w:r>
      <w:r>
        <w:t>х</w:t>
      </w:r>
      <w:r w:rsidRPr="00CB26B4">
        <w:t xml:space="preserve"> замечани</w:t>
      </w:r>
      <w:r>
        <w:t xml:space="preserve">й </w:t>
      </w:r>
    </w:p>
    <w:p w14:paraId="03138760" w14:textId="77777777" w:rsidR="00936DFE" w:rsidRDefault="00936DFE" w:rsidP="00936DFE">
      <w:pPr>
        <w:pStyle w:val="H23G"/>
      </w:pPr>
      <w:r>
        <w:tab/>
      </w:r>
      <w:r>
        <w:tab/>
      </w:r>
      <w:r w:rsidRPr="00CB26B4">
        <w:t>Положение неграждан</w:t>
      </w:r>
    </w:p>
    <w:p w14:paraId="1F3D2B65" w14:textId="77777777" w:rsidR="00936DFE" w:rsidRDefault="00936DFE" w:rsidP="00936DFE">
      <w:pPr>
        <w:pStyle w:val="H4G"/>
      </w:pPr>
      <w:r>
        <w:tab/>
      </w:r>
      <w:r>
        <w:tab/>
      </w:r>
      <w:r w:rsidRPr="00CB26B4">
        <w:t>Статистические данные</w:t>
      </w:r>
    </w:p>
    <w:p w14:paraId="08B67A0B" w14:textId="77777777" w:rsidR="00936DFE" w:rsidRDefault="00936DFE" w:rsidP="00936DFE">
      <w:pPr>
        <w:pStyle w:val="SingleTxtG"/>
      </w:pPr>
      <w:r>
        <w:t>176.</w:t>
      </w:r>
      <w:r>
        <w:tab/>
      </w:r>
      <w:r w:rsidRPr="00CB26B4">
        <w:t>В 2018 г</w:t>
      </w:r>
      <w:r>
        <w:t xml:space="preserve">оду </w:t>
      </w:r>
      <w:r w:rsidRPr="00CB26B4">
        <w:t xml:space="preserve">в соответствии с положениями национальной нормативной базы были задокументированы: с видом на жительство </w:t>
      </w:r>
      <w:r>
        <w:t>—</w:t>
      </w:r>
      <w:r w:rsidRPr="00CB26B4">
        <w:t xml:space="preserve"> 9367 иностранцев, из которых </w:t>
      </w:r>
      <w:r w:rsidRPr="00CB26B4">
        <w:lastRenderedPageBreak/>
        <w:t>с</w:t>
      </w:r>
      <w:r>
        <w:t> </w:t>
      </w:r>
      <w:r w:rsidRPr="00CB26B4">
        <w:t xml:space="preserve">правом на временное пребывание </w:t>
      </w:r>
      <w:r>
        <w:t>—</w:t>
      </w:r>
      <w:r w:rsidRPr="00CB26B4">
        <w:t xml:space="preserve"> 8136 человек; с правом на постоянное</w:t>
      </w:r>
      <w:r>
        <w:t> </w:t>
      </w:r>
      <w:r w:rsidRPr="00CB26B4">
        <w:t xml:space="preserve">пребывание </w:t>
      </w:r>
      <w:r>
        <w:t>—</w:t>
      </w:r>
      <w:r w:rsidRPr="00CB26B4">
        <w:t xml:space="preserve"> 1228 человек; с правом на пребывание для лиц без гражданства </w:t>
      </w:r>
      <w:r>
        <w:t>—</w:t>
      </w:r>
      <w:r w:rsidRPr="00CB26B4">
        <w:t xml:space="preserve"> </w:t>
      </w:r>
      <w:r>
        <w:t>три</w:t>
      </w:r>
      <w:r w:rsidRPr="00CB26B4">
        <w:t xml:space="preserve"> человека.</w:t>
      </w:r>
      <w:r>
        <w:t xml:space="preserve"> </w:t>
      </w:r>
      <w:r w:rsidRPr="00CB26B4">
        <w:t>По сравнению с 2017 г</w:t>
      </w:r>
      <w:r>
        <w:t>одом</w:t>
      </w:r>
      <w:r w:rsidRPr="00CB26B4">
        <w:t xml:space="preserve"> общее количество зарегистрированных иностранцев</w:t>
      </w:r>
      <w:r>
        <w:t xml:space="preserve"> </w:t>
      </w:r>
      <w:r w:rsidRPr="00CB26B4">
        <w:t>составило – 18</w:t>
      </w:r>
      <w:r>
        <w:t> </w:t>
      </w:r>
      <w:r w:rsidRPr="00CB26B4">
        <w:t xml:space="preserve">723 человека, из которых </w:t>
      </w:r>
      <w:r>
        <w:t>—</w:t>
      </w:r>
      <w:r w:rsidRPr="00CB26B4">
        <w:t xml:space="preserve"> 10</w:t>
      </w:r>
      <w:r>
        <w:t> </w:t>
      </w:r>
      <w:r w:rsidRPr="00CB26B4">
        <w:t>198</w:t>
      </w:r>
      <w:r>
        <w:t> </w:t>
      </w:r>
      <w:r w:rsidRPr="00CB26B4">
        <w:t xml:space="preserve">человек с правом на временное пребывание и 8525 человек </w:t>
      </w:r>
      <w:r>
        <w:t>—</w:t>
      </w:r>
      <w:r w:rsidRPr="00CB26B4">
        <w:t xml:space="preserve"> с правом на постоянное пребывание.</w:t>
      </w:r>
    </w:p>
    <w:p w14:paraId="5B74B2E3" w14:textId="77777777" w:rsidR="00936DFE" w:rsidRDefault="00936DFE" w:rsidP="00936DFE">
      <w:pPr>
        <w:pStyle w:val="SingleTxtG"/>
        <w:rPr>
          <w:b/>
        </w:rPr>
      </w:pPr>
      <w:r>
        <w:t>177.</w:t>
      </w:r>
      <w:r>
        <w:tab/>
      </w:r>
      <w:r w:rsidRPr="00CB26B4">
        <w:t>По состоянию на 31</w:t>
      </w:r>
      <w:r>
        <w:t xml:space="preserve"> декабря </w:t>
      </w:r>
      <w:r w:rsidRPr="00CB26B4">
        <w:t>2019 г</w:t>
      </w:r>
      <w:r>
        <w:t xml:space="preserve">ода </w:t>
      </w:r>
      <w:r w:rsidRPr="00CB26B4">
        <w:t xml:space="preserve">на территории Республики Молдова были зарегистрированы 9739 иностранцев с действующими документами, удостоверяющими личность, из которых </w:t>
      </w:r>
      <w:r>
        <w:t>—</w:t>
      </w:r>
      <w:r w:rsidRPr="00CB26B4">
        <w:t xml:space="preserve"> 8868 иностранных граждан имеют право на временное пребывание, 868 иностранцев имеют право на постоянное пребывание и </w:t>
      </w:r>
      <w:r>
        <w:t>три</w:t>
      </w:r>
      <w:r w:rsidRPr="00CB26B4">
        <w:t xml:space="preserve"> человека с правом на пребывание для лиц без гражданства.</w:t>
      </w:r>
    </w:p>
    <w:p w14:paraId="26FFA5D4" w14:textId="77777777" w:rsidR="00936DFE" w:rsidRDefault="00936DFE" w:rsidP="00936DFE">
      <w:pPr>
        <w:pStyle w:val="SingleTxtG"/>
      </w:pPr>
      <w:r>
        <w:t>178.</w:t>
      </w:r>
      <w:r>
        <w:tab/>
      </w:r>
      <w:r w:rsidRPr="00CB26B4">
        <w:t>Согласно данным Бюро по миграции и убежищу (БМУ) по состоянию на 31</w:t>
      </w:r>
      <w:r>
        <w:t xml:space="preserve"> декабря </w:t>
      </w:r>
      <w:r w:rsidRPr="00CB26B4">
        <w:t>2019 г</w:t>
      </w:r>
      <w:r>
        <w:t>ода</w:t>
      </w:r>
      <w:r w:rsidRPr="00CB26B4">
        <w:t xml:space="preserve"> на территории Республики Молдова были зарегистрированы с действующими документами, удостоверяющими личность </w:t>
      </w:r>
      <w:r>
        <w:t xml:space="preserve">— </w:t>
      </w:r>
      <w:r w:rsidRPr="00CB26B4">
        <w:rPr>
          <w:bCs/>
        </w:rPr>
        <w:t>18</w:t>
      </w:r>
      <w:r>
        <w:rPr>
          <w:bCs/>
        </w:rPr>
        <w:t> </w:t>
      </w:r>
      <w:r w:rsidRPr="00CB26B4">
        <w:rPr>
          <w:bCs/>
        </w:rPr>
        <w:t>972</w:t>
      </w:r>
      <w:r>
        <w:rPr>
          <w:bCs/>
        </w:rPr>
        <w:t xml:space="preserve"> </w:t>
      </w:r>
      <w:r w:rsidRPr="00CB26B4">
        <w:t>иностранца, из</w:t>
      </w:r>
      <w:r>
        <w:t> </w:t>
      </w:r>
      <w:r w:rsidRPr="00CB26B4">
        <w:t>которых</w:t>
      </w:r>
      <w:r>
        <w:t>:</w:t>
      </w:r>
      <w:r w:rsidRPr="00CB26B4">
        <w:t xml:space="preserve"> с правом на постоянное пребывание </w:t>
      </w:r>
      <w:r>
        <w:t xml:space="preserve">— </w:t>
      </w:r>
      <w:r w:rsidRPr="00CB26B4">
        <w:rPr>
          <w:bCs/>
        </w:rPr>
        <w:t>6482 человека, с правом на</w:t>
      </w:r>
      <w:r>
        <w:rPr>
          <w:bCs/>
        </w:rPr>
        <w:t> </w:t>
      </w:r>
      <w:r w:rsidRPr="00CB26B4">
        <w:rPr>
          <w:bCs/>
        </w:rPr>
        <w:t>временное пребывание</w:t>
      </w:r>
      <w:r w:rsidRPr="00CB26B4">
        <w:t xml:space="preserve"> </w:t>
      </w:r>
      <w:r>
        <w:t xml:space="preserve">— </w:t>
      </w:r>
      <w:r w:rsidRPr="00CB26B4">
        <w:rPr>
          <w:bCs/>
        </w:rPr>
        <w:t>12</w:t>
      </w:r>
      <w:r>
        <w:rPr>
          <w:bCs/>
        </w:rPr>
        <w:t xml:space="preserve"> </w:t>
      </w:r>
      <w:r w:rsidRPr="00CB26B4">
        <w:rPr>
          <w:bCs/>
        </w:rPr>
        <w:t>490 человек, а в 2018 г</w:t>
      </w:r>
      <w:r>
        <w:rPr>
          <w:bCs/>
        </w:rPr>
        <w:t>оду</w:t>
      </w:r>
      <w:r w:rsidRPr="00CB26B4">
        <w:rPr>
          <w:bCs/>
        </w:rPr>
        <w:t xml:space="preserve"> были зарегистрированы 18</w:t>
      </w:r>
      <w:r>
        <w:rPr>
          <w:bCs/>
        </w:rPr>
        <w:t> </w:t>
      </w:r>
      <w:r w:rsidRPr="00CB26B4">
        <w:rPr>
          <w:bCs/>
        </w:rPr>
        <w:t>982</w:t>
      </w:r>
      <w:r>
        <w:rPr>
          <w:bCs/>
        </w:rPr>
        <w:t> </w:t>
      </w:r>
      <w:r w:rsidRPr="00CB26B4">
        <w:rPr>
          <w:bCs/>
        </w:rPr>
        <w:t>иностранц</w:t>
      </w:r>
      <w:r>
        <w:rPr>
          <w:bCs/>
        </w:rPr>
        <w:t>а</w:t>
      </w:r>
      <w:r w:rsidRPr="00CB26B4">
        <w:rPr>
          <w:bCs/>
        </w:rPr>
        <w:t xml:space="preserve">, в том числе </w:t>
      </w:r>
      <w:r>
        <w:rPr>
          <w:bCs/>
        </w:rPr>
        <w:t>—</w:t>
      </w:r>
      <w:r w:rsidRPr="00CB26B4">
        <w:rPr>
          <w:bCs/>
        </w:rPr>
        <w:t xml:space="preserve"> 7986 человек с правом на постоянное пребывание и 10996</w:t>
      </w:r>
      <w:r>
        <w:rPr>
          <w:bCs/>
        </w:rPr>
        <w:t xml:space="preserve"> </w:t>
      </w:r>
      <w:r w:rsidRPr="00CB26B4">
        <w:rPr>
          <w:bCs/>
        </w:rPr>
        <w:t>человек с правом на временное пребывание. Эти данные отражают небольшое увеличение числа иностранцев, зарегистрированных в 2019 г</w:t>
      </w:r>
      <w:r>
        <w:rPr>
          <w:bCs/>
        </w:rPr>
        <w:t>оду</w:t>
      </w:r>
      <w:r w:rsidRPr="00CB26B4">
        <w:rPr>
          <w:bCs/>
        </w:rPr>
        <w:t>, по сравнению с</w:t>
      </w:r>
      <w:r>
        <w:rPr>
          <w:bCs/>
        </w:rPr>
        <w:t> </w:t>
      </w:r>
      <w:r w:rsidRPr="00CB26B4">
        <w:rPr>
          <w:bCs/>
        </w:rPr>
        <w:t>предыдущими годами: в 2016 году общее количество иностранцев составило 18</w:t>
      </w:r>
      <w:r>
        <w:rPr>
          <w:bCs/>
        </w:rPr>
        <w:t> </w:t>
      </w:r>
      <w:r w:rsidRPr="00CB26B4">
        <w:rPr>
          <w:bCs/>
        </w:rPr>
        <w:t>921</w:t>
      </w:r>
      <w:r>
        <w:rPr>
          <w:bCs/>
        </w:rPr>
        <w:t> </w:t>
      </w:r>
      <w:r w:rsidRPr="00CB26B4">
        <w:rPr>
          <w:bCs/>
        </w:rPr>
        <w:t xml:space="preserve">человек (9052 </w:t>
      </w:r>
      <w:r>
        <w:rPr>
          <w:bCs/>
        </w:rPr>
        <w:t>—</w:t>
      </w:r>
      <w:r w:rsidRPr="00CB26B4">
        <w:rPr>
          <w:bCs/>
        </w:rPr>
        <w:t xml:space="preserve"> постоянно проживающие и 9869 </w:t>
      </w:r>
      <w:r>
        <w:rPr>
          <w:bCs/>
        </w:rPr>
        <w:t>—</w:t>
      </w:r>
      <w:r w:rsidRPr="00CB26B4">
        <w:rPr>
          <w:bCs/>
        </w:rPr>
        <w:t xml:space="preserve"> временно проживающие), а в 2017 г</w:t>
      </w:r>
      <w:r>
        <w:rPr>
          <w:bCs/>
        </w:rPr>
        <w:t>оду</w:t>
      </w:r>
      <w:r w:rsidRPr="00CB26B4">
        <w:rPr>
          <w:bCs/>
        </w:rPr>
        <w:t xml:space="preserve"> количество иностранцев на территория Республики Молдова, имеющих</w:t>
      </w:r>
      <w:r>
        <w:rPr>
          <w:bCs/>
        </w:rPr>
        <w:t xml:space="preserve"> </w:t>
      </w:r>
      <w:r w:rsidRPr="00CB26B4">
        <w:rPr>
          <w:bCs/>
        </w:rPr>
        <w:t>действующие документы, удостоверяющие личность, в количестве 18</w:t>
      </w:r>
      <w:r>
        <w:rPr>
          <w:bCs/>
        </w:rPr>
        <w:t xml:space="preserve"> </w:t>
      </w:r>
      <w:r w:rsidRPr="00CB26B4">
        <w:rPr>
          <w:bCs/>
        </w:rPr>
        <w:t>723 человек (с</w:t>
      </w:r>
      <w:r>
        <w:rPr>
          <w:bCs/>
        </w:rPr>
        <w:t> </w:t>
      </w:r>
      <w:r w:rsidRPr="00CB26B4">
        <w:rPr>
          <w:bCs/>
        </w:rPr>
        <w:t>правом на постоянное пребывание</w:t>
      </w:r>
      <w:r>
        <w:rPr>
          <w:bCs/>
        </w:rPr>
        <w:t xml:space="preserve"> —</w:t>
      </w:r>
      <w:r w:rsidRPr="00CB26B4">
        <w:rPr>
          <w:bCs/>
        </w:rPr>
        <w:t xml:space="preserve"> 8525 и с правом на временное пребывание </w:t>
      </w:r>
      <w:r>
        <w:rPr>
          <w:bCs/>
        </w:rPr>
        <w:t>—</w:t>
      </w:r>
      <w:r w:rsidRPr="00CB26B4">
        <w:rPr>
          <w:bCs/>
        </w:rPr>
        <w:t xml:space="preserve"> 10</w:t>
      </w:r>
      <w:r>
        <w:rPr>
          <w:bCs/>
        </w:rPr>
        <w:t xml:space="preserve"> </w:t>
      </w:r>
      <w:r w:rsidRPr="00CB26B4">
        <w:rPr>
          <w:bCs/>
        </w:rPr>
        <w:t>198).</w:t>
      </w:r>
    </w:p>
    <w:p w14:paraId="3889770E" w14:textId="77777777" w:rsidR="00936DFE" w:rsidRDefault="00936DFE" w:rsidP="00936DFE">
      <w:pPr>
        <w:pStyle w:val="SingleTxtG"/>
      </w:pPr>
      <w:r>
        <w:t>179.</w:t>
      </w:r>
      <w:r>
        <w:tab/>
      </w:r>
      <w:r w:rsidRPr="00CB26B4">
        <w:t>Иностранцы, находящиеся в Республике Молдова, пользуются теми же правами и свободами, что и граждане Республики Молдова, гарантированными Конституцией</w:t>
      </w:r>
      <w:r w:rsidRPr="00CB26B4">
        <w:rPr>
          <w:vertAlign w:val="superscript"/>
        </w:rPr>
        <w:footnoteReference w:id="47"/>
      </w:r>
      <w:r w:rsidRPr="00CB26B4">
        <w:t xml:space="preserve"> и другими законами</w:t>
      </w:r>
      <w:r w:rsidRPr="00C24464">
        <w:rPr>
          <w:sz w:val="18"/>
          <w:szCs w:val="18"/>
          <w:vertAlign w:val="superscript"/>
        </w:rPr>
        <w:footnoteReference w:id="48"/>
      </w:r>
      <w:r w:rsidRPr="00CB26B4">
        <w:t>, а также правами, предусмотренными международными договорами, одной из сторон которых является Республика Молдова, с ограничениями на определенный круг прав, в том числе:</w:t>
      </w:r>
      <w:r>
        <w:t xml:space="preserve"> </w:t>
      </w:r>
      <w:r w:rsidRPr="00CB26B4">
        <w:t>право избирать и быть избранным в законодательные, исполнительные и другие правомочные органы; участвовать во всеобщем голосовании; быть назначенным на должности или заниматься деятельностью, для которой требуется гражданство Республики Молдова; быть членом партий или других общественно-политических организаций; организовывать или посещать собрания, которые наносят ущерб государственной политике или национальной безопасности; организовывать или финансировать политические партии, другие подобные группы и быть их членами; проходить военную службу в вооруженных силах Республики Молдова; осуществлять трудовую деятельность без получения разрешения на это. Иностранные граждане обязаны соблюдать цель, для которой им было предоставлено право на въезд и, в зависимости от обстоятельств, право на пребывание на территории страны, а также покинуть территорию Республики Молдова по истечении предоставленного срока пребывания.</w:t>
      </w:r>
    </w:p>
    <w:p w14:paraId="0CA9210A" w14:textId="77777777" w:rsidR="00936DFE" w:rsidRDefault="00936DFE" w:rsidP="00936DFE">
      <w:pPr>
        <w:pStyle w:val="SingleTxtG"/>
      </w:pPr>
      <w:r>
        <w:t>180.</w:t>
      </w:r>
      <w:r>
        <w:tab/>
      </w:r>
      <w:r w:rsidRPr="00CB26B4">
        <w:t xml:space="preserve">Для наиболее полного обеспечения прав иностранцев, гарантированных Конституцией Республики Молдова, национальная правовая база в области миграции </w:t>
      </w:r>
      <w:r w:rsidRPr="00CB26B4">
        <w:lastRenderedPageBreak/>
        <w:t>и убежища постоянно модифицируется в</w:t>
      </w:r>
      <w:r>
        <w:t xml:space="preserve"> </w:t>
      </w:r>
      <w:r w:rsidRPr="00CB26B4">
        <w:t>целях совершенствования и улучшения услуг, предоставляемых иностранцам, соблюдения принципов недискриминации в процессе документирования и установления их статуса, а также облегчения их социо-культурной интеграции.</w:t>
      </w:r>
    </w:p>
    <w:p w14:paraId="4F654503" w14:textId="77777777" w:rsidR="00936DFE" w:rsidRDefault="00936DFE" w:rsidP="00936DFE">
      <w:pPr>
        <w:pStyle w:val="SingleTxtG"/>
      </w:pPr>
      <w:r>
        <w:t>181.</w:t>
      </w:r>
      <w:r>
        <w:tab/>
      </w:r>
      <w:r w:rsidRPr="00CB26B4">
        <w:t>В 2017 г</w:t>
      </w:r>
      <w:r>
        <w:t>оду</w:t>
      </w:r>
      <w:r w:rsidRPr="00CB26B4">
        <w:t xml:space="preserve"> парламент принял Закон № 23 о внесении изменения и дополнений в некоторые законодательные акты</w:t>
      </w:r>
      <w:r>
        <w:t xml:space="preserve"> </w:t>
      </w:r>
      <w:r w:rsidRPr="00CB26B4">
        <w:t>(Закон № 180-XVI от 10</w:t>
      </w:r>
      <w:r>
        <w:t xml:space="preserve"> июня </w:t>
      </w:r>
      <w:r w:rsidRPr="00CB26B4">
        <w:t>2008 г</w:t>
      </w:r>
      <w:r>
        <w:t>ода</w:t>
      </w:r>
      <w:r w:rsidRPr="00CB26B4">
        <w:t xml:space="preserve"> о трудовой миграции, Закон № 200 от 16</w:t>
      </w:r>
      <w:r>
        <w:t xml:space="preserve"> июня </w:t>
      </w:r>
      <w:r w:rsidRPr="00CB26B4">
        <w:t>2010 г</w:t>
      </w:r>
      <w:r>
        <w:t>ода</w:t>
      </w:r>
      <w:r w:rsidRPr="00CB26B4">
        <w:t xml:space="preserve"> о режиме иностранцев в Республике Молдова), цель которого привести национальную правовую базу</w:t>
      </w:r>
      <w:r>
        <w:t xml:space="preserve"> </w:t>
      </w:r>
      <w:r w:rsidRPr="00CB26B4">
        <w:t>в соответствие с обязательствами, предусмотренными в Соглашении об ассоциации между Европейским союзом и Республикой Молдова. Так, соответствующие поправки и дополнения установили упрощенные процедуры въезда и временного пребывания определенных категорий лиц на территории обеих Сторон, в целях улучшения деловой среды, развития услуг и поставщиков услуг, которые в значительной степени способствовали укреплению преференциальных торговых отношений, основанных на взаимовыгодных условиях.</w:t>
      </w:r>
    </w:p>
    <w:p w14:paraId="7B156FC2" w14:textId="77777777" w:rsidR="00936DFE" w:rsidRDefault="00936DFE" w:rsidP="00936DFE">
      <w:pPr>
        <w:pStyle w:val="SingleTxtG"/>
      </w:pPr>
      <w:r>
        <w:t>182.</w:t>
      </w:r>
      <w:r>
        <w:tab/>
      </w:r>
      <w:r w:rsidRPr="00CB26B4">
        <w:t>Посредством принятия Закона № 165/2017 о внесении изменений и дополнений в некоторые законодательные акты была изменена и упрощена процедура документирования прикомандированных иностранцев, а также были устранены некоторые барьеры в получении права на временное пребывание в целях трудовой деятельности.</w:t>
      </w:r>
    </w:p>
    <w:p w14:paraId="006D665C" w14:textId="77777777" w:rsidR="00936DFE" w:rsidRDefault="00936DFE" w:rsidP="00936DFE">
      <w:pPr>
        <w:pStyle w:val="SingleTxtG"/>
      </w:pPr>
      <w:r>
        <w:t>183.</w:t>
      </w:r>
      <w:r>
        <w:tab/>
      </w:r>
      <w:r w:rsidRPr="00CB26B4">
        <w:t xml:space="preserve">Для установления единых критериев относительно деятельности иностранцев на территории Республики Молдова, в целях привлечения иностранных инвестиций путем применения облегченных условий и оптимальных процедур для документирования категорий иностранцев, предусмотренных в Соглашении об ассоциации РМ </w:t>
      </w:r>
      <w:r>
        <w:t>—</w:t>
      </w:r>
      <w:r w:rsidRPr="00CB26B4">
        <w:t xml:space="preserve"> ЕС и УВЗСТ/DCFTA</w:t>
      </w:r>
      <w:r w:rsidRPr="00497D2B">
        <w:rPr>
          <w:sz w:val="18"/>
          <w:szCs w:val="18"/>
          <w:vertAlign w:val="superscript"/>
        </w:rPr>
        <w:footnoteReference w:id="49"/>
      </w:r>
      <w:r w:rsidRPr="00CB26B4">
        <w:t>, в 2018 г</w:t>
      </w:r>
      <w:r>
        <w:t>оду</w:t>
      </w:r>
      <w:r w:rsidRPr="00CB26B4">
        <w:t xml:space="preserve"> Парламент принял Закон № 314, который предусматривает объединение Закона о трудовой миграции, № 180-XVI от</w:t>
      </w:r>
      <w:r>
        <w:t> </w:t>
      </w:r>
      <w:r w:rsidRPr="00CB26B4">
        <w:t>10</w:t>
      </w:r>
      <w:r>
        <w:t xml:space="preserve"> июля </w:t>
      </w:r>
      <w:r w:rsidRPr="00CB26B4">
        <w:t>2008 г</w:t>
      </w:r>
      <w:r>
        <w:t>ода</w:t>
      </w:r>
      <w:r w:rsidRPr="00CB26B4">
        <w:t xml:space="preserve"> и Закона о режиме иностранцев в Республике Молдова, № 200 от</w:t>
      </w:r>
      <w:r>
        <w:t> </w:t>
      </w:r>
      <w:r w:rsidRPr="00CB26B4">
        <w:t>16</w:t>
      </w:r>
      <w:r>
        <w:t xml:space="preserve"> июля </w:t>
      </w:r>
      <w:r w:rsidRPr="00CB26B4">
        <w:t>2010 г</w:t>
      </w:r>
      <w:r>
        <w:t xml:space="preserve">ода </w:t>
      </w:r>
      <w:r w:rsidRPr="00CB26B4">
        <w:t>и устанавливает упрощенные процедуры и оптимальные условия для документирования иностранцев, которые желают работать или развивать коммерческую деятельность в Республике Молдова.</w:t>
      </w:r>
    </w:p>
    <w:p w14:paraId="7FFC74B7" w14:textId="77777777" w:rsidR="00936DFE" w:rsidRDefault="00936DFE" w:rsidP="00936DFE">
      <w:pPr>
        <w:pStyle w:val="SingleTxtG"/>
      </w:pPr>
      <w:r>
        <w:t>184.</w:t>
      </w:r>
      <w:r>
        <w:tab/>
      </w:r>
      <w:r w:rsidRPr="00CB26B4">
        <w:t>В течение 2019 г</w:t>
      </w:r>
      <w:r>
        <w:t>ода</w:t>
      </w:r>
      <w:r w:rsidRPr="00CB26B4">
        <w:t xml:space="preserve"> БМУ, действующее в подчинении МВД, осуществило ряд мер по разработке проекта постановления правительства об утверждении законопроекта о внесении изменений в некоторые законодательные акты (интеграция иностранцев). Указанный проект содержит предложения по пересмотру и</w:t>
      </w:r>
      <w:r>
        <w:t xml:space="preserve"> </w:t>
      </w:r>
      <w:r w:rsidRPr="00CB26B4">
        <w:t>приведению в соответствие Закона № 274 от 27</w:t>
      </w:r>
      <w:r>
        <w:t xml:space="preserve"> декабря </w:t>
      </w:r>
      <w:r w:rsidRPr="00CB26B4">
        <w:t>2011 г</w:t>
      </w:r>
      <w:r>
        <w:t>ода</w:t>
      </w:r>
      <w:r w:rsidRPr="00CB26B4">
        <w:t xml:space="preserve"> об интеграции иностранцев в Республике Молдова с поправками, внесенными</w:t>
      </w:r>
      <w:r>
        <w:t xml:space="preserve"> </w:t>
      </w:r>
      <w:r w:rsidRPr="00CB26B4">
        <w:t>в национальное законодательство о режиме иностранцев в Республике Молдова, Директивами ЕС и изменениями</w:t>
      </w:r>
      <w:r>
        <w:t xml:space="preserve"> </w:t>
      </w:r>
      <w:r w:rsidRPr="00CB26B4">
        <w:t>миграционной ситуации в регионе. Проект предусматривает включение новых категорий зарегистрированных иностранцев с правом пребывания на территории Республики</w:t>
      </w:r>
      <w:r>
        <w:t xml:space="preserve"> </w:t>
      </w:r>
      <w:r w:rsidRPr="00CB26B4">
        <w:t>Молдова</w:t>
      </w:r>
      <w:r>
        <w:t xml:space="preserve"> </w:t>
      </w:r>
      <w:r w:rsidRPr="00CB26B4">
        <w:t>в интеграционные процессы</w:t>
      </w:r>
      <w:r>
        <w:t xml:space="preserve"> </w:t>
      </w:r>
      <w:r w:rsidRPr="00CB26B4">
        <w:t>для их более безопасной социальной интеграции. Принимая во внимание</w:t>
      </w:r>
      <w:r>
        <w:t xml:space="preserve"> </w:t>
      </w:r>
      <w:r w:rsidRPr="00CB26B4">
        <w:t>сложный опыт государств ЕС, связанный</w:t>
      </w:r>
      <w:r>
        <w:t xml:space="preserve"> </w:t>
      </w:r>
      <w:r w:rsidRPr="00CB26B4">
        <w:t xml:space="preserve">с результатами </w:t>
      </w:r>
      <w:proofErr w:type="spellStart"/>
      <w:r w:rsidRPr="00CB26B4">
        <w:t>неинтеграции</w:t>
      </w:r>
      <w:proofErr w:type="spellEnd"/>
      <w:r w:rsidRPr="00CB26B4">
        <w:t xml:space="preserve"> иностранцев в принимающее общество, экономическими и социальными последствиями, а также для обеспечения и поддержания общественного порядка и безопасности граждан, в настоящее время осуществляется анализ и оценка политик, проводимых Республикой Молдова в данной сфере до настоящего времени. Основная цель состоит в мотивации и обеспечении более активного участия иностранцев в интеграционных мерах для эффективного использования их потенциала. </w:t>
      </w:r>
    </w:p>
    <w:p w14:paraId="13169183" w14:textId="77777777" w:rsidR="00936DFE" w:rsidRDefault="00936DFE" w:rsidP="00936DFE">
      <w:pPr>
        <w:pStyle w:val="H23G"/>
        <w:rPr>
          <w:bCs/>
        </w:rPr>
      </w:pPr>
      <w:r>
        <w:tab/>
      </w:r>
      <w:r>
        <w:tab/>
      </w:r>
      <w:r w:rsidRPr="00CB26B4">
        <w:t>Реализация Плана действий по внедрению Национальной стратегии в области миграции и убежища на 2016</w:t>
      </w:r>
      <w:r>
        <w:t>–</w:t>
      </w:r>
      <w:r w:rsidRPr="00CB26B4">
        <w:t>2020 годы</w:t>
      </w:r>
    </w:p>
    <w:p w14:paraId="63D9055C" w14:textId="77777777" w:rsidR="00936DFE" w:rsidRDefault="00936DFE" w:rsidP="00936DFE">
      <w:pPr>
        <w:pStyle w:val="SingleTxtG"/>
        <w:rPr>
          <w:bCs/>
          <w:iCs/>
        </w:rPr>
      </w:pPr>
      <w:r>
        <w:t>185.</w:t>
      </w:r>
      <w:r>
        <w:tab/>
      </w:r>
      <w:r w:rsidRPr="00CB26B4">
        <w:t>План действий по внедрению Национальной стратегии в области миграции и убежища на 2016</w:t>
      </w:r>
      <w:r>
        <w:t>–</w:t>
      </w:r>
      <w:r w:rsidRPr="00CB26B4">
        <w:t>2020 годы был утвержден ПП № 736 от 10</w:t>
      </w:r>
      <w:r>
        <w:t xml:space="preserve"> июня </w:t>
      </w:r>
      <w:r w:rsidRPr="00CB26B4">
        <w:t>2016 г</w:t>
      </w:r>
      <w:r>
        <w:t>ода</w:t>
      </w:r>
      <w:r w:rsidRPr="00CB26B4">
        <w:t xml:space="preserve"> и </w:t>
      </w:r>
      <w:r w:rsidRPr="00CB26B4">
        <w:lastRenderedPageBreak/>
        <w:t>разработан в соответствии с положениями ПП № 655 от 8</w:t>
      </w:r>
      <w:r>
        <w:t xml:space="preserve"> сентября </w:t>
      </w:r>
      <w:r w:rsidRPr="00CB26B4">
        <w:t>2011 г</w:t>
      </w:r>
      <w:r>
        <w:t>ода</w:t>
      </w:r>
      <w:r w:rsidRPr="00CB26B4">
        <w:t>,</w:t>
      </w:r>
      <w:r>
        <w:t xml:space="preserve"> </w:t>
      </w:r>
      <w:r w:rsidRPr="00CB26B4">
        <w:t xml:space="preserve">а также </w:t>
      </w:r>
      <w:r w:rsidRPr="00CB26B4">
        <w:rPr>
          <w:bCs/>
        </w:rPr>
        <w:t>в контексте реализации п</w:t>
      </w:r>
      <w:r>
        <w:rPr>
          <w:bCs/>
        </w:rPr>
        <w:t>ункта</w:t>
      </w:r>
      <w:r w:rsidRPr="00CB26B4">
        <w:rPr>
          <w:bCs/>
        </w:rPr>
        <w:t xml:space="preserve"> 3 ст</w:t>
      </w:r>
      <w:r>
        <w:rPr>
          <w:bCs/>
        </w:rPr>
        <w:t xml:space="preserve">атьи </w:t>
      </w:r>
      <w:r w:rsidRPr="00CB26B4">
        <w:t xml:space="preserve">14 Соглашения об Ассоциации РМ </w:t>
      </w:r>
      <w:r>
        <w:t>—</w:t>
      </w:r>
      <w:r w:rsidRPr="00CB26B4">
        <w:t xml:space="preserve"> ЕС, содержащегося в Национальном плане действий по внедрению Соглашения об ассоциации Республика Молдова </w:t>
      </w:r>
      <w:r>
        <w:t>—</w:t>
      </w:r>
      <w:r w:rsidRPr="00CB26B4">
        <w:t xml:space="preserve"> Европейский союз на период 2014</w:t>
      </w:r>
      <w:r>
        <w:t>–</w:t>
      </w:r>
      <w:r w:rsidRPr="00CB26B4">
        <w:t>2016 годы, утвержденном ПП № 808 от 7</w:t>
      </w:r>
      <w:r>
        <w:t xml:space="preserve"> октября </w:t>
      </w:r>
      <w:r w:rsidRPr="00CB26B4">
        <w:t>2014 г</w:t>
      </w:r>
      <w:r>
        <w:t>ода</w:t>
      </w:r>
      <w:r w:rsidRPr="00CB26B4">
        <w:t xml:space="preserve">. </w:t>
      </w:r>
      <w:r w:rsidRPr="00CB26B4">
        <w:rPr>
          <w:bCs/>
          <w:iCs/>
        </w:rPr>
        <w:t>Предлагаемые цели в отношении иностранцев будут способствовать предотвращению ксенофобии, обеспечению прав человека, закрепленных в Конституции Республики Молдова и международных конвенциях, участником которых является Республика Молдова.</w:t>
      </w:r>
      <w:r>
        <w:rPr>
          <w:bCs/>
          <w:iCs/>
        </w:rPr>
        <w:t xml:space="preserve"> </w:t>
      </w:r>
    </w:p>
    <w:p w14:paraId="17AF9229" w14:textId="77777777" w:rsidR="00936DFE" w:rsidRDefault="00936DFE" w:rsidP="00936DFE">
      <w:pPr>
        <w:pStyle w:val="SingleTxtG"/>
      </w:pPr>
      <w:r>
        <w:t>186.</w:t>
      </w:r>
      <w:r>
        <w:tab/>
      </w:r>
      <w:r w:rsidRPr="00CB26B4">
        <w:t xml:space="preserve">Упомянутый план действий включает 30 целей и 121 действие, систематизированные в </w:t>
      </w:r>
      <w:r>
        <w:t>шести</w:t>
      </w:r>
      <w:r w:rsidRPr="00CB26B4">
        <w:t xml:space="preserve"> главах: I.</w:t>
      </w:r>
      <w:r>
        <w:t> </w:t>
      </w:r>
      <w:r w:rsidRPr="00CB26B4">
        <w:t>Стабилизация и развитие базы международного сотрудничества в области миграции и убежища; II.</w:t>
      </w:r>
      <w:r>
        <w:t> </w:t>
      </w:r>
      <w:r w:rsidRPr="00CB26B4">
        <w:t>Легальная миграция;</w:t>
      </w:r>
      <w:r>
        <w:t xml:space="preserve"> </w:t>
      </w:r>
      <w:r w:rsidRPr="00CB26B4">
        <w:t>III. Миграция и развитие; IV. Управление миграцией в случае повышенного притока иностранцев (мигрантов, беженцев);</w:t>
      </w:r>
      <w:r>
        <w:t xml:space="preserve"> </w:t>
      </w:r>
      <w:r w:rsidRPr="00CB26B4">
        <w:t>V. Борьба с нелегальной миграцией; VI.</w:t>
      </w:r>
      <w:r>
        <w:t> </w:t>
      </w:r>
      <w:r w:rsidRPr="00CB26B4">
        <w:t xml:space="preserve">Инструменты контроля миграции. </w:t>
      </w:r>
    </w:p>
    <w:p w14:paraId="4586EC69" w14:textId="77777777" w:rsidR="00936DFE" w:rsidRPr="0027709C" w:rsidRDefault="00936DFE" w:rsidP="00936DFE">
      <w:pPr>
        <w:pStyle w:val="SingleTxtG"/>
        <w:rPr>
          <w:color w:val="000000" w:themeColor="text1"/>
        </w:rPr>
      </w:pPr>
      <w:r w:rsidRPr="0027709C">
        <w:rPr>
          <w:color w:val="000000" w:themeColor="text1"/>
        </w:rPr>
        <w:t>187.</w:t>
      </w:r>
      <w:r w:rsidRPr="0027709C">
        <w:rPr>
          <w:color w:val="000000" w:themeColor="text1"/>
        </w:rPr>
        <w:tab/>
        <w:t>В рамках реализации указанного плана в период 2017–2019 годов был проведен ряд мероприятий, среди которых отметим некоторые, связанные с обеспечением соблюдения прав мигрантов.</w:t>
      </w:r>
    </w:p>
    <w:p w14:paraId="642856DA" w14:textId="77777777" w:rsidR="00936DFE" w:rsidRPr="00CB26B4" w:rsidRDefault="00936DFE" w:rsidP="00936DFE">
      <w:pPr>
        <w:pStyle w:val="SingleTxtG"/>
      </w:pPr>
      <w:r>
        <w:t>188.</w:t>
      </w:r>
      <w:r>
        <w:tab/>
      </w:r>
      <w:r w:rsidRPr="00CB26B4">
        <w:t>В целях реализации положений Закона № 274 от 27</w:t>
      </w:r>
      <w:r>
        <w:t xml:space="preserve"> декабря </w:t>
      </w:r>
      <w:r w:rsidRPr="00CB26B4">
        <w:t>2011 г</w:t>
      </w:r>
      <w:r>
        <w:t>ода</w:t>
      </w:r>
      <w:r w:rsidRPr="00CB26B4">
        <w:t xml:space="preserve"> об интеграции иностранцев в Республике Молдова, было принято ПП № 71 от 23</w:t>
      </w:r>
      <w:r>
        <w:t xml:space="preserve"> января </w:t>
      </w:r>
      <w:r w:rsidRPr="00CB26B4">
        <w:t>2018 г</w:t>
      </w:r>
      <w:r>
        <w:t xml:space="preserve">ода </w:t>
      </w:r>
      <w:r w:rsidRPr="00CB26B4">
        <w:t>об утверждении Плана действий по интеграции иностранцев на 2018 год. Этот план определяет приоритеты деятельности и консолидацию усилий для достижения основных целей, что будет способствовать обеспечению доступа к реализации прав, совершенствованию нормативно-правовой базы и укреплению потенциала структур, вовлеченных в процесс предоставления иностранцам услуг на всей территории страны.</w:t>
      </w:r>
    </w:p>
    <w:p w14:paraId="7A98D9CF" w14:textId="77777777" w:rsidR="00936DFE" w:rsidRPr="00CB26B4" w:rsidRDefault="00936DFE" w:rsidP="00936DFE">
      <w:pPr>
        <w:pStyle w:val="SingleTxtG"/>
      </w:pPr>
      <w:r>
        <w:t>189.</w:t>
      </w:r>
      <w:r>
        <w:tab/>
      </w:r>
      <w:r w:rsidRPr="00CB26B4">
        <w:t>Правительство утвердило Постановление № 553 от 12</w:t>
      </w:r>
      <w:r>
        <w:t xml:space="preserve"> июля </w:t>
      </w:r>
      <w:r w:rsidRPr="00CB26B4">
        <w:t>2017 г</w:t>
      </w:r>
      <w:r>
        <w:t>ода</w:t>
      </w:r>
      <w:r w:rsidRPr="00CB26B4">
        <w:t xml:space="preserve"> о создании центров интеграции для иностранцев, согласно которому при БМУ были созданы </w:t>
      </w:r>
      <w:r>
        <w:t>три</w:t>
      </w:r>
      <w:r w:rsidRPr="00CB26B4">
        <w:t xml:space="preserve"> центра интеграции для иностранцев, оснащенных необходимым оборудованием при поддержке Международного центра по развитию миграционной политики, Посольства Румынии, в том числе при финансовой помощи Европейского союза.</w:t>
      </w:r>
      <w:r>
        <w:t xml:space="preserve"> </w:t>
      </w:r>
      <w:r w:rsidRPr="00CB26B4">
        <w:t>Интеграционные центры расположены</w:t>
      </w:r>
      <w:r>
        <w:t xml:space="preserve"> </w:t>
      </w:r>
      <w:r w:rsidRPr="00CB26B4">
        <w:t xml:space="preserve">и осуществляют деятельность в </w:t>
      </w:r>
      <w:r>
        <w:t xml:space="preserve">трех </w:t>
      </w:r>
      <w:r w:rsidRPr="00CB26B4">
        <w:t xml:space="preserve">зонах </w:t>
      </w:r>
      <w:r w:rsidRPr="00627640">
        <w:rPr>
          <w:color w:val="000000" w:themeColor="text1"/>
        </w:rPr>
        <w:t>Республики</w:t>
      </w:r>
      <w:r w:rsidRPr="00CB26B4">
        <w:t>:</w:t>
      </w:r>
      <w:r>
        <w:t xml:space="preserve"> </w:t>
      </w:r>
      <w:r w:rsidRPr="00CB26B4">
        <w:t xml:space="preserve">Север </w:t>
      </w:r>
      <w:r>
        <w:t>—</w:t>
      </w:r>
      <w:r w:rsidRPr="00CB26B4">
        <w:t xml:space="preserve"> в муниципии </w:t>
      </w:r>
      <w:proofErr w:type="spellStart"/>
      <w:r w:rsidRPr="00CB26B4">
        <w:t>Бэлць</w:t>
      </w:r>
      <w:proofErr w:type="spellEnd"/>
      <w:r w:rsidRPr="00CB26B4">
        <w:t xml:space="preserve">, Центр </w:t>
      </w:r>
      <w:r>
        <w:t>—</w:t>
      </w:r>
      <w:r w:rsidRPr="00CB26B4">
        <w:t xml:space="preserve"> в муниципии </w:t>
      </w:r>
      <w:proofErr w:type="spellStart"/>
      <w:r w:rsidRPr="00CB26B4">
        <w:t>Кишинэу</w:t>
      </w:r>
      <w:proofErr w:type="spellEnd"/>
      <w:r w:rsidRPr="00CB26B4">
        <w:t>, Юг</w:t>
      </w:r>
      <w:r>
        <w:t> —</w:t>
      </w:r>
      <w:r w:rsidRPr="00CB26B4">
        <w:t xml:space="preserve"> в муниципии </w:t>
      </w:r>
      <w:proofErr w:type="spellStart"/>
      <w:r w:rsidRPr="00CB26B4">
        <w:t>Кахул</w:t>
      </w:r>
      <w:proofErr w:type="spellEnd"/>
      <w:r w:rsidRPr="00CB26B4">
        <w:t>. Таким образом: 1. Центр интеграции для иностранцев Север (</w:t>
      </w:r>
      <w:proofErr w:type="spellStart"/>
      <w:r w:rsidRPr="00CB26B4">
        <w:t>Бэлць</w:t>
      </w:r>
      <w:proofErr w:type="spellEnd"/>
      <w:r w:rsidRPr="00CB26B4">
        <w:t xml:space="preserve">) обслуживает муниципий </w:t>
      </w:r>
      <w:proofErr w:type="spellStart"/>
      <w:r w:rsidRPr="00CB26B4">
        <w:t>Бэлць</w:t>
      </w:r>
      <w:proofErr w:type="spellEnd"/>
      <w:r w:rsidRPr="00CB26B4">
        <w:t xml:space="preserve"> и 14 прилегающих районов; 2. Центр интеграции для иностранцев Центр (</w:t>
      </w:r>
      <w:proofErr w:type="spellStart"/>
      <w:r w:rsidRPr="00CB26B4">
        <w:t>Кишинэу</w:t>
      </w:r>
      <w:proofErr w:type="spellEnd"/>
      <w:r w:rsidRPr="00CB26B4">
        <w:t xml:space="preserve">) обслуживает муниципий </w:t>
      </w:r>
      <w:proofErr w:type="spellStart"/>
      <w:r w:rsidRPr="00CB26B4">
        <w:t>Кишинэу</w:t>
      </w:r>
      <w:proofErr w:type="spellEnd"/>
      <w:r w:rsidRPr="00CB26B4">
        <w:t xml:space="preserve"> и 12</w:t>
      </w:r>
      <w:r>
        <w:t> </w:t>
      </w:r>
      <w:r w:rsidRPr="00CB26B4">
        <w:t>прилегающих</w:t>
      </w:r>
      <w:r>
        <w:t xml:space="preserve"> </w:t>
      </w:r>
      <w:r w:rsidRPr="00CB26B4">
        <w:t>районов; 3. Центр интеграции для иностранцев Юг (</w:t>
      </w:r>
      <w:proofErr w:type="spellStart"/>
      <w:r w:rsidRPr="00CB26B4">
        <w:t>Кахул</w:t>
      </w:r>
      <w:proofErr w:type="spellEnd"/>
      <w:r w:rsidRPr="00CB26B4">
        <w:t xml:space="preserve">) обслуживает Автономно-территориальное образование Гагаузия и </w:t>
      </w:r>
      <w:r>
        <w:t>шести</w:t>
      </w:r>
      <w:r w:rsidRPr="00CB26B4">
        <w:t xml:space="preserve"> прилегающих районов.</w:t>
      </w:r>
      <w:r>
        <w:t xml:space="preserve"> </w:t>
      </w:r>
      <w:r w:rsidRPr="00CB26B4">
        <w:t>Деятельность центров финансируются за счет ассигнований из государственного бюджета, утвержденных для МВД, а также из других источников финансирования, которые не противоречат действующему законодательству.</w:t>
      </w:r>
    </w:p>
    <w:p w14:paraId="54E8DAA0" w14:textId="77777777" w:rsidR="00936DFE" w:rsidRDefault="00936DFE" w:rsidP="00936DFE">
      <w:pPr>
        <w:pStyle w:val="SingleTxtG"/>
        <w:rPr>
          <w:bCs/>
        </w:rPr>
      </w:pPr>
      <w:r w:rsidRPr="00CB26B4">
        <w:tab/>
      </w:r>
      <w:r>
        <w:t>190.</w:t>
      </w:r>
      <w:r>
        <w:tab/>
      </w:r>
      <w:r w:rsidRPr="00CB26B4">
        <w:t>Интеграционные центры обеспечивают иностранцам долгосрочную поддержку в процессе интеграции и представляют собой единое окно для приема заявлений на участие в мероприятиях или программах по интеграции. Центры также содействуют внедрению механизма межведомственной координации на местах и являются долгосрочной службой, ориентированной на местное мажоритарное население. Так, в течение 2018 г</w:t>
      </w:r>
      <w:r>
        <w:t>ода</w:t>
      </w:r>
      <w:r w:rsidRPr="00CB26B4">
        <w:t xml:space="preserve"> около 560 иностранцев были вовлечены в различные интеграционные программы и мероприятия.</w:t>
      </w:r>
    </w:p>
    <w:p w14:paraId="041812DB" w14:textId="77777777" w:rsidR="00936DFE" w:rsidRDefault="00936DFE" w:rsidP="00936DFE">
      <w:pPr>
        <w:pStyle w:val="SingleTxtG"/>
      </w:pPr>
      <w:r>
        <w:t>191.</w:t>
      </w:r>
      <w:r>
        <w:tab/>
      </w:r>
      <w:r w:rsidRPr="00CB26B4">
        <w:t xml:space="preserve">Иностранцы могут посещать курсы изучения государственного языка на основании заявления, поданного в БМУ. В соответствии с ранее утвержденной методологией, в качестве поставщиков услуг для иностранцев в области изучения государственного языка, были определены </w:t>
      </w:r>
      <w:r>
        <w:t>четыре</w:t>
      </w:r>
      <w:r w:rsidRPr="00CB26B4">
        <w:t xml:space="preserve"> компетентных учреждения: Государственный педагогический университет им. Иона </w:t>
      </w:r>
      <w:proofErr w:type="spellStart"/>
      <w:r w:rsidRPr="00CB26B4">
        <w:t>Крянгэ</w:t>
      </w:r>
      <w:proofErr w:type="spellEnd"/>
      <w:r w:rsidRPr="00CB26B4">
        <w:t xml:space="preserve">, муниципия </w:t>
      </w:r>
      <w:proofErr w:type="spellStart"/>
      <w:r w:rsidRPr="00CB26B4">
        <w:t>Кишинэу</w:t>
      </w:r>
      <w:proofErr w:type="spellEnd"/>
      <w:r w:rsidRPr="00CB26B4">
        <w:t xml:space="preserve">; ANTEM; Государственный университет им. Алеку Руссо, муниципия </w:t>
      </w:r>
      <w:proofErr w:type="spellStart"/>
      <w:r w:rsidRPr="00CB26B4">
        <w:t>Бэлць</w:t>
      </w:r>
      <w:proofErr w:type="spellEnd"/>
      <w:r w:rsidRPr="00CB26B4">
        <w:t xml:space="preserve">; Государственный университет им. Богдана </w:t>
      </w:r>
      <w:proofErr w:type="spellStart"/>
      <w:r w:rsidRPr="00CB26B4">
        <w:t>Петричейку</w:t>
      </w:r>
      <w:proofErr w:type="spellEnd"/>
      <w:r w:rsidRPr="00CB26B4">
        <w:t xml:space="preserve"> </w:t>
      </w:r>
      <w:proofErr w:type="spellStart"/>
      <w:r w:rsidRPr="00CB26B4">
        <w:t>Хашдеу</w:t>
      </w:r>
      <w:proofErr w:type="spellEnd"/>
      <w:r w:rsidRPr="00CB26B4">
        <w:t xml:space="preserve">, муниципия </w:t>
      </w:r>
      <w:proofErr w:type="spellStart"/>
      <w:r w:rsidRPr="00CB26B4">
        <w:t>Кахул</w:t>
      </w:r>
      <w:proofErr w:type="spellEnd"/>
      <w:r w:rsidRPr="00CB26B4">
        <w:t>.</w:t>
      </w:r>
      <w:r>
        <w:t xml:space="preserve"> </w:t>
      </w:r>
      <w:r w:rsidRPr="00CB26B4">
        <w:t>В</w:t>
      </w:r>
      <w:r>
        <w:t> </w:t>
      </w:r>
      <w:r w:rsidRPr="00CB26B4">
        <w:t xml:space="preserve">рамках Государственного педагогического университета им. Иона </w:t>
      </w:r>
      <w:proofErr w:type="spellStart"/>
      <w:r w:rsidRPr="00CB26B4">
        <w:t>Крянгэ</w:t>
      </w:r>
      <w:proofErr w:type="spellEnd"/>
      <w:r w:rsidRPr="00CB26B4">
        <w:t xml:space="preserve"> действует Центр по организации курсов по изучению румынского языка иностранцами, легально </w:t>
      </w:r>
      <w:r w:rsidRPr="00CB26B4">
        <w:lastRenderedPageBreak/>
        <w:t>пребывающими в Республике Молдова. В 2017 г</w:t>
      </w:r>
      <w:r>
        <w:t>оду</w:t>
      </w:r>
      <w:r w:rsidRPr="00CB26B4">
        <w:t xml:space="preserve"> около 40 иностранцев прошли курсы обучения в этом Центре. Сессии </w:t>
      </w:r>
      <w:proofErr w:type="gramStart"/>
      <w:r w:rsidRPr="00CB26B4">
        <w:t>социо-культурной</w:t>
      </w:r>
      <w:proofErr w:type="gramEnd"/>
      <w:r w:rsidRPr="00CB26B4">
        <w:t xml:space="preserve"> адаптации проводятся </w:t>
      </w:r>
      <w:r>
        <w:br/>
      </w:r>
      <w:r w:rsidRPr="00CB26B4">
        <w:t>1</w:t>
      </w:r>
      <w:r>
        <w:t>–</w:t>
      </w:r>
      <w:r w:rsidRPr="00CB26B4">
        <w:t xml:space="preserve">2 раза в год по запросу БМУ. </w:t>
      </w:r>
      <w:r w:rsidRPr="00CB26B4">
        <w:rPr>
          <w:bCs/>
        </w:rPr>
        <w:t>В 2018 г</w:t>
      </w:r>
      <w:r>
        <w:rPr>
          <w:bCs/>
        </w:rPr>
        <w:t>оду</w:t>
      </w:r>
      <w:r w:rsidRPr="00CB26B4">
        <w:rPr>
          <w:bCs/>
        </w:rPr>
        <w:t xml:space="preserve"> 24 человека изучали государственный язык: в ANTEM </w:t>
      </w:r>
      <w:r>
        <w:rPr>
          <w:bCs/>
        </w:rPr>
        <w:t>—</w:t>
      </w:r>
      <w:r w:rsidRPr="00CB26B4">
        <w:rPr>
          <w:bCs/>
        </w:rPr>
        <w:t xml:space="preserve"> 17 иностранцев; в </w:t>
      </w:r>
      <w:r w:rsidRPr="00CB26B4">
        <w:t>Государственном педагогическом</w:t>
      </w:r>
      <w:r>
        <w:t xml:space="preserve"> </w:t>
      </w:r>
      <w:r w:rsidRPr="00CB26B4">
        <w:t xml:space="preserve">университете им. Иона </w:t>
      </w:r>
      <w:proofErr w:type="spellStart"/>
      <w:r w:rsidRPr="00CB26B4">
        <w:t>Крянгэ</w:t>
      </w:r>
      <w:proofErr w:type="spellEnd"/>
      <w:r w:rsidRPr="00CB26B4">
        <w:t xml:space="preserve"> </w:t>
      </w:r>
      <w:r>
        <w:t>—</w:t>
      </w:r>
      <w:r w:rsidRPr="00CB26B4">
        <w:t xml:space="preserve"> </w:t>
      </w:r>
      <w:r>
        <w:t>семь</w:t>
      </w:r>
      <w:r w:rsidRPr="00CB26B4">
        <w:t xml:space="preserve"> бенефициаров. </w:t>
      </w:r>
      <w:r w:rsidRPr="00CB26B4">
        <w:rPr>
          <w:bCs/>
        </w:rPr>
        <w:t>В 2019 г</w:t>
      </w:r>
      <w:r>
        <w:rPr>
          <w:bCs/>
        </w:rPr>
        <w:t>оду</w:t>
      </w:r>
      <w:r w:rsidRPr="00CB26B4">
        <w:rPr>
          <w:bCs/>
        </w:rPr>
        <w:t xml:space="preserve"> курсы государственного языка посетили </w:t>
      </w:r>
      <w:r>
        <w:rPr>
          <w:bCs/>
        </w:rPr>
        <w:t>восемь</w:t>
      </w:r>
      <w:r w:rsidRPr="00CB26B4">
        <w:rPr>
          <w:bCs/>
        </w:rPr>
        <w:t xml:space="preserve"> лиц: в АНТЕМ </w:t>
      </w:r>
      <w:r>
        <w:rPr>
          <w:bCs/>
        </w:rPr>
        <w:t>—</w:t>
      </w:r>
      <w:r w:rsidRPr="00CB26B4">
        <w:rPr>
          <w:bCs/>
        </w:rPr>
        <w:t xml:space="preserve"> </w:t>
      </w:r>
      <w:r>
        <w:rPr>
          <w:bCs/>
        </w:rPr>
        <w:t>пять</w:t>
      </w:r>
      <w:r w:rsidRPr="00CB26B4">
        <w:rPr>
          <w:bCs/>
        </w:rPr>
        <w:t xml:space="preserve"> иностранцев; в Государственном</w:t>
      </w:r>
      <w:r w:rsidRPr="00CB26B4">
        <w:t xml:space="preserve"> педагогическом университете им. Иона </w:t>
      </w:r>
      <w:proofErr w:type="spellStart"/>
      <w:r w:rsidRPr="00CB26B4">
        <w:t>Крянгэ</w:t>
      </w:r>
      <w:proofErr w:type="spellEnd"/>
      <w:r w:rsidRPr="00CB26B4">
        <w:t xml:space="preserve"> </w:t>
      </w:r>
      <w:r>
        <w:t>—</w:t>
      </w:r>
      <w:r w:rsidRPr="00CB26B4">
        <w:t xml:space="preserve"> </w:t>
      </w:r>
      <w:r>
        <w:t>три</w:t>
      </w:r>
      <w:r w:rsidRPr="00CB26B4">
        <w:t xml:space="preserve"> иностранца.</w:t>
      </w:r>
    </w:p>
    <w:p w14:paraId="2A981029" w14:textId="77777777" w:rsidR="00936DFE" w:rsidRDefault="00936DFE" w:rsidP="00936DFE">
      <w:pPr>
        <w:pStyle w:val="SingleTxtG"/>
        <w:rPr>
          <w:bCs/>
        </w:rPr>
      </w:pPr>
      <w:r>
        <w:t>192.</w:t>
      </w:r>
      <w:r>
        <w:tab/>
      </w:r>
      <w:r w:rsidRPr="00CB26B4">
        <w:t>В течение 2019 г</w:t>
      </w:r>
      <w:r>
        <w:t>ода</w:t>
      </w:r>
      <w:r w:rsidRPr="00CB26B4">
        <w:t xml:space="preserve"> иностранцам было предложено более 200 индивидуальных консультаций относительно следующих проблем: изучение румынского языка, получение гражданства Республики Молдова, трудоустройство. Кроме того, группа иностранцев получили консультации в</w:t>
      </w:r>
      <w:r>
        <w:t xml:space="preserve"> </w:t>
      </w:r>
      <w:r w:rsidRPr="00CB26B4">
        <w:t xml:space="preserve">Национальном агентстве занятости населения (НАЗН) </w:t>
      </w:r>
      <w:r>
        <w:t>—</w:t>
      </w:r>
      <w:r w:rsidRPr="00CB26B4">
        <w:t xml:space="preserve"> </w:t>
      </w:r>
      <w:r>
        <w:t>четыре</w:t>
      </w:r>
      <w:r w:rsidRPr="00CB26B4">
        <w:t xml:space="preserve"> бенефициара гуманитарной защиты; в Национальной компании медицинского страхования </w:t>
      </w:r>
      <w:r>
        <w:t>—</w:t>
      </w:r>
      <w:r w:rsidRPr="00CB26B4">
        <w:t xml:space="preserve"> </w:t>
      </w:r>
      <w:r>
        <w:t>четыре</w:t>
      </w:r>
      <w:r w:rsidRPr="00CB26B4">
        <w:t xml:space="preserve"> бенефициара гуманитарной защиты.</w:t>
      </w:r>
    </w:p>
    <w:p w14:paraId="26B0BC01" w14:textId="77777777" w:rsidR="00936DFE" w:rsidRDefault="00936DFE" w:rsidP="00936DFE">
      <w:pPr>
        <w:pStyle w:val="SingleTxtG"/>
      </w:pPr>
      <w:r>
        <w:t>193.</w:t>
      </w:r>
      <w:r>
        <w:tab/>
      </w:r>
      <w:r w:rsidRPr="00CB26B4">
        <w:t>НАЗН в соответствии с положениями п</w:t>
      </w:r>
      <w:r>
        <w:t>ункта</w:t>
      </w:r>
      <w:r w:rsidRPr="00CB26B4">
        <w:t xml:space="preserve"> 2 ст</w:t>
      </w:r>
      <w:r>
        <w:t>атьи</w:t>
      </w:r>
      <w:r w:rsidRPr="00CB26B4">
        <w:t xml:space="preserve"> 2 Закона 105/2018 о</w:t>
      </w:r>
      <w:r>
        <w:t> </w:t>
      </w:r>
      <w:r w:rsidRPr="00CB26B4">
        <w:t>содействии занятости населения и страховании по безработице, осуществляет деятельность по интеграции иностранцев на рынке труда. В соответствии с</w:t>
      </w:r>
      <w:r>
        <w:t> </w:t>
      </w:r>
      <w:r w:rsidRPr="00CB26B4">
        <w:t>Законом</w:t>
      </w:r>
      <w:r>
        <w:t> </w:t>
      </w:r>
      <w:r w:rsidRPr="00CB26B4">
        <w:t>274/2011 об интеграции иностранцев в Республике Молдова, иностранцы имеют право на временное пребывание для воссоединения семьи, в целях осуществления гуманитарной или религиозной деятельности,</w:t>
      </w:r>
      <w:r>
        <w:t xml:space="preserve"> </w:t>
      </w:r>
      <w:r w:rsidRPr="00CB26B4">
        <w:t>получившие международную защиту или политическое убежище в Республике Молдова, за которыми признан статус лица без гражданства в Республике Молдова или они являются обладателями права на постоянное пребывание, являются бенефициарами действий и мер занятости и социальной защиты в случае безработицы, а также как и другие лица, находящиеся в поиске работы. При применении положений Закона</w:t>
      </w:r>
      <w:r>
        <w:t> </w:t>
      </w:r>
      <w:r w:rsidRPr="00CB26B4">
        <w:t>105/2018 запрещается любая дискриминация по признаку расы, национальности, этнического происхождения, языка, религии, убеждений, пола, возраста, ограниченных возможностей, взглядов, политической принадлежности, имущественного положения, социального происхождения или любого другого признака (ст</w:t>
      </w:r>
      <w:r>
        <w:t xml:space="preserve">атья </w:t>
      </w:r>
      <w:r w:rsidRPr="00CB26B4">
        <w:t>2,</w:t>
      </w:r>
      <w:r>
        <w:t xml:space="preserve"> </w:t>
      </w:r>
      <w:r w:rsidRPr="00CB26B4">
        <w:t>абзац 4</w:t>
      </w:r>
      <w:r>
        <w:t>)</w:t>
      </w:r>
      <w:r w:rsidRPr="00CB26B4">
        <w:t xml:space="preserve">. </w:t>
      </w:r>
    </w:p>
    <w:p w14:paraId="6529344C" w14:textId="77777777" w:rsidR="00936DFE" w:rsidRDefault="00936DFE" w:rsidP="00936DFE">
      <w:pPr>
        <w:pStyle w:val="SingleTxtG"/>
      </w:pPr>
      <w:r>
        <w:t>194.</w:t>
      </w:r>
      <w:r>
        <w:tab/>
      </w:r>
      <w:r w:rsidRPr="00CB26B4">
        <w:t>Начиная с 2016 г</w:t>
      </w:r>
      <w:r>
        <w:t xml:space="preserve">ода </w:t>
      </w:r>
      <w:r w:rsidRPr="00CB26B4">
        <w:t>НАЗН внедряет механизм включения иностранцев в интеграционную деятельность. В период 2017</w:t>
      </w:r>
      <w:r>
        <w:t>–</w:t>
      </w:r>
      <w:r w:rsidRPr="00CB26B4">
        <w:t>2019 г</w:t>
      </w:r>
      <w:r>
        <w:t>одов</w:t>
      </w:r>
      <w:r w:rsidRPr="00CB26B4">
        <w:t xml:space="preserve"> территориальные подразделения занятости населения (ТПЗН) зарегистрировали 216 лиц из категории иностранцев с правом и статусом безработных, из которых 49</w:t>
      </w:r>
      <w:r>
        <w:t xml:space="preserve"> процентов</w:t>
      </w:r>
      <w:r w:rsidRPr="00CB26B4">
        <w:t xml:space="preserve"> представляли женщины, 26,4</w:t>
      </w:r>
      <w:r>
        <w:t xml:space="preserve"> процента </w:t>
      </w:r>
      <w:r w:rsidRPr="00CB26B4">
        <w:t>обратившихся были трудоустроены.</w:t>
      </w:r>
    </w:p>
    <w:p w14:paraId="78C841D0" w14:textId="77777777" w:rsidR="00936DFE" w:rsidRDefault="00936DFE" w:rsidP="00936DFE">
      <w:pPr>
        <w:pStyle w:val="SingleTxtG"/>
      </w:pPr>
      <w:r>
        <w:t>195.</w:t>
      </w:r>
      <w:r>
        <w:tab/>
      </w:r>
      <w:r w:rsidRPr="00CB26B4">
        <w:t>Из общего числа иностранцев, зарегистрированных в ТПЗН, 16,2</w:t>
      </w:r>
      <w:r>
        <w:t xml:space="preserve"> процента</w:t>
      </w:r>
      <w:r w:rsidRPr="00CB26B4">
        <w:t xml:space="preserve"> составляли молодые люди в возрасте 16</w:t>
      </w:r>
      <w:r>
        <w:t>–</w:t>
      </w:r>
      <w:r w:rsidRPr="00CB26B4">
        <w:t xml:space="preserve">29 лет. Большинство лиц воспользовались информационными и профессиональными консультационными услугами </w:t>
      </w:r>
      <w:r>
        <w:t>—</w:t>
      </w:r>
      <w:r w:rsidRPr="00CB26B4">
        <w:t xml:space="preserve"> более 93</w:t>
      </w:r>
      <w:r>
        <w:t> процента</w:t>
      </w:r>
      <w:r w:rsidRPr="00CB26B4">
        <w:t>, а 54</w:t>
      </w:r>
      <w:r>
        <w:t xml:space="preserve"> процента —</w:t>
      </w:r>
      <w:r w:rsidRPr="00CB26B4">
        <w:t xml:space="preserve"> посредническими услугами по трудоустройству. В</w:t>
      </w:r>
      <w:r>
        <w:t> </w:t>
      </w:r>
      <w:r w:rsidRPr="00CB26B4">
        <w:t xml:space="preserve">соответствии с действующими правами 11 человек воспользовались пособием по безработице, а </w:t>
      </w:r>
      <w:r>
        <w:t>шесть</w:t>
      </w:r>
      <w:r w:rsidRPr="00CB26B4">
        <w:t xml:space="preserve"> </w:t>
      </w:r>
      <w:r>
        <w:t>—</w:t>
      </w:r>
      <w:r w:rsidRPr="00CB26B4">
        <w:t xml:space="preserve"> пособием по интеграции и реинтеграции, </w:t>
      </w:r>
      <w:r>
        <w:t>три</w:t>
      </w:r>
      <w:r w:rsidRPr="00CB26B4">
        <w:t xml:space="preserve"> человека прошли бесплатный курс профессиональной подготовки. НАЗН</w:t>
      </w:r>
      <w:r>
        <w:t xml:space="preserve"> </w:t>
      </w:r>
      <w:r w:rsidRPr="00CB26B4">
        <w:t>постоянно принимает</w:t>
      </w:r>
      <w:r>
        <w:t xml:space="preserve"> </w:t>
      </w:r>
      <w:r w:rsidRPr="00CB26B4">
        <w:t>соответствующие меры</w:t>
      </w:r>
      <w:r>
        <w:t>,</w:t>
      </w:r>
      <w:r w:rsidRPr="00CB26B4">
        <w:t xml:space="preserve"> для того чтобы обеспечить лицам без гражданства свободный, неограниченный и недискриминационный доступ к услугам по трудоустройству.</w:t>
      </w:r>
    </w:p>
    <w:p w14:paraId="3591D295" w14:textId="77777777" w:rsidR="00936DFE" w:rsidRDefault="00936DFE" w:rsidP="00936DFE">
      <w:pPr>
        <w:pStyle w:val="SingleTxtG"/>
      </w:pPr>
      <w:r>
        <w:t>196.</w:t>
      </w:r>
      <w:r>
        <w:tab/>
      </w:r>
      <w:r w:rsidRPr="00CB26B4">
        <w:t>Республика Молдова присоединилась к Конвенции о статусе беженцев 1951</w:t>
      </w:r>
      <w:r>
        <w:t> </w:t>
      </w:r>
      <w:r w:rsidRPr="00CB26B4">
        <w:t>г</w:t>
      </w:r>
      <w:r>
        <w:t>ода</w:t>
      </w:r>
      <w:r w:rsidRPr="00CB26B4">
        <w:t>, также к Протоколу о статусе беженцев, через принятие Закона № 677/XV от</w:t>
      </w:r>
      <w:r>
        <w:t> </w:t>
      </w:r>
      <w:r w:rsidRPr="00CB26B4">
        <w:t>23</w:t>
      </w:r>
      <w:r>
        <w:t xml:space="preserve"> ноября </w:t>
      </w:r>
      <w:r w:rsidRPr="00CB26B4">
        <w:t>2001 г</w:t>
      </w:r>
      <w:r>
        <w:t>ода</w:t>
      </w:r>
      <w:r w:rsidRPr="00CB26B4">
        <w:t>, с рядом</w:t>
      </w:r>
      <w:r>
        <w:t xml:space="preserve"> </w:t>
      </w:r>
      <w:r w:rsidRPr="00CB26B4">
        <w:t>оговорок. В соответствии с первым пунктом статьи 42 Конвенции о статусе беженцев, Республика Молдова интерпретирует положения статьи 21 Конвенции таким образом, что она не обязана предоставлять жилье беженцам.</w:t>
      </w:r>
    </w:p>
    <w:p w14:paraId="36486816" w14:textId="77777777" w:rsidR="00936DFE" w:rsidRDefault="00936DFE" w:rsidP="00936DFE">
      <w:pPr>
        <w:pStyle w:val="SingleTxtG"/>
      </w:pPr>
      <w:r>
        <w:t>197.</w:t>
      </w:r>
      <w:r>
        <w:tab/>
      </w:r>
      <w:r w:rsidRPr="00CB26B4">
        <w:t xml:space="preserve">При АМО аккредитованы </w:t>
      </w:r>
      <w:r>
        <w:t>три</w:t>
      </w:r>
      <w:r w:rsidRPr="00CB26B4">
        <w:t xml:space="preserve"> этнокультурные организации, объединяющие мигрантов, беженцев и другие категории неграждан, среди них: Общество защиты детей африканского происхождения </w:t>
      </w:r>
      <w:r>
        <w:t>«</w:t>
      </w:r>
      <w:r w:rsidRPr="00CB26B4">
        <w:t>Фатима</w:t>
      </w:r>
      <w:r>
        <w:t>»</w:t>
      </w:r>
      <w:r w:rsidRPr="00CB26B4">
        <w:t xml:space="preserve">, Община выходцев из Афро-Азиатских стран, Благотворительный центр для беженцев. Все эти организации активно участвуют в продвижении прав иностранцев в Республике Молдова, способствуя предотвращению дискриминации по признаку расы, цвета кожи, национального или этнического происхождения. Лидеры указанных организаций являются членами </w:t>
      </w:r>
      <w:r w:rsidRPr="00CB26B4">
        <w:lastRenderedPageBreak/>
        <w:t>Координационного совета этнокультурных организаций, действующего при АМО. По</w:t>
      </w:r>
      <w:r>
        <w:t> </w:t>
      </w:r>
      <w:r w:rsidRPr="00CB26B4">
        <w:t>мнению представителей, названных НПО, ситуация в Республике Молдова относительно обеспечения прав неграждан, в целом, улучшается.</w:t>
      </w:r>
    </w:p>
    <w:p w14:paraId="12CDD230" w14:textId="77777777" w:rsidR="00936DFE" w:rsidRPr="007A46B3" w:rsidRDefault="00936DFE" w:rsidP="00936DFE">
      <w:pPr>
        <w:pStyle w:val="H1G"/>
      </w:pPr>
      <w:r>
        <w:tab/>
      </w:r>
      <w:r>
        <w:tab/>
        <w:t>Информация о последующей деятельности в связи с пунктами 24 и 25 з</w:t>
      </w:r>
      <w:r w:rsidRPr="00CB26B4">
        <w:t>аключительны</w:t>
      </w:r>
      <w:r>
        <w:t>х</w:t>
      </w:r>
      <w:r w:rsidRPr="00CB26B4">
        <w:t xml:space="preserve"> замечани</w:t>
      </w:r>
      <w:r>
        <w:t xml:space="preserve">й </w:t>
      </w:r>
    </w:p>
    <w:p w14:paraId="7D0525C5" w14:textId="77777777" w:rsidR="00936DFE" w:rsidRDefault="00936DFE" w:rsidP="00936DFE">
      <w:pPr>
        <w:pStyle w:val="H23G"/>
      </w:pPr>
      <w:r>
        <w:tab/>
      </w:r>
      <w:r>
        <w:tab/>
      </w:r>
      <w:r w:rsidRPr="00CB26B4">
        <w:t xml:space="preserve">Обучение по проблемам расовой дискриминации судей, адвокатов, государственных служащих и др. </w:t>
      </w:r>
    </w:p>
    <w:p w14:paraId="4986E875" w14:textId="77777777" w:rsidR="00936DFE" w:rsidRDefault="00936DFE" w:rsidP="00936DFE">
      <w:pPr>
        <w:pStyle w:val="SingleTxtG"/>
      </w:pPr>
      <w:r>
        <w:t>198.</w:t>
      </w:r>
      <w:r>
        <w:tab/>
      </w:r>
      <w:r w:rsidRPr="00CB26B4">
        <w:t>В целях улучшения теоретических знаний и практических навыков относительно квалификации и расследования уголовных деяний, следователи уголовных дел постоянно принимают участие в обучающих семинарах по различным тематикам. В период 24–25 июня 2019 г</w:t>
      </w:r>
      <w:r>
        <w:t>ода</w:t>
      </w:r>
      <w:r w:rsidRPr="00CB26B4">
        <w:t xml:space="preserve"> </w:t>
      </w:r>
      <w:r>
        <w:t>шесть</w:t>
      </w:r>
      <w:r w:rsidRPr="00CB26B4">
        <w:t xml:space="preserve"> представителей уголовного отдела</w:t>
      </w:r>
      <w:r>
        <w:t xml:space="preserve"> </w:t>
      </w:r>
      <w:r w:rsidRPr="00CB26B4">
        <w:t xml:space="preserve">ГИП приняли участие в региональной конференции на тему «Преступления, мотивированные ненавистью по отношению к ромам </w:t>
      </w:r>
      <w:r>
        <w:t>—</w:t>
      </w:r>
      <w:r w:rsidRPr="00CB26B4">
        <w:t xml:space="preserve"> вызов для национальных сил полиции», организованной в г.</w:t>
      </w:r>
      <w:r>
        <w:t xml:space="preserve"> </w:t>
      </w:r>
      <w:r w:rsidRPr="00CB26B4">
        <w:t>Одесса, Украина, а в период 23–24 сентября и 30</w:t>
      </w:r>
      <w:r>
        <w:t> </w:t>
      </w:r>
      <w:r w:rsidRPr="00CB26B4">
        <w:t xml:space="preserve">сентября </w:t>
      </w:r>
      <w:r>
        <w:t>—</w:t>
      </w:r>
      <w:r w:rsidRPr="00CB26B4">
        <w:t xml:space="preserve"> 1 октября 2019 г</w:t>
      </w:r>
      <w:r>
        <w:t>ода</w:t>
      </w:r>
      <w:r w:rsidRPr="00CB26B4">
        <w:t xml:space="preserve"> 40 представителей территориальных подразделений ГИП (женщин </w:t>
      </w:r>
      <w:r>
        <w:t>—</w:t>
      </w:r>
      <w:r w:rsidRPr="00CB26B4">
        <w:t xml:space="preserve"> 10, мужчин </w:t>
      </w:r>
      <w:r>
        <w:t>—</w:t>
      </w:r>
      <w:r w:rsidRPr="00CB26B4">
        <w:t xml:space="preserve"> 30), в том числе следователи по уголовным делам</w:t>
      </w:r>
      <w:r>
        <w:t>,</w:t>
      </w:r>
      <w:r w:rsidRPr="00CB26B4">
        <w:t xml:space="preserve"> приняли участие в обучающем семинаре «Расследование преступлений, мотивированных ненавистью», организованном в г.</w:t>
      </w:r>
      <w:r>
        <w:t xml:space="preserve"> </w:t>
      </w:r>
      <w:r w:rsidRPr="00CB26B4">
        <w:t xml:space="preserve">Сорока и </w:t>
      </w:r>
      <w:proofErr w:type="spellStart"/>
      <w:r w:rsidRPr="00CB26B4">
        <w:t>муниниции</w:t>
      </w:r>
      <w:proofErr w:type="spellEnd"/>
      <w:r w:rsidRPr="00CB26B4">
        <w:t xml:space="preserve"> Комрат.</w:t>
      </w:r>
    </w:p>
    <w:p w14:paraId="5790ADF0" w14:textId="77777777" w:rsidR="00936DFE" w:rsidRDefault="00936DFE" w:rsidP="00936DFE">
      <w:pPr>
        <w:pStyle w:val="SingleTxtG"/>
      </w:pPr>
      <w:r>
        <w:t>199.</w:t>
      </w:r>
      <w:r>
        <w:tab/>
      </w:r>
      <w:r w:rsidRPr="00CB26B4">
        <w:t>В 2019 г</w:t>
      </w:r>
      <w:r>
        <w:t>оду</w:t>
      </w:r>
      <w:r w:rsidRPr="00CB26B4">
        <w:t xml:space="preserve"> было организовано 11 мероприятий по повышению гендерной осведомленности</w:t>
      </w:r>
      <w:r>
        <w:t xml:space="preserve"> </w:t>
      </w:r>
      <w:r w:rsidRPr="00CB26B4">
        <w:t>и</w:t>
      </w:r>
      <w:r>
        <w:t xml:space="preserve"> </w:t>
      </w:r>
      <w:r w:rsidRPr="00CB26B4">
        <w:t xml:space="preserve">укреплению навыков сотрудников полиции в сфере предотвращения случаев дискриминации (круглый стол </w:t>
      </w:r>
      <w:r>
        <w:t>—</w:t>
      </w:r>
      <w:r w:rsidRPr="00CB26B4">
        <w:t xml:space="preserve"> 1, рабочий семинар </w:t>
      </w:r>
      <w:r>
        <w:t>—</w:t>
      </w:r>
      <w:r w:rsidRPr="00CB26B4">
        <w:t xml:space="preserve"> 1, курс повышения навыков/специализация </w:t>
      </w:r>
      <w:r>
        <w:t>—</w:t>
      </w:r>
      <w:r w:rsidRPr="00CB26B4">
        <w:t xml:space="preserve"> 2, международная конференция </w:t>
      </w:r>
      <w:r>
        <w:t>—</w:t>
      </w:r>
      <w:r w:rsidRPr="00CB26B4">
        <w:t xml:space="preserve"> 1, обучающий семинар </w:t>
      </w:r>
      <w:r>
        <w:t>—</w:t>
      </w:r>
      <w:r w:rsidRPr="00CB26B4">
        <w:t xml:space="preserve"> 2, обучающий курс </w:t>
      </w:r>
      <w:r>
        <w:t>—</w:t>
      </w:r>
      <w:r w:rsidRPr="00CB26B4">
        <w:t xml:space="preserve"> 4), в которых приняли участие 141</w:t>
      </w:r>
      <w:r>
        <w:t> </w:t>
      </w:r>
      <w:r w:rsidRPr="00CB26B4">
        <w:t xml:space="preserve">сотрудник полиции (женщин </w:t>
      </w:r>
      <w:r>
        <w:t>—</w:t>
      </w:r>
      <w:r w:rsidRPr="00CB26B4">
        <w:t xml:space="preserve"> 42, мужчин </w:t>
      </w:r>
      <w:r>
        <w:t>—</w:t>
      </w:r>
      <w:r w:rsidRPr="00CB26B4">
        <w:t xml:space="preserve"> 99). </w:t>
      </w:r>
    </w:p>
    <w:p w14:paraId="646DBD6E" w14:textId="77777777" w:rsidR="00936DFE" w:rsidRPr="0027709C" w:rsidRDefault="00936DFE" w:rsidP="00936DFE">
      <w:pPr>
        <w:pStyle w:val="SingleTxtG"/>
      </w:pPr>
      <w:r w:rsidRPr="0027709C">
        <w:t>200.</w:t>
      </w:r>
      <w:r w:rsidRPr="0027709C">
        <w:tab/>
        <w:t>В соответствии с распоряжением об обучении кафедра «Общественное право и безопасность границ» Департамента профессионального и управленческого развития Академии им. Штефана чел Маре, МВД провела/и проводит обучение в рамках курсов непрерывного образования для групп со следующей специализацией:</w:t>
      </w:r>
    </w:p>
    <w:p w14:paraId="61091EB8" w14:textId="77777777" w:rsidR="00936DFE" w:rsidRPr="00CB26B4" w:rsidRDefault="00936DFE" w:rsidP="00936DFE">
      <w:pPr>
        <w:pStyle w:val="Bullet1G"/>
        <w:numPr>
          <w:ilvl w:val="0"/>
          <w:numId w:val="16"/>
        </w:numPr>
      </w:pPr>
      <w:r>
        <w:rPr>
          <w:i/>
        </w:rPr>
        <w:t>«</w:t>
      </w:r>
      <w:r w:rsidRPr="00CB26B4">
        <w:rPr>
          <w:i/>
        </w:rPr>
        <w:t>Борьба с феноменом дискриминации</w:t>
      </w:r>
      <w:r>
        <w:rPr>
          <w:i/>
        </w:rPr>
        <w:t>»</w:t>
      </w:r>
      <w:r w:rsidRPr="00CB26B4">
        <w:t xml:space="preserve"> предусмотрено 12 часов по учебному плану «Юридическая защита прав человека»</w:t>
      </w:r>
      <w:r>
        <w:t xml:space="preserve"> </w:t>
      </w:r>
      <w:r w:rsidRPr="00CB26B4">
        <w:t>в контексте гендерного равенства с изучением следующих тем: национальные и международные правовые положения о гендерном насилии, механизмы борьбы с дискриминацией, антидискриминационное законодательство Республики Молдова, борьба с феноменом дискриминации в деятельности МВД.</w:t>
      </w:r>
    </w:p>
    <w:p w14:paraId="35EC590D" w14:textId="77777777" w:rsidR="00936DFE" w:rsidRPr="00CB26B4" w:rsidRDefault="00936DFE" w:rsidP="00936DFE">
      <w:pPr>
        <w:pStyle w:val="Bullet1G"/>
        <w:numPr>
          <w:ilvl w:val="0"/>
          <w:numId w:val="16"/>
        </w:numPr>
      </w:pPr>
      <w:r>
        <w:rPr>
          <w:bCs/>
          <w:i/>
        </w:rPr>
        <w:t>«</w:t>
      </w:r>
      <w:r w:rsidRPr="00CB26B4">
        <w:rPr>
          <w:bCs/>
          <w:i/>
        </w:rPr>
        <w:t>Менеджмент человеческих ресурсов</w:t>
      </w:r>
      <w:r>
        <w:rPr>
          <w:bCs/>
          <w:i/>
        </w:rPr>
        <w:t>»</w:t>
      </w:r>
      <w:r w:rsidRPr="00CB26B4">
        <w:rPr>
          <w:i/>
        </w:rPr>
        <w:t xml:space="preserve"> </w:t>
      </w:r>
      <w:r w:rsidRPr="00CB26B4">
        <w:t>с тематикой</w:t>
      </w:r>
      <w:r w:rsidRPr="00CB26B4">
        <w:rPr>
          <w:bCs/>
        </w:rPr>
        <w:t>: обеспечение гендерного равенства в сфере безопасности и обороны, набор/отбор/на</w:t>
      </w:r>
      <w:r>
        <w:rPr>
          <w:bCs/>
        </w:rPr>
        <w:t>е</w:t>
      </w:r>
      <w:r w:rsidRPr="00CB26B4">
        <w:rPr>
          <w:bCs/>
        </w:rPr>
        <w:t xml:space="preserve">м/продвижение по службе с учетом гендерного равенства </w:t>
      </w:r>
      <w:r>
        <w:rPr>
          <w:bCs/>
        </w:rPr>
        <w:t>—</w:t>
      </w:r>
      <w:r w:rsidRPr="00CB26B4">
        <w:rPr>
          <w:bCs/>
        </w:rPr>
        <w:t xml:space="preserve"> 2 часа.</w:t>
      </w:r>
    </w:p>
    <w:p w14:paraId="47212A41" w14:textId="77777777" w:rsidR="00936DFE" w:rsidRPr="00CB26B4" w:rsidRDefault="00936DFE" w:rsidP="00936DFE">
      <w:pPr>
        <w:pStyle w:val="Bullet1G"/>
        <w:numPr>
          <w:ilvl w:val="0"/>
          <w:numId w:val="16"/>
        </w:numPr>
      </w:pPr>
      <w:r>
        <w:rPr>
          <w:bCs/>
          <w:i/>
        </w:rPr>
        <w:t>«</w:t>
      </w:r>
      <w:r w:rsidRPr="00CB26B4">
        <w:rPr>
          <w:bCs/>
          <w:i/>
        </w:rPr>
        <w:t>Юридическая</w:t>
      </w:r>
      <w:r w:rsidRPr="00CB26B4">
        <w:rPr>
          <w:i/>
        </w:rPr>
        <w:t xml:space="preserve"> защита прав человека</w:t>
      </w:r>
      <w:r>
        <w:rPr>
          <w:bCs/>
          <w:i/>
        </w:rPr>
        <w:t>»</w:t>
      </w:r>
      <w:r w:rsidRPr="00CB26B4">
        <w:t xml:space="preserve"> с тематикой: средства и механизмы защиты прав человека, минимальные стандарты обращения с заключенными, международные и национальные механизмы по борьбе с пытками </w:t>
      </w:r>
      <w:r>
        <w:t xml:space="preserve">— </w:t>
      </w:r>
      <w:r w:rsidRPr="00CB26B4">
        <w:t>8 часов.</w:t>
      </w:r>
    </w:p>
    <w:p w14:paraId="5E5ED3FB" w14:textId="77777777" w:rsidR="00936DFE" w:rsidRPr="00CB26B4" w:rsidRDefault="00936DFE" w:rsidP="00936DFE">
      <w:pPr>
        <w:pStyle w:val="Bullet1G"/>
        <w:numPr>
          <w:ilvl w:val="0"/>
          <w:numId w:val="16"/>
        </w:numPr>
      </w:pPr>
      <w:r>
        <w:rPr>
          <w:bCs/>
          <w:i/>
        </w:rPr>
        <w:t>«</w:t>
      </w:r>
      <w:r w:rsidRPr="00CB26B4">
        <w:rPr>
          <w:bCs/>
          <w:i/>
        </w:rPr>
        <w:t>Обеспечение гендерного равенства и предотвращение дискриминации</w:t>
      </w:r>
      <w:r>
        <w:rPr>
          <w:bCs/>
          <w:i/>
        </w:rPr>
        <w:t>»</w:t>
      </w:r>
      <w:r w:rsidRPr="00CB26B4">
        <w:rPr>
          <w:bCs/>
          <w:i/>
        </w:rPr>
        <w:t xml:space="preserve"> </w:t>
      </w:r>
      <w:r w:rsidRPr="00CB26B4">
        <w:rPr>
          <w:bCs/>
        </w:rPr>
        <w:t>с тематикой: укрепление навыков полицейских в области защиты прав человека, в особенности национальных меньшинств, соблюдение основных прав и свобод людей с ограниченными возможностями, укрепление навыков сотрудников МВД в области недискриминации, недопущения пыток и стандартов, установленных</w:t>
      </w:r>
      <w:r>
        <w:rPr>
          <w:bCs/>
        </w:rPr>
        <w:t xml:space="preserve"> </w:t>
      </w:r>
      <w:r w:rsidRPr="00CB26B4">
        <w:rPr>
          <w:bCs/>
        </w:rPr>
        <w:t xml:space="preserve">Стамбульским Протоколом, в том числе в области предотвращения насилия среди заключенных </w:t>
      </w:r>
      <w:r>
        <w:rPr>
          <w:bCs/>
        </w:rPr>
        <w:t>—</w:t>
      </w:r>
      <w:r w:rsidRPr="00CB26B4">
        <w:rPr>
          <w:bCs/>
        </w:rPr>
        <w:t xml:space="preserve"> 24 часа.</w:t>
      </w:r>
    </w:p>
    <w:p w14:paraId="76F73240" w14:textId="77777777" w:rsidR="00936DFE" w:rsidRPr="00CB26B4" w:rsidRDefault="00936DFE" w:rsidP="00936DFE">
      <w:pPr>
        <w:pStyle w:val="Bullet1G"/>
        <w:numPr>
          <w:ilvl w:val="0"/>
          <w:numId w:val="16"/>
        </w:numPr>
      </w:pPr>
      <w:r>
        <w:rPr>
          <w:bCs/>
          <w:i/>
        </w:rPr>
        <w:t>«</w:t>
      </w:r>
      <w:r w:rsidRPr="00CB26B4">
        <w:rPr>
          <w:bCs/>
          <w:i/>
        </w:rPr>
        <w:t>Защита прав национальных меньшинств</w:t>
      </w:r>
      <w:r>
        <w:rPr>
          <w:bCs/>
          <w:i/>
        </w:rPr>
        <w:t>»</w:t>
      </w:r>
      <w:r w:rsidRPr="00CB26B4">
        <w:rPr>
          <w:bCs/>
          <w:i/>
        </w:rPr>
        <w:t xml:space="preserve"> </w:t>
      </w:r>
      <w:r w:rsidRPr="00CB26B4">
        <w:rPr>
          <w:bCs/>
        </w:rPr>
        <w:t xml:space="preserve">с тематикой: защита прав этнических меньшинств (ромов и других этносов), защита прав и свобод людей, принадлежащих к национальным меньшинствам, с ограниченными возможностями, национальная идентичность, этнический фактор и модели </w:t>
      </w:r>
      <w:r w:rsidRPr="00CB26B4">
        <w:rPr>
          <w:bCs/>
        </w:rPr>
        <w:lastRenderedPageBreak/>
        <w:t xml:space="preserve">интеграции этнических групп, анализ национальной и международной законодательной базы в области интеграции этнических групп, уважение этнической идентичности ромов и их интеграция </w:t>
      </w:r>
      <w:r>
        <w:rPr>
          <w:bCs/>
        </w:rPr>
        <w:t>—</w:t>
      </w:r>
      <w:r w:rsidRPr="00CB26B4">
        <w:rPr>
          <w:bCs/>
        </w:rPr>
        <w:t xml:space="preserve"> 16 часов.</w:t>
      </w:r>
    </w:p>
    <w:p w14:paraId="044FBAF0" w14:textId="77777777" w:rsidR="00936DFE" w:rsidRDefault="00936DFE" w:rsidP="00936DFE">
      <w:pPr>
        <w:pStyle w:val="Bullet1G"/>
        <w:numPr>
          <w:ilvl w:val="0"/>
          <w:numId w:val="16"/>
        </w:numPr>
      </w:pPr>
      <w:r>
        <w:rPr>
          <w:i/>
        </w:rPr>
        <w:t>«</w:t>
      </w:r>
      <w:r w:rsidRPr="00CB26B4">
        <w:rPr>
          <w:i/>
        </w:rPr>
        <w:t>Юридическая защита прав человека</w:t>
      </w:r>
      <w:r w:rsidRPr="00CB26B4">
        <w:rPr>
          <w:bCs/>
          <w:i/>
        </w:rPr>
        <w:t xml:space="preserve"> II</w:t>
      </w:r>
      <w:r>
        <w:rPr>
          <w:bCs/>
          <w:i/>
        </w:rPr>
        <w:t xml:space="preserve">» </w:t>
      </w:r>
      <w:r w:rsidRPr="00CB26B4">
        <w:rPr>
          <w:bCs/>
        </w:rPr>
        <w:t xml:space="preserve">с тематикой: соблюдение основных прав и свобод людей с ограниченными возможностями, средства и механизмы защиты прав человека, </w:t>
      </w:r>
      <w:r w:rsidRPr="00CB26B4">
        <w:t xml:space="preserve">минимальные стандарты обращения с заключенными, международные и национальные механизмы по борьбе с пытками, </w:t>
      </w:r>
      <w:r w:rsidRPr="00CB26B4">
        <w:rPr>
          <w:bCs/>
        </w:rPr>
        <w:t>правовые дела ЕСПЧ относительно нарушения определ</w:t>
      </w:r>
      <w:r>
        <w:rPr>
          <w:bCs/>
        </w:rPr>
        <w:t>е</w:t>
      </w:r>
      <w:r w:rsidRPr="00CB26B4">
        <w:rPr>
          <w:bCs/>
        </w:rPr>
        <w:t xml:space="preserve">нных прав человека </w:t>
      </w:r>
      <w:r>
        <w:rPr>
          <w:bCs/>
        </w:rPr>
        <w:t xml:space="preserve">— </w:t>
      </w:r>
      <w:r w:rsidRPr="00CB26B4">
        <w:rPr>
          <w:bCs/>
        </w:rPr>
        <w:t xml:space="preserve">24 часа. </w:t>
      </w:r>
    </w:p>
    <w:p w14:paraId="01C33C11" w14:textId="77777777" w:rsidR="00936DFE" w:rsidRDefault="00936DFE" w:rsidP="00936DFE">
      <w:pPr>
        <w:pStyle w:val="SingleTxtG"/>
        <w:rPr>
          <w:bCs/>
        </w:rPr>
      </w:pPr>
      <w:r>
        <w:rPr>
          <w:bCs/>
        </w:rPr>
        <w:t>201.</w:t>
      </w:r>
      <w:r>
        <w:rPr>
          <w:bCs/>
        </w:rPr>
        <w:tab/>
      </w:r>
      <w:r w:rsidRPr="00CB26B4">
        <w:rPr>
          <w:bCs/>
        </w:rPr>
        <w:t>В период 2017</w:t>
      </w:r>
      <w:r>
        <w:rPr>
          <w:bCs/>
        </w:rPr>
        <w:t>–</w:t>
      </w:r>
      <w:r w:rsidRPr="00CB26B4">
        <w:rPr>
          <w:bCs/>
        </w:rPr>
        <w:t>2019 г</w:t>
      </w:r>
      <w:r>
        <w:rPr>
          <w:bCs/>
        </w:rPr>
        <w:t>одов</w:t>
      </w:r>
      <w:r w:rsidRPr="00CB26B4">
        <w:rPr>
          <w:bCs/>
        </w:rPr>
        <w:t xml:space="preserve"> 205 прокуроров прошли обучение в рамках 17</w:t>
      </w:r>
      <w:r>
        <w:rPr>
          <w:bCs/>
        </w:rPr>
        <w:t> </w:t>
      </w:r>
      <w:r w:rsidRPr="00CB26B4">
        <w:rPr>
          <w:bCs/>
        </w:rPr>
        <w:t>мероприятий, организованных Национальным институтом юстиции, по следующим тематикам: Европейская конвенция по правам человека: уголовные аспекты; обеспечение фундаментальных прав человека в контексте международного правового сотрудничества между государствами; права мигрантов; права жертв преступлений в рамках уголовного процесса; регистрация и расследование преступлений на почве ненависти; недискриминация и равенство.</w:t>
      </w:r>
    </w:p>
    <w:p w14:paraId="39E41877" w14:textId="77777777" w:rsidR="00936DFE" w:rsidRDefault="00936DFE" w:rsidP="00936DFE">
      <w:pPr>
        <w:pStyle w:val="SingleTxtG"/>
        <w:rPr>
          <w:bCs/>
        </w:rPr>
      </w:pPr>
      <w:r>
        <w:rPr>
          <w:bCs/>
        </w:rPr>
        <w:t>202.</w:t>
      </w:r>
      <w:r>
        <w:rPr>
          <w:bCs/>
        </w:rPr>
        <w:tab/>
      </w:r>
      <w:r w:rsidRPr="00CB26B4">
        <w:rPr>
          <w:bCs/>
        </w:rPr>
        <w:t>В период 18–20 ноября 2019 г</w:t>
      </w:r>
      <w:r>
        <w:rPr>
          <w:bCs/>
        </w:rPr>
        <w:t>ода</w:t>
      </w:r>
      <w:r w:rsidRPr="00CB26B4">
        <w:rPr>
          <w:bCs/>
        </w:rPr>
        <w:t xml:space="preserve"> состоялся обучающий семинар с тематикой «Преступления на почве ненависти к ромам </w:t>
      </w:r>
      <w:r>
        <w:rPr>
          <w:bCs/>
        </w:rPr>
        <w:t>—</w:t>
      </w:r>
      <w:r w:rsidRPr="00CB26B4">
        <w:rPr>
          <w:bCs/>
        </w:rPr>
        <w:t xml:space="preserve"> вызов для национальной полиции», организованный МВД и ГИП под эгидой СЕ. Цель обучающего семинара </w:t>
      </w:r>
      <w:r>
        <w:rPr>
          <w:bCs/>
        </w:rPr>
        <w:t>—</w:t>
      </w:r>
      <w:r w:rsidRPr="00CB26B4">
        <w:rPr>
          <w:bCs/>
        </w:rPr>
        <w:t xml:space="preserve"> укрепление теоретических знаний и практического опыта сотрудников полиции в</w:t>
      </w:r>
      <w:r>
        <w:rPr>
          <w:bCs/>
        </w:rPr>
        <w:t> </w:t>
      </w:r>
      <w:r w:rsidRPr="00CB26B4">
        <w:rPr>
          <w:bCs/>
        </w:rPr>
        <w:t>области расследования и документации преступлений на почве ненависти, посредством применения передового европейского опыта и рассмотрения прецедентного права ЕСПЧ. В семинаре приняли участие</w:t>
      </w:r>
      <w:r>
        <w:rPr>
          <w:bCs/>
        </w:rPr>
        <w:t xml:space="preserve"> </w:t>
      </w:r>
      <w:r w:rsidRPr="00CB26B4">
        <w:rPr>
          <w:bCs/>
        </w:rPr>
        <w:t xml:space="preserve">25 полицейских. </w:t>
      </w:r>
    </w:p>
    <w:p w14:paraId="7E8B6139" w14:textId="77777777" w:rsidR="00936DFE" w:rsidRDefault="00936DFE" w:rsidP="00936DFE">
      <w:pPr>
        <w:pStyle w:val="SingleTxtG"/>
        <w:rPr>
          <w:bCs/>
        </w:rPr>
      </w:pPr>
      <w:r>
        <w:rPr>
          <w:bCs/>
        </w:rPr>
        <w:t>203.</w:t>
      </w:r>
      <w:r>
        <w:rPr>
          <w:bCs/>
        </w:rPr>
        <w:tab/>
      </w:r>
      <w:r w:rsidRPr="00CB26B4">
        <w:rPr>
          <w:bCs/>
        </w:rPr>
        <w:t>В период 29</w:t>
      </w:r>
      <w:r>
        <w:rPr>
          <w:bCs/>
        </w:rPr>
        <w:t>–</w:t>
      </w:r>
      <w:r w:rsidRPr="00CB26B4">
        <w:rPr>
          <w:bCs/>
        </w:rPr>
        <w:t>31 января 2019 г</w:t>
      </w:r>
      <w:r>
        <w:rPr>
          <w:bCs/>
        </w:rPr>
        <w:t>ода</w:t>
      </w:r>
      <w:r w:rsidRPr="00CB26B4">
        <w:rPr>
          <w:bCs/>
        </w:rPr>
        <w:t xml:space="preserve"> Совет по Телерадиовещанию (СТР) организовал, при поддержке СЕ, </w:t>
      </w:r>
      <w:r>
        <w:rPr>
          <w:bCs/>
        </w:rPr>
        <w:t>три</w:t>
      </w:r>
      <w:r w:rsidRPr="00CB26B4">
        <w:rPr>
          <w:bCs/>
        </w:rPr>
        <w:t xml:space="preserve"> национальных семинара (в муниципиях </w:t>
      </w:r>
      <w:proofErr w:type="spellStart"/>
      <w:r w:rsidRPr="00CB26B4">
        <w:rPr>
          <w:bCs/>
        </w:rPr>
        <w:t>Кишинэу</w:t>
      </w:r>
      <w:proofErr w:type="spellEnd"/>
      <w:r w:rsidRPr="00CB26B4">
        <w:rPr>
          <w:bCs/>
        </w:rPr>
        <w:t xml:space="preserve">, Комрат, </w:t>
      </w:r>
      <w:proofErr w:type="spellStart"/>
      <w:r w:rsidRPr="00CB26B4">
        <w:rPr>
          <w:bCs/>
        </w:rPr>
        <w:t>Бэлць</w:t>
      </w:r>
      <w:proofErr w:type="spellEnd"/>
      <w:r w:rsidRPr="00CB26B4">
        <w:rPr>
          <w:bCs/>
        </w:rPr>
        <w:t>)</w:t>
      </w:r>
      <w:r>
        <w:rPr>
          <w:bCs/>
        </w:rPr>
        <w:t xml:space="preserve"> </w:t>
      </w:r>
      <w:r w:rsidRPr="00CB26B4">
        <w:rPr>
          <w:bCs/>
        </w:rPr>
        <w:t>с тематикой «Освещение предвыборной кампании парламентских выборов и республиканского референдума 24 февраля 2019 г</w:t>
      </w:r>
      <w:r>
        <w:rPr>
          <w:bCs/>
        </w:rPr>
        <w:t>ода</w:t>
      </w:r>
      <w:r w:rsidRPr="00CB26B4">
        <w:rPr>
          <w:bCs/>
        </w:rPr>
        <w:t xml:space="preserve"> поставщиками теле- и радиовещательных услуг» для журналистов и редакторов теле- и радиоканалов Республики Молдова. Цель семинаров </w:t>
      </w:r>
      <w:r>
        <w:rPr>
          <w:bCs/>
        </w:rPr>
        <w:t>—</w:t>
      </w:r>
      <w:r w:rsidRPr="00CB26B4">
        <w:rPr>
          <w:bCs/>
        </w:rPr>
        <w:t xml:space="preserve"> обеспечение справедливого, сбалансированного и беспристрастного освещения предвыборной кампании, обеспечение ликвидации всех форм дискриминации на основе расы, пола, религии, ксенофобии, продвижение свободы выражения и политического плюрализма в аудиовизуальных услугах, предоставляемых теле- и радиовещательными поставщиками страны. </w:t>
      </w:r>
    </w:p>
    <w:p w14:paraId="441DD04D" w14:textId="77777777" w:rsidR="00936DFE" w:rsidRDefault="00936DFE" w:rsidP="00936DFE">
      <w:pPr>
        <w:pStyle w:val="SingleTxtG"/>
        <w:rPr>
          <w:bCs/>
        </w:rPr>
      </w:pPr>
      <w:r>
        <w:rPr>
          <w:bCs/>
        </w:rPr>
        <w:t>204.</w:t>
      </w:r>
      <w:r>
        <w:rPr>
          <w:bCs/>
        </w:rPr>
        <w:tab/>
      </w:r>
      <w:r w:rsidRPr="00CB26B4">
        <w:rPr>
          <w:bCs/>
        </w:rPr>
        <w:t>СТР осуществил тематический мониторинг эфирного времени/пространства, предоставленного сообществу ромов в период 1</w:t>
      </w:r>
      <w:r>
        <w:rPr>
          <w:bCs/>
        </w:rPr>
        <w:t xml:space="preserve"> января </w:t>
      </w:r>
      <w:r w:rsidRPr="00CB26B4">
        <w:rPr>
          <w:bCs/>
        </w:rPr>
        <w:t>2018</w:t>
      </w:r>
      <w:r>
        <w:rPr>
          <w:bCs/>
        </w:rPr>
        <w:t xml:space="preserve"> года — 1</w:t>
      </w:r>
      <w:r w:rsidRPr="00CB26B4">
        <w:rPr>
          <w:bCs/>
        </w:rPr>
        <w:t>0</w:t>
      </w:r>
      <w:r>
        <w:rPr>
          <w:bCs/>
        </w:rPr>
        <w:t xml:space="preserve"> апреля </w:t>
      </w:r>
      <w:r w:rsidRPr="00CB26B4">
        <w:rPr>
          <w:bCs/>
        </w:rPr>
        <w:t>2019</w:t>
      </w:r>
      <w:r>
        <w:rPr>
          <w:bCs/>
        </w:rPr>
        <w:t> </w:t>
      </w:r>
      <w:r w:rsidRPr="00CB26B4">
        <w:rPr>
          <w:bCs/>
        </w:rPr>
        <w:t>г</w:t>
      </w:r>
      <w:r>
        <w:rPr>
          <w:bCs/>
        </w:rPr>
        <w:t>ода</w:t>
      </w:r>
      <w:r w:rsidRPr="00CB26B4">
        <w:rPr>
          <w:bCs/>
        </w:rPr>
        <w:t xml:space="preserve"> поставщиками медиа-услуг в Республике Молдова. В указанный период из 57 поставщиков телевизионных медиа-услуг, действующих на территории Республики Молдова, 21 предоставили эфирное время и пространство сообществу ромов, перечислили программы, их дату и продолжительность. Что касается поставщиков радиовещательных услуг, то из 55 действующих, только </w:t>
      </w:r>
      <w:r>
        <w:rPr>
          <w:bCs/>
        </w:rPr>
        <w:t>пять</w:t>
      </w:r>
      <w:r w:rsidRPr="00CB26B4">
        <w:rPr>
          <w:bCs/>
        </w:rPr>
        <w:t xml:space="preserve"> выделили эфирное время и пространство сообществу ромов.</w:t>
      </w:r>
      <w:r>
        <w:rPr>
          <w:bCs/>
        </w:rPr>
        <w:t xml:space="preserve"> </w:t>
      </w:r>
      <w:r w:rsidRPr="00CB26B4">
        <w:rPr>
          <w:bCs/>
        </w:rPr>
        <w:t>21 поставщик телевизионных медиа-услуг</w:t>
      </w:r>
      <w:r>
        <w:rPr>
          <w:bCs/>
        </w:rPr>
        <w:t xml:space="preserve"> </w:t>
      </w:r>
      <w:r w:rsidRPr="00CB26B4">
        <w:rPr>
          <w:bCs/>
        </w:rPr>
        <w:t xml:space="preserve">предоставили 27 часов эфирного времени для отражения проблематики ромов, а поставщики радиовещательных медиа-услуг </w:t>
      </w:r>
      <w:r>
        <w:rPr>
          <w:bCs/>
        </w:rPr>
        <w:t>—</w:t>
      </w:r>
      <w:r w:rsidRPr="00CB26B4">
        <w:rPr>
          <w:bCs/>
        </w:rPr>
        <w:t xml:space="preserve"> всего 25 минут. </w:t>
      </w:r>
    </w:p>
    <w:p w14:paraId="46CCF8E8" w14:textId="77777777" w:rsidR="00936DFE" w:rsidRDefault="00936DFE" w:rsidP="00936DFE">
      <w:pPr>
        <w:pStyle w:val="H1G"/>
      </w:pPr>
      <w:r>
        <w:tab/>
      </w:r>
      <w:r>
        <w:tab/>
        <w:t>Информация о последующей деятельности в связи с пунктами 26 и 28 з</w:t>
      </w:r>
      <w:r w:rsidRPr="00CB26B4">
        <w:t>аключительны</w:t>
      </w:r>
      <w:r>
        <w:t>х</w:t>
      </w:r>
      <w:r w:rsidRPr="00CB26B4">
        <w:t xml:space="preserve"> замечани</w:t>
      </w:r>
      <w:r>
        <w:t xml:space="preserve">й </w:t>
      </w:r>
    </w:p>
    <w:p w14:paraId="4075BB71" w14:textId="77777777" w:rsidR="00936DFE" w:rsidRDefault="00936DFE" w:rsidP="00936DFE">
      <w:pPr>
        <w:pStyle w:val="SingleTxtG"/>
        <w:rPr>
          <w:bCs/>
        </w:rPr>
      </w:pPr>
      <w:r>
        <w:rPr>
          <w:bCs/>
        </w:rPr>
        <w:t>205.</w:t>
      </w:r>
      <w:r>
        <w:rPr>
          <w:bCs/>
        </w:rPr>
        <w:tab/>
      </w:r>
      <w:r w:rsidRPr="00CB26B4">
        <w:rPr>
          <w:bCs/>
        </w:rPr>
        <w:t xml:space="preserve">Действия по ратификации некоторых международных конвенций предусмотрены в Национальном плане действий в области прав человека на </w:t>
      </w:r>
      <w:r>
        <w:rPr>
          <w:bCs/>
        </w:rPr>
        <w:br/>
      </w:r>
      <w:r w:rsidRPr="00CB26B4">
        <w:rPr>
          <w:bCs/>
        </w:rPr>
        <w:t>2018–2022 г</w:t>
      </w:r>
      <w:r>
        <w:rPr>
          <w:bCs/>
        </w:rPr>
        <w:t>оды</w:t>
      </w:r>
      <w:r w:rsidRPr="00CB26B4">
        <w:rPr>
          <w:bCs/>
        </w:rPr>
        <w:t xml:space="preserve"> (НПДПЧ</w:t>
      </w:r>
      <w:r>
        <w:rPr>
          <w:bCs/>
        </w:rPr>
        <w:t>-3</w:t>
      </w:r>
      <w:r w:rsidRPr="00CB26B4">
        <w:rPr>
          <w:bCs/>
        </w:rPr>
        <w:t xml:space="preserve">): Глава </w:t>
      </w:r>
      <w:r w:rsidRPr="005A0337">
        <w:rPr>
          <w:bCs/>
        </w:rPr>
        <w:t>1 «Гармонизация национальной нормативной базы с международными стандартами»,</w:t>
      </w:r>
      <w:r w:rsidRPr="00CB26B4">
        <w:rPr>
          <w:bCs/>
        </w:rPr>
        <w:t xml:space="preserve"> в частности: действие 2 </w:t>
      </w:r>
      <w:r>
        <w:rPr>
          <w:bCs/>
        </w:rPr>
        <w:t>«</w:t>
      </w:r>
      <w:r w:rsidRPr="00CB26B4">
        <w:rPr>
          <w:bCs/>
        </w:rPr>
        <w:t>Ратификация Международной конвенции для защиты всех лиц от насильственных исчезновений</w:t>
      </w:r>
      <w:r>
        <w:rPr>
          <w:bCs/>
        </w:rPr>
        <w:t>»</w:t>
      </w:r>
      <w:r w:rsidRPr="00CB26B4">
        <w:rPr>
          <w:bCs/>
        </w:rPr>
        <w:t xml:space="preserve">; действие 3 </w:t>
      </w:r>
      <w:r>
        <w:rPr>
          <w:bCs/>
        </w:rPr>
        <w:t>«</w:t>
      </w:r>
      <w:r w:rsidRPr="00CB26B4">
        <w:rPr>
          <w:bCs/>
        </w:rPr>
        <w:t>Ратификация Конвенции ООН о защите прав всех трудящихся-мигрантов и членов их семей</w:t>
      </w:r>
      <w:r>
        <w:rPr>
          <w:bCs/>
        </w:rPr>
        <w:t>»</w:t>
      </w:r>
      <w:r w:rsidRPr="00CB26B4">
        <w:rPr>
          <w:bCs/>
        </w:rPr>
        <w:t xml:space="preserve">; действие 4 </w:t>
      </w:r>
      <w:r>
        <w:rPr>
          <w:bCs/>
        </w:rPr>
        <w:t>«</w:t>
      </w:r>
      <w:r w:rsidRPr="00CB26B4">
        <w:rPr>
          <w:bCs/>
        </w:rPr>
        <w:t>Ратификация поправки к ст</w:t>
      </w:r>
      <w:r>
        <w:rPr>
          <w:bCs/>
        </w:rPr>
        <w:t>атье</w:t>
      </w:r>
      <w:r w:rsidRPr="00CB26B4">
        <w:rPr>
          <w:bCs/>
        </w:rPr>
        <w:t xml:space="preserve"> 8</w:t>
      </w:r>
      <w:r>
        <w:rPr>
          <w:bCs/>
        </w:rPr>
        <w:t>,</w:t>
      </w:r>
      <w:r w:rsidRPr="00CB26B4">
        <w:rPr>
          <w:bCs/>
        </w:rPr>
        <w:t xml:space="preserve"> пункт 6</w:t>
      </w:r>
      <w:r>
        <w:rPr>
          <w:bCs/>
        </w:rPr>
        <w:t>,</w:t>
      </w:r>
      <w:r w:rsidRPr="00CB26B4">
        <w:rPr>
          <w:bCs/>
        </w:rPr>
        <w:t xml:space="preserve"> Международной конвенции о ликвидации всех форм расовой дискриминации</w:t>
      </w:r>
      <w:r>
        <w:rPr>
          <w:bCs/>
        </w:rPr>
        <w:t>»</w:t>
      </w:r>
      <w:r w:rsidRPr="00CB26B4">
        <w:rPr>
          <w:bCs/>
        </w:rPr>
        <w:t>.</w:t>
      </w:r>
    </w:p>
    <w:p w14:paraId="7FA4ABBF" w14:textId="77777777" w:rsidR="00936DFE" w:rsidRDefault="00936DFE" w:rsidP="00936DFE">
      <w:pPr>
        <w:pStyle w:val="SingleTxtG"/>
        <w:rPr>
          <w:bCs/>
        </w:rPr>
      </w:pPr>
      <w:r>
        <w:rPr>
          <w:bCs/>
        </w:rPr>
        <w:lastRenderedPageBreak/>
        <w:t>206.</w:t>
      </w:r>
      <w:r>
        <w:rPr>
          <w:bCs/>
        </w:rPr>
        <w:tab/>
      </w:r>
      <w:r w:rsidRPr="00CB26B4">
        <w:rPr>
          <w:bCs/>
        </w:rPr>
        <w:t>В то же время</w:t>
      </w:r>
      <w:r>
        <w:rPr>
          <w:bCs/>
        </w:rPr>
        <w:t xml:space="preserve"> </w:t>
      </w:r>
      <w:r w:rsidRPr="00CB26B4">
        <w:rPr>
          <w:bCs/>
        </w:rPr>
        <w:t>глава</w:t>
      </w:r>
      <w:r>
        <w:rPr>
          <w:bCs/>
        </w:rPr>
        <w:t xml:space="preserve"> </w:t>
      </w:r>
      <w:r w:rsidRPr="00CB26B4">
        <w:rPr>
          <w:bCs/>
        </w:rPr>
        <w:t xml:space="preserve">15 </w:t>
      </w:r>
      <w:r w:rsidRPr="00AA1A3F">
        <w:rPr>
          <w:bCs/>
        </w:rPr>
        <w:t>«Права лиц принадлежащих национальным меньшинствам» предусматривае</w:t>
      </w:r>
      <w:r w:rsidRPr="00CB26B4">
        <w:rPr>
          <w:bCs/>
        </w:rPr>
        <w:t xml:space="preserve">т, среди прочего, действия по организации мероприятий для поддержки лиц африканского происхождения в рамках Международного десятилетия лиц африканского происхождения 2015–2024 </w:t>
      </w:r>
      <w:r>
        <w:rPr>
          <w:bCs/>
        </w:rPr>
        <w:t xml:space="preserve">годов </w:t>
      </w:r>
      <w:r w:rsidRPr="00CB26B4">
        <w:rPr>
          <w:bCs/>
        </w:rPr>
        <w:t xml:space="preserve">(действие 2.2), а также по разработке и внедрению Плана действий для внедрения </w:t>
      </w:r>
      <w:proofErr w:type="spellStart"/>
      <w:r w:rsidRPr="00CB26B4">
        <w:rPr>
          <w:bCs/>
        </w:rPr>
        <w:t>Дурбанской</w:t>
      </w:r>
      <w:proofErr w:type="spellEnd"/>
      <w:r w:rsidRPr="00CB26B4">
        <w:rPr>
          <w:bCs/>
        </w:rPr>
        <w:t xml:space="preserve"> </w:t>
      </w:r>
      <w:r>
        <w:rPr>
          <w:bCs/>
        </w:rPr>
        <w:t>д</w:t>
      </w:r>
      <w:r w:rsidRPr="00CB26B4">
        <w:rPr>
          <w:bCs/>
        </w:rPr>
        <w:t>екларации, принятой на Всемирной конференции по борьбе против расизма, расовой дискриминации, ксенофобии и нетерпимости в Южной Африке, в</w:t>
      </w:r>
      <w:r>
        <w:rPr>
          <w:bCs/>
        </w:rPr>
        <w:t> </w:t>
      </w:r>
      <w:r w:rsidRPr="00CB26B4">
        <w:rPr>
          <w:bCs/>
        </w:rPr>
        <w:t>2001 г</w:t>
      </w:r>
      <w:r>
        <w:rPr>
          <w:bCs/>
        </w:rPr>
        <w:t>оду</w:t>
      </w:r>
      <w:r w:rsidRPr="00CB26B4">
        <w:rPr>
          <w:bCs/>
        </w:rPr>
        <w:t xml:space="preserve"> (действие 2.3).</w:t>
      </w:r>
      <w:r>
        <w:rPr>
          <w:bCs/>
        </w:rPr>
        <w:t xml:space="preserve"> </w:t>
      </w:r>
    </w:p>
    <w:p w14:paraId="6B5DCC73" w14:textId="77777777" w:rsidR="00936DFE" w:rsidRDefault="00936DFE" w:rsidP="00936DFE">
      <w:pPr>
        <w:pStyle w:val="HChG"/>
      </w:pPr>
      <w:r>
        <w:tab/>
      </w:r>
      <w:r>
        <w:tab/>
      </w:r>
      <w:r w:rsidRPr="00CB26B4">
        <w:t>Заключение</w:t>
      </w:r>
    </w:p>
    <w:p w14:paraId="0879409B" w14:textId="77777777" w:rsidR="00936DFE" w:rsidRPr="00CB26B4" w:rsidRDefault="00936DFE" w:rsidP="00936DFE">
      <w:pPr>
        <w:pStyle w:val="SingleTxtG"/>
        <w:rPr>
          <w:bCs/>
        </w:rPr>
      </w:pPr>
      <w:r>
        <w:rPr>
          <w:bCs/>
        </w:rPr>
        <w:t>207.</w:t>
      </w:r>
      <w:r>
        <w:rPr>
          <w:bCs/>
        </w:rPr>
        <w:tab/>
      </w:r>
      <w:r w:rsidRPr="00CB26B4">
        <w:rPr>
          <w:bCs/>
        </w:rPr>
        <w:t>Периодический отч</w:t>
      </w:r>
      <w:r>
        <w:rPr>
          <w:bCs/>
        </w:rPr>
        <w:t>е</w:t>
      </w:r>
      <w:r w:rsidRPr="00CB26B4">
        <w:rPr>
          <w:bCs/>
        </w:rPr>
        <w:t>т Республики Молдова о внедрении Международной конвенции о ликвидации всех форм расовой дискриминации (периодические отч</w:t>
      </w:r>
      <w:r>
        <w:rPr>
          <w:bCs/>
        </w:rPr>
        <w:t>е</w:t>
      </w:r>
      <w:r w:rsidRPr="00CB26B4">
        <w:rPr>
          <w:bCs/>
        </w:rPr>
        <w:t xml:space="preserve">ты </w:t>
      </w:r>
      <w:r>
        <w:rPr>
          <w:bCs/>
        </w:rPr>
        <w:t>№</w:t>
      </w:r>
      <w:r w:rsidRPr="00CB26B4">
        <w:rPr>
          <w:bCs/>
        </w:rPr>
        <w:t>№</w:t>
      </w:r>
      <w:r>
        <w:rPr>
          <w:bCs/>
        </w:rPr>
        <w:t> </w:t>
      </w:r>
      <w:r w:rsidRPr="00CB26B4">
        <w:rPr>
          <w:bCs/>
        </w:rPr>
        <w:t>12, 13, 14) отража</w:t>
      </w:r>
      <w:r>
        <w:rPr>
          <w:bCs/>
        </w:rPr>
        <w:t>е</w:t>
      </w:r>
      <w:r w:rsidRPr="00CB26B4">
        <w:rPr>
          <w:bCs/>
        </w:rPr>
        <w:t>т прогресс и значительные достижения в процессе внедрения Конвенции в период 2017–2019 г</w:t>
      </w:r>
      <w:r>
        <w:rPr>
          <w:bCs/>
        </w:rPr>
        <w:t>одов</w:t>
      </w:r>
      <w:r w:rsidRPr="00CB26B4">
        <w:rPr>
          <w:bCs/>
        </w:rPr>
        <w:t xml:space="preserve"> через призму реализации «Заключительных замечаний относительно десятого и одиннадцатого периодического доклада Республики Молдова», принятых Комитетом по ликвидации расовой дискриминации (CERD/C/MDA/CO/10-11).</w:t>
      </w:r>
      <w:r>
        <w:rPr>
          <w:bCs/>
        </w:rPr>
        <w:t xml:space="preserve"> </w:t>
      </w:r>
      <w:r w:rsidRPr="00CB26B4">
        <w:rPr>
          <w:bCs/>
        </w:rPr>
        <w:t>Несмотря на это, существуют определ</w:t>
      </w:r>
      <w:r>
        <w:rPr>
          <w:bCs/>
        </w:rPr>
        <w:t>е</w:t>
      </w:r>
      <w:r w:rsidRPr="00CB26B4">
        <w:rPr>
          <w:bCs/>
        </w:rPr>
        <w:t>нные недостатки</w:t>
      </w:r>
      <w:r>
        <w:rPr>
          <w:bCs/>
        </w:rPr>
        <w:t xml:space="preserve"> </w:t>
      </w:r>
      <w:r w:rsidRPr="00CB26B4">
        <w:rPr>
          <w:bCs/>
        </w:rPr>
        <w:t>в имплементации Конвенции, к примеру:</w:t>
      </w:r>
    </w:p>
    <w:p w14:paraId="2EB03248" w14:textId="77777777" w:rsidR="00936DFE" w:rsidRPr="00CB26B4" w:rsidRDefault="00936DFE" w:rsidP="00936DFE">
      <w:pPr>
        <w:pStyle w:val="Bullet1G"/>
        <w:numPr>
          <w:ilvl w:val="0"/>
          <w:numId w:val="16"/>
        </w:numPr>
      </w:pPr>
      <w:r w:rsidRPr="00DA47FD">
        <w:rPr>
          <w:i/>
          <w:iCs/>
        </w:rPr>
        <w:t>необходимость</w:t>
      </w:r>
      <w:r w:rsidRPr="00CB26B4">
        <w:rPr>
          <w:i/>
        </w:rPr>
        <w:t xml:space="preserve"> улучшения системы сбора и систематизации</w:t>
      </w:r>
      <w:r w:rsidRPr="00CB26B4">
        <w:t xml:space="preserve"> данных о количестве преступлений на почве ненависти, случаев ненавистнических высказываний, уголовных преследований и компенсаций для жертв; </w:t>
      </w:r>
    </w:p>
    <w:p w14:paraId="3885C1EF" w14:textId="77777777" w:rsidR="00936DFE" w:rsidRPr="00CB26B4" w:rsidRDefault="00936DFE" w:rsidP="00936DFE">
      <w:pPr>
        <w:pStyle w:val="Bullet1G"/>
        <w:numPr>
          <w:ilvl w:val="0"/>
          <w:numId w:val="16"/>
        </w:numPr>
      </w:pPr>
      <w:r w:rsidRPr="00CB26B4">
        <w:rPr>
          <w:i/>
        </w:rPr>
        <w:t>недостатки в области защиты</w:t>
      </w:r>
      <w:r w:rsidRPr="00CB26B4">
        <w:t xml:space="preserve"> прав на свободное вероисповедование лиц, относящихся к определ</w:t>
      </w:r>
      <w:r>
        <w:t>е</w:t>
      </w:r>
      <w:r w:rsidRPr="00CB26B4">
        <w:t>нным этническим группам (мусульмане, евреи и т.</w:t>
      </w:r>
      <w:r>
        <w:t> </w:t>
      </w:r>
      <w:r w:rsidRPr="00CB26B4">
        <w:t>д.);</w:t>
      </w:r>
    </w:p>
    <w:p w14:paraId="7E6DB620" w14:textId="77777777" w:rsidR="00936DFE" w:rsidRPr="00CB26B4" w:rsidRDefault="00936DFE" w:rsidP="00936DFE">
      <w:pPr>
        <w:pStyle w:val="Bullet1G"/>
        <w:numPr>
          <w:ilvl w:val="0"/>
          <w:numId w:val="16"/>
        </w:numPr>
      </w:pPr>
      <w:r w:rsidRPr="00CB26B4">
        <w:rPr>
          <w:i/>
        </w:rPr>
        <w:t>сообщества ромов</w:t>
      </w:r>
      <w:r w:rsidRPr="00CB26B4">
        <w:t xml:space="preserve"> продолжают сталкиваться с вызовами, связанными с социальным исключением, дискриминацией, стереотипами, предрассудками и</w:t>
      </w:r>
      <w:r>
        <w:t> </w:t>
      </w:r>
      <w:r w:rsidRPr="00CB26B4">
        <w:t>т.</w:t>
      </w:r>
      <w:r>
        <w:t> </w:t>
      </w:r>
      <w:r w:rsidRPr="00CB26B4">
        <w:t>д.;</w:t>
      </w:r>
    </w:p>
    <w:p w14:paraId="51F0F4B1" w14:textId="77777777" w:rsidR="00936DFE" w:rsidRPr="00CB26B4" w:rsidRDefault="00936DFE" w:rsidP="00936DFE">
      <w:pPr>
        <w:pStyle w:val="Bullet1G"/>
        <w:numPr>
          <w:ilvl w:val="0"/>
          <w:numId w:val="16"/>
        </w:numPr>
      </w:pPr>
      <w:r w:rsidRPr="00CB26B4">
        <w:rPr>
          <w:i/>
        </w:rPr>
        <w:t>недостаточный уровень знаний и осознанности</w:t>
      </w:r>
      <w:r w:rsidRPr="00CB26B4">
        <w:t xml:space="preserve"> положений Конвенции среди государственных служащих, в особенности работающих в органах местного публичного управления;</w:t>
      </w:r>
    </w:p>
    <w:p w14:paraId="23E808F0" w14:textId="77777777" w:rsidR="00936DFE" w:rsidRPr="00CB26B4" w:rsidRDefault="00936DFE" w:rsidP="00936DFE">
      <w:pPr>
        <w:pStyle w:val="Bullet1G"/>
        <w:numPr>
          <w:ilvl w:val="0"/>
          <w:numId w:val="16"/>
        </w:numPr>
      </w:pPr>
      <w:r w:rsidRPr="00CB26B4">
        <w:rPr>
          <w:i/>
        </w:rPr>
        <w:t>несоблюдение положений нормативно-правовой базы</w:t>
      </w:r>
      <w:r w:rsidRPr="00CB26B4">
        <w:t>. Соответствующее национальное законодательство иногда не внедряется должным образом, наблюдаются нарушения некоторых законов и действующих нормативных актов. Из-за этих недостатков ряд проблем остаются нереш</w:t>
      </w:r>
      <w:r>
        <w:t>е</w:t>
      </w:r>
      <w:r w:rsidRPr="00CB26B4">
        <w:t>нными, в частности на местном уровне (нарушение языковых прав национальных меньшинств, низкое представительство лиц, принадлежащих к национальным меньшинствам, в государственном управлении и на государственной службе и</w:t>
      </w:r>
      <w:r>
        <w:t> </w:t>
      </w:r>
      <w:r w:rsidRPr="00CB26B4">
        <w:t>т.</w:t>
      </w:r>
      <w:r>
        <w:t> </w:t>
      </w:r>
      <w:r w:rsidRPr="00CB26B4">
        <w:t xml:space="preserve">д.). </w:t>
      </w:r>
    </w:p>
    <w:p w14:paraId="17ABA27A" w14:textId="77777777" w:rsidR="00936DFE" w:rsidRDefault="00936DFE" w:rsidP="00936DFE">
      <w:pPr>
        <w:pStyle w:val="SingleTxtG"/>
        <w:rPr>
          <w:bCs/>
        </w:rPr>
      </w:pPr>
      <w:r>
        <w:rPr>
          <w:bCs/>
        </w:rPr>
        <w:t>208.</w:t>
      </w:r>
      <w:r>
        <w:rPr>
          <w:bCs/>
        </w:rPr>
        <w:tab/>
      </w:r>
      <w:r w:rsidRPr="00CB26B4">
        <w:rPr>
          <w:bCs/>
        </w:rPr>
        <w:t xml:space="preserve">Устранение этих препятствий будет способствовать повышению эффективности и результативности процесса имплементации Конвенции, улучшению ситуации в данной сфере в целях скорейшей ликвидации всех форм и проявлений расовой дискриминации в обществе Республики Молдова. </w:t>
      </w:r>
    </w:p>
    <w:p w14:paraId="2E84DA25" w14:textId="77777777" w:rsidR="00936DFE" w:rsidRPr="00DA47FD" w:rsidRDefault="00936DFE" w:rsidP="00936DFE">
      <w:pPr>
        <w:pStyle w:val="SingleTxtG"/>
        <w:spacing w:before="240" w:after="0"/>
        <w:jc w:val="center"/>
        <w:rPr>
          <w:bCs/>
          <w:u w:val="single"/>
        </w:rPr>
      </w:pPr>
      <w:r>
        <w:rPr>
          <w:bCs/>
          <w:u w:val="single"/>
        </w:rPr>
        <w:tab/>
      </w:r>
      <w:r>
        <w:rPr>
          <w:bCs/>
          <w:u w:val="single"/>
        </w:rPr>
        <w:tab/>
      </w:r>
      <w:r>
        <w:rPr>
          <w:bCs/>
          <w:u w:val="single"/>
        </w:rPr>
        <w:tab/>
      </w:r>
      <w:r>
        <w:rPr>
          <w:bCs/>
          <w:u w:val="single"/>
        </w:rPr>
        <w:tab/>
      </w:r>
    </w:p>
    <w:p w14:paraId="39B17D48" w14:textId="77777777" w:rsidR="00C554C2" w:rsidRPr="00936DFE" w:rsidRDefault="00C554C2" w:rsidP="004055E9"/>
    <w:p w14:paraId="692003B4" w14:textId="77777777" w:rsidR="00381C24" w:rsidRPr="00936DFE" w:rsidRDefault="00381C24" w:rsidP="004055E9"/>
    <w:sectPr w:rsidR="00381C24" w:rsidRPr="00936DFE" w:rsidSect="00C554C2">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A61C1" w14:textId="77777777" w:rsidR="00F71F58" w:rsidRPr="00A312BC" w:rsidRDefault="00F71F58" w:rsidP="00A312BC"/>
  </w:endnote>
  <w:endnote w:type="continuationSeparator" w:id="0">
    <w:p w14:paraId="7F398814" w14:textId="77777777" w:rsidR="00F71F58" w:rsidRPr="00A312BC" w:rsidRDefault="00F71F5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EE28" w14:textId="77777777" w:rsidR="00C554C2" w:rsidRPr="00C554C2" w:rsidRDefault="00C554C2">
    <w:pPr>
      <w:pStyle w:val="a8"/>
    </w:pPr>
    <w:r w:rsidRPr="00C554C2">
      <w:rPr>
        <w:b/>
        <w:sz w:val="18"/>
      </w:rPr>
      <w:fldChar w:fldCharType="begin"/>
    </w:r>
    <w:r w:rsidRPr="00C554C2">
      <w:rPr>
        <w:b/>
        <w:sz w:val="18"/>
      </w:rPr>
      <w:instrText xml:space="preserve"> PAGE  \* MERGEFORMAT </w:instrText>
    </w:r>
    <w:r w:rsidRPr="00C554C2">
      <w:rPr>
        <w:b/>
        <w:sz w:val="18"/>
      </w:rPr>
      <w:fldChar w:fldCharType="separate"/>
    </w:r>
    <w:r w:rsidRPr="00C554C2">
      <w:rPr>
        <w:b/>
        <w:noProof/>
        <w:sz w:val="18"/>
      </w:rPr>
      <w:t>2</w:t>
    </w:r>
    <w:r w:rsidRPr="00C554C2">
      <w:rPr>
        <w:b/>
        <w:sz w:val="18"/>
      </w:rPr>
      <w:fldChar w:fldCharType="end"/>
    </w:r>
    <w:r>
      <w:rPr>
        <w:b/>
        <w:sz w:val="18"/>
      </w:rPr>
      <w:tab/>
    </w:r>
    <w:r>
      <w:t>GE.20-12684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56CF" w14:textId="77777777" w:rsidR="00C554C2" w:rsidRPr="00C554C2" w:rsidRDefault="00C554C2" w:rsidP="00C554C2">
    <w:pPr>
      <w:pStyle w:val="a8"/>
      <w:tabs>
        <w:tab w:val="clear" w:pos="9639"/>
        <w:tab w:val="right" w:pos="9638"/>
      </w:tabs>
      <w:rPr>
        <w:b/>
        <w:sz w:val="18"/>
      </w:rPr>
    </w:pPr>
    <w:r>
      <w:t>GE.20-12684</w:t>
    </w:r>
    <w:r>
      <w:tab/>
    </w:r>
    <w:r w:rsidRPr="00C554C2">
      <w:rPr>
        <w:b/>
        <w:sz w:val="18"/>
      </w:rPr>
      <w:fldChar w:fldCharType="begin"/>
    </w:r>
    <w:r w:rsidRPr="00C554C2">
      <w:rPr>
        <w:b/>
        <w:sz w:val="18"/>
      </w:rPr>
      <w:instrText xml:space="preserve"> PAGE  \* MERGEFORMAT </w:instrText>
    </w:r>
    <w:r w:rsidRPr="00C554C2">
      <w:rPr>
        <w:b/>
        <w:sz w:val="18"/>
      </w:rPr>
      <w:fldChar w:fldCharType="separate"/>
    </w:r>
    <w:r w:rsidRPr="00C554C2">
      <w:rPr>
        <w:b/>
        <w:noProof/>
        <w:sz w:val="18"/>
      </w:rPr>
      <w:t>3</w:t>
    </w:r>
    <w:r w:rsidRPr="00C554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EFA6F" w14:textId="076F0D5E" w:rsidR="00042B72" w:rsidRPr="00C554C2" w:rsidRDefault="00C554C2" w:rsidP="00C554C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06825BB" wp14:editId="167C65A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20-12684  (R)</w:t>
    </w:r>
    <w:r w:rsidR="00936DFE">
      <w:rPr>
        <w:lang w:val="en-US"/>
      </w:rPr>
      <w:t xml:space="preserve">  290920  </w:t>
    </w:r>
    <w:r w:rsidR="006A6B13">
      <w:rPr>
        <w:lang w:val="en-US"/>
      </w:rPr>
      <w:t>0110</w:t>
    </w:r>
    <w:r w:rsidR="00936DFE">
      <w:rPr>
        <w:lang w:val="en-US"/>
      </w:rPr>
      <w:t>20</w:t>
    </w:r>
    <w:r>
      <w:br/>
    </w:r>
    <w:r w:rsidRPr="00C554C2">
      <w:rPr>
        <w:rFonts w:ascii="C39T30Lfz" w:hAnsi="C39T30Lfz"/>
        <w:kern w:val="14"/>
        <w:sz w:val="56"/>
      </w:rPr>
      <w:t>*2012684*</w:t>
    </w:r>
    <w:r>
      <w:rPr>
        <w:noProof/>
      </w:rPr>
      <w:drawing>
        <wp:anchor distT="0" distB="0" distL="114300" distR="114300" simplePos="0" relativeHeight="251659264" behindDoc="0" locked="0" layoutInCell="1" allowOverlap="1" wp14:anchorId="155765A4" wp14:editId="54E312B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AAF96" w14:textId="77777777" w:rsidR="00F71F58" w:rsidRPr="001075E9" w:rsidRDefault="00F71F58" w:rsidP="001075E9">
      <w:pPr>
        <w:tabs>
          <w:tab w:val="right" w:pos="2155"/>
        </w:tabs>
        <w:spacing w:after="80" w:line="240" w:lineRule="auto"/>
        <w:ind w:left="680"/>
        <w:rPr>
          <w:u w:val="single"/>
        </w:rPr>
      </w:pPr>
      <w:r>
        <w:rPr>
          <w:u w:val="single"/>
        </w:rPr>
        <w:tab/>
      </w:r>
    </w:p>
  </w:footnote>
  <w:footnote w:type="continuationSeparator" w:id="0">
    <w:p w14:paraId="5F4E67E8" w14:textId="77777777" w:rsidR="00F71F58" w:rsidRDefault="00F71F58" w:rsidP="00407B78">
      <w:pPr>
        <w:tabs>
          <w:tab w:val="right" w:pos="2155"/>
        </w:tabs>
        <w:spacing w:after="80"/>
        <w:ind w:left="680"/>
        <w:rPr>
          <w:u w:val="single"/>
        </w:rPr>
      </w:pPr>
      <w:r>
        <w:rPr>
          <w:u w:val="single"/>
        </w:rPr>
        <w:tab/>
      </w:r>
    </w:p>
  </w:footnote>
  <w:footnote w:id="1">
    <w:p w14:paraId="265254B8" w14:textId="77777777" w:rsidR="00936DFE" w:rsidRPr="0075064B" w:rsidRDefault="00936DFE" w:rsidP="00936DFE">
      <w:pPr>
        <w:pStyle w:val="ad"/>
      </w:pPr>
      <w:r>
        <w:tab/>
      </w:r>
      <w:r w:rsidRPr="00936DFE">
        <w:rPr>
          <w:sz w:val="20"/>
        </w:rPr>
        <w:t>*</w:t>
      </w:r>
      <w:r>
        <w:tab/>
      </w:r>
      <w:r w:rsidRPr="0075064B">
        <w:t>Настоящий документ издается без официального редактирования.</w:t>
      </w:r>
    </w:p>
  </w:footnote>
  <w:footnote w:id="2">
    <w:p w14:paraId="3F88E6F1" w14:textId="77777777" w:rsidR="00936DFE" w:rsidRPr="00A900A4" w:rsidRDefault="00936DFE" w:rsidP="00936DFE">
      <w:pPr>
        <w:pStyle w:val="ad"/>
        <w:rPr>
          <w:b/>
        </w:rPr>
      </w:pPr>
      <w:r w:rsidRPr="0075064B">
        <w:tab/>
      </w:r>
      <w:r w:rsidRPr="00936DFE">
        <w:rPr>
          <w:rStyle w:val="aa"/>
        </w:rPr>
        <w:footnoteRef/>
      </w:r>
      <w:r>
        <w:tab/>
        <w:t xml:space="preserve">Конвенция была ратифицирована Республикой Молдова в </w:t>
      </w:r>
      <w:smartTag w:uri="urn:schemas-microsoft-com:office:smarttags" w:element="metricconverter">
        <w:smartTagPr>
          <w:attr w:name="ProductID" w:val="1991 г"/>
        </w:smartTagPr>
        <w:r>
          <w:t>1991 г</w:t>
        </w:r>
      </w:smartTag>
      <w:r>
        <w:t>оду Постановлением Парламента № 707-XII от 10</w:t>
      </w:r>
      <w:r w:rsidRPr="009B1955">
        <w:t xml:space="preserve"> </w:t>
      </w:r>
      <w:r>
        <w:t>сентября 1991 года. Для Республики Молдова Конвенция вступила в силу 25</w:t>
      </w:r>
      <w:r w:rsidRPr="00A079F7">
        <w:t xml:space="preserve"> </w:t>
      </w:r>
      <w:r>
        <w:t xml:space="preserve">февраля </w:t>
      </w:r>
      <w:smartTag w:uri="urn:schemas-microsoft-com:office:smarttags" w:element="metricconverter">
        <w:smartTagPr>
          <w:attr w:name="ProductID" w:val="1993 г"/>
        </w:smartTagPr>
        <w:r>
          <w:t>1993 г</w:t>
        </w:r>
      </w:smartTag>
      <w:r>
        <w:t xml:space="preserve">ода. </w:t>
      </w:r>
    </w:p>
  </w:footnote>
  <w:footnote w:id="3">
    <w:p w14:paraId="02108C10" w14:textId="77777777" w:rsidR="00936DFE" w:rsidRDefault="00936DFE" w:rsidP="00936DFE">
      <w:pPr>
        <w:pStyle w:val="ad"/>
      </w:pPr>
      <w:r>
        <w:tab/>
      </w:r>
      <w:r w:rsidRPr="00936DFE">
        <w:rPr>
          <w:rStyle w:val="aa"/>
        </w:rPr>
        <w:footnoteRef/>
      </w:r>
      <w:r>
        <w:tab/>
        <w:t>Конституция Республики Молдова в статьях 1 и 16 устанавливает, что человеческое достоинство, его права и свободы, свободное развитие человеческой личности представляют собой высшие ценности, а государство в равной степени гарантирует всем гражданам Республики Молдова равенство перед законом и государственными органами для полной реализации этих ценностей. В то же время, согласно статье 19 Конституции Республики Молдова, иностранные граждане и лица без гражданства имеют те же права и обязанности, что и граждане Республики Молдова, за исключениями, установленных законом.</w:t>
      </w:r>
    </w:p>
  </w:footnote>
  <w:footnote w:id="4">
    <w:p w14:paraId="4FD9F37D" w14:textId="77777777" w:rsidR="00936DFE" w:rsidRDefault="00936DFE" w:rsidP="00936DFE">
      <w:pPr>
        <w:pStyle w:val="ad"/>
      </w:pPr>
      <w:r>
        <w:tab/>
      </w:r>
      <w:r w:rsidRPr="00936DFE">
        <w:rPr>
          <w:rStyle w:val="aa"/>
        </w:rPr>
        <w:footnoteRef/>
      </w:r>
      <w:r>
        <w:tab/>
        <w:t xml:space="preserve">Права национальных меньшинств регулируются комплексом национальных нормативных актов: </w:t>
      </w:r>
      <w:r w:rsidRPr="009B1955">
        <w:rPr>
          <w:bCs/>
          <w:lang w:val="en-US"/>
        </w:rPr>
        <w:t>I</w:t>
      </w:r>
      <w:r w:rsidRPr="009B1955">
        <w:rPr>
          <w:bCs/>
        </w:rPr>
        <w:t>. Конституция</w:t>
      </w:r>
      <w:r>
        <w:t xml:space="preserve"> Республики Молдова; Закон о функционировании языков на территории Республики Молдова, № 3465-XI от 1 сентября 1989 года (в то же время Конституционный суд Постановлением </w:t>
      </w:r>
      <w:r>
        <w:rPr>
          <w:color w:val="0D0D0D"/>
        </w:rPr>
        <w:t xml:space="preserve">№ 17 от 4 июня 2018 года </w:t>
      </w:r>
      <w:r>
        <w:rPr>
          <w:bCs/>
          <w:color w:val="0D0D0D"/>
        </w:rPr>
        <w:t>признал</w:t>
      </w:r>
      <w:r>
        <w:rPr>
          <w:b/>
          <w:iCs/>
          <w:color w:val="0D0D0D"/>
        </w:rPr>
        <w:t xml:space="preserve"> </w:t>
      </w:r>
      <w:r w:rsidRPr="0009071D">
        <w:rPr>
          <w:b/>
          <w:iCs/>
          <w:color w:val="0D0D0D"/>
        </w:rPr>
        <w:t>устаревшим</w:t>
      </w:r>
      <w:r>
        <w:rPr>
          <w:b/>
          <w:iCs/>
          <w:color w:val="0D0D0D"/>
        </w:rPr>
        <w:t xml:space="preserve"> </w:t>
      </w:r>
      <w:r>
        <w:rPr>
          <w:color w:val="0D0D0D"/>
        </w:rPr>
        <w:t>этот закон)</w:t>
      </w:r>
      <w:r>
        <w:t>; Закон о правах лиц, принадлежащих к национальным меньшинствам, и правовом статусе их организаций, № 382-XV от 19 июня 2001 года</w:t>
      </w:r>
      <w:r w:rsidRPr="004D14E8">
        <w:t xml:space="preserve">; Закон об особом правовом статусе Гагаузии (Гагауз </w:t>
      </w:r>
      <w:proofErr w:type="spellStart"/>
      <w:r w:rsidRPr="004D14E8">
        <w:t>Ери</w:t>
      </w:r>
      <w:proofErr w:type="spellEnd"/>
      <w:r w:rsidRPr="004D14E8">
        <w:t xml:space="preserve">), № 344-XIII от 23 декабря 1994 года. </w:t>
      </w:r>
      <w:r w:rsidRPr="004D14E8">
        <w:rPr>
          <w:lang w:val="en-US"/>
        </w:rPr>
        <w:t>II</w:t>
      </w:r>
      <w:r w:rsidRPr="004D14E8">
        <w:t>. Законы, регулирующие права национальных меньшинств в различных областях: Закон</w:t>
      </w:r>
      <w:r>
        <w:t xml:space="preserve"> о порядке опубликования и вступления в силу официальных актов (№ 173-XIII от 6</w:t>
      </w:r>
      <w:r w:rsidRPr="004D14E8">
        <w:t xml:space="preserve"> </w:t>
      </w:r>
      <w:r>
        <w:t xml:space="preserve">июля 1994 года); Закон о правах ребенка (№ 338-XIII от 15 декабря 1994 года); Закон об удостоверяющих личность документах национальной паспортной системы (№ 273-XIII от 9 ноября 1994 года); Закон о судоустройстве (№ 514-XIII от 6 июля 1995 года); Закон о рекламе (№ 1227-XIII от 27 июня 1997 года; Закон о культуре (№ 413-XIV от 27 мая 1999 года); Закон о гражданстве Республики Молдова (№ 1024-XIV от 2 июня </w:t>
      </w:r>
      <w:smartTag w:uri="urn:schemas-microsoft-com:office:smarttags" w:element="metricconverter">
        <w:smartTagPr>
          <w:attr w:name="ProductID" w:val="2000 г"/>
        </w:smartTagPr>
        <w:r>
          <w:t>2000 г</w:t>
        </w:r>
      </w:smartTag>
      <w:r>
        <w:t>ода); Закон о доступе к информации (№ 982-XIV от 11 мая 2000 года); Закон о свободе совести, мысли и вероисповедания (№ 125-XVI от 11 мая 2007 года); Закон об обеспечении равенства (№ 121 от 25 мая 2012 года); Кодекс об образовании (№ 152 от 17 июля 2014 года), др.</w:t>
      </w:r>
      <w:r w:rsidRPr="004D14E8">
        <w:rPr>
          <w:bCs/>
        </w:rPr>
        <w:t xml:space="preserve"> </w:t>
      </w:r>
      <w:r w:rsidRPr="004D14E8">
        <w:rPr>
          <w:bCs/>
          <w:lang w:val="en-US"/>
        </w:rPr>
        <w:t>III</w:t>
      </w:r>
      <w:r w:rsidRPr="004D14E8">
        <w:rPr>
          <w:bCs/>
        </w:rPr>
        <w:t>.</w:t>
      </w:r>
      <w:r>
        <w:t xml:space="preserve"> Указы Президента и Постановления Правительства об обеспечении развития национальной культуры национальных меньшинств (украинцев, русских, болгар, ромов, евреев). </w:t>
      </w:r>
    </w:p>
  </w:footnote>
  <w:footnote w:id="5">
    <w:p w14:paraId="775EECA8" w14:textId="77777777" w:rsidR="00936DFE" w:rsidRPr="00071699" w:rsidRDefault="00936DFE" w:rsidP="00936DFE">
      <w:pPr>
        <w:pStyle w:val="ad"/>
        <w:rPr>
          <w:color w:val="0D0D0D" w:themeColor="text1" w:themeTint="F2"/>
        </w:rPr>
      </w:pPr>
      <w:r>
        <w:rPr>
          <w:color w:val="0D0D0D" w:themeColor="text1" w:themeTint="F2"/>
        </w:rPr>
        <w:tab/>
      </w:r>
      <w:r w:rsidRPr="00936DFE">
        <w:rPr>
          <w:rStyle w:val="aa"/>
        </w:rPr>
        <w:footnoteRef/>
      </w:r>
      <w:r>
        <w:rPr>
          <w:color w:val="0D0D0D" w:themeColor="text1" w:themeTint="F2"/>
        </w:rPr>
        <w:tab/>
      </w:r>
      <w:r w:rsidRPr="00071699">
        <w:rPr>
          <w:color w:val="0D0D0D" w:themeColor="text1" w:themeTint="F2"/>
        </w:rPr>
        <w:t>См</w:t>
      </w:r>
      <w:r>
        <w:rPr>
          <w:color w:val="0D0D0D" w:themeColor="text1" w:themeTint="F2"/>
        </w:rPr>
        <w:t xml:space="preserve">. </w:t>
      </w:r>
      <w:r w:rsidRPr="005238BC">
        <w:rPr>
          <w:color w:val="000000" w:themeColor="text1"/>
        </w:rPr>
        <w:t>Часть вторая Доклада.</w:t>
      </w:r>
    </w:p>
  </w:footnote>
  <w:footnote w:id="6">
    <w:p w14:paraId="0FA9EF9B" w14:textId="77777777" w:rsidR="00936DFE" w:rsidRPr="002804D1" w:rsidRDefault="00936DFE" w:rsidP="00936DFE">
      <w:pPr>
        <w:pStyle w:val="ad"/>
        <w:rPr>
          <w:color w:val="0D0D0D" w:themeColor="text1" w:themeTint="F2"/>
        </w:rPr>
      </w:pPr>
      <w:r>
        <w:rPr>
          <w:color w:val="0D0D0D" w:themeColor="text1" w:themeTint="F2"/>
        </w:rPr>
        <w:tab/>
      </w:r>
      <w:r w:rsidRPr="00936DFE">
        <w:rPr>
          <w:rStyle w:val="aa"/>
        </w:rPr>
        <w:footnoteRef/>
      </w:r>
      <w:r>
        <w:rPr>
          <w:color w:val="0D0D0D" w:themeColor="text1" w:themeTint="F2"/>
        </w:rPr>
        <w:tab/>
      </w:r>
      <w:r w:rsidRPr="00071699">
        <w:rPr>
          <w:color w:val="0D0D0D" w:themeColor="text1" w:themeTint="F2"/>
        </w:rPr>
        <w:t>Стратегия реформы публичного управления на 2016</w:t>
      </w:r>
      <w:r>
        <w:rPr>
          <w:color w:val="0D0D0D" w:themeColor="text1" w:themeTint="F2"/>
        </w:rPr>
        <w:t>–</w:t>
      </w:r>
      <w:r w:rsidRPr="00071699">
        <w:rPr>
          <w:color w:val="0D0D0D" w:themeColor="text1" w:themeTint="F2"/>
        </w:rPr>
        <w:t>2020 годы, утвержденная ПП</w:t>
      </w:r>
      <w:r>
        <w:rPr>
          <w:color w:val="0D0D0D" w:themeColor="text1" w:themeTint="F2"/>
        </w:rPr>
        <w:t xml:space="preserve"> </w:t>
      </w:r>
      <w:r w:rsidRPr="00071699">
        <w:rPr>
          <w:color w:val="0D0D0D" w:themeColor="text1" w:themeTint="F2"/>
        </w:rPr>
        <w:t>№ 911 от</w:t>
      </w:r>
      <w:r>
        <w:rPr>
          <w:color w:val="0D0D0D" w:themeColor="text1" w:themeTint="F2"/>
        </w:rPr>
        <w:t> </w:t>
      </w:r>
      <w:r w:rsidRPr="00071699">
        <w:rPr>
          <w:color w:val="0D0D0D" w:themeColor="text1" w:themeTint="F2"/>
        </w:rPr>
        <w:t>25</w:t>
      </w:r>
      <w:r>
        <w:rPr>
          <w:color w:val="0D0D0D" w:themeColor="text1" w:themeTint="F2"/>
        </w:rPr>
        <w:t xml:space="preserve"> июля </w:t>
      </w:r>
      <w:r w:rsidRPr="00071699">
        <w:rPr>
          <w:color w:val="0D0D0D" w:themeColor="text1" w:themeTint="F2"/>
        </w:rPr>
        <w:t>2016 г</w:t>
      </w:r>
      <w:r>
        <w:rPr>
          <w:color w:val="0D0D0D" w:themeColor="text1" w:themeTint="F2"/>
        </w:rPr>
        <w:t>ода</w:t>
      </w:r>
      <w:r w:rsidRPr="00071699">
        <w:rPr>
          <w:color w:val="0D0D0D" w:themeColor="text1" w:themeTint="F2"/>
        </w:rPr>
        <w:t xml:space="preserve"> и</w:t>
      </w:r>
      <w:r>
        <w:rPr>
          <w:color w:val="0D0D0D" w:themeColor="text1" w:themeTint="F2"/>
        </w:rPr>
        <w:t xml:space="preserve"> </w:t>
      </w:r>
      <w:r w:rsidRPr="00071699">
        <w:rPr>
          <w:color w:val="0D0D0D" w:themeColor="text1" w:themeTint="F2"/>
        </w:rPr>
        <w:t>План действий на 2016</w:t>
      </w:r>
      <w:r>
        <w:rPr>
          <w:color w:val="0D0D0D" w:themeColor="text1" w:themeTint="F2"/>
        </w:rPr>
        <w:t>–</w:t>
      </w:r>
      <w:r w:rsidRPr="00071699">
        <w:rPr>
          <w:color w:val="0D0D0D" w:themeColor="text1" w:themeTint="F2"/>
        </w:rPr>
        <w:t xml:space="preserve">2018 годы по внедрению </w:t>
      </w:r>
      <w:r w:rsidRPr="002804D1">
        <w:rPr>
          <w:color w:val="0D0D0D" w:themeColor="text1" w:themeTint="F2"/>
        </w:rPr>
        <w:t>Стратегии реформы публичного управления на 2016</w:t>
      </w:r>
      <w:r>
        <w:rPr>
          <w:color w:val="0D0D0D" w:themeColor="text1" w:themeTint="F2"/>
        </w:rPr>
        <w:t>–</w:t>
      </w:r>
      <w:r w:rsidRPr="002804D1">
        <w:rPr>
          <w:color w:val="0D0D0D" w:themeColor="text1" w:themeTint="F2"/>
        </w:rPr>
        <w:t>2020 годы, утвержденный ПП № 1351 от 15</w:t>
      </w:r>
      <w:r>
        <w:rPr>
          <w:color w:val="0D0D0D" w:themeColor="text1" w:themeTint="F2"/>
        </w:rPr>
        <w:t xml:space="preserve"> декабря </w:t>
      </w:r>
      <w:r w:rsidRPr="002804D1">
        <w:rPr>
          <w:color w:val="0D0D0D" w:themeColor="text1" w:themeTint="F2"/>
        </w:rPr>
        <w:t>2016</w:t>
      </w:r>
      <w:r>
        <w:rPr>
          <w:color w:val="0D0D0D" w:themeColor="text1" w:themeTint="F2"/>
        </w:rPr>
        <w:t> </w:t>
      </w:r>
      <w:r w:rsidRPr="002804D1">
        <w:rPr>
          <w:color w:val="0D0D0D" w:themeColor="text1" w:themeTint="F2"/>
        </w:rPr>
        <w:t>г</w:t>
      </w:r>
      <w:r>
        <w:rPr>
          <w:color w:val="0D0D0D" w:themeColor="text1" w:themeTint="F2"/>
        </w:rPr>
        <w:t>ода</w:t>
      </w:r>
      <w:r w:rsidRPr="002804D1">
        <w:rPr>
          <w:color w:val="0D0D0D" w:themeColor="text1" w:themeTint="F2"/>
        </w:rPr>
        <w:t>.</w:t>
      </w:r>
    </w:p>
  </w:footnote>
  <w:footnote w:id="7">
    <w:p w14:paraId="0559C97B" w14:textId="77777777" w:rsidR="00936DFE" w:rsidRDefault="00936DFE" w:rsidP="00936DFE">
      <w:pPr>
        <w:pStyle w:val="ad"/>
        <w:rPr>
          <w:color w:val="0D0D0D" w:themeColor="text1" w:themeTint="F2"/>
          <w:sz w:val="24"/>
          <w:szCs w:val="24"/>
        </w:rPr>
      </w:pPr>
      <w:r>
        <w:rPr>
          <w:color w:val="0D0D0D" w:themeColor="text1" w:themeTint="F2"/>
          <w:shd w:val="clear" w:color="auto" w:fill="FFFFFF"/>
        </w:rPr>
        <w:tab/>
      </w:r>
      <w:r w:rsidRPr="00936DFE">
        <w:rPr>
          <w:rStyle w:val="aa"/>
        </w:rPr>
        <w:footnoteRef/>
      </w:r>
      <w:r>
        <w:rPr>
          <w:color w:val="0D0D0D" w:themeColor="text1" w:themeTint="F2"/>
          <w:shd w:val="clear" w:color="auto" w:fill="FFFFFF"/>
        </w:rPr>
        <w:tab/>
        <w:t>Для выполнения функций в области межэтнических отношений и функционирования языков в центральном аппарате МОКИ было создано новое структурное подразделение — «Служба политик в области межэтнических отношений», ПП № 1234 от 19 декабря 2018 года.</w:t>
      </w:r>
    </w:p>
  </w:footnote>
  <w:footnote w:id="8">
    <w:p w14:paraId="609321B0" w14:textId="77777777" w:rsidR="00936DFE" w:rsidRPr="004F028C" w:rsidRDefault="00936DFE" w:rsidP="00936DFE">
      <w:pPr>
        <w:pStyle w:val="ad"/>
        <w:rPr>
          <w:color w:val="0D0D0D" w:themeColor="text1" w:themeTint="F2"/>
          <w:lang w:val="fr-CH"/>
        </w:rPr>
      </w:pPr>
      <w:r>
        <w:rPr>
          <w:color w:val="0D0D0D" w:themeColor="text1" w:themeTint="F2"/>
        </w:rPr>
        <w:tab/>
      </w:r>
      <w:r w:rsidRPr="00936DFE">
        <w:rPr>
          <w:rStyle w:val="aa"/>
        </w:rPr>
        <w:footnoteRef/>
      </w:r>
      <w:r w:rsidRPr="002C2C1E">
        <w:rPr>
          <w:color w:val="0D0D0D" w:themeColor="text1" w:themeTint="F2"/>
          <w:lang w:val="fr-CH"/>
        </w:rPr>
        <w:tab/>
      </w:r>
      <w:r w:rsidRPr="0009071D">
        <w:rPr>
          <w:color w:val="0D0D0D" w:themeColor="text1" w:themeTint="F2"/>
          <w:lang w:val="fr-CH"/>
        </w:rPr>
        <w:t>file:///C:/Users/BRI/Desktop/convenția%20rasială,%202019,%20raport/raznîe%20informații.</w:t>
      </w:r>
      <w:r>
        <w:rPr>
          <w:color w:val="0D0D0D" w:themeColor="text1" w:themeTint="F2"/>
          <w:lang w:val="fr-CH"/>
        </w:rPr>
        <w:br/>
      </w:r>
      <w:r w:rsidRPr="0009071D">
        <w:rPr>
          <w:color w:val="0D0D0D" w:themeColor="text1" w:themeTint="F2"/>
          <w:lang w:val="fr-CH"/>
        </w:rPr>
        <w:t>%20raport/Analiza%20comparativă%20a%20practicilor%20eficiente%20aplicate%20de%20către%20instituțiile%20de%20protecție%20a%20drepturilor%20omului.pdf.</w:t>
      </w:r>
    </w:p>
  </w:footnote>
  <w:footnote w:id="9">
    <w:p w14:paraId="07804B03" w14:textId="77777777" w:rsidR="00936DFE" w:rsidRPr="002C2C1E" w:rsidRDefault="00936DFE" w:rsidP="00936DFE">
      <w:pPr>
        <w:pStyle w:val="ad"/>
        <w:rPr>
          <w:lang w:val="fr-CH"/>
        </w:rPr>
      </w:pPr>
      <w:r w:rsidRPr="004F028C">
        <w:rPr>
          <w:color w:val="0D0D0D" w:themeColor="text1" w:themeTint="F2"/>
          <w:lang w:val="fr-CH"/>
        </w:rPr>
        <w:tab/>
      </w:r>
      <w:r w:rsidRPr="00936DFE">
        <w:rPr>
          <w:rStyle w:val="aa"/>
        </w:rPr>
        <w:footnoteRef/>
      </w:r>
      <w:r w:rsidRPr="004F028C">
        <w:rPr>
          <w:color w:val="0D0D0D" w:themeColor="text1" w:themeTint="F2"/>
          <w:lang w:val="fr-CH"/>
        </w:rPr>
        <w:tab/>
      </w:r>
      <w:r w:rsidRPr="00752454">
        <w:rPr>
          <w:color w:val="0D0D0D" w:themeColor="text1" w:themeTint="F2"/>
          <w:lang w:val="fr-FR"/>
        </w:rPr>
        <w:t>file:///C:/Users/BRI/Desktop/convenția%20rasială,%202019,%20raport/raznîe%20informații.%</w:t>
      </w:r>
      <w:r>
        <w:rPr>
          <w:color w:val="0D0D0D" w:themeColor="text1" w:themeTint="F2"/>
          <w:lang w:val="fr-FR"/>
        </w:rPr>
        <w:br/>
      </w:r>
      <w:r w:rsidRPr="00752454">
        <w:rPr>
          <w:color w:val="0D0D0D" w:themeColor="text1" w:themeTint="F2"/>
          <w:lang w:val="fr-FR"/>
        </w:rPr>
        <w:t>20raport/AnalizaOSCEVR27122018IVfinrevVR.pdf</w:t>
      </w:r>
      <w:r w:rsidRPr="0009071D">
        <w:rPr>
          <w:color w:val="0D0D0D" w:themeColor="text1" w:themeTint="F2"/>
          <w:lang w:val="fr-CH"/>
        </w:rPr>
        <w:t>.</w:t>
      </w:r>
    </w:p>
  </w:footnote>
  <w:footnote w:id="10">
    <w:p w14:paraId="5FCA5F0C" w14:textId="77777777" w:rsidR="00936DFE" w:rsidRPr="002C2C1E" w:rsidRDefault="00936DFE" w:rsidP="00936DFE">
      <w:pPr>
        <w:pStyle w:val="ad"/>
        <w:rPr>
          <w:lang w:val="fr-CH"/>
        </w:rPr>
      </w:pPr>
      <w:r w:rsidRPr="002C2C1E">
        <w:rPr>
          <w:lang w:val="fr-CH"/>
        </w:rPr>
        <w:tab/>
      </w:r>
      <w:r w:rsidRPr="00936DFE">
        <w:rPr>
          <w:rStyle w:val="aa"/>
        </w:rPr>
        <w:footnoteRef/>
      </w:r>
      <w:r w:rsidRPr="007004C1">
        <w:rPr>
          <w:lang w:val="fr-CH"/>
        </w:rPr>
        <w:tab/>
      </w:r>
      <w:hyperlink r:id="rId1" w:history="1">
        <w:r w:rsidRPr="007004C1">
          <w:rPr>
            <w:rStyle w:val="af1"/>
            <w:rFonts w:eastAsiaTheme="minorHAnsi"/>
            <w:lang w:val="fr-CH"/>
          </w:rPr>
          <w:t>http://www.bri.gov.md/index.php?pag=noutati&amp;opa=view&amp;id=1509&amp;start=30&amp;l=</w:t>
        </w:r>
      </w:hyperlink>
      <w:r w:rsidRPr="002C2C1E">
        <w:rPr>
          <w:lang w:val="fr-CH"/>
        </w:rPr>
        <w:t>.</w:t>
      </w:r>
    </w:p>
  </w:footnote>
  <w:footnote w:id="11">
    <w:p w14:paraId="71AD2899" w14:textId="77777777" w:rsidR="00936DFE" w:rsidRPr="0003144D" w:rsidRDefault="00936DFE" w:rsidP="00936DFE">
      <w:pPr>
        <w:pStyle w:val="ad"/>
        <w:rPr>
          <w:color w:val="000000" w:themeColor="text1"/>
          <w:lang w:val="fr-CH"/>
        </w:rPr>
      </w:pPr>
      <w:r w:rsidRPr="002C2C1E">
        <w:rPr>
          <w:lang w:val="fr-CH"/>
        </w:rPr>
        <w:tab/>
      </w:r>
      <w:r w:rsidRPr="00936DFE">
        <w:rPr>
          <w:rStyle w:val="aa"/>
        </w:rPr>
        <w:footnoteRef/>
      </w:r>
      <w:r w:rsidRPr="002C2C1E">
        <w:rPr>
          <w:lang w:val="fr-CH"/>
        </w:rPr>
        <w:tab/>
      </w:r>
      <w:hyperlink r:id="rId2" w:history="1">
        <w:r w:rsidRPr="007004C1">
          <w:rPr>
            <w:rStyle w:val="af1"/>
            <w:lang w:val="fr-FR"/>
          </w:rPr>
          <w:t>http</w:t>
        </w:r>
        <w:r w:rsidRPr="007004C1">
          <w:rPr>
            <w:rStyle w:val="af1"/>
            <w:lang w:val="fr-CH"/>
          </w:rPr>
          <w:t>://</w:t>
        </w:r>
        <w:r w:rsidRPr="007004C1">
          <w:rPr>
            <w:rStyle w:val="af1"/>
            <w:lang w:val="fr-FR"/>
          </w:rPr>
          <w:t>egalitate</w:t>
        </w:r>
        <w:r w:rsidRPr="007004C1">
          <w:rPr>
            <w:rStyle w:val="af1"/>
            <w:lang w:val="fr-CH"/>
          </w:rPr>
          <w:t>.</w:t>
        </w:r>
        <w:r w:rsidRPr="007004C1">
          <w:rPr>
            <w:rStyle w:val="af1"/>
            <w:lang w:val="fr-FR"/>
          </w:rPr>
          <w:t>md</w:t>
        </w:r>
        <w:r w:rsidRPr="007004C1">
          <w:rPr>
            <w:rStyle w:val="af1"/>
            <w:lang w:val="fr-CH"/>
          </w:rPr>
          <w:t>/</w:t>
        </w:r>
        <w:r w:rsidRPr="007004C1">
          <w:rPr>
            <w:rStyle w:val="af1"/>
            <w:lang w:val="fr-FR"/>
          </w:rPr>
          <w:t>wp</w:t>
        </w:r>
        <w:r w:rsidRPr="007004C1">
          <w:rPr>
            <w:rStyle w:val="af1"/>
            <w:lang w:val="fr-CH"/>
          </w:rPr>
          <w:t>-</w:t>
        </w:r>
        <w:r w:rsidRPr="007004C1">
          <w:rPr>
            <w:rStyle w:val="af1"/>
            <w:lang w:val="fr-FR"/>
          </w:rPr>
          <w:t>content</w:t>
        </w:r>
        <w:r w:rsidRPr="007004C1">
          <w:rPr>
            <w:rStyle w:val="af1"/>
            <w:lang w:val="fr-CH"/>
          </w:rPr>
          <w:t>/</w:t>
        </w:r>
        <w:r w:rsidRPr="007004C1">
          <w:rPr>
            <w:rStyle w:val="af1"/>
            <w:lang w:val="fr-FR"/>
          </w:rPr>
          <w:t>uploads</w:t>
        </w:r>
        <w:r w:rsidRPr="007004C1">
          <w:rPr>
            <w:rStyle w:val="af1"/>
            <w:lang w:val="fr-CH"/>
          </w:rPr>
          <w:t>/2019/09/</w:t>
        </w:r>
        <w:r w:rsidRPr="007004C1">
          <w:rPr>
            <w:rStyle w:val="af1"/>
            <w:lang w:val="fr-FR"/>
          </w:rPr>
          <w:t>declaratie</w:t>
        </w:r>
        <w:r w:rsidRPr="007004C1">
          <w:rPr>
            <w:rStyle w:val="af1"/>
            <w:lang w:val="fr-CH"/>
          </w:rPr>
          <w:t>-</w:t>
        </w:r>
        <w:r w:rsidRPr="007004C1">
          <w:rPr>
            <w:rStyle w:val="af1"/>
            <w:lang w:val="fr-FR"/>
          </w:rPr>
          <w:t>comuna</w:t>
        </w:r>
        <w:r w:rsidRPr="007004C1">
          <w:rPr>
            <w:rStyle w:val="af1"/>
            <w:lang w:val="fr-CH"/>
          </w:rPr>
          <w:t>.</w:t>
        </w:r>
        <w:r w:rsidRPr="007004C1">
          <w:rPr>
            <w:rStyle w:val="af1"/>
            <w:lang w:val="fr-FR"/>
          </w:rPr>
          <w:t>pdf</w:t>
        </w:r>
      </w:hyperlink>
      <w:r w:rsidRPr="007004C1">
        <w:rPr>
          <w:rStyle w:val="af1"/>
          <w:lang w:val="fr-CH"/>
        </w:rPr>
        <w:t xml:space="preserve">; </w:t>
      </w:r>
      <w:r>
        <w:rPr>
          <w:rStyle w:val="af1"/>
          <w:lang w:val="fr-CH"/>
        </w:rPr>
        <w:br/>
      </w:r>
      <w:hyperlink r:id="rId3" w:history="1">
        <w:r w:rsidRPr="0003144D">
          <w:rPr>
            <w:rStyle w:val="af1"/>
            <w:color w:val="000000" w:themeColor="text1"/>
            <w:lang w:val="fr-FR"/>
          </w:rPr>
          <w:t>http</w:t>
        </w:r>
        <w:r w:rsidRPr="0003144D">
          <w:rPr>
            <w:rStyle w:val="af1"/>
            <w:color w:val="000000" w:themeColor="text1"/>
            <w:lang w:val="fr-CH"/>
          </w:rPr>
          <w:t>://</w:t>
        </w:r>
        <w:r w:rsidRPr="0003144D">
          <w:rPr>
            <w:rStyle w:val="af1"/>
            <w:color w:val="000000" w:themeColor="text1"/>
            <w:lang w:val="fr-FR"/>
          </w:rPr>
          <w:t>egalitate</w:t>
        </w:r>
        <w:r w:rsidRPr="0003144D">
          <w:rPr>
            <w:rStyle w:val="af1"/>
            <w:color w:val="000000" w:themeColor="text1"/>
            <w:lang w:val="fr-CH"/>
          </w:rPr>
          <w:t>.</w:t>
        </w:r>
        <w:r w:rsidRPr="0003144D">
          <w:rPr>
            <w:rStyle w:val="af1"/>
            <w:color w:val="000000" w:themeColor="text1"/>
            <w:lang w:val="fr-FR"/>
          </w:rPr>
          <w:t>md</w:t>
        </w:r>
        <w:r w:rsidRPr="0003144D">
          <w:rPr>
            <w:rStyle w:val="af1"/>
            <w:color w:val="000000" w:themeColor="text1"/>
            <w:lang w:val="fr-CH"/>
          </w:rPr>
          <w:t>/</w:t>
        </w:r>
        <w:r w:rsidRPr="0003144D">
          <w:rPr>
            <w:rStyle w:val="af1"/>
            <w:color w:val="000000" w:themeColor="text1"/>
            <w:lang w:val="fr-FR"/>
          </w:rPr>
          <w:t>wp</w:t>
        </w:r>
        <w:r w:rsidRPr="0003144D">
          <w:rPr>
            <w:rStyle w:val="af1"/>
            <w:color w:val="000000" w:themeColor="text1"/>
            <w:lang w:val="fr-CH"/>
          </w:rPr>
          <w:t>-</w:t>
        </w:r>
        <w:r w:rsidRPr="0003144D">
          <w:rPr>
            <w:rStyle w:val="af1"/>
            <w:color w:val="000000" w:themeColor="text1"/>
            <w:lang w:val="fr-FR"/>
          </w:rPr>
          <w:t>content</w:t>
        </w:r>
        <w:r w:rsidRPr="0003144D">
          <w:rPr>
            <w:rStyle w:val="af1"/>
            <w:color w:val="000000" w:themeColor="text1"/>
            <w:lang w:val="fr-CH"/>
          </w:rPr>
          <w:t>/</w:t>
        </w:r>
        <w:r w:rsidRPr="0003144D">
          <w:rPr>
            <w:rStyle w:val="af1"/>
            <w:color w:val="000000" w:themeColor="text1"/>
            <w:lang w:val="fr-FR"/>
          </w:rPr>
          <w:t>uploads</w:t>
        </w:r>
        <w:r w:rsidRPr="0003144D">
          <w:rPr>
            <w:rStyle w:val="af1"/>
            <w:color w:val="000000" w:themeColor="text1"/>
            <w:lang w:val="fr-CH"/>
          </w:rPr>
          <w:t>/2016/04/</w:t>
        </w:r>
        <w:r w:rsidRPr="0003144D">
          <w:rPr>
            <w:rStyle w:val="af1"/>
            <w:color w:val="000000" w:themeColor="text1"/>
            <w:lang w:val="fr-FR"/>
          </w:rPr>
          <w:t>declaratie</w:t>
        </w:r>
        <w:r w:rsidRPr="0003144D">
          <w:rPr>
            <w:rStyle w:val="af1"/>
            <w:color w:val="000000" w:themeColor="text1"/>
            <w:lang w:val="fr-CH"/>
          </w:rPr>
          <w:t>-</w:t>
        </w:r>
        <w:r w:rsidRPr="0003144D">
          <w:rPr>
            <w:rStyle w:val="af1"/>
            <w:color w:val="000000" w:themeColor="text1"/>
            <w:lang w:val="fr-FR"/>
          </w:rPr>
          <w:t>comuna</w:t>
        </w:r>
        <w:r w:rsidRPr="0003144D">
          <w:rPr>
            <w:rStyle w:val="af1"/>
            <w:color w:val="000000" w:themeColor="text1"/>
            <w:lang w:val="fr-CH"/>
          </w:rPr>
          <w:t>-</w:t>
        </w:r>
        <w:r w:rsidRPr="0003144D">
          <w:rPr>
            <w:rStyle w:val="af1"/>
            <w:color w:val="000000" w:themeColor="text1"/>
            <w:lang w:val="fr-FR"/>
          </w:rPr>
          <w:t>finala</w:t>
        </w:r>
        <w:r w:rsidRPr="0003144D">
          <w:rPr>
            <w:rStyle w:val="af1"/>
            <w:color w:val="000000" w:themeColor="text1"/>
            <w:lang w:val="fr-CH"/>
          </w:rPr>
          <w:t>-</w:t>
        </w:r>
        <w:r w:rsidRPr="0003144D">
          <w:rPr>
            <w:rStyle w:val="af1"/>
            <w:color w:val="000000" w:themeColor="text1"/>
            <w:lang w:val="fr-FR"/>
          </w:rPr>
          <w:t>RU</w:t>
        </w:r>
        <w:r w:rsidRPr="0003144D">
          <w:rPr>
            <w:rStyle w:val="af1"/>
            <w:color w:val="000000" w:themeColor="text1"/>
            <w:lang w:val="fr-CH"/>
          </w:rPr>
          <w:t>.</w:t>
        </w:r>
        <w:r w:rsidRPr="0003144D">
          <w:rPr>
            <w:rStyle w:val="af1"/>
            <w:color w:val="000000" w:themeColor="text1"/>
            <w:lang w:val="fr-FR"/>
          </w:rPr>
          <w:t>pdf</w:t>
        </w:r>
      </w:hyperlink>
      <w:r w:rsidRPr="0003144D">
        <w:rPr>
          <w:rStyle w:val="af1"/>
          <w:color w:val="000000" w:themeColor="text1"/>
          <w:lang w:val="fr-CH"/>
        </w:rPr>
        <w:t>.</w:t>
      </w:r>
    </w:p>
  </w:footnote>
  <w:footnote w:id="12">
    <w:p w14:paraId="1AFB5C3D" w14:textId="77777777" w:rsidR="00936DFE" w:rsidRDefault="00936DFE" w:rsidP="00936DFE">
      <w:pPr>
        <w:pStyle w:val="ad"/>
        <w:rPr>
          <w:sz w:val="24"/>
          <w:szCs w:val="24"/>
        </w:rPr>
      </w:pPr>
      <w:r w:rsidRPr="002C2C1E">
        <w:rPr>
          <w:shd w:val="clear" w:color="auto" w:fill="FFFFFF"/>
          <w:lang w:val="fr-CH"/>
        </w:rPr>
        <w:tab/>
      </w:r>
      <w:r w:rsidRPr="00936DFE">
        <w:rPr>
          <w:rStyle w:val="aa"/>
        </w:rPr>
        <w:footnoteRef/>
      </w:r>
      <w:r>
        <w:rPr>
          <w:shd w:val="clear" w:color="auto" w:fill="FFFFFF"/>
        </w:rPr>
        <w:tab/>
        <w:t>Институт европейской политики и реформ был создан в 2015 году и является непартийной, некоммерческой организацией и независимым исследовательским и аналитическим центром. Миссия организации — форсирование европейской интеграции Республики Молдова путем содействия осуществлению системных реформ, расширения демократии участия и усиления роли граждан в процессах принятия решений на национальном и местном уровнях.</w:t>
      </w:r>
    </w:p>
  </w:footnote>
  <w:footnote w:id="13">
    <w:p w14:paraId="380E3DF1" w14:textId="77777777" w:rsidR="00936DFE" w:rsidRPr="000E373D" w:rsidRDefault="00936DFE" w:rsidP="00936DFE">
      <w:pPr>
        <w:pStyle w:val="ad"/>
      </w:pPr>
      <w:r>
        <w:rPr>
          <w:bCs/>
        </w:rPr>
        <w:tab/>
      </w:r>
      <w:r w:rsidRPr="00936DFE">
        <w:rPr>
          <w:rStyle w:val="aa"/>
        </w:rPr>
        <w:footnoteRef/>
      </w:r>
      <w:r>
        <w:rPr>
          <w:bCs/>
        </w:rPr>
        <w:tab/>
      </w:r>
      <w:r w:rsidRPr="000E373D">
        <w:rPr>
          <w:bCs/>
        </w:rPr>
        <w:t xml:space="preserve">Институт стратегических инициатив </w:t>
      </w:r>
      <w:r>
        <w:rPr>
          <w:bCs/>
        </w:rPr>
        <w:t>—</w:t>
      </w:r>
      <w:r w:rsidRPr="000E373D">
        <w:rPr>
          <w:bCs/>
        </w:rPr>
        <w:t xml:space="preserve"> неправительственная организация, основанная в 2017</w:t>
      </w:r>
      <w:r>
        <w:rPr>
          <w:bCs/>
        </w:rPr>
        <w:t> </w:t>
      </w:r>
      <w:r w:rsidRPr="000E373D">
        <w:rPr>
          <w:bCs/>
        </w:rPr>
        <w:t>г</w:t>
      </w:r>
      <w:r>
        <w:rPr>
          <w:bCs/>
        </w:rPr>
        <w:t>оду</w:t>
      </w:r>
      <w:r w:rsidRPr="00F67842">
        <w:rPr>
          <w:bCs/>
        </w:rPr>
        <w:t>.</w:t>
      </w:r>
      <w:r w:rsidRPr="000E373D">
        <w:rPr>
          <w:bCs/>
        </w:rPr>
        <w:t xml:space="preserve"> Одно из приоритетных направлений организации </w:t>
      </w:r>
      <w:r>
        <w:rPr>
          <w:bCs/>
        </w:rPr>
        <w:t>—</w:t>
      </w:r>
      <w:r w:rsidRPr="000E373D">
        <w:rPr>
          <w:bCs/>
        </w:rPr>
        <w:t xml:space="preserve"> разрешение конфликтов и укрепление межэтнических отношений.</w:t>
      </w:r>
    </w:p>
  </w:footnote>
  <w:footnote w:id="14">
    <w:p w14:paraId="156B1FB8" w14:textId="77777777" w:rsidR="00936DFE" w:rsidRPr="000E373D" w:rsidRDefault="00936DFE" w:rsidP="00936DFE">
      <w:pPr>
        <w:pStyle w:val="ad"/>
      </w:pPr>
      <w:r>
        <w:rPr>
          <w:shd w:val="clear" w:color="auto" w:fill="FFFFFF"/>
        </w:rPr>
        <w:tab/>
      </w:r>
      <w:r w:rsidRPr="00936DFE">
        <w:rPr>
          <w:rStyle w:val="aa"/>
        </w:rPr>
        <w:footnoteRef/>
      </w:r>
      <w:r>
        <w:rPr>
          <w:shd w:val="clear" w:color="auto" w:fill="FFFFFF"/>
        </w:rPr>
        <w:tab/>
      </w:r>
      <w:r w:rsidRPr="000E373D">
        <w:rPr>
          <w:shd w:val="clear" w:color="auto" w:fill="FFFFFF"/>
        </w:rPr>
        <w:t xml:space="preserve">Ассоциация </w:t>
      </w:r>
      <w:proofErr w:type="spellStart"/>
      <w:r>
        <w:rPr>
          <w:shd w:val="clear" w:color="auto" w:fill="FFFFFF"/>
        </w:rPr>
        <w:t>Promo</w:t>
      </w:r>
      <w:proofErr w:type="spellEnd"/>
      <w:r w:rsidRPr="000E373D">
        <w:rPr>
          <w:shd w:val="clear" w:color="auto" w:fill="FFFFFF"/>
        </w:rPr>
        <w:t>-</w:t>
      </w:r>
      <w:r>
        <w:rPr>
          <w:shd w:val="clear" w:color="auto" w:fill="FFFFFF"/>
        </w:rPr>
        <w:t>LEX</w:t>
      </w:r>
      <w:r w:rsidRPr="000E373D">
        <w:rPr>
          <w:shd w:val="clear" w:color="auto" w:fill="FFFFFF"/>
        </w:rPr>
        <w:t xml:space="preserve"> была основана в 2002 г</w:t>
      </w:r>
      <w:r>
        <w:rPr>
          <w:shd w:val="clear" w:color="auto" w:fill="FFFFFF"/>
        </w:rPr>
        <w:t>оду</w:t>
      </w:r>
      <w:r w:rsidRPr="000E373D">
        <w:rPr>
          <w:shd w:val="clear" w:color="auto" w:fill="FFFFFF"/>
        </w:rPr>
        <w:t xml:space="preserve"> и является неправительственной организацией, целью которой является развитие демократии в Республике Молдова, в том числе в приднестровском регионе, путем поощрения и защиты прав человека, мониторинга демократических процессов и укрепления гражданского общества.</w:t>
      </w:r>
    </w:p>
  </w:footnote>
  <w:footnote w:id="15">
    <w:p w14:paraId="49AC8F2A" w14:textId="77777777" w:rsidR="00936DFE" w:rsidRPr="000E373D" w:rsidRDefault="00936DFE" w:rsidP="00936DFE">
      <w:pPr>
        <w:pStyle w:val="ad"/>
      </w:pPr>
      <w:r>
        <w:tab/>
      </w:r>
      <w:r w:rsidRPr="00936DFE">
        <w:rPr>
          <w:rStyle w:val="aa"/>
        </w:rPr>
        <w:footnoteRef/>
      </w:r>
      <w:r>
        <w:tab/>
      </w:r>
      <w:hyperlink r:id="rId4" w:history="1">
        <w:r w:rsidRPr="007004C1">
          <w:rPr>
            <w:rStyle w:val="af1"/>
          </w:rPr>
          <w:t>http://ipre.md/2019/10/23/promoting-civil-society-and-inter-ethnic-dialogue-in-the-republic-of-moldova-in-the-context-of-the-eu-association-process-civid/</w:t>
        </w:r>
      </w:hyperlink>
      <w:r w:rsidRPr="007004C1">
        <w:rPr>
          <w:rStyle w:val="af1"/>
        </w:rPr>
        <w:t>;</w:t>
      </w:r>
      <w:r w:rsidRPr="007004C1">
        <w:t xml:space="preserve"> file:///C:/Users/BRI/Desktop/convenția%20rasială,%202019,%20raport/raport,%20div</w:t>
      </w:r>
      <w:r w:rsidRPr="004E6D41">
        <w:t>erse</w:t>
      </w:r>
      <w:r w:rsidRPr="000E373D">
        <w:t>/</w:t>
      </w:r>
      <w:r w:rsidRPr="004E6D41">
        <w:t>CIVID</w:t>
      </w:r>
      <w:r w:rsidRPr="000E373D">
        <w:t>-</w:t>
      </w:r>
      <w:r w:rsidRPr="004E6D41">
        <w:t>Synthesis</w:t>
      </w:r>
      <w:r w:rsidRPr="000E373D">
        <w:t>-</w:t>
      </w:r>
      <w:r w:rsidRPr="004E6D41">
        <w:t>Report</w:t>
      </w:r>
      <w:r w:rsidRPr="000E373D">
        <w:t>-_</w:t>
      </w:r>
      <w:r w:rsidRPr="004E6D41">
        <w:t>RU</w:t>
      </w:r>
      <w:r w:rsidRPr="000E373D">
        <w:t>.</w:t>
      </w:r>
      <w:r w:rsidRPr="004E6D41">
        <w:t>pdf</w:t>
      </w:r>
      <w:r w:rsidRPr="000E373D">
        <w:t>.</w:t>
      </w:r>
    </w:p>
  </w:footnote>
  <w:footnote w:id="16">
    <w:p w14:paraId="7BFD165F" w14:textId="77777777" w:rsidR="00936DFE" w:rsidRPr="0046547D" w:rsidRDefault="00936DFE" w:rsidP="00936DFE">
      <w:pPr>
        <w:pStyle w:val="ad"/>
      </w:pPr>
      <w:r>
        <w:tab/>
      </w:r>
      <w:r w:rsidRPr="00936DFE">
        <w:rPr>
          <w:rStyle w:val="aa"/>
        </w:rPr>
        <w:footnoteRef/>
      </w:r>
      <w:r>
        <w:tab/>
      </w:r>
      <w:r w:rsidRPr="00071699">
        <w:t xml:space="preserve">В рамках проекта </w:t>
      </w:r>
      <w:r>
        <w:t>«</w:t>
      </w:r>
      <w:r w:rsidRPr="00071699">
        <w:t xml:space="preserve">Укрепление платформы для развития правозащитной активности и образования в Республике Молдова </w:t>
      </w:r>
      <w:r>
        <w:t>—</w:t>
      </w:r>
      <w:r w:rsidRPr="00071699">
        <w:t xml:space="preserve"> этап </w:t>
      </w:r>
      <w:r>
        <w:t>II</w:t>
      </w:r>
      <w:r w:rsidRPr="00071699">
        <w:t xml:space="preserve">», при финансовой поддержке Департамента юстиции и прав человека Фонда Сороса-Молдова </w:t>
      </w:r>
      <w:proofErr w:type="spellStart"/>
      <w:r>
        <w:t>Promo</w:t>
      </w:r>
      <w:proofErr w:type="spellEnd"/>
      <w:r w:rsidRPr="00071699">
        <w:t>-</w:t>
      </w:r>
      <w:r>
        <w:t>LEX</w:t>
      </w:r>
      <w:r w:rsidRPr="00071699">
        <w:t xml:space="preserve"> опубликовал первый отчет о</w:t>
      </w:r>
      <w:r>
        <w:t> </w:t>
      </w:r>
      <w:r w:rsidRPr="00071699">
        <w:t>комплексном анализе ненавистнических выступлений в Республике Молдова. Отчет за</w:t>
      </w:r>
      <w:r>
        <w:t> </w:t>
      </w:r>
      <w:r w:rsidRPr="00071699">
        <w:t>2019</w:t>
      </w:r>
      <w:r>
        <w:t> </w:t>
      </w:r>
      <w:r w:rsidRPr="00071699">
        <w:t>г</w:t>
      </w:r>
      <w:r>
        <w:t>од</w:t>
      </w:r>
      <w:r w:rsidRPr="00071699">
        <w:t xml:space="preserve"> (период мониторинга 1</w:t>
      </w:r>
      <w:r>
        <w:t xml:space="preserve"> августа —</w:t>
      </w:r>
      <w:r w:rsidRPr="00071699">
        <w:t xml:space="preserve"> 30</w:t>
      </w:r>
      <w:r>
        <w:t xml:space="preserve"> ноября </w:t>
      </w:r>
      <w:r w:rsidRPr="00071699">
        <w:t>2019</w:t>
      </w:r>
      <w:r>
        <w:t xml:space="preserve"> года</w:t>
      </w:r>
      <w:r w:rsidRPr="00071699">
        <w:t>)</w:t>
      </w:r>
      <w:r>
        <w:t xml:space="preserve"> </w:t>
      </w:r>
      <w:r w:rsidRPr="00071699">
        <w:t>стал вторым соответствующим отчетом</w:t>
      </w:r>
      <w:r w:rsidRPr="007004C1">
        <w:t xml:space="preserve">. </w:t>
      </w:r>
      <w:r>
        <w:br/>
      </w:r>
      <w:hyperlink r:id="rId5" w:history="1">
        <w:r w:rsidRPr="00503102">
          <w:rPr>
            <w:rStyle w:val="af1"/>
            <w:color w:val="000000" w:themeColor="text1"/>
            <w:lang w:val="en-US"/>
          </w:rPr>
          <w:t>https</w:t>
        </w:r>
        <w:r w:rsidRPr="0046547D">
          <w:rPr>
            <w:rStyle w:val="af1"/>
            <w:color w:val="000000" w:themeColor="text1"/>
          </w:rPr>
          <w:t>://</w:t>
        </w:r>
        <w:r w:rsidRPr="00503102">
          <w:rPr>
            <w:rStyle w:val="af1"/>
            <w:color w:val="000000" w:themeColor="text1"/>
            <w:lang w:val="en-US"/>
          </w:rPr>
          <w:t>promolex</w:t>
        </w:r>
        <w:r w:rsidRPr="0046547D">
          <w:rPr>
            <w:rStyle w:val="af1"/>
            <w:color w:val="000000" w:themeColor="text1"/>
          </w:rPr>
          <w:t>.</w:t>
        </w:r>
        <w:r w:rsidRPr="00503102">
          <w:rPr>
            <w:rStyle w:val="af1"/>
            <w:color w:val="000000" w:themeColor="text1"/>
            <w:lang w:val="en-US"/>
          </w:rPr>
          <w:t>md</w:t>
        </w:r>
        <w:r w:rsidRPr="0046547D">
          <w:rPr>
            <w:rStyle w:val="af1"/>
            <w:color w:val="000000" w:themeColor="text1"/>
          </w:rPr>
          <w:t>/</w:t>
        </w:r>
        <w:r w:rsidRPr="00503102">
          <w:rPr>
            <w:rStyle w:val="af1"/>
            <w:color w:val="000000" w:themeColor="text1"/>
            <w:lang w:val="en-US"/>
          </w:rPr>
          <w:t>wp</w:t>
        </w:r>
        <w:r w:rsidRPr="0046547D">
          <w:rPr>
            <w:rStyle w:val="af1"/>
            <w:color w:val="000000" w:themeColor="text1"/>
          </w:rPr>
          <w:t>-</w:t>
        </w:r>
        <w:r w:rsidRPr="00503102">
          <w:rPr>
            <w:rStyle w:val="af1"/>
            <w:color w:val="000000" w:themeColor="text1"/>
            <w:lang w:val="en-US"/>
          </w:rPr>
          <w:t>content</w:t>
        </w:r>
        <w:r w:rsidRPr="0046547D">
          <w:rPr>
            <w:rStyle w:val="af1"/>
            <w:color w:val="000000" w:themeColor="text1"/>
          </w:rPr>
          <w:t>/</w:t>
        </w:r>
        <w:r w:rsidRPr="00503102">
          <w:rPr>
            <w:rStyle w:val="af1"/>
            <w:color w:val="000000" w:themeColor="text1"/>
            <w:lang w:val="en-US"/>
          </w:rPr>
          <w:t>uploads</w:t>
        </w:r>
        <w:r w:rsidRPr="0046547D">
          <w:rPr>
            <w:rStyle w:val="af1"/>
            <w:color w:val="000000" w:themeColor="text1"/>
          </w:rPr>
          <w:t>/2019/12/</w:t>
        </w:r>
        <w:r w:rsidRPr="00503102">
          <w:rPr>
            <w:rStyle w:val="af1"/>
            <w:color w:val="000000" w:themeColor="text1"/>
            <w:lang w:val="en-US"/>
          </w:rPr>
          <w:t>A</w:t>
        </w:r>
        <w:r w:rsidRPr="0046547D">
          <w:rPr>
            <w:rStyle w:val="af1"/>
            <w:color w:val="000000" w:themeColor="text1"/>
          </w:rPr>
          <w:t>4_</w:t>
        </w:r>
        <w:r w:rsidRPr="00503102">
          <w:rPr>
            <w:rStyle w:val="af1"/>
            <w:color w:val="000000" w:themeColor="text1"/>
            <w:lang w:val="en-US"/>
          </w:rPr>
          <w:t>hate</w:t>
        </w:r>
        <w:r w:rsidRPr="0046547D">
          <w:rPr>
            <w:rStyle w:val="af1"/>
            <w:color w:val="000000" w:themeColor="text1"/>
          </w:rPr>
          <w:t>_</w:t>
        </w:r>
        <w:r w:rsidRPr="00503102">
          <w:rPr>
            <w:rStyle w:val="af1"/>
            <w:color w:val="000000" w:themeColor="text1"/>
            <w:lang w:val="en-US"/>
          </w:rPr>
          <w:t>ro</w:t>
        </w:r>
        <w:r w:rsidRPr="0046547D">
          <w:rPr>
            <w:rStyle w:val="af1"/>
            <w:color w:val="000000" w:themeColor="text1"/>
          </w:rPr>
          <w:t>_</w:t>
        </w:r>
        <w:r w:rsidRPr="00503102">
          <w:rPr>
            <w:rStyle w:val="af1"/>
            <w:color w:val="000000" w:themeColor="text1"/>
            <w:lang w:val="en-US"/>
          </w:rPr>
          <w:t>II</w:t>
        </w:r>
        <w:r w:rsidRPr="0046547D">
          <w:rPr>
            <w:rStyle w:val="af1"/>
            <w:color w:val="000000" w:themeColor="text1"/>
          </w:rPr>
          <w:t>_</w:t>
        </w:r>
        <w:r w:rsidRPr="00503102">
          <w:rPr>
            <w:rStyle w:val="af1"/>
            <w:color w:val="000000" w:themeColor="text1"/>
            <w:lang w:val="en-US"/>
          </w:rPr>
          <w:t>web</w:t>
        </w:r>
        <w:r w:rsidRPr="0046547D">
          <w:rPr>
            <w:rStyle w:val="af1"/>
            <w:color w:val="000000" w:themeColor="text1"/>
          </w:rPr>
          <w:t>.</w:t>
        </w:r>
        <w:r w:rsidRPr="00503102">
          <w:rPr>
            <w:rStyle w:val="af1"/>
            <w:color w:val="000000" w:themeColor="text1"/>
            <w:lang w:val="en-US"/>
          </w:rPr>
          <w:t>pdf</w:t>
        </w:r>
      </w:hyperlink>
      <w:r w:rsidRPr="0046547D">
        <w:rPr>
          <w:color w:val="000000" w:themeColor="text1"/>
        </w:rPr>
        <w:t xml:space="preserve">; </w:t>
      </w:r>
      <w:r w:rsidRPr="0046547D">
        <w:rPr>
          <w:color w:val="000000" w:themeColor="text1"/>
        </w:rPr>
        <w:br/>
      </w:r>
      <w:hyperlink r:id="rId6" w:history="1">
        <w:r w:rsidRPr="00503102">
          <w:rPr>
            <w:rStyle w:val="af1"/>
            <w:color w:val="000000" w:themeColor="text1"/>
            <w:lang w:val="en-US"/>
          </w:rPr>
          <w:t>https</w:t>
        </w:r>
        <w:r w:rsidRPr="0046547D">
          <w:rPr>
            <w:rStyle w:val="af1"/>
            <w:color w:val="000000" w:themeColor="text1"/>
          </w:rPr>
          <w:t>://</w:t>
        </w:r>
        <w:r w:rsidRPr="00503102">
          <w:rPr>
            <w:rStyle w:val="af1"/>
            <w:color w:val="000000" w:themeColor="text1"/>
            <w:lang w:val="en-US"/>
          </w:rPr>
          <w:t>promolex</w:t>
        </w:r>
        <w:r w:rsidRPr="0046547D">
          <w:rPr>
            <w:rStyle w:val="af1"/>
            <w:color w:val="000000" w:themeColor="text1"/>
          </w:rPr>
          <w:t>.</w:t>
        </w:r>
        <w:r w:rsidRPr="00503102">
          <w:rPr>
            <w:rStyle w:val="af1"/>
            <w:color w:val="000000" w:themeColor="text1"/>
            <w:lang w:val="en-US"/>
          </w:rPr>
          <w:t>md</w:t>
        </w:r>
        <w:r w:rsidRPr="0046547D">
          <w:rPr>
            <w:rStyle w:val="af1"/>
            <w:color w:val="000000" w:themeColor="text1"/>
          </w:rPr>
          <w:t>/</w:t>
        </w:r>
        <w:r w:rsidRPr="00503102">
          <w:rPr>
            <w:rStyle w:val="af1"/>
            <w:color w:val="000000" w:themeColor="text1"/>
            <w:lang w:val="en-US"/>
          </w:rPr>
          <w:t>wp</w:t>
        </w:r>
        <w:r w:rsidRPr="0046547D">
          <w:rPr>
            <w:rStyle w:val="af1"/>
            <w:color w:val="000000" w:themeColor="text1"/>
          </w:rPr>
          <w:t>-</w:t>
        </w:r>
        <w:r w:rsidRPr="00503102">
          <w:rPr>
            <w:rStyle w:val="af1"/>
            <w:color w:val="000000" w:themeColor="text1"/>
            <w:lang w:val="en-US"/>
          </w:rPr>
          <w:t>content</w:t>
        </w:r>
        <w:r w:rsidRPr="0046547D">
          <w:rPr>
            <w:rStyle w:val="af1"/>
            <w:color w:val="000000" w:themeColor="text1"/>
          </w:rPr>
          <w:t>/</w:t>
        </w:r>
        <w:r w:rsidRPr="00503102">
          <w:rPr>
            <w:rStyle w:val="af1"/>
            <w:color w:val="000000" w:themeColor="text1"/>
            <w:lang w:val="en-US"/>
          </w:rPr>
          <w:t>uploads</w:t>
        </w:r>
        <w:r w:rsidRPr="0046547D">
          <w:rPr>
            <w:rStyle w:val="af1"/>
            <w:color w:val="000000" w:themeColor="text1"/>
          </w:rPr>
          <w:t>/2019/12/</w:t>
        </w:r>
        <w:r w:rsidRPr="00503102">
          <w:rPr>
            <w:rStyle w:val="af1"/>
            <w:color w:val="000000" w:themeColor="text1"/>
            <w:lang w:val="en-US"/>
          </w:rPr>
          <w:t>A</w:t>
        </w:r>
        <w:r w:rsidRPr="0046547D">
          <w:rPr>
            <w:rStyle w:val="af1"/>
            <w:color w:val="000000" w:themeColor="text1"/>
          </w:rPr>
          <w:t>4_</w:t>
        </w:r>
        <w:r w:rsidRPr="00503102">
          <w:rPr>
            <w:rStyle w:val="af1"/>
            <w:color w:val="000000" w:themeColor="text1"/>
            <w:lang w:val="en-US"/>
          </w:rPr>
          <w:t>hate</w:t>
        </w:r>
        <w:r w:rsidRPr="0046547D">
          <w:rPr>
            <w:rStyle w:val="af1"/>
            <w:color w:val="000000" w:themeColor="text1"/>
          </w:rPr>
          <w:t>_</w:t>
        </w:r>
        <w:r w:rsidRPr="00503102">
          <w:rPr>
            <w:rStyle w:val="af1"/>
            <w:color w:val="000000" w:themeColor="text1"/>
            <w:lang w:val="en-US"/>
          </w:rPr>
          <w:t>II</w:t>
        </w:r>
        <w:r w:rsidRPr="0046547D">
          <w:rPr>
            <w:rStyle w:val="af1"/>
            <w:color w:val="000000" w:themeColor="text1"/>
          </w:rPr>
          <w:t>_</w:t>
        </w:r>
        <w:r w:rsidRPr="00503102">
          <w:rPr>
            <w:rStyle w:val="af1"/>
            <w:color w:val="000000" w:themeColor="text1"/>
            <w:lang w:val="en-US"/>
          </w:rPr>
          <w:t>ru</w:t>
        </w:r>
        <w:r w:rsidRPr="0046547D">
          <w:rPr>
            <w:rStyle w:val="af1"/>
            <w:color w:val="000000" w:themeColor="text1"/>
          </w:rPr>
          <w:t>-1.</w:t>
        </w:r>
        <w:r w:rsidRPr="00503102">
          <w:rPr>
            <w:rStyle w:val="af1"/>
            <w:color w:val="000000" w:themeColor="text1"/>
            <w:lang w:val="en-US"/>
          </w:rPr>
          <w:t>pdf</w:t>
        </w:r>
      </w:hyperlink>
      <w:r w:rsidRPr="0046547D">
        <w:rPr>
          <w:rStyle w:val="af1"/>
        </w:rPr>
        <w:t>.</w:t>
      </w:r>
    </w:p>
  </w:footnote>
  <w:footnote w:id="17">
    <w:p w14:paraId="37502BBB" w14:textId="77777777" w:rsidR="00936DFE" w:rsidRDefault="00936DFE" w:rsidP="00936DFE">
      <w:pPr>
        <w:pStyle w:val="ad"/>
        <w:rPr>
          <w:sz w:val="24"/>
          <w:szCs w:val="24"/>
        </w:rPr>
      </w:pPr>
      <w:r w:rsidRPr="0046547D">
        <w:tab/>
      </w:r>
      <w:r w:rsidRPr="00936DFE">
        <w:rPr>
          <w:rStyle w:val="aa"/>
        </w:rPr>
        <w:footnoteRef/>
      </w:r>
      <w:r>
        <w:tab/>
        <w:t xml:space="preserve">В июле 2016 года Парламент принял </w:t>
      </w:r>
      <w:r w:rsidRPr="007311A1">
        <w:rPr>
          <w:rStyle w:val="af3"/>
          <w:bCs/>
          <w:shd w:val="clear" w:color="auto" w:fill="FFFFFF"/>
        </w:rPr>
        <w:t>Декларацию</w:t>
      </w:r>
      <w:r>
        <w:rPr>
          <w:rStyle w:val="af3"/>
          <w:bCs/>
          <w:i w:val="0"/>
          <w:iCs w:val="0"/>
          <w:shd w:val="clear" w:color="auto" w:fill="FFFFFF"/>
        </w:rPr>
        <w:t xml:space="preserve"> </w:t>
      </w:r>
      <w:r>
        <w:rPr>
          <w:shd w:val="clear" w:color="auto" w:fill="FFFFFF"/>
        </w:rPr>
        <w:t xml:space="preserve">об одобрении </w:t>
      </w:r>
      <w:r>
        <w:t xml:space="preserve">итогового отчета Международной комиссии под председательством Эли </w:t>
      </w:r>
      <w:proofErr w:type="spellStart"/>
      <w:r>
        <w:t>Визеля</w:t>
      </w:r>
      <w:proofErr w:type="spellEnd"/>
      <w:r>
        <w:t xml:space="preserve"> по изучению Холокоста.</w:t>
      </w:r>
      <w:r>
        <w:rPr>
          <w:color w:val="000000"/>
        </w:rPr>
        <w:t xml:space="preserve"> Декларация осуждает систематическое преследование и истребление евреев нацистами и их пособниками в течение 1937–1944 годов на нынешней территории Республики Молдова (Постановление Парламента № 190 от 22 июля 2016 года).</w:t>
      </w:r>
    </w:p>
  </w:footnote>
  <w:footnote w:id="18">
    <w:p w14:paraId="19AA6A18" w14:textId="77777777" w:rsidR="00936DFE" w:rsidRDefault="00936DFE" w:rsidP="00936DFE">
      <w:pPr>
        <w:pStyle w:val="ad"/>
        <w:rPr>
          <w:color w:val="000000"/>
          <w:sz w:val="24"/>
          <w:szCs w:val="24"/>
        </w:rPr>
      </w:pPr>
      <w:r>
        <w:rPr>
          <w:color w:val="0D0D0D" w:themeColor="text1" w:themeTint="F2"/>
          <w:shd w:val="clear" w:color="auto" w:fill="FFFFFF"/>
        </w:rPr>
        <w:tab/>
      </w:r>
      <w:r w:rsidRPr="00936DFE">
        <w:rPr>
          <w:rStyle w:val="aa"/>
        </w:rPr>
        <w:footnoteRef/>
      </w:r>
      <w:r>
        <w:rPr>
          <w:color w:val="0D0D0D" w:themeColor="text1" w:themeTint="F2"/>
          <w:shd w:val="clear" w:color="auto" w:fill="FFFFFF"/>
        </w:rPr>
        <w:tab/>
        <w:t>«Антисемитизм — это особое отношение к евреям, которое может выражаться в ненависти к ним. Словесные и физические проявления антисемитизма в отношении евреев и неевреев и/или их собственности, против учреждения еврейских общин и их религиозных объектов».</w:t>
      </w:r>
    </w:p>
  </w:footnote>
  <w:footnote w:id="19">
    <w:p w14:paraId="39B4E74C" w14:textId="77777777" w:rsidR="00936DFE" w:rsidRPr="007004C1" w:rsidRDefault="00936DFE" w:rsidP="00936DFE">
      <w:pPr>
        <w:pStyle w:val="ad"/>
        <w:rPr>
          <w:color w:val="000000" w:themeColor="text1"/>
        </w:rPr>
      </w:pPr>
      <w:r>
        <w:tab/>
      </w:r>
      <w:r w:rsidRPr="00936DFE">
        <w:rPr>
          <w:rStyle w:val="aa"/>
        </w:rPr>
        <w:footnoteRef/>
      </w:r>
      <w:r>
        <w:tab/>
      </w:r>
      <w:hyperlink r:id="rId7" w:history="1">
        <w:r w:rsidRPr="007004C1">
          <w:rPr>
            <w:rStyle w:val="af1"/>
            <w:color w:val="000000" w:themeColor="text1"/>
          </w:rPr>
          <w:t>http://www.recensamantromania.ro/wp-content/uploads/2012/11/Recomandari-Conferinta-statisticieni-europeni.pdf</w:t>
        </w:r>
      </w:hyperlink>
      <w:r w:rsidRPr="007004C1">
        <w:rPr>
          <w:color w:val="000000" w:themeColor="text1"/>
        </w:rPr>
        <w:t>.</w:t>
      </w:r>
    </w:p>
  </w:footnote>
  <w:footnote w:id="20">
    <w:p w14:paraId="6C1A1A82" w14:textId="77777777" w:rsidR="00936DFE" w:rsidRPr="000E373D" w:rsidRDefault="00936DFE" w:rsidP="00936DFE">
      <w:pPr>
        <w:pStyle w:val="ad"/>
      </w:pPr>
      <w:r>
        <w:tab/>
      </w:r>
      <w:r w:rsidRPr="00936DFE">
        <w:rPr>
          <w:rStyle w:val="aa"/>
        </w:rPr>
        <w:footnoteRef/>
      </w:r>
      <w:r>
        <w:tab/>
      </w:r>
      <w:r w:rsidRPr="000E373D">
        <w:t xml:space="preserve">Другие этнические группы насчитывают 1006 лиц, не указали этническую принадлежность </w:t>
      </w:r>
      <w:r>
        <w:t>—</w:t>
      </w:r>
      <w:r w:rsidRPr="000E373D">
        <w:t xml:space="preserve"> 50</w:t>
      </w:r>
      <w:r>
        <w:t xml:space="preserve"> </w:t>
      </w:r>
      <w:r w:rsidRPr="000E373D">
        <w:t xml:space="preserve">082 </w:t>
      </w:r>
      <w:r w:rsidRPr="007004C1">
        <w:t>чел</w:t>
      </w:r>
      <w:r>
        <w:t>овека</w:t>
      </w:r>
      <w:r w:rsidRPr="000E373D">
        <w:t>. Общее население страны составляет 2</w:t>
      </w:r>
      <w:r>
        <w:t> </w:t>
      </w:r>
      <w:r w:rsidRPr="000E373D">
        <w:t>804</w:t>
      </w:r>
      <w:r>
        <w:t> </w:t>
      </w:r>
      <w:r w:rsidRPr="000E373D">
        <w:t>801 лиц</w:t>
      </w:r>
      <w:r>
        <w:t>о</w:t>
      </w:r>
      <w:r w:rsidRPr="000E373D">
        <w:t>.</w:t>
      </w:r>
    </w:p>
  </w:footnote>
  <w:footnote w:id="21">
    <w:p w14:paraId="4077ED81" w14:textId="77777777" w:rsidR="00936DFE" w:rsidRPr="000E373D" w:rsidRDefault="00936DFE" w:rsidP="00936DFE">
      <w:pPr>
        <w:pStyle w:val="ad"/>
      </w:pPr>
      <w:r>
        <w:tab/>
      </w:r>
      <w:r w:rsidRPr="00936DFE">
        <w:rPr>
          <w:rStyle w:val="aa"/>
        </w:rPr>
        <w:footnoteRef/>
      </w:r>
      <w:r>
        <w:tab/>
      </w:r>
      <w:hyperlink r:id="rId8" w:history="1">
        <w:r w:rsidRPr="00F67842">
          <w:rPr>
            <w:rStyle w:val="af1"/>
            <w:rFonts w:eastAsiaTheme="minorHAnsi"/>
            <w:color w:val="000000" w:themeColor="text1"/>
          </w:rPr>
          <w:t>http://lex.justice.md/viewdoc.php?action=view&amp;view=doc&amp;id=376768&amp;lang=2</w:t>
        </w:r>
      </w:hyperlink>
      <w:r>
        <w:t>.</w:t>
      </w:r>
    </w:p>
  </w:footnote>
  <w:footnote w:id="22">
    <w:p w14:paraId="53DF4681" w14:textId="77777777" w:rsidR="00936DFE" w:rsidRPr="000E373D" w:rsidRDefault="00936DFE" w:rsidP="00936DFE">
      <w:pPr>
        <w:pStyle w:val="ad"/>
      </w:pPr>
      <w:r>
        <w:tab/>
      </w:r>
      <w:r w:rsidRPr="00936DFE">
        <w:rPr>
          <w:rStyle w:val="aa"/>
        </w:rPr>
        <w:footnoteRef/>
      </w:r>
      <w:r>
        <w:tab/>
      </w:r>
      <w:r w:rsidRPr="000E373D">
        <w:t xml:space="preserve">Пункт 4 </w:t>
      </w:r>
      <w:r>
        <w:t>b</w:t>
      </w:r>
      <w:r w:rsidRPr="000E373D">
        <w:t xml:space="preserve">), </w:t>
      </w:r>
      <w:r>
        <w:t>SL</w:t>
      </w:r>
      <w:r w:rsidRPr="000E373D">
        <w:t>8</w:t>
      </w:r>
      <w:proofErr w:type="gramStart"/>
      <w:r w:rsidRPr="000E373D">
        <w:t>, Раздел</w:t>
      </w:r>
      <w:proofErr w:type="gramEnd"/>
      <w:r w:rsidRPr="000E373D">
        <w:t xml:space="preserve"> </w:t>
      </w:r>
      <w:r>
        <w:t>II</w:t>
      </w:r>
      <w:r w:rsidRPr="000E373D">
        <w:t xml:space="preserve"> Национального плана действий по реализации Соглашения об ассоциации Республика Молдова </w:t>
      </w:r>
      <w:r>
        <w:t>—</w:t>
      </w:r>
      <w:r w:rsidRPr="000E373D">
        <w:t xml:space="preserve"> Европейский союз период 2017</w:t>
      </w:r>
      <w:r>
        <w:t>–</w:t>
      </w:r>
      <w:r w:rsidRPr="000E373D">
        <w:t>2019 г</w:t>
      </w:r>
      <w:r>
        <w:t>оды</w:t>
      </w:r>
      <w:r w:rsidRPr="000E373D">
        <w:t>, утвержденный ПП № 1472 от 30 декабря 2016 г</w:t>
      </w:r>
      <w:r>
        <w:t>ода.</w:t>
      </w:r>
    </w:p>
  </w:footnote>
  <w:footnote w:id="23">
    <w:p w14:paraId="37A09822" w14:textId="77777777" w:rsidR="00936DFE" w:rsidRPr="004F028C" w:rsidRDefault="00936DFE" w:rsidP="00936DFE">
      <w:pPr>
        <w:pStyle w:val="ad"/>
        <w:rPr>
          <w:color w:val="000000" w:themeColor="text1"/>
        </w:rPr>
      </w:pPr>
      <w:r>
        <w:tab/>
      </w:r>
      <w:r w:rsidRPr="00936DFE">
        <w:rPr>
          <w:rStyle w:val="aa"/>
        </w:rPr>
        <w:footnoteRef/>
      </w:r>
      <w:r>
        <w:tab/>
      </w:r>
      <w:r w:rsidRPr="000E373D">
        <w:t>Исследование по восприятию и отношению к равенству в Республике Молдова, 2018 г</w:t>
      </w:r>
      <w:r>
        <w:t>од</w:t>
      </w:r>
      <w:r w:rsidRPr="000E373D">
        <w:t xml:space="preserve">, </w:t>
      </w:r>
      <w:hyperlink r:id="rId9" w:history="1">
        <w:r w:rsidRPr="004F028C">
          <w:rPr>
            <w:rStyle w:val="af1"/>
            <w:rFonts w:eastAsiaTheme="minorHAnsi"/>
            <w:color w:val="000000" w:themeColor="text1"/>
          </w:rPr>
          <w:t>http://egalitate.md/wp-content/uploads/2016/04/Studiu-privind-percep--iile.pdf</w:t>
        </w:r>
      </w:hyperlink>
      <w:r w:rsidRPr="004F028C">
        <w:rPr>
          <w:color w:val="000000" w:themeColor="text1"/>
        </w:rPr>
        <w:t>.</w:t>
      </w:r>
    </w:p>
  </w:footnote>
  <w:footnote w:id="24">
    <w:p w14:paraId="26F91EF4" w14:textId="77777777" w:rsidR="00936DFE" w:rsidRDefault="00936DFE" w:rsidP="00936DFE">
      <w:pPr>
        <w:pStyle w:val="ad"/>
      </w:pPr>
      <w:r>
        <w:tab/>
      </w:r>
      <w:r w:rsidRPr="00936DFE">
        <w:rPr>
          <w:rStyle w:val="aa"/>
        </w:rPr>
        <w:footnoteRef/>
      </w:r>
      <w:r>
        <w:tab/>
        <w:t xml:space="preserve">Меры, связанные с ратификацией Европейской хартии региональных языков или языков меньшинств (действие 11, </w:t>
      </w:r>
      <w:proofErr w:type="spellStart"/>
      <w:r>
        <w:t>поддействия</w:t>
      </w:r>
      <w:proofErr w:type="spellEnd"/>
      <w:r>
        <w:t xml:space="preserve"> 11.1–11.3), </w:t>
      </w:r>
      <w:proofErr w:type="spellStart"/>
      <w:r>
        <w:t>поддействие</w:t>
      </w:r>
      <w:proofErr w:type="spellEnd"/>
      <w:r>
        <w:t xml:space="preserve"> 11.3, включены в </w:t>
      </w:r>
      <w:r>
        <w:rPr>
          <w:rFonts w:eastAsia="Batang"/>
        </w:rPr>
        <w:t>НПДПЧ-3</w:t>
      </w:r>
      <w:r>
        <w:t xml:space="preserve">. </w:t>
      </w:r>
      <w:r>
        <w:rPr>
          <w:i/>
        </w:rPr>
        <w:t>Ратификация Европейской хартии региональных языков или языков меньшинств, срок реализации — 2021, ответственные учреждения — Министерство образования, культуры и исследований</w:t>
      </w:r>
      <w:r>
        <w:t>; парламентская профильная комиссия; Агентство межэтнических отношений.</w:t>
      </w:r>
    </w:p>
  </w:footnote>
  <w:footnote w:id="25">
    <w:p w14:paraId="3E253EDF" w14:textId="77777777" w:rsidR="00936DFE" w:rsidRDefault="00936DFE" w:rsidP="00936DFE">
      <w:pPr>
        <w:pStyle w:val="ad"/>
      </w:pPr>
      <w:r>
        <w:rPr>
          <w:color w:val="0D0D0D"/>
        </w:rPr>
        <w:tab/>
      </w:r>
      <w:r w:rsidRPr="00936DFE">
        <w:rPr>
          <w:rStyle w:val="aa"/>
        </w:rPr>
        <w:footnoteRef/>
      </w:r>
      <w:r>
        <w:rPr>
          <w:color w:val="0D0D0D"/>
        </w:rPr>
        <w:tab/>
        <w:t xml:space="preserve">Разработанный Министерством юстиции проект был утвержден ПП № 635 от 5 </w:t>
      </w:r>
      <w:r>
        <w:rPr>
          <w:rStyle w:val="object"/>
          <w:color w:val="0D0D0D"/>
        </w:rPr>
        <w:t xml:space="preserve">июля </w:t>
      </w:r>
      <w:r>
        <w:rPr>
          <w:color w:val="0D0D0D"/>
        </w:rPr>
        <w:t>2018 года и был зарегистрирован в парламенте под № 235 от 6 июля 2018 года. Министерство юстиции, письмом № 02/7932 от 2 августа 2019 года обратилось в</w:t>
      </w:r>
      <w:r w:rsidRPr="00F43F47">
        <w:rPr>
          <w:color w:val="000000" w:themeColor="text1"/>
        </w:rPr>
        <w:t xml:space="preserve"> Совет </w:t>
      </w:r>
      <w:r>
        <w:rPr>
          <w:color w:val="0D0D0D"/>
        </w:rPr>
        <w:t xml:space="preserve">Европы за оказанием помощи в проведении экспертизы указанного законопроекта. </w:t>
      </w:r>
    </w:p>
  </w:footnote>
  <w:footnote w:id="26">
    <w:p w14:paraId="35E9CEBF" w14:textId="77777777" w:rsidR="00936DFE" w:rsidRPr="000E373D" w:rsidRDefault="00936DFE" w:rsidP="00936DFE">
      <w:pPr>
        <w:pStyle w:val="ad"/>
      </w:pPr>
      <w:r>
        <w:tab/>
      </w:r>
      <w:r w:rsidRPr="00936DFE">
        <w:rPr>
          <w:rStyle w:val="aa"/>
        </w:rPr>
        <w:footnoteRef/>
      </w:r>
      <w:r>
        <w:tab/>
      </w:r>
      <w:r w:rsidRPr="000E373D">
        <w:t>Это издание было подготовлено АМО при финансовой поддержке Миссии ОБСЕ в Республике Молдова.</w:t>
      </w:r>
    </w:p>
  </w:footnote>
  <w:footnote w:id="27">
    <w:p w14:paraId="65AD5824" w14:textId="77777777" w:rsidR="00936DFE" w:rsidRPr="000E373D" w:rsidRDefault="00936DFE" w:rsidP="00936DFE">
      <w:pPr>
        <w:pStyle w:val="ad"/>
      </w:pPr>
      <w:r>
        <w:tab/>
      </w:r>
      <w:r w:rsidRPr="00936DFE">
        <w:rPr>
          <w:rStyle w:val="aa"/>
        </w:rPr>
        <w:footnoteRef/>
      </w:r>
      <w:r>
        <w:tab/>
      </w:r>
      <w:r w:rsidRPr="000E373D">
        <w:t xml:space="preserve">Положение о Координационном совете этнокультурных организаций при Агентстве межэтнических отношений размещено на сайте </w:t>
      </w:r>
      <w:hyperlink r:id="rId10" w:history="1">
        <w:r w:rsidRPr="004F028C">
          <w:rPr>
            <w:rStyle w:val="af1"/>
            <w:rFonts w:eastAsiaTheme="minorHAnsi"/>
            <w:color w:val="000000" w:themeColor="text1"/>
          </w:rPr>
          <w:t>http://www.bri.gov.md/</w:t>
        </w:r>
      </w:hyperlink>
      <w:r w:rsidRPr="000E373D">
        <w:t>.</w:t>
      </w:r>
    </w:p>
  </w:footnote>
  <w:footnote w:id="28">
    <w:p w14:paraId="461B465A" w14:textId="77777777" w:rsidR="00936DFE" w:rsidRPr="000E373D" w:rsidRDefault="00936DFE" w:rsidP="00936DFE">
      <w:pPr>
        <w:pStyle w:val="ad"/>
      </w:pPr>
      <w:r>
        <w:tab/>
      </w:r>
      <w:r w:rsidRPr="00936DFE">
        <w:rPr>
          <w:rStyle w:val="aa"/>
        </w:rPr>
        <w:footnoteRef/>
      </w:r>
      <w:r>
        <w:tab/>
      </w:r>
      <w:hyperlink r:id="rId11" w:history="1">
        <w:r w:rsidRPr="00503102">
          <w:rPr>
            <w:rStyle w:val="af1"/>
            <w:rFonts w:eastAsiaTheme="minorHAnsi"/>
            <w:color w:val="000000" w:themeColor="text1"/>
          </w:rPr>
          <w:t>https://promolex.md/wp-content/uploads/2019/12/A4_hate_ro_II_web.pdf</w:t>
        </w:r>
      </w:hyperlink>
      <w:r>
        <w:t>.</w:t>
      </w:r>
    </w:p>
  </w:footnote>
  <w:footnote w:id="29">
    <w:p w14:paraId="1F66CC67" w14:textId="77777777" w:rsidR="00936DFE" w:rsidRPr="000E373D" w:rsidRDefault="00936DFE" w:rsidP="00936DFE">
      <w:pPr>
        <w:pStyle w:val="ad"/>
      </w:pPr>
      <w:r>
        <w:rPr>
          <w:color w:val="000000"/>
        </w:rPr>
        <w:tab/>
      </w:r>
      <w:r w:rsidRPr="00936DFE">
        <w:rPr>
          <w:rStyle w:val="aa"/>
        </w:rPr>
        <w:footnoteRef/>
      </w:r>
      <w:r>
        <w:rPr>
          <w:color w:val="000000"/>
        </w:rPr>
        <w:tab/>
      </w:r>
      <w:r w:rsidRPr="000E373D">
        <w:rPr>
          <w:color w:val="000000"/>
        </w:rPr>
        <w:t>Агентство является государственным учреждением, созданным Правительством, делегирующим исполнение функции учредителя Государственной канцелярии, с целью облегчения и повышения эффективности процесса оказания публичных услуг</w:t>
      </w:r>
      <w:r w:rsidRPr="000E373D">
        <w:rPr>
          <w:bCs/>
        </w:rPr>
        <w:t xml:space="preserve"> (Устав АГУ, утвержден ПП </w:t>
      </w:r>
      <w:r w:rsidRPr="000E373D">
        <w:rPr>
          <w:bCs/>
          <w:color w:val="000000"/>
        </w:rPr>
        <w:t>№ 314 от 22</w:t>
      </w:r>
      <w:r>
        <w:rPr>
          <w:bCs/>
          <w:color w:val="000000"/>
        </w:rPr>
        <w:t xml:space="preserve"> мая </w:t>
      </w:r>
      <w:r w:rsidRPr="000E373D">
        <w:rPr>
          <w:bCs/>
          <w:color w:val="000000"/>
        </w:rPr>
        <w:t>2017</w:t>
      </w:r>
      <w:r w:rsidRPr="000E373D">
        <w:rPr>
          <w:color w:val="000000"/>
        </w:rPr>
        <w:t xml:space="preserve"> </w:t>
      </w:r>
      <w:r>
        <w:rPr>
          <w:color w:val="000000"/>
        </w:rPr>
        <w:t xml:space="preserve">года </w:t>
      </w:r>
      <w:r w:rsidRPr="000E373D">
        <w:rPr>
          <w:color w:val="000000"/>
        </w:rPr>
        <w:t>о создании Агентства публичных услуг</w:t>
      </w:r>
      <w:r w:rsidRPr="000E373D">
        <w:rPr>
          <w:bCs/>
          <w:color w:val="000000"/>
        </w:rPr>
        <w:t>).</w:t>
      </w:r>
    </w:p>
  </w:footnote>
  <w:footnote w:id="30">
    <w:p w14:paraId="45BC5FDD" w14:textId="77777777" w:rsidR="00936DFE" w:rsidRDefault="00936DFE" w:rsidP="00936DFE">
      <w:pPr>
        <w:pStyle w:val="ad"/>
      </w:pPr>
      <w:r>
        <w:rPr>
          <w:rStyle w:val="docblue"/>
          <w:iCs/>
        </w:rPr>
        <w:tab/>
      </w:r>
      <w:r w:rsidRPr="00936DFE">
        <w:rPr>
          <w:rStyle w:val="aa"/>
        </w:rPr>
        <w:footnoteRef/>
      </w:r>
      <w:r>
        <w:rPr>
          <w:rStyle w:val="docblue"/>
          <w:iCs/>
        </w:rPr>
        <w:tab/>
      </w:r>
      <w:r w:rsidRPr="00AA4C83">
        <w:rPr>
          <w:rStyle w:val="docblue"/>
          <w:iCs/>
        </w:rPr>
        <w:t>Статья 19, пункт 4</w:t>
      </w:r>
      <w:r>
        <w:rPr>
          <w:rStyle w:val="docblue"/>
          <w:iCs/>
        </w:rPr>
        <w:t xml:space="preserve"> изменен, ЗП № 31 от 16 марта 2018 года.</w:t>
      </w:r>
    </w:p>
  </w:footnote>
  <w:footnote w:id="31">
    <w:p w14:paraId="66B66FF5" w14:textId="77777777" w:rsidR="00936DFE" w:rsidRDefault="00936DFE" w:rsidP="00936DFE">
      <w:pPr>
        <w:pStyle w:val="ad"/>
        <w:rPr>
          <w:sz w:val="24"/>
          <w:szCs w:val="24"/>
        </w:rPr>
      </w:pPr>
      <w:r>
        <w:tab/>
      </w:r>
      <w:r w:rsidRPr="00936DFE">
        <w:rPr>
          <w:rStyle w:val="aa"/>
        </w:rPr>
        <w:footnoteRef/>
      </w:r>
      <w:r>
        <w:tab/>
      </w:r>
      <w:hyperlink r:id="rId12" w:anchor="/b8a5ead53f214b649ac4ec45e4b4c65f" w:tgtFrame="_blank" w:history="1">
        <w:r w:rsidRPr="00AA4C83">
          <w:rPr>
            <w:rStyle w:val="af1"/>
            <w:color w:val="000000" w:themeColor="text1"/>
          </w:rPr>
          <w:t>http://gismoldova.maps.arcgis.com/…/opsdashboard/index.html</w:t>
        </w:r>
      </w:hyperlink>
      <w:r>
        <w:rPr>
          <w:rStyle w:val="af1"/>
          <w:color w:val="000000" w:themeColor="text1"/>
        </w:rPr>
        <w:t>.</w:t>
      </w:r>
    </w:p>
  </w:footnote>
  <w:footnote w:id="32">
    <w:p w14:paraId="7FF1FF90" w14:textId="77777777" w:rsidR="00936DFE" w:rsidRPr="001016B4" w:rsidRDefault="00936DFE" w:rsidP="00936DFE">
      <w:pPr>
        <w:pStyle w:val="ad"/>
        <w:rPr>
          <w:color w:val="0D0D0D"/>
        </w:rPr>
      </w:pPr>
      <w:r>
        <w:rPr>
          <w:color w:val="0D0D0D"/>
        </w:rPr>
        <w:tab/>
      </w:r>
      <w:r w:rsidRPr="00936DFE">
        <w:rPr>
          <w:rStyle w:val="aa"/>
        </w:rPr>
        <w:footnoteRef/>
      </w:r>
      <w:r>
        <w:rPr>
          <w:color w:val="0D0D0D"/>
        </w:rPr>
        <w:tab/>
        <w:t xml:space="preserve">В Республике Молдова практикуются три модели изучения языков национальных меньшинств: I — школы с преподаванием на русском языке, в которых традиционно обучаются представители национальных меньшинств; II — школы с преподаванием на русском языке, где украинский, гагаузский, болгарский и др. языки изучаются как предмет три часа в неделю и один час дисциплина «История, культура и традиции русского, украинского, гагаузского, болгарского, рома и других народов»; III — образовательные учреждения, где в отдельных классах на уровне начального образования осуществляется учебный процесс на родном языке (например, Теоретический лицей им. </w:t>
      </w:r>
      <w:proofErr w:type="spellStart"/>
      <w:r>
        <w:rPr>
          <w:color w:val="0D0D0D"/>
        </w:rPr>
        <w:t>Васила</w:t>
      </w:r>
      <w:proofErr w:type="spellEnd"/>
      <w:r>
        <w:rPr>
          <w:color w:val="0D0D0D"/>
        </w:rPr>
        <w:t xml:space="preserve"> </w:t>
      </w:r>
      <w:proofErr w:type="spellStart"/>
      <w:r>
        <w:rPr>
          <w:color w:val="0D0D0D"/>
        </w:rPr>
        <w:t>Левски</w:t>
      </w:r>
      <w:proofErr w:type="spellEnd"/>
      <w:r>
        <w:rPr>
          <w:color w:val="0D0D0D"/>
        </w:rPr>
        <w:t xml:space="preserve">, с преподаванием на болгарском языке, муниципий </w:t>
      </w:r>
      <w:proofErr w:type="spellStart"/>
      <w:r>
        <w:rPr>
          <w:color w:val="0D0D0D"/>
        </w:rPr>
        <w:t>Кишинэу</w:t>
      </w:r>
      <w:proofErr w:type="spellEnd"/>
      <w:r>
        <w:rPr>
          <w:color w:val="0D0D0D"/>
        </w:rPr>
        <w:t>).</w:t>
      </w:r>
    </w:p>
  </w:footnote>
  <w:footnote w:id="33">
    <w:p w14:paraId="01E6374B" w14:textId="77777777" w:rsidR="00936DFE" w:rsidRDefault="00936DFE" w:rsidP="00936DFE">
      <w:pPr>
        <w:pStyle w:val="ad"/>
      </w:pPr>
      <w:r>
        <w:tab/>
      </w:r>
      <w:r w:rsidRPr="00936DFE">
        <w:rPr>
          <w:rStyle w:val="aa"/>
        </w:rPr>
        <w:footnoteRef/>
      </w:r>
      <w:r>
        <w:tab/>
        <w:t xml:space="preserve">Созданная в 2005 году и зарегистрированная в 2008 году ANTEM стала инициатором изучения государственного языка для носителей других языков в Республике Молдова, профессионального, компетентного и ответственного подхода к интеграции национальных меньшинств путем развития коммуникативных навыков. Предоставляемые услуги: 1. Обучение языку. 2. Лингвистическое погружение. 3. Культурное погружение. 4. Консалтинг в методике обучения взрослых и детей. </w:t>
      </w:r>
    </w:p>
  </w:footnote>
  <w:footnote w:id="34">
    <w:p w14:paraId="77E3F503" w14:textId="77777777" w:rsidR="00936DFE" w:rsidRPr="000E373D" w:rsidRDefault="00936DFE" w:rsidP="00936DFE">
      <w:pPr>
        <w:pStyle w:val="ad"/>
      </w:pPr>
      <w:r>
        <w:rPr>
          <w:lang w:eastAsia="ro-RO"/>
        </w:rPr>
        <w:tab/>
      </w:r>
      <w:r w:rsidRPr="00936DFE">
        <w:rPr>
          <w:rStyle w:val="aa"/>
        </w:rPr>
        <w:footnoteRef/>
      </w:r>
      <w:r>
        <w:rPr>
          <w:lang w:eastAsia="ro-RO"/>
        </w:rPr>
        <w:tab/>
      </w:r>
      <w:r>
        <w:rPr>
          <w:lang w:eastAsia="ro-RO"/>
        </w:rPr>
        <w:tab/>
      </w:r>
      <w:r w:rsidRPr="000E373D">
        <w:rPr>
          <w:lang w:eastAsia="ro-RO"/>
        </w:rPr>
        <w:t xml:space="preserve">План действий по поддержке этнического населения рома в Республике Молдова на </w:t>
      </w:r>
      <w:r>
        <w:rPr>
          <w:lang w:eastAsia="ro-RO"/>
        </w:rPr>
        <w:br/>
      </w:r>
      <w:r w:rsidRPr="000E373D">
        <w:rPr>
          <w:lang w:eastAsia="ro-RO"/>
        </w:rPr>
        <w:t>2016</w:t>
      </w:r>
      <w:r>
        <w:rPr>
          <w:lang w:eastAsia="ro-RO"/>
        </w:rPr>
        <w:t>–</w:t>
      </w:r>
      <w:r w:rsidRPr="000E373D">
        <w:rPr>
          <w:lang w:eastAsia="ro-RO"/>
        </w:rPr>
        <w:t>2020 годы был утвержден ПП № 734 от 9</w:t>
      </w:r>
      <w:r>
        <w:rPr>
          <w:lang w:eastAsia="ro-RO"/>
        </w:rPr>
        <w:t xml:space="preserve"> июня </w:t>
      </w:r>
      <w:r w:rsidRPr="000E373D">
        <w:rPr>
          <w:lang w:eastAsia="ro-RO"/>
        </w:rPr>
        <w:t>2016</w:t>
      </w:r>
      <w:r>
        <w:rPr>
          <w:lang w:eastAsia="ro-RO"/>
        </w:rPr>
        <w:t xml:space="preserve"> года</w:t>
      </w:r>
      <w:r w:rsidRPr="000E373D">
        <w:rPr>
          <w:lang w:eastAsia="ro-RO"/>
        </w:rPr>
        <w:t>.</w:t>
      </w:r>
    </w:p>
  </w:footnote>
  <w:footnote w:id="35">
    <w:p w14:paraId="7F3B59D7" w14:textId="77777777" w:rsidR="00936DFE" w:rsidRPr="000E373D" w:rsidRDefault="00936DFE" w:rsidP="00936DFE">
      <w:pPr>
        <w:pStyle w:val="ad"/>
      </w:pPr>
      <w:r>
        <w:tab/>
      </w:r>
      <w:r w:rsidRPr="00936DFE">
        <w:rPr>
          <w:rStyle w:val="aa"/>
        </w:rPr>
        <w:footnoteRef/>
      </w:r>
      <w:r>
        <w:tab/>
      </w:r>
      <w:r w:rsidRPr="000E373D">
        <w:t>Ежегодные отчеты о реализации Плана действий на 2017, 2018 и 2019 годы были подготовлены, представлены правительству в феврале каждого года и размещены на</w:t>
      </w:r>
      <w:r>
        <w:t> </w:t>
      </w:r>
      <w:r w:rsidRPr="000E373D">
        <w:t xml:space="preserve">официальной веб-странице АМО. </w:t>
      </w:r>
    </w:p>
  </w:footnote>
  <w:footnote w:id="36">
    <w:p w14:paraId="22F297A6" w14:textId="77777777" w:rsidR="00936DFE" w:rsidRDefault="00936DFE" w:rsidP="00936DFE">
      <w:pPr>
        <w:pStyle w:val="ad"/>
      </w:pPr>
      <w:r>
        <w:tab/>
      </w:r>
      <w:r w:rsidRPr="00936DFE">
        <w:rPr>
          <w:rStyle w:val="aa"/>
        </w:rPr>
        <w:footnoteRef/>
      </w:r>
      <w:r>
        <w:tab/>
      </w:r>
      <w:r w:rsidRPr="000E373D">
        <w:t>Немецкое агентство международного сотрудничества.</w:t>
      </w:r>
    </w:p>
  </w:footnote>
  <w:footnote w:id="37">
    <w:p w14:paraId="4FB08F99" w14:textId="77777777" w:rsidR="00936DFE" w:rsidRPr="00786F88" w:rsidRDefault="00936DFE" w:rsidP="00936DFE">
      <w:pPr>
        <w:pStyle w:val="ad"/>
      </w:pPr>
      <w:r>
        <w:tab/>
      </w:r>
      <w:r w:rsidRPr="00936DFE">
        <w:rPr>
          <w:rStyle w:val="aa"/>
        </w:rPr>
        <w:footnoteRef/>
      </w:r>
      <w:r>
        <w:tab/>
        <w:t>До вступления в силу Закона 105/2018 выполнялись положения Закона № 102 от 13 марта 2003</w:t>
      </w:r>
      <w:r>
        <w:rPr>
          <w:lang w:val="en-US"/>
        </w:rPr>
        <w:t> </w:t>
      </w:r>
      <w:r>
        <w:t xml:space="preserve">года о занятости населения и социальной защите лиц, находящихся в поиске работы. Статья 8 этого Закона гарантировала доступ к публичным услугам по обеспечению занятости населения всем лицам, исключая любую форму дискриминации по расовому, национальному, этническому происхождению, полу, взглядам, политической принадлежности, материальному и имущественному положению, социальному происхождению или иному признаку. </w:t>
      </w:r>
    </w:p>
  </w:footnote>
  <w:footnote w:id="38">
    <w:p w14:paraId="4381C7AF" w14:textId="77777777" w:rsidR="00936DFE" w:rsidRPr="009E1889" w:rsidRDefault="00936DFE" w:rsidP="00936DFE">
      <w:pPr>
        <w:pStyle w:val="ad"/>
      </w:pPr>
      <w:r>
        <w:tab/>
      </w:r>
      <w:r w:rsidRPr="00936DFE">
        <w:rPr>
          <w:rStyle w:val="aa"/>
        </w:rPr>
        <w:footnoteRef/>
      </w:r>
      <w:r>
        <w:tab/>
        <w:t xml:space="preserve">Согласно Закону об охране здоровья № 411/1995 жители </w:t>
      </w:r>
      <w:r w:rsidRPr="00C17805">
        <w:rPr>
          <w:color w:val="000000" w:themeColor="text1"/>
        </w:rPr>
        <w:t xml:space="preserve">Республики </w:t>
      </w:r>
      <w:r>
        <w:t xml:space="preserve">имеют право на охрану здоровья независимо от национальности, расы, пола, социального положения, вероисповедания. Согласно Закону об обязательном медицинском страховании № 1585/1998, Правительство обеспечивает страхование для 14 категорий безработных, проживающих в Республике Молдова и состоящих на учете в компетентных учреждениях. </w:t>
      </w:r>
    </w:p>
  </w:footnote>
  <w:footnote w:id="39">
    <w:p w14:paraId="64D65C03" w14:textId="77777777" w:rsidR="00936DFE" w:rsidRPr="00F30367" w:rsidRDefault="00936DFE" w:rsidP="00936DFE">
      <w:pPr>
        <w:pStyle w:val="ad"/>
      </w:pPr>
      <w:r>
        <w:rPr>
          <w:rStyle w:val="af4"/>
          <w:color w:val="3B3B3B"/>
          <w:bdr w:val="none" w:sz="0" w:space="0" w:color="auto" w:frame="1"/>
          <w:shd w:val="clear" w:color="auto" w:fill="FFFFFF"/>
        </w:rPr>
        <w:tab/>
      </w:r>
      <w:r w:rsidRPr="00936DFE">
        <w:rPr>
          <w:rStyle w:val="aa"/>
        </w:rPr>
        <w:footnoteRef/>
      </w:r>
      <w:r w:rsidRPr="00571E12">
        <w:rPr>
          <w:rStyle w:val="af4"/>
          <w:bdr w:val="none" w:sz="0" w:space="0" w:color="auto" w:frame="1"/>
          <w:shd w:val="clear" w:color="auto" w:fill="FFFFFF"/>
        </w:rPr>
        <w:tab/>
      </w:r>
      <w:r w:rsidRPr="00571E12">
        <w:rPr>
          <w:rStyle w:val="af4"/>
          <w:b w:val="0"/>
          <w:bCs w:val="0"/>
          <w:bdr w:val="none" w:sz="0" w:space="0" w:color="auto" w:frame="1"/>
          <w:shd w:val="clear" w:color="auto" w:fill="FFFFFF"/>
        </w:rPr>
        <w:t>Генеральный инспекторат полиции является специализированным государственным учреждением, в подчинении Министерства внутренних дел, миссией которого является защита свободы и основных прав человека путем деятельности по поддержанию, обеспечению и восстановлению общественного порядка и безопасности, а также предотвращения и борьбы с</w:t>
      </w:r>
      <w:r>
        <w:rPr>
          <w:rStyle w:val="af4"/>
          <w:b w:val="0"/>
          <w:bCs w:val="0"/>
          <w:bdr w:val="none" w:sz="0" w:space="0" w:color="auto" w:frame="1"/>
          <w:shd w:val="clear" w:color="auto" w:fill="FFFFFF"/>
          <w:lang w:val="en-US"/>
        </w:rPr>
        <w:t> </w:t>
      </w:r>
      <w:r w:rsidRPr="00571E12">
        <w:rPr>
          <w:rStyle w:val="af4"/>
          <w:b w:val="0"/>
          <w:bCs w:val="0"/>
          <w:bdr w:val="none" w:sz="0" w:space="0" w:color="auto" w:frame="1"/>
          <w:shd w:val="clear" w:color="auto" w:fill="FFFFFF"/>
        </w:rPr>
        <w:t>правонарушениями и преступлениями</w:t>
      </w:r>
      <w:r w:rsidRPr="00F30367">
        <w:rPr>
          <w:shd w:val="clear" w:color="auto" w:fill="FFFFFF"/>
        </w:rPr>
        <w:t>.</w:t>
      </w:r>
    </w:p>
  </w:footnote>
  <w:footnote w:id="40">
    <w:p w14:paraId="0E94DE52" w14:textId="77777777" w:rsidR="00936DFE" w:rsidRPr="00F60B24" w:rsidRDefault="00936DFE" w:rsidP="00936DFE">
      <w:pPr>
        <w:pStyle w:val="ad"/>
        <w:rPr>
          <w:color w:val="000000" w:themeColor="text1"/>
        </w:rPr>
      </w:pPr>
      <w:r>
        <w:tab/>
      </w:r>
      <w:r w:rsidRPr="00936DFE">
        <w:rPr>
          <w:rStyle w:val="aa"/>
        </w:rPr>
        <w:footnoteRef/>
      </w:r>
      <w:r>
        <w:tab/>
      </w:r>
      <w:r w:rsidRPr="000E373D">
        <w:t xml:space="preserve">Исследование по оценке отношения населения к пожилым людям, </w:t>
      </w:r>
      <w:r>
        <w:br/>
      </w:r>
      <w:hyperlink r:id="rId13" w:history="1">
        <w:r w:rsidRPr="00F60B24">
          <w:rPr>
            <w:rStyle w:val="af1"/>
            <w:color w:val="000000" w:themeColor="text1"/>
          </w:rPr>
          <w:t>http://egalitate.md/wp-content/uploads/2016/04/Raport_Evaluarea-atitudinilor-popula--iei-generale-fa-----de-persoanele---n-etate-1.pdf</w:t>
        </w:r>
      </w:hyperlink>
      <w:r w:rsidRPr="00F60B24">
        <w:rPr>
          <w:rStyle w:val="af1"/>
          <w:color w:val="000000" w:themeColor="text1"/>
        </w:rPr>
        <w:t>.</w:t>
      </w:r>
    </w:p>
  </w:footnote>
  <w:footnote w:id="41">
    <w:p w14:paraId="0021B39A" w14:textId="77777777" w:rsidR="00936DFE" w:rsidRPr="00947209" w:rsidRDefault="00936DFE" w:rsidP="00936DFE">
      <w:pPr>
        <w:pStyle w:val="ad"/>
        <w:rPr>
          <w:color w:val="000000" w:themeColor="text1"/>
        </w:rPr>
      </w:pPr>
      <w:r w:rsidRPr="00F60B24">
        <w:rPr>
          <w:color w:val="000000" w:themeColor="text1"/>
        </w:rPr>
        <w:tab/>
      </w:r>
      <w:r w:rsidRPr="00936DFE">
        <w:rPr>
          <w:rStyle w:val="aa"/>
        </w:rPr>
        <w:footnoteRef/>
      </w:r>
      <w:r w:rsidRPr="00F60B24">
        <w:rPr>
          <w:color w:val="000000" w:themeColor="text1"/>
        </w:rPr>
        <w:tab/>
        <w:t>Решение №. 111/14 от 9 августа 2</w:t>
      </w:r>
      <w:r w:rsidRPr="000E373D">
        <w:t>014</w:t>
      </w:r>
      <w:r>
        <w:t xml:space="preserve"> года</w:t>
      </w:r>
      <w:r w:rsidRPr="000E373D">
        <w:t xml:space="preserve">, </w:t>
      </w:r>
      <w:hyperlink r:id="rId14" w:history="1">
        <w:r w:rsidRPr="00947209">
          <w:rPr>
            <w:rStyle w:val="af1"/>
            <w:color w:val="000000" w:themeColor="text1"/>
          </w:rPr>
          <w:t>http://egalitate.md/media/files/files/decizie_111_2014_depersonalizat_8782432.pdf</w:t>
        </w:r>
      </w:hyperlink>
      <w:r w:rsidRPr="00947209">
        <w:rPr>
          <w:rStyle w:val="af1"/>
          <w:color w:val="000000" w:themeColor="text1"/>
        </w:rPr>
        <w:t>;</w:t>
      </w:r>
      <w:r w:rsidRPr="00947209">
        <w:rPr>
          <w:rStyle w:val="af1"/>
          <w:color w:val="000000" w:themeColor="text1"/>
        </w:rPr>
        <w:br/>
      </w:r>
      <w:r w:rsidRPr="00947209">
        <w:rPr>
          <w:color w:val="000000" w:themeColor="text1"/>
        </w:rPr>
        <w:tab/>
        <w:t xml:space="preserve">Решение № 190/14 от 13 февраля 2015 года, </w:t>
      </w:r>
      <w:r w:rsidRPr="00947209">
        <w:rPr>
          <w:color w:val="000000" w:themeColor="text1"/>
        </w:rPr>
        <w:br/>
      </w:r>
      <w:hyperlink r:id="rId15" w:history="1">
        <w:r w:rsidRPr="00947209">
          <w:rPr>
            <w:rStyle w:val="af1"/>
            <w:color w:val="000000" w:themeColor="text1"/>
          </w:rPr>
          <w:t>http://www.egalitate.md/media/files/files/decizie_190_2015__2000159.pdf</w:t>
        </w:r>
      </w:hyperlink>
      <w:r w:rsidRPr="00947209">
        <w:rPr>
          <w:color w:val="000000" w:themeColor="text1"/>
        </w:rPr>
        <w:t xml:space="preserve">; </w:t>
      </w:r>
      <w:r w:rsidRPr="00947209">
        <w:rPr>
          <w:color w:val="000000" w:themeColor="text1"/>
        </w:rPr>
        <w:br/>
        <w:t xml:space="preserve">Решение № 263/15 от 11 августа 2015 года, </w:t>
      </w:r>
      <w:r w:rsidRPr="00947209">
        <w:rPr>
          <w:color w:val="000000" w:themeColor="text1"/>
        </w:rPr>
        <w:br/>
      </w:r>
      <w:hyperlink r:id="rId16" w:history="1">
        <w:r w:rsidRPr="00947209">
          <w:rPr>
            <w:rStyle w:val="af1"/>
            <w:color w:val="000000" w:themeColor="text1"/>
          </w:rPr>
          <w:t>http://www.egalitate.md/media/files/files/decizie_263_2015_depersonalizat_9623919.pdf</w:t>
        </w:r>
      </w:hyperlink>
      <w:r w:rsidRPr="00947209">
        <w:rPr>
          <w:color w:val="000000" w:themeColor="text1"/>
        </w:rPr>
        <w:t xml:space="preserve">; </w:t>
      </w:r>
      <w:r w:rsidRPr="00947209">
        <w:rPr>
          <w:color w:val="000000" w:themeColor="text1"/>
        </w:rPr>
        <w:br/>
        <w:t xml:space="preserve">Решение № 349/15 от 9 февраля 2016 года, </w:t>
      </w:r>
      <w:r w:rsidRPr="00947209">
        <w:rPr>
          <w:color w:val="000000" w:themeColor="text1"/>
        </w:rPr>
        <w:br/>
      </w:r>
      <w:hyperlink r:id="rId17" w:history="1">
        <w:r w:rsidRPr="00947209">
          <w:rPr>
            <w:rStyle w:val="af1"/>
            <w:color w:val="000000" w:themeColor="text1"/>
          </w:rPr>
          <w:t>http://www.egalitate.md/media/files/files/decizie_349_2016_depersonalizat_7268082.pdf</w:t>
        </w:r>
      </w:hyperlink>
      <w:r w:rsidRPr="00947209">
        <w:rPr>
          <w:color w:val="000000" w:themeColor="text1"/>
        </w:rPr>
        <w:t xml:space="preserve">; </w:t>
      </w:r>
      <w:r w:rsidRPr="00947209">
        <w:rPr>
          <w:color w:val="000000" w:themeColor="text1"/>
        </w:rPr>
        <w:br/>
        <w:t>Решение №. 363/14 от 12 февраля 2016 года,</w:t>
      </w:r>
      <w:r w:rsidRPr="00947209">
        <w:rPr>
          <w:color w:val="000000" w:themeColor="text1"/>
        </w:rPr>
        <w:br/>
      </w:r>
      <w:hyperlink r:id="rId18" w:history="1">
        <w:r w:rsidRPr="00947209">
          <w:rPr>
            <w:rStyle w:val="af1"/>
            <w:color w:val="000000" w:themeColor="text1"/>
          </w:rPr>
          <w:t>http://www.egalitate.md/media/files/files/decizie_363_2015_depersonalizat_5521507.pdf</w:t>
        </w:r>
      </w:hyperlink>
      <w:r w:rsidRPr="00947209">
        <w:rPr>
          <w:color w:val="000000" w:themeColor="text1"/>
        </w:rPr>
        <w:t xml:space="preserve">; </w:t>
      </w:r>
      <w:r w:rsidRPr="00947209">
        <w:rPr>
          <w:color w:val="000000" w:themeColor="text1"/>
        </w:rPr>
        <w:br/>
        <w:t xml:space="preserve">Решение № 182/14 от 18 декабря 2014 года, </w:t>
      </w:r>
      <w:r w:rsidRPr="00947209">
        <w:rPr>
          <w:color w:val="000000" w:themeColor="text1"/>
        </w:rPr>
        <w:br/>
      </w:r>
      <w:hyperlink r:id="rId19" w:history="1">
        <w:r w:rsidRPr="00947209">
          <w:rPr>
            <w:rStyle w:val="af1"/>
            <w:color w:val="000000" w:themeColor="text1"/>
          </w:rPr>
          <w:t>http://www.egalitate.md/media/files/files/decizie_182_2014_eng_вузукыщтфдшяфе_1673643.pdf</w:t>
        </w:r>
      </w:hyperlink>
      <w:r w:rsidRPr="00947209">
        <w:rPr>
          <w:color w:val="000000" w:themeColor="text1"/>
        </w:rPr>
        <w:t xml:space="preserve">. </w:t>
      </w:r>
    </w:p>
  </w:footnote>
  <w:footnote w:id="42">
    <w:p w14:paraId="27F3DD2F" w14:textId="77777777" w:rsidR="00936DFE" w:rsidRPr="009D5A24" w:rsidRDefault="00936DFE" w:rsidP="00936DFE">
      <w:pPr>
        <w:pStyle w:val="ad"/>
        <w:rPr>
          <w:color w:val="000000" w:themeColor="text1"/>
        </w:rPr>
      </w:pPr>
      <w:r>
        <w:tab/>
      </w:r>
      <w:r w:rsidRPr="00936DFE">
        <w:rPr>
          <w:rStyle w:val="aa"/>
        </w:rPr>
        <w:footnoteRef/>
      </w:r>
      <w:r>
        <w:tab/>
      </w:r>
      <w:r w:rsidRPr="009D5A24">
        <w:rPr>
          <w:color w:val="000000" w:themeColor="text1"/>
        </w:rPr>
        <w:t xml:space="preserve">Решение № 159/14 от 13 октября 2014 года, </w:t>
      </w:r>
      <w:r w:rsidRPr="009D5A24">
        <w:rPr>
          <w:color w:val="000000" w:themeColor="text1"/>
        </w:rPr>
        <w:br/>
      </w:r>
      <w:hyperlink r:id="rId20" w:history="1">
        <w:r w:rsidRPr="009D5A24">
          <w:rPr>
            <w:rStyle w:val="af1"/>
            <w:color w:val="000000" w:themeColor="text1"/>
          </w:rPr>
          <w:t>http://egalitate.md/media/files/files/decizia_cauza__renato_usatii_r_5487969.pdf</w:t>
        </w:r>
      </w:hyperlink>
      <w:r w:rsidRPr="009D5A24">
        <w:rPr>
          <w:color w:val="000000" w:themeColor="text1"/>
        </w:rPr>
        <w:t xml:space="preserve">; </w:t>
      </w:r>
      <w:r w:rsidRPr="009D5A24">
        <w:rPr>
          <w:color w:val="000000" w:themeColor="text1"/>
        </w:rPr>
        <w:br/>
        <w:t xml:space="preserve">Решение № 180/14 от 16 декабря 2014 года, </w:t>
      </w:r>
      <w:r w:rsidRPr="009D5A24">
        <w:rPr>
          <w:color w:val="000000" w:themeColor="text1"/>
        </w:rPr>
        <w:br/>
      </w:r>
      <w:hyperlink r:id="rId21" w:history="1">
        <w:r w:rsidRPr="009D5A24">
          <w:rPr>
            <w:rStyle w:val="af1"/>
            <w:color w:val="000000" w:themeColor="text1"/>
          </w:rPr>
          <w:t>http://www.egalitate.md/media/files/files/decizie_180_2014_eng_5421479.pdf</w:t>
        </w:r>
      </w:hyperlink>
      <w:r w:rsidRPr="009D5A24">
        <w:rPr>
          <w:color w:val="000000" w:themeColor="text1"/>
        </w:rPr>
        <w:t xml:space="preserve">; </w:t>
      </w:r>
      <w:r w:rsidRPr="009D5A24">
        <w:rPr>
          <w:color w:val="000000" w:themeColor="text1"/>
        </w:rPr>
        <w:br/>
        <w:t>Решение № 497/16 от 20 января 2017 года,</w:t>
      </w:r>
      <w:r w:rsidRPr="009D5A24">
        <w:rPr>
          <w:color w:val="000000" w:themeColor="text1"/>
        </w:rPr>
        <w:br/>
      </w:r>
      <w:hyperlink r:id="rId22" w:history="1">
        <w:r w:rsidRPr="009D5A24">
          <w:rPr>
            <w:rStyle w:val="af1"/>
            <w:color w:val="000000" w:themeColor="text1"/>
          </w:rPr>
          <w:t>https://www.egalitate.md/media/files/files/draft_decizie_constatare_497_2016-votat-de-modificat_depers__5381970.pdf</w:t>
        </w:r>
      </w:hyperlink>
      <w:r w:rsidRPr="009D5A24">
        <w:rPr>
          <w:color w:val="000000" w:themeColor="text1"/>
        </w:rPr>
        <w:t xml:space="preserve">; </w:t>
      </w:r>
      <w:r w:rsidRPr="009D5A24">
        <w:rPr>
          <w:color w:val="000000" w:themeColor="text1"/>
        </w:rPr>
        <w:br/>
        <w:t xml:space="preserve">Решение № 513/16 от 1 марта 2017 года; Решение № 187/14 от 5 февраля 2015 года, </w:t>
      </w:r>
      <w:r w:rsidRPr="009D5A24">
        <w:rPr>
          <w:color w:val="000000" w:themeColor="text1"/>
        </w:rPr>
        <w:br/>
      </w:r>
      <w:hyperlink r:id="rId23" w:history="1">
        <w:r w:rsidRPr="009D5A24">
          <w:rPr>
            <w:rStyle w:val="af1"/>
            <w:color w:val="000000" w:themeColor="text1"/>
          </w:rPr>
          <w:t>http://www.egalitate.md/media/files/files/decizie__187_2015__7264066.pdf</w:t>
        </w:r>
      </w:hyperlink>
      <w:r w:rsidRPr="009D5A24">
        <w:rPr>
          <w:color w:val="000000" w:themeColor="text1"/>
        </w:rPr>
        <w:t xml:space="preserve">; </w:t>
      </w:r>
      <w:r w:rsidRPr="009D5A24">
        <w:rPr>
          <w:color w:val="000000" w:themeColor="text1"/>
        </w:rPr>
        <w:br/>
        <w:t xml:space="preserve">Решение № 293/15 от 28 сентября 2015 года, </w:t>
      </w:r>
      <w:r w:rsidRPr="009D5A24">
        <w:rPr>
          <w:color w:val="000000" w:themeColor="text1"/>
        </w:rPr>
        <w:br/>
      </w:r>
      <w:hyperlink r:id="rId24" w:history="1">
        <w:r w:rsidRPr="009D5A24">
          <w:rPr>
            <w:rStyle w:val="af1"/>
            <w:color w:val="000000" w:themeColor="text1"/>
          </w:rPr>
          <w:t>http://egalitate.md/media/files/files/decizie_293_2015_3555799.pdf</w:t>
        </w:r>
      </w:hyperlink>
      <w:r w:rsidRPr="009D5A24">
        <w:rPr>
          <w:color w:val="000000" w:themeColor="text1"/>
        </w:rPr>
        <w:t xml:space="preserve">. </w:t>
      </w:r>
    </w:p>
  </w:footnote>
  <w:footnote w:id="43">
    <w:p w14:paraId="51791D6E" w14:textId="77777777" w:rsidR="00936DFE" w:rsidRPr="000E373D" w:rsidRDefault="00936DFE" w:rsidP="00936DFE">
      <w:pPr>
        <w:pStyle w:val="ad"/>
      </w:pPr>
      <w:r>
        <w:tab/>
      </w:r>
      <w:r w:rsidRPr="00936DFE">
        <w:rPr>
          <w:rStyle w:val="aa"/>
        </w:rPr>
        <w:footnoteRef/>
      </w:r>
      <w:r>
        <w:tab/>
      </w:r>
      <w:r w:rsidRPr="000E373D">
        <w:t>Решение № 029/2013 от 21</w:t>
      </w:r>
      <w:r>
        <w:t xml:space="preserve"> января </w:t>
      </w:r>
      <w:r w:rsidRPr="000E373D">
        <w:t>2014</w:t>
      </w:r>
      <w:r>
        <w:t xml:space="preserve"> года</w:t>
      </w:r>
      <w:r w:rsidRPr="000E373D">
        <w:t xml:space="preserve">, </w:t>
      </w:r>
      <w:hyperlink r:id="rId25" w:history="1">
        <w:r w:rsidRPr="00B76EF0">
          <w:rPr>
            <w:rStyle w:val="af1"/>
            <w:color w:val="000000" w:themeColor="text1"/>
          </w:rPr>
          <w:t>http://egalitate.md/media/files/files/decizia_cauza_nr_029_2013_cultul_penticostal_9910224.pdf</w:t>
        </w:r>
      </w:hyperlink>
      <w:r>
        <w:t>.</w:t>
      </w:r>
    </w:p>
  </w:footnote>
  <w:footnote w:id="44">
    <w:p w14:paraId="2E6AE685" w14:textId="77777777" w:rsidR="00936DFE" w:rsidRDefault="00936DFE" w:rsidP="00936DFE">
      <w:pPr>
        <w:pStyle w:val="ad"/>
      </w:pPr>
      <w:r>
        <w:tab/>
      </w:r>
      <w:r w:rsidRPr="00936DFE">
        <w:rPr>
          <w:rStyle w:val="aa"/>
        </w:rPr>
        <w:footnoteRef/>
      </w:r>
      <w:r>
        <w:tab/>
      </w:r>
      <w:r w:rsidRPr="005C1C40">
        <w:t xml:space="preserve">Решение </w:t>
      </w:r>
      <w:r>
        <w:t>№</w:t>
      </w:r>
      <w:r w:rsidRPr="005C1C40">
        <w:t xml:space="preserve"> 009/2013 от 2</w:t>
      </w:r>
      <w:r w:rsidRPr="00B76EF0">
        <w:t xml:space="preserve"> </w:t>
      </w:r>
      <w:r>
        <w:t xml:space="preserve">декабря </w:t>
      </w:r>
      <w:r w:rsidRPr="005C1C40">
        <w:t>2013</w:t>
      </w:r>
      <w:r>
        <w:t xml:space="preserve"> года</w:t>
      </w:r>
      <w:r w:rsidRPr="005C1C40">
        <w:t xml:space="preserve">, </w:t>
      </w:r>
      <w:hyperlink r:id="rId26" w:history="1">
        <w:r w:rsidRPr="00B76EF0">
          <w:rPr>
            <w:rStyle w:val="af1"/>
            <w:color w:val="000000" w:themeColor="text1"/>
          </w:rPr>
          <w:t>http://www.egalitate.md/media/files/files/decizie_009_2013_eng_5063801.pdf</w:t>
        </w:r>
      </w:hyperlink>
      <w:r w:rsidRPr="00B76EF0">
        <w:rPr>
          <w:color w:val="000000" w:themeColor="text1"/>
        </w:rPr>
        <w:t xml:space="preserve">; </w:t>
      </w:r>
      <w:r w:rsidRPr="00B76EF0">
        <w:rPr>
          <w:color w:val="000000" w:themeColor="text1"/>
        </w:rPr>
        <w:br/>
        <w:t xml:space="preserve">Решение №. 439/16 от 23 сентября 2016 года, </w:t>
      </w:r>
      <w:hyperlink r:id="rId27" w:history="1">
        <w:r w:rsidRPr="00B76EF0">
          <w:rPr>
            <w:rStyle w:val="af1"/>
            <w:color w:val="000000" w:themeColor="text1"/>
          </w:rPr>
          <w:t>http://egalitate.md/media/files/files/decizie_439_2016__constatare-votat_6290889.pdf</w:t>
        </w:r>
      </w:hyperlink>
      <w:r w:rsidRPr="00B76EF0">
        <w:rPr>
          <w:color w:val="000000" w:themeColor="text1"/>
        </w:rPr>
        <w:t xml:space="preserve">, </w:t>
      </w:r>
      <w:r w:rsidRPr="00B76EF0">
        <w:rPr>
          <w:color w:val="000000" w:themeColor="text1"/>
        </w:rPr>
        <w:br/>
        <w:t xml:space="preserve">Решение № 212 от 30 апреля 2015 года, </w:t>
      </w:r>
      <w:hyperlink r:id="rId28" w:history="1">
        <w:r w:rsidRPr="00B76EF0">
          <w:rPr>
            <w:rStyle w:val="af1"/>
            <w:color w:val="000000" w:themeColor="text1"/>
          </w:rPr>
          <w:t>http://www.egalitate.md/media/files/files/decizie_in_cauza_212_4588688.pdf</w:t>
        </w:r>
      </w:hyperlink>
      <w:r w:rsidRPr="00B76EF0">
        <w:rPr>
          <w:color w:val="000000" w:themeColor="text1"/>
        </w:rPr>
        <w:t xml:space="preserve">; </w:t>
      </w:r>
      <w:r w:rsidRPr="00B76EF0">
        <w:rPr>
          <w:color w:val="000000" w:themeColor="text1"/>
        </w:rPr>
        <w:br/>
        <w:t xml:space="preserve">Решение № 268/15 от 28 августа 2015 года, </w:t>
      </w:r>
      <w:hyperlink r:id="rId29" w:history="1">
        <w:r w:rsidRPr="00B76EF0">
          <w:rPr>
            <w:rStyle w:val="af1"/>
            <w:color w:val="000000" w:themeColor="text1"/>
          </w:rPr>
          <w:t>http://www.egalitate.md/media/files/files/decizie_268_2015_depersonalizat_eng_4390671.pdf</w:t>
        </w:r>
      </w:hyperlink>
      <w:r w:rsidRPr="00B76EF0">
        <w:rPr>
          <w:color w:val="000000" w:themeColor="text1"/>
        </w:rPr>
        <w:t>.</w:t>
      </w:r>
    </w:p>
  </w:footnote>
  <w:footnote w:id="45">
    <w:p w14:paraId="561A42D3" w14:textId="77777777" w:rsidR="00936DFE" w:rsidRPr="00B76EF0" w:rsidRDefault="00936DFE" w:rsidP="00936DFE">
      <w:pPr>
        <w:pStyle w:val="ad"/>
        <w:rPr>
          <w:color w:val="000000" w:themeColor="text1"/>
        </w:rPr>
      </w:pPr>
      <w:r>
        <w:tab/>
      </w:r>
      <w:r w:rsidRPr="00936DFE">
        <w:rPr>
          <w:rStyle w:val="aa"/>
        </w:rPr>
        <w:footnoteRef/>
      </w:r>
      <w:r>
        <w:tab/>
      </w:r>
      <w:hyperlink r:id="rId30" w:history="1">
        <w:r w:rsidRPr="00B76EF0">
          <w:rPr>
            <w:rStyle w:val="af1"/>
            <w:color w:val="000000" w:themeColor="text1"/>
          </w:rPr>
          <w:t>http://egalitate.md/campains/</w:t>
        </w:r>
      </w:hyperlink>
      <w:r>
        <w:t>.</w:t>
      </w:r>
    </w:p>
  </w:footnote>
  <w:footnote w:id="46">
    <w:p w14:paraId="48826F92" w14:textId="77777777" w:rsidR="00936DFE" w:rsidRPr="00071699" w:rsidRDefault="00936DFE" w:rsidP="00936DFE">
      <w:pPr>
        <w:pStyle w:val="ad"/>
      </w:pPr>
      <w:r>
        <w:rPr>
          <w:color w:val="000000"/>
        </w:rPr>
        <w:tab/>
      </w:r>
      <w:r w:rsidRPr="00936DFE">
        <w:rPr>
          <w:rStyle w:val="aa"/>
        </w:rPr>
        <w:footnoteRef/>
      </w:r>
      <w:r>
        <w:rPr>
          <w:color w:val="000000"/>
        </w:rPr>
        <w:tab/>
      </w:r>
      <w:r w:rsidRPr="00C17805">
        <w:rPr>
          <w:color w:val="000000" w:themeColor="text1"/>
        </w:rPr>
        <w:t xml:space="preserve">Стратегия </w:t>
      </w:r>
      <w:r w:rsidRPr="00071699">
        <w:rPr>
          <w:color w:val="000000"/>
        </w:rPr>
        <w:t>укрепления межэтнических отношений в Республике Молдова на 2017</w:t>
      </w:r>
      <w:r>
        <w:rPr>
          <w:color w:val="000000"/>
        </w:rPr>
        <w:t>–</w:t>
      </w:r>
      <w:r w:rsidRPr="00071699">
        <w:rPr>
          <w:color w:val="000000"/>
        </w:rPr>
        <w:t>2027 годы, п</w:t>
      </w:r>
      <w:r>
        <w:rPr>
          <w:color w:val="000000"/>
        </w:rPr>
        <w:t>ункт</w:t>
      </w:r>
      <w:r w:rsidRPr="00071699">
        <w:rPr>
          <w:color w:val="000000"/>
        </w:rPr>
        <w:t xml:space="preserve"> 1.2, </w:t>
      </w:r>
      <w:r w:rsidRPr="00C17805">
        <w:rPr>
          <w:color w:val="000000" w:themeColor="text1"/>
        </w:rPr>
        <w:t xml:space="preserve">утвержденная </w:t>
      </w:r>
      <w:r w:rsidRPr="00071699">
        <w:rPr>
          <w:color w:val="000000"/>
        </w:rPr>
        <w:t>ПП</w:t>
      </w:r>
      <w:r>
        <w:rPr>
          <w:color w:val="000000"/>
        </w:rPr>
        <w:t xml:space="preserve"> </w:t>
      </w:r>
      <w:r w:rsidRPr="00071699">
        <w:rPr>
          <w:color w:val="000000"/>
        </w:rPr>
        <w:t>№ 1464 от 10</w:t>
      </w:r>
      <w:r>
        <w:rPr>
          <w:color w:val="000000"/>
        </w:rPr>
        <w:t xml:space="preserve"> декабря </w:t>
      </w:r>
      <w:r w:rsidRPr="00071699">
        <w:rPr>
          <w:color w:val="000000"/>
        </w:rPr>
        <w:t>2016 г</w:t>
      </w:r>
      <w:r>
        <w:rPr>
          <w:color w:val="000000"/>
        </w:rPr>
        <w:t>ода</w:t>
      </w:r>
      <w:r w:rsidRPr="00071699">
        <w:rPr>
          <w:color w:val="000000"/>
        </w:rPr>
        <w:t>.</w:t>
      </w:r>
    </w:p>
  </w:footnote>
  <w:footnote w:id="47">
    <w:p w14:paraId="4EFF027D" w14:textId="77777777" w:rsidR="00936DFE" w:rsidRDefault="00936DFE" w:rsidP="00936DFE">
      <w:pPr>
        <w:pStyle w:val="ad"/>
      </w:pPr>
      <w:r>
        <w:rPr>
          <w:bCs/>
          <w:color w:val="000000"/>
        </w:rPr>
        <w:tab/>
      </w:r>
      <w:r w:rsidRPr="00936DFE">
        <w:rPr>
          <w:rStyle w:val="aa"/>
        </w:rPr>
        <w:footnoteRef/>
      </w:r>
      <w:r>
        <w:rPr>
          <w:bCs/>
          <w:color w:val="000000"/>
        </w:rPr>
        <w:tab/>
      </w:r>
      <w:r>
        <w:t xml:space="preserve">Статья 19 </w:t>
      </w:r>
      <w:r>
        <w:rPr>
          <w:bCs/>
          <w:color w:val="000000"/>
        </w:rPr>
        <w:t>«</w:t>
      </w:r>
      <w:r>
        <w:t>Правовой статус иностранных граждан и лиц без гражданства</w:t>
      </w:r>
      <w:r>
        <w:rPr>
          <w:bCs/>
          <w:color w:val="000000"/>
        </w:rPr>
        <w:t>»</w:t>
      </w:r>
      <w:r>
        <w:t>:</w:t>
      </w:r>
    </w:p>
    <w:p w14:paraId="280F5612" w14:textId="77777777" w:rsidR="00936DFE" w:rsidRDefault="00936DFE" w:rsidP="00936DFE">
      <w:pPr>
        <w:pStyle w:val="ad"/>
      </w:pPr>
      <w:r>
        <w:tab/>
      </w:r>
      <w:r>
        <w:tab/>
        <w:t>(1)</w:t>
      </w:r>
      <w:r>
        <w:tab/>
        <w:t xml:space="preserve">Иностранные граждане и лица без гражданства имеют те же права и обязанности, что и </w:t>
      </w:r>
      <w:r>
        <w:br/>
      </w:r>
      <w:r>
        <w:tab/>
        <w:t>граждане Республики Молдова, с изъятиями, установленными законом.</w:t>
      </w:r>
    </w:p>
    <w:p w14:paraId="6F65B027" w14:textId="77777777" w:rsidR="00936DFE" w:rsidRDefault="00936DFE" w:rsidP="00936DFE">
      <w:pPr>
        <w:pStyle w:val="ad"/>
      </w:pPr>
      <w:r>
        <w:tab/>
      </w:r>
      <w:r>
        <w:tab/>
        <w:t>(2)</w:t>
      </w:r>
      <w:r>
        <w:tab/>
        <w:t xml:space="preserve">Иностранные граждане и лица без гражданства могут быть выданы другому государству </w:t>
      </w:r>
      <w:r>
        <w:br/>
      </w:r>
      <w:r>
        <w:tab/>
        <w:t xml:space="preserve">только на основании международного соглашения, на условиях взаимности или по </w:t>
      </w:r>
      <w:r>
        <w:br/>
      </w:r>
      <w:r>
        <w:tab/>
        <w:t>решению судебной инстанции.</w:t>
      </w:r>
    </w:p>
    <w:p w14:paraId="2B23AA2D" w14:textId="77777777" w:rsidR="00936DFE" w:rsidRPr="00CA4ABF" w:rsidRDefault="00936DFE" w:rsidP="00936DFE">
      <w:pPr>
        <w:pStyle w:val="ad"/>
        <w:rPr>
          <w:sz w:val="20"/>
        </w:rPr>
      </w:pPr>
      <w:r>
        <w:tab/>
      </w:r>
      <w:r>
        <w:tab/>
        <w:t>(3)</w:t>
      </w:r>
      <w:r>
        <w:tab/>
        <w:t xml:space="preserve">Право убежища предоставляется и изымается в соответствии с законом и с соблюдением </w:t>
      </w:r>
      <w:r>
        <w:br/>
      </w:r>
      <w:r>
        <w:tab/>
        <w:t>международных договоров, одной из сторон которых является Республика Молдова.</w:t>
      </w:r>
    </w:p>
  </w:footnote>
  <w:footnote w:id="48">
    <w:p w14:paraId="12444A4E" w14:textId="77777777" w:rsidR="00936DFE" w:rsidRPr="000E373D" w:rsidRDefault="00936DFE" w:rsidP="00936DFE">
      <w:pPr>
        <w:pStyle w:val="ad"/>
      </w:pPr>
      <w:r>
        <w:tab/>
      </w:r>
      <w:r w:rsidRPr="00936DFE">
        <w:rPr>
          <w:rStyle w:val="aa"/>
        </w:rPr>
        <w:footnoteRef/>
      </w:r>
      <w:r>
        <w:tab/>
      </w:r>
      <w:r w:rsidRPr="000E373D">
        <w:t>Закон № 180-</w:t>
      </w:r>
      <w:r>
        <w:t>XVI</w:t>
      </w:r>
      <w:r w:rsidRPr="000E373D">
        <w:t xml:space="preserve"> от 10 июля 2008 </w:t>
      </w:r>
      <w:r>
        <w:t xml:space="preserve">года </w:t>
      </w:r>
      <w:r w:rsidRPr="000E373D">
        <w:t>о трудовой миграции, Закон № 200/2010 о режиме иностранцев в Республике Молдова, Закон № 274/2011 об интеграции иностранцев в</w:t>
      </w:r>
      <w:r>
        <w:t> </w:t>
      </w:r>
      <w:r w:rsidRPr="000E373D">
        <w:t>Республике Молдова и Закон № 270/2008 об убежище в Республике Молдова.</w:t>
      </w:r>
    </w:p>
  </w:footnote>
  <w:footnote w:id="49">
    <w:p w14:paraId="60E35086" w14:textId="77777777" w:rsidR="00936DFE" w:rsidRPr="000E373D" w:rsidRDefault="00936DFE" w:rsidP="00936DFE">
      <w:pPr>
        <w:pStyle w:val="ad"/>
      </w:pPr>
      <w:r>
        <w:tab/>
      </w:r>
      <w:r w:rsidRPr="00936DFE">
        <w:rPr>
          <w:rStyle w:val="aa"/>
        </w:rPr>
        <w:footnoteRef/>
      </w:r>
      <w:r>
        <w:tab/>
      </w:r>
      <w:r w:rsidRPr="000E373D">
        <w:t>Углубл</w:t>
      </w:r>
      <w:r>
        <w:t>е</w:t>
      </w:r>
      <w:r w:rsidRPr="000E373D">
        <w:t>нная и всеобъемлющая зона свободной торговли (</w:t>
      </w:r>
      <w:r>
        <w:t>DCFTA</w:t>
      </w:r>
      <w:r w:rsidRPr="000E373D">
        <w:t xml:space="preserve">) </w:t>
      </w:r>
      <w:r>
        <w:t>—</w:t>
      </w:r>
      <w:r w:rsidRPr="000E373D">
        <w:rPr>
          <w:shd w:val="clear" w:color="auto" w:fill="FFFFFF"/>
          <w:lang w:eastAsia="en-GB"/>
        </w:rPr>
        <w:t xml:space="preserve"> это соглашение между ЕС и Республикой Молдова, направленное на преференциальные торговые отношения.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6811" w14:textId="314F67F7" w:rsidR="00C554C2" w:rsidRPr="00C554C2" w:rsidRDefault="00A90E8B">
    <w:pPr>
      <w:pStyle w:val="a5"/>
    </w:pPr>
    <w:r>
      <w:fldChar w:fldCharType="begin"/>
    </w:r>
    <w:r>
      <w:instrText xml:space="preserve"> TITLE  \* MERGEFORMAT </w:instrText>
    </w:r>
    <w:r>
      <w:fldChar w:fldCharType="separate"/>
    </w:r>
    <w:r>
      <w:t>CERD/C/MDA/12-14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EC30" w14:textId="11572763" w:rsidR="00C554C2" w:rsidRPr="00C554C2" w:rsidRDefault="00A90E8B" w:rsidP="00C554C2">
    <w:pPr>
      <w:pStyle w:val="a5"/>
      <w:jc w:val="right"/>
    </w:pPr>
    <w:r>
      <w:fldChar w:fldCharType="begin"/>
    </w:r>
    <w:r>
      <w:instrText xml:space="preserve"> TITLE  \* MERGEFORMAT </w:instrText>
    </w:r>
    <w:r>
      <w:fldChar w:fldCharType="separate"/>
    </w:r>
    <w:r>
      <w:t>CERD/C/MDA/12-14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03B51"/>
    <w:multiLevelType w:val="hybridMultilevel"/>
    <w:tmpl w:val="A40E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F08036D"/>
    <w:multiLevelType w:val="hybridMultilevel"/>
    <w:tmpl w:val="2E1C3A0C"/>
    <w:lvl w:ilvl="0" w:tplc="6EB447AE">
      <w:start w:val="1"/>
      <w:numFmt w:val="bullet"/>
      <w:lvlText w:val=""/>
      <w:lvlJc w:val="left"/>
      <w:pPr>
        <w:ind w:left="720" w:hanging="360"/>
      </w:pPr>
      <w:rPr>
        <w:rFonts w:ascii="Symbol" w:hAnsi="Symbol" w:hint="default"/>
      </w:rPr>
    </w:lvl>
    <w:lvl w:ilvl="1" w:tplc="3B882534" w:tentative="1">
      <w:start w:val="1"/>
      <w:numFmt w:val="bullet"/>
      <w:lvlText w:val="o"/>
      <w:lvlJc w:val="left"/>
      <w:pPr>
        <w:ind w:left="1440" w:hanging="360"/>
      </w:pPr>
      <w:rPr>
        <w:rFonts w:ascii="Courier New" w:hAnsi="Courier New" w:cs="Courier New" w:hint="default"/>
      </w:rPr>
    </w:lvl>
    <w:lvl w:ilvl="2" w:tplc="7F7A013A" w:tentative="1">
      <w:start w:val="1"/>
      <w:numFmt w:val="bullet"/>
      <w:lvlText w:val=""/>
      <w:lvlJc w:val="left"/>
      <w:pPr>
        <w:ind w:left="2160" w:hanging="360"/>
      </w:pPr>
      <w:rPr>
        <w:rFonts w:ascii="Wingdings" w:hAnsi="Wingdings" w:hint="default"/>
      </w:rPr>
    </w:lvl>
    <w:lvl w:ilvl="3" w:tplc="886C32C0" w:tentative="1">
      <w:start w:val="1"/>
      <w:numFmt w:val="bullet"/>
      <w:lvlText w:val=""/>
      <w:lvlJc w:val="left"/>
      <w:pPr>
        <w:ind w:left="2880" w:hanging="360"/>
      </w:pPr>
      <w:rPr>
        <w:rFonts w:ascii="Symbol" w:hAnsi="Symbol" w:hint="default"/>
      </w:rPr>
    </w:lvl>
    <w:lvl w:ilvl="4" w:tplc="3BD261EA" w:tentative="1">
      <w:start w:val="1"/>
      <w:numFmt w:val="bullet"/>
      <w:lvlText w:val="o"/>
      <w:lvlJc w:val="left"/>
      <w:pPr>
        <w:ind w:left="3600" w:hanging="360"/>
      </w:pPr>
      <w:rPr>
        <w:rFonts w:ascii="Courier New" w:hAnsi="Courier New" w:cs="Courier New" w:hint="default"/>
      </w:rPr>
    </w:lvl>
    <w:lvl w:ilvl="5" w:tplc="A670A3E8" w:tentative="1">
      <w:start w:val="1"/>
      <w:numFmt w:val="bullet"/>
      <w:lvlText w:val=""/>
      <w:lvlJc w:val="left"/>
      <w:pPr>
        <w:ind w:left="4320" w:hanging="360"/>
      </w:pPr>
      <w:rPr>
        <w:rFonts w:ascii="Wingdings" w:hAnsi="Wingdings" w:hint="default"/>
      </w:rPr>
    </w:lvl>
    <w:lvl w:ilvl="6" w:tplc="91A259D0" w:tentative="1">
      <w:start w:val="1"/>
      <w:numFmt w:val="bullet"/>
      <w:lvlText w:val=""/>
      <w:lvlJc w:val="left"/>
      <w:pPr>
        <w:ind w:left="5040" w:hanging="360"/>
      </w:pPr>
      <w:rPr>
        <w:rFonts w:ascii="Symbol" w:hAnsi="Symbol" w:hint="default"/>
      </w:rPr>
    </w:lvl>
    <w:lvl w:ilvl="7" w:tplc="E870BD60" w:tentative="1">
      <w:start w:val="1"/>
      <w:numFmt w:val="bullet"/>
      <w:lvlText w:val="o"/>
      <w:lvlJc w:val="left"/>
      <w:pPr>
        <w:ind w:left="5760" w:hanging="360"/>
      </w:pPr>
      <w:rPr>
        <w:rFonts w:ascii="Courier New" w:hAnsi="Courier New" w:cs="Courier New" w:hint="default"/>
      </w:rPr>
    </w:lvl>
    <w:lvl w:ilvl="8" w:tplc="7BD2917A" w:tentative="1">
      <w:start w:val="1"/>
      <w:numFmt w:val="bullet"/>
      <w:lvlText w:val=""/>
      <w:lvlJc w:val="left"/>
      <w:pPr>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828CD"/>
    <w:multiLevelType w:val="hybridMultilevel"/>
    <w:tmpl w:val="57F01606"/>
    <w:lvl w:ilvl="0" w:tplc="5FD85A36">
      <w:start w:val="1"/>
      <w:numFmt w:val="decimal"/>
      <w:lvlText w:val="(%1)"/>
      <w:lvlJc w:val="left"/>
      <w:pPr>
        <w:ind w:left="786" w:hanging="360"/>
      </w:pPr>
      <w:rPr>
        <w:rFonts w:cs="Times New Roman"/>
      </w:rPr>
    </w:lvl>
    <w:lvl w:ilvl="1" w:tplc="08180019">
      <w:start w:val="1"/>
      <w:numFmt w:val="lowerLetter"/>
      <w:lvlText w:val="%2."/>
      <w:lvlJc w:val="left"/>
      <w:pPr>
        <w:ind w:left="1506" w:hanging="360"/>
      </w:pPr>
      <w:rPr>
        <w:rFonts w:cs="Times New Roman"/>
      </w:rPr>
    </w:lvl>
    <w:lvl w:ilvl="2" w:tplc="0818001B">
      <w:start w:val="1"/>
      <w:numFmt w:val="lowerRoman"/>
      <w:lvlText w:val="%3."/>
      <w:lvlJc w:val="right"/>
      <w:pPr>
        <w:ind w:left="2226" w:hanging="180"/>
      </w:pPr>
      <w:rPr>
        <w:rFonts w:cs="Times New Roman"/>
      </w:rPr>
    </w:lvl>
    <w:lvl w:ilvl="3" w:tplc="0818000F">
      <w:start w:val="1"/>
      <w:numFmt w:val="decimal"/>
      <w:lvlText w:val="%4."/>
      <w:lvlJc w:val="left"/>
      <w:pPr>
        <w:ind w:left="2946" w:hanging="360"/>
      </w:pPr>
      <w:rPr>
        <w:rFonts w:cs="Times New Roman"/>
      </w:rPr>
    </w:lvl>
    <w:lvl w:ilvl="4" w:tplc="08180019">
      <w:start w:val="1"/>
      <w:numFmt w:val="lowerLetter"/>
      <w:lvlText w:val="%5."/>
      <w:lvlJc w:val="left"/>
      <w:pPr>
        <w:ind w:left="3666" w:hanging="360"/>
      </w:pPr>
      <w:rPr>
        <w:rFonts w:cs="Times New Roman"/>
      </w:rPr>
    </w:lvl>
    <w:lvl w:ilvl="5" w:tplc="0818001B">
      <w:start w:val="1"/>
      <w:numFmt w:val="lowerRoman"/>
      <w:lvlText w:val="%6."/>
      <w:lvlJc w:val="right"/>
      <w:pPr>
        <w:ind w:left="4386" w:hanging="180"/>
      </w:pPr>
      <w:rPr>
        <w:rFonts w:cs="Times New Roman"/>
      </w:rPr>
    </w:lvl>
    <w:lvl w:ilvl="6" w:tplc="0818000F">
      <w:start w:val="1"/>
      <w:numFmt w:val="decimal"/>
      <w:lvlText w:val="%7."/>
      <w:lvlJc w:val="left"/>
      <w:pPr>
        <w:ind w:left="5106" w:hanging="360"/>
      </w:pPr>
      <w:rPr>
        <w:rFonts w:cs="Times New Roman"/>
      </w:rPr>
    </w:lvl>
    <w:lvl w:ilvl="7" w:tplc="08180019">
      <w:start w:val="1"/>
      <w:numFmt w:val="lowerLetter"/>
      <w:lvlText w:val="%8."/>
      <w:lvlJc w:val="left"/>
      <w:pPr>
        <w:ind w:left="5826" w:hanging="360"/>
      </w:pPr>
      <w:rPr>
        <w:rFonts w:cs="Times New Roman"/>
      </w:rPr>
    </w:lvl>
    <w:lvl w:ilvl="8" w:tplc="0818001B">
      <w:start w:val="1"/>
      <w:numFmt w:val="lowerRoman"/>
      <w:lvlText w:val="%9."/>
      <w:lvlJc w:val="right"/>
      <w:pPr>
        <w:ind w:left="6546" w:hanging="180"/>
      </w:pPr>
      <w:rPr>
        <w:rFonts w:cs="Times New Roman"/>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37E7B35"/>
    <w:multiLevelType w:val="hybridMultilevel"/>
    <w:tmpl w:val="06D0A0C4"/>
    <w:lvl w:ilvl="0" w:tplc="E7CAC82A">
      <w:start w:val="1"/>
      <w:numFmt w:val="bullet"/>
      <w:lvlText w:val=""/>
      <w:lvlJc w:val="left"/>
      <w:pPr>
        <w:ind w:left="810" w:hanging="360"/>
      </w:pPr>
      <w:rPr>
        <w:rFonts w:ascii="Symbol" w:hAnsi="Symbol" w:hint="default"/>
        <w:color w:val="0D0D0D"/>
      </w:rPr>
    </w:lvl>
    <w:lvl w:ilvl="1" w:tplc="04090003">
      <w:start w:val="1"/>
      <w:numFmt w:val="bullet"/>
      <w:lvlText w:val="o"/>
      <w:lvlJc w:val="left"/>
      <w:pPr>
        <w:ind w:left="2148" w:hanging="360"/>
      </w:pPr>
      <w:rPr>
        <w:rFonts w:ascii="Courier New" w:hAnsi="Courier New" w:cs="Times New Roman"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Times New Roman"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Times New Roman" w:hint="default"/>
      </w:rPr>
    </w:lvl>
    <w:lvl w:ilvl="8" w:tplc="04090005">
      <w:start w:val="1"/>
      <w:numFmt w:val="bullet"/>
      <w:lvlText w:val=""/>
      <w:lvlJc w:val="left"/>
      <w:pPr>
        <w:ind w:left="7188" w:hanging="360"/>
      </w:pPr>
      <w:rPr>
        <w:rFonts w:ascii="Wingdings" w:hAnsi="Wingdings" w:hint="default"/>
      </w:rPr>
    </w:lvl>
  </w:abstractNum>
  <w:num w:numId="1">
    <w:abstractNumId w:val="22"/>
  </w:num>
  <w:num w:numId="2">
    <w:abstractNumId w:val="14"/>
  </w:num>
  <w:num w:numId="3">
    <w:abstractNumId w:val="12"/>
  </w:num>
  <w:num w:numId="4">
    <w:abstractNumId w:val="23"/>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19"/>
  </w:num>
  <w:num w:numId="19">
    <w:abstractNumId w:val="21"/>
  </w:num>
  <w:num w:numId="20">
    <w:abstractNumId w:val="16"/>
  </w:num>
  <w:num w:numId="21">
    <w:abstractNumId w:val="19"/>
  </w:num>
  <w:num w:numId="22">
    <w:abstractNumId w:val="20"/>
  </w:num>
  <w:num w:numId="23">
    <w:abstractNumId w:val="11"/>
  </w:num>
  <w:num w:numId="24">
    <w:abstractNumId w:val="17"/>
  </w:num>
  <w:num w:numId="25">
    <w:abstractNumId w:val="13"/>
  </w:num>
  <w:num w:numId="26">
    <w:abstractNumId w:val="24"/>
  </w:num>
  <w:num w:numId="27">
    <w:abstractNumId w:val="10"/>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58"/>
    <w:rsid w:val="00033EE1"/>
    <w:rsid w:val="00042B72"/>
    <w:rsid w:val="000558BD"/>
    <w:rsid w:val="000B57E7"/>
    <w:rsid w:val="000B6373"/>
    <w:rsid w:val="000F09DF"/>
    <w:rsid w:val="000F61B2"/>
    <w:rsid w:val="001075E9"/>
    <w:rsid w:val="00164226"/>
    <w:rsid w:val="00180183"/>
    <w:rsid w:val="0018024D"/>
    <w:rsid w:val="0018649F"/>
    <w:rsid w:val="00196389"/>
    <w:rsid w:val="001B3EF6"/>
    <w:rsid w:val="001C7A89"/>
    <w:rsid w:val="002A2EFC"/>
    <w:rsid w:val="002B74B1"/>
    <w:rsid w:val="002C0E18"/>
    <w:rsid w:val="002D5AAC"/>
    <w:rsid w:val="002E5067"/>
    <w:rsid w:val="002F405F"/>
    <w:rsid w:val="002F7EEC"/>
    <w:rsid w:val="00301299"/>
    <w:rsid w:val="00305C08"/>
    <w:rsid w:val="00307FB6"/>
    <w:rsid w:val="00317339"/>
    <w:rsid w:val="00322004"/>
    <w:rsid w:val="003402C2"/>
    <w:rsid w:val="00381C24"/>
    <w:rsid w:val="003958D0"/>
    <w:rsid w:val="003B00E5"/>
    <w:rsid w:val="003D11EA"/>
    <w:rsid w:val="004055E9"/>
    <w:rsid w:val="00407B78"/>
    <w:rsid w:val="00424203"/>
    <w:rsid w:val="00452493"/>
    <w:rsid w:val="00453318"/>
    <w:rsid w:val="00454E07"/>
    <w:rsid w:val="00472C5C"/>
    <w:rsid w:val="004A1C15"/>
    <w:rsid w:val="004E104A"/>
    <w:rsid w:val="0050108D"/>
    <w:rsid w:val="00503601"/>
    <w:rsid w:val="00513081"/>
    <w:rsid w:val="00517901"/>
    <w:rsid w:val="00526683"/>
    <w:rsid w:val="0057071C"/>
    <w:rsid w:val="005709E0"/>
    <w:rsid w:val="00572E19"/>
    <w:rsid w:val="005961C8"/>
    <w:rsid w:val="005D7914"/>
    <w:rsid w:val="005E2B41"/>
    <w:rsid w:val="005F0B42"/>
    <w:rsid w:val="00627C61"/>
    <w:rsid w:val="006306AC"/>
    <w:rsid w:val="00641A8C"/>
    <w:rsid w:val="0067000F"/>
    <w:rsid w:val="00681A10"/>
    <w:rsid w:val="006A1ED8"/>
    <w:rsid w:val="006A6B13"/>
    <w:rsid w:val="006C2031"/>
    <w:rsid w:val="006D461A"/>
    <w:rsid w:val="006F35EE"/>
    <w:rsid w:val="007021FF"/>
    <w:rsid w:val="00706B3D"/>
    <w:rsid w:val="00712895"/>
    <w:rsid w:val="00757357"/>
    <w:rsid w:val="007C46C9"/>
    <w:rsid w:val="007C49AB"/>
    <w:rsid w:val="00825F8D"/>
    <w:rsid w:val="00834B71"/>
    <w:rsid w:val="0086445C"/>
    <w:rsid w:val="00894693"/>
    <w:rsid w:val="008A08D7"/>
    <w:rsid w:val="008A3166"/>
    <w:rsid w:val="008B227E"/>
    <w:rsid w:val="008B360C"/>
    <w:rsid w:val="008B6909"/>
    <w:rsid w:val="008D2AAD"/>
    <w:rsid w:val="0090054A"/>
    <w:rsid w:val="00906890"/>
    <w:rsid w:val="00911BE4"/>
    <w:rsid w:val="0092680A"/>
    <w:rsid w:val="00936DFE"/>
    <w:rsid w:val="00951972"/>
    <w:rsid w:val="009608F3"/>
    <w:rsid w:val="009A24AC"/>
    <w:rsid w:val="009D5FCE"/>
    <w:rsid w:val="00A14DA8"/>
    <w:rsid w:val="00A312BC"/>
    <w:rsid w:val="00A84021"/>
    <w:rsid w:val="00A84D35"/>
    <w:rsid w:val="00A90E8B"/>
    <w:rsid w:val="00A917B3"/>
    <w:rsid w:val="00A92286"/>
    <w:rsid w:val="00AB4B51"/>
    <w:rsid w:val="00B10CC7"/>
    <w:rsid w:val="00B27969"/>
    <w:rsid w:val="00B32719"/>
    <w:rsid w:val="00B36DF7"/>
    <w:rsid w:val="00B539E7"/>
    <w:rsid w:val="00B62458"/>
    <w:rsid w:val="00B67B12"/>
    <w:rsid w:val="00BC18B2"/>
    <w:rsid w:val="00BD33EE"/>
    <w:rsid w:val="00C106D6"/>
    <w:rsid w:val="00C554C2"/>
    <w:rsid w:val="00C60F0C"/>
    <w:rsid w:val="00C805C9"/>
    <w:rsid w:val="00C92939"/>
    <w:rsid w:val="00CA1679"/>
    <w:rsid w:val="00CB151C"/>
    <w:rsid w:val="00CE5A1A"/>
    <w:rsid w:val="00CF55F6"/>
    <w:rsid w:val="00D33D63"/>
    <w:rsid w:val="00D90028"/>
    <w:rsid w:val="00D90138"/>
    <w:rsid w:val="00DD34A2"/>
    <w:rsid w:val="00DD78D1"/>
    <w:rsid w:val="00DE32CD"/>
    <w:rsid w:val="00DF71B9"/>
    <w:rsid w:val="00E73F76"/>
    <w:rsid w:val="00EA2C9F"/>
    <w:rsid w:val="00EA420E"/>
    <w:rsid w:val="00ED0BDA"/>
    <w:rsid w:val="00EF1360"/>
    <w:rsid w:val="00EF3220"/>
    <w:rsid w:val="00F0540A"/>
    <w:rsid w:val="00F41B03"/>
    <w:rsid w:val="00F43903"/>
    <w:rsid w:val="00F71F5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1389CA7"/>
  <w15:docId w15:val="{3E513366-FD80-435A-BD4A-42709513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qFormat="1"/>
    <w:lsdException w:name="Emphasis" w:semiHidden="1"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55E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uiPriority w:val="99"/>
    <w:qFormat/>
    <w:rsid w:val="006306AC"/>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9"/>
    <w:semiHidden/>
    <w:qFormat/>
    <w:rsid w:val="008A3166"/>
    <w:pPr>
      <w:keepNext/>
      <w:outlineLvl w:val="1"/>
    </w:pPr>
    <w:rPr>
      <w:rFonts w:cs="Arial"/>
      <w:bCs/>
      <w:iCs/>
      <w:szCs w:val="28"/>
    </w:rPr>
  </w:style>
  <w:style w:type="paragraph" w:styleId="3">
    <w:name w:val="heading 3"/>
    <w:basedOn w:val="a"/>
    <w:next w:val="a"/>
    <w:semiHidden/>
    <w:rsid w:val="008A3166"/>
    <w:pPr>
      <w:keepNext/>
      <w:spacing w:before="240" w:after="60"/>
      <w:outlineLvl w:val="2"/>
    </w:pPr>
    <w:rPr>
      <w:rFonts w:ascii="Arial" w:hAnsi="Arial" w:cs="Arial"/>
      <w:b/>
      <w:bCs/>
      <w:sz w:val="26"/>
      <w:szCs w:val="26"/>
    </w:rPr>
  </w:style>
  <w:style w:type="paragraph" w:styleId="4">
    <w:name w:val="heading 4"/>
    <w:basedOn w:val="a"/>
    <w:next w:val="a"/>
    <w:semiHidden/>
    <w:rsid w:val="008A3166"/>
    <w:pPr>
      <w:keepNext/>
      <w:spacing w:before="240" w:after="60"/>
      <w:outlineLvl w:val="3"/>
    </w:pPr>
    <w:rPr>
      <w:b/>
      <w:bCs/>
      <w:sz w:val="28"/>
      <w:szCs w:val="28"/>
    </w:rPr>
  </w:style>
  <w:style w:type="paragraph" w:styleId="5">
    <w:name w:val="heading 5"/>
    <w:basedOn w:val="a"/>
    <w:next w:val="a"/>
    <w:semiHidden/>
    <w:rsid w:val="008A3166"/>
    <w:pPr>
      <w:spacing w:before="240" w:after="60"/>
      <w:outlineLvl w:val="4"/>
    </w:pPr>
    <w:rPr>
      <w:b/>
      <w:bCs/>
      <w:i/>
      <w:iCs/>
      <w:sz w:val="26"/>
      <w:szCs w:val="26"/>
    </w:rPr>
  </w:style>
  <w:style w:type="paragraph" w:styleId="6">
    <w:name w:val="heading 6"/>
    <w:basedOn w:val="a"/>
    <w:next w:val="a"/>
    <w:semiHidden/>
    <w:rsid w:val="008A3166"/>
    <w:pPr>
      <w:spacing w:before="240" w:after="60"/>
      <w:outlineLvl w:val="5"/>
    </w:pPr>
    <w:rPr>
      <w:b/>
      <w:bCs/>
      <w:sz w:val="22"/>
    </w:rPr>
  </w:style>
  <w:style w:type="paragraph" w:styleId="7">
    <w:name w:val="heading 7"/>
    <w:basedOn w:val="a"/>
    <w:next w:val="a"/>
    <w:semiHidden/>
    <w:rsid w:val="008A3166"/>
    <w:pPr>
      <w:spacing w:before="240" w:after="60"/>
      <w:outlineLvl w:val="6"/>
    </w:pPr>
    <w:rPr>
      <w:sz w:val="24"/>
      <w:szCs w:val="24"/>
    </w:rPr>
  </w:style>
  <w:style w:type="paragraph" w:styleId="8">
    <w:name w:val="heading 8"/>
    <w:basedOn w:val="a"/>
    <w:next w:val="a"/>
    <w:semiHidden/>
    <w:rsid w:val="008A3166"/>
    <w:pPr>
      <w:spacing w:before="240" w:after="60"/>
      <w:outlineLvl w:val="7"/>
    </w:pPr>
    <w:rPr>
      <w:i/>
      <w:iCs/>
      <w:sz w:val="24"/>
      <w:szCs w:val="24"/>
    </w:rPr>
  </w:style>
  <w:style w:type="paragraph" w:styleId="9">
    <w:name w:val="heading 9"/>
    <w:basedOn w:val="a"/>
    <w:next w:val="a"/>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A316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1A8C"/>
    <w:rPr>
      <w:rFonts w:ascii="Tahoma" w:eastAsiaTheme="minorHAnsi" w:hAnsi="Tahoma" w:cs="Tahoma"/>
      <w:sz w:val="16"/>
      <w:szCs w:val="16"/>
      <w:lang w:val="ru-RU" w:eastAsia="en-US"/>
    </w:rPr>
  </w:style>
  <w:style w:type="paragraph" w:customStyle="1" w:styleId="HMG">
    <w:name w:val="_ H __M_G"/>
    <w:basedOn w:val="a"/>
    <w:next w:val="a"/>
    <w:qFormat/>
    <w:rsid w:val="006306AC"/>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306AC"/>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306AC"/>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6306AC"/>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306AC"/>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306AC"/>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627C61"/>
    <w:pPr>
      <w:spacing w:after="120"/>
      <w:ind w:left="1134" w:right="1134"/>
      <w:jc w:val="both"/>
    </w:pPr>
    <w:rPr>
      <w:rFonts w:eastAsia="Times New Roman" w:cs="Times New Roman"/>
      <w:szCs w:val="20"/>
    </w:rPr>
  </w:style>
  <w:style w:type="paragraph" w:customStyle="1" w:styleId="SLG">
    <w:name w:val="__S_L_G"/>
    <w:basedOn w:val="a"/>
    <w:next w:val="a"/>
    <w:qFormat/>
    <w:rsid w:val="006306AC"/>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306AC"/>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306AC"/>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306AC"/>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627C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306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306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306AC"/>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306AC"/>
    <w:rPr>
      <w:b/>
      <w:sz w:val="18"/>
      <w:lang w:val="en-GB" w:eastAsia="ru-RU"/>
    </w:rPr>
  </w:style>
  <w:style w:type="character" w:styleId="a7">
    <w:name w:val="page number"/>
    <w:aliases w:val="7_G"/>
    <w:basedOn w:val="a0"/>
    <w:qFormat/>
    <w:rsid w:val="006306AC"/>
    <w:rPr>
      <w:rFonts w:ascii="Times New Roman" w:hAnsi="Times New Roman"/>
      <w:b/>
      <w:sz w:val="18"/>
    </w:rPr>
  </w:style>
  <w:style w:type="paragraph" w:styleId="a8">
    <w:name w:val="footer"/>
    <w:aliases w:val="3_G"/>
    <w:basedOn w:val="a"/>
    <w:link w:val="a9"/>
    <w:uiPriority w:val="99"/>
    <w:qFormat/>
    <w:rsid w:val="006306AC"/>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306AC"/>
    <w:rPr>
      <w:sz w:val="16"/>
      <w:lang w:val="en-GB" w:eastAsia="ru-RU"/>
    </w:rPr>
  </w:style>
  <w:style w:type="character" w:styleId="aa">
    <w:name w:val="footnote reference"/>
    <w:aliases w:val="4_G,ftref Знак,Times 10 Point Знак,Exposant 3 Point Знак,Footnote symbol Знак,Footnote reference number Знак,EN Footnote Reference Знак,note TESI Знак,16 Point Знак,Superscript 6 Point Знак,BVI fnr Знак,Char Char1 Знак"/>
    <w:basedOn w:val="a0"/>
    <w:link w:val="ftref"/>
    <w:uiPriority w:val="99"/>
    <w:qFormat/>
    <w:rsid w:val="006306AC"/>
    <w:rPr>
      <w:rFonts w:ascii="Times New Roman" w:hAnsi="Times New Roman"/>
      <w:dstrike w:val="0"/>
      <w:sz w:val="18"/>
      <w:vertAlign w:val="superscript"/>
    </w:rPr>
  </w:style>
  <w:style w:type="character" w:styleId="ab">
    <w:name w:val="endnote reference"/>
    <w:aliases w:val="1_G"/>
    <w:basedOn w:val="aa"/>
    <w:uiPriority w:val="99"/>
    <w:qFormat/>
    <w:rsid w:val="006306AC"/>
    <w:rPr>
      <w:rFonts w:ascii="Times New Roman" w:hAnsi="Times New Roman"/>
      <w:dstrike w:val="0"/>
      <w:sz w:val="18"/>
      <w:vertAlign w:val="superscript"/>
    </w:rPr>
  </w:style>
  <w:style w:type="table" w:styleId="ac">
    <w:name w:val="Table Grid"/>
    <w:basedOn w:val="a1"/>
    <w:uiPriority w:val="59"/>
    <w:rsid w:val="004055E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306AC"/>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306AC"/>
    <w:rPr>
      <w:sz w:val="18"/>
      <w:lang w:val="ru-RU" w:eastAsia="ru-RU"/>
    </w:rPr>
  </w:style>
  <w:style w:type="paragraph" w:styleId="af">
    <w:name w:val="endnote text"/>
    <w:aliases w:val="2_G"/>
    <w:basedOn w:val="ad"/>
    <w:link w:val="af0"/>
    <w:uiPriority w:val="99"/>
    <w:qFormat/>
    <w:rsid w:val="006306AC"/>
  </w:style>
  <w:style w:type="character" w:customStyle="1" w:styleId="af0">
    <w:name w:val="Текст концевой сноски Знак"/>
    <w:aliases w:val="2_G Знак"/>
    <w:basedOn w:val="a0"/>
    <w:link w:val="af"/>
    <w:uiPriority w:val="99"/>
    <w:rsid w:val="006306AC"/>
    <w:rPr>
      <w:sz w:val="18"/>
      <w:lang w:val="ru-RU" w:eastAsia="ru-RU"/>
    </w:rPr>
  </w:style>
  <w:style w:type="character" w:customStyle="1" w:styleId="10">
    <w:name w:val="Заголовок 1 Знак"/>
    <w:aliases w:val="Table_G Знак"/>
    <w:basedOn w:val="a0"/>
    <w:link w:val="1"/>
    <w:uiPriority w:val="99"/>
    <w:rsid w:val="006306AC"/>
    <w:rPr>
      <w:rFonts w:cs="Arial"/>
      <w:b/>
      <w:bCs/>
      <w:szCs w:val="32"/>
      <w:lang w:val="ru-RU" w:eastAsia="ru-RU"/>
    </w:rPr>
  </w:style>
  <w:style w:type="character" w:styleId="af1">
    <w:name w:val="Hyperlink"/>
    <w:basedOn w:val="a0"/>
    <w:uiPriority w:val="99"/>
    <w:rsid w:val="006306AC"/>
    <w:rPr>
      <w:color w:val="0000FF" w:themeColor="hyperlink"/>
      <w:u w:val="none"/>
    </w:rPr>
  </w:style>
  <w:style w:type="character" w:styleId="af2">
    <w:name w:val="FollowedHyperlink"/>
    <w:basedOn w:val="a0"/>
    <w:uiPriority w:val="99"/>
    <w:rsid w:val="006306AC"/>
    <w:rPr>
      <w:color w:val="800080" w:themeColor="followedHyperlink"/>
      <w:u w:val="none"/>
    </w:rPr>
  </w:style>
  <w:style w:type="character" w:customStyle="1" w:styleId="20">
    <w:name w:val="Заголовок 2 Знак"/>
    <w:basedOn w:val="a0"/>
    <w:link w:val="2"/>
    <w:uiPriority w:val="99"/>
    <w:semiHidden/>
    <w:rsid w:val="00936DFE"/>
    <w:rPr>
      <w:rFonts w:eastAsiaTheme="minorHAnsi" w:cs="Arial"/>
      <w:bCs/>
      <w:iCs/>
      <w:szCs w:val="28"/>
      <w:lang w:val="ru-RU" w:eastAsia="en-US"/>
    </w:rPr>
  </w:style>
  <w:style w:type="character" w:customStyle="1" w:styleId="HChGChar">
    <w:name w:val="_ H _Ch_G Char"/>
    <w:link w:val="HChG"/>
    <w:rsid w:val="00936DFE"/>
    <w:rPr>
      <w:b/>
      <w:sz w:val="28"/>
      <w:lang w:val="ru-RU" w:eastAsia="ru-RU"/>
    </w:rPr>
  </w:style>
  <w:style w:type="character" w:customStyle="1" w:styleId="H23GChar">
    <w:name w:val="_ H_2/3_G Char"/>
    <w:link w:val="H23G"/>
    <w:rsid w:val="00936DFE"/>
    <w:rPr>
      <w:b/>
      <w:lang w:val="ru-RU" w:eastAsia="ru-RU"/>
    </w:rPr>
  </w:style>
  <w:style w:type="character" w:customStyle="1" w:styleId="SingleTxtGChar">
    <w:name w:val="_ Single Txt_G Char"/>
    <w:link w:val="SingleTxtG"/>
    <w:rsid w:val="00936DFE"/>
    <w:rPr>
      <w:lang w:val="ru-RU" w:eastAsia="en-US"/>
    </w:rPr>
  </w:style>
  <w:style w:type="paragraph" w:customStyle="1" w:styleId="ftref">
    <w:name w:val="ftref"/>
    <w:aliases w:val="Times 10 Point,Exposant 3 Point,Footnote symbol,Footnote reference number,EN Footnote Reference,note TESI,16 Point,Superscript 6 Point,BVI fnr,Char Char1,FOOTNOTES Char1,fn Char1,single space Char1,ft Char1,Ref"/>
    <w:basedOn w:val="a"/>
    <w:link w:val="aa"/>
    <w:uiPriority w:val="99"/>
    <w:rsid w:val="00936DFE"/>
    <w:pPr>
      <w:suppressAutoHyphens w:val="0"/>
      <w:spacing w:after="160" w:line="240" w:lineRule="exact"/>
    </w:pPr>
    <w:rPr>
      <w:rFonts w:eastAsia="Times New Roman" w:cs="Times New Roman"/>
      <w:sz w:val="18"/>
      <w:szCs w:val="20"/>
      <w:vertAlign w:val="superscript"/>
      <w:lang w:val="es-ES" w:eastAsia="es-ES"/>
    </w:rPr>
  </w:style>
  <w:style w:type="character" w:customStyle="1" w:styleId="apple-style-span">
    <w:name w:val="apple-style-span"/>
    <w:basedOn w:val="a0"/>
    <w:uiPriority w:val="99"/>
    <w:rsid w:val="00936DFE"/>
    <w:rPr>
      <w:rFonts w:ascii="Times New Roman" w:hAnsi="Times New Roman" w:cs="Times New Roman" w:hint="default"/>
    </w:rPr>
  </w:style>
  <w:style w:type="character" w:styleId="af3">
    <w:name w:val="Emphasis"/>
    <w:basedOn w:val="a0"/>
    <w:uiPriority w:val="99"/>
    <w:qFormat/>
    <w:rsid w:val="00936DFE"/>
    <w:rPr>
      <w:rFonts w:ascii="Times New Roman" w:hAnsi="Times New Roman" w:cs="Times New Roman" w:hint="default"/>
      <w:i/>
      <w:iCs/>
    </w:rPr>
  </w:style>
  <w:style w:type="character" w:styleId="af4">
    <w:name w:val="Strong"/>
    <w:basedOn w:val="a0"/>
    <w:uiPriority w:val="99"/>
    <w:qFormat/>
    <w:rsid w:val="00936DFE"/>
    <w:rPr>
      <w:rFonts w:ascii="Times New Roman" w:hAnsi="Times New Roman" w:cs="Times New Roman" w:hint="default"/>
      <w:b/>
      <w:bCs/>
    </w:rPr>
  </w:style>
  <w:style w:type="character" w:customStyle="1" w:styleId="af5">
    <w:name w:val="Обычный (Интернет) Знак"/>
    <w:aliases w:val="Текст сноски1 Знак,Footnote Text Char1 Знак,Footnote Text Char Char Знак,Footnote Text Char1 Char Char Знак,Footnote Text Char Char Char Char Знак,Footnote Text Char2 Char Char Char Char Char Знак"/>
    <w:basedOn w:val="a0"/>
    <w:link w:val="af6"/>
    <w:uiPriority w:val="99"/>
    <w:semiHidden/>
    <w:locked/>
    <w:rsid w:val="00936DFE"/>
  </w:style>
  <w:style w:type="paragraph" w:styleId="af6">
    <w:name w:val="Normal (Web)"/>
    <w:aliases w:val="Текст сноски1,Footnote Text Char1,Footnote Text Char Char,Footnote Text Char1 Char Char,Footnote Text Char Char Char Char,Footnote Text Char2 Char Char Char Char Char,Footnote Text Char1 Char Char Char Char Char Char"/>
    <w:link w:val="af5"/>
    <w:uiPriority w:val="99"/>
    <w:semiHidden/>
    <w:unhideWhenUsed/>
    <w:qFormat/>
    <w:rsid w:val="00936DFE"/>
  </w:style>
  <w:style w:type="character" w:customStyle="1" w:styleId="af7">
    <w:name w:val="Текст примечания Знак"/>
    <w:basedOn w:val="a0"/>
    <w:link w:val="af8"/>
    <w:uiPriority w:val="99"/>
    <w:semiHidden/>
    <w:locked/>
    <w:rsid w:val="00936DFE"/>
  </w:style>
  <w:style w:type="paragraph" w:styleId="af8">
    <w:name w:val="annotation text"/>
    <w:basedOn w:val="a"/>
    <w:link w:val="af7"/>
    <w:uiPriority w:val="99"/>
    <w:semiHidden/>
    <w:unhideWhenUsed/>
    <w:rsid w:val="00936DFE"/>
    <w:pPr>
      <w:suppressAutoHyphens w:val="0"/>
      <w:spacing w:line="240" w:lineRule="auto"/>
    </w:pPr>
    <w:rPr>
      <w:rFonts w:eastAsia="Times New Roman" w:cs="Times New Roman"/>
      <w:szCs w:val="20"/>
      <w:lang w:val="es-ES" w:eastAsia="es-ES"/>
    </w:rPr>
  </w:style>
  <w:style w:type="character" w:customStyle="1" w:styleId="11">
    <w:name w:val="Текст примечания Знак1"/>
    <w:basedOn w:val="a0"/>
    <w:semiHidden/>
    <w:rsid w:val="00936DFE"/>
    <w:rPr>
      <w:rFonts w:eastAsiaTheme="minorHAnsi" w:cstheme="minorBidi"/>
      <w:lang w:val="ru-RU" w:eastAsia="en-US"/>
    </w:rPr>
  </w:style>
  <w:style w:type="character" w:customStyle="1" w:styleId="af9">
    <w:name w:val="Основной текст Знак"/>
    <w:basedOn w:val="a0"/>
    <w:link w:val="afa"/>
    <w:uiPriority w:val="99"/>
    <w:semiHidden/>
    <w:locked/>
    <w:rsid w:val="00936DFE"/>
    <w:rPr>
      <w:lang w:eastAsia="en-US"/>
    </w:rPr>
  </w:style>
  <w:style w:type="paragraph" w:styleId="afa">
    <w:name w:val="Body Text"/>
    <w:basedOn w:val="a"/>
    <w:link w:val="af9"/>
    <w:uiPriority w:val="99"/>
    <w:semiHidden/>
    <w:unhideWhenUsed/>
    <w:rsid w:val="00936DFE"/>
    <w:pPr>
      <w:suppressAutoHyphens w:val="0"/>
      <w:spacing w:after="120" w:line="240" w:lineRule="auto"/>
    </w:pPr>
    <w:rPr>
      <w:rFonts w:eastAsia="Times New Roman" w:cs="Times New Roman"/>
      <w:szCs w:val="20"/>
      <w:lang w:val="es-ES"/>
    </w:rPr>
  </w:style>
  <w:style w:type="character" w:customStyle="1" w:styleId="12">
    <w:name w:val="Основной текст Знак1"/>
    <w:basedOn w:val="a0"/>
    <w:semiHidden/>
    <w:rsid w:val="00936DFE"/>
    <w:rPr>
      <w:rFonts w:eastAsiaTheme="minorHAnsi" w:cstheme="minorBidi"/>
      <w:szCs w:val="22"/>
      <w:lang w:val="ru-RU" w:eastAsia="en-US"/>
    </w:rPr>
  </w:style>
  <w:style w:type="character" w:customStyle="1" w:styleId="30">
    <w:name w:val="Основной текст 3 Знак"/>
    <w:basedOn w:val="a0"/>
    <w:link w:val="31"/>
    <w:uiPriority w:val="99"/>
    <w:semiHidden/>
    <w:locked/>
    <w:rsid w:val="00936DFE"/>
    <w:rPr>
      <w:sz w:val="16"/>
      <w:szCs w:val="16"/>
      <w:lang w:val="en-US" w:eastAsia="ro-RO"/>
    </w:rPr>
  </w:style>
  <w:style w:type="paragraph" w:styleId="31">
    <w:name w:val="Body Text 3"/>
    <w:basedOn w:val="a"/>
    <w:link w:val="30"/>
    <w:uiPriority w:val="99"/>
    <w:semiHidden/>
    <w:unhideWhenUsed/>
    <w:rsid w:val="00936DFE"/>
    <w:pPr>
      <w:suppressAutoHyphens w:val="0"/>
      <w:spacing w:after="120" w:line="240" w:lineRule="auto"/>
    </w:pPr>
    <w:rPr>
      <w:rFonts w:eastAsia="Times New Roman" w:cs="Times New Roman"/>
      <w:sz w:val="16"/>
      <w:szCs w:val="16"/>
      <w:lang w:val="en-US" w:eastAsia="ro-RO"/>
    </w:rPr>
  </w:style>
  <w:style w:type="character" w:customStyle="1" w:styleId="310">
    <w:name w:val="Основной текст 3 Знак1"/>
    <w:basedOn w:val="a0"/>
    <w:semiHidden/>
    <w:rsid w:val="00936DFE"/>
    <w:rPr>
      <w:rFonts w:eastAsiaTheme="minorHAnsi" w:cstheme="minorBidi"/>
      <w:sz w:val="16"/>
      <w:szCs w:val="16"/>
      <w:lang w:val="ru-RU" w:eastAsia="en-US"/>
    </w:rPr>
  </w:style>
  <w:style w:type="character" w:customStyle="1" w:styleId="afb">
    <w:name w:val="Схема документа Знак"/>
    <w:basedOn w:val="a0"/>
    <w:link w:val="afc"/>
    <w:uiPriority w:val="99"/>
    <w:semiHidden/>
    <w:locked/>
    <w:rsid w:val="00936DFE"/>
    <w:rPr>
      <w:rFonts w:ascii="Tahoma" w:hAnsi="Tahoma" w:cs="Tahoma"/>
    </w:rPr>
  </w:style>
  <w:style w:type="paragraph" w:styleId="afc">
    <w:name w:val="Document Map"/>
    <w:basedOn w:val="a"/>
    <w:link w:val="afb"/>
    <w:uiPriority w:val="99"/>
    <w:semiHidden/>
    <w:unhideWhenUsed/>
    <w:rsid w:val="00936DFE"/>
    <w:pPr>
      <w:suppressAutoHyphens w:val="0"/>
      <w:spacing w:line="240" w:lineRule="auto"/>
    </w:pPr>
    <w:rPr>
      <w:rFonts w:ascii="Tahoma" w:eastAsia="Times New Roman" w:hAnsi="Tahoma" w:cs="Tahoma"/>
      <w:szCs w:val="20"/>
      <w:lang w:val="es-ES" w:eastAsia="es-ES"/>
    </w:rPr>
  </w:style>
  <w:style w:type="character" w:customStyle="1" w:styleId="13">
    <w:name w:val="Схема документа Знак1"/>
    <w:basedOn w:val="a0"/>
    <w:semiHidden/>
    <w:rsid w:val="00936DFE"/>
    <w:rPr>
      <w:rFonts w:ascii="Segoe UI" w:eastAsiaTheme="minorHAnsi" w:hAnsi="Segoe UI" w:cs="Segoe UI"/>
      <w:sz w:val="16"/>
      <w:szCs w:val="16"/>
      <w:lang w:val="ru-RU" w:eastAsia="en-US"/>
    </w:rPr>
  </w:style>
  <w:style w:type="character" w:customStyle="1" w:styleId="CommentTextChar1">
    <w:name w:val="Comment Text Char1"/>
    <w:basedOn w:val="a0"/>
    <w:uiPriority w:val="99"/>
    <w:semiHidden/>
    <w:rsid w:val="00936DFE"/>
    <w:rPr>
      <w:rFonts w:eastAsiaTheme="minorEastAsia" w:cstheme="minorBidi"/>
      <w:lang w:val="ru-RU" w:eastAsia="zh-CN"/>
    </w:rPr>
  </w:style>
  <w:style w:type="character" w:customStyle="1" w:styleId="afd">
    <w:name w:val="Тема примечания Знак"/>
    <w:basedOn w:val="af7"/>
    <w:link w:val="afe"/>
    <w:uiPriority w:val="99"/>
    <w:semiHidden/>
    <w:locked/>
    <w:rsid w:val="00936DFE"/>
    <w:rPr>
      <w:b/>
      <w:bCs/>
    </w:rPr>
  </w:style>
  <w:style w:type="paragraph" w:styleId="afe">
    <w:name w:val="annotation subject"/>
    <w:basedOn w:val="af8"/>
    <w:next w:val="af8"/>
    <w:link w:val="afd"/>
    <w:uiPriority w:val="99"/>
    <w:semiHidden/>
    <w:unhideWhenUsed/>
    <w:rsid w:val="00936DFE"/>
    <w:rPr>
      <w:b/>
      <w:bCs/>
    </w:rPr>
  </w:style>
  <w:style w:type="character" w:customStyle="1" w:styleId="14">
    <w:name w:val="Тема примечания Знак1"/>
    <w:basedOn w:val="11"/>
    <w:semiHidden/>
    <w:rsid w:val="00936DFE"/>
    <w:rPr>
      <w:rFonts w:eastAsiaTheme="minorHAnsi" w:cstheme="minorBidi"/>
      <w:b/>
      <w:bCs/>
      <w:lang w:val="ru-RU" w:eastAsia="en-US"/>
    </w:rPr>
  </w:style>
  <w:style w:type="character" w:customStyle="1" w:styleId="aff">
    <w:name w:val="Без интервала Знак"/>
    <w:basedOn w:val="a0"/>
    <w:link w:val="aff0"/>
    <w:uiPriority w:val="99"/>
    <w:locked/>
    <w:rsid w:val="00936DFE"/>
  </w:style>
  <w:style w:type="paragraph" w:styleId="aff0">
    <w:name w:val="No Spacing"/>
    <w:link w:val="aff"/>
    <w:uiPriority w:val="99"/>
    <w:qFormat/>
    <w:rsid w:val="00936DFE"/>
  </w:style>
  <w:style w:type="character" w:customStyle="1" w:styleId="21">
    <w:name w:val="Абзац списка Знак2"/>
    <w:aliases w:val="List Paragraph 1 Знак1,Scriptoria bullet points Знак1,Bullet Points Знак1,Liste Paragraf Знак1,Listenabsatz1 Знак1,Llista Nivell1 Знак1,Lista de nivel 1 Знак1,Paragraphe de liste PBLH Знак1,Normal bullet 2 Знак1,Bullet list Знак"/>
    <w:basedOn w:val="a0"/>
    <w:link w:val="aff1"/>
    <w:uiPriority w:val="99"/>
    <w:locked/>
    <w:rsid w:val="00936DFE"/>
  </w:style>
  <w:style w:type="paragraph" w:styleId="aff1">
    <w:name w:val="List Paragraph"/>
    <w:aliases w:val="List Paragraph 1,Scriptoria bullet points,Bullet Points,Liste Paragraf,Listenabsatz1,Llista Nivell1,Lista de nivel 1,Paragraphe de liste PBLH,Normal bullet 2,Graph &amp; Table tite,Table of contents numbered,Bullet list,Bullet List,Bullets"/>
    <w:basedOn w:val="a"/>
    <w:link w:val="21"/>
    <w:uiPriority w:val="99"/>
    <w:qFormat/>
    <w:rsid w:val="00936DFE"/>
    <w:pPr>
      <w:suppressAutoHyphens w:val="0"/>
      <w:spacing w:after="200" w:line="276" w:lineRule="auto"/>
      <w:ind w:left="720"/>
      <w:contextualSpacing/>
    </w:pPr>
    <w:rPr>
      <w:rFonts w:eastAsia="Times New Roman" w:cs="Times New Roman"/>
      <w:szCs w:val="20"/>
      <w:lang w:val="es-ES" w:eastAsia="es-ES"/>
    </w:rPr>
  </w:style>
  <w:style w:type="paragraph" w:customStyle="1" w:styleId="tt">
    <w:name w:val="tt"/>
    <w:basedOn w:val="a"/>
    <w:uiPriority w:val="99"/>
    <w:rsid w:val="00936DFE"/>
    <w:pPr>
      <w:suppressAutoHyphens w:val="0"/>
      <w:spacing w:line="240" w:lineRule="auto"/>
      <w:jc w:val="center"/>
    </w:pPr>
    <w:rPr>
      <w:rFonts w:eastAsia="Times New Roman" w:cs="Times New Roman"/>
      <w:b/>
      <w:bCs/>
      <w:sz w:val="24"/>
      <w:szCs w:val="24"/>
      <w:lang w:eastAsia="ru-RU"/>
    </w:rPr>
  </w:style>
  <w:style w:type="paragraph" w:customStyle="1" w:styleId="cn">
    <w:name w:val="cn"/>
    <w:basedOn w:val="a"/>
    <w:uiPriority w:val="99"/>
    <w:rsid w:val="00936DFE"/>
    <w:pPr>
      <w:suppressAutoHyphens w:val="0"/>
      <w:spacing w:line="240" w:lineRule="auto"/>
      <w:jc w:val="center"/>
    </w:pPr>
    <w:rPr>
      <w:rFonts w:eastAsia="Times New Roman" w:cs="Times New Roman"/>
      <w:sz w:val="24"/>
      <w:szCs w:val="24"/>
      <w:lang w:eastAsia="zh-CN"/>
    </w:rPr>
  </w:style>
  <w:style w:type="paragraph" w:customStyle="1" w:styleId="Frspaiere1">
    <w:name w:val="Fără spațiere1"/>
    <w:uiPriority w:val="99"/>
    <w:rsid w:val="00936DFE"/>
    <w:rPr>
      <w:rFonts w:ascii="Calibri" w:eastAsia="Calibri" w:hAnsi="Calibri"/>
      <w:sz w:val="22"/>
      <w:szCs w:val="22"/>
      <w:lang w:val="en-US" w:eastAsia="en-US"/>
    </w:rPr>
  </w:style>
  <w:style w:type="paragraph" w:customStyle="1" w:styleId="NoSpacing3">
    <w:name w:val="No Spacing3"/>
    <w:uiPriority w:val="99"/>
    <w:rsid w:val="00936DFE"/>
    <w:rPr>
      <w:rFonts w:ascii="Calibri" w:hAnsi="Calibri"/>
      <w:sz w:val="22"/>
      <w:szCs w:val="22"/>
      <w:lang w:val="en-US" w:eastAsia="en-US"/>
    </w:rPr>
  </w:style>
  <w:style w:type="character" w:customStyle="1" w:styleId="NoSpacingChar">
    <w:name w:val="No Spacing Char"/>
    <w:link w:val="NoSpacing1"/>
    <w:uiPriority w:val="99"/>
    <w:locked/>
    <w:rsid w:val="00936DFE"/>
    <w:rPr>
      <w:lang w:val="en-US" w:eastAsia="en-US"/>
    </w:rPr>
  </w:style>
  <w:style w:type="paragraph" w:customStyle="1" w:styleId="NoSpacing1">
    <w:name w:val="No Spacing1"/>
    <w:link w:val="NoSpacingChar"/>
    <w:uiPriority w:val="99"/>
    <w:rsid w:val="00936DFE"/>
    <w:rPr>
      <w:lang w:val="en-US" w:eastAsia="en-US"/>
    </w:rPr>
  </w:style>
  <w:style w:type="paragraph" w:customStyle="1" w:styleId="Style7">
    <w:name w:val="Style7"/>
    <w:basedOn w:val="a"/>
    <w:uiPriority w:val="99"/>
    <w:rsid w:val="00936DFE"/>
    <w:pPr>
      <w:widowControl w:val="0"/>
      <w:suppressAutoHyphens w:val="0"/>
      <w:autoSpaceDE w:val="0"/>
      <w:autoSpaceDN w:val="0"/>
      <w:adjustRightInd w:val="0"/>
      <w:spacing w:line="278" w:lineRule="exact"/>
    </w:pPr>
    <w:rPr>
      <w:rFonts w:eastAsia="Times New Roman" w:cs="Times New Roman"/>
      <w:sz w:val="24"/>
      <w:szCs w:val="24"/>
      <w:lang w:eastAsia="ru-RU"/>
    </w:rPr>
  </w:style>
  <w:style w:type="paragraph" w:customStyle="1" w:styleId="Default">
    <w:name w:val="Default"/>
    <w:uiPriority w:val="99"/>
    <w:rsid w:val="00936DFE"/>
    <w:pPr>
      <w:autoSpaceDE w:val="0"/>
      <w:autoSpaceDN w:val="0"/>
      <w:adjustRightInd w:val="0"/>
    </w:pPr>
    <w:rPr>
      <w:color w:val="000000"/>
      <w:sz w:val="24"/>
      <w:szCs w:val="24"/>
      <w:lang w:val="ru-RU" w:eastAsia="ru-RU"/>
    </w:rPr>
  </w:style>
  <w:style w:type="character" w:customStyle="1" w:styleId="Bodytext2">
    <w:name w:val="Body text (2)_"/>
    <w:basedOn w:val="a0"/>
    <w:link w:val="Bodytext20"/>
    <w:uiPriority w:val="99"/>
    <w:locked/>
    <w:rsid w:val="00936DFE"/>
    <w:rPr>
      <w:sz w:val="48"/>
      <w:szCs w:val="48"/>
      <w:shd w:val="clear" w:color="auto" w:fill="FFFFFF"/>
    </w:rPr>
  </w:style>
  <w:style w:type="paragraph" w:customStyle="1" w:styleId="Bodytext20">
    <w:name w:val="Body text (2)"/>
    <w:basedOn w:val="a"/>
    <w:link w:val="Bodytext2"/>
    <w:uiPriority w:val="99"/>
    <w:rsid w:val="00936DFE"/>
    <w:pPr>
      <w:widowControl w:val="0"/>
      <w:shd w:val="clear" w:color="auto" w:fill="FFFFFF"/>
      <w:suppressAutoHyphens w:val="0"/>
      <w:spacing w:before="240" w:line="570" w:lineRule="exact"/>
      <w:jc w:val="both"/>
    </w:pPr>
    <w:rPr>
      <w:rFonts w:eastAsia="Times New Roman" w:cs="Times New Roman"/>
      <w:sz w:val="48"/>
      <w:szCs w:val="48"/>
      <w:lang w:val="es-ES" w:eastAsia="es-ES"/>
    </w:rPr>
  </w:style>
  <w:style w:type="paragraph" w:customStyle="1" w:styleId="Listparagraf1">
    <w:name w:val="Listă paragraf1"/>
    <w:basedOn w:val="a"/>
    <w:uiPriority w:val="99"/>
    <w:rsid w:val="00936DFE"/>
    <w:pPr>
      <w:suppressAutoHyphens w:val="0"/>
      <w:spacing w:before="120" w:after="200" w:line="276" w:lineRule="auto"/>
      <w:ind w:left="720" w:firstLine="709"/>
      <w:contextualSpacing/>
    </w:pPr>
    <w:rPr>
      <w:rFonts w:ascii="Calibri" w:eastAsia="Times New Roman" w:hAnsi="Calibri" w:cs="Times New Roman"/>
      <w:sz w:val="22"/>
      <w:lang w:val="en-US"/>
    </w:rPr>
  </w:style>
  <w:style w:type="paragraph" w:customStyle="1" w:styleId="TableParagraph">
    <w:name w:val="Table Paragraph"/>
    <w:basedOn w:val="a"/>
    <w:uiPriority w:val="99"/>
    <w:rsid w:val="00936DFE"/>
    <w:pPr>
      <w:widowControl w:val="0"/>
      <w:suppressAutoHyphens w:val="0"/>
      <w:autoSpaceDE w:val="0"/>
      <w:autoSpaceDN w:val="0"/>
      <w:spacing w:line="240" w:lineRule="auto"/>
    </w:pPr>
    <w:rPr>
      <w:rFonts w:eastAsia="Times New Roman" w:cs="Times New Roman"/>
      <w:sz w:val="22"/>
      <w:lang w:val="ro-RO" w:eastAsia="ro-RO"/>
    </w:rPr>
  </w:style>
  <w:style w:type="paragraph" w:customStyle="1" w:styleId="Frspaiere11">
    <w:name w:val="Fără spațiere11"/>
    <w:uiPriority w:val="99"/>
    <w:rsid w:val="00936DFE"/>
    <w:rPr>
      <w:rFonts w:ascii="Calibri" w:hAnsi="Calibri"/>
      <w:sz w:val="22"/>
      <w:szCs w:val="22"/>
      <w:lang w:val="fr-FR" w:eastAsia="en-US"/>
    </w:rPr>
  </w:style>
  <w:style w:type="character" w:customStyle="1" w:styleId="object">
    <w:name w:val="object"/>
    <w:basedOn w:val="a0"/>
    <w:uiPriority w:val="99"/>
    <w:rsid w:val="00936DFE"/>
    <w:rPr>
      <w:rFonts w:ascii="Times New Roman" w:hAnsi="Times New Roman" w:cs="Times New Roman" w:hint="default"/>
    </w:rPr>
  </w:style>
  <w:style w:type="character" w:customStyle="1" w:styleId="shorttext">
    <w:name w:val="short_text"/>
    <w:basedOn w:val="a0"/>
    <w:uiPriority w:val="99"/>
    <w:rsid w:val="00936DFE"/>
    <w:rPr>
      <w:rFonts w:ascii="Times New Roman" w:hAnsi="Times New Roman" w:cs="Times New Roman" w:hint="default"/>
    </w:rPr>
  </w:style>
  <w:style w:type="character" w:customStyle="1" w:styleId="docbody1">
    <w:name w:val="doc_body1"/>
    <w:basedOn w:val="a0"/>
    <w:uiPriority w:val="99"/>
    <w:rsid w:val="00936DFE"/>
    <w:rPr>
      <w:rFonts w:ascii="Times New Roman" w:hAnsi="Times New Roman" w:cs="Times New Roman" w:hint="default"/>
      <w:color w:val="000000"/>
      <w:sz w:val="24"/>
      <w:szCs w:val="24"/>
    </w:rPr>
  </w:style>
  <w:style w:type="character" w:customStyle="1" w:styleId="apple-converted-space">
    <w:name w:val="apple-converted-space"/>
    <w:uiPriority w:val="99"/>
    <w:rsid w:val="00936DFE"/>
  </w:style>
  <w:style w:type="character" w:customStyle="1" w:styleId="58cl">
    <w:name w:val="_58cl"/>
    <w:basedOn w:val="a0"/>
    <w:uiPriority w:val="99"/>
    <w:rsid w:val="00936DFE"/>
    <w:rPr>
      <w:rFonts w:ascii="Times New Roman" w:hAnsi="Times New Roman" w:cs="Times New Roman" w:hint="default"/>
    </w:rPr>
  </w:style>
  <w:style w:type="character" w:customStyle="1" w:styleId="58cm">
    <w:name w:val="_58cm"/>
    <w:basedOn w:val="a0"/>
    <w:uiPriority w:val="99"/>
    <w:rsid w:val="00936DFE"/>
    <w:rPr>
      <w:rFonts w:ascii="Times New Roman" w:hAnsi="Times New Roman" w:cs="Times New Roman" w:hint="default"/>
    </w:rPr>
  </w:style>
  <w:style w:type="character" w:customStyle="1" w:styleId="textexposedshow">
    <w:name w:val="text_exposed_show"/>
    <w:basedOn w:val="a0"/>
    <w:uiPriority w:val="99"/>
    <w:rsid w:val="00936DFE"/>
    <w:rPr>
      <w:rFonts w:ascii="Times New Roman" w:hAnsi="Times New Roman" w:cs="Times New Roman" w:hint="default"/>
    </w:rPr>
  </w:style>
  <w:style w:type="character" w:customStyle="1" w:styleId="NormalWebChar">
    <w:name w:val="Normal (Web) Char"/>
    <w:aliases w:val="Знак Char,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S Char"/>
    <w:basedOn w:val="a0"/>
    <w:uiPriority w:val="99"/>
    <w:locked/>
    <w:rsid w:val="00936DFE"/>
    <w:rPr>
      <w:rFonts w:ascii="Times New Roman" w:eastAsia="Batang" w:hAnsi="Times New Roman" w:cs="Times New Roman" w:hint="default"/>
      <w:sz w:val="24"/>
      <w:szCs w:val="24"/>
      <w:lang w:val="en-US"/>
    </w:rPr>
  </w:style>
  <w:style w:type="character" w:customStyle="1" w:styleId="alt-edited">
    <w:name w:val="alt-edited"/>
    <w:basedOn w:val="a0"/>
    <w:uiPriority w:val="99"/>
    <w:rsid w:val="00936DFE"/>
    <w:rPr>
      <w:rFonts w:ascii="Times New Roman" w:hAnsi="Times New Roman" w:cs="Times New Roman" w:hint="default"/>
    </w:rPr>
  </w:style>
  <w:style w:type="character" w:customStyle="1" w:styleId="FontStyle15">
    <w:name w:val="Font Style15"/>
    <w:basedOn w:val="a0"/>
    <w:uiPriority w:val="99"/>
    <w:rsid w:val="00936DFE"/>
    <w:rPr>
      <w:rFonts w:ascii="Times New Roman" w:hAnsi="Times New Roman" w:cs="Times New Roman" w:hint="default"/>
      <w:sz w:val="24"/>
      <w:szCs w:val="24"/>
    </w:rPr>
  </w:style>
  <w:style w:type="character" w:customStyle="1" w:styleId="st">
    <w:name w:val="st"/>
    <w:basedOn w:val="a0"/>
    <w:uiPriority w:val="99"/>
    <w:rsid w:val="00936DFE"/>
    <w:rPr>
      <w:rFonts w:ascii="Times New Roman" w:hAnsi="Times New Roman" w:cs="Times New Roman" w:hint="default"/>
    </w:rPr>
  </w:style>
  <w:style w:type="character" w:customStyle="1" w:styleId="15">
    <w:name w:val="Абзац списка Знак1"/>
    <w:basedOn w:val="a0"/>
    <w:uiPriority w:val="99"/>
    <w:locked/>
    <w:rsid w:val="00936DFE"/>
    <w:rPr>
      <w:rFonts w:ascii="Times New Roman" w:hAnsi="Times New Roman" w:cs="Times New Roman" w:hint="default"/>
      <w:sz w:val="24"/>
      <w:szCs w:val="24"/>
    </w:rPr>
  </w:style>
  <w:style w:type="character" w:customStyle="1" w:styleId="docblue">
    <w:name w:val="doc_blue"/>
    <w:basedOn w:val="a0"/>
    <w:uiPriority w:val="99"/>
    <w:rsid w:val="00936DFE"/>
    <w:rPr>
      <w:rFonts w:ascii="Times New Roman" w:hAnsi="Times New Roman" w:cs="Times New Roman" w:hint="default"/>
    </w:rPr>
  </w:style>
  <w:style w:type="character" w:customStyle="1" w:styleId="ipa">
    <w:name w:val="ipa"/>
    <w:basedOn w:val="a0"/>
    <w:uiPriority w:val="99"/>
    <w:rsid w:val="00936DFE"/>
    <w:rPr>
      <w:rFonts w:ascii="Times New Roman" w:hAnsi="Times New Roman" w:cs="Times New Roman" w:hint="default"/>
    </w:rPr>
  </w:style>
  <w:style w:type="character" w:customStyle="1" w:styleId="aff2">
    <w:name w:val="Абзац списка Знак"/>
    <w:aliases w:val="Scriptoria bullet points Знак,List Paragraph 1 Знак,Абзац списка1 Знак,Bullet Points Знак,Liste Paragraf Знак,Listenabsatz1 Знак,Llista Nivell1 Знак,Lista de nivel 1 Знак,Paragraphe de liste PBLH Знак,Normal bullet 2 Знак"/>
    <w:basedOn w:val="a0"/>
    <w:uiPriority w:val="99"/>
    <w:locked/>
    <w:rsid w:val="00936DFE"/>
    <w:rPr>
      <w:rFonts w:ascii="Calibri" w:hAnsi="Calibri" w:cs="Times New Roman" w:hint="default"/>
      <w:sz w:val="22"/>
      <w:szCs w:val="22"/>
      <w:lang w:eastAsia="en-US"/>
    </w:rPr>
  </w:style>
  <w:style w:type="character" w:customStyle="1" w:styleId="st1">
    <w:name w:val="st1"/>
    <w:uiPriority w:val="99"/>
    <w:rsid w:val="00936DFE"/>
  </w:style>
  <w:style w:type="character" w:customStyle="1" w:styleId="UnresolvedMention1">
    <w:name w:val="Unresolved Mention1"/>
    <w:basedOn w:val="a0"/>
    <w:uiPriority w:val="99"/>
    <w:semiHidden/>
    <w:unhideWhenUsed/>
    <w:rsid w:val="00936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gov.md" TargetMode="External"/><Relationship Id="rId13" Type="http://schemas.openxmlformats.org/officeDocument/2006/relationships/hyperlink" Target="https://itunes.apple.com/us/app/romanian-english-conversation/id1269053908?ls=1&amp;mt=8"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play.google.com/store/apps/details?id=com.invataromina.invataromin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vat.antem.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unfpaMoldova/?__tn__=K-R&amp;eid=ARBKzfQ-IQsEYtwdJt9rXvXhFuRXZhRBxlfb55H9nfZd-x7BmIv_kEMgXAy4qFrS0-ffcj5TGLxIlQrJ&amp;fref=mentions&amp;__xts__%5B0%5D=68.ARBvSVZ1qkW-PtZEdDPiLqe7fVBLketxtggQlCMZpQx3ZUZGisfuno11z8Lg5xnKwoQx2HTFrotvCcUkRTXrMNqEmaWDTkg2a1xkItZqLFl3Z3Hbtd7rfD8T4BiC3PGyhDhDP17GQup5I98Pn4VIiEepTIfkY9mYdmyqtL4ZDYRKxdoZmwpVXxEZxB_D5lmqfx9JQ3B0r0n89lEY4AgpHZB9rmKZO2ATwHH7-1XKt1sT1cJefE5SvsQuzH18pbXustq7nXQOQATEhLF3rcl3ljoXmpbNZhC2jJ9bnyYLStFkNS9X-9xayJSFU2hK0T6RsQCfs2rR2EJzJJReNwS5uC1jU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recensamint.statistica.md/ro" TargetMode="External"/><Relationship Id="rId14" Type="http://schemas.openxmlformats.org/officeDocument/2006/relationships/hyperlink" Target="https://invat.antem.or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lex.justice.md/viewdoc.php?action=view&amp;view=doc&amp;id=376768&amp;lang=2" TargetMode="External"/><Relationship Id="rId13" Type="http://schemas.openxmlformats.org/officeDocument/2006/relationships/hyperlink" Target="http://egalitate.md/wp-content/uploads/2016/04/Raport_Evaluarea-atitudinilor-popula--iei-generale-fa-----de-persoanele---n-etate-1.pdf" TargetMode="External"/><Relationship Id="rId18" Type="http://schemas.openxmlformats.org/officeDocument/2006/relationships/hyperlink" Target="http://www.egalitate.md/media/files/files/decizie_363_2015_depersonalizat_5521507.pdf" TargetMode="External"/><Relationship Id="rId26" Type="http://schemas.openxmlformats.org/officeDocument/2006/relationships/hyperlink" Target="http://www.egalitate.md/media/files/files/decizie_009_2013_eng_5063801.pdf" TargetMode="External"/><Relationship Id="rId3" Type="http://schemas.openxmlformats.org/officeDocument/2006/relationships/hyperlink" Target="http://egalitate.md/wp-content/uploads/2016/04/declaratie-comuna-finala-RU.pdf" TargetMode="External"/><Relationship Id="rId21" Type="http://schemas.openxmlformats.org/officeDocument/2006/relationships/hyperlink" Target="http://www.egalitate.md/media/files/files/decizie_180_2014_eng_5421479.pdf" TargetMode="External"/><Relationship Id="rId7" Type="http://schemas.openxmlformats.org/officeDocument/2006/relationships/hyperlink" Target="http://www.recensamantromania.ro/wp-content/uploads/2012/11/Recomandari-Conferinta-statisticieni-europeni.pdf" TargetMode="External"/><Relationship Id="rId12" Type="http://schemas.openxmlformats.org/officeDocument/2006/relationships/hyperlink" Target="http://gismoldova.maps.arcgis.com/apps/opsdashboard/index.html?fbclid=IwAR1goQdhbtB1Z82LuG1mMpPlz8uus-lGPplcqygE0U3PC1zgbMDMhT3jL8s" TargetMode="External"/><Relationship Id="rId17" Type="http://schemas.openxmlformats.org/officeDocument/2006/relationships/hyperlink" Target="http://www.egalitate.md/media/files/files/decizie_349_2016_depersonalizat_7268082.pdf" TargetMode="External"/><Relationship Id="rId25" Type="http://schemas.openxmlformats.org/officeDocument/2006/relationships/hyperlink" Target="http://egalitate.md/media/files/files/decizia_cauza_nr_029_2013_cultul_penticostal_9910224.pdf" TargetMode="External"/><Relationship Id="rId2" Type="http://schemas.openxmlformats.org/officeDocument/2006/relationships/hyperlink" Target="http://egalitate.md/wp-content/uploads/2019/09/declaratie-comuna.pdf" TargetMode="External"/><Relationship Id="rId16" Type="http://schemas.openxmlformats.org/officeDocument/2006/relationships/hyperlink" Target="http://www.egalitate.md/media/files/files/decizie_263_2015_depersonalizat_9623919.pdf" TargetMode="External"/><Relationship Id="rId20" Type="http://schemas.openxmlformats.org/officeDocument/2006/relationships/hyperlink" Target="http://egalitate.md/media/files/files/decizia_cauza__renato_usatii_r_5487969.pdf" TargetMode="External"/><Relationship Id="rId29" Type="http://schemas.openxmlformats.org/officeDocument/2006/relationships/hyperlink" Target="http://www.egalitate.md/media/files/files/decizie_268_2015_depersonalizat_eng_4390671.pdf" TargetMode="External"/><Relationship Id="rId1" Type="http://schemas.openxmlformats.org/officeDocument/2006/relationships/hyperlink" Target="http://www.bri.gov.md/index.php?pag=noutati&amp;opa=view&amp;id=1509&amp;start=30&amp;l=" TargetMode="External"/><Relationship Id="rId6" Type="http://schemas.openxmlformats.org/officeDocument/2006/relationships/hyperlink" Target="https://promolex.md/wp-content/uploads/2019/12/A4_hate_II_ru-1.pdf" TargetMode="External"/><Relationship Id="rId11" Type="http://schemas.openxmlformats.org/officeDocument/2006/relationships/hyperlink" Target="https://promolex.md/wp-content/uploads/2019/12/A4_hate_ro_II_web.pdf" TargetMode="External"/><Relationship Id="rId24" Type="http://schemas.openxmlformats.org/officeDocument/2006/relationships/hyperlink" Target="http://egalitate.md/media/files/files/decizie_293_2015_3555799.pdf" TargetMode="External"/><Relationship Id="rId5" Type="http://schemas.openxmlformats.org/officeDocument/2006/relationships/hyperlink" Target="https://promolex.md/wp-content/uploads/2019/12/A4_hate_ro_II_web.pdf" TargetMode="External"/><Relationship Id="rId15" Type="http://schemas.openxmlformats.org/officeDocument/2006/relationships/hyperlink" Target="http://www.egalitate.md/media/files/files/decizie_190_2015__2000159.pdf" TargetMode="External"/><Relationship Id="rId23" Type="http://schemas.openxmlformats.org/officeDocument/2006/relationships/hyperlink" Target="http://www.egalitate.md/media/files/files/decizie__187_2015__7264066.pdf" TargetMode="External"/><Relationship Id="rId28" Type="http://schemas.openxmlformats.org/officeDocument/2006/relationships/hyperlink" Target="http://www.egalitate.md/media/files/files/decizie_in_cauza_212_4588688.pdf" TargetMode="External"/><Relationship Id="rId10" Type="http://schemas.openxmlformats.org/officeDocument/2006/relationships/hyperlink" Target="http://www.bri.gov.md/" TargetMode="External"/><Relationship Id="rId19" Type="http://schemas.openxmlformats.org/officeDocument/2006/relationships/hyperlink" Target="http://www.egalitate.md/media/files/files/decizie_182_2014_eng_&#1074;&#1091;&#1079;&#1091;&#1082;&#1099;&#1097;&#1090;&#1092;&#1076;&#1096;&#1103;&#1092;&#1077;_1673643.pdf" TargetMode="External"/><Relationship Id="rId4" Type="http://schemas.openxmlformats.org/officeDocument/2006/relationships/hyperlink" Target="http://ipre.md/2019/10/23/promoting-civil-society-and-inter-ethnic-dialogue-in-the-republic-of-moldova-in-the-context-of-the-eu-association-process-civid/" TargetMode="External"/><Relationship Id="rId9" Type="http://schemas.openxmlformats.org/officeDocument/2006/relationships/hyperlink" Target="http://egalitate.md/wp-content/uploads/2016/04/Studiu-privind-percep--iile.pdf" TargetMode="External"/><Relationship Id="rId14" Type="http://schemas.openxmlformats.org/officeDocument/2006/relationships/hyperlink" Target="http://egalitate.md/media/files/files/decizie_111_2014_depersonalizat_8782432.pdf" TargetMode="External"/><Relationship Id="rId22" Type="http://schemas.openxmlformats.org/officeDocument/2006/relationships/hyperlink" Target="https://www.egalitate.md/media/files/files/draft_decizie_constatare_497_2016-votat-de-modificat_depers__5381970.pdf" TargetMode="External"/><Relationship Id="rId27" Type="http://schemas.openxmlformats.org/officeDocument/2006/relationships/hyperlink" Target="http://egalitate.md/media/files/files/decizie_439_2016__constatare-votat_6290889.pdf" TargetMode="External"/><Relationship Id="rId30" Type="http://schemas.openxmlformats.org/officeDocument/2006/relationships/hyperlink" Target="http://egalitate.md/campa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49</Pages>
  <Words>19356</Words>
  <Characters>136041</Characters>
  <Application>Microsoft Office Word</Application>
  <DocSecurity>0</DocSecurity>
  <Lines>1133</Lines>
  <Paragraphs>310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CERD/C/MDA/12-14</vt:lpstr>
      <vt:lpstr>A/</vt:lpstr>
      <vt:lpstr>A/</vt:lpstr>
    </vt:vector>
  </TitlesOfParts>
  <Company>DCM</Company>
  <LinksUpToDate>false</LinksUpToDate>
  <CharactersWithSpaces>155087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CERD/C/MDA/12-14</dc:title>
  <dc:subject/>
  <dc:creator>Elena IZOTOVA</dc:creator>
  <cp:keywords/>
  <cp:lastModifiedBy>Elena IZOTOVA</cp:lastModifiedBy>
  <cp:revision>3</cp:revision>
  <cp:lastPrinted>2020-10-01T06:49:00Z</cp:lastPrinted>
  <dcterms:created xsi:type="dcterms:W3CDTF">2020-10-01T06:49:00Z</dcterms:created>
  <dcterms:modified xsi:type="dcterms:W3CDTF">2020-10-01T06:49:00Z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