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952E02" w:rsidRPr="00882E83" w:rsidTr="0003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952E02" w:rsidRPr="00260E88" w:rsidRDefault="00952E02" w:rsidP="00035C3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952E02" w:rsidRPr="00882E83" w:rsidRDefault="00952E02" w:rsidP="00035C39">
            <w:pPr>
              <w:jc w:val="right"/>
              <w:rPr>
                <w:sz w:val="20"/>
                <w:lang w:val="en-US"/>
              </w:rPr>
            </w:pPr>
            <w:r w:rsidRPr="000E239B">
              <w:rPr>
                <w:sz w:val="40"/>
                <w:szCs w:val="40"/>
                <w:lang w:val="en-US"/>
              </w:rPr>
              <w:t>CAT</w:t>
            </w:r>
            <w:r w:rsidR="003D4150" w:rsidRPr="003D4150">
              <w:rPr>
                <w:sz w:val="20"/>
                <w:lang w:val="en-US"/>
              </w:rPr>
              <w:t>/</w:t>
            </w:r>
            <w:r w:rsidRPr="003D4150">
              <w:rPr>
                <w:sz w:val="20"/>
                <w:lang w:val="en-US"/>
              </w:rPr>
              <w:t>OP</w:t>
            </w:r>
            <w:r w:rsidRPr="00882E83">
              <w:rPr>
                <w:sz w:val="20"/>
                <w:lang w:val="en-US"/>
              </w:rPr>
              <w:t>/</w:t>
            </w:r>
            <w:r w:rsidRPr="00882E83">
              <w:rPr>
                <w:sz w:val="20"/>
                <w:lang w:val="en-US"/>
              </w:rPr>
              <w:fldChar w:fldCharType="begin"/>
            </w:r>
            <w:r w:rsidRPr="00882E83">
              <w:rPr>
                <w:sz w:val="20"/>
                <w:lang w:val="en-US"/>
              </w:rPr>
              <w:instrText xml:space="preserve"> FILLIN  "Введите часть символа после CAT</w:instrText>
            </w:r>
            <w:r w:rsidR="00B01609">
              <w:rPr>
                <w:sz w:val="20"/>
                <w:lang w:val="en-US"/>
              </w:rPr>
              <w:instrText>/</w:instrText>
            </w:r>
            <w:r w:rsidRPr="00882E83">
              <w:rPr>
                <w:sz w:val="20"/>
                <w:lang w:val="en-US"/>
              </w:rPr>
              <w:instrText>OP</w:instrText>
            </w:r>
            <w:r w:rsidR="00B01609">
              <w:rPr>
                <w:sz w:val="20"/>
                <w:lang w:val="en-US"/>
              </w:rPr>
              <w:instrText>/</w:instrText>
            </w:r>
            <w:r w:rsidRPr="00882E83">
              <w:rPr>
                <w:sz w:val="20"/>
                <w:lang w:val="en-US"/>
              </w:rPr>
              <w:instrText xml:space="preserve">"  \* MERGEFORMAT </w:instrText>
            </w:r>
            <w:r w:rsidRPr="00882E83">
              <w:rPr>
                <w:sz w:val="20"/>
                <w:lang w:val="en-US"/>
              </w:rPr>
              <w:fldChar w:fldCharType="separate"/>
            </w:r>
            <w:r w:rsidR="00ED1F9E">
              <w:rPr>
                <w:sz w:val="20"/>
                <w:lang w:val="en-US"/>
              </w:rPr>
              <w:t>4</w:t>
            </w:r>
            <w:r w:rsidRPr="00882E83">
              <w:rPr>
                <w:sz w:val="20"/>
                <w:lang w:val="en-US"/>
              </w:rPr>
              <w:fldChar w:fldCharType="end"/>
            </w:r>
          </w:p>
        </w:tc>
      </w:tr>
      <w:tr w:rsidR="00952E02" w:rsidRPr="00767C58" w:rsidTr="00035C3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952E02" w:rsidRPr="00635870" w:rsidRDefault="00952E02" w:rsidP="00035C3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2E02" w:rsidRPr="00952E02" w:rsidRDefault="00952E02" w:rsidP="00035C39">
            <w:pPr>
              <w:spacing w:before="120" w:line="360" w:lineRule="exact"/>
              <w:rPr>
                <w:b/>
                <w:spacing w:val="-4"/>
                <w:w w:val="100"/>
                <w:sz w:val="32"/>
                <w:szCs w:val="32"/>
              </w:rPr>
            </w:pPr>
            <w:r w:rsidRPr="00952E02">
              <w:rPr>
                <w:b/>
                <w:spacing w:val="-4"/>
                <w:w w:val="100"/>
                <w:sz w:val="32"/>
                <w:szCs w:val="32"/>
              </w:rPr>
              <w:t xml:space="preserve">Факультативный протокол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к Конвенции против пыток 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 других жестоких, бесчеловечных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или унижающих достоинство видов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>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52E02" w:rsidRPr="00882E83" w:rsidRDefault="00952E02" w:rsidP="00035C39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882E83">
              <w:rPr>
                <w:sz w:val="20"/>
                <w:lang w:val="en-US"/>
              </w:rPr>
              <w:t>Distr</w:t>
            </w:r>
            <w:proofErr w:type="spellEnd"/>
            <w:r w:rsidRPr="00882E83">
              <w:rPr>
                <w:sz w:val="20"/>
              </w:rPr>
              <w:t>.:</w:t>
            </w:r>
            <w:r w:rsidRPr="00882E83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882E83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82E83">
              <w:rPr>
                <w:sz w:val="20"/>
                <w:lang w:val="en-US"/>
              </w:rPr>
              <w:instrText xml:space="preserve"> FORMDROPDOWN </w:instrText>
            </w:r>
            <w:r w:rsidRPr="00882E83">
              <w:rPr>
                <w:sz w:val="20"/>
              </w:rPr>
            </w:r>
            <w:r w:rsidRPr="00882E83">
              <w:rPr>
                <w:sz w:val="20"/>
              </w:rPr>
              <w:fldChar w:fldCharType="end"/>
            </w:r>
            <w:bookmarkEnd w:id="0"/>
          </w:p>
          <w:p w:rsidR="00952E02" w:rsidRPr="00882E83" w:rsidRDefault="00952E02" w:rsidP="00035C39">
            <w:pPr>
              <w:spacing w:before="0" w:after="0"/>
              <w:rPr>
                <w:sz w:val="20"/>
                <w:lang w:val="en-US"/>
              </w:rPr>
            </w:pPr>
            <w:r w:rsidRPr="00882E83">
              <w:rPr>
                <w:sz w:val="20"/>
                <w:lang w:val="en-US"/>
              </w:rPr>
              <w:fldChar w:fldCharType="begin"/>
            </w:r>
            <w:r w:rsidRPr="00882E83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ED1F9E">
              <w:rPr>
                <w:sz w:val="20"/>
                <w:lang w:val="en-US"/>
              </w:rPr>
              <w:fldChar w:fldCharType="separate"/>
            </w:r>
            <w:r w:rsidR="00ED1F9E">
              <w:rPr>
                <w:sz w:val="20"/>
                <w:lang w:val="en-US"/>
              </w:rPr>
              <w:t>5 January 2013</w:t>
            </w:r>
            <w:r w:rsidRPr="00882E83">
              <w:rPr>
                <w:sz w:val="20"/>
                <w:lang w:val="en-US"/>
              </w:rPr>
              <w:fldChar w:fldCharType="end"/>
            </w:r>
          </w:p>
          <w:p w:rsidR="00952E02" w:rsidRPr="00882E83" w:rsidRDefault="00952E02" w:rsidP="00035C39">
            <w:pPr>
              <w:spacing w:before="0" w:after="0"/>
              <w:rPr>
                <w:sz w:val="20"/>
              </w:rPr>
            </w:pPr>
            <w:r w:rsidRPr="00882E83">
              <w:rPr>
                <w:sz w:val="20"/>
                <w:lang w:val="en-US"/>
              </w:rPr>
              <w:t>Russian</w:t>
            </w:r>
          </w:p>
          <w:p w:rsidR="00952E02" w:rsidRPr="00882E83" w:rsidRDefault="00952E02" w:rsidP="00035C39">
            <w:pPr>
              <w:spacing w:before="0" w:after="0"/>
              <w:rPr>
                <w:sz w:val="20"/>
              </w:rPr>
            </w:pPr>
            <w:r w:rsidRPr="00882E83">
              <w:rPr>
                <w:sz w:val="20"/>
                <w:lang w:val="en-US"/>
              </w:rPr>
              <w:t>Original</w:t>
            </w:r>
            <w:r w:rsidRPr="00882E83">
              <w:rPr>
                <w:sz w:val="20"/>
              </w:rPr>
              <w:t xml:space="preserve">: </w:t>
            </w:r>
            <w:bookmarkStart w:id="1" w:name="ПолеСоСписком2"/>
            <w:r w:rsidRPr="00882E83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82E83">
              <w:rPr>
                <w:sz w:val="20"/>
                <w:lang w:val="en-US"/>
              </w:rPr>
              <w:instrText xml:space="preserve"> FORMDROPDOWN </w:instrText>
            </w:r>
            <w:r w:rsidRPr="00882E83">
              <w:rPr>
                <w:sz w:val="20"/>
              </w:rPr>
            </w:r>
            <w:r w:rsidRPr="00882E83">
              <w:rPr>
                <w:sz w:val="20"/>
              </w:rPr>
              <w:fldChar w:fldCharType="end"/>
            </w:r>
            <w:bookmarkEnd w:id="1"/>
          </w:p>
          <w:p w:rsidR="00952E02" w:rsidRPr="00767C58" w:rsidRDefault="00952E02" w:rsidP="00035C39"/>
        </w:tc>
      </w:tr>
    </w:tbl>
    <w:p w:rsidR="006A16CA" w:rsidRPr="008C793D" w:rsidRDefault="006A16CA" w:rsidP="00855266">
      <w:pPr>
        <w:spacing w:before="120"/>
        <w:rPr>
          <w:b/>
          <w:sz w:val="24"/>
          <w:szCs w:val="24"/>
        </w:rPr>
      </w:pPr>
      <w:r w:rsidRPr="008C793D">
        <w:rPr>
          <w:b/>
          <w:sz w:val="24"/>
          <w:szCs w:val="24"/>
        </w:rPr>
        <w:t>Подкомитет по предупреждению пыток и других</w:t>
      </w:r>
      <w:r w:rsidR="00855266" w:rsidRPr="008C793D">
        <w:rPr>
          <w:b/>
          <w:sz w:val="24"/>
          <w:szCs w:val="24"/>
        </w:rPr>
        <w:br/>
      </w:r>
      <w:r w:rsidRPr="008C793D">
        <w:rPr>
          <w:b/>
          <w:sz w:val="24"/>
          <w:szCs w:val="24"/>
        </w:rPr>
        <w:t xml:space="preserve">жестоких, бесчеловечных или унижающих </w:t>
      </w:r>
      <w:r w:rsidR="00855266" w:rsidRPr="008C793D">
        <w:rPr>
          <w:b/>
          <w:sz w:val="24"/>
          <w:szCs w:val="24"/>
        </w:rPr>
        <w:br/>
      </w:r>
      <w:r w:rsidRPr="008C793D">
        <w:rPr>
          <w:b/>
          <w:sz w:val="24"/>
          <w:szCs w:val="24"/>
        </w:rPr>
        <w:t>дост</w:t>
      </w:r>
      <w:r w:rsidRPr="008C793D">
        <w:rPr>
          <w:b/>
          <w:sz w:val="24"/>
          <w:szCs w:val="24"/>
        </w:rPr>
        <w:t>о</w:t>
      </w:r>
      <w:r w:rsidRPr="008C793D">
        <w:rPr>
          <w:b/>
          <w:sz w:val="24"/>
          <w:szCs w:val="24"/>
        </w:rPr>
        <w:t>инство видов обращения и наказания</w:t>
      </w:r>
    </w:p>
    <w:p w:rsidR="006A16CA" w:rsidRPr="006A1DEC" w:rsidRDefault="00855266" w:rsidP="0085526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6A16CA" w:rsidRPr="006A16CA">
        <w:t>Резюме обсуждения текущего процесса внесения поправок в Минимальные стандартные правила обращения с заключенными Организации Объединенных Наций (МСП)</w:t>
      </w:r>
      <w:r w:rsidR="006A1DEC" w:rsidRPr="008C793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542F3" w:rsidRPr="0086100E" w:rsidRDefault="005542F3" w:rsidP="005542F3">
      <w:pPr>
        <w:spacing w:after="120"/>
        <w:rPr>
          <w:sz w:val="28"/>
        </w:rPr>
      </w:pPr>
      <w:r>
        <w:br w:type="page"/>
      </w:r>
      <w:r>
        <w:rPr>
          <w:sz w:val="28"/>
        </w:rPr>
        <w:t>Содержание</w:t>
      </w:r>
    </w:p>
    <w:p w:rsidR="005542F3" w:rsidRPr="0086100E" w:rsidRDefault="005542F3" w:rsidP="005542F3">
      <w:pPr>
        <w:tabs>
          <w:tab w:val="right" w:pos="8929"/>
          <w:tab w:val="right" w:pos="9638"/>
        </w:tabs>
        <w:spacing w:after="120"/>
        <w:ind w:left="283"/>
      </w:pPr>
      <w:r w:rsidRPr="0086100E">
        <w:rPr>
          <w:i/>
          <w:sz w:val="18"/>
        </w:rPr>
        <w:tab/>
      </w:r>
      <w:r>
        <w:rPr>
          <w:i/>
          <w:sz w:val="18"/>
        </w:rPr>
        <w:t>Пункты</w:t>
      </w:r>
      <w:r w:rsidRPr="0086100E">
        <w:rPr>
          <w:i/>
          <w:sz w:val="18"/>
        </w:rPr>
        <w:tab/>
      </w:r>
      <w:r>
        <w:rPr>
          <w:i/>
          <w:sz w:val="18"/>
        </w:rPr>
        <w:t>Стр.</w:t>
      </w:r>
    </w:p>
    <w:p w:rsidR="005542F3" w:rsidRPr="0086100E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6100E">
        <w:tab/>
      </w:r>
      <w:r w:rsidRPr="00BE2E36">
        <w:rPr>
          <w:lang w:val="fr-FR"/>
        </w:rPr>
        <w:t>I</w:t>
      </w:r>
      <w:r w:rsidRPr="0086100E">
        <w:t>.</w:t>
      </w:r>
      <w:r w:rsidRPr="0086100E">
        <w:tab/>
      </w:r>
      <w:r>
        <w:t>Введение</w:t>
      </w:r>
      <w:r w:rsidRPr="0086100E">
        <w:tab/>
      </w:r>
      <w:r w:rsidRPr="0086100E">
        <w:tab/>
        <w:t>1–3</w:t>
      </w:r>
      <w:r w:rsidRPr="0086100E">
        <w:tab/>
      </w:r>
      <w:r w:rsidR="000E3ED5">
        <w:t>3</w:t>
      </w:r>
    </w:p>
    <w:p w:rsidR="005542F3" w:rsidRPr="0086100E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6100E">
        <w:tab/>
      </w:r>
      <w:r w:rsidRPr="0086100E">
        <w:rPr>
          <w:lang w:val="en-US"/>
        </w:rPr>
        <w:t>II</w:t>
      </w:r>
      <w:r w:rsidRPr="0086100E">
        <w:t>.</w:t>
      </w:r>
      <w:r w:rsidRPr="0086100E">
        <w:tab/>
      </w:r>
      <w:r>
        <w:t>Предлагаемые изменения</w:t>
      </w:r>
      <w:r w:rsidRPr="0086100E">
        <w:tab/>
      </w:r>
      <w:r w:rsidRPr="0086100E">
        <w:tab/>
        <w:t>4–25</w:t>
      </w:r>
      <w:r w:rsidRPr="0086100E">
        <w:tab/>
      </w:r>
      <w:r w:rsidR="000E3ED5">
        <w:t>3</w:t>
      </w:r>
    </w:p>
    <w:p w:rsidR="005542F3" w:rsidRPr="0086100E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6100E">
        <w:tab/>
      </w:r>
      <w:r w:rsidRPr="0086100E">
        <w:tab/>
      </w:r>
      <w:r w:rsidRPr="0086100E">
        <w:rPr>
          <w:lang w:val="en-US"/>
        </w:rPr>
        <w:t>A</w:t>
      </w:r>
      <w:r w:rsidRPr="0086100E">
        <w:t>.</w:t>
      </w:r>
      <w:r w:rsidRPr="0086100E">
        <w:tab/>
      </w:r>
      <w:r>
        <w:t>Информ</w:t>
      </w:r>
      <w:r w:rsidR="008A160D">
        <w:t>ирование</w:t>
      </w:r>
      <w:r>
        <w:t xml:space="preserve"> заключенных и </w:t>
      </w:r>
      <w:r w:rsidR="008A160D">
        <w:t xml:space="preserve">их </w:t>
      </w:r>
      <w:r>
        <w:t>жалобы</w:t>
      </w:r>
      <w:r w:rsidRPr="0086100E">
        <w:tab/>
      </w:r>
      <w:r w:rsidRPr="0086100E">
        <w:tab/>
        <w:t>4–8</w:t>
      </w:r>
      <w:r w:rsidRPr="0086100E">
        <w:tab/>
      </w:r>
      <w:r w:rsidR="000E3ED5">
        <w:t>3</w:t>
      </w:r>
    </w:p>
    <w:p w:rsidR="005542F3" w:rsidRPr="0086100E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6100E">
        <w:tab/>
      </w:r>
      <w:r w:rsidRPr="0086100E">
        <w:tab/>
      </w:r>
      <w:r w:rsidRPr="0086100E">
        <w:rPr>
          <w:lang w:val="en-US"/>
        </w:rPr>
        <w:t>B</w:t>
      </w:r>
      <w:r w:rsidRPr="0086100E">
        <w:t>.</w:t>
      </w:r>
      <w:r w:rsidRPr="0086100E">
        <w:tab/>
      </w:r>
      <w:r>
        <w:t>Контакт с внешним миром/социальные связи и последующ</w:t>
      </w:r>
      <w:r w:rsidR="008A160D">
        <w:t>ее</w:t>
      </w:r>
      <w:r>
        <w:t xml:space="preserve"> </w:t>
      </w:r>
      <w:r w:rsidR="008A160D">
        <w:br/>
      </w:r>
      <w:r w:rsidR="008A160D">
        <w:tab/>
      </w:r>
      <w:r w:rsidR="008A160D">
        <w:tab/>
      </w:r>
      <w:r w:rsidR="008A160D">
        <w:tab/>
        <w:t xml:space="preserve">попечение </w:t>
      </w:r>
      <w:r w:rsidRPr="0086100E">
        <w:tab/>
      </w:r>
      <w:r w:rsidR="008A160D">
        <w:tab/>
      </w:r>
      <w:r w:rsidRPr="0086100E">
        <w:t>9–10</w:t>
      </w:r>
      <w:r w:rsidRPr="0086100E">
        <w:tab/>
      </w:r>
      <w:r w:rsidR="000E3ED5">
        <w:t>4</w:t>
      </w:r>
    </w:p>
    <w:p w:rsidR="005542F3" w:rsidRPr="00B3250C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6100E">
        <w:tab/>
      </w:r>
      <w:r w:rsidRPr="0086100E">
        <w:tab/>
      </w:r>
      <w:r w:rsidRPr="0086100E">
        <w:rPr>
          <w:lang w:val="en-US"/>
        </w:rPr>
        <w:t>C</w:t>
      </w:r>
      <w:r w:rsidRPr="00B3250C">
        <w:t>.</w:t>
      </w:r>
      <w:r w:rsidRPr="00B3250C">
        <w:tab/>
      </w:r>
      <w:r>
        <w:t>Религия или убеждения</w:t>
      </w:r>
      <w:r w:rsidRPr="00B3250C">
        <w:tab/>
      </w:r>
      <w:r w:rsidRPr="00B3250C">
        <w:tab/>
        <w:t>11–15</w:t>
      </w:r>
      <w:r w:rsidRPr="00B3250C">
        <w:tab/>
      </w:r>
      <w:r w:rsidR="000E3ED5">
        <w:t>5</w:t>
      </w:r>
    </w:p>
    <w:p w:rsidR="005542F3" w:rsidRPr="00B3250C" w:rsidRDefault="005542F3" w:rsidP="005542F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250C">
        <w:tab/>
      </w:r>
      <w:r w:rsidRPr="00B3250C">
        <w:tab/>
      </w:r>
      <w:r w:rsidRPr="0086100E">
        <w:rPr>
          <w:lang w:val="en-US"/>
        </w:rPr>
        <w:t>D</w:t>
      </w:r>
      <w:r w:rsidRPr="00B3250C">
        <w:t>.</w:t>
      </w:r>
      <w:r w:rsidRPr="00B3250C">
        <w:tab/>
      </w:r>
      <w:r>
        <w:t>Прочие вопросы</w:t>
      </w:r>
      <w:r w:rsidRPr="00B3250C">
        <w:tab/>
      </w:r>
      <w:r w:rsidRPr="00B3250C">
        <w:tab/>
        <w:t>16–24</w:t>
      </w:r>
      <w:r w:rsidRPr="00B3250C">
        <w:tab/>
      </w:r>
      <w:r w:rsidR="000E3ED5">
        <w:t>7</w:t>
      </w:r>
    </w:p>
    <w:p w:rsidR="00512A2C" w:rsidRPr="00512A2C" w:rsidRDefault="005542F3" w:rsidP="00512A2C">
      <w:pPr>
        <w:pStyle w:val="HChGR"/>
      </w:pPr>
      <w:r>
        <w:rPr>
          <w:sz w:val="24"/>
        </w:rPr>
        <w:br w:type="page"/>
      </w:r>
      <w:r w:rsidR="00512A2C">
        <w:rPr>
          <w:sz w:val="24"/>
        </w:rPr>
        <w:tab/>
      </w:r>
      <w:r w:rsidR="00512A2C" w:rsidRPr="00512A2C">
        <w:rPr>
          <w:lang w:val="en-US"/>
        </w:rPr>
        <w:t>I</w:t>
      </w:r>
      <w:r w:rsidR="00512A2C" w:rsidRPr="00512A2C">
        <w:t>.</w:t>
      </w:r>
      <w:r w:rsidR="00512A2C" w:rsidRPr="00512A2C">
        <w:tab/>
        <w:t>Введение</w:t>
      </w:r>
    </w:p>
    <w:p w:rsidR="00512A2C" w:rsidRPr="00512A2C" w:rsidRDefault="00512A2C" w:rsidP="00512A2C">
      <w:pPr>
        <w:pStyle w:val="SingleTxtGR"/>
      </w:pPr>
      <w:r w:rsidRPr="00512A2C">
        <w:t>1.</w:t>
      </w:r>
      <w:r w:rsidRPr="00512A2C">
        <w:tab/>
        <w:t>В настоящем документе подытоживаются результаты обсуждений, кот</w:t>
      </w:r>
      <w:r w:rsidRPr="00512A2C">
        <w:t>о</w:t>
      </w:r>
      <w:r w:rsidRPr="00512A2C">
        <w:t>рые были проведены Рабочей группой по Минимальным стандартным правилам обращения с заключенными Подкомитета по предупреждению пыток и других жестоких, бесчеловечных или унижающих достоинство видов обращения и н</w:t>
      </w:r>
      <w:r w:rsidRPr="00512A2C">
        <w:t>а</w:t>
      </w:r>
      <w:r w:rsidRPr="00512A2C">
        <w:t>казания (ППП) и в ходе которых рассматривался текущий процесс внесения п</w:t>
      </w:r>
      <w:r w:rsidRPr="00512A2C">
        <w:t>о</w:t>
      </w:r>
      <w:r w:rsidRPr="00512A2C">
        <w:t>правок в Минимальные стандартные правила обращения с заключенными О</w:t>
      </w:r>
      <w:r w:rsidRPr="00512A2C">
        <w:t>р</w:t>
      </w:r>
      <w:r w:rsidRPr="00512A2C">
        <w:t>ганизации Объединенных Наций (МСП).</w:t>
      </w:r>
    </w:p>
    <w:p w:rsidR="00512A2C" w:rsidRPr="00512A2C" w:rsidRDefault="00512A2C" w:rsidP="00512A2C">
      <w:pPr>
        <w:pStyle w:val="SingleTxtGR"/>
      </w:pPr>
      <w:r w:rsidRPr="00512A2C">
        <w:t>2.</w:t>
      </w:r>
      <w:r w:rsidRPr="00512A2C">
        <w:tab/>
        <w:t>ППП приветствует планы внесения целенаправленных изме</w:t>
      </w:r>
      <w:r w:rsidR="00411F51">
        <w:t>н</w:t>
      </w:r>
      <w:r w:rsidRPr="00512A2C">
        <w:t>ений в МСП. На основании своего опыта и экспертных знаний ППП может воспользоваться этой ценной возможностью для того, чтобы поделиться вызывающими у него озабоченность соображениями по нескольким аспектам МСП, относящимся к его мандату.</w:t>
      </w:r>
    </w:p>
    <w:p w:rsidR="00512A2C" w:rsidRPr="00512A2C" w:rsidRDefault="00512A2C" w:rsidP="00512A2C">
      <w:pPr>
        <w:pStyle w:val="SingleTxtGR"/>
      </w:pPr>
      <w:r w:rsidRPr="00512A2C">
        <w:t>3.</w:t>
      </w:r>
      <w:r w:rsidRPr="00512A2C">
        <w:tab/>
        <w:t>Нижеследующие положения приводятся исключительно в качестве пр</w:t>
      </w:r>
      <w:r w:rsidRPr="00512A2C">
        <w:t>и</w:t>
      </w:r>
      <w:r w:rsidRPr="00512A2C">
        <w:t>меров, но призваны продемонстрировать решительную и неотложную необх</w:t>
      </w:r>
      <w:r w:rsidRPr="00512A2C">
        <w:t>о</w:t>
      </w:r>
      <w:r w:rsidRPr="00512A2C">
        <w:t xml:space="preserve">димость во внесении некоторых изменений и добавлений в МСП, с тем чтобы обеспечить их построение </w:t>
      </w:r>
      <w:r w:rsidR="00411F51">
        <w:t xml:space="preserve">с </w:t>
      </w:r>
      <w:r w:rsidRPr="00512A2C">
        <w:t>учетом прав человека. ППП считает, что в МСП следует подчеркнуть необходимость гарантировать права человека путем пр</w:t>
      </w:r>
      <w:r w:rsidRPr="00512A2C">
        <w:t>и</w:t>
      </w:r>
      <w:r w:rsidRPr="00512A2C">
        <w:t>нятия соответствующих мер в тех случаях, когда люди оказываются лишенн</w:t>
      </w:r>
      <w:r w:rsidRPr="00512A2C">
        <w:t>ы</w:t>
      </w:r>
      <w:r w:rsidRPr="00512A2C">
        <w:t>ми св</w:t>
      </w:r>
      <w:r w:rsidRPr="00512A2C">
        <w:t>о</w:t>
      </w:r>
      <w:r w:rsidRPr="00512A2C">
        <w:t xml:space="preserve">боды. </w:t>
      </w:r>
    </w:p>
    <w:p w:rsidR="00512A2C" w:rsidRPr="00512A2C" w:rsidRDefault="00617C63" w:rsidP="00617C63">
      <w:pPr>
        <w:pStyle w:val="HChGR"/>
      </w:pPr>
      <w:r>
        <w:tab/>
      </w:r>
      <w:r w:rsidR="00512A2C" w:rsidRPr="00512A2C">
        <w:rPr>
          <w:lang w:val="en-US"/>
        </w:rPr>
        <w:t>II</w:t>
      </w:r>
      <w:r w:rsidR="00512A2C" w:rsidRPr="00512A2C">
        <w:t>.</w:t>
      </w:r>
      <w:r w:rsidR="00512A2C" w:rsidRPr="00512A2C">
        <w:tab/>
        <w:t>Предлагаемые изменения</w:t>
      </w:r>
    </w:p>
    <w:p w:rsidR="00512A2C" w:rsidRPr="00512A2C" w:rsidRDefault="0056698D" w:rsidP="0056698D">
      <w:pPr>
        <w:pStyle w:val="H1GR"/>
      </w:pPr>
      <w:r>
        <w:tab/>
      </w:r>
      <w:r w:rsidR="00512A2C" w:rsidRPr="00512A2C">
        <w:t>А.</w:t>
      </w:r>
      <w:r w:rsidR="00512A2C" w:rsidRPr="00512A2C">
        <w:tab/>
        <w:t>Информирование заключенных и их жалобы</w:t>
      </w:r>
    </w:p>
    <w:p w:rsidR="00512A2C" w:rsidRPr="00512A2C" w:rsidRDefault="00512A2C" w:rsidP="00512A2C">
      <w:pPr>
        <w:pStyle w:val="SingleTxtGR"/>
      </w:pPr>
      <w:r w:rsidRPr="00512A2C">
        <w:t>4.</w:t>
      </w:r>
      <w:r w:rsidRPr="00512A2C">
        <w:tab/>
        <w:t>В МСП не признается право быть представленным адвокатом в соотве</w:t>
      </w:r>
      <w:r w:rsidRPr="00512A2C">
        <w:t>т</w:t>
      </w:r>
      <w:r w:rsidRPr="00512A2C">
        <w:t>ствии с надлежащими процессуальными нормами. ППП считает, что право на доступ к адвокату является существенным требованием для защиты неотъе</w:t>
      </w:r>
      <w:r w:rsidRPr="00512A2C">
        <w:t>м</w:t>
      </w:r>
      <w:r w:rsidRPr="00512A2C">
        <w:t>лемых прав задержанных лиц в разрезе, в частности, аспектов, касающихся надлежащего питания и размещения, права на посещения и доступа к услугам, а также предоставления задержанным дополнительной информации об услов</w:t>
      </w:r>
      <w:r w:rsidRPr="00512A2C">
        <w:t>и</w:t>
      </w:r>
      <w:r w:rsidRPr="00512A2C">
        <w:t>ях их задержания и средствах обеспечения их прав. Все содержащиеся под стражей лица</w:t>
      </w:r>
      <w:r w:rsidR="00411F51">
        <w:t xml:space="preserve"> должны иметь доступ к адвокату</w:t>
      </w:r>
      <w:r w:rsidRPr="00512A2C">
        <w:t xml:space="preserve"> независимо от того, является ли их содержание под стражей досудебным или в порядке исполнения наказания по приговору (см. правило 35).</w:t>
      </w:r>
    </w:p>
    <w:p w:rsidR="00512A2C" w:rsidRPr="00512A2C" w:rsidRDefault="00512A2C" w:rsidP="00512A2C">
      <w:pPr>
        <w:pStyle w:val="SingleTxtGR"/>
      </w:pPr>
      <w:r w:rsidRPr="00512A2C">
        <w:t>5.</w:t>
      </w:r>
      <w:r w:rsidRPr="00512A2C">
        <w:tab/>
        <w:t xml:space="preserve">Объем прав на </w:t>
      </w:r>
      <w:proofErr w:type="spellStart"/>
      <w:r w:rsidRPr="00512A2C">
        <w:t>представленность</w:t>
      </w:r>
      <w:proofErr w:type="spellEnd"/>
      <w:r w:rsidRPr="00512A2C">
        <w:t xml:space="preserve"> адвокатом имеет весьма важное знач</w:t>
      </w:r>
      <w:r w:rsidRPr="00512A2C">
        <w:t>е</w:t>
      </w:r>
      <w:r w:rsidRPr="00512A2C">
        <w:t xml:space="preserve">ние при нахождении в заключении. </w:t>
      </w:r>
      <w:proofErr w:type="spellStart"/>
      <w:r w:rsidRPr="00512A2C">
        <w:t>Представленность</w:t>
      </w:r>
      <w:proofErr w:type="spellEnd"/>
      <w:r w:rsidRPr="00512A2C">
        <w:t xml:space="preserve"> адвокатом следует обе</w:t>
      </w:r>
      <w:r w:rsidRPr="00512A2C">
        <w:t>с</w:t>
      </w:r>
      <w:r w:rsidRPr="00512A2C">
        <w:t>печивать с момента задержания лица, особенно потому, что эта гарантия вых</w:t>
      </w:r>
      <w:r w:rsidRPr="00512A2C">
        <w:t>о</w:t>
      </w:r>
      <w:r w:rsidRPr="00512A2C">
        <w:t>дит за рамки простого консультирования задержанного. Адвокат при посещ</w:t>
      </w:r>
      <w:r w:rsidRPr="00512A2C">
        <w:t>е</w:t>
      </w:r>
      <w:r w:rsidRPr="00512A2C">
        <w:t>нии задержанного может фактически оценить физические условия его содерж</w:t>
      </w:r>
      <w:r w:rsidRPr="00512A2C">
        <w:t>а</w:t>
      </w:r>
      <w:r w:rsidRPr="00512A2C">
        <w:t xml:space="preserve">ния под стражей. </w:t>
      </w:r>
    </w:p>
    <w:p w:rsidR="00512A2C" w:rsidRPr="00512A2C" w:rsidRDefault="00512A2C" w:rsidP="00512A2C">
      <w:pPr>
        <w:pStyle w:val="SingleTxtGR"/>
      </w:pPr>
      <w:r w:rsidRPr="00512A2C">
        <w:t>6.</w:t>
      </w:r>
      <w:r w:rsidRPr="00512A2C">
        <w:tab/>
        <w:t>В случае подачи жалобы у заключенных должна быть возможность пре</w:t>
      </w:r>
      <w:r w:rsidRPr="00512A2C">
        <w:t>д</w:t>
      </w:r>
      <w:r w:rsidRPr="00512A2C">
        <w:t>стать перед судьей или другим компетентным и независимым судебным орг</w:t>
      </w:r>
      <w:r w:rsidRPr="00512A2C">
        <w:t>а</w:t>
      </w:r>
      <w:r w:rsidRPr="00512A2C">
        <w:t xml:space="preserve">ном, с тем чтобы они могли заслушать их жалобы. Это особенно важно, если вопрос не может быть решен путем подачи жалобы тюремной администрации. </w:t>
      </w:r>
    </w:p>
    <w:p w:rsidR="00512A2C" w:rsidRPr="00512A2C" w:rsidRDefault="00512A2C" w:rsidP="00512A2C">
      <w:pPr>
        <w:pStyle w:val="SingleTxtGR"/>
      </w:pPr>
      <w:r w:rsidRPr="00512A2C">
        <w:t>7.</w:t>
      </w:r>
      <w:r w:rsidRPr="00512A2C">
        <w:tab/>
        <w:t xml:space="preserve">Необходимо принимать превентивные меры во избежание любого рода репрессалий, в том числе и со стороны других заключенных, в связи с подачей жалоб или возбуждением дел против тюремной администрации. </w:t>
      </w:r>
    </w:p>
    <w:p w:rsidR="006D1D05" w:rsidRPr="00432A22" w:rsidRDefault="00512A2C" w:rsidP="006D1D05">
      <w:pPr>
        <w:pStyle w:val="SingleTxtGR"/>
      </w:pPr>
      <w:r w:rsidRPr="00512A2C">
        <w:t>8.</w:t>
      </w:r>
      <w:r w:rsidRPr="00512A2C">
        <w:tab/>
        <w:t>В свете последующих изменений, отраженных в правиле 3.6 Токийских правил, принципах 3 и 4 Основных принципов независимости судебных орг</w:t>
      </w:r>
      <w:r w:rsidRPr="00512A2C">
        <w:t>а</w:t>
      </w:r>
      <w:r w:rsidRPr="00512A2C">
        <w:t>нов</w:t>
      </w:r>
      <w:r w:rsidR="00CF07B1">
        <w:rPr>
          <w:rStyle w:val="FootnoteReference"/>
        </w:rPr>
        <w:footnoteReference w:id="2"/>
      </w:r>
      <w:r w:rsidRPr="00512A2C">
        <w:t xml:space="preserve">, статье 13 </w:t>
      </w:r>
      <w:r w:rsidRPr="00512A2C">
        <w:rPr>
          <w:lang w:val="en-US"/>
        </w:rPr>
        <w:t>b</w:t>
      </w:r>
      <w:r w:rsidRPr="00512A2C">
        <w:t>) и с) Основных принципов, касающихся роли юристов</w:t>
      </w:r>
      <w:r w:rsidR="00CF07B1">
        <w:rPr>
          <w:rStyle w:val="FootnoteReference"/>
        </w:rPr>
        <w:footnoteReference w:id="3"/>
      </w:r>
      <w:r w:rsidRPr="00512A2C">
        <w:t>, при</w:t>
      </w:r>
      <w:r w:rsidRPr="00512A2C">
        <w:t>н</w:t>
      </w:r>
      <w:r w:rsidRPr="00512A2C">
        <w:t>ципе 33 Свода принципов защиты всех лиц, подвергаемых задержанию в какой бы то ни было форме, а также работы ППП по вопросу о необходимости в "процедурных и надлежащих процессуальных гарантиях, связанных с содерж</w:t>
      </w:r>
      <w:r w:rsidRPr="00512A2C">
        <w:t>а</w:t>
      </w:r>
      <w:r w:rsidRPr="00512A2C">
        <w:t>нием под стражей",</w:t>
      </w:r>
      <w:r w:rsidR="006D1D05">
        <w:t xml:space="preserve"> "концепци</w:t>
      </w:r>
      <w:r w:rsidR="006D1D05" w:rsidRPr="006E02D6">
        <w:t>и</w:t>
      </w:r>
      <w:r w:rsidR="006D1D05" w:rsidRPr="00432A22">
        <w:t xml:space="preserve"> предупреждения пыток"</w:t>
      </w:r>
      <w:r w:rsidR="006D1D05" w:rsidRPr="000162F0">
        <w:rPr>
          <w:rStyle w:val="FootnoteReference"/>
        </w:rPr>
        <w:footnoteReference w:id="4"/>
      </w:r>
      <w:r w:rsidR="006D1D05" w:rsidRPr="00432A22">
        <w:t xml:space="preserve"> и </w:t>
      </w:r>
      <w:r w:rsidR="006D1D05">
        <w:t>негативных орган</w:t>
      </w:r>
      <w:r w:rsidR="006D1D05">
        <w:t>и</w:t>
      </w:r>
      <w:r w:rsidR="006D1D05">
        <w:t xml:space="preserve">зационных и процедурных последствий </w:t>
      </w:r>
      <w:r w:rsidR="006D1D05" w:rsidRPr="00432A22">
        <w:t>отсутст</w:t>
      </w:r>
      <w:r w:rsidR="006D1D05">
        <w:t>вия</w:t>
      </w:r>
      <w:r w:rsidR="006D1D05" w:rsidRPr="00432A22">
        <w:t xml:space="preserve"> надлежащих правовых р</w:t>
      </w:r>
      <w:r w:rsidR="006D1D05" w:rsidRPr="00432A22">
        <w:t>а</w:t>
      </w:r>
      <w:r w:rsidR="006D1D05" w:rsidRPr="00432A22">
        <w:t xml:space="preserve">мок </w:t>
      </w:r>
      <w:r w:rsidR="006D1D05">
        <w:t>− для</w:t>
      </w:r>
      <w:r w:rsidR="006D1D05" w:rsidRPr="00432A22">
        <w:t xml:space="preserve"> защи</w:t>
      </w:r>
      <w:r w:rsidR="006D1D05">
        <w:t>ты</w:t>
      </w:r>
      <w:r w:rsidR="006D1D05" w:rsidRPr="00432A22">
        <w:t xml:space="preserve"> и уваже</w:t>
      </w:r>
      <w:r w:rsidR="006D1D05">
        <w:t>ния</w:t>
      </w:r>
      <w:r w:rsidR="006D1D05" w:rsidRPr="00432A22">
        <w:t xml:space="preserve"> прав заключенных</w:t>
      </w:r>
      <w:r w:rsidR="006D1D05" w:rsidRPr="000162F0">
        <w:rPr>
          <w:rStyle w:val="FootnoteReference"/>
        </w:rPr>
        <w:footnoteReference w:id="5"/>
      </w:r>
      <w:r w:rsidR="006D1D05" w:rsidRPr="00432A22">
        <w:t>, ППП предлагает внести сл</w:t>
      </w:r>
      <w:r w:rsidR="006D1D05" w:rsidRPr="00432A22">
        <w:t>е</w:t>
      </w:r>
      <w:r w:rsidR="006D1D05" w:rsidRPr="00432A22">
        <w:t>дующие попра</w:t>
      </w:r>
      <w:r w:rsidR="006D1D05" w:rsidRPr="00432A22">
        <w:t>в</w:t>
      </w:r>
      <w:r w:rsidR="006D1D05" w:rsidRPr="00432A22">
        <w:t>ки: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a</w:t>
      </w:r>
      <w:r w:rsidRPr="00432A22">
        <w:t>)</w:t>
      </w:r>
      <w:r w:rsidRPr="00432A22">
        <w:tab/>
        <w:t>разработ</w:t>
      </w:r>
      <w:r>
        <w:t>ке международных стандартов должны</w:t>
      </w:r>
      <w:r w:rsidRPr="00432A22">
        <w:t xml:space="preserve"> </w:t>
      </w:r>
      <w:r>
        <w:t>сопутствовать с</w:t>
      </w:r>
      <w:r>
        <w:t>о</w:t>
      </w:r>
      <w:r>
        <w:t>ответствующие</w:t>
      </w:r>
      <w:r w:rsidRPr="00432A22">
        <w:t xml:space="preserve"> изменен</w:t>
      </w:r>
      <w:r w:rsidRPr="00432A22">
        <w:t>и</w:t>
      </w:r>
      <w:r>
        <w:t>я</w:t>
      </w:r>
      <w:r w:rsidRPr="00432A22">
        <w:t xml:space="preserve"> в правиле 35 </w:t>
      </w:r>
      <w:r>
        <w:t>МСП</w:t>
      </w:r>
      <w:r w:rsidRPr="00432A22">
        <w:t>, отра</w:t>
      </w:r>
      <w:r>
        <w:t>жающие тот факт, что право</w:t>
      </w:r>
      <w:r w:rsidRPr="00432A22">
        <w:t xml:space="preserve"> задержанных лиц </w:t>
      </w:r>
      <w:r>
        <w:t>быть представленными</w:t>
      </w:r>
      <w:r w:rsidRPr="00432A22">
        <w:t xml:space="preserve"> адвокат</w:t>
      </w:r>
      <w:r>
        <w:t xml:space="preserve">ам и </w:t>
      </w:r>
      <w:r w:rsidR="00FA091E">
        <w:t xml:space="preserve">их </w:t>
      </w:r>
      <w:r>
        <w:t xml:space="preserve">право на </w:t>
      </w:r>
      <w:r w:rsidRPr="00432A22">
        <w:t>доступ к пр</w:t>
      </w:r>
      <w:r w:rsidRPr="00432A22">
        <w:t>а</w:t>
      </w:r>
      <w:r w:rsidRPr="00432A22">
        <w:t xml:space="preserve">восудию </w:t>
      </w:r>
      <w:r>
        <w:t>не только должны быть связаны со справедливым судебным</w:t>
      </w:r>
      <w:r w:rsidRPr="00432A22">
        <w:t xml:space="preserve"> разбир</w:t>
      </w:r>
      <w:r w:rsidRPr="00432A22">
        <w:t>а</w:t>
      </w:r>
      <w:r w:rsidRPr="00432A22">
        <w:t>тельст</w:t>
      </w:r>
      <w:r>
        <w:t>вом</w:t>
      </w:r>
      <w:r w:rsidRPr="00432A22">
        <w:t xml:space="preserve">, но </w:t>
      </w:r>
      <w:r>
        <w:t>и являются</w:t>
      </w:r>
      <w:r w:rsidRPr="00432A22">
        <w:t xml:space="preserve"> необходи</w:t>
      </w:r>
      <w:r>
        <w:t>мыми</w:t>
      </w:r>
      <w:r w:rsidRPr="00432A22">
        <w:t xml:space="preserve"> для защиты </w:t>
      </w:r>
      <w:r>
        <w:t xml:space="preserve">других </w:t>
      </w:r>
      <w:r w:rsidRPr="00432A22">
        <w:t>конкретных прав задержанных лиц, относящихся к режиму и условиям содержания под стр</w:t>
      </w:r>
      <w:r w:rsidRPr="00432A22">
        <w:t>а</w:t>
      </w:r>
      <w:r w:rsidRPr="00432A22">
        <w:t>жей;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b</w:t>
      </w:r>
      <w:r w:rsidRPr="00432A22">
        <w:t>)</w:t>
      </w:r>
      <w:r w:rsidRPr="00432A22">
        <w:tab/>
        <w:t xml:space="preserve">такая защита должна обеспечивать, чтобы </w:t>
      </w:r>
      <w:r>
        <w:t>надлежащие процесс</w:t>
      </w:r>
      <w:r>
        <w:t>у</w:t>
      </w:r>
      <w:r>
        <w:t>альные нормы</w:t>
      </w:r>
      <w:r w:rsidRPr="00432A22">
        <w:t xml:space="preserve"> применялись </w:t>
      </w:r>
      <w:r>
        <w:t xml:space="preserve">как </w:t>
      </w:r>
      <w:r w:rsidRPr="00432A22">
        <w:t>к обвиняе</w:t>
      </w:r>
      <w:r>
        <w:t xml:space="preserve">мым, так </w:t>
      </w:r>
      <w:r w:rsidRPr="00432A22">
        <w:t>и</w:t>
      </w:r>
      <w:r>
        <w:t xml:space="preserve"> к</w:t>
      </w:r>
      <w:r w:rsidRPr="00432A22">
        <w:t xml:space="preserve"> осужденным лицам. </w:t>
      </w:r>
      <w:r>
        <w:t>Следует принимать</w:t>
      </w:r>
      <w:r w:rsidRPr="00432A22">
        <w:t xml:space="preserve"> необходимые меры для предоставления правовой помощи задержанным </w:t>
      </w:r>
      <w:r>
        <w:t>лицам</w:t>
      </w:r>
      <w:r w:rsidR="00FA091E">
        <w:t xml:space="preserve"> − не</w:t>
      </w:r>
      <w:r w:rsidRPr="00432A22">
        <w:t>зависимо от того, содержатся ли они под стражей в д</w:t>
      </w:r>
      <w:r w:rsidRPr="00432A22">
        <w:t>о</w:t>
      </w:r>
      <w:r w:rsidRPr="00432A22">
        <w:t>судебном порядке или были осуждены</w:t>
      </w:r>
      <w:r w:rsidR="00FA091E">
        <w:t>, − особенно</w:t>
      </w:r>
      <w:r w:rsidRPr="00432A22">
        <w:t xml:space="preserve"> когда они не располагают возможностями оплатить услуги а</w:t>
      </w:r>
      <w:r w:rsidRPr="00432A22">
        <w:t>д</w:t>
      </w:r>
      <w:r w:rsidRPr="00432A22">
        <w:t>воката;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c</w:t>
      </w:r>
      <w:r>
        <w:t>)</w:t>
      </w:r>
      <w:r>
        <w:tab/>
        <w:t xml:space="preserve">в </w:t>
      </w:r>
      <w:r w:rsidRPr="00432A22">
        <w:t>М</w:t>
      </w:r>
      <w:r>
        <w:t>С</w:t>
      </w:r>
      <w:r w:rsidRPr="00432A22">
        <w:t xml:space="preserve">П следует признать, что дела, связанные с пребыванием в местах лишения свободы, имеют </w:t>
      </w:r>
      <w:r>
        <w:t>особо</w:t>
      </w:r>
      <w:r w:rsidRPr="00432A22">
        <w:t xml:space="preserve"> специфический характер и требуют от адвокатов опыта, отличающегося от </w:t>
      </w:r>
      <w:r>
        <w:t xml:space="preserve">опыта, </w:t>
      </w:r>
      <w:r w:rsidRPr="00432A22">
        <w:t>приобретенного в ходе ведения з</w:t>
      </w:r>
      <w:r w:rsidRPr="00432A22">
        <w:t>а</w:t>
      </w:r>
      <w:r w:rsidRPr="00432A22">
        <w:t xml:space="preserve">щиты по уголовным делам. </w:t>
      </w:r>
    </w:p>
    <w:p w:rsidR="006D1D05" w:rsidRPr="00432A22" w:rsidRDefault="006D1D05" w:rsidP="006D1D05">
      <w:pPr>
        <w:pStyle w:val="H1GR"/>
      </w:pPr>
      <w:r>
        <w:tab/>
      </w:r>
      <w:r w:rsidRPr="00432A22">
        <w:t>B.</w:t>
      </w:r>
      <w:r w:rsidRPr="00432A22">
        <w:tab/>
        <w:t>Контакт</w:t>
      </w:r>
      <w:r>
        <w:t>ы</w:t>
      </w:r>
      <w:r w:rsidRPr="00432A22">
        <w:t xml:space="preserve"> с внешним миром/соци</w:t>
      </w:r>
      <w:r>
        <w:t>альные связи и последующее попечение</w:t>
      </w:r>
    </w:p>
    <w:p w:rsidR="006D1D05" w:rsidRPr="00432A22" w:rsidRDefault="006D1D05" w:rsidP="006D1D05">
      <w:pPr>
        <w:pStyle w:val="SingleTxtGR"/>
      </w:pPr>
      <w:r w:rsidRPr="00432A22">
        <w:t>9.</w:t>
      </w:r>
      <w:r w:rsidRPr="00432A22">
        <w:tab/>
        <w:t xml:space="preserve">Хотя правило 37 </w:t>
      </w:r>
      <w:r>
        <w:t>МСП</w:t>
      </w:r>
      <w:r w:rsidRPr="00432A22">
        <w:t xml:space="preserve"> </w:t>
      </w:r>
      <w:r>
        <w:t xml:space="preserve">предполагает контакты с </w:t>
      </w:r>
      <w:r w:rsidRPr="00432A22">
        <w:t>внешним миром, ко</w:t>
      </w:r>
      <w:r w:rsidRPr="00432A22">
        <w:t>н</w:t>
      </w:r>
      <w:r w:rsidRPr="00432A22">
        <w:t>кретное использование фо</w:t>
      </w:r>
      <w:r w:rsidRPr="00432A22">
        <w:t>р</w:t>
      </w:r>
      <w:r w:rsidRPr="00432A22">
        <w:t xml:space="preserve">мулировки "следует давать возможность" в этом тексте указывает на ограничительный подход. </w:t>
      </w:r>
      <w:r>
        <w:t>Контакты</w:t>
      </w:r>
      <w:r w:rsidRPr="00432A22">
        <w:t xml:space="preserve"> с внешним миром </w:t>
      </w:r>
      <w:r>
        <w:t>должны</w:t>
      </w:r>
      <w:r w:rsidRPr="00432A22">
        <w:t xml:space="preserve"> рассматривать</w:t>
      </w:r>
      <w:r>
        <w:t>ся в качестве необходимого</w:t>
      </w:r>
      <w:r w:rsidRPr="00432A22">
        <w:t xml:space="preserve"> фактор</w:t>
      </w:r>
      <w:r>
        <w:t>а</w:t>
      </w:r>
      <w:r w:rsidRPr="00432A22">
        <w:t xml:space="preserve">, </w:t>
      </w:r>
      <w:r>
        <w:t xml:space="preserve">и </w:t>
      </w:r>
      <w:r w:rsidRPr="00432A22">
        <w:t>и</w:t>
      </w:r>
      <w:r>
        <w:t xml:space="preserve">х </w:t>
      </w:r>
      <w:r w:rsidRPr="00432A22">
        <w:t>следует поо</w:t>
      </w:r>
      <w:r w:rsidRPr="00432A22">
        <w:t>щ</w:t>
      </w:r>
      <w:r w:rsidRPr="00432A22">
        <w:t>рять, а не</w:t>
      </w:r>
      <w:r>
        <w:t xml:space="preserve"> просто</w:t>
      </w:r>
      <w:r w:rsidRPr="00432A22">
        <w:t xml:space="preserve"> д</w:t>
      </w:r>
      <w:r w:rsidRPr="00432A22">
        <w:t>о</w:t>
      </w:r>
      <w:r w:rsidRPr="00432A22">
        <w:t>пускать.</w:t>
      </w:r>
    </w:p>
    <w:p w:rsidR="006D1D05" w:rsidRPr="00432A22" w:rsidRDefault="006D1D05" w:rsidP="006D1D05">
      <w:pPr>
        <w:pStyle w:val="SingleTxtGR"/>
      </w:pPr>
      <w:r w:rsidRPr="00432A22">
        <w:t>10.</w:t>
      </w:r>
      <w:r w:rsidRPr="00432A22">
        <w:tab/>
        <w:t>Принимая во внимание статью 23 (1) МПГПП, статьи 9, 10, 20 и 21 КПР, статьи 18 и 25 Африканской хартии прав человека и народов, статью 9 Конве</w:t>
      </w:r>
      <w:r w:rsidRPr="00432A22">
        <w:t>н</w:t>
      </w:r>
      <w:r w:rsidRPr="00432A22">
        <w:t>ции о защите прав человека и основных свобод Совета Европы, ст</w:t>
      </w:r>
      <w:r w:rsidRPr="00432A22">
        <w:t>а</w:t>
      </w:r>
      <w:r>
        <w:t>тью 17 Арабской хартии и правило</w:t>
      </w:r>
      <w:r w:rsidRPr="00432A22">
        <w:t xml:space="preserve"> 28 </w:t>
      </w:r>
      <w:proofErr w:type="spellStart"/>
      <w:r w:rsidRPr="00432A22">
        <w:t>Бангкокских</w:t>
      </w:r>
      <w:proofErr w:type="spellEnd"/>
      <w:r w:rsidRPr="00432A22">
        <w:t xml:space="preserve"> правил, ППП предл</w:t>
      </w:r>
      <w:r w:rsidRPr="00432A22">
        <w:t>а</w:t>
      </w:r>
      <w:r w:rsidRPr="00432A22">
        <w:t>гает внести следующие изменения в МСП: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a</w:t>
      </w:r>
      <w:r w:rsidRPr="00432A22">
        <w:t>)</w:t>
      </w:r>
      <w:r w:rsidRPr="00432A22">
        <w:tab/>
        <w:t>тюремной администрации следует поощрять контакты между з</w:t>
      </w:r>
      <w:r w:rsidRPr="00432A22">
        <w:t>а</w:t>
      </w:r>
      <w:r w:rsidRPr="00432A22">
        <w:t xml:space="preserve">ключенными и их родственниками и друзьями, если только </w:t>
      </w:r>
      <w:r>
        <w:t xml:space="preserve">в этом отношении </w:t>
      </w:r>
      <w:r w:rsidRPr="00432A22">
        <w:t xml:space="preserve">не существует оправданных/обоснованных возражений. Контакты должны </w:t>
      </w:r>
      <w:r>
        <w:t>по</w:t>
      </w:r>
      <w:r>
        <w:t>д</w:t>
      </w:r>
      <w:r>
        <w:t>держиваться на</w:t>
      </w:r>
      <w:r w:rsidRPr="00432A22">
        <w:t xml:space="preserve"> регулярно</w:t>
      </w:r>
      <w:r>
        <w:t>й основе с помощью</w:t>
      </w:r>
      <w:r w:rsidRPr="00432A22">
        <w:t xml:space="preserve"> почтовой</w:t>
      </w:r>
      <w:r>
        <w:t xml:space="preserve"> корреспонденции, т</w:t>
      </w:r>
      <w:r>
        <w:t>е</w:t>
      </w:r>
      <w:r>
        <w:t xml:space="preserve">лефонной или </w:t>
      </w:r>
      <w:r w:rsidRPr="00432A22">
        <w:t xml:space="preserve">других средств связи, а также </w:t>
      </w:r>
      <w:r>
        <w:t>путем свиданий</w:t>
      </w:r>
      <w:r w:rsidRPr="00432A22">
        <w:t xml:space="preserve">. </w:t>
      </w:r>
      <w:r>
        <w:t>При посещении заключенного</w:t>
      </w:r>
      <w:r w:rsidRPr="00432A22">
        <w:t xml:space="preserve"> партнер</w:t>
      </w:r>
      <w:r>
        <w:t>ом</w:t>
      </w:r>
      <w:r w:rsidRPr="00432A22">
        <w:t>/супруг</w:t>
      </w:r>
      <w:r>
        <w:t>ом (супругой)</w:t>
      </w:r>
      <w:r w:rsidRPr="00432A22">
        <w:t xml:space="preserve"> или</w:t>
      </w:r>
      <w:r>
        <w:t xml:space="preserve"> другими членами </w:t>
      </w:r>
      <w:r w:rsidRPr="00432A22">
        <w:t>его или ее семьи</w:t>
      </w:r>
      <w:r>
        <w:t xml:space="preserve"> </w:t>
      </w:r>
      <w:r w:rsidRPr="00432A22">
        <w:t xml:space="preserve">следует </w:t>
      </w:r>
      <w:r>
        <w:t>разрешать</w:t>
      </w:r>
      <w:r w:rsidRPr="00432A22">
        <w:t xml:space="preserve"> физические ко</w:t>
      </w:r>
      <w:r w:rsidRPr="00432A22">
        <w:t>н</w:t>
      </w:r>
      <w:r w:rsidRPr="00432A22">
        <w:t xml:space="preserve">такты; 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b</w:t>
      </w:r>
      <w:r>
        <w:t>)</w:t>
      </w:r>
      <w:r>
        <w:tab/>
        <w:t>тюремная администрация</w:t>
      </w:r>
      <w:r w:rsidRPr="00432A22">
        <w:t xml:space="preserve"> </w:t>
      </w:r>
      <w:r>
        <w:t>должна обеспечивать</w:t>
      </w:r>
      <w:r w:rsidRPr="00432A22">
        <w:t xml:space="preserve"> достойные условия для свиданий, с тем чтобы заключенные имели возможность поддерживать и укреплять семейные </w:t>
      </w:r>
      <w:r>
        <w:t>узы</w:t>
      </w:r>
      <w:r w:rsidRPr="00432A22">
        <w:t xml:space="preserve"> естественным образом без какой-либо дискриминации. </w:t>
      </w:r>
      <w:r>
        <w:t>При личном</w:t>
      </w:r>
      <w:r w:rsidRPr="00432A22">
        <w:t xml:space="preserve"> досмотр</w:t>
      </w:r>
      <w:r>
        <w:t>е</w:t>
      </w:r>
      <w:r w:rsidRPr="00432A22">
        <w:t xml:space="preserve"> посетителей следует уважа</w:t>
      </w:r>
      <w:r>
        <w:t xml:space="preserve">ть </w:t>
      </w:r>
      <w:r w:rsidRPr="00432A22">
        <w:t>человеческое до</w:t>
      </w:r>
      <w:r w:rsidRPr="00432A22">
        <w:t>с</w:t>
      </w:r>
      <w:r w:rsidRPr="00432A22">
        <w:t>тоинство</w:t>
      </w:r>
      <w:r>
        <w:t>,</w:t>
      </w:r>
      <w:r w:rsidRPr="00432A22">
        <w:t xml:space="preserve"> и такой досмотр</w:t>
      </w:r>
      <w:r>
        <w:t xml:space="preserve"> должен</w:t>
      </w:r>
      <w:r w:rsidRPr="00432A22">
        <w:t xml:space="preserve"> про</w:t>
      </w:r>
      <w:r>
        <w:t>из</w:t>
      </w:r>
      <w:r w:rsidRPr="00432A22">
        <w:t>води</w:t>
      </w:r>
      <w:r>
        <w:t>ть</w:t>
      </w:r>
      <w:r w:rsidRPr="00432A22">
        <w:t>ся</w:t>
      </w:r>
      <w:r>
        <w:t xml:space="preserve"> лицами одного </w:t>
      </w:r>
      <w:r w:rsidRPr="00432A22">
        <w:t>пола</w:t>
      </w:r>
      <w:r>
        <w:t xml:space="preserve"> с досматриваемым</w:t>
      </w:r>
      <w:r w:rsidRPr="00432A22">
        <w:t xml:space="preserve">. </w:t>
      </w:r>
    </w:p>
    <w:p w:rsidR="006D1D05" w:rsidRPr="00432A22" w:rsidRDefault="006D1D05" w:rsidP="006D1D05">
      <w:pPr>
        <w:pStyle w:val="H1GR"/>
      </w:pPr>
      <w:r>
        <w:tab/>
      </w:r>
      <w:r w:rsidRPr="00432A22">
        <w:t>C.</w:t>
      </w:r>
      <w:r w:rsidRPr="00432A22">
        <w:tab/>
        <w:t>Религия или убеждения</w:t>
      </w:r>
    </w:p>
    <w:p w:rsidR="006D1D05" w:rsidRPr="00432A22" w:rsidRDefault="006D1D05" w:rsidP="006D1D05">
      <w:pPr>
        <w:pStyle w:val="SingleTxtGR"/>
      </w:pPr>
      <w:r w:rsidRPr="00432A22">
        <w:t>11.</w:t>
      </w:r>
      <w:r w:rsidRPr="00432A22">
        <w:tab/>
      </w:r>
      <w:r>
        <w:t>Применительно к религии или убеждениям</w:t>
      </w:r>
      <w:r w:rsidR="00FA091E">
        <w:t xml:space="preserve"> МСП сосредото</w:t>
      </w:r>
      <w:r w:rsidRPr="00432A22">
        <w:t xml:space="preserve">чиваются на возможности общения с духовными </w:t>
      </w:r>
      <w:r>
        <w:t>наставниками и участия</w:t>
      </w:r>
      <w:r w:rsidRPr="00432A22">
        <w:t xml:space="preserve"> в религиозных ц</w:t>
      </w:r>
      <w:r w:rsidRPr="00432A22">
        <w:t>е</w:t>
      </w:r>
      <w:r w:rsidRPr="00432A22">
        <w:t xml:space="preserve">ремониях. Хотя стандарты </w:t>
      </w:r>
      <w:r w:rsidRPr="00764784">
        <w:t>в этом вопросе</w:t>
      </w:r>
      <w:r w:rsidRPr="00432A22">
        <w:t xml:space="preserve"> являются адекватными, наличие о</w:t>
      </w:r>
      <w:r w:rsidRPr="00432A22">
        <w:t>б</w:t>
      </w:r>
      <w:r w:rsidRPr="00432A22">
        <w:t>щего положения, подчеркивающего уважение и терпимость в отношении всех религий, явл</w:t>
      </w:r>
      <w:r w:rsidRPr="00432A22">
        <w:t>я</w:t>
      </w:r>
      <w:r w:rsidRPr="00432A22">
        <w:t>ется желательным и рекомендуемым.</w:t>
      </w:r>
    </w:p>
    <w:p w:rsidR="006D1D05" w:rsidRPr="00432A22" w:rsidRDefault="006D1D05" w:rsidP="006D1D05">
      <w:pPr>
        <w:pStyle w:val="SingleTxtGR"/>
      </w:pPr>
      <w:r w:rsidRPr="00432A22">
        <w:t>12.</w:t>
      </w:r>
      <w:r w:rsidRPr="00432A22">
        <w:tab/>
      </w:r>
      <w:r>
        <w:t>Помимо поправок, предложенных</w:t>
      </w:r>
      <w:r w:rsidRPr="00432A22">
        <w:t xml:space="preserve"> </w:t>
      </w:r>
      <w:r>
        <w:t>к</w:t>
      </w:r>
      <w:r w:rsidRPr="00432A22">
        <w:t xml:space="preserve"> МСП, ППП рекомендует </w:t>
      </w:r>
      <w:r>
        <w:t>также отр</w:t>
      </w:r>
      <w:r>
        <w:t>а</w:t>
      </w:r>
      <w:r>
        <w:t>зить</w:t>
      </w:r>
      <w:r w:rsidRPr="00432A22">
        <w:t xml:space="preserve"> в МСП</w:t>
      </w:r>
      <w:r>
        <w:t xml:space="preserve"> излагаемые ниже положения</w:t>
      </w:r>
      <w:r w:rsidRPr="00432A22">
        <w:t xml:space="preserve">. </w:t>
      </w:r>
    </w:p>
    <w:p w:rsidR="006D1D05" w:rsidRPr="00432A22" w:rsidRDefault="006D1D05" w:rsidP="006D1D05">
      <w:pPr>
        <w:pStyle w:val="H23GR"/>
      </w:pPr>
      <w:r>
        <w:tab/>
      </w:r>
      <w:r w:rsidRPr="00432A22">
        <w:t>1.</w:t>
      </w:r>
      <w:r w:rsidRPr="00432A22">
        <w:tab/>
      </w:r>
      <w:proofErr w:type="spellStart"/>
      <w:r>
        <w:t>Уделение</w:t>
      </w:r>
      <w:proofErr w:type="spellEnd"/>
      <w:r>
        <w:t xml:space="preserve"> пристального</w:t>
      </w:r>
      <w:r w:rsidRPr="00432A22">
        <w:t xml:space="preserve"> внимания </w:t>
      </w:r>
      <w:r>
        <w:t>лицам, находящимся в уязвимом положении</w:t>
      </w:r>
    </w:p>
    <w:p w:rsidR="006D1D05" w:rsidRPr="00432A22" w:rsidRDefault="006D1D05" w:rsidP="006D1D05">
      <w:pPr>
        <w:pStyle w:val="SingleTxtGR"/>
      </w:pPr>
      <w:r w:rsidRPr="00432A22">
        <w:t>13.</w:t>
      </w:r>
      <w:r w:rsidRPr="00432A22">
        <w:tab/>
        <w:t xml:space="preserve">МСП </w:t>
      </w:r>
      <w:r>
        <w:t>содержит</w:t>
      </w:r>
      <w:r w:rsidRPr="00432A22">
        <w:t xml:space="preserve"> общие руководящие принципы и не затрагивают </w:t>
      </w:r>
      <w:r>
        <w:t>вопр</w:t>
      </w:r>
      <w:r>
        <w:t>о</w:t>
      </w:r>
      <w:r>
        <w:t>сов</w:t>
      </w:r>
      <w:r w:rsidRPr="00432A22">
        <w:t>, с которыми сталкиваются лица, находящиеся в уязвимом положении</w:t>
      </w:r>
      <w:r>
        <w:t xml:space="preserve">: </w:t>
      </w:r>
      <w:r w:rsidRPr="00432A22">
        <w:t>н</w:t>
      </w:r>
      <w:r w:rsidRPr="00432A22">
        <w:t>а</w:t>
      </w:r>
      <w:r w:rsidRPr="00432A22">
        <w:t>пример, женщины, дети, иностранные граждане, лица с проблемами здоровья, инвалиды, ЛГБТ и т.д.</w:t>
      </w:r>
    </w:p>
    <w:p w:rsidR="006D1D05" w:rsidRPr="00432A22" w:rsidRDefault="006D1D05" w:rsidP="006D1D05">
      <w:pPr>
        <w:pStyle w:val="SingleTxtGR"/>
      </w:pPr>
      <w:r w:rsidRPr="00432A22">
        <w:t>14.</w:t>
      </w:r>
      <w:r w:rsidRPr="00432A22">
        <w:tab/>
        <w:t xml:space="preserve">В этом отношении следует понимать </w:t>
      </w:r>
      <w:r>
        <w:t>социально-кримино</w:t>
      </w:r>
      <w:r w:rsidRPr="00432A22">
        <w:t>логические а</w:t>
      </w:r>
      <w:r w:rsidRPr="00432A22">
        <w:t>с</w:t>
      </w:r>
      <w:r w:rsidRPr="00432A22">
        <w:t xml:space="preserve">пекты </w:t>
      </w:r>
      <w:r>
        <w:t xml:space="preserve">и руководствоваться ими </w:t>
      </w:r>
      <w:r w:rsidRPr="00432A22">
        <w:t>для обеспечения того, чтобы услуги, предо</w:t>
      </w:r>
      <w:r w:rsidRPr="00432A22">
        <w:t>с</w:t>
      </w:r>
      <w:r w:rsidRPr="00432A22">
        <w:t>тавляемые заключенным, были адекватными, доступными, пр</w:t>
      </w:r>
      <w:r w:rsidRPr="00432A22">
        <w:t>и</w:t>
      </w:r>
      <w:r w:rsidRPr="00432A22">
        <w:t>емлемыми и приспособляемыми.</w:t>
      </w:r>
      <w:r>
        <w:t xml:space="preserve"> При этом необходимо учитывать следующее:</w:t>
      </w:r>
    </w:p>
    <w:p w:rsidR="006D1D05" w:rsidRPr="00432A22" w:rsidRDefault="006D1D05" w:rsidP="006D1D05">
      <w:pPr>
        <w:pStyle w:val="SingleTxtGR"/>
      </w:pPr>
      <w:r w:rsidRPr="00432A22">
        <w:tab/>
        <w:t>а)</w:t>
      </w:r>
      <w:r w:rsidRPr="00432A22">
        <w:tab/>
        <w:t>особые</w:t>
      </w:r>
      <w:r>
        <w:t xml:space="preserve"> медицинские, гигиенические и другие</w:t>
      </w:r>
      <w:r w:rsidRPr="00432A22">
        <w:t xml:space="preserve"> потребности лиц, находящихся в уязвимом положении, например женщин, де</w:t>
      </w:r>
      <w:r>
        <w:t>тей, престарелых и инвалидов</w:t>
      </w:r>
      <w:r w:rsidR="00FA091E">
        <w:t>,</w:t>
      </w:r>
      <w:r w:rsidRPr="00432A22">
        <w:t xml:space="preserve"> не удовлетворяются. В местах</w:t>
      </w:r>
      <w:r>
        <w:t xml:space="preserve"> заключения эти проблемы должны быть решены</w:t>
      </w:r>
      <w:r w:rsidRPr="00432A22">
        <w:t>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b</w:t>
      </w:r>
      <w:r w:rsidRPr="00432A22">
        <w:t>)</w:t>
      </w:r>
      <w:r w:rsidRPr="00432A22">
        <w:tab/>
        <w:t>обстоятельства, в которых</w:t>
      </w:r>
      <w:r>
        <w:t xml:space="preserve"> люди, принадлежащие к различным группам, </w:t>
      </w:r>
      <w:r w:rsidRPr="00432A22">
        <w:t>совершают прест</w:t>
      </w:r>
      <w:r w:rsidRPr="00432A22">
        <w:t>у</w:t>
      </w:r>
      <w:r w:rsidRPr="00432A22">
        <w:t>пления, отличаются друг от друга;</w:t>
      </w:r>
    </w:p>
    <w:p w:rsidR="006D1D05" w:rsidRPr="00432A22" w:rsidRDefault="006D1D05" w:rsidP="006D1D05">
      <w:pPr>
        <w:pStyle w:val="SingleTxtGR"/>
      </w:pPr>
      <w:r w:rsidRPr="00432A22">
        <w:tab/>
        <w:t>с)</w:t>
      </w:r>
      <w:r w:rsidRPr="00432A22">
        <w:tab/>
        <w:t>стигматизация и сенсационная подача фактов в средствах массовой информации и их во</w:t>
      </w:r>
      <w:r w:rsidRPr="00432A22">
        <w:t>з</w:t>
      </w:r>
      <w:r w:rsidRPr="00432A22">
        <w:t>действие на личную/семейную жизнь</w:t>
      </w:r>
      <w:r>
        <w:t>, обострение</w:t>
      </w:r>
      <w:r w:rsidRPr="00432A22">
        <w:t xml:space="preserve"> </w:t>
      </w:r>
      <w:r>
        <w:t>чувства</w:t>
      </w:r>
      <w:r w:rsidRPr="00432A22">
        <w:t xml:space="preserve"> стыда, </w:t>
      </w:r>
      <w:r>
        <w:t>клеймение позором</w:t>
      </w:r>
      <w:r w:rsidR="00C86131">
        <w:t xml:space="preserve"> и т.д.</w:t>
      </w:r>
      <w:r w:rsidRPr="00432A22">
        <w:t xml:space="preserve"> способс</w:t>
      </w:r>
      <w:r w:rsidRPr="00432A22">
        <w:t>т</w:t>
      </w:r>
      <w:r w:rsidRPr="00432A22">
        <w:t>ву</w:t>
      </w:r>
      <w:r>
        <w:t>ю</w:t>
      </w:r>
      <w:r w:rsidRPr="00432A22">
        <w:t>т рецидив</w:t>
      </w:r>
      <w:r>
        <w:t xml:space="preserve">у </w:t>
      </w:r>
      <w:r w:rsidRPr="00432A22">
        <w:t>преступ</w:t>
      </w:r>
      <w:r>
        <w:t>лений</w:t>
      </w:r>
      <w:r w:rsidRPr="00432A22">
        <w:t>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d</w:t>
      </w:r>
      <w:r w:rsidRPr="00432A22">
        <w:t>)</w:t>
      </w:r>
      <w:r w:rsidRPr="00432A22">
        <w:tab/>
        <w:t xml:space="preserve">позиция </w:t>
      </w:r>
      <w:r>
        <w:t xml:space="preserve">органов </w:t>
      </w:r>
      <w:r w:rsidRPr="00432A22">
        <w:t>системы уголовного правосудия и общества в о</w:t>
      </w:r>
      <w:r w:rsidRPr="00432A22">
        <w:t>т</w:t>
      </w:r>
      <w:r w:rsidRPr="00432A22">
        <w:t xml:space="preserve">ношении уязвимых групп может быть </w:t>
      </w:r>
      <w:r>
        <w:t>слишком жесткой</w:t>
      </w:r>
      <w:r w:rsidRPr="00432A22">
        <w:t xml:space="preserve">, поскольку </w:t>
      </w:r>
      <w:r>
        <w:t xml:space="preserve">отдельным лицам может вменяться в </w:t>
      </w:r>
      <w:r w:rsidR="00C86131">
        <w:t>вин</w:t>
      </w:r>
      <w:r>
        <w:t xml:space="preserve">у </w:t>
      </w:r>
      <w:r w:rsidRPr="00432A22">
        <w:t>не только совер</w:t>
      </w:r>
      <w:r>
        <w:t>шение</w:t>
      </w:r>
      <w:r w:rsidRPr="00432A22">
        <w:t xml:space="preserve"> преступления, но также </w:t>
      </w:r>
      <w:r>
        <w:t>нарушение установленных рамок, определяющих</w:t>
      </w:r>
      <w:r w:rsidRPr="00432A22">
        <w:t xml:space="preserve"> их роль/место в обществе</w:t>
      </w:r>
      <w:r>
        <w:t>, и это вдвойне утяжеляет их участь при фактич</w:t>
      </w:r>
      <w:r w:rsidR="00C86131">
        <w:t>еском отбывании наказания, т.к. </w:t>
      </w:r>
      <w:r>
        <w:t xml:space="preserve">они часто </w:t>
      </w:r>
      <w:r w:rsidRPr="00432A22">
        <w:t xml:space="preserve">сталкиваются с более суровым </w:t>
      </w:r>
      <w:r>
        <w:t>обращением</w:t>
      </w:r>
      <w:r w:rsidRPr="00432A22">
        <w:t>;</w:t>
      </w:r>
    </w:p>
    <w:p w:rsidR="006D1D05" w:rsidRDefault="006D1D05" w:rsidP="006D1D05">
      <w:pPr>
        <w:pStyle w:val="SingleTxtGR"/>
      </w:pPr>
      <w:r w:rsidRPr="00432A22">
        <w:tab/>
        <w:t>е)</w:t>
      </w:r>
      <w:r w:rsidRPr="00432A22">
        <w:tab/>
        <w:t xml:space="preserve">большинство </w:t>
      </w:r>
      <w:r>
        <w:t xml:space="preserve">уязвимых </w:t>
      </w:r>
      <w:r w:rsidRPr="00432A22">
        <w:t>лиц,</w:t>
      </w:r>
      <w:r>
        <w:t xml:space="preserve"> пребывающих </w:t>
      </w:r>
      <w:r w:rsidRPr="00432A22">
        <w:t xml:space="preserve">в заключении, в какой-то момент своей жизни страдали от </w:t>
      </w:r>
      <w:r>
        <w:t>физического</w:t>
      </w:r>
      <w:r w:rsidRPr="00432A22">
        <w:t>, сексуаль</w:t>
      </w:r>
      <w:r>
        <w:t>ного</w:t>
      </w:r>
      <w:r w:rsidRPr="00432A22">
        <w:t xml:space="preserve"> или психолог</w:t>
      </w:r>
      <w:r w:rsidRPr="00432A22">
        <w:t>и</w:t>
      </w:r>
      <w:r w:rsidRPr="00432A22">
        <w:t>че</w:t>
      </w:r>
      <w:r>
        <w:t>ского надругательства</w:t>
      </w:r>
      <w:r w:rsidRPr="00432A22">
        <w:t>.</w:t>
      </w:r>
      <w:r>
        <w:t xml:space="preserve"> Эти проблемы должны быть приняты во внимание в местах заключения;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f</w:t>
      </w:r>
      <w:r w:rsidRPr="00432A22">
        <w:t>)</w:t>
      </w:r>
      <w:r w:rsidRPr="00432A22">
        <w:tab/>
      </w:r>
      <w:r>
        <w:t>заключенные могут подвергнуться физическому</w:t>
      </w:r>
      <w:r w:rsidRPr="00432A22">
        <w:t>, психиче</w:t>
      </w:r>
      <w:r>
        <w:t>скому</w:t>
      </w:r>
      <w:r w:rsidRPr="00432A22">
        <w:t xml:space="preserve"> или сексуаль</w:t>
      </w:r>
      <w:r>
        <w:t xml:space="preserve">ному надругательству </w:t>
      </w:r>
      <w:r w:rsidRPr="00432A22">
        <w:t xml:space="preserve">со стороны </w:t>
      </w:r>
      <w:r>
        <w:t xml:space="preserve">как </w:t>
      </w:r>
      <w:r w:rsidRPr="00432A22">
        <w:t>сотрудников правоохранител</w:t>
      </w:r>
      <w:r w:rsidRPr="00432A22">
        <w:t>ь</w:t>
      </w:r>
      <w:r w:rsidRPr="00432A22">
        <w:t xml:space="preserve">ных органов, так и других заключенных. Изнасилование и </w:t>
      </w:r>
      <w:r>
        <w:t>торговля своими се</w:t>
      </w:r>
      <w:r>
        <w:t>к</w:t>
      </w:r>
      <w:r>
        <w:t xml:space="preserve">суальными услугами как средство выживания в тюрьме </w:t>
      </w:r>
      <w:r w:rsidRPr="00432A22">
        <w:t>оказывают психолог</w:t>
      </w:r>
      <w:r w:rsidRPr="00432A22">
        <w:t>и</w:t>
      </w:r>
      <w:r w:rsidRPr="00432A22">
        <w:t>ческое воздействие и наносят пс</w:t>
      </w:r>
      <w:r w:rsidRPr="00432A22">
        <w:t>и</w:t>
      </w:r>
      <w:r w:rsidRPr="00432A22">
        <w:t>хологические травмы;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g</w:t>
      </w:r>
      <w:r w:rsidRPr="00432A22">
        <w:t>)</w:t>
      </w:r>
      <w:r w:rsidRPr="00432A22">
        <w:tab/>
        <w:t>лица, находящиеся в уязвимом полож</w:t>
      </w:r>
      <w:r>
        <w:t>ении, сталкиваются с пов</w:t>
      </w:r>
      <w:r>
        <w:t>ы</w:t>
      </w:r>
      <w:r>
        <w:t>шенной вероятностью</w:t>
      </w:r>
      <w:r w:rsidR="00C86131">
        <w:t>/</w:t>
      </w:r>
      <w:r w:rsidRPr="00432A22">
        <w:t>риск</w:t>
      </w:r>
      <w:r w:rsidR="00C86131">
        <w:t>ом</w:t>
      </w:r>
      <w:r w:rsidRPr="00432A22">
        <w:t xml:space="preserve"> быть зараженными ВИЧ/</w:t>
      </w:r>
      <w:proofErr w:type="spellStart"/>
      <w:r w:rsidRPr="00432A22">
        <w:t>СПИДом</w:t>
      </w:r>
      <w:proofErr w:type="spellEnd"/>
      <w:r w:rsidRPr="00432A22">
        <w:t>, гепатитом и другими переносимыми с кровью б</w:t>
      </w:r>
      <w:r w:rsidRPr="00432A22">
        <w:t>о</w:t>
      </w:r>
      <w:r w:rsidRPr="00432A22">
        <w:t>лезнями;</w:t>
      </w:r>
    </w:p>
    <w:p w:rsidR="006D1D05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h</w:t>
      </w:r>
      <w:r w:rsidRPr="00432A22">
        <w:t>)</w:t>
      </w:r>
      <w:r w:rsidRPr="00432A22">
        <w:tab/>
      </w:r>
      <w:r>
        <w:t>существование взаимосвязи между периодически проводимыми полными личными обысками и теми надругательствами, которым лица, нах</w:t>
      </w:r>
      <w:r>
        <w:t>о</w:t>
      </w:r>
      <w:r>
        <w:t>дящиеся в уязвимом положении, подвергались в пр</w:t>
      </w:r>
      <w:r>
        <w:t>о</w:t>
      </w:r>
      <w:r>
        <w:t>шлом;</w:t>
      </w:r>
    </w:p>
    <w:p w:rsidR="006D1D05" w:rsidRPr="00432A22" w:rsidRDefault="006D1D05" w:rsidP="006D1D05">
      <w:pPr>
        <w:pStyle w:val="SingleTxtGR"/>
      </w:pPr>
      <w:r w:rsidRPr="00432A22">
        <w:tab/>
      </w:r>
      <w:proofErr w:type="spellStart"/>
      <w:r w:rsidRPr="00432A22">
        <w:rPr>
          <w:lang w:val="en-US"/>
        </w:rPr>
        <w:t>i</w:t>
      </w:r>
      <w:proofErr w:type="spellEnd"/>
      <w:r w:rsidRPr="00432A22">
        <w:t>)</w:t>
      </w:r>
      <w:r w:rsidRPr="00432A22">
        <w:tab/>
      </w:r>
      <w:r>
        <w:t>ограниченные</w:t>
      </w:r>
      <w:r w:rsidRPr="00432A22">
        <w:t xml:space="preserve"> возможности доступа к правосудию в связи с небл</w:t>
      </w:r>
      <w:r w:rsidRPr="00432A22">
        <w:t>а</w:t>
      </w:r>
      <w:r w:rsidRPr="00432A22">
        <w:t>гоприятным социально-экономическим положением − от</w:t>
      </w:r>
      <w:r>
        <w:t xml:space="preserve"> состояния реальной нищеты до </w:t>
      </w:r>
      <w:r w:rsidRPr="00432A22">
        <w:t>недостаточного</w:t>
      </w:r>
      <w:r>
        <w:t xml:space="preserve"> уровня</w:t>
      </w:r>
      <w:r w:rsidRPr="00432A22">
        <w:t xml:space="preserve"> образования и </w:t>
      </w:r>
      <w:r>
        <w:t>стесненных материальных о</w:t>
      </w:r>
      <w:r>
        <w:t>б</w:t>
      </w:r>
      <w:r>
        <w:t>стоятельств</w:t>
      </w:r>
      <w:r w:rsidRPr="00432A22">
        <w:t>;</w:t>
      </w:r>
    </w:p>
    <w:p w:rsidR="006D1D05" w:rsidRPr="00432A22" w:rsidRDefault="006D1D05" w:rsidP="006D1D05">
      <w:pPr>
        <w:pStyle w:val="SingleTxtGR"/>
      </w:pPr>
      <w:r w:rsidRPr="00432A22">
        <w:tab/>
      </w:r>
      <w:r w:rsidRPr="00432A22">
        <w:rPr>
          <w:lang w:val="en-US"/>
        </w:rPr>
        <w:t>j</w:t>
      </w:r>
      <w:r w:rsidRPr="00432A22">
        <w:t>)</w:t>
      </w:r>
      <w:r>
        <w:tab/>
        <w:t>недостаточное финансирование системы</w:t>
      </w:r>
      <w:r w:rsidRPr="00432A22">
        <w:t xml:space="preserve"> оказания правовой пом</w:t>
      </w:r>
      <w:r w:rsidRPr="00432A22">
        <w:t>о</w:t>
      </w:r>
      <w:r w:rsidRPr="00432A22">
        <w:t xml:space="preserve">щи </w:t>
      </w:r>
      <w:r>
        <w:t>и отсутствие</w:t>
      </w:r>
      <w:r w:rsidRPr="00432A22">
        <w:t xml:space="preserve"> </w:t>
      </w:r>
      <w:r>
        <w:t>матер</w:t>
      </w:r>
      <w:r>
        <w:t>и</w:t>
      </w:r>
      <w:r>
        <w:t>альных средств</w:t>
      </w:r>
      <w:r w:rsidRPr="00432A22">
        <w:t xml:space="preserve"> у обвиняемых или осужденных лиц при</w:t>
      </w:r>
      <w:r>
        <w:t>надлежа</w:t>
      </w:r>
      <w:r w:rsidRPr="00432A22">
        <w:t xml:space="preserve">т к числу факторов, </w:t>
      </w:r>
      <w:r>
        <w:t>накладывающих</w:t>
      </w:r>
      <w:r w:rsidRPr="00432A22">
        <w:t xml:space="preserve"> серьез</w:t>
      </w:r>
      <w:r>
        <w:t xml:space="preserve">ной отпечаток </w:t>
      </w:r>
      <w:r w:rsidRPr="00432A22">
        <w:t>на подход к ним со стороны суде</w:t>
      </w:r>
      <w:r w:rsidRPr="00432A22">
        <w:t>б</w:t>
      </w:r>
      <w:r w:rsidRPr="00432A22">
        <w:t>ной и пенитенциарной системы.</w:t>
      </w:r>
    </w:p>
    <w:p w:rsidR="006D1D05" w:rsidRPr="00432A22" w:rsidRDefault="006D1D05" w:rsidP="006D1D05">
      <w:pPr>
        <w:pStyle w:val="H23GR"/>
      </w:pPr>
      <w:r>
        <w:tab/>
      </w:r>
      <w:r w:rsidRPr="00432A22">
        <w:t>2.</w:t>
      </w:r>
      <w:r w:rsidRPr="00432A22">
        <w:tab/>
        <w:t>Особые категории заключенных</w:t>
      </w:r>
    </w:p>
    <w:p w:rsidR="006D1D05" w:rsidRPr="00432A22" w:rsidRDefault="006D1D05" w:rsidP="006D1D05">
      <w:pPr>
        <w:pStyle w:val="SingleTxtGR"/>
      </w:pPr>
      <w:r w:rsidRPr="00432A22">
        <w:t>15.</w:t>
      </w:r>
      <w:r w:rsidRPr="00432A22">
        <w:tab/>
        <w:t>В целом в МСП не делается акцента на особых категориях заключенных, несмотря на то, что международные нормы становятся все более и более дет</w:t>
      </w:r>
      <w:r w:rsidRPr="00432A22">
        <w:t>а</w:t>
      </w:r>
      <w:r w:rsidRPr="00432A22">
        <w:t xml:space="preserve">лизированными и </w:t>
      </w:r>
      <w:r>
        <w:t>сфокусированными</w:t>
      </w:r>
      <w:r w:rsidRPr="00432A22">
        <w:t xml:space="preserve">. В дополнение к </w:t>
      </w:r>
      <w:proofErr w:type="spellStart"/>
      <w:r w:rsidRPr="00432A22">
        <w:t>уделению</w:t>
      </w:r>
      <w:proofErr w:type="spellEnd"/>
      <w:r w:rsidRPr="00432A22">
        <w:t xml:space="preserve"> внимания</w:t>
      </w:r>
      <w:r>
        <w:t xml:space="preserve"> пр</w:t>
      </w:r>
      <w:r>
        <w:t>о</w:t>
      </w:r>
      <w:r>
        <w:t>блемам</w:t>
      </w:r>
      <w:r w:rsidRPr="00432A22">
        <w:t xml:space="preserve"> лиц</w:t>
      </w:r>
      <w:r>
        <w:t>, находящих</w:t>
      </w:r>
      <w:r w:rsidRPr="00432A22">
        <w:t>ся</w:t>
      </w:r>
      <w:r>
        <w:t xml:space="preserve"> в уязвимом положении, о которых</w:t>
      </w:r>
      <w:r w:rsidRPr="00432A22">
        <w:t xml:space="preserve"> говори</w:t>
      </w:r>
      <w:r>
        <w:t>лось</w:t>
      </w:r>
      <w:r w:rsidRPr="00432A22">
        <w:t xml:space="preserve"> выше, следует пр</w:t>
      </w:r>
      <w:r w:rsidRPr="00432A22">
        <w:t>и</w:t>
      </w:r>
      <w:r w:rsidRPr="00432A22">
        <w:t>нимать во внимание следующие категории:</w:t>
      </w:r>
    </w:p>
    <w:p w:rsidR="006D1D05" w:rsidRPr="00432A22" w:rsidRDefault="006D1D05" w:rsidP="006D1D05">
      <w:pPr>
        <w:pStyle w:val="SingleTxtGR"/>
      </w:pPr>
      <w:r w:rsidRPr="00432A22">
        <w:tab/>
        <w:t>а)</w:t>
      </w:r>
      <w:r w:rsidRPr="00432A22">
        <w:tab/>
        <w:t>"</w:t>
      </w:r>
      <w:proofErr w:type="spellStart"/>
      <w:r w:rsidRPr="00432A22">
        <w:t>Пожизненники</w:t>
      </w:r>
      <w:proofErr w:type="spellEnd"/>
      <w:r w:rsidRPr="00432A22">
        <w:t>";</w:t>
      </w:r>
    </w:p>
    <w:p w:rsidR="006D1D05" w:rsidRDefault="006D1D05" w:rsidP="006D1D05">
      <w:pPr>
        <w:pStyle w:val="Bullet1GR"/>
        <w:numPr>
          <w:ilvl w:val="0"/>
          <w:numId w:val="1"/>
        </w:numPr>
      </w:pPr>
      <w:r w:rsidRPr="00432A22">
        <w:t>Приговоры к пожизненному заключению выносятся достаточно часто в большинстве стран − членов Организации Объединенных Наций. Число дел, по которым лица приговариваются к пожизненному тюремному з</w:t>
      </w:r>
      <w:r w:rsidRPr="00432A22">
        <w:t>а</w:t>
      </w:r>
      <w:r w:rsidRPr="00432A22">
        <w:t xml:space="preserve">ключению, будет продолжать расти, поскольку существует тенденция к отмене смертной казни и пожизненное </w:t>
      </w:r>
      <w:r>
        <w:t>лишение свободы</w:t>
      </w:r>
      <w:r w:rsidRPr="00432A22">
        <w:t xml:space="preserve"> рассматривается в качестве ее ест</w:t>
      </w:r>
      <w:r w:rsidRPr="00432A22">
        <w:t>е</w:t>
      </w:r>
      <w:r w:rsidRPr="00432A22">
        <w:t xml:space="preserve">ственной альтернативы. Несмотря на это, не существует </w:t>
      </w:r>
      <w:r>
        <w:t>общепринятого свода</w:t>
      </w:r>
      <w:r w:rsidRPr="00432A22">
        <w:t xml:space="preserve"> норм в о</w:t>
      </w:r>
      <w:r w:rsidRPr="00432A22">
        <w:t>т</w:t>
      </w:r>
      <w:r w:rsidRPr="00432A22">
        <w:t xml:space="preserve">ношении этой категории заключенных, за исключением общих положений, содержащихся в МПГПП и КПП. </w:t>
      </w:r>
      <w:r>
        <w:t>Соо</w:t>
      </w:r>
      <w:r>
        <w:t>т</w:t>
      </w:r>
      <w:r>
        <w:t>ветственно,</w:t>
      </w:r>
      <w:r w:rsidRPr="00432A22">
        <w:t xml:space="preserve"> пересмотр МСП с целью ли</w:t>
      </w:r>
      <w:r w:rsidRPr="00432A22">
        <w:t>к</w:t>
      </w:r>
      <w:r w:rsidRPr="00432A22">
        <w:t>видации этого пробела является абсолютно необходимым по двум причинам:</w:t>
      </w:r>
    </w:p>
    <w:p w:rsidR="001F700A" w:rsidRPr="00460F9A" w:rsidRDefault="001F700A" w:rsidP="001F700A">
      <w:pPr>
        <w:pStyle w:val="Bullet1GR"/>
        <w:numPr>
          <w:ilvl w:val="0"/>
          <w:numId w:val="1"/>
        </w:numPr>
      </w:pPr>
      <w:r w:rsidRPr="00460F9A">
        <w:t>во-первых, приговоренных к пожизненному заключению</w:t>
      </w:r>
      <w:r w:rsidRPr="00830FD3">
        <w:t xml:space="preserve"> </w:t>
      </w:r>
      <w:r w:rsidRPr="00460F9A">
        <w:t xml:space="preserve">лиц не следует автоматически рассматривать </w:t>
      </w:r>
      <w:r>
        <w:t>в качестве "опасных" заключенных и обр</w:t>
      </w:r>
      <w:r>
        <w:t>а</w:t>
      </w:r>
      <w:r>
        <w:t xml:space="preserve">щаться с ними как с таковыми, </w:t>
      </w:r>
      <w:r w:rsidRPr="00460F9A">
        <w:t xml:space="preserve">и один лишь факт пожизненного </w:t>
      </w:r>
      <w:r>
        <w:t>лишения свободы</w:t>
      </w:r>
      <w:r w:rsidRPr="00460F9A">
        <w:t xml:space="preserve"> не должен </w:t>
      </w:r>
      <w:r>
        <w:t>подразумевать применение к таким заключенным б</w:t>
      </w:r>
      <w:r>
        <w:t>о</w:t>
      </w:r>
      <w:r>
        <w:t>лее строгого режима, чем к заключенным,</w:t>
      </w:r>
      <w:r w:rsidRPr="00460F9A">
        <w:t xml:space="preserve"> которые не отбывают пожи</w:t>
      </w:r>
      <w:r w:rsidRPr="00460F9A">
        <w:t>з</w:t>
      </w:r>
      <w:r w:rsidRPr="00460F9A">
        <w:t>ненного заключения</w:t>
      </w:r>
      <w:r>
        <w:t>,</w:t>
      </w:r>
      <w:r w:rsidRPr="00460F9A">
        <w:t xml:space="preserve"> или </w:t>
      </w:r>
      <w:r>
        <w:t>содержание их</w:t>
      </w:r>
      <w:r w:rsidRPr="00460F9A">
        <w:t xml:space="preserve"> в изоляции;</w:t>
      </w:r>
    </w:p>
    <w:p w:rsidR="001F700A" w:rsidRPr="00460F9A" w:rsidRDefault="001F700A" w:rsidP="001F700A">
      <w:pPr>
        <w:pStyle w:val="Bullet1GR"/>
        <w:numPr>
          <w:ilvl w:val="0"/>
          <w:numId w:val="1"/>
        </w:numPr>
      </w:pPr>
      <w:r w:rsidRPr="00460F9A">
        <w:t>во-вторых, так называемых "</w:t>
      </w:r>
      <w:proofErr w:type="spellStart"/>
      <w:r w:rsidRPr="00460F9A">
        <w:t>пожизненников</w:t>
      </w:r>
      <w:proofErr w:type="spellEnd"/>
      <w:r w:rsidRPr="00460F9A">
        <w:t xml:space="preserve">" следует размещать в </w:t>
      </w:r>
      <w:r>
        <w:t>хор</w:t>
      </w:r>
      <w:r>
        <w:t>о</w:t>
      </w:r>
      <w:r>
        <w:t>шо охраняемых тюрьмах</w:t>
      </w:r>
      <w:r w:rsidRPr="00460F9A">
        <w:t xml:space="preserve"> и обеспечивать им </w:t>
      </w:r>
      <w:r>
        <w:t>свободный</w:t>
      </w:r>
      <w:r w:rsidRPr="00460F9A">
        <w:t xml:space="preserve"> доступ к разли</w:t>
      </w:r>
      <w:r w:rsidRPr="00460F9A">
        <w:t>ч</w:t>
      </w:r>
      <w:r w:rsidRPr="00460F9A">
        <w:t>ным видам деятельности, включая лечение и/или медицинскую реабил</w:t>
      </w:r>
      <w:r w:rsidRPr="00460F9A">
        <w:t>и</w:t>
      </w:r>
      <w:r w:rsidRPr="00460F9A">
        <w:t>тацию, культурный досуг и/или спорт. Им следует также разр</w:t>
      </w:r>
      <w:r w:rsidRPr="00460F9A">
        <w:t>е</w:t>
      </w:r>
      <w:r w:rsidRPr="00460F9A">
        <w:t>шать оформлять и оборудовать свои камеры согласно их собственным пожел</w:t>
      </w:r>
      <w:r w:rsidRPr="00460F9A">
        <w:t>а</w:t>
      </w:r>
      <w:r w:rsidRPr="00460F9A">
        <w:t>ниям в рамках установленных разумных стандартов, определяемых т</w:t>
      </w:r>
      <w:r w:rsidRPr="00460F9A">
        <w:t>ю</w:t>
      </w:r>
      <w:r w:rsidRPr="00460F9A">
        <w:t>ремной админ</w:t>
      </w:r>
      <w:r w:rsidRPr="00460F9A">
        <w:t>и</w:t>
      </w:r>
      <w:r w:rsidRPr="00460F9A">
        <w:t>страцией.</w:t>
      </w:r>
    </w:p>
    <w:p w:rsidR="001F700A" w:rsidRPr="00460F9A" w:rsidRDefault="001F700A" w:rsidP="001F700A">
      <w:pPr>
        <w:pStyle w:val="SingleTxtGR"/>
      </w:pPr>
      <w:r w:rsidRPr="00460F9A">
        <w:tab/>
      </w:r>
      <w:r w:rsidRPr="00460F9A">
        <w:rPr>
          <w:lang w:val="en-US"/>
        </w:rPr>
        <w:t>b)</w:t>
      </w:r>
      <w:r w:rsidRPr="00460F9A">
        <w:rPr>
          <w:lang w:val="en-US"/>
        </w:rPr>
        <w:tab/>
        <w:t>"</w:t>
      </w:r>
      <w:r w:rsidRPr="00460F9A">
        <w:t>Опасные</w:t>
      </w:r>
      <w:r w:rsidRPr="00460F9A">
        <w:rPr>
          <w:lang w:val="en-US"/>
        </w:rPr>
        <w:t xml:space="preserve">" </w:t>
      </w:r>
      <w:proofErr w:type="spellStart"/>
      <w:r w:rsidRPr="00460F9A">
        <w:rPr>
          <w:lang w:val="en-US"/>
        </w:rPr>
        <w:t>заключенные</w:t>
      </w:r>
      <w:proofErr w:type="spellEnd"/>
      <w:r w:rsidRPr="00460F9A">
        <w:rPr>
          <w:lang w:val="en-US"/>
        </w:rPr>
        <w:t>:</w:t>
      </w:r>
    </w:p>
    <w:p w:rsidR="001F700A" w:rsidRPr="00460F9A" w:rsidRDefault="001F700A" w:rsidP="001F700A">
      <w:pPr>
        <w:pStyle w:val="Bullet1GR"/>
        <w:numPr>
          <w:ilvl w:val="0"/>
          <w:numId w:val="1"/>
        </w:numPr>
      </w:pPr>
      <w:r w:rsidRPr="00460F9A">
        <w:t xml:space="preserve">во многих тюремных системах существует категория правонарушителей, которые по различным причинам рассматриваются в качестве "опасных". Они характеризуются таким образом, поскольку представляют угрозу </w:t>
      </w:r>
      <w:r>
        <w:t>для других заключенных</w:t>
      </w:r>
      <w:r w:rsidRPr="00460F9A">
        <w:t xml:space="preserve">, </w:t>
      </w:r>
      <w:r>
        <w:t xml:space="preserve">для </w:t>
      </w:r>
      <w:r w:rsidRPr="00460F9A">
        <w:t>уч</w:t>
      </w:r>
      <w:r>
        <w:t>реждения</w:t>
      </w:r>
      <w:r w:rsidRPr="00460F9A">
        <w:t xml:space="preserve">, в котором содержатся, и </w:t>
      </w:r>
      <w:r>
        <w:t xml:space="preserve">для </w:t>
      </w:r>
      <w:r w:rsidRPr="00460F9A">
        <w:t>общ</w:t>
      </w:r>
      <w:r w:rsidRPr="00460F9A">
        <w:t>е</w:t>
      </w:r>
      <w:r w:rsidRPr="00460F9A">
        <w:t>ст</w:t>
      </w:r>
      <w:r>
        <w:t xml:space="preserve">ва </w:t>
      </w:r>
      <w:r w:rsidRPr="00460F9A">
        <w:t xml:space="preserve">в целом. Тот факт, что они рассматриваются в качестве "опасных", не означает, что </w:t>
      </w:r>
      <w:r>
        <w:t>можно</w:t>
      </w:r>
      <w:r w:rsidRPr="00460F9A">
        <w:t xml:space="preserve"> огранич</w:t>
      </w:r>
      <w:r>
        <w:t>ивать</w:t>
      </w:r>
      <w:r w:rsidRPr="00460F9A">
        <w:t xml:space="preserve"> их свобо</w:t>
      </w:r>
      <w:r>
        <w:t xml:space="preserve">ду </w:t>
      </w:r>
      <w:r w:rsidRPr="00460F9A">
        <w:t>до такой степени, которая была бы равнозначна пытке или бесчеловечному обращ</w:t>
      </w:r>
      <w:r w:rsidRPr="00460F9A">
        <w:t>е</w:t>
      </w:r>
      <w:r w:rsidRPr="00460F9A">
        <w:t>нию;</w:t>
      </w:r>
    </w:p>
    <w:p w:rsidR="001F700A" w:rsidRPr="00460F9A" w:rsidRDefault="001F700A" w:rsidP="001F700A">
      <w:pPr>
        <w:pStyle w:val="Bullet1GR"/>
        <w:numPr>
          <w:ilvl w:val="0"/>
          <w:numId w:val="1"/>
        </w:numPr>
      </w:pPr>
      <w:r w:rsidRPr="00460F9A">
        <w:t>ППП положительно оценивает широкий и прогрессивный подход КПП, который об</w:t>
      </w:r>
      <w:r>
        <w:t xml:space="preserve">ратил внимание на то, "что </w:t>
      </w:r>
      <w:r w:rsidRPr="00460F9A">
        <w:t>различные концепции "опасности для общества" (конкретно упомянутые в законодательстве), криминал</w:t>
      </w:r>
      <w:r w:rsidRPr="00460F9A">
        <w:t>ь</w:t>
      </w:r>
      <w:r w:rsidRPr="00460F9A">
        <w:t>ная опасность (риск рецидивизма) и психиатрическая опасность (связа</w:t>
      </w:r>
      <w:r w:rsidRPr="00460F9A">
        <w:t>н</w:t>
      </w:r>
      <w:r w:rsidRPr="00460F9A">
        <w:t xml:space="preserve">ная с умственной патологией) […] </w:t>
      </w:r>
      <w:r>
        <w:t>допускают</w:t>
      </w:r>
      <w:r w:rsidRPr="00460F9A">
        <w:t xml:space="preserve"> весьма широкие, субъе</w:t>
      </w:r>
      <w:r w:rsidRPr="00460F9A">
        <w:t>к</w:t>
      </w:r>
      <w:r w:rsidRPr="00460F9A">
        <w:t>тивные интерпретации, […]"</w:t>
      </w:r>
      <w:r w:rsidRPr="00460F9A">
        <w:rPr>
          <w:vertAlign w:val="superscript"/>
        </w:rPr>
        <w:footnoteReference w:id="6"/>
      </w:r>
      <w:r w:rsidRPr="00460F9A">
        <w:t xml:space="preserve">. ППП вновь повторяет, что лиц, лишенных свободы, следует </w:t>
      </w:r>
      <w:r>
        <w:t>помещать в одиночное заключение</w:t>
      </w:r>
      <w:r w:rsidRPr="00460F9A">
        <w:t xml:space="preserve"> только </w:t>
      </w:r>
      <w:r>
        <w:t xml:space="preserve">в крайнем случае, и такая мера должна </w:t>
      </w:r>
      <w:r w:rsidRPr="00460F9A">
        <w:t>быть времен</w:t>
      </w:r>
      <w:r>
        <w:t>ной</w:t>
      </w:r>
      <w:r w:rsidRPr="00460F9A">
        <w:t xml:space="preserve">, </w:t>
      </w:r>
      <w:r>
        <w:t xml:space="preserve">должна применяться </w:t>
      </w:r>
      <w:r w:rsidRPr="00460F9A">
        <w:t xml:space="preserve">под врачебным </w:t>
      </w:r>
      <w:r>
        <w:t xml:space="preserve">контролем </w:t>
      </w:r>
      <w:r w:rsidRPr="00460F9A">
        <w:t xml:space="preserve">и </w:t>
      </w:r>
      <w:r>
        <w:t xml:space="preserve">должна </w:t>
      </w:r>
      <w:r w:rsidRPr="00460F9A">
        <w:t xml:space="preserve">подлежать </w:t>
      </w:r>
      <w:r>
        <w:t>пересмотру</w:t>
      </w:r>
      <w:r w:rsidRPr="00460F9A">
        <w:t>. ППП предлагает внести в МСП измене</w:t>
      </w:r>
      <w:r>
        <w:t>ния,</w:t>
      </w:r>
      <w:r w:rsidRPr="00460F9A">
        <w:t xml:space="preserve"> отража</w:t>
      </w:r>
      <w:r>
        <w:t>ющие</w:t>
      </w:r>
      <w:r w:rsidRPr="00460F9A">
        <w:t>:</w:t>
      </w:r>
    </w:p>
    <w:p w:rsidR="001F700A" w:rsidRPr="00460F9A" w:rsidRDefault="001F700A" w:rsidP="001F700A">
      <w:pPr>
        <w:pStyle w:val="SingleTxtGR"/>
        <w:ind w:left="2268"/>
      </w:pPr>
      <w:r w:rsidRPr="00460F9A">
        <w:t>а)</w:t>
      </w:r>
      <w:r w:rsidRPr="00460F9A">
        <w:tab/>
      </w:r>
      <w:r>
        <w:t>необходимость допущения</w:t>
      </w:r>
      <w:r w:rsidRPr="00460F9A">
        <w:t xml:space="preserve"> </w:t>
      </w:r>
      <w:r>
        <w:t>социальных контактов в интер</w:t>
      </w:r>
      <w:r>
        <w:t>е</w:t>
      </w:r>
      <w:r>
        <w:t>сах</w:t>
      </w:r>
      <w:r w:rsidRPr="00460F9A">
        <w:t xml:space="preserve"> лиц, которые могут представлять опасность для своей безопа</w:t>
      </w:r>
      <w:r w:rsidRPr="00460F9A">
        <w:t>с</w:t>
      </w:r>
      <w:r w:rsidRPr="00460F9A">
        <w:t xml:space="preserve">ности или для безопасности других лиц. Социальные контакты не должны запрещаться, поскольку </w:t>
      </w:r>
      <w:r>
        <w:t xml:space="preserve">на самом деле </w:t>
      </w:r>
      <w:r w:rsidRPr="00460F9A">
        <w:t>отмечалось, что н</w:t>
      </w:r>
      <w:r w:rsidRPr="00460F9A">
        <w:t>е</w:t>
      </w:r>
      <w:r w:rsidRPr="00460F9A">
        <w:t>которые заключенные могут даже частично утратить способность говорить после провед</w:t>
      </w:r>
      <w:r w:rsidRPr="00460F9A">
        <w:t>е</w:t>
      </w:r>
      <w:r w:rsidRPr="00460F9A">
        <w:t>ния многих лет в изоляции;</w:t>
      </w:r>
    </w:p>
    <w:p w:rsidR="001F700A" w:rsidRPr="00460F9A" w:rsidRDefault="001F700A" w:rsidP="001F700A">
      <w:pPr>
        <w:pStyle w:val="SingleTxtGR"/>
        <w:ind w:left="2268"/>
      </w:pPr>
      <w:r w:rsidRPr="00460F9A">
        <w:rPr>
          <w:lang w:val="en-US"/>
        </w:rPr>
        <w:t>b</w:t>
      </w:r>
      <w:r w:rsidRPr="00460F9A">
        <w:t>)</w:t>
      </w:r>
      <w:r w:rsidRPr="00460F9A">
        <w:tab/>
      </w:r>
      <w:r>
        <w:t>необходимость применения мер</w:t>
      </w:r>
      <w:r w:rsidRPr="00460F9A">
        <w:t xml:space="preserve"> безопасности только в той </w:t>
      </w:r>
      <w:r>
        <w:t>мере</w:t>
      </w:r>
      <w:r w:rsidRPr="00460F9A">
        <w:t xml:space="preserve">, насколько это оправдано (т.е. в </w:t>
      </w:r>
      <w:r>
        <w:t xml:space="preserve">требуемой </w:t>
      </w:r>
      <w:r w:rsidRPr="00460F9A">
        <w:t>степени и пропо</w:t>
      </w:r>
      <w:r w:rsidRPr="00460F9A">
        <w:t>р</w:t>
      </w:r>
      <w:r w:rsidRPr="00460F9A">
        <w:t xml:space="preserve">ционально) и разумно </w:t>
      </w:r>
      <w:r>
        <w:t>с учетом</w:t>
      </w:r>
      <w:r w:rsidRPr="00460F9A">
        <w:t xml:space="preserve"> положения, в котором находится соответствующее лицо;</w:t>
      </w:r>
    </w:p>
    <w:p w:rsidR="001F700A" w:rsidRPr="00460F9A" w:rsidRDefault="001F700A" w:rsidP="001F700A">
      <w:pPr>
        <w:pStyle w:val="SingleTxtGR"/>
        <w:ind w:left="2268"/>
      </w:pPr>
      <w:r w:rsidRPr="00460F9A">
        <w:t>с)</w:t>
      </w:r>
      <w:r w:rsidRPr="00460F9A">
        <w:tab/>
      </w:r>
      <w:r>
        <w:t>необходимость</w:t>
      </w:r>
      <w:r w:rsidRPr="00460F9A">
        <w:t xml:space="preserve"> периодиче</w:t>
      </w:r>
      <w:r>
        <w:t>ского пересмотра статуса конкре</w:t>
      </w:r>
      <w:r>
        <w:t>т</w:t>
      </w:r>
      <w:r>
        <w:t>ного лица в качестве "опасного заключенного"</w:t>
      </w:r>
      <w:r w:rsidRPr="00460F9A">
        <w:t>.</w:t>
      </w:r>
    </w:p>
    <w:p w:rsidR="001F700A" w:rsidRPr="00460F9A" w:rsidRDefault="001F700A" w:rsidP="001F700A">
      <w:pPr>
        <w:pStyle w:val="H1GR"/>
      </w:pPr>
      <w:r w:rsidRPr="00C172CA">
        <w:tab/>
      </w:r>
      <w:r w:rsidRPr="00460F9A">
        <w:rPr>
          <w:lang w:val="en-US"/>
        </w:rPr>
        <w:t>D</w:t>
      </w:r>
      <w:r w:rsidRPr="00460F9A">
        <w:t>.</w:t>
      </w:r>
      <w:r w:rsidRPr="00460F9A">
        <w:tab/>
        <w:t>Прочие вопросы</w:t>
      </w:r>
    </w:p>
    <w:p w:rsidR="001F700A" w:rsidRPr="00460F9A" w:rsidRDefault="001F700A" w:rsidP="001F700A">
      <w:pPr>
        <w:pStyle w:val="H23GR"/>
      </w:pPr>
      <w:r>
        <w:rPr>
          <w:lang w:val="en-US"/>
        </w:rPr>
        <w:tab/>
      </w:r>
      <w:r>
        <w:t>1.</w:t>
      </w:r>
      <w:r>
        <w:tab/>
        <w:t>Независимое</w:t>
      </w:r>
      <w:r w:rsidRPr="00460F9A">
        <w:t xml:space="preserve"> инспек</w:t>
      </w:r>
      <w:r>
        <w:t>тирование</w:t>
      </w:r>
    </w:p>
    <w:p w:rsidR="00A94E45" w:rsidRPr="00A43445" w:rsidRDefault="001F700A" w:rsidP="00A94E45">
      <w:pPr>
        <w:pStyle w:val="SingleTxtGR"/>
      </w:pPr>
      <w:r w:rsidRPr="00460F9A">
        <w:t>16.</w:t>
      </w:r>
      <w:r w:rsidRPr="00460F9A">
        <w:tab/>
        <w:t xml:space="preserve">Задержанные </w:t>
      </w:r>
      <w:r>
        <w:t xml:space="preserve">лица </w:t>
      </w:r>
      <w:r w:rsidRPr="00460F9A">
        <w:t>являются уязвимыми в силу самого факта их содерж</w:t>
      </w:r>
      <w:r w:rsidRPr="00460F9A">
        <w:t>а</w:t>
      </w:r>
      <w:r w:rsidRPr="00460F9A">
        <w:t xml:space="preserve">ния под стражей. Соответственно, следует установить </w:t>
      </w:r>
      <w:r>
        <w:t>максимально возможно</w:t>
      </w:r>
      <w:r>
        <w:t>е</w:t>
      </w:r>
      <w:r>
        <w:t xml:space="preserve"> </w:t>
      </w:r>
      <w:r w:rsidRPr="00460F9A">
        <w:t xml:space="preserve">количество гарантий в отношении </w:t>
      </w:r>
      <w:r>
        <w:t xml:space="preserve">тюремного </w:t>
      </w:r>
      <w:r w:rsidRPr="00460F9A">
        <w:t xml:space="preserve">заключения. Ревизии тюрем со стороны </w:t>
      </w:r>
      <w:r>
        <w:t>публичных</w:t>
      </w:r>
      <w:r w:rsidRPr="00460F9A">
        <w:t xml:space="preserve"> учреждений, таких как национальные превентивные мех</w:t>
      </w:r>
      <w:r w:rsidRPr="00460F9A">
        <w:t>а</w:t>
      </w:r>
      <w:r w:rsidRPr="00460F9A">
        <w:t xml:space="preserve">низмы (НПМ), </w:t>
      </w:r>
      <w:r>
        <w:t>управления омбудсмена</w:t>
      </w:r>
      <w:r w:rsidRPr="00460F9A">
        <w:t xml:space="preserve"> и другие</w:t>
      </w:r>
      <w:r>
        <w:t xml:space="preserve"> институты</w:t>
      </w:r>
      <w:r w:rsidRPr="00460F9A">
        <w:t>, включая междун</w:t>
      </w:r>
      <w:r w:rsidRPr="00460F9A">
        <w:t>а</w:t>
      </w:r>
      <w:r w:rsidRPr="00460F9A">
        <w:t>родные организации, имеют критически важное значение. Кроме того, тюрьмы должны быть открытыми для общест</w:t>
      </w:r>
      <w:r>
        <w:t>венного контроля, осуществляемого</w:t>
      </w:r>
      <w:r w:rsidRPr="00460F9A">
        <w:t xml:space="preserve"> гра</w:t>
      </w:r>
      <w:r w:rsidRPr="00460F9A">
        <w:t>ж</w:t>
      </w:r>
      <w:r w:rsidRPr="00460F9A">
        <w:t>данск</w:t>
      </w:r>
      <w:r>
        <w:t xml:space="preserve">им </w:t>
      </w:r>
      <w:r w:rsidRPr="00460F9A">
        <w:t>обще</w:t>
      </w:r>
      <w:r>
        <w:t>ством</w:t>
      </w:r>
      <w:r w:rsidRPr="00460F9A">
        <w:t xml:space="preserve">. Этого можно достичь путем обеспечения более высокой степени </w:t>
      </w:r>
      <w:proofErr w:type="spellStart"/>
      <w:r w:rsidRPr="00460F9A">
        <w:t>транспарентности</w:t>
      </w:r>
      <w:proofErr w:type="spellEnd"/>
      <w:r w:rsidRPr="00460F9A">
        <w:t xml:space="preserve"> в тюрьмах и </w:t>
      </w:r>
      <w:r>
        <w:t xml:space="preserve">в </w:t>
      </w:r>
      <w:r w:rsidRPr="00460F9A">
        <w:t>систе</w:t>
      </w:r>
      <w:r>
        <w:t xml:space="preserve">ме </w:t>
      </w:r>
      <w:r w:rsidRPr="00460F9A">
        <w:t>уголовного правосудия. Ра</w:t>
      </w:r>
      <w:r w:rsidRPr="00460F9A">
        <w:t>з</w:t>
      </w:r>
      <w:r w:rsidRPr="00460F9A">
        <w:t xml:space="preserve">личные </w:t>
      </w:r>
      <w:r>
        <w:t>схемы</w:t>
      </w:r>
      <w:r w:rsidRPr="00460F9A">
        <w:t xml:space="preserve"> посещений следует рассматривать в качестве допо</w:t>
      </w:r>
      <w:r w:rsidRPr="00460F9A">
        <w:t>л</w:t>
      </w:r>
      <w:r w:rsidRPr="00460F9A">
        <w:t>няющих друг друга и не являющихся взаимоисключающими. Государствам сл</w:t>
      </w:r>
      <w:r w:rsidRPr="00460F9A">
        <w:t>е</w:t>
      </w:r>
      <w:r w:rsidRPr="00460F9A">
        <w:t xml:space="preserve">дует поощрять и продвигать деятельность независимых надзорных органов с целью проверки условий содержания заключенных и </w:t>
      </w:r>
      <w:r>
        <w:t xml:space="preserve">порядка </w:t>
      </w:r>
      <w:r w:rsidRPr="00460F9A">
        <w:t>обращения с ними.</w:t>
      </w:r>
      <w:r w:rsidR="00A94E45">
        <w:t xml:space="preserve"> </w:t>
      </w:r>
      <w:r w:rsidR="00A94E45" w:rsidRPr="00A43445">
        <w:t>Таки</w:t>
      </w:r>
      <w:r w:rsidR="00A94E45">
        <w:t>е</w:t>
      </w:r>
      <w:r w:rsidR="00A94E45" w:rsidRPr="00A43445">
        <w:t xml:space="preserve"> надзо</w:t>
      </w:r>
      <w:r w:rsidR="00A94E45" w:rsidRPr="00A43445">
        <w:t>р</w:t>
      </w:r>
      <w:r w:rsidR="00A94E45" w:rsidRPr="00A43445">
        <w:t>ны</w:t>
      </w:r>
      <w:r w:rsidR="00A94E45">
        <w:t>е</w:t>
      </w:r>
      <w:r w:rsidR="00A94E45" w:rsidRPr="00A43445">
        <w:t xml:space="preserve"> орган</w:t>
      </w:r>
      <w:r w:rsidR="00A94E45">
        <w:t>ы</w:t>
      </w:r>
      <w:r w:rsidR="00A94E45" w:rsidRPr="00A43445">
        <w:t xml:space="preserve"> следует </w:t>
      </w:r>
      <w:r w:rsidR="00A94E45">
        <w:t>наделять</w:t>
      </w:r>
      <w:r w:rsidR="00A94E45" w:rsidRPr="00A43445">
        <w:t xml:space="preserve"> мандат</w:t>
      </w:r>
      <w:r w:rsidR="00A94E45">
        <w:t>ом</w:t>
      </w:r>
      <w:r w:rsidR="00A94E45" w:rsidRPr="00A43445">
        <w:t xml:space="preserve">, который предоставлял бы им </w:t>
      </w:r>
      <w:r w:rsidR="00A94E45">
        <w:t>беспр</w:t>
      </w:r>
      <w:r w:rsidR="00A94E45">
        <w:t>е</w:t>
      </w:r>
      <w:r w:rsidR="00A94E45">
        <w:t>пятственный</w:t>
      </w:r>
      <w:r w:rsidR="00A94E45" w:rsidRPr="00A43445">
        <w:t xml:space="preserve"> доступ к тюремным учреждениям, а также </w:t>
      </w:r>
      <w:r w:rsidR="00A94E45">
        <w:t>позволял бы</w:t>
      </w:r>
      <w:r w:rsidR="00A94E45" w:rsidRPr="00A43445">
        <w:t xml:space="preserve"> общаться с заключенными в конфиденциальном порядке. Независимые надзо</w:t>
      </w:r>
      <w:r w:rsidR="00A94E45" w:rsidRPr="00A43445">
        <w:t>р</w:t>
      </w:r>
      <w:r w:rsidR="00A94E45" w:rsidRPr="00A43445">
        <w:t xml:space="preserve">ные органы также должны иметь возможность информировать о результатах своей </w:t>
      </w:r>
      <w:r w:rsidR="00A94E45">
        <w:t>работы</w:t>
      </w:r>
      <w:r w:rsidR="00A94E45" w:rsidRPr="00A43445">
        <w:t xml:space="preserve"> государственные </w:t>
      </w:r>
      <w:r w:rsidR="00A94E45">
        <w:t>власти</w:t>
      </w:r>
      <w:r w:rsidR="00A94E45" w:rsidRPr="00A43445">
        <w:t>, ответственные за функционирование тюремной сист</w:t>
      </w:r>
      <w:r w:rsidR="00A94E45" w:rsidRPr="00A43445">
        <w:t>е</w:t>
      </w:r>
      <w:r w:rsidR="00A94E45" w:rsidRPr="00A43445">
        <w:t>мы, а также общественность в ц</w:t>
      </w:r>
      <w:r w:rsidR="00A94E45" w:rsidRPr="00A43445">
        <w:t>е</w:t>
      </w:r>
      <w:r w:rsidR="00A94E45" w:rsidRPr="00A43445">
        <w:t>лом.</w:t>
      </w:r>
    </w:p>
    <w:p w:rsidR="00A94E45" w:rsidRPr="00A43445" w:rsidRDefault="00A94E45" w:rsidP="00A94E45">
      <w:pPr>
        <w:pStyle w:val="SingleTxtGR"/>
      </w:pPr>
      <w:r w:rsidRPr="00A43445">
        <w:t>17.</w:t>
      </w:r>
      <w:r w:rsidRPr="00A43445">
        <w:tab/>
        <w:t xml:space="preserve">ППП следует также обратить внимание на различия в </w:t>
      </w:r>
      <w:r>
        <w:t>мониторинговой деятельности</w:t>
      </w:r>
      <w:r w:rsidRPr="00A43445">
        <w:t xml:space="preserve"> различных надзорных механизмов, в том числе и </w:t>
      </w:r>
      <w:r>
        <w:t xml:space="preserve">на </w:t>
      </w:r>
      <w:r w:rsidRPr="00A43445">
        <w:t>те, которые вытекают из их компетенции и возможностей, что приводит к использованию разных подходов. Например, посещени</w:t>
      </w:r>
      <w:r>
        <w:t>я</w:t>
      </w:r>
      <w:r w:rsidRPr="00A43445">
        <w:t xml:space="preserve"> представителя НПМ или </w:t>
      </w:r>
      <w:r>
        <w:t>омбудсмена (независимо от того, что в некоторых государствах омбудсмен выполняет фун</w:t>
      </w:r>
      <w:r>
        <w:t>к</w:t>
      </w:r>
      <w:r>
        <w:t>ции НПМ) могут иметь различный характер; например, посещение может н</w:t>
      </w:r>
      <w:r>
        <w:t>о</w:t>
      </w:r>
      <w:r>
        <w:t>сить предупредительный характер или проводиться для расследования жалобы. Посещение судьей следует рассматривать уже как имеющее совсем иной хара</w:t>
      </w:r>
      <w:r>
        <w:t>к</w:t>
      </w:r>
      <w:r>
        <w:t>тер. Роль судей не состоит в выяснении бытовых условий или других связанных с содержанием под стражей аспектов в разрезе предупреждения. Вместо этого судья может посетить тюрьму, чтобы получить информацию, которая поможет ему или ей принять решение по делу или жалобе. Возложение на судей</w:t>
      </w:r>
      <w:r w:rsidRPr="00A43445">
        <w:t xml:space="preserve"> надзо</w:t>
      </w:r>
      <w:r w:rsidRPr="00A43445">
        <w:t>р</w:t>
      </w:r>
      <w:r w:rsidRPr="00A43445">
        <w:t xml:space="preserve">ных функций, которые приводят к </w:t>
      </w:r>
      <w:r>
        <w:t>высказыванию</w:t>
      </w:r>
      <w:r w:rsidRPr="00A43445">
        <w:t xml:space="preserve"> рекомендаций (превентивного характера), может оказать пагубное воздействие на их роль в вынесении реш</w:t>
      </w:r>
      <w:r w:rsidRPr="00A43445">
        <w:t>е</w:t>
      </w:r>
      <w:r w:rsidRPr="00A43445">
        <w:t>ния по делу.</w:t>
      </w:r>
    </w:p>
    <w:p w:rsidR="00A94E45" w:rsidRPr="00A43445" w:rsidRDefault="00A94E45" w:rsidP="00A94E45">
      <w:pPr>
        <w:pStyle w:val="H23GR"/>
      </w:pPr>
      <w:r>
        <w:tab/>
      </w:r>
      <w:r w:rsidRPr="00A43445">
        <w:t>2.</w:t>
      </w:r>
      <w:r w:rsidRPr="00A43445">
        <w:tab/>
        <w:t>Предупреждение пыток</w:t>
      </w:r>
    </w:p>
    <w:p w:rsidR="00A94E45" w:rsidRPr="00A43445" w:rsidRDefault="00A94E45" w:rsidP="00A94E45">
      <w:pPr>
        <w:pStyle w:val="SingleTxtGR"/>
      </w:pPr>
      <w:r w:rsidRPr="00A43445">
        <w:t>18.</w:t>
      </w:r>
      <w:r w:rsidRPr="00A43445">
        <w:tab/>
        <w:t>Некоторые положения МСП следует использовать конкретно для пред</w:t>
      </w:r>
      <w:r w:rsidRPr="00A43445">
        <w:t>у</w:t>
      </w:r>
      <w:r w:rsidRPr="00A43445">
        <w:t>преждения пыток и другого жестокого обращения. Следует вводить меры, с п</w:t>
      </w:r>
      <w:r w:rsidRPr="00A43445">
        <w:t>о</w:t>
      </w:r>
      <w:r w:rsidRPr="00A43445">
        <w:t>мощью которых телесные повреждения и жалобы могли бы регистрироваться квалифицированным врачом при поступлении заключенного в тюрьму</w:t>
      </w:r>
      <w:r>
        <w:t>, а также</w:t>
      </w:r>
      <w:r w:rsidRPr="00A43445">
        <w:t xml:space="preserve"> когда в отношении таких телесных повреждений или утверждений </w:t>
      </w:r>
      <w:r>
        <w:t xml:space="preserve">о жестоком обращении </w:t>
      </w:r>
      <w:r w:rsidRPr="00A43445">
        <w:t xml:space="preserve">поступают жалобы или же они </w:t>
      </w:r>
      <w:r>
        <w:t>фактически выявляются</w:t>
      </w:r>
      <w:r w:rsidRPr="00A43445">
        <w:t xml:space="preserve">. </w:t>
      </w:r>
      <w:r>
        <w:t xml:space="preserve">В случаях выявления </w:t>
      </w:r>
      <w:r w:rsidRPr="00A43445">
        <w:t xml:space="preserve">телесных повреждений или подачи жалобы на жестокое обращение тюремному персоналу следует незамедлительно доводить </w:t>
      </w:r>
      <w:r>
        <w:t>эти факты</w:t>
      </w:r>
      <w:r w:rsidRPr="00A43445">
        <w:t xml:space="preserve"> до свед</w:t>
      </w:r>
      <w:r w:rsidRPr="00A43445">
        <w:t>е</w:t>
      </w:r>
      <w:r w:rsidRPr="00A43445">
        <w:t xml:space="preserve">ния </w:t>
      </w:r>
      <w:r>
        <w:t>компетентных</w:t>
      </w:r>
      <w:r w:rsidRPr="00A43445">
        <w:t xml:space="preserve"> органов, ответственных за расследование таких утвержд</w:t>
      </w:r>
      <w:r w:rsidRPr="00A43445">
        <w:t>е</w:t>
      </w:r>
      <w:r w:rsidRPr="00A43445">
        <w:t>ний. Аналогичным образом с этой целью следует обеспечивать доступ к врачу по выбору заключенного (</w:t>
      </w:r>
      <w:r>
        <w:t xml:space="preserve">при вынесении соответствующего решения можно было бы учитывать </w:t>
      </w:r>
      <w:r w:rsidRPr="00A43445">
        <w:t>медицин</w:t>
      </w:r>
      <w:r>
        <w:t>скую</w:t>
      </w:r>
      <w:r w:rsidRPr="00A43445">
        <w:t xml:space="preserve"> специализа</w:t>
      </w:r>
      <w:r>
        <w:t>цию</w:t>
      </w:r>
      <w:r w:rsidRPr="00A43445">
        <w:t xml:space="preserve"> или лично</w:t>
      </w:r>
      <w:r>
        <w:t>сть</w:t>
      </w:r>
      <w:r w:rsidRPr="00A43445">
        <w:t xml:space="preserve"> конкретного врача).</w:t>
      </w:r>
    </w:p>
    <w:p w:rsidR="00A94E45" w:rsidRPr="00A43445" w:rsidRDefault="00A94E45" w:rsidP="00A94E45">
      <w:pPr>
        <w:pStyle w:val="H23GR"/>
      </w:pPr>
      <w:r>
        <w:tab/>
      </w:r>
      <w:r w:rsidRPr="00A43445">
        <w:t>3.</w:t>
      </w:r>
      <w:r w:rsidRPr="00A43445">
        <w:tab/>
        <w:t>Частные тюрьмы</w:t>
      </w:r>
    </w:p>
    <w:p w:rsidR="00A94E45" w:rsidRPr="00A43445" w:rsidRDefault="00A94E45" w:rsidP="00A94E45">
      <w:pPr>
        <w:pStyle w:val="SingleTxtGR"/>
      </w:pPr>
      <w:r w:rsidRPr="00A43445">
        <w:t>19.</w:t>
      </w:r>
      <w:r w:rsidRPr="00A43445">
        <w:tab/>
        <w:t xml:space="preserve">Должно предусматриваться положение, в котором указывалось бы, что нормы МСП применяются в </w:t>
      </w:r>
      <w:r>
        <w:t xml:space="preserve">равной мере как </w:t>
      </w:r>
      <w:r w:rsidRPr="00A43445">
        <w:t xml:space="preserve">к частным тюрьмам, </w:t>
      </w:r>
      <w:r>
        <w:t>так</w:t>
      </w:r>
      <w:r w:rsidRPr="00A43445">
        <w:t xml:space="preserve"> и</w:t>
      </w:r>
      <w:r>
        <w:t xml:space="preserve"> к</w:t>
      </w:r>
      <w:r w:rsidRPr="00A43445">
        <w:t xml:space="preserve"> тюр</w:t>
      </w:r>
      <w:r w:rsidRPr="00A43445">
        <w:t>ь</w:t>
      </w:r>
      <w:r w:rsidRPr="00A43445">
        <w:t xml:space="preserve">мам, находящимся </w:t>
      </w:r>
      <w:r>
        <w:t>в ведении государства</w:t>
      </w:r>
      <w:r w:rsidRPr="00A43445">
        <w:t xml:space="preserve">. Частные тюрьмы следует подвергать специальным проверкам со стороны НПМ или других независимых органов, таких как </w:t>
      </w:r>
      <w:r>
        <w:t>управление омбудсмена</w:t>
      </w:r>
      <w:r w:rsidRPr="00A43445">
        <w:t xml:space="preserve"> или парламентская комиссия. Это положение должно быть четко прописано в МСП.</w:t>
      </w:r>
    </w:p>
    <w:p w:rsidR="00A94E45" w:rsidRPr="00A43445" w:rsidRDefault="00A94E45" w:rsidP="00A94E45">
      <w:pPr>
        <w:pStyle w:val="H23GR"/>
      </w:pPr>
      <w:r>
        <w:tab/>
      </w:r>
      <w:r w:rsidRPr="00A43445">
        <w:t>4.</w:t>
      </w:r>
      <w:r w:rsidRPr="00A43445">
        <w:tab/>
        <w:t>Замена устаревш</w:t>
      </w:r>
      <w:r>
        <w:t>их</w:t>
      </w:r>
      <w:r w:rsidRPr="00A43445">
        <w:t xml:space="preserve"> терминологи</w:t>
      </w:r>
      <w:r>
        <w:t>й</w:t>
      </w:r>
      <w:r w:rsidRPr="00A43445">
        <w:t>/концепций</w:t>
      </w:r>
    </w:p>
    <w:p w:rsidR="00A94E45" w:rsidRPr="00A43445" w:rsidRDefault="00A94E45" w:rsidP="00A94E45">
      <w:pPr>
        <w:pStyle w:val="SingleTxtGR"/>
      </w:pPr>
      <w:r w:rsidRPr="00A43445">
        <w:t>20.</w:t>
      </w:r>
      <w:r w:rsidRPr="00A43445">
        <w:tab/>
        <w:t xml:space="preserve">Следует полностью отказаться </w:t>
      </w:r>
      <w:r>
        <w:t>от использования</w:t>
      </w:r>
      <w:r w:rsidRPr="00A43445">
        <w:t xml:space="preserve"> концепций и терминов, которые отражают подход к заключенным как клиническим пациентам или об</w:t>
      </w:r>
      <w:r w:rsidRPr="00A43445">
        <w:t>ъ</w:t>
      </w:r>
      <w:r w:rsidRPr="00A43445">
        <w:t xml:space="preserve">ектам лечения или реабилитации. Вместо этого следует применять </w:t>
      </w:r>
      <w:r>
        <w:t>правозащи</w:t>
      </w:r>
      <w:r>
        <w:t>т</w:t>
      </w:r>
      <w:r>
        <w:t xml:space="preserve">ный </w:t>
      </w:r>
      <w:r w:rsidRPr="00A43445">
        <w:t>подход</w:t>
      </w:r>
      <w:r>
        <w:t>, строящийся</w:t>
      </w:r>
      <w:r w:rsidRPr="00A43445">
        <w:t xml:space="preserve"> на подотчетности, правах, обязанностях и </w:t>
      </w:r>
      <w:r>
        <w:t xml:space="preserve">надлежащих процессуальных нормах, и он должен пронизывать, например, </w:t>
      </w:r>
      <w:r w:rsidRPr="00A43445">
        <w:t>терминологи</w:t>
      </w:r>
      <w:r>
        <w:t>ю</w:t>
      </w:r>
      <w:r w:rsidRPr="00A43445">
        <w:t>, касающ</w:t>
      </w:r>
      <w:r>
        <w:t>ую</w:t>
      </w:r>
      <w:r w:rsidRPr="00A43445">
        <w:t xml:space="preserve">ся </w:t>
      </w:r>
      <w:r>
        <w:t>лиц с умственными недостатками</w:t>
      </w:r>
      <w:r w:rsidRPr="00A43445">
        <w:t>.</w:t>
      </w:r>
    </w:p>
    <w:p w:rsidR="00A94E45" w:rsidRPr="00A43445" w:rsidRDefault="00A94E45" w:rsidP="00A94E45">
      <w:pPr>
        <w:pStyle w:val="SingleTxtGR"/>
      </w:pPr>
      <w:r w:rsidRPr="00A43445">
        <w:t>21.</w:t>
      </w:r>
      <w:r w:rsidRPr="00A43445">
        <w:tab/>
        <w:t>В основе решений</w:t>
      </w:r>
      <w:r>
        <w:t xml:space="preserve">, связанных с выбором пенитенциарного учреждения и камеры </w:t>
      </w:r>
      <w:r w:rsidRPr="00A43445">
        <w:t>для содержания отдельного закл</w:t>
      </w:r>
      <w:r w:rsidRPr="00A43445">
        <w:t>ю</w:t>
      </w:r>
      <w:r w:rsidRPr="00A43445">
        <w:t>ченного</w:t>
      </w:r>
      <w:r>
        <w:t>,</w:t>
      </w:r>
      <w:r w:rsidRPr="00A43445">
        <w:t xml:space="preserve"> должны лежать</w:t>
      </w:r>
      <w:r>
        <w:t xml:space="preserve"> н</w:t>
      </w:r>
      <w:r w:rsidRPr="00A43445">
        <w:t>аблюдени</w:t>
      </w:r>
      <w:r>
        <w:t>е</w:t>
      </w:r>
      <w:r w:rsidRPr="00A43445">
        <w:t xml:space="preserve"> за поведением в </w:t>
      </w:r>
      <w:r>
        <w:t>период</w:t>
      </w:r>
      <w:r w:rsidRPr="00A43445">
        <w:t xml:space="preserve"> содержания под стражей и здра</w:t>
      </w:r>
      <w:r>
        <w:t>вый</w:t>
      </w:r>
      <w:r w:rsidRPr="00A43445">
        <w:t xml:space="preserve"> смыс</w:t>
      </w:r>
      <w:r>
        <w:t>л</w:t>
      </w:r>
      <w:r w:rsidRPr="00A43445">
        <w:t xml:space="preserve"> с учетом объективных фактов. В этом отношении неуместным является подход</w:t>
      </w:r>
      <w:r>
        <w:t>, предл</w:t>
      </w:r>
      <w:r>
        <w:t>а</w:t>
      </w:r>
      <w:r>
        <w:t>гающий</w:t>
      </w:r>
      <w:r w:rsidRPr="00A43445">
        <w:t xml:space="preserve"> отне</w:t>
      </w:r>
      <w:r>
        <w:t>сение</w:t>
      </w:r>
      <w:r w:rsidRPr="00A43445">
        <w:t xml:space="preserve"> заключенн</w:t>
      </w:r>
      <w:r w:rsidRPr="00A43445">
        <w:t>о</w:t>
      </w:r>
      <w:r w:rsidRPr="00A43445">
        <w:t xml:space="preserve">го к какой-либо конкретной группе. </w:t>
      </w:r>
    </w:p>
    <w:p w:rsidR="00A94E45" w:rsidRPr="00A43445" w:rsidRDefault="00A94E45" w:rsidP="00A94E45">
      <w:pPr>
        <w:pStyle w:val="SingleTxtGR"/>
      </w:pPr>
      <w:r w:rsidRPr="00A43445">
        <w:t>22.</w:t>
      </w:r>
      <w:r w:rsidRPr="00A43445">
        <w:tab/>
        <w:t xml:space="preserve">Следует избегать </w:t>
      </w:r>
      <w:r>
        <w:t>допущений</w:t>
      </w:r>
      <w:r w:rsidRPr="00A43445">
        <w:t xml:space="preserve"> о том, что у лиц, осужденных за совершение преступлений, отсутствует самоуважение или чувство ответственности и что им необходимо демонстрировать достигнутый прогресс или же что их иным обр</w:t>
      </w:r>
      <w:r w:rsidRPr="00A43445">
        <w:t>а</w:t>
      </w:r>
      <w:r w:rsidRPr="00A43445">
        <w:t>зом следует оценивать исходя из патологических факторов.</w:t>
      </w:r>
    </w:p>
    <w:p w:rsidR="00A94E45" w:rsidRPr="00A43445" w:rsidRDefault="00A94E45" w:rsidP="00A94E45">
      <w:pPr>
        <w:pStyle w:val="SingleTxtGR"/>
      </w:pPr>
      <w:r w:rsidRPr="00A43445">
        <w:t>23.</w:t>
      </w:r>
      <w:r w:rsidRPr="00A43445">
        <w:tab/>
        <w:t>Следует подчеркнуть, что</w:t>
      </w:r>
      <w:r>
        <w:t>, хотя</w:t>
      </w:r>
      <w:r w:rsidRPr="00A43445">
        <w:t xml:space="preserve"> в некоторых государствах тюрьмы не ра</w:t>
      </w:r>
      <w:r w:rsidRPr="00A43445">
        <w:t>с</w:t>
      </w:r>
      <w:r w:rsidRPr="00A43445">
        <w:t xml:space="preserve">сматриваются в качестве части системы уголовного правосудия (например, они не </w:t>
      </w:r>
      <w:r>
        <w:t>находятся в ведении судебных</w:t>
      </w:r>
      <w:r w:rsidRPr="00A43445">
        <w:t xml:space="preserve"> орган</w:t>
      </w:r>
      <w:r>
        <w:t>ов</w:t>
      </w:r>
      <w:r w:rsidRPr="00A43445">
        <w:t xml:space="preserve"> и </w:t>
      </w:r>
      <w:r>
        <w:t>обеспечением их функциониров</w:t>
      </w:r>
      <w:r>
        <w:t>а</w:t>
      </w:r>
      <w:r>
        <w:t xml:space="preserve">ния занимаются </w:t>
      </w:r>
      <w:r w:rsidRPr="00A43445">
        <w:t>вспомогатель</w:t>
      </w:r>
      <w:r>
        <w:t>ные</w:t>
      </w:r>
      <w:r w:rsidRPr="00A43445">
        <w:t xml:space="preserve"> административ</w:t>
      </w:r>
      <w:r>
        <w:t>ные</w:t>
      </w:r>
      <w:r w:rsidRPr="00A43445">
        <w:t xml:space="preserve"> </w:t>
      </w:r>
      <w:r>
        <w:t>структуры</w:t>
      </w:r>
      <w:r w:rsidRPr="00A43445">
        <w:t>)</w:t>
      </w:r>
      <w:r>
        <w:t>,</w:t>
      </w:r>
      <w:r w:rsidRPr="00A43445">
        <w:t xml:space="preserve"> </w:t>
      </w:r>
      <w:r>
        <w:t>о</w:t>
      </w:r>
      <w:r w:rsidRPr="00A43445">
        <w:t>ни долж</w:t>
      </w:r>
      <w:r>
        <w:t>ны ис</w:t>
      </w:r>
      <w:r w:rsidRPr="00A43445">
        <w:t xml:space="preserve">полнять судебные решения и вынесенные приговоры, которые наделяют их законной властью для содержания заключенных под стражей. Это означает, что тюрьмы должны работать в рамках </w:t>
      </w:r>
      <w:r>
        <w:t>условий, определяющих</w:t>
      </w:r>
      <w:r w:rsidRPr="00A43445">
        <w:t xml:space="preserve"> их законны</w:t>
      </w:r>
      <w:r>
        <w:t>е</w:t>
      </w:r>
      <w:r w:rsidRPr="00A43445">
        <w:t xml:space="preserve"> по</w:t>
      </w:r>
      <w:r w:rsidRPr="00A43445">
        <w:t>л</w:t>
      </w:r>
      <w:r w:rsidRPr="00A43445">
        <w:t>номочи</w:t>
      </w:r>
      <w:r>
        <w:t>я</w:t>
      </w:r>
      <w:r w:rsidRPr="00A43445">
        <w:t>, действуя в правов</w:t>
      </w:r>
      <w:r>
        <w:t>ом</w:t>
      </w:r>
      <w:r w:rsidRPr="00A43445">
        <w:t xml:space="preserve"> </w:t>
      </w:r>
      <w:r>
        <w:t xml:space="preserve">поле </w:t>
      </w:r>
      <w:r w:rsidRPr="00A43445">
        <w:t>и уважая права человека. Никакие админ</w:t>
      </w:r>
      <w:r w:rsidRPr="00A43445">
        <w:t>и</w:t>
      </w:r>
      <w:r w:rsidRPr="00A43445">
        <w:t>стративные органы не имеют права усугублять тяжесть судебного приговора своими собственными решени</w:t>
      </w:r>
      <w:r w:rsidRPr="00A43445">
        <w:t>я</w:t>
      </w:r>
      <w:r w:rsidRPr="00A43445">
        <w:t>ми.</w:t>
      </w:r>
    </w:p>
    <w:p w:rsidR="00A94E45" w:rsidRPr="00A43445" w:rsidRDefault="00A94E45" w:rsidP="00A94E45">
      <w:pPr>
        <w:pStyle w:val="SingleTxtGR"/>
      </w:pPr>
      <w:r w:rsidRPr="00A43445">
        <w:t>24.</w:t>
      </w:r>
      <w:r w:rsidRPr="00A43445">
        <w:tab/>
        <w:t xml:space="preserve">Следует пересмотреть </w:t>
      </w:r>
      <w:r>
        <w:t>з</w:t>
      </w:r>
      <w:r w:rsidRPr="00A43445">
        <w:t>аявления и выводы, оправдывающие практику урез</w:t>
      </w:r>
      <w:r>
        <w:t>а</w:t>
      </w:r>
      <w:r w:rsidRPr="00A43445">
        <w:t xml:space="preserve"> </w:t>
      </w:r>
      <w:r>
        <w:t>рациона</w:t>
      </w:r>
      <w:r w:rsidRPr="00A43445">
        <w:t xml:space="preserve"> питания заключенного в качестве формы наказания</w:t>
      </w:r>
      <w:r>
        <w:t xml:space="preserve"> независимо от </w:t>
      </w:r>
      <w:r w:rsidRPr="00A43445">
        <w:t>обстоятельст</w:t>
      </w:r>
      <w:r>
        <w:t>в</w:t>
      </w:r>
      <w:r w:rsidRPr="00A43445">
        <w:t>.</w:t>
      </w:r>
    </w:p>
    <w:p w:rsidR="00A94E45" w:rsidRDefault="00A94E45" w:rsidP="00A94E45">
      <w:pPr>
        <w:pStyle w:val="SingleTxtGR"/>
      </w:pPr>
      <w:r w:rsidRPr="00A43445">
        <w:t>25.</w:t>
      </w:r>
      <w:r w:rsidRPr="00A43445">
        <w:tab/>
        <w:t xml:space="preserve">Свобода совести заключенных должна уважаться в любое время. Следует полностью отказаться от личностных исследований, которые были </w:t>
      </w:r>
      <w:r>
        <w:t>проанализ</w:t>
      </w:r>
      <w:r>
        <w:t>и</w:t>
      </w:r>
      <w:r>
        <w:t>рованы</w:t>
      </w:r>
      <w:r w:rsidRPr="00A43445">
        <w:t xml:space="preserve"> МСП, а также </w:t>
      </w:r>
      <w:r>
        <w:t>от любых попыток</w:t>
      </w:r>
      <w:r w:rsidRPr="00A43445">
        <w:t xml:space="preserve"> изменить характер личности лица, с</w:t>
      </w:r>
      <w:r w:rsidRPr="00A43445">
        <w:t>о</w:t>
      </w:r>
      <w:r w:rsidRPr="00A43445">
        <w:t>держащегося под стражей. Вместо этого главное внимание следует уделить у</w:t>
      </w:r>
      <w:r w:rsidRPr="00A43445">
        <w:t>с</w:t>
      </w:r>
      <w:r w:rsidRPr="00A43445">
        <w:t xml:space="preserve">лугам, предоставляемым </w:t>
      </w:r>
      <w:r>
        <w:t xml:space="preserve">соответствующими </w:t>
      </w:r>
      <w:r w:rsidRPr="00A43445">
        <w:t>учреждениями, надлежащему упра</w:t>
      </w:r>
      <w:r w:rsidRPr="00A43445">
        <w:t>в</w:t>
      </w:r>
      <w:r w:rsidRPr="00A43445">
        <w:t>лению и отчетности.</w:t>
      </w:r>
    </w:p>
    <w:p w:rsidR="00A94E45" w:rsidRPr="00D625E1" w:rsidRDefault="00A94E45" w:rsidP="00A94E4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E45" w:rsidRPr="00460F9A" w:rsidRDefault="00A94E45" w:rsidP="001F700A">
      <w:pPr>
        <w:pStyle w:val="SingleTxtGR"/>
      </w:pPr>
    </w:p>
    <w:sectPr w:rsidR="00A94E45" w:rsidRPr="00460F9A" w:rsidSect="00BF6D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33" w:rsidRDefault="00C87933">
      <w:r>
        <w:rPr>
          <w:lang w:val="en-US"/>
        </w:rPr>
        <w:tab/>
      </w:r>
      <w:r>
        <w:separator/>
      </w:r>
    </w:p>
  </w:endnote>
  <w:endnote w:type="continuationSeparator" w:id="0">
    <w:p w:rsidR="00C87933" w:rsidRDefault="00C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3" w:rsidRPr="00CF07B1" w:rsidRDefault="00C87933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40872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3" w:rsidRPr="00121D4A" w:rsidRDefault="00C87933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40872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3" w:rsidRPr="003D5BA7" w:rsidRDefault="00C8793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40872</w:t>
    </w:r>
    <w:r>
      <w:rPr>
        <w:sz w:val="20"/>
        <w:lang w:val="en-US"/>
      </w:rPr>
      <w:t xml:space="preserve">  (R)  150313   280313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33" w:rsidRPr="00F71F63" w:rsidRDefault="00C8793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87933" w:rsidRPr="00F71F63" w:rsidRDefault="00C8793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87933" w:rsidRPr="00635E86" w:rsidRDefault="00C87933" w:rsidP="00635E86">
      <w:pPr>
        <w:pStyle w:val="Footer"/>
      </w:pPr>
    </w:p>
  </w:footnote>
  <w:footnote w:id="1">
    <w:p w:rsidR="00C87933" w:rsidRPr="006A1DEC" w:rsidRDefault="00C87933">
      <w:pPr>
        <w:pStyle w:val="FootnoteText"/>
        <w:rPr>
          <w:sz w:val="20"/>
          <w:lang w:val="ru-RU"/>
        </w:rPr>
      </w:pPr>
      <w:r>
        <w:tab/>
      </w:r>
      <w:r w:rsidRPr="006A1DEC">
        <w:rPr>
          <w:rStyle w:val="FootnoteReference"/>
          <w:sz w:val="20"/>
          <w:vertAlign w:val="baseline"/>
          <w:lang w:val="ru-RU"/>
        </w:rPr>
        <w:t>*</w:t>
      </w:r>
      <w:r w:rsidRPr="006A1DEC">
        <w:rPr>
          <w:lang w:val="ru-RU"/>
        </w:rPr>
        <w:tab/>
        <w:t xml:space="preserve">Настоящий документ </w:t>
      </w:r>
      <w:r>
        <w:rPr>
          <w:lang w:val="ru-RU"/>
        </w:rPr>
        <w:t>до его передачи</w:t>
      </w:r>
      <w:r w:rsidRPr="006A1DEC">
        <w:rPr>
          <w:lang w:val="ru-RU"/>
        </w:rPr>
        <w:t xml:space="preserve"> в службы письменного перевода Организации Объединенных Наций</w:t>
      </w:r>
      <w:r w:rsidRPr="008A160D">
        <w:rPr>
          <w:lang w:val="ru-RU"/>
        </w:rPr>
        <w:t xml:space="preserve"> </w:t>
      </w:r>
      <w:r w:rsidRPr="006A1DEC">
        <w:rPr>
          <w:lang w:val="ru-RU"/>
        </w:rPr>
        <w:t>не редактировался.</w:t>
      </w:r>
    </w:p>
  </w:footnote>
  <w:footnote w:id="2">
    <w:p w:rsidR="00C87933" w:rsidRPr="00CF07B1" w:rsidRDefault="00C8793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F07B1">
        <w:rPr>
          <w:lang w:val="ru-RU"/>
        </w:rPr>
        <w:tab/>
      </w:r>
      <w:r>
        <w:rPr>
          <w:lang w:val="ru-RU"/>
        </w:rPr>
        <w:t>Седьмой Конгресс Организации Объединенных Наций по предупреждению преступности и обращению с правонарушителями, 1985 год.</w:t>
      </w:r>
    </w:p>
  </w:footnote>
  <w:footnote w:id="3">
    <w:p w:rsidR="00C87933" w:rsidRPr="00CF07B1" w:rsidRDefault="00C8793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F07B1">
        <w:rPr>
          <w:lang w:val="ru-RU"/>
        </w:rPr>
        <w:tab/>
      </w:r>
      <w:r>
        <w:rPr>
          <w:lang w:val="ru-RU"/>
        </w:rPr>
        <w:t>Приняты восьмым Конгрессом Организации Объединенных Наций по предупреждению преступности и обращению с правонарушителями (1990 год).</w:t>
      </w:r>
    </w:p>
  </w:footnote>
  <w:footnote w:id="4">
    <w:p w:rsidR="00C87933" w:rsidRPr="00432A22" w:rsidRDefault="00C87933" w:rsidP="006D1D0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432A22">
        <w:rPr>
          <w:lang w:val="ru-RU"/>
        </w:rPr>
        <w:tab/>
      </w:r>
      <w:r w:rsidRPr="000162F0">
        <w:t>CAT</w:t>
      </w:r>
      <w:r w:rsidRPr="006D1D05">
        <w:rPr>
          <w:lang w:val="ru-RU"/>
        </w:rPr>
        <w:t>/</w:t>
      </w:r>
      <w:r w:rsidRPr="000162F0">
        <w:t>OP</w:t>
      </w:r>
      <w:r w:rsidRPr="006D1D05">
        <w:rPr>
          <w:lang w:val="ru-RU"/>
        </w:rPr>
        <w:t>/12/6 (2010).</w:t>
      </w:r>
    </w:p>
  </w:footnote>
  <w:footnote w:id="5">
    <w:p w:rsidR="00C87933" w:rsidRPr="00432A22" w:rsidRDefault="00C87933" w:rsidP="006D1D05">
      <w:pPr>
        <w:pStyle w:val="FootnoteText"/>
        <w:rPr>
          <w:lang w:val="ru-RU"/>
        </w:rPr>
      </w:pPr>
      <w:r w:rsidRPr="00432A22">
        <w:rPr>
          <w:lang w:val="ru-RU"/>
        </w:rPr>
        <w:tab/>
      </w:r>
      <w:r>
        <w:rPr>
          <w:rStyle w:val="FootnoteReference"/>
        </w:rPr>
        <w:footnoteRef/>
      </w:r>
      <w:r w:rsidRPr="00432A22">
        <w:rPr>
          <w:lang w:val="ru-RU"/>
        </w:rPr>
        <w:tab/>
      </w:r>
      <w:r w:rsidRPr="006D1D05">
        <w:rPr>
          <w:lang w:val="ru-RU"/>
        </w:rPr>
        <w:t>Пятый годовой доклад (2011 год).</w:t>
      </w:r>
    </w:p>
  </w:footnote>
  <w:footnote w:id="6">
    <w:p w:rsidR="00C87933" w:rsidRPr="00542B72" w:rsidRDefault="00C87933" w:rsidP="001F700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42B72">
        <w:rPr>
          <w:lang w:val="ru-RU"/>
        </w:rPr>
        <w:tab/>
      </w:r>
      <w:r>
        <w:rPr>
          <w:lang w:val="ru-RU"/>
        </w:rPr>
        <w:t>Доклад о посещении Италии (2008 год), пункт 160.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3" w:rsidRPr="00CF07B1" w:rsidRDefault="00C87933">
    <w:pPr>
      <w:pStyle w:val="Header"/>
      <w:rPr>
        <w:lang w:val="ru-RU"/>
      </w:rPr>
    </w:pPr>
    <w:r>
      <w:rPr>
        <w:lang w:val="en-US"/>
      </w:rPr>
      <w:t>CAT/OP/</w:t>
    </w:r>
    <w:r>
      <w:rPr>
        <w:lang w:val="ru-RU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3" w:rsidRPr="00CF07B1" w:rsidRDefault="00C87933">
    <w:pPr>
      <w:pStyle w:val="Header"/>
      <w:rPr>
        <w:lang w:val="ru-RU"/>
      </w:rPr>
    </w:pPr>
    <w:r>
      <w:rPr>
        <w:lang w:val="en-US"/>
      </w:rPr>
      <w:tab/>
      <w:t>CAT/OP/</w:t>
    </w:r>
    <w:r>
      <w:rPr>
        <w:lang w:val="ru-RU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F9E"/>
    <w:rsid w:val="000033D8"/>
    <w:rsid w:val="00005C1C"/>
    <w:rsid w:val="00016553"/>
    <w:rsid w:val="000233B3"/>
    <w:rsid w:val="00023E9E"/>
    <w:rsid w:val="00026B0C"/>
    <w:rsid w:val="00035C39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ED5"/>
    <w:rsid w:val="000F5D35"/>
    <w:rsid w:val="00117AEE"/>
    <w:rsid w:val="001332C3"/>
    <w:rsid w:val="001463F7"/>
    <w:rsid w:val="0015769C"/>
    <w:rsid w:val="00180752"/>
    <w:rsid w:val="00185076"/>
    <w:rsid w:val="0018543C"/>
    <w:rsid w:val="00190007"/>
    <w:rsid w:val="00190231"/>
    <w:rsid w:val="00192ABD"/>
    <w:rsid w:val="001A75D5"/>
    <w:rsid w:val="001A7D40"/>
    <w:rsid w:val="001D07F7"/>
    <w:rsid w:val="001D7B8F"/>
    <w:rsid w:val="001E48EE"/>
    <w:rsid w:val="001F2D04"/>
    <w:rsid w:val="001F700A"/>
    <w:rsid w:val="0020059C"/>
    <w:rsid w:val="002019BD"/>
    <w:rsid w:val="00203B54"/>
    <w:rsid w:val="00232D42"/>
    <w:rsid w:val="00237334"/>
    <w:rsid w:val="002444F4"/>
    <w:rsid w:val="00260EAE"/>
    <w:rsid w:val="002629A0"/>
    <w:rsid w:val="0028492B"/>
    <w:rsid w:val="00291C8F"/>
    <w:rsid w:val="002940BF"/>
    <w:rsid w:val="002C4DD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4150"/>
    <w:rsid w:val="003D5EBD"/>
    <w:rsid w:val="00401CE0"/>
    <w:rsid w:val="00403234"/>
    <w:rsid w:val="00407AC3"/>
    <w:rsid w:val="00411F51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2A2C"/>
    <w:rsid w:val="0051339C"/>
    <w:rsid w:val="0051412F"/>
    <w:rsid w:val="00522B6F"/>
    <w:rsid w:val="0052430E"/>
    <w:rsid w:val="005276AD"/>
    <w:rsid w:val="00534CA3"/>
    <w:rsid w:val="00540A9A"/>
    <w:rsid w:val="00543522"/>
    <w:rsid w:val="00545680"/>
    <w:rsid w:val="005542F3"/>
    <w:rsid w:val="0056618E"/>
    <w:rsid w:val="0056698D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3362"/>
    <w:rsid w:val="00606A3E"/>
    <w:rsid w:val="006115AA"/>
    <w:rsid w:val="006120AE"/>
    <w:rsid w:val="00617C63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6CA"/>
    <w:rsid w:val="006A1BEB"/>
    <w:rsid w:val="006A1DEC"/>
    <w:rsid w:val="006A401C"/>
    <w:rsid w:val="006A7C6E"/>
    <w:rsid w:val="006B23D9"/>
    <w:rsid w:val="006C1814"/>
    <w:rsid w:val="006C2F45"/>
    <w:rsid w:val="006C361A"/>
    <w:rsid w:val="006C5657"/>
    <w:rsid w:val="006D1D05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3D1D"/>
    <w:rsid w:val="00817F73"/>
    <w:rsid w:val="0082228E"/>
    <w:rsid w:val="00830402"/>
    <w:rsid w:val="008305D7"/>
    <w:rsid w:val="00834887"/>
    <w:rsid w:val="00842FED"/>
    <w:rsid w:val="008436C0"/>
    <w:rsid w:val="008455CF"/>
    <w:rsid w:val="00847689"/>
    <w:rsid w:val="00855266"/>
    <w:rsid w:val="00861C52"/>
    <w:rsid w:val="008727A1"/>
    <w:rsid w:val="00885570"/>
    <w:rsid w:val="00886B0F"/>
    <w:rsid w:val="00891C08"/>
    <w:rsid w:val="008A160D"/>
    <w:rsid w:val="008A3879"/>
    <w:rsid w:val="008A5FA8"/>
    <w:rsid w:val="008A7575"/>
    <w:rsid w:val="008B5F47"/>
    <w:rsid w:val="008C793D"/>
    <w:rsid w:val="008C7B87"/>
    <w:rsid w:val="008D6A7A"/>
    <w:rsid w:val="008E3E87"/>
    <w:rsid w:val="008E7F13"/>
    <w:rsid w:val="008F3185"/>
    <w:rsid w:val="00915B0A"/>
    <w:rsid w:val="00926904"/>
    <w:rsid w:val="009372F0"/>
    <w:rsid w:val="00952E02"/>
    <w:rsid w:val="0095410F"/>
    <w:rsid w:val="00955022"/>
    <w:rsid w:val="00957B4D"/>
    <w:rsid w:val="00964EEA"/>
    <w:rsid w:val="00980C86"/>
    <w:rsid w:val="009B0784"/>
    <w:rsid w:val="009B1D9B"/>
    <w:rsid w:val="009B4074"/>
    <w:rsid w:val="009C30BB"/>
    <w:rsid w:val="009C60BE"/>
    <w:rsid w:val="009E6279"/>
    <w:rsid w:val="009F0014"/>
    <w:rsid w:val="009F00A6"/>
    <w:rsid w:val="009F56A7"/>
    <w:rsid w:val="009F5B05"/>
    <w:rsid w:val="00A026CA"/>
    <w:rsid w:val="00A07232"/>
    <w:rsid w:val="00A14800"/>
    <w:rsid w:val="00A156DE"/>
    <w:rsid w:val="00A157ED"/>
    <w:rsid w:val="00A2204A"/>
    <w:rsid w:val="00A2446A"/>
    <w:rsid w:val="00A4025D"/>
    <w:rsid w:val="00A800D1"/>
    <w:rsid w:val="00A900E6"/>
    <w:rsid w:val="00A92699"/>
    <w:rsid w:val="00A94E45"/>
    <w:rsid w:val="00AA2204"/>
    <w:rsid w:val="00AA7B85"/>
    <w:rsid w:val="00AB5BF0"/>
    <w:rsid w:val="00AC1C95"/>
    <w:rsid w:val="00AC2CCB"/>
    <w:rsid w:val="00AC443A"/>
    <w:rsid w:val="00AC4768"/>
    <w:rsid w:val="00AC4BE1"/>
    <w:rsid w:val="00AE60E2"/>
    <w:rsid w:val="00B01609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281F"/>
    <w:rsid w:val="00BF6D11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6131"/>
    <w:rsid w:val="00C87933"/>
    <w:rsid w:val="00C90723"/>
    <w:rsid w:val="00C90D5C"/>
    <w:rsid w:val="00CA609E"/>
    <w:rsid w:val="00CA7DA4"/>
    <w:rsid w:val="00CB31FB"/>
    <w:rsid w:val="00CE3D6F"/>
    <w:rsid w:val="00CE6152"/>
    <w:rsid w:val="00CE79A5"/>
    <w:rsid w:val="00CF0042"/>
    <w:rsid w:val="00CF07B1"/>
    <w:rsid w:val="00CF262F"/>
    <w:rsid w:val="00D025D5"/>
    <w:rsid w:val="00D26B13"/>
    <w:rsid w:val="00D26CC1"/>
    <w:rsid w:val="00D30662"/>
    <w:rsid w:val="00D32A0B"/>
    <w:rsid w:val="00D548F8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99"/>
    <w:rsid w:val="00DF775B"/>
    <w:rsid w:val="00E007F3"/>
    <w:rsid w:val="00E00DEA"/>
    <w:rsid w:val="00E06EF0"/>
    <w:rsid w:val="00E11679"/>
    <w:rsid w:val="00E307D1"/>
    <w:rsid w:val="00E46A04"/>
    <w:rsid w:val="00E6687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1F9E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091E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952E02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%20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 OP</Template>
  <TotalTime>0</TotalTime>
  <Pages>9</Pages>
  <Words>2980</Words>
  <Characters>16991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1340872</vt:lpstr>
    </vt:vector>
  </TitlesOfParts>
  <Company>CSD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1340872</dc:title>
  <dc:subject/>
  <dc:creator>EC</dc:creator>
  <cp:keywords/>
  <dc:description/>
  <cp:lastModifiedBy>Салынская Екатерина</cp:lastModifiedBy>
  <cp:revision>2</cp:revision>
  <cp:lastPrinted>1601-01-01T00:00:00Z</cp:lastPrinted>
  <dcterms:created xsi:type="dcterms:W3CDTF">2013-03-28T13:32:00Z</dcterms:created>
  <dcterms:modified xsi:type="dcterms:W3CDTF">2013-03-28T13:32:00Z</dcterms:modified>
</cp:coreProperties>
</file>