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00000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00000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spacing w:after="20"/>
              <w:jc w:val="right"/>
            </w:pPr>
            <w:r>
              <w:rPr>
                <w:sz w:val="40"/>
              </w:rPr>
              <w:t>CERD</w:t>
            </w:r>
            <w:r>
              <w:t>/C/UZB/Q/6-7</w:t>
            </w:r>
          </w:p>
        </w:tc>
      </w:tr>
      <w:tr w:rsidR="00000000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Convención Internacional sobre</w:t>
            </w:r>
            <w:r>
              <w:rPr>
                <w:b/>
                <w:sz w:val="34"/>
                <w:szCs w:val="34"/>
              </w:rPr>
              <w:br/>
              <w:t>la Eliminación de todas las Formas</w:t>
            </w:r>
            <w:r>
              <w:rPr>
                <w:b/>
                <w:sz w:val="34"/>
                <w:szCs w:val="34"/>
              </w:rPr>
              <w:br/>
              <w:t>de Discriminación Racial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pacing w:before="240"/>
            </w:pPr>
            <w:r>
              <w:t>Distr. general</w:t>
            </w:r>
          </w:p>
          <w:p w:rsidR="00000000" w:rsidRDefault="00000000">
            <w:r>
              <w:t>13 de julio de 2010</w:t>
            </w:r>
          </w:p>
          <w:p w:rsidR="00000000" w:rsidRDefault="00000000">
            <w:r>
              <w:t>Español</w:t>
            </w:r>
          </w:p>
          <w:p w:rsidR="00000000" w:rsidRDefault="00000000">
            <w:r>
              <w:t>Original: inglés</w:t>
            </w:r>
          </w:p>
        </w:tc>
      </w:tr>
    </w:tbl>
    <w:p w:rsidR="00000000" w:rsidRDefault="00000000">
      <w:pPr>
        <w:spacing w:before="60"/>
        <w:rPr>
          <w:b/>
          <w:sz w:val="24"/>
          <w:szCs w:val="24"/>
        </w:rPr>
      </w:pPr>
      <w:r>
        <w:rPr>
          <w:b/>
          <w:sz w:val="24"/>
          <w:szCs w:val="24"/>
        </w:rPr>
        <w:t>Comité para la Eliminación de la Discriminación Racial</w:t>
      </w:r>
    </w:p>
    <w:p w:rsidR="00000000" w:rsidRDefault="00000000">
      <w:r>
        <w:t>77º período de sesiones</w:t>
      </w:r>
    </w:p>
    <w:p w:rsidR="00000000" w:rsidRDefault="00000000">
      <w:pPr>
        <w:rPr>
          <w:b/>
          <w:bCs/>
          <w:sz w:val="24"/>
          <w:szCs w:val="24"/>
        </w:rPr>
      </w:pPr>
      <w:r>
        <w:t>2 a 27 de agosto de 2010</w:t>
      </w:r>
    </w:p>
    <w:p w:rsidR="00000000" w:rsidRDefault="00000000">
      <w:pPr>
        <w:pStyle w:val="HChG"/>
      </w:pPr>
      <w:r>
        <w:tab/>
      </w:r>
      <w:r>
        <w:tab/>
        <w:t>Aplicación de la Convención Internacional sobre la</w:t>
      </w:r>
      <w:r>
        <w:br/>
        <w:t>Eliminación de todas las Formas de Discriminación</w:t>
      </w:r>
      <w:r>
        <w:br/>
        <w:t>Racial</w:t>
      </w:r>
    </w:p>
    <w:p w:rsidR="00000000" w:rsidRDefault="00000000">
      <w:pPr>
        <w:pStyle w:val="H1G"/>
      </w:pPr>
      <w:r>
        <w:tab/>
      </w:r>
      <w:r>
        <w:tab/>
        <w:t>Lista de temas que deben abordarse al examinar los informes periódicos sexto y séptimo de Uzbekistán (CERD/C/UZB/6-7)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000000" w:rsidRDefault="00000000">
            <w:pPr>
              <w:pStyle w:val="H23G"/>
              <w:keepNext w:val="0"/>
              <w:keepLines w:val="0"/>
              <w:suppressAutoHyphens w:val="0"/>
              <w:spacing w:before="0" w:after="0" w:line="240" w:lineRule="auto"/>
              <w:ind w:left="0" w:right="0" w:firstLine="0"/>
              <w:rPr>
                <w:b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000000" w:rsidRDefault="00000000">
            <w:pPr>
              <w:spacing w:after="120" w:line="240" w:lineRule="auto"/>
              <w:jc w:val="both"/>
            </w:pPr>
            <w:r>
              <w:tab/>
              <w:t xml:space="preserve">La lista de temas que figura a continuación ha sido elaborada por el Relator para el país, con el propósito de utilizarla en el examen de los informes periódicos sexto y séptimo de Uzbekistán. El objetivo de esta lista es facilitar el diálogo entre la delegación del Estado parte y el Comité, y </w:t>
            </w:r>
            <w:r>
              <w:rPr>
                <w:i/>
              </w:rPr>
              <w:t>no requiere respuestas por escrito</w:t>
            </w:r>
            <w:r>
              <w:t>. No es una lista exhaustiva, pues durante el diálogo con el Estado parte podrán abordarse otros asuntos.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000000" w:rsidRDefault="00000000">
            <w:pPr>
              <w:pStyle w:val="H23G"/>
              <w:keepNext w:val="0"/>
              <w:keepLines w:val="0"/>
              <w:suppressAutoHyphens w:val="0"/>
              <w:spacing w:before="0" w:after="0" w:line="240" w:lineRule="auto"/>
              <w:ind w:left="0" w:right="0" w:firstLine="0"/>
              <w:rPr>
                <w:b w:val="0"/>
              </w:rPr>
            </w:pPr>
          </w:p>
        </w:tc>
      </w:tr>
    </w:tbl>
    <w:p w:rsidR="00000000" w:rsidRDefault="00000000">
      <w:pPr>
        <w:pStyle w:val="H23G"/>
      </w:pPr>
      <w:r>
        <w:tab/>
        <w:t>1.</w:t>
      </w:r>
      <w:r>
        <w:tab/>
        <w:t>Falta de indicadores demográficos fidedignos</w:t>
      </w:r>
    </w:p>
    <w:p w:rsidR="00000000" w:rsidRDefault="00000000">
      <w:pPr>
        <w:pStyle w:val="SingleTxtG"/>
      </w:pPr>
      <w:r>
        <w:tab/>
        <w:t>a) Medidas tomadas por el Estado parte para permitir la comprensión de su composición demográfica y seguir de cerca el progreso de la eliminación de la discriminación sin disponer de un censo de población reciente (CERD/C/UZB/CO/5, párr. 10, CERD/C/UZB/6-7, párrs. 30 a 33).</w:t>
      </w:r>
    </w:p>
    <w:p w:rsidR="00000000" w:rsidRDefault="00000000">
      <w:pPr>
        <w:pStyle w:val="H23G"/>
      </w:pPr>
      <w:r>
        <w:tab/>
        <w:t>2.</w:t>
      </w:r>
      <w:r>
        <w:tab/>
        <w:t>La Convención en el derecho interno y el marco legislativo y de políticas</w:t>
      </w:r>
      <w:r>
        <w:br/>
        <w:t>para su aplicación (artículos 1, 2 y 6)</w:t>
      </w:r>
    </w:p>
    <w:p w:rsidR="00000000" w:rsidRDefault="00000000">
      <w:pPr>
        <w:pStyle w:val="SingleTxtG"/>
      </w:pPr>
      <w:r>
        <w:tab/>
        <w:t>a)</w:t>
      </w:r>
      <w:r>
        <w:tab/>
        <w:t>Medidas adoptadas o previstas por el Estado parte para que la definición de discriminación de la legislación nacional se ajuste plenamente a la definición del artículo 1, párrafo 1, de la Convención (CERD/C/UZB/CO/5, párr. 9, CERD/C/UZB/6-7, párrs. 271, 319 y 332);</w:t>
      </w:r>
    </w:p>
    <w:p w:rsidR="00000000" w:rsidRDefault="00000000">
      <w:pPr>
        <w:pStyle w:val="SingleTxtG"/>
      </w:pPr>
      <w:r>
        <w:tab/>
        <w:t>b)</w:t>
      </w:r>
      <w:r>
        <w:tab/>
        <w:t>Información sobre casos relacionados con la discriminación presentados al amparo del artículo 156 del Código Penal (Incitación al odio étnico, racial o religioso) o el artículo 42 del Código de Responsabilidad Administrativa, y sus consecuencias; otras denuncias por discriminación presentadas en los tribunales, en virtud de qué disposiciones jurídicas y con qué consecuencias (con exclusión de los 11 casos de trata citados en el informe del Estado parte, CERD/C/UZB/6-7, párrs. 483 a 485).</w:t>
      </w:r>
    </w:p>
    <w:p w:rsidR="00000000" w:rsidRDefault="00000000">
      <w:pPr>
        <w:pStyle w:val="H23G"/>
      </w:pPr>
      <w:r>
        <w:tab/>
        <w:t>3.</w:t>
      </w:r>
      <w:r>
        <w:tab/>
        <w:t>Situación de las minorías étnicas (artículos 5 y 6)</w:t>
      </w:r>
    </w:p>
    <w:p w:rsidR="00000000" w:rsidRDefault="00000000">
      <w:pPr>
        <w:pStyle w:val="SingleTxtG"/>
      </w:pPr>
      <w:r>
        <w:tab/>
        <w:t>a)</w:t>
      </w:r>
      <w:r>
        <w:tab/>
        <w:t>Medidas tomadas por el Estado parte para supervisar y garantizar una tasa de participación efectiva de miembros de minorías nacionales y étnicas en las instituciones estatales (CERD/C/UZB/CO/5, párr. 15, CERD/C/UZB/6-7, párrs. 41 a 48);</w:t>
      </w:r>
    </w:p>
    <w:p w:rsidR="00000000" w:rsidRDefault="00000000">
      <w:pPr>
        <w:pStyle w:val="SingleTxtG"/>
      </w:pPr>
      <w:r>
        <w:tab/>
        <w:t>b)</w:t>
      </w:r>
      <w:r>
        <w:tab/>
        <w:t>Datos sobre la designación de un defensor en los casos de personas que no hablan el idioma en que se realiza el proceso (CERD/C/UZB/CO/5, párr. 13; CERD/C/UZB/CO/5/Add.2, párr. 51); datos estadísticos sobre el origen étnico de los detenidos en centros de detención preventiva y de los internos en centros penitenciarios;</w:t>
      </w:r>
    </w:p>
    <w:p w:rsidR="00000000" w:rsidRDefault="00000000">
      <w:pPr>
        <w:pStyle w:val="SingleTxtG"/>
      </w:pPr>
      <w:r>
        <w:tab/>
        <w:t>c)</w:t>
      </w:r>
      <w:r>
        <w:tab/>
        <w:t>Datos desglosados y actualizados sobre el número de escuelas que imparten enseñanza en idiomas minoritarios, su distribución geográfica, la calidad de la enseñanza proporcionada y las dificultades encontradas (CERD/C/UZB/CO/5, párr. 19);</w:t>
      </w:r>
    </w:p>
    <w:p w:rsidR="00000000" w:rsidRDefault="00000000">
      <w:pPr>
        <w:pStyle w:val="SingleTxtG"/>
      </w:pPr>
      <w:r>
        <w:tab/>
        <w:t>d)</w:t>
      </w:r>
      <w:r>
        <w:tab/>
        <w:t xml:space="preserve">Datos estadísticos sobre el número de solicitudes de </w:t>
      </w:r>
      <w:r>
        <w:rPr>
          <w:i/>
          <w:iCs/>
        </w:rPr>
        <w:t xml:space="preserve">propiska </w:t>
      </w:r>
      <w:r>
        <w:t>(desglosados por región/origen étnico de los solicitantes) y sus resultados en relación con el artículo 5, párrafo i), de la Convención (CERD/C/UZB/CO/5, párr. 16, CERD/C/UZB/6-7, párrs. 363 a 365).</w:t>
      </w:r>
    </w:p>
    <w:p w:rsidR="00000000" w:rsidRDefault="00000000">
      <w:pPr>
        <w:pStyle w:val="H23G"/>
      </w:pPr>
      <w:r>
        <w:tab/>
        <w:t>4.</w:t>
      </w:r>
      <w:r>
        <w:tab/>
        <w:t>Situación de los no ciudadanos, en particular solicitantes de asilo y</w:t>
      </w:r>
      <w:r>
        <w:br/>
        <w:t>refugiados (artículo 5)</w:t>
      </w:r>
    </w:p>
    <w:p w:rsidR="00000000" w:rsidRDefault="00000000">
      <w:pPr>
        <w:pStyle w:val="SingleTxtG"/>
      </w:pPr>
      <w:r>
        <w:tab/>
        <w:t>a)</w:t>
      </w:r>
      <w:r>
        <w:tab/>
        <w:t>Progresos conseguidos en el establecimiento de un marco legislativo relativo a la protección de los refugiados, en particular en relación con el artículo 5, párrafo b) de la Convención (CERD/C/UZB/CO/5, párr. 14);</w:t>
      </w:r>
    </w:p>
    <w:p w:rsidR="00000000" w:rsidRDefault="00000000">
      <w:pPr>
        <w:pStyle w:val="SingleTxtG"/>
      </w:pPr>
      <w:r>
        <w:tab/>
        <w:t>b)</w:t>
      </w:r>
      <w:r>
        <w:tab/>
        <w:t>Información sobre el procedimiento para examinar los casos de extradición para velar por que las personas no sean devueltas a Estados en que su vida corra peligro (CERD/C/UZB/CO/5, párr. 14, CERD/C/UZB/CO/5/Add.1, párr. 14).</w:t>
      </w:r>
    </w:p>
    <w:p w:rsidR="00000000" w:rsidRDefault="00000000">
      <w:pPr>
        <w:pStyle w:val="H23G"/>
      </w:pPr>
      <w:r>
        <w:tab/>
        <w:t>5.</w:t>
      </w:r>
      <w:r>
        <w:tab/>
        <w:t>Situación de los romaníes (artículo 5)</w:t>
      </w:r>
    </w:p>
    <w:p w:rsidR="00000000" w:rsidRDefault="00000000">
      <w:pPr>
        <w:pStyle w:val="SingleTxtG"/>
      </w:pPr>
      <w:r>
        <w:tab/>
        <w:t>a)</w:t>
      </w:r>
      <w:r>
        <w:tab/>
        <w:t>Información acerca de la situación de los romaníes y acerca de cualquier estrategia que pueda haber formulado el Estado parte a fin de protegerlos de la discriminación;</w:t>
      </w:r>
    </w:p>
    <w:p w:rsidR="00000000" w:rsidRDefault="00000000">
      <w:pPr>
        <w:pStyle w:val="SingleTxtG"/>
      </w:pPr>
      <w:r>
        <w:tab/>
        <w:t>b)</w:t>
      </w:r>
      <w:r>
        <w:tab/>
        <w:t>Factores que llevan a los romaníes a declarar que pertenecen a otros grupos étnicos (CERD/C/UZB/6-7, párr. 297);</w:t>
      </w:r>
    </w:p>
    <w:p w:rsidR="00000000" w:rsidRDefault="00000000">
      <w:pPr>
        <w:pStyle w:val="SingleTxtG"/>
        <w:rPr>
          <w:b/>
          <w:bCs/>
        </w:rPr>
      </w:pPr>
      <w:r>
        <w:tab/>
        <w:t>c)</w:t>
      </w:r>
      <w:r>
        <w:tab/>
        <w:t>Información sobre si el programa nacional de formación de maestros y el programa de desarrollo de la enseñanza escolar incluyen disposiciones concretas en relación con el nivel educativo de los romaníes, que parece ser considerablemente inferior a la media nacional (CERD/C/UZB/CO/5, párr. 17, CERD/C/UZB/6-7, párrs. 259 a 302).</w:t>
      </w:r>
    </w:p>
    <w:p w:rsidR="00000000" w:rsidRDefault="00000000">
      <w:pPr>
        <w:pStyle w:val="SingleTxtG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000000"/>
    <w:sectPr w:rsidR="0000000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tabs>
        <w:tab w:val="right" w:pos="9598"/>
      </w:tabs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2</w:t>
    </w:r>
    <w:r>
      <w:rPr>
        <w:b/>
        <w:sz w:val="18"/>
      </w:rPr>
      <w:fldChar w:fldCharType="end"/>
    </w:r>
    <w:r>
      <w:rPr>
        <w:b/>
        <w:sz w:val="18"/>
      </w:rPr>
      <w:tab/>
    </w:r>
    <w:r>
      <w:t>GE.10-43639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tabs>
        <w:tab w:val="right" w:pos="9598"/>
      </w:tabs>
      <w:rPr>
        <w:b/>
        <w:sz w:val="18"/>
      </w:rPr>
    </w:pPr>
    <w:r>
      <w:t>GE.10-43639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3</w:t>
    </w:r>
    <w:r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</w:pPr>
    <w:r>
      <w:rPr>
        <w:sz w:val="20"/>
      </w:rPr>
      <w:t>GE.10-43639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7.15pt;margin-top:-6.95pt;width:85.5pt;height:18pt;z-index:1;mso-position-horizontal-relative:text;mso-position-vertical-relative:text" wrapcoords="18189 0 0 9900 -189 12600 -189 17100 758 19800 19516 19800 20274 19800 21032 14400 21600 14400 21600 8100 20653 0 18189 0">
          <v:imagedata r:id="rId1" o:title="recycle_Spanish"/>
          <w10:anchorlock/>
        </v:shape>
      </w:pict>
    </w:r>
    <w:r>
      <w:rPr>
        <w:sz w:val="20"/>
      </w:rPr>
      <w:t xml:space="preserve">  (S)    230710    230710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00000" w:rsidRDefault="0000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t>CERD/C/UZB/Q/6-7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jc w:val="right"/>
    </w:pPr>
    <w:r>
      <w:t>CERD/C/UZB/Q/6-7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atLeast"/>
    </w:pPr>
    <w:rPr>
      <w:lang w:val="es-ES" w:eastAsia="es-ES"/>
    </w:rPr>
  </w:style>
  <w:style w:type="paragraph" w:styleId="Heading1">
    <w:name w:val="heading 1"/>
    <w:aliases w:val="Table_G"/>
    <w:basedOn w:val="SingleTxtG"/>
    <w:next w:val="SingleTxtG"/>
    <w:qFormat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aliases w:val="4_G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Pr>
      <w:sz w:val="16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autoRedefine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semiHidden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semiHidden/>
    <w:pPr>
      <w:numPr>
        <w:numId w:val="3"/>
      </w:numPr>
    </w:pPr>
  </w:style>
  <w:style w:type="numbering" w:styleId="1ai">
    <w:name w:val="Outline List 1"/>
    <w:basedOn w:val="NoList"/>
    <w:semiHidden/>
    <w:pPr>
      <w:numPr>
        <w:numId w:val="4"/>
      </w:numPr>
    </w:pPr>
  </w:style>
  <w:style w:type="character" w:styleId="HTMLAcronym">
    <w:name w:val="HTML Acronym"/>
    <w:basedOn w:val="DefaultParagraphFont"/>
    <w:semiHidden/>
  </w:style>
  <w:style w:type="numbering" w:styleId="ArticleSection">
    <w:name w:val="Outline List 3"/>
    <w:basedOn w:val="NoList"/>
    <w:semiHidden/>
    <w:pPr>
      <w:numPr>
        <w:numId w:val="5"/>
      </w:numPr>
    </w:pPr>
  </w:style>
  <w:style w:type="paragraph" w:styleId="Closing">
    <w:name w:val="Closing"/>
    <w:basedOn w:val="Normal"/>
    <w:semiHidden/>
    <w:pPr>
      <w:ind w:left="4252"/>
    </w:p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character" w:styleId="HTMLDefinition">
    <w:name w:val="HTML Definition"/>
    <w:semiHidden/>
    <w:rPr>
      <w:i/>
      <w:iCs/>
    </w:rPr>
  </w:style>
  <w:style w:type="paragraph" w:styleId="HTMLAddress">
    <w:name w:val="HTML Address"/>
    <w:basedOn w:val="Normal"/>
    <w:semiHidden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semiHidden/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</w:style>
  <w:style w:type="character" w:styleId="Emphasis">
    <w:name w:val="Emphasis"/>
    <w:qFormat/>
    <w:rPr>
      <w:i/>
      <w:iCs/>
    </w:rPr>
  </w:style>
  <w:style w:type="paragraph" w:styleId="Date">
    <w:name w:val="Date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E-mailSignature">
    <w:name w:val="E-mail Signature"/>
    <w:basedOn w:val="Normal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ListBullet">
    <w:name w:val="List Bullet"/>
    <w:basedOn w:val="Normal"/>
    <w:semiHidden/>
    <w:pPr>
      <w:numPr>
        <w:numId w:val="11"/>
      </w:numPr>
    </w:pPr>
  </w:style>
  <w:style w:type="paragraph" w:styleId="ListBullet2">
    <w:name w:val="List Bullet 2"/>
    <w:basedOn w:val="Normal"/>
    <w:semiHidden/>
    <w:pPr>
      <w:numPr>
        <w:numId w:val="12"/>
      </w:numPr>
    </w:pPr>
  </w:style>
  <w:style w:type="paragraph" w:styleId="ListBullet3">
    <w:name w:val="List Bullet 3"/>
    <w:basedOn w:val="Normal"/>
    <w:semiHidden/>
    <w:pPr>
      <w:numPr>
        <w:numId w:val="13"/>
      </w:numPr>
    </w:pPr>
  </w:style>
  <w:style w:type="paragraph" w:styleId="ListBullet4">
    <w:name w:val="List Bullet 4"/>
    <w:basedOn w:val="Normal"/>
    <w:semiHidden/>
    <w:pPr>
      <w:numPr>
        <w:numId w:val="14"/>
      </w:numPr>
    </w:pPr>
  </w:style>
  <w:style w:type="paragraph" w:styleId="ListBullet5">
    <w:name w:val="List Bullet 5"/>
    <w:basedOn w:val="Normal"/>
    <w:semiHidden/>
    <w:pPr>
      <w:numPr>
        <w:numId w:val="15"/>
      </w:numPr>
    </w:p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Pr>
      <w:sz w:val="24"/>
      <w:szCs w:val="24"/>
    </w:rPr>
  </w:style>
  <w:style w:type="character" w:styleId="LineNumber">
    <w:name w:val="line number"/>
    <w:basedOn w:val="DefaultParagraphFont"/>
    <w:semiHidden/>
  </w:style>
  <w:style w:type="character" w:styleId="PageNumber">
    <w:name w:val="page number"/>
    <w:aliases w:val="7_G"/>
    <w:rPr>
      <w:b/>
      <w:sz w:val="18"/>
    </w:rPr>
  </w:style>
  <w:style w:type="character" w:styleId="EndnoteReference">
    <w:name w:val="endnote reference"/>
    <w:aliases w:val="1_G"/>
    <w:basedOn w:val="FootnoteReference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paragraph" w:styleId="Salutation">
    <w:name w:val="Salutation"/>
    <w:basedOn w:val="Normal"/>
    <w:next w:val="Normal"/>
    <w:semiHidden/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NormalIndent">
    <w:name w:val="Normal Indent"/>
    <w:basedOn w:val="Normal"/>
    <w:semiHidden/>
    <w:pPr>
      <w:ind w:left="567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semiHidden/>
    <w:pPr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pPr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pPr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EndnoteText">
    <w:name w:val="endnote text"/>
    <w:aliases w:val="2_G"/>
    <w:basedOn w:val="FootnoteText"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semiHidden/>
    <w:rPr>
      <w:i/>
      <w:iCs/>
    </w:rPr>
  </w:style>
  <w:style w:type="paragraph" w:customStyle="1" w:styleId="Bullet1G">
    <w:name w:val="_Bullet 1_G"/>
    <w:basedOn w:val="Normal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pPr>
      <w:numPr>
        <w:numId w:val="2"/>
      </w:numPr>
      <w:spacing w:after="120"/>
      <w:ind w:right="11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%20FORMAT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2</Pages>
  <Words>695</Words>
  <Characters>3824</Characters>
  <Application>Microsoft Office Word</Application>
  <DocSecurity>4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CERD/C/UZB/Q/6-7    -    10-43639</vt:lpstr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CERD/C/UZB/Q/6-7    -    10-43639</dc:title>
  <dc:subject>Final</dc:subject>
  <dc:creator>Fanny Figueroa</dc:creator>
  <cp:keywords/>
  <dc:description/>
  <cp:lastModifiedBy>Admieng</cp:lastModifiedBy>
  <cp:revision>2</cp:revision>
  <cp:lastPrinted>2008-01-16T09:37:00Z</cp:lastPrinted>
  <dcterms:created xsi:type="dcterms:W3CDTF">2010-07-23T11:27:00Z</dcterms:created>
  <dcterms:modified xsi:type="dcterms:W3CDTF">2010-07-23T11:27:00Z</dcterms:modified>
</cp:coreProperties>
</file>