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2E0D40" w:rsidRPr="00DB58B5" w:rsidTr="0078670C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E0D40" w:rsidRPr="00DB58B5" w:rsidRDefault="002E0D40" w:rsidP="0059365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0D40" w:rsidRPr="00DB58B5" w:rsidRDefault="002E0D40" w:rsidP="0059365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E0D40" w:rsidRPr="00DB58B5" w:rsidRDefault="00E07A90" w:rsidP="00E07A90">
            <w:pPr>
              <w:jc w:val="right"/>
            </w:pPr>
            <w:r w:rsidRPr="00E07A90">
              <w:rPr>
                <w:sz w:val="40"/>
              </w:rPr>
              <w:t>CERD</w:t>
            </w:r>
            <w:r>
              <w:t>/C/UZB/Q/8-9</w:t>
            </w:r>
          </w:p>
        </w:tc>
      </w:tr>
      <w:tr w:rsidR="002E0D40" w:rsidRPr="00DB58B5" w:rsidTr="0059365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E0D40" w:rsidRPr="00DB58B5" w:rsidRDefault="002E0D40" w:rsidP="00593658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E0D40" w:rsidRPr="00740562" w:rsidRDefault="002E0D40" w:rsidP="00593658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</w:t>
            </w:r>
            <w:r w:rsidR="00E07A90">
              <w:rPr>
                <w:b/>
                <w:sz w:val="34"/>
                <w:szCs w:val="34"/>
              </w:rPr>
              <w:t>’</w:t>
            </w:r>
            <w:r>
              <w:rPr>
                <w:b/>
                <w:sz w:val="34"/>
                <w:szCs w:val="34"/>
              </w:rPr>
              <w:t>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07A90" w:rsidRDefault="00E07A90" w:rsidP="00593658">
            <w:pPr>
              <w:spacing w:before="240"/>
            </w:pPr>
            <w:r>
              <w:t>Distr. générale</w:t>
            </w:r>
          </w:p>
          <w:p w:rsidR="00E07A90" w:rsidRDefault="00E07A90" w:rsidP="00E07A90">
            <w:pPr>
              <w:spacing w:line="240" w:lineRule="exact"/>
            </w:pPr>
            <w:r>
              <w:t>16 décembre 2013</w:t>
            </w:r>
          </w:p>
          <w:p w:rsidR="00E07A90" w:rsidRDefault="00E07A90" w:rsidP="00E07A90">
            <w:pPr>
              <w:spacing w:line="240" w:lineRule="exact"/>
            </w:pPr>
            <w:r>
              <w:t>Français</w:t>
            </w:r>
          </w:p>
          <w:p w:rsidR="002E0D40" w:rsidRPr="00DB58B5" w:rsidRDefault="00E07A90" w:rsidP="00E07A90">
            <w:pPr>
              <w:spacing w:line="240" w:lineRule="exact"/>
            </w:pPr>
            <w:r>
              <w:t>Original: anglais</w:t>
            </w:r>
          </w:p>
        </w:tc>
      </w:tr>
    </w:tbl>
    <w:p w:rsidR="00FF1DBD" w:rsidRDefault="0078670C" w:rsidP="00E07A90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</w:t>
      </w:r>
      <w:r w:rsidR="00E07A90">
        <w:rPr>
          <w:b/>
          <w:sz w:val="24"/>
          <w:szCs w:val="24"/>
        </w:rPr>
        <w:t>’</w:t>
      </w:r>
      <w:r w:rsidRPr="00C56102">
        <w:rPr>
          <w:b/>
          <w:sz w:val="24"/>
          <w:szCs w:val="24"/>
        </w:rPr>
        <w:t>éliminati</w:t>
      </w:r>
      <w:r w:rsidR="00E07A90">
        <w:rPr>
          <w:b/>
          <w:sz w:val="24"/>
          <w:szCs w:val="24"/>
        </w:rPr>
        <w:t>on de la discrimination raciale</w:t>
      </w:r>
    </w:p>
    <w:p w:rsidR="00E07A90" w:rsidRPr="00B86210" w:rsidRDefault="00E07A90" w:rsidP="00E07A90">
      <w:pPr>
        <w:rPr>
          <w:b/>
          <w:lang w:val="fr-FR"/>
        </w:rPr>
      </w:pPr>
      <w:r w:rsidRPr="00B86210">
        <w:rPr>
          <w:b/>
          <w:lang w:val="fr-FR"/>
        </w:rPr>
        <w:t>Quatre-vingt-quatrième session</w:t>
      </w:r>
    </w:p>
    <w:p w:rsidR="00E07A90" w:rsidRPr="00B86210" w:rsidRDefault="00E07A90" w:rsidP="00E07A90">
      <w:pPr>
        <w:rPr>
          <w:lang w:val="fr-FR"/>
        </w:rPr>
      </w:pPr>
      <w:r w:rsidRPr="00B86210">
        <w:rPr>
          <w:lang w:val="fr-FR"/>
        </w:rPr>
        <w:t>3</w:t>
      </w:r>
      <w:r w:rsidR="003E63DF">
        <w:rPr>
          <w:lang w:val="fr-FR"/>
        </w:rPr>
        <w:t>-</w:t>
      </w:r>
      <w:r w:rsidRPr="00B86210">
        <w:rPr>
          <w:lang w:val="fr-FR"/>
        </w:rPr>
        <w:t>21</w:t>
      </w:r>
      <w:r w:rsidR="003E63DF">
        <w:rPr>
          <w:lang w:val="fr-FR"/>
        </w:rPr>
        <w:t xml:space="preserve"> </w:t>
      </w:r>
      <w:r w:rsidRPr="00B86210">
        <w:rPr>
          <w:lang w:val="fr-FR"/>
        </w:rPr>
        <w:t>février 2014</w:t>
      </w:r>
    </w:p>
    <w:p w:rsidR="00E07A90" w:rsidRPr="00B86210" w:rsidRDefault="00E07A90" w:rsidP="00E07A90">
      <w:pPr>
        <w:rPr>
          <w:lang w:val="fr-FR"/>
        </w:rPr>
      </w:pPr>
      <w:r w:rsidRPr="00B86210">
        <w:rPr>
          <w:lang w:val="fr-FR"/>
        </w:rPr>
        <w:t>Point 6 de l</w:t>
      </w:r>
      <w:r>
        <w:rPr>
          <w:lang w:val="fr-FR"/>
        </w:rPr>
        <w:t>’</w:t>
      </w:r>
      <w:r w:rsidRPr="00B86210">
        <w:rPr>
          <w:lang w:val="fr-FR"/>
        </w:rPr>
        <w:t>ordre du jour provisoire</w:t>
      </w:r>
    </w:p>
    <w:p w:rsidR="00E07A90" w:rsidRPr="00595D6B" w:rsidRDefault="00E07A90" w:rsidP="00E07A90">
      <w:pPr>
        <w:rPr>
          <w:b/>
          <w:lang w:val="fr-FR"/>
        </w:rPr>
      </w:pPr>
      <w:r>
        <w:rPr>
          <w:b/>
          <w:lang w:val="fr-FR"/>
        </w:rPr>
        <w:t xml:space="preserve">Examen des rapports, observations et renseignements soumis </w:t>
      </w:r>
      <w:r>
        <w:rPr>
          <w:b/>
          <w:lang w:val="fr-FR"/>
        </w:rPr>
        <w:br/>
        <w:t>par les États parties en application de l’article 9 de la Convention</w:t>
      </w:r>
    </w:p>
    <w:p w:rsidR="00E07A90" w:rsidRPr="00595D6B" w:rsidRDefault="00E07A90" w:rsidP="00E07A90">
      <w:pPr>
        <w:pStyle w:val="HChG"/>
        <w:rPr>
          <w:lang w:val="fr-FR"/>
        </w:rPr>
      </w:pPr>
      <w:r w:rsidRPr="00595D6B">
        <w:rPr>
          <w:lang w:val="fr-FR"/>
        </w:rPr>
        <w:tab/>
      </w:r>
      <w:r w:rsidRPr="00595D6B">
        <w:rPr>
          <w:lang w:val="fr-FR"/>
        </w:rPr>
        <w:tab/>
      </w:r>
      <w:r>
        <w:rPr>
          <w:lang w:val="fr-FR"/>
        </w:rPr>
        <w:t xml:space="preserve">Liste de thèmes concernant les huitième et neuvième rapports périodiques de l’Ouzbékistan, soumis en un seul document </w:t>
      </w:r>
      <w:r w:rsidRPr="00595D6B">
        <w:rPr>
          <w:lang w:val="fr-FR"/>
        </w:rPr>
        <w:t>(CERD/C/UZB/8-9)</w:t>
      </w:r>
    </w:p>
    <w:p w:rsidR="00E07A90" w:rsidRPr="0024532E" w:rsidRDefault="00E07A90" w:rsidP="00E07A90">
      <w:pPr>
        <w:pStyle w:val="H1G"/>
      </w:pPr>
      <w:r w:rsidRPr="00595D6B">
        <w:rPr>
          <w:lang w:val="fr-FR"/>
        </w:rPr>
        <w:tab/>
      </w:r>
      <w:r w:rsidRPr="00595D6B">
        <w:rPr>
          <w:lang w:val="fr-FR"/>
        </w:rPr>
        <w:tab/>
      </w:r>
      <w:r w:rsidRPr="00B86210">
        <w:rPr>
          <w:lang w:val="fr-FR"/>
        </w:rPr>
        <w:t>Note du Rapporteur pour</w:t>
      </w:r>
      <w:r>
        <w:rPr>
          <w:lang w:val="fr-FR"/>
        </w:rPr>
        <w:t xml:space="preserve"> l’Ouzbékistan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4"/>
      </w:tblGrid>
      <w:tr w:rsidR="00E07A90" w:rsidTr="00AB5B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E07A90" w:rsidRDefault="00E07A90" w:rsidP="00AB5BDD">
            <w:pPr>
              <w:suppressAutoHyphens w:val="0"/>
              <w:spacing w:line="240" w:lineRule="auto"/>
            </w:pPr>
          </w:p>
        </w:tc>
      </w:tr>
      <w:tr w:rsidR="00E07A90" w:rsidTr="00AB5B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E07A90" w:rsidRDefault="00E07A90" w:rsidP="00E07A90">
            <w:pPr>
              <w:spacing w:after="120"/>
              <w:ind w:firstLine="567"/>
              <w:jc w:val="both"/>
            </w:pPr>
            <w:r w:rsidRPr="00FB0697">
              <w:rPr>
                <w:lang w:val="fr-FR"/>
              </w:rPr>
              <w:t>À sa soixante-seizième session, le Comité pour l</w:t>
            </w:r>
            <w:r>
              <w:rPr>
                <w:lang w:val="fr-FR"/>
              </w:rPr>
              <w:t>’</w:t>
            </w:r>
            <w:r w:rsidRPr="00FB0697">
              <w:rPr>
                <w:lang w:val="fr-FR"/>
              </w:rPr>
              <w:t>élimination de la discrimination raciale a décidé (A/65/18, par. 85) que le Rapporteur pour le pays ferait parvenir à l</w:t>
            </w:r>
            <w:r>
              <w:rPr>
                <w:lang w:val="fr-FR"/>
              </w:rPr>
              <w:t>’</w:t>
            </w:r>
            <w:r w:rsidRPr="00FB0697">
              <w:rPr>
                <w:lang w:val="fr-FR"/>
              </w:rPr>
              <w:t>État partie concerné une courte liste de thèmes en vue de guider et de structurer le dialogue entre la délégation de l</w:t>
            </w:r>
            <w:r>
              <w:rPr>
                <w:lang w:val="fr-FR"/>
              </w:rPr>
              <w:t>’</w:t>
            </w:r>
            <w:r w:rsidRPr="00FB0697">
              <w:rPr>
                <w:lang w:val="fr-FR"/>
              </w:rPr>
              <w:t>État partie et le Comité pendant l</w:t>
            </w:r>
            <w:r>
              <w:rPr>
                <w:lang w:val="fr-FR"/>
              </w:rPr>
              <w:t>’</w:t>
            </w:r>
            <w:r w:rsidRPr="00FB0697">
              <w:rPr>
                <w:lang w:val="fr-FR"/>
              </w:rPr>
              <w:t>examen du rapport de l</w:t>
            </w:r>
            <w:r>
              <w:rPr>
                <w:lang w:val="fr-FR"/>
              </w:rPr>
              <w:t>’</w:t>
            </w:r>
            <w:r w:rsidRPr="00FB0697">
              <w:rPr>
                <w:lang w:val="fr-FR"/>
              </w:rPr>
              <w:t>État partie. On trouvera ci-après une liste de thèmes non exhaustive, d</w:t>
            </w:r>
            <w:r>
              <w:rPr>
                <w:lang w:val="fr-FR"/>
              </w:rPr>
              <w:t>’</w:t>
            </w:r>
            <w:r w:rsidRPr="00FB0697">
              <w:rPr>
                <w:lang w:val="fr-FR"/>
              </w:rPr>
              <w:t>autres questions pouvant être traitées au cours du dialogue. Cette liste n</w:t>
            </w:r>
            <w:r>
              <w:rPr>
                <w:lang w:val="fr-FR"/>
              </w:rPr>
              <w:t>’</w:t>
            </w:r>
            <w:r w:rsidRPr="00FB0697">
              <w:rPr>
                <w:lang w:val="fr-FR"/>
              </w:rPr>
              <w:t>appelle pas de réponses écrites.</w:t>
            </w:r>
          </w:p>
        </w:tc>
      </w:tr>
      <w:tr w:rsidR="00E07A90" w:rsidTr="00AB5BDD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E07A90" w:rsidRDefault="00E07A90" w:rsidP="00AB5BDD">
            <w:pPr>
              <w:suppressAutoHyphens w:val="0"/>
              <w:spacing w:line="240" w:lineRule="auto"/>
            </w:pPr>
          </w:p>
        </w:tc>
      </w:tr>
    </w:tbl>
    <w:p w:rsidR="00E07A90" w:rsidRPr="00EC28AE" w:rsidRDefault="00E07A90" w:rsidP="00E07A90">
      <w:pPr>
        <w:pStyle w:val="H23G"/>
        <w:rPr>
          <w:lang w:val="fr-FR"/>
        </w:rPr>
      </w:pPr>
      <w:r>
        <w:tab/>
      </w:r>
      <w:r w:rsidRPr="00EC28AE">
        <w:rPr>
          <w:lang w:val="fr-FR"/>
        </w:rPr>
        <w:t>1.</w:t>
      </w:r>
      <w:r w:rsidRPr="00EC28AE">
        <w:rPr>
          <w:lang w:val="fr-FR"/>
        </w:rPr>
        <w:tab/>
        <w:t>La législation conformément à la</w:t>
      </w:r>
      <w:r>
        <w:rPr>
          <w:lang w:val="fr-FR"/>
        </w:rPr>
        <w:t xml:space="preserve"> Convention</w:t>
      </w:r>
    </w:p>
    <w:p w:rsidR="00E07A90" w:rsidRPr="00182C97" w:rsidRDefault="00E07A90" w:rsidP="00E07A90">
      <w:pPr>
        <w:pStyle w:val="SingleTxtG"/>
        <w:ind w:firstLine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Pr="00182C97">
        <w:rPr>
          <w:lang w:val="fr-FR"/>
        </w:rPr>
        <w:t>La place de la Convention dans le système législatif de l</w:t>
      </w:r>
      <w:r>
        <w:rPr>
          <w:lang w:val="fr-FR"/>
        </w:rPr>
        <w:t xml:space="preserve">’État partie et exemples pertinents de cas dans lesquels la </w:t>
      </w:r>
      <w:r w:rsidRPr="00182C97">
        <w:rPr>
          <w:lang w:val="fr-FR"/>
        </w:rPr>
        <w:t>Convention</w:t>
      </w:r>
      <w:r>
        <w:rPr>
          <w:lang w:val="fr-FR"/>
        </w:rPr>
        <w:t xml:space="preserve"> a été invoquée</w:t>
      </w:r>
      <w:r w:rsidRPr="00182C97">
        <w:rPr>
          <w:lang w:val="fr-FR"/>
        </w:rPr>
        <w:t>;</w:t>
      </w:r>
    </w:p>
    <w:p w:rsidR="00E07A90" w:rsidRPr="00182C97" w:rsidRDefault="00E07A90" w:rsidP="00E07A90">
      <w:pPr>
        <w:pStyle w:val="SingleTxtG"/>
        <w:ind w:firstLine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</w:r>
      <w:r w:rsidRPr="00182C97">
        <w:rPr>
          <w:lang w:val="fr-FR"/>
        </w:rPr>
        <w:t>Incorporation d</w:t>
      </w:r>
      <w:r>
        <w:rPr>
          <w:lang w:val="fr-FR"/>
        </w:rPr>
        <w:t>’</w:t>
      </w:r>
      <w:r w:rsidRPr="00182C97">
        <w:rPr>
          <w:lang w:val="fr-FR"/>
        </w:rPr>
        <w:t>une définition de la discrimination raciale dans la l</w:t>
      </w:r>
      <w:r>
        <w:rPr>
          <w:lang w:val="fr-FR"/>
        </w:rPr>
        <w:t>é</w:t>
      </w:r>
      <w:r w:rsidRPr="00182C97">
        <w:rPr>
          <w:lang w:val="fr-FR"/>
        </w:rPr>
        <w:t>gislation</w:t>
      </w:r>
      <w:r>
        <w:rPr>
          <w:lang w:val="fr-FR"/>
        </w:rPr>
        <w:t xml:space="preserve"> nationale</w:t>
      </w:r>
      <w:r w:rsidRPr="00182C97">
        <w:rPr>
          <w:lang w:val="fr-FR"/>
        </w:rPr>
        <w:t xml:space="preserve">; </w:t>
      </w:r>
    </w:p>
    <w:p w:rsidR="00E07A90" w:rsidRPr="00182C97" w:rsidRDefault="00E07A90" w:rsidP="00E07A90">
      <w:pPr>
        <w:pStyle w:val="SingleTxtG"/>
        <w:ind w:firstLine="567"/>
        <w:rPr>
          <w:lang w:val="fr-FR"/>
        </w:rPr>
      </w:pPr>
      <w:r w:rsidRPr="00182C97">
        <w:rPr>
          <w:lang w:val="fr-FR"/>
        </w:rPr>
        <w:t>c)</w:t>
      </w:r>
      <w:r w:rsidRPr="00182C97">
        <w:rPr>
          <w:lang w:val="fr-FR"/>
        </w:rPr>
        <w:tab/>
      </w:r>
      <w:r>
        <w:rPr>
          <w:lang w:val="fr-FR"/>
        </w:rPr>
        <w:t>Textes donnant effet à l’</w:t>
      </w:r>
      <w:r w:rsidRPr="00182C97">
        <w:rPr>
          <w:lang w:val="fr-FR"/>
        </w:rPr>
        <w:t xml:space="preserve">article 4 de la Convention </w:t>
      </w:r>
      <w:r>
        <w:rPr>
          <w:lang w:val="fr-FR"/>
        </w:rPr>
        <w:t>et cas dans lesquels ils ont été appliqués</w:t>
      </w:r>
      <w:r w:rsidRPr="00182C97">
        <w:rPr>
          <w:lang w:val="fr-FR"/>
        </w:rPr>
        <w:t>.</w:t>
      </w:r>
    </w:p>
    <w:p w:rsidR="00E07A90" w:rsidRPr="00944D5F" w:rsidRDefault="00E07A90" w:rsidP="00E07A90">
      <w:pPr>
        <w:pStyle w:val="H23G"/>
        <w:rPr>
          <w:lang w:val="fr-FR"/>
        </w:rPr>
      </w:pPr>
      <w:r w:rsidRPr="00182C97">
        <w:rPr>
          <w:lang w:val="fr-FR"/>
        </w:rPr>
        <w:tab/>
      </w:r>
      <w:r w:rsidRPr="00944D5F">
        <w:rPr>
          <w:lang w:val="fr-FR"/>
        </w:rPr>
        <w:t>2.</w:t>
      </w:r>
      <w:r w:rsidRPr="00944D5F">
        <w:rPr>
          <w:lang w:val="fr-FR"/>
        </w:rPr>
        <w:tab/>
        <w:t>Cadre institutionnel pour l</w:t>
      </w:r>
      <w:r>
        <w:rPr>
          <w:lang w:val="fr-FR"/>
        </w:rPr>
        <w:t>’</w:t>
      </w:r>
      <w:r w:rsidRPr="00944D5F">
        <w:rPr>
          <w:lang w:val="fr-FR"/>
        </w:rPr>
        <w:t>application de la Convention</w:t>
      </w:r>
    </w:p>
    <w:p w:rsidR="00E07A90" w:rsidRPr="00944D5F" w:rsidRDefault="00E07A90" w:rsidP="00E07A90">
      <w:pPr>
        <w:pStyle w:val="SingleTxtG"/>
        <w:ind w:firstLine="567"/>
        <w:rPr>
          <w:lang w:val="fr-FR"/>
        </w:rPr>
      </w:pPr>
      <w:r w:rsidRPr="00944D5F">
        <w:rPr>
          <w:lang w:val="fr-FR"/>
        </w:rPr>
        <w:t>a)</w:t>
      </w:r>
      <w:r w:rsidRPr="00944D5F">
        <w:rPr>
          <w:lang w:val="fr-FR"/>
        </w:rPr>
        <w:tab/>
        <w:t>Fonctions de</w:t>
      </w:r>
      <w:r>
        <w:rPr>
          <w:lang w:val="fr-FR"/>
        </w:rPr>
        <w:t>s</w:t>
      </w:r>
      <w:r w:rsidRPr="00944D5F">
        <w:rPr>
          <w:lang w:val="fr-FR"/>
        </w:rPr>
        <w:t xml:space="preserve"> di</w:t>
      </w:r>
      <w:r>
        <w:rPr>
          <w:lang w:val="fr-FR"/>
        </w:rPr>
        <w:t>vers</w:t>
      </w:r>
      <w:r w:rsidRPr="00944D5F">
        <w:rPr>
          <w:lang w:val="fr-FR"/>
        </w:rPr>
        <w:t xml:space="preserve"> organes (par exemple, le médiateur et </w:t>
      </w:r>
      <w:r>
        <w:rPr>
          <w:lang w:val="fr-FR"/>
        </w:rPr>
        <w:t>le corps judiciaire, les organes parlementaires</w:t>
      </w:r>
      <w:r w:rsidRPr="00944D5F">
        <w:rPr>
          <w:lang w:val="fr-FR"/>
        </w:rPr>
        <w:t>);</w:t>
      </w:r>
    </w:p>
    <w:p w:rsidR="00E07A90" w:rsidRPr="00944D5F" w:rsidRDefault="00E07A90" w:rsidP="00E07A90">
      <w:pPr>
        <w:pStyle w:val="SingleTxtG"/>
        <w:ind w:firstLine="567"/>
        <w:rPr>
          <w:lang w:val="fr-FR"/>
        </w:rPr>
      </w:pPr>
      <w:r w:rsidRPr="00944D5F">
        <w:rPr>
          <w:lang w:val="fr-FR"/>
        </w:rPr>
        <w:t>b)</w:t>
      </w:r>
      <w:r w:rsidRPr="00944D5F">
        <w:rPr>
          <w:lang w:val="fr-FR"/>
        </w:rPr>
        <w:tab/>
        <w:t>Création d</w:t>
      </w:r>
      <w:r>
        <w:rPr>
          <w:lang w:val="fr-FR"/>
        </w:rPr>
        <w:t>’</w:t>
      </w:r>
      <w:r w:rsidRPr="00944D5F">
        <w:rPr>
          <w:lang w:val="fr-FR"/>
        </w:rPr>
        <w:t>une institution nationale des droits de l</w:t>
      </w:r>
      <w:r>
        <w:rPr>
          <w:lang w:val="fr-FR"/>
        </w:rPr>
        <w:t>’</w:t>
      </w:r>
      <w:r w:rsidRPr="00944D5F">
        <w:rPr>
          <w:lang w:val="fr-FR"/>
        </w:rPr>
        <w:t xml:space="preserve">homme conformément aux critères énoncés dans les Principes de </w:t>
      </w:r>
      <w:r>
        <w:rPr>
          <w:lang w:val="fr-FR"/>
        </w:rPr>
        <w:t>Paris</w:t>
      </w:r>
      <w:r w:rsidRPr="00944D5F">
        <w:rPr>
          <w:lang w:val="fr-FR"/>
        </w:rPr>
        <w:t>;</w:t>
      </w:r>
    </w:p>
    <w:p w:rsidR="00E07A90" w:rsidRPr="009F092A" w:rsidRDefault="00E07A90" w:rsidP="00E07A90">
      <w:pPr>
        <w:pStyle w:val="SingleTxtG"/>
        <w:ind w:firstLine="567"/>
        <w:rPr>
          <w:lang w:val="fr-FR"/>
        </w:rPr>
      </w:pPr>
      <w:r w:rsidRPr="009F092A">
        <w:rPr>
          <w:lang w:val="fr-FR"/>
        </w:rPr>
        <w:t>c)</w:t>
      </w:r>
      <w:r w:rsidRPr="009F092A">
        <w:rPr>
          <w:lang w:val="fr-FR"/>
        </w:rPr>
        <w:tab/>
        <w:t xml:space="preserve">Membres et activités du </w:t>
      </w:r>
      <w:r w:rsidRPr="009F092A">
        <w:rPr>
          <w:lang w:val="fr-FR" w:eastAsia="ru-RU"/>
        </w:rPr>
        <w:t>Centre national des droits de l</w:t>
      </w:r>
      <w:r>
        <w:rPr>
          <w:lang w:val="fr-FR" w:eastAsia="ru-RU"/>
        </w:rPr>
        <w:t>’</w:t>
      </w:r>
      <w:r w:rsidRPr="009F092A">
        <w:rPr>
          <w:lang w:val="fr-FR" w:eastAsia="ru-RU"/>
        </w:rPr>
        <w:t xml:space="preserve">homme </w:t>
      </w:r>
      <w:r>
        <w:rPr>
          <w:lang w:val="fr-FR" w:eastAsia="ru-RU"/>
        </w:rPr>
        <w:t xml:space="preserve">et du </w:t>
      </w:r>
      <w:r w:rsidRPr="009F092A">
        <w:rPr>
          <w:lang w:val="fr-FR" w:eastAsia="ru-RU"/>
        </w:rPr>
        <w:t>Centre culturel interethnique</w:t>
      </w:r>
      <w:r w:rsidRPr="009F092A">
        <w:rPr>
          <w:lang w:val="fr-FR"/>
        </w:rPr>
        <w:t xml:space="preserve">; </w:t>
      </w:r>
    </w:p>
    <w:p w:rsidR="00E07A90" w:rsidRPr="00561C96" w:rsidRDefault="00E07A90" w:rsidP="00E07A90">
      <w:pPr>
        <w:pStyle w:val="SingleTxtG"/>
        <w:ind w:firstLine="567"/>
        <w:rPr>
          <w:lang w:val="fr-FR"/>
        </w:rPr>
      </w:pPr>
      <w:r w:rsidRPr="00561C96">
        <w:rPr>
          <w:lang w:val="fr-FR"/>
        </w:rPr>
        <w:t>d)</w:t>
      </w:r>
      <w:r w:rsidRPr="00561C96">
        <w:rPr>
          <w:lang w:val="fr-FR"/>
        </w:rPr>
        <w:tab/>
        <w:t>Activités avec la participation d</w:t>
      </w:r>
      <w:r>
        <w:rPr>
          <w:lang w:val="fr-FR"/>
        </w:rPr>
        <w:t>’</w:t>
      </w:r>
      <w:r w:rsidRPr="00561C96">
        <w:rPr>
          <w:lang w:val="fr-FR"/>
        </w:rPr>
        <w:t xml:space="preserve">organisations non gouvernementales </w:t>
      </w:r>
      <w:r>
        <w:rPr>
          <w:lang w:val="fr-FR"/>
        </w:rPr>
        <w:t xml:space="preserve">œuvrant </w:t>
      </w:r>
      <w:r w:rsidRPr="00561C96">
        <w:rPr>
          <w:lang w:val="fr-FR"/>
        </w:rPr>
        <w:t>dans le domaine des droits de l</w:t>
      </w:r>
      <w:r>
        <w:rPr>
          <w:lang w:val="fr-FR"/>
        </w:rPr>
        <w:t>’</w:t>
      </w:r>
      <w:r w:rsidRPr="00561C96">
        <w:rPr>
          <w:lang w:val="fr-FR"/>
        </w:rPr>
        <w:t>homme.</w:t>
      </w:r>
    </w:p>
    <w:p w:rsidR="00E07A90" w:rsidRPr="00CD2E42" w:rsidRDefault="00E07A90" w:rsidP="00E07A90">
      <w:pPr>
        <w:pStyle w:val="H23G"/>
        <w:rPr>
          <w:lang w:val="fr-FR"/>
        </w:rPr>
      </w:pPr>
      <w:r w:rsidRPr="00561C96">
        <w:rPr>
          <w:lang w:val="fr-FR"/>
        </w:rPr>
        <w:tab/>
      </w:r>
      <w:r w:rsidRPr="00CD2E42">
        <w:rPr>
          <w:lang w:val="fr-FR"/>
        </w:rPr>
        <w:t>3.</w:t>
      </w:r>
      <w:r w:rsidRPr="00CD2E42">
        <w:rPr>
          <w:lang w:val="fr-FR"/>
        </w:rPr>
        <w:tab/>
        <w:t>Situation des personnes faisant partie de group</w:t>
      </w:r>
      <w:r>
        <w:rPr>
          <w:lang w:val="fr-FR"/>
        </w:rPr>
        <w:t>e</w:t>
      </w:r>
      <w:r w:rsidRPr="00CD2E42">
        <w:rPr>
          <w:lang w:val="fr-FR"/>
        </w:rPr>
        <w:t>s minoritaires</w:t>
      </w:r>
      <w:r>
        <w:rPr>
          <w:lang w:val="fr-FR"/>
        </w:rPr>
        <w:t xml:space="preserve"> </w:t>
      </w:r>
      <w:r w:rsidRPr="00CD2E42">
        <w:rPr>
          <w:lang w:val="fr-FR"/>
        </w:rPr>
        <w:t>(Roms, Karapalpaks, Russes, Tadjiks</w:t>
      </w:r>
      <w:r>
        <w:rPr>
          <w:lang w:val="fr-FR"/>
        </w:rPr>
        <w:t>, Kirghizes, Kazakhs et autres)</w:t>
      </w:r>
    </w:p>
    <w:p w:rsidR="00E07A90" w:rsidRDefault="00E07A90" w:rsidP="00E07A90">
      <w:pPr>
        <w:pStyle w:val="SingleTxtG"/>
        <w:ind w:firstLine="567"/>
        <w:rPr>
          <w:lang w:val="en-US"/>
        </w:rPr>
      </w:pPr>
      <w:r w:rsidRPr="00CD2E42">
        <w:rPr>
          <w:lang w:val="en-US"/>
        </w:rPr>
        <w:t>a)</w:t>
      </w:r>
      <w:r>
        <w:rPr>
          <w:lang w:val="en-US"/>
        </w:rPr>
        <w:tab/>
        <w:t>Relations interethniques;</w:t>
      </w:r>
    </w:p>
    <w:p w:rsidR="00E07A90" w:rsidRPr="00CD2E42" w:rsidRDefault="00E07A90" w:rsidP="00E07A90">
      <w:pPr>
        <w:pStyle w:val="SingleTxtG"/>
        <w:ind w:firstLine="567"/>
        <w:rPr>
          <w:lang w:val="fr-FR"/>
        </w:rPr>
      </w:pPr>
      <w:r w:rsidRPr="00CD2E42">
        <w:rPr>
          <w:lang w:val="fr-FR"/>
        </w:rPr>
        <w:t>b)</w:t>
      </w:r>
      <w:r>
        <w:rPr>
          <w:lang w:val="fr-FR"/>
        </w:rPr>
        <w:tab/>
      </w:r>
      <w:r w:rsidRPr="00CD2E42">
        <w:rPr>
          <w:lang w:val="fr-FR"/>
        </w:rPr>
        <w:t>Situation des personnes appartenant à des groupes minoritaires, y compris dans les domaines de l</w:t>
      </w:r>
      <w:r>
        <w:rPr>
          <w:lang w:val="fr-FR"/>
        </w:rPr>
        <w:t>’</w:t>
      </w:r>
      <w:r w:rsidRPr="00CD2E42">
        <w:rPr>
          <w:lang w:val="fr-FR"/>
        </w:rPr>
        <w:t>emploi, de l</w:t>
      </w:r>
      <w:r>
        <w:rPr>
          <w:lang w:val="fr-FR"/>
        </w:rPr>
        <w:t>’</w:t>
      </w:r>
      <w:r w:rsidRPr="00CD2E42">
        <w:rPr>
          <w:lang w:val="fr-FR"/>
        </w:rPr>
        <w:t xml:space="preserve">éducation et de la santé; </w:t>
      </w:r>
    </w:p>
    <w:p w:rsidR="00E07A90" w:rsidRPr="00CD2E42" w:rsidRDefault="00E07A90" w:rsidP="00E07A90">
      <w:pPr>
        <w:pStyle w:val="SingleTxtG"/>
        <w:ind w:firstLine="567"/>
        <w:rPr>
          <w:lang w:val="fr-FR"/>
        </w:rPr>
      </w:pPr>
      <w:r w:rsidRPr="00CD2E42">
        <w:rPr>
          <w:lang w:val="fr-FR"/>
        </w:rPr>
        <w:t>c)</w:t>
      </w:r>
      <w:r w:rsidRPr="00CD2E42">
        <w:rPr>
          <w:lang w:val="fr-FR"/>
        </w:rPr>
        <w:tab/>
        <w:t xml:space="preserve">Organes représentant les intérêts des groupes minoritaires et instruments de dialogue; </w:t>
      </w:r>
    </w:p>
    <w:p w:rsidR="00E07A90" w:rsidRPr="006D41D1" w:rsidRDefault="00E07A90" w:rsidP="00E07A90">
      <w:pPr>
        <w:pStyle w:val="SingleTxtG"/>
        <w:ind w:firstLine="567"/>
        <w:rPr>
          <w:lang w:val="fr-FR"/>
        </w:rPr>
      </w:pPr>
      <w:r w:rsidRPr="006D41D1">
        <w:rPr>
          <w:lang w:val="fr-FR"/>
        </w:rPr>
        <w:t>d)</w:t>
      </w:r>
      <w:r w:rsidRPr="006D41D1">
        <w:rPr>
          <w:lang w:val="fr-FR"/>
        </w:rPr>
        <w:tab/>
        <w:t xml:space="preserve">Fonctions des organismes du système des </w:t>
      </w:r>
      <w:r>
        <w:rPr>
          <w:lang w:val="fr-FR"/>
        </w:rPr>
        <w:t>«</w:t>
      </w:r>
      <w:r w:rsidRPr="006D41D1">
        <w:rPr>
          <w:lang w:val="fr-FR"/>
        </w:rPr>
        <w:t>makhallas</w:t>
      </w:r>
      <w:r>
        <w:rPr>
          <w:lang w:val="fr-FR"/>
        </w:rPr>
        <w:t>»</w:t>
      </w:r>
      <w:r w:rsidRPr="006D41D1">
        <w:rPr>
          <w:lang w:val="fr-FR"/>
        </w:rPr>
        <w:t xml:space="preserve"> et de</w:t>
      </w:r>
      <w:r>
        <w:rPr>
          <w:lang w:val="fr-FR"/>
        </w:rPr>
        <w:t xml:space="preserve"> la Fondation Komolot</w:t>
      </w:r>
      <w:r w:rsidRPr="006D41D1">
        <w:rPr>
          <w:lang w:val="fr-FR"/>
        </w:rPr>
        <w:t xml:space="preserve">; </w:t>
      </w:r>
    </w:p>
    <w:p w:rsidR="00E07A90" w:rsidRPr="006D41D1" w:rsidRDefault="00E07A90" w:rsidP="00E07A90">
      <w:pPr>
        <w:pStyle w:val="SingleTxtG"/>
        <w:ind w:firstLine="567"/>
        <w:rPr>
          <w:lang w:val="fr-FR"/>
        </w:rPr>
      </w:pPr>
      <w:r w:rsidRPr="006D41D1">
        <w:rPr>
          <w:lang w:val="fr-FR"/>
        </w:rPr>
        <w:t>e)</w:t>
      </w:r>
      <w:r w:rsidRPr="006D41D1">
        <w:rPr>
          <w:lang w:val="fr-FR"/>
        </w:rPr>
        <w:tab/>
        <w:t xml:space="preserve">Situation économique et sociale dans la République du Karakalpakstan, </w:t>
      </w:r>
      <w:r>
        <w:rPr>
          <w:lang w:val="fr-FR"/>
        </w:rPr>
        <w:t>y </w:t>
      </w:r>
      <w:r w:rsidRPr="006D41D1">
        <w:rPr>
          <w:lang w:val="fr-FR"/>
        </w:rPr>
        <w:t>compris les mesures prises</w:t>
      </w:r>
      <w:r>
        <w:rPr>
          <w:lang w:val="fr-FR"/>
        </w:rPr>
        <w:t xml:space="preserve"> après la catastrophe écologique de la mer d’Aral</w:t>
      </w:r>
      <w:r w:rsidRPr="006D41D1">
        <w:rPr>
          <w:lang w:val="fr-FR"/>
        </w:rPr>
        <w:t>.</w:t>
      </w:r>
    </w:p>
    <w:p w:rsidR="00E07A90" w:rsidRPr="00D75599" w:rsidRDefault="00E07A90" w:rsidP="00E07A90">
      <w:pPr>
        <w:pStyle w:val="H23G"/>
        <w:rPr>
          <w:lang w:val="fr-FR"/>
        </w:rPr>
      </w:pPr>
      <w:r w:rsidRPr="006D41D1">
        <w:rPr>
          <w:lang w:val="fr-FR"/>
        </w:rPr>
        <w:tab/>
      </w:r>
      <w:r w:rsidRPr="00D75599">
        <w:rPr>
          <w:lang w:val="fr-FR"/>
        </w:rPr>
        <w:t>4.</w:t>
      </w:r>
      <w:r w:rsidRPr="00D75599">
        <w:rPr>
          <w:lang w:val="fr-FR"/>
        </w:rPr>
        <w:tab/>
        <w:t>Situation des non-ressortissants: migrants, réfugiés, demandeurs d</w:t>
      </w:r>
      <w:r>
        <w:rPr>
          <w:lang w:val="fr-FR"/>
        </w:rPr>
        <w:t>’</w:t>
      </w:r>
      <w:r w:rsidRPr="00D75599">
        <w:rPr>
          <w:lang w:val="fr-FR"/>
        </w:rPr>
        <w:t>asile</w:t>
      </w:r>
      <w:r>
        <w:rPr>
          <w:lang w:val="fr-FR"/>
        </w:rPr>
        <w:br/>
      </w:r>
      <w:r w:rsidRPr="00D75599">
        <w:rPr>
          <w:lang w:val="fr-FR"/>
        </w:rPr>
        <w:t xml:space="preserve">et </w:t>
      </w:r>
      <w:r>
        <w:rPr>
          <w:lang w:val="fr-FR"/>
        </w:rPr>
        <w:t xml:space="preserve">personnes apatrides </w:t>
      </w:r>
    </w:p>
    <w:p w:rsidR="00E07A90" w:rsidRPr="00600C8C" w:rsidRDefault="00E07A90" w:rsidP="00E07A90">
      <w:pPr>
        <w:pStyle w:val="SingleTxtG"/>
        <w:ind w:firstLine="567"/>
        <w:rPr>
          <w:lang w:val="fr-FR"/>
        </w:rPr>
      </w:pPr>
      <w:r w:rsidRPr="00600C8C">
        <w:rPr>
          <w:lang w:val="fr-FR"/>
        </w:rPr>
        <w:t>a)</w:t>
      </w:r>
      <w:r w:rsidRPr="00600C8C">
        <w:rPr>
          <w:lang w:val="fr-FR"/>
        </w:rPr>
        <w:tab/>
        <w:t>Leur statut dans le pays;</w:t>
      </w:r>
    </w:p>
    <w:p w:rsidR="00E07A90" w:rsidRPr="00D75599" w:rsidRDefault="00E07A90" w:rsidP="00E07A90">
      <w:pPr>
        <w:pStyle w:val="SingleTxtG"/>
        <w:ind w:firstLine="567"/>
        <w:rPr>
          <w:lang w:val="fr-FR"/>
        </w:rPr>
      </w:pPr>
      <w:r w:rsidRPr="00D75599">
        <w:rPr>
          <w:lang w:val="fr-FR"/>
        </w:rPr>
        <w:t>b)</w:t>
      </w:r>
      <w:r w:rsidRPr="00D75599">
        <w:rPr>
          <w:lang w:val="fr-FR"/>
        </w:rPr>
        <w:tab/>
        <w:t>Accès à l</w:t>
      </w:r>
      <w:r>
        <w:rPr>
          <w:lang w:val="fr-FR"/>
        </w:rPr>
        <w:t>’</w:t>
      </w:r>
      <w:r w:rsidRPr="00D75599">
        <w:rPr>
          <w:lang w:val="fr-FR"/>
        </w:rPr>
        <w:t>emploi, à l</w:t>
      </w:r>
      <w:r>
        <w:rPr>
          <w:lang w:val="fr-FR"/>
        </w:rPr>
        <w:t>’</w:t>
      </w:r>
      <w:r w:rsidRPr="00D75599">
        <w:rPr>
          <w:lang w:val="fr-FR"/>
        </w:rPr>
        <w:t xml:space="preserve">éducation, aux soins de santé et à la citoyenneté; </w:t>
      </w:r>
    </w:p>
    <w:p w:rsidR="00E07A90" w:rsidRPr="00600C8C" w:rsidRDefault="00E07A90" w:rsidP="00E07A90">
      <w:pPr>
        <w:pStyle w:val="SingleTxtG"/>
        <w:ind w:firstLine="567"/>
        <w:rPr>
          <w:lang w:val="fr-FR"/>
        </w:rPr>
      </w:pPr>
      <w:r w:rsidRPr="00600C8C">
        <w:rPr>
          <w:lang w:val="fr-FR"/>
        </w:rPr>
        <w:t>c)</w:t>
      </w:r>
      <w:r w:rsidRPr="00600C8C">
        <w:rPr>
          <w:lang w:val="fr-FR"/>
        </w:rPr>
        <w:tab/>
      </w:r>
      <w:r w:rsidRPr="00D75599">
        <w:rPr>
          <w:lang w:val="fr-FR"/>
        </w:rPr>
        <w:t xml:space="preserve">Groupes exposés à la traite. </w:t>
      </w:r>
    </w:p>
    <w:p w:rsidR="00E07A90" w:rsidRDefault="00E07A90" w:rsidP="00E07A90">
      <w:pPr>
        <w:pStyle w:val="H23G"/>
      </w:pPr>
      <w:r w:rsidRPr="00600C8C">
        <w:rPr>
          <w:lang w:val="fr-FR"/>
        </w:rPr>
        <w:tab/>
      </w:r>
      <w:r>
        <w:t>5.</w:t>
      </w:r>
      <w:r>
        <w:tab/>
        <w:t>Suivi des recommandations issues de l’Examen périodique universel</w:t>
      </w:r>
      <w:r>
        <w:br/>
        <w:t>acceptées par l’État partie</w:t>
      </w:r>
    </w:p>
    <w:p w:rsidR="00E07A90" w:rsidRPr="0007173A" w:rsidRDefault="00E07A90" w:rsidP="00E07A90">
      <w:pPr>
        <w:pStyle w:val="SingleTxtG"/>
        <w:ind w:firstLine="567"/>
        <w:rPr>
          <w:lang w:val="fr-FR"/>
        </w:rPr>
      </w:pPr>
      <w:r w:rsidRPr="0007173A">
        <w:rPr>
          <w:lang w:val="fr-FR"/>
        </w:rPr>
        <w:t>a)</w:t>
      </w:r>
      <w:r>
        <w:rPr>
          <w:lang w:val="fr-FR"/>
        </w:rPr>
        <w:tab/>
      </w:r>
      <w:r w:rsidRPr="0007173A">
        <w:rPr>
          <w:lang w:val="fr-FR"/>
        </w:rPr>
        <w:t>Mesures prises pour appliquer les recommandations relatives à l</w:t>
      </w:r>
      <w:r>
        <w:rPr>
          <w:lang w:val="fr-FR"/>
        </w:rPr>
        <w:t>’</w:t>
      </w:r>
      <w:r w:rsidRPr="0007173A">
        <w:rPr>
          <w:lang w:val="fr-FR"/>
        </w:rPr>
        <w:t xml:space="preserve">amélioration du mécanisme </w:t>
      </w:r>
      <w:r>
        <w:rPr>
          <w:lang w:val="fr-FR"/>
        </w:rPr>
        <w:t>chargé de</w:t>
      </w:r>
      <w:r w:rsidRPr="0007173A">
        <w:rPr>
          <w:lang w:val="fr-FR"/>
        </w:rPr>
        <w:t xml:space="preserve"> garantir la mise en œuvre effective de la Convention; </w:t>
      </w:r>
    </w:p>
    <w:p w:rsidR="00E07A90" w:rsidRPr="0007173A" w:rsidRDefault="00E07A90" w:rsidP="00E07A90">
      <w:pPr>
        <w:pStyle w:val="SingleTxtG"/>
        <w:ind w:firstLine="567"/>
        <w:rPr>
          <w:lang w:val="fr-FR"/>
        </w:rPr>
      </w:pPr>
      <w:r w:rsidRPr="0007173A">
        <w:rPr>
          <w:lang w:val="fr-FR"/>
        </w:rPr>
        <w:t>b)</w:t>
      </w:r>
      <w:r>
        <w:rPr>
          <w:lang w:val="fr-FR"/>
        </w:rPr>
        <w:tab/>
      </w:r>
      <w:r w:rsidRPr="0007173A">
        <w:rPr>
          <w:lang w:val="fr-FR"/>
        </w:rPr>
        <w:t>Mesures prises pour appliquer les recommandations relatives à l</w:t>
      </w:r>
      <w:r>
        <w:rPr>
          <w:lang w:val="fr-FR"/>
        </w:rPr>
        <w:t>’</w:t>
      </w:r>
      <w:r w:rsidRPr="0007173A">
        <w:rPr>
          <w:lang w:val="fr-FR"/>
        </w:rPr>
        <w:t>éducation et à la formation des membres des organes chargés de faire respecter la loi et du corps judiciaire dans les domaines des droits de l</w:t>
      </w:r>
      <w:r>
        <w:rPr>
          <w:lang w:val="fr-FR"/>
        </w:rPr>
        <w:t>’</w:t>
      </w:r>
      <w:r w:rsidRPr="0007173A">
        <w:rPr>
          <w:lang w:val="fr-FR"/>
        </w:rPr>
        <w:t>homme et de la lutte contre la traite des femmes et des enfants.</w:t>
      </w:r>
    </w:p>
    <w:p w:rsidR="00E07A90" w:rsidRPr="00E07A90" w:rsidRDefault="00E07A90" w:rsidP="00E07A90">
      <w:pPr>
        <w:pStyle w:val="SingleTxtG"/>
        <w:spacing w:before="240" w:after="0"/>
        <w:jc w:val="center"/>
        <w:rPr>
          <w:b/>
          <w:sz w:val="24"/>
          <w:szCs w:val="24"/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E07A90" w:rsidRPr="00E07A90" w:rsidSect="00E07A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18" w:rsidRDefault="00AE7518"/>
  </w:endnote>
  <w:endnote w:type="continuationSeparator" w:id="0">
    <w:p w:rsidR="00AE7518" w:rsidRDefault="00AE7518"/>
  </w:endnote>
  <w:endnote w:type="continuationNotice" w:id="1">
    <w:p w:rsidR="00AE7518" w:rsidRPr="00201F68" w:rsidRDefault="00AE7518" w:rsidP="00201F68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90" w:rsidRPr="00E07A90" w:rsidRDefault="00E07A90" w:rsidP="00E07A90">
    <w:pPr>
      <w:pStyle w:val="Footer"/>
      <w:tabs>
        <w:tab w:val="right" w:pos="9638"/>
      </w:tabs>
    </w:pPr>
    <w:r w:rsidRPr="00E07A90">
      <w:rPr>
        <w:b/>
        <w:sz w:val="18"/>
      </w:rPr>
      <w:fldChar w:fldCharType="begin"/>
    </w:r>
    <w:r w:rsidRPr="00E07A90">
      <w:rPr>
        <w:b/>
        <w:sz w:val="18"/>
      </w:rPr>
      <w:instrText xml:space="preserve"> PAGE  \* MERGEFORMAT </w:instrText>
    </w:r>
    <w:r w:rsidRPr="00E07A90">
      <w:rPr>
        <w:b/>
        <w:sz w:val="18"/>
      </w:rPr>
      <w:fldChar w:fldCharType="separate"/>
    </w:r>
    <w:r w:rsidR="00ED61B9">
      <w:rPr>
        <w:b/>
        <w:noProof/>
        <w:sz w:val="18"/>
      </w:rPr>
      <w:t>2</w:t>
    </w:r>
    <w:r w:rsidRPr="00E07A90">
      <w:rPr>
        <w:b/>
        <w:sz w:val="18"/>
      </w:rPr>
      <w:fldChar w:fldCharType="end"/>
    </w:r>
    <w:r>
      <w:rPr>
        <w:b/>
        <w:sz w:val="18"/>
      </w:rPr>
      <w:tab/>
    </w:r>
    <w:r>
      <w:t>GE.13-49636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90" w:rsidRPr="00E07A90" w:rsidRDefault="00E07A90" w:rsidP="00E07A90">
    <w:pPr>
      <w:pStyle w:val="Footer"/>
      <w:tabs>
        <w:tab w:val="right" w:pos="9638"/>
      </w:tabs>
      <w:rPr>
        <w:b/>
        <w:sz w:val="18"/>
      </w:rPr>
    </w:pPr>
    <w:r>
      <w:t>GE.13-49636</w:t>
    </w:r>
    <w:r>
      <w:tab/>
    </w:r>
    <w:r w:rsidRPr="00E07A90">
      <w:rPr>
        <w:b/>
        <w:sz w:val="18"/>
      </w:rPr>
      <w:fldChar w:fldCharType="begin"/>
    </w:r>
    <w:r w:rsidRPr="00E07A90">
      <w:rPr>
        <w:b/>
        <w:sz w:val="18"/>
      </w:rPr>
      <w:instrText xml:space="preserve"> PAGE  \* MERGEFORMAT </w:instrText>
    </w:r>
    <w:r w:rsidRPr="00E07A9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07A90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18" w:rsidRPr="00E07A90" w:rsidRDefault="00E07A90" w:rsidP="00E07A90">
    <w:pPr>
      <w:pStyle w:val="Footer"/>
      <w:spacing w:before="120"/>
      <w:rPr>
        <w:sz w:val="20"/>
      </w:rPr>
    </w:pPr>
    <w:r>
      <w:rPr>
        <w:sz w:val="20"/>
      </w:rPr>
      <w:t>GE.</w:t>
    </w:r>
    <w:r w:rsidR="00AE7518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6.95pt;height:18.35pt;z-index:1;mso-position-horizontal-relative:margin;mso-position-vertical-relative:margin">
          <v:imagedata r:id="rId1" o:title="recycle_French"/>
          <w10:wrap anchorx="margin" anchory="margin"/>
        </v:shape>
      </w:pict>
    </w:r>
    <w:r>
      <w:rPr>
        <w:sz w:val="20"/>
      </w:rPr>
      <w:t>13-49636  (F)    201213    231213</w:t>
    </w:r>
    <w:r>
      <w:rPr>
        <w:sz w:val="20"/>
      </w:rPr>
      <w:br/>
    </w:r>
    <w:r w:rsidRPr="00E07A90">
      <w:rPr>
        <w:rFonts w:ascii="C39T30Lfz" w:hAnsi="C39T30Lfz"/>
        <w:sz w:val="56"/>
      </w:rPr>
      <w:t></w:t>
    </w:r>
    <w:r w:rsidRPr="00E07A90">
      <w:rPr>
        <w:rFonts w:ascii="C39T30Lfz" w:hAnsi="C39T30Lfz"/>
        <w:sz w:val="56"/>
      </w:rPr>
      <w:t></w:t>
    </w:r>
    <w:r w:rsidRPr="00E07A90">
      <w:rPr>
        <w:rFonts w:ascii="C39T30Lfz" w:hAnsi="C39T30Lfz"/>
        <w:sz w:val="56"/>
      </w:rPr>
      <w:t></w:t>
    </w:r>
    <w:r w:rsidRPr="00E07A90">
      <w:rPr>
        <w:rFonts w:ascii="C39T30Lfz" w:hAnsi="C39T30Lfz"/>
        <w:sz w:val="56"/>
      </w:rPr>
      <w:t></w:t>
    </w:r>
    <w:r w:rsidRPr="00E07A90">
      <w:rPr>
        <w:rFonts w:ascii="C39T30Lfz" w:hAnsi="C39T30Lfz"/>
        <w:sz w:val="56"/>
      </w:rPr>
      <w:t></w:t>
    </w:r>
    <w:r w:rsidRPr="00E07A90">
      <w:rPr>
        <w:rFonts w:ascii="C39T30Lfz" w:hAnsi="C39T30Lfz"/>
        <w:sz w:val="56"/>
      </w:rPr>
      <w:t></w:t>
    </w:r>
    <w:r w:rsidRPr="00E07A90">
      <w:rPr>
        <w:rFonts w:ascii="C39T30Lfz" w:hAnsi="C39T30Lfz"/>
        <w:sz w:val="56"/>
      </w:rPr>
      <w:t></w:t>
    </w:r>
    <w:r w:rsidRPr="00E07A90">
      <w:rPr>
        <w:rFonts w:ascii="C39T30Lfz" w:hAnsi="C39T30Lfz"/>
        <w:sz w:val="56"/>
      </w:rPr>
      <w:t></w:t>
    </w:r>
    <w:r w:rsidRPr="00E07A90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8-9&amp;Size=2&amp;Lang=F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18" w:rsidRPr="00D27D5E" w:rsidRDefault="00AE751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E7518" w:rsidRPr="00AA7FE7" w:rsidRDefault="00AE7518" w:rsidP="00AA7FE7">
      <w:pPr>
        <w:tabs>
          <w:tab w:val="right" w:pos="2155"/>
        </w:tabs>
        <w:spacing w:after="80"/>
        <w:ind w:left="680"/>
        <w:rPr>
          <w:u w:val="single"/>
        </w:rPr>
      </w:pPr>
      <w:r w:rsidRPr="00AA7FE7">
        <w:rPr>
          <w:u w:val="single"/>
        </w:rPr>
        <w:tab/>
      </w:r>
    </w:p>
  </w:footnote>
  <w:footnote w:type="continuationNotice" w:id="1">
    <w:p w:rsidR="00AE7518" w:rsidRPr="00201F68" w:rsidRDefault="00AE7518" w:rsidP="00201F68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90" w:rsidRPr="00E07A90" w:rsidRDefault="00E07A90">
    <w:pPr>
      <w:pStyle w:val="Header"/>
    </w:pPr>
    <w:r>
      <w:t>CERD/C/UZB/Q/8-9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90" w:rsidRPr="00E07A90" w:rsidRDefault="00E07A90" w:rsidP="00E07A90">
    <w:pPr>
      <w:pStyle w:val="Header"/>
      <w:jc w:val="right"/>
    </w:pPr>
    <w:r>
      <w:t>CERD/C/UZB/Q/8-9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0004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518"/>
    <w:rsid w:val="00016AC5"/>
    <w:rsid w:val="00054609"/>
    <w:rsid w:val="000A6F55"/>
    <w:rsid w:val="000E7579"/>
    <w:rsid w:val="000F41F2"/>
    <w:rsid w:val="001231AD"/>
    <w:rsid w:val="001450E6"/>
    <w:rsid w:val="00150465"/>
    <w:rsid w:val="00160540"/>
    <w:rsid w:val="00192EEB"/>
    <w:rsid w:val="00197832"/>
    <w:rsid w:val="001A20FB"/>
    <w:rsid w:val="001B3867"/>
    <w:rsid w:val="001D72C5"/>
    <w:rsid w:val="001D7F8A"/>
    <w:rsid w:val="001E3FEB"/>
    <w:rsid w:val="001E4A02"/>
    <w:rsid w:val="00201F68"/>
    <w:rsid w:val="00225A8C"/>
    <w:rsid w:val="002626D4"/>
    <w:rsid w:val="002659F1"/>
    <w:rsid w:val="00265CD7"/>
    <w:rsid w:val="00287E79"/>
    <w:rsid w:val="002928F9"/>
    <w:rsid w:val="002A5D07"/>
    <w:rsid w:val="002D3F03"/>
    <w:rsid w:val="002E0D40"/>
    <w:rsid w:val="002E5B0C"/>
    <w:rsid w:val="00300D06"/>
    <w:rsid w:val="003016B7"/>
    <w:rsid w:val="003515AA"/>
    <w:rsid w:val="00374106"/>
    <w:rsid w:val="003976D5"/>
    <w:rsid w:val="003D6C68"/>
    <w:rsid w:val="003E63DF"/>
    <w:rsid w:val="004159D0"/>
    <w:rsid w:val="00472145"/>
    <w:rsid w:val="00540389"/>
    <w:rsid w:val="00543D5E"/>
    <w:rsid w:val="00571F41"/>
    <w:rsid w:val="00593658"/>
    <w:rsid w:val="005E5D1F"/>
    <w:rsid w:val="006034FC"/>
    <w:rsid w:val="00611D43"/>
    <w:rsid w:val="00612D48"/>
    <w:rsid w:val="00616B45"/>
    <w:rsid w:val="00630D9B"/>
    <w:rsid w:val="00631953"/>
    <w:rsid w:val="006439EC"/>
    <w:rsid w:val="0065167E"/>
    <w:rsid w:val="00657120"/>
    <w:rsid w:val="00693E16"/>
    <w:rsid w:val="006B4590"/>
    <w:rsid w:val="006C340C"/>
    <w:rsid w:val="006D7B0B"/>
    <w:rsid w:val="006E6AE5"/>
    <w:rsid w:val="006F39E4"/>
    <w:rsid w:val="0070347C"/>
    <w:rsid w:val="007176C1"/>
    <w:rsid w:val="007231EF"/>
    <w:rsid w:val="0078670C"/>
    <w:rsid w:val="007F55CB"/>
    <w:rsid w:val="00844750"/>
    <w:rsid w:val="008B44C4"/>
    <w:rsid w:val="008D2259"/>
    <w:rsid w:val="008E7FAE"/>
    <w:rsid w:val="00911BF7"/>
    <w:rsid w:val="00977EC8"/>
    <w:rsid w:val="009C17F5"/>
    <w:rsid w:val="009D3A8C"/>
    <w:rsid w:val="009D6F78"/>
    <w:rsid w:val="009E7956"/>
    <w:rsid w:val="00A2492E"/>
    <w:rsid w:val="00A82B6C"/>
    <w:rsid w:val="00AA7FE7"/>
    <w:rsid w:val="00AB3173"/>
    <w:rsid w:val="00AB5BDD"/>
    <w:rsid w:val="00AC01AA"/>
    <w:rsid w:val="00AC67A1"/>
    <w:rsid w:val="00AC7977"/>
    <w:rsid w:val="00AE352C"/>
    <w:rsid w:val="00AE7518"/>
    <w:rsid w:val="00B32E2D"/>
    <w:rsid w:val="00B61990"/>
    <w:rsid w:val="00BF0556"/>
    <w:rsid w:val="00C03431"/>
    <w:rsid w:val="00C261F8"/>
    <w:rsid w:val="00C33100"/>
    <w:rsid w:val="00C73D42"/>
    <w:rsid w:val="00CD1A71"/>
    <w:rsid w:val="00CD1FBB"/>
    <w:rsid w:val="00D016B5"/>
    <w:rsid w:val="00D034F1"/>
    <w:rsid w:val="00D27D5E"/>
    <w:rsid w:val="00D37345"/>
    <w:rsid w:val="00DC156C"/>
    <w:rsid w:val="00DE6D90"/>
    <w:rsid w:val="00DF002F"/>
    <w:rsid w:val="00E0244D"/>
    <w:rsid w:val="00E07A90"/>
    <w:rsid w:val="00E1753A"/>
    <w:rsid w:val="00E42D5E"/>
    <w:rsid w:val="00E81E94"/>
    <w:rsid w:val="00E82607"/>
    <w:rsid w:val="00E8786A"/>
    <w:rsid w:val="00EC5A42"/>
    <w:rsid w:val="00ED61B9"/>
    <w:rsid w:val="00F63BC6"/>
    <w:rsid w:val="00FA5A79"/>
    <w:rsid w:val="00FB0BFE"/>
    <w:rsid w:val="00FB4C51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7F5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D37345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9C17F5"/>
    <w:pPr>
      <w:outlineLvl w:val="1"/>
    </w:pPr>
  </w:style>
  <w:style w:type="paragraph" w:styleId="Heading3">
    <w:name w:val="heading 3"/>
    <w:basedOn w:val="Normal"/>
    <w:next w:val="Normal"/>
    <w:qFormat/>
    <w:rsid w:val="009C17F5"/>
    <w:pPr>
      <w:outlineLvl w:val="2"/>
    </w:pPr>
  </w:style>
  <w:style w:type="paragraph" w:styleId="Heading4">
    <w:name w:val="heading 4"/>
    <w:basedOn w:val="Normal"/>
    <w:next w:val="Normal"/>
    <w:qFormat/>
    <w:rsid w:val="009C17F5"/>
    <w:pPr>
      <w:outlineLvl w:val="3"/>
    </w:pPr>
  </w:style>
  <w:style w:type="paragraph" w:styleId="Heading5">
    <w:name w:val="heading 5"/>
    <w:basedOn w:val="Normal"/>
    <w:next w:val="Normal"/>
    <w:qFormat/>
    <w:rsid w:val="009C17F5"/>
    <w:pPr>
      <w:outlineLvl w:val="4"/>
    </w:pPr>
  </w:style>
  <w:style w:type="paragraph" w:styleId="Heading6">
    <w:name w:val="heading 6"/>
    <w:basedOn w:val="Normal"/>
    <w:next w:val="Normal"/>
    <w:qFormat/>
    <w:rsid w:val="009C17F5"/>
    <w:pPr>
      <w:outlineLvl w:val="5"/>
    </w:pPr>
  </w:style>
  <w:style w:type="paragraph" w:styleId="Heading7">
    <w:name w:val="heading 7"/>
    <w:basedOn w:val="Normal"/>
    <w:next w:val="Normal"/>
    <w:qFormat/>
    <w:rsid w:val="009C17F5"/>
    <w:pPr>
      <w:outlineLvl w:val="6"/>
    </w:pPr>
  </w:style>
  <w:style w:type="paragraph" w:styleId="Heading8">
    <w:name w:val="heading 8"/>
    <w:basedOn w:val="Normal"/>
    <w:next w:val="Normal"/>
    <w:qFormat/>
    <w:rsid w:val="009C17F5"/>
    <w:pPr>
      <w:outlineLvl w:val="7"/>
    </w:pPr>
  </w:style>
  <w:style w:type="paragraph" w:styleId="Heading9">
    <w:name w:val="heading 9"/>
    <w:basedOn w:val="Normal"/>
    <w:next w:val="Normal"/>
    <w:qFormat/>
    <w:rsid w:val="009C17F5"/>
    <w:pPr>
      <w:outlineLvl w:val="8"/>
    </w:pPr>
  </w:style>
  <w:style w:type="character" w:default="1" w:styleId="DefaultParagraphFont">
    <w:name w:val="Default Paragraph Font"/>
    <w:semiHidden/>
    <w:rsid w:val="009C17F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C17F5"/>
  </w:style>
  <w:style w:type="paragraph" w:customStyle="1" w:styleId="HMG">
    <w:name w:val="_ H __M_G"/>
    <w:basedOn w:val="Normal"/>
    <w:next w:val="Normal"/>
    <w:rsid w:val="009C17F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C17F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C17F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9C17F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C17F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C17F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C17F5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C17F5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9C17F5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9C17F5"/>
  </w:style>
  <w:style w:type="paragraph" w:styleId="Header">
    <w:name w:val="header"/>
    <w:aliases w:val="6_G"/>
    <w:basedOn w:val="Normal"/>
    <w:next w:val="Normal"/>
    <w:rsid w:val="009C17F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5460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54609"/>
  </w:style>
  <w:style w:type="character" w:styleId="PageNumber">
    <w:name w:val="page number"/>
    <w:aliases w:val="7_G"/>
    <w:basedOn w:val="DefaultParagraphFont"/>
    <w:rsid w:val="009C17F5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9C17F5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540389"/>
    <w:rPr>
      <w:color w:val="auto"/>
      <w:u w:val="none"/>
    </w:rPr>
  </w:style>
  <w:style w:type="character" w:styleId="FollowedHyperlink">
    <w:name w:val="FollowedHyperlink"/>
    <w:basedOn w:val="DefaultParagraphFont"/>
    <w:rsid w:val="00540389"/>
    <w:rPr>
      <w:color w:val="auto"/>
      <w:u w:val="none"/>
    </w:rPr>
  </w:style>
  <w:style w:type="paragraph" w:customStyle="1" w:styleId="ParNoG">
    <w:name w:val="_ParNo_G"/>
    <w:basedOn w:val="SingleTxtG"/>
    <w:rsid w:val="009D6F78"/>
    <w:pPr>
      <w:numPr>
        <w:numId w:val="3"/>
      </w:numPr>
    </w:pPr>
  </w:style>
  <w:style w:type="character" w:customStyle="1" w:styleId="SingleTxtGChar">
    <w:name w:val="_ Single Txt_G Char"/>
    <w:link w:val="SingleTxtG"/>
    <w:locked/>
    <w:rsid w:val="00E07A90"/>
    <w:rPr>
      <w:lang w:val="fr-CH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1</TotalTime>
  <Pages>2</Pages>
  <Words>518</Words>
  <Characters>2962</Characters>
  <Application>Microsoft Office Outlook</Application>
  <DocSecurity>4</DocSecurity>
  <Lines>72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CERD/C/UZB/Q/8-9</vt:lpstr>
    </vt:vector>
  </TitlesOfParts>
  <Company>CSD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CERD/C/UZB/Q/8-9</dc:title>
  <dc:subject/>
  <dc:creator>Clere</dc:creator>
  <cp:keywords/>
  <dc:description/>
  <cp:lastModifiedBy>Clere</cp:lastModifiedBy>
  <cp:revision>2</cp:revision>
  <cp:lastPrinted>2013-12-23T12:17:00Z</cp:lastPrinted>
  <dcterms:created xsi:type="dcterms:W3CDTF">2013-12-23T12:30:00Z</dcterms:created>
  <dcterms:modified xsi:type="dcterms:W3CDTF">2013-12-23T12:30:00Z</dcterms:modified>
</cp:coreProperties>
</file>