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5339C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39C5" w:rsidP="005339C5">
            <w:pPr>
              <w:jc w:val="right"/>
            </w:pPr>
            <w:r w:rsidRPr="005339C5">
              <w:rPr>
                <w:sz w:val="40"/>
              </w:rPr>
              <w:t>CERD</w:t>
            </w:r>
            <w:r>
              <w:t>/C/UZB/Q/8-9</w:t>
            </w:r>
          </w:p>
        </w:tc>
      </w:tr>
      <w:tr w:rsidR="002D5AAC" w:rsidTr="005339C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339C5" w:rsidRDefault="005339C5" w:rsidP="00B778C8">
            <w:pPr>
              <w:spacing w:before="240"/>
            </w:pPr>
            <w:r>
              <w:t>Distr. general</w:t>
            </w:r>
          </w:p>
          <w:p w:rsidR="005339C5" w:rsidRDefault="005339C5" w:rsidP="005339C5">
            <w:pPr>
              <w:spacing w:line="240" w:lineRule="exact"/>
            </w:pPr>
            <w:r>
              <w:t>16 de diciembre de 2013</w:t>
            </w:r>
          </w:p>
          <w:p w:rsidR="005339C5" w:rsidRDefault="005339C5" w:rsidP="005339C5">
            <w:pPr>
              <w:spacing w:line="240" w:lineRule="exact"/>
            </w:pPr>
            <w:r>
              <w:t>Español</w:t>
            </w:r>
          </w:p>
          <w:p w:rsidR="002D5AAC" w:rsidRDefault="005339C5" w:rsidP="005339C5">
            <w:pPr>
              <w:spacing w:line="240" w:lineRule="exact"/>
            </w:pPr>
            <w:r>
              <w:t>Original: inglés</w:t>
            </w:r>
          </w:p>
        </w:tc>
      </w:tr>
    </w:tbl>
    <w:p w:rsidR="005339C5" w:rsidRPr="00551728" w:rsidRDefault="005339C5" w:rsidP="005339C5">
      <w:pPr>
        <w:spacing w:before="120"/>
        <w:ind w:left="340" w:hanging="340"/>
        <w:rPr>
          <w:b/>
          <w:sz w:val="24"/>
          <w:szCs w:val="24"/>
        </w:rPr>
      </w:pPr>
      <w:r w:rsidRPr="00551728">
        <w:rPr>
          <w:b/>
          <w:sz w:val="24"/>
          <w:szCs w:val="24"/>
        </w:rPr>
        <w:t>Comité para la Eliminación de la Discriminación Racial</w:t>
      </w:r>
    </w:p>
    <w:p w:rsidR="005339C5" w:rsidRPr="00E6299E" w:rsidRDefault="005339C5" w:rsidP="005339C5">
      <w:pPr>
        <w:rPr>
          <w:b/>
        </w:rPr>
      </w:pPr>
      <w:r w:rsidRPr="00E6299E">
        <w:rPr>
          <w:b/>
        </w:rPr>
        <w:t>84º período de sesiones</w:t>
      </w:r>
    </w:p>
    <w:p w:rsidR="005339C5" w:rsidRPr="00E6299E" w:rsidRDefault="005339C5" w:rsidP="005339C5">
      <w:r w:rsidRPr="00E6299E">
        <w:t>3 a 21 de febrero de 2014</w:t>
      </w:r>
    </w:p>
    <w:p w:rsidR="005339C5" w:rsidRPr="00E6299E" w:rsidRDefault="005339C5" w:rsidP="005339C5">
      <w:r w:rsidRPr="00E6299E">
        <w:t>Tema 6 del programa provisional</w:t>
      </w:r>
    </w:p>
    <w:p w:rsidR="005339C5" w:rsidRDefault="005339C5" w:rsidP="005339C5">
      <w:pPr>
        <w:rPr>
          <w:b/>
        </w:rPr>
      </w:pPr>
      <w:r w:rsidRPr="00E6299E">
        <w:rPr>
          <w:b/>
        </w:rPr>
        <w:t>Examen de lo</w:t>
      </w:r>
      <w:r>
        <w:rPr>
          <w:b/>
        </w:rPr>
        <w:t>s informes, las observaciones y la</w:t>
      </w:r>
    </w:p>
    <w:p w:rsidR="005339C5" w:rsidRDefault="005339C5" w:rsidP="005339C5">
      <w:pPr>
        <w:rPr>
          <w:b/>
        </w:rPr>
      </w:pPr>
      <w:r w:rsidRPr="00E6299E">
        <w:rPr>
          <w:b/>
        </w:rPr>
        <w:t>informac</w:t>
      </w:r>
      <w:r>
        <w:rPr>
          <w:b/>
        </w:rPr>
        <w:t xml:space="preserve">ión </w:t>
      </w:r>
      <w:r w:rsidRPr="00E6299E">
        <w:rPr>
          <w:b/>
        </w:rPr>
        <w:t>pre</w:t>
      </w:r>
      <w:r>
        <w:rPr>
          <w:b/>
        </w:rPr>
        <w:t>sentados por los Estados partes</w:t>
      </w:r>
    </w:p>
    <w:p w:rsidR="005339C5" w:rsidRPr="00E6299E" w:rsidRDefault="005339C5" w:rsidP="005339C5">
      <w:pPr>
        <w:rPr>
          <w:b/>
        </w:rPr>
      </w:pPr>
      <w:r w:rsidRPr="00E6299E">
        <w:rPr>
          <w:b/>
        </w:rPr>
        <w:t>en virtud del artículo 9 de la Convención</w:t>
      </w:r>
    </w:p>
    <w:p w:rsidR="005339C5" w:rsidRPr="00E6299E" w:rsidRDefault="005339C5" w:rsidP="005339C5">
      <w:pPr>
        <w:pStyle w:val="HChG"/>
      </w:pPr>
      <w:r w:rsidRPr="00E6299E">
        <w:rPr>
          <w:vertAlign w:val="superscript"/>
        </w:rPr>
        <w:tab/>
      </w:r>
      <w:r w:rsidRPr="00E6299E">
        <w:rPr>
          <w:vertAlign w:val="superscript"/>
        </w:rPr>
        <w:tab/>
      </w:r>
      <w:r w:rsidRPr="00E6299E">
        <w:t>Lista de temas relativa a l</w:t>
      </w:r>
      <w:r>
        <w:t>os informes periódicos octavo y </w:t>
      </w:r>
      <w:r w:rsidRPr="00E6299E">
        <w:t>noveno combinados de Uzbekistán (CERD/C/UZB/8-9)</w:t>
      </w:r>
    </w:p>
    <w:p w:rsidR="005339C5" w:rsidRDefault="005339C5" w:rsidP="005339C5">
      <w:pPr>
        <w:pStyle w:val="H1G"/>
      </w:pPr>
      <w:r w:rsidRPr="00E6299E">
        <w:tab/>
      </w:r>
      <w:r w:rsidRPr="00E6299E">
        <w:tab/>
        <w:t>Nota del Relator para el país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5339C5" w:rsidTr="005339C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339C5" w:rsidRDefault="005339C5" w:rsidP="005339C5">
            <w:pPr>
              <w:spacing w:line="240" w:lineRule="auto"/>
            </w:pPr>
          </w:p>
        </w:tc>
      </w:tr>
      <w:tr w:rsidR="005339C5" w:rsidTr="00533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339C5" w:rsidRDefault="005339C5" w:rsidP="005339C5">
            <w:pPr>
              <w:spacing w:after="120"/>
              <w:jc w:val="both"/>
            </w:pPr>
            <w:r>
              <w:tab/>
            </w:r>
            <w:r w:rsidRPr="00B006FF">
              <w:t>El Comité para la Eliminación de la Discriminación Racial decidió en su 76º período de sesiones (A/65/18,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      </w:r>
          </w:p>
        </w:tc>
      </w:tr>
      <w:tr w:rsidR="005339C5" w:rsidTr="005339C5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339C5" w:rsidRDefault="005339C5" w:rsidP="005339C5">
            <w:pPr>
              <w:spacing w:line="240" w:lineRule="auto"/>
            </w:pPr>
          </w:p>
        </w:tc>
      </w:tr>
    </w:tbl>
    <w:p w:rsidR="005339C5" w:rsidRPr="00E6299E" w:rsidRDefault="005339C5" w:rsidP="005339C5">
      <w:pPr>
        <w:pStyle w:val="H23G"/>
      </w:pPr>
      <w:r w:rsidRPr="00E6299E">
        <w:tab/>
        <w:t>1.</w:t>
      </w:r>
      <w:r w:rsidRPr="00E6299E">
        <w:tab/>
        <w:t>Legis</w:t>
      </w:r>
      <w:r>
        <w:t>lación conforme a la Convención</w:t>
      </w:r>
    </w:p>
    <w:p w:rsidR="005339C5" w:rsidRPr="00B006FF" w:rsidRDefault="005339C5" w:rsidP="005339C5">
      <w:pPr>
        <w:pStyle w:val="SingleTxtG"/>
      </w:pPr>
      <w:r>
        <w:tab/>
        <w:t>a)</w:t>
      </w:r>
      <w:r>
        <w:tab/>
      </w:r>
      <w:r w:rsidRPr="00B006FF">
        <w:t>Lugar que ocupa la Convención en el sistema legislativo del Estado parte y ejemplos pertinentes de causas en las que se haya invocado la Convención;</w:t>
      </w:r>
    </w:p>
    <w:p w:rsidR="005339C5" w:rsidRPr="00B006FF" w:rsidRDefault="005339C5" w:rsidP="005339C5">
      <w:pPr>
        <w:pStyle w:val="SingleTxtG"/>
      </w:pPr>
      <w:r>
        <w:tab/>
        <w:t>b)</w:t>
      </w:r>
      <w:r>
        <w:tab/>
      </w:r>
      <w:r w:rsidRPr="00B006FF">
        <w:t>Incorporación de una definición de discriminación rac</w:t>
      </w:r>
      <w:r>
        <w:t>ial en la legislación nacional;</w:t>
      </w:r>
    </w:p>
    <w:p w:rsidR="005339C5" w:rsidRPr="00B006FF" w:rsidRDefault="005339C5" w:rsidP="005339C5">
      <w:pPr>
        <w:pStyle w:val="SingleTxtG"/>
      </w:pPr>
      <w:r>
        <w:tab/>
        <w:t>c)</w:t>
      </w:r>
      <w:r>
        <w:tab/>
      </w:r>
      <w:r w:rsidRPr="00B006FF">
        <w:t>Legislación aprobada para aplicar el artículo 4 de la Convención y casos de aplicación.</w:t>
      </w:r>
    </w:p>
    <w:p w:rsidR="005339C5" w:rsidRPr="00E6299E" w:rsidRDefault="005339C5" w:rsidP="005339C5">
      <w:pPr>
        <w:pStyle w:val="H23G"/>
      </w:pPr>
      <w:r w:rsidRPr="00E6299E">
        <w:tab/>
        <w:t>2.</w:t>
      </w:r>
      <w:r w:rsidRPr="00E6299E">
        <w:tab/>
        <w:t>Marco institucional para la aplicación de la Convención</w:t>
      </w:r>
    </w:p>
    <w:p w:rsidR="005339C5" w:rsidRPr="00B006FF" w:rsidRDefault="005339C5" w:rsidP="005339C5">
      <w:pPr>
        <w:pStyle w:val="SingleTxtG"/>
      </w:pPr>
      <w:r>
        <w:tab/>
        <w:t>a)</w:t>
      </w:r>
      <w:r>
        <w:tab/>
      </w:r>
      <w:r w:rsidRPr="00B006FF">
        <w:t xml:space="preserve">Competencias de los diferentes órganos (por ejemplo, el </w:t>
      </w:r>
      <w:r w:rsidRPr="005339C5">
        <w:rPr>
          <w:i/>
        </w:rPr>
        <w:t>ombudsman</w:t>
      </w:r>
      <w:r w:rsidRPr="00B006FF">
        <w:t xml:space="preserve"> y los órganos judiciales, parlamentarios, etc.);</w:t>
      </w:r>
    </w:p>
    <w:p w:rsidR="005339C5" w:rsidRPr="00B006FF" w:rsidRDefault="005339C5" w:rsidP="005339C5">
      <w:pPr>
        <w:pStyle w:val="SingleTxtG"/>
      </w:pPr>
      <w:r>
        <w:tab/>
        <w:t>b)</w:t>
      </w:r>
      <w:r>
        <w:tab/>
      </w:r>
      <w:r w:rsidRPr="00B006FF">
        <w:t>Establecimiento de una institucional nacional de derechos humanos que obedezca a los criterios de los Principios de París;</w:t>
      </w:r>
    </w:p>
    <w:p w:rsidR="005339C5" w:rsidRPr="00B006FF" w:rsidRDefault="005339C5" w:rsidP="005339C5">
      <w:pPr>
        <w:pStyle w:val="SingleTxtG"/>
      </w:pPr>
      <w:r>
        <w:tab/>
        <w:t>c)</w:t>
      </w:r>
      <w:r>
        <w:tab/>
      </w:r>
      <w:r w:rsidRPr="00B006FF">
        <w:t>Composición y actividades del Centro Nacional de Derechos Humanos y de</w:t>
      </w:r>
      <w:r>
        <w:t>l Centro Cultural Interétnico;</w:t>
      </w:r>
    </w:p>
    <w:p w:rsidR="005339C5" w:rsidRPr="00B006FF" w:rsidRDefault="005339C5" w:rsidP="005339C5">
      <w:pPr>
        <w:pStyle w:val="SingleTxtG"/>
      </w:pPr>
      <w:r>
        <w:tab/>
        <w:t>d)</w:t>
      </w:r>
      <w:r>
        <w:tab/>
      </w:r>
      <w:r w:rsidRPr="00B006FF">
        <w:t>Actividades en las que participan las organizaciones no gubernamentales que se ocupan de cuestiones relativas a los derechos humanos.</w:t>
      </w:r>
    </w:p>
    <w:p w:rsidR="005339C5" w:rsidRPr="00E6299E" w:rsidRDefault="005339C5" w:rsidP="005339C5">
      <w:pPr>
        <w:pStyle w:val="H23G"/>
      </w:pPr>
      <w:r w:rsidRPr="00E6299E">
        <w:tab/>
        <w:t>3.</w:t>
      </w:r>
      <w:r w:rsidRPr="00E6299E">
        <w:tab/>
        <w:t>Situación de las personas que pertenecen a grupos minoritarios (romaníes, karakalpakos, rusos, tayikos, kirguisos, kazajos y otros)</w:t>
      </w:r>
    </w:p>
    <w:p w:rsidR="005339C5" w:rsidRPr="00B006FF" w:rsidRDefault="005339C5" w:rsidP="005339C5">
      <w:pPr>
        <w:pStyle w:val="SingleTxtG"/>
      </w:pPr>
      <w:r>
        <w:tab/>
        <w:t>a)</w:t>
      </w:r>
      <w:r>
        <w:tab/>
        <w:t>Relaciones interétnicas;</w:t>
      </w:r>
    </w:p>
    <w:p w:rsidR="005339C5" w:rsidRPr="00B006FF" w:rsidRDefault="005339C5" w:rsidP="005339C5">
      <w:pPr>
        <w:pStyle w:val="SingleTxtG"/>
      </w:pPr>
      <w:r>
        <w:tab/>
        <w:t>b)</w:t>
      </w:r>
      <w:r>
        <w:tab/>
      </w:r>
      <w:r w:rsidRPr="00B006FF">
        <w:t>Situación de las personas pertenecientes a grupos minoritarios, particularmente en los ámbitos del empleo, la educación y la atención de la salud;</w:t>
      </w:r>
    </w:p>
    <w:p w:rsidR="005339C5" w:rsidRPr="00B006FF" w:rsidRDefault="005339C5" w:rsidP="005339C5">
      <w:pPr>
        <w:pStyle w:val="SingleTxtG"/>
      </w:pPr>
      <w:r>
        <w:tab/>
        <w:t>c)</w:t>
      </w:r>
      <w:r>
        <w:tab/>
      </w:r>
      <w:r w:rsidRPr="00B006FF">
        <w:t>Órganos que representan los intereses de los grupos minoritarios e instrumentos de diálogo;</w:t>
      </w:r>
    </w:p>
    <w:p w:rsidR="005339C5" w:rsidRPr="00B006FF" w:rsidRDefault="005339C5" w:rsidP="005339C5">
      <w:pPr>
        <w:pStyle w:val="SingleTxtG"/>
      </w:pPr>
      <w:r>
        <w:tab/>
        <w:t>d)</w:t>
      </w:r>
      <w:r>
        <w:tab/>
      </w:r>
      <w:r w:rsidRPr="00B006FF">
        <w:t>Competencias de las organizaciones del sistema de l</w:t>
      </w:r>
      <w:r>
        <w:t xml:space="preserve">as </w:t>
      </w:r>
      <w:r w:rsidRPr="005339C5">
        <w:rPr>
          <w:i/>
        </w:rPr>
        <w:t>majallias</w:t>
      </w:r>
      <w:r>
        <w:t xml:space="preserve"> y de los </w:t>
      </w:r>
      <w:r w:rsidRPr="005339C5">
        <w:rPr>
          <w:i/>
        </w:rPr>
        <w:t>komolots</w:t>
      </w:r>
      <w:r>
        <w:t>;</w:t>
      </w:r>
    </w:p>
    <w:p w:rsidR="005339C5" w:rsidRPr="00B006FF" w:rsidRDefault="005339C5" w:rsidP="005339C5">
      <w:pPr>
        <w:pStyle w:val="SingleTxtG"/>
      </w:pPr>
      <w:r>
        <w:tab/>
        <w:t>e)</w:t>
      </w:r>
      <w:r>
        <w:tab/>
      </w:r>
      <w:r w:rsidRPr="00B006FF">
        <w:t>Situación económica y social en la República de Karakalpakstán, incluidas las medidas adoptadas para dar respuesta al desastre medioambiental del Mar de Aral.</w:t>
      </w:r>
    </w:p>
    <w:p w:rsidR="005339C5" w:rsidRPr="00E6299E" w:rsidRDefault="005339C5" w:rsidP="005339C5">
      <w:pPr>
        <w:pStyle w:val="H23G"/>
      </w:pPr>
      <w:r w:rsidRPr="00E6299E">
        <w:tab/>
        <w:t>4.</w:t>
      </w:r>
      <w:r w:rsidRPr="00E6299E">
        <w:tab/>
        <w:t>Situación de los no ciudadanos: inmigrantes, refu</w:t>
      </w:r>
      <w:r>
        <w:t>giados, solicitantes de asilo y </w:t>
      </w:r>
      <w:r w:rsidRPr="00E6299E">
        <w:t>apátridas</w:t>
      </w:r>
    </w:p>
    <w:p w:rsidR="005339C5" w:rsidRPr="00B006FF" w:rsidRDefault="005339C5" w:rsidP="005339C5">
      <w:pPr>
        <w:pStyle w:val="SingleTxtG"/>
      </w:pPr>
      <w:r>
        <w:tab/>
        <w:t>a)</w:t>
      </w:r>
      <w:r>
        <w:tab/>
      </w:r>
      <w:r w:rsidRPr="00B006FF">
        <w:t>Su situación en el país;</w:t>
      </w:r>
    </w:p>
    <w:p w:rsidR="005339C5" w:rsidRPr="00B006FF" w:rsidRDefault="005339C5" w:rsidP="005339C5">
      <w:pPr>
        <w:pStyle w:val="SingleTxtG"/>
      </w:pPr>
      <w:r>
        <w:tab/>
        <w:t>b)</w:t>
      </w:r>
      <w:r>
        <w:tab/>
      </w:r>
      <w:r w:rsidRPr="00B006FF">
        <w:t>Acceso al empleo, la educación, la atención de la salud y la ciudadanía;</w:t>
      </w:r>
    </w:p>
    <w:p w:rsidR="005339C5" w:rsidRPr="00B006FF" w:rsidRDefault="005339C5" w:rsidP="005339C5">
      <w:pPr>
        <w:pStyle w:val="SingleTxtG"/>
      </w:pPr>
      <w:r>
        <w:tab/>
        <w:t>c)</w:t>
      </w:r>
      <w:r>
        <w:tab/>
      </w:r>
      <w:r w:rsidRPr="00B006FF">
        <w:t>Grupos que corren el riesgo de ser sometidos a la trata.</w:t>
      </w:r>
    </w:p>
    <w:p w:rsidR="005339C5" w:rsidRPr="00E6299E" w:rsidRDefault="005339C5" w:rsidP="005339C5">
      <w:pPr>
        <w:pStyle w:val="H23G"/>
      </w:pPr>
      <w:r w:rsidRPr="00E6299E">
        <w:tab/>
        <w:t>5.</w:t>
      </w:r>
      <w:r w:rsidRPr="00E6299E">
        <w:tab/>
        <w:t>Seguimiento de las recomendaciones del Examen Periódico Universal (EPU</w:t>
      </w:r>
      <w:r>
        <w:t>) aceptadas por el Estado parte</w:t>
      </w:r>
    </w:p>
    <w:p w:rsidR="005339C5" w:rsidRPr="00B006FF" w:rsidRDefault="005339C5" w:rsidP="005339C5">
      <w:pPr>
        <w:pStyle w:val="SingleTxtG"/>
      </w:pPr>
      <w:r>
        <w:tab/>
        <w:t>a)</w:t>
      </w:r>
      <w:r>
        <w:tab/>
      </w:r>
      <w:r w:rsidRPr="00B006FF">
        <w:t>Medidas adoptadas para aplicar las recomendaciones relativas a la mejora del mecanismo de vigilancia de la aplicación efectiva de la Convención;</w:t>
      </w:r>
    </w:p>
    <w:p w:rsidR="005339C5" w:rsidRDefault="005339C5" w:rsidP="005339C5">
      <w:pPr>
        <w:pStyle w:val="SingleTxtG"/>
      </w:pPr>
      <w:r>
        <w:tab/>
        <w:t>b)</w:t>
      </w:r>
      <w:r>
        <w:tab/>
      </w:r>
      <w:r w:rsidRPr="00B006FF">
        <w:t>Medidas adoptadas para aplicar las recomendaciones relativas a la educación y la capacitación de los miembros de las fuerzas del orden y del poder judicial en las esferas de los derechos humanos y la lucha contra la trata de mujeres y niños.</w:t>
      </w:r>
    </w:p>
    <w:p w:rsidR="005339C5" w:rsidRPr="00B006FF" w:rsidRDefault="005339C5" w:rsidP="005339C5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39C5" w:rsidRPr="00B006FF" w:rsidSect="005339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97" w:rsidRPr="00D43FF0" w:rsidRDefault="00DE3D97" w:rsidP="00D43FF0">
      <w:pPr>
        <w:pStyle w:val="Footer"/>
      </w:pPr>
    </w:p>
  </w:endnote>
  <w:endnote w:type="continuationSeparator" w:id="0">
    <w:p w:rsidR="00DE3D97" w:rsidRPr="00D43FF0" w:rsidRDefault="00DE3D97" w:rsidP="00D43FF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5" w:rsidRPr="005339C5" w:rsidRDefault="005339C5" w:rsidP="005339C5">
    <w:pPr>
      <w:pStyle w:val="Footer"/>
      <w:tabs>
        <w:tab w:val="right" w:pos="9638"/>
      </w:tabs>
    </w:pPr>
    <w:r w:rsidRPr="005339C5">
      <w:rPr>
        <w:b/>
        <w:sz w:val="18"/>
      </w:rPr>
      <w:fldChar w:fldCharType="begin"/>
    </w:r>
    <w:r w:rsidRPr="005339C5">
      <w:rPr>
        <w:b/>
        <w:sz w:val="18"/>
      </w:rPr>
      <w:instrText xml:space="preserve"> PAGE  \* MERGEFORMAT </w:instrText>
    </w:r>
    <w:r w:rsidRPr="005339C5">
      <w:rPr>
        <w:b/>
        <w:sz w:val="18"/>
      </w:rPr>
      <w:fldChar w:fldCharType="separate"/>
    </w:r>
    <w:r w:rsidR="001637B5">
      <w:rPr>
        <w:b/>
        <w:noProof/>
        <w:sz w:val="18"/>
      </w:rPr>
      <w:t>2</w:t>
    </w:r>
    <w:r w:rsidRPr="005339C5">
      <w:rPr>
        <w:b/>
        <w:sz w:val="18"/>
      </w:rPr>
      <w:fldChar w:fldCharType="end"/>
    </w:r>
    <w:r>
      <w:rPr>
        <w:b/>
        <w:sz w:val="18"/>
      </w:rPr>
      <w:tab/>
    </w:r>
    <w:r>
      <w:t>GE.13-49638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5" w:rsidRPr="005339C5" w:rsidRDefault="005339C5" w:rsidP="005339C5">
    <w:pPr>
      <w:pStyle w:val="Footer"/>
      <w:tabs>
        <w:tab w:val="right" w:pos="9638"/>
      </w:tabs>
      <w:rPr>
        <w:b/>
        <w:sz w:val="18"/>
      </w:rPr>
    </w:pPr>
    <w:r>
      <w:t>GE.13-49638</w:t>
    </w:r>
    <w:r>
      <w:tab/>
    </w:r>
    <w:r w:rsidRPr="005339C5">
      <w:rPr>
        <w:b/>
        <w:sz w:val="18"/>
      </w:rPr>
      <w:fldChar w:fldCharType="begin"/>
    </w:r>
    <w:r w:rsidRPr="005339C5">
      <w:rPr>
        <w:b/>
        <w:sz w:val="18"/>
      </w:rPr>
      <w:instrText xml:space="preserve"> PAGE  \* MERGEFORMAT </w:instrText>
    </w:r>
    <w:r w:rsidRPr="005339C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339C5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5" w:rsidRDefault="005339C5" w:rsidP="005339C5">
    <w:pPr>
      <w:pStyle w:val="Footer"/>
      <w:spacing w:before="240"/>
      <w:rPr>
        <w:sz w:val="20"/>
      </w:rPr>
    </w:pPr>
    <w:r>
      <w:rPr>
        <w:sz w:val="20"/>
      </w:rPr>
      <w:t>GE.</w:t>
    </w:r>
    <w:r w:rsidR="00837D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 w:rsidR="00DD299C">
      <w:rPr>
        <w:sz w:val="20"/>
      </w:rPr>
      <w:t>13-49638  (S)    030114    07</w:t>
    </w:r>
    <w:r>
      <w:rPr>
        <w:sz w:val="20"/>
      </w:rPr>
      <w:t>0114</w:t>
    </w:r>
  </w:p>
  <w:p w:rsidR="00837D73" w:rsidRPr="005339C5" w:rsidRDefault="005339C5" w:rsidP="005339C5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8-9&amp;Size=2&amp;Lang=S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97" w:rsidRPr="001075E9" w:rsidRDefault="00DE3D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3D97" w:rsidRDefault="00DE3D97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5" w:rsidRPr="005339C5" w:rsidRDefault="005339C5">
    <w:pPr>
      <w:pStyle w:val="Header"/>
    </w:pPr>
    <w:r>
      <w:t>CERD/C/UZB/Q/8-9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5" w:rsidRPr="005339C5" w:rsidRDefault="005339C5" w:rsidP="005339C5">
    <w:pPr>
      <w:pStyle w:val="Header"/>
      <w:jc w:val="right"/>
    </w:pPr>
    <w:r>
      <w:t>CERD/C/UZB/Q/8-9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73"/>
    <w:rsid w:val="00006BB9"/>
    <w:rsid w:val="000107A1"/>
    <w:rsid w:val="0002339D"/>
    <w:rsid w:val="00036733"/>
    <w:rsid w:val="000B57E7"/>
    <w:rsid w:val="000F09DF"/>
    <w:rsid w:val="000F61B2"/>
    <w:rsid w:val="00103A93"/>
    <w:rsid w:val="001075E9"/>
    <w:rsid w:val="00133DFF"/>
    <w:rsid w:val="00145F2F"/>
    <w:rsid w:val="00160FF7"/>
    <w:rsid w:val="001637B5"/>
    <w:rsid w:val="00180183"/>
    <w:rsid w:val="00196389"/>
    <w:rsid w:val="001C7A89"/>
    <w:rsid w:val="00201F1A"/>
    <w:rsid w:val="002433EC"/>
    <w:rsid w:val="0025226E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4841C7"/>
    <w:rsid w:val="004C088B"/>
    <w:rsid w:val="0050108D"/>
    <w:rsid w:val="0051740C"/>
    <w:rsid w:val="005339C5"/>
    <w:rsid w:val="00572E19"/>
    <w:rsid w:val="005F0B42"/>
    <w:rsid w:val="00634841"/>
    <w:rsid w:val="00655A21"/>
    <w:rsid w:val="006725B3"/>
    <w:rsid w:val="006808A9"/>
    <w:rsid w:val="006D631C"/>
    <w:rsid w:val="006F35EE"/>
    <w:rsid w:val="007021FF"/>
    <w:rsid w:val="007076CB"/>
    <w:rsid w:val="007967DF"/>
    <w:rsid w:val="00797926"/>
    <w:rsid w:val="00834B71"/>
    <w:rsid w:val="00837D73"/>
    <w:rsid w:val="0086445C"/>
    <w:rsid w:val="00865FAC"/>
    <w:rsid w:val="008728CD"/>
    <w:rsid w:val="008A08D7"/>
    <w:rsid w:val="008A13F9"/>
    <w:rsid w:val="008C0F65"/>
    <w:rsid w:val="00906890"/>
    <w:rsid w:val="00951972"/>
    <w:rsid w:val="00954E65"/>
    <w:rsid w:val="00A17DFD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60F0C"/>
    <w:rsid w:val="00C63C2A"/>
    <w:rsid w:val="00C805C9"/>
    <w:rsid w:val="00CA1679"/>
    <w:rsid w:val="00D05347"/>
    <w:rsid w:val="00D43FF0"/>
    <w:rsid w:val="00D90138"/>
    <w:rsid w:val="00DA26B8"/>
    <w:rsid w:val="00DD299C"/>
    <w:rsid w:val="00DD4E25"/>
    <w:rsid w:val="00DE3D97"/>
    <w:rsid w:val="00E73F76"/>
    <w:rsid w:val="00EA31D8"/>
    <w:rsid w:val="00EA5579"/>
    <w:rsid w:val="00EF1360"/>
    <w:rsid w:val="00EF3220"/>
    <w:rsid w:val="00EF7198"/>
    <w:rsid w:val="00F41883"/>
    <w:rsid w:val="00F94155"/>
    <w:rsid w:val="00FD2EF7"/>
    <w:rsid w:val="00FD4AD6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semiHidden/>
    <w:rsid w:val="00EA31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2</Pages>
  <Words>541</Words>
  <Characters>2978</Characters>
  <Application>Microsoft Office Outlook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CERD/C/UZB/Q/8-9</vt:lpstr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CERD/C/UZB/Q/8-9</dc:title>
  <dc:subject>Final</dc:subject>
  <dc:creator>Ángel Moreno</dc:creator>
  <cp:keywords/>
  <dc:description/>
  <cp:lastModifiedBy>María de la Plaza</cp:lastModifiedBy>
  <cp:revision>2</cp:revision>
  <cp:lastPrinted>2008-01-16T09:37:00Z</cp:lastPrinted>
  <dcterms:created xsi:type="dcterms:W3CDTF">2014-01-06T14:57:00Z</dcterms:created>
  <dcterms:modified xsi:type="dcterms:W3CDTF">2014-01-06T14:57:00Z</dcterms:modified>
</cp:coreProperties>
</file>