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44082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130809    130809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54736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CCPR/C/UZB/Q/3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6 August 2009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ПРАВАМ ЧЕЛОВЕКА</w:t>
      </w:r>
    </w:p>
    <w:p w:rsidR="00000000" w:rsidRDefault="00000000">
      <w:r>
        <w:t>Девяносто шестая сессия</w:t>
      </w:r>
    </w:p>
    <w:p w:rsidR="00000000" w:rsidRDefault="00000000">
      <w:r>
        <w:t>Женева, 13-31 июля 2009 года</w:t>
      </w: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</w:rPr>
        <w:t xml:space="preserve">ПЕРЕЧЕНЬ ВОПРОСОВ, ПОДЛЕЖАЩИХ ОБСУЖДЕНИЮ В СВЯЗИ </w:t>
      </w:r>
      <w:r>
        <w:rPr>
          <w:b/>
        </w:rPr>
        <w:br/>
        <w:t>С РАССМОТРЕНИЕМ ТРЕТЬЕГО ПЕРИОДИЧЕСКОГО ДОКЛАДА</w:t>
      </w:r>
      <w:r>
        <w:rPr>
          <w:b/>
        </w:rPr>
        <w:br/>
        <w:t>УЗБЕКИСТАНА</w:t>
      </w:r>
      <w:r>
        <w:rPr>
          <w:b/>
          <w:lang w:val="en-US"/>
        </w:rPr>
        <w:t xml:space="preserve"> `</w:t>
      </w:r>
      <w:r>
        <w:rPr>
          <w:b/>
          <w:bCs/>
        </w:rPr>
        <w:t>(CCPR/C/UZB/3)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Конституционная и правовая основа осуществления Пакта и Факультативного протокола, право на эффективное средство правовой защиты (статья 2)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rPr>
          <w:bCs/>
        </w:rPr>
        <w:t>1.</w:t>
      </w:r>
      <w:r>
        <w:rPr>
          <w:bCs/>
        </w:rPr>
        <w:tab/>
        <w:t>Просьба привести примеры слу</w:t>
      </w:r>
      <w:r>
        <w:rPr>
          <w:rFonts w:ascii="SimSun" w:eastAsia="SimSun" w:hAnsi="SimSun"/>
          <w:bCs/>
        </w:rPr>
        <w:t>ч</w:t>
      </w:r>
      <w:r>
        <w:rPr>
          <w:bCs/>
        </w:rPr>
        <w:t xml:space="preserve">аев, когда на положения Пакта делались прямые или косвенные ссылки в судах или самими судами государства-участника, и пояснить, действительно ли Пакт является напрямую применимым в качестве национального закона (доклад государства-участника, </w:t>
      </w:r>
      <w:r>
        <w:rPr>
          <w:lang w:val="en-GB"/>
        </w:rPr>
        <w:t>CCPR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UZB</w:t>
      </w:r>
      <w:r>
        <w:t>/3, пункты 135 и 158).</w:t>
      </w:r>
    </w:p>
    <w:p w:rsidR="00000000" w:rsidRDefault="00000000">
      <w:pPr>
        <w:ind w:left="567" w:hanging="567"/>
      </w:pPr>
    </w:p>
    <w:p w:rsidR="00000000" w:rsidRDefault="00000000">
      <w:r>
        <w:t>2.</w:t>
      </w:r>
      <w:r>
        <w:tab/>
        <w:t xml:space="preserve">Просьба представить информацию о действующих процедурах осуществления соображений Комитета в соответствии с Факультативным протоколом.  Просьба также указать, какие меры были приняты государством-участником для осуществления в полном объеме многочисленных соображений Комитета в соответствии с Факультативным протоколом, в частности сообщений № 915/2000, </w:t>
      </w:r>
      <w:r>
        <w:rPr>
          <w:i/>
        </w:rPr>
        <w:t>Султанова против Узбекистана</w:t>
      </w:r>
      <w:r>
        <w:t xml:space="preserve">, № 1017/2001 и № 1066/2001, </w:t>
      </w:r>
      <w:r>
        <w:rPr>
          <w:i/>
        </w:rPr>
        <w:t>Страхов, Файзулаев против Узбекистана</w:t>
      </w:r>
      <w:r>
        <w:t xml:space="preserve">, № 1043/2002, </w:t>
      </w:r>
      <w:r>
        <w:rPr>
          <w:i/>
        </w:rPr>
        <w:t>Чикунова против Узбекистана</w:t>
      </w:r>
      <w:r>
        <w:t xml:space="preserve">, № 1041/2002, </w:t>
      </w:r>
      <w:r>
        <w:rPr>
          <w:i/>
        </w:rPr>
        <w:t>Туляганов против Узбекистана</w:t>
      </w:r>
      <w:r>
        <w:t xml:space="preserve">, № 1071/2002, </w:t>
      </w:r>
      <w:r>
        <w:rPr>
          <w:i/>
        </w:rPr>
        <w:t>Агабекова против Узбекистана</w:t>
      </w:r>
      <w:r>
        <w:t xml:space="preserve">, и № 1140/2002, </w:t>
      </w:r>
      <w:r>
        <w:rPr>
          <w:i/>
        </w:rPr>
        <w:t>Худайберганов против Узбекистана</w:t>
      </w:r>
      <w:r>
        <w:t xml:space="preserve">.  Учитывая тот факт, что Комитет счел неудовлетворительными ответы государства-участника в отношении сообщений № 1150/2002, </w:t>
      </w:r>
      <w:r>
        <w:rPr>
          <w:i/>
        </w:rPr>
        <w:t>Утеев против Узбекистана</w:t>
      </w:r>
      <w:r>
        <w:t xml:space="preserve">, № 917/2000, </w:t>
      </w:r>
      <w:r>
        <w:rPr>
          <w:i/>
        </w:rPr>
        <w:t>Арутюнян против Узбекистана</w:t>
      </w:r>
      <w:r>
        <w:t xml:space="preserve">, № 931/2000, </w:t>
      </w:r>
      <w:r>
        <w:rPr>
          <w:i/>
        </w:rPr>
        <w:t>Худойберганова против Узбекистана</w:t>
      </w:r>
      <w:r>
        <w:t xml:space="preserve">, и № 911/2000, </w:t>
      </w:r>
      <w:r>
        <w:rPr>
          <w:i/>
        </w:rPr>
        <w:t>Назаров против Узбекистана</w:t>
      </w:r>
      <w:r>
        <w:t>, просьба указать дополнительные меры, принятые с целью их осуществления.</w:t>
      </w:r>
    </w:p>
    <w:p w:rsidR="00000000" w:rsidRDefault="00000000"/>
    <w:p w:rsidR="00000000" w:rsidRDefault="00000000">
      <w:pPr>
        <w:rPr>
          <w:iCs/>
        </w:rPr>
      </w:pPr>
      <w:r>
        <w:t>3.</w:t>
      </w:r>
      <w:r>
        <w:tab/>
        <w:t xml:space="preserve">Просьба указать, является ли бюро Уполномоченного Олий Мажлиса по правам человека (омбудсмена) национальным правозащитным учреждением, соответствующим Парижским принципам (резолюция 48/134 Генеральной Ассамблеи, приложение).  Просьба также указать, все ли рекомендации Уполномоченного, касающиеся жалоб частных лиц, были в полном объеме выполнены.  Намеревается ли государство-участник укрепить мандат Уполномоченного, в частности в связи с принятием последующих мер по выполнению рекомендаций, касающихся жалоб частных лиц (доклад государства-участника, пункты 141, 169-171, 333 </w:t>
      </w:r>
      <w:r>
        <w:rPr>
          <w:iCs/>
        </w:rPr>
        <w:t>и последующие пункты)</w:t>
      </w:r>
      <w:r>
        <w:t>?</w:t>
      </w:r>
    </w:p>
    <w:p w:rsidR="00000000" w:rsidRDefault="00000000">
      <w:pPr>
        <w:ind w:left="567" w:hanging="567"/>
        <w:rPr>
          <w:iCs/>
        </w:rPr>
      </w:pPr>
    </w:p>
    <w:p w:rsidR="00000000" w:rsidRDefault="00000000">
      <w:r>
        <w:rPr>
          <w:iCs/>
        </w:rPr>
        <w:t>4.</w:t>
      </w:r>
      <w:r>
        <w:rPr>
          <w:iCs/>
        </w:rPr>
        <w:tab/>
        <w:t>Намеревается ли государство-участник провести независимое, с участием международных наблюдателей, расследование случаев предполагаемых внесудебных убийств и чрезмерного применения силы со стороны сотрудников правоприменительных органов в Андижане в мае 2005 года?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 xml:space="preserve">Меры по борьбе с терроризмом, чрезвычайное положение </w:t>
      </w:r>
      <w:r>
        <w:rPr>
          <w:b/>
        </w:rPr>
        <w:br/>
        <w:t>и соблюдение провозглашенных в Пакте прав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5.</w:t>
      </w:r>
      <w:r>
        <w:tab/>
        <w:t>В свете предыдущей рекомендации Комитета просьба указать, каким образом государство-участник гарантирует соответствие его действующих законов о чрезвычайном положении статье 4 Пакта.  Может ли человек пользоваться эффективными средствами правовой защиты во время чрезвычайного положения?  Просьба также представить информацию о статусе и содержании нового законопроекта о чрезвычайном положении (доклад государства-участника, пункт 397, предыдущие заключительные замечания Комитета (</w:t>
      </w:r>
      <w:r>
        <w:rPr>
          <w:lang w:val="en-US"/>
        </w:rPr>
        <w:t>CCPR</w:t>
      </w:r>
      <w:r>
        <w:t>/</w:t>
      </w:r>
      <w:r>
        <w:rPr>
          <w:lang w:val="en-US"/>
        </w:rPr>
        <w:t>CO</w:t>
      </w:r>
      <w:r>
        <w:t>/83/</w:t>
      </w:r>
      <w:r>
        <w:rPr>
          <w:lang w:val="en-US"/>
        </w:rPr>
        <w:t>UZB</w:t>
      </w:r>
      <w:r>
        <w:t>), пункт 13;  ср. Замечание общего порядка № 29 об отступлении от обязательств в связи с чрезвычайным положением).</w:t>
      </w:r>
    </w:p>
    <w:p w:rsidR="00000000" w:rsidRDefault="00000000">
      <w:pPr>
        <w:ind w:left="567" w:hanging="567"/>
      </w:pPr>
    </w:p>
    <w:p w:rsidR="00000000" w:rsidRDefault="00000000">
      <w:r>
        <w:t>6.</w:t>
      </w:r>
      <w:r>
        <w:tab/>
        <w:t>Просьба представить информацию об определении государством-участником понятия "террористические акты" и пояснить, соответствует ли законодательство по этому вопросу всем предусмотренным в Пакте гарантиям, в частности статьям 2, 6, 7, 9 и 14 (доклад государства-участника, пункты 420-421, 439-440 и 446, предыдущие заключительные замечания, пункт 18).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 xml:space="preserve">Дискриминация в отношении женщин и бытовое насилие </w:t>
      </w:r>
      <w:r>
        <w:rPr>
          <w:b/>
        </w:rPr>
        <w:br/>
        <w:t>(статьи 2(1), 3, 7 и 26)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7.</w:t>
      </w:r>
      <w:r>
        <w:tab/>
        <w:t>Просьба представить информацию о мерах, принятых государством-участником для борьбы с практикой похищения молодых женщин с целью принуждения их к вступлению в брак.  Просьба также указать, запрещается ли полигамия законом во всех случаях, и представить информацию о мерах по обеспечению соблюдения предусмотренного законом запрещения полигамии (предыдущие заключительные замечания, пункт 24).  Просьба также указать, внесло ли государство-участник поправки в свой закон о минимальном возрасте вступления в брак для девочек.</w:t>
      </w:r>
    </w:p>
    <w:p w:rsidR="00000000" w:rsidRDefault="00000000">
      <w:pPr>
        <w:ind w:left="567" w:hanging="567"/>
      </w:pPr>
    </w:p>
    <w:p w:rsidR="00000000" w:rsidRDefault="00000000">
      <w:r>
        <w:t>8.</w:t>
      </w:r>
      <w:r>
        <w:tab/>
        <w:t>Просьба указать, приняло ли государство-участник законодательство, которое четко устанавливает уголовную ответственность за бытовое насилие, и имеют ли жертвы доступ к эффективным средствам правовой защиты, включая предоставление приюта.  Если да, то просьба представить подробную информацию о сфере охвата этого законодательства и его содержании.  Какие меры были приняты государством-участником в целях обеспечения эффективного расследования актов бытового насилия, а также судебного преследования и наказания лиц, виновных в их совершении?  Просьба также проинформировать Комитет о содержащемся в Уголовном кодексе определении изнасилования и указать, охватывает ли оно случаи изнасилования в браке, а также изнасилования, совершенные при отсутствии согласия и сопротивления со стороны жертв.  В свете предыдущей рекомендации Комитета просьба указать, проводило ли государство-участник какие-либо информационно-просветительские кампании среди населения (предыдущие заключительные замечания, пункт 23)?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Право на жизнь (статья 6)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9.</w:t>
      </w:r>
      <w:r>
        <w:tab/>
        <w:t>После отмены смертной казни намеревается ли государство-участник заменить все смертные приговоры на другие виды уголовных наказаний?  Если да, то просьба представить информацию о пересмотре этих приговоров, включая информацию о том, какие альтернативные формы наказания планируется применять и какой орган отвечает за принятие этих решений.  Каким образом родственники и адвокаты затрагиваемых лиц информируются об этих решениях, касающихся замены приговоров?  Просьба также представить статистические данные о случаях вынесения смертных приговоров и приведения их в исполнение за отчетный период вплоть до отмены смертной казни, включая число заключенных, приговоренных к смертной казни, число казненных лиц и основания для вынесения приговоров (доклад государства-участника, пункты 437-446, предыдущие заключительные замечания, пункты 6-7).  Какие меры были приняты государством-участником для выполнения предыдущей рекомендации Комитета относительно информирования родственников казненных лиц в государстве-участнике о местах их захоронения и выдачи свидетельств о смерти (предыдущие заключительные замечания, пункт 8).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Запрещение пыток и жестокого, бесчеловечного или унижающего достоинство обращения, свобода и физическая неприкосновенность лиц и обращение с заключенными (статьи 7, 9 и 10)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10.</w:t>
      </w:r>
      <w:r>
        <w:tab/>
        <w:t>В свете предыдущей рекомендации Комитета, а также рекомендаций Комитета против пыток намеревается ли государство-участник привести содержащееся в его Уголовном кодексе определение пытки в соответствие с положениями статьи 7 Пакта и статьи 1 Конвенции против пыток и других жестоких, бесчеловечных или унижающих достоинство видов обращения и наказания (предыдущие заключительные замечания, пункт 9)?</w:t>
      </w:r>
    </w:p>
    <w:p w:rsidR="00000000" w:rsidRDefault="00000000">
      <w:pPr>
        <w:ind w:left="567" w:hanging="567"/>
      </w:pPr>
    </w:p>
    <w:p w:rsidR="00000000" w:rsidRDefault="00000000">
      <w:r>
        <w:t>11.</w:t>
      </w:r>
      <w:r>
        <w:tab/>
        <w:t>В свете многочисленных утверждений о применении пыток и жестокого обращения во время содержания под стражей, просьба представить дополнительную информацию о мерах, принятых с целью предотвращения применения пыток и других форм жестокого обращения в отношении лишенных свободы лиц, включая лиц, содержащихся под стражей до суда.  Просьба прокомментировать сообщения, согласно которым внутренние инструкции наделяют сотрудников правоприменительных органов широкими дискреционными полномочиями в отношении обращения с заключенными.  Просьба представить дополнительную информацию о расследованиях заявлений, содержащихся под стражей лиц о применении пыток, включая информацию о числе и характере вынесенных приговоров.  Намеревается ли государство-участник создать независимый механизм по расследованию жалоб содержащихся под стражей лиц на применение пыток и других видов жестокого обращения (доклад государства-участника, пункты 343-344 и 448-543, предыдущие заключительные замечания, пункт 11)?</w:t>
      </w:r>
    </w:p>
    <w:p w:rsidR="00000000" w:rsidRDefault="00000000"/>
    <w:p w:rsidR="00000000" w:rsidRDefault="00000000">
      <w:r>
        <w:t>12.</w:t>
      </w:r>
      <w:r>
        <w:tab/>
        <w:t>Просьба представить дополнительную информацию о создании полностью независимого органа по наблюдению за местами содержания под стражей (доклад государства-участника, пункты 549-551 и 467).  Как независимые международные наблюдательные органы, такие как Международный комитет Красного Креста (МККК), могут в настоящее время получить доступ к местам содержания под стражей и на каких условиях (предыдущие заключительные замечания, пункт 17)?</w:t>
      </w:r>
    </w:p>
    <w:p w:rsidR="00000000" w:rsidRDefault="00000000">
      <w:pPr>
        <w:ind w:left="567" w:hanging="567"/>
      </w:pPr>
    </w:p>
    <w:p w:rsidR="00000000" w:rsidRDefault="00000000">
      <w:r>
        <w:t>13.</w:t>
      </w:r>
      <w:r>
        <w:tab/>
        <w:t>Просьба представить дополнительную информацию о законе 2008 года о "хабеас корпус", включая информацию о том, позволяет ли он содержащемуся под стражей лицу или какому-либо другому лицу, действующему от его имени, обжаловать законность лишения свободы в соответствии с требованием статьи 9 Пакта.  Просьба также представить информацию о числе направленных в</w:t>
      </w:r>
      <w:r>
        <w:rPr>
          <w:lang w:val="en-US"/>
        </w:rPr>
        <w:t> </w:t>
      </w:r>
      <w:r>
        <w:t>соответствии с этим законом ходатайств за период с момента вступления закона в</w:t>
      </w:r>
      <w:r>
        <w:rPr>
          <w:lang w:val="en-US"/>
        </w:rPr>
        <w:t> </w:t>
      </w:r>
      <w:r>
        <w:t>силу, а также о результатах их рассмотрения (доклад государства-участника, пункты 501</w:t>
      </w:r>
      <w:r>
        <w:noBreakHyphen/>
        <w:t>519).</w:t>
      </w:r>
    </w:p>
    <w:p w:rsidR="00000000" w:rsidRDefault="00000000"/>
    <w:p w:rsidR="00000000" w:rsidRDefault="00000000">
      <w:r>
        <w:t>14.</w:t>
      </w:r>
      <w:r>
        <w:tab/>
        <w:t>Учитывая слишком продолжительный срок (72 часа), в течение которого подозреваемый может содержаться под стражей до того, как он предстанет перед судьей, Комитет уже рекомендовал государству-участнику обеспечить, чтобы судьи могли своевременно рассматривать все случаи задержания с целью определения их законности.  Исходя из доклада государства-участника, Комитет делает вывод о том, что чрезмерно длительный срок содержания под стражей изменен не был.  Просьба объяснить причину существования такого положения дел (доклад государства-участника, пункты 403 и 504-514, предыдущие заключительные замечания, пункт 14).</w:t>
      </w:r>
    </w:p>
    <w:p w:rsidR="00000000" w:rsidRDefault="00000000"/>
    <w:p w:rsidR="00000000" w:rsidRDefault="00000000">
      <w:r>
        <w:t>15.</w:t>
      </w:r>
      <w:r>
        <w:tab/>
        <w:t>Просьба представить дополнительную информацию о наличии центров содержания под стражей для несовершеннолетних правонарушителей, включая отдельные центры содержания под стражей для несовершеннолетних правонарушителей-женщин, а также об условиях содержания в этих центрах (доклад государства-участника, пункты 535-536).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Ликвидация рабства, подневольного состояния и детского труда</w:t>
      </w:r>
      <w:r>
        <w:rPr>
          <w:b/>
        </w:rPr>
        <w:br/>
        <w:t>(статьи 8 и 24)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16.</w:t>
      </w:r>
      <w:r>
        <w:tab/>
        <w:t>Просьба представить информацию о положении дел с законопроектом о борьбе с торговлей людьми и о его содержании (доклад государства-участника, пункты 481-482).  Каковы правовые гарантии соблюдения прав жертв торговли людьми, включая их право на помощь и на реабилитацию?  Какие меры были приняты государством-участником с целью оказания им медицинской, психологической, социальной и правовой помощи?</w:t>
      </w:r>
    </w:p>
    <w:p w:rsidR="00000000" w:rsidRDefault="00000000">
      <w:pPr>
        <w:ind w:left="567" w:hanging="567"/>
      </w:pPr>
    </w:p>
    <w:p w:rsidR="00000000" w:rsidRDefault="00000000">
      <w:r>
        <w:t>17.</w:t>
      </w:r>
      <w:r>
        <w:tab/>
        <w:t>Просьба представить информацию об эффективности мер, принятых государством-участником с целью обеспечения соблюдения правовых положений (Закон 2008 года о гарантиях прав ребенка), направленных на искоренение практики использования детского труда, в частности в хлопкообрабатывающей отрасли (предыдущие заключительные замечания Комитета, пункт 25).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Свобода передвижения и свобода слова (статьи 12 и 19)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18.</w:t>
      </w:r>
      <w:r>
        <w:tab/>
        <w:t>Просьба представить дополнительную информацию, включая статистические данные, о случаях отклонения ходатайств граждан государства-участника о получении выездной визы.  Просьба объяснить, каким образом, по мнению государства-участника, существование требования о получении выездной визы соответствует положениям статьи 12 Пакта.  Просьба также прокомментировать сообщения, согласно которым представители НПО зачастую не имеют возможности выезжать за пределы страны ввиду существования этого требования (доклад государства-участника, пункт 570 и последующие пункты, предыдущие заключительные замечания, пункт 19).  Просьба представить также информацию о системе прописки и ее соответствии положениям статьи 28 Конституции государства-участника, а также положениям Пакта.  Просьба включить информацию о том, как система прописки влияет на доступ к государственной службе.</w:t>
      </w:r>
    </w:p>
    <w:p w:rsidR="00000000" w:rsidRDefault="00000000">
      <w:pPr>
        <w:ind w:left="567" w:hanging="567"/>
      </w:pPr>
    </w:p>
    <w:p w:rsidR="00000000" w:rsidRDefault="00000000">
      <w:r>
        <w:t>19.</w:t>
      </w:r>
      <w:r>
        <w:tab/>
        <w:t>Просьба прокомментировать сообщения о продолжающемся преследовании журналистов в связи с осуществлением ими своей профессиональной деятельности (предыдущие заключительные замечания, пункт 20) и жесткого контроля со стороны государства за негосударственными, т.е. независимыми, средствами массовой информации.  Просьба также прокомментировать сообщения, согласно которым правозащитники систематически подвергаются судебным преследованиям и лишению свободы.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</w:rPr>
      </w:pPr>
      <w:r>
        <w:rPr>
          <w:b/>
        </w:rPr>
        <w:t>Высылка иностранцев (статья 13)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20.</w:t>
      </w:r>
      <w:r>
        <w:tab/>
        <w:t>В свете предыдущих рекомендаций Комитета просьба указать, намеревается ли государство-участник принять закон, признающий статус беженцев, включая, в частности, признание принципа невозвращения в соответствии со статьей 7 Пакта лиц, которым в стране происхождения может угрожать нарушение их прав.  В случае отсутствия такого законодательства просьба дать описание применяемых процедур для обеспечения соблюдения принципа невозвращения.  Просьба также представить Комитету конкретную информацию, включая статистические данные, о просителях убежища, которые были возвращены в их страны происхождения (доклад государства-участника, пункты 584</w:t>
      </w:r>
      <w:r>
        <w:noBreakHyphen/>
        <w:t>603, предыдущие заключительные замечания, пункт 12).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Право на справедливое судебное разбирательство (статья 14)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21.</w:t>
      </w:r>
      <w:r>
        <w:tab/>
        <w:t>В свете сообщений о том, что в судах по</w:t>
      </w:r>
      <w:r>
        <w:noBreakHyphen/>
        <w:t>прежнему используются доказательства, полученные с помощью жестокого обращения, или, так называемые, признания, полученные под давлением, просьба указать, приняло ли государство-участник какие-либо меры по обеспечению эффективного выполнения решения Верховного суда от 24 сентября 2004 года о недопустимости использования таких доказательств.  Просьба представить подробную информацию о числе и характере дел, которые были пересмотрены в этой связи после указанного решения Верховного суда (доклад государства-участника, пункты 447 и 454-455, предыдущие заключительные замечания, пункт 10).</w:t>
      </w:r>
    </w:p>
    <w:p w:rsidR="00000000" w:rsidRDefault="00000000"/>
    <w:p w:rsidR="00000000" w:rsidRDefault="00000000">
      <w:r>
        <w:t>22.</w:t>
      </w:r>
      <w:r>
        <w:tab/>
        <w:t>Просьба прокомментировать сообщения о том, что, несмотря на предыдущую рекомендацию Комитета, на практике право на доступ к адвокату зачастую не соблюдается, особенно на стадии расследования дела и в период досудебного содержания под стражей, и что адвокаты зачастую не имеют доступа к информации по делам их подзащитных (доклад государства-участника, пункты 85 и 619, предыдущие заключительные замечания, пункт 15).</w:t>
      </w:r>
    </w:p>
    <w:p w:rsidR="00000000" w:rsidRDefault="00000000"/>
    <w:p w:rsidR="00000000" w:rsidRDefault="00000000">
      <w:r>
        <w:t>23.</w:t>
      </w:r>
      <w:r>
        <w:tab/>
        <w:t>Просьба прокомментировать сообщения о том, что, несмотря на принятые меры (доклад государства-участника, пункты 63, 641-654), суды в государстве-участнике по</w:t>
      </w:r>
      <w:r>
        <w:noBreakHyphen/>
        <w:t>прежнему не являются независимыми (предыдущие заключительные замечания, пункт 16).</w:t>
      </w:r>
    </w:p>
    <w:p w:rsidR="00000000" w:rsidRDefault="00000000"/>
    <w:p w:rsidR="00000000" w:rsidRDefault="00000000">
      <w:r>
        <w:t>24.</w:t>
      </w:r>
      <w:r>
        <w:tab/>
        <w:t>Какие меры были приняты с целью обеспечить беспрепятственное осуществление адвокатами своей профессиональной деятельности?  Просьба также представить информацию о недавней замене Ассоциации адвокатов так называемой "Палатой адвокатов", включая информацию о том, является ли членство в этом органе обязательным для всех адвокатов.  Просьба разъяснить причину введения требования о необходимости возобновления всех ранее утвержденных лицензий на осуществление адвокатской деятельности.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Свобода религии и равная защита (статьи 18 и 26)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25.</w:t>
      </w:r>
      <w:r>
        <w:tab/>
        <w:t>Просьба представить информацию о мерах, принятых с целью осуществления предыдущих рекомендаций Комитета относительно фактических ограничений свободы религии и убеждений и криминализации прозелитизма.  Просьба прокомментировать утверждения о том, что активисты религиозных организаций по</w:t>
      </w:r>
      <w:r>
        <w:noBreakHyphen/>
        <w:t>прежнему подвергаются судебным преследованиям и приговариваются к наказаниям (доклад государства-участника, пункты 687-716, предыдущие заключительные замечания, пункт 22).</w:t>
      </w:r>
    </w:p>
    <w:p w:rsidR="00000000" w:rsidRDefault="00000000"/>
    <w:p w:rsidR="00000000" w:rsidRDefault="00000000">
      <w:r>
        <w:t>26.</w:t>
      </w:r>
      <w:r>
        <w:tab/>
        <w:t>Какие меры намеревается принять государство-участник для приведения положений Закона о всеобщей воинской повинности и военной службе, касающихся альтернативной службы, в соответствие со статьями 18 и 26 Пакта с целью обеспечения полного соблюдения прав лиц, отказывающихся от прохождения военной службы по причине своих убеждений?</w:t>
      </w:r>
    </w:p>
    <w:p w:rsidR="00000000" w:rsidRDefault="00000000">
      <w:r>
        <w:br w:type="page"/>
      </w:r>
    </w:p>
    <w:p w:rsidR="00000000" w:rsidRDefault="00000000">
      <w:pPr>
        <w:jc w:val="center"/>
        <w:rPr>
          <w:b/>
        </w:rPr>
      </w:pPr>
      <w:r>
        <w:rPr>
          <w:b/>
        </w:rPr>
        <w:t>Свобода ассоциации и право на участие в ведении государственных дел</w:t>
      </w:r>
      <w:r>
        <w:rPr>
          <w:b/>
        </w:rPr>
        <w:br/>
        <w:t>(статьи 22 и 25)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27.</w:t>
      </w:r>
      <w:r>
        <w:tab/>
        <w:t>В свете предыдущих рекомендаций Комитета просьба указать, какие меры были приняты государством-участником с целью обеспечения того, чтобы его законы и их применение в отношении регистрации политических партий и общественных объединений, включая НПО, не выходили за рамки ограничений, разрешенных в соответствии со статьей 22 Пакта?  Просьба представить информацию о числе заявлений о регистрации политических партий и общественных объединений, поданных за отчетный период, о числе отказов в удовлетворении таких заявлений и причинах отказов, а также о числе закрытых НПО.  Какой финансовый или иной контроль осуществляется за НПО?  (доклад государства-участника, пункты 76-84, 759-796 и 856-875, предыдущие заключительные замечания, пункт 21)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Права меньшинств (статья 27)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28.</w:t>
      </w:r>
      <w:r>
        <w:tab/>
        <w:t>Просьба указать, приняты ли государством-участником положения о защите меньшинств, и в случае утвердительного ответа представить информацию о содержащихся в них гарантиях.  Просьба также указать уровень государственного финансирования деятельности культурных ассоциаций этнических, языковых и религиозных меньшинств (доклад государства-участника, пункт 888).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Распространение информации, касающейся Пакта (статья 2)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29.</w:t>
      </w:r>
      <w:r>
        <w:tab/>
        <w:t>Просьба указать, какие меры приняло государство-участник для распространения информации о Пакте, представлении своего третьего периодического доклада, его рассмотрении Комитетом и о предыдущих заключительных замечаниях Комитета в</w:t>
      </w:r>
      <w:r>
        <w:rPr>
          <w:lang w:val="en-US"/>
        </w:rPr>
        <w:t> </w:t>
      </w:r>
      <w:r>
        <w:t>связи со вторым периодическим докладом.  Просьба также представить информацию об участии гражданского общества и национальных правозащитных учреждений в подготовке доклада (доклад государства-участника, пункт 3).</w:t>
      </w:r>
    </w:p>
    <w:p w:rsidR="00000000" w:rsidRDefault="00000000">
      <w:pPr>
        <w:ind w:left="567" w:hanging="567"/>
      </w:pPr>
    </w:p>
    <w:p w:rsidR="00000000" w:rsidRDefault="00000000">
      <w:pPr>
        <w:jc w:val="center"/>
      </w:pPr>
      <w:r>
        <w:t>-----</w:t>
      </w:r>
    </w:p>
    <w:p w:rsidR="00000000" w:rsidRDefault="00000000">
      <w:pPr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CCPR/C/UZB/Q/3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CCPR/C/UZB/Q/3</w:t>
    </w:r>
  </w:p>
  <w:p w:rsidR="00000000" w:rsidRDefault="00000000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2547</Words>
  <Characters>14522</Characters>
  <Application>Microsoft Office Word</Application>
  <DocSecurity>4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0944082</vt:lpstr>
    </vt:vector>
  </TitlesOfParts>
  <Company> 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0944082</dc:title>
  <dc:subject/>
  <dc:creator>Марина Именинникова</dc:creator>
  <cp:keywords/>
  <dc:description/>
  <cp:lastModifiedBy>csd</cp:lastModifiedBy>
  <cp:revision>2</cp:revision>
  <cp:lastPrinted>2009-08-13T12:21:00Z</cp:lastPrinted>
  <dcterms:created xsi:type="dcterms:W3CDTF">2009-08-17T16:27:00Z</dcterms:created>
  <dcterms:modified xsi:type="dcterms:W3CDTF">2009-08-17T16:27:00Z</dcterms:modified>
</cp:coreProperties>
</file>