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11452" w:rsidRPr="00F1180D" w:rsidTr="00680ADA">
        <w:trPr>
          <w:trHeight w:hRule="exact" w:val="851"/>
        </w:trPr>
        <w:tc>
          <w:tcPr>
            <w:tcW w:w="1276" w:type="dxa"/>
            <w:tcBorders>
              <w:bottom w:val="single" w:sz="4" w:space="0" w:color="auto"/>
            </w:tcBorders>
          </w:tcPr>
          <w:p w:rsidR="00911452" w:rsidRPr="00F1180D" w:rsidRDefault="00911452" w:rsidP="00911452">
            <w:pPr>
              <w:rPr>
                <w:lang w:val="fr-FR"/>
              </w:rPr>
            </w:pPr>
          </w:p>
        </w:tc>
        <w:tc>
          <w:tcPr>
            <w:tcW w:w="2268" w:type="dxa"/>
            <w:tcBorders>
              <w:bottom w:val="single" w:sz="4" w:space="0" w:color="auto"/>
            </w:tcBorders>
            <w:vAlign w:val="bottom"/>
          </w:tcPr>
          <w:p w:rsidR="00911452" w:rsidRPr="00F1180D" w:rsidRDefault="00911452" w:rsidP="00911452">
            <w:pPr>
              <w:spacing w:after="80" w:line="300" w:lineRule="exact"/>
              <w:rPr>
                <w:sz w:val="28"/>
                <w:lang w:val="fr-FR"/>
              </w:rPr>
            </w:pPr>
            <w:r w:rsidRPr="00F1180D">
              <w:rPr>
                <w:sz w:val="28"/>
                <w:lang w:val="fr-FR"/>
              </w:rPr>
              <w:t>Nations Unies</w:t>
            </w:r>
          </w:p>
        </w:tc>
        <w:tc>
          <w:tcPr>
            <w:tcW w:w="6095" w:type="dxa"/>
            <w:gridSpan w:val="2"/>
            <w:tcBorders>
              <w:bottom w:val="single" w:sz="4" w:space="0" w:color="auto"/>
            </w:tcBorders>
            <w:vAlign w:val="bottom"/>
          </w:tcPr>
          <w:p w:rsidR="00911452" w:rsidRPr="00F1180D" w:rsidRDefault="00911452" w:rsidP="00D17B4F">
            <w:pPr>
              <w:jc w:val="right"/>
              <w:rPr>
                <w:lang w:val="fr-FR"/>
              </w:rPr>
            </w:pPr>
            <w:r w:rsidRPr="00F1180D">
              <w:rPr>
                <w:sz w:val="40"/>
                <w:lang w:val="fr-FR"/>
              </w:rPr>
              <w:t>CERD</w:t>
            </w:r>
            <w:r w:rsidRPr="00F1180D">
              <w:rPr>
                <w:lang w:val="fr-FR"/>
              </w:rPr>
              <w:t>/C/KWT/21-24</w:t>
            </w:r>
            <w:r w:rsidR="00D17B4F" w:rsidRPr="00D17B4F">
              <w:rPr>
                <w:rStyle w:val="Appelnotedebasdep"/>
                <w:sz w:val="20"/>
                <w:vertAlign w:val="baseline"/>
              </w:rPr>
              <w:footnoteReference w:customMarkFollows="1" w:id="2"/>
              <w:t>*</w:t>
            </w:r>
          </w:p>
        </w:tc>
      </w:tr>
      <w:tr w:rsidR="00FC326D" w:rsidRPr="00F1180D" w:rsidTr="00680ADA">
        <w:trPr>
          <w:trHeight w:hRule="exact" w:val="2835"/>
        </w:trPr>
        <w:tc>
          <w:tcPr>
            <w:tcW w:w="1276" w:type="dxa"/>
            <w:tcBorders>
              <w:top w:val="single" w:sz="4" w:space="0" w:color="auto"/>
              <w:bottom w:val="single" w:sz="12" w:space="0" w:color="auto"/>
            </w:tcBorders>
          </w:tcPr>
          <w:p w:rsidR="00FC326D" w:rsidRPr="00F1180D" w:rsidRDefault="00FC326D" w:rsidP="00FC326D">
            <w:pPr>
              <w:spacing w:before="120"/>
              <w:jc w:val="center"/>
              <w:rPr>
                <w:lang w:val="fr-FR"/>
              </w:rPr>
            </w:pPr>
            <w:r w:rsidRPr="00F1180D">
              <w:rPr>
                <w:noProof/>
                <w:lang w:val="fr-CH" w:eastAsia="fr-CH"/>
              </w:rPr>
              <w:drawing>
                <wp:inline distT="0" distB="0" distL="0" distR="0" wp14:anchorId="5D74EAD8" wp14:editId="69624000">
                  <wp:extent cx="716915" cy="592455"/>
                  <wp:effectExtent l="19050" t="0" r="6985" b="0"/>
                  <wp:docPr id="4" name="Imag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unlogo"/>
                          <pic:cNvPicPr>
                            <a:picLocks noChangeAspect="1" noChangeArrowheads="1"/>
                          </pic:cNvPicPr>
                        </pic:nvPicPr>
                        <pic:blipFill>
                          <a:blip r:embed="rId9"/>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FC326D" w:rsidRPr="00F1180D" w:rsidRDefault="00FC326D" w:rsidP="00FC326D">
            <w:pPr>
              <w:spacing w:before="120" w:line="380" w:lineRule="exact"/>
              <w:rPr>
                <w:b/>
                <w:sz w:val="40"/>
                <w:szCs w:val="40"/>
                <w:lang w:val="fr-FR"/>
              </w:rPr>
            </w:pPr>
            <w:r w:rsidRPr="00F1180D">
              <w:rPr>
                <w:b/>
                <w:sz w:val="34"/>
                <w:szCs w:val="34"/>
                <w:lang w:val="fr-FR"/>
              </w:rPr>
              <w:t>Convention internationale sur</w:t>
            </w:r>
            <w:r w:rsidRPr="00F1180D">
              <w:rPr>
                <w:b/>
                <w:sz w:val="34"/>
                <w:szCs w:val="34"/>
                <w:lang w:val="fr-FR"/>
              </w:rPr>
              <w:br/>
              <w:t>l</w:t>
            </w:r>
            <w:r w:rsidR="00680ADA" w:rsidRPr="00F1180D">
              <w:rPr>
                <w:b/>
                <w:sz w:val="34"/>
                <w:szCs w:val="34"/>
                <w:lang w:val="fr-FR"/>
              </w:rPr>
              <w:t>’</w:t>
            </w:r>
            <w:r w:rsidRPr="00F1180D">
              <w:rPr>
                <w:b/>
                <w:sz w:val="34"/>
                <w:szCs w:val="34"/>
                <w:lang w:val="fr-FR"/>
              </w:rPr>
              <w:t>élimination de toutes les formes</w:t>
            </w:r>
            <w:r w:rsidRPr="00F1180D">
              <w:rPr>
                <w:b/>
                <w:sz w:val="34"/>
                <w:szCs w:val="34"/>
                <w:lang w:val="fr-FR"/>
              </w:rPr>
              <w:br/>
              <w:t>de discrimination raciale</w:t>
            </w:r>
          </w:p>
        </w:tc>
        <w:tc>
          <w:tcPr>
            <w:tcW w:w="2835" w:type="dxa"/>
            <w:tcBorders>
              <w:top w:val="single" w:sz="4" w:space="0" w:color="auto"/>
              <w:bottom w:val="single" w:sz="12" w:space="0" w:color="auto"/>
            </w:tcBorders>
          </w:tcPr>
          <w:p w:rsidR="00FC326D" w:rsidRPr="00F1180D" w:rsidRDefault="00FC326D" w:rsidP="00FC326D">
            <w:pPr>
              <w:suppressAutoHyphens w:val="0"/>
              <w:spacing w:before="240" w:line="240" w:lineRule="exact"/>
              <w:rPr>
                <w:lang w:val="fr-FR"/>
              </w:rPr>
            </w:pPr>
            <w:r w:rsidRPr="00F1180D">
              <w:rPr>
                <w:lang w:val="fr-FR"/>
              </w:rPr>
              <w:t>Distr. générale</w:t>
            </w:r>
          </w:p>
          <w:p w:rsidR="00FC326D" w:rsidRPr="00F1180D" w:rsidRDefault="00FC326D" w:rsidP="00FC326D">
            <w:pPr>
              <w:suppressAutoHyphens w:val="0"/>
              <w:rPr>
                <w:lang w:val="fr-FR"/>
              </w:rPr>
            </w:pPr>
            <w:r w:rsidRPr="00F1180D">
              <w:rPr>
                <w:lang w:val="fr-FR"/>
              </w:rPr>
              <w:t>19 avril 2016</w:t>
            </w:r>
          </w:p>
          <w:p w:rsidR="00FC326D" w:rsidRPr="00F1180D" w:rsidRDefault="00FC326D" w:rsidP="00FC326D">
            <w:pPr>
              <w:suppressAutoHyphens w:val="0"/>
              <w:rPr>
                <w:lang w:val="fr-FR"/>
              </w:rPr>
            </w:pPr>
            <w:r w:rsidRPr="00F1180D">
              <w:rPr>
                <w:lang w:val="fr-FR"/>
              </w:rPr>
              <w:t>Français</w:t>
            </w:r>
          </w:p>
          <w:p w:rsidR="00FC326D" w:rsidRPr="00F1180D" w:rsidRDefault="00FC326D" w:rsidP="00FC326D">
            <w:pPr>
              <w:suppressAutoHyphens w:val="0"/>
              <w:rPr>
                <w:lang w:val="fr-FR"/>
              </w:rPr>
            </w:pPr>
            <w:r w:rsidRPr="00F1180D">
              <w:rPr>
                <w:lang w:val="fr-FR"/>
              </w:rPr>
              <w:t xml:space="preserve">Original: arabe </w:t>
            </w:r>
            <w:r w:rsidRPr="00F1180D">
              <w:rPr>
                <w:lang w:val="fr-FR"/>
              </w:rPr>
              <w:br/>
              <w:t>Anglais</w:t>
            </w:r>
            <w:r w:rsidR="00680ADA" w:rsidRPr="00F1180D">
              <w:rPr>
                <w:lang w:val="fr-FR"/>
              </w:rPr>
              <w:t>,</w:t>
            </w:r>
            <w:r w:rsidRPr="00F1180D">
              <w:rPr>
                <w:lang w:val="fr-FR"/>
              </w:rPr>
              <w:t xml:space="preserve"> arabe</w:t>
            </w:r>
            <w:r w:rsidR="00680ADA" w:rsidRPr="00F1180D">
              <w:rPr>
                <w:lang w:val="fr-FR"/>
              </w:rPr>
              <w:t>,</w:t>
            </w:r>
            <w:r w:rsidRPr="00F1180D">
              <w:rPr>
                <w:lang w:val="fr-FR"/>
              </w:rPr>
              <w:t xml:space="preserve"> espagnol et français seulement</w:t>
            </w:r>
          </w:p>
        </w:tc>
      </w:tr>
    </w:tbl>
    <w:p w:rsidR="00911452" w:rsidRPr="00F1180D" w:rsidRDefault="00911452" w:rsidP="00911452">
      <w:pPr>
        <w:spacing w:before="120"/>
        <w:rPr>
          <w:b/>
          <w:sz w:val="24"/>
          <w:szCs w:val="24"/>
          <w:lang w:val="fr-FR"/>
        </w:rPr>
      </w:pPr>
      <w:r w:rsidRPr="00F1180D">
        <w:rPr>
          <w:b/>
          <w:sz w:val="24"/>
          <w:szCs w:val="24"/>
          <w:lang w:val="fr-FR"/>
        </w:rPr>
        <w:t>Comité pour l</w:t>
      </w:r>
      <w:r w:rsidR="00680ADA" w:rsidRPr="00F1180D">
        <w:rPr>
          <w:b/>
          <w:sz w:val="24"/>
          <w:szCs w:val="24"/>
          <w:lang w:val="fr-FR"/>
        </w:rPr>
        <w:t>’</w:t>
      </w:r>
      <w:r w:rsidRPr="00F1180D">
        <w:rPr>
          <w:b/>
          <w:sz w:val="24"/>
          <w:szCs w:val="24"/>
          <w:lang w:val="fr-FR"/>
        </w:rPr>
        <w:t>élimination de la discrimination raciale</w:t>
      </w:r>
    </w:p>
    <w:p w:rsidR="000C6D4A" w:rsidRPr="00F1180D" w:rsidRDefault="000C6D4A" w:rsidP="00FC326D">
      <w:pPr>
        <w:pStyle w:val="HMG"/>
        <w:rPr>
          <w:lang w:val="fr-FR"/>
        </w:rPr>
      </w:pPr>
      <w:r w:rsidRPr="00F1180D">
        <w:rPr>
          <w:lang w:val="fr-FR"/>
        </w:rPr>
        <w:tab/>
      </w:r>
      <w:r w:rsidRPr="00F1180D">
        <w:rPr>
          <w:lang w:val="fr-FR"/>
        </w:rPr>
        <w:tab/>
        <w:t>Examen des rapports soumis par les États parties en application de l</w:t>
      </w:r>
      <w:r w:rsidR="00680ADA" w:rsidRPr="00F1180D">
        <w:rPr>
          <w:lang w:val="fr-FR"/>
        </w:rPr>
        <w:t>’</w:t>
      </w:r>
      <w:r w:rsidR="00163207" w:rsidRPr="00F1180D">
        <w:rPr>
          <w:lang w:val="fr-FR"/>
        </w:rPr>
        <w:t>article </w:t>
      </w:r>
      <w:r w:rsidRPr="00F1180D">
        <w:rPr>
          <w:lang w:val="fr-FR"/>
        </w:rPr>
        <w:t>9 de la Convention</w:t>
      </w:r>
    </w:p>
    <w:p w:rsidR="000C6D4A" w:rsidRPr="00F1180D" w:rsidRDefault="000C6D4A" w:rsidP="00FC326D">
      <w:pPr>
        <w:pStyle w:val="HChG"/>
        <w:rPr>
          <w:lang w:val="fr-FR"/>
        </w:rPr>
      </w:pPr>
      <w:r w:rsidRPr="00F1180D">
        <w:rPr>
          <w:lang w:val="fr-FR"/>
        </w:rPr>
        <w:tab/>
      </w:r>
      <w:r w:rsidRPr="00F1180D">
        <w:rPr>
          <w:lang w:val="fr-FR"/>
        </w:rPr>
        <w:tab/>
        <w:t>Vingt et unième à vingt-quatrième rapports périodiques des États parties attendus en 2016</w:t>
      </w:r>
    </w:p>
    <w:p w:rsidR="000C6D4A" w:rsidRPr="00F1180D" w:rsidRDefault="000C6D4A" w:rsidP="00FC326D">
      <w:pPr>
        <w:pStyle w:val="HMG"/>
        <w:rPr>
          <w:lang w:val="fr-FR"/>
        </w:rPr>
      </w:pPr>
      <w:r w:rsidRPr="00F1180D">
        <w:rPr>
          <w:lang w:val="fr-FR"/>
        </w:rPr>
        <w:tab/>
      </w:r>
      <w:r w:rsidRPr="00F1180D">
        <w:rPr>
          <w:lang w:val="fr-FR"/>
        </w:rPr>
        <w:tab/>
        <w:t>Koweït</w:t>
      </w:r>
      <w:r w:rsidR="00D17B4F" w:rsidRPr="00D17B4F">
        <w:rPr>
          <w:rStyle w:val="Appelnotedebasdep"/>
          <w:b w:val="0"/>
          <w:sz w:val="20"/>
          <w:vertAlign w:val="baseline"/>
        </w:rPr>
        <w:footnoteReference w:customMarkFollows="1" w:id="3"/>
        <w:t>**</w:t>
      </w:r>
    </w:p>
    <w:p w:rsidR="000C6D4A" w:rsidRPr="00F1180D" w:rsidRDefault="000C6D4A" w:rsidP="00FC326D">
      <w:pPr>
        <w:pStyle w:val="SingleTxtG"/>
        <w:jc w:val="right"/>
        <w:rPr>
          <w:lang w:val="fr-FR"/>
        </w:rPr>
      </w:pPr>
      <w:r w:rsidRPr="00F1180D">
        <w:rPr>
          <w:lang w:val="fr-FR"/>
        </w:rPr>
        <w:t>[Date de réception</w:t>
      </w:r>
      <w:r w:rsidR="00680ADA" w:rsidRPr="00F1180D">
        <w:rPr>
          <w:lang w:val="fr-FR"/>
        </w:rPr>
        <w:t>:</w:t>
      </w:r>
      <w:r w:rsidRPr="00F1180D">
        <w:rPr>
          <w:lang w:val="fr-FR"/>
        </w:rPr>
        <w:t xml:space="preserve"> 11 février 2016]</w:t>
      </w:r>
    </w:p>
    <w:p w:rsidR="000C6D4A" w:rsidRPr="00F1180D" w:rsidRDefault="000C6D4A" w:rsidP="000C6D4A">
      <w:pPr>
        <w:spacing w:line="600" w:lineRule="atLeast"/>
        <w:rPr>
          <w:lang w:val="fr-FR"/>
        </w:rPr>
      </w:pPr>
      <w:r w:rsidRPr="00F1180D">
        <w:rPr>
          <w:lang w:val="fr-FR"/>
        </w:rPr>
        <w:br w:type="page"/>
      </w:r>
    </w:p>
    <w:p w:rsidR="000C6D4A" w:rsidRPr="00F1180D" w:rsidRDefault="00680ADA" w:rsidP="00680ADA">
      <w:pPr>
        <w:pStyle w:val="HChG"/>
        <w:rPr>
          <w:bCs/>
          <w:sz w:val="20"/>
          <w:rtl/>
          <w:lang w:val="fr-FR" w:bidi="fr-FR"/>
        </w:rPr>
      </w:pPr>
      <w:r w:rsidRPr="00F1180D">
        <w:rPr>
          <w:lang w:val="fr-FR"/>
        </w:rPr>
        <w:lastRenderedPageBreak/>
        <w:tab/>
      </w:r>
      <w:r w:rsidRPr="00F1180D">
        <w:rPr>
          <w:lang w:val="fr-FR"/>
        </w:rPr>
        <w:tab/>
      </w:r>
      <w:r w:rsidR="000C6D4A" w:rsidRPr="00F1180D">
        <w:rPr>
          <w:lang w:val="fr-FR"/>
        </w:rPr>
        <w:t>Deuxième partie</w:t>
      </w:r>
      <w:r w:rsidRPr="00F1180D">
        <w:rPr>
          <w:lang w:val="fr-FR"/>
        </w:rPr>
        <w:br/>
      </w:r>
      <w:r w:rsidR="000C6D4A" w:rsidRPr="00F1180D">
        <w:rPr>
          <w:lang w:val="fr-FR"/>
        </w:rPr>
        <w:t>Mesures législatives</w:t>
      </w:r>
      <w:r w:rsidRPr="00F1180D">
        <w:rPr>
          <w:lang w:val="fr-FR"/>
        </w:rPr>
        <w:t>,</w:t>
      </w:r>
      <w:r w:rsidR="000C6D4A" w:rsidRPr="00F1180D">
        <w:rPr>
          <w:lang w:val="fr-FR"/>
        </w:rPr>
        <w:t xml:space="preserve"> judiciaires et administratives prises par le Koweït en application des dispositions de la Convention</w:t>
      </w:r>
    </w:p>
    <w:p w:rsidR="000C6D4A" w:rsidRPr="00F1180D" w:rsidRDefault="00680ADA" w:rsidP="00680ADA">
      <w:pPr>
        <w:pStyle w:val="H1G"/>
        <w:rPr>
          <w:lang w:val="fr-FR"/>
        </w:rPr>
      </w:pPr>
      <w:r w:rsidRPr="00F1180D">
        <w:rPr>
          <w:lang w:val="fr-FR"/>
        </w:rPr>
        <w:tab/>
      </w:r>
      <w:r w:rsidRPr="00F1180D">
        <w:rPr>
          <w:lang w:val="fr-FR"/>
        </w:rPr>
        <w:tab/>
      </w:r>
      <w:r w:rsidR="00163207" w:rsidRPr="00F1180D">
        <w:rPr>
          <w:lang w:val="fr-FR"/>
        </w:rPr>
        <w:t>Article </w:t>
      </w:r>
      <w:r w:rsidRPr="00F1180D">
        <w:rPr>
          <w:lang w:val="fr-FR"/>
        </w:rPr>
        <w:t>1</w:t>
      </w:r>
      <w:r w:rsidRPr="00F1180D">
        <w:rPr>
          <w:vertAlign w:val="superscript"/>
          <w:lang w:val="fr-FR"/>
        </w:rPr>
        <w:t>er</w:t>
      </w:r>
      <w:r w:rsidRPr="00F1180D">
        <w:rPr>
          <w:lang w:val="fr-FR"/>
        </w:rPr>
        <w:t xml:space="preserve"> </w:t>
      </w:r>
    </w:p>
    <w:p w:rsidR="000C6D4A" w:rsidRPr="00F1180D" w:rsidRDefault="00D17B4F" w:rsidP="00680ADA">
      <w:pPr>
        <w:pStyle w:val="SingleTxtG"/>
        <w:rPr>
          <w:rtl/>
          <w:lang w:val="fr-FR" w:bidi="fr-FR"/>
        </w:rPr>
      </w:pPr>
      <w:r>
        <w:rPr>
          <w:lang w:val="fr-FR" w:bidi="ar-KW"/>
        </w:rPr>
        <w:t>1.</w:t>
      </w:r>
      <w:r>
        <w:rPr>
          <w:lang w:val="fr-FR" w:bidi="ar-KW"/>
        </w:rPr>
        <w:tab/>
      </w:r>
      <w:r w:rsidR="000C6D4A" w:rsidRPr="00F1180D">
        <w:rPr>
          <w:lang w:val="fr-FR" w:bidi="ar-KW"/>
        </w:rPr>
        <w:t xml:space="preserve">Le Koweït a adhéré en 1968 à </w:t>
      </w:r>
      <w:r w:rsidR="000C6D4A" w:rsidRPr="00F1180D">
        <w:rPr>
          <w:lang w:val="fr-FR" w:bidi="ar-EG"/>
        </w:rPr>
        <w:t>la Convention internationale sur l</w:t>
      </w:r>
      <w:r w:rsidR="00680ADA" w:rsidRPr="00F1180D">
        <w:rPr>
          <w:lang w:val="fr-FR" w:bidi="ar-EG"/>
        </w:rPr>
        <w:t>’</w:t>
      </w:r>
      <w:r w:rsidR="000C6D4A" w:rsidRPr="00F1180D">
        <w:rPr>
          <w:lang w:val="fr-FR" w:bidi="ar-EG"/>
        </w:rPr>
        <w:t>élimination de toutes les formes de</w:t>
      </w:r>
      <w:r w:rsidR="00680ADA" w:rsidRPr="00F1180D">
        <w:rPr>
          <w:lang w:val="fr-FR" w:bidi="ar-EG"/>
        </w:rPr>
        <w:t xml:space="preserve"> discrimination raciale (loi n</w:t>
      </w:r>
      <w:r w:rsidR="00680ADA" w:rsidRPr="00F1180D">
        <w:rPr>
          <w:vertAlign w:val="superscript"/>
          <w:lang w:val="fr-FR" w:bidi="ar-EG"/>
        </w:rPr>
        <w:t>o</w:t>
      </w:r>
      <w:r w:rsidR="00680ADA" w:rsidRPr="00F1180D">
        <w:rPr>
          <w:lang w:val="fr-FR" w:bidi="ar-EG"/>
        </w:rPr>
        <w:t> </w:t>
      </w:r>
      <w:r w:rsidR="000C6D4A" w:rsidRPr="00F1180D">
        <w:rPr>
          <w:lang w:val="fr-FR" w:bidi="ar-EG"/>
        </w:rPr>
        <w:t>33 de 1968)</w:t>
      </w:r>
      <w:r w:rsidR="00680ADA" w:rsidRPr="00F1180D">
        <w:rPr>
          <w:lang w:val="fr-FR" w:bidi="ar-EG"/>
        </w:rPr>
        <w:t>,</w:t>
      </w:r>
      <w:r w:rsidR="000C6D4A" w:rsidRPr="00F1180D">
        <w:rPr>
          <w:lang w:val="fr-FR" w:bidi="ar-EG"/>
        </w:rPr>
        <w:t xml:space="preserve"> confirmant ainsi son engagement en faveur de la concrétisation juridique et pratique des principes et valeurs des droits de l</w:t>
      </w:r>
      <w:r w:rsidR="00680ADA" w:rsidRPr="00F1180D">
        <w:rPr>
          <w:lang w:val="fr-FR" w:bidi="ar-EG"/>
        </w:rPr>
        <w:t>’</w:t>
      </w:r>
      <w:r w:rsidR="000C6D4A" w:rsidRPr="00F1180D">
        <w:rPr>
          <w:lang w:val="fr-FR" w:bidi="ar-EG"/>
        </w:rPr>
        <w:t>homme</w:t>
      </w:r>
      <w:r w:rsidR="00680ADA" w:rsidRPr="00F1180D">
        <w:rPr>
          <w:lang w:val="fr-FR" w:bidi="ar-EG"/>
        </w:rPr>
        <w:t>,</w:t>
      </w:r>
      <w:r w:rsidR="000C6D4A" w:rsidRPr="00F1180D">
        <w:rPr>
          <w:lang w:val="fr-FR" w:bidi="ar-EG"/>
        </w:rPr>
        <w:t xml:space="preserve"> parmi lesquels l</w:t>
      </w:r>
      <w:r w:rsidR="00680ADA" w:rsidRPr="00F1180D">
        <w:rPr>
          <w:lang w:val="fr-FR" w:bidi="ar-EG"/>
        </w:rPr>
        <w:t>’</w:t>
      </w:r>
      <w:r w:rsidR="000C6D4A" w:rsidRPr="00F1180D">
        <w:rPr>
          <w:lang w:val="fr-FR" w:bidi="ar-EG"/>
        </w:rPr>
        <w:t>élimination de toutes les formes de discrimination raciale.</w:t>
      </w:r>
      <w:r w:rsidR="000C6D4A" w:rsidRPr="00F1180D">
        <w:rPr>
          <w:lang w:val="fr-FR" w:bidi="ar-KW"/>
        </w:rPr>
        <w:t xml:space="preserve"> </w:t>
      </w:r>
    </w:p>
    <w:p w:rsidR="000C6D4A" w:rsidRPr="00F1180D" w:rsidRDefault="00D17B4F" w:rsidP="00680ADA">
      <w:pPr>
        <w:pStyle w:val="SingleTxtG"/>
        <w:rPr>
          <w:lang w:val="fr-FR" w:bidi="ar-KW"/>
        </w:rPr>
      </w:pPr>
      <w:r>
        <w:rPr>
          <w:lang w:val="fr-FR" w:bidi="ar-KW"/>
        </w:rPr>
        <w:t>2.</w:t>
      </w:r>
      <w:r>
        <w:rPr>
          <w:lang w:val="fr-FR" w:bidi="ar-KW"/>
        </w:rPr>
        <w:tab/>
      </w:r>
      <w:r w:rsidR="000C6D4A" w:rsidRPr="00F1180D">
        <w:rPr>
          <w:lang w:val="fr-FR" w:bidi="ar-KW"/>
        </w:rPr>
        <w:t>Le Koweït condamne et rejette le racisme et la discrimination raciale et ne fait aucune distinction entre les membres de la société</w:t>
      </w:r>
      <w:r w:rsidR="00680ADA" w:rsidRPr="00F1180D">
        <w:rPr>
          <w:lang w:val="fr-FR" w:bidi="ar-KW"/>
        </w:rPr>
        <w:t>,</w:t>
      </w:r>
      <w:r w:rsidR="000C6D4A" w:rsidRPr="00F1180D">
        <w:rPr>
          <w:lang w:val="fr-FR" w:bidi="ar-KW"/>
        </w:rPr>
        <w:t xml:space="preserve"> conformément au verset coranique suivant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Humains</w:t>
      </w:r>
      <w:r w:rsidR="00680ADA" w:rsidRPr="00F1180D">
        <w:rPr>
          <w:lang w:val="fr-FR" w:bidi="ar-KW"/>
        </w:rPr>
        <w:t>,</w:t>
      </w:r>
      <w:r w:rsidR="000C6D4A" w:rsidRPr="00F1180D">
        <w:rPr>
          <w:lang w:val="fr-FR" w:bidi="ar-KW"/>
        </w:rPr>
        <w:t xml:space="preserve"> Nous vous avons créés d</w:t>
      </w:r>
      <w:r w:rsidR="00680ADA" w:rsidRPr="00F1180D">
        <w:rPr>
          <w:lang w:val="fr-FR" w:bidi="ar-KW"/>
        </w:rPr>
        <w:t>’</w:t>
      </w:r>
      <w:r w:rsidR="000C6D4A" w:rsidRPr="00F1180D">
        <w:rPr>
          <w:lang w:val="fr-FR" w:bidi="ar-KW"/>
        </w:rPr>
        <w:t>un mâle et d</w:t>
      </w:r>
      <w:r w:rsidR="00680ADA" w:rsidRPr="00F1180D">
        <w:rPr>
          <w:lang w:val="fr-FR" w:bidi="ar-KW"/>
        </w:rPr>
        <w:t>’</w:t>
      </w:r>
      <w:r w:rsidR="000C6D4A" w:rsidRPr="00F1180D">
        <w:rPr>
          <w:lang w:val="fr-FR" w:bidi="ar-KW"/>
        </w:rPr>
        <w:t>une femelle. Si nous avons fait de vous des peuples et des tribus</w:t>
      </w:r>
      <w:r w:rsidR="00680ADA" w:rsidRPr="00F1180D">
        <w:rPr>
          <w:lang w:val="fr-FR" w:bidi="ar-KW"/>
        </w:rPr>
        <w:t>,</w:t>
      </w:r>
      <w:r w:rsidR="000C6D4A" w:rsidRPr="00F1180D">
        <w:rPr>
          <w:lang w:val="fr-FR" w:bidi="ar-KW"/>
        </w:rPr>
        <w:t xml:space="preserve"> c</w:t>
      </w:r>
      <w:r w:rsidR="00680ADA" w:rsidRPr="00F1180D">
        <w:rPr>
          <w:lang w:val="fr-FR" w:bidi="ar-KW"/>
        </w:rPr>
        <w:t>’</w:t>
      </w:r>
      <w:r w:rsidR="000C6D4A" w:rsidRPr="00F1180D">
        <w:rPr>
          <w:lang w:val="fr-FR" w:bidi="ar-KW"/>
        </w:rPr>
        <w:t>est en vue de votre connaissance mutuelle. Le plus noble d</w:t>
      </w:r>
      <w:r w:rsidR="00680ADA" w:rsidRPr="00F1180D">
        <w:rPr>
          <w:lang w:val="fr-FR" w:bidi="ar-KW"/>
        </w:rPr>
        <w:t>’</w:t>
      </w:r>
      <w:r w:rsidR="000C6D4A" w:rsidRPr="00F1180D">
        <w:rPr>
          <w:lang w:val="fr-FR" w:bidi="ar-KW"/>
        </w:rPr>
        <w:t>entre vous au regard de Dieu est le plus pieux</w:t>
      </w:r>
      <w:r w:rsidR="00680ADA" w:rsidRPr="00F1180D">
        <w:rPr>
          <w:lang w:val="fr-FR" w:bidi="ar-KW"/>
        </w:rPr>
        <w:t>;</w:t>
      </w:r>
      <w:r w:rsidR="000C6D4A" w:rsidRPr="00F1180D">
        <w:rPr>
          <w:lang w:val="fr-FR" w:bidi="ar-KW"/>
        </w:rPr>
        <w:t xml:space="preserve"> Dieu est omniscient et parfaitement connaisseur</w:t>
      </w:r>
      <w:r w:rsidR="00680ADA" w:rsidRPr="00F1180D">
        <w:rPr>
          <w:lang w:val="fr-FR" w:bidi="ar-KW"/>
        </w:rPr>
        <w:t>»</w:t>
      </w:r>
      <w:r w:rsidR="000C6D4A" w:rsidRPr="00F1180D">
        <w:rPr>
          <w:lang w:val="fr-FR" w:bidi="ar-KW"/>
        </w:rPr>
        <w:t xml:space="preserve"> (Al-Hujurat</w:t>
      </w:r>
      <w:r w:rsidR="00680ADA" w:rsidRPr="00F1180D">
        <w:rPr>
          <w:lang w:val="fr-FR" w:bidi="ar-KW"/>
        </w:rPr>
        <w:t xml:space="preserve"> – </w:t>
      </w:r>
      <w:r w:rsidR="000C6D4A" w:rsidRPr="00F1180D">
        <w:rPr>
          <w:lang w:val="fr-FR" w:bidi="ar-KW"/>
        </w:rPr>
        <w:t>verset 13)</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autant qu</w:t>
      </w:r>
      <w:r w:rsidR="00680ADA" w:rsidRPr="00F1180D">
        <w:rPr>
          <w:lang w:val="fr-FR" w:bidi="ar-KW"/>
        </w:rPr>
        <w:t>’</w:t>
      </w:r>
      <w:r w:rsidR="000C6D4A" w:rsidRPr="00F1180D">
        <w:rPr>
          <w:lang w:val="fr-FR" w:bidi="ar-KW"/>
        </w:rPr>
        <w:t>en vertu de l</w:t>
      </w:r>
      <w:r w:rsidR="00680ADA" w:rsidRPr="00F1180D">
        <w:rPr>
          <w:lang w:val="fr-FR" w:bidi="ar-KW"/>
        </w:rPr>
        <w:t>’</w:t>
      </w:r>
      <w:r w:rsidR="00163207" w:rsidRPr="00F1180D">
        <w:rPr>
          <w:lang w:val="fr-FR" w:bidi="ar-KW"/>
        </w:rPr>
        <w:t>article </w:t>
      </w:r>
      <w:r w:rsidR="000C6D4A" w:rsidRPr="00F1180D">
        <w:rPr>
          <w:lang w:val="fr-FR" w:bidi="ar-KW"/>
        </w:rPr>
        <w:t>2 de la Constitution</w:t>
      </w:r>
      <w:r w:rsidR="00680ADA" w:rsidRPr="00F1180D">
        <w:rPr>
          <w:lang w:val="fr-FR" w:bidi="ar-KW"/>
        </w:rPr>
        <w:t>,</w:t>
      </w:r>
      <w:r w:rsidR="000C6D4A" w:rsidRPr="00F1180D">
        <w:rPr>
          <w:lang w:val="fr-FR" w:bidi="ar-KW"/>
        </w:rPr>
        <w:t xml:space="preserve"> la charia constitue l</w:t>
      </w:r>
      <w:r w:rsidR="00680ADA" w:rsidRPr="00F1180D">
        <w:rPr>
          <w:lang w:val="fr-FR" w:bidi="ar-KW"/>
        </w:rPr>
        <w:t>’</w:t>
      </w:r>
      <w:r w:rsidR="000C6D4A" w:rsidRPr="00F1180D">
        <w:rPr>
          <w:lang w:val="fr-FR" w:bidi="ar-KW"/>
        </w:rPr>
        <w:t xml:space="preserve">une des principales sources du droit. </w:t>
      </w:r>
    </w:p>
    <w:p w:rsidR="000C6D4A" w:rsidRPr="00F1180D" w:rsidRDefault="00D17B4F" w:rsidP="00680ADA">
      <w:pPr>
        <w:pStyle w:val="SingleTxtG"/>
        <w:rPr>
          <w:rtl/>
          <w:lang w:val="fr-FR" w:bidi="fr-FR"/>
        </w:rPr>
      </w:pPr>
      <w:r>
        <w:rPr>
          <w:lang w:val="fr-FR" w:bidi="ar-KW"/>
        </w:rPr>
        <w:t>3.</w:t>
      </w:r>
      <w:r>
        <w:rPr>
          <w:lang w:val="fr-FR" w:bidi="ar-KW"/>
        </w:rPr>
        <w:tab/>
      </w:r>
      <w:r w:rsidR="000C6D4A" w:rsidRPr="00F1180D">
        <w:rPr>
          <w:lang w:val="fr-FR" w:bidi="ar-KW"/>
        </w:rPr>
        <w:t>En outre</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0C6D4A" w:rsidRPr="00F1180D">
        <w:rPr>
          <w:lang w:val="fr-FR" w:bidi="ar-KW"/>
        </w:rPr>
        <w:t>29 de la Constitution pose comme principe général l</w:t>
      </w:r>
      <w:r w:rsidR="00680ADA" w:rsidRPr="00F1180D">
        <w:rPr>
          <w:lang w:val="fr-FR" w:bidi="ar-KW"/>
        </w:rPr>
        <w:t>’</w:t>
      </w:r>
      <w:r w:rsidR="000C6D4A" w:rsidRPr="00F1180D">
        <w:rPr>
          <w:lang w:val="fr-FR" w:bidi="ar-KW"/>
        </w:rPr>
        <w:t>interdiction du racisme et consacre les principes de l</w:t>
      </w:r>
      <w:r w:rsidR="00680ADA" w:rsidRPr="00F1180D">
        <w:rPr>
          <w:lang w:val="fr-FR" w:bidi="ar-KW"/>
        </w:rPr>
        <w:t>’</w:t>
      </w:r>
      <w:r w:rsidR="000C6D4A" w:rsidRPr="00F1180D">
        <w:rPr>
          <w:lang w:val="fr-FR" w:bidi="ar-KW"/>
        </w:rPr>
        <w:t>égalité et du respect de la dignité humaine</w:t>
      </w:r>
      <w:r w:rsidR="00680ADA" w:rsidRPr="00F1180D">
        <w:rPr>
          <w:lang w:val="fr-FR" w:bidi="ar-KW"/>
        </w:rPr>
        <w:t>,</w:t>
      </w:r>
      <w:r w:rsidR="000C6D4A" w:rsidRPr="00F1180D">
        <w:rPr>
          <w:lang w:val="fr-FR" w:bidi="ar-KW"/>
        </w:rPr>
        <w:t xml:space="preserve"> en disposant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Tous les individus sont égaux devant la loi</w:t>
      </w:r>
      <w:r w:rsidR="00680ADA" w:rsidRPr="00F1180D">
        <w:rPr>
          <w:lang w:val="fr-FR" w:bidi="ar-KW"/>
        </w:rPr>
        <w:t>,</w:t>
      </w:r>
      <w:r w:rsidR="000C6D4A" w:rsidRPr="00F1180D">
        <w:rPr>
          <w:lang w:val="fr-FR" w:bidi="ar-KW"/>
        </w:rPr>
        <w:t xml:space="preserve"> en dignité comme en droits et en devoirs</w:t>
      </w:r>
      <w:r w:rsidR="00680ADA" w:rsidRPr="00F1180D">
        <w:rPr>
          <w:lang w:val="fr-FR" w:bidi="ar-KW"/>
        </w:rPr>
        <w:t>,</w:t>
      </w:r>
      <w:r w:rsidR="000C6D4A" w:rsidRPr="00F1180D">
        <w:rPr>
          <w:lang w:val="fr-FR" w:bidi="ar-KW"/>
        </w:rPr>
        <w:t xml:space="preserve"> sans distinction fondée sur le sexe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origine</w:t>
      </w:r>
      <w:r w:rsidR="00680ADA" w:rsidRPr="00F1180D">
        <w:rPr>
          <w:lang w:val="fr-FR" w:bidi="ar-KW"/>
        </w:rPr>
        <w:t>,</w:t>
      </w:r>
      <w:r w:rsidR="000C6D4A" w:rsidRPr="00F1180D">
        <w:rPr>
          <w:lang w:val="fr-FR" w:bidi="ar-KW"/>
        </w:rPr>
        <w:t xml:space="preserve"> la langue ou la religion</w:t>
      </w:r>
      <w:r w:rsidR="00680ADA" w:rsidRPr="00F1180D">
        <w:rPr>
          <w:lang w:val="fr-FR" w:bidi="ar-KW"/>
        </w:rPr>
        <w:t>»</w:t>
      </w:r>
      <w:r w:rsidR="000C6D4A" w:rsidRPr="00F1180D">
        <w:rPr>
          <w:lang w:val="fr-FR" w:bidi="ar-KW"/>
        </w:rPr>
        <w:t>.</w:t>
      </w:r>
    </w:p>
    <w:p w:rsidR="000C6D4A" w:rsidRPr="00F1180D" w:rsidRDefault="00D17B4F" w:rsidP="00680ADA">
      <w:pPr>
        <w:pStyle w:val="SingleTxtG"/>
        <w:rPr>
          <w:rtl/>
          <w:lang w:val="fr-FR" w:bidi="fr-FR"/>
        </w:rPr>
      </w:pPr>
      <w:r>
        <w:rPr>
          <w:lang w:val="fr-FR" w:bidi="ar-KW"/>
        </w:rPr>
        <w:t>4.</w:t>
      </w:r>
      <w:r>
        <w:rPr>
          <w:lang w:val="fr-FR" w:bidi="ar-KW"/>
        </w:rPr>
        <w:tab/>
      </w:r>
      <w:r w:rsidR="000C6D4A" w:rsidRPr="00F1180D">
        <w:rPr>
          <w:lang w:val="fr-FR" w:bidi="ar-KW"/>
        </w:rPr>
        <w:t>De son côté</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0C6D4A" w:rsidRPr="00F1180D">
        <w:rPr>
          <w:lang w:val="fr-FR" w:bidi="ar-KW"/>
        </w:rPr>
        <w:t>7 de la Constitution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La justice</w:t>
      </w:r>
      <w:r w:rsidR="00680ADA" w:rsidRPr="00F1180D">
        <w:rPr>
          <w:lang w:val="fr-FR" w:bidi="ar-KW"/>
        </w:rPr>
        <w:t>,</w:t>
      </w:r>
      <w:r w:rsidR="000C6D4A" w:rsidRPr="00F1180D">
        <w:rPr>
          <w:lang w:val="fr-FR" w:bidi="ar-KW"/>
        </w:rPr>
        <w:t xml:space="preserve"> la liberté et l</w:t>
      </w:r>
      <w:r w:rsidR="00680ADA" w:rsidRPr="00F1180D">
        <w:rPr>
          <w:lang w:val="fr-FR" w:bidi="ar-KW"/>
        </w:rPr>
        <w:t>’</w:t>
      </w:r>
      <w:r w:rsidR="000C6D4A" w:rsidRPr="00F1180D">
        <w:rPr>
          <w:lang w:val="fr-FR" w:bidi="ar-KW"/>
        </w:rPr>
        <w:t>égalité sont les fondements de la société</w:t>
      </w:r>
      <w:r w:rsidR="00680ADA" w:rsidRPr="00F1180D">
        <w:rPr>
          <w:lang w:val="fr-FR" w:bidi="ar-KW"/>
        </w:rPr>
        <w:t>;</w:t>
      </w:r>
      <w:r w:rsidR="000C6D4A" w:rsidRPr="00F1180D">
        <w:rPr>
          <w:lang w:val="fr-FR" w:bidi="ar-KW"/>
        </w:rPr>
        <w:t xml:space="preserve"> la coopération et l</w:t>
      </w:r>
      <w:r w:rsidR="00680ADA" w:rsidRPr="00F1180D">
        <w:rPr>
          <w:lang w:val="fr-FR" w:bidi="ar-KW"/>
        </w:rPr>
        <w:t>’</w:t>
      </w:r>
      <w:r w:rsidR="000C6D4A" w:rsidRPr="00F1180D">
        <w:rPr>
          <w:lang w:val="fr-FR" w:bidi="ar-KW"/>
        </w:rPr>
        <w:t>entraide sont les liens solides qui unissent les citoyens</w:t>
      </w:r>
      <w:r w:rsidR="00680ADA" w:rsidRPr="00F1180D">
        <w:rPr>
          <w:lang w:val="fr-FR" w:bidi="ar-KW"/>
        </w:rPr>
        <w:t>»</w:t>
      </w:r>
      <w:r w:rsidR="000C6D4A" w:rsidRPr="00F1180D">
        <w:rPr>
          <w:lang w:val="fr-FR" w:bidi="ar-KW"/>
        </w:rPr>
        <w:t>.</w:t>
      </w:r>
    </w:p>
    <w:p w:rsidR="000C6D4A" w:rsidRPr="00F1180D" w:rsidRDefault="00D17B4F" w:rsidP="00680ADA">
      <w:pPr>
        <w:pStyle w:val="SingleTxtG"/>
        <w:rPr>
          <w:rtl/>
          <w:lang w:val="fr-FR" w:bidi="fr-FR"/>
        </w:rPr>
      </w:pPr>
      <w:r>
        <w:rPr>
          <w:lang w:val="fr-FR" w:bidi="ar-KW"/>
        </w:rPr>
        <w:t>5.</w:t>
      </w:r>
      <w:r>
        <w:rPr>
          <w:lang w:val="fr-FR" w:bidi="ar-KW"/>
        </w:rPr>
        <w:tab/>
      </w:r>
      <w:r w:rsidR="000C6D4A" w:rsidRPr="00F1180D">
        <w:rPr>
          <w:lang w:val="fr-FR" w:bidi="ar-KW"/>
        </w:rPr>
        <w:t>À cet égard</w:t>
      </w:r>
      <w:r w:rsidR="00680ADA" w:rsidRPr="00F1180D">
        <w:rPr>
          <w:lang w:val="fr-FR" w:bidi="ar-KW"/>
        </w:rPr>
        <w:t>,</w:t>
      </w:r>
      <w:r w:rsidR="000C6D4A" w:rsidRPr="00F1180D">
        <w:rPr>
          <w:lang w:val="fr-FR" w:bidi="ar-KW"/>
        </w:rPr>
        <w:t xml:space="preserve"> la note explicative de la Constitution traite en ces termes de son </w:t>
      </w:r>
      <w:r w:rsidR="00163207" w:rsidRPr="00F1180D">
        <w:rPr>
          <w:lang w:val="fr-FR" w:bidi="ar-KW"/>
        </w:rPr>
        <w:t>article </w:t>
      </w:r>
      <w:r w:rsidR="000C6D4A" w:rsidRPr="00F1180D">
        <w:rPr>
          <w:lang w:val="fr-FR" w:bidi="ar-KW"/>
        </w:rPr>
        <w:t>29</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 xml:space="preserve">Cet </w:t>
      </w:r>
      <w:r w:rsidR="00E61B45" w:rsidRPr="00F1180D">
        <w:rPr>
          <w:lang w:val="fr-FR" w:bidi="ar-KW"/>
        </w:rPr>
        <w:t xml:space="preserve">article </w:t>
      </w:r>
      <w:r w:rsidR="000C6D4A" w:rsidRPr="00F1180D">
        <w:rPr>
          <w:lang w:val="fr-FR" w:bidi="ar-KW"/>
        </w:rPr>
        <w:t>énonce le principe de l</w:t>
      </w:r>
      <w:r w:rsidR="00680ADA" w:rsidRPr="00F1180D">
        <w:rPr>
          <w:lang w:val="fr-FR" w:bidi="ar-KW"/>
        </w:rPr>
        <w:t>’</w:t>
      </w:r>
      <w:r w:rsidR="000C6D4A" w:rsidRPr="00F1180D">
        <w:rPr>
          <w:lang w:val="fr-FR" w:bidi="ar-KW"/>
        </w:rPr>
        <w:t>égalité en droits et en devoirs de manière générale et précise ses principales applications</w:t>
      </w:r>
      <w:r w:rsidR="00680ADA" w:rsidRPr="00F1180D">
        <w:rPr>
          <w:lang w:val="fr-FR" w:bidi="ar-KW"/>
        </w:rPr>
        <w:t>,</w:t>
      </w:r>
      <w:r w:rsidR="000C6D4A" w:rsidRPr="00F1180D">
        <w:rPr>
          <w:lang w:val="fr-FR" w:bidi="ar-KW"/>
        </w:rPr>
        <w:t xml:space="preserve"> à savoir </w:t>
      </w:r>
      <w:r w:rsidR="00680ADA" w:rsidRPr="00F1180D">
        <w:rPr>
          <w:lang w:val="fr-FR" w:bidi="ar-KW"/>
        </w:rPr>
        <w:t>«</w:t>
      </w:r>
      <w:r w:rsidR="000C6D4A" w:rsidRPr="00F1180D">
        <w:rPr>
          <w:lang w:val="fr-FR" w:bidi="ar-KW"/>
        </w:rPr>
        <w:t>sans distinction fondée sur le sexe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origine ou la religion</w:t>
      </w:r>
      <w:r w:rsidR="00680ADA" w:rsidRPr="00F1180D">
        <w:rPr>
          <w:lang w:val="fr-FR" w:bidi="ar-KW"/>
        </w:rPr>
        <w:t>»,</w:t>
      </w:r>
      <w:r w:rsidR="000C6D4A" w:rsidRPr="00F1180D">
        <w:rPr>
          <w:lang w:val="fr-FR" w:bidi="ar-KW"/>
        </w:rPr>
        <w:t xml:space="preserve"> ce qui inclut </w:t>
      </w:r>
      <w:r w:rsidR="00680ADA" w:rsidRPr="00F1180D">
        <w:rPr>
          <w:lang w:val="fr-FR" w:bidi="ar-KW"/>
        </w:rPr>
        <w:t>«</w:t>
      </w:r>
      <w:r w:rsidR="000C6D4A" w:rsidRPr="00F1180D">
        <w:rPr>
          <w:lang w:val="fr-FR" w:bidi="ar-KW"/>
        </w:rPr>
        <w:t>la couleur ou la fortune</w:t>
      </w:r>
      <w:r w:rsidR="00680ADA" w:rsidRPr="00F1180D">
        <w:rPr>
          <w:lang w:val="fr-FR" w:bidi="ar-KW"/>
        </w:rPr>
        <w:t>»</w:t>
      </w:r>
      <w:r w:rsidR="000C6D4A" w:rsidRPr="00F1180D">
        <w:rPr>
          <w:lang w:val="fr-FR" w:bidi="ar-KW"/>
        </w:rPr>
        <w:t xml:space="preserve">. </w:t>
      </w:r>
    </w:p>
    <w:p w:rsidR="000C6D4A" w:rsidRPr="00F1180D" w:rsidRDefault="00D17B4F" w:rsidP="00E118DC">
      <w:pPr>
        <w:pStyle w:val="SingleTxtG"/>
        <w:keepNext/>
        <w:rPr>
          <w:b/>
          <w:bCs/>
          <w:rtl/>
          <w:lang w:val="fr-FR" w:bidi="fr-FR"/>
        </w:rPr>
      </w:pPr>
      <w:r>
        <w:rPr>
          <w:lang w:val="fr-FR" w:bidi="ar-KW"/>
        </w:rPr>
        <w:t>6.</w:t>
      </w:r>
      <w:r>
        <w:rPr>
          <w:lang w:val="fr-FR" w:bidi="ar-KW"/>
        </w:rPr>
        <w:tab/>
      </w:r>
      <w:r w:rsidR="000C6D4A" w:rsidRPr="00F1180D">
        <w:rPr>
          <w:lang w:val="fr-FR" w:bidi="ar-KW"/>
        </w:rPr>
        <w:t>Sur la base de ces articles</w:t>
      </w:r>
      <w:r w:rsidR="00680ADA" w:rsidRPr="00F1180D">
        <w:rPr>
          <w:lang w:val="fr-FR" w:bidi="ar-KW"/>
        </w:rPr>
        <w:t>,</w:t>
      </w:r>
      <w:r w:rsidR="000C6D4A" w:rsidRPr="00F1180D">
        <w:rPr>
          <w:lang w:val="fr-FR" w:bidi="ar-KW"/>
        </w:rPr>
        <w:t xml:space="preserve"> plusieurs textes d</w:t>
      </w:r>
      <w:r w:rsidR="00680ADA" w:rsidRPr="00F1180D">
        <w:rPr>
          <w:lang w:val="fr-FR" w:bidi="ar-KW"/>
        </w:rPr>
        <w:t>’</w:t>
      </w:r>
      <w:r w:rsidR="000C6D4A" w:rsidRPr="00F1180D">
        <w:rPr>
          <w:lang w:val="fr-FR" w:bidi="ar-KW"/>
        </w:rPr>
        <w:t>application ont été promulgués</w:t>
      </w:r>
      <w:r w:rsidR="00680ADA" w:rsidRPr="00F1180D">
        <w:rPr>
          <w:lang w:val="fr-FR" w:bidi="ar-KW"/>
        </w:rPr>
        <w:t>,</w:t>
      </w:r>
      <w:r w:rsidR="000C6D4A" w:rsidRPr="00F1180D">
        <w:rPr>
          <w:lang w:val="fr-FR" w:bidi="ar-KW"/>
        </w:rPr>
        <w:t xml:space="preserve"> parmi lesquels les suivants</w:t>
      </w:r>
      <w:r w:rsidR="00680ADA" w:rsidRPr="00F1180D">
        <w:rPr>
          <w:lang w:val="fr-FR" w:bidi="ar-KW"/>
        </w:rPr>
        <w:t>:</w:t>
      </w:r>
    </w:p>
    <w:p w:rsidR="000C6D4A" w:rsidRPr="00F1180D" w:rsidRDefault="000C6D4A" w:rsidP="00E118DC">
      <w:pPr>
        <w:pStyle w:val="Bullet1G"/>
        <w:rPr>
          <w:rtl/>
          <w:lang w:val="fr-FR" w:bidi="fr-FR"/>
        </w:rPr>
      </w:pPr>
      <w:r w:rsidRPr="00F1180D">
        <w:rPr>
          <w:lang w:val="fr-FR" w:bidi="ar-EG"/>
        </w:rPr>
        <w:t>L</w:t>
      </w:r>
      <w:r w:rsidR="00680ADA" w:rsidRPr="00F1180D">
        <w:rPr>
          <w:lang w:val="fr-FR" w:bidi="ar-EG"/>
        </w:rPr>
        <w:t>’</w:t>
      </w:r>
      <w:r w:rsidR="00163207" w:rsidRPr="00F1180D">
        <w:rPr>
          <w:lang w:val="fr-FR" w:bidi="ar-EG"/>
        </w:rPr>
        <w:t>article </w:t>
      </w:r>
      <w:r w:rsidRPr="00F1180D">
        <w:rPr>
          <w:lang w:val="fr-FR" w:bidi="ar-EG"/>
        </w:rPr>
        <w:t xml:space="preserve">6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EG"/>
        </w:rPr>
        <w:t>24 de 1962 relative aux clubs et associations reconnus d</w:t>
      </w:r>
      <w:r w:rsidR="00680ADA" w:rsidRPr="00F1180D">
        <w:rPr>
          <w:lang w:val="fr-FR" w:bidi="ar-EG"/>
        </w:rPr>
        <w:t>’</w:t>
      </w:r>
      <w:r w:rsidRPr="00F1180D">
        <w:rPr>
          <w:lang w:val="fr-FR" w:bidi="ar-EG"/>
        </w:rPr>
        <w:t>utilité publique</w:t>
      </w:r>
      <w:r w:rsidR="00680ADA" w:rsidRPr="00F1180D">
        <w:rPr>
          <w:lang w:val="fr-FR" w:bidi="ar-EG"/>
        </w:rPr>
        <w:t>,</w:t>
      </w:r>
      <w:r w:rsidRPr="00F1180D">
        <w:rPr>
          <w:lang w:val="fr-FR" w:bidi="ar-EG"/>
        </w:rPr>
        <w:t xml:space="preserve"> qui dispose ce qui suit</w:t>
      </w:r>
      <w:r w:rsidR="00680ADA" w:rsidRPr="00F1180D">
        <w:rPr>
          <w:lang w:val="fr-FR" w:bidi="ar-EG"/>
        </w:rPr>
        <w:t>:</w:t>
      </w:r>
      <w:r w:rsidRPr="00F1180D">
        <w:rPr>
          <w:lang w:val="fr-FR" w:bidi="ar-EG"/>
        </w:rPr>
        <w:t xml:space="preserve"> </w:t>
      </w:r>
      <w:r w:rsidR="00680ADA" w:rsidRPr="00F1180D">
        <w:rPr>
          <w:lang w:val="fr-FR" w:bidi="ar-EG"/>
        </w:rPr>
        <w:t>«</w:t>
      </w:r>
      <w:r w:rsidRPr="00F1180D">
        <w:rPr>
          <w:lang w:val="fr-FR" w:bidi="ar-EG"/>
        </w:rPr>
        <w:t>il est interdit aux clubs et associations de poursuiv</w:t>
      </w:r>
      <w:r w:rsidR="00E118DC" w:rsidRPr="00F1180D">
        <w:rPr>
          <w:lang w:val="fr-FR" w:bidi="ar-EG"/>
        </w:rPr>
        <w:t xml:space="preserve">re des buts contraires à la loi, </w:t>
      </w:r>
      <w:r w:rsidRPr="00F1180D">
        <w:rPr>
          <w:lang w:val="fr-FR" w:bidi="ar-KW"/>
        </w:rPr>
        <w:t>d</w:t>
      </w:r>
      <w:r w:rsidR="00680ADA" w:rsidRPr="00F1180D">
        <w:rPr>
          <w:lang w:val="fr-FR" w:bidi="ar-KW"/>
        </w:rPr>
        <w:t>’</w:t>
      </w:r>
      <w:r w:rsidRPr="00F1180D">
        <w:rPr>
          <w:lang w:val="fr-FR" w:bidi="ar-KW"/>
        </w:rPr>
        <w:t>intervenir dans les conflits politiques ou religieux ou de susciter des dissensions ethniques</w:t>
      </w:r>
      <w:r w:rsidR="00680ADA" w:rsidRPr="00F1180D">
        <w:rPr>
          <w:lang w:val="fr-FR" w:bidi="ar-KW"/>
        </w:rPr>
        <w:t>,</w:t>
      </w:r>
      <w:r w:rsidRPr="00F1180D">
        <w:rPr>
          <w:lang w:val="fr-FR" w:bidi="ar-KW"/>
        </w:rPr>
        <w:t xml:space="preserve"> raciales ou confessionnelles</w:t>
      </w:r>
      <w:r w:rsidR="00E118DC" w:rsidRPr="00F1180D">
        <w:rPr>
          <w:lang w:val="fr-FR" w:bidi="ar-KW"/>
        </w:rPr>
        <w:t>»;</w:t>
      </w:r>
      <w:r w:rsidRPr="00F1180D">
        <w:rPr>
          <w:lang w:val="fr-FR" w:bidi="ar-EG"/>
        </w:rPr>
        <w:t xml:space="preserve"> </w:t>
      </w:r>
    </w:p>
    <w:p w:rsidR="000C6D4A" w:rsidRPr="00F1180D" w:rsidRDefault="000C6D4A" w:rsidP="00E118DC">
      <w:pPr>
        <w:pStyle w:val="Bullet1G"/>
        <w:rPr>
          <w:lang w:val="fr-FR" w:bidi="ar-EG"/>
        </w:rPr>
      </w:pPr>
      <w:r w:rsidRPr="00F1180D">
        <w:rPr>
          <w:lang w:val="fr-FR" w:bidi="ar-EG"/>
        </w:rPr>
        <w:t>L</w:t>
      </w:r>
      <w:r w:rsidR="00680ADA" w:rsidRPr="00F1180D">
        <w:rPr>
          <w:lang w:val="fr-FR" w:bidi="ar-EG"/>
        </w:rPr>
        <w:t>’</w:t>
      </w:r>
      <w:r w:rsidR="00163207" w:rsidRPr="00F1180D">
        <w:rPr>
          <w:lang w:val="fr-FR" w:bidi="ar-EG"/>
        </w:rPr>
        <w:t>article </w:t>
      </w:r>
      <w:r w:rsidRPr="00F1180D">
        <w:rPr>
          <w:lang w:val="fr-FR" w:bidi="ar-EG"/>
        </w:rPr>
        <w:t xml:space="preserve">6 du décret-loi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EG"/>
        </w:rPr>
        <w:t>42 de 1978 relatif aux organisations sportives</w:t>
      </w:r>
      <w:r w:rsidR="00680ADA" w:rsidRPr="00F1180D">
        <w:rPr>
          <w:lang w:val="fr-FR" w:bidi="ar-EG"/>
        </w:rPr>
        <w:t>,</w:t>
      </w:r>
      <w:r w:rsidRPr="00F1180D">
        <w:rPr>
          <w:lang w:val="fr-FR" w:bidi="ar-EG"/>
        </w:rPr>
        <w:t xml:space="preserve"> qui leur interdit de poursuivre des buts contraires à la loi</w:t>
      </w:r>
      <w:r w:rsidR="00680ADA" w:rsidRPr="00F1180D">
        <w:rPr>
          <w:lang w:val="fr-FR" w:bidi="ar-EG"/>
        </w:rPr>
        <w:t>,</w:t>
      </w:r>
      <w:r w:rsidRPr="00F1180D">
        <w:rPr>
          <w:lang w:val="fr-FR" w:bidi="ar-EG"/>
        </w:rPr>
        <w:t xml:space="preserve"> de participer à la vie politique ou d</w:t>
      </w:r>
      <w:r w:rsidR="00680ADA" w:rsidRPr="00F1180D">
        <w:rPr>
          <w:lang w:val="fr-FR" w:bidi="ar-EG"/>
        </w:rPr>
        <w:t>’</w:t>
      </w:r>
      <w:r w:rsidRPr="00F1180D">
        <w:rPr>
          <w:lang w:val="fr-FR" w:bidi="ar-EG"/>
        </w:rPr>
        <w:t>inciter au fanatisme religieux</w:t>
      </w:r>
      <w:r w:rsidR="00680ADA" w:rsidRPr="00F1180D">
        <w:rPr>
          <w:lang w:val="fr-FR" w:bidi="ar-EG"/>
        </w:rPr>
        <w:t>,</w:t>
      </w:r>
      <w:r w:rsidRPr="00F1180D">
        <w:rPr>
          <w:lang w:val="fr-FR" w:bidi="ar-EG"/>
        </w:rPr>
        <w:t xml:space="preserve"> confessionnel ou sectaire</w:t>
      </w:r>
      <w:r w:rsidR="00680ADA" w:rsidRPr="00F1180D">
        <w:rPr>
          <w:lang w:val="fr-FR" w:bidi="ar-EG"/>
        </w:rPr>
        <w:t>,</w:t>
      </w:r>
      <w:r w:rsidRPr="00F1180D">
        <w:rPr>
          <w:lang w:val="fr-FR" w:bidi="ar-EG"/>
        </w:rPr>
        <w:t xml:space="preserve"> ou à la haine raciale</w:t>
      </w:r>
      <w:r w:rsidR="00E118DC" w:rsidRPr="00F1180D">
        <w:rPr>
          <w:lang w:val="fr-FR" w:bidi="ar-EG"/>
        </w:rPr>
        <w:t>;</w:t>
      </w:r>
    </w:p>
    <w:p w:rsidR="000C6D4A" w:rsidRPr="00F1180D" w:rsidRDefault="000C6D4A" w:rsidP="00E118DC">
      <w:pPr>
        <w:pStyle w:val="Bullet1G"/>
        <w:rPr>
          <w:lang w:val="fr-FR" w:bidi="ar-EG"/>
        </w:rPr>
      </w:pPr>
      <w:r w:rsidRPr="00F1180D">
        <w:rPr>
          <w:lang w:val="fr-FR" w:bidi="ar-EG"/>
        </w:rPr>
        <w:t>Sur le plan pénal</w:t>
      </w:r>
      <w:r w:rsidR="00680ADA" w:rsidRPr="00F1180D">
        <w:rPr>
          <w:lang w:val="fr-FR" w:bidi="ar-EG"/>
        </w:rPr>
        <w:t>,</w:t>
      </w:r>
      <w:r w:rsidRPr="00F1180D">
        <w:rPr>
          <w:lang w:val="fr-FR" w:bidi="ar-EG"/>
        </w:rPr>
        <w:t xml:space="preserve"> l</w:t>
      </w:r>
      <w:r w:rsidR="00680ADA" w:rsidRPr="00F1180D">
        <w:rPr>
          <w:lang w:val="fr-FR" w:bidi="ar-EG"/>
        </w:rPr>
        <w:t>’</w:t>
      </w:r>
      <w:r w:rsidR="00163207" w:rsidRPr="00F1180D">
        <w:rPr>
          <w:lang w:val="fr-FR" w:bidi="ar-EG"/>
        </w:rPr>
        <w:t>article </w:t>
      </w:r>
      <w:r w:rsidRPr="00F1180D">
        <w:rPr>
          <w:lang w:val="fr-FR" w:bidi="ar-EG"/>
        </w:rPr>
        <w:t>111 du Code pénal koweïtien</w:t>
      </w:r>
      <w:r w:rsidR="00680ADA" w:rsidRPr="00F1180D">
        <w:rPr>
          <w:lang w:val="fr-FR" w:bidi="ar-EG"/>
        </w:rPr>
        <w:t>,</w:t>
      </w:r>
      <w:r w:rsidRPr="00F1180D">
        <w:rPr>
          <w:lang w:val="fr-FR" w:bidi="ar-EG"/>
        </w:rPr>
        <w:t xml:space="preserve"> promulgué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EG"/>
        </w:rPr>
        <w:t>16 de 1960</w:t>
      </w:r>
      <w:r w:rsidR="00680ADA" w:rsidRPr="00F1180D">
        <w:rPr>
          <w:lang w:val="fr-FR" w:bidi="ar-EG"/>
        </w:rPr>
        <w:t>,</w:t>
      </w:r>
      <w:r w:rsidRPr="00F1180D">
        <w:rPr>
          <w:lang w:val="fr-FR" w:bidi="ar-EG"/>
        </w:rPr>
        <w:t xml:space="preserve"> incrimine toute manifestation de sectarisme religieux et dispose ce qui suit</w:t>
      </w:r>
      <w:r w:rsidR="00680ADA" w:rsidRPr="00F1180D">
        <w:rPr>
          <w:lang w:val="fr-FR" w:bidi="ar-EG"/>
        </w:rPr>
        <w:t>:</w:t>
      </w:r>
      <w:r w:rsidRPr="00F1180D">
        <w:rPr>
          <w:lang w:val="fr-FR" w:bidi="ar-EG"/>
        </w:rPr>
        <w:t xml:space="preserve"> </w:t>
      </w:r>
      <w:r w:rsidR="00680ADA" w:rsidRPr="00F1180D">
        <w:rPr>
          <w:lang w:val="fr-FR" w:bidi="ar-EG"/>
        </w:rPr>
        <w:t>«</w:t>
      </w:r>
      <w:r w:rsidRPr="00F1180D">
        <w:rPr>
          <w:lang w:val="fr-FR" w:bidi="ar-EG"/>
        </w:rPr>
        <w:t>Quiconque diffuse</w:t>
      </w:r>
      <w:r w:rsidR="00680ADA" w:rsidRPr="00F1180D">
        <w:rPr>
          <w:lang w:val="fr-FR" w:bidi="ar-EG"/>
        </w:rPr>
        <w:t>,</w:t>
      </w:r>
      <w:r w:rsidRPr="00F1180D">
        <w:rPr>
          <w:lang w:val="fr-FR" w:bidi="ar-EG"/>
        </w:rPr>
        <w:t xml:space="preserve"> par le biais de l</w:t>
      </w:r>
      <w:r w:rsidR="00680ADA" w:rsidRPr="00F1180D">
        <w:rPr>
          <w:lang w:val="fr-FR" w:bidi="ar-EG"/>
        </w:rPr>
        <w:t>’</w:t>
      </w:r>
      <w:r w:rsidRPr="00F1180D">
        <w:rPr>
          <w:lang w:val="fr-FR" w:bidi="ar-EG"/>
        </w:rPr>
        <w:t>un des médias visés à l</w:t>
      </w:r>
      <w:r w:rsidR="00680ADA" w:rsidRPr="00F1180D">
        <w:rPr>
          <w:lang w:val="fr-FR" w:bidi="ar-EG"/>
        </w:rPr>
        <w:t>’</w:t>
      </w:r>
      <w:r w:rsidR="00163207" w:rsidRPr="00F1180D">
        <w:rPr>
          <w:lang w:val="fr-FR" w:bidi="ar-EG"/>
        </w:rPr>
        <w:t>article </w:t>
      </w:r>
      <w:r w:rsidRPr="00F1180D">
        <w:rPr>
          <w:lang w:val="fr-FR" w:bidi="ar-EG"/>
        </w:rPr>
        <w:t>101 des opinions dénigrant</w:t>
      </w:r>
      <w:r w:rsidR="00680ADA" w:rsidRPr="00F1180D">
        <w:rPr>
          <w:lang w:val="fr-FR" w:bidi="ar-EG"/>
        </w:rPr>
        <w:t>,</w:t>
      </w:r>
      <w:r w:rsidRPr="00F1180D">
        <w:rPr>
          <w:lang w:val="fr-FR" w:bidi="ar-EG"/>
        </w:rPr>
        <w:t xml:space="preserve"> méprisant ou rabaissant une religion ou une confession en s</w:t>
      </w:r>
      <w:r w:rsidR="00680ADA" w:rsidRPr="00F1180D">
        <w:rPr>
          <w:lang w:val="fr-FR" w:bidi="ar-EG"/>
        </w:rPr>
        <w:t>’</w:t>
      </w:r>
      <w:r w:rsidRPr="00F1180D">
        <w:rPr>
          <w:lang w:val="fr-FR" w:bidi="ar-EG"/>
        </w:rPr>
        <w:t>attaquant à ses croyances</w:t>
      </w:r>
      <w:r w:rsidR="00680ADA" w:rsidRPr="00F1180D">
        <w:rPr>
          <w:lang w:val="fr-FR" w:bidi="ar-EG"/>
        </w:rPr>
        <w:t>,</w:t>
      </w:r>
      <w:r w:rsidRPr="00F1180D">
        <w:rPr>
          <w:lang w:val="fr-FR" w:bidi="ar-EG"/>
        </w:rPr>
        <w:t xml:space="preserve"> cultes</w:t>
      </w:r>
      <w:r w:rsidR="00680ADA" w:rsidRPr="00F1180D">
        <w:rPr>
          <w:lang w:val="fr-FR" w:bidi="ar-EG"/>
        </w:rPr>
        <w:t>,</w:t>
      </w:r>
      <w:r w:rsidRPr="00F1180D">
        <w:rPr>
          <w:lang w:val="fr-FR" w:bidi="ar-EG"/>
        </w:rPr>
        <w:t xml:space="preserve"> rites ou enseignements</w:t>
      </w:r>
      <w:r w:rsidR="00680ADA" w:rsidRPr="00F1180D">
        <w:rPr>
          <w:lang w:val="fr-FR" w:bidi="ar-EG"/>
        </w:rPr>
        <w:t>,</w:t>
      </w:r>
      <w:r w:rsidRPr="00F1180D">
        <w:rPr>
          <w:lang w:val="fr-FR" w:bidi="ar-EG"/>
        </w:rPr>
        <w:t xml:space="preserve"> est passible d</w:t>
      </w:r>
      <w:r w:rsidR="00680ADA" w:rsidRPr="00F1180D">
        <w:rPr>
          <w:lang w:val="fr-FR" w:bidi="ar-EG"/>
        </w:rPr>
        <w:t>’</w:t>
      </w:r>
      <w:r w:rsidRPr="00F1180D">
        <w:rPr>
          <w:lang w:val="fr-FR" w:bidi="ar-EG"/>
        </w:rPr>
        <w:t>une peine de prison pouvant aller jusqu</w:t>
      </w:r>
      <w:r w:rsidR="00680ADA" w:rsidRPr="00F1180D">
        <w:rPr>
          <w:lang w:val="fr-FR" w:bidi="ar-EG"/>
        </w:rPr>
        <w:t>’</w:t>
      </w:r>
      <w:r w:rsidRPr="00F1180D">
        <w:rPr>
          <w:lang w:val="fr-FR" w:bidi="ar-EG"/>
        </w:rPr>
        <w:t>à une année et/ou d</w:t>
      </w:r>
      <w:r w:rsidR="00680ADA" w:rsidRPr="00F1180D">
        <w:rPr>
          <w:lang w:val="fr-FR" w:bidi="ar-EG"/>
        </w:rPr>
        <w:t>’</w:t>
      </w:r>
      <w:r w:rsidRPr="00F1180D">
        <w:rPr>
          <w:lang w:val="fr-FR" w:bidi="ar-EG"/>
        </w:rPr>
        <w:t>une amende pouvant aller</w:t>
      </w:r>
      <w:r w:rsidR="009B1350" w:rsidRPr="00F1180D">
        <w:rPr>
          <w:lang w:val="fr-FR" w:bidi="ar-EG"/>
        </w:rPr>
        <w:t xml:space="preserve"> </w:t>
      </w:r>
      <w:r w:rsidRPr="00F1180D">
        <w:rPr>
          <w:lang w:val="fr-FR" w:bidi="ar-EG"/>
        </w:rPr>
        <w:t>jusqu</w:t>
      </w:r>
      <w:r w:rsidR="00680ADA" w:rsidRPr="00F1180D">
        <w:rPr>
          <w:lang w:val="fr-FR" w:bidi="ar-EG"/>
        </w:rPr>
        <w:t>’</w:t>
      </w:r>
      <w:r w:rsidRPr="00F1180D">
        <w:rPr>
          <w:lang w:val="fr-FR" w:bidi="ar-EG"/>
        </w:rPr>
        <w:t>à 1 000 roupies</w:t>
      </w:r>
      <w:r w:rsidR="00680ADA" w:rsidRPr="00F1180D">
        <w:rPr>
          <w:lang w:val="fr-FR" w:bidi="ar-EG"/>
        </w:rPr>
        <w:t>»</w:t>
      </w:r>
      <w:r w:rsidR="00E118DC" w:rsidRPr="00F1180D">
        <w:rPr>
          <w:lang w:val="fr-FR" w:bidi="ar-EG"/>
        </w:rPr>
        <w:t>;</w:t>
      </w:r>
      <w:r w:rsidRPr="00F1180D">
        <w:rPr>
          <w:lang w:val="fr-FR" w:bidi="ar-EG"/>
        </w:rPr>
        <w:t xml:space="preserve"> </w:t>
      </w:r>
    </w:p>
    <w:p w:rsidR="000C6D4A" w:rsidRPr="00F1180D" w:rsidRDefault="000C6D4A" w:rsidP="00E118DC">
      <w:pPr>
        <w:pStyle w:val="Bullet1G"/>
        <w:rPr>
          <w:rtl/>
          <w:lang w:val="fr-FR" w:bidi="fr-FR"/>
        </w:rPr>
      </w:pPr>
      <w:r w:rsidRPr="00F1180D">
        <w:rPr>
          <w:lang w:val="fr-FR" w:bidi="ar-EG"/>
        </w:rPr>
        <w:t>L</w:t>
      </w:r>
      <w:r w:rsidR="00680ADA" w:rsidRPr="00F1180D">
        <w:rPr>
          <w:lang w:val="fr-FR" w:bidi="ar-EG"/>
        </w:rPr>
        <w:t>’</w:t>
      </w:r>
      <w:r w:rsidR="00163207" w:rsidRPr="00F1180D">
        <w:rPr>
          <w:lang w:val="fr-FR" w:bidi="ar-EG"/>
        </w:rPr>
        <w:t>article </w:t>
      </w:r>
      <w:r w:rsidRPr="00F1180D">
        <w:rPr>
          <w:lang w:val="fr-FR" w:bidi="ar-EG"/>
        </w:rPr>
        <w:t xml:space="preserve">46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EG"/>
        </w:rPr>
        <w:t>6 de 2010 sur l</w:t>
      </w:r>
      <w:r w:rsidR="00680ADA" w:rsidRPr="00F1180D">
        <w:rPr>
          <w:lang w:val="fr-FR" w:bidi="ar-EG"/>
        </w:rPr>
        <w:t>’</w:t>
      </w:r>
      <w:r w:rsidRPr="00F1180D">
        <w:rPr>
          <w:lang w:val="fr-FR" w:bidi="ar-EG"/>
        </w:rPr>
        <w:t>emploi dans le secteur privé</w:t>
      </w:r>
      <w:r w:rsidR="00680ADA" w:rsidRPr="00F1180D">
        <w:rPr>
          <w:lang w:val="fr-FR" w:bidi="ar-EG"/>
        </w:rPr>
        <w:t>,</w:t>
      </w:r>
      <w:r w:rsidRPr="00F1180D">
        <w:rPr>
          <w:lang w:val="fr-FR" w:bidi="ar-EG"/>
        </w:rPr>
        <w:t xml:space="preserve"> qui dispose ce qui suit</w:t>
      </w:r>
      <w:r w:rsidR="00680ADA" w:rsidRPr="00F1180D">
        <w:rPr>
          <w:lang w:val="fr-FR" w:bidi="ar-EG"/>
        </w:rPr>
        <w:t>:</w:t>
      </w:r>
      <w:r w:rsidRPr="00F1180D">
        <w:rPr>
          <w:lang w:val="fr-FR" w:bidi="ar-EG"/>
        </w:rPr>
        <w:t xml:space="preserve"> </w:t>
      </w:r>
      <w:r w:rsidR="00680ADA" w:rsidRPr="00F1180D">
        <w:rPr>
          <w:lang w:val="fr-FR" w:bidi="ar-EG"/>
        </w:rPr>
        <w:t>«</w:t>
      </w:r>
      <w:r w:rsidRPr="00F1180D">
        <w:rPr>
          <w:lang w:val="fr-FR"/>
        </w:rPr>
        <w:t>Il ne peut être mis fin au contrat de travail d</w:t>
      </w:r>
      <w:r w:rsidR="00680ADA" w:rsidRPr="00F1180D">
        <w:rPr>
          <w:lang w:val="fr-FR"/>
        </w:rPr>
        <w:t>’</w:t>
      </w:r>
      <w:r w:rsidRPr="00F1180D">
        <w:rPr>
          <w:lang w:val="fr-FR"/>
        </w:rPr>
        <w:t>un employé sans motif</w:t>
      </w:r>
      <w:r w:rsidR="00680ADA" w:rsidRPr="00F1180D">
        <w:rPr>
          <w:lang w:val="fr-FR"/>
        </w:rPr>
        <w:t>,</w:t>
      </w:r>
      <w:r w:rsidRPr="00F1180D">
        <w:rPr>
          <w:lang w:val="fr-FR"/>
        </w:rPr>
        <w:t xml:space="preserve"> en </w:t>
      </w:r>
      <w:r w:rsidRPr="00F1180D">
        <w:rPr>
          <w:lang w:val="fr-FR"/>
        </w:rPr>
        <w:lastRenderedPageBreak/>
        <w:t>raison de ses activités syndicales</w:t>
      </w:r>
      <w:r w:rsidR="00680ADA" w:rsidRPr="00F1180D">
        <w:rPr>
          <w:lang w:val="fr-FR"/>
        </w:rPr>
        <w:t>,</w:t>
      </w:r>
      <w:r w:rsidRPr="00F1180D">
        <w:rPr>
          <w:lang w:val="fr-FR"/>
        </w:rPr>
        <w:t xml:space="preserve"> de ses revendications au titre de la jouissance de ses droits légitimes conformément à la loi</w:t>
      </w:r>
      <w:r w:rsidR="00680ADA" w:rsidRPr="00F1180D">
        <w:rPr>
          <w:lang w:val="fr-FR"/>
        </w:rPr>
        <w:t>,</w:t>
      </w:r>
      <w:r w:rsidRPr="00F1180D">
        <w:rPr>
          <w:lang w:val="fr-FR"/>
        </w:rPr>
        <w:t xml:space="preserve"> ou à cause de son sexe</w:t>
      </w:r>
      <w:r w:rsidR="00680ADA" w:rsidRPr="00F1180D">
        <w:rPr>
          <w:lang w:val="fr-FR"/>
        </w:rPr>
        <w:t>,</w:t>
      </w:r>
      <w:r w:rsidRPr="00F1180D">
        <w:rPr>
          <w:lang w:val="fr-FR"/>
        </w:rPr>
        <w:t xml:space="preserve"> de son origine ou de sa religion</w:t>
      </w:r>
      <w:r w:rsidR="00680ADA" w:rsidRPr="00F1180D">
        <w:rPr>
          <w:lang w:val="fr-FR"/>
        </w:rPr>
        <w:t>»</w:t>
      </w:r>
      <w:r w:rsidR="00E118DC" w:rsidRPr="00F1180D">
        <w:rPr>
          <w:lang w:val="fr-FR"/>
        </w:rPr>
        <w:t>;</w:t>
      </w:r>
      <w:r w:rsidRPr="00F1180D">
        <w:rPr>
          <w:lang w:val="fr-FR"/>
        </w:rPr>
        <w:t xml:space="preserve"> </w:t>
      </w:r>
    </w:p>
    <w:p w:rsidR="000C6D4A" w:rsidRPr="00F1180D" w:rsidRDefault="000C6D4A" w:rsidP="00E118DC">
      <w:pPr>
        <w:pStyle w:val="Bullet1G"/>
        <w:rPr>
          <w:rtl/>
          <w:lang w:val="fr-FR" w:bidi="fr-FR"/>
        </w:rPr>
      </w:pPr>
      <w:r w:rsidRPr="00F1180D">
        <w:rPr>
          <w:lang w:val="fr-FR" w:bidi="ar-EG"/>
        </w:rPr>
        <w:t>L</w:t>
      </w:r>
      <w:r w:rsidR="00680ADA" w:rsidRPr="00F1180D">
        <w:rPr>
          <w:lang w:val="fr-FR" w:bidi="ar-EG"/>
        </w:rPr>
        <w:t>’</w:t>
      </w:r>
      <w:r w:rsidR="00163207" w:rsidRPr="00F1180D">
        <w:rPr>
          <w:lang w:val="fr-FR" w:bidi="ar-EG"/>
        </w:rPr>
        <w:t>article </w:t>
      </w:r>
      <w:r w:rsidR="00E118DC" w:rsidRPr="00F1180D">
        <w:rPr>
          <w:lang w:val="fr-FR" w:bidi="ar-EG"/>
        </w:rPr>
        <w:t>1</w:t>
      </w:r>
      <w:r w:rsidR="00E118DC" w:rsidRPr="00F1180D">
        <w:rPr>
          <w:vertAlign w:val="superscript"/>
          <w:lang w:val="fr-FR" w:bidi="ar-EG"/>
        </w:rPr>
        <w:t>er</w:t>
      </w:r>
      <w:r w:rsidR="00E118DC" w:rsidRPr="00F1180D">
        <w:rPr>
          <w:lang w:val="fr-FR" w:bidi="ar-EG"/>
        </w:rPr>
        <w:t xml:space="preserve"> </w:t>
      </w:r>
      <w:r w:rsidRPr="00F1180D">
        <w:rPr>
          <w:lang w:val="fr-FR" w:bidi="ar-EG"/>
        </w:rPr>
        <w:t xml:space="preserve">du décret-loi </w:t>
      </w:r>
      <w:r w:rsidR="00FA4059" w:rsidRPr="00F1180D">
        <w:rPr>
          <w:lang w:val="fr-FR" w:bidi="ar-KW"/>
        </w:rPr>
        <w:t>n</w:t>
      </w:r>
      <w:r w:rsidR="00FA4059" w:rsidRPr="00F1180D">
        <w:rPr>
          <w:vertAlign w:val="superscript"/>
          <w:lang w:val="fr-FR" w:bidi="ar-KW"/>
        </w:rPr>
        <w:t>o</w:t>
      </w:r>
      <w:r w:rsidR="00FA4059" w:rsidRPr="00F1180D">
        <w:rPr>
          <w:lang w:val="fr-FR" w:bidi="ar-KW"/>
        </w:rPr>
        <w:t>°</w:t>
      </w:r>
      <w:r w:rsidRPr="00F1180D">
        <w:rPr>
          <w:lang w:val="fr-FR" w:bidi="ar-EG"/>
        </w:rPr>
        <w:t>19 de 2012 sur la sauvegarde de l</w:t>
      </w:r>
      <w:r w:rsidR="00680ADA" w:rsidRPr="00F1180D">
        <w:rPr>
          <w:lang w:val="fr-FR" w:bidi="ar-EG"/>
        </w:rPr>
        <w:t>’</w:t>
      </w:r>
      <w:r w:rsidRPr="00F1180D">
        <w:rPr>
          <w:lang w:val="fr-FR" w:bidi="ar-EG"/>
        </w:rPr>
        <w:t>unité nationale</w:t>
      </w:r>
      <w:r w:rsidR="00680ADA" w:rsidRPr="00F1180D">
        <w:rPr>
          <w:lang w:val="fr-FR" w:bidi="ar-EG"/>
        </w:rPr>
        <w:t>,</w:t>
      </w:r>
      <w:r w:rsidRPr="00F1180D">
        <w:rPr>
          <w:lang w:val="fr-FR" w:bidi="ar-EG"/>
        </w:rPr>
        <w:t xml:space="preserve"> qui interdit </w:t>
      </w:r>
      <w:r w:rsidR="00680ADA" w:rsidRPr="00F1180D">
        <w:rPr>
          <w:lang w:val="fr-FR" w:bidi="ar-EG"/>
        </w:rPr>
        <w:t>«</w:t>
      </w:r>
      <w:r w:rsidRPr="00F1180D">
        <w:rPr>
          <w:lang w:val="fr-FR" w:bidi="ar-EG"/>
        </w:rPr>
        <w:t>tout acte ou appel par l</w:t>
      </w:r>
      <w:r w:rsidR="00680ADA" w:rsidRPr="00F1180D">
        <w:rPr>
          <w:lang w:val="fr-FR" w:bidi="ar-EG"/>
        </w:rPr>
        <w:t>’</w:t>
      </w:r>
      <w:r w:rsidRPr="00F1180D">
        <w:rPr>
          <w:lang w:val="fr-FR" w:bidi="ar-EG"/>
        </w:rPr>
        <w:t>un des moyens d</w:t>
      </w:r>
      <w:r w:rsidR="00680ADA" w:rsidRPr="00F1180D">
        <w:rPr>
          <w:lang w:val="fr-FR" w:bidi="ar-EG"/>
        </w:rPr>
        <w:t>’</w:t>
      </w:r>
      <w:r w:rsidRPr="00F1180D">
        <w:rPr>
          <w:lang w:val="fr-FR" w:bidi="ar-EG"/>
        </w:rPr>
        <w:t>expression visés à l</w:t>
      </w:r>
      <w:r w:rsidR="00680ADA" w:rsidRPr="00F1180D">
        <w:rPr>
          <w:lang w:val="fr-FR" w:bidi="ar-EG"/>
        </w:rPr>
        <w:t>’</w:t>
      </w:r>
      <w:r w:rsidR="00163207" w:rsidRPr="00F1180D">
        <w:rPr>
          <w:lang w:val="fr-FR" w:bidi="ar-EG"/>
        </w:rPr>
        <w:t>article </w:t>
      </w:r>
      <w:r w:rsidRPr="00F1180D">
        <w:rPr>
          <w:lang w:val="fr-FR" w:bidi="ar-EG"/>
        </w:rPr>
        <w:t xml:space="preserve">29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EG"/>
        </w:rPr>
        <w:t>31 de 1970 modifiant certaines dispositions du Code pénal</w:t>
      </w:r>
      <w:r w:rsidR="00680ADA" w:rsidRPr="00F1180D">
        <w:rPr>
          <w:lang w:val="fr-FR" w:bidi="ar-EG"/>
        </w:rPr>
        <w:t>,</w:t>
      </w:r>
      <w:r w:rsidRPr="00F1180D">
        <w:rPr>
          <w:lang w:val="fr-FR" w:bidi="ar-EG"/>
        </w:rPr>
        <w:t xml:space="preserve"> qui constitue une incitation à la haine</w:t>
      </w:r>
      <w:r w:rsidR="00680ADA" w:rsidRPr="00F1180D">
        <w:rPr>
          <w:lang w:val="fr-FR" w:bidi="ar-EG"/>
        </w:rPr>
        <w:t>,</w:t>
      </w:r>
      <w:r w:rsidRPr="00F1180D">
        <w:rPr>
          <w:lang w:val="fr-FR" w:bidi="ar-EG"/>
        </w:rPr>
        <w:t xml:space="preserve"> au dénigrement d</w:t>
      </w:r>
      <w:r w:rsidR="00680ADA" w:rsidRPr="00F1180D">
        <w:rPr>
          <w:lang w:val="fr-FR" w:bidi="ar-EG"/>
        </w:rPr>
        <w:t>’</w:t>
      </w:r>
      <w:r w:rsidRPr="00F1180D">
        <w:rPr>
          <w:lang w:val="fr-FR" w:bidi="ar-EG"/>
        </w:rPr>
        <w:t>un groupe social</w:t>
      </w:r>
      <w:r w:rsidR="00680ADA" w:rsidRPr="00F1180D">
        <w:rPr>
          <w:lang w:val="fr-FR" w:bidi="ar-EG"/>
        </w:rPr>
        <w:t>,</w:t>
      </w:r>
      <w:r w:rsidRPr="00F1180D">
        <w:rPr>
          <w:lang w:val="fr-FR" w:bidi="ar-EG"/>
        </w:rPr>
        <w:t xml:space="preserve"> aux conflits confessionnels ou tribaux</w:t>
      </w:r>
      <w:r w:rsidR="00680ADA" w:rsidRPr="00F1180D">
        <w:rPr>
          <w:lang w:val="fr-FR" w:bidi="ar-EG"/>
        </w:rPr>
        <w:t>,</w:t>
      </w:r>
      <w:r w:rsidRPr="00F1180D">
        <w:rPr>
          <w:lang w:val="fr-FR" w:bidi="ar-EG"/>
        </w:rPr>
        <w:t xml:space="preserve"> ainsi que la diffusion de toute idéologie prônant la supériorité d</w:t>
      </w:r>
      <w:r w:rsidR="00680ADA" w:rsidRPr="00F1180D">
        <w:rPr>
          <w:lang w:val="fr-FR" w:bidi="ar-EG"/>
        </w:rPr>
        <w:t>’</w:t>
      </w:r>
      <w:r w:rsidRPr="00F1180D">
        <w:rPr>
          <w:lang w:val="fr-FR" w:bidi="ar-EG"/>
        </w:rPr>
        <w:t>une race</w:t>
      </w:r>
      <w:r w:rsidR="00680ADA" w:rsidRPr="00F1180D">
        <w:rPr>
          <w:lang w:val="fr-FR" w:bidi="ar-EG"/>
        </w:rPr>
        <w:t>,</w:t>
      </w:r>
      <w:r w:rsidRPr="00F1180D">
        <w:rPr>
          <w:lang w:val="fr-FR" w:bidi="ar-EG"/>
        </w:rPr>
        <w:t xml:space="preserve"> d</w:t>
      </w:r>
      <w:r w:rsidR="00680ADA" w:rsidRPr="00F1180D">
        <w:rPr>
          <w:lang w:val="fr-FR" w:bidi="ar-EG"/>
        </w:rPr>
        <w:t>’</w:t>
      </w:r>
      <w:r w:rsidRPr="00F1180D">
        <w:rPr>
          <w:lang w:val="fr-FR" w:bidi="ar-EG"/>
        </w:rPr>
        <w:t>un groupe</w:t>
      </w:r>
      <w:r w:rsidR="00680ADA" w:rsidRPr="00F1180D">
        <w:rPr>
          <w:lang w:val="fr-FR" w:bidi="ar-EG"/>
        </w:rPr>
        <w:t>,</w:t>
      </w:r>
      <w:r w:rsidRPr="00F1180D">
        <w:rPr>
          <w:lang w:val="fr-FR" w:bidi="ar-EG"/>
        </w:rPr>
        <w:t xml:space="preserve"> d</w:t>
      </w:r>
      <w:r w:rsidR="00680ADA" w:rsidRPr="00F1180D">
        <w:rPr>
          <w:lang w:val="fr-FR" w:bidi="ar-EG"/>
        </w:rPr>
        <w:t>’</w:t>
      </w:r>
      <w:r w:rsidRPr="00F1180D">
        <w:rPr>
          <w:lang w:val="fr-FR" w:bidi="ar-EG"/>
        </w:rPr>
        <w:t>une couleur</w:t>
      </w:r>
      <w:r w:rsidR="00680ADA" w:rsidRPr="00F1180D">
        <w:rPr>
          <w:lang w:val="fr-FR" w:bidi="ar-EG"/>
        </w:rPr>
        <w:t>,</w:t>
      </w:r>
      <w:r w:rsidRPr="00F1180D">
        <w:rPr>
          <w:lang w:val="fr-FR" w:bidi="ar-EG"/>
        </w:rPr>
        <w:t xml:space="preserve"> d</w:t>
      </w:r>
      <w:r w:rsidR="00680ADA" w:rsidRPr="00F1180D">
        <w:rPr>
          <w:lang w:val="fr-FR" w:bidi="ar-EG"/>
        </w:rPr>
        <w:t>’</w:t>
      </w:r>
      <w:r w:rsidRPr="00F1180D">
        <w:rPr>
          <w:lang w:val="fr-FR" w:bidi="ar-EG"/>
        </w:rPr>
        <w:t>une origine nationale ou ethnique</w:t>
      </w:r>
      <w:r w:rsidR="00680ADA" w:rsidRPr="00F1180D">
        <w:rPr>
          <w:lang w:val="fr-FR" w:bidi="ar-EG"/>
        </w:rPr>
        <w:t>,</w:t>
      </w:r>
      <w:r w:rsidRPr="00F1180D">
        <w:rPr>
          <w:lang w:val="fr-FR" w:bidi="ar-EG"/>
        </w:rPr>
        <w:t xml:space="preserve"> d</w:t>
      </w:r>
      <w:r w:rsidR="00680ADA" w:rsidRPr="00F1180D">
        <w:rPr>
          <w:lang w:val="fr-FR" w:bidi="ar-EG"/>
        </w:rPr>
        <w:t>’</w:t>
      </w:r>
      <w:r w:rsidRPr="00F1180D">
        <w:rPr>
          <w:lang w:val="fr-FR" w:bidi="ar-EG"/>
        </w:rPr>
        <w:t>une confession</w:t>
      </w:r>
      <w:r w:rsidR="00680ADA" w:rsidRPr="00F1180D">
        <w:rPr>
          <w:lang w:val="fr-FR" w:bidi="ar-EG"/>
        </w:rPr>
        <w:t>,</w:t>
      </w:r>
      <w:r w:rsidRPr="00F1180D">
        <w:rPr>
          <w:lang w:val="fr-FR" w:bidi="ar-EG"/>
        </w:rPr>
        <w:t xml:space="preserve"> d</w:t>
      </w:r>
      <w:r w:rsidR="00680ADA" w:rsidRPr="00F1180D">
        <w:rPr>
          <w:lang w:val="fr-FR" w:bidi="ar-EG"/>
        </w:rPr>
        <w:t>’</w:t>
      </w:r>
      <w:r w:rsidRPr="00F1180D">
        <w:rPr>
          <w:lang w:val="fr-FR" w:bidi="ar-EG"/>
        </w:rPr>
        <w:t>un genre ou d</w:t>
      </w:r>
      <w:r w:rsidR="00680ADA" w:rsidRPr="00F1180D">
        <w:rPr>
          <w:lang w:val="fr-FR" w:bidi="ar-EG"/>
        </w:rPr>
        <w:t>’</w:t>
      </w:r>
      <w:r w:rsidRPr="00F1180D">
        <w:rPr>
          <w:lang w:val="fr-FR" w:bidi="ar-EG"/>
        </w:rPr>
        <w:t>une filiation et l</w:t>
      </w:r>
      <w:r w:rsidR="00680ADA" w:rsidRPr="00F1180D">
        <w:rPr>
          <w:lang w:val="fr-FR" w:bidi="ar-EG"/>
        </w:rPr>
        <w:t>’</w:t>
      </w:r>
      <w:r w:rsidRPr="00F1180D">
        <w:rPr>
          <w:lang w:val="fr-FR" w:bidi="ar-EG"/>
        </w:rPr>
        <w:t>incitation à la commission de tout acte de violence à cette fin</w:t>
      </w:r>
      <w:r w:rsidR="00680ADA" w:rsidRPr="00F1180D">
        <w:rPr>
          <w:lang w:val="fr-FR" w:bidi="ar-EG"/>
        </w:rPr>
        <w:t>,</w:t>
      </w:r>
      <w:r w:rsidRPr="00F1180D">
        <w:rPr>
          <w:lang w:val="fr-FR" w:bidi="ar-EG"/>
        </w:rPr>
        <w:t xml:space="preserve"> de même que la propagation</w:t>
      </w:r>
      <w:r w:rsidR="00680ADA" w:rsidRPr="00F1180D">
        <w:rPr>
          <w:lang w:val="fr-FR" w:bidi="ar-EG"/>
        </w:rPr>
        <w:t>,</w:t>
      </w:r>
      <w:r w:rsidRPr="00F1180D">
        <w:rPr>
          <w:lang w:val="fr-FR" w:bidi="ar-EG"/>
        </w:rPr>
        <w:t xml:space="preserve"> l</w:t>
      </w:r>
      <w:r w:rsidR="00680ADA" w:rsidRPr="00F1180D">
        <w:rPr>
          <w:lang w:val="fr-FR" w:bidi="ar-EG"/>
        </w:rPr>
        <w:t>’</w:t>
      </w:r>
      <w:r w:rsidRPr="00F1180D">
        <w:rPr>
          <w:lang w:val="fr-FR" w:bidi="ar-EG"/>
        </w:rPr>
        <w:t>édition</w:t>
      </w:r>
      <w:r w:rsidR="00680ADA" w:rsidRPr="00F1180D">
        <w:rPr>
          <w:lang w:val="fr-FR" w:bidi="ar-EG"/>
        </w:rPr>
        <w:t>,</w:t>
      </w:r>
      <w:r w:rsidRPr="00F1180D">
        <w:rPr>
          <w:lang w:val="fr-FR" w:bidi="ar-EG"/>
        </w:rPr>
        <w:t xml:space="preserve"> la publication</w:t>
      </w:r>
      <w:r w:rsidR="00680ADA" w:rsidRPr="00F1180D">
        <w:rPr>
          <w:lang w:val="fr-FR" w:bidi="ar-EG"/>
        </w:rPr>
        <w:t>,</w:t>
      </w:r>
      <w:r w:rsidRPr="00F1180D">
        <w:rPr>
          <w:lang w:val="fr-FR" w:bidi="ar-EG"/>
        </w:rPr>
        <w:t xml:space="preserve"> la diffusion</w:t>
      </w:r>
      <w:r w:rsidR="00680ADA" w:rsidRPr="00F1180D">
        <w:rPr>
          <w:lang w:val="fr-FR" w:bidi="ar-EG"/>
        </w:rPr>
        <w:t>,</w:t>
      </w:r>
      <w:r w:rsidRPr="00F1180D">
        <w:rPr>
          <w:lang w:val="fr-FR" w:bidi="ar-EG"/>
        </w:rPr>
        <w:t xml:space="preserve"> la retransmission</w:t>
      </w:r>
      <w:r w:rsidR="00680ADA" w:rsidRPr="00F1180D">
        <w:rPr>
          <w:lang w:val="fr-FR" w:bidi="ar-EG"/>
        </w:rPr>
        <w:t>,</w:t>
      </w:r>
      <w:r w:rsidRPr="00F1180D">
        <w:rPr>
          <w:lang w:val="fr-FR" w:bidi="ar-EG"/>
        </w:rPr>
        <w:t xml:space="preserve"> la production</w:t>
      </w:r>
      <w:r w:rsidR="00680ADA" w:rsidRPr="00F1180D">
        <w:rPr>
          <w:lang w:val="fr-FR" w:bidi="ar-EG"/>
        </w:rPr>
        <w:t>,</w:t>
      </w:r>
      <w:r w:rsidRPr="00F1180D">
        <w:rPr>
          <w:lang w:val="fr-FR" w:bidi="ar-EG"/>
        </w:rPr>
        <w:t xml:space="preserve"> ou la mise en circulation de tout document imprimé ou contenu audiovisuel de nature à provoquer les infractions visées ci-dessus et la diffusion</w:t>
      </w:r>
      <w:r w:rsidR="00680ADA" w:rsidRPr="00F1180D">
        <w:rPr>
          <w:lang w:val="fr-FR" w:bidi="ar-EG"/>
        </w:rPr>
        <w:t>,</w:t>
      </w:r>
      <w:r w:rsidRPr="00F1180D">
        <w:rPr>
          <w:lang w:val="fr-FR" w:bidi="ar-EG"/>
        </w:rPr>
        <w:t xml:space="preserve"> la propagation ou la retransmission de fausses rumeurs susceptibles de produire les mêmes effets</w:t>
      </w:r>
      <w:r w:rsidR="00680ADA" w:rsidRPr="00F1180D">
        <w:rPr>
          <w:lang w:val="fr-FR" w:bidi="ar-EG"/>
        </w:rPr>
        <w:t>»</w:t>
      </w:r>
      <w:r w:rsidRPr="00F1180D">
        <w:rPr>
          <w:lang w:val="fr-FR" w:bidi="ar-EG"/>
        </w:rPr>
        <w:t xml:space="preserve">. </w:t>
      </w:r>
    </w:p>
    <w:p w:rsidR="000C6D4A" w:rsidRPr="00F1180D" w:rsidRDefault="00E118DC" w:rsidP="00E118DC">
      <w:pPr>
        <w:pStyle w:val="H1G"/>
        <w:rPr>
          <w:lang w:val="fr-FR" w:bidi="ar-KW"/>
        </w:rPr>
      </w:pPr>
      <w:r w:rsidRPr="00F1180D">
        <w:rPr>
          <w:lang w:val="fr-FR"/>
        </w:rPr>
        <w:tab/>
      </w:r>
      <w:r w:rsidRPr="00F1180D">
        <w:rPr>
          <w:lang w:val="fr-FR"/>
        </w:rPr>
        <w:tab/>
      </w:r>
      <w:r w:rsidR="00163207" w:rsidRPr="00F1180D">
        <w:rPr>
          <w:lang w:val="fr-FR"/>
        </w:rPr>
        <w:t>Article </w:t>
      </w:r>
      <w:r w:rsidR="000C6D4A" w:rsidRPr="00F1180D">
        <w:rPr>
          <w:lang w:val="fr-FR"/>
        </w:rPr>
        <w:t>2</w:t>
      </w:r>
    </w:p>
    <w:p w:rsidR="000C6D4A" w:rsidRPr="00F1180D" w:rsidRDefault="00D17B4F" w:rsidP="00E118DC">
      <w:pPr>
        <w:pStyle w:val="SingleTxtG"/>
        <w:keepNext/>
        <w:rPr>
          <w:rtl/>
          <w:lang w:val="fr-FR" w:bidi="fr-FR"/>
        </w:rPr>
      </w:pPr>
      <w:r>
        <w:rPr>
          <w:lang w:val="fr-FR" w:bidi="ar-KW"/>
        </w:rPr>
        <w:t>7.</w:t>
      </w:r>
      <w:r>
        <w:rPr>
          <w:lang w:val="fr-FR" w:bidi="ar-KW"/>
        </w:rPr>
        <w:tab/>
      </w:r>
      <w:r w:rsidR="000C6D4A" w:rsidRPr="00F1180D">
        <w:rPr>
          <w:lang w:val="fr-FR" w:bidi="ar-KW"/>
        </w:rPr>
        <w:t>Dans le cadre de l</w:t>
      </w:r>
      <w:r w:rsidR="00680ADA" w:rsidRPr="00F1180D">
        <w:rPr>
          <w:lang w:val="fr-FR" w:bidi="ar-KW"/>
        </w:rPr>
        <w:t>’</w:t>
      </w:r>
      <w:r w:rsidR="000C6D4A" w:rsidRPr="00F1180D">
        <w:rPr>
          <w:lang w:val="fr-FR" w:bidi="ar-KW"/>
        </w:rPr>
        <w:t>adoption des lois</w:t>
      </w:r>
      <w:r w:rsidR="00680ADA" w:rsidRPr="00F1180D">
        <w:rPr>
          <w:lang w:val="fr-FR" w:bidi="ar-KW"/>
        </w:rPr>
        <w:t>,</w:t>
      </w:r>
      <w:r w:rsidR="000C6D4A" w:rsidRPr="00F1180D">
        <w:rPr>
          <w:lang w:val="fr-FR" w:bidi="ar-KW"/>
        </w:rPr>
        <w:t xml:space="preserve"> le législateur koweïtien a veillé à interdire tout acte ou pratique de discrimination contre des personnes</w:t>
      </w:r>
      <w:r w:rsidR="00680ADA" w:rsidRPr="00F1180D">
        <w:rPr>
          <w:lang w:val="fr-FR" w:bidi="ar-KW"/>
        </w:rPr>
        <w:t>,</w:t>
      </w:r>
      <w:r w:rsidR="000C6D4A" w:rsidRPr="00F1180D">
        <w:rPr>
          <w:lang w:val="fr-FR" w:bidi="ar-KW"/>
        </w:rPr>
        <w:t xml:space="preserve"> groupes de personnes ou institutions</w:t>
      </w:r>
      <w:r w:rsidR="00680ADA" w:rsidRPr="00F1180D">
        <w:rPr>
          <w:lang w:val="fr-FR" w:bidi="ar-KW"/>
        </w:rPr>
        <w:t>,</w:t>
      </w:r>
      <w:r w:rsidR="000C6D4A" w:rsidRPr="00F1180D">
        <w:rPr>
          <w:lang w:val="fr-FR" w:bidi="ar-KW"/>
        </w:rPr>
        <w:t xml:space="preserve"> comme il est possible de le constater à la lumière des textes suivants</w:t>
      </w:r>
      <w:r w:rsidR="00680ADA" w:rsidRPr="00F1180D">
        <w:rPr>
          <w:lang w:val="fr-FR" w:bidi="ar-KW"/>
        </w:rPr>
        <w:t>:</w:t>
      </w:r>
      <w:r w:rsidR="000C6D4A" w:rsidRPr="00F1180D">
        <w:rPr>
          <w:lang w:val="fr-FR" w:bidi="ar-KW"/>
        </w:rPr>
        <w:t xml:space="preserve"> </w:t>
      </w:r>
    </w:p>
    <w:p w:rsidR="000C6D4A" w:rsidRPr="00F1180D" w:rsidRDefault="000C6D4A" w:rsidP="00E118DC">
      <w:pPr>
        <w:pStyle w:val="Bullet1G"/>
        <w:rPr>
          <w:rtl/>
          <w:lang w:val="fr-FR" w:bidi="fr-FR"/>
        </w:rPr>
      </w:pPr>
      <w:r w:rsidRPr="00F1180D">
        <w:rPr>
          <w:lang w:val="fr-FR" w:bidi="ar-KW"/>
        </w:rPr>
        <w:t>L</w:t>
      </w:r>
      <w:r w:rsidR="00680ADA" w:rsidRPr="00F1180D">
        <w:rPr>
          <w:lang w:val="fr-FR" w:bidi="ar-KW"/>
        </w:rPr>
        <w:t>’</w:t>
      </w:r>
      <w:r w:rsidR="00163207" w:rsidRPr="00F1180D">
        <w:rPr>
          <w:lang w:val="fr-FR" w:bidi="ar-KW"/>
        </w:rPr>
        <w:t>article </w:t>
      </w:r>
      <w:r w:rsidRPr="00F1180D">
        <w:rPr>
          <w:lang w:val="fr-FR" w:bidi="ar-KW"/>
        </w:rPr>
        <w:t xml:space="preserve">19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KW"/>
        </w:rPr>
        <w:t>3 de 2006 interdit toute atteinte à l</w:t>
      </w:r>
      <w:r w:rsidR="00680ADA" w:rsidRPr="00F1180D">
        <w:rPr>
          <w:lang w:val="fr-FR" w:bidi="ar-KW"/>
        </w:rPr>
        <w:t>’</w:t>
      </w:r>
      <w:r w:rsidRPr="00F1180D">
        <w:rPr>
          <w:lang w:val="fr-FR" w:bidi="ar-KW"/>
        </w:rPr>
        <w:t>essence divine</w:t>
      </w:r>
      <w:r w:rsidR="00680ADA" w:rsidRPr="00F1180D">
        <w:rPr>
          <w:lang w:val="fr-FR" w:bidi="ar-KW"/>
        </w:rPr>
        <w:t>,</w:t>
      </w:r>
      <w:r w:rsidRPr="00F1180D">
        <w:rPr>
          <w:lang w:val="fr-FR" w:bidi="ar-KW"/>
        </w:rPr>
        <w:t xml:space="preserve"> au saint Coran</w:t>
      </w:r>
      <w:r w:rsidR="00680ADA" w:rsidRPr="00F1180D">
        <w:rPr>
          <w:lang w:val="fr-FR" w:bidi="ar-KW"/>
        </w:rPr>
        <w:t>,</w:t>
      </w:r>
      <w:r w:rsidRPr="00F1180D">
        <w:rPr>
          <w:lang w:val="fr-FR" w:bidi="ar-KW"/>
        </w:rPr>
        <w:t xml:space="preserve"> aux prophètes</w:t>
      </w:r>
      <w:r w:rsidR="00680ADA" w:rsidRPr="00F1180D">
        <w:rPr>
          <w:lang w:val="fr-FR" w:bidi="ar-KW"/>
        </w:rPr>
        <w:t>,</w:t>
      </w:r>
      <w:r w:rsidRPr="00F1180D">
        <w:rPr>
          <w:lang w:val="fr-FR" w:bidi="ar-KW"/>
        </w:rPr>
        <w:t xml:space="preserve"> aux compagnons du prophète</w:t>
      </w:r>
      <w:r w:rsidR="00680ADA" w:rsidRPr="00F1180D">
        <w:rPr>
          <w:lang w:val="fr-FR" w:bidi="ar-KW"/>
        </w:rPr>
        <w:t>,</w:t>
      </w:r>
      <w:r w:rsidRPr="00F1180D">
        <w:rPr>
          <w:lang w:val="fr-FR" w:bidi="ar-KW"/>
        </w:rPr>
        <w:t xml:space="preserve"> à ses épouses et aux gens de sa maison</w:t>
      </w:r>
      <w:r w:rsidR="00680ADA" w:rsidRPr="00F1180D">
        <w:rPr>
          <w:lang w:val="fr-FR" w:bidi="ar-KW"/>
        </w:rPr>
        <w:t>,</w:t>
      </w:r>
      <w:r w:rsidRPr="00F1180D">
        <w:rPr>
          <w:lang w:val="fr-FR" w:bidi="ar-KW"/>
        </w:rPr>
        <w:t xml:space="preserve"> qu</w:t>
      </w:r>
      <w:r w:rsidR="00680ADA" w:rsidRPr="00F1180D">
        <w:rPr>
          <w:lang w:val="fr-FR" w:bidi="ar-KW"/>
        </w:rPr>
        <w:t>’</w:t>
      </w:r>
      <w:r w:rsidRPr="00F1180D">
        <w:rPr>
          <w:lang w:val="fr-FR" w:bidi="ar-KW"/>
        </w:rPr>
        <w:t>ils soient bénis</w:t>
      </w:r>
      <w:r w:rsidR="00E118DC" w:rsidRPr="00F1180D">
        <w:rPr>
          <w:lang w:val="fr-FR" w:bidi="ar-KW"/>
        </w:rPr>
        <w:t>;</w:t>
      </w:r>
    </w:p>
    <w:p w:rsidR="000C6D4A" w:rsidRPr="00F1180D" w:rsidRDefault="000C6D4A" w:rsidP="00E118DC">
      <w:pPr>
        <w:pStyle w:val="Bullet1G"/>
        <w:rPr>
          <w:rtl/>
          <w:lang w:val="fr-FR" w:bidi="fr-FR"/>
        </w:rPr>
      </w:pPr>
      <w:r w:rsidRPr="00F1180D">
        <w:rPr>
          <w:lang w:val="fr-FR" w:bidi="ar-KW"/>
        </w:rPr>
        <w:t>L</w:t>
      </w:r>
      <w:r w:rsidR="00680ADA" w:rsidRPr="00F1180D">
        <w:rPr>
          <w:lang w:val="fr-FR" w:bidi="ar-KW"/>
        </w:rPr>
        <w:t>’</w:t>
      </w:r>
      <w:r w:rsidR="00163207" w:rsidRPr="00F1180D">
        <w:rPr>
          <w:lang w:val="fr-FR" w:bidi="ar-KW"/>
        </w:rPr>
        <w:t>article </w:t>
      </w:r>
      <w:r w:rsidRPr="00F1180D">
        <w:rPr>
          <w:lang w:val="fr-FR" w:bidi="ar-KW"/>
        </w:rPr>
        <w:t xml:space="preserve">11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KW"/>
        </w:rPr>
        <w:t>61 de 2007 sur les médias audiovisuels interdit aux titulaires de licences (médias agréés) de diffuser ou de rediffuser tout ce qui serait susceptible de porter atteinte à</w:t>
      </w:r>
      <w:r w:rsidR="00680ADA" w:rsidRPr="00F1180D">
        <w:rPr>
          <w:lang w:val="fr-FR" w:bidi="ar-KW"/>
        </w:rPr>
        <w:t>:</w:t>
      </w:r>
      <w:r w:rsidRPr="00F1180D">
        <w:rPr>
          <w:iCs/>
          <w:lang w:val="fr-FR"/>
        </w:rPr>
        <w:t>à la dignité et à la religion d</w:t>
      </w:r>
      <w:r w:rsidR="00680ADA" w:rsidRPr="00F1180D">
        <w:rPr>
          <w:iCs/>
          <w:lang w:val="fr-FR"/>
        </w:rPr>
        <w:t>’</w:t>
      </w:r>
      <w:r w:rsidRPr="00F1180D">
        <w:rPr>
          <w:iCs/>
          <w:lang w:val="fr-FR"/>
        </w:rPr>
        <w:t>un individu ou d</w:t>
      </w:r>
      <w:r w:rsidR="00680ADA" w:rsidRPr="00F1180D">
        <w:rPr>
          <w:iCs/>
          <w:lang w:val="fr-FR"/>
        </w:rPr>
        <w:t>’</w:t>
      </w:r>
      <w:r w:rsidRPr="00F1180D">
        <w:rPr>
          <w:iCs/>
          <w:lang w:val="fr-FR"/>
        </w:rPr>
        <w:t>un groupe ou prônerait la haine contre un groupe donné</w:t>
      </w:r>
      <w:r w:rsidR="00E118DC" w:rsidRPr="00F1180D">
        <w:rPr>
          <w:lang w:val="fr-FR" w:bidi="ar-KW"/>
        </w:rPr>
        <w:t>;</w:t>
      </w:r>
    </w:p>
    <w:p w:rsidR="000C6D4A" w:rsidRPr="00F1180D" w:rsidRDefault="000C6D4A" w:rsidP="00E118DC">
      <w:pPr>
        <w:pStyle w:val="Bullet1G"/>
        <w:rPr>
          <w:rtl/>
          <w:lang w:val="fr-FR" w:bidi="fr-FR"/>
        </w:rPr>
      </w:pPr>
      <w:r w:rsidRPr="00F1180D">
        <w:rPr>
          <w:lang w:val="fr-FR" w:bidi="ar-KW"/>
        </w:rPr>
        <w:t>L</w:t>
      </w:r>
      <w:r w:rsidR="00680ADA" w:rsidRPr="00F1180D">
        <w:rPr>
          <w:lang w:val="fr-FR" w:bidi="ar-KW"/>
        </w:rPr>
        <w:t>’</w:t>
      </w:r>
      <w:r w:rsidR="00163207" w:rsidRPr="00F1180D">
        <w:rPr>
          <w:lang w:val="fr-FR" w:bidi="ar-KW"/>
        </w:rPr>
        <w:t>article </w:t>
      </w:r>
      <w:r w:rsidRPr="00F1180D">
        <w:rPr>
          <w:lang w:val="fr-FR" w:bidi="ar-KW"/>
        </w:rPr>
        <w:t xml:space="preserve">109 du Code pénal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KW"/>
        </w:rPr>
        <w:t>16 de 1960) dispose ce qui suit</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Quiconque vandalise</w:t>
      </w:r>
      <w:r w:rsidR="00680ADA" w:rsidRPr="00F1180D">
        <w:rPr>
          <w:lang w:val="fr-FR" w:bidi="ar-KW"/>
        </w:rPr>
        <w:t>,</w:t>
      </w:r>
      <w:r w:rsidRPr="00F1180D">
        <w:rPr>
          <w:lang w:val="fr-FR" w:bidi="ar-KW"/>
        </w:rPr>
        <w:t xml:space="preserve"> endommage ou profane un lieu aménagé pour la pratique d</w:t>
      </w:r>
      <w:r w:rsidR="00680ADA" w:rsidRPr="00F1180D">
        <w:rPr>
          <w:lang w:val="fr-FR" w:bidi="ar-KW"/>
        </w:rPr>
        <w:t>’</w:t>
      </w:r>
      <w:r w:rsidRPr="00F1180D">
        <w:rPr>
          <w:lang w:val="fr-FR" w:bidi="ar-KW"/>
        </w:rPr>
        <w:t>un culte religieux ou</w:t>
      </w:r>
      <w:r w:rsidR="00680ADA" w:rsidRPr="00F1180D">
        <w:rPr>
          <w:lang w:val="fr-FR" w:bidi="ar-KW"/>
        </w:rPr>
        <w:t>,</w:t>
      </w:r>
      <w:r w:rsidRPr="00F1180D">
        <w:rPr>
          <w:lang w:val="fr-FR" w:bidi="ar-KW"/>
        </w:rPr>
        <w:t xml:space="preserve"> conscient de son acte</w:t>
      </w:r>
      <w:r w:rsidR="00680ADA" w:rsidRPr="00F1180D">
        <w:rPr>
          <w:lang w:val="fr-FR" w:bidi="ar-KW"/>
        </w:rPr>
        <w:t>,</w:t>
      </w:r>
      <w:r w:rsidRPr="00F1180D">
        <w:rPr>
          <w:lang w:val="fr-FR" w:bidi="ar-KW"/>
        </w:rPr>
        <w:t xml:space="preserve"> se livre dans ce lieu à un acte portant atteinte au respect de la religion qui y est pratiquée</w:t>
      </w:r>
      <w:r w:rsidR="00680ADA" w:rsidRPr="00F1180D">
        <w:rPr>
          <w:lang w:val="fr-FR" w:bidi="ar-KW"/>
        </w:rPr>
        <w:t>,</w:t>
      </w:r>
      <w:r w:rsidRPr="00F1180D">
        <w:rPr>
          <w:lang w:val="fr-FR" w:bidi="ar-KW"/>
        </w:rPr>
        <w:t xml:space="preserve"> est passible d</w:t>
      </w:r>
      <w:r w:rsidR="00680ADA" w:rsidRPr="00F1180D">
        <w:rPr>
          <w:lang w:val="fr-FR" w:bidi="ar-KW"/>
        </w:rPr>
        <w:t>’</w:t>
      </w:r>
      <w:r w:rsidRPr="00F1180D">
        <w:rPr>
          <w:lang w:val="fr-FR" w:bidi="ar-KW"/>
        </w:rPr>
        <w:t>une peine de prison pouvant aller jusqu</w:t>
      </w:r>
      <w:r w:rsidR="00680ADA" w:rsidRPr="00F1180D">
        <w:rPr>
          <w:lang w:val="fr-FR" w:bidi="ar-KW"/>
        </w:rPr>
        <w:t>’</w:t>
      </w:r>
      <w:r w:rsidRPr="00F1180D">
        <w:rPr>
          <w:lang w:val="fr-FR" w:bidi="ar-KW"/>
        </w:rPr>
        <w:t>à une année et/ou d</w:t>
      </w:r>
      <w:r w:rsidR="00680ADA" w:rsidRPr="00F1180D">
        <w:rPr>
          <w:lang w:val="fr-FR" w:bidi="ar-KW"/>
        </w:rPr>
        <w:t>’</w:t>
      </w:r>
      <w:r w:rsidRPr="00F1180D">
        <w:rPr>
          <w:lang w:val="fr-FR" w:bidi="ar-KW"/>
        </w:rPr>
        <w:t>une amende pouvant atteindre 1 000 roupies</w:t>
      </w:r>
      <w:r w:rsidR="00E118DC" w:rsidRPr="00F1180D">
        <w:rPr>
          <w:lang w:val="fr-FR" w:bidi="ar-KW"/>
        </w:rPr>
        <w:t>;</w:t>
      </w:r>
      <w:r w:rsidRPr="00F1180D">
        <w:rPr>
          <w:lang w:val="fr-FR" w:bidi="ar-KW"/>
        </w:rPr>
        <w:t xml:space="preserve"> </w:t>
      </w:r>
    </w:p>
    <w:p w:rsidR="000C6D4A" w:rsidRPr="00F1180D" w:rsidRDefault="00D17B4F" w:rsidP="00D17B4F">
      <w:pPr>
        <w:pStyle w:val="SingleTxtG"/>
        <w:rPr>
          <w:rtl/>
          <w:lang w:val="fr-FR" w:bidi="fr-FR"/>
        </w:rPr>
      </w:pPr>
      <w:r>
        <w:rPr>
          <w:lang w:val="fr-FR" w:bidi="ar-KW"/>
        </w:rPr>
        <w:t>8.</w:t>
      </w:r>
      <w:r>
        <w:rPr>
          <w:lang w:val="fr-FR" w:bidi="ar-KW"/>
        </w:rPr>
        <w:tab/>
      </w:r>
      <w:r w:rsidR="000C6D4A" w:rsidRPr="00F1180D">
        <w:rPr>
          <w:lang w:val="fr-FR" w:bidi="ar-KW"/>
        </w:rPr>
        <w:t>Est passible de la même peine quiconque perturbe le calme nécessaire à une réunion légale tenue par un groupe de personnes en vue de pratiquer leur religion</w:t>
      </w:r>
      <w:r w:rsidR="00680ADA" w:rsidRPr="00F1180D">
        <w:rPr>
          <w:lang w:val="fr-FR" w:bidi="ar-KW"/>
        </w:rPr>
        <w:t>,</w:t>
      </w:r>
      <w:r w:rsidR="000C6D4A" w:rsidRPr="00F1180D">
        <w:rPr>
          <w:lang w:val="fr-FR" w:bidi="ar-KW"/>
        </w:rPr>
        <w:t xml:space="preserve"> dans l</w:t>
      </w:r>
      <w:r w:rsidR="00680ADA" w:rsidRPr="00F1180D">
        <w:rPr>
          <w:lang w:val="fr-FR" w:bidi="ar-KW"/>
        </w:rPr>
        <w:t>’</w:t>
      </w:r>
      <w:r w:rsidR="000C6D4A" w:rsidRPr="00F1180D">
        <w:rPr>
          <w:lang w:val="fr-FR" w:bidi="ar-KW"/>
        </w:rPr>
        <w:t>intention de perturber la célébration du culte</w:t>
      </w:r>
      <w:r w:rsidR="00680ADA" w:rsidRPr="00F1180D">
        <w:rPr>
          <w:lang w:val="fr-FR" w:bidi="ar-KW"/>
        </w:rPr>
        <w:t>,</w:t>
      </w:r>
      <w:r w:rsidR="000C6D4A" w:rsidRPr="00F1180D">
        <w:rPr>
          <w:lang w:val="fr-FR" w:bidi="ar-KW"/>
        </w:rPr>
        <w:t xml:space="preserve"> de porter atteinte au respect dû à cette religion ou aux personnes présentes</w:t>
      </w:r>
      <w:r w:rsidR="00680ADA" w:rsidRPr="00F1180D">
        <w:rPr>
          <w:lang w:val="fr-FR" w:bidi="ar-KW"/>
        </w:rPr>
        <w:t>»</w:t>
      </w:r>
      <w:r w:rsidR="000C6D4A" w:rsidRPr="00F1180D">
        <w:rPr>
          <w:lang w:val="fr-FR" w:bidi="ar-KW"/>
        </w:rPr>
        <w:t xml:space="preserve">. </w:t>
      </w:r>
    </w:p>
    <w:p w:rsidR="000C6D4A" w:rsidRPr="00F1180D" w:rsidRDefault="00D17B4F" w:rsidP="00680ADA">
      <w:pPr>
        <w:pStyle w:val="SingleTxtG"/>
        <w:rPr>
          <w:rtl/>
          <w:lang w:val="fr-FR" w:bidi="fr-FR"/>
        </w:rPr>
      </w:pPr>
      <w:r>
        <w:rPr>
          <w:lang w:val="fr-FR" w:bidi="ar-KW"/>
        </w:rPr>
        <w:t>9.</w:t>
      </w:r>
      <w:r>
        <w:rPr>
          <w:lang w:val="fr-FR" w:bidi="ar-KW"/>
        </w:rPr>
        <w:tab/>
      </w:r>
      <w:r w:rsidR="000C6D4A" w:rsidRPr="00F1180D">
        <w:rPr>
          <w:lang w:val="fr-FR" w:bidi="ar-KW"/>
        </w:rPr>
        <w:t>Le Koweït a ratifié la Convention internationale sur l</w:t>
      </w:r>
      <w:r w:rsidR="00680ADA" w:rsidRPr="00F1180D">
        <w:rPr>
          <w:lang w:val="fr-FR" w:bidi="ar-KW"/>
        </w:rPr>
        <w:t>’</w:t>
      </w:r>
      <w:r w:rsidR="000C6D4A" w:rsidRPr="00F1180D">
        <w:rPr>
          <w:lang w:val="fr-FR" w:bidi="ar-KW"/>
        </w:rPr>
        <w:t xml:space="preserve">élimination de toutes les formes de discrimination raciale et la jurisprudence constitutionnelle considère à cet égard </w:t>
      </w:r>
      <w:r w:rsidR="000C6D4A" w:rsidRPr="00F1180D">
        <w:rPr>
          <w:lang w:val="fr-FR" w:bidi="ar-EG"/>
        </w:rPr>
        <w:t>que les traités ratifiés deviennent partie intégrante de la législation nationale koweïtienne à compter de la date de leur entrée en vigueur et qu</w:t>
      </w:r>
      <w:r w:rsidR="00680ADA" w:rsidRPr="00F1180D">
        <w:rPr>
          <w:lang w:val="fr-FR" w:bidi="ar-EG"/>
        </w:rPr>
        <w:t>’</w:t>
      </w:r>
      <w:r w:rsidR="000C6D4A" w:rsidRPr="00F1180D">
        <w:rPr>
          <w:lang w:val="fr-FR" w:bidi="ar-EG"/>
        </w:rPr>
        <w:t>en conséquence</w:t>
      </w:r>
      <w:r w:rsidR="00680ADA" w:rsidRPr="00F1180D">
        <w:rPr>
          <w:lang w:val="fr-FR" w:bidi="ar-EG"/>
        </w:rPr>
        <w:t>,</w:t>
      </w:r>
      <w:r w:rsidR="000C6D4A" w:rsidRPr="00F1180D">
        <w:rPr>
          <w:lang w:val="fr-FR" w:bidi="ar-EG"/>
        </w:rPr>
        <w:t xml:space="preserve"> les pouvoirs publics et les citoyens sont tenus de s</w:t>
      </w:r>
      <w:r w:rsidR="00680ADA" w:rsidRPr="00F1180D">
        <w:rPr>
          <w:lang w:val="fr-FR" w:bidi="ar-EG"/>
        </w:rPr>
        <w:t>’</w:t>
      </w:r>
      <w:r w:rsidR="000C6D4A" w:rsidRPr="00F1180D">
        <w:rPr>
          <w:lang w:val="fr-FR" w:bidi="ar-EG"/>
        </w:rPr>
        <w:t>y conformer</w:t>
      </w:r>
      <w:r w:rsidR="00680ADA" w:rsidRPr="00F1180D">
        <w:rPr>
          <w:lang w:val="fr-FR" w:bidi="ar-EG"/>
        </w:rPr>
        <w:t>,</w:t>
      </w:r>
      <w:r w:rsidR="000C6D4A" w:rsidRPr="00F1180D">
        <w:rPr>
          <w:lang w:val="fr-FR" w:bidi="ar-EG"/>
        </w:rPr>
        <w:t xml:space="preserve"> et la justice doit veiller à leur respect. Cette obligation découle de l</w:t>
      </w:r>
      <w:r w:rsidR="00680ADA" w:rsidRPr="00F1180D">
        <w:rPr>
          <w:lang w:val="fr-FR" w:bidi="ar-EG"/>
        </w:rPr>
        <w:t>’</w:t>
      </w:r>
      <w:r w:rsidR="00163207" w:rsidRPr="00F1180D">
        <w:rPr>
          <w:lang w:val="fr-FR" w:bidi="ar-EG"/>
        </w:rPr>
        <w:t>article </w:t>
      </w:r>
      <w:r w:rsidR="000C6D4A" w:rsidRPr="00F1180D">
        <w:rPr>
          <w:lang w:val="fr-FR" w:bidi="ar-EG"/>
        </w:rPr>
        <w:t>70 de la Constitution aux termes duquel</w:t>
      </w:r>
      <w:r w:rsidR="00680ADA" w:rsidRPr="00F1180D">
        <w:rPr>
          <w:lang w:val="fr-FR" w:bidi="ar-EG"/>
        </w:rPr>
        <w:t>:</w:t>
      </w:r>
      <w:r w:rsidR="000C6D4A" w:rsidRPr="00F1180D">
        <w:rPr>
          <w:lang w:val="fr-FR" w:bidi="ar-EG"/>
        </w:rPr>
        <w:t xml:space="preserve"> </w:t>
      </w:r>
      <w:r w:rsidR="00680ADA" w:rsidRPr="00F1180D">
        <w:rPr>
          <w:lang w:val="fr-FR" w:bidi="ar-EG"/>
        </w:rPr>
        <w:t>«</w:t>
      </w:r>
      <w:r w:rsidR="000C6D4A" w:rsidRPr="00F1180D">
        <w:rPr>
          <w:lang w:val="fr-FR" w:bidi="ar-EG"/>
        </w:rPr>
        <w:t>L</w:t>
      </w:r>
      <w:r w:rsidR="00680ADA" w:rsidRPr="00F1180D">
        <w:rPr>
          <w:lang w:val="fr-FR" w:bidi="ar-EG"/>
        </w:rPr>
        <w:t>’</w:t>
      </w:r>
      <w:r w:rsidR="000C6D4A" w:rsidRPr="00F1180D">
        <w:rPr>
          <w:lang w:val="fr-FR" w:bidi="ar-EG"/>
        </w:rPr>
        <w:t>Émir conclut des traités par décret et les transmet immédiatement à l</w:t>
      </w:r>
      <w:r w:rsidR="00680ADA" w:rsidRPr="00F1180D">
        <w:rPr>
          <w:lang w:val="fr-FR" w:bidi="ar-EG"/>
        </w:rPr>
        <w:t>’</w:t>
      </w:r>
      <w:r w:rsidR="000C6D4A" w:rsidRPr="00F1180D">
        <w:rPr>
          <w:lang w:val="fr-FR" w:bidi="ar-EG"/>
        </w:rPr>
        <w:t>Assemblée nationale</w:t>
      </w:r>
      <w:r w:rsidR="00680ADA" w:rsidRPr="00F1180D">
        <w:rPr>
          <w:lang w:val="fr-FR" w:bidi="ar-EG"/>
        </w:rPr>
        <w:t>,</w:t>
      </w:r>
      <w:r w:rsidR="000C6D4A" w:rsidRPr="00F1180D">
        <w:rPr>
          <w:lang w:val="fr-FR" w:bidi="ar-EG"/>
        </w:rPr>
        <w:t xml:space="preserve"> avec ses annotations. Un traité acquiert force de loi une fois signé</w:t>
      </w:r>
      <w:r w:rsidR="00680ADA" w:rsidRPr="00F1180D">
        <w:rPr>
          <w:lang w:val="fr-FR" w:bidi="ar-EG"/>
        </w:rPr>
        <w:t>,</w:t>
      </w:r>
      <w:r w:rsidR="000C6D4A" w:rsidRPr="00F1180D">
        <w:rPr>
          <w:lang w:val="fr-FR" w:bidi="ar-EG"/>
        </w:rPr>
        <w:t xml:space="preserve"> ratifié et publié au Journal officiel</w:t>
      </w:r>
      <w:r w:rsidR="00E118DC" w:rsidRPr="00F1180D">
        <w:rPr>
          <w:lang w:val="fr-FR" w:bidi="ar-EG"/>
        </w:rPr>
        <w:t>.</w:t>
      </w:r>
      <w:r w:rsidR="00680ADA" w:rsidRPr="00F1180D">
        <w:rPr>
          <w:lang w:val="fr-FR" w:bidi="ar-EG"/>
        </w:rPr>
        <w:t>»</w:t>
      </w:r>
      <w:r w:rsidR="000C6D4A" w:rsidRPr="00F1180D">
        <w:rPr>
          <w:lang w:val="fr-FR" w:bidi="ar-KW"/>
        </w:rPr>
        <w:t xml:space="preserve"> </w:t>
      </w:r>
    </w:p>
    <w:p w:rsidR="000C6D4A" w:rsidRPr="00F1180D" w:rsidRDefault="00D17B4F" w:rsidP="00680ADA">
      <w:pPr>
        <w:pStyle w:val="SingleTxtG"/>
        <w:rPr>
          <w:rtl/>
          <w:lang w:val="fr-FR" w:bidi="fr-FR"/>
        </w:rPr>
      </w:pPr>
      <w:r>
        <w:rPr>
          <w:lang w:val="fr-FR" w:bidi="ar-EG"/>
        </w:rPr>
        <w:t>10.</w:t>
      </w:r>
      <w:r>
        <w:rPr>
          <w:lang w:val="fr-FR" w:bidi="ar-EG"/>
        </w:rPr>
        <w:tab/>
      </w:r>
      <w:r w:rsidR="000C6D4A" w:rsidRPr="00F1180D">
        <w:rPr>
          <w:lang w:val="fr-FR" w:bidi="ar-EG"/>
        </w:rPr>
        <w:t>En vertu de ce fondement constitutionnel</w:t>
      </w:r>
      <w:r w:rsidR="00680ADA" w:rsidRPr="00F1180D">
        <w:rPr>
          <w:lang w:val="fr-FR" w:bidi="ar-EG"/>
        </w:rPr>
        <w:t>,</w:t>
      </w:r>
      <w:r w:rsidR="000C6D4A" w:rsidRPr="00F1180D">
        <w:rPr>
          <w:lang w:val="fr-FR" w:bidi="ar-EG"/>
        </w:rPr>
        <w:t xml:space="preserve"> les instruments internationaux s</w:t>
      </w:r>
      <w:r w:rsidR="00680ADA" w:rsidRPr="00F1180D">
        <w:rPr>
          <w:lang w:val="fr-FR" w:bidi="ar-EG"/>
        </w:rPr>
        <w:t>’</w:t>
      </w:r>
      <w:r w:rsidR="000C6D4A" w:rsidRPr="00F1180D">
        <w:rPr>
          <w:lang w:val="fr-FR" w:bidi="ar-EG"/>
        </w:rPr>
        <w:t>appliquent directement dans l</w:t>
      </w:r>
      <w:r w:rsidR="00680ADA" w:rsidRPr="00F1180D">
        <w:rPr>
          <w:lang w:val="fr-FR" w:bidi="ar-EG"/>
        </w:rPr>
        <w:t>’</w:t>
      </w:r>
      <w:r w:rsidR="000C6D4A" w:rsidRPr="00F1180D">
        <w:rPr>
          <w:lang w:val="fr-FR" w:bidi="ar-EG"/>
        </w:rPr>
        <w:t>ordre juridique interne et dans plusieurs arrêts</w:t>
      </w:r>
      <w:r w:rsidR="00680ADA" w:rsidRPr="00F1180D">
        <w:rPr>
          <w:lang w:val="fr-FR" w:bidi="ar-EG"/>
        </w:rPr>
        <w:t>,</w:t>
      </w:r>
      <w:r w:rsidR="000C6D4A" w:rsidRPr="00F1180D">
        <w:rPr>
          <w:lang w:val="fr-FR" w:bidi="ar-EG"/>
        </w:rPr>
        <w:t xml:space="preserve"> la jurisprudence de la Cour de cassation koweïtienne a consacré le principe de l</w:t>
      </w:r>
      <w:r w:rsidR="00680ADA" w:rsidRPr="00F1180D">
        <w:rPr>
          <w:lang w:val="fr-FR" w:bidi="ar-EG"/>
        </w:rPr>
        <w:t>’</w:t>
      </w:r>
      <w:r w:rsidR="000C6D4A" w:rsidRPr="00F1180D">
        <w:rPr>
          <w:lang w:val="fr-FR" w:bidi="ar-EG"/>
        </w:rPr>
        <w:t xml:space="preserve">invocabilité </w:t>
      </w:r>
      <w:r w:rsidR="000C6D4A" w:rsidRPr="00F1180D">
        <w:rPr>
          <w:lang w:val="fr-FR" w:bidi="ar-EG"/>
        </w:rPr>
        <w:lastRenderedPageBreak/>
        <w:t>directe des traités internationaux ratifiés par le pays devant les tribunaux nationaux</w:t>
      </w:r>
      <w:r w:rsidR="00680ADA" w:rsidRPr="00F1180D">
        <w:rPr>
          <w:lang w:val="fr-FR" w:bidi="ar-EG"/>
        </w:rPr>
        <w:t>,</w:t>
      </w:r>
      <w:r w:rsidR="000C6D4A" w:rsidRPr="00F1180D">
        <w:rPr>
          <w:lang w:val="fr-FR" w:bidi="ar-EG"/>
        </w:rPr>
        <w:t xml:space="preserve"> car à partir du moment où l</w:t>
      </w:r>
      <w:r w:rsidR="00680ADA" w:rsidRPr="00F1180D">
        <w:rPr>
          <w:lang w:val="fr-FR" w:bidi="ar-EG"/>
        </w:rPr>
        <w:t>’</w:t>
      </w:r>
      <w:r w:rsidR="000C6D4A" w:rsidRPr="00F1180D">
        <w:rPr>
          <w:lang w:val="fr-FR" w:bidi="ar-EG"/>
        </w:rPr>
        <w:t>État ratifie un accord international</w:t>
      </w:r>
      <w:r w:rsidR="00680ADA" w:rsidRPr="00F1180D">
        <w:rPr>
          <w:lang w:val="fr-FR" w:bidi="ar-EG"/>
        </w:rPr>
        <w:t>,</w:t>
      </w:r>
      <w:r w:rsidR="000C6D4A" w:rsidRPr="00F1180D">
        <w:rPr>
          <w:lang w:val="fr-FR" w:bidi="ar-EG"/>
        </w:rPr>
        <w:t xml:space="preserve"> ce dernier devient partie intégrante du droit koweïtien et les tribunaux sont appelés à appliquer ses dispositions (arrêt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EG"/>
        </w:rPr>
        <w:t>80 de 1997</w:t>
      </w:r>
      <w:r w:rsidR="00680ADA" w:rsidRPr="00F1180D">
        <w:rPr>
          <w:lang w:val="fr-FR" w:bidi="ar-EG"/>
        </w:rPr>
        <w:t>,</w:t>
      </w:r>
      <w:r w:rsidR="000C6D4A" w:rsidRPr="00F1180D">
        <w:rPr>
          <w:lang w:val="fr-FR" w:bidi="ar-EG"/>
        </w:rPr>
        <w:t xml:space="preserve"> Chambre commerciale</w:t>
      </w:r>
      <w:r w:rsidR="00680ADA" w:rsidRPr="00F1180D">
        <w:rPr>
          <w:lang w:val="fr-FR" w:bidi="ar-EG"/>
        </w:rPr>
        <w:t>,</w:t>
      </w:r>
      <w:r w:rsidR="000C6D4A" w:rsidRPr="00F1180D">
        <w:rPr>
          <w:lang w:val="fr-FR" w:bidi="ar-EG"/>
        </w:rPr>
        <w:t xml:space="preserve"> audience du 10 mai 1998</w:t>
      </w:r>
      <w:r w:rsidR="00680ADA" w:rsidRPr="00F1180D">
        <w:rPr>
          <w:lang w:val="fr-FR" w:bidi="ar-EG"/>
        </w:rPr>
        <w:t>,</w:t>
      </w:r>
      <w:r w:rsidR="000C6D4A" w:rsidRPr="00F1180D">
        <w:rPr>
          <w:lang w:val="fr-FR" w:bidi="ar-EG"/>
        </w:rPr>
        <w:t xml:space="preserve"> Revue de la magistrature et du droit</w:t>
      </w:r>
      <w:r w:rsidR="00680ADA" w:rsidRPr="00F1180D">
        <w:rPr>
          <w:lang w:val="fr-FR" w:bidi="ar-EG"/>
        </w:rPr>
        <w:t xml:space="preserve"> –</w:t>
      </w:r>
      <w:r w:rsidR="009B1350" w:rsidRPr="00F1180D">
        <w:rPr>
          <w:lang w:val="fr-FR" w:bidi="ar-EG"/>
        </w:rPr>
        <w:t xml:space="preserve"> </w:t>
      </w:r>
      <w:r w:rsidR="000C6D4A" w:rsidRPr="00F1180D">
        <w:rPr>
          <w:lang w:val="fr-FR" w:bidi="ar-EG"/>
        </w:rPr>
        <w:t>Année 26</w:t>
      </w:r>
      <w:r w:rsidR="00680ADA" w:rsidRPr="00F1180D">
        <w:rPr>
          <w:lang w:val="fr-FR" w:bidi="ar-EG"/>
        </w:rPr>
        <w:t>,</w:t>
      </w:r>
      <w:r w:rsidR="000C6D4A" w:rsidRPr="00F1180D">
        <w:rPr>
          <w:lang w:val="fr-FR" w:bidi="ar-EG"/>
        </w:rPr>
        <w:t xml:space="preserve">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EG"/>
        </w:rPr>
        <w:t>1</w:t>
      </w:r>
      <w:r w:rsidR="00680ADA" w:rsidRPr="00F1180D">
        <w:rPr>
          <w:lang w:val="fr-FR" w:bidi="ar-EG"/>
        </w:rPr>
        <w:t>,</w:t>
      </w:r>
      <w:r w:rsidR="00280277" w:rsidRPr="00F1180D">
        <w:rPr>
          <w:lang w:val="fr-FR" w:bidi="ar-EG"/>
        </w:rPr>
        <w:t xml:space="preserve"> p. </w:t>
      </w:r>
      <w:r w:rsidR="000E3544" w:rsidRPr="00F1180D">
        <w:rPr>
          <w:lang w:val="fr-FR" w:bidi="ar-EG"/>
        </w:rPr>
        <w:t>291).</w:t>
      </w:r>
    </w:p>
    <w:p w:rsidR="000C6D4A" w:rsidRPr="00F1180D" w:rsidRDefault="00D17B4F" w:rsidP="00680ADA">
      <w:pPr>
        <w:pStyle w:val="SingleTxtG"/>
        <w:rPr>
          <w:rtl/>
          <w:lang w:val="fr-FR" w:bidi="fr-FR"/>
        </w:rPr>
      </w:pPr>
      <w:r>
        <w:rPr>
          <w:lang w:val="fr-FR" w:bidi="ar-KW"/>
        </w:rPr>
        <w:t>11.</w:t>
      </w:r>
      <w:r>
        <w:rPr>
          <w:lang w:val="fr-FR" w:bidi="ar-KW"/>
        </w:rPr>
        <w:tab/>
      </w:r>
      <w:r w:rsidR="000C6D4A" w:rsidRPr="00F1180D">
        <w:rPr>
          <w:lang w:val="fr-FR" w:bidi="ar-KW"/>
        </w:rPr>
        <w:t>De ce fait</w:t>
      </w:r>
      <w:r w:rsidR="00680ADA" w:rsidRPr="00F1180D">
        <w:rPr>
          <w:lang w:val="fr-FR" w:bidi="ar-KW"/>
        </w:rPr>
        <w:t>,</w:t>
      </w:r>
      <w:r w:rsidR="000C6D4A" w:rsidRPr="00F1180D">
        <w:rPr>
          <w:lang w:val="fr-FR" w:bidi="ar-KW"/>
        </w:rPr>
        <w:t xml:space="preserve"> rien n</w:t>
      </w:r>
      <w:r w:rsidR="00680ADA" w:rsidRPr="00F1180D">
        <w:rPr>
          <w:lang w:val="fr-FR" w:bidi="ar-KW"/>
        </w:rPr>
        <w:t>’</w:t>
      </w:r>
      <w:r w:rsidR="000C6D4A" w:rsidRPr="00F1180D">
        <w:rPr>
          <w:lang w:val="fr-FR" w:bidi="ar-KW"/>
        </w:rPr>
        <w:t>empêche les juges d</w:t>
      </w:r>
      <w:r w:rsidR="00680ADA" w:rsidRPr="00F1180D">
        <w:rPr>
          <w:lang w:val="fr-FR" w:bidi="ar-KW"/>
        </w:rPr>
        <w:t>’</w:t>
      </w:r>
      <w:r w:rsidR="000C6D4A" w:rsidRPr="00F1180D">
        <w:rPr>
          <w:lang w:val="fr-FR" w:bidi="ar-KW"/>
        </w:rPr>
        <w:t>appliquer les dispositions des instruments internationaux ratifiés par le pays</w:t>
      </w:r>
      <w:r w:rsidR="00680ADA" w:rsidRPr="00F1180D">
        <w:rPr>
          <w:lang w:val="fr-FR" w:bidi="ar-KW"/>
        </w:rPr>
        <w:t>,</w:t>
      </w:r>
      <w:r w:rsidR="000C6D4A" w:rsidRPr="00F1180D">
        <w:rPr>
          <w:lang w:val="fr-FR" w:bidi="ar-KW"/>
        </w:rPr>
        <w:t xml:space="preserve"> ni ne restreint leur pouvoir dans les jugements qu</w:t>
      </w:r>
      <w:r w:rsidR="00680ADA" w:rsidRPr="00F1180D">
        <w:rPr>
          <w:lang w:val="fr-FR" w:bidi="ar-KW"/>
        </w:rPr>
        <w:t>’</w:t>
      </w:r>
      <w:r w:rsidR="000C6D4A" w:rsidRPr="00F1180D">
        <w:rPr>
          <w:lang w:val="fr-FR" w:bidi="ar-KW"/>
        </w:rPr>
        <w:t>ils rendent en la matière</w:t>
      </w:r>
      <w:r w:rsidR="00680ADA" w:rsidRPr="00F1180D">
        <w:rPr>
          <w:lang w:val="fr-FR" w:bidi="ar-KW"/>
        </w:rPr>
        <w:t>,</w:t>
      </w:r>
      <w:r w:rsidR="000C6D4A" w:rsidRPr="00F1180D">
        <w:rPr>
          <w:lang w:val="fr-FR" w:bidi="ar-KW"/>
        </w:rPr>
        <w:t xml:space="preserve"> étant précisé qu</w:t>
      </w:r>
      <w:r w:rsidR="00680ADA" w:rsidRPr="00F1180D">
        <w:rPr>
          <w:lang w:val="fr-FR" w:bidi="ar-KW"/>
        </w:rPr>
        <w:t>’</w:t>
      </w:r>
      <w:r w:rsidR="000C6D4A" w:rsidRPr="00F1180D">
        <w:rPr>
          <w:lang w:val="fr-FR" w:bidi="ar-KW"/>
        </w:rPr>
        <w:t>ils sont même tenus de se référer à ces instruments lorsque l</w:t>
      </w:r>
      <w:r w:rsidR="00680ADA" w:rsidRPr="00F1180D">
        <w:rPr>
          <w:lang w:val="fr-FR" w:bidi="ar-KW"/>
        </w:rPr>
        <w:t>’</w:t>
      </w:r>
      <w:r w:rsidR="000C6D4A" w:rsidRPr="00F1180D">
        <w:rPr>
          <w:lang w:val="fr-FR" w:bidi="ar-KW"/>
        </w:rPr>
        <w:t>une quelconque de leurs dispositions concerne une question soulevée dans le cadre de l</w:t>
      </w:r>
      <w:r w:rsidR="00680ADA" w:rsidRPr="00F1180D">
        <w:rPr>
          <w:lang w:val="fr-FR" w:bidi="ar-KW"/>
        </w:rPr>
        <w:t>’</w:t>
      </w:r>
      <w:r w:rsidR="000C6D4A" w:rsidRPr="00F1180D">
        <w:rPr>
          <w:lang w:val="fr-FR" w:bidi="ar-KW"/>
        </w:rPr>
        <w:t>examen des litiges dont ils sont saisis.</w:t>
      </w:r>
      <w:r w:rsidR="009B1350" w:rsidRPr="00F1180D">
        <w:rPr>
          <w:lang w:val="fr-FR" w:bidi="ar-KW"/>
        </w:rPr>
        <w:t xml:space="preserve"> </w:t>
      </w:r>
    </w:p>
    <w:p w:rsidR="000C6D4A" w:rsidRPr="00F1180D" w:rsidRDefault="00D17B4F" w:rsidP="000E3544">
      <w:pPr>
        <w:pStyle w:val="SingleTxtG"/>
        <w:keepNext/>
        <w:rPr>
          <w:rtl/>
          <w:lang w:val="fr-FR" w:bidi="fr-FR"/>
        </w:rPr>
      </w:pPr>
      <w:r>
        <w:rPr>
          <w:lang w:val="fr-FR" w:bidi="ar-KW"/>
        </w:rPr>
        <w:t>12.</w:t>
      </w:r>
      <w:r>
        <w:rPr>
          <w:lang w:val="fr-FR" w:bidi="ar-KW"/>
        </w:rPr>
        <w:tab/>
      </w:r>
      <w:r w:rsidR="000C6D4A" w:rsidRPr="00F1180D">
        <w:rPr>
          <w:lang w:val="fr-FR" w:bidi="ar-KW"/>
        </w:rPr>
        <w:t>Le droit à l</w:t>
      </w:r>
      <w:r w:rsidR="00680ADA" w:rsidRPr="00F1180D">
        <w:rPr>
          <w:lang w:val="fr-FR" w:bidi="ar-KW"/>
        </w:rPr>
        <w:t>’</w:t>
      </w:r>
      <w:r w:rsidR="000C6D4A" w:rsidRPr="00F1180D">
        <w:rPr>
          <w:lang w:val="fr-FR" w:bidi="ar-KW"/>
        </w:rPr>
        <w:t xml:space="preserve">égalité et à la </w:t>
      </w:r>
      <w:r w:rsidR="00F1180D" w:rsidRPr="00F1180D">
        <w:rPr>
          <w:lang w:val="fr-FR" w:bidi="ar-KW"/>
        </w:rPr>
        <w:t>non-discrimination</w:t>
      </w:r>
      <w:r w:rsidR="000C6D4A" w:rsidRPr="00F1180D">
        <w:rPr>
          <w:lang w:val="fr-FR" w:bidi="ar-KW"/>
        </w:rPr>
        <w:t xml:space="preserve"> est également protégé par la Constitution koweïtienne</w:t>
      </w:r>
      <w:r w:rsidR="00680ADA" w:rsidRPr="00F1180D">
        <w:rPr>
          <w:lang w:val="fr-FR" w:bidi="ar-KW"/>
        </w:rPr>
        <w:t>,</w:t>
      </w:r>
      <w:r w:rsidR="000C6D4A" w:rsidRPr="00F1180D">
        <w:rPr>
          <w:lang w:val="fr-FR" w:bidi="ar-KW"/>
        </w:rPr>
        <w:t xml:space="preserve"> comme cela apparaît clairement à la lecture des </w:t>
      </w:r>
      <w:r w:rsidR="00DE029F" w:rsidRPr="00F1180D">
        <w:rPr>
          <w:lang w:val="fr-FR" w:bidi="ar-KW"/>
        </w:rPr>
        <w:t>articles </w:t>
      </w:r>
      <w:r w:rsidR="000C6D4A" w:rsidRPr="00F1180D">
        <w:rPr>
          <w:lang w:val="fr-FR" w:bidi="ar-KW"/>
        </w:rPr>
        <w:t>suivants</w:t>
      </w:r>
      <w:r w:rsidR="00680ADA" w:rsidRPr="00F1180D">
        <w:rPr>
          <w:lang w:val="fr-FR" w:bidi="ar-KW"/>
        </w:rPr>
        <w:t>:</w:t>
      </w:r>
      <w:r w:rsidR="000C6D4A" w:rsidRPr="00F1180D">
        <w:rPr>
          <w:lang w:val="fr-FR" w:bidi="ar-KW"/>
        </w:rPr>
        <w:t xml:space="preserve"> </w:t>
      </w:r>
    </w:p>
    <w:p w:rsidR="000C6D4A" w:rsidRPr="00F1180D" w:rsidRDefault="000C6D4A" w:rsidP="000E3544">
      <w:pPr>
        <w:pStyle w:val="Bullet1G"/>
        <w:rPr>
          <w:rtl/>
          <w:lang w:val="fr-FR" w:bidi="fr-FR"/>
        </w:rPr>
      </w:pPr>
      <w:r w:rsidRPr="00F1180D">
        <w:rPr>
          <w:lang w:val="fr-FR" w:bidi="ar-KW"/>
        </w:rPr>
        <w:t>En ce qui concerne la justice</w:t>
      </w:r>
      <w:r w:rsidR="00680ADA" w:rsidRPr="00F1180D">
        <w:rPr>
          <w:lang w:val="fr-FR" w:bidi="ar-KW"/>
        </w:rPr>
        <w:t>,</w:t>
      </w:r>
      <w:r w:rsidRPr="00F1180D">
        <w:rPr>
          <w:lang w:val="fr-FR" w:bidi="ar-KW"/>
        </w:rPr>
        <w:t xml:space="preserve"> la liberté et l</w:t>
      </w:r>
      <w:r w:rsidR="00680ADA" w:rsidRPr="00F1180D">
        <w:rPr>
          <w:lang w:val="fr-FR" w:bidi="ar-KW"/>
        </w:rPr>
        <w:t>’</w:t>
      </w:r>
      <w:r w:rsidRPr="00F1180D">
        <w:rPr>
          <w:lang w:val="fr-FR" w:bidi="ar-KW"/>
        </w:rPr>
        <w:t>égalité</w:t>
      </w:r>
      <w:r w:rsidR="00680ADA" w:rsidRPr="00F1180D">
        <w:rPr>
          <w:lang w:val="fr-FR" w:bidi="ar-KW"/>
        </w:rPr>
        <w:t>,</w:t>
      </w:r>
      <w:r w:rsidRPr="00F1180D">
        <w:rPr>
          <w:lang w:val="fr-FR" w:bidi="ar-KW"/>
        </w:rPr>
        <w:t xml:space="preserve"> l</w:t>
      </w:r>
      <w:r w:rsidR="00680ADA" w:rsidRPr="00F1180D">
        <w:rPr>
          <w:lang w:val="fr-FR" w:bidi="ar-KW"/>
        </w:rPr>
        <w:t>’</w:t>
      </w:r>
      <w:r w:rsidR="00163207" w:rsidRPr="00F1180D">
        <w:rPr>
          <w:lang w:val="fr-FR" w:bidi="ar-KW"/>
        </w:rPr>
        <w:t>article </w:t>
      </w:r>
      <w:r w:rsidRPr="00F1180D">
        <w:rPr>
          <w:lang w:val="fr-FR" w:bidi="ar-KW"/>
        </w:rPr>
        <w:t>7 dispose ce qui suit</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La justice</w:t>
      </w:r>
      <w:r w:rsidR="00680ADA" w:rsidRPr="00F1180D">
        <w:rPr>
          <w:lang w:val="fr-FR" w:bidi="ar-KW"/>
        </w:rPr>
        <w:t>,</w:t>
      </w:r>
      <w:r w:rsidRPr="00F1180D">
        <w:rPr>
          <w:lang w:val="fr-FR" w:bidi="ar-KW"/>
        </w:rPr>
        <w:t xml:space="preserve"> la liberté et l</w:t>
      </w:r>
      <w:r w:rsidR="00680ADA" w:rsidRPr="00F1180D">
        <w:rPr>
          <w:lang w:val="fr-FR" w:bidi="ar-KW"/>
        </w:rPr>
        <w:t>’</w:t>
      </w:r>
      <w:r w:rsidRPr="00F1180D">
        <w:rPr>
          <w:lang w:val="fr-FR" w:bidi="ar-KW"/>
        </w:rPr>
        <w:t>égalité sont les fondements de la société; la coopération et l</w:t>
      </w:r>
      <w:r w:rsidR="00680ADA" w:rsidRPr="00F1180D">
        <w:rPr>
          <w:lang w:val="fr-FR" w:bidi="ar-KW"/>
        </w:rPr>
        <w:t>’</w:t>
      </w:r>
      <w:r w:rsidRPr="00F1180D">
        <w:rPr>
          <w:lang w:val="fr-FR" w:bidi="ar-KW"/>
        </w:rPr>
        <w:t>entraide sont les liens solides qui unissent les citoyens</w:t>
      </w:r>
      <w:r w:rsidR="00680ADA" w:rsidRPr="00F1180D">
        <w:rPr>
          <w:lang w:val="fr-FR" w:bidi="ar-KW"/>
        </w:rPr>
        <w:t>»</w:t>
      </w:r>
      <w:r w:rsidR="000E3544" w:rsidRPr="00F1180D">
        <w:rPr>
          <w:lang w:val="fr-FR" w:bidi="ar-KW"/>
        </w:rPr>
        <w:t>;</w:t>
      </w:r>
    </w:p>
    <w:p w:rsidR="000C6D4A" w:rsidRPr="00F1180D" w:rsidRDefault="000C6D4A" w:rsidP="000E3544">
      <w:pPr>
        <w:pStyle w:val="Bullet1G"/>
        <w:rPr>
          <w:lang w:val="fr-FR" w:bidi="ar-KW"/>
        </w:rPr>
      </w:pPr>
      <w:r w:rsidRPr="00F1180D">
        <w:rPr>
          <w:lang w:val="fr-FR" w:bidi="ar-KW"/>
        </w:rPr>
        <w:t>Concernant l</w:t>
      </w:r>
      <w:r w:rsidR="00680ADA" w:rsidRPr="00F1180D">
        <w:rPr>
          <w:lang w:val="fr-FR" w:bidi="ar-KW"/>
        </w:rPr>
        <w:t>’</w:t>
      </w:r>
      <w:r w:rsidRPr="00F1180D">
        <w:rPr>
          <w:lang w:val="fr-FR" w:bidi="ar-KW"/>
        </w:rPr>
        <w:t>égalité des chances</w:t>
      </w:r>
      <w:r w:rsidR="00680ADA" w:rsidRPr="00F1180D">
        <w:rPr>
          <w:lang w:val="fr-FR" w:bidi="ar-KW"/>
        </w:rPr>
        <w:t>,</w:t>
      </w:r>
      <w:r w:rsidRPr="00F1180D">
        <w:rPr>
          <w:lang w:val="fr-FR" w:bidi="ar-KW"/>
        </w:rPr>
        <w:t xml:space="preserve"> l</w:t>
      </w:r>
      <w:r w:rsidR="00680ADA" w:rsidRPr="00F1180D">
        <w:rPr>
          <w:lang w:val="fr-FR" w:bidi="ar-KW"/>
        </w:rPr>
        <w:t>’</w:t>
      </w:r>
      <w:r w:rsidR="00163207" w:rsidRPr="00F1180D">
        <w:rPr>
          <w:lang w:val="fr-FR" w:bidi="ar-KW"/>
        </w:rPr>
        <w:t>article </w:t>
      </w:r>
      <w:r w:rsidRPr="00F1180D">
        <w:rPr>
          <w:lang w:val="fr-FR" w:bidi="ar-KW"/>
        </w:rPr>
        <w:t>8 dispose ce qui suit</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L</w:t>
      </w:r>
      <w:r w:rsidR="00680ADA" w:rsidRPr="00F1180D">
        <w:rPr>
          <w:lang w:val="fr-FR" w:bidi="ar-KW"/>
        </w:rPr>
        <w:t>’</w:t>
      </w:r>
      <w:r w:rsidRPr="00F1180D">
        <w:rPr>
          <w:lang w:val="fr-FR" w:bidi="ar-KW"/>
        </w:rPr>
        <w:t>État protège les piliers de la société et assure aux citoyens la sécurité</w:t>
      </w:r>
      <w:r w:rsidR="00680ADA" w:rsidRPr="00F1180D">
        <w:rPr>
          <w:lang w:val="fr-FR" w:bidi="ar-KW"/>
        </w:rPr>
        <w:t>,</w:t>
      </w:r>
      <w:r w:rsidRPr="00F1180D">
        <w:rPr>
          <w:lang w:val="fr-FR" w:bidi="ar-KW"/>
        </w:rPr>
        <w:t xml:space="preserve"> la tranquillité et l</w:t>
      </w:r>
      <w:r w:rsidR="00680ADA" w:rsidRPr="00F1180D">
        <w:rPr>
          <w:lang w:val="fr-FR" w:bidi="ar-KW"/>
        </w:rPr>
        <w:t>’</w:t>
      </w:r>
      <w:r w:rsidRPr="00F1180D">
        <w:rPr>
          <w:lang w:val="fr-FR" w:bidi="ar-KW"/>
        </w:rPr>
        <w:t>égalité des chances</w:t>
      </w:r>
      <w:r w:rsidR="00680ADA" w:rsidRPr="00F1180D">
        <w:rPr>
          <w:lang w:val="fr-FR" w:bidi="ar-KW"/>
        </w:rPr>
        <w:t>»</w:t>
      </w:r>
      <w:r w:rsidR="000E3544" w:rsidRPr="00F1180D">
        <w:rPr>
          <w:lang w:val="fr-FR" w:bidi="ar-KW"/>
        </w:rPr>
        <w:t>;</w:t>
      </w:r>
      <w:r w:rsidRPr="00F1180D">
        <w:rPr>
          <w:lang w:val="fr-FR" w:bidi="ar-KW"/>
        </w:rPr>
        <w:t xml:space="preserve"> </w:t>
      </w:r>
    </w:p>
    <w:p w:rsidR="000C6D4A" w:rsidRPr="00F1180D" w:rsidRDefault="000C6D4A" w:rsidP="000E3544">
      <w:pPr>
        <w:pStyle w:val="Bullet1G"/>
        <w:rPr>
          <w:lang w:val="fr-FR" w:bidi="ar-KW"/>
        </w:rPr>
      </w:pPr>
      <w:r w:rsidRPr="00F1180D">
        <w:rPr>
          <w:lang w:val="fr-FR" w:bidi="ar-KW"/>
        </w:rPr>
        <w:t>Pour ce qui est de l</w:t>
      </w:r>
      <w:r w:rsidR="00680ADA" w:rsidRPr="00F1180D">
        <w:rPr>
          <w:lang w:val="fr-FR" w:bidi="ar-KW"/>
        </w:rPr>
        <w:t>’</w:t>
      </w:r>
      <w:r w:rsidRPr="00F1180D">
        <w:rPr>
          <w:lang w:val="fr-FR" w:bidi="ar-KW"/>
        </w:rPr>
        <w:t>égalité en droits et en devoirs publics</w:t>
      </w:r>
      <w:r w:rsidR="00680ADA" w:rsidRPr="00F1180D">
        <w:rPr>
          <w:lang w:val="fr-FR" w:bidi="ar-KW"/>
        </w:rPr>
        <w:t>,</w:t>
      </w:r>
      <w:r w:rsidRPr="00F1180D">
        <w:rPr>
          <w:lang w:val="fr-FR" w:bidi="ar-KW"/>
        </w:rPr>
        <w:t xml:space="preserve"> l</w:t>
      </w:r>
      <w:r w:rsidR="00680ADA" w:rsidRPr="00F1180D">
        <w:rPr>
          <w:lang w:val="fr-FR" w:bidi="ar-KW"/>
        </w:rPr>
        <w:t>’</w:t>
      </w:r>
      <w:r w:rsidR="00163207" w:rsidRPr="00F1180D">
        <w:rPr>
          <w:lang w:val="fr-FR" w:bidi="ar-KW"/>
        </w:rPr>
        <w:t>article </w:t>
      </w:r>
      <w:r w:rsidRPr="00F1180D">
        <w:rPr>
          <w:lang w:val="fr-FR" w:bidi="ar-KW"/>
        </w:rPr>
        <w:t>29 énonce ce qui suit</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Tous les individus sont égaux devant la loi</w:t>
      </w:r>
      <w:r w:rsidR="00680ADA" w:rsidRPr="00F1180D">
        <w:rPr>
          <w:lang w:val="fr-FR" w:bidi="ar-KW"/>
        </w:rPr>
        <w:t>,</w:t>
      </w:r>
      <w:r w:rsidRPr="00F1180D">
        <w:rPr>
          <w:lang w:val="fr-FR" w:bidi="ar-KW"/>
        </w:rPr>
        <w:t xml:space="preserve"> en dignité comme en droits et en devoirs</w:t>
      </w:r>
      <w:r w:rsidR="00680ADA" w:rsidRPr="00F1180D">
        <w:rPr>
          <w:lang w:val="fr-FR" w:bidi="ar-KW"/>
        </w:rPr>
        <w:t>,</w:t>
      </w:r>
      <w:r w:rsidRPr="00F1180D">
        <w:rPr>
          <w:lang w:val="fr-FR" w:bidi="ar-KW"/>
        </w:rPr>
        <w:t xml:space="preserve"> sans distinction fondée sur le sexe</w:t>
      </w:r>
      <w:r w:rsidR="00680ADA" w:rsidRPr="00F1180D">
        <w:rPr>
          <w:lang w:val="fr-FR" w:bidi="ar-KW"/>
        </w:rPr>
        <w:t>,</w:t>
      </w:r>
      <w:r w:rsidRPr="00F1180D">
        <w:rPr>
          <w:lang w:val="fr-FR" w:bidi="ar-KW"/>
        </w:rPr>
        <w:t xml:space="preserve"> l</w:t>
      </w:r>
      <w:r w:rsidR="00680ADA" w:rsidRPr="00F1180D">
        <w:rPr>
          <w:lang w:val="fr-FR" w:bidi="ar-KW"/>
        </w:rPr>
        <w:t>’</w:t>
      </w:r>
      <w:r w:rsidRPr="00F1180D">
        <w:rPr>
          <w:lang w:val="fr-FR" w:bidi="ar-KW"/>
        </w:rPr>
        <w:t>origine</w:t>
      </w:r>
      <w:r w:rsidR="00680ADA" w:rsidRPr="00F1180D">
        <w:rPr>
          <w:lang w:val="fr-FR" w:bidi="ar-KW"/>
        </w:rPr>
        <w:t>,</w:t>
      </w:r>
      <w:r w:rsidRPr="00F1180D">
        <w:rPr>
          <w:lang w:val="fr-FR" w:bidi="ar-KW"/>
        </w:rPr>
        <w:t xml:space="preserve"> la langue ou la religion</w:t>
      </w:r>
      <w:r w:rsidR="00680ADA" w:rsidRPr="00F1180D">
        <w:rPr>
          <w:lang w:val="fr-FR" w:bidi="ar-KW"/>
        </w:rPr>
        <w:t>»</w:t>
      </w:r>
      <w:r w:rsidR="000E3544" w:rsidRPr="00F1180D">
        <w:rPr>
          <w:lang w:val="fr-FR" w:bidi="ar-KW"/>
        </w:rPr>
        <w:t>;</w:t>
      </w:r>
    </w:p>
    <w:p w:rsidR="000C6D4A" w:rsidRPr="00F1180D" w:rsidRDefault="000C6D4A" w:rsidP="000E3544">
      <w:pPr>
        <w:pStyle w:val="Bullet1G"/>
        <w:rPr>
          <w:lang w:val="fr-FR" w:bidi="ar-KW"/>
        </w:rPr>
      </w:pPr>
      <w:r w:rsidRPr="00F1180D">
        <w:rPr>
          <w:lang w:val="fr-FR" w:bidi="ar-KW"/>
        </w:rPr>
        <w:t>La liberté de croyance est absolue</w:t>
      </w:r>
      <w:r w:rsidR="00680ADA" w:rsidRPr="00F1180D">
        <w:rPr>
          <w:lang w:val="fr-FR" w:bidi="ar-KW"/>
        </w:rPr>
        <w:t>,</w:t>
      </w:r>
      <w:r w:rsidRPr="00F1180D">
        <w:rPr>
          <w:lang w:val="fr-FR" w:bidi="ar-KW"/>
        </w:rPr>
        <w:t xml:space="preserve"> conformément à l</w:t>
      </w:r>
      <w:r w:rsidR="00680ADA" w:rsidRPr="00F1180D">
        <w:rPr>
          <w:lang w:val="fr-FR" w:bidi="ar-KW"/>
        </w:rPr>
        <w:t>’</w:t>
      </w:r>
      <w:r w:rsidR="00163207" w:rsidRPr="00F1180D">
        <w:rPr>
          <w:lang w:val="fr-FR" w:bidi="ar-KW"/>
        </w:rPr>
        <w:t>article </w:t>
      </w:r>
      <w:r w:rsidRPr="00F1180D">
        <w:rPr>
          <w:lang w:val="fr-FR" w:bidi="ar-KW"/>
        </w:rPr>
        <w:t>35</w:t>
      </w:r>
      <w:r w:rsidR="00680ADA" w:rsidRPr="00F1180D">
        <w:rPr>
          <w:lang w:val="fr-FR" w:bidi="ar-KW"/>
        </w:rPr>
        <w:t>,</w:t>
      </w:r>
      <w:r w:rsidRPr="00F1180D">
        <w:rPr>
          <w:lang w:val="fr-FR" w:bidi="ar-KW"/>
        </w:rPr>
        <w:t xml:space="preserve"> qui proclame ce qui suit</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La liberté religieuse est absolue. L</w:t>
      </w:r>
      <w:r w:rsidR="00680ADA" w:rsidRPr="00F1180D">
        <w:rPr>
          <w:lang w:val="fr-FR" w:bidi="ar-KW"/>
        </w:rPr>
        <w:t>’</w:t>
      </w:r>
      <w:r w:rsidRPr="00F1180D">
        <w:rPr>
          <w:lang w:val="fr-FR" w:bidi="ar-KW"/>
        </w:rPr>
        <w:t>État protège la libre pratique des religions conformément aux coutumes établies</w:t>
      </w:r>
      <w:r w:rsidR="00680ADA" w:rsidRPr="00F1180D">
        <w:rPr>
          <w:lang w:val="fr-FR" w:bidi="ar-KW"/>
        </w:rPr>
        <w:t>,</w:t>
      </w:r>
      <w:r w:rsidRPr="00F1180D">
        <w:rPr>
          <w:lang w:val="fr-FR" w:bidi="ar-KW"/>
        </w:rPr>
        <w:t xml:space="preserve"> à condition que cela ne porte pas atteinte à l</w:t>
      </w:r>
      <w:r w:rsidR="00680ADA" w:rsidRPr="00F1180D">
        <w:rPr>
          <w:lang w:val="fr-FR" w:bidi="ar-KW"/>
        </w:rPr>
        <w:t>’</w:t>
      </w:r>
      <w:r w:rsidRPr="00F1180D">
        <w:rPr>
          <w:lang w:val="fr-FR" w:bidi="ar-KW"/>
        </w:rPr>
        <w:t>ordre et à la morale publics</w:t>
      </w:r>
      <w:r w:rsidR="00680ADA" w:rsidRPr="00F1180D">
        <w:rPr>
          <w:lang w:val="fr-FR" w:bidi="ar-KW"/>
        </w:rPr>
        <w:t>»</w:t>
      </w:r>
      <w:r w:rsidR="000E3544" w:rsidRPr="00F1180D">
        <w:rPr>
          <w:lang w:val="fr-FR" w:bidi="ar-KW"/>
        </w:rPr>
        <w:t>;</w:t>
      </w:r>
      <w:r w:rsidRPr="00F1180D">
        <w:rPr>
          <w:lang w:val="fr-FR" w:bidi="ar-KW"/>
        </w:rPr>
        <w:t xml:space="preserve"> </w:t>
      </w:r>
    </w:p>
    <w:p w:rsidR="000C6D4A" w:rsidRPr="00F1180D" w:rsidRDefault="000C6D4A" w:rsidP="000E3544">
      <w:pPr>
        <w:pStyle w:val="Bullet1G"/>
        <w:rPr>
          <w:rtl/>
          <w:lang w:val="fr-FR" w:bidi="fr-FR"/>
        </w:rPr>
      </w:pPr>
      <w:r w:rsidRPr="00F1180D">
        <w:rPr>
          <w:lang w:val="fr-FR" w:bidi="ar-KW"/>
        </w:rPr>
        <w:t>Les libertés d</w:t>
      </w:r>
      <w:r w:rsidR="00680ADA" w:rsidRPr="00F1180D">
        <w:rPr>
          <w:lang w:val="fr-FR" w:bidi="ar-KW"/>
        </w:rPr>
        <w:t>’</w:t>
      </w:r>
      <w:r w:rsidRPr="00F1180D">
        <w:rPr>
          <w:lang w:val="fr-FR" w:bidi="ar-KW"/>
        </w:rPr>
        <w:t>opinion et d</w:t>
      </w:r>
      <w:r w:rsidR="00680ADA" w:rsidRPr="00F1180D">
        <w:rPr>
          <w:lang w:val="fr-FR" w:bidi="ar-KW"/>
        </w:rPr>
        <w:t>’</w:t>
      </w:r>
      <w:r w:rsidRPr="00F1180D">
        <w:rPr>
          <w:lang w:val="fr-FR" w:bidi="ar-KW"/>
        </w:rPr>
        <w:t>expression sont consacrées par l</w:t>
      </w:r>
      <w:r w:rsidR="00680ADA" w:rsidRPr="00F1180D">
        <w:rPr>
          <w:lang w:val="fr-FR" w:bidi="ar-KW"/>
        </w:rPr>
        <w:t>’</w:t>
      </w:r>
      <w:r w:rsidR="00163207" w:rsidRPr="00F1180D">
        <w:rPr>
          <w:lang w:val="fr-FR" w:bidi="ar-KW"/>
        </w:rPr>
        <w:t>article </w:t>
      </w:r>
      <w:r w:rsidRPr="00F1180D">
        <w:rPr>
          <w:lang w:val="fr-FR" w:bidi="ar-KW"/>
        </w:rPr>
        <w:t>36 selon lequel</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La liberté d</w:t>
      </w:r>
      <w:r w:rsidR="00680ADA" w:rsidRPr="00F1180D">
        <w:rPr>
          <w:lang w:val="fr-FR" w:bidi="ar-KW"/>
        </w:rPr>
        <w:t>’</w:t>
      </w:r>
      <w:r w:rsidRPr="00F1180D">
        <w:rPr>
          <w:lang w:val="fr-FR" w:bidi="ar-KW"/>
        </w:rPr>
        <w:t>opinion et de la recherche scientifique est garantie. Toute personne a le droit d</w:t>
      </w:r>
      <w:r w:rsidR="00680ADA" w:rsidRPr="00F1180D">
        <w:rPr>
          <w:lang w:val="fr-FR" w:bidi="ar-KW"/>
        </w:rPr>
        <w:t>’</w:t>
      </w:r>
      <w:r w:rsidRPr="00F1180D">
        <w:rPr>
          <w:lang w:val="fr-FR" w:bidi="ar-KW"/>
        </w:rPr>
        <w:t>exprimer et de diffuser ses opinions verbalement</w:t>
      </w:r>
      <w:r w:rsidR="00680ADA" w:rsidRPr="00F1180D">
        <w:rPr>
          <w:lang w:val="fr-FR" w:bidi="ar-KW"/>
        </w:rPr>
        <w:t>,</w:t>
      </w:r>
      <w:r w:rsidRPr="00F1180D">
        <w:rPr>
          <w:lang w:val="fr-FR" w:bidi="ar-KW"/>
        </w:rPr>
        <w:t xml:space="preserve"> par écrit et par tout autre moyen dans le respect des limites fixées par la loi</w:t>
      </w:r>
      <w:r w:rsidR="00680ADA" w:rsidRPr="00F1180D">
        <w:rPr>
          <w:lang w:val="fr-FR" w:bidi="ar-KW"/>
        </w:rPr>
        <w:t>»</w:t>
      </w:r>
      <w:r w:rsidR="000E3544" w:rsidRPr="00F1180D">
        <w:rPr>
          <w:lang w:val="fr-FR" w:bidi="ar-KW"/>
        </w:rPr>
        <w:t>;</w:t>
      </w:r>
      <w:r w:rsidRPr="00F1180D">
        <w:rPr>
          <w:lang w:val="fr-FR" w:bidi="ar-KW"/>
        </w:rPr>
        <w:t xml:space="preserve"> </w:t>
      </w:r>
    </w:p>
    <w:p w:rsidR="000C6D4A" w:rsidRPr="00F1180D" w:rsidRDefault="000C6D4A" w:rsidP="000E3544">
      <w:pPr>
        <w:pStyle w:val="Bullet1G"/>
        <w:rPr>
          <w:lang w:val="fr-FR" w:bidi="ar-KW"/>
        </w:rPr>
      </w:pPr>
      <w:r w:rsidRPr="00F1180D">
        <w:rPr>
          <w:lang w:val="fr-FR" w:bidi="ar-KW"/>
        </w:rPr>
        <w:t>La liberté de constituer des associations et des syndicats est proclamée par l</w:t>
      </w:r>
      <w:r w:rsidR="00680ADA" w:rsidRPr="00F1180D">
        <w:rPr>
          <w:lang w:val="fr-FR" w:bidi="ar-KW"/>
        </w:rPr>
        <w:t>’</w:t>
      </w:r>
      <w:r w:rsidR="00163207" w:rsidRPr="00F1180D">
        <w:rPr>
          <w:lang w:val="fr-FR" w:bidi="ar-KW"/>
        </w:rPr>
        <w:t>article </w:t>
      </w:r>
      <w:r w:rsidRPr="00F1180D">
        <w:rPr>
          <w:lang w:val="fr-FR" w:bidi="ar-KW"/>
        </w:rPr>
        <w:t>43</w:t>
      </w:r>
      <w:r w:rsidR="00680ADA" w:rsidRPr="00F1180D">
        <w:rPr>
          <w:lang w:val="fr-FR" w:bidi="ar-KW"/>
        </w:rPr>
        <w:t>,</w:t>
      </w:r>
      <w:r w:rsidRPr="00F1180D">
        <w:rPr>
          <w:lang w:val="fr-FR" w:bidi="ar-KW"/>
        </w:rPr>
        <w:t xml:space="preserve"> qui dispose ce qui suit</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La liberté de constituer des associations et des syndicats au niveau national et par des moyens pacifiques est garantie</w:t>
      </w:r>
      <w:r w:rsidR="00680ADA" w:rsidRPr="00F1180D">
        <w:rPr>
          <w:lang w:val="fr-FR" w:bidi="ar-KW"/>
        </w:rPr>
        <w:t>,</w:t>
      </w:r>
      <w:r w:rsidRPr="00F1180D">
        <w:rPr>
          <w:lang w:val="fr-FR" w:bidi="ar-KW"/>
        </w:rPr>
        <w:t xml:space="preserve"> dans les conditions prévues par la loi. Nul ne peut être contraint d</w:t>
      </w:r>
      <w:r w:rsidR="00680ADA" w:rsidRPr="00F1180D">
        <w:rPr>
          <w:lang w:val="fr-FR" w:bidi="ar-KW"/>
        </w:rPr>
        <w:t>’</w:t>
      </w:r>
      <w:r w:rsidRPr="00F1180D">
        <w:rPr>
          <w:lang w:val="fr-FR" w:bidi="ar-KW"/>
        </w:rPr>
        <w:t>adhérer à une association ou à un syndicat</w:t>
      </w:r>
      <w:r w:rsidR="00680ADA" w:rsidRPr="00F1180D">
        <w:rPr>
          <w:lang w:val="fr-FR" w:bidi="ar-KW"/>
        </w:rPr>
        <w:t>»</w:t>
      </w:r>
      <w:r w:rsidRPr="00F1180D">
        <w:rPr>
          <w:lang w:val="fr-FR" w:bidi="ar-KW"/>
        </w:rPr>
        <w:t xml:space="preserve">. </w:t>
      </w:r>
    </w:p>
    <w:p w:rsidR="000C6D4A" w:rsidRPr="00F1180D" w:rsidRDefault="00D17B4F" w:rsidP="00680ADA">
      <w:pPr>
        <w:pStyle w:val="SingleTxtG"/>
        <w:rPr>
          <w:lang w:val="fr-FR" w:bidi="ar-KW"/>
        </w:rPr>
      </w:pPr>
      <w:r>
        <w:rPr>
          <w:lang w:val="fr-FR" w:bidi="ar-KW"/>
        </w:rPr>
        <w:t>13.</w:t>
      </w:r>
      <w:r>
        <w:rPr>
          <w:lang w:val="fr-FR" w:bidi="ar-KW"/>
        </w:rPr>
        <w:tab/>
      </w:r>
      <w:r w:rsidR="000C6D4A" w:rsidRPr="00F1180D">
        <w:rPr>
          <w:lang w:val="fr-FR" w:bidi="ar-KW"/>
        </w:rPr>
        <w:t>En ce qui concerne les institutions et organisations de la société civile</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0C6D4A" w:rsidRPr="00F1180D">
        <w:rPr>
          <w:lang w:val="fr-FR" w:bidi="ar-KW"/>
        </w:rPr>
        <w:t xml:space="preserve">6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24 de 1962 (précité) interdit aux clubs et associations reconnus d</w:t>
      </w:r>
      <w:r w:rsidR="00680ADA" w:rsidRPr="00F1180D">
        <w:rPr>
          <w:lang w:val="fr-FR" w:bidi="ar-KW"/>
        </w:rPr>
        <w:t>’</w:t>
      </w:r>
      <w:r w:rsidR="000C6D4A" w:rsidRPr="00F1180D">
        <w:rPr>
          <w:lang w:val="fr-FR" w:bidi="ar-KW"/>
        </w:rPr>
        <w:t>utilité publique de poursuivre des objectifs contraires à la loi ou des activités non conformes à l</w:t>
      </w:r>
      <w:r w:rsidR="00680ADA" w:rsidRPr="00F1180D">
        <w:rPr>
          <w:lang w:val="fr-FR" w:bidi="ar-KW"/>
        </w:rPr>
        <w:t>’</w:t>
      </w:r>
      <w:r w:rsidR="000C6D4A" w:rsidRPr="00F1180D">
        <w:rPr>
          <w:lang w:val="fr-FR" w:bidi="ar-KW"/>
        </w:rPr>
        <w:t>objet prévu dans leurs statuts</w:t>
      </w:r>
      <w:r w:rsidR="00680ADA" w:rsidRPr="00F1180D">
        <w:rPr>
          <w:lang w:val="fr-FR" w:bidi="ar-KW"/>
        </w:rPr>
        <w:t>,</w:t>
      </w:r>
      <w:r w:rsidR="000C6D4A" w:rsidRPr="00F1180D">
        <w:rPr>
          <w:lang w:val="fr-FR" w:bidi="ar-KW"/>
        </w:rPr>
        <w:t xml:space="preserve"> de s</w:t>
      </w:r>
      <w:r w:rsidR="00680ADA" w:rsidRPr="00F1180D">
        <w:rPr>
          <w:lang w:val="fr-FR" w:bidi="ar-KW"/>
        </w:rPr>
        <w:t>’</w:t>
      </w:r>
      <w:r w:rsidR="000C6D4A" w:rsidRPr="00F1180D">
        <w:rPr>
          <w:lang w:val="fr-FR" w:bidi="ar-KW"/>
        </w:rPr>
        <w:t>engager dans l</w:t>
      </w:r>
      <w:r w:rsidR="00680ADA" w:rsidRPr="00F1180D">
        <w:rPr>
          <w:lang w:val="fr-FR" w:bidi="ar-KW"/>
        </w:rPr>
        <w:t>’</w:t>
      </w:r>
      <w:r w:rsidR="000C6D4A" w:rsidRPr="00F1180D">
        <w:rPr>
          <w:lang w:val="fr-FR" w:bidi="ar-KW"/>
        </w:rPr>
        <w:t xml:space="preserve">action politique ou dans des différends religieux ou de fomenter des querelles ethniques ou fanatiques. </w:t>
      </w:r>
    </w:p>
    <w:p w:rsidR="000C6D4A" w:rsidRPr="00F1180D" w:rsidRDefault="00D17B4F" w:rsidP="00680ADA">
      <w:pPr>
        <w:pStyle w:val="SingleTxtG"/>
        <w:rPr>
          <w:rtl/>
          <w:lang w:val="fr-FR" w:bidi="fr-FR"/>
        </w:rPr>
      </w:pPr>
      <w:r>
        <w:rPr>
          <w:lang w:val="fr-FR" w:bidi="ar-KW"/>
        </w:rPr>
        <w:t>14.</w:t>
      </w:r>
      <w:r>
        <w:rPr>
          <w:lang w:val="fr-FR" w:bidi="ar-KW"/>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3 du titre I du statut-type des associations dispose également ce qui suit</w:t>
      </w:r>
      <w:r w:rsidR="00680ADA" w:rsidRPr="00F1180D">
        <w:rPr>
          <w:lang w:val="fr-FR" w:bidi="ar-KW"/>
        </w:rPr>
        <w:t>: «</w:t>
      </w:r>
      <w:r w:rsidR="006B41A3" w:rsidRPr="00F1180D">
        <w:rPr>
          <w:lang w:val="fr-FR" w:bidi="ar-KW"/>
        </w:rPr>
        <w:t>Il </w:t>
      </w:r>
      <w:r w:rsidR="000C6D4A" w:rsidRPr="00F1180D">
        <w:rPr>
          <w:lang w:val="fr-FR" w:bidi="ar-KW"/>
        </w:rPr>
        <w:t>est interdit aux associations de s</w:t>
      </w:r>
      <w:r w:rsidR="00680ADA" w:rsidRPr="00F1180D">
        <w:rPr>
          <w:lang w:val="fr-FR" w:bidi="ar-KW"/>
        </w:rPr>
        <w:t>’</w:t>
      </w:r>
      <w:r w:rsidR="000C6D4A" w:rsidRPr="00F1180D">
        <w:rPr>
          <w:lang w:val="fr-FR" w:bidi="ar-KW"/>
        </w:rPr>
        <w:t>engager dans l</w:t>
      </w:r>
      <w:r w:rsidR="00680ADA" w:rsidRPr="00F1180D">
        <w:rPr>
          <w:lang w:val="fr-FR" w:bidi="ar-KW"/>
        </w:rPr>
        <w:t>’</w:t>
      </w:r>
      <w:r w:rsidR="000C6D4A" w:rsidRPr="00F1180D">
        <w:rPr>
          <w:lang w:val="fr-FR" w:bidi="ar-KW"/>
        </w:rPr>
        <w:t>action politique ou dans des différends religieux ou de fomenter des querelles ethniques ou fanatiques</w:t>
      </w:r>
      <w:r w:rsidR="00B235C4" w:rsidRPr="00F1180D">
        <w:rPr>
          <w:lang w:val="fr-FR" w:bidi="ar-KW"/>
        </w:rPr>
        <w:t>.</w:t>
      </w:r>
      <w:r w:rsidR="00680ADA" w:rsidRPr="00F1180D">
        <w:rPr>
          <w:lang w:val="fr-FR" w:bidi="ar-KW"/>
        </w:rPr>
        <w:t>»</w:t>
      </w:r>
      <w:r w:rsidR="000C6D4A" w:rsidRPr="00F1180D">
        <w:rPr>
          <w:lang w:val="fr-FR" w:bidi="ar-KW"/>
        </w:rPr>
        <w:t xml:space="preserve"> </w:t>
      </w:r>
    </w:p>
    <w:p w:rsidR="000C6D4A" w:rsidRPr="00F1180D" w:rsidRDefault="00D17B4F" w:rsidP="00680ADA">
      <w:pPr>
        <w:pStyle w:val="SingleTxtG"/>
        <w:rPr>
          <w:rtl/>
          <w:lang w:val="fr-FR" w:bidi="fr-FR"/>
        </w:rPr>
      </w:pPr>
      <w:r>
        <w:rPr>
          <w:lang w:val="fr-FR" w:bidi="ar-KW"/>
        </w:rPr>
        <w:t>15.</w:t>
      </w:r>
      <w:r>
        <w:rPr>
          <w:lang w:val="fr-FR" w:bidi="ar-KW"/>
        </w:rPr>
        <w:tab/>
      </w:r>
      <w:r w:rsidR="000C6D4A" w:rsidRPr="00F1180D">
        <w:rPr>
          <w:lang w:val="fr-FR" w:bidi="ar-KW"/>
        </w:rPr>
        <w:t>Selon l</w:t>
      </w:r>
      <w:r w:rsidR="00680ADA" w:rsidRPr="00F1180D">
        <w:rPr>
          <w:lang w:val="fr-FR" w:bidi="ar-KW"/>
        </w:rPr>
        <w:t>’</w:t>
      </w:r>
      <w:r w:rsidR="00163207" w:rsidRPr="00F1180D">
        <w:rPr>
          <w:lang w:val="fr-FR" w:bidi="ar-KW"/>
        </w:rPr>
        <w:t>article </w:t>
      </w:r>
      <w:r w:rsidR="000C6D4A" w:rsidRPr="00F1180D">
        <w:rPr>
          <w:lang w:val="fr-FR" w:bidi="ar-KW"/>
        </w:rPr>
        <w:t>5</w:t>
      </w:r>
      <w:r w:rsidR="00680ADA" w:rsidRPr="00F1180D">
        <w:rPr>
          <w:lang w:val="fr-FR" w:bidi="ar-KW"/>
        </w:rPr>
        <w:t>,</w:t>
      </w:r>
      <w:r w:rsidR="000C6D4A" w:rsidRPr="00F1180D">
        <w:rPr>
          <w:lang w:val="fr-FR" w:bidi="ar-KW"/>
        </w:rPr>
        <w:t xml:space="preserve"> </w:t>
      </w:r>
      <w:r w:rsidR="000C6D4A" w:rsidRPr="00F1180D">
        <w:rPr>
          <w:lang w:val="fr-FR"/>
        </w:rPr>
        <w:t>tous les membres sont égaux en droits et en devoirs et doivent se conformer aux dispositions du présent statut et des règlements édictés par l</w:t>
      </w:r>
      <w:r w:rsidR="00680ADA" w:rsidRPr="00F1180D">
        <w:rPr>
          <w:lang w:val="fr-FR"/>
        </w:rPr>
        <w:t>’</w:t>
      </w:r>
      <w:r w:rsidR="000C6D4A" w:rsidRPr="00F1180D">
        <w:rPr>
          <w:lang w:val="fr-FR"/>
        </w:rPr>
        <w:t xml:space="preserve">association. </w:t>
      </w:r>
    </w:p>
    <w:p w:rsidR="000C6D4A" w:rsidRPr="00F1180D" w:rsidRDefault="00D17B4F" w:rsidP="00680ADA">
      <w:pPr>
        <w:pStyle w:val="SingleTxtG"/>
        <w:rPr>
          <w:rtl/>
          <w:lang w:val="fr-FR" w:bidi="fr-FR"/>
        </w:rPr>
      </w:pPr>
      <w:r>
        <w:rPr>
          <w:lang w:val="fr-FR"/>
        </w:rPr>
        <w:t>16.</w:t>
      </w:r>
      <w:r>
        <w:rPr>
          <w:lang w:val="fr-FR"/>
        </w:rPr>
        <w:tab/>
      </w:r>
      <w:r w:rsidR="000C6D4A" w:rsidRPr="00F1180D">
        <w:rPr>
          <w:lang w:val="fr-FR"/>
        </w:rPr>
        <w:t xml:space="preserve">La décision du Conseil des ministres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rPr>
        <w:t>836 de 2004 relative aux conditions et modalités de déclaration d</w:t>
      </w:r>
      <w:r w:rsidR="00680ADA" w:rsidRPr="00F1180D">
        <w:rPr>
          <w:lang w:val="fr-FR"/>
        </w:rPr>
        <w:t>’</w:t>
      </w:r>
      <w:r w:rsidR="000C6D4A" w:rsidRPr="00F1180D">
        <w:rPr>
          <w:lang w:val="fr-FR"/>
        </w:rPr>
        <w:t>utilité publique des associations</w:t>
      </w:r>
      <w:r w:rsidR="00680ADA" w:rsidRPr="00F1180D">
        <w:rPr>
          <w:lang w:val="fr-FR"/>
        </w:rPr>
        <w:t>,</w:t>
      </w:r>
      <w:r w:rsidR="000C6D4A" w:rsidRPr="00F1180D">
        <w:rPr>
          <w:lang w:val="fr-FR"/>
        </w:rPr>
        <w:t xml:space="preserve"> dispose dans son </w:t>
      </w:r>
      <w:r w:rsidR="00410CA5" w:rsidRPr="00F1180D">
        <w:rPr>
          <w:lang w:val="fr-FR"/>
        </w:rPr>
        <w:t>paragraphe </w:t>
      </w:r>
      <w:r w:rsidR="000C6D4A" w:rsidRPr="00F1180D">
        <w:rPr>
          <w:lang w:val="fr-FR"/>
        </w:rPr>
        <w:t>5 que les fondateurs doivent s</w:t>
      </w:r>
      <w:r w:rsidR="00680ADA" w:rsidRPr="00F1180D">
        <w:rPr>
          <w:lang w:val="fr-FR"/>
        </w:rPr>
        <w:t>’</w:t>
      </w:r>
      <w:r w:rsidR="000C6D4A" w:rsidRPr="00F1180D">
        <w:rPr>
          <w:lang w:val="fr-FR"/>
        </w:rPr>
        <w:t>engager à ne pas entreprendre d</w:t>
      </w:r>
      <w:r w:rsidR="00680ADA" w:rsidRPr="00F1180D">
        <w:rPr>
          <w:lang w:val="fr-FR"/>
        </w:rPr>
        <w:t>’</w:t>
      </w:r>
      <w:r w:rsidR="000C6D4A" w:rsidRPr="00F1180D">
        <w:rPr>
          <w:lang w:val="fr-FR"/>
        </w:rPr>
        <w:t xml:space="preserve">activités de nature à favoriser </w:t>
      </w:r>
      <w:r w:rsidR="000C6D4A" w:rsidRPr="00F1180D">
        <w:rPr>
          <w:lang w:val="fr-FR"/>
        </w:rPr>
        <w:lastRenderedPageBreak/>
        <w:t>le sectarisme ou la tribalité et à ne pas s</w:t>
      </w:r>
      <w:r w:rsidR="00680ADA" w:rsidRPr="00F1180D">
        <w:rPr>
          <w:lang w:val="fr-FR"/>
        </w:rPr>
        <w:t>’</w:t>
      </w:r>
      <w:r w:rsidR="000C6D4A" w:rsidRPr="00F1180D">
        <w:rPr>
          <w:lang w:val="fr-FR"/>
        </w:rPr>
        <w:t>immiscer dans des conflits religieux ou politiques</w:t>
      </w:r>
      <w:r w:rsidR="00680ADA" w:rsidRPr="00F1180D">
        <w:rPr>
          <w:lang w:val="fr-FR"/>
        </w:rPr>
        <w:t>,</w:t>
      </w:r>
      <w:r w:rsidR="000C6D4A" w:rsidRPr="00F1180D">
        <w:rPr>
          <w:lang w:val="fr-FR"/>
        </w:rPr>
        <w:t xml:space="preserve"> afin de préserver la solidarité sociale. </w:t>
      </w:r>
    </w:p>
    <w:p w:rsidR="000C6D4A" w:rsidRPr="00F1180D" w:rsidRDefault="00D17B4F" w:rsidP="00680ADA">
      <w:pPr>
        <w:pStyle w:val="SingleTxtG"/>
        <w:rPr>
          <w:rtl/>
          <w:lang w:val="fr-FR" w:bidi="fr-FR"/>
        </w:rPr>
      </w:pPr>
      <w:r>
        <w:rPr>
          <w:lang w:val="fr-FR"/>
        </w:rPr>
        <w:t>17.</w:t>
      </w:r>
      <w:r>
        <w:rPr>
          <w:lang w:val="fr-FR"/>
        </w:rPr>
        <w:tab/>
      </w:r>
      <w:r w:rsidR="000C6D4A" w:rsidRPr="00F1180D">
        <w:rPr>
          <w:lang w:val="fr-FR"/>
        </w:rPr>
        <w:t xml:space="preserve">Conformément aux dispositions du </w:t>
      </w:r>
      <w:r w:rsidR="00410CA5" w:rsidRPr="00F1180D">
        <w:rPr>
          <w:lang w:val="fr-FR"/>
        </w:rPr>
        <w:t>paragraphe </w:t>
      </w:r>
      <w:r w:rsidR="000C6D4A" w:rsidRPr="00F1180D">
        <w:rPr>
          <w:lang w:val="fr-FR"/>
        </w:rPr>
        <w:t>6 du deuxième point de la même décision</w:t>
      </w:r>
      <w:r w:rsidR="00680ADA" w:rsidRPr="00F1180D">
        <w:rPr>
          <w:lang w:val="fr-FR"/>
        </w:rPr>
        <w:t>,</w:t>
      </w:r>
      <w:r w:rsidR="000C6D4A" w:rsidRPr="00F1180D">
        <w:rPr>
          <w:lang w:val="fr-FR"/>
        </w:rPr>
        <w:t xml:space="preserve"> concernant les obligations statutaires des associations</w:t>
      </w:r>
      <w:r w:rsidR="00680ADA" w:rsidRPr="00F1180D">
        <w:rPr>
          <w:lang w:val="fr-FR"/>
        </w:rPr>
        <w:t>,</w:t>
      </w:r>
      <w:r w:rsidR="000C6D4A" w:rsidRPr="00F1180D">
        <w:rPr>
          <w:lang w:val="fr-FR"/>
        </w:rPr>
        <w:t xml:space="preserve"> celles-ci ne doivent pas non plus s</w:t>
      </w:r>
      <w:r w:rsidR="00680ADA" w:rsidRPr="00F1180D">
        <w:rPr>
          <w:lang w:val="fr-FR"/>
        </w:rPr>
        <w:t>’</w:t>
      </w:r>
      <w:r w:rsidR="000C6D4A" w:rsidRPr="00F1180D">
        <w:rPr>
          <w:lang w:val="fr-FR"/>
        </w:rPr>
        <w:t>engager dans l</w:t>
      </w:r>
      <w:r w:rsidR="00680ADA" w:rsidRPr="00F1180D">
        <w:rPr>
          <w:lang w:val="fr-FR"/>
        </w:rPr>
        <w:t>’</w:t>
      </w:r>
      <w:r w:rsidR="000C6D4A" w:rsidRPr="00F1180D">
        <w:rPr>
          <w:lang w:val="fr-FR"/>
        </w:rPr>
        <w:t>action politique ou dans des différends religieux</w:t>
      </w:r>
      <w:r w:rsidR="00680ADA" w:rsidRPr="00F1180D">
        <w:rPr>
          <w:lang w:val="fr-FR"/>
        </w:rPr>
        <w:t>,</w:t>
      </w:r>
      <w:r w:rsidR="000C6D4A" w:rsidRPr="00F1180D">
        <w:rPr>
          <w:lang w:val="fr-FR"/>
        </w:rPr>
        <w:t xml:space="preserve"> ni fomenter des querelles ethniques ou fanatiques. </w:t>
      </w:r>
    </w:p>
    <w:p w:rsidR="000C6D4A" w:rsidRPr="00F1180D" w:rsidRDefault="00D17B4F" w:rsidP="00680ADA">
      <w:pPr>
        <w:pStyle w:val="SingleTxtG"/>
        <w:rPr>
          <w:rtl/>
          <w:lang w:val="fr-FR" w:bidi="fr-FR"/>
        </w:rPr>
      </w:pPr>
      <w:r>
        <w:rPr>
          <w:lang w:val="fr-FR"/>
        </w:rPr>
        <w:t>18.</w:t>
      </w:r>
      <w:r>
        <w:rPr>
          <w:lang w:val="fr-FR"/>
        </w:rPr>
        <w:tab/>
      </w:r>
      <w:r w:rsidR="000C6D4A" w:rsidRPr="00F1180D">
        <w:rPr>
          <w:lang w:val="fr-FR"/>
        </w:rPr>
        <w:t>Selon l</w:t>
      </w:r>
      <w:r w:rsidR="00680ADA" w:rsidRPr="00F1180D">
        <w:rPr>
          <w:lang w:val="fr-FR"/>
        </w:rPr>
        <w:t>’</w:t>
      </w:r>
      <w:r w:rsidR="00163207" w:rsidRPr="00F1180D">
        <w:rPr>
          <w:lang w:val="fr-FR"/>
        </w:rPr>
        <w:t>article </w:t>
      </w:r>
      <w:r w:rsidR="00E80CD0" w:rsidRPr="00F1180D">
        <w:rPr>
          <w:lang w:val="fr-FR"/>
        </w:rPr>
        <w:t>1</w:t>
      </w:r>
      <w:r w:rsidR="00E80CD0" w:rsidRPr="00F1180D">
        <w:rPr>
          <w:vertAlign w:val="superscript"/>
          <w:lang w:val="fr-FR"/>
        </w:rPr>
        <w:t>er</w:t>
      </w:r>
      <w:r w:rsidR="00E80CD0" w:rsidRPr="00F1180D">
        <w:rPr>
          <w:lang w:val="fr-FR"/>
        </w:rPr>
        <w:t xml:space="preserve"> </w:t>
      </w:r>
      <w:r w:rsidR="000C6D4A" w:rsidRPr="00F1180D">
        <w:rPr>
          <w:lang w:val="fr-FR"/>
        </w:rPr>
        <w:t>de la troisième partie de cette décision</w:t>
      </w:r>
      <w:r w:rsidR="00680ADA" w:rsidRPr="00F1180D">
        <w:rPr>
          <w:lang w:val="fr-FR"/>
        </w:rPr>
        <w:t>,</w:t>
      </w:r>
      <w:r w:rsidR="000C6D4A" w:rsidRPr="00F1180D">
        <w:rPr>
          <w:lang w:val="fr-FR"/>
        </w:rPr>
        <w:t xml:space="preserve"> concernant les responsabilités du Ministère des affaires sociales et de l</w:t>
      </w:r>
      <w:r w:rsidR="00680ADA" w:rsidRPr="00F1180D">
        <w:rPr>
          <w:lang w:val="fr-FR"/>
        </w:rPr>
        <w:t>’</w:t>
      </w:r>
      <w:r w:rsidR="000C6D4A" w:rsidRPr="00F1180D">
        <w:rPr>
          <w:lang w:val="fr-FR"/>
        </w:rPr>
        <w:t>emploi</w:t>
      </w:r>
      <w:r w:rsidR="00680ADA" w:rsidRPr="00F1180D">
        <w:rPr>
          <w:lang w:val="fr-FR"/>
        </w:rPr>
        <w:t>,</w:t>
      </w:r>
      <w:r w:rsidR="000C6D4A" w:rsidRPr="00F1180D">
        <w:rPr>
          <w:lang w:val="fr-FR"/>
        </w:rPr>
        <w:t xml:space="preserve"> les associations en cours de constitution dont le statut prévoit des activités contraires aux obligations légales précitées ne peuvent être déclarées officiellement constituées. </w:t>
      </w:r>
    </w:p>
    <w:p w:rsidR="000C6D4A" w:rsidRPr="00F1180D" w:rsidRDefault="00D17B4F" w:rsidP="00680ADA">
      <w:pPr>
        <w:pStyle w:val="SingleTxtG"/>
        <w:rPr>
          <w:rtl/>
          <w:lang w:val="fr-FR" w:bidi="fr-FR"/>
        </w:rPr>
      </w:pPr>
      <w:r w:rsidRPr="00D17B4F">
        <w:rPr>
          <w:lang w:val="fr-FR"/>
        </w:rPr>
        <w:t>19.</w:t>
      </w:r>
      <w:r w:rsidRPr="00D17B4F">
        <w:rPr>
          <w:lang w:val="fr-FR"/>
        </w:rPr>
        <w:tab/>
      </w:r>
      <w:r w:rsidR="000C6D4A" w:rsidRPr="00D17B4F">
        <w:rPr>
          <w:lang w:val="fr-FR"/>
        </w:rPr>
        <w:t>Conformément aux dispositions de l</w:t>
      </w:r>
      <w:r w:rsidR="00680ADA" w:rsidRPr="00D17B4F">
        <w:rPr>
          <w:lang w:val="fr-FR"/>
        </w:rPr>
        <w:t>’</w:t>
      </w:r>
      <w:r w:rsidR="00163207" w:rsidRPr="00D17B4F">
        <w:rPr>
          <w:lang w:val="fr-FR"/>
        </w:rPr>
        <w:t>article </w:t>
      </w:r>
      <w:r w:rsidR="000C6D4A" w:rsidRPr="00D17B4F">
        <w:rPr>
          <w:lang w:val="fr-FR"/>
        </w:rPr>
        <w:t xml:space="preserve">2 de la décision du Conseil des ministres </w:t>
      </w:r>
      <w:r w:rsidR="00680ADA" w:rsidRPr="00D17B4F">
        <w:rPr>
          <w:lang w:val="fr-FR" w:bidi="ar-EG"/>
        </w:rPr>
        <w:t>n</w:t>
      </w:r>
      <w:r w:rsidR="00680ADA" w:rsidRPr="00D17B4F">
        <w:rPr>
          <w:vertAlign w:val="superscript"/>
          <w:lang w:val="fr-FR" w:bidi="ar-EG"/>
        </w:rPr>
        <w:t>o</w:t>
      </w:r>
      <w:r w:rsidR="00680ADA" w:rsidRPr="00D17B4F">
        <w:rPr>
          <w:lang w:val="fr-FR" w:bidi="ar-EG"/>
        </w:rPr>
        <w:t> </w:t>
      </w:r>
      <w:r w:rsidR="000C6D4A" w:rsidRPr="00D17B4F">
        <w:rPr>
          <w:lang w:val="fr-FR"/>
        </w:rPr>
        <w:t>74 de 1999 relative à la réglementation des fondations religieuses</w:t>
      </w:r>
      <w:r w:rsidR="00680ADA" w:rsidRPr="00D17B4F">
        <w:rPr>
          <w:lang w:val="fr-FR"/>
        </w:rPr>
        <w:t>,</w:t>
      </w:r>
      <w:r w:rsidR="000C6D4A" w:rsidRPr="00D17B4F">
        <w:rPr>
          <w:lang w:val="fr-FR"/>
        </w:rPr>
        <w:t xml:space="preserve"> ces entités ne peuvent</w:t>
      </w:r>
      <w:r w:rsidR="000C6D4A" w:rsidRPr="00F1180D">
        <w:rPr>
          <w:lang w:val="fr-FR"/>
        </w:rPr>
        <w:t xml:space="preserve"> être déclarées officiellement constituées que si l</w:t>
      </w:r>
      <w:r w:rsidR="00680ADA" w:rsidRPr="00F1180D">
        <w:rPr>
          <w:lang w:val="fr-FR"/>
        </w:rPr>
        <w:t>’</w:t>
      </w:r>
      <w:r w:rsidR="000C6D4A" w:rsidRPr="00F1180D">
        <w:rPr>
          <w:lang w:val="fr-FR"/>
        </w:rPr>
        <w:t>objet indiqué dans leurs statuts leur interdit de s</w:t>
      </w:r>
      <w:r w:rsidR="00680ADA" w:rsidRPr="00F1180D">
        <w:rPr>
          <w:lang w:val="fr-FR"/>
        </w:rPr>
        <w:t>’</w:t>
      </w:r>
      <w:r w:rsidR="000C6D4A" w:rsidRPr="00F1180D">
        <w:rPr>
          <w:lang w:val="fr-FR"/>
        </w:rPr>
        <w:t>engager dans l</w:t>
      </w:r>
      <w:r w:rsidR="00680ADA" w:rsidRPr="00F1180D">
        <w:rPr>
          <w:lang w:val="fr-FR"/>
        </w:rPr>
        <w:t>’</w:t>
      </w:r>
      <w:r w:rsidR="000C6D4A" w:rsidRPr="00F1180D">
        <w:rPr>
          <w:lang w:val="fr-FR"/>
        </w:rPr>
        <w:t xml:space="preserve">action politique ou dans des différends religieux ou encore de fomenter des querelles ethniques ou fanatiques. </w:t>
      </w:r>
    </w:p>
    <w:p w:rsidR="000C6D4A" w:rsidRPr="00F1180D" w:rsidRDefault="00410CA5" w:rsidP="00410CA5">
      <w:pPr>
        <w:pStyle w:val="H1G"/>
        <w:rPr>
          <w:bCs/>
          <w:sz w:val="20"/>
          <w:rtl/>
          <w:lang w:val="fr-FR" w:bidi="fr-FR"/>
        </w:rPr>
      </w:pPr>
      <w:r w:rsidRPr="00F1180D">
        <w:rPr>
          <w:lang w:val="fr-FR" w:bidi="ar-KW"/>
        </w:rPr>
        <w:tab/>
      </w:r>
      <w:r w:rsidRPr="00F1180D">
        <w:rPr>
          <w:lang w:val="fr-FR" w:bidi="ar-KW"/>
        </w:rPr>
        <w:tab/>
      </w:r>
      <w:r w:rsidR="00163207" w:rsidRPr="00F1180D">
        <w:rPr>
          <w:lang w:val="fr-FR" w:bidi="ar-KW"/>
        </w:rPr>
        <w:t>Article </w:t>
      </w:r>
      <w:r w:rsidR="000C6D4A" w:rsidRPr="00F1180D">
        <w:rPr>
          <w:lang w:val="fr-FR" w:bidi="ar-KW"/>
        </w:rPr>
        <w:t>3</w:t>
      </w:r>
    </w:p>
    <w:p w:rsidR="000C6D4A" w:rsidRPr="00F1180D" w:rsidRDefault="00B357F2" w:rsidP="00680ADA">
      <w:pPr>
        <w:pStyle w:val="SingleTxtG"/>
        <w:rPr>
          <w:rtl/>
          <w:lang w:val="fr-FR" w:bidi="fr-FR"/>
        </w:rPr>
      </w:pPr>
      <w:r>
        <w:rPr>
          <w:lang w:val="fr-FR" w:bidi="ar-KW"/>
        </w:rPr>
        <w:t>20.</w:t>
      </w:r>
      <w:r>
        <w:rPr>
          <w:lang w:val="fr-FR" w:bidi="ar-KW"/>
        </w:rPr>
        <w:tab/>
      </w:r>
      <w:r w:rsidR="000C6D4A" w:rsidRPr="00F1180D">
        <w:rPr>
          <w:lang w:val="fr-FR" w:bidi="ar-KW"/>
        </w:rPr>
        <w:t xml:space="preserve">Aucun </w:t>
      </w:r>
      <w:r w:rsidR="00163207" w:rsidRPr="00F1180D">
        <w:rPr>
          <w:lang w:val="fr-FR" w:bidi="ar-KW"/>
        </w:rPr>
        <w:t>article </w:t>
      </w:r>
      <w:r w:rsidR="000C6D4A" w:rsidRPr="00F1180D">
        <w:rPr>
          <w:lang w:val="fr-FR" w:bidi="ar-KW"/>
        </w:rPr>
        <w:t>de la Constitution koweïtienne</w:t>
      </w:r>
      <w:r w:rsidR="00680ADA" w:rsidRPr="00F1180D">
        <w:rPr>
          <w:lang w:val="fr-FR" w:bidi="ar-KW"/>
        </w:rPr>
        <w:t>,</w:t>
      </w:r>
      <w:r w:rsidR="000C6D4A" w:rsidRPr="00F1180D">
        <w:rPr>
          <w:lang w:val="fr-FR" w:bidi="ar-KW"/>
        </w:rPr>
        <w:t xml:space="preserve"> ainsi que les lois et réglementations ultérieures</w:t>
      </w:r>
      <w:r w:rsidR="00680ADA" w:rsidRPr="00F1180D">
        <w:rPr>
          <w:lang w:val="fr-FR" w:bidi="ar-KW"/>
        </w:rPr>
        <w:t>,</w:t>
      </w:r>
      <w:r w:rsidR="000C6D4A" w:rsidRPr="00F1180D">
        <w:rPr>
          <w:lang w:val="fr-FR" w:bidi="ar-KW"/>
        </w:rPr>
        <w:t xml:space="preserve"> ne comportent de dispositions discriminatoires (ségrégation raciale ou apartheid)</w:t>
      </w:r>
      <w:r w:rsidR="00680ADA" w:rsidRPr="00F1180D">
        <w:rPr>
          <w:lang w:val="fr-FR" w:bidi="ar-KW"/>
        </w:rPr>
        <w:t>,</w:t>
      </w:r>
      <w:r w:rsidR="000C6D4A" w:rsidRPr="00F1180D">
        <w:rPr>
          <w:lang w:val="fr-FR" w:bidi="ar-KW"/>
        </w:rPr>
        <w:t xml:space="preserve"> mais proclament au contraire l</w:t>
      </w:r>
      <w:r w:rsidR="00680ADA" w:rsidRPr="00F1180D">
        <w:rPr>
          <w:lang w:val="fr-FR" w:bidi="ar-KW"/>
        </w:rPr>
        <w:t>’</w:t>
      </w:r>
      <w:r w:rsidR="000C6D4A" w:rsidRPr="00F1180D">
        <w:rPr>
          <w:lang w:val="fr-FR" w:bidi="ar-KW"/>
        </w:rPr>
        <w:t>égalité entre toutes les personnes</w:t>
      </w:r>
      <w:r w:rsidR="00680ADA" w:rsidRPr="00F1180D">
        <w:rPr>
          <w:lang w:val="fr-FR" w:bidi="ar-KW"/>
        </w:rPr>
        <w:t>,</w:t>
      </w:r>
      <w:r w:rsidR="000C6D4A" w:rsidRPr="00F1180D">
        <w:rPr>
          <w:lang w:val="fr-FR" w:bidi="ar-KW"/>
        </w:rPr>
        <w:t xml:space="preserve"> indépendamment de leur origine</w:t>
      </w:r>
      <w:r w:rsidR="00680ADA" w:rsidRPr="00F1180D">
        <w:rPr>
          <w:lang w:val="fr-FR" w:bidi="ar-KW"/>
        </w:rPr>
        <w:t>,</w:t>
      </w:r>
      <w:r w:rsidR="000C6D4A" w:rsidRPr="00F1180D">
        <w:rPr>
          <w:lang w:val="fr-FR" w:bidi="ar-KW"/>
        </w:rPr>
        <w:t xml:space="preserve"> de leur langue ou de leur sexe</w:t>
      </w:r>
      <w:r w:rsidR="00680ADA" w:rsidRPr="00F1180D">
        <w:rPr>
          <w:lang w:val="fr-FR" w:bidi="ar-KW"/>
        </w:rPr>
        <w:t>,</w:t>
      </w:r>
      <w:r w:rsidR="000C6D4A" w:rsidRPr="00F1180D">
        <w:rPr>
          <w:lang w:val="fr-FR" w:bidi="ar-KW"/>
        </w:rPr>
        <w:t xml:space="preserve"> illustrant ainsi le rejet catégorique et la condamnation sans équivoque par le Koweït de tous les concepts d</w:t>
      </w:r>
      <w:r w:rsidR="00680ADA" w:rsidRPr="00F1180D">
        <w:rPr>
          <w:lang w:val="fr-FR" w:bidi="ar-KW"/>
        </w:rPr>
        <w:t>’</w:t>
      </w:r>
      <w:r w:rsidR="000C6D4A" w:rsidRPr="00F1180D">
        <w:rPr>
          <w:lang w:val="fr-FR" w:bidi="ar-KW"/>
        </w:rPr>
        <w:t>exclusion ou d</w:t>
      </w:r>
      <w:r w:rsidR="00680ADA" w:rsidRPr="00F1180D">
        <w:rPr>
          <w:lang w:val="fr-FR" w:bidi="ar-KW"/>
        </w:rPr>
        <w:t>’</w:t>
      </w:r>
      <w:r w:rsidR="000C6D4A" w:rsidRPr="00F1180D">
        <w:rPr>
          <w:lang w:val="fr-FR" w:bidi="ar-KW"/>
        </w:rPr>
        <w:t>isolement d</w:t>
      </w:r>
      <w:r w:rsidR="00680ADA" w:rsidRPr="00F1180D">
        <w:rPr>
          <w:lang w:val="fr-FR" w:bidi="ar-KW"/>
        </w:rPr>
        <w:t>’</w:t>
      </w:r>
      <w:r w:rsidR="000C6D4A" w:rsidRPr="00F1180D">
        <w:rPr>
          <w:lang w:val="fr-FR" w:bidi="ar-KW"/>
        </w:rPr>
        <w:t>une quelconque composante de la société</w:t>
      </w:r>
      <w:r w:rsidR="00680ADA" w:rsidRPr="00F1180D">
        <w:rPr>
          <w:lang w:val="fr-FR" w:bidi="ar-KW"/>
        </w:rPr>
        <w:t>,</w:t>
      </w:r>
      <w:r w:rsidR="000C6D4A" w:rsidRPr="00F1180D">
        <w:rPr>
          <w:lang w:val="fr-FR" w:bidi="ar-KW"/>
        </w:rPr>
        <w:t xml:space="preserve"> aussi bien d</w:t>
      </w:r>
      <w:r w:rsidR="00680ADA" w:rsidRPr="00F1180D">
        <w:rPr>
          <w:lang w:val="fr-FR" w:bidi="ar-KW"/>
        </w:rPr>
        <w:t>’</w:t>
      </w:r>
      <w:r w:rsidR="000C6D4A" w:rsidRPr="00F1180D">
        <w:rPr>
          <w:lang w:val="fr-FR" w:bidi="ar-KW"/>
        </w:rPr>
        <w:t>un point de vue individuel qu</w:t>
      </w:r>
      <w:r w:rsidR="00680ADA" w:rsidRPr="00F1180D">
        <w:rPr>
          <w:lang w:val="fr-FR" w:bidi="ar-KW"/>
        </w:rPr>
        <w:t>’</w:t>
      </w:r>
      <w:r w:rsidR="000C6D4A" w:rsidRPr="00F1180D">
        <w:rPr>
          <w:lang w:val="fr-FR" w:bidi="ar-KW"/>
        </w:rPr>
        <w:t>institutionnel. Sur le plan international</w:t>
      </w:r>
      <w:r w:rsidR="00680ADA" w:rsidRPr="00F1180D">
        <w:rPr>
          <w:lang w:val="fr-FR" w:bidi="ar-KW"/>
        </w:rPr>
        <w:t>,</w:t>
      </w:r>
      <w:r w:rsidR="000C6D4A" w:rsidRPr="00F1180D">
        <w:rPr>
          <w:lang w:val="fr-FR" w:bidi="ar-KW"/>
        </w:rPr>
        <w:t xml:space="preserve"> convaincu de l</w:t>
      </w:r>
      <w:r w:rsidR="00680ADA" w:rsidRPr="00F1180D">
        <w:rPr>
          <w:lang w:val="fr-FR" w:bidi="ar-KW"/>
        </w:rPr>
        <w:t>’</w:t>
      </w:r>
      <w:r w:rsidR="000C6D4A" w:rsidRPr="00F1180D">
        <w:rPr>
          <w:lang w:val="fr-FR" w:bidi="ar-KW"/>
        </w:rPr>
        <w:t>importance des principes d</w:t>
      </w:r>
      <w:r w:rsidR="00680ADA" w:rsidRPr="00F1180D">
        <w:rPr>
          <w:lang w:val="fr-FR" w:bidi="ar-KW"/>
        </w:rPr>
        <w:t>’</w:t>
      </w:r>
      <w:r w:rsidR="000C6D4A" w:rsidRPr="00F1180D">
        <w:rPr>
          <w:lang w:val="fr-FR" w:bidi="ar-KW"/>
        </w:rPr>
        <w:t>égalité et de non-discrimination</w:t>
      </w:r>
      <w:r w:rsidR="00680ADA" w:rsidRPr="00F1180D">
        <w:rPr>
          <w:lang w:val="fr-FR" w:bidi="ar-KW"/>
        </w:rPr>
        <w:t>,</w:t>
      </w:r>
      <w:r w:rsidR="000C6D4A" w:rsidRPr="00F1180D">
        <w:rPr>
          <w:lang w:val="fr-FR" w:bidi="ar-KW"/>
        </w:rPr>
        <w:t xml:space="preserve"> le Koweït n</w:t>
      </w:r>
      <w:r w:rsidR="00680ADA" w:rsidRPr="00F1180D">
        <w:rPr>
          <w:lang w:val="fr-FR" w:bidi="ar-KW"/>
        </w:rPr>
        <w:t>’</w:t>
      </w:r>
      <w:r w:rsidR="000C6D4A" w:rsidRPr="00F1180D">
        <w:rPr>
          <w:lang w:val="fr-FR" w:bidi="ar-KW"/>
        </w:rPr>
        <w:t>a cessé d</w:t>
      </w:r>
      <w:r w:rsidR="00680ADA" w:rsidRPr="00F1180D">
        <w:rPr>
          <w:lang w:val="fr-FR" w:bidi="ar-KW"/>
        </w:rPr>
        <w:t>’</w:t>
      </w:r>
      <w:r w:rsidR="000C6D4A" w:rsidRPr="00F1180D">
        <w:rPr>
          <w:lang w:val="fr-FR" w:bidi="ar-KW"/>
        </w:rPr>
        <w:t>apporter son soutien aux efforts de lutte contre la discrimination et la ségrégation raciales</w:t>
      </w:r>
      <w:r w:rsidR="00680ADA" w:rsidRPr="00F1180D">
        <w:rPr>
          <w:lang w:val="fr-FR" w:bidi="ar-KW"/>
        </w:rPr>
        <w:t>,</w:t>
      </w:r>
      <w:r w:rsidR="000C6D4A" w:rsidRPr="00F1180D">
        <w:rPr>
          <w:lang w:val="fr-FR" w:bidi="ar-KW"/>
        </w:rPr>
        <w:t xml:space="preserve"> notamment en participant aux diverses réunions et conférences internationales organisées dans ce domaine. </w:t>
      </w:r>
    </w:p>
    <w:p w:rsidR="000C6D4A" w:rsidRPr="00F1180D" w:rsidRDefault="00410CA5" w:rsidP="00410CA5">
      <w:pPr>
        <w:pStyle w:val="H1G"/>
        <w:rPr>
          <w:bCs/>
          <w:sz w:val="20"/>
          <w:rtl/>
          <w:lang w:val="fr-FR" w:bidi="fr-FR"/>
        </w:rPr>
      </w:pPr>
      <w:r w:rsidRPr="00F1180D">
        <w:rPr>
          <w:lang w:val="fr-FR" w:bidi="ar-KW"/>
        </w:rPr>
        <w:tab/>
      </w:r>
      <w:r w:rsidRPr="00F1180D">
        <w:rPr>
          <w:lang w:val="fr-FR" w:bidi="ar-KW"/>
        </w:rPr>
        <w:tab/>
      </w:r>
      <w:r w:rsidR="00163207" w:rsidRPr="00F1180D">
        <w:rPr>
          <w:lang w:val="fr-FR" w:bidi="ar-KW"/>
        </w:rPr>
        <w:t>Article </w:t>
      </w:r>
      <w:r w:rsidR="000C6D4A" w:rsidRPr="00F1180D">
        <w:rPr>
          <w:lang w:val="fr-FR" w:bidi="ar-KW"/>
        </w:rPr>
        <w:t>4</w:t>
      </w:r>
    </w:p>
    <w:p w:rsidR="000C6D4A" w:rsidRPr="00F1180D" w:rsidRDefault="00B357F2" w:rsidP="00680ADA">
      <w:pPr>
        <w:pStyle w:val="SingleTxtG"/>
        <w:rPr>
          <w:rtl/>
          <w:lang w:val="fr-FR" w:bidi="fr-FR"/>
        </w:rPr>
      </w:pPr>
      <w:r>
        <w:rPr>
          <w:lang w:val="fr-FR"/>
        </w:rPr>
        <w:t>21.</w:t>
      </w:r>
      <w:r>
        <w:rPr>
          <w:lang w:val="fr-FR"/>
        </w:rPr>
        <w:tab/>
      </w:r>
      <w:r w:rsidR="000C6D4A" w:rsidRPr="00F1180D">
        <w:rPr>
          <w:lang w:val="fr-FR"/>
        </w:rPr>
        <w:t>La diffusion d</w:t>
      </w:r>
      <w:r w:rsidR="00680ADA" w:rsidRPr="00F1180D">
        <w:rPr>
          <w:lang w:val="fr-FR"/>
        </w:rPr>
        <w:t>’</w:t>
      </w:r>
      <w:r w:rsidR="000C6D4A" w:rsidRPr="00F1180D">
        <w:rPr>
          <w:lang w:val="fr-FR"/>
        </w:rPr>
        <w:t>idées fondées sur la discrimination raciale constitue une infraction pénale au regard de la législation koweïtienne. En effet</w:t>
      </w:r>
      <w:r w:rsidR="00680ADA" w:rsidRPr="00F1180D">
        <w:rPr>
          <w:lang w:val="fr-FR"/>
        </w:rPr>
        <w:t>,</w:t>
      </w:r>
      <w:r w:rsidR="000C6D4A" w:rsidRPr="00F1180D">
        <w:rPr>
          <w:lang w:val="fr-FR"/>
        </w:rPr>
        <w:t xml:space="preserve"> le décret-loi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rPr>
        <w:t>19 de 2012 sur la sauvegarde de l</w:t>
      </w:r>
      <w:r w:rsidR="00680ADA" w:rsidRPr="00F1180D">
        <w:rPr>
          <w:lang w:val="fr-FR"/>
        </w:rPr>
        <w:t>’</w:t>
      </w:r>
      <w:r w:rsidR="000C6D4A" w:rsidRPr="00F1180D">
        <w:rPr>
          <w:lang w:val="fr-FR"/>
        </w:rPr>
        <w:t>unité nationale incrimine toute manifestation de haine et de discrimination raciale</w:t>
      </w:r>
      <w:r w:rsidR="00680ADA" w:rsidRPr="00F1180D">
        <w:rPr>
          <w:lang w:val="fr-FR"/>
        </w:rPr>
        <w:t>,</w:t>
      </w:r>
      <w:r w:rsidR="000C6D4A" w:rsidRPr="00F1180D">
        <w:rPr>
          <w:lang w:val="fr-FR"/>
        </w:rPr>
        <w:t xml:space="preserve"> ainsi que l</w:t>
      </w:r>
      <w:r w:rsidR="00680ADA" w:rsidRPr="00F1180D">
        <w:rPr>
          <w:lang w:val="fr-FR"/>
        </w:rPr>
        <w:t>’</w:t>
      </w:r>
      <w:r w:rsidR="000C6D4A" w:rsidRPr="00F1180D">
        <w:rPr>
          <w:lang w:val="fr-FR"/>
        </w:rPr>
        <w:t xml:space="preserve">incitation à la commission de tout acte de violence à cette fin. Ce texte interdit notamment dans son </w:t>
      </w:r>
      <w:r w:rsidR="00163207" w:rsidRPr="00F1180D">
        <w:rPr>
          <w:lang w:val="fr-FR"/>
        </w:rPr>
        <w:t>article </w:t>
      </w:r>
      <w:r w:rsidR="00C26EC0" w:rsidRPr="00F1180D">
        <w:rPr>
          <w:lang w:val="fr-FR"/>
        </w:rPr>
        <w:t>1</w:t>
      </w:r>
      <w:r w:rsidR="00C26EC0" w:rsidRPr="00F1180D">
        <w:rPr>
          <w:vertAlign w:val="superscript"/>
          <w:lang w:val="fr-FR"/>
        </w:rPr>
        <w:t>er</w:t>
      </w:r>
      <w:r w:rsidR="00C26EC0" w:rsidRPr="00F1180D">
        <w:rPr>
          <w:lang w:val="fr-FR"/>
        </w:rPr>
        <w:t xml:space="preserve"> </w:t>
      </w:r>
      <w:r w:rsidR="000C6D4A" w:rsidRPr="00F1180D">
        <w:rPr>
          <w:lang w:val="fr-FR"/>
        </w:rPr>
        <w:t>tout acte ou appel</w:t>
      </w:r>
      <w:r w:rsidR="00680ADA" w:rsidRPr="00F1180D">
        <w:rPr>
          <w:lang w:val="fr-FR"/>
        </w:rPr>
        <w:t>,</w:t>
      </w:r>
      <w:r w:rsidR="000C6D4A" w:rsidRPr="00F1180D">
        <w:rPr>
          <w:lang w:val="fr-FR"/>
        </w:rPr>
        <w:t xml:space="preserve"> par quelque moyen d</w:t>
      </w:r>
      <w:r w:rsidR="00680ADA" w:rsidRPr="00F1180D">
        <w:rPr>
          <w:lang w:val="fr-FR"/>
        </w:rPr>
        <w:t>’</w:t>
      </w:r>
      <w:r w:rsidR="000C6D4A" w:rsidRPr="00F1180D">
        <w:rPr>
          <w:lang w:val="fr-FR"/>
        </w:rPr>
        <w:t>expression que ce soit (traditionnel ou moderne)</w:t>
      </w:r>
      <w:r w:rsidR="00680ADA" w:rsidRPr="00F1180D">
        <w:rPr>
          <w:lang w:val="fr-FR"/>
        </w:rPr>
        <w:t>,</w:t>
      </w:r>
      <w:r w:rsidR="000C6D4A" w:rsidRPr="00F1180D">
        <w:rPr>
          <w:lang w:val="fr-FR"/>
        </w:rPr>
        <w:t xml:space="preserve"> constituant une incitation à la haine</w:t>
      </w:r>
      <w:r w:rsidR="00680ADA" w:rsidRPr="00F1180D">
        <w:rPr>
          <w:lang w:val="fr-FR"/>
        </w:rPr>
        <w:t>,</w:t>
      </w:r>
      <w:r w:rsidR="000C6D4A" w:rsidRPr="00F1180D">
        <w:rPr>
          <w:lang w:val="fr-FR"/>
        </w:rPr>
        <w:t xml:space="preserve"> au dénigrement d</w:t>
      </w:r>
      <w:r w:rsidR="00680ADA" w:rsidRPr="00F1180D">
        <w:rPr>
          <w:lang w:val="fr-FR"/>
        </w:rPr>
        <w:t>’</w:t>
      </w:r>
      <w:r w:rsidR="000C6D4A" w:rsidRPr="00F1180D">
        <w:rPr>
          <w:lang w:val="fr-FR"/>
        </w:rPr>
        <w:t>un groupe social</w:t>
      </w:r>
      <w:r w:rsidR="00680ADA" w:rsidRPr="00F1180D">
        <w:rPr>
          <w:lang w:val="fr-FR"/>
        </w:rPr>
        <w:t>,</w:t>
      </w:r>
      <w:r w:rsidR="000C6D4A" w:rsidRPr="00F1180D">
        <w:rPr>
          <w:lang w:val="fr-FR"/>
        </w:rPr>
        <w:t xml:space="preserve"> ou aux conflits confessionnels ou tribaux</w:t>
      </w:r>
      <w:r w:rsidR="00680ADA" w:rsidRPr="00F1180D">
        <w:rPr>
          <w:lang w:val="fr-FR"/>
        </w:rPr>
        <w:t>,</w:t>
      </w:r>
      <w:r w:rsidR="000C6D4A" w:rsidRPr="00F1180D">
        <w:rPr>
          <w:lang w:val="fr-FR"/>
        </w:rPr>
        <w:t xml:space="preserve"> ainsi que la diffusion de toute idéologie prônant la supériorité d</w:t>
      </w:r>
      <w:r w:rsidR="00680ADA" w:rsidRPr="00F1180D">
        <w:rPr>
          <w:lang w:val="fr-FR"/>
        </w:rPr>
        <w:t>’</w:t>
      </w:r>
      <w:r w:rsidR="000C6D4A" w:rsidRPr="00F1180D">
        <w:rPr>
          <w:lang w:val="fr-FR"/>
        </w:rPr>
        <w:t>une race</w:t>
      </w:r>
      <w:r w:rsidR="00680ADA" w:rsidRPr="00F1180D">
        <w:rPr>
          <w:lang w:val="fr-FR"/>
        </w:rPr>
        <w:t>,</w:t>
      </w:r>
      <w:r w:rsidR="000C6D4A" w:rsidRPr="00F1180D">
        <w:rPr>
          <w:lang w:val="fr-FR"/>
        </w:rPr>
        <w:t xml:space="preserve"> d</w:t>
      </w:r>
      <w:r w:rsidR="00680ADA" w:rsidRPr="00F1180D">
        <w:rPr>
          <w:lang w:val="fr-FR"/>
        </w:rPr>
        <w:t>’</w:t>
      </w:r>
      <w:r w:rsidR="000C6D4A" w:rsidRPr="00F1180D">
        <w:rPr>
          <w:lang w:val="fr-FR"/>
        </w:rPr>
        <w:t>un groupe</w:t>
      </w:r>
      <w:r w:rsidR="00680ADA" w:rsidRPr="00F1180D">
        <w:rPr>
          <w:lang w:val="fr-FR"/>
        </w:rPr>
        <w:t>,</w:t>
      </w:r>
      <w:r w:rsidR="000C6D4A" w:rsidRPr="00F1180D">
        <w:rPr>
          <w:lang w:val="fr-FR"/>
        </w:rPr>
        <w:t xml:space="preserve"> d</w:t>
      </w:r>
      <w:r w:rsidR="00680ADA" w:rsidRPr="00F1180D">
        <w:rPr>
          <w:lang w:val="fr-FR"/>
        </w:rPr>
        <w:t>’</w:t>
      </w:r>
      <w:r w:rsidR="000C6D4A" w:rsidRPr="00F1180D">
        <w:rPr>
          <w:lang w:val="fr-FR"/>
        </w:rPr>
        <w:t>une couleur</w:t>
      </w:r>
      <w:r w:rsidR="00680ADA" w:rsidRPr="00F1180D">
        <w:rPr>
          <w:lang w:val="fr-FR"/>
        </w:rPr>
        <w:t>,</w:t>
      </w:r>
      <w:r w:rsidR="000C6D4A" w:rsidRPr="00F1180D">
        <w:rPr>
          <w:lang w:val="fr-FR"/>
        </w:rPr>
        <w:t xml:space="preserve"> d</w:t>
      </w:r>
      <w:r w:rsidR="00680ADA" w:rsidRPr="00F1180D">
        <w:rPr>
          <w:lang w:val="fr-FR"/>
        </w:rPr>
        <w:t>’</w:t>
      </w:r>
      <w:r w:rsidR="000C6D4A" w:rsidRPr="00F1180D">
        <w:rPr>
          <w:lang w:val="fr-FR"/>
        </w:rPr>
        <w:t>une origine nationale ou ethnique</w:t>
      </w:r>
      <w:r w:rsidR="00680ADA" w:rsidRPr="00F1180D">
        <w:rPr>
          <w:lang w:val="fr-FR"/>
        </w:rPr>
        <w:t>,</w:t>
      </w:r>
      <w:r w:rsidR="000C6D4A" w:rsidRPr="00F1180D">
        <w:rPr>
          <w:lang w:val="fr-FR"/>
        </w:rPr>
        <w:t xml:space="preserve"> d</w:t>
      </w:r>
      <w:r w:rsidR="00680ADA" w:rsidRPr="00F1180D">
        <w:rPr>
          <w:lang w:val="fr-FR"/>
        </w:rPr>
        <w:t>’</w:t>
      </w:r>
      <w:r w:rsidR="000C6D4A" w:rsidRPr="00F1180D">
        <w:rPr>
          <w:lang w:val="fr-FR"/>
        </w:rPr>
        <w:t>une confession</w:t>
      </w:r>
      <w:r w:rsidR="00680ADA" w:rsidRPr="00F1180D">
        <w:rPr>
          <w:lang w:val="fr-FR"/>
        </w:rPr>
        <w:t>,</w:t>
      </w:r>
      <w:r w:rsidR="000C6D4A" w:rsidRPr="00F1180D">
        <w:rPr>
          <w:lang w:val="fr-FR"/>
        </w:rPr>
        <w:t xml:space="preserve"> d</w:t>
      </w:r>
      <w:r w:rsidR="00680ADA" w:rsidRPr="00F1180D">
        <w:rPr>
          <w:lang w:val="fr-FR"/>
        </w:rPr>
        <w:t>’</w:t>
      </w:r>
      <w:r w:rsidR="000C6D4A" w:rsidRPr="00F1180D">
        <w:rPr>
          <w:lang w:val="fr-FR"/>
        </w:rPr>
        <w:t>un genre ou d</w:t>
      </w:r>
      <w:r w:rsidR="00680ADA" w:rsidRPr="00F1180D">
        <w:rPr>
          <w:lang w:val="fr-FR"/>
        </w:rPr>
        <w:t>’</w:t>
      </w:r>
      <w:r w:rsidR="000C6D4A" w:rsidRPr="00F1180D">
        <w:rPr>
          <w:lang w:val="fr-FR"/>
        </w:rPr>
        <w:t>une filiation et l</w:t>
      </w:r>
      <w:r w:rsidR="00680ADA" w:rsidRPr="00F1180D">
        <w:rPr>
          <w:lang w:val="fr-FR"/>
        </w:rPr>
        <w:t>’</w:t>
      </w:r>
      <w:r w:rsidR="000C6D4A" w:rsidRPr="00F1180D">
        <w:rPr>
          <w:lang w:val="fr-FR"/>
        </w:rPr>
        <w:t>incitation à la commission de tout acte de violence à cette fin</w:t>
      </w:r>
      <w:r w:rsidR="00680ADA" w:rsidRPr="00F1180D">
        <w:rPr>
          <w:lang w:val="fr-FR"/>
        </w:rPr>
        <w:t>,</w:t>
      </w:r>
      <w:r w:rsidR="000C6D4A" w:rsidRPr="00F1180D">
        <w:rPr>
          <w:lang w:val="fr-FR"/>
        </w:rPr>
        <w:t xml:space="preserve"> de même que la propagation</w:t>
      </w:r>
      <w:r w:rsidR="00680ADA" w:rsidRPr="00F1180D">
        <w:rPr>
          <w:lang w:val="fr-FR"/>
        </w:rPr>
        <w:t>,</w:t>
      </w:r>
      <w:r w:rsidR="000C6D4A" w:rsidRPr="00F1180D">
        <w:rPr>
          <w:lang w:val="fr-FR"/>
        </w:rPr>
        <w:t xml:space="preserve"> l</w:t>
      </w:r>
      <w:r w:rsidR="00680ADA" w:rsidRPr="00F1180D">
        <w:rPr>
          <w:lang w:val="fr-FR"/>
        </w:rPr>
        <w:t>’</w:t>
      </w:r>
      <w:r w:rsidR="000C6D4A" w:rsidRPr="00F1180D">
        <w:rPr>
          <w:lang w:val="fr-FR"/>
        </w:rPr>
        <w:t>édition</w:t>
      </w:r>
      <w:r w:rsidR="00680ADA" w:rsidRPr="00F1180D">
        <w:rPr>
          <w:lang w:val="fr-FR"/>
        </w:rPr>
        <w:t>,</w:t>
      </w:r>
      <w:r w:rsidR="000C6D4A" w:rsidRPr="00F1180D">
        <w:rPr>
          <w:lang w:val="fr-FR"/>
        </w:rPr>
        <w:t xml:space="preserve"> la publication</w:t>
      </w:r>
      <w:r w:rsidR="00680ADA" w:rsidRPr="00F1180D">
        <w:rPr>
          <w:lang w:val="fr-FR"/>
        </w:rPr>
        <w:t>,</w:t>
      </w:r>
      <w:r w:rsidR="000C6D4A" w:rsidRPr="00F1180D">
        <w:rPr>
          <w:lang w:val="fr-FR"/>
        </w:rPr>
        <w:t xml:space="preserve"> la diffusion</w:t>
      </w:r>
      <w:r w:rsidR="00680ADA" w:rsidRPr="00F1180D">
        <w:rPr>
          <w:lang w:val="fr-FR"/>
        </w:rPr>
        <w:t>,</w:t>
      </w:r>
      <w:r w:rsidR="000C6D4A" w:rsidRPr="00F1180D">
        <w:rPr>
          <w:lang w:val="fr-FR"/>
        </w:rPr>
        <w:t xml:space="preserve"> la retransmission</w:t>
      </w:r>
      <w:r w:rsidR="00680ADA" w:rsidRPr="00F1180D">
        <w:rPr>
          <w:lang w:val="fr-FR"/>
        </w:rPr>
        <w:t>,</w:t>
      </w:r>
      <w:r w:rsidR="000C6D4A" w:rsidRPr="00F1180D">
        <w:rPr>
          <w:lang w:val="fr-FR"/>
        </w:rPr>
        <w:t xml:space="preserve"> la production</w:t>
      </w:r>
      <w:r w:rsidR="00680ADA" w:rsidRPr="00F1180D">
        <w:rPr>
          <w:lang w:val="fr-FR"/>
        </w:rPr>
        <w:t>,</w:t>
      </w:r>
      <w:r w:rsidR="000C6D4A" w:rsidRPr="00F1180D">
        <w:rPr>
          <w:lang w:val="fr-FR"/>
        </w:rPr>
        <w:t xml:space="preserve"> ou la mise en circulation de tout document imprimé ou contenu audiovisuel de nature à provoquer les infractions susvisées et la diffusion</w:t>
      </w:r>
      <w:r w:rsidR="00680ADA" w:rsidRPr="00F1180D">
        <w:rPr>
          <w:lang w:val="fr-FR"/>
        </w:rPr>
        <w:t>,</w:t>
      </w:r>
      <w:r w:rsidR="000C6D4A" w:rsidRPr="00F1180D">
        <w:rPr>
          <w:lang w:val="fr-FR"/>
        </w:rPr>
        <w:t xml:space="preserve"> la propagation ou la retransmission de fausses rumeurs susceptibles de produire les mêmes effets. Cette interdiction s</w:t>
      </w:r>
      <w:r w:rsidR="00680ADA" w:rsidRPr="00F1180D">
        <w:rPr>
          <w:lang w:val="fr-FR"/>
        </w:rPr>
        <w:t>’</w:t>
      </w:r>
      <w:r w:rsidR="000C6D4A" w:rsidRPr="00F1180D">
        <w:rPr>
          <w:lang w:val="fr-FR"/>
        </w:rPr>
        <w:t>applique même si l</w:t>
      </w:r>
      <w:r w:rsidR="00680ADA" w:rsidRPr="00F1180D">
        <w:rPr>
          <w:lang w:val="fr-FR"/>
        </w:rPr>
        <w:t>’</w:t>
      </w:r>
      <w:r w:rsidR="000C6D4A" w:rsidRPr="00F1180D">
        <w:rPr>
          <w:lang w:val="fr-FR"/>
        </w:rPr>
        <w:t>acte constitutif de l</w:t>
      </w:r>
      <w:r w:rsidR="00680ADA" w:rsidRPr="00F1180D">
        <w:rPr>
          <w:lang w:val="fr-FR"/>
        </w:rPr>
        <w:t>’</w:t>
      </w:r>
      <w:r w:rsidR="000C6D4A" w:rsidRPr="00F1180D">
        <w:rPr>
          <w:lang w:val="fr-FR"/>
        </w:rPr>
        <w:t>infraction est commis à l</w:t>
      </w:r>
      <w:r w:rsidR="00680ADA" w:rsidRPr="00F1180D">
        <w:rPr>
          <w:lang w:val="fr-FR"/>
        </w:rPr>
        <w:t>’</w:t>
      </w:r>
      <w:r w:rsidR="000C6D4A" w:rsidRPr="00F1180D">
        <w:rPr>
          <w:lang w:val="fr-FR"/>
        </w:rPr>
        <w:t>extérieur du pays</w:t>
      </w:r>
      <w:r w:rsidR="00680ADA" w:rsidRPr="00F1180D">
        <w:rPr>
          <w:lang w:val="fr-FR"/>
        </w:rPr>
        <w:t>,</w:t>
      </w:r>
      <w:r w:rsidR="000C6D4A" w:rsidRPr="00F1180D">
        <w:rPr>
          <w:lang w:val="fr-FR"/>
        </w:rPr>
        <w:t xml:space="preserve"> lorsque l</w:t>
      </w:r>
      <w:r w:rsidR="00680ADA" w:rsidRPr="00F1180D">
        <w:rPr>
          <w:lang w:val="fr-FR"/>
        </w:rPr>
        <w:t>’</w:t>
      </w:r>
      <w:r w:rsidR="000C6D4A" w:rsidRPr="00F1180D">
        <w:rPr>
          <w:lang w:val="fr-FR"/>
        </w:rPr>
        <w:t>infraction est perpétrée</w:t>
      </w:r>
      <w:r w:rsidR="00680ADA" w:rsidRPr="00F1180D">
        <w:rPr>
          <w:lang w:val="fr-FR"/>
        </w:rPr>
        <w:t>,</w:t>
      </w:r>
      <w:r w:rsidR="000C6D4A" w:rsidRPr="00F1180D">
        <w:rPr>
          <w:lang w:val="fr-FR"/>
        </w:rPr>
        <w:t xml:space="preserve"> en tout ou en partie</w:t>
      </w:r>
      <w:r w:rsidR="00680ADA" w:rsidRPr="00F1180D">
        <w:rPr>
          <w:lang w:val="fr-FR"/>
        </w:rPr>
        <w:t>,</w:t>
      </w:r>
      <w:r w:rsidR="000C6D4A" w:rsidRPr="00F1180D">
        <w:rPr>
          <w:lang w:val="fr-FR"/>
        </w:rPr>
        <w:t xml:space="preserve"> sur le territoire national. </w:t>
      </w:r>
    </w:p>
    <w:p w:rsidR="000C6D4A" w:rsidRPr="00F1180D" w:rsidRDefault="00B357F2" w:rsidP="00680ADA">
      <w:pPr>
        <w:pStyle w:val="SingleTxtG"/>
        <w:rPr>
          <w:lang w:val="fr-FR"/>
        </w:rPr>
      </w:pPr>
      <w:r>
        <w:rPr>
          <w:lang w:val="fr-FR"/>
        </w:rPr>
        <w:t>22.</w:t>
      </w:r>
      <w:r>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2 de cette loi punit quiconque se rend coupable de l</w:t>
      </w:r>
      <w:r w:rsidR="00680ADA" w:rsidRPr="00F1180D">
        <w:rPr>
          <w:lang w:val="fr-FR"/>
        </w:rPr>
        <w:t>’</w:t>
      </w:r>
      <w:r w:rsidR="000C6D4A" w:rsidRPr="00F1180D">
        <w:rPr>
          <w:lang w:val="fr-FR"/>
        </w:rPr>
        <w:t>une des infractions visées à l</w:t>
      </w:r>
      <w:r w:rsidR="00680ADA" w:rsidRPr="00F1180D">
        <w:rPr>
          <w:lang w:val="fr-FR"/>
        </w:rPr>
        <w:t>’</w:t>
      </w:r>
      <w:r w:rsidR="00163207" w:rsidRPr="00F1180D">
        <w:rPr>
          <w:lang w:val="fr-FR"/>
        </w:rPr>
        <w:t>article </w:t>
      </w:r>
      <w:r w:rsidR="00352800" w:rsidRPr="00F1180D">
        <w:rPr>
          <w:lang w:val="fr-FR"/>
        </w:rPr>
        <w:t>1</w:t>
      </w:r>
      <w:r w:rsidR="00352800" w:rsidRPr="00F1180D">
        <w:rPr>
          <w:vertAlign w:val="superscript"/>
          <w:lang w:val="fr-FR"/>
        </w:rPr>
        <w:t>er</w:t>
      </w:r>
      <w:r w:rsidR="00352800" w:rsidRPr="00F1180D">
        <w:rPr>
          <w:lang w:val="fr-FR"/>
        </w:rPr>
        <w:t xml:space="preserve"> </w:t>
      </w:r>
      <w:r w:rsidR="000C6D4A" w:rsidRPr="00F1180D">
        <w:rPr>
          <w:lang w:val="fr-FR"/>
        </w:rPr>
        <w:t>de ce texte d</w:t>
      </w:r>
      <w:r w:rsidR="00680ADA" w:rsidRPr="00F1180D">
        <w:rPr>
          <w:lang w:val="fr-FR"/>
        </w:rPr>
        <w:t>’</w:t>
      </w:r>
      <w:r w:rsidR="000C6D4A" w:rsidRPr="00F1180D">
        <w:rPr>
          <w:lang w:val="fr-FR"/>
        </w:rPr>
        <w:t>une peine d</w:t>
      </w:r>
      <w:r w:rsidR="00680ADA" w:rsidRPr="00F1180D">
        <w:rPr>
          <w:lang w:val="fr-FR"/>
        </w:rPr>
        <w:t>’</w:t>
      </w:r>
      <w:r w:rsidR="000C6D4A" w:rsidRPr="00F1180D">
        <w:rPr>
          <w:lang w:val="fr-FR"/>
        </w:rPr>
        <w:t>emprisonnement pouvant aller jusqu</w:t>
      </w:r>
      <w:r w:rsidR="00680ADA" w:rsidRPr="00F1180D">
        <w:rPr>
          <w:lang w:val="fr-FR"/>
        </w:rPr>
        <w:t>’</w:t>
      </w:r>
      <w:r w:rsidR="000C6D4A" w:rsidRPr="00F1180D">
        <w:rPr>
          <w:lang w:val="fr-FR"/>
        </w:rPr>
        <w:t xml:space="preserve">à un </w:t>
      </w:r>
      <w:r w:rsidR="000C6D4A" w:rsidRPr="00F1180D">
        <w:rPr>
          <w:lang w:val="fr-FR"/>
        </w:rPr>
        <w:lastRenderedPageBreak/>
        <w:t>maximum de 7</w:t>
      </w:r>
      <w:r w:rsidR="00524736" w:rsidRPr="00F1180D">
        <w:rPr>
          <w:lang w:val="fr-FR"/>
        </w:rPr>
        <w:t> ans</w:t>
      </w:r>
      <w:r w:rsidR="000C6D4A" w:rsidRPr="00F1180D">
        <w:rPr>
          <w:lang w:val="fr-FR"/>
        </w:rPr>
        <w:t xml:space="preserve"> et/ou d</w:t>
      </w:r>
      <w:r w:rsidR="00680ADA" w:rsidRPr="00F1180D">
        <w:rPr>
          <w:lang w:val="fr-FR"/>
        </w:rPr>
        <w:t>’</w:t>
      </w:r>
      <w:r w:rsidR="000C6D4A" w:rsidRPr="00F1180D">
        <w:rPr>
          <w:lang w:val="fr-FR"/>
        </w:rPr>
        <w:t>une amende de 10 000 à 100 000</w:t>
      </w:r>
      <w:r w:rsidR="009B1350" w:rsidRPr="00F1180D">
        <w:rPr>
          <w:lang w:val="fr-FR"/>
        </w:rPr>
        <w:t> dinars</w:t>
      </w:r>
      <w:r w:rsidR="00680ADA" w:rsidRPr="00F1180D">
        <w:rPr>
          <w:lang w:val="fr-FR"/>
        </w:rPr>
        <w:t>,</w:t>
      </w:r>
      <w:r w:rsidR="000C6D4A" w:rsidRPr="00F1180D">
        <w:rPr>
          <w:lang w:val="fr-FR"/>
        </w:rPr>
        <w:t xml:space="preserve"> assortie(s) de la confiscation des moyens</w:t>
      </w:r>
      <w:r w:rsidR="00680ADA" w:rsidRPr="00F1180D">
        <w:rPr>
          <w:lang w:val="fr-FR"/>
        </w:rPr>
        <w:t>,</w:t>
      </w:r>
      <w:r w:rsidR="000C6D4A" w:rsidRPr="00F1180D">
        <w:rPr>
          <w:lang w:val="fr-FR"/>
        </w:rPr>
        <w:t xml:space="preserve"> ressources</w:t>
      </w:r>
      <w:r w:rsidR="00680ADA" w:rsidRPr="00F1180D">
        <w:rPr>
          <w:lang w:val="fr-FR"/>
        </w:rPr>
        <w:t>,</w:t>
      </w:r>
      <w:r w:rsidR="000C6D4A" w:rsidRPr="00F1180D">
        <w:rPr>
          <w:lang w:val="fr-FR"/>
        </w:rPr>
        <w:t xml:space="preserve"> dispositifs</w:t>
      </w:r>
      <w:r w:rsidR="00680ADA" w:rsidRPr="00F1180D">
        <w:rPr>
          <w:lang w:val="fr-FR"/>
        </w:rPr>
        <w:t>,</w:t>
      </w:r>
      <w:r w:rsidR="000C6D4A" w:rsidRPr="00F1180D">
        <w:rPr>
          <w:lang w:val="fr-FR"/>
        </w:rPr>
        <w:t xml:space="preserve"> journaux et publications utilisés pour la commettre</w:t>
      </w:r>
      <w:r w:rsidR="00680ADA" w:rsidRPr="00F1180D">
        <w:rPr>
          <w:lang w:val="fr-FR"/>
        </w:rPr>
        <w:t>;</w:t>
      </w:r>
      <w:r w:rsidR="000C6D4A" w:rsidRPr="00F1180D">
        <w:rPr>
          <w:lang w:val="fr-FR"/>
        </w:rPr>
        <w:t xml:space="preserve"> la peine étant doublée en cas de récidive et sans préjudice de toute autre sanction plus sévère prévue par une autre</w:t>
      </w:r>
      <w:r w:rsidR="009B1350" w:rsidRPr="00F1180D">
        <w:rPr>
          <w:lang w:val="fr-FR"/>
        </w:rPr>
        <w:t xml:space="preserve"> </w:t>
      </w:r>
      <w:r w:rsidR="000C6D4A" w:rsidRPr="00F1180D">
        <w:rPr>
          <w:lang w:val="fr-FR"/>
        </w:rPr>
        <w:t xml:space="preserve">loi. </w:t>
      </w:r>
    </w:p>
    <w:p w:rsidR="000C6D4A" w:rsidRPr="00F1180D" w:rsidRDefault="00B357F2" w:rsidP="00680ADA">
      <w:pPr>
        <w:pStyle w:val="SingleTxtG"/>
        <w:rPr>
          <w:rtl/>
          <w:lang w:val="fr-FR" w:bidi="fr-FR"/>
        </w:rPr>
      </w:pPr>
      <w:r>
        <w:rPr>
          <w:lang w:val="fr-FR"/>
        </w:rPr>
        <w:t>23.</w:t>
      </w:r>
      <w:r>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3 de cette loi a consacré la responsabilité pénale des personnes morales ayant permis ayant facilité la commission de l</w:t>
      </w:r>
      <w:r w:rsidR="00680ADA" w:rsidRPr="00F1180D">
        <w:rPr>
          <w:lang w:val="fr-FR"/>
        </w:rPr>
        <w:t>’</w:t>
      </w:r>
      <w:r w:rsidR="000C6D4A" w:rsidRPr="00F1180D">
        <w:rPr>
          <w:lang w:val="fr-FR"/>
        </w:rPr>
        <w:t>une des infractions visées à l</w:t>
      </w:r>
      <w:r w:rsidR="00680ADA" w:rsidRPr="00F1180D">
        <w:rPr>
          <w:lang w:val="fr-FR"/>
        </w:rPr>
        <w:t>’</w:t>
      </w:r>
      <w:r w:rsidR="00163207" w:rsidRPr="00F1180D">
        <w:rPr>
          <w:lang w:val="fr-FR"/>
        </w:rPr>
        <w:t>article </w:t>
      </w:r>
      <w:r w:rsidR="00352800" w:rsidRPr="00F1180D">
        <w:rPr>
          <w:lang w:val="fr-FR"/>
        </w:rPr>
        <w:t>1</w:t>
      </w:r>
      <w:r w:rsidR="00352800" w:rsidRPr="00F1180D">
        <w:rPr>
          <w:vertAlign w:val="superscript"/>
          <w:lang w:val="fr-FR"/>
        </w:rPr>
        <w:t>er</w:t>
      </w:r>
      <w:r w:rsidR="000C6D4A" w:rsidRPr="00F1180D">
        <w:rPr>
          <w:lang w:val="fr-FR"/>
        </w:rPr>
        <w:t>. Dans le cadre du déploiement d</w:t>
      </w:r>
      <w:r w:rsidR="00680ADA" w:rsidRPr="00F1180D">
        <w:rPr>
          <w:lang w:val="fr-FR"/>
        </w:rPr>
        <w:t>’</w:t>
      </w:r>
      <w:r w:rsidR="000C6D4A" w:rsidRPr="00F1180D">
        <w:rPr>
          <w:lang w:val="fr-FR"/>
        </w:rPr>
        <w:t>une politique pénale moderne</w:t>
      </w:r>
      <w:r w:rsidR="00680ADA" w:rsidRPr="00F1180D">
        <w:rPr>
          <w:lang w:val="fr-FR"/>
        </w:rPr>
        <w:t>,</w:t>
      </w:r>
      <w:r w:rsidR="000C6D4A" w:rsidRPr="00F1180D">
        <w:rPr>
          <w:lang w:val="fr-FR"/>
        </w:rPr>
        <w:t xml:space="preserve"> l</w:t>
      </w:r>
      <w:r w:rsidR="00680ADA" w:rsidRPr="00F1180D">
        <w:rPr>
          <w:lang w:val="fr-FR"/>
        </w:rPr>
        <w:t>’</w:t>
      </w:r>
      <w:r w:rsidR="00163207" w:rsidRPr="00F1180D">
        <w:rPr>
          <w:lang w:val="fr-FR"/>
        </w:rPr>
        <w:t>article </w:t>
      </w:r>
      <w:r w:rsidR="000C6D4A" w:rsidRPr="00F1180D">
        <w:rPr>
          <w:lang w:val="fr-FR"/>
        </w:rPr>
        <w:t>4 de cette loi prévoit l</w:t>
      </w:r>
      <w:r w:rsidR="00680ADA" w:rsidRPr="00F1180D">
        <w:rPr>
          <w:lang w:val="fr-FR"/>
        </w:rPr>
        <w:t>’</w:t>
      </w:r>
      <w:r w:rsidR="000C6D4A" w:rsidRPr="00F1180D">
        <w:rPr>
          <w:lang w:val="fr-FR"/>
        </w:rPr>
        <w:t>acquittement pour ceux qui collaborent avec les autorités judiciaires dans la lutte contre la criminalité.</w:t>
      </w:r>
    </w:p>
    <w:p w:rsidR="000C6D4A" w:rsidRPr="00F1180D" w:rsidRDefault="00B357F2" w:rsidP="00680ADA">
      <w:pPr>
        <w:pStyle w:val="SingleTxtG"/>
        <w:rPr>
          <w:rtl/>
          <w:lang w:val="fr-FR" w:bidi="fr-FR"/>
        </w:rPr>
      </w:pPr>
      <w:r>
        <w:rPr>
          <w:lang w:val="fr-FR"/>
        </w:rPr>
        <w:t>24.</w:t>
      </w:r>
      <w:r>
        <w:rPr>
          <w:lang w:val="fr-FR"/>
        </w:rPr>
        <w:tab/>
      </w:r>
      <w:r w:rsidR="000C6D4A" w:rsidRPr="00F1180D">
        <w:rPr>
          <w:lang w:val="fr-FR"/>
        </w:rPr>
        <w:t>Confirmant le rejet de toute propagande encourageant la discrimination raciale</w:t>
      </w:r>
      <w:r w:rsidR="00680ADA" w:rsidRPr="00F1180D">
        <w:rPr>
          <w:lang w:val="fr-FR"/>
        </w:rPr>
        <w:t>,</w:t>
      </w:r>
      <w:r w:rsidR="000C6D4A" w:rsidRPr="00F1180D">
        <w:rPr>
          <w:lang w:val="fr-FR"/>
        </w:rPr>
        <w:t xml:space="preserve"> l</w:t>
      </w:r>
      <w:r w:rsidR="00680ADA" w:rsidRPr="00F1180D">
        <w:rPr>
          <w:lang w:val="fr-FR"/>
        </w:rPr>
        <w:t>’</w:t>
      </w:r>
      <w:r w:rsidR="00163207" w:rsidRPr="00F1180D">
        <w:rPr>
          <w:lang w:val="fr-FR"/>
        </w:rPr>
        <w:t>article </w:t>
      </w:r>
      <w:r w:rsidR="000C6D4A" w:rsidRPr="00F1180D">
        <w:rPr>
          <w:lang w:val="fr-FR"/>
        </w:rPr>
        <w:t xml:space="preserve">27 du titre V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rPr>
        <w:t>24 de 1962</w:t>
      </w:r>
      <w:r w:rsidR="00680ADA" w:rsidRPr="00F1180D">
        <w:rPr>
          <w:lang w:val="fr-FR"/>
        </w:rPr>
        <w:t>,</w:t>
      </w:r>
      <w:r w:rsidR="000C6D4A" w:rsidRPr="00F1180D">
        <w:rPr>
          <w:lang w:val="fr-FR"/>
        </w:rPr>
        <w:t xml:space="preserve"> relatif à la dissolution des clubs ou associations</w:t>
      </w:r>
      <w:r w:rsidR="00680ADA" w:rsidRPr="00F1180D">
        <w:rPr>
          <w:lang w:val="fr-FR"/>
        </w:rPr>
        <w:t>,</w:t>
      </w:r>
      <w:r w:rsidR="000C6D4A" w:rsidRPr="00F1180D">
        <w:rPr>
          <w:lang w:val="fr-FR"/>
        </w:rPr>
        <w:t xml:space="preserve"> autorise le Ministre des affaires sociales et de l</w:t>
      </w:r>
      <w:r w:rsidR="00680ADA" w:rsidRPr="00F1180D">
        <w:rPr>
          <w:lang w:val="fr-FR"/>
        </w:rPr>
        <w:t>’</w:t>
      </w:r>
      <w:r w:rsidR="000C6D4A" w:rsidRPr="00F1180D">
        <w:rPr>
          <w:lang w:val="fr-FR"/>
        </w:rPr>
        <w:t>emploi à prononcer par décret la dissolution d</w:t>
      </w:r>
      <w:r w:rsidR="00680ADA" w:rsidRPr="00F1180D">
        <w:rPr>
          <w:lang w:val="fr-FR"/>
        </w:rPr>
        <w:t>’</w:t>
      </w:r>
      <w:r w:rsidR="000C6D4A" w:rsidRPr="00F1180D">
        <w:rPr>
          <w:lang w:val="fr-FR"/>
        </w:rPr>
        <w:t>une association ou d</w:t>
      </w:r>
      <w:r w:rsidR="00680ADA" w:rsidRPr="00F1180D">
        <w:rPr>
          <w:lang w:val="fr-FR"/>
        </w:rPr>
        <w:t>’</w:t>
      </w:r>
      <w:r w:rsidR="000C6D4A" w:rsidRPr="00F1180D">
        <w:rPr>
          <w:lang w:val="fr-FR"/>
        </w:rPr>
        <w:t>un club dans certaines circonstances</w:t>
      </w:r>
      <w:r w:rsidR="00680ADA" w:rsidRPr="00F1180D">
        <w:rPr>
          <w:lang w:val="fr-FR"/>
        </w:rPr>
        <w:t>,</w:t>
      </w:r>
      <w:r w:rsidR="000C6D4A" w:rsidRPr="00F1180D">
        <w:rPr>
          <w:lang w:val="fr-FR"/>
        </w:rPr>
        <w:t xml:space="preserve"> notamment lorsqu</w:t>
      </w:r>
      <w:r w:rsidR="00680ADA" w:rsidRPr="00F1180D">
        <w:rPr>
          <w:lang w:val="fr-FR"/>
        </w:rPr>
        <w:t>’</w:t>
      </w:r>
      <w:r w:rsidR="000C6D4A" w:rsidRPr="00F1180D">
        <w:rPr>
          <w:lang w:val="fr-FR"/>
        </w:rPr>
        <w:t xml:space="preserve">ils poursuivent un objet illicite ou se livrent à des activités contraire à leurs statuts. </w:t>
      </w:r>
    </w:p>
    <w:p w:rsidR="000C6D4A" w:rsidRPr="00F1180D" w:rsidRDefault="00B357F2" w:rsidP="00680ADA">
      <w:pPr>
        <w:pStyle w:val="SingleTxtG"/>
        <w:rPr>
          <w:rtl/>
          <w:lang w:val="fr-FR" w:bidi="fr-FR"/>
        </w:rPr>
      </w:pPr>
      <w:r>
        <w:rPr>
          <w:lang w:val="fr-FR"/>
        </w:rPr>
        <w:t>25.</w:t>
      </w:r>
      <w:r>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31 du même texte prévoit une amende de 50</w:t>
      </w:r>
      <w:r w:rsidR="009B1350" w:rsidRPr="00F1180D">
        <w:rPr>
          <w:lang w:val="fr-FR"/>
        </w:rPr>
        <w:t> dinars</w:t>
      </w:r>
      <w:r w:rsidR="000C6D4A" w:rsidRPr="00F1180D">
        <w:rPr>
          <w:lang w:val="fr-FR"/>
        </w:rPr>
        <w:t xml:space="preserve"> à l</w:t>
      </w:r>
      <w:r w:rsidR="00680ADA" w:rsidRPr="00F1180D">
        <w:rPr>
          <w:lang w:val="fr-FR"/>
        </w:rPr>
        <w:t>’</w:t>
      </w:r>
      <w:r w:rsidR="000C6D4A" w:rsidRPr="00F1180D">
        <w:rPr>
          <w:lang w:val="fr-FR"/>
        </w:rPr>
        <w:t>encontre de quiconque contrevient à l</w:t>
      </w:r>
      <w:r w:rsidR="00680ADA" w:rsidRPr="00F1180D">
        <w:rPr>
          <w:lang w:val="fr-FR"/>
        </w:rPr>
        <w:t>’</w:t>
      </w:r>
      <w:r w:rsidR="000C6D4A" w:rsidRPr="00F1180D">
        <w:rPr>
          <w:lang w:val="fr-FR"/>
        </w:rPr>
        <w:t>une de ses dispositions ou des textes pris pour son application</w:t>
      </w:r>
      <w:r w:rsidR="00680ADA" w:rsidRPr="00F1180D">
        <w:rPr>
          <w:lang w:val="fr-FR"/>
        </w:rPr>
        <w:t>,</w:t>
      </w:r>
      <w:r w:rsidR="000C6D4A" w:rsidRPr="00F1180D">
        <w:rPr>
          <w:lang w:val="fr-FR"/>
        </w:rPr>
        <w:t xml:space="preserve"> sans préjudice de toute autre sanction plus sévère prévue par le Code pénal ou toute autre loi. </w:t>
      </w:r>
    </w:p>
    <w:p w:rsidR="000C6D4A" w:rsidRPr="00F1180D" w:rsidRDefault="00B357F2" w:rsidP="00680ADA">
      <w:pPr>
        <w:pStyle w:val="SingleTxtG"/>
        <w:rPr>
          <w:rtl/>
          <w:lang w:val="fr-FR" w:bidi="fr-FR"/>
        </w:rPr>
      </w:pPr>
      <w:r>
        <w:rPr>
          <w:lang w:val="fr-FR"/>
        </w:rPr>
        <w:t>26.</w:t>
      </w:r>
      <w:r>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32 confie aux agents spécialisés du Ministère des affaires sociales et de l</w:t>
      </w:r>
      <w:r w:rsidR="00680ADA" w:rsidRPr="00F1180D">
        <w:rPr>
          <w:lang w:val="fr-FR"/>
        </w:rPr>
        <w:t>’</w:t>
      </w:r>
      <w:r w:rsidR="000C6D4A" w:rsidRPr="00F1180D">
        <w:rPr>
          <w:lang w:val="fr-FR"/>
        </w:rPr>
        <w:t>emploi la mission de veiller au contrôle du respect des dispositions de cette loi et de ses textes d</w:t>
      </w:r>
      <w:r w:rsidR="00680ADA" w:rsidRPr="00F1180D">
        <w:rPr>
          <w:lang w:val="fr-FR"/>
        </w:rPr>
        <w:t>’</w:t>
      </w:r>
      <w:r w:rsidR="000C6D4A" w:rsidRPr="00F1180D">
        <w:rPr>
          <w:lang w:val="fr-FR"/>
        </w:rPr>
        <w:t>application.</w:t>
      </w:r>
    </w:p>
    <w:p w:rsidR="000C6D4A" w:rsidRPr="00F1180D" w:rsidRDefault="00B357F2" w:rsidP="00680ADA">
      <w:pPr>
        <w:pStyle w:val="SingleTxtG"/>
        <w:rPr>
          <w:rtl/>
          <w:lang w:val="fr-FR" w:bidi="fr-FR"/>
        </w:rPr>
      </w:pPr>
      <w:r>
        <w:rPr>
          <w:lang w:val="fr-FR"/>
        </w:rPr>
        <w:t>27.</w:t>
      </w:r>
      <w:r>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 xml:space="preserve">30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rPr>
        <w:t>31 de 1970 portant modification de certaines dispositions du Code pénal interdit aux associations</w:t>
      </w:r>
      <w:r w:rsidR="00680ADA" w:rsidRPr="00F1180D">
        <w:rPr>
          <w:lang w:val="fr-FR"/>
        </w:rPr>
        <w:t>,</w:t>
      </w:r>
      <w:r w:rsidR="000C6D4A" w:rsidRPr="00F1180D">
        <w:rPr>
          <w:lang w:val="fr-FR"/>
        </w:rPr>
        <w:t xml:space="preserve"> groupements et organisations</w:t>
      </w:r>
      <w:r w:rsidR="00680ADA" w:rsidRPr="00F1180D">
        <w:rPr>
          <w:lang w:val="fr-FR"/>
        </w:rPr>
        <w:t>,</w:t>
      </w:r>
      <w:r w:rsidR="000C6D4A" w:rsidRPr="00F1180D">
        <w:rPr>
          <w:lang w:val="fr-FR"/>
        </w:rPr>
        <w:t xml:space="preserve"> de propager des principes visant à détruire</w:t>
      </w:r>
      <w:r w:rsidR="00680ADA" w:rsidRPr="00F1180D">
        <w:rPr>
          <w:lang w:val="fr-FR"/>
        </w:rPr>
        <w:t>,</w:t>
      </w:r>
      <w:r w:rsidR="000C6D4A" w:rsidRPr="00F1180D">
        <w:rPr>
          <w:lang w:val="fr-FR"/>
        </w:rPr>
        <w:t xml:space="preserve"> par des moyens illicites</w:t>
      </w:r>
      <w:r w:rsidR="00680ADA" w:rsidRPr="00F1180D">
        <w:rPr>
          <w:lang w:val="fr-FR"/>
        </w:rPr>
        <w:t>,</w:t>
      </w:r>
      <w:r w:rsidR="000C6D4A" w:rsidRPr="00F1180D">
        <w:rPr>
          <w:lang w:val="fr-FR"/>
        </w:rPr>
        <w:t xml:space="preserve"> les fondements essentiels de l</w:t>
      </w:r>
      <w:r w:rsidR="00680ADA" w:rsidRPr="00F1180D">
        <w:rPr>
          <w:lang w:val="fr-FR"/>
        </w:rPr>
        <w:t>’</w:t>
      </w:r>
      <w:r w:rsidR="000C6D4A" w:rsidRPr="00F1180D">
        <w:rPr>
          <w:lang w:val="fr-FR"/>
        </w:rPr>
        <w:t>État ou à renverser son système socioéconomique en recourant à la violence. Est passible d</w:t>
      </w:r>
      <w:r w:rsidR="00680ADA" w:rsidRPr="00F1180D">
        <w:rPr>
          <w:lang w:val="fr-FR"/>
        </w:rPr>
        <w:t>’</w:t>
      </w:r>
      <w:r w:rsidR="000C6D4A" w:rsidRPr="00F1180D">
        <w:rPr>
          <w:lang w:val="fr-FR"/>
        </w:rPr>
        <w:t>une peine de prison ne pouvant excéder 15</w:t>
      </w:r>
      <w:r w:rsidR="00524736" w:rsidRPr="00F1180D">
        <w:rPr>
          <w:lang w:val="fr-FR"/>
        </w:rPr>
        <w:t> ans</w:t>
      </w:r>
      <w:r w:rsidR="000C6D4A" w:rsidRPr="00F1180D">
        <w:rPr>
          <w:lang w:val="fr-FR"/>
        </w:rPr>
        <w:t xml:space="preserve"> quiconque fonde une telle organisation ou incite à y adhérer et d</w:t>
      </w:r>
      <w:r w:rsidR="00680ADA" w:rsidRPr="00F1180D">
        <w:rPr>
          <w:lang w:val="fr-FR"/>
        </w:rPr>
        <w:t>’</w:t>
      </w:r>
      <w:r w:rsidR="000C6D4A" w:rsidRPr="00F1180D">
        <w:rPr>
          <w:lang w:val="fr-FR"/>
        </w:rPr>
        <w:t>une peine d</w:t>
      </w:r>
      <w:r w:rsidR="00680ADA" w:rsidRPr="00F1180D">
        <w:rPr>
          <w:lang w:val="fr-FR"/>
        </w:rPr>
        <w:t>’</w:t>
      </w:r>
      <w:r w:rsidR="000C6D4A" w:rsidRPr="00F1180D">
        <w:rPr>
          <w:lang w:val="fr-FR"/>
        </w:rPr>
        <w:t>emprisonnement pouvant aller jusqu</w:t>
      </w:r>
      <w:r w:rsidR="00680ADA" w:rsidRPr="00F1180D">
        <w:rPr>
          <w:lang w:val="fr-FR"/>
        </w:rPr>
        <w:t>’</w:t>
      </w:r>
      <w:r w:rsidR="00524736" w:rsidRPr="00F1180D">
        <w:rPr>
          <w:lang w:val="fr-FR"/>
        </w:rPr>
        <w:t xml:space="preserve">à </w:t>
      </w:r>
      <w:r w:rsidR="000C6D4A" w:rsidRPr="00F1180D">
        <w:rPr>
          <w:lang w:val="fr-FR"/>
        </w:rPr>
        <w:t>10</w:t>
      </w:r>
      <w:r w:rsidR="00524736" w:rsidRPr="00F1180D">
        <w:rPr>
          <w:lang w:val="fr-FR"/>
        </w:rPr>
        <w:t> ans</w:t>
      </w:r>
      <w:r w:rsidR="000C6D4A" w:rsidRPr="00F1180D">
        <w:rPr>
          <w:lang w:val="fr-FR"/>
        </w:rPr>
        <w:t xml:space="preserve"> quiconque y adhère en ayant connaissance des activités prévues dans son objet.</w:t>
      </w:r>
    </w:p>
    <w:p w:rsidR="000C6D4A" w:rsidRPr="00F1180D" w:rsidRDefault="00B357F2" w:rsidP="00680ADA">
      <w:pPr>
        <w:pStyle w:val="SingleTxtG"/>
        <w:rPr>
          <w:rtl/>
          <w:lang w:val="fr-FR" w:bidi="fr-FR"/>
        </w:rPr>
      </w:pPr>
      <w:r>
        <w:rPr>
          <w:lang w:val="fr-FR" w:bidi="ar-KW"/>
        </w:rPr>
        <w:t>28.</w:t>
      </w:r>
      <w:r>
        <w:rPr>
          <w:lang w:val="fr-FR" w:bidi="ar-KW"/>
        </w:rPr>
        <w:tab/>
      </w:r>
      <w:r w:rsidR="000C6D4A" w:rsidRPr="00F1180D">
        <w:rPr>
          <w:lang w:val="fr-FR" w:bidi="ar-KW"/>
        </w:rPr>
        <w:t>Le Koweït s</w:t>
      </w:r>
      <w:r w:rsidR="00680ADA" w:rsidRPr="00F1180D">
        <w:rPr>
          <w:lang w:val="fr-FR" w:bidi="ar-KW"/>
        </w:rPr>
        <w:t>’</w:t>
      </w:r>
      <w:r w:rsidR="000C6D4A" w:rsidRPr="00F1180D">
        <w:rPr>
          <w:lang w:val="fr-FR" w:bidi="ar-KW"/>
        </w:rPr>
        <w:t>emploie à lutter contre les idées prônant la discrimination et le racisme</w:t>
      </w:r>
      <w:r w:rsidR="00680ADA" w:rsidRPr="00F1180D">
        <w:rPr>
          <w:lang w:val="fr-FR" w:bidi="ar-KW"/>
        </w:rPr>
        <w:t>,</w:t>
      </w:r>
      <w:r w:rsidR="000C6D4A" w:rsidRPr="00F1180D">
        <w:rPr>
          <w:lang w:val="fr-FR" w:bidi="ar-KW"/>
        </w:rPr>
        <w:t xml:space="preserve"> qu</w:t>
      </w:r>
      <w:r w:rsidR="00680ADA" w:rsidRPr="00F1180D">
        <w:rPr>
          <w:lang w:val="fr-FR" w:bidi="ar-KW"/>
        </w:rPr>
        <w:t>’</w:t>
      </w:r>
      <w:r w:rsidR="000C6D4A" w:rsidRPr="00F1180D">
        <w:rPr>
          <w:lang w:val="fr-FR" w:bidi="ar-KW"/>
        </w:rPr>
        <w:t>elles soient exprimées par les médias ou par le biais du système éducatif. C</w:t>
      </w:r>
      <w:r w:rsidR="00680ADA" w:rsidRPr="00F1180D">
        <w:rPr>
          <w:lang w:val="fr-FR" w:bidi="ar-KW"/>
        </w:rPr>
        <w:t>’</w:t>
      </w:r>
      <w:r w:rsidR="000C6D4A" w:rsidRPr="00F1180D">
        <w:rPr>
          <w:lang w:val="fr-FR" w:bidi="ar-KW"/>
        </w:rPr>
        <w:t>est ainsi que le Ministère de l</w:t>
      </w:r>
      <w:r w:rsidR="00680ADA" w:rsidRPr="00F1180D">
        <w:rPr>
          <w:lang w:val="fr-FR" w:bidi="ar-KW"/>
        </w:rPr>
        <w:t>’</w:t>
      </w:r>
      <w:r w:rsidR="000C6D4A" w:rsidRPr="00F1180D">
        <w:rPr>
          <w:lang w:val="fr-FR" w:bidi="ar-KW"/>
        </w:rPr>
        <w:t>éducation a émis des décisions et directives contraignantes interdisant l</w:t>
      </w:r>
      <w:r w:rsidR="00680ADA" w:rsidRPr="00F1180D">
        <w:rPr>
          <w:lang w:val="fr-FR" w:bidi="ar-KW"/>
        </w:rPr>
        <w:t>’</w:t>
      </w:r>
      <w:r w:rsidR="000C6D4A" w:rsidRPr="00F1180D">
        <w:rPr>
          <w:lang w:val="fr-FR" w:bidi="ar-KW"/>
        </w:rPr>
        <w:t>incitation à la discrimination et à la haine contre les personnes</w:t>
      </w:r>
      <w:r w:rsidR="00680ADA" w:rsidRPr="00F1180D">
        <w:rPr>
          <w:lang w:val="fr-FR" w:bidi="ar-KW"/>
        </w:rPr>
        <w:t>,</w:t>
      </w:r>
      <w:r w:rsidR="000C6D4A" w:rsidRPr="00F1180D">
        <w:rPr>
          <w:lang w:val="fr-FR" w:bidi="ar-KW"/>
        </w:rPr>
        <w:t xml:space="preserve"> ou au dénigrement des cultures et des différentes communautés ethniques. Il a en outre accordé une place de choix aux valeurs de paix</w:t>
      </w:r>
      <w:r w:rsidR="00680ADA" w:rsidRPr="00F1180D">
        <w:rPr>
          <w:lang w:val="fr-FR" w:bidi="ar-KW"/>
        </w:rPr>
        <w:t>,</w:t>
      </w:r>
      <w:r w:rsidR="000C6D4A" w:rsidRPr="00F1180D">
        <w:rPr>
          <w:lang w:val="fr-FR" w:bidi="ar-KW"/>
        </w:rPr>
        <w:t xml:space="preserve"> de tolérance et d</w:t>
      </w:r>
      <w:r w:rsidR="00680ADA" w:rsidRPr="00F1180D">
        <w:rPr>
          <w:lang w:val="fr-FR" w:bidi="ar-KW"/>
        </w:rPr>
        <w:t>’</w:t>
      </w:r>
      <w:r w:rsidR="000C6D4A" w:rsidRPr="00F1180D">
        <w:rPr>
          <w:lang w:val="fr-FR" w:bidi="ar-KW"/>
        </w:rPr>
        <w:t>entente internationale dans les programmes d</w:t>
      </w:r>
      <w:r w:rsidR="00680ADA" w:rsidRPr="00F1180D">
        <w:rPr>
          <w:lang w:val="fr-FR" w:bidi="ar-KW"/>
        </w:rPr>
        <w:t>’</w:t>
      </w:r>
      <w:r w:rsidR="000C6D4A" w:rsidRPr="00F1180D">
        <w:rPr>
          <w:lang w:val="fr-FR" w:bidi="ar-KW"/>
        </w:rPr>
        <w:t>enseignement de certaines matières</w:t>
      </w:r>
      <w:r w:rsidR="00680ADA" w:rsidRPr="00F1180D">
        <w:rPr>
          <w:lang w:val="fr-FR" w:bidi="ar-KW"/>
        </w:rPr>
        <w:t>,</w:t>
      </w:r>
      <w:r w:rsidR="000C6D4A" w:rsidRPr="00F1180D">
        <w:rPr>
          <w:lang w:val="fr-FR" w:bidi="ar-KW"/>
        </w:rPr>
        <w:t xml:space="preserve"> telles que l</w:t>
      </w:r>
      <w:r w:rsidR="00680ADA" w:rsidRPr="00F1180D">
        <w:rPr>
          <w:lang w:val="fr-FR" w:bidi="ar-KW"/>
        </w:rPr>
        <w:t>’</w:t>
      </w:r>
      <w:r w:rsidR="000C6D4A" w:rsidRPr="00F1180D">
        <w:rPr>
          <w:lang w:val="fr-FR" w:bidi="ar-KW"/>
        </w:rPr>
        <w:t>éducation islamique</w:t>
      </w:r>
      <w:r w:rsidR="00680ADA" w:rsidRPr="00F1180D">
        <w:rPr>
          <w:lang w:val="fr-FR" w:bidi="ar-KW"/>
        </w:rPr>
        <w:t>,</w:t>
      </w:r>
      <w:r w:rsidR="000C6D4A" w:rsidRPr="00F1180D">
        <w:rPr>
          <w:lang w:val="fr-FR" w:bidi="ar-KW"/>
        </w:rPr>
        <w:t xml:space="preserve"> la langue arabe</w:t>
      </w:r>
      <w:r w:rsidR="00680ADA" w:rsidRPr="00F1180D">
        <w:rPr>
          <w:lang w:val="fr-FR" w:bidi="ar-KW"/>
        </w:rPr>
        <w:t>,</w:t>
      </w:r>
      <w:r w:rsidR="000C6D4A" w:rsidRPr="00F1180D">
        <w:rPr>
          <w:lang w:val="fr-FR" w:bidi="ar-KW"/>
        </w:rPr>
        <w:t xml:space="preserve"> la Constitution et les droits de l</w:t>
      </w:r>
      <w:r w:rsidR="00680ADA" w:rsidRPr="00F1180D">
        <w:rPr>
          <w:lang w:val="fr-FR" w:bidi="ar-KW"/>
        </w:rPr>
        <w:t>’</w:t>
      </w:r>
      <w:r w:rsidR="000C6D4A" w:rsidRPr="00F1180D">
        <w:rPr>
          <w:lang w:val="fr-FR" w:bidi="ar-KW"/>
        </w:rPr>
        <w:t xml:space="preserve">homme. </w:t>
      </w:r>
    </w:p>
    <w:p w:rsidR="000C6D4A" w:rsidRPr="00F1180D" w:rsidRDefault="00410CA5" w:rsidP="00410CA5">
      <w:pPr>
        <w:pStyle w:val="H1G"/>
        <w:rPr>
          <w:lang w:val="fr-FR" w:bidi="ar-KW"/>
        </w:rPr>
      </w:pPr>
      <w:r w:rsidRPr="00F1180D">
        <w:rPr>
          <w:lang w:val="fr-FR" w:bidi="ar-KW"/>
        </w:rPr>
        <w:tab/>
      </w:r>
      <w:r w:rsidRPr="00F1180D">
        <w:rPr>
          <w:lang w:val="fr-FR" w:bidi="ar-KW"/>
        </w:rPr>
        <w:tab/>
      </w:r>
      <w:r w:rsidR="00163207" w:rsidRPr="00F1180D">
        <w:rPr>
          <w:lang w:val="fr-FR" w:bidi="ar-KW"/>
        </w:rPr>
        <w:t>Article </w:t>
      </w:r>
      <w:r w:rsidR="000C6D4A" w:rsidRPr="00F1180D">
        <w:rPr>
          <w:lang w:val="fr-FR" w:bidi="ar-KW"/>
        </w:rPr>
        <w:t>5</w:t>
      </w:r>
    </w:p>
    <w:p w:rsidR="001E214A" w:rsidRPr="00F1180D" w:rsidRDefault="001E214A" w:rsidP="00766AC3">
      <w:pPr>
        <w:pStyle w:val="H23G"/>
        <w:rPr>
          <w:rtl/>
          <w:lang w:val="fr-FR" w:bidi="ar-KW"/>
        </w:rPr>
      </w:pPr>
      <w:r w:rsidRPr="00F1180D">
        <w:rPr>
          <w:lang w:val="fr-FR" w:bidi="ar-KW"/>
        </w:rPr>
        <w:tab/>
      </w:r>
      <w:r w:rsidRPr="00F1180D">
        <w:rPr>
          <w:lang w:val="fr-FR" w:bidi="ar-KW"/>
        </w:rPr>
        <w:tab/>
      </w:r>
      <w:r w:rsidR="004C1D3C" w:rsidRPr="00F1180D">
        <w:rPr>
          <w:lang w:val="fr-FR" w:bidi="ar-KW"/>
        </w:rPr>
        <w:t xml:space="preserve">Paragraphe </w:t>
      </w:r>
      <w:r w:rsidRPr="00F1180D">
        <w:rPr>
          <w:lang w:val="fr-FR" w:bidi="ar-KW"/>
        </w:rPr>
        <w:t>a)</w:t>
      </w:r>
    </w:p>
    <w:p w:rsidR="000C6D4A" w:rsidRPr="00F1180D" w:rsidRDefault="00B357F2" w:rsidP="00680ADA">
      <w:pPr>
        <w:pStyle w:val="SingleTxtG"/>
        <w:rPr>
          <w:lang w:val="fr-FR"/>
        </w:rPr>
      </w:pPr>
      <w:r>
        <w:rPr>
          <w:lang w:val="fr-FR"/>
        </w:rPr>
        <w:t>29.</w:t>
      </w:r>
      <w:r>
        <w:rPr>
          <w:lang w:val="fr-FR"/>
        </w:rPr>
        <w:tab/>
      </w:r>
      <w:r w:rsidR="000C6D4A" w:rsidRPr="00F1180D">
        <w:rPr>
          <w:lang w:val="fr-FR"/>
        </w:rPr>
        <w:t>Le droit d</w:t>
      </w:r>
      <w:r w:rsidR="00680ADA" w:rsidRPr="00F1180D">
        <w:rPr>
          <w:lang w:val="fr-FR"/>
        </w:rPr>
        <w:t>’</w:t>
      </w:r>
      <w:r w:rsidR="000C6D4A" w:rsidRPr="00F1180D">
        <w:rPr>
          <w:lang w:val="fr-FR"/>
        </w:rPr>
        <w:t>ester en justice est garanti à tous sans discrimination au Koweït</w:t>
      </w:r>
      <w:r w:rsidR="00680ADA" w:rsidRPr="00F1180D">
        <w:rPr>
          <w:lang w:val="fr-FR"/>
        </w:rPr>
        <w:t>,</w:t>
      </w:r>
      <w:r w:rsidR="000C6D4A" w:rsidRPr="00F1180D">
        <w:rPr>
          <w:lang w:val="fr-FR"/>
        </w:rPr>
        <w:t xml:space="preserve"> conformément à l</w:t>
      </w:r>
      <w:r w:rsidR="00680ADA" w:rsidRPr="00F1180D">
        <w:rPr>
          <w:lang w:val="fr-FR"/>
        </w:rPr>
        <w:t>’</w:t>
      </w:r>
      <w:r w:rsidR="00163207" w:rsidRPr="00F1180D">
        <w:rPr>
          <w:lang w:val="fr-FR"/>
        </w:rPr>
        <w:t>article </w:t>
      </w:r>
      <w:r w:rsidR="000C6D4A" w:rsidRPr="00F1180D">
        <w:rPr>
          <w:lang w:val="fr-FR"/>
        </w:rPr>
        <w:t>166 selon lequel</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l</w:t>
      </w:r>
      <w:r w:rsidR="00680ADA" w:rsidRPr="00F1180D">
        <w:rPr>
          <w:lang w:val="fr-FR"/>
        </w:rPr>
        <w:t>’</w:t>
      </w:r>
      <w:r w:rsidR="000C6D4A" w:rsidRPr="00F1180D">
        <w:rPr>
          <w:lang w:val="fr-FR"/>
        </w:rPr>
        <w:t>accès à la justice est garanti à chacun</w:t>
      </w:r>
      <w:r w:rsidR="00680ADA" w:rsidRPr="00F1180D">
        <w:rPr>
          <w:lang w:val="fr-FR"/>
        </w:rPr>
        <w:t>,</w:t>
      </w:r>
      <w:r w:rsidR="000C6D4A" w:rsidRPr="00F1180D">
        <w:rPr>
          <w:lang w:val="fr-FR"/>
        </w:rPr>
        <w:t xml:space="preserve"> les conditions et modalités d</w:t>
      </w:r>
      <w:r w:rsidR="00680ADA" w:rsidRPr="00F1180D">
        <w:rPr>
          <w:lang w:val="fr-FR"/>
        </w:rPr>
        <w:t>’</w:t>
      </w:r>
      <w:r w:rsidR="000C6D4A" w:rsidRPr="00F1180D">
        <w:rPr>
          <w:lang w:val="fr-FR"/>
        </w:rPr>
        <w:t>exercice de ce droit sont prévues par la loi</w:t>
      </w:r>
      <w:r w:rsidR="00680ADA" w:rsidRPr="00F1180D">
        <w:rPr>
          <w:lang w:val="fr-FR"/>
        </w:rPr>
        <w:t>»,</w:t>
      </w:r>
      <w:r w:rsidR="000C6D4A" w:rsidRPr="00F1180D">
        <w:rPr>
          <w:lang w:val="fr-FR"/>
        </w:rPr>
        <w:t xml:space="preserve"> étant précisé que le terme </w:t>
      </w:r>
      <w:r w:rsidR="00680ADA" w:rsidRPr="00F1180D">
        <w:rPr>
          <w:lang w:val="fr-FR"/>
        </w:rPr>
        <w:t>«</w:t>
      </w:r>
      <w:r w:rsidR="000C6D4A" w:rsidRPr="00F1180D">
        <w:rPr>
          <w:lang w:val="fr-FR"/>
        </w:rPr>
        <w:t>chacun</w:t>
      </w:r>
      <w:r w:rsidR="00680ADA" w:rsidRPr="00F1180D">
        <w:rPr>
          <w:lang w:val="fr-FR"/>
        </w:rPr>
        <w:t>»</w:t>
      </w:r>
      <w:r w:rsidR="000C6D4A" w:rsidRPr="00F1180D">
        <w:rPr>
          <w:lang w:val="fr-FR"/>
        </w:rPr>
        <w:t xml:space="preserve"> est employé dans son sens générique et inclut toutes les personnes sans distinction de sexe</w:t>
      </w:r>
      <w:r w:rsidR="00680ADA" w:rsidRPr="00F1180D">
        <w:rPr>
          <w:lang w:val="fr-FR"/>
        </w:rPr>
        <w:t>,</w:t>
      </w:r>
      <w:r w:rsidR="000C6D4A" w:rsidRPr="00F1180D">
        <w:rPr>
          <w:lang w:val="fr-FR"/>
        </w:rPr>
        <w:t xml:space="preserve"> d</w:t>
      </w:r>
      <w:r w:rsidR="00680ADA" w:rsidRPr="00F1180D">
        <w:rPr>
          <w:lang w:val="fr-FR"/>
        </w:rPr>
        <w:t>’</w:t>
      </w:r>
      <w:r w:rsidR="000C6D4A" w:rsidRPr="00F1180D">
        <w:rPr>
          <w:lang w:val="fr-FR"/>
        </w:rPr>
        <w:t>origine</w:t>
      </w:r>
      <w:r w:rsidR="00680ADA" w:rsidRPr="00F1180D">
        <w:rPr>
          <w:lang w:val="fr-FR"/>
        </w:rPr>
        <w:t>,</w:t>
      </w:r>
      <w:r w:rsidR="006B41A3" w:rsidRPr="00F1180D">
        <w:rPr>
          <w:lang w:val="fr-FR"/>
        </w:rPr>
        <w:t xml:space="preserve"> de langue ou autre;</w:t>
      </w:r>
      <w:r w:rsidR="000C6D4A" w:rsidRPr="00F1180D">
        <w:rPr>
          <w:lang w:val="fr-FR"/>
        </w:rPr>
        <w:t xml:space="preserve"> </w:t>
      </w:r>
    </w:p>
    <w:p w:rsidR="001A7D14" w:rsidRPr="00F1180D" w:rsidRDefault="001A7D14">
      <w:pPr>
        <w:suppressAutoHyphens w:val="0"/>
        <w:spacing w:line="240" w:lineRule="auto"/>
        <w:rPr>
          <w:b/>
          <w:lang w:val="fr-FR"/>
        </w:rPr>
      </w:pPr>
      <w:r w:rsidRPr="00F1180D">
        <w:rPr>
          <w:lang w:val="fr-FR"/>
        </w:rPr>
        <w:br w:type="page"/>
      </w:r>
    </w:p>
    <w:p w:rsidR="00766AC3" w:rsidRPr="00F1180D" w:rsidRDefault="00766AC3" w:rsidP="00766AC3">
      <w:pPr>
        <w:pStyle w:val="H23G"/>
        <w:rPr>
          <w:b w:val="0"/>
          <w:rtl/>
          <w:lang w:val="fr-FR" w:bidi="fr-FR"/>
        </w:rPr>
      </w:pPr>
      <w:r w:rsidRPr="00F1180D">
        <w:rPr>
          <w:lang w:val="fr-FR"/>
        </w:rPr>
        <w:lastRenderedPageBreak/>
        <w:tab/>
      </w:r>
      <w:r w:rsidRPr="00F1180D">
        <w:rPr>
          <w:lang w:val="fr-FR"/>
        </w:rPr>
        <w:tab/>
      </w:r>
      <w:r w:rsidR="004C1D3C" w:rsidRPr="00F1180D">
        <w:rPr>
          <w:lang w:val="fr-FR" w:bidi="ar-KW"/>
        </w:rPr>
        <w:t xml:space="preserve">Paragraphe </w:t>
      </w:r>
      <w:r w:rsidRPr="00F1180D">
        <w:rPr>
          <w:lang w:val="fr-FR"/>
        </w:rPr>
        <w:t>b)</w:t>
      </w:r>
    </w:p>
    <w:p w:rsidR="000C6D4A" w:rsidRPr="00F1180D" w:rsidRDefault="00776917" w:rsidP="00776917">
      <w:pPr>
        <w:pStyle w:val="SingleTxtG"/>
        <w:keepNext/>
        <w:rPr>
          <w:rtl/>
          <w:lang w:val="fr-FR" w:bidi="fr-FR"/>
        </w:rPr>
      </w:pPr>
      <w:r w:rsidRPr="00F1180D">
        <w:rPr>
          <w:lang w:val="fr-FR"/>
        </w:rPr>
        <w:tab/>
      </w:r>
      <w:r w:rsidR="000C6D4A" w:rsidRPr="00F1180D">
        <w:rPr>
          <w:lang w:val="fr-FR"/>
        </w:rPr>
        <w:t>Le droit à l</w:t>
      </w:r>
      <w:r w:rsidR="00680ADA" w:rsidRPr="00F1180D">
        <w:rPr>
          <w:lang w:val="fr-FR"/>
        </w:rPr>
        <w:t>’</w:t>
      </w:r>
      <w:r w:rsidR="000C6D4A" w:rsidRPr="00F1180D">
        <w:rPr>
          <w:lang w:val="fr-FR"/>
        </w:rPr>
        <w:t>intégrité de la personne est expressément reconnu par la Constitution koweïtienne</w:t>
      </w:r>
      <w:r w:rsidR="00680ADA" w:rsidRPr="00F1180D">
        <w:rPr>
          <w:lang w:val="fr-FR"/>
        </w:rPr>
        <w:t>,</w:t>
      </w:r>
      <w:r w:rsidR="000C6D4A" w:rsidRPr="00F1180D">
        <w:rPr>
          <w:lang w:val="fr-FR"/>
        </w:rPr>
        <w:t xml:space="preserve"> ainsi que par les autres lois</w:t>
      </w:r>
      <w:r w:rsidR="00680ADA" w:rsidRPr="00F1180D">
        <w:rPr>
          <w:lang w:val="fr-FR"/>
        </w:rPr>
        <w:t>,</w:t>
      </w:r>
      <w:r w:rsidR="000C6D4A" w:rsidRPr="00F1180D">
        <w:rPr>
          <w:lang w:val="fr-FR"/>
        </w:rPr>
        <w:t xml:space="preserve"> notamment celles à caractère pénal</w:t>
      </w:r>
      <w:r w:rsidR="00680ADA" w:rsidRPr="00F1180D">
        <w:rPr>
          <w:lang w:val="fr-FR"/>
        </w:rPr>
        <w:t>,</w:t>
      </w:r>
      <w:r w:rsidR="000C6D4A" w:rsidRPr="00F1180D">
        <w:rPr>
          <w:lang w:val="fr-FR"/>
        </w:rPr>
        <w:t xml:space="preserve"> qui le consacrent clairement et sans aucune ambiguïté</w:t>
      </w:r>
      <w:r w:rsidR="00680ADA" w:rsidRPr="00F1180D">
        <w:rPr>
          <w:lang w:val="fr-FR"/>
        </w:rPr>
        <w:t>,</w:t>
      </w:r>
      <w:r w:rsidR="000C6D4A" w:rsidRPr="00F1180D">
        <w:rPr>
          <w:lang w:val="fr-FR"/>
        </w:rPr>
        <w:t xml:space="preserve"> comme illustré par les dispositions suivantes</w:t>
      </w:r>
      <w:r w:rsidR="00680ADA" w:rsidRPr="00F1180D">
        <w:rPr>
          <w:lang w:val="fr-FR"/>
        </w:rPr>
        <w:t>:</w:t>
      </w:r>
    </w:p>
    <w:p w:rsidR="000C6D4A" w:rsidRPr="00F1180D" w:rsidRDefault="00776917" w:rsidP="00776917">
      <w:pPr>
        <w:pStyle w:val="SingleTxtG"/>
        <w:ind w:left="1701"/>
        <w:rPr>
          <w:rtl/>
          <w:lang w:val="fr-FR" w:bidi="fr-FR"/>
        </w:rPr>
      </w:pPr>
      <w:r w:rsidRPr="00F1180D">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31</w:t>
      </w:r>
      <w:r w:rsidR="00680ADA" w:rsidRPr="00F1180D">
        <w:rPr>
          <w:lang w:val="fr-FR"/>
        </w:rPr>
        <w:t>,</w:t>
      </w:r>
      <w:r w:rsidR="000C6D4A" w:rsidRPr="00F1180D">
        <w:rPr>
          <w:lang w:val="fr-FR"/>
        </w:rPr>
        <w:t xml:space="preserve"> selon lequel</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Nul ne peut être arrêté</w:t>
      </w:r>
      <w:r w:rsidR="00680ADA" w:rsidRPr="00F1180D">
        <w:rPr>
          <w:lang w:val="fr-FR"/>
        </w:rPr>
        <w:t>,</w:t>
      </w:r>
      <w:r w:rsidR="000C6D4A" w:rsidRPr="00F1180D">
        <w:rPr>
          <w:lang w:val="fr-FR"/>
        </w:rPr>
        <w:t xml:space="preserve"> détenu</w:t>
      </w:r>
      <w:r w:rsidR="00680ADA" w:rsidRPr="00F1180D">
        <w:rPr>
          <w:lang w:val="fr-FR"/>
        </w:rPr>
        <w:t>,</w:t>
      </w:r>
      <w:r w:rsidR="000C6D4A" w:rsidRPr="00F1180D">
        <w:rPr>
          <w:lang w:val="fr-FR"/>
        </w:rPr>
        <w:t xml:space="preserve"> recherché ou obligé de résider dans un endroit particulier</w:t>
      </w:r>
      <w:r w:rsidR="00680ADA" w:rsidRPr="00F1180D">
        <w:rPr>
          <w:lang w:val="fr-FR"/>
        </w:rPr>
        <w:t>,</w:t>
      </w:r>
      <w:r w:rsidR="000C6D4A" w:rsidRPr="00F1180D">
        <w:rPr>
          <w:lang w:val="fr-FR"/>
        </w:rPr>
        <w:t xml:space="preserve"> ni limité dans le choix de sa résidence ou de son domicile ou dans sa liberté de mouvement</w:t>
      </w:r>
      <w:r w:rsidR="00680ADA" w:rsidRPr="00F1180D">
        <w:rPr>
          <w:lang w:val="fr-FR"/>
        </w:rPr>
        <w:t>,</w:t>
      </w:r>
      <w:r w:rsidR="000C6D4A" w:rsidRPr="00F1180D">
        <w:rPr>
          <w:lang w:val="fr-FR"/>
        </w:rPr>
        <w:t xml:space="preserve"> sauf dispositions légales expresses</w:t>
      </w:r>
      <w:r w:rsidR="00680ADA" w:rsidRPr="00F1180D">
        <w:rPr>
          <w:lang w:val="fr-FR"/>
        </w:rPr>
        <w:t>;</w:t>
      </w:r>
      <w:r w:rsidR="000C6D4A" w:rsidRPr="00F1180D">
        <w:rPr>
          <w:lang w:val="fr-FR"/>
        </w:rPr>
        <w:t xml:space="preserve"> nul ne peut être soumis à la torture ou à un traitement dégradant</w:t>
      </w:r>
      <w:r w:rsidRPr="00F1180D">
        <w:rPr>
          <w:lang w:val="fr-FR"/>
        </w:rPr>
        <w:t>.</w:t>
      </w:r>
      <w:r w:rsidR="00680ADA" w:rsidRPr="00F1180D">
        <w:rPr>
          <w:lang w:val="fr-FR"/>
        </w:rPr>
        <w:t>»</w:t>
      </w:r>
      <w:r w:rsidR="000C6D4A" w:rsidRPr="00F1180D">
        <w:rPr>
          <w:lang w:val="fr-FR"/>
        </w:rPr>
        <w:t xml:space="preserve"> </w:t>
      </w:r>
    </w:p>
    <w:p w:rsidR="000C6D4A" w:rsidRPr="00F1180D" w:rsidRDefault="000C6D4A" w:rsidP="00776917">
      <w:pPr>
        <w:pStyle w:val="SingleTxtG"/>
        <w:ind w:left="1701"/>
        <w:rPr>
          <w:rtl/>
          <w:lang w:val="fr-FR" w:bidi="fr-FR"/>
        </w:rPr>
      </w:pPr>
      <w:r w:rsidRPr="00F1180D">
        <w:rPr>
          <w:lang w:val="fr-FR"/>
        </w:rPr>
        <w:tab/>
        <w:t>L</w:t>
      </w:r>
      <w:r w:rsidR="00680ADA" w:rsidRPr="00F1180D">
        <w:rPr>
          <w:lang w:val="fr-FR"/>
        </w:rPr>
        <w:t>’</w:t>
      </w:r>
      <w:r w:rsidR="00163207" w:rsidRPr="00F1180D">
        <w:rPr>
          <w:lang w:val="fr-FR"/>
        </w:rPr>
        <w:t>article </w:t>
      </w:r>
      <w:r w:rsidRPr="00F1180D">
        <w:rPr>
          <w:lang w:val="fr-FR"/>
        </w:rPr>
        <w:t>34</w:t>
      </w:r>
      <w:r w:rsidR="00680ADA" w:rsidRPr="00F1180D">
        <w:rPr>
          <w:lang w:val="fr-FR"/>
        </w:rPr>
        <w:t>,</w:t>
      </w:r>
      <w:r w:rsidRPr="00F1180D">
        <w:rPr>
          <w:lang w:val="fr-FR"/>
        </w:rPr>
        <w:t xml:space="preserve"> aux termes duquel</w:t>
      </w:r>
      <w:r w:rsidR="00680ADA" w:rsidRPr="00F1180D">
        <w:rPr>
          <w:lang w:val="fr-FR"/>
        </w:rPr>
        <w:t>:</w:t>
      </w:r>
      <w:r w:rsidRPr="00F1180D">
        <w:rPr>
          <w:lang w:val="fr-FR"/>
        </w:rPr>
        <w:t xml:space="preserve"> </w:t>
      </w:r>
      <w:r w:rsidR="00680ADA" w:rsidRPr="00F1180D">
        <w:rPr>
          <w:lang w:val="fr-FR"/>
        </w:rPr>
        <w:t>«</w:t>
      </w:r>
      <w:r w:rsidRPr="00F1180D">
        <w:rPr>
          <w:lang w:val="fr-FR"/>
        </w:rPr>
        <w:t>Tout accusé est présumé innocent jusqu</w:t>
      </w:r>
      <w:r w:rsidR="00680ADA" w:rsidRPr="00F1180D">
        <w:rPr>
          <w:lang w:val="fr-FR"/>
        </w:rPr>
        <w:t>’</w:t>
      </w:r>
      <w:r w:rsidRPr="00F1180D">
        <w:rPr>
          <w:lang w:val="fr-FR"/>
        </w:rPr>
        <w:t>à ce que sa culpabilité soit légalement établie dans le cadre d</w:t>
      </w:r>
      <w:r w:rsidR="00680ADA" w:rsidRPr="00F1180D">
        <w:rPr>
          <w:lang w:val="fr-FR"/>
        </w:rPr>
        <w:t>’</w:t>
      </w:r>
      <w:r w:rsidRPr="00F1180D">
        <w:rPr>
          <w:lang w:val="fr-FR"/>
        </w:rPr>
        <w:t>un procès régulier au cours duquel doivent lui être offertes toutes les garanties nécessaires à l</w:t>
      </w:r>
      <w:r w:rsidR="00680ADA" w:rsidRPr="00F1180D">
        <w:rPr>
          <w:lang w:val="fr-FR"/>
        </w:rPr>
        <w:t>’</w:t>
      </w:r>
      <w:r w:rsidRPr="00F1180D">
        <w:rPr>
          <w:lang w:val="fr-FR"/>
        </w:rPr>
        <w:t>exercice des droits de la défense. Il est interdit d</w:t>
      </w:r>
      <w:r w:rsidR="00680ADA" w:rsidRPr="00F1180D">
        <w:rPr>
          <w:lang w:val="fr-FR"/>
        </w:rPr>
        <w:t>’</w:t>
      </w:r>
      <w:r w:rsidRPr="00F1180D">
        <w:rPr>
          <w:lang w:val="fr-FR"/>
        </w:rPr>
        <w:t>infliger des dommages physiques ou moraux à une personne accusée</w:t>
      </w:r>
      <w:r w:rsidR="00680ADA" w:rsidRPr="00F1180D">
        <w:rPr>
          <w:lang w:val="fr-FR"/>
        </w:rPr>
        <w:t>»</w:t>
      </w:r>
      <w:r w:rsidRPr="00F1180D">
        <w:rPr>
          <w:lang w:val="fr-FR"/>
        </w:rPr>
        <w:t>.</w:t>
      </w:r>
    </w:p>
    <w:p w:rsidR="000C6D4A" w:rsidRPr="00F1180D" w:rsidRDefault="000C6D4A" w:rsidP="00776917">
      <w:pPr>
        <w:pStyle w:val="SingleTxtG"/>
        <w:ind w:left="1701"/>
        <w:rPr>
          <w:rtl/>
          <w:lang w:val="fr-FR" w:bidi="fr-FR"/>
        </w:rPr>
      </w:pPr>
      <w:r w:rsidRPr="00F1180D">
        <w:rPr>
          <w:lang w:val="fr-FR"/>
        </w:rPr>
        <w:tab/>
        <w:t xml:space="preserve">Le législateur koweïtien </w:t>
      </w:r>
      <w:r w:rsidRPr="00F1180D">
        <w:rPr>
          <w:lang w:val="fr-FR" w:bidi="ar-KW"/>
        </w:rPr>
        <w:t>a</w:t>
      </w:r>
      <w:r w:rsidRPr="00F1180D">
        <w:rPr>
          <w:lang w:val="fr-FR"/>
        </w:rPr>
        <w:t xml:space="preserve"> confirmé le droit à la protection de toutes les personnes contre toutes violences ou dommages</w:t>
      </w:r>
      <w:r w:rsidR="00680ADA" w:rsidRPr="00F1180D">
        <w:rPr>
          <w:lang w:val="fr-FR"/>
        </w:rPr>
        <w:t>,</w:t>
      </w:r>
      <w:r w:rsidRPr="00F1180D">
        <w:rPr>
          <w:lang w:val="fr-FR"/>
        </w:rPr>
        <w:t xml:space="preserve"> sans distinction aucune</w:t>
      </w:r>
      <w:r w:rsidR="00680ADA" w:rsidRPr="00F1180D">
        <w:rPr>
          <w:lang w:val="fr-FR"/>
        </w:rPr>
        <w:t>,</w:t>
      </w:r>
      <w:r w:rsidRPr="00F1180D">
        <w:rPr>
          <w:lang w:val="fr-FR"/>
        </w:rPr>
        <w:t xml:space="preserve"> notamment de genre</w:t>
      </w:r>
      <w:r w:rsidR="00680ADA" w:rsidRPr="00F1180D">
        <w:rPr>
          <w:lang w:val="fr-FR"/>
        </w:rPr>
        <w:t>,</w:t>
      </w:r>
      <w:r w:rsidRPr="00F1180D">
        <w:rPr>
          <w:lang w:val="fr-FR"/>
        </w:rPr>
        <w:t xml:space="preserve"> d</w:t>
      </w:r>
      <w:r w:rsidR="00680ADA" w:rsidRPr="00F1180D">
        <w:rPr>
          <w:lang w:val="fr-FR"/>
        </w:rPr>
        <w:t>’</w:t>
      </w:r>
      <w:r w:rsidRPr="00F1180D">
        <w:rPr>
          <w:lang w:val="fr-FR"/>
        </w:rPr>
        <w:t>origine</w:t>
      </w:r>
      <w:r w:rsidR="00680ADA" w:rsidRPr="00F1180D">
        <w:rPr>
          <w:lang w:val="fr-FR"/>
        </w:rPr>
        <w:t>,</w:t>
      </w:r>
      <w:r w:rsidRPr="00F1180D">
        <w:rPr>
          <w:lang w:val="fr-FR"/>
        </w:rPr>
        <w:t xml:space="preserve"> de langue</w:t>
      </w:r>
      <w:r w:rsidR="00680ADA" w:rsidRPr="00F1180D">
        <w:rPr>
          <w:lang w:val="fr-FR"/>
        </w:rPr>
        <w:t>,</w:t>
      </w:r>
      <w:r w:rsidRPr="00F1180D">
        <w:rPr>
          <w:lang w:val="fr-FR"/>
        </w:rPr>
        <w:t xml:space="preserve"> ou autre au niveau de l</w:t>
      </w:r>
      <w:r w:rsidR="00680ADA" w:rsidRPr="00F1180D">
        <w:rPr>
          <w:lang w:val="fr-FR"/>
        </w:rPr>
        <w:t>’</w:t>
      </w:r>
      <w:r w:rsidR="00163207" w:rsidRPr="00F1180D">
        <w:rPr>
          <w:lang w:val="fr-FR"/>
        </w:rPr>
        <w:t>article </w:t>
      </w:r>
      <w:r w:rsidRPr="00F1180D">
        <w:rPr>
          <w:lang w:val="fr-FR"/>
        </w:rPr>
        <w:t xml:space="preserve">149 du Code pénal koweïtien tel que promulgué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rPr>
        <w:t>16 de 1960</w:t>
      </w:r>
      <w:r w:rsidR="00680ADA" w:rsidRPr="00F1180D">
        <w:rPr>
          <w:lang w:val="fr-FR"/>
        </w:rPr>
        <w:t>,</w:t>
      </w:r>
      <w:r w:rsidRPr="00F1180D">
        <w:rPr>
          <w:lang w:val="fr-FR"/>
        </w:rPr>
        <w:t xml:space="preserve"> qui dispose ce qui suit</w:t>
      </w:r>
      <w:r w:rsidR="00680ADA" w:rsidRPr="00F1180D">
        <w:rPr>
          <w:lang w:val="fr-FR"/>
        </w:rPr>
        <w:t>:</w:t>
      </w:r>
      <w:r w:rsidRPr="00F1180D">
        <w:rPr>
          <w:lang w:val="fr-FR"/>
        </w:rPr>
        <w:t xml:space="preserve"> </w:t>
      </w:r>
      <w:r w:rsidR="00680ADA" w:rsidRPr="00F1180D">
        <w:rPr>
          <w:lang w:val="fr-FR"/>
        </w:rPr>
        <w:t>«</w:t>
      </w:r>
      <w:r w:rsidRPr="00F1180D">
        <w:rPr>
          <w:lang w:val="fr-FR"/>
        </w:rPr>
        <w:t>Quiconque commet un homicide volontaire est passible de la peine de mort ou de la prison à perpétuité</w:t>
      </w:r>
      <w:r w:rsidR="00680ADA" w:rsidRPr="00F1180D">
        <w:rPr>
          <w:lang w:val="fr-FR"/>
        </w:rPr>
        <w:t>»</w:t>
      </w:r>
      <w:r w:rsidRPr="00F1180D">
        <w:rPr>
          <w:lang w:val="fr-FR"/>
        </w:rPr>
        <w:t>.</w:t>
      </w:r>
    </w:p>
    <w:p w:rsidR="000C6D4A" w:rsidRPr="00F1180D" w:rsidRDefault="000C6D4A" w:rsidP="00776917">
      <w:pPr>
        <w:pStyle w:val="SingleTxtG"/>
        <w:ind w:left="1701"/>
        <w:rPr>
          <w:rtl/>
          <w:lang w:val="fr-FR" w:bidi="fr-FR"/>
        </w:rPr>
      </w:pPr>
      <w:r w:rsidRPr="00F1180D">
        <w:rPr>
          <w:lang w:val="fr-FR"/>
        </w:rPr>
        <w:tab/>
        <w:t>Aux termes de l</w:t>
      </w:r>
      <w:r w:rsidR="00680ADA" w:rsidRPr="00F1180D">
        <w:rPr>
          <w:lang w:val="fr-FR"/>
        </w:rPr>
        <w:t>’</w:t>
      </w:r>
      <w:r w:rsidR="00163207" w:rsidRPr="00F1180D">
        <w:rPr>
          <w:lang w:val="fr-FR"/>
        </w:rPr>
        <w:t>article </w:t>
      </w:r>
      <w:r w:rsidRPr="00F1180D">
        <w:rPr>
          <w:lang w:val="fr-FR"/>
        </w:rPr>
        <w:t>149 bis du même Code</w:t>
      </w:r>
      <w:r w:rsidR="00680ADA" w:rsidRPr="00F1180D">
        <w:rPr>
          <w:lang w:val="fr-FR"/>
        </w:rPr>
        <w:t>:</w:t>
      </w:r>
      <w:r w:rsidRPr="00F1180D">
        <w:rPr>
          <w:lang w:val="fr-FR"/>
        </w:rPr>
        <w:t xml:space="preserve"> </w:t>
      </w:r>
      <w:r w:rsidR="00680ADA" w:rsidRPr="00F1180D">
        <w:rPr>
          <w:lang w:val="fr-FR"/>
        </w:rPr>
        <w:t>«</w:t>
      </w:r>
      <w:r w:rsidRPr="00F1180D">
        <w:rPr>
          <w:lang w:val="fr-FR"/>
        </w:rPr>
        <w:t>Quiconque commet un homicide volontaire au moyen de substances entraînant la mort à plus ou moins long terme est passible de la peine de mort</w:t>
      </w:r>
      <w:r w:rsidR="00680ADA" w:rsidRPr="00F1180D">
        <w:rPr>
          <w:lang w:val="fr-FR"/>
        </w:rPr>
        <w:t>»</w:t>
      </w:r>
      <w:r w:rsidRPr="00F1180D">
        <w:rPr>
          <w:lang w:val="fr-FR"/>
        </w:rPr>
        <w:t>.</w:t>
      </w:r>
    </w:p>
    <w:p w:rsidR="000C6D4A" w:rsidRPr="00F1180D" w:rsidRDefault="00776917" w:rsidP="00776917">
      <w:pPr>
        <w:pStyle w:val="SingleTxtG"/>
        <w:ind w:left="1701"/>
        <w:rPr>
          <w:rtl/>
          <w:lang w:val="fr-FR" w:bidi="fr-FR"/>
        </w:rPr>
      </w:pPr>
      <w:r w:rsidRPr="00F1180D">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152 dudit Code dispose ce qui suit</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Quiconque frappe ou blesse autrui ou lui fournit des stupéfiants sans intention de le tuer est passible</w:t>
      </w:r>
      <w:r w:rsidR="00680ADA" w:rsidRPr="00F1180D">
        <w:rPr>
          <w:lang w:val="fr-FR"/>
        </w:rPr>
        <w:t>,</w:t>
      </w:r>
      <w:r w:rsidR="000C6D4A" w:rsidRPr="00F1180D">
        <w:rPr>
          <w:lang w:val="fr-FR"/>
        </w:rPr>
        <w:t xml:space="preserve"> si les faits entraînent la mort de la victime</w:t>
      </w:r>
      <w:r w:rsidR="00680ADA" w:rsidRPr="00F1180D">
        <w:rPr>
          <w:lang w:val="fr-FR"/>
        </w:rPr>
        <w:t>,</w:t>
      </w:r>
      <w:r w:rsidR="000C6D4A" w:rsidRPr="00F1180D">
        <w:rPr>
          <w:lang w:val="fr-FR"/>
        </w:rPr>
        <w:t xml:space="preserve"> d</w:t>
      </w:r>
      <w:r w:rsidR="00680ADA" w:rsidRPr="00F1180D">
        <w:rPr>
          <w:lang w:val="fr-FR"/>
        </w:rPr>
        <w:t>’</w:t>
      </w:r>
      <w:r w:rsidR="000C6D4A" w:rsidRPr="00F1180D">
        <w:rPr>
          <w:lang w:val="fr-FR"/>
        </w:rPr>
        <w:t>une peine de prison pouvant aller jusqu</w:t>
      </w:r>
      <w:r w:rsidR="00680ADA" w:rsidRPr="00F1180D">
        <w:rPr>
          <w:lang w:val="fr-FR"/>
        </w:rPr>
        <w:t>’</w:t>
      </w:r>
      <w:r w:rsidR="000C6D4A" w:rsidRPr="00F1180D">
        <w:rPr>
          <w:lang w:val="fr-FR"/>
        </w:rPr>
        <w:t>à 10</w:t>
      </w:r>
      <w:r w:rsidR="00524736" w:rsidRPr="00F1180D">
        <w:rPr>
          <w:lang w:val="fr-FR"/>
        </w:rPr>
        <w:t> ans</w:t>
      </w:r>
      <w:r w:rsidR="00680ADA" w:rsidRPr="00F1180D">
        <w:rPr>
          <w:lang w:val="fr-FR"/>
        </w:rPr>
        <w:t>»</w:t>
      </w:r>
      <w:r w:rsidR="000C6D4A" w:rsidRPr="00F1180D">
        <w:rPr>
          <w:lang w:val="fr-FR"/>
        </w:rPr>
        <w:t xml:space="preserve">. </w:t>
      </w:r>
    </w:p>
    <w:p w:rsidR="000C6D4A" w:rsidRPr="00F1180D" w:rsidRDefault="00F94BF1" w:rsidP="00776917">
      <w:pPr>
        <w:pStyle w:val="SingleTxtG"/>
        <w:ind w:left="1701"/>
        <w:rPr>
          <w:rtl/>
          <w:lang w:val="fr-FR" w:bidi="fr-FR"/>
        </w:rPr>
      </w:pPr>
      <w:r w:rsidRPr="00F1180D">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154 du même texte prévoit ce qui suit</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Quiconque</w:t>
      </w:r>
      <w:r w:rsidR="00680ADA" w:rsidRPr="00F1180D">
        <w:rPr>
          <w:lang w:val="fr-FR"/>
        </w:rPr>
        <w:t>,</w:t>
      </w:r>
      <w:r w:rsidR="000C6D4A" w:rsidRPr="00F1180D">
        <w:rPr>
          <w:lang w:val="fr-FR"/>
        </w:rPr>
        <w:t xml:space="preserve"> par maladresse</w:t>
      </w:r>
      <w:r w:rsidR="00680ADA" w:rsidRPr="00F1180D">
        <w:rPr>
          <w:lang w:val="fr-FR"/>
        </w:rPr>
        <w:t>,</w:t>
      </w:r>
      <w:r w:rsidR="000C6D4A" w:rsidRPr="00F1180D">
        <w:rPr>
          <w:lang w:val="fr-FR"/>
        </w:rPr>
        <w:t xml:space="preserve"> imprudence</w:t>
      </w:r>
      <w:r w:rsidR="00680ADA" w:rsidRPr="00F1180D">
        <w:rPr>
          <w:lang w:val="fr-FR"/>
        </w:rPr>
        <w:t>,</w:t>
      </w:r>
      <w:r w:rsidR="000C6D4A" w:rsidRPr="00F1180D">
        <w:rPr>
          <w:lang w:val="fr-FR"/>
        </w:rPr>
        <w:t xml:space="preserve"> inattention</w:t>
      </w:r>
      <w:r w:rsidR="00680ADA" w:rsidRPr="00F1180D">
        <w:rPr>
          <w:lang w:val="fr-FR"/>
        </w:rPr>
        <w:t>,</w:t>
      </w:r>
      <w:r w:rsidR="000C6D4A" w:rsidRPr="00F1180D">
        <w:rPr>
          <w:lang w:val="fr-FR"/>
        </w:rPr>
        <w:t xml:space="preserve"> négligence ou inobservance des règlements</w:t>
      </w:r>
      <w:r w:rsidR="00680ADA" w:rsidRPr="00F1180D">
        <w:rPr>
          <w:lang w:val="fr-FR"/>
        </w:rPr>
        <w:t>,</w:t>
      </w:r>
      <w:r w:rsidR="000C6D4A" w:rsidRPr="00F1180D">
        <w:rPr>
          <w:lang w:val="fr-FR"/>
        </w:rPr>
        <w:t xml:space="preserve"> commet involontairement un homicide ou en est involontairement la cause</w:t>
      </w:r>
      <w:r w:rsidR="00680ADA" w:rsidRPr="00F1180D">
        <w:rPr>
          <w:lang w:val="fr-FR"/>
        </w:rPr>
        <w:t>,</w:t>
      </w:r>
      <w:r w:rsidR="000C6D4A" w:rsidRPr="00F1180D">
        <w:rPr>
          <w:lang w:val="fr-FR"/>
        </w:rPr>
        <w:t xml:space="preserve"> est passible d</w:t>
      </w:r>
      <w:r w:rsidR="00680ADA" w:rsidRPr="00F1180D">
        <w:rPr>
          <w:lang w:val="fr-FR"/>
        </w:rPr>
        <w:t>’</w:t>
      </w:r>
      <w:r w:rsidR="000C6D4A" w:rsidRPr="00F1180D">
        <w:rPr>
          <w:lang w:val="fr-FR"/>
        </w:rPr>
        <w:t>une peine de prison pouvant aller jusqu</w:t>
      </w:r>
      <w:r w:rsidR="00680ADA" w:rsidRPr="00F1180D">
        <w:rPr>
          <w:lang w:val="fr-FR"/>
        </w:rPr>
        <w:t>’</w:t>
      </w:r>
      <w:r w:rsidR="000C6D4A" w:rsidRPr="00F1180D">
        <w:rPr>
          <w:lang w:val="fr-FR"/>
        </w:rPr>
        <w:t>à 3</w:t>
      </w:r>
      <w:r w:rsidR="00524736" w:rsidRPr="00F1180D">
        <w:rPr>
          <w:lang w:val="fr-FR"/>
        </w:rPr>
        <w:t> ans</w:t>
      </w:r>
      <w:r w:rsidR="00680ADA" w:rsidRPr="00F1180D">
        <w:rPr>
          <w:lang w:val="fr-FR"/>
        </w:rPr>
        <w:t>»;</w:t>
      </w:r>
      <w:r w:rsidR="000C6D4A" w:rsidRPr="00F1180D">
        <w:rPr>
          <w:lang w:val="fr-FR"/>
        </w:rPr>
        <w:t xml:space="preserve"> tandis que l</w:t>
      </w:r>
      <w:r w:rsidR="00680ADA" w:rsidRPr="00F1180D">
        <w:rPr>
          <w:lang w:val="fr-FR"/>
        </w:rPr>
        <w:t>’</w:t>
      </w:r>
      <w:r w:rsidR="00163207" w:rsidRPr="00F1180D">
        <w:rPr>
          <w:lang w:val="fr-FR"/>
        </w:rPr>
        <w:t>article </w:t>
      </w:r>
      <w:r w:rsidR="000C6D4A" w:rsidRPr="00F1180D">
        <w:rPr>
          <w:lang w:val="fr-FR"/>
        </w:rPr>
        <w:t>158 incrimine l</w:t>
      </w:r>
      <w:r w:rsidR="00680ADA" w:rsidRPr="00F1180D">
        <w:rPr>
          <w:lang w:val="fr-FR"/>
        </w:rPr>
        <w:t>’</w:t>
      </w:r>
      <w:r w:rsidR="000C6D4A" w:rsidRPr="00F1180D">
        <w:rPr>
          <w:lang w:val="fr-FR"/>
        </w:rPr>
        <w:t>instigation d</w:t>
      </w:r>
      <w:r w:rsidR="00680ADA" w:rsidRPr="00F1180D">
        <w:rPr>
          <w:lang w:val="fr-FR"/>
        </w:rPr>
        <w:t>’</w:t>
      </w:r>
      <w:r w:rsidR="000C6D4A" w:rsidRPr="00F1180D">
        <w:rPr>
          <w:lang w:val="fr-FR"/>
        </w:rPr>
        <w:t>autrui à se suicider en cas de décès de la personne ayant été incitée à commettre un tel acte.</w:t>
      </w:r>
    </w:p>
    <w:p w:rsidR="000C6D4A" w:rsidRPr="00F1180D" w:rsidRDefault="00F94BF1" w:rsidP="00776917">
      <w:pPr>
        <w:pStyle w:val="SingleTxtG"/>
        <w:ind w:left="1701"/>
        <w:rPr>
          <w:rtl/>
          <w:lang w:val="fr-FR" w:bidi="fr-FR"/>
        </w:rPr>
      </w:pPr>
      <w:r w:rsidRPr="00F1180D">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160 du même Code dispose ce qui suit</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Quiconque frappe ou blesse autrui</w:t>
      </w:r>
      <w:r w:rsidR="00680ADA" w:rsidRPr="00F1180D">
        <w:rPr>
          <w:lang w:val="fr-FR"/>
        </w:rPr>
        <w:t>,</w:t>
      </w:r>
      <w:r w:rsidR="000C6D4A" w:rsidRPr="00F1180D">
        <w:rPr>
          <w:lang w:val="fr-FR"/>
        </w:rPr>
        <w:t xml:space="preserve"> ou porte sensiblement atteinte à son intégrité physique</w:t>
      </w:r>
      <w:r w:rsidR="00680ADA" w:rsidRPr="00F1180D">
        <w:rPr>
          <w:lang w:val="fr-FR"/>
        </w:rPr>
        <w:t>,</w:t>
      </w:r>
      <w:r w:rsidR="000C6D4A" w:rsidRPr="00F1180D">
        <w:rPr>
          <w:lang w:val="fr-FR"/>
        </w:rPr>
        <w:t xml:space="preserve"> est passible d</w:t>
      </w:r>
      <w:r w:rsidR="00680ADA" w:rsidRPr="00F1180D">
        <w:rPr>
          <w:lang w:val="fr-FR"/>
        </w:rPr>
        <w:t>’</w:t>
      </w:r>
      <w:r w:rsidR="000C6D4A" w:rsidRPr="00F1180D">
        <w:rPr>
          <w:lang w:val="fr-FR"/>
        </w:rPr>
        <w:t>une peine de prison ne pouvant aller jusqu</w:t>
      </w:r>
      <w:r w:rsidR="00680ADA" w:rsidRPr="00F1180D">
        <w:rPr>
          <w:lang w:val="fr-FR"/>
        </w:rPr>
        <w:t>’</w:t>
      </w:r>
      <w:r w:rsidR="000C6D4A" w:rsidRPr="00F1180D">
        <w:rPr>
          <w:lang w:val="fr-FR"/>
        </w:rPr>
        <w:t>à deux</w:t>
      </w:r>
      <w:r w:rsidR="00524736" w:rsidRPr="00F1180D">
        <w:rPr>
          <w:lang w:val="fr-FR"/>
        </w:rPr>
        <w:t> ans</w:t>
      </w:r>
      <w:r w:rsidR="00680ADA" w:rsidRPr="00F1180D">
        <w:rPr>
          <w:lang w:val="fr-FR"/>
        </w:rPr>
        <w:t>»</w:t>
      </w:r>
      <w:r w:rsidR="000C6D4A" w:rsidRPr="00F1180D">
        <w:rPr>
          <w:lang w:val="fr-FR"/>
        </w:rPr>
        <w:t xml:space="preserve">. </w:t>
      </w:r>
    </w:p>
    <w:p w:rsidR="000C6D4A" w:rsidRPr="00F1180D" w:rsidRDefault="00F94BF1" w:rsidP="00776917">
      <w:pPr>
        <w:pStyle w:val="SingleTxtG"/>
        <w:ind w:left="1701"/>
        <w:rPr>
          <w:rtl/>
          <w:lang w:val="fr-FR" w:bidi="fr-FR"/>
        </w:rPr>
      </w:pPr>
      <w:r w:rsidRPr="00F1180D">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161 dispose ce qui suit</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Quiconque occasionne à autrui un préjudice grave au moyen d</w:t>
      </w:r>
      <w:r w:rsidR="00680ADA" w:rsidRPr="00F1180D">
        <w:rPr>
          <w:lang w:val="fr-FR"/>
        </w:rPr>
        <w:t>’</w:t>
      </w:r>
      <w:r w:rsidR="000C6D4A" w:rsidRPr="00F1180D">
        <w:rPr>
          <w:lang w:val="fr-FR"/>
        </w:rPr>
        <w:t>un type quelconque d</w:t>
      </w:r>
      <w:r w:rsidR="00680ADA" w:rsidRPr="00F1180D">
        <w:rPr>
          <w:lang w:val="fr-FR"/>
        </w:rPr>
        <w:t>’</w:t>
      </w:r>
      <w:r w:rsidR="000C6D4A" w:rsidRPr="00F1180D">
        <w:rPr>
          <w:lang w:val="fr-FR"/>
        </w:rPr>
        <w:t>arme à feu</w:t>
      </w:r>
      <w:r w:rsidR="00680ADA" w:rsidRPr="00F1180D">
        <w:rPr>
          <w:lang w:val="fr-FR"/>
        </w:rPr>
        <w:t>,</w:t>
      </w:r>
      <w:r w:rsidR="000C6D4A" w:rsidRPr="00F1180D">
        <w:rPr>
          <w:lang w:val="fr-FR"/>
        </w:rPr>
        <w:t xml:space="preserve"> d</w:t>
      </w:r>
      <w:r w:rsidR="00680ADA" w:rsidRPr="00F1180D">
        <w:rPr>
          <w:lang w:val="fr-FR"/>
        </w:rPr>
        <w:t>’</w:t>
      </w:r>
      <w:r w:rsidR="000C6D4A" w:rsidRPr="00F1180D">
        <w:rPr>
          <w:lang w:val="fr-FR"/>
        </w:rPr>
        <w:t>un couteau ou d</w:t>
      </w:r>
      <w:r w:rsidR="00680ADA" w:rsidRPr="00F1180D">
        <w:rPr>
          <w:lang w:val="fr-FR"/>
        </w:rPr>
        <w:t>’</w:t>
      </w:r>
      <w:r w:rsidR="000C6D4A" w:rsidRPr="00F1180D">
        <w:rPr>
          <w:lang w:val="fr-FR"/>
        </w:rPr>
        <w:t>un liquide inflammable</w:t>
      </w:r>
      <w:r w:rsidR="00680ADA" w:rsidRPr="00F1180D">
        <w:rPr>
          <w:lang w:val="fr-FR"/>
        </w:rPr>
        <w:t>,</w:t>
      </w:r>
      <w:r w:rsidR="000C6D4A" w:rsidRPr="00F1180D">
        <w:rPr>
          <w:lang w:val="fr-FR"/>
        </w:rPr>
        <w:t xml:space="preserve"> ou qui dépose en un lieu donné un tel liquide ou toute autre substance explosive en vue de lui nuire</w:t>
      </w:r>
      <w:r w:rsidR="00680ADA" w:rsidRPr="00F1180D">
        <w:rPr>
          <w:lang w:val="fr-FR"/>
        </w:rPr>
        <w:t>,</w:t>
      </w:r>
      <w:r w:rsidR="000C6D4A" w:rsidRPr="00F1180D">
        <w:rPr>
          <w:lang w:val="fr-FR"/>
        </w:rPr>
        <w:t xml:space="preserve"> ou lui fournit les stupéfiants qui sont à l</w:t>
      </w:r>
      <w:r w:rsidR="00680ADA" w:rsidRPr="00F1180D">
        <w:rPr>
          <w:lang w:val="fr-FR"/>
        </w:rPr>
        <w:t>’</w:t>
      </w:r>
      <w:r w:rsidR="000C6D4A" w:rsidRPr="00F1180D">
        <w:rPr>
          <w:lang w:val="fr-FR"/>
        </w:rPr>
        <w:t>origine dudit préjudice grave</w:t>
      </w:r>
      <w:r w:rsidR="00680ADA" w:rsidRPr="00F1180D">
        <w:rPr>
          <w:lang w:val="fr-FR"/>
        </w:rPr>
        <w:t>,</w:t>
      </w:r>
      <w:r w:rsidR="000C6D4A" w:rsidRPr="00F1180D">
        <w:rPr>
          <w:lang w:val="fr-FR"/>
        </w:rPr>
        <w:t xml:space="preserve"> est passible d</w:t>
      </w:r>
      <w:r w:rsidR="00680ADA" w:rsidRPr="00F1180D">
        <w:rPr>
          <w:lang w:val="fr-FR"/>
        </w:rPr>
        <w:t>’</w:t>
      </w:r>
      <w:r w:rsidR="000C6D4A" w:rsidRPr="00F1180D">
        <w:rPr>
          <w:lang w:val="fr-FR"/>
        </w:rPr>
        <w:t>une peine de prison pouvant aller jusqu</w:t>
      </w:r>
      <w:r w:rsidR="00680ADA" w:rsidRPr="00F1180D">
        <w:rPr>
          <w:lang w:val="fr-FR"/>
        </w:rPr>
        <w:t>’</w:t>
      </w:r>
      <w:r w:rsidR="000C6D4A" w:rsidRPr="00F1180D">
        <w:rPr>
          <w:lang w:val="fr-FR"/>
        </w:rPr>
        <w:t>à 10</w:t>
      </w:r>
      <w:r w:rsidR="00524736" w:rsidRPr="00F1180D">
        <w:rPr>
          <w:lang w:val="fr-FR"/>
        </w:rPr>
        <w:t> ans</w:t>
      </w:r>
      <w:r w:rsidR="00680ADA" w:rsidRPr="00F1180D">
        <w:rPr>
          <w:lang w:val="fr-FR"/>
        </w:rPr>
        <w:t>»</w:t>
      </w:r>
      <w:r w:rsidR="000C6D4A" w:rsidRPr="00F1180D">
        <w:rPr>
          <w:lang w:val="fr-FR"/>
        </w:rPr>
        <w:t>.</w:t>
      </w:r>
    </w:p>
    <w:p w:rsidR="000C6D4A" w:rsidRPr="00F1180D" w:rsidRDefault="00F94BF1" w:rsidP="00F94BF1">
      <w:pPr>
        <w:pStyle w:val="SingleTxtG"/>
        <w:ind w:left="1701"/>
        <w:rPr>
          <w:rtl/>
          <w:lang w:val="fr-FR" w:bidi="fr-FR"/>
        </w:rPr>
      </w:pPr>
      <w:r w:rsidRPr="00F1180D">
        <w:rPr>
          <w:lang w:val="fr-FR"/>
        </w:rPr>
        <w:tab/>
      </w:r>
      <w:r w:rsidR="000C6D4A" w:rsidRPr="00F1180D">
        <w:rPr>
          <w:lang w:val="fr-FR"/>
        </w:rPr>
        <w:t>Aux termes de l</w:t>
      </w:r>
      <w:r w:rsidR="00680ADA" w:rsidRPr="00F1180D">
        <w:rPr>
          <w:lang w:val="fr-FR"/>
        </w:rPr>
        <w:t>’</w:t>
      </w:r>
      <w:r w:rsidR="00163207" w:rsidRPr="00F1180D">
        <w:rPr>
          <w:lang w:val="fr-FR"/>
        </w:rPr>
        <w:t>article </w:t>
      </w:r>
      <w:r w:rsidR="000C6D4A" w:rsidRPr="00F1180D">
        <w:rPr>
          <w:lang w:val="fr-FR"/>
        </w:rPr>
        <w:t>162</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Quiconque cause à autrui des lésions entraînant une infirmité permanente est passible d</w:t>
      </w:r>
      <w:r w:rsidR="00680ADA" w:rsidRPr="00F1180D">
        <w:rPr>
          <w:lang w:val="fr-FR"/>
        </w:rPr>
        <w:t>’</w:t>
      </w:r>
      <w:r w:rsidR="000C6D4A" w:rsidRPr="00F1180D">
        <w:rPr>
          <w:lang w:val="fr-FR"/>
        </w:rPr>
        <w:t>une peine d</w:t>
      </w:r>
      <w:r w:rsidR="00680ADA" w:rsidRPr="00F1180D">
        <w:rPr>
          <w:lang w:val="fr-FR"/>
        </w:rPr>
        <w:t>’</w:t>
      </w:r>
      <w:r w:rsidR="000C6D4A" w:rsidRPr="00F1180D">
        <w:rPr>
          <w:lang w:val="fr-FR"/>
        </w:rPr>
        <w:t>emprisonnement pouvant aller jusqu</w:t>
      </w:r>
      <w:r w:rsidR="00680ADA" w:rsidRPr="00F1180D">
        <w:rPr>
          <w:lang w:val="fr-FR"/>
        </w:rPr>
        <w:t>’</w:t>
      </w:r>
      <w:r w:rsidR="000C6D4A" w:rsidRPr="00F1180D">
        <w:rPr>
          <w:lang w:val="fr-FR"/>
        </w:rPr>
        <w:t>à 10</w:t>
      </w:r>
      <w:r w:rsidR="00524736" w:rsidRPr="00F1180D">
        <w:rPr>
          <w:lang w:val="fr-FR"/>
        </w:rPr>
        <w:t> ans</w:t>
      </w:r>
      <w:r w:rsidR="00680ADA" w:rsidRPr="00F1180D">
        <w:rPr>
          <w:lang w:val="fr-FR"/>
        </w:rPr>
        <w:t>;</w:t>
      </w:r>
      <w:r w:rsidR="000C6D4A" w:rsidRPr="00F1180D">
        <w:rPr>
          <w:lang w:val="fr-FR"/>
        </w:rPr>
        <w:t xml:space="preserve"> si les faits occasionnent à la victime des souffrances physiques intenses ou l</w:t>
      </w:r>
      <w:r w:rsidR="00680ADA" w:rsidRPr="00F1180D">
        <w:rPr>
          <w:lang w:val="fr-FR"/>
        </w:rPr>
        <w:t>’</w:t>
      </w:r>
      <w:r w:rsidR="000C6D4A" w:rsidRPr="00F1180D">
        <w:rPr>
          <w:lang w:val="fr-FR"/>
        </w:rPr>
        <w:t>empêchent d</w:t>
      </w:r>
      <w:r w:rsidR="00680ADA" w:rsidRPr="00F1180D">
        <w:rPr>
          <w:lang w:val="fr-FR"/>
        </w:rPr>
        <w:t>’</w:t>
      </w:r>
      <w:r w:rsidR="000C6D4A" w:rsidRPr="00F1180D">
        <w:rPr>
          <w:lang w:val="fr-FR"/>
        </w:rPr>
        <w:t>utiliser un ou plusieurs de ses membres de manière normale pendant plus de trente</w:t>
      </w:r>
      <w:r w:rsidR="00B2614C" w:rsidRPr="00F1180D">
        <w:rPr>
          <w:lang w:val="fr-FR"/>
        </w:rPr>
        <w:t> jours</w:t>
      </w:r>
      <w:r w:rsidR="00680ADA" w:rsidRPr="00F1180D">
        <w:rPr>
          <w:lang w:val="fr-FR"/>
        </w:rPr>
        <w:t>,</w:t>
      </w:r>
      <w:r w:rsidR="000C6D4A" w:rsidRPr="00F1180D">
        <w:rPr>
          <w:lang w:val="fr-FR"/>
        </w:rPr>
        <w:t xml:space="preserve"> mais sans entraîner d</w:t>
      </w:r>
      <w:r w:rsidR="00680ADA" w:rsidRPr="00F1180D">
        <w:rPr>
          <w:lang w:val="fr-FR"/>
        </w:rPr>
        <w:t>’</w:t>
      </w:r>
      <w:r w:rsidR="000C6D4A" w:rsidRPr="00F1180D">
        <w:rPr>
          <w:lang w:val="fr-FR"/>
        </w:rPr>
        <w:t>infirmité permanente</w:t>
      </w:r>
      <w:r w:rsidR="00680ADA" w:rsidRPr="00F1180D">
        <w:rPr>
          <w:lang w:val="fr-FR"/>
        </w:rPr>
        <w:t>,</w:t>
      </w:r>
      <w:r w:rsidR="000C6D4A" w:rsidRPr="00F1180D">
        <w:rPr>
          <w:lang w:val="fr-FR"/>
        </w:rPr>
        <w:t xml:space="preserve"> la peine d</w:t>
      </w:r>
      <w:r w:rsidR="00680ADA" w:rsidRPr="00F1180D">
        <w:rPr>
          <w:lang w:val="fr-FR"/>
        </w:rPr>
        <w:t>’</w:t>
      </w:r>
      <w:r w:rsidR="000C6D4A" w:rsidRPr="00F1180D">
        <w:rPr>
          <w:lang w:val="fr-FR"/>
        </w:rPr>
        <w:t>emprisonnement peut aller jusqu</w:t>
      </w:r>
      <w:r w:rsidR="00680ADA" w:rsidRPr="00F1180D">
        <w:rPr>
          <w:lang w:val="fr-FR"/>
        </w:rPr>
        <w:t>’</w:t>
      </w:r>
      <w:r w:rsidR="000C6D4A" w:rsidRPr="00F1180D">
        <w:rPr>
          <w:lang w:val="fr-FR"/>
        </w:rPr>
        <w:t>à 5</w:t>
      </w:r>
      <w:r w:rsidR="00524736" w:rsidRPr="00F1180D">
        <w:rPr>
          <w:lang w:val="fr-FR"/>
        </w:rPr>
        <w:t> ans</w:t>
      </w:r>
      <w:r w:rsidRPr="00F1180D">
        <w:rPr>
          <w:lang w:val="fr-FR"/>
        </w:rPr>
        <w:t>.</w:t>
      </w:r>
      <w:r w:rsidR="000C6D4A" w:rsidRPr="00F1180D">
        <w:rPr>
          <w:lang w:val="fr-FR"/>
        </w:rPr>
        <w:t>»</w:t>
      </w:r>
    </w:p>
    <w:p w:rsidR="000C6D4A" w:rsidRPr="00F1180D" w:rsidRDefault="00F94BF1" w:rsidP="00F94BF1">
      <w:pPr>
        <w:pStyle w:val="SingleTxtG"/>
        <w:ind w:left="1701"/>
        <w:rPr>
          <w:rtl/>
          <w:lang w:val="fr-FR" w:bidi="fr-FR"/>
        </w:rPr>
      </w:pPr>
      <w:r w:rsidRPr="00F1180D">
        <w:rPr>
          <w:lang w:val="fr-FR"/>
        </w:rPr>
        <w:lastRenderedPageBreak/>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163 dispose ce qui suit</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Quiconque commet une agression dont la gravité n</w:t>
      </w:r>
      <w:r w:rsidR="00680ADA" w:rsidRPr="00F1180D">
        <w:rPr>
          <w:lang w:val="fr-FR"/>
        </w:rPr>
        <w:t>’</w:t>
      </w:r>
      <w:r w:rsidR="000C6D4A" w:rsidRPr="00F1180D">
        <w:rPr>
          <w:lang w:val="fr-FR"/>
        </w:rPr>
        <w:t xml:space="preserve">atteint pas celle des actes visés dans les </w:t>
      </w:r>
      <w:r w:rsidR="00DE029F" w:rsidRPr="00F1180D">
        <w:rPr>
          <w:lang w:val="fr-FR"/>
        </w:rPr>
        <w:t>articles </w:t>
      </w:r>
      <w:r w:rsidR="000C6D4A" w:rsidRPr="00F1180D">
        <w:rPr>
          <w:lang w:val="fr-FR"/>
        </w:rPr>
        <w:t>précédents est passible d</w:t>
      </w:r>
      <w:r w:rsidR="00680ADA" w:rsidRPr="00F1180D">
        <w:rPr>
          <w:lang w:val="fr-FR"/>
        </w:rPr>
        <w:t>’</w:t>
      </w:r>
      <w:r w:rsidR="000C6D4A" w:rsidRPr="00F1180D">
        <w:rPr>
          <w:lang w:val="fr-FR"/>
        </w:rPr>
        <w:t>une peine de prison pouvant aller jusqu</w:t>
      </w:r>
      <w:r w:rsidR="00680ADA" w:rsidRPr="00F1180D">
        <w:rPr>
          <w:lang w:val="fr-FR"/>
        </w:rPr>
        <w:t>’</w:t>
      </w:r>
      <w:r w:rsidR="000C6D4A" w:rsidRPr="00F1180D">
        <w:rPr>
          <w:lang w:val="fr-FR"/>
        </w:rPr>
        <w:t>à trois mois</w:t>
      </w:r>
      <w:r w:rsidRPr="00F1180D">
        <w:rPr>
          <w:lang w:val="fr-FR"/>
        </w:rPr>
        <w:t>.</w:t>
      </w:r>
      <w:r w:rsidR="00680ADA" w:rsidRPr="00F1180D">
        <w:rPr>
          <w:lang w:val="fr-FR"/>
        </w:rPr>
        <w:t>»</w:t>
      </w:r>
    </w:p>
    <w:p w:rsidR="000C6D4A" w:rsidRPr="00F1180D" w:rsidRDefault="00F94BF1" w:rsidP="00F94BF1">
      <w:pPr>
        <w:pStyle w:val="SingleTxtG"/>
        <w:ind w:left="1701"/>
        <w:rPr>
          <w:rtl/>
          <w:lang w:val="fr-FR" w:bidi="fr-FR"/>
        </w:rPr>
      </w:pPr>
      <w:r w:rsidRPr="00F1180D">
        <w:rPr>
          <w:lang w:val="fr-FR"/>
        </w:rPr>
        <w:tab/>
      </w:r>
      <w:r w:rsidR="000C6D4A" w:rsidRPr="00F1180D">
        <w:rPr>
          <w:lang w:val="fr-FR"/>
        </w:rPr>
        <w:t>Selon l</w:t>
      </w:r>
      <w:r w:rsidR="00680ADA" w:rsidRPr="00F1180D">
        <w:rPr>
          <w:lang w:val="fr-FR"/>
        </w:rPr>
        <w:t>’</w:t>
      </w:r>
      <w:r w:rsidR="00163207" w:rsidRPr="00F1180D">
        <w:rPr>
          <w:lang w:val="fr-FR"/>
        </w:rPr>
        <w:t>article </w:t>
      </w:r>
      <w:r w:rsidR="000C6D4A" w:rsidRPr="00F1180D">
        <w:rPr>
          <w:lang w:val="fr-FR"/>
        </w:rPr>
        <w:t>164</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Quiconque occasionne involontairement à autrui des blessures ou autres dommages sensibles</w:t>
      </w:r>
      <w:r w:rsidR="00680ADA" w:rsidRPr="00F1180D">
        <w:rPr>
          <w:lang w:val="fr-FR"/>
        </w:rPr>
        <w:t>,</w:t>
      </w:r>
      <w:r w:rsidR="000C6D4A" w:rsidRPr="00F1180D">
        <w:rPr>
          <w:lang w:val="fr-FR"/>
        </w:rPr>
        <w:t xml:space="preserve"> qu</w:t>
      </w:r>
      <w:r w:rsidR="00680ADA" w:rsidRPr="00F1180D">
        <w:rPr>
          <w:lang w:val="fr-FR"/>
        </w:rPr>
        <w:t>’</w:t>
      </w:r>
      <w:r w:rsidR="000C6D4A" w:rsidRPr="00F1180D">
        <w:rPr>
          <w:lang w:val="fr-FR"/>
        </w:rPr>
        <w:t>ils résultent de la distraction</w:t>
      </w:r>
      <w:r w:rsidR="00680ADA" w:rsidRPr="00F1180D">
        <w:rPr>
          <w:lang w:val="fr-FR"/>
        </w:rPr>
        <w:t>,</w:t>
      </w:r>
      <w:r w:rsidR="000C6D4A" w:rsidRPr="00F1180D">
        <w:rPr>
          <w:lang w:val="fr-FR"/>
        </w:rPr>
        <w:t xml:space="preserve"> de la négligence</w:t>
      </w:r>
      <w:r w:rsidR="00680ADA" w:rsidRPr="00F1180D">
        <w:rPr>
          <w:lang w:val="fr-FR"/>
        </w:rPr>
        <w:t>,</w:t>
      </w:r>
      <w:r w:rsidR="000C6D4A" w:rsidRPr="00F1180D">
        <w:rPr>
          <w:lang w:val="fr-FR"/>
        </w:rPr>
        <w:t xml:space="preserve"> du désintérêt ou du </w:t>
      </w:r>
      <w:r w:rsidR="00F1180D" w:rsidRPr="00F1180D">
        <w:rPr>
          <w:lang w:val="fr-FR"/>
        </w:rPr>
        <w:t>non-respect</w:t>
      </w:r>
      <w:r w:rsidR="000C6D4A" w:rsidRPr="00F1180D">
        <w:rPr>
          <w:lang w:val="fr-FR"/>
        </w:rPr>
        <w:t xml:space="preserve"> des règlements</w:t>
      </w:r>
      <w:r w:rsidR="00680ADA" w:rsidRPr="00F1180D">
        <w:rPr>
          <w:lang w:val="fr-FR"/>
        </w:rPr>
        <w:t>,</w:t>
      </w:r>
      <w:r w:rsidR="000C6D4A" w:rsidRPr="00F1180D">
        <w:rPr>
          <w:lang w:val="fr-FR"/>
        </w:rPr>
        <w:t xml:space="preserve"> est passible d</w:t>
      </w:r>
      <w:r w:rsidR="00680ADA" w:rsidRPr="00F1180D">
        <w:rPr>
          <w:lang w:val="fr-FR"/>
        </w:rPr>
        <w:t>’</w:t>
      </w:r>
      <w:r w:rsidR="000C6D4A" w:rsidRPr="00F1180D">
        <w:rPr>
          <w:lang w:val="fr-FR"/>
        </w:rPr>
        <w:t>une peine de prison pouvant aller jusqu</w:t>
      </w:r>
      <w:r w:rsidR="00680ADA" w:rsidRPr="00F1180D">
        <w:rPr>
          <w:lang w:val="fr-FR"/>
        </w:rPr>
        <w:t>’</w:t>
      </w:r>
      <w:r w:rsidR="000C6D4A" w:rsidRPr="00F1180D">
        <w:rPr>
          <w:lang w:val="fr-FR"/>
        </w:rPr>
        <w:t>à un an</w:t>
      </w:r>
      <w:r w:rsidR="00680ADA" w:rsidRPr="00F1180D">
        <w:rPr>
          <w:lang w:val="fr-FR"/>
        </w:rPr>
        <w:t>»</w:t>
      </w:r>
      <w:r w:rsidR="000C6D4A" w:rsidRPr="00F1180D">
        <w:rPr>
          <w:lang w:val="fr-FR"/>
        </w:rPr>
        <w:t xml:space="preserve">. </w:t>
      </w:r>
    </w:p>
    <w:p w:rsidR="000C6D4A" w:rsidRPr="00F1180D" w:rsidRDefault="00F94BF1" w:rsidP="00F94BF1">
      <w:pPr>
        <w:pStyle w:val="SingleTxtG"/>
        <w:ind w:left="1701"/>
        <w:rPr>
          <w:lang w:val="fr-FR"/>
        </w:rPr>
      </w:pPr>
      <w:r w:rsidRPr="00F1180D">
        <w:rPr>
          <w:lang w:val="fr-FR"/>
        </w:rPr>
        <w:tab/>
      </w:r>
      <w:r w:rsidR="000C6D4A" w:rsidRPr="00F1180D">
        <w:rPr>
          <w:lang w:val="fr-FR"/>
        </w:rPr>
        <w:t>Il ressort des dispositions précitées que le législateur koweïtien n</w:t>
      </w:r>
      <w:r w:rsidR="00680ADA" w:rsidRPr="00F1180D">
        <w:rPr>
          <w:lang w:val="fr-FR"/>
        </w:rPr>
        <w:t>’</w:t>
      </w:r>
      <w:r w:rsidR="000C6D4A" w:rsidRPr="00F1180D">
        <w:rPr>
          <w:lang w:val="fr-FR"/>
        </w:rPr>
        <w:t>a pas fait de distinction entre les auteurs de crimes d</w:t>
      </w:r>
      <w:r w:rsidR="00680ADA" w:rsidRPr="00F1180D">
        <w:rPr>
          <w:lang w:val="fr-FR"/>
        </w:rPr>
        <w:t>’</w:t>
      </w:r>
      <w:r w:rsidR="000C6D4A" w:rsidRPr="00F1180D">
        <w:rPr>
          <w:lang w:val="fr-FR"/>
        </w:rPr>
        <w:t>atteinte à l</w:t>
      </w:r>
      <w:r w:rsidR="00680ADA" w:rsidRPr="00F1180D">
        <w:rPr>
          <w:lang w:val="fr-FR"/>
        </w:rPr>
        <w:t>’</w:t>
      </w:r>
      <w:r w:rsidR="000C6D4A" w:rsidRPr="00F1180D">
        <w:rPr>
          <w:lang w:val="fr-FR"/>
        </w:rPr>
        <w:t>intégrité des personnes et a veillé à assurer la sécurité et l</w:t>
      </w:r>
      <w:r w:rsidR="00680ADA" w:rsidRPr="00F1180D">
        <w:rPr>
          <w:lang w:val="fr-FR"/>
        </w:rPr>
        <w:t>’</w:t>
      </w:r>
      <w:r w:rsidR="000C6D4A" w:rsidRPr="00F1180D">
        <w:rPr>
          <w:lang w:val="fr-FR"/>
        </w:rPr>
        <w:t>intégrité des personnes</w:t>
      </w:r>
      <w:r w:rsidR="00680ADA" w:rsidRPr="00F1180D">
        <w:rPr>
          <w:lang w:val="fr-FR"/>
        </w:rPr>
        <w:t>,</w:t>
      </w:r>
      <w:r w:rsidR="000C6D4A" w:rsidRPr="00F1180D">
        <w:rPr>
          <w:lang w:val="fr-FR"/>
        </w:rPr>
        <w:t xml:space="preserve"> sans aucune discrimination.</w:t>
      </w:r>
    </w:p>
    <w:p w:rsidR="00766AC3" w:rsidRPr="00F1180D" w:rsidRDefault="00766AC3" w:rsidP="00766AC3">
      <w:pPr>
        <w:pStyle w:val="H23G"/>
        <w:rPr>
          <w:b w:val="0"/>
          <w:rtl/>
          <w:lang w:val="fr-FR" w:bidi="fr-FR"/>
        </w:rPr>
      </w:pPr>
      <w:r w:rsidRPr="00F1180D">
        <w:rPr>
          <w:lang w:val="fr-FR"/>
        </w:rPr>
        <w:tab/>
      </w:r>
      <w:r w:rsidRPr="00F1180D">
        <w:rPr>
          <w:lang w:val="fr-FR"/>
        </w:rPr>
        <w:tab/>
      </w:r>
      <w:r w:rsidR="004C1D3C" w:rsidRPr="00F1180D">
        <w:rPr>
          <w:lang w:val="fr-FR" w:bidi="ar-KW"/>
        </w:rPr>
        <w:t xml:space="preserve">Paragraphe </w:t>
      </w:r>
      <w:r w:rsidRPr="00F1180D">
        <w:rPr>
          <w:lang w:val="fr-FR"/>
        </w:rPr>
        <w:t>c)</w:t>
      </w:r>
    </w:p>
    <w:p w:rsidR="000C6D4A" w:rsidRPr="00F1180D" w:rsidRDefault="00F94BF1" w:rsidP="00680ADA">
      <w:pPr>
        <w:pStyle w:val="SingleTxtG"/>
        <w:rPr>
          <w:rtl/>
          <w:lang w:val="fr-FR" w:bidi="fr-FR"/>
        </w:rPr>
      </w:pPr>
      <w:r w:rsidRPr="00F1180D">
        <w:rPr>
          <w:lang w:val="fr-FR" w:bidi="ar-KW"/>
        </w:rPr>
        <w:tab/>
      </w:r>
      <w:r w:rsidR="000C6D4A" w:rsidRPr="00F1180D">
        <w:rPr>
          <w:lang w:val="fr-FR" w:bidi="ar-KW"/>
        </w:rPr>
        <w:t>La Constitution koweïtienne et les lois pertinentes reconnaissent les droits politiques au profit de tous</w:t>
      </w:r>
      <w:r w:rsidR="00680ADA" w:rsidRPr="00F1180D">
        <w:rPr>
          <w:lang w:val="fr-FR" w:bidi="ar-KW"/>
        </w:rPr>
        <w:t>,</w:t>
      </w:r>
      <w:r w:rsidR="000C6D4A" w:rsidRPr="00F1180D">
        <w:rPr>
          <w:lang w:val="fr-FR" w:bidi="ar-KW"/>
        </w:rPr>
        <w:t xml:space="preserve"> notamment le droit de participer aux élections – de voter et d</w:t>
      </w:r>
      <w:r w:rsidR="00680ADA" w:rsidRPr="00F1180D">
        <w:rPr>
          <w:lang w:val="fr-FR" w:bidi="ar-KW"/>
        </w:rPr>
        <w:t>’</w:t>
      </w:r>
      <w:r w:rsidR="000C6D4A" w:rsidRPr="00F1180D">
        <w:rPr>
          <w:lang w:val="fr-FR" w:bidi="ar-KW"/>
        </w:rPr>
        <w:t>être candidat – selon le système du suffrage universel et égal</w:t>
      </w:r>
      <w:r w:rsidR="00680ADA" w:rsidRPr="00F1180D">
        <w:rPr>
          <w:lang w:val="fr-FR" w:bidi="ar-KW"/>
        </w:rPr>
        <w:t>,</w:t>
      </w:r>
      <w:r w:rsidR="000C6D4A" w:rsidRPr="00F1180D">
        <w:rPr>
          <w:lang w:val="fr-FR" w:bidi="ar-KW"/>
        </w:rPr>
        <w:t xml:space="preserve"> le droit de prendre part au Gouvernement</w:t>
      </w:r>
      <w:r w:rsidR="00680ADA" w:rsidRPr="00F1180D">
        <w:rPr>
          <w:lang w:val="fr-FR" w:bidi="ar-KW"/>
        </w:rPr>
        <w:t>,</w:t>
      </w:r>
      <w:r w:rsidR="000C6D4A" w:rsidRPr="00F1180D">
        <w:rPr>
          <w:lang w:val="fr-FR" w:bidi="ar-KW"/>
        </w:rPr>
        <w:t xml:space="preserve"> ainsi qu</w:t>
      </w:r>
      <w:r w:rsidR="00680ADA" w:rsidRPr="00F1180D">
        <w:rPr>
          <w:lang w:val="fr-FR" w:bidi="ar-KW"/>
        </w:rPr>
        <w:t>’</w:t>
      </w:r>
      <w:r w:rsidR="000C6D4A" w:rsidRPr="00F1180D">
        <w:rPr>
          <w:lang w:val="fr-FR" w:bidi="ar-KW"/>
        </w:rPr>
        <w:t>à la direction des affaires publiques</w:t>
      </w:r>
      <w:r w:rsidR="00680ADA" w:rsidRPr="00F1180D">
        <w:rPr>
          <w:lang w:val="fr-FR" w:bidi="ar-KW"/>
        </w:rPr>
        <w:t>,</w:t>
      </w:r>
      <w:r w:rsidR="000C6D4A" w:rsidRPr="00F1180D">
        <w:rPr>
          <w:lang w:val="fr-FR" w:bidi="ar-KW"/>
        </w:rPr>
        <w:t xml:space="preserve"> à tous les échelons</w:t>
      </w:r>
      <w:r w:rsidR="00680ADA" w:rsidRPr="00F1180D">
        <w:rPr>
          <w:lang w:val="fr-FR" w:bidi="ar-KW"/>
        </w:rPr>
        <w:t>,</w:t>
      </w:r>
      <w:r w:rsidR="000C6D4A" w:rsidRPr="00F1180D">
        <w:rPr>
          <w:lang w:val="fr-FR" w:bidi="ar-KW"/>
        </w:rPr>
        <w:t xml:space="preserve"> et le droit d</w:t>
      </w:r>
      <w:r w:rsidR="00680ADA" w:rsidRPr="00F1180D">
        <w:rPr>
          <w:lang w:val="fr-FR" w:bidi="ar-KW"/>
        </w:rPr>
        <w:t>’</w:t>
      </w:r>
      <w:r w:rsidR="000C6D4A" w:rsidRPr="00F1180D">
        <w:rPr>
          <w:lang w:val="fr-FR" w:bidi="ar-KW"/>
        </w:rPr>
        <w:t>accéder</w:t>
      </w:r>
      <w:r w:rsidR="00680ADA" w:rsidRPr="00F1180D">
        <w:rPr>
          <w:lang w:val="fr-FR" w:bidi="ar-KW"/>
        </w:rPr>
        <w:t>,</w:t>
      </w:r>
      <w:r w:rsidR="000C6D4A" w:rsidRPr="00F1180D">
        <w:rPr>
          <w:lang w:val="fr-FR" w:bidi="ar-KW"/>
        </w:rPr>
        <w:t xml:space="preserve"> dans des conditions d</w:t>
      </w:r>
      <w:r w:rsidR="00680ADA" w:rsidRPr="00F1180D">
        <w:rPr>
          <w:lang w:val="fr-FR" w:bidi="ar-KW"/>
        </w:rPr>
        <w:t>’</w:t>
      </w:r>
      <w:r w:rsidR="000C6D4A" w:rsidRPr="00F1180D">
        <w:rPr>
          <w:lang w:val="fr-FR" w:bidi="ar-KW"/>
        </w:rPr>
        <w:t>égalité</w:t>
      </w:r>
      <w:r w:rsidR="00680ADA" w:rsidRPr="00F1180D">
        <w:rPr>
          <w:lang w:val="fr-FR" w:bidi="ar-KW"/>
        </w:rPr>
        <w:t>,</w:t>
      </w:r>
      <w:r w:rsidR="000C6D4A" w:rsidRPr="00F1180D">
        <w:rPr>
          <w:lang w:val="fr-FR" w:bidi="ar-KW"/>
        </w:rPr>
        <w:t xml:space="preserve"> aux fonctions publiques.</w:t>
      </w:r>
    </w:p>
    <w:p w:rsidR="000C6D4A" w:rsidRPr="00F1180D" w:rsidRDefault="00B357F2" w:rsidP="00680ADA">
      <w:pPr>
        <w:pStyle w:val="SingleTxtG"/>
        <w:rPr>
          <w:rtl/>
          <w:lang w:val="fr-FR" w:bidi="fr-FR"/>
        </w:rPr>
      </w:pPr>
      <w:r>
        <w:rPr>
          <w:lang w:val="fr-FR"/>
        </w:rPr>
        <w:t>30.</w:t>
      </w:r>
      <w:r>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1</w:t>
      </w:r>
      <w:r w:rsidR="000C6D4A" w:rsidRPr="00F1180D">
        <w:rPr>
          <w:vertAlign w:val="superscript"/>
          <w:lang w:val="fr-FR"/>
        </w:rPr>
        <w:t>er</w:t>
      </w:r>
      <w:r w:rsidR="000C6D4A" w:rsidRPr="00F1180D">
        <w:rPr>
          <w:lang w:val="fr-FR"/>
        </w:rPr>
        <w:t xml:space="preserve">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rPr>
        <w:t>35 de 1962 régissant les élections législatives</w:t>
      </w:r>
      <w:r w:rsidR="00680ADA" w:rsidRPr="00F1180D">
        <w:rPr>
          <w:lang w:val="fr-FR"/>
        </w:rPr>
        <w:t>,</w:t>
      </w:r>
      <w:r w:rsidR="000C6D4A" w:rsidRPr="00F1180D">
        <w:rPr>
          <w:lang w:val="fr-FR"/>
        </w:rPr>
        <w:t xml:space="preserve"> telle que modifiée</w:t>
      </w:r>
      <w:r w:rsidR="00680ADA" w:rsidRPr="00F1180D">
        <w:rPr>
          <w:lang w:val="fr-FR"/>
        </w:rPr>
        <w:t>,</w:t>
      </w:r>
      <w:r w:rsidR="000C6D4A" w:rsidRPr="00F1180D">
        <w:rPr>
          <w:lang w:val="fr-FR"/>
        </w:rPr>
        <w:t xml:space="preserve"> dispose ce qui suit</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Tous les Koweïtiens ont le droit à partir de 21</w:t>
      </w:r>
      <w:r w:rsidR="00524736" w:rsidRPr="00F1180D">
        <w:rPr>
          <w:lang w:val="fr-FR"/>
        </w:rPr>
        <w:t> ans</w:t>
      </w:r>
      <w:r w:rsidR="00680ADA" w:rsidRPr="00F1180D">
        <w:rPr>
          <w:lang w:val="fr-FR"/>
        </w:rPr>
        <w:t>,</w:t>
      </w:r>
      <w:r w:rsidR="000C6D4A" w:rsidRPr="00F1180D">
        <w:rPr>
          <w:lang w:val="fr-FR"/>
        </w:rPr>
        <w:t xml:space="preserve"> à l</w:t>
      </w:r>
      <w:r w:rsidR="00680ADA" w:rsidRPr="00F1180D">
        <w:rPr>
          <w:lang w:val="fr-FR"/>
        </w:rPr>
        <w:t>’</w:t>
      </w:r>
      <w:r w:rsidR="000C6D4A" w:rsidRPr="00F1180D">
        <w:rPr>
          <w:lang w:val="fr-FR"/>
        </w:rPr>
        <w:t>exception des personnes naturalisées depuis moins de 20</w:t>
      </w:r>
      <w:r w:rsidR="00524736" w:rsidRPr="00F1180D">
        <w:rPr>
          <w:lang w:val="fr-FR"/>
        </w:rPr>
        <w:t> ans</w:t>
      </w:r>
      <w:r w:rsidR="00680ADA" w:rsidRPr="00F1180D">
        <w:rPr>
          <w:lang w:val="fr-FR"/>
        </w:rPr>
        <w:t>,</w:t>
      </w:r>
      <w:r w:rsidR="000C6D4A" w:rsidRPr="00F1180D">
        <w:rPr>
          <w:lang w:val="fr-FR"/>
        </w:rPr>
        <w:t xml:space="preserve"> conformément aux dispositions de l</w:t>
      </w:r>
      <w:r w:rsidR="00680ADA" w:rsidRPr="00F1180D">
        <w:rPr>
          <w:lang w:val="fr-FR"/>
        </w:rPr>
        <w:t>’</w:t>
      </w:r>
      <w:r w:rsidR="00163207" w:rsidRPr="00F1180D">
        <w:rPr>
          <w:lang w:val="fr-FR"/>
        </w:rPr>
        <w:t>article </w:t>
      </w:r>
      <w:r w:rsidR="000C6D4A" w:rsidRPr="00F1180D">
        <w:rPr>
          <w:lang w:val="fr-FR"/>
        </w:rPr>
        <w:t>6 du décret de l</w:t>
      </w:r>
      <w:r w:rsidR="00680ADA" w:rsidRPr="00F1180D">
        <w:rPr>
          <w:lang w:val="fr-FR"/>
        </w:rPr>
        <w:t>’</w:t>
      </w:r>
      <w:r w:rsidR="000C6D4A" w:rsidRPr="00F1180D">
        <w:rPr>
          <w:lang w:val="fr-FR"/>
        </w:rPr>
        <w:t xml:space="preserve">Émir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rPr>
        <w:t>15 de 1959 sur la nationalité koweïtienne</w:t>
      </w:r>
      <w:r w:rsidR="00F94BF1" w:rsidRPr="00F1180D">
        <w:rPr>
          <w:lang w:val="fr-FR"/>
        </w:rPr>
        <w:t>.</w:t>
      </w:r>
      <w:r w:rsidR="00680ADA" w:rsidRPr="00F1180D">
        <w:rPr>
          <w:lang w:val="fr-FR"/>
        </w:rPr>
        <w:t>»</w:t>
      </w:r>
      <w:r w:rsidR="000C6D4A" w:rsidRPr="00F1180D">
        <w:rPr>
          <w:lang w:val="fr-FR"/>
        </w:rPr>
        <w:t xml:space="preserve"> Il convient de noter que les femmes doivent se conformer aux</w:t>
      </w:r>
      <w:r w:rsidR="009B1350" w:rsidRPr="00F1180D">
        <w:rPr>
          <w:lang w:val="fr-FR"/>
        </w:rPr>
        <w:t xml:space="preserve"> </w:t>
      </w:r>
      <w:r w:rsidR="000C6D4A" w:rsidRPr="00F1180D">
        <w:rPr>
          <w:lang w:val="fr-FR"/>
        </w:rPr>
        <w:t xml:space="preserve">règles et dispositions prévues par la charia islamique pour voter et être candidates. </w:t>
      </w:r>
    </w:p>
    <w:p w:rsidR="000C6D4A" w:rsidRPr="00F1180D" w:rsidRDefault="00B357F2" w:rsidP="00680ADA">
      <w:pPr>
        <w:pStyle w:val="SingleTxtG"/>
        <w:rPr>
          <w:rtl/>
          <w:lang w:val="fr-FR" w:bidi="fr-FR"/>
        </w:rPr>
      </w:pPr>
      <w:r>
        <w:rPr>
          <w:lang w:val="fr-FR"/>
        </w:rPr>
        <w:t>31.</w:t>
      </w:r>
      <w:r>
        <w:rPr>
          <w:lang w:val="fr-FR"/>
        </w:rPr>
        <w:tab/>
      </w:r>
      <w:r w:rsidR="000C6D4A" w:rsidRPr="00F1180D">
        <w:rPr>
          <w:lang w:val="fr-FR"/>
        </w:rPr>
        <w:t>Aux termes de l</w:t>
      </w:r>
      <w:r w:rsidR="00680ADA" w:rsidRPr="00F1180D">
        <w:rPr>
          <w:lang w:val="fr-FR"/>
        </w:rPr>
        <w:t>’</w:t>
      </w:r>
      <w:r w:rsidR="00163207" w:rsidRPr="00F1180D">
        <w:rPr>
          <w:lang w:val="fr-FR"/>
        </w:rPr>
        <w:t>article </w:t>
      </w:r>
      <w:r w:rsidR="000C6D4A" w:rsidRPr="00F1180D">
        <w:rPr>
          <w:lang w:val="fr-FR"/>
        </w:rPr>
        <w:t>4 de la même la loi</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Chaque électeur exerce personnellement ses droits électoraux dans la circonscription électorale de son lieu de résidence</w:t>
      </w:r>
      <w:r w:rsidR="00680ADA" w:rsidRPr="00F1180D">
        <w:rPr>
          <w:lang w:val="fr-FR"/>
        </w:rPr>
        <w:t>»</w:t>
      </w:r>
      <w:r w:rsidR="000C6D4A" w:rsidRPr="00F1180D">
        <w:rPr>
          <w:lang w:val="fr-FR"/>
        </w:rPr>
        <w:t xml:space="preserve"> et l</w:t>
      </w:r>
      <w:r w:rsidR="00680ADA" w:rsidRPr="00F1180D">
        <w:rPr>
          <w:lang w:val="fr-FR"/>
        </w:rPr>
        <w:t>’</w:t>
      </w:r>
      <w:r w:rsidR="00163207" w:rsidRPr="00F1180D">
        <w:rPr>
          <w:lang w:val="fr-FR"/>
        </w:rPr>
        <w:t>article </w:t>
      </w:r>
      <w:r w:rsidR="000C6D4A" w:rsidRPr="00F1180D">
        <w:rPr>
          <w:lang w:val="fr-FR"/>
        </w:rPr>
        <w:t>33 ajoute ce qui suit</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Les élections ont lieu au scrutin secret</w:t>
      </w:r>
      <w:r w:rsidR="00F94BF1" w:rsidRPr="00F1180D">
        <w:rPr>
          <w:lang w:val="fr-FR"/>
        </w:rPr>
        <w:t>.</w:t>
      </w:r>
      <w:r w:rsidR="00680ADA" w:rsidRPr="00F1180D">
        <w:rPr>
          <w:lang w:val="fr-FR"/>
        </w:rPr>
        <w:t>»</w:t>
      </w:r>
      <w:r w:rsidR="000C6D4A" w:rsidRPr="00F1180D">
        <w:rPr>
          <w:lang w:val="fr-FR"/>
        </w:rPr>
        <w:t xml:space="preserve"> </w:t>
      </w:r>
    </w:p>
    <w:p w:rsidR="000C6D4A" w:rsidRPr="00F1180D" w:rsidRDefault="00B357F2" w:rsidP="00680ADA">
      <w:pPr>
        <w:pStyle w:val="SingleTxtG"/>
        <w:rPr>
          <w:rtl/>
          <w:lang w:val="fr-FR" w:bidi="fr-FR"/>
        </w:rPr>
      </w:pPr>
      <w:r>
        <w:rPr>
          <w:lang w:val="fr-FR"/>
        </w:rPr>
        <w:t>32.</w:t>
      </w:r>
      <w:r>
        <w:rPr>
          <w:lang w:val="fr-FR"/>
        </w:rPr>
        <w:tab/>
      </w:r>
      <w:r w:rsidR="000C6D4A" w:rsidRPr="00F1180D">
        <w:rPr>
          <w:lang w:val="fr-FR"/>
        </w:rPr>
        <w:t>La société koweïtienne est fondée sur la justice</w:t>
      </w:r>
      <w:r w:rsidR="00680ADA" w:rsidRPr="00F1180D">
        <w:rPr>
          <w:lang w:val="fr-FR"/>
        </w:rPr>
        <w:t>,</w:t>
      </w:r>
      <w:r w:rsidR="000C6D4A" w:rsidRPr="00F1180D">
        <w:rPr>
          <w:lang w:val="fr-FR"/>
        </w:rPr>
        <w:t xml:space="preserve"> la liberté</w:t>
      </w:r>
      <w:r w:rsidR="00680ADA" w:rsidRPr="00F1180D">
        <w:rPr>
          <w:lang w:val="fr-FR"/>
        </w:rPr>
        <w:t>,</w:t>
      </w:r>
      <w:r w:rsidR="000C6D4A" w:rsidRPr="00F1180D">
        <w:rPr>
          <w:lang w:val="fr-FR"/>
        </w:rPr>
        <w:t xml:space="preserve"> l</w:t>
      </w:r>
      <w:r w:rsidR="00680ADA" w:rsidRPr="00F1180D">
        <w:rPr>
          <w:lang w:val="fr-FR"/>
        </w:rPr>
        <w:t>’</w:t>
      </w:r>
      <w:r w:rsidR="000C6D4A" w:rsidRPr="00F1180D">
        <w:rPr>
          <w:lang w:val="fr-FR"/>
        </w:rPr>
        <w:t>égalité et l</w:t>
      </w:r>
      <w:r w:rsidR="00680ADA" w:rsidRPr="00F1180D">
        <w:rPr>
          <w:lang w:val="fr-FR"/>
        </w:rPr>
        <w:t>’</w:t>
      </w:r>
      <w:r w:rsidR="000C6D4A" w:rsidRPr="00F1180D">
        <w:rPr>
          <w:lang w:val="fr-FR"/>
        </w:rPr>
        <w:t>entraide entre tous les citoyens sans discrimination. L</w:t>
      </w:r>
      <w:r w:rsidR="00680ADA" w:rsidRPr="00F1180D">
        <w:rPr>
          <w:lang w:val="fr-FR"/>
        </w:rPr>
        <w:t>’</w:t>
      </w:r>
      <w:r w:rsidR="000C6D4A" w:rsidRPr="00F1180D">
        <w:rPr>
          <w:lang w:val="fr-FR"/>
        </w:rPr>
        <w:t>égalité implique notamment le droit pour tous de prendre part au Gouvernement</w:t>
      </w:r>
      <w:r w:rsidR="00680ADA" w:rsidRPr="00F1180D">
        <w:rPr>
          <w:lang w:val="fr-FR"/>
        </w:rPr>
        <w:t>,</w:t>
      </w:r>
      <w:r w:rsidR="000C6D4A" w:rsidRPr="00F1180D">
        <w:rPr>
          <w:lang w:val="fr-FR"/>
        </w:rPr>
        <w:t xml:space="preserve"> ainsi qu</w:t>
      </w:r>
      <w:r w:rsidR="00680ADA" w:rsidRPr="00F1180D">
        <w:rPr>
          <w:lang w:val="fr-FR"/>
        </w:rPr>
        <w:t>’</w:t>
      </w:r>
      <w:r w:rsidR="000C6D4A" w:rsidRPr="00F1180D">
        <w:rPr>
          <w:lang w:val="fr-FR"/>
        </w:rPr>
        <w:t>à la direction des affaires publiques. Le législateur koweïtien a réglementé le droit de chaque personne d</w:t>
      </w:r>
      <w:r w:rsidR="00680ADA" w:rsidRPr="00F1180D">
        <w:rPr>
          <w:lang w:val="fr-FR"/>
        </w:rPr>
        <w:t>’</w:t>
      </w:r>
      <w:r w:rsidR="000C6D4A" w:rsidRPr="00F1180D">
        <w:rPr>
          <w:lang w:val="fr-FR"/>
        </w:rPr>
        <w:t>élire son représentant à l</w:t>
      </w:r>
      <w:r w:rsidR="00680ADA" w:rsidRPr="00F1180D">
        <w:rPr>
          <w:lang w:val="fr-FR"/>
        </w:rPr>
        <w:t>’</w:t>
      </w:r>
      <w:r w:rsidR="000C6D4A" w:rsidRPr="00F1180D">
        <w:rPr>
          <w:lang w:val="fr-FR"/>
        </w:rPr>
        <w:t>Assemblée nationale sur la base d</w:t>
      </w:r>
      <w:r w:rsidR="00680ADA" w:rsidRPr="00F1180D">
        <w:rPr>
          <w:lang w:val="fr-FR"/>
        </w:rPr>
        <w:t>’</w:t>
      </w:r>
      <w:r w:rsidR="000C6D4A" w:rsidRPr="00F1180D">
        <w:rPr>
          <w:lang w:val="fr-FR"/>
        </w:rPr>
        <w:t>un scrutin secret et direct. Le droit d</w:t>
      </w:r>
      <w:r w:rsidR="00680ADA" w:rsidRPr="00F1180D">
        <w:rPr>
          <w:lang w:val="fr-FR"/>
        </w:rPr>
        <w:t>’</w:t>
      </w:r>
      <w:r w:rsidR="000C6D4A" w:rsidRPr="00F1180D">
        <w:rPr>
          <w:lang w:val="fr-FR"/>
        </w:rPr>
        <w:t>exercer au sein de la fonction publique est garanti à tous par la Constitution</w:t>
      </w:r>
      <w:r w:rsidR="00680ADA" w:rsidRPr="00F1180D">
        <w:rPr>
          <w:lang w:val="fr-FR"/>
        </w:rPr>
        <w:t>,</w:t>
      </w:r>
      <w:r w:rsidR="000C6D4A" w:rsidRPr="00F1180D">
        <w:rPr>
          <w:lang w:val="fr-FR"/>
        </w:rPr>
        <w:t xml:space="preserve"> qui dispose ce qui suit dans son </w:t>
      </w:r>
      <w:r w:rsidR="00163207" w:rsidRPr="00F1180D">
        <w:rPr>
          <w:lang w:val="fr-FR"/>
        </w:rPr>
        <w:t>article </w:t>
      </w:r>
      <w:r w:rsidR="000C6D4A" w:rsidRPr="00F1180D">
        <w:rPr>
          <w:lang w:val="fr-FR"/>
        </w:rPr>
        <w:t>26</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Les charges publiques sont des tâches que la nation confie aux fonctionnaires</w:t>
      </w:r>
      <w:r w:rsidR="00680ADA" w:rsidRPr="00F1180D">
        <w:rPr>
          <w:lang w:val="fr-FR"/>
        </w:rPr>
        <w:t>,</w:t>
      </w:r>
      <w:r w:rsidR="000C6D4A" w:rsidRPr="00F1180D">
        <w:rPr>
          <w:lang w:val="fr-FR"/>
        </w:rPr>
        <w:t xml:space="preserve"> lesquels</w:t>
      </w:r>
      <w:r w:rsidR="00680ADA" w:rsidRPr="00F1180D">
        <w:rPr>
          <w:lang w:val="fr-FR"/>
        </w:rPr>
        <w:t>,</w:t>
      </w:r>
      <w:r w:rsidR="000C6D4A" w:rsidRPr="00F1180D">
        <w:rPr>
          <w:lang w:val="fr-FR"/>
        </w:rPr>
        <w:t xml:space="preserve"> dans l</w:t>
      </w:r>
      <w:r w:rsidR="00680ADA" w:rsidRPr="00F1180D">
        <w:rPr>
          <w:lang w:val="fr-FR"/>
        </w:rPr>
        <w:t>’</w:t>
      </w:r>
      <w:r w:rsidR="000C6D4A" w:rsidRPr="00F1180D">
        <w:rPr>
          <w:lang w:val="fr-FR"/>
        </w:rPr>
        <w:t>exercice de leurs fonctions</w:t>
      </w:r>
      <w:r w:rsidR="00680ADA" w:rsidRPr="00F1180D">
        <w:rPr>
          <w:lang w:val="fr-FR"/>
        </w:rPr>
        <w:t>,</w:t>
      </w:r>
      <w:r w:rsidR="000C6D4A" w:rsidRPr="00F1180D">
        <w:rPr>
          <w:lang w:val="fr-FR"/>
        </w:rPr>
        <w:t xml:space="preserve"> doivent être guidés par le souci de l</w:t>
      </w:r>
      <w:r w:rsidR="00680ADA" w:rsidRPr="00F1180D">
        <w:rPr>
          <w:lang w:val="fr-FR"/>
        </w:rPr>
        <w:t>’</w:t>
      </w:r>
      <w:r w:rsidR="000C6D4A" w:rsidRPr="00F1180D">
        <w:rPr>
          <w:lang w:val="fr-FR"/>
        </w:rPr>
        <w:t>intérêt général. Il est interdit aux étrangers d</w:t>
      </w:r>
      <w:r w:rsidR="00680ADA" w:rsidRPr="00F1180D">
        <w:rPr>
          <w:lang w:val="fr-FR"/>
        </w:rPr>
        <w:t>’</w:t>
      </w:r>
      <w:r w:rsidR="000C6D4A" w:rsidRPr="00F1180D">
        <w:rPr>
          <w:lang w:val="fr-FR"/>
        </w:rPr>
        <w:t>assumer une quelconque charge publique</w:t>
      </w:r>
      <w:r w:rsidR="00680ADA" w:rsidRPr="00F1180D">
        <w:rPr>
          <w:lang w:val="fr-FR"/>
        </w:rPr>
        <w:t>,</w:t>
      </w:r>
      <w:r w:rsidR="000C6D4A" w:rsidRPr="00F1180D">
        <w:rPr>
          <w:lang w:val="fr-FR"/>
        </w:rPr>
        <w:t xml:space="preserve"> mais ce droit est ouvert aux citoyens et aux résidents sans distinction fondée sur la couleur</w:t>
      </w:r>
      <w:r w:rsidR="00680ADA" w:rsidRPr="00F1180D">
        <w:rPr>
          <w:lang w:val="fr-FR"/>
        </w:rPr>
        <w:t>,</w:t>
      </w:r>
      <w:r w:rsidR="000C6D4A" w:rsidRPr="00F1180D">
        <w:rPr>
          <w:lang w:val="fr-FR"/>
        </w:rPr>
        <w:t xml:space="preserve"> le genre ou la religion</w:t>
      </w:r>
      <w:r w:rsidR="00680ADA" w:rsidRPr="00F1180D">
        <w:rPr>
          <w:lang w:val="fr-FR"/>
        </w:rPr>
        <w:t>»</w:t>
      </w:r>
      <w:r w:rsidR="000C6D4A" w:rsidRPr="00F1180D">
        <w:rPr>
          <w:lang w:val="fr-FR"/>
        </w:rPr>
        <w:t xml:space="preserve">. </w:t>
      </w:r>
    </w:p>
    <w:p w:rsidR="00766AC3" w:rsidRPr="00F1180D" w:rsidRDefault="00DE029F" w:rsidP="00766AC3">
      <w:pPr>
        <w:pStyle w:val="H23G"/>
        <w:rPr>
          <w:lang w:val="fr-FR" w:bidi="ar-KW"/>
        </w:rPr>
      </w:pPr>
      <w:r w:rsidRPr="00F1180D">
        <w:rPr>
          <w:lang w:val="fr-FR" w:bidi="ar-KW"/>
        </w:rPr>
        <w:tab/>
      </w:r>
      <w:r w:rsidR="00766AC3" w:rsidRPr="00F1180D">
        <w:rPr>
          <w:lang w:val="fr-FR" w:bidi="ar-KW"/>
        </w:rPr>
        <w:tab/>
      </w:r>
      <w:r w:rsidR="004C1D3C" w:rsidRPr="00F1180D">
        <w:rPr>
          <w:lang w:val="fr-FR" w:bidi="ar-KW"/>
        </w:rPr>
        <w:t xml:space="preserve">Paragraphe </w:t>
      </w:r>
      <w:r w:rsidRPr="00F1180D">
        <w:rPr>
          <w:lang w:val="fr-FR" w:bidi="ar-KW"/>
        </w:rPr>
        <w:t>d) i)</w:t>
      </w:r>
    </w:p>
    <w:p w:rsidR="000C6D4A" w:rsidRPr="00F1180D" w:rsidRDefault="00B357F2" w:rsidP="00680ADA">
      <w:pPr>
        <w:pStyle w:val="SingleTxtG"/>
        <w:rPr>
          <w:rtl/>
          <w:lang w:val="fr-FR" w:bidi="fr-FR"/>
        </w:rPr>
      </w:pPr>
      <w:r>
        <w:rPr>
          <w:lang w:val="fr-FR" w:bidi="ar-KW"/>
        </w:rPr>
        <w:t>33.</w:t>
      </w:r>
      <w:r>
        <w:rPr>
          <w:lang w:val="fr-FR" w:bidi="ar-KW"/>
        </w:rPr>
        <w:tab/>
      </w:r>
      <w:r w:rsidR="000C6D4A" w:rsidRPr="00F1180D">
        <w:rPr>
          <w:lang w:val="fr-FR" w:bidi="ar-KW"/>
        </w:rPr>
        <w:t>La liberté personnelle est garantie par l</w:t>
      </w:r>
      <w:r w:rsidR="00680ADA" w:rsidRPr="00F1180D">
        <w:rPr>
          <w:lang w:val="fr-FR" w:bidi="ar-KW"/>
        </w:rPr>
        <w:t>’</w:t>
      </w:r>
      <w:r w:rsidR="00163207" w:rsidRPr="00F1180D">
        <w:rPr>
          <w:lang w:val="fr-FR" w:bidi="ar-KW"/>
        </w:rPr>
        <w:t>article </w:t>
      </w:r>
      <w:r w:rsidR="000C6D4A" w:rsidRPr="00F1180D">
        <w:rPr>
          <w:lang w:val="fr-FR" w:bidi="ar-KW"/>
        </w:rPr>
        <w:t>30 de la Constitution</w:t>
      </w:r>
      <w:r w:rsidR="00680ADA" w:rsidRPr="00F1180D">
        <w:rPr>
          <w:lang w:val="fr-FR" w:bidi="ar-KW"/>
        </w:rPr>
        <w:t>,</w:t>
      </w:r>
      <w:r w:rsidR="000C6D4A" w:rsidRPr="00F1180D">
        <w:rPr>
          <w:lang w:val="fr-FR" w:bidi="ar-KW"/>
        </w:rPr>
        <w:t xml:space="preserve"> qui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La liberté personnelle est garantie</w:t>
      </w:r>
      <w:r w:rsidR="00680ADA" w:rsidRPr="00F1180D">
        <w:rPr>
          <w:lang w:val="fr-FR" w:bidi="ar-KW"/>
        </w:rPr>
        <w:t>»,</w:t>
      </w:r>
      <w:r w:rsidR="000C6D4A" w:rsidRPr="00F1180D">
        <w:rPr>
          <w:lang w:val="fr-FR" w:bidi="ar-KW"/>
        </w:rPr>
        <w:t xml:space="preserve"> ainsi que par l</w:t>
      </w:r>
      <w:r w:rsidR="00680ADA" w:rsidRPr="00F1180D">
        <w:rPr>
          <w:lang w:val="fr-FR" w:bidi="ar-KW"/>
        </w:rPr>
        <w:t>’</w:t>
      </w:r>
      <w:r w:rsidR="00163207" w:rsidRPr="00F1180D">
        <w:rPr>
          <w:lang w:val="fr-FR" w:bidi="ar-KW"/>
        </w:rPr>
        <w:t>article </w:t>
      </w:r>
      <w:r w:rsidR="000C6D4A" w:rsidRPr="00F1180D">
        <w:rPr>
          <w:lang w:val="fr-FR" w:bidi="ar-KW"/>
        </w:rPr>
        <w:t>31 selon lequel</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Nul ne peut être arrêté</w:t>
      </w:r>
      <w:r w:rsidR="00680ADA" w:rsidRPr="00F1180D">
        <w:rPr>
          <w:lang w:val="fr-FR" w:bidi="ar-KW"/>
        </w:rPr>
        <w:t>,</w:t>
      </w:r>
      <w:r w:rsidR="000C6D4A" w:rsidRPr="00F1180D">
        <w:rPr>
          <w:lang w:val="fr-FR" w:bidi="ar-KW"/>
        </w:rPr>
        <w:t xml:space="preserve"> détenu</w:t>
      </w:r>
      <w:r w:rsidR="00680ADA" w:rsidRPr="00F1180D">
        <w:rPr>
          <w:lang w:val="fr-FR" w:bidi="ar-KW"/>
        </w:rPr>
        <w:t>,</w:t>
      </w:r>
      <w:r w:rsidR="000C6D4A" w:rsidRPr="00F1180D">
        <w:rPr>
          <w:lang w:val="fr-FR" w:bidi="ar-KW"/>
        </w:rPr>
        <w:t xml:space="preserve"> recherché ou obligé de résider dans un endroit particulier</w:t>
      </w:r>
      <w:r w:rsidR="00680ADA" w:rsidRPr="00F1180D">
        <w:rPr>
          <w:lang w:val="fr-FR" w:bidi="ar-KW"/>
        </w:rPr>
        <w:t>,</w:t>
      </w:r>
      <w:r w:rsidR="000C6D4A" w:rsidRPr="00F1180D">
        <w:rPr>
          <w:lang w:val="fr-FR" w:bidi="ar-KW"/>
        </w:rPr>
        <w:t xml:space="preserve"> ni limité dans le choix de sa résidence ou de son domicile ou dans sa liberté de mouvement</w:t>
      </w:r>
      <w:r w:rsidR="00680ADA" w:rsidRPr="00F1180D">
        <w:rPr>
          <w:lang w:val="fr-FR" w:bidi="ar-KW"/>
        </w:rPr>
        <w:t>,</w:t>
      </w:r>
      <w:r w:rsidR="000C6D4A" w:rsidRPr="00F1180D">
        <w:rPr>
          <w:lang w:val="fr-FR" w:bidi="ar-KW"/>
        </w:rPr>
        <w:t xml:space="preserve"> sauf dispositions légales expresses</w:t>
      </w:r>
      <w:r w:rsidR="000A606E" w:rsidRPr="00F1180D">
        <w:rPr>
          <w:lang w:val="fr-FR" w:bidi="ar-KW"/>
        </w:rPr>
        <w:t>.</w:t>
      </w:r>
      <w:r w:rsidR="00680ADA" w:rsidRPr="00F1180D">
        <w:rPr>
          <w:lang w:val="fr-FR" w:bidi="ar-KW"/>
        </w:rPr>
        <w:t>»</w:t>
      </w:r>
    </w:p>
    <w:p w:rsidR="000C6D4A" w:rsidRPr="00F1180D" w:rsidRDefault="00B357F2" w:rsidP="00680ADA">
      <w:pPr>
        <w:pStyle w:val="SingleTxtG"/>
        <w:rPr>
          <w:lang w:val="fr-FR" w:bidi="ar-KW"/>
        </w:rPr>
      </w:pPr>
      <w:r>
        <w:rPr>
          <w:lang w:val="fr-FR" w:bidi="ar-KW"/>
        </w:rPr>
        <w:t>34.</w:t>
      </w:r>
      <w:r>
        <w:rPr>
          <w:lang w:val="fr-FR" w:bidi="ar-KW"/>
        </w:rPr>
        <w:tab/>
      </w:r>
      <w:r w:rsidR="000C6D4A" w:rsidRPr="00F1180D">
        <w:rPr>
          <w:lang w:val="fr-FR" w:bidi="ar-KW"/>
        </w:rPr>
        <w:t>En vertu de ces dispositions</w:t>
      </w:r>
      <w:r w:rsidR="00680ADA" w:rsidRPr="00F1180D">
        <w:rPr>
          <w:lang w:val="fr-FR" w:bidi="ar-KW"/>
        </w:rPr>
        <w:t>,</w:t>
      </w:r>
      <w:r w:rsidR="000C6D4A" w:rsidRPr="00F1180D">
        <w:rPr>
          <w:lang w:val="fr-FR" w:bidi="ar-KW"/>
        </w:rPr>
        <w:t xml:space="preserve"> nul ne peut être forcé de résider en un lieu déterminé</w:t>
      </w:r>
      <w:r w:rsidR="00680ADA" w:rsidRPr="00F1180D">
        <w:rPr>
          <w:lang w:val="fr-FR" w:bidi="ar-KW"/>
        </w:rPr>
        <w:t>,</w:t>
      </w:r>
      <w:r w:rsidR="000C6D4A" w:rsidRPr="00F1180D">
        <w:rPr>
          <w:lang w:val="fr-FR" w:bidi="ar-KW"/>
        </w:rPr>
        <w:t xml:space="preserve"> ni restreint dans sa liberté de choisir sa résidence ou de circuler librement</w:t>
      </w:r>
      <w:r w:rsidR="00680ADA" w:rsidRPr="00F1180D">
        <w:rPr>
          <w:lang w:val="fr-FR" w:bidi="ar-KW"/>
        </w:rPr>
        <w:t>,</w:t>
      </w:r>
      <w:r w:rsidR="000C6D4A" w:rsidRPr="00F1180D">
        <w:rPr>
          <w:lang w:val="fr-FR" w:bidi="ar-KW"/>
        </w:rPr>
        <w:t xml:space="preserve"> hormis dans les cas prévus par la loi</w:t>
      </w:r>
      <w:r w:rsidR="00680ADA" w:rsidRPr="00F1180D">
        <w:rPr>
          <w:lang w:val="fr-FR" w:bidi="ar-KW"/>
        </w:rPr>
        <w:t>,</w:t>
      </w:r>
      <w:r w:rsidR="000C6D4A" w:rsidRPr="00F1180D">
        <w:rPr>
          <w:lang w:val="fr-FR" w:bidi="ar-KW"/>
        </w:rPr>
        <w:t xml:space="preserve"> comme par exemple les condamnations à des peines privatives de liberté au titre des incriminations prévues par le Code pénal promulgué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16/1960 ou l</w:t>
      </w:r>
      <w:r w:rsidR="00680ADA" w:rsidRPr="00F1180D">
        <w:rPr>
          <w:lang w:val="fr-FR" w:bidi="ar-KW"/>
        </w:rPr>
        <w:t>’</w:t>
      </w:r>
      <w:r w:rsidR="000C6D4A" w:rsidRPr="00F1180D">
        <w:rPr>
          <w:lang w:val="fr-FR" w:bidi="ar-KW"/>
        </w:rPr>
        <w:t>exécution des ordonnances de mise en détention prononcées par les autorités compétentes chargées des enquêtes. Comme indiqué ci-dessus et prévu par les textes</w:t>
      </w:r>
      <w:r w:rsidR="00680ADA" w:rsidRPr="00F1180D">
        <w:rPr>
          <w:lang w:val="fr-FR" w:bidi="ar-KW"/>
        </w:rPr>
        <w:t>,</w:t>
      </w:r>
      <w:r w:rsidR="000C6D4A" w:rsidRPr="00F1180D">
        <w:rPr>
          <w:lang w:val="fr-FR" w:bidi="ar-KW"/>
        </w:rPr>
        <w:t xml:space="preserve"> ce </w:t>
      </w:r>
      <w:r w:rsidR="000C6D4A" w:rsidRPr="00F1180D">
        <w:rPr>
          <w:lang w:val="fr-FR" w:bidi="ar-KW"/>
        </w:rPr>
        <w:lastRenderedPageBreak/>
        <w:t>droit est exercé par tous les ressortissants koweïtiens</w:t>
      </w:r>
      <w:r w:rsidR="00680ADA" w:rsidRPr="00F1180D">
        <w:rPr>
          <w:lang w:val="fr-FR" w:bidi="ar-KW"/>
        </w:rPr>
        <w:t>,</w:t>
      </w:r>
      <w:r w:rsidR="000C6D4A" w:rsidRPr="00F1180D">
        <w:rPr>
          <w:lang w:val="fr-FR" w:bidi="ar-KW"/>
        </w:rPr>
        <w:t xml:space="preserve"> ainsi que par les résidents</w:t>
      </w:r>
      <w:r w:rsidR="00680ADA" w:rsidRPr="00F1180D">
        <w:rPr>
          <w:lang w:val="fr-FR" w:bidi="ar-KW"/>
        </w:rPr>
        <w:t>,</w:t>
      </w:r>
      <w:r w:rsidR="000C6D4A" w:rsidRPr="00F1180D">
        <w:rPr>
          <w:lang w:val="fr-FR" w:bidi="ar-KW"/>
        </w:rPr>
        <w:t xml:space="preserve"> sans distinction aucune entre les personnes du fait de leur couleur</w:t>
      </w:r>
      <w:r w:rsidR="00680ADA" w:rsidRPr="00F1180D">
        <w:rPr>
          <w:lang w:val="fr-FR" w:bidi="ar-KW"/>
        </w:rPr>
        <w:t>,</w:t>
      </w:r>
      <w:r w:rsidR="000C6D4A" w:rsidRPr="00F1180D">
        <w:rPr>
          <w:lang w:val="fr-FR" w:bidi="ar-KW"/>
        </w:rPr>
        <w:t xml:space="preserve"> de leur sexe ou de leur race. L</w:t>
      </w:r>
      <w:r w:rsidR="00680ADA" w:rsidRPr="00F1180D">
        <w:rPr>
          <w:lang w:val="fr-FR" w:bidi="ar-KW"/>
        </w:rPr>
        <w:t>’</w:t>
      </w:r>
      <w:r w:rsidR="00163207" w:rsidRPr="00F1180D">
        <w:rPr>
          <w:lang w:val="fr-FR" w:bidi="ar-KW"/>
        </w:rPr>
        <w:t>article </w:t>
      </w:r>
      <w:r w:rsidR="000C6D4A" w:rsidRPr="00F1180D">
        <w:rPr>
          <w:lang w:val="fr-FR" w:bidi="ar-KW"/>
        </w:rPr>
        <w:t>28 de la Constitution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Aucun Koweïtien ne peut être expulsé du Koweït ni empêché d</w:t>
      </w:r>
      <w:r w:rsidR="00680ADA" w:rsidRPr="00F1180D">
        <w:rPr>
          <w:lang w:val="fr-FR" w:bidi="ar-KW"/>
        </w:rPr>
        <w:t>’</w:t>
      </w:r>
      <w:r w:rsidR="000C6D4A" w:rsidRPr="00F1180D">
        <w:rPr>
          <w:lang w:val="fr-FR" w:bidi="ar-KW"/>
        </w:rPr>
        <w:t>y revenir</w:t>
      </w:r>
      <w:r w:rsidR="00680ADA" w:rsidRPr="00F1180D">
        <w:rPr>
          <w:lang w:val="fr-FR" w:bidi="ar-KW"/>
        </w:rPr>
        <w:t>»</w:t>
      </w:r>
      <w:r w:rsidR="000C6D4A" w:rsidRPr="00F1180D">
        <w:rPr>
          <w:lang w:val="fr-FR" w:bidi="ar-KW"/>
        </w:rPr>
        <w:t>. Par conséquent</w:t>
      </w:r>
      <w:r w:rsidR="00680ADA" w:rsidRPr="00F1180D">
        <w:rPr>
          <w:lang w:val="fr-FR" w:bidi="ar-KW"/>
        </w:rPr>
        <w:t>,</w:t>
      </w:r>
      <w:r w:rsidR="000C6D4A" w:rsidRPr="00F1180D">
        <w:rPr>
          <w:lang w:val="fr-FR" w:bidi="ar-KW"/>
        </w:rPr>
        <w:t xml:space="preserve"> aucun citoyen koweïtien ne peut être éloigné de son pays ou empêché d</w:t>
      </w:r>
      <w:r w:rsidR="00680ADA" w:rsidRPr="00F1180D">
        <w:rPr>
          <w:lang w:val="fr-FR" w:bidi="ar-KW"/>
        </w:rPr>
        <w:t>’</w:t>
      </w:r>
      <w:r w:rsidR="000C6D4A" w:rsidRPr="00F1180D">
        <w:rPr>
          <w:lang w:val="fr-FR" w:bidi="ar-KW"/>
        </w:rPr>
        <w:t>y revenir</w:t>
      </w:r>
      <w:r w:rsidR="00680ADA" w:rsidRPr="00F1180D">
        <w:rPr>
          <w:lang w:val="fr-FR" w:bidi="ar-KW"/>
        </w:rPr>
        <w:t>,</w:t>
      </w:r>
      <w:r w:rsidR="000C6D4A" w:rsidRPr="00F1180D">
        <w:rPr>
          <w:lang w:val="fr-FR" w:bidi="ar-KW"/>
        </w:rPr>
        <w:t xml:space="preserve"> ni ne peut être restreint dans sa liberté de choisir sa résidence ou de circuler librement dans le pays</w:t>
      </w:r>
      <w:r w:rsidR="00680ADA" w:rsidRPr="00F1180D">
        <w:rPr>
          <w:lang w:val="fr-FR" w:bidi="ar-KW"/>
        </w:rPr>
        <w:t>,</w:t>
      </w:r>
      <w:r w:rsidR="000C6D4A" w:rsidRPr="00F1180D">
        <w:rPr>
          <w:lang w:val="fr-FR" w:bidi="ar-KW"/>
        </w:rPr>
        <w:t xml:space="preserve"> étant précisé en outre que les non ressortissants ne sont pas limités non plus dans le choix de leur lieu de résidence au Koweït</w:t>
      </w:r>
      <w:r w:rsidR="00680ADA" w:rsidRPr="00F1180D">
        <w:rPr>
          <w:lang w:val="fr-FR" w:bidi="ar-KW"/>
        </w:rPr>
        <w:t>»</w:t>
      </w:r>
      <w:r w:rsidR="000C6D4A" w:rsidRPr="00F1180D">
        <w:rPr>
          <w:lang w:val="fr-FR" w:bidi="ar-KW"/>
        </w:rPr>
        <w:t xml:space="preserve"> </w:t>
      </w:r>
    </w:p>
    <w:p w:rsidR="00766AC3" w:rsidRPr="00F1180D" w:rsidRDefault="00766AC3" w:rsidP="00766AC3">
      <w:pPr>
        <w:pStyle w:val="H23G"/>
        <w:rPr>
          <w:lang w:val="fr-FR" w:bidi="ar-KW"/>
        </w:rPr>
      </w:pPr>
      <w:r w:rsidRPr="00F1180D">
        <w:rPr>
          <w:lang w:val="fr-FR" w:bidi="ar-KW"/>
        </w:rPr>
        <w:tab/>
      </w:r>
      <w:r w:rsidR="00DE029F" w:rsidRPr="00F1180D">
        <w:rPr>
          <w:lang w:val="fr-FR" w:bidi="ar-KW"/>
        </w:rPr>
        <w:tab/>
      </w:r>
      <w:r w:rsidR="004C1D3C" w:rsidRPr="00F1180D">
        <w:rPr>
          <w:lang w:val="fr-FR" w:bidi="ar-KW"/>
        </w:rPr>
        <w:t xml:space="preserve">Paragraphe </w:t>
      </w:r>
      <w:r w:rsidR="00DE029F" w:rsidRPr="00F1180D">
        <w:rPr>
          <w:lang w:val="fr-FR" w:bidi="ar-KW"/>
        </w:rPr>
        <w:t xml:space="preserve">d) ii) </w:t>
      </w:r>
    </w:p>
    <w:p w:rsidR="000C6D4A" w:rsidRPr="00F1180D" w:rsidRDefault="00B357F2" w:rsidP="00680ADA">
      <w:pPr>
        <w:pStyle w:val="SingleTxtG"/>
        <w:rPr>
          <w:rtl/>
          <w:lang w:val="fr-FR" w:bidi="fr-FR"/>
        </w:rPr>
      </w:pPr>
      <w:r>
        <w:rPr>
          <w:lang w:val="fr-FR" w:bidi="ar-KW"/>
        </w:rPr>
        <w:t>35.</w:t>
      </w:r>
      <w:r>
        <w:rPr>
          <w:lang w:val="fr-FR" w:bidi="ar-KW"/>
        </w:rPr>
        <w:tab/>
      </w:r>
      <w:r w:rsidR="000C6D4A" w:rsidRPr="00F1180D">
        <w:rPr>
          <w:lang w:val="fr-FR" w:bidi="ar-KW"/>
        </w:rPr>
        <w:t>L</w:t>
      </w:r>
      <w:r w:rsidR="00680ADA" w:rsidRPr="00F1180D">
        <w:rPr>
          <w:lang w:val="fr-FR" w:bidi="ar-KW"/>
        </w:rPr>
        <w:t>’</w:t>
      </w:r>
      <w:r w:rsidR="000C6D4A" w:rsidRPr="00F1180D">
        <w:rPr>
          <w:lang w:val="fr-FR" w:bidi="ar-KW"/>
        </w:rPr>
        <w:t>État du Koweït accorde sans aucune discrimination des titres de séjour ordinaires ou temporaires aux personnes qui entrent dans le pays munies de l</w:t>
      </w:r>
      <w:r w:rsidR="00680ADA" w:rsidRPr="00F1180D">
        <w:rPr>
          <w:lang w:val="fr-FR" w:bidi="ar-KW"/>
        </w:rPr>
        <w:t>’</w:t>
      </w:r>
      <w:r w:rsidR="000C6D4A" w:rsidRPr="00F1180D">
        <w:rPr>
          <w:lang w:val="fr-FR" w:bidi="ar-KW"/>
        </w:rPr>
        <w:t xml:space="preserve">un des types de visas prévus par le décret ministériel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640/1987 portant règlement d</w:t>
      </w:r>
      <w:r w:rsidR="00680ADA" w:rsidRPr="00F1180D">
        <w:rPr>
          <w:lang w:val="fr-FR" w:bidi="ar-KW"/>
        </w:rPr>
        <w:t>’</w:t>
      </w:r>
      <w:r w:rsidR="000C6D4A" w:rsidRPr="00F1180D">
        <w:rPr>
          <w:lang w:val="fr-FR" w:bidi="ar-KW"/>
        </w:rPr>
        <w:t>application de la loi sur le séjour des étrangers</w:t>
      </w:r>
      <w:r w:rsidR="00680ADA" w:rsidRPr="00F1180D">
        <w:rPr>
          <w:lang w:val="fr-FR" w:bidi="ar-KW"/>
        </w:rPr>
        <w:t>,</w:t>
      </w:r>
      <w:r w:rsidR="000C6D4A" w:rsidRPr="00F1180D">
        <w:rPr>
          <w:lang w:val="fr-FR" w:bidi="ar-KW"/>
        </w:rPr>
        <w:t xml:space="preserve"> si elles remplissent les conditions prévues à cet effet par le décret de l</w:t>
      </w:r>
      <w:r w:rsidR="00680ADA" w:rsidRPr="00F1180D">
        <w:rPr>
          <w:lang w:val="fr-FR" w:bidi="ar-KW"/>
        </w:rPr>
        <w:t>’</w:t>
      </w:r>
      <w:r w:rsidR="000C6D4A" w:rsidRPr="00F1180D">
        <w:rPr>
          <w:lang w:val="fr-FR" w:bidi="ar-KW"/>
        </w:rPr>
        <w:t xml:space="preserve">Émir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17 / 1959 relatif à la loi sur le séjour des étrangers et à son règlement d</w:t>
      </w:r>
      <w:r w:rsidR="00680ADA" w:rsidRPr="00F1180D">
        <w:rPr>
          <w:lang w:val="fr-FR" w:bidi="ar-KW"/>
        </w:rPr>
        <w:t>’</w:t>
      </w:r>
      <w:r w:rsidR="000C6D4A" w:rsidRPr="00F1180D">
        <w:rPr>
          <w:lang w:val="fr-FR" w:bidi="ar-KW"/>
        </w:rPr>
        <w:t>application.</w:t>
      </w:r>
    </w:p>
    <w:p w:rsidR="000C6D4A" w:rsidRPr="00F1180D" w:rsidRDefault="00B357F2" w:rsidP="00680ADA">
      <w:pPr>
        <w:pStyle w:val="SingleTxtG"/>
        <w:rPr>
          <w:lang w:val="fr-FR" w:bidi="ar-KW"/>
        </w:rPr>
      </w:pPr>
      <w:r>
        <w:rPr>
          <w:lang w:val="fr-FR" w:bidi="ar-KW"/>
        </w:rPr>
        <w:t>36.</w:t>
      </w:r>
      <w:r>
        <w:rPr>
          <w:lang w:val="fr-FR" w:bidi="ar-KW"/>
        </w:rPr>
        <w:tab/>
      </w:r>
      <w:r w:rsidR="000C6D4A" w:rsidRPr="00F1180D">
        <w:rPr>
          <w:lang w:val="fr-FR" w:bidi="ar-KW"/>
        </w:rPr>
        <w:t>Les personnes disposant d</w:t>
      </w:r>
      <w:r w:rsidR="00680ADA" w:rsidRPr="00F1180D">
        <w:rPr>
          <w:lang w:val="fr-FR" w:bidi="ar-KW"/>
        </w:rPr>
        <w:t>’</w:t>
      </w:r>
      <w:r w:rsidR="000C6D4A" w:rsidRPr="00F1180D">
        <w:rPr>
          <w:lang w:val="fr-FR" w:bidi="ar-KW"/>
        </w:rPr>
        <w:t>un titre de séjour ordinaire délivré par les autorités koweïtiennes peuvent se prévaloir de la liberté de mouvement et de circulation à l</w:t>
      </w:r>
      <w:r w:rsidR="00680ADA" w:rsidRPr="00F1180D">
        <w:rPr>
          <w:lang w:val="fr-FR" w:bidi="ar-KW"/>
        </w:rPr>
        <w:t>’</w:t>
      </w:r>
      <w:r w:rsidR="000C6D4A" w:rsidRPr="00F1180D">
        <w:rPr>
          <w:lang w:val="fr-FR" w:bidi="ar-KW"/>
        </w:rPr>
        <w:t>intérieur du pays</w:t>
      </w:r>
      <w:r w:rsidR="00680ADA" w:rsidRPr="00F1180D">
        <w:rPr>
          <w:lang w:val="fr-FR" w:bidi="ar-KW"/>
        </w:rPr>
        <w:t>,</w:t>
      </w:r>
      <w:r w:rsidR="000C6D4A" w:rsidRPr="00F1180D">
        <w:rPr>
          <w:lang w:val="fr-FR" w:bidi="ar-KW"/>
        </w:rPr>
        <w:t xml:space="preserve"> conformément à l</w:t>
      </w:r>
      <w:r w:rsidR="00680ADA" w:rsidRPr="00F1180D">
        <w:rPr>
          <w:lang w:val="fr-FR" w:bidi="ar-KW"/>
        </w:rPr>
        <w:t>’</w:t>
      </w:r>
      <w:r w:rsidR="00163207" w:rsidRPr="00F1180D">
        <w:rPr>
          <w:lang w:val="fr-FR" w:bidi="ar-KW"/>
        </w:rPr>
        <w:t>article </w:t>
      </w:r>
      <w:r w:rsidR="000C6D4A" w:rsidRPr="00F1180D">
        <w:rPr>
          <w:lang w:val="fr-FR" w:bidi="ar-KW"/>
        </w:rPr>
        <w:t>31 de la Constitution selon lequel</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Nul ne peut être arrêté</w:t>
      </w:r>
      <w:r w:rsidR="00680ADA" w:rsidRPr="00F1180D">
        <w:rPr>
          <w:lang w:val="fr-FR" w:bidi="ar-KW"/>
        </w:rPr>
        <w:t>,</w:t>
      </w:r>
      <w:r w:rsidR="000C6D4A" w:rsidRPr="00F1180D">
        <w:rPr>
          <w:lang w:val="fr-FR" w:bidi="ar-KW"/>
        </w:rPr>
        <w:t xml:space="preserve"> détenu</w:t>
      </w:r>
      <w:r w:rsidR="00680ADA" w:rsidRPr="00F1180D">
        <w:rPr>
          <w:lang w:val="fr-FR" w:bidi="ar-KW"/>
        </w:rPr>
        <w:t>,</w:t>
      </w:r>
      <w:r w:rsidR="000C6D4A" w:rsidRPr="00F1180D">
        <w:rPr>
          <w:lang w:val="fr-FR" w:bidi="ar-KW"/>
        </w:rPr>
        <w:t xml:space="preserve"> recherché ou obligé de résider dans un endroit particulier</w:t>
      </w:r>
      <w:r w:rsidR="00680ADA" w:rsidRPr="00F1180D">
        <w:rPr>
          <w:lang w:val="fr-FR" w:bidi="ar-KW"/>
        </w:rPr>
        <w:t>,</w:t>
      </w:r>
      <w:r w:rsidR="000C6D4A" w:rsidRPr="00F1180D">
        <w:rPr>
          <w:lang w:val="fr-FR" w:bidi="ar-KW"/>
        </w:rPr>
        <w:t xml:space="preserve"> ni limité dans le choix de sa résidence ou de son domicile ou dans sa liberté de mouvement</w:t>
      </w:r>
      <w:r w:rsidR="00680ADA" w:rsidRPr="00F1180D">
        <w:rPr>
          <w:lang w:val="fr-FR" w:bidi="ar-KW"/>
        </w:rPr>
        <w:t>,</w:t>
      </w:r>
      <w:r w:rsidR="000C6D4A" w:rsidRPr="00F1180D">
        <w:rPr>
          <w:lang w:val="fr-FR" w:bidi="ar-KW"/>
        </w:rPr>
        <w:t xml:space="preserve"> sauf dispositions légales expresses ....»</w:t>
      </w:r>
      <w:r w:rsidR="00680ADA" w:rsidRPr="00F1180D">
        <w:rPr>
          <w:lang w:val="fr-FR" w:bidi="ar-KW"/>
        </w:rPr>
        <w:t>;</w:t>
      </w:r>
      <w:r w:rsidR="000C6D4A" w:rsidRPr="00F1180D">
        <w:rPr>
          <w:lang w:val="fr-FR" w:bidi="ar-KW"/>
        </w:rPr>
        <w:t xml:space="preserve"> lesdites personnes peuvent ainsi retourner dans leur pays d</w:t>
      </w:r>
      <w:r w:rsidR="00680ADA" w:rsidRPr="00F1180D">
        <w:rPr>
          <w:lang w:val="fr-FR" w:bidi="ar-KW"/>
        </w:rPr>
        <w:t>’</w:t>
      </w:r>
      <w:r w:rsidR="000C6D4A" w:rsidRPr="00F1180D">
        <w:rPr>
          <w:lang w:val="fr-FR" w:bidi="ar-KW"/>
        </w:rPr>
        <w:t>origine</w:t>
      </w:r>
      <w:r w:rsidR="00680ADA" w:rsidRPr="00F1180D">
        <w:rPr>
          <w:lang w:val="fr-FR" w:bidi="ar-KW"/>
        </w:rPr>
        <w:t>,</w:t>
      </w:r>
      <w:r w:rsidR="000C6D4A" w:rsidRPr="00F1180D">
        <w:rPr>
          <w:lang w:val="fr-FR" w:bidi="ar-KW"/>
        </w:rPr>
        <w:t xml:space="preserve"> se rendre dans un autre pays ou revenir au Koweït tant qu</w:t>
      </w:r>
      <w:r w:rsidR="00680ADA" w:rsidRPr="00F1180D">
        <w:rPr>
          <w:lang w:val="fr-FR" w:bidi="ar-KW"/>
        </w:rPr>
        <w:t>’</w:t>
      </w:r>
      <w:r w:rsidR="000C6D4A" w:rsidRPr="00F1180D">
        <w:rPr>
          <w:lang w:val="fr-FR" w:bidi="ar-KW"/>
        </w:rPr>
        <w:t>elles possèdent un titre de séjour valide et qu</w:t>
      </w:r>
      <w:r w:rsidR="00680ADA" w:rsidRPr="00F1180D">
        <w:rPr>
          <w:lang w:val="fr-FR" w:bidi="ar-KW"/>
        </w:rPr>
        <w:t>’</w:t>
      </w:r>
      <w:r w:rsidR="000C6D4A" w:rsidRPr="00F1180D">
        <w:rPr>
          <w:lang w:val="fr-FR" w:bidi="ar-KW"/>
        </w:rPr>
        <w:t>elles ne font l</w:t>
      </w:r>
      <w:r w:rsidR="00680ADA" w:rsidRPr="00F1180D">
        <w:rPr>
          <w:lang w:val="fr-FR" w:bidi="ar-KW"/>
        </w:rPr>
        <w:t>’</w:t>
      </w:r>
      <w:r w:rsidR="000C6D4A" w:rsidRPr="00F1180D">
        <w:rPr>
          <w:lang w:val="fr-FR" w:bidi="ar-KW"/>
        </w:rPr>
        <w:t>objet d</w:t>
      </w:r>
      <w:r w:rsidR="00680ADA" w:rsidRPr="00F1180D">
        <w:rPr>
          <w:lang w:val="fr-FR" w:bidi="ar-KW"/>
        </w:rPr>
        <w:t>’</w:t>
      </w:r>
      <w:r w:rsidR="000C6D4A" w:rsidRPr="00F1180D">
        <w:rPr>
          <w:lang w:val="fr-FR" w:bidi="ar-KW"/>
        </w:rPr>
        <w:t>aucune restriction les empêchant d</w:t>
      </w:r>
      <w:r w:rsidR="00680ADA" w:rsidRPr="00F1180D">
        <w:rPr>
          <w:lang w:val="fr-FR" w:bidi="ar-KW"/>
        </w:rPr>
        <w:t>’</w:t>
      </w:r>
      <w:r w:rsidR="000C6D4A" w:rsidRPr="00F1180D">
        <w:rPr>
          <w:lang w:val="fr-FR" w:bidi="ar-KW"/>
        </w:rPr>
        <w:t>entrer au Koweït.</w:t>
      </w:r>
    </w:p>
    <w:p w:rsidR="00766AC3" w:rsidRPr="00F1180D" w:rsidRDefault="00766AC3" w:rsidP="00766AC3">
      <w:pPr>
        <w:pStyle w:val="H23G"/>
        <w:rPr>
          <w:lang w:val="fr-FR" w:bidi="ar-KW"/>
        </w:rPr>
      </w:pPr>
      <w:r w:rsidRPr="00F1180D">
        <w:rPr>
          <w:lang w:val="fr-FR" w:bidi="ar-KW"/>
        </w:rPr>
        <w:tab/>
      </w:r>
      <w:r w:rsidR="00DE029F" w:rsidRPr="00F1180D">
        <w:rPr>
          <w:lang w:val="fr-FR" w:bidi="ar-KW"/>
        </w:rPr>
        <w:tab/>
      </w:r>
      <w:r w:rsidR="004C1D3C" w:rsidRPr="00F1180D">
        <w:rPr>
          <w:lang w:val="fr-FR" w:bidi="ar-KW"/>
        </w:rPr>
        <w:t xml:space="preserve">Paragraphe </w:t>
      </w:r>
      <w:r w:rsidR="00DE029F" w:rsidRPr="00F1180D">
        <w:rPr>
          <w:lang w:val="fr-FR" w:bidi="ar-KW"/>
        </w:rPr>
        <w:t>d) iii)</w:t>
      </w:r>
    </w:p>
    <w:p w:rsidR="000C6D4A" w:rsidRPr="00F1180D" w:rsidRDefault="00B357F2" w:rsidP="00680ADA">
      <w:pPr>
        <w:pStyle w:val="SingleTxtG"/>
        <w:rPr>
          <w:rtl/>
          <w:lang w:val="fr-FR" w:bidi="fr-FR"/>
        </w:rPr>
      </w:pPr>
      <w:r>
        <w:rPr>
          <w:lang w:val="fr-FR" w:bidi="ar-KW"/>
        </w:rPr>
        <w:t>37.</w:t>
      </w:r>
      <w:r>
        <w:rPr>
          <w:lang w:val="fr-FR" w:bidi="ar-KW"/>
        </w:rPr>
        <w:tab/>
      </w:r>
      <w:r w:rsidR="000C6D4A" w:rsidRPr="00F1180D">
        <w:rPr>
          <w:lang w:val="fr-FR" w:bidi="ar-KW"/>
        </w:rPr>
        <w:t>Le droit à la nationalité est inscrit dans la Constitution</w:t>
      </w:r>
      <w:r w:rsidR="00680ADA" w:rsidRPr="00F1180D">
        <w:rPr>
          <w:lang w:val="fr-FR" w:bidi="ar-KW"/>
        </w:rPr>
        <w:t>,</w:t>
      </w:r>
      <w:r w:rsidR="000C6D4A" w:rsidRPr="00F1180D">
        <w:rPr>
          <w:lang w:val="fr-FR" w:bidi="ar-KW"/>
        </w:rPr>
        <w:t xml:space="preserve"> dont l</w:t>
      </w:r>
      <w:r w:rsidR="00680ADA" w:rsidRPr="00F1180D">
        <w:rPr>
          <w:lang w:val="fr-FR" w:bidi="ar-KW"/>
        </w:rPr>
        <w:t>’</w:t>
      </w:r>
      <w:r w:rsidR="00163207" w:rsidRPr="00F1180D">
        <w:rPr>
          <w:lang w:val="fr-FR" w:bidi="ar-KW"/>
        </w:rPr>
        <w:t>article </w:t>
      </w:r>
      <w:r w:rsidR="000C6D4A" w:rsidRPr="00F1180D">
        <w:rPr>
          <w:lang w:val="fr-FR" w:bidi="ar-KW"/>
        </w:rPr>
        <w:t xml:space="preserve">27 dispose ce qui suit </w:t>
      </w:r>
      <w:r w:rsidR="00680ADA" w:rsidRPr="00F1180D">
        <w:rPr>
          <w:lang w:val="fr-FR" w:bidi="ar-KW"/>
        </w:rPr>
        <w:t>«</w:t>
      </w:r>
      <w:r w:rsidR="000C6D4A" w:rsidRPr="00F1180D">
        <w:rPr>
          <w:lang w:val="fr-FR" w:bidi="ar-KW"/>
        </w:rPr>
        <w:t>La nationalité koweïtienne est accordée selon les dispositions de la loi</w:t>
      </w:r>
      <w:r w:rsidR="00680ADA" w:rsidRPr="00F1180D">
        <w:rPr>
          <w:lang w:val="fr-FR" w:bidi="ar-KW"/>
        </w:rPr>
        <w:t>,</w:t>
      </w:r>
      <w:r w:rsidR="000C6D4A" w:rsidRPr="00F1180D">
        <w:rPr>
          <w:lang w:val="fr-FR" w:bidi="ar-KW"/>
        </w:rPr>
        <w:t xml:space="preserve"> et aucun Koweïtien ne peut être déchu ou privé de sa nationalité si ce n</w:t>
      </w:r>
      <w:r w:rsidR="00680ADA" w:rsidRPr="00F1180D">
        <w:rPr>
          <w:lang w:val="fr-FR" w:bidi="ar-KW"/>
        </w:rPr>
        <w:t>’</w:t>
      </w:r>
      <w:r w:rsidR="000C6D4A" w:rsidRPr="00F1180D">
        <w:rPr>
          <w:lang w:val="fr-FR" w:bidi="ar-KW"/>
        </w:rPr>
        <w:t>est conformément à la loi</w:t>
      </w:r>
      <w:r w:rsidR="00680ADA" w:rsidRPr="00F1180D">
        <w:rPr>
          <w:lang w:val="fr-FR" w:bidi="ar-KW"/>
        </w:rPr>
        <w:t>»</w:t>
      </w:r>
      <w:r w:rsidR="000C6D4A" w:rsidRPr="00F1180D">
        <w:rPr>
          <w:lang w:val="fr-FR" w:bidi="ar-KW"/>
        </w:rPr>
        <w:t>.</w:t>
      </w:r>
    </w:p>
    <w:p w:rsidR="000C6D4A" w:rsidRPr="00F1180D" w:rsidRDefault="00B357F2" w:rsidP="00680ADA">
      <w:pPr>
        <w:pStyle w:val="SingleTxtG"/>
        <w:rPr>
          <w:rtl/>
          <w:lang w:val="fr-FR" w:bidi="fr-FR"/>
        </w:rPr>
      </w:pPr>
      <w:r>
        <w:rPr>
          <w:lang w:val="fr-FR" w:bidi="ar-KW"/>
        </w:rPr>
        <w:t>38.</w:t>
      </w:r>
      <w:r>
        <w:rPr>
          <w:lang w:val="fr-FR" w:bidi="ar-KW"/>
        </w:rPr>
        <w:tab/>
      </w:r>
      <w:r w:rsidR="000C6D4A" w:rsidRPr="00F1180D">
        <w:rPr>
          <w:lang w:val="fr-FR" w:bidi="ar-KW"/>
        </w:rPr>
        <w:t>Le décret de l</w:t>
      </w:r>
      <w:r w:rsidR="00680ADA" w:rsidRPr="00F1180D">
        <w:rPr>
          <w:lang w:val="fr-FR" w:bidi="ar-KW"/>
        </w:rPr>
        <w:t>’</w:t>
      </w:r>
      <w:r w:rsidR="000C6D4A" w:rsidRPr="00F1180D">
        <w:rPr>
          <w:lang w:val="fr-FR" w:bidi="ar-KW"/>
        </w:rPr>
        <w:t xml:space="preserve">Émir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15 de 1959 portant Code de la nationalité fixe les procédures et conditions d</w:t>
      </w:r>
      <w:r w:rsidR="00680ADA" w:rsidRPr="00F1180D">
        <w:rPr>
          <w:lang w:val="fr-FR" w:bidi="ar-KW"/>
        </w:rPr>
        <w:t>’</w:t>
      </w:r>
      <w:r w:rsidR="000C6D4A" w:rsidRPr="00F1180D">
        <w:rPr>
          <w:lang w:val="fr-FR" w:bidi="ar-KW"/>
        </w:rPr>
        <w:t>acquisition de la nationalité koweïtienne et ne prive aucune personne de la jouissance de ce droit</w:t>
      </w:r>
      <w:r w:rsidR="00680ADA" w:rsidRPr="00F1180D">
        <w:rPr>
          <w:lang w:val="fr-FR" w:bidi="ar-KW"/>
        </w:rPr>
        <w:t>,</w:t>
      </w:r>
      <w:r w:rsidR="000C6D4A" w:rsidRPr="00F1180D">
        <w:rPr>
          <w:lang w:val="fr-FR" w:bidi="ar-KW"/>
        </w:rPr>
        <w:t xml:space="preserve"> sous réserve de l</w:t>
      </w:r>
      <w:r w:rsidR="00680ADA" w:rsidRPr="00F1180D">
        <w:rPr>
          <w:lang w:val="fr-FR" w:bidi="ar-KW"/>
        </w:rPr>
        <w:t>’</w:t>
      </w:r>
      <w:r w:rsidR="00163207" w:rsidRPr="00F1180D">
        <w:rPr>
          <w:lang w:val="fr-FR" w:bidi="ar-KW"/>
        </w:rPr>
        <w:t>article </w:t>
      </w:r>
      <w:r w:rsidR="000C6D4A" w:rsidRPr="00F1180D">
        <w:rPr>
          <w:lang w:val="fr-FR" w:bidi="ar-KW"/>
        </w:rPr>
        <w:t xml:space="preserve">11 aux termes duquel </w:t>
      </w:r>
      <w:r w:rsidR="00680ADA" w:rsidRPr="00F1180D">
        <w:rPr>
          <w:lang w:val="fr-FR" w:bidi="ar-KW"/>
        </w:rPr>
        <w:t>«</w:t>
      </w:r>
      <w:r w:rsidR="000C6D4A" w:rsidRPr="00F1180D">
        <w:rPr>
          <w:lang w:val="fr-FR" w:bidi="ar-KW"/>
        </w:rPr>
        <w:t>Tout citoyen koweïtien qui opte volontairement pour une nationalité étrangère perd sa nationalité ...</w:t>
      </w:r>
      <w:r w:rsidR="00680ADA" w:rsidRPr="00F1180D">
        <w:rPr>
          <w:lang w:val="fr-FR" w:bidi="ar-KW"/>
        </w:rPr>
        <w:t>»</w:t>
      </w:r>
      <w:r w:rsidR="000C6D4A" w:rsidRPr="00F1180D">
        <w:rPr>
          <w:lang w:val="fr-FR" w:bidi="ar-KW"/>
        </w:rPr>
        <w:t>.</w:t>
      </w:r>
    </w:p>
    <w:p w:rsidR="000C6D4A" w:rsidRPr="00F1180D" w:rsidRDefault="00B357F2" w:rsidP="00680ADA">
      <w:pPr>
        <w:pStyle w:val="SingleTxtG"/>
        <w:rPr>
          <w:rtl/>
          <w:lang w:val="fr-FR" w:bidi="fr-FR"/>
        </w:rPr>
      </w:pPr>
      <w:r>
        <w:rPr>
          <w:lang w:val="fr-FR" w:bidi="ar-KW"/>
        </w:rPr>
        <w:t>39.</w:t>
      </w:r>
      <w:r>
        <w:rPr>
          <w:lang w:val="fr-FR" w:bidi="ar-KW"/>
        </w:rPr>
        <w:tab/>
      </w:r>
      <w:r w:rsidR="000C6D4A" w:rsidRPr="00F1180D">
        <w:rPr>
          <w:lang w:val="fr-FR" w:bidi="ar-KW"/>
        </w:rPr>
        <w:t>Sur proposition du Ministre de l</w:t>
      </w:r>
      <w:r w:rsidR="00680ADA" w:rsidRPr="00F1180D">
        <w:rPr>
          <w:lang w:val="fr-FR" w:bidi="ar-KW"/>
        </w:rPr>
        <w:t>’</w:t>
      </w:r>
      <w:r w:rsidR="000C6D4A" w:rsidRPr="00F1180D">
        <w:rPr>
          <w:lang w:val="fr-FR" w:bidi="ar-KW"/>
        </w:rPr>
        <w:t>intérieur</w:t>
      </w:r>
      <w:r w:rsidR="00680ADA" w:rsidRPr="00F1180D">
        <w:rPr>
          <w:lang w:val="fr-FR" w:bidi="ar-KW"/>
        </w:rPr>
        <w:t>,</w:t>
      </w:r>
      <w:r w:rsidR="000C6D4A" w:rsidRPr="00F1180D">
        <w:rPr>
          <w:lang w:val="fr-FR" w:bidi="ar-KW"/>
        </w:rPr>
        <w:t xml:space="preserve"> le Conseil des ministres peut réintégrer dans la nationalité koweïtienne une personne l</w:t>
      </w:r>
      <w:r w:rsidR="00680ADA" w:rsidRPr="00F1180D">
        <w:rPr>
          <w:lang w:val="fr-FR" w:bidi="ar-KW"/>
        </w:rPr>
        <w:t>’</w:t>
      </w:r>
      <w:r w:rsidR="000C6D4A" w:rsidRPr="00F1180D">
        <w:rPr>
          <w:lang w:val="fr-FR" w:bidi="ar-KW"/>
        </w:rPr>
        <w:t>ayant perdue sur la base des dispositions précitées</w:t>
      </w:r>
      <w:r w:rsidR="00680ADA" w:rsidRPr="00F1180D">
        <w:rPr>
          <w:lang w:val="fr-FR" w:bidi="ar-KW"/>
        </w:rPr>
        <w:t>,</w:t>
      </w:r>
      <w:r w:rsidR="000C6D4A" w:rsidRPr="00F1180D">
        <w:rPr>
          <w:lang w:val="fr-FR" w:bidi="ar-KW"/>
        </w:rPr>
        <w:t xml:space="preserve"> à condition de justifier d</w:t>
      </w:r>
      <w:r w:rsidR="00680ADA" w:rsidRPr="00F1180D">
        <w:rPr>
          <w:lang w:val="fr-FR" w:bidi="ar-KW"/>
        </w:rPr>
        <w:t>’</w:t>
      </w:r>
      <w:r w:rsidR="000C6D4A" w:rsidRPr="00F1180D">
        <w:rPr>
          <w:lang w:val="fr-FR" w:bidi="ar-KW"/>
        </w:rPr>
        <w:t>un séjour légal au Koweït pendant au moins une année</w:t>
      </w:r>
      <w:r w:rsidR="00680ADA" w:rsidRPr="00F1180D">
        <w:rPr>
          <w:lang w:val="fr-FR" w:bidi="ar-KW"/>
        </w:rPr>
        <w:t>,</w:t>
      </w:r>
      <w:r w:rsidR="000C6D4A" w:rsidRPr="00F1180D">
        <w:rPr>
          <w:lang w:val="fr-FR" w:bidi="ar-KW"/>
        </w:rPr>
        <w:t xml:space="preserve"> de déposer une demande de réintégration de nationalité et de renoncer à la nationalité étrangère. Si les conditions susvisées sont réunies</w:t>
      </w:r>
      <w:r w:rsidR="00680ADA" w:rsidRPr="00F1180D">
        <w:rPr>
          <w:lang w:val="fr-FR" w:bidi="ar-KW"/>
        </w:rPr>
        <w:t>,</w:t>
      </w:r>
      <w:r w:rsidR="000C6D4A" w:rsidRPr="00F1180D">
        <w:rPr>
          <w:lang w:val="fr-FR" w:bidi="ar-KW"/>
        </w:rPr>
        <w:t xml:space="preserve"> la réintégration de nationalité devient effective à compter de la date de la décision du Conseil des ministres. </w:t>
      </w:r>
    </w:p>
    <w:p w:rsidR="000C6D4A" w:rsidRPr="00F1180D" w:rsidRDefault="00B357F2" w:rsidP="00680ADA">
      <w:pPr>
        <w:pStyle w:val="SingleTxtG"/>
        <w:rPr>
          <w:lang w:val="fr-FR" w:bidi="ar-KW"/>
        </w:rPr>
      </w:pPr>
      <w:r>
        <w:rPr>
          <w:lang w:val="fr-FR" w:bidi="ar-KW"/>
        </w:rPr>
        <w:t>40.</w:t>
      </w:r>
      <w:r>
        <w:rPr>
          <w:lang w:val="fr-FR" w:bidi="ar-KW"/>
        </w:rPr>
        <w:tab/>
      </w:r>
      <w:r w:rsidR="000C6D4A" w:rsidRPr="00F1180D">
        <w:rPr>
          <w:lang w:val="fr-FR" w:bidi="ar-KW"/>
        </w:rPr>
        <w:t>Selon l</w:t>
      </w:r>
      <w:r w:rsidR="00680ADA" w:rsidRPr="00F1180D">
        <w:rPr>
          <w:lang w:val="fr-FR" w:bidi="ar-KW"/>
        </w:rPr>
        <w:t>’</w:t>
      </w:r>
      <w:r w:rsidR="00163207" w:rsidRPr="00F1180D">
        <w:rPr>
          <w:lang w:val="fr-FR" w:bidi="ar-KW"/>
        </w:rPr>
        <w:t>article </w:t>
      </w:r>
      <w:r w:rsidR="000C6D4A" w:rsidRPr="00F1180D">
        <w:rPr>
          <w:lang w:val="fr-FR" w:bidi="ar-KW"/>
        </w:rPr>
        <w:t>11 bis</w:t>
      </w:r>
      <w:r w:rsidR="00680ADA" w:rsidRPr="00F1180D">
        <w:rPr>
          <w:lang w:val="fr-FR" w:bidi="ar-KW"/>
        </w:rPr>
        <w:t>,</w:t>
      </w:r>
      <w:r w:rsidR="000C6D4A" w:rsidRPr="00F1180D">
        <w:rPr>
          <w:lang w:val="fr-FR" w:bidi="ar-KW"/>
        </w:rPr>
        <w:t xml:space="preserve"> un étranger ayant acquis la nationalité koweïtienne en vertu des </w:t>
      </w:r>
      <w:r w:rsidR="00DE029F" w:rsidRPr="00F1180D">
        <w:rPr>
          <w:lang w:val="fr-FR" w:bidi="ar-KW"/>
        </w:rPr>
        <w:t>articles </w:t>
      </w:r>
      <w:r w:rsidR="000C6D4A" w:rsidRPr="00F1180D">
        <w:rPr>
          <w:lang w:val="fr-FR" w:bidi="ar-KW"/>
        </w:rPr>
        <w:t>4</w:t>
      </w:r>
      <w:r w:rsidR="00680ADA" w:rsidRPr="00F1180D">
        <w:rPr>
          <w:lang w:val="fr-FR" w:bidi="ar-KW"/>
        </w:rPr>
        <w:t>,</w:t>
      </w:r>
      <w:r w:rsidR="000C6D4A" w:rsidRPr="00F1180D">
        <w:rPr>
          <w:lang w:val="fr-FR" w:bidi="ar-KW"/>
        </w:rPr>
        <w:t xml:space="preserve"> 5</w:t>
      </w:r>
      <w:r w:rsidR="00680ADA" w:rsidRPr="00F1180D">
        <w:rPr>
          <w:lang w:val="fr-FR" w:bidi="ar-KW"/>
        </w:rPr>
        <w:t>,</w:t>
      </w:r>
      <w:r w:rsidR="000C6D4A" w:rsidRPr="00F1180D">
        <w:rPr>
          <w:lang w:val="fr-FR" w:bidi="ar-KW"/>
        </w:rPr>
        <w:t xml:space="preserve"> 7 et 8 dudit Code peut renoncer</w:t>
      </w:r>
      <w:r w:rsidR="00680ADA" w:rsidRPr="00F1180D">
        <w:rPr>
          <w:lang w:val="fr-FR" w:bidi="ar-KW"/>
        </w:rPr>
        <w:t>,</w:t>
      </w:r>
      <w:r w:rsidR="000C6D4A" w:rsidRPr="00F1180D">
        <w:rPr>
          <w:lang w:val="fr-FR" w:bidi="ar-KW"/>
        </w:rPr>
        <w:t xml:space="preserve"> le cas échéant</w:t>
      </w:r>
      <w:r w:rsidR="00680ADA" w:rsidRPr="00F1180D">
        <w:rPr>
          <w:lang w:val="fr-FR" w:bidi="ar-KW"/>
        </w:rPr>
        <w:t>,</w:t>
      </w:r>
      <w:r w:rsidR="000C6D4A" w:rsidRPr="00F1180D">
        <w:rPr>
          <w:lang w:val="fr-FR" w:bidi="ar-KW"/>
        </w:rPr>
        <w:t xml:space="preserve"> à sa nationalité étrangère au cours des 3 mois postérieurs à la date d</w:t>
      </w:r>
      <w:r w:rsidR="00680ADA" w:rsidRPr="00F1180D">
        <w:rPr>
          <w:lang w:val="fr-FR" w:bidi="ar-KW"/>
        </w:rPr>
        <w:t>’</w:t>
      </w:r>
      <w:r w:rsidR="000C6D4A" w:rsidRPr="00F1180D">
        <w:rPr>
          <w:lang w:val="fr-FR" w:bidi="ar-KW"/>
        </w:rPr>
        <w:t>obtention de la nationalité koweïtienne. Il apparaît donc que les textes régissant les questions relatives à la nationalité n</w:t>
      </w:r>
      <w:r w:rsidR="00680ADA" w:rsidRPr="00F1180D">
        <w:rPr>
          <w:lang w:val="fr-FR" w:bidi="ar-KW"/>
        </w:rPr>
        <w:t>’</w:t>
      </w:r>
      <w:r w:rsidR="000C6D4A" w:rsidRPr="00F1180D">
        <w:rPr>
          <w:lang w:val="fr-FR" w:bidi="ar-KW"/>
        </w:rPr>
        <w:t>apportent aucune restriction à la jouissance du droit à une nationalité</w:t>
      </w:r>
      <w:r w:rsidR="00680ADA" w:rsidRPr="00F1180D">
        <w:rPr>
          <w:lang w:val="fr-FR" w:bidi="ar-KW"/>
        </w:rPr>
        <w:t>,</w:t>
      </w:r>
      <w:r w:rsidR="000C6D4A" w:rsidRPr="00F1180D">
        <w:rPr>
          <w:lang w:val="fr-FR" w:bidi="ar-KW"/>
        </w:rPr>
        <w:t xml:space="preserve"> qu</w:t>
      </w:r>
      <w:r w:rsidR="00680ADA" w:rsidRPr="00F1180D">
        <w:rPr>
          <w:lang w:val="fr-FR" w:bidi="ar-KW"/>
        </w:rPr>
        <w:t>’</w:t>
      </w:r>
      <w:r w:rsidR="000C6D4A" w:rsidRPr="00F1180D">
        <w:rPr>
          <w:lang w:val="fr-FR" w:bidi="ar-KW"/>
        </w:rPr>
        <w:t xml:space="preserve">elle soit koweïtienne ou étrangère. </w:t>
      </w:r>
    </w:p>
    <w:p w:rsidR="00766AC3" w:rsidRPr="00F1180D" w:rsidRDefault="00766AC3" w:rsidP="00766AC3">
      <w:pPr>
        <w:pStyle w:val="H23G"/>
        <w:rPr>
          <w:lang w:val="fr-FR" w:bidi="ar-KW"/>
        </w:rPr>
      </w:pPr>
      <w:r w:rsidRPr="00F1180D">
        <w:rPr>
          <w:lang w:val="fr-FR" w:bidi="ar-KW"/>
        </w:rPr>
        <w:lastRenderedPageBreak/>
        <w:tab/>
      </w:r>
      <w:r w:rsidR="00DE029F" w:rsidRPr="00F1180D">
        <w:rPr>
          <w:lang w:val="fr-FR" w:bidi="ar-KW"/>
        </w:rPr>
        <w:tab/>
      </w:r>
      <w:r w:rsidR="004C1D3C" w:rsidRPr="00F1180D">
        <w:rPr>
          <w:lang w:val="fr-FR" w:bidi="ar-KW"/>
        </w:rPr>
        <w:t xml:space="preserve">Paragraphe </w:t>
      </w:r>
      <w:r w:rsidR="00DE029F" w:rsidRPr="00F1180D">
        <w:rPr>
          <w:lang w:val="fr-FR" w:bidi="ar-KW"/>
        </w:rPr>
        <w:t>d) iv)</w:t>
      </w:r>
    </w:p>
    <w:p w:rsidR="000C6D4A" w:rsidRPr="00F1180D" w:rsidRDefault="00B357F2" w:rsidP="00DE029F">
      <w:pPr>
        <w:pStyle w:val="SingleTxtG"/>
        <w:rPr>
          <w:rtl/>
          <w:lang w:val="fr-FR" w:bidi="fr-FR"/>
        </w:rPr>
      </w:pPr>
      <w:r>
        <w:rPr>
          <w:lang w:val="fr-FR" w:bidi="ar-KW"/>
        </w:rPr>
        <w:t>41.</w:t>
      </w:r>
      <w:r>
        <w:rPr>
          <w:lang w:val="fr-FR" w:bidi="ar-KW"/>
        </w:rPr>
        <w:tab/>
      </w:r>
      <w:r w:rsidR="000C6D4A" w:rsidRPr="00F1180D">
        <w:rPr>
          <w:lang w:val="fr-FR" w:bidi="ar-EG"/>
        </w:rPr>
        <w:t>Droit de se marier et de choisir son conjoint</w:t>
      </w:r>
      <w:r w:rsidR="00680ADA" w:rsidRPr="00F1180D">
        <w:rPr>
          <w:lang w:val="fr-FR" w:bidi="ar-EG"/>
        </w:rPr>
        <w:t>:</w:t>
      </w:r>
      <w:r w:rsidR="000C6D4A" w:rsidRPr="00F1180D">
        <w:rPr>
          <w:lang w:val="fr-FR" w:bidi="ar-EG"/>
        </w:rPr>
        <w:t xml:space="preserve"> </w:t>
      </w:r>
      <w:r w:rsidR="000C6D4A" w:rsidRPr="00F1180D">
        <w:rPr>
          <w:lang w:val="fr-FR" w:bidi="ar-KW"/>
        </w:rPr>
        <w:t xml:space="preserve">il convient de citer à ce sujet les dispositions pertinentes du Code du statut personnel promulgué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61 de 1969</w:t>
      </w:r>
      <w:r w:rsidR="00680ADA" w:rsidRPr="00F1180D">
        <w:rPr>
          <w:lang w:val="fr-FR" w:bidi="ar-KW"/>
        </w:rPr>
        <w:t>,</w:t>
      </w:r>
      <w:r w:rsidR="000C6D4A" w:rsidRPr="00F1180D">
        <w:rPr>
          <w:lang w:val="fr-FR" w:bidi="ar-KW"/>
        </w:rPr>
        <w:t xml:space="preserve"> parmi lesquelles les suivantes</w:t>
      </w:r>
      <w:r w:rsidR="00680ADA" w:rsidRPr="00F1180D">
        <w:rPr>
          <w:lang w:val="fr-FR" w:bidi="ar-KW"/>
        </w:rPr>
        <w:t>:</w:t>
      </w:r>
      <w:r w:rsidR="000C6D4A" w:rsidRPr="00F1180D">
        <w:rPr>
          <w:lang w:val="fr-FR" w:bidi="ar-KW"/>
        </w:rPr>
        <w:t xml:space="preserve"> </w:t>
      </w:r>
    </w:p>
    <w:p w:rsidR="000C6D4A" w:rsidRPr="00F1180D" w:rsidRDefault="000C6D4A" w:rsidP="000A606E">
      <w:pPr>
        <w:pStyle w:val="Bullet1G"/>
        <w:rPr>
          <w:rtl/>
          <w:lang w:val="fr-FR" w:bidi="fr-FR"/>
        </w:rPr>
      </w:pPr>
      <w:r w:rsidRPr="00F1180D">
        <w:rPr>
          <w:lang w:val="fr-FR" w:bidi="ar-KW"/>
        </w:rPr>
        <w:t>L</w:t>
      </w:r>
      <w:r w:rsidR="00680ADA" w:rsidRPr="00F1180D">
        <w:rPr>
          <w:lang w:val="fr-FR" w:bidi="ar-KW"/>
        </w:rPr>
        <w:t>’</w:t>
      </w:r>
      <w:r w:rsidR="00163207" w:rsidRPr="00F1180D">
        <w:rPr>
          <w:lang w:val="fr-FR" w:bidi="ar-KW"/>
        </w:rPr>
        <w:t>article </w:t>
      </w:r>
      <w:r w:rsidRPr="00F1180D">
        <w:rPr>
          <w:lang w:val="fr-FR" w:bidi="ar-KW"/>
        </w:rPr>
        <w:t>24</w:t>
      </w:r>
      <w:r w:rsidR="00680ADA" w:rsidRPr="00F1180D">
        <w:rPr>
          <w:lang w:val="fr-FR" w:bidi="ar-KW"/>
        </w:rPr>
        <w:t>,</w:t>
      </w:r>
      <w:r w:rsidRPr="00F1180D">
        <w:rPr>
          <w:lang w:val="fr-FR" w:bidi="ar-KW"/>
        </w:rPr>
        <w:t xml:space="preserve"> qui dispose ce qui suit</w:t>
      </w:r>
      <w:r w:rsidR="00680ADA" w:rsidRPr="00F1180D">
        <w:rPr>
          <w:lang w:val="fr-FR" w:bidi="ar-KW"/>
        </w:rPr>
        <w:t>:</w:t>
      </w:r>
      <w:r w:rsidR="000A606E" w:rsidRPr="00F1180D">
        <w:rPr>
          <w:lang w:val="fr-FR" w:bidi="ar-KW"/>
        </w:rPr>
        <w:t xml:space="preserve"> </w:t>
      </w:r>
      <w:r w:rsidR="00680ADA" w:rsidRPr="00F1180D">
        <w:rPr>
          <w:lang w:val="fr-FR" w:bidi="ar-KW"/>
        </w:rPr>
        <w:t>«</w:t>
      </w:r>
      <w:r w:rsidRPr="00F1180D">
        <w:rPr>
          <w:lang w:val="fr-FR" w:bidi="ar-KW"/>
        </w:rPr>
        <w:t>Un mariage valide nécessite que les deux parties soient saines d</w:t>
      </w:r>
      <w:r w:rsidR="00680ADA" w:rsidRPr="00F1180D">
        <w:rPr>
          <w:lang w:val="fr-FR" w:bidi="ar-KW"/>
        </w:rPr>
        <w:t>’</w:t>
      </w:r>
      <w:r w:rsidRPr="00F1180D">
        <w:rPr>
          <w:lang w:val="fr-FR" w:bidi="ar-KW"/>
        </w:rPr>
        <w:t>esprit et pubères</w:t>
      </w:r>
      <w:r w:rsidR="00680ADA" w:rsidRPr="00F1180D">
        <w:rPr>
          <w:lang w:val="fr-FR" w:bidi="ar-KW"/>
        </w:rPr>
        <w:t>»</w:t>
      </w:r>
      <w:r w:rsidR="00EB55D3" w:rsidRPr="00F1180D">
        <w:rPr>
          <w:lang w:val="fr-FR" w:bidi="ar-KW"/>
        </w:rPr>
        <w:t>;</w:t>
      </w:r>
    </w:p>
    <w:p w:rsidR="000C6D4A" w:rsidRPr="00F1180D" w:rsidRDefault="000C6D4A" w:rsidP="000A606E">
      <w:pPr>
        <w:pStyle w:val="Bullet1G"/>
        <w:rPr>
          <w:lang w:val="fr-FR" w:bidi="ar-KW"/>
        </w:rPr>
      </w:pPr>
      <w:r w:rsidRPr="00F1180D">
        <w:rPr>
          <w:lang w:val="fr-FR" w:bidi="ar-KW"/>
        </w:rPr>
        <w:t>L</w:t>
      </w:r>
      <w:r w:rsidR="00680ADA" w:rsidRPr="00F1180D">
        <w:rPr>
          <w:lang w:val="fr-FR" w:bidi="ar-KW"/>
        </w:rPr>
        <w:t>’</w:t>
      </w:r>
      <w:r w:rsidR="00163207" w:rsidRPr="00F1180D">
        <w:rPr>
          <w:lang w:val="fr-FR" w:bidi="ar-KW"/>
        </w:rPr>
        <w:t>article </w:t>
      </w:r>
      <w:r w:rsidRPr="00F1180D">
        <w:rPr>
          <w:lang w:val="fr-FR" w:bidi="ar-KW"/>
        </w:rPr>
        <w:t>25</w:t>
      </w:r>
      <w:r w:rsidR="00680ADA" w:rsidRPr="00F1180D">
        <w:rPr>
          <w:lang w:val="fr-FR" w:bidi="ar-KW"/>
        </w:rPr>
        <w:t>,</w:t>
      </w:r>
      <w:r w:rsidRPr="00F1180D">
        <w:rPr>
          <w:lang w:val="fr-FR" w:bidi="ar-KW"/>
        </w:rPr>
        <w:t xml:space="preserve"> qui prévoit ce qui suit</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Le mariage sous contrainte ou en état d</w:t>
      </w:r>
      <w:r w:rsidR="00680ADA" w:rsidRPr="00F1180D">
        <w:rPr>
          <w:lang w:val="fr-FR" w:bidi="ar-KW"/>
        </w:rPr>
        <w:t>’</w:t>
      </w:r>
      <w:r w:rsidRPr="00F1180D">
        <w:rPr>
          <w:lang w:val="fr-FR" w:bidi="ar-KW"/>
        </w:rPr>
        <w:t>ébriété n</w:t>
      </w:r>
      <w:r w:rsidR="00680ADA" w:rsidRPr="00F1180D">
        <w:rPr>
          <w:lang w:val="fr-FR" w:bidi="ar-KW"/>
        </w:rPr>
        <w:t>’</w:t>
      </w:r>
      <w:r w:rsidRPr="00F1180D">
        <w:rPr>
          <w:lang w:val="fr-FR" w:bidi="ar-KW"/>
        </w:rPr>
        <w:t>est pas valide</w:t>
      </w:r>
      <w:r w:rsidR="00680ADA" w:rsidRPr="00F1180D">
        <w:rPr>
          <w:lang w:val="fr-FR" w:bidi="ar-KW"/>
        </w:rPr>
        <w:t>»</w:t>
      </w:r>
      <w:r w:rsidR="00EB55D3" w:rsidRPr="00F1180D">
        <w:rPr>
          <w:lang w:val="fr-FR" w:bidi="ar-KW"/>
        </w:rPr>
        <w:t>;</w:t>
      </w:r>
    </w:p>
    <w:p w:rsidR="000C6D4A" w:rsidRPr="00F1180D" w:rsidRDefault="000C6D4A" w:rsidP="000A606E">
      <w:pPr>
        <w:pStyle w:val="Bullet1G"/>
        <w:rPr>
          <w:rtl/>
          <w:lang w:val="fr-FR" w:bidi="fr-FR"/>
        </w:rPr>
      </w:pPr>
      <w:r w:rsidRPr="00F1180D">
        <w:rPr>
          <w:lang w:val="fr-FR" w:bidi="ar-KW"/>
        </w:rPr>
        <w:t>L</w:t>
      </w:r>
      <w:r w:rsidR="00680ADA" w:rsidRPr="00F1180D">
        <w:rPr>
          <w:lang w:val="fr-FR" w:bidi="ar-KW"/>
        </w:rPr>
        <w:t>’</w:t>
      </w:r>
      <w:r w:rsidR="00163207" w:rsidRPr="00F1180D">
        <w:rPr>
          <w:lang w:val="fr-FR" w:bidi="ar-KW"/>
        </w:rPr>
        <w:t>article </w:t>
      </w:r>
      <w:r w:rsidRPr="00F1180D">
        <w:rPr>
          <w:lang w:val="fr-FR" w:bidi="ar-KW"/>
        </w:rPr>
        <w:t>34</w:t>
      </w:r>
      <w:r w:rsidR="00680ADA" w:rsidRPr="00F1180D">
        <w:rPr>
          <w:lang w:val="fr-FR" w:bidi="ar-KW"/>
        </w:rPr>
        <w:t>,</w:t>
      </w:r>
      <w:r w:rsidRPr="00F1180D">
        <w:rPr>
          <w:lang w:val="fr-FR" w:bidi="ar-KW"/>
        </w:rPr>
        <w:t xml:space="preserve"> qui proclame que</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Il est nécessaire que l</w:t>
      </w:r>
      <w:r w:rsidR="00680ADA" w:rsidRPr="00F1180D">
        <w:rPr>
          <w:lang w:val="fr-FR" w:bidi="ar-KW"/>
        </w:rPr>
        <w:t>’</w:t>
      </w:r>
      <w:r w:rsidRPr="00F1180D">
        <w:rPr>
          <w:lang w:val="fr-FR" w:bidi="ar-KW"/>
        </w:rPr>
        <w:t>homme soit apte à accomplir son devoir conjugal</w:t>
      </w:r>
      <w:r w:rsidR="00680ADA" w:rsidRPr="00F1180D">
        <w:rPr>
          <w:lang w:val="fr-FR" w:bidi="ar-KW"/>
        </w:rPr>
        <w:t>,</w:t>
      </w:r>
      <w:r w:rsidRPr="00F1180D">
        <w:rPr>
          <w:lang w:val="fr-FR" w:bidi="ar-KW"/>
        </w:rPr>
        <w:t xml:space="preserve"> faute de quoi la femme ou son tuteur peut demander l</w:t>
      </w:r>
      <w:r w:rsidR="00680ADA" w:rsidRPr="00F1180D">
        <w:rPr>
          <w:lang w:val="fr-FR" w:bidi="ar-KW"/>
        </w:rPr>
        <w:t>’</w:t>
      </w:r>
      <w:r w:rsidRPr="00F1180D">
        <w:rPr>
          <w:lang w:val="fr-FR" w:bidi="ar-KW"/>
        </w:rPr>
        <w:t>annulation du mariage</w:t>
      </w:r>
      <w:r w:rsidR="00680ADA" w:rsidRPr="00F1180D">
        <w:rPr>
          <w:lang w:val="fr-FR" w:bidi="ar-KW"/>
        </w:rPr>
        <w:t>»</w:t>
      </w:r>
      <w:r w:rsidR="00EB55D3" w:rsidRPr="00F1180D">
        <w:rPr>
          <w:lang w:val="fr-FR" w:bidi="ar-KW"/>
        </w:rPr>
        <w:t>;</w:t>
      </w:r>
      <w:r w:rsidRPr="00F1180D">
        <w:rPr>
          <w:lang w:val="fr-FR" w:bidi="ar-KW"/>
        </w:rPr>
        <w:t xml:space="preserve"> </w:t>
      </w:r>
    </w:p>
    <w:p w:rsidR="000C6D4A" w:rsidRPr="00F1180D" w:rsidRDefault="000C6D4A" w:rsidP="000A606E">
      <w:pPr>
        <w:pStyle w:val="Bullet1G"/>
        <w:rPr>
          <w:rtl/>
          <w:lang w:val="fr-FR" w:bidi="fr-FR"/>
        </w:rPr>
      </w:pPr>
      <w:r w:rsidRPr="00F1180D">
        <w:rPr>
          <w:lang w:val="fr-FR" w:bidi="ar-KW"/>
        </w:rPr>
        <w:t>L</w:t>
      </w:r>
      <w:r w:rsidR="00680ADA" w:rsidRPr="00F1180D">
        <w:rPr>
          <w:lang w:val="fr-FR" w:bidi="ar-KW"/>
        </w:rPr>
        <w:t>’</w:t>
      </w:r>
      <w:r w:rsidR="00163207" w:rsidRPr="00F1180D">
        <w:rPr>
          <w:lang w:val="fr-FR" w:bidi="ar-KW"/>
        </w:rPr>
        <w:t>article </w:t>
      </w:r>
      <w:r w:rsidRPr="00F1180D">
        <w:rPr>
          <w:lang w:val="fr-FR" w:bidi="ar-KW"/>
        </w:rPr>
        <w:t>36</w:t>
      </w:r>
      <w:r w:rsidR="00680ADA" w:rsidRPr="00F1180D">
        <w:rPr>
          <w:lang w:val="fr-FR" w:bidi="ar-KW"/>
        </w:rPr>
        <w:t>,</w:t>
      </w:r>
      <w:r w:rsidRPr="00F1180D">
        <w:rPr>
          <w:lang w:val="fr-FR" w:bidi="ar-KW"/>
        </w:rPr>
        <w:t xml:space="preserve"> qui dispose ce qui suit</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Les femmes ont le droit d</w:t>
      </w:r>
      <w:r w:rsidR="00680ADA" w:rsidRPr="00F1180D">
        <w:rPr>
          <w:lang w:val="fr-FR" w:bidi="ar-KW"/>
        </w:rPr>
        <w:t>’</w:t>
      </w:r>
      <w:r w:rsidRPr="00F1180D">
        <w:rPr>
          <w:lang w:val="fr-FR" w:bidi="ar-KW"/>
        </w:rPr>
        <w:t>exiger que leur futur mari ait un âge en rapport avec le leur</w:t>
      </w:r>
      <w:r w:rsidR="00680ADA" w:rsidRPr="00F1180D">
        <w:rPr>
          <w:lang w:val="fr-FR" w:bidi="ar-KW"/>
        </w:rPr>
        <w:t>»</w:t>
      </w:r>
      <w:r w:rsidRPr="00F1180D">
        <w:rPr>
          <w:lang w:val="fr-FR" w:bidi="ar-KW"/>
        </w:rPr>
        <w:t xml:space="preserve">. </w:t>
      </w:r>
    </w:p>
    <w:p w:rsidR="000C6D4A" w:rsidRPr="00F1180D" w:rsidRDefault="00B357F2" w:rsidP="00680ADA">
      <w:pPr>
        <w:pStyle w:val="SingleTxtG"/>
        <w:rPr>
          <w:lang w:val="fr-FR" w:bidi="ar-KW"/>
        </w:rPr>
      </w:pPr>
      <w:r>
        <w:rPr>
          <w:lang w:val="fr-FR" w:bidi="ar-KW"/>
        </w:rPr>
        <w:t>42.</w:t>
      </w:r>
      <w:r>
        <w:rPr>
          <w:lang w:val="fr-FR" w:bidi="ar-KW"/>
        </w:rPr>
        <w:tab/>
      </w:r>
      <w:r w:rsidR="000C6D4A" w:rsidRPr="00F1180D">
        <w:rPr>
          <w:lang w:val="fr-FR" w:bidi="ar-KW"/>
        </w:rPr>
        <w:t>Il résulte de ce qui précède que la capacité de discernement et la puberté</w:t>
      </w:r>
      <w:r w:rsidR="00680ADA" w:rsidRPr="00F1180D">
        <w:rPr>
          <w:lang w:val="fr-FR" w:bidi="ar-KW"/>
        </w:rPr>
        <w:t>,</w:t>
      </w:r>
      <w:r w:rsidR="000C6D4A" w:rsidRPr="00F1180D">
        <w:rPr>
          <w:lang w:val="fr-FR" w:bidi="ar-KW"/>
        </w:rPr>
        <w:t xml:space="preserve"> qui marquent le passage de l</w:t>
      </w:r>
      <w:r w:rsidR="00680ADA" w:rsidRPr="00F1180D">
        <w:rPr>
          <w:lang w:val="fr-FR" w:bidi="ar-KW"/>
        </w:rPr>
        <w:t>’</w:t>
      </w:r>
      <w:r w:rsidR="000C6D4A" w:rsidRPr="00F1180D">
        <w:rPr>
          <w:lang w:val="fr-FR" w:bidi="ar-KW"/>
        </w:rPr>
        <w:t>enfance à l</w:t>
      </w:r>
      <w:r w:rsidR="00680ADA" w:rsidRPr="00F1180D">
        <w:rPr>
          <w:lang w:val="fr-FR" w:bidi="ar-KW"/>
        </w:rPr>
        <w:t>’</w:t>
      </w:r>
      <w:r w:rsidR="000C6D4A" w:rsidRPr="00F1180D">
        <w:rPr>
          <w:lang w:val="fr-FR" w:bidi="ar-KW"/>
        </w:rPr>
        <w:t>âge adulte</w:t>
      </w:r>
      <w:r w:rsidR="00680ADA" w:rsidRPr="00F1180D">
        <w:rPr>
          <w:lang w:val="fr-FR" w:bidi="ar-KW"/>
        </w:rPr>
        <w:t>,</w:t>
      </w:r>
      <w:r w:rsidR="000C6D4A" w:rsidRPr="00F1180D">
        <w:rPr>
          <w:lang w:val="fr-FR" w:bidi="ar-KW"/>
        </w:rPr>
        <w:t xml:space="preserve"> sont les principales conditions d</w:t>
      </w:r>
      <w:r w:rsidR="00680ADA" w:rsidRPr="00F1180D">
        <w:rPr>
          <w:lang w:val="fr-FR" w:bidi="ar-KW"/>
        </w:rPr>
        <w:t>’</w:t>
      </w:r>
      <w:r w:rsidR="000C6D4A" w:rsidRPr="00F1180D">
        <w:rPr>
          <w:lang w:val="fr-FR" w:bidi="ar-KW"/>
        </w:rPr>
        <w:t>un mariage valide</w:t>
      </w:r>
      <w:r w:rsidR="00680ADA" w:rsidRPr="00F1180D">
        <w:rPr>
          <w:lang w:val="fr-FR" w:bidi="ar-KW"/>
        </w:rPr>
        <w:t>,</w:t>
      </w:r>
      <w:r w:rsidR="000C6D4A" w:rsidRPr="00F1180D">
        <w:rPr>
          <w:lang w:val="fr-FR" w:bidi="ar-KW"/>
        </w:rPr>
        <w:t xml:space="preserve"> et ce</w:t>
      </w:r>
      <w:r w:rsidR="00680ADA" w:rsidRPr="00F1180D">
        <w:rPr>
          <w:lang w:val="fr-FR" w:bidi="ar-KW"/>
        </w:rPr>
        <w:t>,</w:t>
      </w:r>
      <w:r w:rsidR="000C6D4A" w:rsidRPr="00F1180D">
        <w:rPr>
          <w:lang w:val="fr-FR" w:bidi="ar-KW"/>
        </w:rPr>
        <w:t xml:space="preserve"> conformément aux prescriptions de la charia</w:t>
      </w:r>
      <w:r w:rsidR="00680ADA" w:rsidRPr="00F1180D">
        <w:rPr>
          <w:lang w:val="fr-FR" w:bidi="ar-KW"/>
        </w:rPr>
        <w:t>,</w:t>
      </w:r>
      <w:r w:rsidR="000C6D4A" w:rsidRPr="00F1180D">
        <w:rPr>
          <w:lang w:val="fr-FR" w:bidi="ar-KW"/>
        </w:rPr>
        <w:t xml:space="preserve"> comme l</w:t>
      </w:r>
      <w:r w:rsidR="00680ADA" w:rsidRPr="00F1180D">
        <w:rPr>
          <w:lang w:val="fr-FR" w:bidi="ar-KW"/>
        </w:rPr>
        <w:t>’</w:t>
      </w:r>
      <w:r w:rsidR="000C6D4A" w:rsidRPr="00F1180D">
        <w:rPr>
          <w:lang w:val="fr-FR" w:bidi="ar-KW"/>
        </w:rPr>
        <w:t>indique le saint Coran</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Mettez à l</w:t>
      </w:r>
      <w:r w:rsidR="00680ADA" w:rsidRPr="00F1180D">
        <w:rPr>
          <w:lang w:val="fr-FR" w:bidi="ar-KW"/>
        </w:rPr>
        <w:t>’</w:t>
      </w:r>
      <w:r w:rsidR="000C6D4A" w:rsidRPr="00F1180D">
        <w:rPr>
          <w:lang w:val="fr-FR" w:bidi="ar-KW"/>
        </w:rPr>
        <w:t>épreuve le degré de maturité des orphelins jusqu</w:t>
      </w:r>
      <w:r w:rsidR="00680ADA" w:rsidRPr="00F1180D">
        <w:rPr>
          <w:lang w:val="fr-FR" w:bidi="ar-KW"/>
        </w:rPr>
        <w:t>’</w:t>
      </w:r>
      <w:r w:rsidR="000C6D4A" w:rsidRPr="00F1180D">
        <w:rPr>
          <w:lang w:val="fr-FR" w:bidi="ar-KW"/>
        </w:rPr>
        <w:t>à l</w:t>
      </w:r>
      <w:r w:rsidR="00680ADA" w:rsidRPr="00F1180D">
        <w:rPr>
          <w:lang w:val="fr-FR" w:bidi="ar-KW"/>
        </w:rPr>
        <w:t>’</w:t>
      </w:r>
      <w:r w:rsidR="000C6D4A" w:rsidRPr="00F1180D">
        <w:rPr>
          <w:lang w:val="fr-FR" w:bidi="ar-KW"/>
        </w:rPr>
        <w:t>âge de la puberté</w:t>
      </w:r>
      <w:r w:rsidR="00680ADA" w:rsidRPr="00F1180D">
        <w:rPr>
          <w:lang w:val="fr-FR" w:bidi="ar-KW"/>
        </w:rPr>
        <w:t>;</w:t>
      </w:r>
      <w:r w:rsidR="000C6D4A" w:rsidRPr="00F1180D">
        <w:rPr>
          <w:lang w:val="fr-FR" w:bidi="ar-KW"/>
        </w:rPr>
        <w:t xml:space="preserve"> si vous constatez qu</w:t>
      </w:r>
      <w:r w:rsidR="00680ADA" w:rsidRPr="00F1180D">
        <w:rPr>
          <w:lang w:val="fr-FR" w:bidi="ar-KW"/>
        </w:rPr>
        <w:t>’</w:t>
      </w:r>
      <w:r w:rsidR="000C6D4A" w:rsidRPr="00F1180D">
        <w:rPr>
          <w:lang w:val="fr-FR" w:bidi="ar-KW"/>
        </w:rPr>
        <w:t>ils ont acquis un bon jugement</w:t>
      </w:r>
      <w:r w:rsidR="00680ADA" w:rsidRPr="00F1180D">
        <w:rPr>
          <w:lang w:val="fr-FR" w:bidi="ar-KW"/>
        </w:rPr>
        <w:t>,</w:t>
      </w:r>
      <w:r w:rsidR="000C6D4A" w:rsidRPr="00F1180D">
        <w:rPr>
          <w:lang w:val="fr-FR" w:bidi="ar-KW"/>
        </w:rPr>
        <w:t xml:space="preserve"> remettez-leur leur héritage</w:t>
      </w:r>
      <w:r w:rsidR="00680ADA" w:rsidRPr="00F1180D">
        <w:rPr>
          <w:lang w:val="fr-FR" w:bidi="ar-KW"/>
        </w:rPr>
        <w:t>»</w:t>
      </w:r>
      <w:r w:rsidR="000C6D4A" w:rsidRPr="00F1180D">
        <w:rPr>
          <w:lang w:val="fr-FR" w:bidi="ar-KW"/>
        </w:rPr>
        <w:t xml:space="preserve"> (Sourate Les femmes</w:t>
      </w:r>
      <w:r w:rsidR="00680ADA" w:rsidRPr="00F1180D">
        <w:rPr>
          <w:lang w:val="fr-FR" w:bidi="ar-KW"/>
        </w:rPr>
        <w:t xml:space="preserve"> – </w:t>
      </w:r>
      <w:r w:rsidR="000C6D4A" w:rsidRPr="00F1180D">
        <w:rPr>
          <w:lang w:val="fr-FR" w:bidi="ar-KW"/>
        </w:rPr>
        <w:t>Annissâ verset 6).</w:t>
      </w:r>
      <w:r w:rsidR="009B1350" w:rsidRPr="00F1180D">
        <w:rPr>
          <w:lang w:val="fr-FR" w:bidi="ar-KW"/>
        </w:rPr>
        <w:t xml:space="preserve"> </w:t>
      </w:r>
    </w:p>
    <w:p w:rsidR="00766AC3" w:rsidRPr="00F1180D" w:rsidRDefault="00DE029F" w:rsidP="00766AC3">
      <w:pPr>
        <w:pStyle w:val="H23G"/>
        <w:rPr>
          <w:lang w:val="fr-FR" w:bidi="ar-KW"/>
        </w:rPr>
      </w:pPr>
      <w:r w:rsidRPr="00F1180D">
        <w:rPr>
          <w:lang w:val="fr-FR" w:bidi="ar-KW"/>
        </w:rPr>
        <w:tab/>
      </w:r>
      <w:r w:rsidR="00766AC3" w:rsidRPr="00F1180D">
        <w:rPr>
          <w:lang w:val="fr-FR" w:bidi="ar-KW"/>
        </w:rPr>
        <w:tab/>
      </w:r>
      <w:r w:rsidR="004C1D3C" w:rsidRPr="00F1180D">
        <w:rPr>
          <w:lang w:val="fr-FR" w:bidi="ar-KW"/>
        </w:rPr>
        <w:t xml:space="preserve">Paragraphe </w:t>
      </w:r>
      <w:r w:rsidRPr="00F1180D">
        <w:rPr>
          <w:lang w:val="fr-FR" w:bidi="ar-KW"/>
        </w:rPr>
        <w:t>d) v)</w:t>
      </w:r>
    </w:p>
    <w:p w:rsidR="000C6D4A" w:rsidRPr="00F1180D" w:rsidRDefault="00B357F2" w:rsidP="00DE029F">
      <w:pPr>
        <w:pStyle w:val="SingleTxtG"/>
        <w:rPr>
          <w:rtl/>
          <w:lang w:val="fr-FR" w:bidi="fr-FR"/>
        </w:rPr>
      </w:pPr>
      <w:r>
        <w:rPr>
          <w:lang w:val="fr-FR" w:bidi="ar-KW"/>
        </w:rPr>
        <w:t>43.</w:t>
      </w:r>
      <w:r>
        <w:rPr>
          <w:lang w:val="fr-FR" w:bidi="ar-KW"/>
        </w:rPr>
        <w:tab/>
      </w:r>
      <w:r w:rsidR="000C6D4A" w:rsidRPr="00F1180D">
        <w:rPr>
          <w:lang w:val="fr-FR" w:bidi="ar-EG"/>
        </w:rPr>
        <w:t>En ce qui concerne le droit de propriété</w:t>
      </w:r>
      <w:r w:rsidR="00680ADA" w:rsidRPr="00F1180D">
        <w:rPr>
          <w:lang w:val="fr-FR" w:bidi="ar-EG"/>
        </w:rPr>
        <w:t>,</w:t>
      </w:r>
      <w:r w:rsidR="000C6D4A" w:rsidRPr="00F1180D">
        <w:rPr>
          <w:lang w:val="fr-FR" w:bidi="ar-EG"/>
        </w:rPr>
        <w:t xml:space="preserve"> la Constitution koweïtienne garantit le droit d</w:t>
      </w:r>
      <w:r w:rsidR="00680ADA" w:rsidRPr="00F1180D">
        <w:rPr>
          <w:lang w:val="fr-FR" w:bidi="ar-EG"/>
        </w:rPr>
        <w:t>’</w:t>
      </w:r>
      <w:r w:rsidR="000C6D4A" w:rsidRPr="00F1180D">
        <w:rPr>
          <w:lang w:val="fr-FR" w:bidi="ar-EG"/>
        </w:rPr>
        <w:t>accès de tous les citoyens à la propriété et à la protection de leur patrimoine</w:t>
      </w:r>
      <w:r w:rsidR="00680ADA" w:rsidRPr="00F1180D">
        <w:rPr>
          <w:lang w:val="fr-FR" w:bidi="ar-EG"/>
        </w:rPr>
        <w:t>,</w:t>
      </w:r>
      <w:r w:rsidR="000C6D4A" w:rsidRPr="00F1180D">
        <w:rPr>
          <w:lang w:val="fr-FR" w:bidi="ar-EG"/>
        </w:rPr>
        <w:t xml:space="preserve"> par le biais de plusieurs dispositions</w:t>
      </w:r>
      <w:r w:rsidR="00680ADA" w:rsidRPr="00F1180D">
        <w:rPr>
          <w:lang w:val="fr-FR" w:bidi="ar-EG"/>
        </w:rPr>
        <w:t>,</w:t>
      </w:r>
      <w:r w:rsidR="000C6D4A" w:rsidRPr="00F1180D">
        <w:rPr>
          <w:lang w:val="fr-FR" w:bidi="ar-EG"/>
        </w:rPr>
        <w:t xml:space="preserve"> parmi lesquelles les suivantes</w:t>
      </w:r>
      <w:r w:rsidR="00680ADA" w:rsidRPr="00F1180D">
        <w:rPr>
          <w:lang w:val="fr-FR" w:bidi="ar-EG"/>
        </w:rPr>
        <w:t>:</w:t>
      </w:r>
    </w:p>
    <w:p w:rsidR="000C6D4A" w:rsidRPr="00F1180D" w:rsidRDefault="000C6D4A" w:rsidP="00EB55D3">
      <w:pPr>
        <w:pStyle w:val="Bullet1G"/>
        <w:rPr>
          <w:rtl/>
          <w:lang w:val="fr-FR" w:bidi="fr-FR"/>
        </w:rPr>
      </w:pPr>
      <w:r w:rsidRPr="00F1180D">
        <w:rPr>
          <w:lang w:val="fr-FR" w:bidi="ar-EG"/>
        </w:rPr>
        <w:t>L</w:t>
      </w:r>
      <w:r w:rsidR="00680ADA" w:rsidRPr="00F1180D">
        <w:rPr>
          <w:lang w:val="fr-FR" w:bidi="ar-EG"/>
        </w:rPr>
        <w:t>’</w:t>
      </w:r>
      <w:r w:rsidR="00163207" w:rsidRPr="00F1180D">
        <w:rPr>
          <w:lang w:val="fr-FR" w:bidi="ar-EG"/>
        </w:rPr>
        <w:t>article </w:t>
      </w:r>
      <w:r w:rsidRPr="00F1180D">
        <w:rPr>
          <w:lang w:val="fr-FR" w:bidi="ar-EG"/>
        </w:rPr>
        <w:t>16</w:t>
      </w:r>
      <w:r w:rsidR="00680ADA" w:rsidRPr="00F1180D">
        <w:rPr>
          <w:lang w:val="fr-FR" w:bidi="ar-EG"/>
        </w:rPr>
        <w:t>,</w:t>
      </w:r>
      <w:r w:rsidRPr="00F1180D">
        <w:rPr>
          <w:lang w:val="fr-FR" w:bidi="ar-EG"/>
        </w:rPr>
        <w:t xml:space="preserve"> qui dispose ce qui suit</w:t>
      </w:r>
      <w:r w:rsidR="00680ADA" w:rsidRPr="00F1180D">
        <w:rPr>
          <w:lang w:val="fr-FR" w:bidi="ar-EG"/>
        </w:rPr>
        <w:t>:</w:t>
      </w:r>
      <w:r w:rsidRPr="00F1180D">
        <w:rPr>
          <w:lang w:val="fr-FR" w:bidi="ar-EG"/>
        </w:rPr>
        <w:t xml:space="preserve"> </w:t>
      </w:r>
      <w:r w:rsidR="00680ADA" w:rsidRPr="00F1180D">
        <w:rPr>
          <w:lang w:val="fr-FR" w:bidi="ar-EG"/>
        </w:rPr>
        <w:t>«</w:t>
      </w:r>
      <w:r w:rsidRPr="00F1180D">
        <w:rPr>
          <w:lang w:val="fr-FR" w:bidi="ar-EG"/>
        </w:rPr>
        <w:t>La propriété</w:t>
      </w:r>
      <w:r w:rsidR="00680ADA" w:rsidRPr="00F1180D">
        <w:rPr>
          <w:lang w:val="fr-FR" w:bidi="ar-EG"/>
        </w:rPr>
        <w:t>,</w:t>
      </w:r>
      <w:r w:rsidRPr="00F1180D">
        <w:rPr>
          <w:lang w:val="fr-FR" w:bidi="ar-EG"/>
        </w:rPr>
        <w:t xml:space="preserve"> le capital et le travail sont des éléments fondamentaux de la structure sociale et de la richesse nationale. Ils constituent des droits individuels assortis d</w:t>
      </w:r>
      <w:r w:rsidR="00680ADA" w:rsidRPr="00F1180D">
        <w:rPr>
          <w:lang w:val="fr-FR" w:bidi="ar-EG"/>
        </w:rPr>
        <w:t>’</w:t>
      </w:r>
      <w:r w:rsidRPr="00F1180D">
        <w:rPr>
          <w:lang w:val="fr-FR" w:bidi="ar-EG"/>
        </w:rPr>
        <w:t>une fonction sociale régie par la loi</w:t>
      </w:r>
      <w:r w:rsidR="00680ADA" w:rsidRPr="00F1180D">
        <w:rPr>
          <w:lang w:val="fr-FR" w:bidi="ar-EG"/>
        </w:rPr>
        <w:t>»</w:t>
      </w:r>
      <w:r w:rsidR="00EB55D3" w:rsidRPr="00F1180D">
        <w:rPr>
          <w:lang w:val="fr-FR" w:bidi="ar-EG"/>
        </w:rPr>
        <w:t>;</w:t>
      </w:r>
    </w:p>
    <w:p w:rsidR="000C6D4A" w:rsidRPr="00F1180D" w:rsidRDefault="000C6D4A" w:rsidP="00EB55D3">
      <w:pPr>
        <w:pStyle w:val="Bullet1G"/>
        <w:rPr>
          <w:rtl/>
          <w:lang w:val="fr-FR" w:bidi="fr-FR"/>
        </w:rPr>
      </w:pPr>
      <w:r w:rsidRPr="00F1180D">
        <w:rPr>
          <w:lang w:val="fr-FR" w:bidi="ar-EG"/>
        </w:rPr>
        <w:t>L</w:t>
      </w:r>
      <w:r w:rsidR="00680ADA" w:rsidRPr="00F1180D">
        <w:rPr>
          <w:lang w:val="fr-FR" w:bidi="ar-EG"/>
        </w:rPr>
        <w:t>’</w:t>
      </w:r>
      <w:r w:rsidR="00163207" w:rsidRPr="00F1180D">
        <w:rPr>
          <w:lang w:val="fr-FR" w:bidi="ar-EG"/>
        </w:rPr>
        <w:t>article </w:t>
      </w:r>
      <w:r w:rsidRPr="00F1180D">
        <w:rPr>
          <w:lang w:val="fr-FR" w:bidi="ar-EG"/>
        </w:rPr>
        <w:t>17</w:t>
      </w:r>
      <w:r w:rsidR="00680ADA" w:rsidRPr="00F1180D">
        <w:rPr>
          <w:lang w:val="fr-FR" w:bidi="ar-EG"/>
        </w:rPr>
        <w:t>,</w:t>
      </w:r>
      <w:r w:rsidRPr="00F1180D">
        <w:rPr>
          <w:lang w:val="fr-FR" w:bidi="ar-EG"/>
        </w:rPr>
        <w:t xml:space="preserve"> qui proclame ce qui suit</w:t>
      </w:r>
      <w:r w:rsidR="00680ADA" w:rsidRPr="00F1180D">
        <w:rPr>
          <w:lang w:val="fr-FR" w:bidi="ar-EG"/>
        </w:rPr>
        <w:t>:</w:t>
      </w:r>
      <w:r w:rsidRPr="00F1180D">
        <w:rPr>
          <w:lang w:val="fr-FR" w:bidi="ar-EG"/>
        </w:rPr>
        <w:t xml:space="preserve"> </w:t>
      </w:r>
      <w:r w:rsidR="00680ADA" w:rsidRPr="00F1180D">
        <w:rPr>
          <w:lang w:val="fr-FR" w:bidi="ar-EG"/>
        </w:rPr>
        <w:t>«</w:t>
      </w:r>
      <w:r w:rsidRPr="00F1180D">
        <w:rPr>
          <w:lang w:val="fr-FR" w:bidi="ar-EG"/>
        </w:rPr>
        <w:t>La propriété publique est inviolable et il est du devoir de chacun d</w:t>
      </w:r>
      <w:r w:rsidR="00680ADA" w:rsidRPr="00F1180D">
        <w:rPr>
          <w:lang w:val="fr-FR" w:bidi="ar-EG"/>
        </w:rPr>
        <w:t>’</w:t>
      </w:r>
      <w:r w:rsidRPr="00F1180D">
        <w:rPr>
          <w:lang w:val="fr-FR" w:bidi="ar-EG"/>
        </w:rPr>
        <w:t>en assurer la protection</w:t>
      </w:r>
      <w:r w:rsidR="00680ADA" w:rsidRPr="00F1180D">
        <w:rPr>
          <w:lang w:val="fr-FR" w:bidi="ar-EG"/>
        </w:rPr>
        <w:t>»</w:t>
      </w:r>
      <w:r w:rsidR="00EB55D3" w:rsidRPr="00F1180D">
        <w:rPr>
          <w:lang w:val="fr-FR" w:bidi="ar-EG"/>
        </w:rPr>
        <w:t>;</w:t>
      </w:r>
      <w:r w:rsidRPr="00F1180D">
        <w:rPr>
          <w:lang w:val="fr-FR" w:bidi="ar-EG"/>
        </w:rPr>
        <w:t xml:space="preserve"> </w:t>
      </w:r>
    </w:p>
    <w:p w:rsidR="000C6D4A" w:rsidRPr="00F1180D" w:rsidRDefault="000C6D4A" w:rsidP="00EB55D3">
      <w:pPr>
        <w:pStyle w:val="Bullet1G"/>
        <w:rPr>
          <w:rtl/>
          <w:lang w:val="fr-FR" w:bidi="fr-FR"/>
        </w:rPr>
      </w:pPr>
      <w:r w:rsidRPr="00F1180D">
        <w:rPr>
          <w:lang w:val="fr-FR" w:bidi="ar-EG"/>
        </w:rPr>
        <w:t>L</w:t>
      </w:r>
      <w:r w:rsidR="00680ADA" w:rsidRPr="00F1180D">
        <w:rPr>
          <w:lang w:val="fr-FR" w:bidi="ar-EG"/>
        </w:rPr>
        <w:t>’</w:t>
      </w:r>
      <w:r w:rsidR="00163207" w:rsidRPr="00F1180D">
        <w:rPr>
          <w:lang w:val="fr-FR" w:bidi="ar-EG"/>
        </w:rPr>
        <w:t>article </w:t>
      </w:r>
      <w:r w:rsidRPr="00F1180D">
        <w:rPr>
          <w:lang w:val="fr-FR" w:bidi="ar-EG"/>
        </w:rPr>
        <w:t>18</w:t>
      </w:r>
      <w:r w:rsidR="00680ADA" w:rsidRPr="00F1180D">
        <w:rPr>
          <w:lang w:val="fr-FR" w:bidi="ar-EG"/>
        </w:rPr>
        <w:t>,</w:t>
      </w:r>
      <w:r w:rsidRPr="00F1180D">
        <w:rPr>
          <w:lang w:val="fr-FR" w:bidi="ar-EG"/>
        </w:rPr>
        <w:t xml:space="preserve"> qui dispose ce qui suit</w:t>
      </w:r>
      <w:r w:rsidR="00680ADA" w:rsidRPr="00F1180D">
        <w:rPr>
          <w:lang w:val="fr-FR" w:bidi="ar-EG"/>
        </w:rPr>
        <w:t>:</w:t>
      </w:r>
      <w:r w:rsidRPr="00F1180D">
        <w:rPr>
          <w:lang w:val="fr-FR" w:bidi="ar-EG"/>
        </w:rPr>
        <w:t xml:space="preserve"> </w:t>
      </w:r>
      <w:r w:rsidR="00680ADA" w:rsidRPr="00F1180D">
        <w:rPr>
          <w:lang w:val="fr-FR" w:bidi="ar-EG"/>
        </w:rPr>
        <w:t>«</w:t>
      </w:r>
      <w:r w:rsidRPr="00F1180D">
        <w:rPr>
          <w:lang w:val="fr-FR" w:bidi="ar-EG"/>
        </w:rPr>
        <w:t>La propriété privée est inviolable. Nul ne peut être empêché de disposer de ses biens</w:t>
      </w:r>
      <w:r w:rsidR="00680ADA" w:rsidRPr="00F1180D">
        <w:rPr>
          <w:lang w:val="fr-FR" w:bidi="ar-EG"/>
        </w:rPr>
        <w:t>,</w:t>
      </w:r>
      <w:r w:rsidRPr="00F1180D">
        <w:rPr>
          <w:lang w:val="fr-FR" w:bidi="ar-EG"/>
        </w:rPr>
        <w:t xml:space="preserve"> si ce n</w:t>
      </w:r>
      <w:r w:rsidR="00680ADA" w:rsidRPr="00F1180D">
        <w:rPr>
          <w:lang w:val="fr-FR" w:bidi="ar-EG"/>
        </w:rPr>
        <w:t>’</w:t>
      </w:r>
      <w:r w:rsidRPr="00F1180D">
        <w:rPr>
          <w:lang w:val="fr-FR" w:bidi="ar-EG"/>
        </w:rPr>
        <w:t>est dans les limites de la loi. Aucune propriété ne peut être expropriée sauf dans l</w:t>
      </w:r>
      <w:r w:rsidR="00680ADA" w:rsidRPr="00F1180D">
        <w:rPr>
          <w:lang w:val="fr-FR" w:bidi="ar-EG"/>
        </w:rPr>
        <w:t>’</w:t>
      </w:r>
      <w:r w:rsidRPr="00F1180D">
        <w:rPr>
          <w:lang w:val="fr-FR" w:bidi="ar-EG"/>
        </w:rPr>
        <w:t>intérêt public</w:t>
      </w:r>
      <w:r w:rsidR="00680ADA" w:rsidRPr="00F1180D">
        <w:rPr>
          <w:lang w:val="fr-FR" w:bidi="ar-EG"/>
        </w:rPr>
        <w:t>,</w:t>
      </w:r>
      <w:r w:rsidRPr="00F1180D">
        <w:rPr>
          <w:lang w:val="fr-FR" w:bidi="ar-EG"/>
        </w:rPr>
        <w:t xml:space="preserve"> dans les conditions et selon les modalités prévues par la loi et sous réserve du paiement d</w:t>
      </w:r>
      <w:r w:rsidR="00680ADA" w:rsidRPr="00F1180D">
        <w:rPr>
          <w:lang w:val="fr-FR" w:bidi="ar-EG"/>
        </w:rPr>
        <w:t>’</w:t>
      </w:r>
      <w:r w:rsidRPr="00F1180D">
        <w:rPr>
          <w:lang w:val="fr-FR" w:bidi="ar-EG"/>
        </w:rPr>
        <w:t>une juste indemnité. Le droit à l</w:t>
      </w:r>
      <w:r w:rsidR="00680ADA" w:rsidRPr="00F1180D">
        <w:rPr>
          <w:lang w:val="fr-FR" w:bidi="ar-EG"/>
        </w:rPr>
        <w:t>’</w:t>
      </w:r>
      <w:r w:rsidRPr="00F1180D">
        <w:rPr>
          <w:lang w:val="fr-FR" w:bidi="ar-EG"/>
        </w:rPr>
        <w:t>héritage est réglementé par la charia islamique</w:t>
      </w:r>
      <w:r w:rsidR="00680ADA" w:rsidRPr="00F1180D">
        <w:rPr>
          <w:lang w:val="fr-FR" w:bidi="ar-EG"/>
        </w:rPr>
        <w:t>»</w:t>
      </w:r>
      <w:r w:rsidR="00EB55D3" w:rsidRPr="00F1180D">
        <w:rPr>
          <w:lang w:val="fr-FR" w:bidi="ar-EG"/>
        </w:rPr>
        <w:t>;</w:t>
      </w:r>
    </w:p>
    <w:p w:rsidR="000C6D4A" w:rsidRPr="00F1180D" w:rsidRDefault="000C6D4A" w:rsidP="00EB55D3">
      <w:pPr>
        <w:pStyle w:val="Bullet1G"/>
        <w:rPr>
          <w:rtl/>
          <w:lang w:val="fr-FR" w:bidi="fr-FR"/>
        </w:rPr>
      </w:pPr>
      <w:r w:rsidRPr="00F1180D">
        <w:rPr>
          <w:lang w:val="fr-FR" w:bidi="ar-EG"/>
        </w:rPr>
        <w:t>L</w:t>
      </w:r>
      <w:r w:rsidR="00680ADA" w:rsidRPr="00F1180D">
        <w:rPr>
          <w:lang w:val="fr-FR" w:bidi="ar-EG"/>
        </w:rPr>
        <w:t>’</w:t>
      </w:r>
      <w:r w:rsidR="00163207" w:rsidRPr="00F1180D">
        <w:rPr>
          <w:lang w:val="fr-FR" w:bidi="ar-EG"/>
        </w:rPr>
        <w:t>article </w:t>
      </w:r>
      <w:r w:rsidRPr="00F1180D">
        <w:rPr>
          <w:lang w:val="fr-FR" w:bidi="ar-EG"/>
        </w:rPr>
        <w:t>19</w:t>
      </w:r>
      <w:r w:rsidR="00680ADA" w:rsidRPr="00F1180D">
        <w:rPr>
          <w:lang w:val="fr-FR" w:bidi="ar-EG"/>
        </w:rPr>
        <w:t>,</w:t>
      </w:r>
      <w:r w:rsidRPr="00F1180D">
        <w:rPr>
          <w:lang w:val="fr-FR" w:bidi="ar-EG"/>
        </w:rPr>
        <w:t xml:space="preserve"> selon lequel </w:t>
      </w:r>
      <w:r w:rsidR="00680ADA" w:rsidRPr="00F1180D">
        <w:rPr>
          <w:lang w:val="fr-FR" w:bidi="ar-EG"/>
        </w:rPr>
        <w:t>:</w:t>
      </w:r>
      <w:r w:rsidRPr="00F1180D">
        <w:rPr>
          <w:lang w:val="fr-FR" w:bidi="ar-EG"/>
        </w:rPr>
        <w:t xml:space="preserve"> </w:t>
      </w:r>
      <w:r w:rsidR="00680ADA" w:rsidRPr="00F1180D">
        <w:rPr>
          <w:lang w:val="fr-FR" w:bidi="ar-EG"/>
        </w:rPr>
        <w:t>«</w:t>
      </w:r>
      <w:r w:rsidRPr="00F1180D">
        <w:rPr>
          <w:lang w:val="fr-FR" w:bidi="ar-EG"/>
        </w:rPr>
        <w:t>La confiscation générale des biens d</w:t>
      </w:r>
      <w:r w:rsidR="00680ADA" w:rsidRPr="00F1180D">
        <w:rPr>
          <w:lang w:val="fr-FR" w:bidi="ar-EG"/>
        </w:rPr>
        <w:t>’</w:t>
      </w:r>
      <w:r w:rsidRPr="00F1180D">
        <w:rPr>
          <w:lang w:val="fr-FR" w:bidi="ar-EG"/>
        </w:rPr>
        <w:t>une personne est interdite. Il peut être procédé à la confiscation partielle des biens</w:t>
      </w:r>
      <w:r w:rsidR="00680ADA" w:rsidRPr="00F1180D">
        <w:rPr>
          <w:lang w:val="fr-FR" w:bidi="ar-EG"/>
        </w:rPr>
        <w:t>,</w:t>
      </w:r>
      <w:r w:rsidRPr="00F1180D">
        <w:rPr>
          <w:lang w:val="fr-FR" w:bidi="ar-EG"/>
        </w:rPr>
        <w:t xml:space="preserve"> à titre de peine</w:t>
      </w:r>
      <w:r w:rsidR="00680ADA" w:rsidRPr="00F1180D">
        <w:rPr>
          <w:lang w:val="fr-FR" w:bidi="ar-EG"/>
        </w:rPr>
        <w:t>,</w:t>
      </w:r>
      <w:r w:rsidRPr="00F1180D">
        <w:rPr>
          <w:lang w:val="fr-FR" w:bidi="ar-EG"/>
        </w:rPr>
        <w:t xml:space="preserve"> uniquement par décision de justice et dans les conditions définies par la loi</w:t>
      </w:r>
      <w:r w:rsidR="00680ADA" w:rsidRPr="00F1180D">
        <w:rPr>
          <w:lang w:val="fr-FR" w:bidi="ar-EG"/>
        </w:rPr>
        <w:t>»</w:t>
      </w:r>
      <w:r w:rsidR="00EB55D3" w:rsidRPr="00F1180D">
        <w:rPr>
          <w:lang w:val="fr-FR" w:bidi="ar-EG"/>
        </w:rPr>
        <w:t>;</w:t>
      </w:r>
      <w:r w:rsidRPr="00F1180D">
        <w:rPr>
          <w:lang w:val="fr-FR" w:bidi="ar-EG"/>
        </w:rPr>
        <w:t xml:space="preserve"> </w:t>
      </w:r>
    </w:p>
    <w:p w:rsidR="000C6D4A" w:rsidRPr="00F1180D" w:rsidRDefault="000C6D4A" w:rsidP="00EB55D3">
      <w:pPr>
        <w:pStyle w:val="Bullet1G"/>
        <w:rPr>
          <w:lang w:val="fr-FR" w:bidi="fr-FR"/>
        </w:rPr>
      </w:pPr>
      <w:r w:rsidRPr="00F1180D">
        <w:rPr>
          <w:lang w:val="fr-FR" w:bidi="ar-EG"/>
        </w:rPr>
        <w:t>Le droit à l</w:t>
      </w:r>
      <w:r w:rsidR="00680ADA" w:rsidRPr="00F1180D">
        <w:rPr>
          <w:lang w:val="fr-FR" w:bidi="ar-EG"/>
        </w:rPr>
        <w:t>’</w:t>
      </w:r>
      <w:r w:rsidRPr="00F1180D">
        <w:rPr>
          <w:lang w:val="fr-FR" w:bidi="ar-EG"/>
        </w:rPr>
        <w:t>héritage est garanti par la charia islamique et reconnu en tant que droit de l</w:t>
      </w:r>
      <w:r w:rsidR="00680ADA" w:rsidRPr="00F1180D">
        <w:rPr>
          <w:lang w:val="fr-FR" w:bidi="ar-EG"/>
        </w:rPr>
        <w:t>’</w:t>
      </w:r>
      <w:r w:rsidRPr="00F1180D">
        <w:rPr>
          <w:lang w:val="fr-FR" w:bidi="ar-EG"/>
        </w:rPr>
        <w:t xml:space="preserve">homme inaliénable. Le Code du statut personnel promulgué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EG"/>
        </w:rPr>
        <w:t xml:space="preserve">61 de 1969 comporte plusieurs </w:t>
      </w:r>
      <w:r w:rsidR="00DE029F" w:rsidRPr="00F1180D">
        <w:rPr>
          <w:lang w:val="fr-FR" w:bidi="ar-EG"/>
        </w:rPr>
        <w:t>articles </w:t>
      </w:r>
      <w:r w:rsidRPr="00F1180D">
        <w:rPr>
          <w:lang w:val="fr-FR" w:bidi="ar-EG"/>
        </w:rPr>
        <w:t xml:space="preserve">consacrant ce droit (notamment </w:t>
      </w:r>
      <w:r w:rsidR="00622E00" w:rsidRPr="00F1180D">
        <w:rPr>
          <w:lang w:val="fr-FR" w:bidi="ar-EG"/>
        </w:rPr>
        <w:t>art. </w:t>
      </w:r>
      <w:r w:rsidRPr="00F1180D">
        <w:rPr>
          <w:lang w:val="fr-FR" w:bidi="ar-EG"/>
        </w:rPr>
        <w:t>288 et 292).</w:t>
      </w:r>
    </w:p>
    <w:p w:rsidR="00766AC3" w:rsidRPr="00F1180D" w:rsidRDefault="00766AC3" w:rsidP="00766AC3">
      <w:pPr>
        <w:pStyle w:val="H23G"/>
        <w:rPr>
          <w:lang w:val="fr-FR" w:bidi="ar-EG"/>
        </w:rPr>
      </w:pPr>
      <w:r w:rsidRPr="00F1180D">
        <w:rPr>
          <w:lang w:val="fr-FR" w:bidi="ar-EG"/>
        </w:rPr>
        <w:tab/>
      </w:r>
      <w:r w:rsidR="00DE029F" w:rsidRPr="00F1180D">
        <w:rPr>
          <w:lang w:val="fr-FR" w:bidi="ar-EG"/>
        </w:rPr>
        <w:tab/>
      </w:r>
      <w:r w:rsidR="004C1D3C" w:rsidRPr="00F1180D">
        <w:rPr>
          <w:lang w:val="fr-FR" w:bidi="ar-KW"/>
        </w:rPr>
        <w:t xml:space="preserve">Paragraphe </w:t>
      </w:r>
      <w:r w:rsidR="00DE029F" w:rsidRPr="00F1180D">
        <w:rPr>
          <w:lang w:val="fr-FR" w:bidi="ar-EG"/>
        </w:rPr>
        <w:t>d) vi)</w:t>
      </w:r>
    </w:p>
    <w:p w:rsidR="000C6D4A" w:rsidRPr="00F1180D" w:rsidRDefault="00B357F2" w:rsidP="00DE029F">
      <w:pPr>
        <w:pStyle w:val="SingleTxtG"/>
        <w:rPr>
          <w:rtl/>
          <w:lang w:val="fr-FR" w:bidi="fr-FR"/>
        </w:rPr>
      </w:pPr>
      <w:r>
        <w:rPr>
          <w:lang w:val="fr-FR" w:bidi="ar-EG"/>
        </w:rPr>
        <w:t>44.</w:t>
      </w:r>
      <w:r>
        <w:rPr>
          <w:lang w:val="fr-FR" w:bidi="ar-EG"/>
        </w:rPr>
        <w:tab/>
      </w:r>
      <w:r w:rsidR="000C6D4A" w:rsidRPr="00F1180D">
        <w:rPr>
          <w:lang w:val="fr-FR" w:bidi="ar-KW"/>
        </w:rPr>
        <w:t>Le Code du statut personnel</w:t>
      </w:r>
      <w:r w:rsidR="00680ADA" w:rsidRPr="00F1180D">
        <w:rPr>
          <w:lang w:val="fr-FR" w:bidi="ar-KW"/>
        </w:rPr>
        <w:t>,</w:t>
      </w:r>
      <w:r w:rsidR="000C6D4A" w:rsidRPr="00F1180D">
        <w:rPr>
          <w:lang w:val="fr-FR" w:bidi="ar-KW"/>
        </w:rPr>
        <w:t xml:space="preserve"> promulgué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61 de 1969</w:t>
      </w:r>
      <w:r w:rsidR="00680ADA" w:rsidRPr="00F1180D">
        <w:rPr>
          <w:lang w:val="fr-FR" w:bidi="ar-KW"/>
        </w:rPr>
        <w:t>,</w:t>
      </w:r>
      <w:r w:rsidR="000C6D4A" w:rsidRPr="00F1180D">
        <w:rPr>
          <w:lang w:val="fr-FR" w:bidi="ar-KW"/>
        </w:rPr>
        <w:t xml:space="preserve"> comporte plusieurs dispositions relatives au droit des hommes et des femmes à l</w:t>
      </w:r>
      <w:r w:rsidR="00680ADA" w:rsidRPr="00F1180D">
        <w:rPr>
          <w:lang w:val="fr-FR" w:bidi="ar-KW"/>
        </w:rPr>
        <w:t>’</w:t>
      </w:r>
      <w:r w:rsidR="000C6D4A" w:rsidRPr="00F1180D">
        <w:rPr>
          <w:lang w:val="fr-FR" w:bidi="ar-KW"/>
        </w:rPr>
        <w:t>héritage</w:t>
      </w:r>
      <w:r w:rsidR="00680ADA" w:rsidRPr="00F1180D">
        <w:rPr>
          <w:lang w:val="fr-FR" w:bidi="ar-KW"/>
        </w:rPr>
        <w:t>,</w:t>
      </w:r>
      <w:r w:rsidR="000C6D4A" w:rsidRPr="00F1180D">
        <w:rPr>
          <w:lang w:val="fr-FR" w:bidi="ar-KW"/>
        </w:rPr>
        <w:t xml:space="preserve"> parmi lesquels il convient de citer</w:t>
      </w:r>
      <w:r w:rsidR="00680ADA" w:rsidRPr="00F1180D">
        <w:rPr>
          <w:lang w:val="fr-FR" w:bidi="ar-KW"/>
        </w:rPr>
        <w:t>:</w:t>
      </w:r>
      <w:r w:rsidR="000C6D4A" w:rsidRPr="00F1180D">
        <w:rPr>
          <w:lang w:val="fr-FR" w:bidi="ar-KW"/>
        </w:rPr>
        <w:t xml:space="preserve"> </w:t>
      </w:r>
    </w:p>
    <w:p w:rsidR="000C6D4A" w:rsidRPr="00F1180D" w:rsidRDefault="00B357F2" w:rsidP="00B357F2">
      <w:pPr>
        <w:pStyle w:val="SingleTxtG"/>
        <w:rPr>
          <w:rtl/>
          <w:lang w:val="fr-FR" w:bidi="fr-FR"/>
        </w:rPr>
      </w:pPr>
      <w:r>
        <w:rPr>
          <w:lang w:val="fr-FR" w:bidi="ar-KW"/>
        </w:rPr>
        <w:lastRenderedPageBreak/>
        <w:t>45.</w:t>
      </w:r>
      <w:r>
        <w:rPr>
          <w:lang w:val="fr-FR" w:bidi="ar-KW"/>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288</w:t>
      </w:r>
      <w:r w:rsidR="00680ADA" w:rsidRPr="00F1180D">
        <w:rPr>
          <w:lang w:val="fr-FR" w:bidi="ar-KW"/>
        </w:rPr>
        <w:t>,</w:t>
      </w:r>
      <w:r w:rsidR="000C6D4A" w:rsidRPr="00F1180D">
        <w:rPr>
          <w:lang w:val="fr-FR" w:bidi="ar-KW"/>
        </w:rPr>
        <w:t xml:space="preserve"> qui dispose ce qui suit</w:t>
      </w:r>
      <w:r w:rsidR="00680ADA" w:rsidRPr="00F1180D">
        <w:rPr>
          <w:lang w:val="fr-FR" w:bidi="ar-KW"/>
        </w:rPr>
        <w:t>:</w:t>
      </w:r>
      <w:r w:rsidR="00EB55D3" w:rsidRPr="00F1180D">
        <w:rPr>
          <w:lang w:val="fr-FR" w:bidi="ar-KW"/>
        </w:rPr>
        <w:t xml:space="preserve"> </w:t>
      </w:r>
      <w:r w:rsidR="00680ADA" w:rsidRPr="00F1180D">
        <w:rPr>
          <w:lang w:val="fr-FR" w:bidi="ar-KW"/>
        </w:rPr>
        <w:t>«</w:t>
      </w:r>
      <w:r w:rsidR="000C6D4A" w:rsidRPr="00F1180D">
        <w:rPr>
          <w:lang w:val="fr-FR" w:bidi="ar-KW"/>
        </w:rPr>
        <w:t>Le droit à l</w:t>
      </w:r>
      <w:r w:rsidR="00680ADA" w:rsidRPr="00F1180D">
        <w:rPr>
          <w:lang w:val="fr-FR" w:bidi="ar-KW"/>
        </w:rPr>
        <w:t>’</w:t>
      </w:r>
      <w:r w:rsidR="000C6D4A" w:rsidRPr="00F1180D">
        <w:rPr>
          <w:lang w:val="fr-FR" w:bidi="ar-KW"/>
        </w:rPr>
        <w:t xml:space="preserve">héritage naît du décès effectif du </w:t>
      </w:r>
      <w:r w:rsidR="000C6D4A" w:rsidRPr="00F1180D">
        <w:rPr>
          <w:i/>
          <w:lang w:val="fr-FR" w:bidi="ar-KW"/>
        </w:rPr>
        <w:t>de cujus</w:t>
      </w:r>
      <w:r w:rsidR="000C6D4A" w:rsidRPr="00F1180D">
        <w:rPr>
          <w:lang w:val="fr-FR" w:bidi="ar-KW"/>
        </w:rPr>
        <w:t xml:space="preserve"> ou d</w:t>
      </w:r>
      <w:r w:rsidR="00680ADA" w:rsidRPr="00F1180D">
        <w:rPr>
          <w:lang w:val="fr-FR" w:bidi="ar-KW"/>
        </w:rPr>
        <w:t>’</w:t>
      </w:r>
      <w:r w:rsidR="000C6D4A" w:rsidRPr="00F1180D">
        <w:rPr>
          <w:lang w:val="fr-FR" w:bidi="ar-KW"/>
        </w:rPr>
        <w:t>un jugement déclarant son décès</w:t>
      </w:r>
      <w:r w:rsidR="00680ADA" w:rsidRPr="00F1180D">
        <w:rPr>
          <w:lang w:val="fr-FR" w:bidi="ar-KW"/>
        </w:rPr>
        <w:t>»</w:t>
      </w:r>
      <w:r w:rsidR="00EB55D3" w:rsidRPr="00F1180D">
        <w:rPr>
          <w:lang w:val="fr-FR" w:bidi="ar-KW"/>
        </w:rPr>
        <w:t>;</w:t>
      </w:r>
      <w:r w:rsidR="000C6D4A" w:rsidRPr="00F1180D">
        <w:rPr>
          <w:lang w:val="fr-FR" w:bidi="ar-KW"/>
        </w:rPr>
        <w:t xml:space="preserve"> </w:t>
      </w:r>
    </w:p>
    <w:p w:rsidR="000C6D4A" w:rsidRPr="00F1180D" w:rsidRDefault="00B357F2" w:rsidP="00B357F2">
      <w:pPr>
        <w:pStyle w:val="SingleTxtG"/>
        <w:rPr>
          <w:lang w:val="fr-FR" w:bidi="fr-FR"/>
        </w:rPr>
      </w:pPr>
      <w:r>
        <w:rPr>
          <w:lang w:val="fr-FR" w:bidi="ar-KW"/>
        </w:rPr>
        <w:t>46.</w:t>
      </w:r>
      <w:r>
        <w:rPr>
          <w:lang w:val="fr-FR" w:bidi="ar-KW"/>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292</w:t>
      </w:r>
      <w:r w:rsidR="00680ADA" w:rsidRPr="00F1180D">
        <w:rPr>
          <w:lang w:val="fr-FR" w:bidi="ar-KW"/>
        </w:rPr>
        <w:t>,</w:t>
      </w:r>
      <w:r w:rsidR="000C6D4A" w:rsidRPr="00F1180D">
        <w:rPr>
          <w:lang w:val="fr-FR" w:bidi="ar-KW"/>
        </w:rPr>
        <w:t xml:space="preserve"> qui énonce ce qui suit</w:t>
      </w:r>
      <w:r w:rsidR="00680ADA" w:rsidRPr="00F1180D">
        <w:rPr>
          <w:lang w:val="fr-FR" w:bidi="ar-KW"/>
        </w:rPr>
        <w:t>:</w:t>
      </w:r>
      <w:r w:rsidR="00EB55D3" w:rsidRPr="00F1180D">
        <w:rPr>
          <w:lang w:val="fr-FR" w:bidi="ar-KW"/>
        </w:rPr>
        <w:t xml:space="preserve"> </w:t>
      </w:r>
      <w:r w:rsidR="00680ADA" w:rsidRPr="00F1180D">
        <w:rPr>
          <w:lang w:val="fr-FR" w:bidi="ar-KW"/>
        </w:rPr>
        <w:t>«</w:t>
      </w:r>
      <w:r w:rsidR="000C6D4A" w:rsidRPr="00F1180D">
        <w:rPr>
          <w:lang w:val="fr-FR" w:bidi="ar-KW"/>
        </w:rPr>
        <w:t>L</w:t>
      </w:r>
      <w:r w:rsidR="00680ADA" w:rsidRPr="00F1180D">
        <w:rPr>
          <w:lang w:val="fr-FR" w:bidi="ar-KW"/>
        </w:rPr>
        <w:t>’</w:t>
      </w:r>
      <w:r w:rsidR="000C6D4A" w:rsidRPr="00F1180D">
        <w:rPr>
          <w:lang w:val="fr-FR" w:bidi="ar-KW"/>
        </w:rPr>
        <w:t xml:space="preserve">homicide du </w:t>
      </w:r>
      <w:r w:rsidR="000C6D4A" w:rsidRPr="00F1180D">
        <w:rPr>
          <w:i/>
          <w:lang w:val="fr-FR" w:bidi="ar-KW"/>
        </w:rPr>
        <w:t xml:space="preserve">de cujus </w:t>
      </w:r>
      <w:r w:rsidR="000C6D4A" w:rsidRPr="00F1180D">
        <w:rPr>
          <w:lang w:val="fr-FR" w:bidi="ar-KW"/>
        </w:rPr>
        <w:t>est une cause d</w:t>
      </w:r>
      <w:r w:rsidR="00680ADA" w:rsidRPr="00F1180D">
        <w:rPr>
          <w:lang w:val="fr-FR" w:bidi="ar-KW"/>
        </w:rPr>
        <w:t>’</w:t>
      </w:r>
      <w:r w:rsidR="000C6D4A" w:rsidRPr="00F1180D">
        <w:rPr>
          <w:lang w:val="fr-FR" w:bidi="ar-KW"/>
        </w:rPr>
        <w:t>empêchement en matière d</w:t>
      </w:r>
      <w:r w:rsidR="00680ADA" w:rsidRPr="00F1180D">
        <w:rPr>
          <w:lang w:val="fr-FR" w:bidi="ar-KW"/>
        </w:rPr>
        <w:t>’</w:t>
      </w:r>
      <w:r w:rsidR="000C6D4A" w:rsidRPr="00F1180D">
        <w:rPr>
          <w:lang w:val="fr-FR" w:bidi="ar-KW"/>
        </w:rPr>
        <w:t>héritage</w:t>
      </w:r>
      <w:r w:rsidR="00680ADA" w:rsidRPr="00F1180D">
        <w:rPr>
          <w:lang w:val="fr-FR" w:bidi="ar-KW"/>
        </w:rPr>
        <w:t>,</w:t>
      </w:r>
      <w:r w:rsidR="000C6D4A" w:rsidRPr="00F1180D">
        <w:rPr>
          <w:lang w:val="fr-FR" w:bidi="ar-KW"/>
        </w:rPr>
        <w:t xml:space="preserve"> qui s</w:t>
      </w:r>
      <w:r w:rsidR="00680ADA" w:rsidRPr="00F1180D">
        <w:rPr>
          <w:lang w:val="fr-FR" w:bidi="ar-KW"/>
        </w:rPr>
        <w:t>’</w:t>
      </w:r>
      <w:r w:rsidR="000C6D4A" w:rsidRPr="00F1180D">
        <w:rPr>
          <w:lang w:val="fr-FR" w:bidi="ar-KW"/>
        </w:rPr>
        <w:t>applique aussi bien à l</w:t>
      </w:r>
      <w:r w:rsidR="00680ADA" w:rsidRPr="00F1180D">
        <w:rPr>
          <w:lang w:val="fr-FR" w:bidi="ar-KW"/>
        </w:rPr>
        <w:t>’</w:t>
      </w:r>
      <w:r w:rsidR="000C6D4A" w:rsidRPr="00F1180D">
        <w:rPr>
          <w:lang w:val="fr-FR" w:bidi="ar-KW"/>
        </w:rPr>
        <w:t>auteur principal du crime qu</w:t>
      </w:r>
      <w:r w:rsidR="00680ADA" w:rsidRPr="00F1180D">
        <w:rPr>
          <w:lang w:val="fr-FR" w:bidi="ar-KW"/>
        </w:rPr>
        <w:t>’</w:t>
      </w:r>
      <w:r w:rsidR="000C6D4A" w:rsidRPr="00F1180D">
        <w:rPr>
          <w:lang w:val="fr-FR" w:bidi="ar-KW"/>
        </w:rPr>
        <w:t>aux complices ou aux personnes coupables de faux témoignage</w:t>
      </w:r>
      <w:r w:rsidR="00680ADA" w:rsidRPr="00F1180D">
        <w:rPr>
          <w:lang w:val="fr-FR" w:bidi="ar-KW"/>
        </w:rPr>
        <w:t>»</w:t>
      </w:r>
      <w:r w:rsidR="000C6D4A" w:rsidRPr="00F1180D">
        <w:rPr>
          <w:lang w:val="fr-FR" w:bidi="ar-KW"/>
        </w:rPr>
        <w:t>.</w:t>
      </w:r>
    </w:p>
    <w:p w:rsidR="00766AC3" w:rsidRPr="00F1180D" w:rsidRDefault="00766AC3" w:rsidP="00766AC3">
      <w:pPr>
        <w:pStyle w:val="H23G"/>
        <w:rPr>
          <w:lang w:val="fr-FR" w:bidi="fr-FR"/>
        </w:rPr>
      </w:pPr>
      <w:r w:rsidRPr="00F1180D">
        <w:rPr>
          <w:lang w:val="fr-FR" w:bidi="fr-FR"/>
        </w:rPr>
        <w:tab/>
      </w:r>
      <w:r w:rsidR="00C41E5F" w:rsidRPr="00F1180D">
        <w:rPr>
          <w:lang w:val="fr-FR" w:bidi="fr-FR"/>
        </w:rPr>
        <w:tab/>
      </w:r>
      <w:r w:rsidR="004C1D3C" w:rsidRPr="00F1180D">
        <w:rPr>
          <w:lang w:val="fr-FR" w:bidi="ar-KW"/>
        </w:rPr>
        <w:t xml:space="preserve">Paragraphe </w:t>
      </w:r>
      <w:r w:rsidR="00C41E5F" w:rsidRPr="00F1180D">
        <w:rPr>
          <w:lang w:val="fr-FR" w:bidi="fr-FR"/>
        </w:rPr>
        <w:t>d) vii)</w:t>
      </w:r>
    </w:p>
    <w:p w:rsidR="000C6D4A" w:rsidRPr="00F1180D" w:rsidRDefault="00B357F2" w:rsidP="00680ADA">
      <w:pPr>
        <w:pStyle w:val="SingleTxtG"/>
        <w:rPr>
          <w:lang w:val="fr-FR" w:bidi="ar-KW"/>
        </w:rPr>
      </w:pPr>
      <w:r>
        <w:rPr>
          <w:lang w:val="fr-FR" w:bidi="fr-FR"/>
        </w:rPr>
        <w:t>47.</w:t>
      </w:r>
      <w:r>
        <w:rPr>
          <w:lang w:val="fr-FR" w:bidi="fr-FR"/>
        </w:rPr>
        <w:tab/>
      </w:r>
      <w:r w:rsidR="000C6D4A" w:rsidRPr="00F1180D">
        <w:rPr>
          <w:lang w:val="fr-FR" w:bidi="ar-KW"/>
        </w:rPr>
        <w:t>En ce qui concerne la liberté de pensée</w:t>
      </w:r>
      <w:r w:rsidR="00680ADA" w:rsidRPr="00F1180D">
        <w:rPr>
          <w:lang w:val="fr-FR" w:bidi="ar-KW"/>
        </w:rPr>
        <w:t>,</w:t>
      </w:r>
      <w:r w:rsidR="000C6D4A" w:rsidRPr="00F1180D">
        <w:rPr>
          <w:lang w:val="fr-FR" w:bidi="ar-KW"/>
        </w:rPr>
        <w:t xml:space="preserve"> de conscience et de religion</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0C6D4A" w:rsidRPr="00F1180D">
        <w:rPr>
          <w:lang w:val="fr-FR" w:bidi="ar-KW"/>
        </w:rPr>
        <w:t>35 de la Constitution koweïtienne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La liberté religieuse est absolue. L</w:t>
      </w:r>
      <w:r w:rsidR="00680ADA" w:rsidRPr="00F1180D">
        <w:rPr>
          <w:lang w:val="fr-FR" w:bidi="ar-KW"/>
        </w:rPr>
        <w:t>’</w:t>
      </w:r>
      <w:r w:rsidR="000C6D4A" w:rsidRPr="00F1180D">
        <w:rPr>
          <w:lang w:val="fr-FR" w:bidi="ar-KW"/>
        </w:rPr>
        <w:t>État protège la libre pratique des religions conformément aux coutumes établies</w:t>
      </w:r>
      <w:r w:rsidR="00680ADA" w:rsidRPr="00F1180D">
        <w:rPr>
          <w:lang w:val="fr-FR" w:bidi="ar-KW"/>
        </w:rPr>
        <w:t>,</w:t>
      </w:r>
      <w:r w:rsidR="000C6D4A" w:rsidRPr="00F1180D">
        <w:rPr>
          <w:lang w:val="fr-FR" w:bidi="ar-KW"/>
        </w:rPr>
        <w:t xml:space="preserve"> à condition que cela ne porte pas atteinte à l</w:t>
      </w:r>
      <w:r w:rsidR="00680ADA" w:rsidRPr="00F1180D">
        <w:rPr>
          <w:lang w:val="fr-FR" w:bidi="ar-KW"/>
        </w:rPr>
        <w:t>’</w:t>
      </w:r>
      <w:r w:rsidR="000C6D4A" w:rsidRPr="00F1180D">
        <w:rPr>
          <w:lang w:val="fr-FR" w:bidi="ar-KW"/>
        </w:rPr>
        <w:t>ordre et à la morale publics</w:t>
      </w:r>
      <w:r w:rsidR="00680ADA" w:rsidRPr="00F1180D">
        <w:rPr>
          <w:lang w:val="fr-FR" w:bidi="ar-KW"/>
        </w:rPr>
        <w:t>»</w:t>
      </w:r>
      <w:r w:rsidR="000C6D4A" w:rsidRPr="00F1180D">
        <w:rPr>
          <w:lang w:val="fr-FR" w:bidi="ar-KW"/>
        </w:rPr>
        <w:t xml:space="preserve">. Le terme </w:t>
      </w:r>
      <w:r w:rsidR="00680ADA" w:rsidRPr="00F1180D">
        <w:rPr>
          <w:lang w:val="fr-FR" w:bidi="ar-KW"/>
        </w:rPr>
        <w:t>«</w:t>
      </w:r>
      <w:r w:rsidR="000C6D4A" w:rsidRPr="00F1180D">
        <w:rPr>
          <w:lang w:val="fr-FR" w:bidi="ar-KW"/>
        </w:rPr>
        <w:t>absolue</w:t>
      </w:r>
      <w:r w:rsidR="00680ADA" w:rsidRPr="00F1180D">
        <w:rPr>
          <w:lang w:val="fr-FR" w:bidi="ar-KW"/>
        </w:rPr>
        <w:t>»</w:t>
      </w:r>
      <w:r w:rsidR="000C6D4A" w:rsidRPr="00F1180D">
        <w:rPr>
          <w:lang w:val="fr-FR" w:bidi="ar-KW"/>
        </w:rPr>
        <w:t xml:space="preserve"> désigne ici l</w:t>
      </w:r>
      <w:r w:rsidR="00680ADA" w:rsidRPr="00F1180D">
        <w:rPr>
          <w:lang w:val="fr-FR" w:bidi="ar-KW"/>
        </w:rPr>
        <w:t>’</w:t>
      </w:r>
      <w:r w:rsidR="000C6D4A" w:rsidRPr="00F1180D">
        <w:rPr>
          <w:lang w:val="fr-FR" w:bidi="ar-KW"/>
        </w:rPr>
        <w:t>absence d</w:t>
      </w:r>
      <w:r w:rsidR="00680ADA" w:rsidRPr="00F1180D">
        <w:rPr>
          <w:lang w:val="fr-FR" w:bidi="ar-KW"/>
        </w:rPr>
        <w:t>’</w:t>
      </w:r>
      <w:r w:rsidR="000C6D4A" w:rsidRPr="00F1180D">
        <w:rPr>
          <w:lang w:val="fr-FR" w:bidi="ar-KW"/>
        </w:rPr>
        <w:t>interdiction ou de discrimination en la matière</w:t>
      </w:r>
      <w:r w:rsidR="00680ADA" w:rsidRPr="00F1180D">
        <w:rPr>
          <w:lang w:val="fr-FR" w:bidi="ar-KW"/>
        </w:rPr>
        <w:t>,</w:t>
      </w:r>
      <w:r w:rsidR="000C6D4A" w:rsidRPr="00F1180D">
        <w:rPr>
          <w:lang w:val="fr-FR" w:bidi="ar-KW"/>
        </w:rPr>
        <w:t xml:space="preserve"> ce qui confirme clairement la garantie de cette liberté au Koweït.</w:t>
      </w:r>
    </w:p>
    <w:p w:rsidR="00766AC3" w:rsidRPr="00F1180D" w:rsidRDefault="00C41E5F" w:rsidP="00766AC3">
      <w:pPr>
        <w:pStyle w:val="H23G"/>
        <w:rPr>
          <w:lang w:val="fr-FR" w:bidi="fr-FR"/>
        </w:rPr>
      </w:pPr>
      <w:r w:rsidRPr="00F1180D">
        <w:rPr>
          <w:lang w:val="fr-FR" w:bidi="fr-FR"/>
        </w:rPr>
        <w:tab/>
      </w:r>
      <w:r w:rsidR="00766AC3" w:rsidRPr="00F1180D">
        <w:rPr>
          <w:lang w:val="fr-FR" w:bidi="fr-FR"/>
        </w:rPr>
        <w:tab/>
      </w:r>
      <w:r w:rsidR="004C1D3C" w:rsidRPr="00F1180D">
        <w:rPr>
          <w:lang w:val="fr-FR" w:bidi="ar-KW"/>
        </w:rPr>
        <w:t xml:space="preserve">Paragraphe </w:t>
      </w:r>
      <w:r w:rsidRPr="00F1180D">
        <w:rPr>
          <w:lang w:val="fr-FR" w:bidi="fr-FR"/>
        </w:rPr>
        <w:t>d) viii)</w:t>
      </w:r>
    </w:p>
    <w:p w:rsidR="000C6D4A" w:rsidRPr="00F1180D" w:rsidRDefault="00B357F2" w:rsidP="00C41E5F">
      <w:pPr>
        <w:pStyle w:val="SingleTxtG"/>
        <w:tabs>
          <w:tab w:val="left" w:pos="1701"/>
          <w:tab w:val="left" w:pos="2410"/>
        </w:tabs>
        <w:rPr>
          <w:lang w:val="fr-FR" w:bidi="fr-FR"/>
        </w:rPr>
      </w:pPr>
      <w:r>
        <w:rPr>
          <w:lang w:val="fr-FR" w:bidi="fr-FR"/>
        </w:rPr>
        <w:t>48.</w:t>
      </w:r>
      <w:r>
        <w:rPr>
          <w:lang w:val="fr-FR" w:bidi="fr-FR"/>
        </w:rPr>
        <w:tab/>
      </w:r>
      <w:r w:rsidR="000C6D4A" w:rsidRPr="00F1180D">
        <w:rPr>
          <w:lang w:val="fr-FR" w:bidi="fr-FR"/>
        </w:rPr>
        <w:t>L</w:t>
      </w:r>
      <w:r w:rsidR="00680ADA" w:rsidRPr="00F1180D">
        <w:rPr>
          <w:lang w:val="fr-FR" w:bidi="fr-FR"/>
        </w:rPr>
        <w:t>’</w:t>
      </w:r>
      <w:r w:rsidR="00163207" w:rsidRPr="00F1180D">
        <w:rPr>
          <w:lang w:val="fr-FR" w:bidi="fr-FR"/>
        </w:rPr>
        <w:t>article </w:t>
      </w:r>
      <w:r w:rsidR="000C6D4A" w:rsidRPr="00F1180D">
        <w:rPr>
          <w:lang w:val="fr-FR" w:bidi="fr-FR"/>
        </w:rPr>
        <w:t>36 de la Constitution dispose ce qui suit</w:t>
      </w:r>
      <w:r w:rsidR="00680ADA" w:rsidRPr="00F1180D">
        <w:rPr>
          <w:lang w:val="fr-FR" w:bidi="fr-FR"/>
        </w:rPr>
        <w:t>:</w:t>
      </w:r>
      <w:r w:rsidR="000C6D4A" w:rsidRPr="00F1180D">
        <w:rPr>
          <w:lang w:val="fr-FR" w:bidi="fr-FR"/>
        </w:rPr>
        <w:t xml:space="preserve"> </w:t>
      </w:r>
      <w:r w:rsidR="00680ADA" w:rsidRPr="00F1180D">
        <w:rPr>
          <w:lang w:val="fr-FR" w:bidi="fr-FR"/>
        </w:rPr>
        <w:t>«</w:t>
      </w:r>
      <w:r w:rsidR="000C6D4A" w:rsidRPr="00F1180D">
        <w:rPr>
          <w:lang w:val="fr-FR" w:bidi="fr-FR"/>
        </w:rPr>
        <w:t>La liberté d</w:t>
      </w:r>
      <w:r w:rsidR="00680ADA" w:rsidRPr="00F1180D">
        <w:rPr>
          <w:lang w:val="fr-FR" w:bidi="fr-FR"/>
        </w:rPr>
        <w:t>’</w:t>
      </w:r>
      <w:r w:rsidR="000C6D4A" w:rsidRPr="00F1180D">
        <w:rPr>
          <w:lang w:val="fr-FR" w:bidi="fr-FR"/>
        </w:rPr>
        <w:t>opinion et de la recherche scientifique est garantie</w:t>
      </w:r>
      <w:r w:rsidR="00680ADA" w:rsidRPr="00F1180D">
        <w:rPr>
          <w:lang w:val="fr-FR" w:bidi="fr-FR"/>
        </w:rPr>
        <w:t>;</w:t>
      </w:r>
      <w:r w:rsidR="000C6D4A" w:rsidRPr="00F1180D">
        <w:rPr>
          <w:lang w:val="fr-FR" w:bidi="fr-FR"/>
        </w:rPr>
        <w:t xml:space="preserve"> toute personne a le droit d</w:t>
      </w:r>
      <w:r w:rsidR="00680ADA" w:rsidRPr="00F1180D">
        <w:rPr>
          <w:lang w:val="fr-FR" w:bidi="fr-FR"/>
        </w:rPr>
        <w:t>’</w:t>
      </w:r>
      <w:r w:rsidR="000C6D4A" w:rsidRPr="00F1180D">
        <w:rPr>
          <w:lang w:val="fr-FR" w:bidi="fr-FR"/>
        </w:rPr>
        <w:t>exprimer ses opinions et de les diffuser verbalement</w:t>
      </w:r>
      <w:r w:rsidR="00680ADA" w:rsidRPr="00F1180D">
        <w:rPr>
          <w:lang w:val="fr-FR" w:bidi="fr-FR"/>
        </w:rPr>
        <w:t>,</w:t>
      </w:r>
      <w:r w:rsidR="000C6D4A" w:rsidRPr="00F1180D">
        <w:rPr>
          <w:lang w:val="fr-FR" w:bidi="fr-FR"/>
        </w:rPr>
        <w:t xml:space="preserve"> par écrit ou sous toute autre forme</w:t>
      </w:r>
      <w:r w:rsidR="00680ADA" w:rsidRPr="00F1180D">
        <w:rPr>
          <w:lang w:val="fr-FR" w:bidi="fr-FR"/>
        </w:rPr>
        <w:t>,</w:t>
      </w:r>
      <w:r w:rsidR="000C6D4A" w:rsidRPr="00F1180D">
        <w:rPr>
          <w:lang w:val="fr-FR" w:bidi="fr-FR"/>
        </w:rPr>
        <w:t xml:space="preserve"> conformément aux conditions et modalités prévues par la loi</w:t>
      </w:r>
      <w:r w:rsidR="00680ADA" w:rsidRPr="00F1180D">
        <w:rPr>
          <w:lang w:val="fr-FR" w:bidi="fr-FR"/>
        </w:rPr>
        <w:t>»</w:t>
      </w:r>
      <w:r w:rsidR="000C6D4A" w:rsidRPr="00F1180D">
        <w:rPr>
          <w:lang w:val="fr-FR" w:bidi="fr-FR"/>
        </w:rPr>
        <w:t xml:space="preserve"> et cette proclamation est renforcée par l</w:t>
      </w:r>
      <w:r w:rsidR="00680ADA" w:rsidRPr="00F1180D">
        <w:rPr>
          <w:lang w:val="fr-FR" w:bidi="fr-FR"/>
        </w:rPr>
        <w:t>’</w:t>
      </w:r>
      <w:r w:rsidR="00163207" w:rsidRPr="00F1180D">
        <w:rPr>
          <w:lang w:val="fr-FR" w:bidi="fr-FR"/>
        </w:rPr>
        <w:t>article </w:t>
      </w:r>
      <w:r w:rsidR="000C6D4A" w:rsidRPr="00F1180D">
        <w:rPr>
          <w:lang w:val="fr-FR" w:bidi="fr-FR"/>
        </w:rPr>
        <w:t>37 qui énonce ce qui suit</w:t>
      </w:r>
      <w:r w:rsidR="00680ADA" w:rsidRPr="00F1180D">
        <w:rPr>
          <w:lang w:val="fr-FR" w:bidi="fr-FR"/>
        </w:rPr>
        <w:t>:</w:t>
      </w:r>
      <w:r w:rsidR="000C6D4A" w:rsidRPr="00F1180D">
        <w:rPr>
          <w:lang w:val="fr-FR" w:bidi="fr-FR"/>
        </w:rPr>
        <w:t xml:space="preserve"> </w:t>
      </w:r>
      <w:r w:rsidR="00680ADA" w:rsidRPr="00F1180D">
        <w:rPr>
          <w:lang w:val="fr-FR" w:bidi="fr-FR"/>
        </w:rPr>
        <w:t>«</w:t>
      </w:r>
      <w:r w:rsidR="000C6D4A" w:rsidRPr="00F1180D">
        <w:rPr>
          <w:lang w:val="fr-FR" w:bidi="fr-FR"/>
        </w:rPr>
        <w:t>La liberté de la presse</w:t>
      </w:r>
      <w:r w:rsidR="00680ADA" w:rsidRPr="00F1180D">
        <w:rPr>
          <w:lang w:val="fr-FR" w:bidi="fr-FR"/>
        </w:rPr>
        <w:t>,</w:t>
      </w:r>
      <w:r w:rsidR="000C6D4A" w:rsidRPr="00F1180D">
        <w:rPr>
          <w:lang w:val="fr-FR" w:bidi="fr-FR"/>
        </w:rPr>
        <w:t xml:space="preserve"> de l</w:t>
      </w:r>
      <w:r w:rsidR="00680ADA" w:rsidRPr="00F1180D">
        <w:rPr>
          <w:lang w:val="fr-FR" w:bidi="fr-FR"/>
        </w:rPr>
        <w:t>’</w:t>
      </w:r>
      <w:r w:rsidR="000C6D4A" w:rsidRPr="00F1180D">
        <w:rPr>
          <w:lang w:val="fr-FR" w:bidi="fr-FR"/>
        </w:rPr>
        <w:t>édition et de la publication est garantie conformément aux conditions et modalités fixées par la loi</w:t>
      </w:r>
      <w:r w:rsidR="000D5D03" w:rsidRPr="00F1180D">
        <w:rPr>
          <w:lang w:val="fr-FR" w:bidi="fr-FR"/>
        </w:rPr>
        <w:t>.</w:t>
      </w:r>
      <w:r w:rsidR="00680ADA" w:rsidRPr="00F1180D">
        <w:rPr>
          <w:lang w:val="fr-FR" w:bidi="fr-FR"/>
        </w:rPr>
        <w:t>»</w:t>
      </w:r>
      <w:r w:rsidR="000C6D4A" w:rsidRPr="00F1180D">
        <w:rPr>
          <w:lang w:val="fr-FR" w:bidi="fr-FR"/>
        </w:rPr>
        <w:t xml:space="preserve"> </w:t>
      </w:r>
    </w:p>
    <w:p w:rsidR="00766AC3" w:rsidRPr="00F1180D" w:rsidRDefault="00766AC3" w:rsidP="00766AC3">
      <w:pPr>
        <w:pStyle w:val="H23G"/>
        <w:rPr>
          <w:lang w:val="fr-FR" w:bidi="fr-FR"/>
        </w:rPr>
      </w:pPr>
      <w:r w:rsidRPr="00F1180D">
        <w:rPr>
          <w:lang w:val="fr-FR" w:bidi="fr-FR"/>
        </w:rPr>
        <w:tab/>
      </w:r>
      <w:r w:rsidR="00C41E5F" w:rsidRPr="00F1180D">
        <w:rPr>
          <w:lang w:val="fr-FR" w:bidi="fr-FR"/>
        </w:rPr>
        <w:tab/>
      </w:r>
      <w:r w:rsidR="004C1D3C" w:rsidRPr="00F1180D">
        <w:rPr>
          <w:lang w:val="fr-FR" w:bidi="ar-KW"/>
        </w:rPr>
        <w:t xml:space="preserve">Paragraphe </w:t>
      </w:r>
      <w:r w:rsidR="00C41E5F" w:rsidRPr="00F1180D">
        <w:rPr>
          <w:lang w:val="fr-FR" w:bidi="fr-FR"/>
        </w:rPr>
        <w:t>d) ix)</w:t>
      </w:r>
    </w:p>
    <w:p w:rsidR="000C6D4A" w:rsidRPr="00F1180D" w:rsidRDefault="00B357F2" w:rsidP="00C41E5F">
      <w:pPr>
        <w:pStyle w:val="SingleTxtG"/>
        <w:tabs>
          <w:tab w:val="left" w:pos="1701"/>
          <w:tab w:val="left" w:pos="2410"/>
        </w:tabs>
        <w:rPr>
          <w:rtl/>
          <w:lang w:val="fr-FR" w:bidi="fr-FR"/>
        </w:rPr>
      </w:pPr>
      <w:r>
        <w:rPr>
          <w:lang w:val="fr-FR" w:bidi="fr-FR"/>
        </w:rPr>
        <w:t>49.</w:t>
      </w:r>
      <w:r>
        <w:rPr>
          <w:lang w:val="fr-FR" w:bidi="fr-FR"/>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44 de la Constitution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Toute personne a le droit de se réunir avec d</w:t>
      </w:r>
      <w:r w:rsidR="00680ADA" w:rsidRPr="00F1180D">
        <w:rPr>
          <w:lang w:val="fr-FR" w:bidi="ar-KW"/>
        </w:rPr>
        <w:t>’</w:t>
      </w:r>
      <w:r w:rsidR="000C6D4A" w:rsidRPr="00F1180D">
        <w:rPr>
          <w:lang w:val="fr-FR" w:bidi="ar-KW"/>
        </w:rPr>
        <w:t>autres sans avoir à demander une autorisation préalable</w:t>
      </w:r>
      <w:r w:rsidR="00680ADA" w:rsidRPr="00F1180D">
        <w:rPr>
          <w:lang w:val="fr-FR" w:bidi="ar-KW"/>
        </w:rPr>
        <w:t>,</w:t>
      </w:r>
      <w:r w:rsidR="000C6D4A" w:rsidRPr="00F1180D">
        <w:rPr>
          <w:lang w:val="fr-FR" w:bidi="ar-KW"/>
        </w:rPr>
        <w:t xml:space="preserve"> et aucun membre des forces de sécurité ne peut assister à ces réunions privées</w:t>
      </w:r>
      <w:r w:rsidR="00680ADA" w:rsidRPr="00F1180D">
        <w:rPr>
          <w:lang w:val="fr-FR" w:bidi="ar-KW"/>
        </w:rPr>
        <w:t>»</w:t>
      </w:r>
      <w:r w:rsidR="000C6D4A" w:rsidRPr="00F1180D">
        <w:rPr>
          <w:lang w:val="fr-FR" w:bidi="ar-KW"/>
        </w:rPr>
        <w:t>. Le législateur a organisé l</w:t>
      </w:r>
      <w:r w:rsidR="00680ADA" w:rsidRPr="00F1180D">
        <w:rPr>
          <w:lang w:val="fr-FR" w:bidi="ar-KW"/>
        </w:rPr>
        <w:t>’</w:t>
      </w:r>
      <w:r w:rsidR="000C6D4A" w:rsidRPr="00F1180D">
        <w:rPr>
          <w:lang w:val="fr-FR" w:bidi="ar-KW"/>
        </w:rPr>
        <w:t xml:space="preserve">exercice de ce droit au moyen du décret-loi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65 de 1979 portant réglementation des réunions publiques et des rassemblements</w:t>
      </w:r>
      <w:r w:rsidR="00680ADA" w:rsidRPr="00F1180D">
        <w:rPr>
          <w:lang w:val="fr-FR" w:bidi="ar-KW"/>
        </w:rPr>
        <w:t>,</w:t>
      </w:r>
      <w:r w:rsidR="000C6D4A" w:rsidRPr="00F1180D">
        <w:rPr>
          <w:lang w:val="fr-FR" w:bidi="ar-KW"/>
        </w:rPr>
        <w:t xml:space="preserve"> qui a renforcé le droit de se réunir et de manifester librement</w:t>
      </w:r>
      <w:r w:rsidR="00680ADA" w:rsidRPr="00F1180D">
        <w:rPr>
          <w:lang w:val="fr-FR" w:bidi="ar-KW"/>
        </w:rPr>
        <w:t>,</w:t>
      </w:r>
      <w:r w:rsidR="000C6D4A" w:rsidRPr="00F1180D">
        <w:rPr>
          <w:lang w:val="fr-FR" w:bidi="ar-KW"/>
        </w:rPr>
        <w:t xml:space="preserve"> ainsi que le droit de défiler</w:t>
      </w:r>
      <w:r w:rsidR="00680ADA" w:rsidRPr="00F1180D">
        <w:rPr>
          <w:lang w:val="fr-FR" w:bidi="ar-KW"/>
        </w:rPr>
        <w:t>,</w:t>
      </w:r>
      <w:r w:rsidR="000C6D4A" w:rsidRPr="00F1180D">
        <w:rPr>
          <w:lang w:val="fr-FR" w:bidi="ar-KW"/>
        </w:rPr>
        <w:t xml:space="preserve"> sans distinction aucune fondée sur le sexe</w:t>
      </w:r>
      <w:r w:rsidR="00680ADA" w:rsidRPr="00F1180D">
        <w:rPr>
          <w:lang w:val="fr-FR" w:bidi="ar-KW"/>
        </w:rPr>
        <w:t>,</w:t>
      </w:r>
      <w:r w:rsidR="000C6D4A" w:rsidRPr="00F1180D">
        <w:rPr>
          <w:lang w:val="fr-FR" w:bidi="ar-KW"/>
        </w:rPr>
        <w:t xml:space="preserve"> la couleur</w:t>
      </w:r>
      <w:r w:rsidR="00680ADA" w:rsidRPr="00F1180D">
        <w:rPr>
          <w:lang w:val="fr-FR" w:bidi="ar-KW"/>
        </w:rPr>
        <w:t>,</w:t>
      </w:r>
      <w:r w:rsidR="000C6D4A" w:rsidRPr="00F1180D">
        <w:rPr>
          <w:lang w:val="fr-FR" w:bidi="ar-KW"/>
        </w:rPr>
        <w:t xml:space="preserve"> la race ou la langue. Il apparaît ainsi clairement que le Koweït a joué un rôle précurseur dans ce domaine</w:t>
      </w:r>
      <w:r w:rsidR="00680ADA" w:rsidRPr="00F1180D">
        <w:rPr>
          <w:lang w:val="fr-FR" w:bidi="ar-KW"/>
        </w:rPr>
        <w:t>,</w:t>
      </w:r>
      <w:r w:rsidR="000C6D4A" w:rsidRPr="00F1180D">
        <w:rPr>
          <w:lang w:val="fr-FR" w:bidi="ar-KW"/>
        </w:rPr>
        <w:t xml:space="preserve"> en consacrant ce droit sans aucune discrimination. </w:t>
      </w:r>
    </w:p>
    <w:p w:rsidR="000C6D4A" w:rsidRPr="00F1180D" w:rsidRDefault="00B357F2" w:rsidP="00680ADA">
      <w:pPr>
        <w:pStyle w:val="SingleTxtG"/>
        <w:rPr>
          <w:lang w:val="fr-FR" w:bidi="ar-KW"/>
        </w:rPr>
      </w:pPr>
      <w:r>
        <w:rPr>
          <w:lang w:val="fr-FR" w:bidi="ar-KW"/>
        </w:rPr>
        <w:t>50.</w:t>
      </w:r>
      <w:r>
        <w:rPr>
          <w:lang w:val="fr-FR" w:bidi="ar-KW"/>
        </w:rPr>
        <w:tab/>
      </w:r>
      <w:r w:rsidR="000C6D4A" w:rsidRPr="00F1180D">
        <w:rPr>
          <w:lang w:val="fr-FR" w:bidi="ar-KW"/>
        </w:rPr>
        <w:t>Sur la base des garanties constitutionnelles et légales en vigueur relatives à la liberté de se réunir pacifiquement</w:t>
      </w:r>
      <w:r w:rsidR="00680ADA" w:rsidRPr="00F1180D">
        <w:rPr>
          <w:lang w:val="fr-FR" w:bidi="ar-KW"/>
        </w:rPr>
        <w:t>,</w:t>
      </w:r>
      <w:r w:rsidR="000C6D4A" w:rsidRPr="00F1180D">
        <w:rPr>
          <w:lang w:val="fr-FR" w:bidi="ar-KW"/>
        </w:rPr>
        <w:t xml:space="preserve"> de former des associations ou d</w:t>
      </w:r>
      <w:r w:rsidR="00680ADA" w:rsidRPr="00F1180D">
        <w:rPr>
          <w:lang w:val="fr-FR" w:bidi="ar-KW"/>
        </w:rPr>
        <w:t>’</w:t>
      </w:r>
      <w:r w:rsidR="000C6D4A" w:rsidRPr="00F1180D">
        <w:rPr>
          <w:lang w:val="fr-FR" w:bidi="ar-KW"/>
        </w:rPr>
        <w:t>y adhérer et compte tenu de l</w:t>
      </w:r>
      <w:r w:rsidR="00680ADA" w:rsidRPr="00F1180D">
        <w:rPr>
          <w:lang w:val="fr-FR" w:bidi="ar-KW"/>
        </w:rPr>
        <w:t>’</w:t>
      </w:r>
      <w:r w:rsidR="000C6D4A" w:rsidRPr="00F1180D">
        <w:rPr>
          <w:lang w:val="fr-FR" w:bidi="ar-KW"/>
        </w:rPr>
        <w:t>importance accordée par l</w:t>
      </w:r>
      <w:r w:rsidR="00680ADA" w:rsidRPr="00F1180D">
        <w:rPr>
          <w:lang w:val="fr-FR" w:bidi="ar-KW"/>
        </w:rPr>
        <w:t>’</w:t>
      </w:r>
      <w:r w:rsidR="000C6D4A" w:rsidRPr="00F1180D">
        <w:rPr>
          <w:lang w:val="fr-FR" w:bidi="ar-KW"/>
        </w:rPr>
        <w:t>État à la promotion et au respect des libertés d</w:t>
      </w:r>
      <w:r w:rsidR="00680ADA" w:rsidRPr="00F1180D">
        <w:rPr>
          <w:lang w:val="fr-FR" w:bidi="ar-KW"/>
        </w:rPr>
        <w:t>’</w:t>
      </w:r>
      <w:r w:rsidR="000C6D4A" w:rsidRPr="00F1180D">
        <w:rPr>
          <w:lang w:val="fr-FR" w:bidi="ar-KW"/>
        </w:rPr>
        <w:t>expression et d</w:t>
      </w:r>
      <w:r w:rsidR="00680ADA" w:rsidRPr="00F1180D">
        <w:rPr>
          <w:lang w:val="fr-FR" w:bidi="ar-KW"/>
        </w:rPr>
        <w:t>’</w:t>
      </w:r>
      <w:r w:rsidR="000C6D4A" w:rsidRPr="00F1180D">
        <w:rPr>
          <w:lang w:val="fr-FR" w:bidi="ar-KW"/>
        </w:rPr>
        <w:t>opinion au titre de la diffusion de la culture et de la sensibilisation du public aux droits de citoyenneté et à la cohésion sociale</w:t>
      </w:r>
      <w:r w:rsidR="00680ADA" w:rsidRPr="00F1180D">
        <w:rPr>
          <w:lang w:val="fr-FR" w:bidi="ar-KW"/>
        </w:rPr>
        <w:t>,</w:t>
      </w:r>
      <w:r w:rsidR="000C6D4A" w:rsidRPr="00F1180D">
        <w:rPr>
          <w:lang w:val="fr-FR" w:bidi="ar-KW"/>
        </w:rPr>
        <w:t xml:space="preserve"> le Koweït a promulgué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24 de 1962 relative aux clubs et associations reconnus d</w:t>
      </w:r>
      <w:r w:rsidR="00680ADA" w:rsidRPr="00F1180D">
        <w:rPr>
          <w:lang w:val="fr-FR" w:bidi="ar-KW"/>
        </w:rPr>
        <w:t>’</w:t>
      </w:r>
      <w:r w:rsidR="000C6D4A" w:rsidRPr="00F1180D">
        <w:rPr>
          <w:lang w:val="fr-FR" w:bidi="ar-KW"/>
        </w:rPr>
        <w:t xml:space="preserve">utilité publique </w:t>
      </w:r>
      <w:r w:rsidR="000D5D03" w:rsidRPr="00F1180D">
        <w:rPr>
          <w:lang w:val="fr-FR" w:bidi="ar-KW"/>
        </w:rPr>
        <w:t>et le pays compte désormais 116 </w:t>
      </w:r>
      <w:r w:rsidR="000C6D4A" w:rsidRPr="00F1180D">
        <w:rPr>
          <w:lang w:val="fr-FR" w:bidi="ar-KW"/>
        </w:rPr>
        <w:t>associations de ce type</w:t>
      </w:r>
      <w:r w:rsidR="00680ADA" w:rsidRPr="00F1180D">
        <w:rPr>
          <w:lang w:val="fr-FR" w:bidi="ar-KW"/>
        </w:rPr>
        <w:t>,</w:t>
      </w:r>
      <w:r w:rsidR="000C6D4A" w:rsidRPr="00F1180D">
        <w:rPr>
          <w:lang w:val="fr-FR" w:bidi="ar-KW"/>
        </w:rPr>
        <w:t xml:space="preserve"> qui ont bénéficié en 2014 de subventions d</w:t>
      </w:r>
      <w:r w:rsidR="00680ADA" w:rsidRPr="00F1180D">
        <w:rPr>
          <w:lang w:val="fr-FR" w:bidi="ar-KW"/>
        </w:rPr>
        <w:t>’</w:t>
      </w:r>
      <w:r w:rsidR="000C6D4A" w:rsidRPr="00F1180D">
        <w:rPr>
          <w:lang w:val="fr-FR" w:bidi="ar-KW"/>
        </w:rPr>
        <w:t>un montant de 1 580 000</w:t>
      </w:r>
      <w:r w:rsidR="009B1350" w:rsidRPr="00F1180D">
        <w:rPr>
          <w:lang w:val="fr-FR" w:bidi="ar-KW"/>
        </w:rPr>
        <w:t> dinars</w:t>
      </w:r>
      <w:r w:rsidR="000C6D4A" w:rsidRPr="00F1180D">
        <w:rPr>
          <w:lang w:val="fr-FR" w:bidi="ar-KW"/>
        </w:rPr>
        <w:t xml:space="preserve"> koweïtiens (5 216 104</w:t>
      </w:r>
      <w:r w:rsidR="00680ADA" w:rsidRPr="00F1180D">
        <w:rPr>
          <w:lang w:val="fr-FR" w:bidi="ar-KW"/>
        </w:rPr>
        <w:t>,</w:t>
      </w:r>
      <w:r w:rsidR="000C6D4A" w:rsidRPr="00F1180D">
        <w:rPr>
          <w:lang w:val="fr-FR" w:bidi="ar-KW"/>
        </w:rPr>
        <w:t>52</w:t>
      </w:r>
      <w:r w:rsidR="00935E7C" w:rsidRPr="00F1180D">
        <w:rPr>
          <w:lang w:val="fr-FR" w:bidi="ar-KW"/>
        </w:rPr>
        <w:t> dollars</w:t>
      </w:r>
      <w:r w:rsidR="000C6D4A" w:rsidRPr="00F1180D">
        <w:rPr>
          <w:lang w:val="fr-FR" w:bidi="ar-KW"/>
        </w:rPr>
        <w:t xml:space="preserve"> des États-Unis). Des initiatives visant à promulguer une loi sur le bénévolat et à autoriser les non ressortissants à adhérer aux institutions de la société civile sont en cours.</w:t>
      </w:r>
    </w:p>
    <w:p w:rsidR="00766AC3" w:rsidRPr="00F1180D" w:rsidRDefault="00766AC3" w:rsidP="00766AC3">
      <w:pPr>
        <w:pStyle w:val="H23G"/>
        <w:rPr>
          <w:lang w:val="fr-FR" w:bidi="ar-KW"/>
        </w:rPr>
      </w:pPr>
      <w:r w:rsidRPr="00F1180D">
        <w:rPr>
          <w:lang w:val="fr-FR" w:bidi="ar-KW"/>
        </w:rPr>
        <w:tab/>
      </w:r>
      <w:r w:rsidR="00C41E5F" w:rsidRPr="00F1180D">
        <w:rPr>
          <w:lang w:val="fr-FR" w:bidi="ar-KW"/>
        </w:rPr>
        <w:tab/>
      </w:r>
      <w:r w:rsidR="004C1D3C" w:rsidRPr="00F1180D">
        <w:rPr>
          <w:lang w:val="fr-FR" w:bidi="ar-KW"/>
        </w:rPr>
        <w:t xml:space="preserve">Paragraphe </w:t>
      </w:r>
      <w:r w:rsidR="00C41E5F" w:rsidRPr="00F1180D">
        <w:rPr>
          <w:lang w:val="fr-FR" w:bidi="ar-KW"/>
        </w:rPr>
        <w:t>e) i)</w:t>
      </w:r>
    </w:p>
    <w:p w:rsidR="000C6D4A" w:rsidRPr="00F1180D" w:rsidRDefault="00B357F2" w:rsidP="00680ADA">
      <w:pPr>
        <w:pStyle w:val="SingleTxtG"/>
        <w:rPr>
          <w:lang w:val="fr-FR" w:bidi="ar-KW"/>
        </w:rPr>
      </w:pPr>
      <w:r>
        <w:rPr>
          <w:lang w:val="fr-FR" w:bidi="ar-KW"/>
        </w:rPr>
        <w:t>51.</w:t>
      </w:r>
      <w:r>
        <w:rPr>
          <w:lang w:val="fr-FR" w:bidi="ar-KW"/>
        </w:rPr>
        <w:tab/>
      </w:r>
      <w:r w:rsidR="000C6D4A" w:rsidRPr="00F1180D">
        <w:rPr>
          <w:lang w:val="fr-FR" w:bidi="ar-KW"/>
        </w:rPr>
        <w:t>Le droit au travail et au libre choix du type d</w:t>
      </w:r>
      <w:r w:rsidR="00680ADA" w:rsidRPr="00F1180D">
        <w:rPr>
          <w:lang w:val="fr-FR" w:bidi="ar-KW"/>
        </w:rPr>
        <w:t>’</w:t>
      </w:r>
      <w:r w:rsidR="000C6D4A" w:rsidRPr="00F1180D">
        <w:rPr>
          <w:lang w:val="fr-FR" w:bidi="ar-KW"/>
        </w:rPr>
        <w:t xml:space="preserve">emploi est reconnu par la Constitution koweïtienne qui le consacre en ces termes dans son </w:t>
      </w:r>
      <w:r w:rsidR="00163207" w:rsidRPr="00F1180D">
        <w:rPr>
          <w:lang w:val="fr-FR" w:bidi="ar-KW"/>
        </w:rPr>
        <w:t>article </w:t>
      </w:r>
      <w:r w:rsidR="000C6D4A" w:rsidRPr="00F1180D">
        <w:rPr>
          <w:lang w:val="fr-FR" w:bidi="ar-KW"/>
        </w:rPr>
        <w:t>41</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Le travail est un droit pour tous les koweïtiens</w:t>
      </w:r>
      <w:r w:rsidR="00680ADA" w:rsidRPr="00F1180D">
        <w:rPr>
          <w:lang w:val="fr-FR" w:bidi="ar-KW"/>
        </w:rPr>
        <w:t>,</w:t>
      </w:r>
      <w:r w:rsidR="000C6D4A" w:rsidRPr="00F1180D">
        <w:rPr>
          <w:lang w:val="fr-FR" w:bidi="ar-KW"/>
        </w:rPr>
        <w:t xml:space="preserve"> qui ont aussi le droit de choisir le type de travail qui leur convient. Le travail est un devoir pour chaque citoyen</w:t>
      </w:r>
      <w:r w:rsidR="00680ADA" w:rsidRPr="00F1180D">
        <w:rPr>
          <w:lang w:val="fr-FR" w:bidi="ar-KW"/>
        </w:rPr>
        <w:t>,</w:t>
      </w:r>
      <w:r w:rsidR="000C6D4A" w:rsidRPr="00F1180D">
        <w:rPr>
          <w:lang w:val="fr-FR" w:bidi="ar-KW"/>
        </w:rPr>
        <w:t xml:space="preserve"> dicté par sa dignité personnelle et par l</w:t>
      </w:r>
      <w:r w:rsidR="00680ADA" w:rsidRPr="00F1180D">
        <w:rPr>
          <w:lang w:val="fr-FR" w:bidi="ar-KW"/>
        </w:rPr>
        <w:t>’</w:t>
      </w:r>
      <w:r w:rsidR="000C6D4A" w:rsidRPr="00F1180D">
        <w:rPr>
          <w:lang w:val="fr-FR" w:bidi="ar-KW"/>
        </w:rPr>
        <w:t>intérêt général. L</w:t>
      </w:r>
      <w:r w:rsidR="00680ADA" w:rsidRPr="00F1180D">
        <w:rPr>
          <w:lang w:val="fr-FR" w:bidi="ar-KW"/>
        </w:rPr>
        <w:t>’</w:t>
      </w:r>
      <w:r w:rsidR="000C6D4A" w:rsidRPr="00F1180D">
        <w:rPr>
          <w:lang w:val="fr-FR" w:bidi="ar-KW"/>
        </w:rPr>
        <w:t>État s</w:t>
      </w:r>
      <w:r w:rsidR="00680ADA" w:rsidRPr="00F1180D">
        <w:rPr>
          <w:lang w:val="fr-FR" w:bidi="ar-KW"/>
        </w:rPr>
        <w:t>’</w:t>
      </w:r>
      <w:r w:rsidR="000C6D4A" w:rsidRPr="00F1180D">
        <w:rPr>
          <w:lang w:val="fr-FR" w:bidi="ar-KW"/>
        </w:rPr>
        <w:t>efforce d</w:t>
      </w:r>
      <w:r w:rsidR="00680ADA" w:rsidRPr="00F1180D">
        <w:rPr>
          <w:lang w:val="fr-FR" w:bidi="ar-KW"/>
        </w:rPr>
        <w:t>’</w:t>
      </w:r>
      <w:r w:rsidR="000C6D4A" w:rsidRPr="00F1180D">
        <w:rPr>
          <w:lang w:val="fr-FR" w:bidi="ar-KW"/>
        </w:rPr>
        <w:t>assurer du travail aux citoyens dans des conditions d</w:t>
      </w:r>
      <w:r w:rsidR="00680ADA" w:rsidRPr="00F1180D">
        <w:rPr>
          <w:lang w:val="fr-FR" w:bidi="ar-KW"/>
        </w:rPr>
        <w:t>’</w:t>
      </w:r>
      <w:r w:rsidR="000C6D4A" w:rsidRPr="00F1180D">
        <w:rPr>
          <w:lang w:val="fr-FR" w:bidi="ar-KW"/>
        </w:rPr>
        <w:t>équité</w:t>
      </w:r>
      <w:r w:rsidR="00680ADA" w:rsidRPr="00F1180D">
        <w:rPr>
          <w:lang w:val="fr-FR" w:bidi="ar-KW"/>
        </w:rPr>
        <w:t>»</w:t>
      </w:r>
      <w:r w:rsidR="000C6D4A" w:rsidRPr="00F1180D">
        <w:rPr>
          <w:lang w:val="fr-FR" w:bidi="ar-KW"/>
        </w:rPr>
        <w:t xml:space="preserve">. Cet </w:t>
      </w:r>
      <w:r w:rsidR="00163207" w:rsidRPr="00F1180D">
        <w:rPr>
          <w:lang w:val="fr-FR" w:bidi="ar-KW"/>
        </w:rPr>
        <w:t>article </w:t>
      </w:r>
      <w:r w:rsidR="000C6D4A" w:rsidRPr="00F1180D">
        <w:rPr>
          <w:lang w:val="fr-FR" w:bidi="ar-KW"/>
        </w:rPr>
        <w:t>consacre l</w:t>
      </w:r>
      <w:r w:rsidR="00680ADA" w:rsidRPr="00F1180D">
        <w:rPr>
          <w:lang w:val="fr-FR" w:bidi="ar-KW"/>
        </w:rPr>
        <w:t>’</w:t>
      </w:r>
      <w:r w:rsidR="000C6D4A" w:rsidRPr="00F1180D">
        <w:rPr>
          <w:lang w:val="fr-FR" w:bidi="ar-KW"/>
        </w:rPr>
        <w:t>égalité de traitement en matière de travail et rappelle la nécessite de respecter la dignité inhérente à la personne humaine dans le cadre de l</w:t>
      </w:r>
      <w:r w:rsidR="00680ADA" w:rsidRPr="00F1180D">
        <w:rPr>
          <w:lang w:val="fr-FR" w:bidi="ar-KW"/>
        </w:rPr>
        <w:t>’</w:t>
      </w:r>
      <w:r w:rsidR="000C6D4A" w:rsidRPr="00F1180D">
        <w:rPr>
          <w:lang w:val="fr-FR" w:bidi="ar-KW"/>
        </w:rPr>
        <w:t xml:space="preserve">exercice de tout </w:t>
      </w:r>
      <w:r w:rsidR="000C6D4A" w:rsidRPr="00F1180D">
        <w:rPr>
          <w:lang w:val="fr-FR" w:bidi="ar-KW"/>
        </w:rPr>
        <w:lastRenderedPageBreak/>
        <w:t xml:space="preserve">emploi. Le Bureau de la fonction publique réglemente le travail des ressortissants koweïtiens. </w:t>
      </w:r>
    </w:p>
    <w:p w:rsidR="000C6D4A" w:rsidRPr="00F1180D" w:rsidRDefault="00B357F2" w:rsidP="00680ADA">
      <w:pPr>
        <w:pStyle w:val="SingleTxtG"/>
        <w:rPr>
          <w:lang w:val="fr-FR" w:bidi="ar-KW"/>
        </w:rPr>
      </w:pPr>
      <w:r>
        <w:rPr>
          <w:lang w:val="fr-FR" w:bidi="ar-KW"/>
        </w:rPr>
        <w:t>52.</w:t>
      </w:r>
      <w:r>
        <w:rPr>
          <w:lang w:val="fr-FR" w:bidi="ar-KW"/>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22 de la Constitution</w:t>
      </w:r>
      <w:r w:rsidR="00680ADA" w:rsidRPr="00F1180D">
        <w:rPr>
          <w:lang w:val="fr-FR" w:bidi="ar-KW"/>
        </w:rPr>
        <w:t>,</w:t>
      </w:r>
      <w:r w:rsidR="000C6D4A" w:rsidRPr="00F1180D">
        <w:rPr>
          <w:lang w:val="fr-FR" w:bidi="ar-KW"/>
        </w:rPr>
        <w:t xml:space="preserve"> qui régit les relations entre employés et employeurs</w:t>
      </w:r>
      <w:r w:rsidR="00680ADA" w:rsidRPr="00F1180D">
        <w:rPr>
          <w:lang w:val="fr-FR" w:bidi="ar-KW"/>
        </w:rPr>
        <w:t>,</w:t>
      </w:r>
      <w:r w:rsidR="000C6D4A" w:rsidRPr="00F1180D">
        <w:rPr>
          <w:lang w:val="fr-FR" w:bidi="ar-KW"/>
        </w:rPr>
        <w:t xml:space="preserve"> ainsi que les droits et obligations des travailleurs</w:t>
      </w:r>
      <w:r w:rsidR="00680ADA" w:rsidRPr="00F1180D">
        <w:rPr>
          <w:lang w:val="fr-FR" w:bidi="ar-KW"/>
        </w:rPr>
        <w:t>,</w:t>
      </w:r>
      <w:r w:rsidR="000C6D4A" w:rsidRPr="00F1180D">
        <w:rPr>
          <w:lang w:val="fr-FR" w:bidi="ar-KW"/>
        </w:rPr>
        <w:t xml:space="preserve">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Les relations entre employeurs et employés</w:t>
      </w:r>
      <w:r w:rsidR="00680ADA" w:rsidRPr="00F1180D">
        <w:rPr>
          <w:lang w:val="fr-FR" w:bidi="ar-KW"/>
        </w:rPr>
        <w:t>,</w:t>
      </w:r>
      <w:r w:rsidR="000C6D4A" w:rsidRPr="00F1180D">
        <w:rPr>
          <w:lang w:val="fr-FR" w:bidi="ar-KW"/>
        </w:rPr>
        <w:t xml:space="preserve"> ainsi qu</w:t>
      </w:r>
      <w:r w:rsidR="00680ADA" w:rsidRPr="00F1180D">
        <w:rPr>
          <w:lang w:val="fr-FR" w:bidi="ar-KW"/>
        </w:rPr>
        <w:t>’</w:t>
      </w:r>
      <w:r w:rsidR="000C6D4A" w:rsidRPr="00F1180D">
        <w:rPr>
          <w:lang w:val="fr-FR" w:bidi="ar-KW"/>
        </w:rPr>
        <w:t>entre propriétaires terriens et fermiers</w:t>
      </w:r>
      <w:r w:rsidR="00680ADA" w:rsidRPr="00F1180D">
        <w:rPr>
          <w:lang w:val="fr-FR" w:bidi="ar-KW"/>
        </w:rPr>
        <w:t>,</w:t>
      </w:r>
      <w:r w:rsidR="000C6D4A" w:rsidRPr="00F1180D">
        <w:rPr>
          <w:lang w:val="fr-FR" w:bidi="ar-KW"/>
        </w:rPr>
        <w:t xml:space="preserve"> sont fixées par la loi en vertu des principes économiques et compte dûment tenu des règles de la justice sociale</w:t>
      </w:r>
      <w:r w:rsidR="002870E5" w:rsidRPr="00F1180D">
        <w:rPr>
          <w:lang w:val="fr-FR" w:bidi="ar-KW"/>
        </w:rPr>
        <w:t>.</w:t>
      </w:r>
      <w:r w:rsidR="00680ADA" w:rsidRPr="00F1180D">
        <w:rPr>
          <w:lang w:val="fr-FR" w:bidi="ar-KW"/>
        </w:rPr>
        <w:t>»</w:t>
      </w:r>
      <w:r w:rsidR="000C6D4A" w:rsidRPr="00F1180D">
        <w:rPr>
          <w:lang w:val="fr-FR" w:bidi="ar-KW"/>
        </w:rPr>
        <w:t xml:space="preserve"> </w:t>
      </w:r>
    </w:p>
    <w:p w:rsidR="000C6D4A" w:rsidRPr="00F1180D" w:rsidRDefault="00B357F2" w:rsidP="00680ADA">
      <w:pPr>
        <w:pStyle w:val="SingleTxtG"/>
        <w:rPr>
          <w:rtl/>
          <w:lang w:val="fr-FR" w:bidi="fr-FR"/>
        </w:rPr>
      </w:pPr>
      <w:r>
        <w:rPr>
          <w:lang w:val="fr-FR" w:bidi="ar-KW"/>
        </w:rPr>
        <w:t>53.</w:t>
      </w:r>
      <w:r>
        <w:rPr>
          <w:lang w:val="fr-FR" w:bidi="ar-KW"/>
        </w:rPr>
        <w:tab/>
      </w:r>
      <w:r w:rsidR="000C6D4A" w:rsidRPr="00F1180D">
        <w:rPr>
          <w:lang w:val="fr-FR" w:bidi="ar-KW"/>
        </w:rPr>
        <w:t>En outre</w:t>
      </w:r>
      <w:r w:rsidR="00680ADA" w:rsidRPr="00F1180D">
        <w:rPr>
          <w:lang w:val="fr-FR" w:bidi="ar-KW"/>
        </w:rPr>
        <w:t>,</w:t>
      </w:r>
      <w:r w:rsidR="000C6D4A" w:rsidRPr="00F1180D">
        <w:rPr>
          <w:lang w:val="fr-FR" w:bidi="ar-KW"/>
        </w:rPr>
        <w:t xml:space="preserve"> selon l</w:t>
      </w:r>
      <w:r w:rsidR="00680ADA" w:rsidRPr="00F1180D">
        <w:rPr>
          <w:lang w:val="fr-FR" w:bidi="ar-KW"/>
        </w:rPr>
        <w:t>’</w:t>
      </w:r>
      <w:r w:rsidR="00163207" w:rsidRPr="00F1180D">
        <w:rPr>
          <w:lang w:val="fr-FR" w:bidi="ar-KW"/>
        </w:rPr>
        <w:t>article </w:t>
      </w:r>
      <w:r w:rsidR="000C6D4A" w:rsidRPr="00F1180D">
        <w:rPr>
          <w:lang w:val="fr-FR" w:bidi="ar-KW"/>
        </w:rPr>
        <w:t>42 de la Constitution</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Le travail forcé est interdit sauf dans les cas prévus par la loi en cas de crise nationale et moyennant une juste rémunération</w:t>
      </w:r>
      <w:r w:rsidR="002870E5" w:rsidRPr="00F1180D">
        <w:rPr>
          <w:lang w:val="fr-FR" w:bidi="ar-KW"/>
        </w:rPr>
        <w:t>.</w:t>
      </w:r>
      <w:r w:rsidR="00680ADA" w:rsidRPr="00F1180D">
        <w:rPr>
          <w:lang w:val="fr-FR" w:bidi="ar-KW"/>
        </w:rPr>
        <w:t>»</w:t>
      </w:r>
      <w:r w:rsidR="000C6D4A" w:rsidRPr="00F1180D">
        <w:rPr>
          <w:lang w:val="fr-FR" w:bidi="ar-KW"/>
        </w:rPr>
        <w:t xml:space="preserve"> </w:t>
      </w:r>
    </w:p>
    <w:p w:rsidR="000C6D4A" w:rsidRPr="00F1180D" w:rsidRDefault="00B357F2" w:rsidP="00680ADA">
      <w:pPr>
        <w:pStyle w:val="SingleTxtG"/>
        <w:rPr>
          <w:rtl/>
          <w:lang w:val="fr-FR" w:bidi="fr-FR"/>
        </w:rPr>
      </w:pPr>
      <w:r>
        <w:rPr>
          <w:lang w:val="fr-FR" w:bidi="ar-KW"/>
        </w:rPr>
        <w:t>54.</w:t>
      </w:r>
      <w:r>
        <w:rPr>
          <w:lang w:val="fr-FR" w:bidi="ar-KW"/>
        </w:rPr>
        <w:tab/>
      </w:r>
      <w:r w:rsidR="000C6D4A" w:rsidRPr="00F1180D">
        <w:rPr>
          <w:lang w:val="fr-FR" w:bidi="ar-KW"/>
        </w:rPr>
        <w:t>Les dispositions de la Constitution koweïtienne garantissant le droit de chacun au travail et au libre choix du type de travail sont en harmonie avec celles de la Déclaration universelle des droits de l</w:t>
      </w:r>
      <w:r w:rsidR="00680ADA" w:rsidRPr="00F1180D">
        <w:rPr>
          <w:lang w:val="fr-FR" w:bidi="ar-KW"/>
        </w:rPr>
        <w:t>’</w:t>
      </w:r>
      <w:r w:rsidR="000C6D4A" w:rsidRPr="00F1180D">
        <w:rPr>
          <w:lang w:val="fr-FR" w:bidi="ar-KW"/>
        </w:rPr>
        <w:t>homme en ce qui concerne le droit au travail</w:t>
      </w:r>
      <w:r w:rsidR="00680ADA" w:rsidRPr="00F1180D">
        <w:rPr>
          <w:lang w:val="fr-FR" w:bidi="ar-KW"/>
        </w:rPr>
        <w:t>,</w:t>
      </w:r>
      <w:r w:rsidR="000C6D4A" w:rsidRPr="00F1180D">
        <w:rPr>
          <w:lang w:val="fr-FR" w:bidi="ar-KW"/>
        </w:rPr>
        <w:t xml:space="preserve"> au libre choix du type de travail et à une rémunération équitable.</w:t>
      </w:r>
    </w:p>
    <w:p w:rsidR="000C6D4A" w:rsidRPr="00F1180D" w:rsidRDefault="00B357F2" w:rsidP="004C1D3C">
      <w:pPr>
        <w:pStyle w:val="SingleTxtG"/>
        <w:rPr>
          <w:rtl/>
          <w:lang w:val="fr-FR" w:bidi="fr-FR"/>
        </w:rPr>
      </w:pPr>
      <w:r>
        <w:rPr>
          <w:lang w:val="fr-FR" w:bidi="ar-KW"/>
        </w:rPr>
        <w:t>55.</w:t>
      </w:r>
      <w:r>
        <w:rPr>
          <w:lang w:val="fr-FR" w:bidi="ar-KW"/>
        </w:rPr>
        <w:tab/>
      </w:r>
      <w:r w:rsidR="000C6D4A" w:rsidRPr="00F1180D">
        <w:rPr>
          <w:lang w:val="fr-FR" w:bidi="ar-KW"/>
        </w:rPr>
        <w:t xml:space="preserve">Le travail des non ressortissants était auparavant régi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 xml:space="preserve">38 de 1964 et il est actuellement réglementé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 de 2010 sur l</w:t>
      </w:r>
      <w:r w:rsidR="00680ADA" w:rsidRPr="00F1180D">
        <w:rPr>
          <w:lang w:val="fr-FR" w:bidi="ar-KW"/>
        </w:rPr>
        <w:t>’</w:t>
      </w:r>
      <w:r w:rsidR="000C6D4A" w:rsidRPr="00F1180D">
        <w:rPr>
          <w:lang w:val="fr-FR" w:bidi="ar-KW"/>
        </w:rPr>
        <w:t>emploi dans le secteur privé (portant Code du travail dans le secteur privé) qui veille à garantir les droits de tous les travailleurs et à les protéger contre toute discrimination fondée sur la race</w:t>
      </w:r>
      <w:r w:rsidR="00680ADA" w:rsidRPr="00F1180D">
        <w:rPr>
          <w:lang w:val="fr-FR" w:bidi="ar-KW"/>
        </w:rPr>
        <w:t>,</w:t>
      </w:r>
      <w:r w:rsidR="000C6D4A" w:rsidRPr="00F1180D">
        <w:rPr>
          <w:lang w:val="fr-FR" w:bidi="ar-KW"/>
        </w:rPr>
        <w:t xml:space="preserve"> le sexe</w:t>
      </w:r>
      <w:r w:rsidR="00680ADA" w:rsidRPr="00F1180D">
        <w:rPr>
          <w:lang w:val="fr-FR" w:bidi="ar-KW"/>
        </w:rPr>
        <w:t>,</w:t>
      </w:r>
      <w:r w:rsidR="000C6D4A" w:rsidRPr="00F1180D">
        <w:rPr>
          <w:lang w:val="fr-FR" w:bidi="ar-KW"/>
        </w:rPr>
        <w:t xml:space="preserve"> la langue ou la religion</w:t>
      </w:r>
      <w:r w:rsidR="00680ADA" w:rsidRPr="00F1180D">
        <w:rPr>
          <w:lang w:val="fr-FR" w:bidi="ar-KW"/>
        </w:rPr>
        <w:t>,</w:t>
      </w:r>
      <w:r w:rsidR="000C6D4A" w:rsidRPr="00F1180D">
        <w:rPr>
          <w:lang w:val="fr-FR" w:bidi="ar-KW"/>
        </w:rPr>
        <w:t xml:space="preserve"> étant précisé que toutes les dispositions de ce texte sont fondées sur le principe de l</w:t>
      </w:r>
      <w:r w:rsidR="00680ADA" w:rsidRPr="00F1180D">
        <w:rPr>
          <w:lang w:val="fr-FR" w:bidi="ar-KW"/>
        </w:rPr>
        <w:t>’</w:t>
      </w:r>
      <w:r w:rsidR="000C6D4A" w:rsidRPr="00F1180D">
        <w:rPr>
          <w:lang w:val="fr-FR" w:bidi="ar-KW"/>
        </w:rPr>
        <w:t>égalité. L</w:t>
      </w:r>
      <w:r w:rsidR="00680ADA" w:rsidRPr="00F1180D">
        <w:rPr>
          <w:lang w:val="fr-FR" w:bidi="ar-KW"/>
        </w:rPr>
        <w:t>’</w:t>
      </w:r>
      <w:r w:rsidR="00163207" w:rsidRPr="00F1180D">
        <w:rPr>
          <w:lang w:val="fr-FR" w:bidi="ar-KW"/>
        </w:rPr>
        <w:t>article </w:t>
      </w:r>
      <w:r w:rsidR="000C6D4A" w:rsidRPr="00F1180D">
        <w:rPr>
          <w:lang w:val="fr-FR" w:bidi="ar-KW"/>
        </w:rPr>
        <w:t>6 affirme notamment que les droits garantis par ce texte constituent les normes minimales de protection des droits des travailleurs et qu</w:t>
      </w:r>
      <w:r w:rsidR="00680ADA" w:rsidRPr="00F1180D">
        <w:rPr>
          <w:lang w:val="fr-FR" w:bidi="ar-KW"/>
        </w:rPr>
        <w:t>’</w:t>
      </w:r>
      <w:r w:rsidR="000C6D4A" w:rsidRPr="00F1180D">
        <w:rPr>
          <w:lang w:val="fr-FR" w:bidi="ar-KW"/>
        </w:rPr>
        <w:t>il demeure possible d</w:t>
      </w:r>
      <w:r w:rsidR="00680ADA" w:rsidRPr="00F1180D">
        <w:rPr>
          <w:lang w:val="fr-FR" w:bidi="ar-KW"/>
        </w:rPr>
        <w:t>’</w:t>
      </w:r>
      <w:r w:rsidR="000C6D4A" w:rsidRPr="00F1180D">
        <w:rPr>
          <w:lang w:val="fr-FR" w:bidi="ar-KW"/>
        </w:rPr>
        <w:t>en consacrer d</w:t>
      </w:r>
      <w:r w:rsidR="00680ADA" w:rsidRPr="00F1180D">
        <w:rPr>
          <w:lang w:val="fr-FR" w:bidi="ar-KW"/>
        </w:rPr>
        <w:t>’</w:t>
      </w:r>
      <w:r w:rsidR="000C6D4A" w:rsidRPr="00F1180D">
        <w:rPr>
          <w:lang w:val="fr-FR" w:bidi="ar-KW"/>
        </w:rPr>
        <w:t>autres non prévus par la loi</w:t>
      </w:r>
      <w:r>
        <w:rPr>
          <w:lang w:val="fr-FR" w:bidi="ar-KW"/>
        </w:rPr>
        <w:t>.</w:t>
      </w:r>
      <w:r w:rsidR="000C6D4A" w:rsidRPr="00F1180D">
        <w:rPr>
          <w:lang w:val="fr-FR" w:bidi="ar-KW"/>
        </w:rPr>
        <w:t xml:space="preserve"> </w:t>
      </w:r>
    </w:p>
    <w:p w:rsidR="00BB069C" w:rsidRDefault="002870E5" w:rsidP="00680ADA">
      <w:pPr>
        <w:pStyle w:val="SingleTxtG"/>
        <w:rPr>
          <w:lang w:val="fr-FR" w:bidi="ar-KW"/>
        </w:rPr>
      </w:pPr>
      <w:r w:rsidRPr="00F1180D">
        <w:rPr>
          <w:lang w:val="fr-FR" w:bidi="ar-KW"/>
        </w:rPr>
        <w:tab/>
      </w:r>
      <w:r w:rsidR="00B357F2">
        <w:rPr>
          <w:lang w:val="fr-FR" w:bidi="ar-KW"/>
        </w:rPr>
        <w:t xml:space="preserve">L’article 6 en question dispose ce qui suit : </w:t>
      </w:r>
    </w:p>
    <w:p w:rsidR="000C6D4A" w:rsidRPr="00F1180D" w:rsidRDefault="00680ADA" w:rsidP="00BB069C">
      <w:pPr>
        <w:pStyle w:val="SingleTxtG"/>
        <w:ind w:left="1701" w:firstLine="567"/>
        <w:rPr>
          <w:rtl/>
          <w:lang w:val="fr-FR" w:bidi="fr-FR"/>
        </w:rPr>
      </w:pPr>
      <w:r w:rsidRPr="00F1180D">
        <w:rPr>
          <w:lang w:val="fr-FR" w:bidi="ar-KW"/>
        </w:rPr>
        <w:t>«</w:t>
      </w:r>
      <w:r w:rsidR="000C6D4A" w:rsidRPr="00F1180D">
        <w:rPr>
          <w:lang w:val="fr-FR" w:bidi="ar-KW"/>
        </w:rPr>
        <w:t>Sans préjudice de tous avantages ou droits plus favorables accordés aux travailleurs dans le cadre de contrats individuels</w:t>
      </w:r>
      <w:r w:rsidRPr="00F1180D">
        <w:rPr>
          <w:lang w:val="fr-FR" w:bidi="ar-KW"/>
        </w:rPr>
        <w:t>,</w:t>
      </w:r>
      <w:r w:rsidR="000C6D4A" w:rsidRPr="00F1180D">
        <w:rPr>
          <w:lang w:val="fr-FR" w:bidi="ar-KW"/>
        </w:rPr>
        <w:t xml:space="preserve"> de conventions collectives</w:t>
      </w:r>
      <w:r w:rsidRPr="00F1180D">
        <w:rPr>
          <w:lang w:val="fr-FR" w:bidi="ar-KW"/>
        </w:rPr>
        <w:t>,</w:t>
      </w:r>
      <w:r w:rsidR="000C6D4A" w:rsidRPr="00F1180D">
        <w:rPr>
          <w:lang w:val="fr-FR" w:bidi="ar-KW"/>
        </w:rPr>
        <w:t xml:space="preserve"> de réglementations particulières</w:t>
      </w:r>
      <w:r w:rsidRPr="00F1180D">
        <w:rPr>
          <w:lang w:val="fr-FR" w:bidi="ar-KW"/>
        </w:rPr>
        <w:t>,</w:t>
      </w:r>
      <w:r w:rsidR="000C6D4A" w:rsidRPr="00F1180D">
        <w:rPr>
          <w:lang w:val="fr-FR" w:bidi="ar-KW"/>
        </w:rPr>
        <w:t xml:space="preserve"> de règles applicables au sein des entreprises</w:t>
      </w:r>
      <w:r w:rsidRPr="00F1180D">
        <w:rPr>
          <w:lang w:val="fr-FR" w:bidi="ar-KW"/>
        </w:rPr>
        <w:t>,</w:t>
      </w:r>
      <w:r w:rsidR="000C6D4A" w:rsidRPr="00F1180D">
        <w:rPr>
          <w:lang w:val="fr-FR" w:bidi="ar-KW"/>
        </w:rPr>
        <w:t xml:space="preserve"> de dispositions conventionnelles ou de règles coutumières</w:t>
      </w:r>
      <w:r w:rsidRPr="00F1180D">
        <w:rPr>
          <w:lang w:val="fr-FR" w:bidi="ar-KW"/>
        </w:rPr>
        <w:t>,</w:t>
      </w:r>
      <w:r w:rsidR="000C6D4A" w:rsidRPr="00F1180D">
        <w:rPr>
          <w:lang w:val="fr-FR" w:bidi="ar-KW"/>
        </w:rPr>
        <w:t xml:space="preserve"> les dispositions de la présente loi consacrent les droits les plus élémentaires en matière de travail</w:t>
      </w:r>
      <w:r w:rsidRPr="00F1180D">
        <w:rPr>
          <w:lang w:val="fr-FR" w:bidi="ar-KW"/>
        </w:rPr>
        <w:t>»</w:t>
      </w:r>
      <w:r w:rsidR="000C6D4A" w:rsidRPr="00F1180D">
        <w:rPr>
          <w:lang w:val="fr-FR" w:bidi="ar-KW"/>
        </w:rPr>
        <w:t>. Ceci confirme le souci de l</w:t>
      </w:r>
      <w:r w:rsidRPr="00F1180D">
        <w:rPr>
          <w:lang w:val="fr-FR" w:bidi="ar-KW"/>
        </w:rPr>
        <w:t>’</w:t>
      </w:r>
      <w:r w:rsidR="000C6D4A" w:rsidRPr="00F1180D">
        <w:rPr>
          <w:lang w:val="fr-FR" w:bidi="ar-KW"/>
        </w:rPr>
        <w:t>État de mettre en place des normes minimales de protection des travailleurs contre l</w:t>
      </w:r>
      <w:r w:rsidRPr="00F1180D">
        <w:rPr>
          <w:lang w:val="fr-FR" w:bidi="ar-KW"/>
        </w:rPr>
        <w:t>’</w:t>
      </w:r>
      <w:r w:rsidR="000C6D4A" w:rsidRPr="00F1180D">
        <w:rPr>
          <w:lang w:val="fr-FR" w:bidi="ar-KW"/>
        </w:rPr>
        <w:t xml:space="preserve">adoption de toutes mesures ou tentatives visant à introduire des dispositions accordant aux travailleurs des conditions moins favorables que celles prévues par tous les </w:t>
      </w:r>
      <w:r w:rsidR="002407AA" w:rsidRPr="00F1180D">
        <w:rPr>
          <w:lang w:val="fr-FR" w:bidi="ar-KW"/>
        </w:rPr>
        <w:t xml:space="preserve">articles </w:t>
      </w:r>
      <w:r w:rsidR="000C6D4A" w:rsidRPr="00F1180D">
        <w:rPr>
          <w:lang w:val="fr-FR" w:bidi="ar-KW"/>
        </w:rPr>
        <w:t>de la loi précitée</w:t>
      </w:r>
      <w:r w:rsidRPr="00F1180D">
        <w:rPr>
          <w:lang w:val="fr-FR" w:bidi="ar-KW"/>
        </w:rPr>
        <w:t>,</w:t>
      </w:r>
      <w:r w:rsidR="000C6D4A" w:rsidRPr="00F1180D">
        <w:rPr>
          <w:lang w:val="fr-FR" w:bidi="ar-KW"/>
        </w:rPr>
        <w:t xml:space="preserve"> le principe consacré par ce biais étant celui de la possibilité de déroger aux dispositions légales uniquement si les nouvelles mesures sont plus favorables aux salariés</w:t>
      </w:r>
      <w:r w:rsidRPr="00F1180D">
        <w:rPr>
          <w:lang w:val="fr-FR" w:bidi="ar-KW"/>
        </w:rPr>
        <w:t>,</w:t>
      </w:r>
      <w:r w:rsidR="000C6D4A" w:rsidRPr="00F1180D">
        <w:rPr>
          <w:lang w:val="fr-FR" w:bidi="ar-KW"/>
        </w:rPr>
        <w:t xml:space="preserve"> comme cela résulte de ce qui suit</w:t>
      </w:r>
      <w:r w:rsidRPr="00F1180D">
        <w:rPr>
          <w:lang w:val="fr-FR" w:bidi="ar-KW"/>
        </w:rPr>
        <w:t>:</w:t>
      </w:r>
    </w:p>
    <w:p w:rsidR="000C6D4A" w:rsidRPr="00F1180D" w:rsidRDefault="00BB069C" w:rsidP="00BB069C">
      <w:pPr>
        <w:pStyle w:val="SingleTxtG"/>
        <w:ind w:left="1701" w:firstLine="567"/>
        <w:rPr>
          <w:bCs/>
          <w:rtl/>
          <w:lang w:val="fr-FR" w:bidi="fr-FR"/>
        </w:rPr>
      </w:pPr>
      <w:r>
        <w:rPr>
          <w:lang w:val="fr-FR" w:bidi="ar-KW"/>
        </w:rPr>
        <w:tab/>
      </w:r>
      <w:r w:rsidR="000C6D4A" w:rsidRPr="00F1180D">
        <w:rPr>
          <w:lang w:val="fr-FR" w:bidi="ar-KW"/>
        </w:rPr>
        <w:t>Champ d</w:t>
      </w:r>
      <w:r w:rsidR="00680ADA" w:rsidRPr="00F1180D">
        <w:rPr>
          <w:lang w:val="fr-FR" w:bidi="ar-KW"/>
        </w:rPr>
        <w:t>’</w:t>
      </w:r>
      <w:r w:rsidR="000C6D4A" w:rsidRPr="00F1180D">
        <w:rPr>
          <w:lang w:val="fr-FR" w:bidi="ar-KW"/>
        </w:rPr>
        <w:t>application de la loi</w:t>
      </w:r>
    </w:p>
    <w:p w:rsidR="000C6D4A" w:rsidRPr="00F1180D" w:rsidRDefault="002870E5" w:rsidP="00BB069C">
      <w:pPr>
        <w:pStyle w:val="SingleTxtG"/>
        <w:ind w:left="1701" w:firstLine="567"/>
        <w:rPr>
          <w:lang w:val="fr-FR" w:bidi="ar-KW"/>
        </w:rPr>
      </w:pPr>
      <w:r w:rsidRPr="00F1180D">
        <w:rPr>
          <w:lang w:val="fr-FR" w:bidi="ar-KW"/>
        </w:rPr>
        <w:tab/>
      </w:r>
      <w:r w:rsidR="00680ADA" w:rsidRPr="00F1180D">
        <w:rPr>
          <w:lang w:val="fr-FR" w:bidi="ar-KW"/>
        </w:rPr>
        <w:t>«</w:t>
      </w:r>
      <w:r w:rsidR="000C6D4A" w:rsidRPr="00F1180D">
        <w:rPr>
          <w:lang w:val="fr-FR" w:bidi="ar-KW"/>
        </w:rPr>
        <w:t>Les dispositions de la présente loi sont applicables aux travailleurs du secteur privé et ne s</w:t>
      </w:r>
      <w:r w:rsidR="00680ADA" w:rsidRPr="00F1180D">
        <w:rPr>
          <w:lang w:val="fr-FR" w:bidi="ar-KW"/>
        </w:rPr>
        <w:t>’</w:t>
      </w:r>
      <w:r w:rsidR="000C6D4A" w:rsidRPr="00F1180D">
        <w:rPr>
          <w:lang w:val="fr-FR" w:bidi="ar-KW"/>
        </w:rPr>
        <w:t>appliquent aux contrats de travail maritime et/ou au secteur pétrolier qu</w:t>
      </w:r>
      <w:r w:rsidR="00680ADA" w:rsidRPr="00F1180D">
        <w:rPr>
          <w:lang w:val="fr-FR" w:bidi="ar-KW"/>
        </w:rPr>
        <w:t>’</w:t>
      </w:r>
      <w:r w:rsidR="000C6D4A" w:rsidRPr="00F1180D">
        <w:rPr>
          <w:lang w:val="fr-FR" w:bidi="ar-KW"/>
        </w:rPr>
        <w:t>en cas de silence du Code du commerce maritime et/ou du Code du travail du secteur pétrolier</w:t>
      </w:r>
      <w:r w:rsidR="00680ADA" w:rsidRPr="00F1180D">
        <w:rPr>
          <w:lang w:val="fr-FR" w:bidi="ar-KW"/>
        </w:rPr>
        <w:t>,</w:t>
      </w:r>
      <w:r w:rsidR="000C6D4A" w:rsidRPr="00F1180D">
        <w:rPr>
          <w:lang w:val="fr-FR" w:bidi="ar-KW"/>
        </w:rPr>
        <w:t xml:space="preserve"> ou bien si la présente loi comporte des dispositions plus favorables aux salariés.</w:t>
      </w:r>
    </w:p>
    <w:p w:rsidR="000C6D4A" w:rsidRPr="00F1180D" w:rsidRDefault="002870E5" w:rsidP="00BB069C">
      <w:pPr>
        <w:pStyle w:val="SingleTxtG"/>
        <w:ind w:left="1701" w:firstLine="567"/>
        <w:rPr>
          <w:rtl/>
          <w:lang w:val="fr-FR" w:bidi="fr-FR"/>
        </w:rPr>
      </w:pPr>
      <w:r w:rsidRPr="00F1180D">
        <w:rPr>
          <w:lang w:val="fr-FR" w:bidi="ar-KW"/>
        </w:rPr>
        <w:tab/>
      </w:r>
      <w:r w:rsidR="000C6D4A" w:rsidRPr="00F1180D">
        <w:rPr>
          <w:lang w:val="fr-FR" w:bidi="ar-KW"/>
        </w:rPr>
        <w:t>La loi a veillé à l</w:t>
      </w:r>
      <w:r w:rsidR="00680ADA" w:rsidRPr="00F1180D">
        <w:rPr>
          <w:lang w:val="fr-FR" w:bidi="ar-KW"/>
        </w:rPr>
        <w:t>’</w:t>
      </w:r>
      <w:r w:rsidR="000C6D4A" w:rsidRPr="00F1180D">
        <w:rPr>
          <w:lang w:val="fr-FR" w:bidi="ar-KW"/>
        </w:rPr>
        <w:t>absence de toute disposition à caractère discriminatoire (en raison de la race) dans son dispositif</w:t>
      </w:r>
      <w:r w:rsidR="00680ADA" w:rsidRPr="00F1180D">
        <w:rPr>
          <w:lang w:val="fr-FR" w:bidi="ar-KW"/>
        </w:rPr>
        <w:t>,</w:t>
      </w:r>
      <w:r w:rsidR="000C6D4A" w:rsidRPr="00F1180D">
        <w:rPr>
          <w:lang w:val="fr-FR" w:bidi="ar-KW"/>
        </w:rPr>
        <w:t xml:space="preserve"> dans toute la mesure où elle indique clairement qu</w:t>
      </w:r>
      <w:r w:rsidR="00680ADA" w:rsidRPr="00F1180D">
        <w:rPr>
          <w:lang w:val="fr-FR" w:bidi="ar-KW"/>
        </w:rPr>
        <w:t>’</w:t>
      </w:r>
      <w:r w:rsidR="000C6D4A" w:rsidRPr="00F1180D">
        <w:rPr>
          <w:lang w:val="fr-FR" w:bidi="ar-KW"/>
        </w:rPr>
        <w:t>elle est applicable à tous les travailleurs sans aucune distinction</w:t>
      </w:r>
      <w:r w:rsidR="00680ADA" w:rsidRPr="00F1180D">
        <w:rPr>
          <w:lang w:val="fr-FR" w:bidi="ar-KW"/>
        </w:rPr>
        <w:t>,</w:t>
      </w:r>
      <w:r w:rsidR="000C6D4A" w:rsidRPr="00F1180D">
        <w:rPr>
          <w:lang w:val="fr-FR" w:bidi="ar-KW"/>
        </w:rPr>
        <w:t xml:space="preserve"> qu</w:t>
      </w:r>
      <w:r w:rsidR="00680ADA" w:rsidRPr="00F1180D">
        <w:rPr>
          <w:lang w:val="fr-FR" w:bidi="ar-KW"/>
        </w:rPr>
        <w:t>’</w:t>
      </w:r>
      <w:r w:rsidR="000C6D4A" w:rsidRPr="00F1180D">
        <w:rPr>
          <w:lang w:val="fr-FR" w:bidi="ar-KW"/>
        </w:rPr>
        <w:t>ils soient nationaux</w:t>
      </w:r>
      <w:r w:rsidR="00680ADA" w:rsidRPr="00F1180D">
        <w:rPr>
          <w:lang w:val="fr-FR" w:bidi="ar-KW"/>
        </w:rPr>
        <w:t>,</w:t>
      </w:r>
      <w:r w:rsidR="000C6D4A" w:rsidRPr="00F1180D">
        <w:rPr>
          <w:lang w:val="fr-FR" w:bidi="ar-KW"/>
        </w:rPr>
        <w:t xml:space="preserve"> migrants</w:t>
      </w:r>
      <w:r w:rsidR="00680ADA" w:rsidRPr="00F1180D">
        <w:rPr>
          <w:lang w:val="fr-FR" w:bidi="ar-KW"/>
        </w:rPr>
        <w:t>,</w:t>
      </w:r>
      <w:r w:rsidR="000C6D4A" w:rsidRPr="00F1180D">
        <w:rPr>
          <w:lang w:val="fr-FR" w:bidi="ar-KW"/>
        </w:rPr>
        <w:t xml:space="preserve"> arabes ou étrangers</w:t>
      </w:r>
      <w:r w:rsidR="0039456E" w:rsidRPr="00F1180D">
        <w:rPr>
          <w:lang w:val="fr-FR" w:bidi="ar-KW"/>
        </w:rPr>
        <w:t>.</w:t>
      </w:r>
      <w:r w:rsidR="00680ADA" w:rsidRPr="00F1180D">
        <w:rPr>
          <w:lang w:val="fr-FR" w:bidi="ar-KW"/>
        </w:rPr>
        <w:t>»</w:t>
      </w:r>
      <w:r w:rsidR="000C6D4A" w:rsidRPr="00F1180D">
        <w:rPr>
          <w:lang w:val="fr-FR" w:bidi="ar-KW"/>
        </w:rPr>
        <w:t xml:space="preserve"> </w:t>
      </w:r>
    </w:p>
    <w:p w:rsidR="000C6D4A" w:rsidRPr="00F1180D" w:rsidRDefault="002870E5" w:rsidP="002870E5">
      <w:pPr>
        <w:pStyle w:val="H23G"/>
        <w:rPr>
          <w:bCs/>
          <w:rtl/>
          <w:lang w:val="fr-FR" w:bidi="fr-FR"/>
        </w:rPr>
      </w:pPr>
      <w:r w:rsidRPr="00F1180D">
        <w:rPr>
          <w:lang w:val="fr-FR" w:bidi="ar-KW"/>
        </w:rPr>
        <w:tab/>
      </w:r>
      <w:r w:rsidRPr="00F1180D">
        <w:rPr>
          <w:lang w:val="fr-FR" w:bidi="ar-KW"/>
        </w:rPr>
        <w:tab/>
      </w:r>
      <w:r w:rsidR="000C6D4A" w:rsidRPr="00F1180D">
        <w:rPr>
          <w:lang w:val="fr-FR" w:bidi="ar-KW"/>
        </w:rPr>
        <w:t>Contrat de travail</w:t>
      </w:r>
    </w:p>
    <w:p w:rsidR="000C6D4A" w:rsidRPr="00F1180D" w:rsidRDefault="00BC37A2" w:rsidP="00680ADA">
      <w:pPr>
        <w:pStyle w:val="SingleTxtG"/>
        <w:rPr>
          <w:lang w:val="fr-FR" w:bidi="ar-KW"/>
        </w:rPr>
      </w:pPr>
      <w:r>
        <w:rPr>
          <w:lang w:val="fr-FR" w:bidi="ar-KW"/>
        </w:rPr>
        <w:t>56.</w:t>
      </w:r>
      <w:r>
        <w:rPr>
          <w:lang w:val="fr-FR" w:bidi="ar-KW"/>
        </w:rPr>
        <w:tab/>
      </w:r>
      <w:r w:rsidR="000C6D4A" w:rsidRPr="00F1180D">
        <w:rPr>
          <w:lang w:val="fr-FR" w:bidi="ar-KW"/>
        </w:rPr>
        <w:t>Afin de protéger les travailleurs</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0C6D4A" w:rsidRPr="00F1180D">
        <w:rPr>
          <w:lang w:val="fr-FR" w:bidi="ar-KW"/>
        </w:rPr>
        <w:t>18 de la loi impose la conclusion d</w:t>
      </w:r>
      <w:r w:rsidR="00680ADA" w:rsidRPr="00F1180D">
        <w:rPr>
          <w:lang w:val="fr-FR" w:bidi="ar-KW"/>
        </w:rPr>
        <w:t>’</w:t>
      </w:r>
      <w:r w:rsidR="000C6D4A" w:rsidRPr="00F1180D">
        <w:rPr>
          <w:lang w:val="fr-FR" w:bidi="ar-KW"/>
        </w:rPr>
        <w:t>un contrat de travail écrit</w:t>
      </w:r>
      <w:r w:rsidR="00680ADA" w:rsidRPr="00F1180D">
        <w:rPr>
          <w:lang w:val="fr-FR" w:bidi="ar-KW"/>
        </w:rPr>
        <w:t>,</w:t>
      </w:r>
      <w:r w:rsidR="000C6D4A" w:rsidRPr="00F1180D">
        <w:rPr>
          <w:lang w:val="fr-FR" w:bidi="ar-KW"/>
        </w:rPr>
        <w:t xml:space="preserve"> mentionnant la date de sa conclusion et celle de son entrée en </w:t>
      </w:r>
      <w:r w:rsidR="000C6D4A" w:rsidRPr="00F1180D">
        <w:rPr>
          <w:lang w:val="fr-FR" w:bidi="ar-KW"/>
        </w:rPr>
        <w:lastRenderedPageBreak/>
        <w:t>vigueur</w:t>
      </w:r>
      <w:r w:rsidR="00680ADA" w:rsidRPr="00F1180D">
        <w:rPr>
          <w:lang w:val="fr-FR" w:bidi="ar-KW"/>
        </w:rPr>
        <w:t>,</w:t>
      </w:r>
      <w:r w:rsidR="000C6D4A" w:rsidRPr="00F1180D">
        <w:rPr>
          <w:lang w:val="fr-FR" w:bidi="ar-KW"/>
        </w:rPr>
        <w:t xml:space="preserve"> ainsi que le montant de la rémunération de l</w:t>
      </w:r>
      <w:r w:rsidR="00680ADA" w:rsidRPr="00F1180D">
        <w:rPr>
          <w:lang w:val="fr-FR" w:bidi="ar-KW"/>
        </w:rPr>
        <w:t>’</w:t>
      </w:r>
      <w:r w:rsidR="000C6D4A" w:rsidRPr="00F1180D">
        <w:rPr>
          <w:lang w:val="fr-FR" w:bidi="ar-KW"/>
        </w:rPr>
        <w:t>employé et la durée du contrat (s</w:t>
      </w:r>
      <w:r w:rsidR="00680ADA" w:rsidRPr="00F1180D">
        <w:rPr>
          <w:lang w:val="fr-FR" w:bidi="ar-KW"/>
        </w:rPr>
        <w:t>’</w:t>
      </w:r>
      <w:r w:rsidR="000C6D4A" w:rsidRPr="00F1180D">
        <w:rPr>
          <w:lang w:val="fr-FR" w:bidi="ar-KW"/>
        </w:rPr>
        <w:t>il s</w:t>
      </w:r>
      <w:r w:rsidR="00680ADA" w:rsidRPr="00F1180D">
        <w:rPr>
          <w:lang w:val="fr-FR" w:bidi="ar-KW"/>
        </w:rPr>
        <w:t>’</w:t>
      </w:r>
      <w:r w:rsidR="000C6D4A" w:rsidRPr="00F1180D">
        <w:rPr>
          <w:lang w:val="fr-FR" w:bidi="ar-KW"/>
        </w:rPr>
        <w:t>agit d</w:t>
      </w:r>
      <w:r w:rsidR="00680ADA" w:rsidRPr="00F1180D">
        <w:rPr>
          <w:lang w:val="fr-FR" w:bidi="ar-KW"/>
        </w:rPr>
        <w:t>’</w:t>
      </w:r>
      <w:r w:rsidR="000C6D4A" w:rsidRPr="00F1180D">
        <w:rPr>
          <w:lang w:val="fr-FR" w:bidi="ar-KW"/>
        </w:rPr>
        <w:t>un contrat à durée déterminée)</w:t>
      </w:r>
      <w:r w:rsidR="00680ADA" w:rsidRPr="00F1180D">
        <w:rPr>
          <w:lang w:val="fr-FR" w:bidi="ar-KW"/>
        </w:rPr>
        <w:t>,</w:t>
      </w:r>
      <w:r w:rsidR="000C6D4A" w:rsidRPr="00F1180D">
        <w:rPr>
          <w:lang w:val="fr-FR" w:bidi="ar-KW"/>
        </w:rPr>
        <w:t xml:space="preserve"> de même que la nature des tâches à accomplir. Si le contrat n</w:t>
      </w:r>
      <w:r w:rsidR="00680ADA" w:rsidRPr="00F1180D">
        <w:rPr>
          <w:lang w:val="fr-FR" w:bidi="ar-KW"/>
        </w:rPr>
        <w:t>’</w:t>
      </w:r>
      <w:r w:rsidR="000C6D4A" w:rsidRPr="00F1180D">
        <w:rPr>
          <w:lang w:val="fr-FR" w:bidi="ar-KW"/>
        </w:rPr>
        <w:t>a pas été établi par écrit</w:t>
      </w:r>
      <w:r w:rsidR="00680ADA" w:rsidRPr="00F1180D">
        <w:rPr>
          <w:lang w:val="fr-FR" w:bidi="ar-KW"/>
        </w:rPr>
        <w:t>,</w:t>
      </w:r>
      <w:r w:rsidR="000C6D4A" w:rsidRPr="00F1180D">
        <w:rPr>
          <w:lang w:val="fr-FR" w:bidi="ar-KW"/>
        </w:rPr>
        <w:t xml:space="preserve"> il est considéré non valide et il incombe au travailleur d</w:t>
      </w:r>
      <w:r w:rsidR="00680ADA" w:rsidRPr="00F1180D">
        <w:rPr>
          <w:lang w:val="fr-FR" w:bidi="ar-KW"/>
        </w:rPr>
        <w:t>’</w:t>
      </w:r>
      <w:r w:rsidR="000C6D4A" w:rsidRPr="00F1180D">
        <w:rPr>
          <w:lang w:val="fr-FR" w:bidi="ar-KW"/>
        </w:rPr>
        <w:t>en démontrer l</w:t>
      </w:r>
      <w:r w:rsidR="00680ADA" w:rsidRPr="00F1180D">
        <w:rPr>
          <w:lang w:val="fr-FR" w:bidi="ar-KW"/>
        </w:rPr>
        <w:t>’</w:t>
      </w:r>
      <w:r w:rsidR="000C6D4A" w:rsidRPr="00F1180D">
        <w:rPr>
          <w:lang w:val="fr-FR" w:bidi="ar-KW"/>
        </w:rPr>
        <w:t xml:space="preserve">existence par tout moyen de preuve. </w:t>
      </w:r>
    </w:p>
    <w:p w:rsidR="000C6D4A" w:rsidRPr="00F1180D" w:rsidRDefault="002870E5" w:rsidP="002870E5">
      <w:pPr>
        <w:pStyle w:val="H23G"/>
        <w:rPr>
          <w:bCs/>
          <w:rtl/>
          <w:lang w:val="fr-FR" w:bidi="fr-FR"/>
        </w:rPr>
      </w:pPr>
      <w:r w:rsidRPr="00F1180D">
        <w:rPr>
          <w:lang w:val="fr-FR" w:bidi="ar-KW"/>
        </w:rPr>
        <w:tab/>
      </w:r>
      <w:r w:rsidRPr="00F1180D">
        <w:rPr>
          <w:lang w:val="fr-FR" w:bidi="ar-KW"/>
        </w:rPr>
        <w:tab/>
      </w:r>
      <w:r w:rsidR="000C6D4A" w:rsidRPr="00F1180D">
        <w:rPr>
          <w:lang w:val="fr-FR" w:bidi="ar-KW"/>
        </w:rPr>
        <w:t>Rémunération</w:t>
      </w:r>
    </w:p>
    <w:p w:rsidR="000C6D4A" w:rsidRPr="00F1180D" w:rsidRDefault="00BC37A2" w:rsidP="00680ADA">
      <w:pPr>
        <w:pStyle w:val="SingleTxtG"/>
        <w:rPr>
          <w:lang w:val="fr-FR" w:bidi="ar-KW"/>
        </w:rPr>
      </w:pPr>
      <w:r>
        <w:rPr>
          <w:lang w:val="fr-FR" w:bidi="ar-KW"/>
        </w:rPr>
        <w:t>57.</w:t>
      </w:r>
      <w:r>
        <w:rPr>
          <w:lang w:val="fr-FR" w:bidi="ar-KW"/>
        </w:rPr>
        <w:tab/>
      </w:r>
      <w:r w:rsidR="000C6D4A" w:rsidRPr="00F1180D">
        <w:rPr>
          <w:lang w:val="fr-FR" w:bidi="ar-KW"/>
        </w:rPr>
        <w:t>Au sens de la loi</w:t>
      </w:r>
      <w:r w:rsidR="00680ADA" w:rsidRPr="00F1180D">
        <w:rPr>
          <w:lang w:val="fr-FR" w:bidi="ar-KW"/>
        </w:rPr>
        <w:t>,</w:t>
      </w:r>
      <w:r w:rsidR="000C6D4A" w:rsidRPr="00F1180D">
        <w:rPr>
          <w:lang w:val="fr-FR" w:bidi="ar-KW"/>
        </w:rPr>
        <w:t xml:space="preserve"> le terme </w:t>
      </w:r>
      <w:r w:rsidR="00680ADA" w:rsidRPr="00F1180D">
        <w:rPr>
          <w:lang w:val="fr-FR" w:bidi="ar-KW"/>
        </w:rPr>
        <w:t>«</w:t>
      </w:r>
      <w:r w:rsidR="000C6D4A" w:rsidRPr="00F1180D">
        <w:rPr>
          <w:lang w:val="fr-FR" w:bidi="ar-KW"/>
        </w:rPr>
        <w:t>rémunération</w:t>
      </w:r>
      <w:r w:rsidR="00680ADA" w:rsidRPr="00F1180D">
        <w:rPr>
          <w:lang w:val="fr-FR" w:bidi="ar-KW"/>
        </w:rPr>
        <w:t>»</w:t>
      </w:r>
      <w:r w:rsidR="000C6D4A" w:rsidRPr="00F1180D">
        <w:rPr>
          <w:lang w:val="fr-FR" w:bidi="ar-KW"/>
        </w:rPr>
        <w:t xml:space="preserve"> désigne non seulement le salaire de base perçu ou devant être perçu par l</w:t>
      </w:r>
      <w:r w:rsidR="00680ADA" w:rsidRPr="00F1180D">
        <w:rPr>
          <w:lang w:val="fr-FR" w:bidi="ar-KW"/>
        </w:rPr>
        <w:t>’</w:t>
      </w:r>
      <w:r w:rsidR="000C6D4A" w:rsidRPr="00F1180D">
        <w:rPr>
          <w:lang w:val="fr-FR" w:bidi="ar-KW"/>
        </w:rPr>
        <w:t>employé en contrepartie ou à l</w:t>
      </w:r>
      <w:r w:rsidR="00680ADA" w:rsidRPr="00F1180D">
        <w:rPr>
          <w:lang w:val="fr-FR" w:bidi="ar-KW"/>
        </w:rPr>
        <w:t>’</w:t>
      </w:r>
      <w:r w:rsidR="000C6D4A" w:rsidRPr="00F1180D">
        <w:rPr>
          <w:lang w:val="fr-FR" w:bidi="ar-KW"/>
        </w:rPr>
        <w:t>occasion de son travail</w:t>
      </w:r>
      <w:r w:rsidR="00680ADA" w:rsidRPr="00F1180D">
        <w:rPr>
          <w:lang w:val="fr-FR" w:bidi="ar-KW"/>
        </w:rPr>
        <w:t>,</w:t>
      </w:r>
      <w:r w:rsidR="000C6D4A" w:rsidRPr="00F1180D">
        <w:rPr>
          <w:lang w:val="fr-FR" w:bidi="ar-KW"/>
        </w:rPr>
        <w:t xml:space="preserve"> mais également toutes les sommes supplémentaires prévues par le contrat de travail et les règlements de l</w:t>
      </w:r>
      <w:r w:rsidR="00680ADA" w:rsidRPr="00F1180D">
        <w:rPr>
          <w:lang w:val="fr-FR" w:bidi="ar-KW"/>
        </w:rPr>
        <w:t>’</w:t>
      </w:r>
      <w:r w:rsidR="000C6D4A" w:rsidRPr="00F1180D">
        <w:rPr>
          <w:lang w:val="fr-FR" w:bidi="ar-KW"/>
        </w:rPr>
        <w:t>entreprise</w:t>
      </w:r>
      <w:r w:rsidR="00680ADA" w:rsidRPr="00F1180D">
        <w:rPr>
          <w:lang w:val="fr-FR" w:bidi="ar-KW"/>
        </w:rPr>
        <w:t>,</w:t>
      </w:r>
      <w:r w:rsidR="000C6D4A" w:rsidRPr="00F1180D">
        <w:rPr>
          <w:lang w:val="fr-FR" w:bidi="ar-KW"/>
        </w:rPr>
        <w:t xml:space="preserve"> ainsi que les montants perçus périodiquement par l</w:t>
      </w:r>
      <w:r w:rsidR="00680ADA" w:rsidRPr="00F1180D">
        <w:rPr>
          <w:lang w:val="fr-FR" w:bidi="ar-KW"/>
        </w:rPr>
        <w:t>’</w:t>
      </w:r>
      <w:r w:rsidR="000C6D4A" w:rsidRPr="00F1180D">
        <w:rPr>
          <w:lang w:val="fr-FR" w:bidi="ar-KW"/>
        </w:rPr>
        <w:t>employé sous forme d</w:t>
      </w:r>
      <w:r w:rsidR="00680ADA" w:rsidRPr="00F1180D">
        <w:rPr>
          <w:lang w:val="fr-FR" w:bidi="ar-KW"/>
        </w:rPr>
        <w:t>’</w:t>
      </w:r>
      <w:r w:rsidR="000C6D4A" w:rsidRPr="00F1180D">
        <w:rPr>
          <w:lang w:val="fr-FR" w:bidi="ar-KW"/>
        </w:rPr>
        <w:t>indemnités</w:t>
      </w:r>
      <w:r w:rsidR="00680ADA" w:rsidRPr="00F1180D">
        <w:rPr>
          <w:lang w:val="fr-FR" w:bidi="ar-KW"/>
        </w:rPr>
        <w:t>,</w:t>
      </w:r>
      <w:r w:rsidR="000C6D4A" w:rsidRPr="00F1180D">
        <w:rPr>
          <w:lang w:val="fr-FR" w:bidi="ar-KW"/>
        </w:rPr>
        <w:t xml:space="preserve"> de bonus</w:t>
      </w:r>
      <w:r w:rsidR="00680ADA" w:rsidRPr="00F1180D">
        <w:rPr>
          <w:lang w:val="fr-FR" w:bidi="ar-KW"/>
        </w:rPr>
        <w:t>,</w:t>
      </w:r>
      <w:r w:rsidR="000C6D4A" w:rsidRPr="00F1180D">
        <w:rPr>
          <w:lang w:val="fr-FR" w:bidi="ar-KW"/>
        </w:rPr>
        <w:t xml:space="preserve"> de commissions</w:t>
      </w:r>
      <w:r w:rsidR="00680ADA" w:rsidRPr="00F1180D">
        <w:rPr>
          <w:lang w:val="fr-FR" w:bidi="ar-KW"/>
        </w:rPr>
        <w:t>,</w:t>
      </w:r>
      <w:r w:rsidR="000C6D4A" w:rsidRPr="00F1180D">
        <w:rPr>
          <w:lang w:val="fr-FR" w:bidi="ar-KW"/>
        </w:rPr>
        <w:t xml:space="preserve"> de primes</w:t>
      </w:r>
      <w:r w:rsidR="00680ADA" w:rsidRPr="00F1180D">
        <w:rPr>
          <w:lang w:val="fr-FR" w:bidi="ar-KW"/>
        </w:rPr>
        <w:t>,</w:t>
      </w:r>
      <w:r w:rsidR="000C6D4A" w:rsidRPr="00F1180D">
        <w:rPr>
          <w:lang w:val="fr-FR" w:bidi="ar-KW"/>
        </w:rPr>
        <w:t xml:space="preserve"> de gratifications ou de dons en espèces</w:t>
      </w:r>
      <w:r w:rsidR="00680ADA" w:rsidRPr="00F1180D">
        <w:rPr>
          <w:lang w:val="fr-FR" w:bidi="ar-KW"/>
        </w:rPr>
        <w:t>,</w:t>
      </w:r>
      <w:r w:rsidR="000C6D4A" w:rsidRPr="00F1180D">
        <w:rPr>
          <w:lang w:val="fr-FR" w:bidi="ar-KW"/>
        </w:rPr>
        <w:t xml:space="preserve"> y compris les avantages accordés au titre du </w:t>
      </w:r>
      <w:r w:rsidR="00680ADA" w:rsidRPr="00F1180D">
        <w:rPr>
          <w:lang w:val="fr-FR" w:bidi="ar-KW"/>
        </w:rPr>
        <w:t>«</w:t>
      </w:r>
      <w:r w:rsidR="000C6D4A" w:rsidRPr="00F1180D">
        <w:rPr>
          <w:lang w:val="fr-FR" w:bidi="ar-KW"/>
        </w:rPr>
        <w:t>soutien à la main d</w:t>
      </w:r>
      <w:r w:rsidR="00680ADA" w:rsidRPr="00F1180D">
        <w:rPr>
          <w:lang w:val="fr-FR" w:bidi="ar-KW"/>
        </w:rPr>
        <w:t>’</w:t>
      </w:r>
      <w:r w:rsidR="00823836" w:rsidRPr="00F1180D">
        <w:rPr>
          <w:lang w:val="fr-FR" w:bidi="ar-KW"/>
        </w:rPr>
        <w:t>œuvre</w:t>
      </w:r>
      <w:r w:rsidR="000C6D4A" w:rsidRPr="00F1180D">
        <w:rPr>
          <w:lang w:val="fr-FR" w:bidi="ar-KW"/>
        </w:rPr>
        <w:t xml:space="preserve"> nationale</w:t>
      </w:r>
      <w:r w:rsidR="00680ADA" w:rsidRPr="00F1180D">
        <w:rPr>
          <w:lang w:val="fr-FR" w:bidi="ar-KW"/>
        </w:rPr>
        <w:t>»</w:t>
      </w:r>
      <w:r w:rsidR="000C6D4A" w:rsidRPr="00F1180D">
        <w:rPr>
          <w:lang w:val="fr-FR" w:bidi="ar-KW"/>
        </w:rPr>
        <w:t>. Cette définition large illustre le souci du législateur d</w:t>
      </w:r>
      <w:r w:rsidR="00680ADA" w:rsidRPr="00F1180D">
        <w:rPr>
          <w:lang w:val="fr-FR" w:bidi="ar-KW"/>
        </w:rPr>
        <w:t>’</w:t>
      </w:r>
      <w:r w:rsidR="000C6D4A" w:rsidRPr="00F1180D">
        <w:rPr>
          <w:lang w:val="fr-FR" w:bidi="ar-KW"/>
        </w:rPr>
        <w:t>identifier de manière claire et non équivoque la notion de rémunération</w:t>
      </w:r>
      <w:r w:rsidR="00680ADA" w:rsidRPr="00F1180D">
        <w:rPr>
          <w:lang w:val="fr-FR" w:bidi="ar-KW"/>
        </w:rPr>
        <w:t>,</w:t>
      </w:r>
      <w:r w:rsidR="000C6D4A" w:rsidRPr="00F1180D">
        <w:rPr>
          <w:lang w:val="fr-FR" w:bidi="ar-KW"/>
        </w:rPr>
        <w:t xml:space="preserve"> en y intégrant tous les éléments financiers pertinents</w:t>
      </w:r>
      <w:r w:rsidR="00680ADA" w:rsidRPr="00F1180D">
        <w:rPr>
          <w:lang w:val="fr-FR" w:bidi="ar-KW"/>
        </w:rPr>
        <w:t>,</w:t>
      </w:r>
      <w:r w:rsidR="000C6D4A" w:rsidRPr="00F1180D">
        <w:rPr>
          <w:lang w:val="fr-FR" w:bidi="ar-KW"/>
        </w:rPr>
        <w:t xml:space="preserve"> afin de garantir aux employés le droit à une rétribution satisfaisante. </w:t>
      </w:r>
    </w:p>
    <w:p w:rsidR="000C6D4A" w:rsidRPr="00F1180D" w:rsidRDefault="00BC37A2" w:rsidP="00680ADA">
      <w:pPr>
        <w:pStyle w:val="SingleTxtG"/>
        <w:rPr>
          <w:lang w:val="fr-FR" w:bidi="ar-KW"/>
        </w:rPr>
      </w:pPr>
      <w:r>
        <w:rPr>
          <w:lang w:val="fr-FR" w:bidi="ar-KW"/>
        </w:rPr>
        <w:t>58.</w:t>
      </w:r>
      <w:r>
        <w:rPr>
          <w:lang w:val="fr-FR" w:bidi="ar-KW"/>
        </w:rPr>
        <w:tab/>
      </w:r>
      <w:r w:rsidR="000C6D4A" w:rsidRPr="00F1180D">
        <w:rPr>
          <w:lang w:val="fr-FR" w:bidi="ar-KW"/>
        </w:rPr>
        <w:t>La loi a institué des principes garantissant l</w:t>
      </w:r>
      <w:r w:rsidR="00680ADA" w:rsidRPr="00F1180D">
        <w:rPr>
          <w:lang w:val="fr-FR" w:bidi="ar-KW"/>
        </w:rPr>
        <w:t>’</w:t>
      </w:r>
      <w:r w:rsidR="000C6D4A" w:rsidRPr="00F1180D">
        <w:rPr>
          <w:lang w:val="fr-FR" w:bidi="ar-KW"/>
        </w:rPr>
        <w:t>égalité et protégeant les travailleurs contre les abus ou tentatives d</w:t>
      </w:r>
      <w:r w:rsidR="00680ADA" w:rsidRPr="00F1180D">
        <w:rPr>
          <w:lang w:val="fr-FR" w:bidi="ar-KW"/>
        </w:rPr>
        <w:t>’</w:t>
      </w:r>
      <w:r w:rsidR="000C6D4A" w:rsidRPr="00F1180D">
        <w:rPr>
          <w:lang w:val="fr-FR" w:bidi="ar-KW"/>
        </w:rPr>
        <w:t>abus des employeurs en matière de rémunération</w:t>
      </w:r>
      <w:r w:rsidR="00680ADA" w:rsidRPr="00F1180D">
        <w:rPr>
          <w:lang w:val="fr-FR" w:bidi="ar-KW"/>
        </w:rPr>
        <w:t>,</w:t>
      </w:r>
      <w:r w:rsidR="000C6D4A" w:rsidRPr="00F1180D">
        <w:rPr>
          <w:lang w:val="fr-FR" w:bidi="ar-KW"/>
        </w:rPr>
        <w:t xml:space="preserve"> parmi lesquels les suivants</w:t>
      </w:r>
      <w:r w:rsidR="00680ADA" w:rsidRPr="00F1180D">
        <w:rPr>
          <w:lang w:val="fr-FR" w:bidi="ar-KW"/>
        </w:rPr>
        <w:t>:</w:t>
      </w:r>
    </w:p>
    <w:p w:rsidR="000C6D4A" w:rsidRPr="00F1180D" w:rsidRDefault="000C6D4A" w:rsidP="00D259F0">
      <w:pPr>
        <w:pStyle w:val="Bullet1G"/>
        <w:rPr>
          <w:rtl/>
          <w:lang w:val="fr-FR" w:bidi="fr-FR"/>
        </w:rPr>
      </w:pPr>
      <w:r w:rsidRPr="00F1180D">
        <w:rPr>
          <w:lang w:val="fr-FR" w:bidi="ar-KW"/>
        </w:rPr>
        <w:t>Tout travail mérite salaire</w:t>
      </w:r>
      <w:r w:rsidR="00D259F0" w:rsidRPr="00F1180D">
        <w:rPr>
          <w:lang w:val="fr-FR" w:bidi="ar-KW"/>
        </w:rPr>
        <w:t>;</w:t>
      </w:r>
    </w:p>
    <w:p w:rsidR="000C6D4A" w:rsidRPr="00F1180D" w:rsidRDefault="000C6D4A" w:rsidP="00D259F0">
      <w:pPr>
        <w:pStyle w:val="Bullet1G"/>
        <w:rPr>
          <w:lang w:val="fr-FR" w:bidi="ar-KW"/>
        </w:rPr>
      </w:pPr>
      <w:r w:rsidRPr="00F1180D">
        <w:rPr>
          <w:lang w:val="fr-FR" w:bidi="ar-KW"/>
        </w:rPr>
        <w:t>La femme a droit à la même rémunération que l</w:t>
      </w:r>
      <w:r w:rsidR="00680ADA" w:rsidRPr="00F1180D">
        <w:rPr>
          <w:lang w:val="fr-FR" w:bidi="ar-KW"/>
        </w:rPr>
        <w:t>’</w:t>
      </w:r>
      <w:r w:rsidRPr="00F1180D">
        <w:rPr>
          <w:lang w:val="fr-FR" w:bidi="ar-KW"/>
        </w:rPr>
        <w:t>homme lorsqu</w:t>
      </w:r>
      <w:r w:rsidR="00680ADA" w:rsidRPr="00F1180D">
        <w:rPr>
          <w:lang w:val="fr-FR" w:bidi="ar-KW"/>
        </w:rPr>
        <w:t>’</w:t>
      </w:r>
      <w:r w:rsidRPr="00F1180D">
        <w:rPr>
          <w:lang w:val="fr-FR" w:bidi="ar-KW"/>
        </w:rPr>
        <w:t>elle accomplit un travail de valeur égale</w:t>
      </w:r>
      <w:r w:rsidR="00D259F0" w:rsidRPr="00F1180D">
        <w:rPr>
          <w:lang w:val="fr-FR" w:bidi="ar-KW"/>
        </w:rPr>
        <w:t>;</w:t>
      </w:r>
    </w:p>
    <w:p w:rsidR="000C6D4A" w:rsidRPr="00F1180D" w:rsidRDefault="000C6D4A" w:rsidP="00D259F0">
      <w:pPr>
        <w:pStyle w:val="Bullet1G"/>
        <w:rPr>
          <w:lang w:val="fr-FR" w:bidi="ar-KW"/>
        </w:rPr>
      </w:pPr>
      <w:r w:rsidRPr="00F1180D">
        <w:rPr>
          <w:lang w:val="fr-FR" w:bidi="ar-KW"/>
        </w:rPr>
        <w:t>Il est interdit de réduire la rémunération du travailleur pendant la durée du contrat de travail et tout accord antérieur ou postérieur dérogeant à ce principe est considéré nul de plein droit</w:t>
      </w:r>
      <w:r w:rsidR="00680ADA" w:rsidRPr="00F1180D">
        <w:rPr>
          <w:lang w:val="fr-FR" w:bidi="ar-KW"/>
        </w:rPr>
        <w:t>,</w:t>
      </w:r>
      <w:r w:rsidRPr="00F1180D">
        <w:rPr>
          <w:lang w:val="fr-FR" w:bidi="ar-KW"/>
        </w:rPr>
        <w:t xml:space="preserve"> pour violation d</w:t>
      </w:r>
      <w:r w:rsidR="00680ADA" w:rsidRPr="00F1180D">
        <w:rPr>
          <w:lang w:val="fr-FR" w:bidi="ar-KW"/>
        </w:rPr>
        <w:t>’</w:t>
      </w:r>
      <w:r w:rsidRPr="00F1180D">
        <w:rPr>
          <w:lang w:val="fr-FR" w:bidi="ar-KW"/>
        </w:rPr>
        <w:t>une disposition d</w:t>
      </w:r>
      <w:r w:rsidR="00680ADA" w:rsidRPr="00F1180D">
        <w:rPr>
          <w:lang w:val="fr-FR" w:bidi="ar-KW"/>
        </w:rPr>
        <w:t>’</w:t>
      </w:r>
      <w:r w:rsidRPr="00F1180D">
        <w:rPr>
          <w:lang w:val="fr-FR" w:bidi="ar-KW"/>
        </w:rPr>
        <w:t>ordre public</w:t>
      </w:r>
      <w:r w:rsidR="00D259F0" w:rsidRPr="00F1180D">
        <w:rPr>
          <w:lang w:val="fr-FR" w:bidi="ar-KW"/>
        </w:rPr>
        <w:t>;</w:t>
      </w:r>
      <w:r w:rsidRPr="00F1180D">
        <w:rPr>
          <w:lang w:val="fr-FR" w:bidi="ar-KW"/>
        </w:rPr>
        <w:t xml:space="preserve"> </w:t>
      </w:r>
    </w:p>
    <w:p w:rsidR="000C6D4A" w:rsidRPr="00F1180D" w:rsidRDefault="000C6D4A" w:rsidP="00D259F0">
      <w:pPr>
        <w:pStyle w:val="Bullet1G"/>
        <w:rPr>
          <w:lang w:val="fr-FR" w:bidi="ar-KW"/>
        </w:rPr>
      </w:pPr>
      <w:r w:rsidRPr="00F1180D">
        <w:rPr>
          <w:lang w:val="fr-FR" w:bidi="ar-KW"/>
        </w:rPr>
        <w:t>Il est interdit de retenir plus de 10</w:t>
      </w:r>
      <w:r w:rsidR="00D259F0" w:rsidRPr="00F1180D">
        <w:rPr>
          <w:lang w:val="fr-FR" w:bidi="ar-KW"/>
        </w:rPr>
        <w:t> %</w:t>
      </w:r>
      <w:r w:rsidRPr="00F1180D">
        <w:rPr>
          <w:lang w:val="fr-FR" w:bidi="ar-KW"/>
        </w:rPr>
        <w:t xml:space="preserve"> du salaire à raison de dettes ou d</w:t>
      </w:r>
      <w:r w:rsidR="00680ADA" w:rsidRPr="00F1180D">
        <w:rPr>
          <w:lang w:val="fr-FR" w:bidi="ar-KW"/>
        </w:rPr>
        <w:t>’</w:t>
      </w:r>
      <w:r w:rsidRPr="00F1180D">
        <w:rPr>
          <w:lang w:val="fr-FR" w:bidi="ar-KW"/>
        </w:rPr>
        <w:t>emprunts contractés auprès de l</w:t>
      </w:r>
      <w:r w:rsidR="00680ADA" w:rsidRPr="00F1180D">
        <w:rPr>
          <w:lang w:val="fr-FR" w:bidi="ar-KW"/>
        </w:rPr>
        <w:t>’</w:t>
      </w:r>
      <w:r w:rsidRPr="00F1180D">
        <w:rPr>
          <w:lang w:val="fr-FR" w:bidi="ar-KW"/>
        </w:rPr>
        <w:t>employeur</w:t>
      </w:r>
      <w:r w:rsidR="00D259F0" w:rsidRPr="00F1180D">
        <w:rPr>
          <w:lang w:val="fr-FR" w:bidi="ar-KW"/>
        </w:rPr>
        <w:t>;</w:t>
      </w:r>
      <w:r w:rsidRPr="00F1180D">
        <w:rPr>
          <w:lang w:val="fr-FR" w:bidi="ar-KW"/>
        </w:rPr>
        <w:t xml:space="preserve"> </w:t>
      </w:r>
    </w:p>
    <w:p w:rsidR="000C6D4A" w:rsidRPr="00F1180D" w:rsidRDefault="000C6D4A" w:rsidP="00D259F0">
      <w:pPr>
        <w:pStyle w:val="Bullet1G"/>
        <w:rPr>
          <w:lang w:val="fr-FR" w:bidi="ar-KW"/>
        </w:rPr>
      </w:pPr>
      <w:r w:rsidRPr="00F1180D">
        <w:rPr>
          <w:lang w:val="fr-FR" w:bidi="ar-KW"/>
        </w:rPr>
        <w:t>Il est interdit de procéder à des retenues sur salaire ou d</w:t>
      </w:r>
      <w:r w:rsidR="00680ADA" w:rsidRPr="00F1180D">
        <w:rPr>
          <w:lang w:val="fr-FR" w:bidi="ar-KW"/>
        </w:rPr>
        <w:t>’</w:t>
      </w:r>
      <w:r w:rsidRPr="00F1180D">
        <w:rPr>
          <w:lang w:val="fr-FR" w:bidi="ar-KW"/>
        </w:rPr>
        <w:t>en prélever une partie supérieure à 25</w:t>
      </w:r>
      <w:r w:rsidR="00D259F0" w:rsidRPr="00F1180D">
        <w:rPr>
          <w:lang w:val="fr-FR" w:bidi="ar-KW"/>
        </w:rPr>
        <w:t> %</w:t>
      </w:r>
      <w:r w:rsidRPr="00F1180D">
        <w:rPr>
          <w:lang w:val="fr-FR" w:bidi="ar-KW"/>
        </w:rPr>
        <w:t>.</w:t>
      </w:r>
    </w:p>
    <w:p w:rsidR="000C6D4A" w:rsidRPr="00F1180D" w:rsidRDefault="00D259F0" w:rsidP="00D259F0">
      <w:pPr>
        <w:pStyle w:val="H23G"/>
        <w:rPr>
          <w:bCs/>
          <w:rtl/>
          <w:lang w:val="fr-FR" w:bidi="fr-FR"/>
        </w:rPr>
      </w:pPr>
      <w:r w:rsidRPr="00F1180D">
        <w:rPr>
          <w:lang w:val="fr-FR" w:bidi="ar-KW"/>
        </w:rPr>
        <w:tab/>
      </w:r>
      <w:r w:rsidRPr="00F1180D">
        <w:rPr>
          <w:lang w:val="fr-FR" w:bidi="ar-KW"/>
        </w:rPr>
        <w:tab/>
      </w:r>
      <w:r w:rsidR="000C6D4A" w:rsidRPr="00F1180D">
        <w:rPr>
          <w:lang w:val="fr-FR" w:bidi="ar-KW"/>
        </w:rPr>
        <w:t>Durée du travail et repos hebdomadaire</w:t>
      </w:r>
    </w:p>
    <w:p w:rsidR="000C6D4A" w:rsidRPr="00F1180D" w:rsidRDefault="00BC37A2" w:rsidP="002C7BC5">
      <w:pPr>
        <w:pStyle w:val="SingleTxtG"/>
        <w:keepNext/>
        <w:rPr>
          <w:lang w:val="fr-FR" w:bidi="ar-KW"/>
        </w:rPr>
      </w:pPr>
      <w:r>
        <w:rPr>
          <w:lang w:val="fr-FR" w:bidi="ar-KW"/>
        </w:rPr>
        <w:t>59.</w:t>
      </w:r>
      <w:r>
        <w:rPr>
          <w:lang w:val="fr-FR" w:bidi="ar-KW"/>
        </w:rPr>
        <w:tab/>
      </w:r>
      <w:r w:rsidR="000C6D4A" w:rsidRPr="00F1180D">
        <w:rPr>
          <w:lang w:val="fr-FR" w:bidi="ar-KW"/>
        </w:rPr>
        <w:t>La loi fixe les durées de travail maximales quotidiennes et hebdomadaires et les</w:t>
      </w:r>
      <w:r w:rsidR="00A21A0B" w:rsidRPr="00F1180D">
        <w:rPr>
          <w:lang w:val="fr-FR" w:bidi="ar-KW"/>
        </w:rPr>
        <w:t xml:space="preserve"> </w:t>
      </w:r>
      <w:r w:rsidR="00B2614C" w:rsidRPr="00F1180D">
        <w:rPr>
          <w:lang w:val="fr-FR" w:bidi="ar-KW"/>
        </w:rPr>
        <w:t>jours</w:t>
      </w:r>
      <w:r w:rsidR="000C6D4A" w:rsidRPr="00F1180D">
        <w:rPr>
          <w:lang w:val="fr-FR" w:bidi="ar-KW"/>
        </w:rPr>
        <w:t xml:space="preserve"> de repos</w:t>
      </w:r>
      <w:r w:rsidR="00680ADA" w:rsidRPr="00F1180D">
        <w:rPr>
          <w:lang w:val="fr-FR" w:bidi="ar-KW"/>
        </w:rPr>
        <w:t>,</w:t>
      </w:r>
      <w:r w:rsidR="000C6D4A" w:rsidRPr="00F1180D">
        <w:rPr>
          <w:lang w:val="fr-FR" w:bidi="ar-KW"/>
        </w:rPr>
        <w:t xml:space="preserve"> de même qu</w:t>
      </w:r>
      <w:r w:rsidR="00680ADA" w:rsidRPr="00F1180D">
        <w:rPr>
          <w:lang w:val="fr-FR" w:bidi="ar-KW"/>
        </w:rPr>
        <w:t>’</w:t>
      </w:r>
      <w:r w:rsidR="000C6D4A" w:rsidRPr="00F1180D">
        <w:rPr>
          <w:lang w:val="fr-FR" w:bidi="ar-KW"/>
        </w:rPr>
        <w:t>elle réglemente les</w:t>
      </w:r>
      <w:r w:rsidR="002C7BC5" w:rsidRPr="00F1180D">
        <w:rPr>
          <w:lang w:val="fr-FR" w:bidi="ar-KW"/>
        </w:rPr>
        <w:t> heures</w:t>
      </w:r>
      <w:r w:rsidR="000C6D4A" w:rsidRPr="00F1180D">
        <w:rPr>
          <w:lang w:val="fr-FR" w:bidi="ar-KW"/>
        </w:rPr>
        <w:t xml:space="preserve"> supplémentaires et leur rétribution</w:t>
      </w:r>
      <w:r w:rsidR="00680ADA" w:rsidRPr="00F1180D">
        <w:rPr>
          <w:lang w:val="fr-FR" w:bidi="ar-KW"/>
        </w:rPr>
        <w:t>,</w:t>
      </w:r>
      <w:r w:rsidR="000C6D4A" w:rsidRPr="00F1180D">
        <w:rPr>
          <w:lang w:val="fr-FR" w:bidi="ar-KW"/>
        </w:rPr>
        <w:t xml:space="preserve"> traduisant le souci du législateur de protéger le travailleur et son droit au travail et à une rémunération équitable</w:t>
      </w:r>
      <w:r w:rsidR="00680ADA" w:rsidRPr="00F1180D">
        <w:rPr>
          <w:lang w:val="fr-FR" w:bidi="ar-KW"/>
        </w:rPr>
        <w:t>,</w:t>
      </w:r>
      <w:r w:rsidR="000C6D4A" w:rsidRPr="00F1180D">
        <w:rPr>
          <w:lang w:val="fr-FR" w:bidi="ar-KW"/>
        </w:rPr>
        <w:t xml:space="preserve"> comme l</w:t>
      </w:r>
      <w:r w:rsidR="00680ADA" w:rsidRPr="00F1180D">
        <w:rPr>
          <w:lang w:val="fr-FR" w:bidi="ar-KW"/>
        </w:rPr>
        <w:t>’</w:t>
      </w:r>
      <w:r w:rsidR="000C6D4A" w:rsidRPr="00F1180D">
        <w:rPr>
          <w:lang w:val="fr-FR" w:bidi="ar-KW"/>
        </w:rPr>
        <w:t>attestent clairement les dispositions suivantes</w:t>
      </w:r>
      <w:r w:rsidR="00680ADA" w:rsidRPr="00F1180D">
        <w:rPr>
          <w:lang w:val="fr-FR" w:bidi="ar-KW"/>
        </w:rPr>
        <w:t>:</w:t>
      </w:r>
    </w:p>
    <w:p w:rsidR="000C6D4A" w:rsidRPr="00F1180D" w:rsidRDefault="000C6D4A" w:rsidP="00D259F0">
      <w:pPr>
        <w:pStyle w:val="Bullet1G"/>
        <w:rPr>
          <w:rtl/>
          <w:lang w:val="fr-FR" w:bidi="fr-FR"/>
        </w:rPr>
      </w:pPr>
      <w:r w:rsidRPr="00F1180D">
        <w:rPr>
          <w:lang w:val="fr-FR" w:bidi="ar-KW"/>
        </w:rPr>
        <w:t>Il est interdit de faire travailler un salarié plus de 48</w:t>
      </w:r>
      <w:r w:rsidR="002C7BC5" w:rsidRPr="00F1180D">
        <w:rPr>
          <w:lang w:val="fr-FR" w:bidi="ar-KW"/>
        </w:rPr>
        <w:t> heures</w:t>
      </w:r>
      <w:r w:rsidRPr="00F1180D">
        <w:rPr>
          <w:lang w:val="fr-FR" w:bidi="ar-KW"/>
        </w:rPr>
        <w:t xml:space="preserve"> par semaine et 8</w:t>
      </w:r>
      <w:r w:rsidR="002C7BC5" w:rsidRPr="00F1180D">
        <w:rPr>
          <w:lang w:val="fr-FR" w:bidi="ar-KW"/>
        </w:rPr>
        <w:t> heures</w:t>
      </w:r>
      <w:r w:rsidRPr="00F1180D">
        <w:rPr>
          <w:lang w:val="fr-FR" w:bidi="ar-KW"/>
        </w:rPr>
        <w:t xml:space="preserve"> par jour</w:t>
      </w:r>
      <w:r w:rsidR="00680ADA" w:rsidRPr="00F1180D">
        <w:rPr>
          <w:lang w:val="fr-FR" w:bidi="ar-KW"/>
        </w:rPr>
        <w:t>,</w:t>
      </w:r>
      <w:r w:rsidRPr="00F1180D">
        <w:rPr>
          <w:lang w:val="fr-FR" w:bidi="ar-KW"/>
        </w:rPr>
        <w:t xml:space="preserve"> sauf dans les cas prévus par la loi</w:t>
      </w:r>
      <w:r w:rsidR="00680ADA" w:rsidRPr="00F1180D">
        <w:rPr>
          <w:lang w:val="fr-FR" w:bidi="ar-KW"/>
        </w:rPr>
        <w:t>,</w:t>
      </w:r>
      <w:r w:rsidRPr="00F1180D">
        <w:rPr>
          <w:lang w:val="fr-FR" w:bidi="ar-KW"/>
        </w:rPr>
        <w:t xml:space="preserve"> étant précisé que pendant le mois de ramadan</w:t>
      </w:r>
      <w:r w:rsidR="00680ADA" w:rsidRPr="00F1180D">
        <w:rPr>
          <w:lang w:val="fr-FR" w:bidi="ar-KW"/>
        </w:rPr>
        <w:t>,</w:t>
      </w:r>
      <w:r w:rsidRPr="00F1180D">
        <w:rPr>
          <w:lang w:val="fr-FR" w:bidi="ar-KW"/>
        </w:rPr>
        <w:t xml:space="preserve"> cette durée est fixée à 36</w:t>
      </w:r>
      <w:r w:rsidR="002C7BC5" w:rsidRPr="00F1180D">
        <w:rPr>
          <w:lang w:val="fr-FR" w:bidi="ar-KW"/>
        </w:rPr>
        <w:t> heures</w:t>
      </w:r>
      <w:r w:rsidRPr="00F1180D">
        <w:rPr>
          <w:lang w:val="fr-FR" w:bidi="ar-KW"/>
        </w:rPr>
        <w:t xml:space="preserve"> par semaine et qu</w:t>
      </w:r>
      <w:r w:rsidR="00680ADA" w:rsidRPr="00F1180D">
        <w:rPr>
          <w:lang w:val="fr-FR" w:bidi="ar-KW"/>
        </w:rPr>
        <w:t>’</w:t>
      </w:r>
      <w:r w:rsidRPr="00F1180D">
        <w:rPr>
          <w:lang w:val="fr-FR" w:bidi="ar-KW"/>
        </w:rPr>
        <w:t>il est en outre possible de réduire</w:t>
      </w:r>
      <w:r w:rsidR="00680ADA" w:rsidRPr="00F1180D">
        <w:rPr>
          <w:lang w:val="fr-FR" w:bidi="ar-KW"/>
        </w:rPr>
        <w:t>,</w:t>
      </w:r>
      <w:r w:rsidRPr="00F1180D">
        <w:rPr>
          <w:lang w:val="fr-FR" w:bidi="ar-KW"/>
        </w:rPr>
        <w:t xml:space="preserve"> par arrêté ministériel</w:t>
      </w:r>
      <w:r w:rsidR="00680ADA" w:rsidRPr="00F1180D">
        <w:rPr>
          <w:lang w:val="fr-FR" w:bidi="ar-KW"/>
        </w:rPr>
        <w:t>,</w:t>
      </w:r>
      <w:r w:rsidRPr="00F1180D">
        <w:rPr>
          <w:lang w:val="fr-FR" w:bidi="ar-KW"/>
        </w:rPr>
        <w:t xml:space="preserve"> le nombre d</w:t>
      </w:r>
      <w:r w:rsidR="00680ADA" w:rsidRPr="00F1180D">
        <w:rPr>
          <w:lang w:val="fr-FR" w:bidi="ar-KW"/>
        </w:rPr>
        <w:t>’</w:t>
      </w:r>
      <w:r w:rsidRPr="00F1180D">
        <w:rPr>
          <w:lang w:val="fr-FR" w:bidi="ar-KW"/>
        </w:rPr>
        <w:t>heures de travail en cas de travaux pénibles</w:t>
      </w:r>
      <w:r w:rsidR="00680ADA" w:rsidRPr="00F1180D">
        <w:rPr>
          <w:lang w:val="fr-FR" w:bidi="ar-KW"/>
        </w:rPr>
        <w:t>,</w:t>
      </w:r>
      <w:r w:rsidRPr="00F1180D">
        <w:rPr>
          <w:lang w:val="fr-FR" w:bidi="ar-KW"/>
        </w:rPr>
        <w:t xml:space="preserve"> nocifs pour la santé ou exécutés dans des conditions difficiles. </w:t>
      </w:r>
    </w:p>
    <w:p w:rsidR="000C6D4A" w:rsidRPr="00F1180D" w:rsidRDefault="000C6D4A" w:rsidP="00D259F0">
      <w:pPr>
        <w:pStyle w:val="Bullet1G"/>
        <w:rPr>
          <w:lang w:val="fr-FR" w:bidi="ar-KW"/>
        </w:rPr>
      </w:pPr>
      <w:r w:rsidRPr="00F1180D">
        <w:rPr>
          <w:lang w:val="fr-FR" w:bidi="ar-KW"/>
        </w:rPr>
        <w:t>Il est interdit de faire travailler un salarié de façon ininterrompue pendant une durée supérieure à cinq</w:t>
      </w:r>
      <w:r w:rsidR="002C7BC5" w:rsidRPr="00F1180D">
        <w:rPr>
          <w:lang w:val="fr-FR" w:bidi="ar-KW"/>
        </w:rPr>
        <w:t> heures</w:t>
      </w:r>
      <w:r w:rsidRPr="00F1180D">
        <w:rPr>
          <w:lang w:val="fr-FR" w:bidi="ar-KW"/>
        </w:rPr>
        <w:t xml:space="preserve"> successives sans une pause d</w:t>
      </w:r>
      <w:r w:rsidR="00680ADA" w:rsidRPr="00F1180D">
        <w:rPr>
          <w:lang w:val="fr-FR" w:bidi="ar-KW"/>
        </w:rPr>
        <w:t>’</w:t>
      </w:r>
      <w:r w:rsidRPr="00F1180D">
        <w:rPr>
          <w:lang w:val="fr-FR" w:bidi="ar-KW"/>
        </w:rPr>
        <w:t>au moins une heure</w:t>
      </w:r>
      <w:r w:rsidR="00680ADA" w:rsidRPr="00F1180D">
        <w:rPr>
          <w:lang w:val="fr-FR" w:bidi="ar-KW"/>
        </w:rPr>
        <w:t>,</w:t>
      </w:r>
      <w:r w:rsidRPr="00F1180D">
        <w:rPr>
          <w:lang w:val="fr-FR" w:bidi="ar-KW"/>
        </w:rPr>
        <w:t xml:space="preserve"> étant précisé que les pauses ne sont pas comptées comme du temps de travail effectif. </w:t>
      </w:r>
    </w:p>
    <w:p w:rsidR="000C6D4A" w:rsidRPr="00F1180D" w:rsidRDefault="000C6D4A" w:rsidP="00D259F0">
      <w:pPr>
        <w:pStyle w:val="Bullet1G"/>
        <w:rPr>
          <w:lang w:val="fr-FR" w:bidi="ar-KW"/>
        </w:rPr>
      </w:pPr>
      <w:r w:rsidRPr="00F1180D">
        <w:rPr>
          <w:lang w:val="fr-FR" w:bidi="ar-KW"/>
        </w:rPr>
        <w:t>L</w:t>
      </w:r>
      <w:r w:rsidR="00680ADA" w:rsidRPr="00F1180D">
        <w:rPr>
          <w:lang w:val="fr-FR" w:bidi="ar-KW"/>
        </w:rPr>
        <w:t>’</w:t>
      </w:r>
      <w:r w:rsidRPr="00F1180D">
        <w:rPr>
          <w:lang w:val="fr-FR" w:bidi="ar-KW"/>
        </w:rPr>
        <w:t>employeur peut; par écrit; demander au salarié d</w:t>
      </w:r>
      <w:r w:rsidR="00680ADA" w:rsidRPr="00F1180D">
        <w:rPr>
          <w:lang w:val="fr-FR" w:bidi="ar-KW"/>
        </w:rPr>
        <w:t>’</w:t>
      </w:r>
      <w:r w:rsidRPr="00F1180D">
        <w:rPr>
          <w:lang w:val="fr-FR" w:bidi="ar-KW"/>
        </w:rPr>
        <w:t>effectuer des</w:t>
      </w:r>
      <w:r w:rsidR="002C7BC5" w:rsidRPr="00F1180D">
        <w:rPr>
          <w:lang w:val="fr-FR" w:bidi="ar-KW"/>
        </w:rPr>
        <w:t> heures</w:t>
      </w:r>
      <w:r w:rsidRPr="00F1180D">
        <w:rPr>
          <w:lang w:val="fr-FR" w:bidi="ar-KW"/>
        </w:rPr>
        <w:t xml:space="preserve"> supplémentaires si les conditions l</w:t>
      </w:r>
      <w:r w:rsidR="00680ADA" w:rsidRPr="00F1180D">
        <w:rPr>
          <w:lang w:val="fr-FR" w:bidi="ar-KW"/>
        </w:rPr>
        <w:t>’</w:t>
      </w:r>
      <w:r w:rsidRPr="00F1180D">
        <w:rPr>
          <w:lang w:val="fr-FR" w:bidi="ar-KW"/>
        </w:rPr>
        <w:t>exigent pour prévenir un accident grave ou en réparer les conséquences.</w:t>
      </w:r>
    </w:p>
    <w:p w:rsidR="000C6D4A" w:rsidRPr="00F1180D" w:rsidRDefault="000C6D4A" w:rsidP="00D259F0">
      <w:pPr>
        <w:pStyle w:val="Bullet1G"/>
        <w:rPr>
          <w:lang w:val="fr-FR" w:bidi="ar-KW"/>
        </w:rPr>
      </w:pPr>
      <w:r w:rsidRPr="00F1180D">
        <w:rPr>
          <w:lang w:val="fr-FR" w:bidi="ar-KW"/>
        </w:rPr>
        <w:t>Le nombre d</w:t>
      </w:r>
      <w:r w:rsidR="00680ADA" w:rsidRPr="00F1180D">
        <w:rPr>
          <w:lang w:val="fr-FR" w:bidi="ar-KW"/>
        </w:rPr>
        <w:t>’</w:t>
      </w:r>
      <w:r w:rsidRPr="00F1180D">
        <w:rPr>
          <w:lang w:val="fr-FR" w:bidi="ar-KW"/>
        </w:rPr>
        <w:t xml:space="preserve">heures supplémentaires ne doit pas dépasser une </w:t>
      </w:r>
      <w:r w:rsidR="00D259F0" w:rsidRPr="00F1180D">
        <w:rPr>
          <w:lang w:val="fr-FR" w:bidi="ar-KW"/>
        </w:rPr>
        <w:t>durée maximale de 2</w:t>
      </w:r>
      <w:r w:rsidR="002C7BC5" w:rsidRPr="00F1180D">
        <w:rPr>
          <w:lang w:val="fr-FR" w:bidi="ar-KW"/>
        </w:rPr>
        <w:t> heures</w:t>
      </w:r>
      <w:r w:rsidRPr="00F1180D">
        <w:rPr>
          <w:lang w:val="fr-FR" w:bidi="ar-KW"/>
        </w:rPr>
        <w:t xml:space="preserve"> par jour et de 180</w:t>
      </w:r>
      <w:r w:rsidR="002C7BC5" w:rsidRPr="00F1180D">
        <w:rPr>
          <w:lang w:val="fr-FR" w:bidi="ar-KW"/>
        </w:rPr>
        <w:t> heures</w:t>
      </w:r>
      <w:r w:rsidRPr="00F1180D">
        <w:rPr>
          <w:lang w:val="fr-FR" w:bidi="ar-KW"/>
        </w:rPr>
        <w:t xml:space="preserve"> par an.</w:t>
      </w:r>
    </w:p>
    <w:p w:rsidR="000C6D4A" w:rsidRPr="00F1180D" w:rsidRDefault="000C6D4A" w:rsidP="00D259F0">
      <w:pPr>
        <w:pStyle w:val="Bullet1G"/>
        <w:rPr>
          <w:lang w:val="fr-FR" w:bidi="ar-KW"/>
        </w:rPr>
      </w:pPr>
      <w:r w:rsidRPr="00F1180D">
        <w:rPr>
          <w:lang w:val="fr-FR" w:bidi="ar-KW"/>
        </w:rPr>
        <w:lastRenderedPageBreak/>
        <w:t>Le nombre d</w:t>
      </w:r>
      <w:r w:rsidR="00680ADA" w:rsidRPr="00F1180D">
        <w:rPr>
          <w:lang w:val="fr-FR" w:bidi="ar-KW"/>
        </w:rPr>
        <w:t>’</w:t>
      </w:r>
      <w:r w:rsidRPr="00F1180D">
        <w:rPr>
          <w:lang w:val="fr-FR" w:bidi="ar-KW"/>
        </w:rPr>
        <w:t>heures supplémentaires ne peut être autorisé au-delà d</w:t>
      </w:r>
      <w:r w:rsidR="00680ADA" w:rsidRPr="00F1180D">
        <w:rPr>
          <w:lang w:val="fr-FR" w:bidi="ar-KW"/>
        </w:rPr>
        <w:t>’</w:t>
      </w:r>
      <w:r w:rsidRPr="00F1180D">
        <w:rPr>
          <w:lang w:val="fr-FR" w:bidi="ar-KW"/>
        </w:rPr>
        <w:t>une période de 3</w:t>
      </w:r>
      <w:r w:rsidR="00B2614C" w:rsidRPr="00F1180D">
        <w:rPr>
          <w:lang w:val="fr-FR" w:bidi="ar-KW"/>
        </w:rPr>
        <w:t> jours</w:t>
      </w:r>
      <w:r w:rsidRPr="00F1180D">
        <w:rPr>
          <w:lang w:val="fr-FR" w:bidi="ar-KW"/>
        </w:rPr>
        <w:t xml:space="preserve"> par semaine et de 190</w:t>
      </w:r>
      <w:r w:rsidR="00B2614C" w:rsidRPr="00F1180D">
        <w:rPr>
          <w:lang w:val="fr-FR" w:bidi="ar-KW"/>
        </w:rPr>
        <w:t> jours</w:t>
      </w:r>
      <w:r w:rsidRPr="00F1180D">
        <w:rPr>
          <w:lang w:val="fr-FR" w:bidi="ar-KW"/>
        </w:rPr>
        <w:t xml:space="preserve"> par an.</w:t>
      </w:r>
    </w:p>
    <w:p w:rsidR="000C6D4A" w:rsidRPr="00F1180D" w:rsidRDefault="000C6D4A" w:rsidP="00D259F0">
      <w:pPr>
        <w:pStyle w:val="Bullet1G"/>
        <w:rPr>
          <w:lang w:val="fr-FR" w:bidi="ar-KW"/>
        </w:rPr>
      </w:pPr>
      <w:r w:rsidRPr="00F1180D">
        <w:rPr>
          <w:lang w:val="fr-FR" w:bidi="ar-KW"/>
        </w:rPr>
        <w:t>Le travailleur a droit à un repos hebdomadaire payé d</w:t>
      </w:r>
      <w:r w:rsidR="00680ADA" w:rsidRPr="00F1180D">
        <w:rPr>
          <w:lang w:val="fr-FR" w:bidi="ar-KW"/>
        </w:rPr>
        <w:t>’</w:t>
      </w:r>
      <w:r w:rsidRPr="00F1180D">
        <w:rPr>
          <w:lang w:val="fr-FR" w:bidi="ar-KW"/>
        </w:rPr>
        <w:t>au moins 24</w:t>
      </w:r>
      <w:r w:rsidR="002C7BC5" w:rsidRPr="00F1180D">
        <w:rPr>
          <w:lang w:val="fr-FR" w:bidi="ar-KW"/>
        </w:rPr>
        <w:t> heures</w:t>
      </w:r>
      <w:r w:rsidRPr="00F1180D">
        <w:rPr>
          <w:lang w:val="fr-FR" w:bidi="ar-KW"/>
        </w:rPr>
        <w:t xml:space="preserve"> consécutives à l</w:t>
      </w:r>
      <w:r w:rsidR="00680ADA" w:rsidRPr="00F1180D">
        <w:rPr>
          <w:lang w:val="fr-FR" w:bidi="ar-KW"/>
        </w:rPr>
        <w:t>’</w:t>
      </w:r>
      <w:r w:rsidRPr="00F1180D">
        <w:rPr>
          <w:lang w:val="fr-FR" w:bidi="ar-KW"/>
        </w:rPr>
        <w:t>issue d</w:t>
      </w:r>
      <w:r w:rsidR="00680ADA" w:rsidRPr="00F1180D">
        <w:rPr>
          <w:lang w:val="fr-FR" w:bidi="ar-KW"/>
        </w:rPr>
        <w:t>’</w:t>
      </w:r>
      <w:r w:rsidRPr="00F1180D">
        <w:rPr>
          <w:lang w:val="fr-FR" w:bidi="ar-KW"/>
        </w:rPr>
        <w:t>une période de travail de six</w:t>
      </w:r>
      <w:r w:rsidR="00B2614C" w:rsidRPr="00F1180D">
        <w:rPr>
          <w:lang w:val="fr-FR" w:bidi="ar-KW"/>
        </w:rPr>
        <w:t> jours</w:t>
      </w:r>
      <w:r w:rsidRPr="00F1180D">
        <w:rPr>
          <w:lang w:val="fr-FR" w:bidi="ar-KW"/>
        </w:rPr>
        <w:t xml:space="preserve"> successifs. Toutefois</w:t>
      </w:r>
      <w:r w:rsidR="00680ADA" w:rsidRPr="00F1180D">
        <w:rPr>
          <w:lang w:val="fr-FR" w:bidi="ar-KW"/>
        </w:rPr>
        <w:t>,</w:t>
      </w:r>
      <w:r w:rsidRPr="00F1180D">
        <w:rPr>
          <w:lang w:val="fr-FR" w:bidi="ar-KW"/>
        </w:rPr>
        <w:t xml:space="preserve"> en cas de nécessité</w:t>
      </w:r>
      <w:r w:rsidR="00680ADA" w:rsidRPr="00F1180D">
        <w:rPr>
          <w:lang w:val="fr-FR" w:bidi="ar-KW"/>
        </w:rPr>
        <w:t>,</w:t>
      </w:r>
      <w:r w:rsidRPr="00F1180D">
        <w:rPr>
          <w:lang w:val="fr-FR" w:bidi="ar-KW"/>
        </w:rPr>
        <w:t xml:space="preserve"> l</w:t>
      </w:r>
      <w:r w:rsidR="00680ADA" w:rsidRPr="00F1180D">
        <w:rPr>
          <w:lang w:val="fr-FR" w:bidi="ar-KW"/>
        </w:rPr>
        <w:t>’</w:t>
      </w:r>
      <w:r w:rsidRPr="00F1180D">
        <w:rPr>
          <w:lang w:val="fr-FR" w:bidi="ar-KW"/>
        </w:rPr>
        <w:t>employeur peut faire travailler le salarié le jour de son repos hebdomadaire si les nécessités du service l</w:t>
      </w:r>
      <w:r w:rsidR="00680ADA" w:rsidRPr="00F1180D">
        <w:rPr>
          <w:lang w:val="fr-FR" w:bidi="ar-KW"/>
        </w:rPr>
        <w:t>’</w:t>
      </w:r>
      <w:r w:rsidRPr="00F1180D">
        <w:rPr>
          <w:lang w:val="fr-FR" w:bidi="ar-KW"/>
        </w:rPr>
        <w:t>exigent. Il doit alors lui verser une rémunération égale au montant des</w:t>
      </w:r>
      <w:r w:rsidR="002C7BC5" w:rsidRPr="00F1180D">
        <w:rPr>
          <w:lang w:val="fr-FR" w:bidi="ar-KW"/>
        </w:rPr>
        <w:t xml:space="preserve"> heures</w:t>
      </w:r>
      <w:r w:rsidRPr="00F1180D">
        <w:rPr>
          <w:lang w:val="fr-FR" w:bidi="ar-KW"/>
        </w:rPr>
        <w:t xml:space="preserve"> normales de travail</w:t>
      </w:r>
      <w:r w:rsidR="00680ADA" w:rsidRPr="00F1180D">
        <w:rPr>
          <w:lang w:val="fr-FR" w:bidi="ar-KW"/>
        </w:rPr>
        <w:t>,</w:t>
      </w:r>
      <w:r w:rsidRPr="00F1180D">
        <w:rPr>
          <w:lang w:val="fr-FR" w:bidi="ar-KW"/>
        </w:rPr>
        <w:t xml:space="preserve"> complétée par un montant supplémentaire d</w:t>
      </w:r>
      <w:r w:rsidR="00680ADA" w:rsidRPr="00F1180D">
        <w:rPr>
          <w:lang w:val="fr-FR" w:bidi="ar-KW"/>
        </w:rPr>
        <w:t>’</w:t>
      </w:r>
      <w:r w:rsidRPr="00F1180D">
        <w:rPr>
          <w:lang w:val="fr-FR" w:bidi="ar-KW"/>
        </w:rPr>
        <w:t>au moins 50</w:t>
      </w:r>
      <w:r w:rsidR="00D259F0" w:rsidRPr="00F1180D">
        <w:rPr>
          <w:lang w:val="fr-FR" w:bidi="ar-KW"/>
        </w:rPr>
        <w:t> %</w:t>
      </w:r>
      <w:r w:rsidRPr="00F1180D">
        <w:rPr>
          <w:lang w:val="fr-FR" w:bidi="ar-KW"/>
        </w:rPr>
        <w:t xml:space="preserve"> et lui accorder un repos compensateur d</w:t>
      </w:r>
      <w:r w:rsidR="00680ADA" w:rsidRPr="00F1180D">
        <w:rPr>
          <w:lang w:val="fr-FR" w:bidi="ar-KW"/>
        </w:rPr>
        <w:t>’</w:t>
      </w:r>
      <w:r w:rsidRPr="00F1180D">
        <w:rPr>
          <w:lang w:val="fr-FR" w:bidi="ar-KW"/>
        </w:rPr>
        <w:t xml:space="preserve">une journée. </w:t>
      </w:r>
    </w:p>
    <w:p w:rsidR="000C6D4A" w:rsidRPr="00F1180D" w:rsidRDefault="00B2614C" w:rsidP="00B2614C">
      <w:pPr>
        <w:pStyle w:val="H23G"/>
        <w:rPr>
          <w:lang w:val="fr-FR" w:bidi="ar-KW"/>
        </w:rPr>
      </w:pPr>
      <w:r w:rsidRPr="00F1180D">
        <w:rPr>
          <w:lang w:val="fr-FR" w:bidi="ar-KW"/>
        </w:rPr>
        <w:tab/>
      </w:r>
      <w:r w:rsidRPr="00F1180D">
        <w:rPr>
          <w:lang w:val="fr-FR" w:bidi="ar-KW"/>
        </w:rPr>
        <w:tab/>
      </w:r>
      <w:r w:rsidR="000C6D4A" w:rsidRPr="00F1180D">
        <w:rPr>
          <w:lang w:val="fr-FR" w:bidi="ar-KW"/>
        </w:rPr>
        <w:t>Congés auxquels ont droit les travailleurs</w:t>
      </w:r>
    </w:p>
    <w:p w:rsidR="000C6D4A" w:rsidRPr="00F1180D" w:rsidRDefault="00BC37A2" w:rsidP="00680ADA">
      <w:pPr>
        <w:pStyle w:val="SingleTxtG"/>
        <w:rPr>
          <w:lang w:val="fr-FR" w:bidi="ar-KW"/>
        </w:rPr>
      </w:pPr>
      <w:r>
        <w:rPr>
          <w:lang w:val="fr-FR" w:bidi="ar-KW"/>
        </w:rPr>
        <w:t>60.</w:t>
      </w:r>
      <w:r>
        <w:rPr>
          <w:lang w:val="fr-FR" w:bidi="ar-KW"/>
        </w:rPr>
        <w:tab/>
      </w:r>
      <w:r w:rsidR="000C6D4A" w:rsidRPr="00F1180D">
        <w:rPr>
          <w:lang w:val="fr-FR" w:bidi="ar-KW"/>
        </w:rPr>
        <w:t>La loi garantit le droit des travailleurs à des journées de congés payés lors des</w:t>
      </w:r>
      <w:r w:rsidR="00B2614C" w:rsidRPr="00F1180D">
        <w:rPr>
          <w:lang w:val="fr-FR" w:bidi="ar-KW"/>
        </w:rPr>
        <w:t> jours</w:t>
      </w:r>
      <w:r w:rsidR="000C6D4A" w:rsidRPr="00F1180D">
        <w:rPr>
          <w:lang w:val="fr-FR" w:bidi="ar-KW"/>
        </w:rPr>
        <w:t xml:space="preserve"> fériés officiels. Si les circonstances exigent qu</w:t>
      </w:r>
      <w:r w:rsidR="00680ADA" w:rsidRPr="00F1180D">
        <w:rPr>
          <w:lang w:val="fr-FR" w:bidi="ar-KW"/>
        </w:rPr>
        <w:t>’</w:t>
      </w:r>
      <w:r w:rsidR="000C6D4A" w:rsidRPr="00F1180D">
        <w:rPr>
          <w:lang w:val="fr-FR" w:bidi="ar-KW"/>
        </w:rPr>
        <w:t>un employé travaille un jour férié</w:t>
      </w:r>
      <w:r w:rsidR="00680ADA" w:rsidRPr="00F1180D">
        <w:rPr>
          <w:lang w:val="fr-FR" w:bidi="ar-KW"/>
        </w:rPr>
        <w:t>,</w:t>
      </w:r>
      <w:r w:rsidR="000C6D4A" w:rsidRPr="00F1180D">
        <w:rPr>
          <w:lang w:val="fr-FR" w:bidi="ar-KW"/>
        </w:rPr>
        <w:t xml:space="preserve"> il a droit au paiement de ses</w:t>
      </w:r>
      <w:r w:rsidR="002407AA" w:rsidRPr="00F1180D">
        <w:rPr>
          <w:lang w:val="fr-FR" w:bidi="ar-KW"/>
        </w:rPr>
        <w:t xml:space="preserve"> </w:t>
      </w:r>
      <w:r w:rsidR="002C7BC5" w:rsidRPr="00F1180D">
        <w:rPr>
          <w:lang w:val="fr-FR" w:bidi="ar-KW"/>
        </w:rPr>
        <w:t>heures</w:t>
      </w:r>
      <w:r w:rsidR="000C6D4A" w:rsidRPr="00F1180D">
        <w:rPr>
          <w:lang w:val="fr-FR" w:bidi="ar-KW"/>
        </w:rPr>
        <w:t xml:space="preserve"> normales de travail multiplié par deux</w:t>
      </w:r>
      <w:r w:rsidR="00680ADA" w:rsidRPr="00F1180D">
        <w:rPr>
          <w:lang w:val="fr-FR" w:bidi="ar-KW"/>
        </w:rPr>
        <w:t>,</w:t>
      </w:r>
      <w:r w:rsidR="000C6D4A" w:rsidRPr="00F1180D">
        <w:rPr>
          <w:lang w:val="fr-FR" w:bidi="ar-KW"/>
        </w:rPr>
        <w:t xml:space="preserve"> ainsi qu</w:t>
      </w:r>
      <w:r w:rsidR="00680ADA" w:rsidRPr="00F1180D">
        <w:rPr>
          <w:lang w:val="fr-FR" w:bidi="ar-KW"/>
        </w:rPr>
        <w:t>’</w:t>
      </w:r>
      <w:r w:rsidR="000C6D4A" w:rsidRPr="00F1180D">
        <w:rPr>
          <w:lang w:val="fr-FR" w:bidi="ar-KW"/>
        </w:rPr>
        <w:t xml:space="preserve">à une journée de repos compensateur. </w:t>
      </w:r>
    </w:p>
    <w:p w:rsidR="000C6D4A" w:rsidRPr="00F1180D" w:rsidRDefault="00BC37A2" w:rsidP="00B2614C">
      <w:pPr>
        <w:pStyle w:val="SingleTxtG"/>
        <w:keepNext/>
        <w:rPr>
          <w:rtl/>
          <w:lang w:val="fr-FR" w:bidi="ar-KW"/>
        </w:rPr>
      </w:pPr>
      <w:r>
        <w:rPr>
          <w:lang w:val="fr-FR" w:bidi="ar-KW"/>
        </w:rPr>
        <w:t>61.</w:t>
      </w:r>
      <w:r>
        <w:rPr>
          <w:lang w:val="fr-FR" w:bidi="ar-KW"/>
        </w:rPr>
        <w:tab/>
      </w:r>
      <w:r w:rsidR="000C6D4A" w:rsidRPr="00F1180D">
        <w:rPr>
          <w:lang w:val="fr-FR" w:bidi="ar-KW"/>
        </w:rPr>
        <w:t>La loi a prévu d</w:t>
      </w:r>
      <w:r w:rsidR="00680ADA" w:rsidRPr="00F1180D">
        <w:rPr>
          <w:lang w:val="fr-FR" w:bidi="ar-KW"/>
        </w:rPr>
        <w:t>’</w:t>
      </w:r>
      <w:r w:rsidR="000C6D4A" w:rsidRPr="00F1180D">
        <w:rPr>
          <w:lang w:val="fr-FR" w:bidi="ar-KW"/>
        </w:rPr>
        <w:t>autres types de congé</w:t>
      </w:r>
      <w:r w:rsidR="00680ADA" w:rsidRPr="00F1180D">
        <w:rPr>
          <w:lang w:val="fr-FR" w:bidi="ar-KW"/>
        </w:rPr>
        <w:t>,</w:t>
      </w:r>
      <w:r w:rsidR="000C6D4A" w:rsidRPr="00F1180D">
        <w:rPr>
          <w:lang w:val="fr-FR" w:bidi="ar-KW"/>
        </w:rPr>
        <w:t xml:space="preserve"> parmi lesquels les suivants</w:t>
      </w:r>
      <w:r w:rsidR="00680ADA" w:rsidRPr="00F1180D">
        <w:rPr>
          <w:lang w:val="fr-FR" w:bidi="ar-KW"/>
        </w:rPr>
        <w:t>:</w:t>
      </w:r>
    </w:p>
    <w:p w:rsidR="000C6D4A" w:rsidRPr="00F1180D" w:rsidRDefault="000C6D4A" w:rsidP="00B2614C">
      <w:pPr>
        <w:pStyle w:val="Bullet1G"/>
        <w:rPr>
          <w:rtl/>
          <w:lang w:val="fr-FR" w:bidi="fr-FR"/>
        </w:rPr>
      </w:pPr>
      <w:r w:rsidRPr="00F1180D">
        <w:rPr>
          <w:lang w:val="fr-FR" w:bidi="ar-KW"/>
        </w:rPr>
        <w:t>Le congé de pèlerinage</w:t>
      </w:r>
      <w:r w:rsidR="00680ADA" w:rsidRPr="00F1180D">
        <w:rPr>
          <w:lang w:val="fr-FR" w:bidi="ar-KW"/>
        </w:rPr>
        <w:t>:</w:t>
      </w:r>
      <w:r w:rsidRPr="00F1180D">
        <w:rPr>
          <w:lang w:val="fr-FR" w:bidi="ar-KW"/>
        </w:rPr>
        <w:t xml:space="preserve"> les travailleurs justifiant d</w:t>
      </w:r>
      <w:r w:rsidR="00680ADA" w:rsidRPr="00F1180D">
        <w:rPr>
          <w:lang w:val="fr-FR" w:bidi="ar-KW"/>
        </w:rPr>
        <w:t>’</w:t>
      </w:r>
      <w:r w:rsidRPr="00F1180D">
        <w:rPr>
          <w:lang w:val="fr-FR" w:bidi="ar-KW"/>
        </w:rPr>
        <w:t>au moins deux années consécutives de service auprès d</w:t>
      </w:r>
      <w:r w:rsidR="00680ADA" w:rsidRPr="00F1180D">
        <w:rPr>
          <w:lang w:val="fr-FR" w:bidi="ar-KW"/>
        </w:rPr>
        <w:t>’</w:t>
      </w:r>
      <w:r w:rsidRPr="00F1180D">
        <w:rPr>
          <w:lang w:val="fr-FR" w:bidi="ar-KW"/>
        </w:rPr>
        <w:t>un l</w:t>
      </w:r>
      <w:r w:rsidR="00680ADA" w:rsidRPr="00F1180D">
        <w:rPr>
          <w:lang w:val="fr-FR" w:bidi="ar-KW"/>
        </w:rPr>
        <w:t>’</w:t>
      </w:r>
      <w:r w:rsidRPr="00F1180D">
        <w:rPr>
          <w:lang w:val="fr-FR" w:bidi="ar-KW"/>
        </w:rPr>
        <w:t>employeur bénéficient d</w:t>
      </w:r>
      <w:r w:rsidR="00680ADA" w:rsidRPr="00F1180D">
        <w:rPr>
          <w:lang w:val="fr-FR" w:bidi="ar-KW"/>
        </w:rPr>
        <w:t>’</w:t>
      </w:r>
      <w:r w:rsidRPr="00F1180D">
        <w:rPr>
          <w:lang w:val="fr-FR" w:bidi="ar-KW"/>
        </w:rPr>
        <w:t>un congé payé de 21</w:t>
      </w:r>
      <w:r w:rsidR="00B2614C" w:rsidRPr="00F1180D">
        <w:rPr>
          <w:lang w:val="fr-FR" w:bidi="ar-KW"/>
        </w:rPr>
        <w:t> jours</w:t>
      </w:r>
      <w:r w:rsidRPr="00F1180D">
        <w:rPr>
          <w:lang w:val="fr-FR" w:bidi="ar-KW"/>
        </w:rPr>
        <w:t xml:space="preserve"> pour accomplir le devoir du pèlerinage</w:t>
      </w:r>
      <w:r w:rsidR="00680ADA" w:rsidRPr="00F1180D">
        <w:rPr>
          <w:lang w:val="fr-FR" w:bidi="ar-KW"/>
        </w:rPr>
        <w:t>,</w:t>
      </w:r>
      <w:r w:rsidRPr="00F1180D">
        <w:rPr>
          <w:lang w:val="fr-FR" w:bidi="ar-KW"/>
        </w:rPr>
        <w:t xml:space="preserve"> à condition qu</w:t>
      </w:r>
      <w:r w:rsidR="00680ADA" w:rsidRPr="00F1180D">
        <w:rPr>
          <w:lang w:val="fr-FR" w:bidi="ar-KW"/>
        </w:rPr>
        <w:t>’</w:t>
      </w:r>
      <w:r w:rsidRPr="00F1180D">
        <w:rPr>
          <w:lang w:val="fr-FR" w:bidi="ar-KW"/>
        </w:rPr>
        <w:t>ils ne l</w:t>
      </w:r>
      <w:r w:rsidR="00680ADA" w:rsidRPr="00F1180D">
        <w:rPr>
          <w:lang w:val="fr-FR" w:bidi="ar-KW"/>
        </w:rPr>
        <w:t>’</w:t>
      </w:r>
      <w:r w:rsidRPr="00F1180D">
        <w:rPr>
          <w:lang w:val="fr-FR" w:bidi="ar-KW"/>
        </w:rPr>
        <w:t>aient pas effectué précédemment</w:t>
      </w:r>
      <w:r w:rsidR="00B2614C" w:rsidRPr="00F1180D">
        <w:rPr>
          <w:lang w:val="fr-FR" w:bidi="ar-KW"/>
        </w:rPr>
        <w:t>;</w:t>
      </w:r>
    </w:p>
    <w:p w:rsidR="000C6D4A" w:rsidRPr="00F1180D" w:rsidRDefault="000C6D4A" w:rsidP="00B2614C">
      <w:pPr>
        <w:pStyle w:val="Bullet1G"/>
        <w:rPr>
          <w:lang w:val="fr-FR" w:bidi="ar-KW"/>
        </w:rPr>
      </w:pPr>
      <w:r w:rsidRPr="00F1180D">
        <w:rPr>
          <w:lang w:val="fr-FR" w:bidi="ar-KW"/>
        </w:rPr>
        <w:t>Les travailleurs bénéficient de trois</w:t>
      </w:r>
      <w:r w:rsidR="00B2614C" w:rsidRPr="00F1180D">
        <w:rPr>
          <w:lang w:val="fr-FR" w:bidi="ar-KW"/>
        </w:rPr>
        <w:t> jours</w:t>
      </w:r>
      <w:r w:rsidRPr="00F1180D">
        <w:rPr>
          <w:lang w:val="fr-FR" w:bidi="ar-KW"/>
        </w:rPr>
        <w:t xml:space="preserve"> de congés payés en cas de décès d</w:t>
      </w:r>
      <w:r w:rsidR="00680ADA" w:rsidRPr="00F1180D">
        <w:rPr>
          <w:lang w:val="fr-FR" w:bidi="ar-KW"/>
        </w:rPr>
        <w:t>’</w:t>
      </w:r>
      <w:r w:rsidRPr="00F1180D">
        <w:rPr>
          <w:lang w:val="fr-FR" w:bidi="ar-KW"/>
        </w:rPr>
        <w:t>un parent de premier ou de second degré</w:t>
      </w:r>
      <w:r w:rsidR="00B2614C" w:rsidRPr="00F1180D">
        <w:rPr>
          <w:lang w:val="fr-FR" w:bidi="ar-KW"/>
        </w:rPr>
        <w:t>;</w:t>
      </w:r>
    </w:p>
    <w:p w:rsidR="000C6D4A" w:rsidRPr="00F1180D" w:rsidRDefault="000C6D4A" w:rsidP="00B2614C">
      <w:pPr>
        <w:pStyle w:val="Bullet1G"/>
        <w:rPr>
          <w:lang w:val="fr-FR" w:bidi="ar-KW"/>
        </w:rPr>
      </w:pPr>
      <w:r w:rsidRPr="00F1180D">
        <w:rPr>
          <w:lang w:val="fr-FR" w:bidi="ar-KW"/>
        </w:rPr>
        <w:t>La femme musulmane qui travaille et dont le conjoint décède a droit à un congé payé de quatre mois et 10</w:t>
      </w:r>
      <w:r w:rsidR="00B2614C" w:rsidRPr="00F1180D">
        <w:rPr>
          <w:lang w:val="fr-FR" w:bidi="ar-KW"/>
        </w:rPr>
        <w:t> jours</w:t>
      </w:r>
      <w:r w:rsidRPr="00F1180D">
        <w:rPr>
          <w:lang w:val="fr-FR" w:bidi="ar-KW"/>
        </w:rPr>
        <w:t xml:space="preserve"> à compter de la date du décès</w:t>
      </w:r>
      <w:r w:rsidR="00680ADA" w:rsidRPr="00F1180D">
        <w:rPr>
          <w:lang w:val="fr-FR" w:bidi="ar-KW"/>
        </w:rPr>
        <w:t>,</w:t>
      </w:r>
      <w:r w:rsidRPr="00F1180D">
        <w:rPr>
          <w:lang w:val="fr-FR" w:bidi="ar-KW"/>
        </w:rPr>
        <w:t xml:space="preserve"> sous réserve de n</w:t>
      </w:r>
      <w:r w:rsidR="00680ADA" w:rsidRPr="00F1180D">
        <w:rPr>
          <w:lang w:val="fr-FR" w:bidi="ar-KW"/>
        </w:rPr>
        <w:t>’</w:t>
      </w:r>
      <w:r w:rsidRPr="00F1180D">
        <w:rPr>
          <w:lang w:val="fr-FR" w:bidi="ar-KW"/>
        </w:rPr>
        <w:t>exercer aucune activité à caractère professionnel pour le compte d</w:t>
      </w:r>
      <w:r w:rsidR="00680ADA" w:rsidRPr="00F1180D">
        <w:rPr>
          <w:lang w:val="fr-FR" w:bidi="ar-KW"/>
        </w:rPr>
        <w:t>’</w:t>
      </w:r>
      <w:r w:rsidRPr="00F1180D">
        <w:rPr>
          <w:lang w:val="fr-FR" w:bidi="ar-KW"/>
        </w:rPr>
        <w:t>un tiers pendant la durée du congé</w:t>
      </w:r>
      <w:r w:rsidR="00680ADA" w:rsidRPr="00F1180D">
        <w:rPr>
          <w:lang w:val="fr-FR" w:bidi="ar-KW"/>
        </w:rPr>
        <w:t>,</w:t>
      </w:r>
      <w:r w:rsidRPr="00F1180D">
        <w:rPr>
          <w:lang w:val="fr-FR" w:bidi="ar-KW"/>
        </w:rPr>
        <w:t xml:space="preserve"> étant précisé que les conditions d</w:t>
      </w:r>
      <w:r w:rsidR="00680ADA" w:rsidRPr="00F1180D">
        <w:rPr>
          <w:lang w:val="fr-FR" w:bidi="ar-KW"/>
        </w:rPr>
        <w:t>’</w:t>
      </w:r>
      <w:r w:rsidRPr="00F1180D">
        <w:rPr>
          <w:lang w:val="fr-FR" w:bidi="ar-KW"/>
        </w:rPr>
        <w:t>attribution de ce congé sont réglementées par arrêté ministériel</w:t>
      </w:r>
      <w:r w:rsidR="00B2614C" w:rsidRPr="00F1180D">
        <w:rPr>
          <w:lang w:val="fr-FR" w:bidi="ar-KW"/>
        </w:rPr>
        <w:t>;</w:t>
      </w:r>
      <w:r w:rsidRPr="00F1180D">
        <w:rPr>
          <w:lang w:val="fr-FR" w:bidi="ar-KW"/>
        </w:rPr>
        <w:t xml:space="preserve"> </w:t>
      </w:r>
    </w:p>
    <w:p w:rsidR="000C6D4A" w:rsidRPr="00F1180D" w:rsidRDefault="000C6D4A" w:rsidP="00B2614C">
      <w:pPr>
        <w:pStyle w:val="Bullet1G"/>
        <w:rPr>
          <w:lang w:val="fr-FR" w:bidi="ar-KW"/>
        </w:rPr>
      </w:pPr>
      <w:r w:rsidRPr="00F1180D">
        <w:rPr>
          <w:lang w:val="fr-FR" w:bidi="ar-KW"/>
        </w:rPr>
        <w:t>La femme non musulmane qui travaille dont le conjoint décède a droit à un congé payé de 21</w:t>
      </w:r>
      <w:r w:rsidR="00B2614C" w:rsidRPr="00F1180D">
        <w:rPr>
          <w:lang w:val="fr-FR" w:bidi="ar-KW"/>
        </w:rPr>
        <w:t> jours;</w:t>
      </w:r>
    </w:p>
    <w:p w:rsidR="000C6D4A" w:rsidRPr="00F1180D" w:rsidRDefault="000C6D4A" w:rsidP="00B2614C">
      <w:pPr>
        <w:pStyle w:val="Bullet1G"/>
        <w:rPr>
          <w:lang w:val="fr-FR" w:bidi="ar-KW"/>
        </w:rPr>
      </w:pPr>
      <w:r w:rsidRPr="00F1180D">
        <w:rPr>
          <w:lang w:val="fr-FR" w:bidi="ar-KW"/>
        </w:rPr>
        <w:t>L</w:t>
      </w:r>
      <w:r w:rsidR="00680ADA" w:rsidRPr="00F1180D">
        <w:rPr>
          <w:lang w:val="fr-FR" w:bidi="ar-KW"/>
        </w:rPr>
        <w:t>’</w:t>
      </w:r>
      <w:r w:rsidRPr="00F1180D">
        <w:rPr>
          <w:lang w:val="fr-FR" w:bidi="ar-KW"/>
        </w:rPr>
        <w:t>employeur peut accorder au travailleur un congé payé pour assister à des conférences</w:t>
      </w:r>
      <w:r w:rsidR="00680ADA" w:rsidRPr="00F1180D">
        <w:rPr>
          <w:lang w:val="fr-FR" w:bidi="ar-KW"/>
        </w:rPr>
        <w:t>,</w:t>
      </w:r>
      <w:r w:rsidRPr="00F1180D">
        <w:rPr>
          <w:lang w:val="fr-FR" w:bidi="ar-KW"/>
        </w:rPr>
        <w:t xml:space="preserve"> ainsi qu</w:t>
      </w:r>
      <w:r w:rsidR="00680ADA" w:rsidRPr="00F1180D">
        <w:rPr>
          <w:lang w:val="fr-FR" w:bidi="ar-KW"/>
        </w:rPr>
        <w:t>’</w:t>
      </w:r>
      <w:r w:rsidRPr="00F1180D">
        <w:rPr>
          <w:lang w:val="fr-FR" w:bidi="ar-KW"/>
        </w:rPr>
        <w:t>à des réunions périodiques et syndicales</w:t>
      </w:r>
      <w:r w:rsidR="00B2614C" w:rsidRPr="00F1180D">
        <w:rPr>
          <w:lang w:val="fr-FR" w:bidi="ar-KW"/>
        </w:rPr>
        <w:t>;</w:t>
      </w:r>
    </w:p>
    <w:p w:rsidR="000C6D4A" w:rsidRPr="00F1180D" w:rsidRDefault="000C6D4A" w:rsidP="00B2614C">
      <w:pPr>
        <w:pStyle w:val="Bullet1G"/>
        <w:rPr>
          <w:lang w:val="fr-FR" w:bidi="ar-KW"/>
        </w:rPr>
      </w:pPr>
      <w:r w:rsidRPr="00F1180D">
        <w:rPr>
          <w:lang w:val="fr-FR" w:bidi="ar-KW"/>
        </w:rPr>
        <w:t>Outre son congé annuel</w:t>
      </w:r>
      <w:r w:rsidR="00680ADA" w:rsidRPr="00F1180D">
        <w:rPr>
          <w:lang w:val="fr-FR" w:bidi="ar-KW"/>
        </w:rPr>
        <w:t>,</w:t>
      </w:r>
      <w:r w:rsidRPr="00F1180D">
        <w:rPr>
          <w:lang w:val="fr-FR" w:bidi="ar-KW"/>
        </w:rPr>
        <w:t xml:space="preserve"> la femme active a droit à un congé payé de maternité de 70</w:t>
      </w:r>
      <w:r w:rsidR="00B2614C" w:rsidRPr="00F1180D">
        <w:rPr>
          <w:lang w:val="fr-FR" w:bidi="ar-KW"/>
        </w:rPr>
        <w:t> jours</w:t>
      </w:r>
      <w:r w:rsidR="00680ADA" w:rsidRPr="00F1180D">
        <w:rPr>
          <w:lang w:val="fr-FR" w:bidi="ar-KW"/>
        </w:rPr>
        <w:t>,</w:t>
      </w:r>
      <w:r w:rsidRPr="00F1180D">
        <w:rPr>
          <w:lang w:val="fr-FR" w:bidi="ar-KW"/>
        </w:rPr>
        <w:t xml:space="preserve"> à condition que l</w:t>
      </w:r>
      <w:r w:rsidR="00680ADA" w:rsidRPr="00F1180D">
        <w:rPr>
          <w:lang w:val="fr-FR" w:bidi="ar-KW"/>
        </w:rPr>
        <w:t>’</w:t>
      </w:r>
      <w:r w:rsidRPr="00F1180D">
        <w:rPr>
          <w:lang w:val="fr-FR" w:bidi="ar-KW"/>
        </w:rPr>
        <w:t xml:space="preserve">accouchement intervienne pendant cette période. </w:t>
      </w:r>
    </w:p>
    <w:p w:rsidR="000C6D4A" w:rsidRPr="00F1180D" w:rsidRDefault="00B2614C" w:rsidP="00B2614C">
      <w:pPr>
        <w:pStyle w:val="H23G"/>
        <w:rPr>
          <w:lang w:val="fr-FR" w:bidi="ar-KW"/>
        </w:rPr>
      </w:pPr>
      <w:r w:rsidRPr="00F1180D">
        <w:rPr>
          <w:lang w:val="fr-FR" w:bidi="ar-KW"/>
        </w:rPr>
        <w:tab/>
      </w:r>
      <w:r w:rsidRPr="00F1180D">
        <w:rPr>
          <w:lang w:val="fr-FR" w:bidi="ar-KW"/>
        </w:rPr>
        <w:tab/>
      </w:r>
      <w:r w:rsidR="000C6D4A" w:rsidRPr="00F1180D">
        <w:rPr>
          <w:lang w:val="fr-FR" w:bidi="ar-KW"/>
        </w:rPr>
        <w:t>Droit aux congés maladie</w:t>
      </w:r>
    </w:p>
    <w:p w:rsidR="000C6D4A" w:rsidRPr="00F1180D" w:rsidRDefault="00BC37A2" w:rsidP="00680ADA">
      <w:pPr>
        <w:pStyle w:val="SingleTxtG"/>
        <w:rPr>
          <w:rtl/>
          <w:lang w:val="fr-FR" w:bidi="fr-FR"/>
        </w:rPr>
      </w:pPr>
      <w:r>
        <w:rPr>
          <w:lang w:val="fr-FR" w:bidi="ar-KW"/>
        </w:rPr>
        <w:t>62.</w:t>
      </w:r>
      <w:r>
        <w:rPr>
          <w:lang w:val="fr-FR" w:bidi="ar-KW"/>
        </w:rPr>
        <w:tab/>
      </w:r>
      <w:r w:rsidR="000C6D4A" w:rsidRPr="00F1180D">
        <w:rPr>
          <w:lang w:val="fr-FR" w:bidi="ar-KW"/>
        </w:rPr>
        <w:t>Des congés maladie d</w:t>
      </w:r>
      <w:r w:rsidR="00680ADA" w:rsidRPr="00F1180D">
        <w:rPr>
          <w:lang w:val="fr-FR" w:bidi="ar-KW"/>
        </w:rPr>
        <w:t>’</w:t>
      </w:r>
      <w:r w:rsidR="000C6D4A" w:rsidRPr="00F1180D">
        <w:rPr>
          <w:lang w:val="fr-FR" w:bidi="ar-KW"/>
        </w:rPr>
        <w:t>une durée de 15</w:t>
      </w:r>
      <w:r w:rsidR="00B2614C" w:rsidRPr="00F1180D">
        <w:rPr>
          <w:lang w:val="fr-FR" w:bidi="ar-KW"/>
        </w:rPr>
        <w:t> jours</w:t>
      </w:r>
      <w:r w:rsidR="000C6D4A" w:rsidRPr="00F1180D">
        <w:rPr>
          <w:lang w:val="fr-FR" w:bidi="ar-KW"/>
        </w:rPr>
        <w:t xml:space="preserve"> sont accordés aux travailleurs une fois par an à plein salaire. Au-delà</w:t>
      </w:r>
      <w:r w:rsidR="00680ADA" w:rsidRPr="00F1180D">
        <w:rPr>
          <w:lang w:val="fr-FR" w:bidi="ar-KW"/>
        </w:rPr>
        <w:t>,</w:t>
      </w:r>
      <w:r w:rsidR="000C6D4A" w:rsidRPr="00F1180D">
        <w:rPr>
          <w:lang w:val="fr-FR" w:bidi="ar-KW"/>
        </w:rPr>
        <w:t xml:space="preserve"> des congés maladie d</w:t>
      </w:r>
      <w:r w:rsidR="00680ADA" w:rsidRPr="00F1180D">
        <w:rPr>
          <w:lang w:val="fr-FR" w:bidi="ar-KW"/>
        </w:rPr>
        <w:t>’</w:t>
      </w:r>
      <w:r w:rsidR="000C6D4A" w:rsidRPr="00F1180D">
        <w:rPr>
          <w:lang w:val="fr-FR" w:bidi="ar-KW"/>
        </w:rPr>
        <w:t>une durée de 10</w:t>
      </w:r>
      <w:r w:rsidR="00B2614C" w:rsidRPr="00F1180D">
        <w:rPr>
          <w:lang w:val="fr-FR" w:bidi="ar-KW"/>
        </w:rPr>
        <w:t> jours</w:t>
      </w:r>
      <w:r w:rsidR="000C6D4A" w:rsidRPr="00F1180D">
        <w:rPr>
          <w:lang w:val="fr-FR" w:bidi="ar-KW"/>
        </w:rPr>
        <w:t xml:space="preserve"> sont accordés aux travailleurs et payés </w:t>
      </w:r>
      <w:r w:rsidR="00B2614C" w:rsidRPr="00F1180D">
        <w:rPr>
          <w:lang w:val="fr-FR" w:bidi="ar-KW"/>
        </w:rPr>
        <w:t>75 %</w:t>
      </w:r>
      <w:r w:rsidR="000C6D4A" w:rsidRPr="00F1180D">
        <w:rPr>
          <w:lang w:val="fr-FR" w:bidi="ar-KW"/>
        </w:rPr>
        <w:t xml:space="preserve"> du salaire</w:t>
      </w:r>
      <w:r w:rsidR="00680ADA" w:rsidRPr="00F1180D">
        <w:rPr>
          <w:lang w:val="fr-FR" w:bidi="ar-KW"/>
        </w:rPr>
        <w:t>,</w:t>
      </w:r>
      <w:r w:rsidR="000C6D4A" w:rsidRPr="00F1180D">
        <w:rPr>
          <w:lang w:val="fr-FR" w:bidi="ar-KW"/>
        </w:rPr>
        <w:t xml:space="preserve"> éventuellement suivis par une autre période de 10</w:t>
      </w:r>
      <w:r w:rsidR="00B2614C" w:rsidRPr="00F1180D">
        <w:rPr>
          <w:lang w:val="fr-FR" w:bidi="ar-KW"/>
        </w:rPr>
        <w:t> jours</w:t>
      </w:r>
      <w:r w:rsidR="007034A6" w:rsidRPr="00F1180D">
        <w:rPr>
          <w:lang w:val="fr-FR" w:bidi="ar-KW"/>
        </w:rPr>
        <w:t xml:space="preserve"> </w:t>
      </w:r>
      <w:r w:rsidR="00B2614C" w:rsidRPr="00F1180D">
        <w:rPr>
          <w:lang w:val="fr-FR" w:bidi="ar-KW"/>
        </w:rPr>
        <w:t>payés 50 % du</w:t>
      </w:r>
      <w:r w:rsidR="000C6D4A" w:rsidRPr="00F1180D">
        <w:rPr>
          <w:lang w:val="fr-FR" w:bidi="ar-KW"/>
        </w:rPr>
        <w:t xml:space="preserve"> salaire et par 10 autres</w:t>
      </w:r>
      <w:r w:rsidR="00D3645E" w:rsidRPr="00F1180D">
        <w:rPr>
          <w:lang w:val="fr-FR" w:bidi="ar-KW"/>
        </w:rPr>
        <w:t xml:space="preserve"> </w:t>
      </w:r>
      <w:r w:rsidR="00B2614C" w:rsidRPr="00F1180D">
        <w:rPr>
          <w:lang w:val="fr-FR" w:bidi="ar-KW"/>
        </w:rPr>
        <w:t>jours</w:t>
      </w:r>
      <w:r w:rsidR="000C6D4A" w:rsidRPr="00F1180D">
        <w:rPr>
          <w:lang w:val="fr-FR" w:bidi="ar-KW"/>
        </w:rPr>
        <w:t xml:space="preserve"> payés </w:t>
      </w:r>
      <w:r w:rsidR="00B2614C" w:rsidRPr="00F1180D">
        <w:rPr>
          <w:lang w:val="fr-FR" w:bidi="ar-KW"/>
        </w:rPr>
        <w:t>25 %</w:t>
      </w:r>
      <w:r w:rsidR="000C6D4A" w:rsidRPr="00F1180D">
        <w:rPr>
          <w:lang w:val="fr-FR" w:bidi="ar-KW"/>
        </w:rPr>
        <w:t xml:space="preserve"> du salaire et enfin par une durée de 30</w:t>
      </w:r>
      <w:r w:rsidR="00B2614C" w:rsidRPr="00F1180D">
        <w:rPr>
          <w:lang w:val="fr-FR" w:bidi="ar-KW"/>
        </w:rPr>
        <w:t> jours</w:t>
      </w:r>
      <w:r w:rsidR="000C6D4A" w:rsidRPr="00F1180D">
        <w:rPr>
          <w:lang w:val="fr-FR" w:bidi="ar-KW"/>
        </w:rPr>
        <w:t xml:space="preserve"> non rémunérée. </w:t>
      </w:r>
    </w:p>
    <w:p w:rsidR="00764D7B" w:rsidRPr="00F1180D" w:rsidRDefault="00BC37A2" w:rsidP="00764D7B">
      <w:pPr>
        <w:pStyle w:val="SingleTxtG"/>
        <w:rPr>
          <w:lang w:val="fr-FR" w:bidi="ar-KW"/>
        </w:rPr>
      </w:pPr>
      <w:r>
        <w:rPr>
          <w:lang w:val="fr-FR" w:bidi="ar-KW"/>
        </w:rPr>
        <w:t>63.</w:t>
      </w:r>
      <w:r>
        <w:rPr>
          <w:lang w:val="fr-FR" w:bidi="ar-KW"/>
        </w:rPr>
        <w:tab/>
      </w:r>
      <w:r w:rsidR="000C6D4A" w:rsidRPr="00F1180D">
        <w:rPr>
          <w:lang w:val="fr-FR" w:bidi="ar-KW"/>
        </w:rPr>
        <w:t>La loi a réglementé le droit des travailleurs à des congés payés périodiques d</w:t>
      </w:r>
      <w:r w:rsidR="00680ADA" w:rsidRPr="00F1180D">
        <w:rPr>
          <w:lang w:val="fr-FR" w:bidi="ar-KW"/>
        </w:rPr>
        <w:t>’</w:t>
      </w:r>
      <w:r w:rsidR="000C6D4A" w:rsidRPr="00F1180D">
        <w:rPr>
          <w:lang w:val="fr-FR" w:bidi="ar-KW"/>
        </w:rPr>
        <w:t>une durée de 30</w:t>
      </w:r>
      <w:r w:rsidR="00B2614C" w:rsidRPr="00F1180D">
        <w:rPr>
          <w:lang w:val="fr-FR" w:bidi="ar-KW"/>
        </w:rPr>
        <w:t> jours</w:t>
      </w:r>
      <w:r w:rsidR="000C6D4A" w:rsidRPr="00F1180D">
        <w:rPr>
          <w:lang w:val="fr-FR" w:bidi="ar-KW"/>
        </w:rPr>
        <w:t xml:space="preserve"> et a reconnu aux employés le droit à des congés d</w:t>
      </w:r>
      <w:r w:rsidR="00680ADA" w:rsidRPr="00F1180D">
        <w:rPr>
          <w:lang w:val="fr-FR" w:bidi="ar-KW"/>
        </w:rPr>
        <w:t>’</w:t>
      </w:r>
      <w:r w:rsidR="000C6D4A" w:rsidRPr="00F1180D">
        <w:rPr>
          <w:lang w:val="fr-FR" w:bidi="ar-KW"/>
        </w:rPr>
        <w:t>études rémunérés leur permettant d</w:t>
      </w:r>
      <w:r w:rsidR="00680ADA" w:rsidRPr="00F1180D">
        <w:rPr>
          <w:lang w:val="fr-FR" w:bidi="ar-KW"/>
        </w:rPr>
        <w:t>’</w:t>
      </w:r>
      <w:r w:rsidR="000C6D4A" w:rsidRPr="00F1180D">
        <w:rPr>
          <w:lang w:val="fr-FR" w:bidi="ar-KW"/>
        </w:rPr>
        <w:t>améliorer leurs qualifications en rapport avec les activités exercées</w:t>
      </w:r>
      <w:r w:rsidR="00680ADA" w:rsidRPr="00F1180D">
        <w:rPr>
          <w:lang w:val="fr-FR" w:bidi="ar-KW"/>
        </w:rPr>
        <w:t>,</w:t>
      </w:r>
      <w:r w:rsidR="000C6D4A" w:rsidRPr="00F1180D">
        <w:rPr>
          <w:lang w:val="fr-FR" w:bidi="ar-KW"/>
        </w:rPr>
        <w:t xml:space="preserve"> sous réserve de leur engagement à réintégrer leur poste et à travailler pour le compte de leur employeur pendant une durée au moins égale à celle des congés d</w:t>
      </w:r>
      <w:r w:rsidR="00680ADA" w:rsidRPr="00F1180D">
        <w:rPr>
          <w:lang w:val="fr-FR" w:bidi="ar-KW"/>
        </w:rPr>
        <w:t>’</w:t>
      </w:r>
      <w:r w:rsidR="000C6D4A" w:rsidRPr="00F1180D">
        <w:rPr>
          <w:lang w:val="fr-FR" w:bidi="ar-KW"/>
        </w:rPr>
        <w:t xml:space="preserve">études mais ne pouvant excéder </w:t>
      </w:r>
      <w:r w:rsidR="007034A6" w:rsidRPr="00F1180D">
        <w:rPr>
          <w:lang w:val="fr-FR" w:bidi="ar-KW"/>
        </w:rPr>
        <w:t>5</w:t>
      </w:r>
      <w:r w:rsidR="000C6D4A" w:rsidRPr="00F1180D">
        <w:rPr>
          <w:lang w:val="fr-FR" w:bidi="ar-KW"/>
        </w:rPr>
        <w:t xml:space="preserve"> années</w:t>
      </w:r>
      <w:r w:rsidR="00680ADA" w:rsidRPr="00F1180D">
        <w:rPr>
          <w:lang w:val="fr-FR" w:bidi="ar-KW"/>
        </w:rPr>
        <w:t>;</w:t>
      </w:r>
      <w:r w:rsidR="000C6D4A" w:rsidRPr="00F1180D">
        <w:rPr>
          <w:lang w:val="fr-FR" w:bidi="ar-KW"/>
        </w:rPr>
        <w:t xml:space="preserve"> à défaut</w:t>
      </w:r>
      <w:r w:rsidR="00680ADA" w:rsidRPr="00F1180D">
        <w:rPr>
          <w:lang w:val="fr-FR" w:bidi="ar-KW"/>
        </w:rPr>
        <w:t>,</w:t>
      </w:r>
      <w:r w:rsidR="000C6D4A" w:rsidRPr="00F1180D">
        <w:rPr>
          <w:lang w:val="fr-FR" w:bidi="ar-KW"/>
        </w:rPr>
        <w:t xml:space="preserve"> ils s</w:t>
      </w:r>
      <w:r w:rsidR="00680ADA" w:rsidRPr="00F1180D">
        <w:rPr>
          <w:lang w:val="fr-FR" w:bidi="ar-KW"/>
        </w:rPr>
        <w:t>’</w:t>
      </w:r>
      <w:r w:rsidR="000C6D4A" w:rsidRPr="00F1180D">
        <w:rPr>
          <w:lang w:val="fr-FR" w:bidi="ar-KW"/>
        </w:rPr>
        <w:t>engagent à rembourser à l</w:t>
      </w:r>
      <w:r w:rsidR="00680ADA" w:rsidRPr="00F1180D">
        <w:rPr>
          <w:lang w:val="fr-FR" w:bidi="ar-KW"/>
        </w:rPr>
        <w:t>’</w:t>
      </w:r>
      <w:r w:rsidR="000C6D4A" w:rsidRPr="00F1180D">
        <w:rPr>
          <w:lang w:val="fr-FR" w:bidi="ar-KW"/>
        </w:rPr>
        <w:t>employeur les salaires perçus pendant la durée du congé d</w:t>
      </w:r>
      <w:r w:rsidR="00680ADA" w:rsidRPr="00F1180D">
        <w:rPr>
          <w:lang w:val="fr-FR" w:bidi="ar-KW"/>
        </w:rPr>
        <w:t>’</w:t>
      </w:r>
      <w:r w:rsidR="000C6D4A" w:rsidRPr="00F1180D">
        <w:rPr>
          <w:lang w:val="fr-FR" w:bidi="ar-KW"/>
        </w:rPr>
        <w:t>études</w:t>
      </w:r>
      <w:r w:rsidR="00680ADA" w:rsidRPr="00F1180D">
        <w:rPr>
          <w:lang w:val="fr-FR" w:bidi="ar-KW"/>
        </w:rPr>
        <w:t>,</w:t>
      </w:r>
      <w:r w:rsidR="000C6D4A" w:rsidRPr="00F1180D">
        <w:rPr>
          <w:lang w:val="fr-FR" w:bidi="ar-KW"/>
        </w:rPr>
        <w:t xml:space="preserve"> calculés proportionnellement à la période de travail obligatoire restant à courir</w:t>
      </w:r>
      <w:r w:rsidR="00764D7B" w:rsidRPr="00F1180D">
        <w:rPr>
          <w:lang w:val="fr-FR" w:bidi="ar-KW"/>
        </w:rPr>
        <w:t>.</w:t>
      </w:r>
    </w:p>
    <w:p w:rsidR="00764D7B" w:rsidRPr="00F1180D" w:rsidRDefault="00764D7B" w:rsidP="00764D7B">
      <w:pPr>
        <w:pStyle w:val="H23G"/>
        <w:rPr>
          <w:lang w:val="fr-FR" w:bidi="ar-KW"/>
        </w:rPr>
      </w:pPr>
      <w:r w:rsidRPr="00F1180D">
        <w:rPr>
          <w:lang w:val="fr-FR" w:bidi="ar-KW"/>
        </w:rPr>
        <w:lastRenderedPageBreak/>
        <w:tab/>
        <w:t>1.</w:t>
      </w:r>
      <w:r w:rsidRPr="00F1180D">
        <w:rPr>
          <w:lang w:val="fr-FR" w:bidi="ar-KW"/>
        </w:rPr>
        <w:tab/>
        <w:t>Rupture du contrat de travail</w:t>
      </w:r>
    </w:p>
    <w:p w:rsidR="000C6D4A" w:rsidRPr="00F1180D" w:rsidRDefault="00BC37A2" w:rsidP="00680ADA">
      <w:pPr>
        <w:pStyle w:val="SingleTxtG"/>
        <w:rPr>
          <w:lang w:val="fr-FR" w:bidi="ar-KW"/>
        </w:rPr>
      </w:pPr>
      <w:r>
        <w:rPr>
          <w:lang w:val="fr-FR" w:bidi="ar-KW"/>
        </w:rPr>
        <w:t>64.</w:t>
      </w:r>
      <w:r>
        <w:rPr>
          <w:lang w:val="fr-FR" w:bidi="ar-KW"/>
        </w:rPr>
        <w:tab/>
      </w:r>
      <w:r w:rsidR="00680ADA" w:rsidRPr="00F1180D">
        <w:rPr>
          <w:lang w:val="fr-FR" w:bidi="ar-KW"/>
        </w:rPr>
        <w:t>«</w:t>
      </w:r>
      <w:r w:rsidR="000C6D4A" w:rsidRPr="00F1180D">
        <w:rPr>
          <w:lang w:val="fr-FR" w:bidi="ar-KW"/>
        </w:rPr>
        <w:t>Octroi aux travailleurs titulaires de contrats à durée indéterminée d</w:t>
      </w:r>
      <w:r w:rsidR="00680ADA" w:rsidRPr="00F1180D">
        <w:rPr>
          <w:lang w:val="fr-FR" w:bidi="ar-KW"/>
        </w:rPr>
        <w:t>’</w:t>
      </w:r>
      <w:r w:rsidR="000C6D4A" w:rsidRPr="00F1180D">
        <w:rPr>
          <w:lang w:val="fr-FR" w:bidi="ar-KW"/>
        </w:rPr>
        <w:t>une prime de préavis et attribution d</w:t>
      </w:r>
      <w:r w:rsidR="00680ADA" w:rsidRPr="00F1180D">
        <w:rPr>
          <w:lang w:val="fr-FR" w:bidi="ar-KW"/>
        </w:rPr>
        <w:t>’</w:t>
      </w:r>
      <w:r w:rsidR="000C6D4A" w:rsidRPr="00F1180D">
        <w:rPr>
          <w:lang w:val="fr-FR" w:bidi="ar-KW"/>
        </w:rPr>
        <w:t>une indemnisation adéquate aux employés signataires de contrats à durée déterminée</w:t>
      </w:r>
      <w:r w:rsidR="00680ADA" w:rsidRPr="00F1180D">
        <w:rPr>
          <w:lang w:val="fr-FR" w:bidi="ar-KW"/>
        </w:rPr>
        <w:t>»</w:t>
      </w:r>
      <w:r w:rsidR="000C6D4A" w:rsidRPr="00F1180D">
        <w:rPr>
          <w:lang w:val="fr-FR" w:bidi="ar-KW"/>
        </w:rPr>
        <w:t>.</w:t>
      </w:r>
    </w:p>
    <w:p w:rsidR="000C6D4A" w:rsidRPr="00F1180D" w:rsidRDefault="00BC37A2" w:rsidP="00680ADA">
      <w:pPr>
        <w:pStyle w:val="SingleTxtG"/>
        <w:rPr>
          <w:rtl/>
          <w:lang w:val="fr-FR" w:bidi="fr-FR"/>
        </w:rPr>
      </w:pPr>
      <w:r>
        <w:rPr>
          <w:lang w:val="fr-FR" w:bidi="ar-KW"/>
        </w:rPr>
        <w:t>65.</w:t>
      </w:r>
      <w:r>
        <w:rPr>
          <w:lang w:val="fr-FR" w:bidi="ar-KW"/>
        </w:rPr>
        <w:tab/>
      </w:r>
      <w:r w:rsidR="000C6D4A" w:rsidRPr="00F1180D">
        <w:rPr>
          <w:lang w:val="fr-FR" w:bidi="ar-KW"/>
        </w:rPr>
        <w:t>Conformément à la politique de l</w:t>
      </w:r>
      <w:r w:rsidR="00680ADA" w:rsidRPr="00F1180D">
        <w:rPr>
          <w:lang w:val="fr-FR" w:bidi="ar-KW"/>
        </w:rPr>
        <w:t>’</w:t>
      </w:r>
      <w:r w:rsidR="000C6D4A" w:rsidRPr="00F1180D">
        <w:rPr>
          <w:lang w:val="fr-FR" w:bidi="ar-KW"/>
        </w:rPr>
        <w:t>État visant à préserver le droit au travail et afin de protéger les travailleurs contre les licenciements abusifs</w:t>
      </w:r>
      <w:r w:rsidR="00680ADA" w:rsidRPr="00F1180D">
        <w:rPr>
          <w:lang w:val="fr-FR" w:bidi="ar-KW"/>
        </w:rPr>
        <w:t>,</w:t>
      </w:r>
      <w:r w:rsidR="000C6D4A" w:rsidRPr="00F1180D">
        <w:rPr>
          <w:lang w:val="fr-FR" w:bidi="ar-KW"/>
        </w:rPr>
        <w:t xml:space="preserve"> la loi a réglementé le licenciement et prévu diverses dispositions d</w:t>
      </w:r>
      <w:r w:rsidR="00680ADA" w:rsidRPr="00F1180D">
        <w:rPr>
          <w:lang w:val="fr-FR" w:bidi="ar-KW"/>
        </w:rPr>
        <w:t>’</w:t>
      </w:r>
      <w:r w:rsidR="000C6D4A" w:rsidRPr="00F1180D">
        <w:rPr>
          <w:lang w:val="fr-FR" w:bidi="ar-KW"/>
        </w:rPr>
        <w:t>équité en faveur des employés</w:t>
      </w:r>
      <w:r w:rsidR="00680ADA" w:rsidRPr="00F1180D">
        <w:rPr>
          <w:lang w:val="fr-FR" w:bidi="ar-KW"/>
        </w:rPr>
        <w:t>,</w:t>
      </w:r>
      <w:r w:rsidR="000C6D4A" w:rsidRPr="00F1180D">
        <w:rPr>
          <w:lang w:val="fr-FR" w:bidi="ar-KW"/>
        </w:rPr>
        <w:t xml:space="preserve"> telles que l</w:t>
      </w:r>
      <w:r w:rsidR="00680ADA" w:rsidRPr="00F1180D">
        <w:rPr>
          <w:lang w:val="fr-FR" w:bidi="ar-KW"/>
        </w:rPr>
        <w:t>’</w:t>
      </w:r>
      <w:r w:rsidR="000C6D4A" w:rsidRPr="00F1180D">
        <w:rPr>
          <w:lang w:val="fr-FR" w:bidi="ar-KW"/>
        </w:rPr>
        <w:t>octroi aux travailleurs d</w:t>
      </w:r>
      <w:r w:rsidR="00680ADA" w:rsidRPr="00F1180D">
        <w:rPr>
          <w:lang w:val="fr-FR" w:bidi="ar-KW"/>
        </w:rPr>
        <w:t>’</w:t>
      </w:r>
      <w:r w:rsidR="000C6D4A" w:rsidRPr="00F1180D">
        <w:rPr>
          <w:lang w:val="fr-FR" w:bidi="ar-KW"/>
        </w:rPr>
        <w:t>une somme correspondant à trois mois de plein salaire pour leur permettre de s</w:t>
      </w:r>
      <w:r w:rsidR="00680ADA" w:rsidRPr="00F1180D">
        <w:rPr>
          <w:lang w:val="fr-FR" w:bidi="ar-KW"/>
        </w:rPr>
        <w:t>’</w:t>
      </w:r>
      <w:r w:rsidR="000C6D4A" w:rsidRPr="00F1180D">
        <w:rPr>
          <w:lang w:val="fr-FR" w:bidi="ar-KW"/>
        </w:rPr>
        <w:t>adapter à la situation et de chercher un nouvel emploi. À cet égard</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0C6D4A" w:rsidRPr="00F1180D">
        <w:rPr>
          <w:lang w:val="fr-FR" w:bidi="ar-KW"/>
        </w:rPr>
        <w:t>44 de la loi prévoit la possibilité pour chacune des deux parties de résilier le contrat de travail lorsque celui-ci est à durée indéterminée</w:t>
      </w:r>
      <w:r w:rsidR="00680ADA" w:rsidRPr="00F1180D">
        <w:rPr>
          <w:lang w:val="fr-FR" w:bidi="ar-KW"/>
        </w:rPr>
        <w:t>,</w:t>
      </w:r>
      <w:r w:rsidR="000C6D4A" w:rsidRPr="00F1180D">
        <w:rPr>
          <w:lang w:val="fr-FR" w:bidi="ar-KW"/>
        </w:rPr>
        <w:t xml:space="preserve"> en notifiant sa décision à l</w:t>
      </w:r>
      <w:r w:rsidR="00680ADA" w:rsidRPr="00F1180D">
        <w:rPr>
          <w:lang w:val="fr-FR" w:bidi="ar-KW"/>
        </w:rPr>
        <w:t>’</w:t>
      </w:r>
      <w:r w:rsidR="000C6D4A" w:rsidRPr="00F1180D">
        <w:rPr>
          <w:lang w:val="fr-FR" w:bidi="ar-KW"/>
        </w:rPr>
        <w:t>autre partie au moins trois mois avant la résiliation en ce qui concerne les travailleurs bénéficiant d</w:t>
      </w:r>
      <w:r w:rsidR="00680ADA" w:rsidRPr="00F1180D">
        <w:rPr>
          <w:lang w:val="fr-FR" w:bidi="ar-KW"/>
        </w:rPr>
        <w:t>’</w:t>
      </w:r>
      <w:r w:rsidR="000C6D4A" w:rsidRPr="00F1180D">
        <w:rPr>
          <w:lang w:val="fr-FR" w:bidi="ar-KW"/>
        </w:rPr>
        <w:t>un paiement mensualisé et au moins un mois avant l</w:t>
      </w:r>
      <w:r w:rsidR="00680ADA" w:rsidRPr="00F1180D">
        <w:rPr>
          <w:lang w:val="fr-FR" w:bidi="ar-KW"/>
        </w:rPr>
        <w:t>’</w:t>
      </w:r>
      <w:r w:rsidR="000C6D4A" w:rsidRPr="00F1180D">
        <w:rPr>
          <w:lang w:val="fr-FR" w:bidi="ar-KW"/>
        </w:rPr>
        <w:t>échéance envisagée dans les autres cas. Selon l</w:t>
      </w:r>
      <w:r w:rsidR="00680ADA" w:rsidRPr="00F1180D">
        <w:rPr>
          <w:lang w:val="fr-FR" w:bidi="ar-KW"/>
        </w:rPr>
        <w:t>’</w:t>
      </w:r>
      <w:r w:rsidR="00163207" w:rsidRPr="00F1180D">
        <w:rPr>
          <w:lang w:val="fr-FR" w:bidi="ar-KW"/>
        </w:rPr>
        <w:t>article </w:t>
      </w:r>
      <w:r w:rsidR="000C6D4A" w:rsidRPr="00F1180D">
        <w:rPr>
          <w:lang w:val="fr-FR" w:bidi="ar-KW"/>
        </w:rPr>
        <w:t>45 de la loi</w:t>
      </w:r>
      <w:r w:rsidR="00680ADA" w:rsidRPr="00F1180D">
        <w:rPr>
          <w:lang w:val="fr-FR" w:bidi="ar-KW"/>
        </w:rPr>
        <w:t>,</w:t>
      </w:r>
      <w:r w:rsidR="000C6D4A" w:rsidRPr="00F1180D">
        <w:rPr>
          <w:lang w:val="fr-FR" w:bidi="ar-KW"/>
        </w:rPr>
        <w:t xml:space="preserve"> la rupture d</w:t>
      </w:r>
      <w:r w:rsidR="00680ADA" w:rsidRPr="00F1180D">
        <w:rPr>
          <w:lang w:val="fr-FR" w:bidi="ar-KW"/>
        </w:rPr>
        <w:t>’</w:t>
      </w:r>
      <w:r w:rsidR="000C6D4A" w:rsidRPr="00F1180D">
        <w:rPr>
          <w:lang w:val="fr-FR" w:bidi="ar-KW"/>
        </w:rPr>
        <w:t>un contrat à durée déterminée donne le droit au travailleur de bénéficier d</w:t>
      </w:r>
      <w:r w:rsidR="00680ADA" w:rsidRPr="00F1180D">
        <w:rPr>
          <w:lang w:val="fr-FR" w:bidi="ar-KW"/>
        </w:rPr>
        <w:t>’</w:t>
      </w:r>
      <w:r w:rsidR="000C6D4A" w:rsidRPr="00F1180D">
        <w:rPr>
          <w:lang w:val="fr-FR" w:bidi="ar-KW"/>
        </w:rPr>
        <w:t>une indemnité pour préjudice lié à un licenciement abusif</w:t>
      </w:r>
      <w:r w:rsidR="00680ADA" w:rsidRPr="00F1180D">
        <w:rPr>
          <w:lang w:val="fr-FR" w:bidi="ar-KW"/>
        </w:rPr>
        <w:t>,</w:t>
      </w:r>
      <w:r w:rsidR="000C6D4A" w:rsidRPr="00F1180D">
        <w:rPr>
          <w:lang w:val="fr-FR" w:bidi="ar-KW"/>
        </w:rPr>
        <w:t xml:space="preserve"> dont le montant ne peut être supérieur à la rémunération dont aurait bénéficié le travailleur pendant la durée de la période contractuelle restant à courir.</w:t>
      </w:r>
    </w:p>
    <w:p w:rsidR="000C6D4A" w:rsidRPr="00F1180D" w:rsidRDefault="00BC37A2" w:rsidP="00680ADA">
      <w:pPr>
        <w:pStyle w:val="SingleTxtG"/>
        <w:rPr>
          <w:rtl/>
          <w:lang w:val="fr-FR" w:bidi="fr-FR"/>
        </w:rPr>
      </w:pPr>
      <w:r>
        <w:rPr>
          <w:lang w:val="fr-FR" w:bidi="ar-KW"/>
        </w:rPr>
        <w:t>66.</w:t>
      </w:r>
      <w:r>
        <w:rPr>
          <w:lang w:val="fr-FR" w:bidi="ar-KW"/>
        </w:rPr>
        <w:tab/>
      </w:r>
      <w:r w:rsidR="000C6D4A" w:rsidRPr="00F1180D">
        <w:rPr>
          <w:lang w:val="fr-FR" w:bidi="ar-KW"/>
        </w:rPr>
        <w:t>Enfin</w:t>
      </w:r>
      <w:r w:rsidR="00680ADA" w:rsidRPr="00F1180D">
        <w:rPr>
          <w:lang w:val="fr-FR" w:bidi="ar-KW"/>
        </w:rPr>
        <w:t>,</w:t>
      </w:r>
      <w:r w:rsidR="000C6D4A" w:rsidRPr="00F1180D">
        <w:rPr>
          <w:lang w:val="fr-FR" w:bidi="ar-KW"/>
        </w:rPr>
        <w:t xml:space="preserve"> nous souhaitons rappeler quelques principes importants maintenus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 de 2010 sur l</w:t>
      </w:r>
      <w:r w:rsidR="00680ADA" w:rsidRPr="00F1180D">
        <w:rPr>
          <w:lang w:val="fr-FR" w:bidi="ar-KW"/>
        </w:rPr>
        <w:t>’</w:t>
      </w:r>
      <w:r w:rsidR="000C6D4A" w:rsidRPr="00F1180D">
        <w:rPr>
          <w:lang w:val="fr-FR" w:bidi="ar-KW"/>
        </w:rPr>
        <w:t xml:space="preserve">emploi dans le secteur privé modifiant le précédent Code du travail promulgué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38 de 1964</w:t>
      </w:r>
      <w:r w:rsidR="00680ADA" w:rsidRPr="00F1180D">
        <w:rPr>
          <w:lang w:val="fr-FR" w:bidi="ar-KW"/>
        </w:rPr>
        <w:t>,</w:t>
      </w:r>
      <w:r w:rsidR="000C6D4A" w:rsidRPr="00F1180D">
        <w:rPr>
          <w:lang w:val="fr-FR" w:bidi="ar-KW"/>
        </w:rPr>
        <w:t xml:space="preserve"> dans toute la mesure où ils sont en rapport avec la Convention</w:t>
      </w:r>
      <w:r w:rsidR="00680ADA" w:rsidRPr="00F1180D">
        <w:rPr>
          <w:lang w:val="fr-FR" w:bidi="ar-KW"/>
        </w:rPr>
        <w:t>,</w:t>
      </w:r>
      <w:r w:rsidR="000C6D4A" w:rsidRPr="00F1180D">
        <w:rPr>
          <w:lang w:val="fr-FR" w:bidi="ar-KW"/>
        </w:rPr>
        <w:t xml:space="preserve"> à savoir</w:t>
      </w:r>
      <w:r w:rsidR="00680ADA" w:rsidRPr="00F1180D">
        <w:rPr>
          <w:lang w:val="fr-FR" w:bidi="ar-KW"/>
        </w:rPr>
        <w:t>:</w:t>
      </w:r>
    </w:p>
    <w:p w:rsidR="000C6D4A" w:rsidRPr="00F1180D" w:rsidRDefault="00764D7B" w:rsidP="00764D7B">
      <w:pPr>
        <w:pStyle w:val="SingleTxtG"/>
        <w:rPr>
          <w:rtl/>
          <w:lang w:val="fr-FR" w:bidi="fr-FR"/>
        </w:rPr>
      </w:pPr>
      <w:r w:rsidRPr="00F1180D">
        <w:rPr>
          <w:lang w:val="fr-FR" w:bidi="ar-KW"/>
        </w:rPr>
        <w:tab/>
        <w:t>1.</w:t>
      </w:r>
      <w:r w:rsidRPr="00F1180D">
        <w:rPr>
          <w:lang w:val="fr-FR" w:bidi="ar-KW"/>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 xml:space="preserve">9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 de 2010 a créé une Direction générale de la main d</w:t>
      </w:r>
      <w:r w:rsidR="00680ADA" w:rsidRPr="00F1180D">
        <w:rPr>
          <w:lang w:val="fr-FR" w:bidi="ar-KW"/>
        </w:rPr>
        <w:t>’</w:t>
      </w:r>
      <w:r w:rsidRPr="00F1180D">
        <w:rPr>
          <w:lang w:val="fr-FR" w:bidi="ar-KW"/>
        </w:rPr>
        <w:t>œuvre</w:t>
      </w:r>
      <w:r w:rsidR="00680ADA" w:rsidRPr="00F1180D">
        <w:rPr>
          <w:lang w:val="fr-FR" w:bidi="ar-KW"/>
        </w:rPr>
        <w:t>,</w:t>
      </w:r>
      <w:r w:rsidR="000C6D4A" w:rsidRPr="00F1180D">
        <w:rPr>
          <w:lang w:val="fr-FR" w:bidi="ar-KW"/>
        </w:rPr>
        <w:t xml:space="preserve"> qui a été mise en place par le décret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 xml:space="preserve">109 de 2013 et dotée des compétences attribuées au Ministère par les lois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 xml:space="preserve">28 de 1969 et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 de 2010. Aucune discrimination n</w:t>
      </w:r>
      <w:r w:rsidR="00680ADA" w:rsidRPr="00F1180D">
        <w:rPr>
          <w:lang w:val="fr-FR" w:bidi="ar-KW"/>
        </w:rPr>
        <w:t>’</w:t>
      </w:r>
      <w:r w:rsidR="000C6D4A" w:rsidRPr="00F1180D">
        <w:rPr>
          <w:lang w:val="fr-FR" w:bidi="ar-KW"/>
        </w:rPr>
        <w:t>est permise entre nationaux et étrangers en matière de travail.</w:t>
      </w:r>
    </w:p>
    <w:p w:rsidR="000C6D4A" w:rsidRPr="00F1180D" w:rsidRDefault="00764D7B" w:rsidP="00680ADA">
      <w:pPr>
        <w:pStyle w:val="SingleTxtG"/>
        <w:rPr>
          <w:lang w:val="fr-FR" w:bidi="ar-KW"/>
        </w:rPr>
      </w:pPr>
      <w:r w:rsidRPr="00F1180D">
        <w:rPr>
          <w:lang w:val="fr-FR" w:bidi="ar-KW"/>
        </w:rPr>
        <w:tab/>
        <w:t>2.</w:t>
      </w:r>
      <w:r w:rsidRPr="00F1180D">
        <w:rPr>
          <w:lang w:val="fr-FR" w:bidi="ar-KW"/>
        </w:rPr>
        <w:tab/>
      </w:r>
      <w:r w:rsidR="000C6D4A" w:rsidRPr="00F1180D">
        <w:rPr>
          <w:lang w:val="fr-FR" w:bidi="ar-KW"/>
        </w:rPr>
        <w:t>Il est interdit d</w:t>
      </w:r>
      <w:r w:rsidR="00680ADA" w:rsidRPr="00F1180D">
        <w:rPr>
          <w:lang w:val="fr-FR" w:bidi="ar-KW"/>
        </w:rPr>
        <w:t>’</w:t>
      </w:r>
      <w:r w:rsidR="000C6D4A" w:rsidRPr="00F1180D">
        <w:rPr>
          <w:lang w:val="fr-FR" w:bidi="ar-KW"/>
        </w:rPr>
        <w:t>employer des enfants âgés de moins de quinze</w:t>
      </w:r>
      <w:r w:rsidR="00524736" w:rsidRPr="00F1180D">
        <w:rPr>
          <w:lang w:val="fr-FR" w:bidi="ar-KW"/>
        </w:rPr>
        <w:t> ans</w:t>
      </w:r>
      <w:r w:rsidR="000C6D4A" w:rsidRPr="00F1180D">
        <w:rPr>
          <w:lang w:val="fr-FR" w:bidi="ar-KW"/>
        </w:rPr>
        <w:t>.</w:t>
      </w:r>
    </w:p>
    <w:p w:rsidR="000C6D4A" w:rsidRPr="00F1180D" w:rsidRDefault="00764D7B" w:rsidP="00680ADA">
      <w:pPr>
        <w:pStyle w:val="SingleTxtG"/>
        <w:rPr>
          <w:lang w:val="fr-FR" w:bidi="ar-KW"/>
        </w:rPr>
      </w:pPr>
      <w:r w:rsidRPr="00F1180D">
        <w:rPr>
          <w:lang w:val="fr-FR" w:bidi="ar-KW"/>
        </w:rPr>
        <w:tab/>
        <w:t>3.</w:t>
      </w:r>
      <w:r w:rsidR="000C6D4A" w:rsidRPr="00F1180D">
        <w:rPr>
          <w:lang w:val="fr-FR" w:bidi="ar-KW"/>
        </w:rPr>
        <w:tab/>
        <w:t>Les dispositions de ce texte consacrent les droits les plus élémentaires en matière de travail et s</w:t>
      </w:r>
      <w:r w:rsidR="00680ADA" w:rsidRPr="00F1180D">
        <w:rPr>
          <w:lang w:val="fr-FR" w:bidi="ar-KW"/>
        </w:rPr>
        <w:t>’</w:t>
      </w:r>
      <w:r w:rsidR="000C6D4A" w:rsidRPr="00F1180D">
        <w:rPr>
          <w:lang w:val="fr-FR" w:bidi="ar-KW"/>
        </w:rPr>
        <w:t>appliquent sans préjudice de tous avantages ou droits plus favorables accordés aux travailleurs dans le cadre de contrats individuels</w:t>
      </w:r>
      <w:r w:rsidR="00680ADA" w:rsidRPr="00F1180D">
        <w:rPr>
          <w:lang w:val="fr-FR" w:bidi="ar-KW"/>
        </w:rPr>
        <w:t>,</w:t>
      </w:r>
      <w:r w:rsidR="000C6D4A" w:rsidRPr="00F1180D">
        <w:rPr>
          <w:lang w:val="fr-FR" w:bidi="ar-KW"/>
        </w:rPr>
        <w:t xml:space="preserve"> de conventions collectives</w:t>
      </w:r>
      <w:r w:rsidR="00680ADA" w:rsidRPr="00F1180D">
        <w:rPr>
          <w:lang w:val="fr-FR" w:bidi="ar-KW"/>
        </w:rPr>
        <w:t>,</w:t>
      </w:r>
      <w:r w:rsidR="000C6D4A" w:rsidRPr="00F1180D">
        <w:rPr>
          <w:lang w:val="fr-FR" w:bidi="ar-KW"/>
        </w:rPr>
        <w:t xml:space="preserve"> de réglementations particulières</w:t>
      </w:r>
      <w:r w:rsidR="00680ADA" w:rsidRPr="00F1180D">
        <w:rPr>
          <w:lang w:val="fr-FR" w:bidi="ar-KW"/>
        </w:rPr>
        <w:t>,</w:t>
      </w:r>
      <w:r w:rsidR="000C6D4A" w:rsidRPr="00F1180D">
        <w:rPr>
          <w:lang w:val="fr-FR" w:bidi="ar-KW"/>
        </w:rPr>
        <w:t xml:space="preserve"> de règles applicables au sein des entreprises</w:t>
      </w:r>
      <w:r w:rsidR="00680ADA" w:rsidRPr="00F1180D">
        <w:rPr>
          <w:lang w:val="fr-FR" w:bidi="ar-KW"/>
        </w:rPr>
        <w:t>,</w:t>
      </w:r>
      <w:r w:rsidR="000C6D4A" w:rsidRPr="00F1180D">
        <w:rPr>
          <w:lang w:val="fr-FR" w:bidi="ar-KW"/>
        </w:rPr>
        <w:t xml:space="preserve"> de dispositions conventionnelles ou de règles coutumières. </w:t>
      </w:r>
    </w:p>
    <w:p w:rsidR="000C6D4A" w:rsidRPr="00F1180D" w:rsidRDefault="00764D7B" w:rsidP="00680ADA">
      <w:pPr>
        <w:pStyle w:val="SingleTxtG"/>
        <w:rPr>
          <w:lang w:val="fr-FR" w:bidi="ar-KW"/>
        </w:rPr>
      </w:pPr>
      <w:r w:rsidRPr="00F1180D">
        <w:rPr>
          <w:lang w:val="fr-FR" w:bidi="ar-KW"/>
        </w:rPr>
        <w:tab/>
        <w:t>4.</w:t>
      </w:r>
      <w:r w:rsidR="000C6D4A" w:rsidRPr="00F1180D">
        <w:rPr>
          <w:lang w:val="fr-FR" w:bidi="ar-KW"/>
        </w:rPr>
        <w:tab/>
        <w:t>La durée de travail des mineurs ne peut excéder six</w:t>
      </w:r>
      <w:r w:rsidR="002C7BC5" w:rsidRPr="00F1180D">
        <w:rPr>
          <w:lang w:val="fr-FR" w:bidi="ar-KW"/>
        </w:rPr>
        <w:t> heures</w:t>
      </w:r>
      <w:r w:rsidR="000C6D4A" w:rsidRPr="00F1180D">
        <w:rPr>
          <w:lang w:val="fr-FR" w:bidi="ar-KW"/>
        </w:rPr>
        <w:t xml:space="preserve"> par jour et il est interdit de les faire travailler pendant plus de quatre</w:t>
      </w:r>
      <w:r w:rsidR="002C7BC5" w:rsidRPr="00F1180D">
        <w:rPr>
          <w:lang w:val="fr-FR" w:bidi="ar-KW"/>
        </w:rPr>
        <w:t> heures</w:t>
      </w:r>
      <w:r w:rsidR="000C6D4A" w:rsidRPr="00F1180D">
        <w:rPr>
          <w:lang w:val="fr-FR" w:bidi="ar-KW"/>
        </w:rPr>
        <w:t xml:space="preserve"> d</w:t>
      </w:r>
      <w:r w:rsidR="00680ADA" w:rsidRPr="00F1180D">
        <w:rPr>
          <w:lang w:val="fr-FR" w:bidi="ar-KW"/>
        </w:rPr>
        <w:t>’</w:t>
      </w:r>
      <w:r w:rsidR="000C6D4A" w:rsidRPr="00F1180D">
        <w:rPr>
          <w:lang w:val="fr-FR" w:bidi="ar-KW"/>
        </w:rPr>
        <w:t>affilée sans leur accorder une pause d</w:t>
      </w:r>
      <w:r w:rsidR="00680ADA" w:rsidRPr="00F1180D">
        <w:rPr>
          <w:lang w:val="fr-FR" w:bidi="ar-KW"/>
        </w:rPr>
        <w:t>’</w:t>
      </w:r>
      <w:r w:rsidR="000C6D4A" w:rsidRPr="00F1180D">
        <w:rPr>
          <w:lang w:val="fr-FR" w:bidi="ar-KW"/>
        </w:rPr>
        <w:t>au moins une heure.</w:t>
      </w:r>
    </w:p>
    <w:p w:rsidR="000C6D4A" w:rsidRPr="00F1180D" w:rsidRDefault="00764D7B" w:rsidP="00680ADA">
      <w:pPr>
        <w:pStyle w:val="SingleTxtG"/>
        <w:rPr>
          <w:lang w:val="fr-FR" w:bidi="ar-KW"/>
        </w:rPr>
      </w:pPr>
      <w:r w:rsidRPr="00F1180D">
        <w:rPr>
          <w:lang w:val="fr-FR" w:bidi="ar-KW"/>
        </w:rPr>
        <w:tab/>
      </w:r>
      <w:r w:rsidR="000C6D4A" w:rsidRPr="00F1180D">
        <w:rPr>
          <w:lang w:val="fr-FR" w:bidi="ar-KW"/>
        </w:rPr>
        <w:t>5</w:t>
      </w:r>
      <w:r w:rsidRPr="00F1180D">
        <w:rPr>
          <w:lang w:val="fr-FR" w:bidi="ar-KW"/>
        </w:rPr>
        <w:t>.</w:t>
      </w:r>
      <w:r w:rsidR="000C6D4A" w:rsidRPr="00F1180D">
        <w:rPr>
          <w:lang w:val="fr-FR" w:bidi="ar-KW"/>
        </w:rPr>
        <w:tab/>
        <w:t>La femme a droit à la même rémunération que l</w:t>
      </w:r>
      <w:r w:rsidR="00680ADA" w:rsidRPr="00F1180D">
        <w:rPr>
          <w:lang w:val="fr-FR" w:bidi="ar-KW"/>
        </w:rPr>
        <w:t>’</w:t>
      </w:r>
      <w:r w:rsidR="000C6D4A" w:rsidRPr="00F1180D">
        <w:rPr>
          <w:lang w:val="fr-FR" w:bidi="ar-KW"/>
        </w:rPr>
        <w:t>homme lorsqu</w:t>
      </w:r>
      <w:r w:rsidR="00680ADA" w:rsidRPr="00F1180D">
        <w:rPr>
          <w:lang w:val="fr-FR" w:bidi="ar-KW"/>
        </w:rPr>
        <w:t>’</w:t>
      </w:r>
      <w:r w:rsidR="000C6D4A" w:rsidRPr="00F1180D">
        <w:rPr>
          <w:lang w:val="fr-FR" w:bidi="ar-KW"/>
        </w:rPr>
        <w:t xml:space="preserve">elle accomplit un travail de valeur égale. </w:t>
      </w:r>
    </w:p>
    <w:p w:rsidR="000C6D4A" w:rsidRPr="00F1180D" w:rsidRDefault="00764D7B" w:rsidP="00680ADA">
      <w:pPr>
        <w:pStyle w:val="SingleTxtG"/>
        <w:rPr>
          <w:lang w:val="fr-FR" w:bidi="ar-KW"/>
        </w:rPr>
      </w:pPr>
      <w:r w:rsidRPr="00F1180D">
        <w:rPr>
          <w:lang w:val="fr-FR" w:bidi="ar-KW"/>
        </w:rPr>
        <w:tab/>
      </w:r>
      <w:r w:rsidR="000C6D4A" w:rsidRPr="00F1180D">
        <w:rPr>
          <w:lang w:val="fr-FR" w:bidi="ar-KW"/>
        </w:rPr>
        <w:t>6</w:t>
      </w:r>
      <w:r w:rsidRPr="00F1180D">
        <w:rPr>
          <w:lang w:val="fr-FR" w:bidi="ar-KW"/>
        </w:rPr>
        <w:t>.</w:t>
      </w:r>
      <w:r w:rsidR="000C6D4A" w:rsidRPr="00F1180D">
        <w:rPr>
          <w:lang w:val="fr-FR" w:bidi="ar-KW"/>
        </w:rPr>
        <w:tab/>
        <w:t>Il est interdit de réduire la rémunération du travailleur pendant la durée du contrat de travail et tout accord antérieur ou postérieur dérogeant à ce principe est considéré nul de plein droit</w:t>
      </w:r>
      <w:r w:rsidR="00680ADA" w:rsidRPr="00F1180D">
        <w:rPr>
          <w:lang w:val="fr-FR" w:bidi="ar-KW"/>
        </w:rPr>
        <w:t>,</w:t>
      </w:r>
      <w:r w:rsidR="000C6D4A" w:rsidRPr="00F1180D">
        <w:rPr>
          <w:lang w:val="fr-FR" w:bidi="ar-KW"/>
        </w:rPr>
        <w:t xml:space="preserve"> pour violation d</w:t>
      </w:r>
      <w:r w:rsidR="00680ADA" w:rsidRPr="00F1180D">
        <w:rPr>
          <w:lang w:val="fr-FR" w:bidi="ar-KW"/>
        </w:rPr>
        <w:t>’</w:t>
      </w:r>
      <w:r w:rsidR="000C6D4A" w:rsidRPr="00F1180D">
        <w:rPr>
          <w:lang w:val="fr-FR" w:bidi="ar-KW"/>
        </w:rPr>
        <w:t>une disposition d</w:t>
      </w:r>
      <w:r w:rsidR="00680ADA" w:rsidRPr="00F1180D">
        <w:rPr>
          <w:lang w:val="fr-FR" w:bidi="ar-KW"/>
        </w:rPr>
        <w:t>’</w:t>
      </w:r>
      <w:r w:rsidR="000C6D4A" w:rsidRPr="00F1180D">
        <w:rPr>
          <w:lang w:val="fr-FR" w:bidi="ar-KW"/>
        </w:rPr>
        <w:t xml:space="preserve">ordre public. </w:t>
      </w:r>
    </w:p>
    <w:p w:rsidR="000C6D4A" w:rsidRPr="00F1180D" w:rsidRDefault="00764D7B" w:rsidP="00680ADA">
      <w:pPr>
        <w:pStyle w:val="SingleTxtG"/>
        <w:rPr>
          <w:lang w:val="fr-FR" w:bidi="ar-KW"/>
        </w:rPr>
      </w:pPr>
      <w:r w:rsidRPr="00F1180D">
        <w:rPr>
          <w:lang w:val="fr-FR" w:bidi="ar-KW"/>
        </w:rPr>
        <w:tab/>
      </w:r>
      <w:r w:rsidR="000C6D4A" w:rsidRPr="00F1180D">
        <w:rPr>
          <w:lang w:val="fr-FR" w:bidi="ar-KW"/>
        </w:rPr>
        <w:t>7</w:t>
      </w:r>
      <w:r w:rsidRPr="00F1180D">
        <w:rPr>
          <w:lang w:val="fr-FR" w:bidi="ar-KW"/>
        </w:rPr>
        <w:t>.</w:t>
      </w:r>
      <w:r w:rsidR="000C6D4A" w:rsidRPr="00F1180D">
        <w:rPr>
          <w:lang w:val="fr-FR" w:bidi="ar-KW"/>
        </w:rPr>
        <w:tab/>
        <w:t>Le travail de nuit des femmes est interdit entre 22</w:t>
      </w:r>
      <w:r w:rsidR="002C7BC5" w:rsidRPr="00F1180D">
        <w:rPr>
          <w:lang w:val="fr-FR" w:bidi="ar-KW"/>
        </w:rPr>
        <w:t> heures</w:t>
      </w:r>
      <w:r w:rsidR="000C6D4A" w:rsidRPr="00F1180D">
        <w:rPr>
          <w:lang w:val="fr-FR" w:bidi="ar-KW"/>
        </w:rPr>
        <w:t xml:space="preserve"> et 7</w:t>
      </w:r>
      <w:r w:rsidR="002C7BC5" w:rsidRPr="00F1180D">
        <w:rPr>
          <w:lang w:val="fr-FR" w:bidi="ar-KW"/>
        </w:rPr>
        <w:t> heures</w:t>
      </w:r>
      <w:r w:rsidR="00680ADA" w:rsidRPr="00F1180D">
        <w:rPr>
          <w:lang w:val="fr-FR" w:bidi="ar-KW"/>
        </w:rPr>
        <w:t>,</w:t>
      </w:r>
      <w:r w:rsidR="000C6D4A" w:rsidRPr="00F1180D">
        <w:rPr>
          <w:lang w:val="fr-FR" w:bidi="ar-KW"/>
        </w:rPr>
        <w:t xml:space="preserve"> excepté dans les hôpitaux</w:t>
      </w:r>
      <w:r w:rsidR="00680ADA" w:rsidRPr="00F1180D">
        <w:rPr>
          <w:lang w:val="fr-FR" w:bidi="ar-KW"/>
        </w:rPr>
        <w:t>,</w:t>
      </w:r>
      <w:r w:rsidR="000C6D4A" w:rsidRPr="00F1180D">
        <w:rPr>
          <w:lang w:val="fr-FR" w:bidi="ar-KW"/>
        </w:rPr>
        <w:t xml:space="preserve"> les établissements de santé</w:t>
      </w:r>
      <w:r w:rsidR="00680ADA" w:rsidRPr="00F1180D">
        <w:rPr>
          <w:lang w:val="fr-FR" w:bidi="ar-KW"/>
        </w:rPr>
        <w:t>,</w:t>
      </w:r>
      <w:r w:rsidR="000C6D4A" w:rsidRPr="00F1180D">
        <w:rPr>
          <w:lang w:val="fr-FR" w:bidi="ar-KW"/>
        </w:rPr>
        <w:t xml:space="preserve"> les cliniques privées et certains établissements couverts par une autorisation expresse du Ministre des affaires sociales et de l</w:t>
      </w:r>
      <w:r w:rsidR="00680ADA" w:rsidRPr="00F1180D">
        <w:rPr>
          <w:lang w:val="fr-FR" w:bidi="ar-KW"/>
        </w:rPr>
        <w:t>’</w:t>
      </w:r>
      <w:r w:rsidR="000C6D4A" w:rsidRPr="00F1180D">
        <w:rPr>
          <w:lang w:val="fr-FR" w:bidi="ar-KW"/>
        </w:rPr>
        <w:t xml:space="preserve">emploi. </w:t>
      </w:r>
    </w:p>
    <w:p w:rsidR="000C6D4A" w:rsidRPr="00F1180D" w:rsidRDefault="00764D7B" w:rsidP="00680ADA">
      <w:pPr>
        <w:pStyle w:val="SingleTxtG"/>
        <w:rPr>
          <w:lang w:val="fr-FR" w:bidi="ar-KW"/>
        </w:rPr>
      </w:pPr>
      <w:r w:rsidRPr="00F1180D">
        <w:rPr>
          <w:lang w:val="fr-FR" w:bidi="ar-KW"/>
        </w:rPr>
        <w:tab/>
      </w:r>
      <w:r w:rsidR="000C6D4A" w:rsidRPr="00F1180D">
        <w:rPr>
          <w:lang w:val="fr-FR" w:bidi="ar-KW"/>
        </w:rPr>
        <w:t>8</w:t>
      </w:r>
      <w:r w:rsidRPr="00F1180D">
        <w:rPr>
          <w:lang w:val="fr-FR" w:bidi="ar-KW"/>
        </w:rPr>
        <w:t>.</w:t>
      </w:r>
      <w:r w:rsidR="000C6D4A" w:rsidRPr="00F1180D">
        <w:rPr>
          <w:lang w:val="fr-FR" w:bidi="ar-KW"/>
        </w:rPr>
        <w:tab/>
        <w:t>Il est interdit d</w:t>
      </w:r>
      <w:r w:rsidR="00680ADA" w:rsidRPr="00F1180D">
        <w:rPr>
          <w:lang w:val="fr-FR" w:bidi="ar-KW"/>
        </w:rPr>
        <w:t>’</w:t>
      </w:r>
      <w:r w:rsidR="000C6D4A" w:rsidRPr="00F1180D">
        <w:rPr>
          <w:lang w:val="fr-FR" w:bidi="ar-KW"/>
        </w:rPr>
        <w:t>affecter les femmes à des travaux dangereux</w:t>
      </w:r>
      <w:r w:rsidR="00680ADA" w:rsidRPr="00F1180D">
        <w:rPr>
          <w:lang w:val="fr-FR" w:bidi="ar-KW"/>
        </w:rPr>
        <w:t>,</w:t>
      </w:r>
      <w:r w:rsidR="000C6D4A" w:rsidRPr="00F1180D">
        <w:rPr>
          <w:lang w:val="fr-FR" w:bidi="ar-KW"/>
        </w:rPr>
        <w:t xml:space="preserve"> pénibles ou préjudiciables à leur santé</w:t>
      </w:r>
      <w:r w:rsidR="00680ADA" w:rsidRPr="00F1180D">
        <w:rPr>
          <w:lang w:val="fr-FR" w:bidi="ar-KW"/>
        </w:rPr>
        <w:t>,</w:t>
      </w:r>
      <w:r w:rsidR="000C6D4A" w:rsidRPr="00F1180D">
        <w:rPr>
          <w:lang w:val="fr-FR" w:bidi="ar-KW"/>
        </w:rPr>
        <w:t xml:space="preserve"> de les exploiter en les obligeant à exercer des activités contraires à la morale ou dans des établissements proposant leurs services exclusivement à des hommes. </w:t>
      </w:r>
    </w:p>
    <w:p w:rsidR="000C6D4A" w:rsidRPr="00F1180D" w:rsidRDefault="00764D7B" w:rsidP="00680ADA">
      <w:pPr>
        <w:pStyle w:val="SingleTxtG"/>
        <w:rPr>
          <w:lang w:val="fr-FR" w:bidi="ar-KW"/>
        </w:rPr>
      </w:pPr>
      <w:r w:rsidRPr="00F1180D">
        <w:rPr>
          <w:lang w:val="fr-FR" w:bidi="ar-KW"/>
        </w:rPr>
        <w:lastRenderedPageBreak/>
        <w:tab/>
      </w:r>
      <w:r w:rsidR="000C6D4A" w:rsidRPr="00F1180D">
        <w:rPr>
          <w:lang w:val="fr-FR" w:bidi="ar-KW"/>
        </w:rPr>
        <w:t>9</w:t>
      </w:r>
      <w:r w:rsidRPr="00F1180D">
        <w:rPr>
          <w:lang w:val="fr-FR" w:bidi="ar-KW"/>
        </w:rPr>
        <w:t>.</w:t>
      </w:r>
      <w:r w:rsidR="000C6D4A" w:rsidRPr="00F1180D">
        <w:rPr>
          <w:lang w:val="fr-FR" w:bidi="ar-KW"/>
        </w:rPr>
        <w:tab/>
        <w:t>Il est interdit d</w:t>
      </w:r>
      <w:r w:rsidR="00680ADA" w:rsidRPr="00F1180D">
        <w:rPr>
          <w:lang w:val="fr-FR" w:bidi="ar-KW"/>
        </w:rPr>
        <w:t>’</w:t>
      </w:r>
      <w:r w:rsidR="000C6D4A" w:rsidRPr="00F1180D">
        <w:rPr>
          <w:lang w:val="fr-FR" w:bidi="ar-KW"/>
        </w:rPr>
        <w:t>employer des hommes dans les lieux fréquentés exclusivement par des femmes</w:t>
      </w:r>
      <w:r w:rsidR="00680ADA" w:rsidRPr="00F1180D">
        <w:rPr>
          <w:lang w:val="fr-FR" w:bidi="ar-KW"/>
        </w:rPr>
        <w:t>,</w:t>
      </w:r>
      <w:r w:rsidR="000C6D4A" w:rsidRPr="00F1180D">
        <w:rPr>
          <w:lang w:val="fr-FR" w:bidi="ar-KW"/>
        </w:rPr>
        <w:t xml:space="preserve"> tels que les salons pour femmes</w:t>
      </w:r>
      <w:r w:rsidR="00680ADA" w:rsidRPr="00F1180D">
        <w:rPr>
          <w:lang w:val="fr-FR" w:bidi="ar-KW"/>
        </w:rPr>
        <w:t>,</w:t>
      </w:r>
      <w:r w:rsidR="000C6D4A" w:rsidRPr="00F1180D">
        <w:rPr>
          <w:lang w:val="fr-FR" w:bidi="ar-KW"/>
        </w:rPr>
        <w:t xml:space="preserve"> les clubs de remise en forme</w:t>
      </w:r>
      <w:r w:rsidR="00680ADA" w:rsidRPr="00F1180D">
        <w:rPr>
          <w:lang w:val="fr-FR" w:bidi="ar-KW"/>
        </w:rPr>
        <w:t>,</w:t>
      </w:r>
      <w:r w:rsidR="000C6D4A" w:rsidRPr="00F1180D">
        <w:rPr>
          <w:lang w:val="fr-FR" w:bidi="ar-KW"/>
        </w:rPr>
        <w:t xml:space="preserve"> etc. </w:t>
      </w:r>
    </w:p>
    <w:p w:rsidR="000C6D4A" w:rsidRPr="00F1180D" w:rsidRDefault="00764D7B" w:rsidP="00680ADA">
      <w:pPr>
        <w:pStyle w:val="SingleTxtG"/>
        <w:rPr>
          <w:lang w:val="fr-FR" w:bidi="ar-KW"/>
        </w:rPr>
      </w:pPr>
      <w:r w:rsidRPr="00F1180D">
        <w:rPr>
          <w:lang w:val="fr-FR" w:bidi="ar-KW"/>
        </w:rPr>
        <w:tab/>
      </w:r>
      <w:r w:rsidR="000C6D4A" w:rsidRPr="00F1180D">
        <w:rPr>
          <w:lang w:val="fr-FR" w:bidi="ar-KW"/>
        </w:rPr>
        <w:t>10</w:t>
      </w:r>
      <w:r w:rsidRPr="00F1180D">
        <w:rPr>
          <w:lang w:val="fr-FR" w:bidi="ar-KW"/>
        </w:rPr>
        <w:t>.</w:t>
      </w:r>
      <w:r w:rsidR="000C6D4A" w:rsidRPr="00F1180D">
        <w:rPr>
          <w:lang w:val="fr-FR" w:bidi="ar-KW"/>
        </w:rPr>
        <w:tab/>
        <w:t>Les femmes actives ont droit à deux</w:t>
      </w:r>
      <w:r w:rsidR="002C7BC5" w:rsidRPr="00F1180D">
        <w:rPr>
          <w:lang w:val="fr-FR" w:bidi="ar-KW"/>
        </w:rPr>
        <w:t> heures</w:t>
      </w:r>
      <w:r w:rsidR="000C6D4A" w:rsidRPr="00F1180D">
        <w:rPr>
          <w:lang w:val="fr-FR" w:bidi="ar-KW"/>
        </w:rPr>
        <w:t xml:space="preserve"> de pause d</w:t>
      </w:r>
      <w:r w:rsidR="00680ADA" w:rsidRPr="00F1180D">
        <w:rPr>
          <w:lang w:val="fr-FR" w:bidi="ar-KW"/>
        </w:rPr>
        <w:t>’</w:t>
      </w:r>
      <w:r w:rsidR="000C6D4A" w:rsidRPr="00F1180D">
        <w:rPr>
          <w:lang w:val="fr-FR" w:bidi="ar-KW"/>
        </w:rPr>
        <w:t>allaitement pendant la journée de travail</w:t>
      </w:r>
      <w:r w:rsidR="00680ADA" w:rsidRPr="00F1180D">
        <w:rPr>
          <w:lang w:val="fr-FR" w:bidi="ar-KW"/>
        </w:rPr>
        <w:t>,</w:t>
      </w:r>
      <w:r w:rsidR="000C6D4A" w:rsidRPr="00F1180D">
        <w:rPr>
          <w:lang w:val="fr-FR" w:bidi="ar-KW"/>
        </w:rPr>
        <w:t xml:space="preserve"> conformément aux conditions et modalités fixées par le Ministère à cet effet. </w:t>
      </w:r>
    </w:p>
    <w:p w:rsidR="000C6D4A" w:rsidRPr="00F1180D" w:rsidRDefault="00764D7B" w:rsidP="00680ADA">
      <w:pPr>
        <w:pStyle w:val="SingleTxtG"/>
        <w:rPr>
          <w:lang w:val="fr-FR" w:bidi="ar-KW"/>
        </w:rPr>
      </w:pPr>
      <w:r w:rsidRPr="00F1180D">
        <w:rPr>
          <w:lang w:val="fr-FR" w:bidi="ar-KW"/>
        </w:rPr>
        <w:tab/>
      </w:r>
      <w:r w:rsidR="000C6D4A" w:rsidRPr="00F1180D">
        <w:rPr>
          <w:lang w:val="fr-FR" w:bidi="ar-KW"/>
        </w:rPr>
        <w:t>11</w:t>
      </w:r>
      <w:r w:rsidRPr="00F1180D">
        <w:rPr>
          <w:lang w:val="fr-FR" w:bidi="ar-KW"/>
        </w:rPr>
        <w:t>.</w:t>
      </w:r>
      <w:r w:rsidR="000C6D4A" w:rsidRPr="00F1180D">
        <w:rPr>
          <w:lang w:val="fr-FR" w:bidi="ar-KW"/>
        </w:rPr>
        <w:tab/>
        <w:t>Les entreprises employant au moins 50 femmes salariées</w:t>
      </w:r>
      <w:r w:rsidR="00680ADA" w:rsidRPr="00F1180D">
        <w:rPr>
          <w:lang w:val="fr-FR" w:bidi="ar-KW"/>
        </w:rPr>
        <w:t>,</w:t>
      </w:r>
      <w:r w:rsidR="000C6D4A" w:rsidRPr="00F1180D">
        <w:rPr>
          <w:lang w:val="fr-FR" w:bidi="ar-KW"/>
        </w:rPr>
        <w:t xml:space="preserve"> ou regroupant au total plus de 200 salariés</w:t>
      </w:r>
      <w:r w:rsidR="00680ADA" w:rsidRPr="00F1180D">
        <w:rPr>
          <w:lang w:val="fr-FR" w:bidi="ar-KW"/>
        </w:rPr>
        <w:t>,</w:t>
      </w:r>
      <w:r w:rsidR="000C6D4A" w:rsidRPr="00F1180D">
        <w:rPr>
          <w:lang w:val="fr-FR" w:bidi="ar-KW"/>
        </w:rPr>
        <w:t xml:space="preserve"> doivent aménager sur le lieu de travail des crèches destinées aux enfants âgés de moins de 4</w:t>
      </w:r>
      <w:r w:rsidR="00524736" w:rsidRPr="00F1180D">
        <w:rPr>
          <w:lang w:val="fr-FR" w:bidi="ar-KW"/>
        </w:rPr>
        <w:t> ans</w:t>
      </w:r>
      <w:r w:rsidR="000C6D4A" w:rsidRPr="00F1180D">
        <w:rPr>
          <w:lang w:val="fr-FR" w:bidi="ar-KW"/>
        </w:rPr>
        <w:t xml:space="preserve">. </w:t>
      </w:r>
    </w:p>
    <w:p w:rsidR="000C6D4A" w:rsidRPr="00F1180D" w:rsidRDefault="00764D7B" w:rsidP="00680ADA">
      <w:pPr>
        <w:pStyle w:val="SingleTxtG"/>
        <w:rPr>
          <w:lang w:val="fr-FR" w:bidi="ar-KW"/>
        </w:rPr>
      </w:pPr>
      <w:r w:rsidRPr="00F1180D">
        <w:rPr>
          <w:lang w:val="fr-FR" w:bidi="ar-KW"/>
        </w:rPr>
        <w:tab/>
      </w:r>
      <w:r w:rsidR="000C6D4A" w:rsidRPr="00F1180D">
        <w:rPr>
          <w:lang w:val="fr-FR" w:bidi="ar-KW"/>
        </w:rPr>
        <w:t>12</w:t>
      </w:r>
      <w:r w:rsidRPr="00F1180D">
        <w:rPr>
          <w:lang w:val="fr-FR" w:bidi="ar-KW"/>
        </w:rPr>
        <w:t>.</w:t>
      </w:r>
      <w:r w:rsidR="000C6D4A" w:rsidRPr="00F1180D">
        <w:rPr>
          <w:lang w:val="fr-FR" w:bidi="ar-KW"/>
        </w:rPr>
        <w:tab/>
        <w:t>Des retenues sur salaire sont prélevées pour alimenter une caisse appelée à financer des activités sociales</w:t>
      </w:r>
      <w:r w:rsidR="00680ADA" w:rsidRPr="00F1180D">
        <w:rPr>
          <w:lang w:val="fr-FR" w:bidi="ar-KW"/>
        </w:rPr>
        <w:t>,</w:t>
      </w:r>
      <w:r w:rsidR="000C6D4A" w:rsidRPr="00F1180D">
        <w:rPr>
          <w:lang w:val="fr-FR" w:bidi="ar-KW"/>
        </w:rPr>
        <w:t xml:space="preserve"> économiques et culturelles visant à améliorer le bien-être des travailleurs. </w:t>
      </w:r>
    </w:p>
    <w:p w:rsidR="000C6D4A" w:rsidRPr="00F1180D" w:rsidRDefault="00764D7B" w:rsidP="00680ADA">
      <w:pPr>
        <w:pStyle w:val="SingleTxtG"/>
        <w:rPr>
          <w:lang w:val="fr-FR" w:bidi="ar-KW"/>
        </w:rPr>
      </w:pPr>
      <w:r w:rsidRPr="00F1180D">
        <w:rPr>
          <w:lang w:val="fr-FR" w:bidi="ar-KW"/>
        </w:rPr>
        <w:tab/>
      </w:r>
      <w:r w:rsidR="000C6D4A" w:rsidRPr="00F1180D">
        <w:rPr>
          <w:lang w:val="fr-FR" w:bidi="ar-KW"/>
        </w:rPr>
        <w:t>13</w:t>
      </w:r>
      <w:r w:rsidRPr="00F1180D">
        <w:rPr>
          <w:lang w:val="fr-FR" w:bidi="ar-KW"/>
        </w:rPr>
        <w:t>.</w:t>
      </w:r>
      <w:r w:rsidR="000C6D4A" w:rsidRPr="00F1180D">
        <w:rPr>
          <w:lang w:val="fr-FR" w:bidi="ar-KW"/>
        </w:rPr>
        <w:tab/>
        <w:t>La rémunération due aux salariés est calculée sur la base du dernier salaire perçu</w:t>
      </w:r>
      <w:r w:rsidR="00680ADA" w:rsidRPr="00F1180D">
        <w:rPr>
          <w:lang w:val="fr-FR" w:bidi="ar-KW"/>
        </w:rPr>
        <w:t>;</w:t>
      </w:r>
      <w:r w:rsidR="000C6D4A" w:rsidRPr="00F1180D">
        <w:rPr>
          <w:lang w:val="fr-FR" w:bidi="ar-KW"/>
        </w:rPr>
        <w:t xml:space="preserve"> si le travailleur est rémunéré à la pièce</w:t>
      </w:r>
      <w:r w:rsidR="00680ADA" w:rsidRPr="00F1180D">
        <w:rPr>
          <w:lang w:val="fr-FR" w:bidi="ar-KW"/>
        </w:rPr>
        <w:t>,</w:t>
      </w:r>
      <w:r w:rsidR="000C6D4A" w:rsidRPr="00F1180D">
        <w:rPr>
          <w:lang w:val="fr-FR" w:bidi="ar-KW"/>
        </w:rPr>
        <w:t xml:space="preserve"> sa rétribution est déterminée sur la base de la moyenne des sommes perçues au titre des journées de travail effectives au cours des trois mois précédents. </w:t>
      </w:r>
    </w:p>
    <w:p w:rsidR="000C6D4A" w:rsidRPr="00F1180D" w:rsidRDefault="00EC0654" w:rsidP="00680ADA">
      <w:pPr>
        <w:pStyle w:val="SingleTxtG"/>
        <w:rPr>
          <w:lang w:val="fr-FR" w:bidi="ar-KW"/>
        </w:rPr>
      </w:pPr>
      <w:r w:rsidRPr="00F1180D">
        <w:rPr>
          <w:lang w:val="fr-FR" w:bidi="ar-KW"/>
        </w:rPr>
        <w:tab/>
      </w:r>
      <w:r w:rsidR="000C6D4A" w:rsidRPr="00F1180D">
        <w:rPr>
          <w:lang w:val="fr-FR" w:bidi="ar-KW"/>
        </w:rPr>
        <w:t>14</w:t>
      </w:r>
      <w:r w:rsidRPr="00F1180D">
        <w:rPr>
          <w:lang w:val="fr-FR" w:bidi="ar-KW"/>
        </w:rPr>
        <w:t>.</w:t>
      </w:r>
      <w:r w:rsidRPr="00F1180D">
        <w:rPr>
          <w:lang w:val="fr-FR" w:bidi="ar-KW"/>
        </w:rPr>
        <w:tab/>
      </w:r>
      <w:r w:rsidR="000C6D4A" w:rsidRPr="00F1180D">
        <w:rPr>
          <w:lang w:val="fr-FR" w:bidi="ar-KW"/>
        </w:rPr>
        <w:t>Les actions intentées par les salariés une année après l</w:t>
      </w:r>
      <w:r w:rsidR="00680ADA" w:rsidRPr="00F1180D">
        <w:rPr>
          <w:lang w:val="fr-FR" w:bidi="ar-KW"/>
        </w:rPr>
        <w:t>’</w:t>
      </w:r>
      <w:r w:rsidR="000C6D4A" w:rsidRPr="00F1180D">
        <w:rPr>
          <w:lang w:val="fr-FR" w:bidi="ar-KW"/>
        </w:rPr>
        <w:t xml:space="preserve">expiration du contrat de travail ne sont pas recevables selon la loi et relèvent des dispositions pertinentes du </w:t>
      </w:r>
      <w:r w:rsidR="00410CA5" w:rsidRPr="00F1180D">
        <w:rPr>
          <w:lang w:val="fr-FR" w:bidi="ar-KW"/>
        </w:rPr>
        <w:t>paragraphe </w:t>
      </w:r>
      <w:r w:rsidR="000C6D4A" w:rsidRPr="00F1180D">
        <w:rPr>
          <w:lang w:val="fr-FR" w:bidi="ar-KW"/>
        </w:rPr>
        <w:t>2 de l</w:t>
      </w:r>
      <w:r w:rsidR="00680ADA" w:rsidRPr="00F1180D">
        <w:rPr>
          <w:lang w:val="fr-FR" w:bidi="ar-KW"/>
        </w:rPr>
        <w:t>’</w:t>
      </w:r>
      <w:r w:rsidR="00163207" w:rsidRPr="00F1180D">
        <w:rPr>
          <w:lang w:val="fr-FR" w:bidi="ar-KW"/>
        </w:rPr>
        <w:t>article </w:t>
      </w:r>
      <w:r w:rsidR="000C6D4A" w:rsidRPr="00F1180D">
        <w:rPr>
          <w:lang w:val="fr-FR" w:bidi="ar-KW"/>
        </w:rPr>
        <w:t>442 du Code civil</w:t>
      </w:r>
      <w:r w:rsidR="00680ADA" w:rsidRPr="00F1180D">
        <w:rPr>
          <w:lang w:val="fr-FR" w:bidi="ar-KW"/>
        </w:rPr>
        <w:t>,</w:t>
      </w:r>
      <w:r w:rsidR="000C6D4A" w:rsidRPr="00F1180D">
        <w:rPr>
          <w:lang w:val="fr-FR" w:bidi="ar-KW"/>
        </w:rPr>
        <w:t xml:space="preserve"> étant précisé que les actions intentées par les salariés ou leurs ayants droit sont exonérées des frais de justice</w:t>
      </w:r>
      <w:r w:rsidR="00680ADA" w:rsidRPr="00F1180D">
        <w:rPr>
          <w:lang w:val="fr-FR" w:bidi="ar-KW"/>
        </w:rPr>
        <w:t>;</w:t>
      </w:r>
      <w:r w:rsidR="000C6D4A" w:rsidRPr="00F1180D">
        <w:rPr>
          <w:lang w:val="fr-FR" w:bidi="ar-KW"/>
        </w:rPr>
        <w:t xml:space="preserve"> toutefois</w:t>
      </w:r>
      <w:r w:rsidR="00680ADA" w:rsidRPr="00F1180D">
        <w:rPr>
          <w:lang w:val="fr-FR" w:bidi="ar-KW"/>
        </w:rPr>
        <w:t>,</w:t>
      </w:r>
      <w:r w:rsidR="000C6D4A" w:rsidRPr="00F1180D">
        <w:rPr>
          <w:lang w:val="fr-FR" w:bidi="ar-KW"/>
        </w:rPr>
        <w:t xml:space="preserve"> si l</w:t>
      </w:r>
      <w:r w:rsidR="00680ADA" w:rsidRPr="00F1180D">
        <w:rPr>
          <w:lang w:val="fr-FR" w:bidi="ar-KW"/>
        </w:rPr>
        <w:t>’</w:t>
      </w:r>
      <w:r w:rsidR="000C6D4A" w:rsidRPr="00F1180D">
        <w:rPr>
          <w:lang w:val="fr-FR" w:bidi="ar-KW"/>
        </w:rPr>
        <w:t>action est irrecevable</w:t>
      </w:r>
      <w:r w:rsidR="00680ADA" w:rsidRPr="00F1180D">
        <w:rPr>
          <w:lang w:val="fr-FR" w:bidi="ar-KW"/>
        </w:rPr>
        <w:t>,</w:t>
      </w:r>
      <w:r w:rsidR="000C6D4A" w:rsidRPr="00F1180D">
        <w:rPr>
          <w:lang w:val="fr-FR" w:bidi="ar-KW"/>
        </w:rPr>
        <w:t xml:space="preserve"> le tribunal peut condamner les demandeurs à payer tout ou une partie de ces frais. Dans ce domaine</w:t>
      </w:r>
      <w:r w:rsidR="00680ADA" w:rsidRPr="00F1180D">
        <w:rPr>
          <w:lang w:val="fr-FR" w:bidi="ar-KW"/>
        </w:rPr>
        <w:t>,</w:t>
      </w:r>
      <w:r w:rsidR="000C6D4A" w:rsidRPr="00F1180D">
        <w:rPr>
          <w:lang w:val="fr-FR" w:bidi="ar-KW"/>
        </w:rPr>
        <w:t xml:space="preserve"> les litiges sont classés parmi les affaires urgentes.</w:t>
      </w:r>
    </w:p>
    <w:p w:rsidR="000C6D4A" w:rsidRPr="00F1180D" w:rsidRDefault="00823836" w:rsidP="00680ADA">
      <w:pPr>
        <w:pStyle w:val="SingleTxtG"/>
        <w:rPr>
          <w:lang w:val="fr-FR" w:bidi="ar-KW"/>
        </w:rPr>
      </w:pPr>
      <w:r w:rsidRPr="00F1180D">
        <w:rPr>
          <w:lang w:val="fr-FR" w:bidi="ar-KW"/>
        </w:rPr>
        <w:tab/>
      </w:r>
      <w:r w:rsidR="000C6D4A" w:rsidRPr="00F1180D">
        <w:rPr>
          <w:lang w:val="fr-FR" w:bidi="ar-KW"/>
        </w:rPr>
        <w:t>15</w:t>
      </w:r>
      <w:r w:rsidRPr="00F1180D">
        <w:rPr>
          <w:lang w:val="fr-FR" w:bidi="ar-KW"/>
        </w:rPr>
        <w:t>.</w:t>
      </w:r>
      <w:r w:rsidR="000C6D4A" w:rsidRPr="00F1180D">
        <w:rPr>
          <w:lang w:val="fr-FR" w:bidi="ar-KW"/>
        </w:rPr>
        <w:tab/>
        <w:t>Nonobstant les dispositions de l</w:t>
      </w:r>
      <w:r w:rsidR="00680ADA" w:rsidRPr="00F1180D">
        <w:rPr>
          <w:lang w:val="fr-FR" w:bidi="ar-KW"/>
        </w:rPr>
        <w:t>’</w:t>
      </w:r>
      <w:r w:rsidR="00163207" w:rsidRPr="00F1180D">
        <w:rPr>
          <w:lang w:val="fr-FR" w:bidi="ar-KW"/>
        </w:rPr>
        <w:t>article </w:t>
      </w:r>
      <w:r w:rsidR="000C6D4A" w:rsidRPr="00F1180D">
        <w:rPr>
          <w:lang w:val="fr-FR" w:bidi="ar-KW"/>
        </w:rPr>
        <w:t>1074 du Code civil</w:t>
      </w:r>
      <w:r w:rsidR="00680ADA" w:rsidRPr="00F1180D">
        <w:rPr>
          <w:lang w:val="fr-FR" w:bidi="ar-KW"/>
        </w:rPr>
        <w:t>,</w:t>
      </w:r>
      <w:r w:rsidR="000C6D4A" w:rsidRPr="00F1180D">
        <w:rPr>
          <w:lang w:val="fr-FR" w:bidi="ar-KW"/>
        </w:rPr>
        <w:t xml:space="preserve"> la loi a institué au profit des travailleurs un droit de créance prioritaire sur la totalité des biens de l</w:t>
      </w:r>
      <w:r w:rsidR="00680ADA" w:rsidRPr="00F1180D">
        <w:rPr>
          <w:lang w:val="fr-FR" w:bidi="ar-KW"/>
        </w:rPr>
        <w:t>’</w:t>
      </w:r>
      <w:r w:rsidR="000C6D4A" w:rsidRPr="00F1180D">
        <w:rPr>
          <w:lang w:val="fr-FR" w:bidi="ar-KW"/>
        </w:rPr>
        <w:t>employeur</w:t>
      </w:r>
      <w:r w:rsidR="00680ADA" w:rsidRPr="00F1180D">
        <w:rPr>
          <w:lang w:val="fr-FR" w:bidi="ar-KW"/>
        </w:rPr>
        <w:t>,</w:t>
      </w:r>
      <w:r w:rsidR="000C6D4A" w:rsidRPr="00F1180D">
        <w:rPr>
          <w:lang w:val="fr-FR" w:bidi="ar-KW"/>
        </w:rPr>
        <w:t xml:space="preserve"> tant meubles qu</w:t>
      </w:r>
      <w:r w:rsidR="00680ADA" w:rsidRPr="00F1180D">
        <w:rPr>
          <w:lang w:val="fr-FR" w:bidi="ar-KW"/>
        </w:rPr>
        <w:t>’</w:t>
      </w:r>
      <w:r w:rsidR="000C6D4A" w:rsidRPr="00F1180D">
        <w:rPr>
          <w:lang w:val="fr-FR" w:bidi="ar-KW"/>
        </w:rPr>
        <w:t>immeubles</w:t>
      </w:r>
      <w:r w:rsidR="00680ADA" w:rsidRPr="00F1180D">
        <w:rPr>
          <w:lang w:val="fr-FR" w:bidi="ar-KW"/>
        </w:rPr>
        <w:t>,</w:t>
      </w:r>
      <w:r w:rsidR="000C6D4A" w:rsidRPr="00F1180D">
        <w:rPr>
          <w:lang w:val="fr-FR" w:bidi="ar-KW"/>
        </w:rPr>
        <w:t xml:space="preserve"> hormis le domicile privé</w:t>
      </w:r>
      <w:r w:rsidR="00680ADA" w:rsidRPr="00F1180D">
        <w:rPr>
          <w:lang w:val="fr-FR" w:bidi="ar-KW"/>
        </w:rPr>
        <w:t>,</w:t>
      </w:r>
      <w:r w:rsidR="000C6D4A" w:rsidRPr="00F1180D">
        <w:rPr>
          <w:lang w:val="fr-FR" w:bidi="ar-KW"/>
        </w:rPr>
        <w:t xml:space="preserve"> qui prévaut sur toutes les autres dettes de l</w:t>
      </w:r>
      <w:r w:rsidR="00680ADA" w:rsidRPr="00F1180D">
        <w:rPr>
          <w:lang w:val="fr-FR" w:bidi="ar-KW"/>
        </w:rPr>
        <w:t>’</w:t>
      </w:r>
      <w:r w:rsidR="000C6D4A" w:rsidRPr="00F1180D">
        <w:rPr>
          <w:lang w:val="fr-FR" w:bidi="ar-KW"/>
        </w:rPr>
        <w:t>employeur après le paiement des frais de justice</w:t>
      </w:r>
      <w:r w:rsidR="00680ADA" w:rsidRPr="00F1180D">
        <w:rPr>
          <w:lang w:val="fr-FR" w:bidi="ar-KW"/>
        </w:rPr>
        <w:t>,</w:t>
      </w:r>
      <w:r w:rsidR="000C6D4A" w:rsidRPr="00F1180D">
        <w:rPr>
          <w:lang w:val="fr-FR" w:bidi="ar-KW"/>
        </w:rPr>
        <w:t xml:space="preserve"> des sommes dues au Trésor public et de celles retenues à titre conservatoire ou indemnitaire. </w:t>
      </w:r>
    </w:p>
    <w:p w:rsidR="00BC37A2" w:rsidRDefault="00BC37A2" w:rsidP="00680ADA">
      <w:pPr>
        <w:pStyle w:val="SingleTxtG"/>
        <w:rPr>
          <w:lang w:val="fr-FR" w:bidi="ar-KW"/>
        </w:rPr>
      </w:pPr>
      <w:r>
        <w:rPr>
          <w:lang w:val="fr-FR" w:bidi="ar-KW"/>
        </w:rPr>
        <w:t>67.</w:t>
      </w:r>
      <w:r>
        <w:rPr>
          <w:lang w:val="fr-FR" w:bidi="ar-KW"/>
        </w:rPr>
        <w:tab/>
      </w:r>
      <w:r w:rsidR="000C6D4A" w:rsidRPr="00F1180D">
        <w:rPr>
          <w:lang w:val="fr-FR" w:bidi="ar-KW"/>
        </w:rPr>
        <w:t>Il apparaît clairement que la loi sur l</w:t>
      </w:r>
      <w:r w:rsidR="00680ADA" w:rsidRPr="00F1180D">
        <w:rPr>
          <w:lang w:val="fr-FR" w:bidi="ar-KW"/>
        </w:rPr>
        <w:t>’</w:t>
      </w:r>
      <w:r w:rsidR="000C6D4A" w:rsidRPr="00F1180D">
        <w:rPr>
          <w:lang w:val="fr-FR" w:bidi="ar-KW"/>
        </w:rPr>
        <w:t>emploi dans le secteur privé</w:t>
      </w:r>
      <w:r w:rsidR="00680ADA" w:rsidRPr="00F1180D">
        <w:rPr>
          <w:lang w:val="fr-FR" w:bidi="ar-KW"/>
        </w:rPr>
        <w:t>,</w:t>
      </w:r>
      <w:r w:rsidR="000C6D4A" w:rsidRPr="00F1180D">
        <w:rPr>
          <w:lang w:val="fr-FR" w:bidi="ar-KW"/>
        </w:rPr>
        <w:t xml:space="preserve"> en se fondant sur les dispositions constitutionnelles</w:t>
      </w:r>
      <w:r w:rsidR="00680ADA" w:rsidRPr="00F1180D">
        <w:rPr>
          <w:lang w:val="fr-FR" w:bidi="ar-KW"/>
        </w:rPr>
        <w:t>,</w:t>
      </w:r>
      <w:r w:rsidR="000C6D4A" w:rsidRPr="00F1180D">
        <w:rPr>
          <w:lang w:val="fr-FR" w:bidi="ar-KW"/>
        </w:rPr>
        <w:t xml:space="preserve"> a prêté une attention particulière au droit au travail et au libre choix de l</w:t>
      </w:r>
      <w:r w:rsidR="00680ADA" w:rsidRPr="00F1180D">
        <w:rPr>
          <w:lang w:val="fr-FR" w:bidi="ar-KW"/>
        </w:rPr>
        <w:t>’</w:t>
      </w:r>
      <w:r w:rsidR="000C6D4A" w:rsidRPr="00F1180D">
        <w:rPr>
          <w:lang w:val="fr-FR" w:bidi="ar-KW"/>
        </w:rPr>
        <w:t>emploi</w:t>
      </w:r>
      <w:r w:rsidR="00680ADA" w:rsidRPr="00F1180D">
        <w:rPr>
          <w:lang w:val="fr-FR" w:bidi="ar-KW"/>
        </w:rPr>
        <w:t>,</w:t>
      </w:r>
      <w:r w:rsidR="000C6D4A" w:rsidRPr="00F1180D">
        <w:rPr>
          <w:lang w:val="fr-FR" w:bidi="ar-KW"/>
        </w:rPr>
        <w:t xml:space="preserve"> à des conditions équitables et satisfaisantes de travail</w:t>
      </w:r>
      <w:r w:rsidR="00680ADA" w:rsidRPr="00F1180D">
        <w:rPr>
          <w:lang w:val="fr-FR" w:bidi="ar-KW"/>
        </w:rPr>
        <w:t>,</w:t>
      </w:r>
      <w:r w:rsidR="000C6D4A" w:rsidRPr="00F1180D">
        <w:rPr>
          <w:lang w:val="fr-FR" w:bidi="ar-KW"/>
        </w:rPr>
        <w:t xml:space="preserve"> au principe du salaire égal pour un travail de valeur égale</w:t>
      </w:r>
      <w:r w:rsidR="00680ADA" w:rsidRPr="00F1180D">
        <w:rPr>
          <w:lang w:val="fr-FR" w:bidi="ar-KW"/>
        </w:rPr>
        <w:t>,</w:t>
      </w:r>
      <w:r w:rsidR="000C6D4A" w:rsidRPr="00F1180D">
        <w:rPr>
          <w:lang w:val="fr-FR" w:bidi="ar-KW"/>
        </w:rPr>
        <w:t xml:space="preserve"> ainsi qu</w:t>
      </w:r>
      <w:r w:rsidR="00680ADA" w:rsidRPr="00F1180D">
        <w:rPr>
          <w:lang w:val="fr-FR" w:bidi="ar-KW"/>
        </w:rPr>
        <w:t>’</w:t>
      </w:r>
      <w:r w:rsidR="000C6D4A" w:rsidRPr="00F1180D">
        <w:rPr>
          <w:lang w:val="fr-FR" w:bidi="ar-KW"/>
        </w:rPr>
        <w:t>à la détermination d</w:t>
      </w:r>
      <w:r w:rsidR="00680ADA" w:rsidRPr="00F1180D">
        <w:rPr>
          <w:lang w:val="fr-FR" w:bidi="ar-KW"/>
        </w:rPr>
        <w:t>’</w:t>
      </w:r>
      <w:r w:rsidR="000C6D4A" w:rsidRPr="00F1180D">
        <w:rPr>
          <w:lang w:val="fr-FR" w:bidi="ar-KW"/>
        </w:rPr>
        <w:t>une rémunération équitable et satisfaisante sans distinction de race</w:t>
      </w:r>
      <w:r w:rsidR="00680ADA" w:rsidRPr="00F1180D">
        <w:rPr>
          <w:lang w:val="fr-FR" w:bidi="ar-KW"/>
        </w:rPr>
        <w:t>,</w:t>
      </w:r>
      <w:r w:rsidR="000C6D4A" w:rsidRPr="00F1180D">
        <w:rPr>
          <w:lang w:val="fr-FR" w:bidi="ar-KW"/>
        </w:rPr>
        <w:t xml:space="preserve"> de sexe</w:t>
      </w:r>
      <w:r w:rsidR="00680ADA" w:rsidRPr="00F1180D">
        <w:rPr>
          <w:lang w:val="fr-FR" w:bidi="ar-KW"/>
        </w:rPr>
        <w:t>,</w:t>
      </w:r>
      <w:r>
        <w:rPr>
          <w:lang w:val="fr-FR" w:bidi="ar-KW"/>
        </w:rPr>
        <w:t xml:space="preserve"> de langue ou de religion.</w:t>
      </w:r>
    </w:p>
    <w:p w:rsidR="000C6D4A" w:rsidRPr="00F1180D" w:rsidRDefault="00BC37A2" w:rsidP="00680ADA">
      <w:pPr>
        <w:pStyle w:val="SingleTxtG"/>
        <w:rPr>
          <w:rtl/>
          <w:lang w:val="fr-FR" w:bidi="ar-KW"/>
        </w:rPr>
      </w:pPr>
      <w:r>
        <w:rPr>
          <w:lang w:val="fr-FR" w:bidi="ar-KW"/>
        </w:rPr>
        <w:t>68</w:t>
      </w:r>
      <w:r>
        <w:rPr>
          <w:rtl/>
          <w:lang w:val="fr-FR" w:bidi="fr-FR"/>
        </w:rPr>
        <w:t>.</w:t>
      </w:r>
      <w:r>
        <w:rPr>
          <w:rtl/>
          <w:lang w:val="fr-FR" w:bidi="fr-FR"/>
        </w:rPr>
        <w:tab/>
      </w:r>
      <w:r w:rsidR="000C6D4A" w:rsidRPr="00F1180D">
        <w:rPr>
          <w:lang w:val="fr-FR" w:bidi="ar-KW"/>
        </w:rPr>
        <w:t xml:space="preserve">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19 de 2000 relative au soutien de la main d</w:t>
      </w:r>
      <w:r w:rsidR="00680ADA" w:rsidRPr="00F1180D">
        <w:rPr>
          <w:lang w:val="fr-FR" w:bidi="ar-KW"/>
        </w:rPr>
        <w:t>’</w:t>
      </w:r>
      <w:r w:rsidR="00823836" w:rsidRPr="00F1180D">
        <w:rPr>
          <w:lang w:val="fr-FR" w:bidi="ar-KW"/>
        </w:rPr>
        <w:t>œuvre</w:t>
      </w:r>
      <w:r w:rsidR="000C6D4A" w:rsidRPr="00F1180D">
        <w:rPr>
          <w:lang w:val="fr-FR" w:bidi="ar-KW"/>
        </w:rPr>
        <w:t xml:space="preserve"> nationale et à son encouragement à travailler dans les secteurs non étatiques a été promulguée et énonce ce qui suit dans son </w:t>
      </w:r>
      <w:r w:rsidR="00163207" w:rsidRPr="00F1180D">
        <w:rPr>
          <w:lang w:val="fr-FR" w:bidi="ar-KW"/>
        </w:rPr>
        <w:t>article </w:t>
      </w:r>
      <w:r w:rsidR="000C6D4A" w:rsidRPr="00F1180D">
        <w:rPr>
          <w:lang w:val="fr-FR" w:bidi="ar-KW"/>
        </w:rPr>
        <w:t>3</w:t>
      </w:r>
      <w:r w:rsidR="00680ADA" w:rsidRPr="00F1180D">
        <w:rPr>
          <w:lang w:val="fr-FR" w:bidi="ar-KW"/>
        </w:rPr>
        <w:t>:</w:t>
      </w:r>
      <w:r w:rsidR="000C6D4A" w:rsidRPr="00F1180D">
        <w:rPr>
          <w:lang w:val="fr-FR" w:bidi="ar-KW"/>
        </w:rPr>
        <w:t xml:space="preserve"> </w:t>
      </w:r>
    </w:p>
    <w:p w:rsidR="000C6D4A" w:rsidRPr="00F1180D" w:rsidRDefault="00BC37A2" w:rsidP="00680ADA">
      <w:pPr>
        <w:pStyle w:val="SingleTxtG"/>
        <w:rPr>
          <w:rtl/>
          <w:lang w:val="fr-FR" w:bidi="fr-FR"/>
        </w:rPr>
      </w:pPr>
      <w:r>
        <w:rPr>
          <w:lang w:val="fr-FR" w:bidi="ar-KW"/>
        </w:rPr>
        <w:t>69.</w:t>
      </w:r>
      <w:r>
        <w:rPr>
          <w:lang w:val="fr-FR" w:bidi="ar-KW"/>
        </w:rPr>
        <w:tab/>
      </w:r>
      <w:r w:rsidR="000C6D4A" w:rsidRPr="00F1180D">
        <w:rPr>
          <w:lang w:val="fr-FR" w:bidi="ar-KW"/>
        </w:rPr>
        <w:t>Le Gouvernement accorde aux employés</w:t>
      </w:r>
      <w:r w:rsidR="00680ADA" w:rsidRPr="00F1180D">
        <w:rPr>
          <w:lang w:val="fr-FR" w:bidi="ar-KW"/>
        </w:rPr>
        <w:t>,</w:t>
      </w:r>
      <w:r w:rsidR="000C6D4A" w:rsidRPr="00F1180D">
        <w:rPr>
          <w:lang w:val="fr-FR" w:bidi="ar-KW"/>
        </w:rPr>
        <w:t xml:space="preserve"> aux artisans et à toutes les autres catégories de travailleurs une allocation sociale et une allocation au titre des enfants à charge. Le Conseil des ministres édicte</w:t>
      </w:r>
      <w:r w:rsidR="00680ADA" w:rsidRPr="00F1180D">
        <w:rPr>
          <w:lang w:val="fr-FR" w:bidi="ar-KW"/>
        </w:rPr>
        <w:t>,</w:t>
      </w:r>
      <w:r w:rsidR="000C6D4A" w:rsidRPr="00F1180D">
        <w:rPr>
          <w:lang w:val="fr-FR" w:bidi="ar-KW"/>
        </w:rPr>
        <w:t xml:space="preserve"> sur avis du Conseil</w:t>
      </w:r>
      <w:r w:rsidR="00680ADA" w:rsidRPr="00F1180D">
        <w:rPr>
          <w:lang w:val="fr-FR" w:bidi="ar-KW"/>
        </w:rPr>
        <w:t>,</w:t>
      </w:r>
      <w:r w:rsidR="000C6D4A" w:rsidRPr="00F1180D">
        <w:rPr>
          <w:lang w:val="fr-FR" w:bidi="ar-KW"/>
        </w:rPr>
        <w:t xml:space="preserve"> les décrets organisant les modalités de leur attribution.</w:t>
      </w:r>
    </w:p>
    <w:p w:rsidR="000C6D4A" w:rsidRPr="00F1180D" w:rsidRDefault="00BC37A2" w:rsidP="00680ADA">
      <w:pPr>
        <w:pStyle w:val="SingleTxtG"/>
        <w:rPr>
          <w:rtl/>
          <w:lang w:val="fr-FR" w:bidi="fr-FR"/>
        </w:rPr>
      </w:pPr>
      <w:r>
        <w:rPr>
          <w:lang w:val="fr-FR" w:bidi="ar-KW"/>
        </w:rPr>
        <w:t>70.</w:t>
      </w:r>
      <w:r>
        <w:rPr>
          <w:lang w:val="fr-FR" w:bidi="ar-KW"/>
        </w:rPr>
        <w:tab/>
      </w:r>
      <w:r w:rsidR="000C6D4A" w:rsidRPr="00F1180D">
        <w:rPr>
          <w:lang w:val="fr-FR" w:bidi="ar-KW"/>
        </w:rPr>
        <w:t>Ces décrets fixent le montant de ces deux allocations</w:t>
      </w:r>
      <w:r w:rsidR="00680ADA" w:rsidRPr="00F1180D">
        <w:rPr>
          <w:lang w:val="fr-FR" w:bidi="ar-KW"/>
        </w:rPr>
        <w:t>,</w:t>
      </w:r>
      <w:r w:rsidR="000C6D4A" w:rsidRPr="00F1180D">
        <w:rPr>
          <w:lang w:val="fr-FR" w:bidi="ar-KW"/>
        </w:rPr>
        <w:t xml:space="preserve"> les critères de leur attribution</w:t>
      </w:r>
      <w:r w:rsidR="00680ADA" w:rsidRPr="00F1180D">
        <w:rPr>
          <w:lang w:val="fr-FR" w:bidi="ar-KW"/>
        </w:rPr>
        <w:t>,</w:t>
      </w:r>
      <w:r w:rsidR="000C6D4A" w:rsidRPr="00F1180D">
        <w:rPr>
          <w:lang w:val="fr-FR" w:bidi="ar-KW"/>
        </w:rPr>
        <w:t xml:space="preserve"> les professions et métiers qui peuvent en bénéficier et la durée pendant laquelle le Gouvernement est tenu de les verser. Le montant de l</w:t>
      </w:r>
      <w:r w:rsidR="00680ADA" w:rsidRPr="00F1180D">
        <w:rPr>
          <w:lang w:val="fr-FR" w:bidi="ar-KW"/>
        </w:rPr>
        <w:t>’</w:t>
      </w:r>
      <w:r w:rsidR="000C6D4A" w:rsidRPr="00F1180D">
        <w:rPr>
          <w:lang w:val="fr-FR" w:bidi="ar-KW"/>
        </w:rPr>
        <w:t>allocation est fixé à 50</w:t>
      </w:r>
      <w:r w:rsidR="009B1350" w:rsidRPr="00F1180D">
        <w:rPr>
          <w:lang w:val="fr-FR" w:bidi="ar-KW"/>
        </w:rPr>
        <w:t> dinars</w:t>
      </w:r>
      <w:r w:rsidR="000C6D4A" w:rsidRPr="00F1180D">
        <w:rPr>
          <w:lang w:val="fr-FR" w:bidi="ar-KW"/>
        </w:rPr>
        <w:t xml:space="preserve"> par enfant jusqu</w:t>
      </w:r>
      <w:r w:rsidR="00680ADA" w:rsidRPr="00F1180D">
        <w:rPr>
          <w:lang w:val="fr-FR" w:bidi="ar-KW"/>
        </w:rPr>
        <w:t>’</w:t>
      </w:r>
      <w:r w:rsidR="000C6D4A" w:rsidRPr="00F1180D">
        <w:rPr>
          <w:lang w:val="fr-FR" w:bidi="ar-KW"/>
        </w:rPr>
        <w:t>au septième.</w:t>
      </w:r>
    </w:p>
    <w:p w:rsidR="000C6D4A" w:rsidRPr="00F1180D" w:rsidRDefault="00BC37A2" w:rsidP="00680ADA">
      <w:pPr>
        <w:pStyle w:val="SingleTxtG"/>
        <w:rPr>
          <w:rtl/>
          <w:lang w:val="fr-FR" w:bidi="fr-FR"/>
        </w:rPr>
      </w:pPr>
      <w:r>
        <w:rPr>
          <w:lang w:val="fr-FR" w:bidi="ar-KW"/>
        </w:rPr>
        <w:t>71.</w:t>
      </w:r>
      <w:r>
        <w:rPr>
          <w:lang w:val="fr-FR" w:bidi="ar-KW"/>
        </w:rPr>
        <w:tab/>
      </w:r>
      <w:r w:rsidR="000C6D4A" w:rsidRPr="00F1180D">
        <w:rPr>
          <w:lang w:val="fr-FR" w:bidi="ar-KW"/>
        </w:rPr>
        <w:t>Pour concrétiser la politique publique d</w:t>
      </w:r>
      <w:r w:rsidR="00680ADA" w:rsidRPr="00F1180D">
        <w:rPr>
          <w:lang w:val="fr-FR" w:bidi="ar-KW"/>
        </w:rPr>
        <w:t>’</w:t>
      </w:r>
      <w:r w:rsidR="000C6D4A" w:rsidRPr="00F1180D">
        <w:rPr>
          <w:lang w:val="fr-FR" w:bidi="ar-KW"/>
        </w:rPr>
        <w:t>incitation de la main d</w:t>
      </w:r>
      <w:r w:rsidR="00680ADA" w:rsidRPr="00F1180D">
        <w:rPr>
          <w:lang w:val="fr-FR" w:bidi="ar-KW"/>
        </w:rPr>
        <w:t>’</w:t>
      </w:r>
      <w:r w:rsidR="00823836" w:rsidRPr="00F1180D">
        <w:rPr>
          <w:lang w:val="fr-FR" w:bidi="ar-KW"/>
        </w:rPr>
        <w:t>œuvre</w:t>
      </w:r>
      <w:r w:rsidR="000C6D4A" w:rsidRPr="00F1180D">
        <w:rPr>
          <w:lang w:val="fr-FR" w:bidi="ar-KW"/>
        </w:rPr>
        <w:t xml:space="preserve"> nationale à travailler dans le secteur privé</w:t>
      </w:r>
      <w:r w:rsidR="00680ADA" w:rsidRPr="00F1180D">
        <w:rPr>
          <w:lang w:val="fr-FR" w:bidi="ar-KW"/>
        </w:rPr>
        <w:t>,</w:t>
      </w:r>
      <w:r w:rsidR="000C6D4A" w:rsidRPr="00F1180D">
        <w:rPr>
          <w:lang w:val="fr-FR" w:bidi="ar-KW"/>
        </w:rPr>
        <w:t xml:space="preserve"> la loi a prévu plusieurs mesures qui ont atteint leurs objectifs et permis de surmonter les réticences des nationaux</w:t>
      </w:r>
      <w:r w:rsidR="00680ADA" w:rsidRPr="00F1180D">
        <w:rPr>
          <w:lang w:val="fr-FR" w:bidi="ar-KW"/>
        </w:rPr>
        <w:t>,</w:t>
      </w:r>
      <w:r w:rsidR="000C6D4A" w:rsidRPr="00F1180D">
        <w:rPr>
          <w:lang w:val="fr-FR" w:bidi="ar-KW"/>
        </w:rPr>
        <w:t xml:space="preserve"> notamment en réduisant les </w:t>
      </w:r>
      <w:r w:rsidR="000C6D4A" w:rsidRPr="00F1180D">
        <w:rPr>
          <w:lang w:val="fr-FR" w:bidi="ar-KW"/>
        </w:rPr>
        <w:lastRenderedPageBreak/>
        <w:t>écarts de rémunération par rapport au secteur public</w:t>
      </w:r>
      <w:r w:rsidR="00680ADA" w:rsidRPr="00F1180D">
        <w:rPr>
          <w:lang w:val="fr-FR" w:bidi="ar-KW"/>
        </w:rPr>
        <w:t>,</w:t>
      </w:r>
      <w:r w:rsidR="000C6D4A" w:rsidRPr="00F1180D">
        <w:rPr>
          <w:lang w:val="fr-FR" w:bidi="ar-KW"/>
        </w:rPr>
        <w:t xml:space="preserve"> tout en assurant la stabilité de l</w:t>
      </w:r>
      <w:r w:rsidR="00680ADA" w:rsidRPr="00F1180D">
        <w:rPr>
          <w:lang w:val="fr-FR" w:bidi="ar-KW"/>
        </w:rPr>
        <w:t>’</w:t>
      </w:r>
      <w:r w:rsidR="000C6D4A" w:rsidRPr="00F1180D">
        <w:rPr>
          <w:lang w:val="fr-FR" w:bidi="ar-KW"/>
        </w:rPr>
        <w:t xml:space="preserve">emploi dans les secteurs non étatiques. </w:t>
      </w:r>
    </w:p>
    <w:p w:rsidR="000C6D4A" w:rsidRPr="00F1180D" w:rsidRDefault="00BC37A2" w:rsidP="00680ADA">
      <w:pPr>
        <w:pStyle w:val="SingleTxtG"/>
        <w:rPr>
          <w:rtl/>
          <w:lang w:val="fr-FR" w:bidi="fr-FR"/>
        </w:rPr>
      </w:pPr>
      <w:r>
        <w:rPr>
          <w:lang w:val="fr-FR" w:bidi="ar-KW"/>
        </w:rPr>
        <w:t>72.</w:t>
      </w:r>
      <w:r>
        <w:rPr>
          <w:lang w:val="fr-FR" w:bidi="ar-KW"/>
        </w:rPr>
        <w:tab/>
      </w:r>
      <w:r w:rsidR="000C6D4A" w:rsidRPr="00F1180D">
        <w:rPr>
          <w:lang w:val="fr-FR" w:bidi="ar-KW"/>
        </w:rPr>
        <w:t>La loi et ses décrets d</w:t>
      </w:r>
      <w:r w:rsidR="00680ADA" w:rsidRPr="00F1180D">
        <w:rPr>
          <w:lang w:val="fr-FR" w:bidi="ar-KW"/>
        </w:rPr>
        <w:t>’</w:t>
      </w:r>
      <w:r w:rsidR="000C6D4A" w:rsidRPr="00F1180D">
        <w:rPr>
          <w:lang w:val="fr-FR" w:bidi="ar-KW"/>
        </w:rPr>
        <w:t>application ont donné lieu à la mise en place d</w:t>
      </w:r>
      <w:r w:rsidR="00680ADA" w:rsidRPr="00F1180D">
        <w:rPr>
          <w:lang w:val="fr-FR" w:bidi="ar-KW"/>
        </w:rPr>
        <w:t>’</w:t>
      </w:r>
      <w:r w:rsidR="000C6D4A" w:rsidRPr="00F1180D">
        <w:rPr>
          <w:lang w:val="fr-FR" w:bidi="ar-KW"/>
        </w:rPr>
        <w:t>un programme d</w:t>
      </w:r>
      <w:r w:rsidR="00680ADA" w:rsidRPr="00F1180D">
        <w:rPr>
          <w:lang w:val="fr-FR" w:bidi="ar-KW"/>
        </w:rPr>
        <w:t>’</w:t>
      </w:r>
      <w:r w:rsidR="000C6D4A" w:rsidRPr="00F1180D">
        <w:rPr>
          <w:lang w:val="fr-FR" w:bidi="ar-KW"/>
        </w:rPr>
        <w:t>exécution des politiques publiques en matière d</w:t>
      </w:r>
      <w:r w:rsidR="00680ADA" w:rsidRPr="00F1180D">
        <w:rPr>
          <w:lang w:val="fr-FR" w:bidi="ar-KW"/>
        </w:rPr>
        <w:t>’</w:t>
      </w:r>
      <w:r w:rsidR="000C6D4A" w:rsidRPr="00F1180D">
        <w:rPr>
          <w:lang w:val="fr-FR" w:bidi="ar-KW"/>
        </w:rPr>
        <w:t>augmentation du taux d</w:t>
      </w:r>
      <w:r w:rsidR="00680ADA" w:rsidRPr="00F1180D">
        <w:rPr>
          <w:lang w:val="fr-FR" w:bidi="ar-KW"/>
        </w:rPr>
        <w:t>’</w:t>
      </w:r>
      <w:r w:rsidR="000C6D4A" w:rsidRPr="00F1180D">
        <w:rPr>
          <w:lang w:val="fr-FR" w:bidi="ar-KW"/>
        </w:rPr>
        <w:t>emploi de la main d</w:t>
      </w:r>
      <w:r w:rsidR="00680ADA" w:rsidRPr="00F1180D">
        <w:rPr>
          <w:lang w:val="fr-FR" w:bidi="ar-KW"/>
        </w:rPr>
        <w:t>’</w:t>
      </w:r>
      <w:r w:rsidR="00823836" w:rsidRPr="00F1180D">
        <w:rPr>
          <w:lang w:val="fr-FR" w:bidi="ar-KW"/>
        </w:rPr>
        <w:t>œuvre</w:t>
      </w:r>
      <w:r w:rsidR="000C6D4A" w:rsidRPr="00F1180D">
        <w:rPr>
          <w:lang w:val="fr-FR" w:bidi="ar-KW"/>
        </w:rPr>
        <w:t xml:space="preserve"> nationale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accès à un emploi adéquat et de diversification des offres d</w:t>
      </w:r>
      <w:r w:rsidR="00680ADA" w:rsidRPr="00F1180D">
        <w:rPr>
          <w:lang w:val="fr-FR" w:bidi="ar-KW"/>
        </w:rPr>
        <w:t>’</w:t>
      </w:r>
      <w:r w:rsidR="000C6D4A" w:rsidRPr="00F1180D">
        <w:rPr>
          <w:lang w:val="fr-FR" w:bidi="ar-KW"/>
        </w:rPr>
        <w:t>emploi. Dans cette optique</w:t>
      </w:r>
      <w:r w:rsidR="00680ADA" w:rsidRPr="00F1180D">
        <w:rPr>
          <w:lang w:val="fr-FR" w:bidi="ar-KW"/>
        </w:rPr>
        <w:t>,</w:t>
      </w:r>
      <w:r w:rsidR="000C6D4A" w:rsidRPr="00F1180D">
        <w:rPr>
          <w:lang w:val="fr-FR" w:bidi="ar-KW"/>
        </w:rPr>
        <w:t xml:space="preserve"> le programme a eu recours à divers moyens de mise en </w:t>
      </w:r>
      <w:r w:rsidR="00823836" w:rsidRPr="00F1180D">
        <w:rPr>
          <w:lang w:val="fr-FR" w:bidi="ar-KW"/>
        </w:rPr>
        <w:t>œuvre</w:t>
      </w:r>
      <w:r w:rsidR="00680ADA" w:rsidRPr="00F1180D">
        <w:rPr>
          <w:lang w:val="fr-FR" w:bidi="ar-KW"/>
        </w:rPr>
        <w:t>,</w:t>
      </w:r>
      <w:r w:rsidR="000C6D4A" w:rsidRPr="00F1180D">
        <w:rPr>
          <w:lang w:val="fr-FR" w:bidi="ar-KW"/>
        </w:rPr>
        <w:t xml:space="preserve"> tels que l</w:t>
      </w:r>
      <w:r w:rsidR="00680ADA" w:rsidRPr="00F1180D">
        <w:rPr>
          <w:lang w:val="fr-FR" w:bidi="ar-KW"/>
        </w:rPr>
        <w:t>’</w:t>
      </w:r>
      <w:r w:rsidR="000C6D4A" w:rsidRPr="00F1180D">
        <w:rPr>
          <w:lang w:val="fr-FR" w:bidi="ar-KW"/>
        </w:rPr>
        <w:t>octroi d</w:t>
      </w:r>
      <w:r w:rsidR="00680ADA" w:rsidRPr="00F1180D">
        <w:rPr>
          <w:lang w:val="fr-FR" w:bidi="ar-KW"/>
        </w:rPr>
        <w:t>’</w:t>
      </w:r>
      <w:r w:rsidR="000C6D4A" w:rsidRPr="00F1180D">
        <w:rPr>
          <w:lang w:val="fr-FR" w:bidi="ar-KW"/>
        </w:rPr>
        <w:t>un soutien direct à la main d</w:t>
      </w:r>
      <w:r w:rsidR="00680ADA" w:rsidRPr="00F1180D">
        <w:rPr>
          <w:lang w:val="fr-FR" w:bidi="ar-KW"/>
        </w:rPr>
        <w:t>’</w:t>
      </w:r>
      <w:r w:rsidR="00823836" w:rsidRPr="00F1180D">
        <w:rPr>
          <w:lang w:val="fr-FR" w:bidi="ar-KW"/>
        </w:rPr>
        <w:t>œuvre</w:t>
      </w:r>
      <w:r w:rsidR="000C6D4A" w:rsidRPr="00F1180D">
        <w:rPr>
          <w:lang w:val="fr-FR" w:bidi="ar-KW"/>
        </w:rPr>
        <w:t xml:space="preserve"> nationale travaillant dans les secteurs non étatiques</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attribution d</w:t>
      </w:r>
      <w:r w:rsidR="00680ADA" w:rsidRPr="00F1180D">
        <w:rPr>
          <w:lang w:val="fr-FR" w:bidi="ar-KW"/>
        </w:rPr>
        <w:t>’</w:t>
      </w:r>
      <w:r w:rsidR="000C6D4A" w:rsidRPr="00F1180D">
        <w:rPr>
          <w:lang w:val="fr-FR" w:bidi="ar-KW"/>
        </w:rPr>
        <w:t>une aide financière aux demandeurs d</w:t>
      </w:r>
      <w:r w:rsidR="00680ADA" w:rsidRPr="00F1180D">
        <w:rPr>
          <w:lang w:val="fr-FR" w:bidi="ar-KW"/>
        </w:rPr>
        <w:t>’</w:t>
      </w:r>
      <w:r w:rsidR="000C6D4A" w:rsidRPr="00F1180D">
        <w:rPr>
          <w:lang w:val="fr-FR" w:bidi="ar-KW"/>
        </w:rPr>
        <w:t>emploi et aux travailleurs ayant perdu leur emploi dans le secteur privé et la distribution d</w:t>
      </w:r>
      <w:r w:rsidR="00680ADA" w:rsidRPr="00F1180D">
        <w:rPr>
          <w:lang w:val="fr-FR" w:bidi="ar-KW"/>
        </w:rPr>
        <w:t>’</w:t>
      </w:r>
      <w:r w:rsidR="000C6D4A" w:rsidRPr="00F1180D">
        <w:rPr>
          <w:lang w:val="fr-FR" w:bidi="ar-KW"/>
        </w:rPr>
        <w:t>allocations sociales aux nouveaux diplômés à la recherche d</w:t>
      </w:r>
      <w:r w:rsidR="00680ADA" w:rsidRPr="00F1180D">
        <w:rPr>
          <w:lang w:val="fr-FR" w:bidi="ar-KW"/>
        </w:rPr>
        <w:t>’</w:t>
      </w:r>
      <w:r w:rsidR="000C6D4A" w:rsidRPr="00F1180D">
        <w:rPr>
          <w:lang w:val="fr-FR" w:bidi="ar-KW"/>
        </w:rPr>
        <w:t xml:space="preserve">un premier emploi. Parmi les instruments de mise en </w:t>
      </w:r>
      <w:r w:rsidR="00823836" w:rsidRPr="00F1180D">
        <w:rPr>
          <w:lang w:val="fr-FR" w:bidi="ar-KW"/>
        </w:rPr>
        <w:t>œuvre</w:t>
      </w:r>
      <w:r w:rsidR="000C6D4A" w:rsidRPr="00F1180D">
        <w:rPr>
          <w:lang w:val="fr-FR" w:bidi="ar-KW"/>
        </w:rPr>
        <w:t xml:space="preserve"> de ce programme figurent également les initiatives de développement des capacités professionnelles des Koweïtiens par le biais de formations visant à améliorer les qualifications et compétences des demandeurs d</w:t>
      </w:r>
      <w:r w:rsidR="00680ADA" w:rsidRPr="00F1180D">
        <w:rPr>
          <w:lang w:val="fr-FR" w:bidi="ar-KW"/>
        </w:rPr>
        <w:t>’</w:t>
      </w:r>
      <w:r w:rsidR="000C6D4A" w:rsidRPr="00F1180D">
        <w:rPr>
          <w:lang w:val="fr-FR" w:bidi="ar-KW"/>
        </w:rPr>
        <w:t>emploi en prévision de leur intégration au marché du travail privé</w:t>
      </w:r>
      <w:r w:rsidR="00680ADA" w:rsidRPr="00F1180D">
        <w:rPr>
          <w:lang w:val="fr-FR" w:bidi="ar-KW"/>
        </w:rPr>
        <w:t>,</w:t>
      </w:r>
      <w:r w:rsidR="000C6D4A" w:rsidRPr="00F1180D">
        <w:rPr>
          <w:lang w:val="fr-FR" w:bidi="ar-KW"/>
        </w:rPr>
        <w:t xml:space="preserve"> complétées par des formations de la main d</w:t>
      </w:r>
      <w:r w:rsidR="00680ADA" w:rsidRPr="00F1180D">
        <w:rPr>
          <w:lang w:val="fr-FR" w:bidi="ar-KW"/>
        </w:rPr>
        <w:t>’</w:t>
      </w:r>
      <w:r w:rsidR="00823836" w:rsidRPr="00F1180D">
        <w:rPr>
          <w:lang w:val="fr-FR" w:bidi="ar-KW"/>
        </w:rPr>
        <w:t>œuvre</w:t>
      </w:r>
      <w:r w:rsidR="000C6D4A" w:rsidRPr="00F1180D">
        <w:rPr>
          <w:lang w:val="fr-FR" w:bidi="ar-KW"/>
        </w:rPr>
        <w:t xml:space="preserve"> nationale opérant dans le secteur privé aux divers métiers et fonctions</w:t>
      </w:r>
      <w:r w:rsidR="00680ADA" w:rsidRPr="00F1180D">
        <w:rPr>
          <w:lang w:val="fr-FR" w:bidi="ar-KW"/>
        </w:rPr>
        <w:t>,</w:t>
      </w:r>
      <w:r w:rsidR="000C6D4A" w:rsidRPr="00F1180D">
        <w:rPr>
          <w:lang w:val="fr-FR" w:bidi="ar-KW"/>
        </w:rPr>
        <w:t xml:space="preserve"> avec une participation aux frais inhérents à ces formations</w:t>
      </w:r>
      <w:r w:rsidR="00680ADA" w:rsidRPr="00F1180D">
        <w:rPr>
          <w:lang w:val="fr-FR" w:bidi="ar-KW"/>
        </w:rPr>
        <w:t>,</w:t>
      </w:r>
      <w:r w:rsidR="000C6D4A" w:rsidRPr="00F1180D">
        <w:rPr>
          <w:lang w:val="fr-FR" w:bidi="ar-KW"/>
        </w:rPr>
        <w:t xml:space="preserve"> outre l</w:t>
      </w:r>
      <w:r w:rsidR="00680ADA" w:rsidRPr="00F1180D">
        <w:rPr>
          <w:lang w:val="fr-FR" w:bidi="ar-KW"/>
        </w:rPr>
        <w:t>’</w:t>
      </w:r>
      <w:r w:rsidR="000C6D4A" w:rsidRPr="00F1180D">
        <w:rPr>
          <w:lang w:val="fr-FR" w:bidi="ar-KW"/>
        </w:rPr>
        <w:t>organisation de sessions de formation destinées aux étudiants pendant les vacances scolaires en vue de leur offrir une expérience professionnelle pratique</w:t>
      </w:r>
      <w:r w:rsidR="00680ADA" w:rsidRPr="00F1180D">
        <w:rPr>
          <w:lang w:val="fr-FR" w:bidi="ar-KW"/>
        </w:rPr>
        <w:t>,</w:t>
      </w:r>
      <w:r w:rsidR="000C6D4A" w:rsidRPr="00F1180D">
        <w:rPr>
          <w:lang w:val="fr-FR" w:bidi="ar-KW"/>
        </w:rPr>
        <w:t xml:space="preserve"> mieux leur faire connaître le secteur privé et la nature des emplois exercés dans les secteurs non étatiques et les encourager à rejoindre le secteur privé. </w:t>
      </w:r>
    </w:p>
    <w:p w:rsidR="000C6D4A" w:rsidRPr="00F1180D" w:rsidRDefault="00BC37A2" w:rsidP="00680ADA">
      <w:pPr>
        <w:pStyle w:val="SingleTxtG"/>
        <w:rPr>
          <w:rtl/>
          <w:lang w:val="fr-FR" w:bidi="fr-FR"/>
        </w:rPr>
      </w:pPr>
      <w:r>
        <w:rPr>
          <w:lang w:val="fr-FR" w:bidi="ar-KW"/>
        </w:rPr>
        <w:t>73.</w:t>
      </w:r>
      <w:r>
        <w:rPr>
          <w:lang w:val="fr-FR" w:bidi="ar-KW"/>
        </w:rPr>
        <w:tab/>
      </w:r>
      <w:r w:rsidR="000C6D4A" w:rsidRPr="00F1180D">
        <w:rPr>
          <w:lang w:val="fr-FR" w:bidi="ar-KW"/>
        </w:rPr>
        <w:t>Il convient de noter que tous les travailleurs koweïtiens ont accès aux prestations dispensées au titre de ce programme</w:t>
      </w:r>
      <w:r w:rsidR="00680ADA" w:rsidRPr="00F1180D">
        <w:rPr>
          <w:lang w:val="fr-FR" w:bidi="ar-KW"/>
        </w:rPr>
        <w:t xml:space="preserve"> – </w:t>
      </w:r>
      <w:r w:rsidR="000C6D4A" w:rsidRPr="00F1180D">
        <w:rPr>
          <w:lang w:val="fr-FR" w:bidi="ar-KW"/>
        </w:rPr>
        <w:t>en fonction de la nature des activités concernées</w:t>
      </w:r>
      <w:r w:rsidR="00680ADA" w:rsidRPr="00F1180D">
        <w:rPr>
          <w:lang w:val="fr-FR" w:bidi="ar-KW"/>
        </w:rPr>
        <w:t xml:space="preserve"> – </w:t>
      </w:r>
      <w:r w:rsidR="000C6D4A" w:rsidRPr="00F1180D">
        <w:rPr>
          <w:lang w:val="fr-FR" w:bidi="ar-KW"/>
        </w:rPr>
        <w:t>sans distinction fondée sur le sexe ou autre</w:t>
      </w:r>
      <w:r w:rsidR="00680ADA" w:rsidRPr="00F1180D">
        <w:rPr>
          <w:lang w:val="fr-FR" w:bidi="ar-KW"/>
        </w:rPr>
        <w:t>;</w:t>
      </w:r>
      <w:r w:rsidR="000C6D4A" w:rsidRPr="00F1180D">
        <w:rPr>
          <w:lang w:val="fr-FR" w:bidi="ar-KW"/>
        </w:rPr>
        <w:t xml:space="preserve"> étant précisé que le montant des aides financières accordées est identique pour tous les citoyens dès lors qu</w:t>
      </w:r>
      <w:r w:rsidR="00680ADA" w:rsidRPr="00F1180D">
        <w:rPr>
          <w:lang w:val="fr-FR" w:bidi="ar-KW"/>
        </w:rPr>
        <w:t>’</w:t>
      </w:r>
      <w:r w:rsidR="000C6D4A" w:rsidRPr="00F1180D">
        <w:rPr>
          <w:lang w:val="fr-FR" w:bidi="ar-KW"/>
        </w:rPr>
        <w:t>ils sont titulaires de la même qualification et exercent le même type d</w:t>
      </w:r>
      <w:r w:rsidR="00680ADA" w:rsidRPr="00F1180D">
        <w:rPr>
          <w:lang w:val="fr-FR" w:bidi="ar-KW"/>
        </w:rPr>
        <w:t>’</w:t>
      </w:r>
      <w:r w:rsidR="000C6D4A" w:rsidRPr="00F1180D">
        <w:rPr>
          <w:lang w:val="fr-FR" w:bidi="ar-KW"/>
        </w:rPr>
        <w:t>emploi</w:t>
      </w:r>
      <w:r w:rsidR="00680ADA" w:rsidRPr="00F1180D">
        <w:rPr>
          <w:lang w:val="fr-FR" w:bidi="ar-KW"/>
        </w:rPr>
        <w:t>,</w:t>
      </w:r>
      <w:r w:rsidR="000C6D4A" w:rsidRPr="00F1180D">
        <w:rPr>
          <w:lang w:val="fr-FR" w:bidi="ar-KW"/>
        </w:rPr>
        <w:t xml:space="preserve"> les conditions d</w:t>
      </w:r>
      <w:r w:rsidR="00680ADA" w:rsidRPr="00F1180D">
        <w:rPr>
          <w:lang w:val="fr-FR" w:bidi="ar-KW"/>
        </w:rPr>
        <w:t>’</w:t>
      </w:r>
      <w:r w:rsidR="000C6D4A" w:rsidRPr="00F1180D">
        <w:rPr>
          <w:lang w:val="fr-FR" w:bidi="ar-KW"/>
        </w:rPr>
        <w:t>attribution de tous les avantages financiers ne faisant aucune distinction à cet égard entre les hommes et les femmes</w:t>
      </w:r>
      <w:r w:rsidR="00680ADA" w:rsidRPr="00F1180D">
        <w:rPr>
          <w:lang w:val="fr-FR" w:bidi="ar-KW"/>
        </w:rPr>
        <w:t>,</w:t>
      </w:r>
      <w:r w:rsidR="000C6D4A" w:rsidRPr="00F1180D">
        <w:rPr>
          <w:lang w:val="fr-FR" w:bidi="ar-KW"/>
        </w:rPr>
        <w:t xml:space="preserve"> lesquels ont accès à l</w:t>
      </w:r>
      <w:r w:rsidR="00680ADA" w:rsidRPr="00F1180D">
        <w:rPr>
          <w:lang w:val="fr-FR" w:bidi="ar-KW"/>
        </w:rPr>
        <w:t>’</w:t>
      </w:r>
      <w:r w:rsidR="000C6D4A" w:rsidRPr="00F1180D">
        <w:rPr>
          <w:lang w:val="fr-FR" w:bidi="ar-KW"/>
        </w:rPr>
        <w:t>ensemble de ces services dans des conditions d</w:t>
      </w:r>
      <w:r w:rsidR="00680ADA" w:rsidRPr="00F1180D">
        <w:rPr>
          <w:lang w:val="fr-FR" w:bidi="ar-KW"/>
        </w:rPr>
        <w:t>’</w:t>
      </w:r>
      <w:r w:rsidR="000C6D4A" w:rsidRPr="00F1180D">
        <w:rPr>
          <w:lang w:val="fr-FR" w:bidi="ar-KW"/>
        </w:rPr>
        <w:t>égalité</w:t>
      </w:r>
      <w:r w:rsidR="00680ADA" w:rsidRPr="00F1180D">
        <w:rPr>
          <w:lang w:val="fr-FR" w:bidi="ar-KW"/>
        </w:rPr>
        <w:t>,</w:t>
      </w:r>
      <w:r w:rsidR="000C6D4A" w:rsidRPr="00F1180D">
        <w:rPr>
          <w:lang w:val="fr-FR" w:bidi="ar-KW"/>
        </w:rPr>
        <w:t xml:space="preserve"> sans aucune discrimination. </w:t>
      </w:r>
    </w:p>
    <w:p w:rsidR="000C6D4A" w:rsidRPr="00F1180D" w:rsidRDefault="00BC37A2" w:rsidP="00680ADA">
      <w:pPr>
        <w:pStyle w:val="SingleTxtG"/>
        <w:rPr>
          <w:rtl/>
          <w:lang w:val="fr-FR" w:bidi="fr-FR"/>
        </w:rPr>
      </w:pPr>
      <w:r>
        <w:rPr>
          <w:lang w:val="fr-FR" w:bidi="ar-KW"/>
        </w:rPr>
        <w:t>74.</w:t>
      </w:r>
      <w:r>
        <w:rPr>
          <w:lang w:val="fr-FR" w:bidi="ar-KW"/>
        </w:rPr>
        <w:tab/>
      </w:r>
      <w:r w:rsidR="000C6D4A" w:rsidRPr="00F1180D">
        <w:rPr>
          <w:lang w:val="fr-FR" w:bidi="ar-KW"/>
        </w:rPr>
        <w:t>En outre</w:t>
      </w:r>
      <w:r w:rsidR="00680ADA" w:rsidRPr="00F1180D">
        <w:rPr>
          <w:lang w:val="fr-FR" w:bidi="ar-KW"/>
        </w:rPr>
        <w:t>,</w:t>
      </w:r>
      <w:r w:rsidR="000C6D4A" w:rsidRPr="00F1180D">
        <w:rPr>
          <w:lang w:val="fr-FR" w:bidi="ar-KW"/>
        </w:rPr>
        <w:t xml:space="preserve"> les efforts déployés dans le cadre de ce programme vont au-delà de l</w:t>
      </w:r>
      <w:r w:rsidR="00680ADA" w:rsidRPr="00F1180D">
        <w:rPr>
          <w:lang w:val="fr-FR" w:bidi="ar-KW"/>
        </w:rPr>
        <w:t>’</w:t>
      </w:r>
      <w:r w:rsidR="000C6D4A" w:rsidRPr="00F1180D">
        <w:rPr>
          <w:lang w:val="fr-FR" w:bidi="ar-KW"/>
        </w:rPr>
        <w:t>octroi aux citoyens de divers soutiens matériels visant à les inciter à travailler dans le secteur privé et/ou à leur assurer une formation professionnelle technique et pratique</w:t>
      </w:r>
      <w:r w:rsidR="00680ADA" w:rsidRPr="00F1180D">
        <w:rPr>
          <w:lang w:val="fr-FR" w:bidi="ar-KW"/>
        </w:rPr>
        <w:t>,</w:t>
      </w:r>
      <w:r w:rsidR="000C6D4A" w:rsidRPr="00F1180D">
        <w:rPr>
          <w:lang w:val="fr-FR" w:bidi="ar-KW"/>
        </w:rPr>
        <w:t xml:space="preserve"> prise en charge entièrement ou en partie par l</w:t>
      </w:r>
      <w:r w:rsidR="00680ADA" w:rsidRPr="00F1180D">
        <w:rPr>
          <w:lang w:val="fr-FR" w:bidi="ar-KW"/>
        </w:rPr>
        <w:t>’</w:t>
      </w:r>
      <w:r w:rsidR="000C6D4A" w:rsidRPr="00F1180D">
        <w:rPr>
          <w:lang w:val="fr-FR" w:bidi="ar-KW"/>
        </w:rPr>
        <w:t>État</w:t>
      </w:r>
      <w:r w:rsidR="00680ADA" w:rsidRPr="00F1180D">
        <w:rPr>
          <w:lang w:val="fr-FR" w:bidi="ar-KW"/>
        </w:rPr>
        <w:t>,</w:t>
      </w:r>
      <w:r w:rsidR="000C6D4A" w:rsidRPr="00F1180D">
        <w:rPr>
          <w:lang w:val="fr-FR" w:bidi="ar-KW"/>
        </w:rPr>
        <w:t xml:space="preserve"> leur permettant d</w:t>
      </w:r>
      <w:r w:rsidR="00680ADA" w:rsidRPr="00F1180D">
        <w:rPr>
          <w:lang w:val="fr-FR" w:bidi="ar-KW"/>
        </w:rPr>
        <w:t>’</w:t>
      </w:r>
      <w:r w:rsidR="000C6D4A" w:rsidRPr="00F1180D">
        <w:rPr>
          <w:lang w:val="fr-FR" w:bidi="ar-KW"/>
        </w:rPr>
        <w:t>accéder à un emploi convenable</w:t>
      </w:r>
      <w:r w:rsidR="00680ADA" w:rsidRPr="00F1180D">
        <w:rPr>
          <w:lang w:val="fr-FR" w:bidi="ar-KW"/>
        </w:rPr>
        <w:t>;</w:t>
      </w:r>
      <w:r w:rsidR="000C6D4A" w:rsidRPr="00F1180D">
        <w:rPr>
          <w:lang w:val="fr-FR" w:bidi="ar-KW"/>
        </w:rPr>
        <w:t xml:space="preserve"> pour inclure des propositions et politiques prospectives destinées à accroître le taux d</w:t>
      </w:r>
      <w:r w:rsidR="00680ADA" w:rsidRPr="00F1180D">
        <w:rPr>
          <w:lang w:val="fr-FR" w:bidi="ar-KW"/>
        </w:rPr>
        <w:t>’</w:t>
      </w:r>
      <w:r w:rsidR="000C6D4A" w:rsidRPr="00F1180D">
        <w:rPr>
          <w:lang w:val="fr-FR" w:bidi="ar-KW"/>
        </w:rPr>
        <w:t>emploi de la main-d</w:t>
      </w:r>
      <w:r w:rsidR="00680ADA" w:rsidRPr="00F1180D">
        <w:rPr>
          <w:lang w:val="fr-FR" w:bidi="ar-KW"/>
        </w:rPr>
        <w:t>’</w:t>
      </w:r>
      <w:r w:rsidR="00823836" w:rsidRPr="00F1180D">
        <w:rPr>
          <w:lang w:val="fr-FR" w:bidi="ar-KW"/>
        </w:rPr>
        <w:t>œuvre</w:t>
      </w:r>
      <w:r w:rsidR="000C6D4A" w:rsidRPr="00F1180D">
        <w:rPr>
          <w:lang w:val="fr-FR" w:bidi="ar-KW"/>
        </w:rPr>
        <w:t xml:space="preserve"> nationale</w:t>
      </w:r>
      <w:r w:rsidR="00680ADA" w:rsidRPr="00F1180D">
        <w:rPr>
          <w:lang w:val="fr-FR" w:bidi="ar-KW"/>
        </w:rPr>
        <w:t>,</w:t>
      </w:r>
      <w:r w:rsidR="000C6D4A" w:rsidRPr="00F1180D">
        <w:rPr>
          <w:lang w:val="fr-FR" w:bidi="ar-KW"/>
        </w:rPr>
        <w:t xml:space="preserve"> garantir le droit au travail et au libre choix du travail</w:t>
      </w:r>
      <w:r w:rsidR="00680ADA" w:rsidRPr="00F1180D">
        <w:rPr>
          <w:lang w:val="fr-FR" w:bidi="ar-KW"/>
        </w:rPr>
        <w:t>,</w:t>
      </w:r>
      <w:r w:rsidR="000C6D4A" w:rsidRPr="00F1180D">
        <w:rPr>
          <w:lang w:val="fr-FR" w:bidi="ar-KW"/>
        </w:rPr>
        <w:t xml:space="preserve"> tout en assurant la stabilité de l</w:t>
      </w:r>
      <w:r w:rsidR="00680ADA" w:rsidRPr="00F1180D">
        <w:rPr>
          <w:lang w:val="fr-FR" w:bidi="ar-KW"/>
        </w:rPr>
        <w:t>’</w:t>
      </w:r>
      <w:r w:rsidR="000C6D4A" w:rsidRPr="00F1180D">
        <w:rPr>
          <w:lang w:val="fr-FR" w:bidi="ar-KW"/>
        </w:rPr>
        <w:t>emploi. Parmi ces propositions figurent la création d</w:t>
      </w:r>
      <w:r w:rsidR="00680ADA" w:rsidRPr="00F1180D">
        <w:rPr>
          <w:lang w:val="fr-FR" w:bidi="ar-KW"/>
        </w:rPr>
        <w:t>’</w:t>
      </w:r>
      <w:r w:rsidR="000C6D4A" w:rsidRPr="00F1180D">
        <w:rPr>
          <w:lang w:val="fr-FR" w:bidi="ar-KW"/>
        </w:rPr>
        <w:t>un futur Centre pour l</w:t>
      </w:r>
      <w:r w:rsidR="00680ADA" w:rsidRPr="00F1180D">
        <w:rPr>
          <w:lang w:val="fr-FR" w:bidi="ar-KW"/>
        </w:rPr>
        <w:t>’</w:t>
      </w:r>
      <w:r w:rsidR="000C6D4A" w:rsidRPr="00F1180D">
        <w:rPr>
          <w:lang w:val="fr-FR" w:bidi="ar-KW"/>
        </w:rPr>
        <w:t>emploi de la main-d</w:t>
      </w:r>
      <w:r w:rsidR="00680ADA" w:rsidRPr="00F1180D">
        <w:rPr>
          <w:lang w:val="fr-FR" w:bidi="ar-KW"/>
        </w:rPr>
        <w:t>’</w:t>
      </w:r>
      <w:r w:rsidR="00823836" w:rsidRPr="00F1180D">
        <w:rPr>
          <w:lang w:val="fr-FR" w:bidi="ar-KW"/>
        </w:rPr>
        <w:t>œuvre</w:t>
      </w:r>
      <w:r w:rsidR="000C6D4A" w:rsidRPr="00F1180D">
        <w:rPr>
          <w:lang w:val="fr-FR" w:bidi="ar-KW"/>
        </w:rPr>
        <w:t xml:space="preserve"> nationale dans le cadre de grands projets de développement</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élaboration d</w:t>
      </w:r>
      <w:r w:rsidR="00680ADA" w:rsidRPr="00F1180D">
        <w:rPr>
          <w:lang w:val="fr-FR" w:bidi="ar-KW"/>
        </w:rPr>
        <w:t>’</w:t>
      </w:r>
      <w:r w:rsidR="000C6D4A" w:rsidRPr="00F1180D">
        <w:rPr>
          <w:lang w:val="fr-FR" w:bidi="ar-KW"/>
        </w:rPr>
        <w:t>un projet de loi portant création d</w:t>
      </w:r>
      <w:r w:rsidR="00680ADA" w:rsidRPr="00F1180D">
        <w:rPr>
          <w:lang w:val="fr-FR" w:bidi="ar-KW"/>
        </w:rPr>
        <w:t>’</w:t>
      </w:r>
      <w:r w:rsidR="000C6D4A" w:rsidRPr="00F1180D">
        <w:rPr>
          <w:lang w:val="fr-FR" w:bidi="ar-KW"/>
        </w:rPr>
        <w:t>une Instance nationale de soutien de la main d</w:t>
      </w:r>
      <w:r w:rsidR="00680ADA" w:rsidRPr="00F1180D">
        <w:rPr>
          <w:lang w:val="fr-FR" w:bidi="ar-KW"/>
        </w:rPr>
        <w:t>’</w:t>
      </w:r>
      <w:r w:rsidR="00823836" w:rsidRPr="00F1180D">
        <w:rPr>
          <w:lang w:val="fr-FR" w:bidi="ar-KW"/>
        </w:rPr>
        <w:t>œuvre</w:t>
      </w:r>
      <w:r w:rsidR="000C6D4A" w:rsidRPr="00F1180D">
        <w:rPr>
          <w:lang w:val="fr-FR" w:bidi="ar-KW"/>
        </w:rPr>
        <w:t xml:space="preserve"> nationale</w:t>
      </w:r>
      <w:r w:rsidR="00680ADA" w:rsidRPr="00F1180D">
        <w:rPr>
          <w:lang w:val="fr-FR" w:bidi="ar-KW"/>
        </w:rPr>
        <w:t>,</w:t>
      </w:r>
      <w:r w:rsidR="000C6D4A" w:rsidRPr="00F1180D">
        <w:rPr>
          <w:lang w:val="fr-FR" w:bidi="ar-KW"/>
        </w:rPr>
        <w:t xml:space="preserve"> la proposition d</w:t>
      </w:r>
      <w:r w:rsidR="00680ADA" w:rsidRPr="00F1180D">
        <w:rPr>
          <w:lang w:val="fr-FR" w:bidi="ar-KW"/>
        </w:rPr>
        <w:t>’</w:t>
      </w:r>
      <w:r w:rsidR="000C6D4A" w:rsidRPr="00F1180D">
        <w:rPr>
          <w:lang w:val="fr-FR" w:bidi="ar-KW"/>
        </w:rPr>
        <w:t>un projet de travail à domicile</w:t>
      </w:r>
      <w:r w:rsidR="00680ADA" w:rsidRPr="00F1180D">
        <w:rPr>
          <w:lang w:val="fr-FR" w:bidi="ar-KW"/>
        </w:rPr>
        <w:t>,</w:t>
      </w:r>
      <w:r w:rsidR="000C6D4A" w:rsidRPr="00F1180D">
        <w:rPr>
          <w:lang w:val="fr-FR" w:bidi="ar-KW"/>
        </w:rPr>
        <w:t xml:space="preserve"> ainsi que d</w:t>
      </w:r>
      <w:r w:rsidR="00680ADA" w:rsidRPr="00F1180D">
        <w:rPr>
          <w:lang w:val="fr-FR" w:bidi="ar-KW"/>
        </w:rPr>
        <w:t>’</w:t>
      </w:r>
      <w:r w:rsidR="000C6D4A" w:rsidRPr="00F1180D">
        <w:rPr>
          <w:lang w:val="fr-FR" w:bidi="ar-KW"/>
        </w:rPr>
        <w:t>autres suggestions visant à augmenter le taux d</w:t>
      </w:r>
      <w:r w:rsidR="00680ADA" w:rsidRPr="00F1180D">
        <w:rPr>
          <w:lang w:val="fr-FR" w:bidi="ar-KW"/>
        </w:rPr>
        <w:t>’</w:t>
      </w:r>
      <w:r w:rsidR="000C6D4A" w:rsidRPr="00F1180D">
        <w:rPr>
          <w:lang w:val="fr-FR" w:bidi="ar-KW"/>
        </w:rPr>
        <w:t>emploi dans le secteur privé et à créer de nouvelles opportunités d</w:t>
      </w:r>
      <w:r w:rsidR="00680ADA" w:rsidRPr="00F1180D">
        <w:rPr>
          <w:lang w:val="fr-FR" w:bidi="ar-KW"/>
        </w:rPr>
        <w:t>’</w:t>
      </w:r>
      <w:r w:rsidR="000C6D4A" w:rsidRPr="00F1180D">
        <w:rPr>
          <w:lang w:val="fr-FR" w:bidi="ar-KW"/>
        </w:rPr>
        <w:t>emploi pour les personnes à la recherche d</w:t>
      </w:r>
      <w:r w:rsidR="00680ADA" w:rsidRPr="00F1180D">
        <w:rPr>
          <w:lang w:val="fr-FR" w:bidi="ar-KW"/>
        </w:rPr>
        <w:t>’</w:t>
      </w:r>
      <w:r w:rsidR="000C6D4A" w:rsidRPr="00F1180D">
        <w:rPr>
          <w:lang w:val="fr-FR" w:bidi="ar-KW"/>
        </w:rPr>
        <w:t xml:space="preserve">un emploi. </w:t>
      </w:r>
    </w:p>
    <w:p w:rsidR="000C6D4A" w:rsidRPr="00F1180D" w:rsidRDefault="00BC37A2" w:rsidP="00680ADA">
      <w:pPr>
        <w:pStyle w:val="SingleTxtG"/>
        <w:rPr>
          <w:rtl/>
          <w:lang w:val="fr-FR" w:bidi="fr-FR"/>
        </w:rPr>
      </w:pPr>
      <w:r>
        <w:rPr>
          <w:lang w:val="fr-FR" w:bidi="ar-KW"/>
        </w:rPr>
        <w:t>75.</w:t>
      </w:r>
      <w:r>
        <w:rPr>
          <w:lang w:val="fr-FR" w:bidi="ar-KW"/>
        </w:rPr>
        <w:tab/>
      </w:r>
      <w:r w:rsidR="000C6D4A" w:rsidRPr="00F1180D">
        <w:rPr>
          <w:lang w:val="fr-FR" w:bidi="ar-KW"/>
        </w:rPr>
        <w:t>Diverses statistiques relatives à la main d</w:t>
      </w:r>
      <w:r w:rsidR="00680ADA" w:rsidRPr="00F1180D">
        <w:rPr>
          <w:lang w:val="fr-FR" w:bidi="ar-KW"/>
        </w:rPr>
        <w:t>’</w:t>
      </w:r>
      <w:r w:rsidR="00823836" w:rsidRPr="00F1180D">
        <w:rPr>
          <w:lang w:val="fr-FR" w:bidi="ar-KW"/>
        </w:rPr>
        <w:t>œuvre</w:t>
      </w:r>
      <w:r w:rsidR="000C6D4A" w:rsidRPr="00F1180D">
        <w:rPr>
          <w:lang w:val="fr-FR" w:bidi="ar-KW"/>
        </w:rPr>
        <w:t xml:space="preserve"> illustrent le rôle de l</w:t>
      </w:r>
      <w:r w:rsidR="00680ADA" w:rsidRPr="00F1180D">
        <w:rPr>
          <w:lang w:val="fr-FR" w:bidi="ar-KW"/>
        </w:rPr>
        <w:t>’</w:t>
      </w:r>
      <w:r w:rsidR="000C6D4A" w:rsidRPr="00F1180D">
        <w:rPr>
          <w:lang w:val="fr-FR" w:bidi="ar-KW"/>
        </w:rPr>
        <w:t>État dans ce domaine</w:t>
      </w:r>
      <w:r w:rsidR="00680ADA" w:rsidRPr="00F1180D">
        <w:rPr>
          <w:lang w:val="fr-FR" w:bidi="ar-KW"/>
        </w:rPr>
        <w:t>,</w:t>
      </w:r>
      <w:r w:rsidR="000C6D4A" w:rsidRPr="00F1180D">
        <w:rPr>
          <w:lang w:val="fr-FR" w:bidi="ar-KW"/>
        </w:rPr>
        <w:t xml:space="preserve"> par le biais des mesures adoptées en faveur des travailleurs pour assurer l</w:t>
      </w:r>
      <w:r w:rsidR="00680ADA" w:rsidRPr="00F1180D">
        <w:rPr>
          <w:lang w:val="fr-FR" w:bidi="ar-KW"/>
        </w:rPr>
        <w:t>’</w:t>
      </w:r>
      <w:r w:rsidR="000C6D4A" w:rsidRPr="00F1180D">
        <w:rPr>
          <w:lang w:val="fr-FR" w:bidi="ar-KW"/>
        </w:rPr>
        <w:t>égalité entre eux et leur garantir des conditions de vie décentes</w:t>
      </w:r>
      <w:r w:rsidR="00680ADA" w:rsidRPr="00F1180D">
        <w:rPr>
          <w:lang w:val="fr-FR" w:bidi="ar-KW"/>
        </w:rPr>
        <w:t>,</w:t>
      </w:r>
      <w:r w:rsidR="000C6D4A" w:rsidRPr="00F1180D">
        <w:rPr>
          <w:lang w:val="fr-FR" w:bidi="ar-KW"/>
        </w:rPr>
        <w:t xml:space="preserve"> parmi lesquelles les suivantes</w:t>
      </w:r>
      <w:r w:rsidR="00680ADA" w:rsidRPr="00F1180D">
        <w:rPr>
          <w:lang w:val="fr-FR" w:bidi="ar-KW"/>
        </w:rPr>
        <w:t>:</w:t>
      </w:r>
      <w:r w:rsidR="000C6D4A" w:rsidRPr="00F1180D">
        <w:rPr>
          <w:lang w:val="fr-FR" w:bidi="ar-KW"/>
        </w:rPr>
        <w:t xml:space="preserve"> </w:t>
      </w:r>
    </w:p>
    <w:p w:rsidR="000C6D4A" w:rsidRPr="00F1180D" w:rsidRDefault="001F564B" w:rsidP="001F564B">
      <w:pPr>
        <w:pStyle w:val="H23G"/>
        <w:rPr>
          <w:lang w:val="fr-FR" w:bidi="ar-KW"/>
        </w:rPr>
      </w:pPr>
      <w:r w:rsidRPr="00F1180D">
        <w:rPr>
          <w:lang w:val="fr-FR" w:bidi="ar-KW"/>
        </w:rPr>
        <w:tab/>
        <w:t>1.</w:t>
      </w:r>
      <w:r w:rsidR="000C6D4A" w:rsidRPr="00F1180D">
        <w:rPr>
          <w:lang w:val="fr-FR" w:bidi="ar-KW"/>
        </w:rPr>
        <w:tab/>
        <w:t>Octroi de diverses aides financières</w:t>
      </w:r>
    </w:p>
    <w:p w:rsidR="000C6D4A" w:rsidRPr="00F1180D" w:rsidRDefault="00BC37A2" w:rsidP="00680ADA">
      <w:pPr>
        <w:pStyle w:val="SingleTxtG"/>
        <w:rPr>
          <w:lang w:val="fr-FR" w:bidi="ar-KW"/>
        </w:rPr>
      </w:pPr>
      <w:r>
        <w:rPr>
          <w:lang w:val="fr-FR" w:bidi="ar-KW"/>
        </w:rPr>
        <w:t>76.</w:t>
      </w:r>
      <w:r>
        <w:rPr>
          <w:lang w:val="fr-FR" w:bidi="ar-KW"/>
        </w:rPr>
        <w:tab/>
      </w:r>
      <w:r w:rsidR="000C6D4A" w:rsidRPr="00F1180D">
        <w:rPr>
          <w:lang w:val="fr-FR" w:bidi="ar-KW"/>
        </w:rPr>
        <w:t xml:space="preserve">La mise en </w:t>
      </w:r>
      <w:r w:rsidR="00823836" w:rsidRPr="00F1180D">
        <w:rPr>
          <w:lang w:val="fr-FR" w:bidi="ar-KW"/>
        </w:rPr>
        <w:t>œuvre</w:t>
      </w:r>
      <w:r w:rsidR="000C6D4A" w:rsidRPr="00F1180D">
        <w:rPr>
          <w:lang w:val="fr-FR" w:bidi="ar-KW"/>
        </w:rPr>
        <w:t xml:space="preserve"> du programme est fondée sur l</w:t>
      </w:r>
      <w:r w:rsidR="00680ADA" w:rsidRPr="00F1180D">
        <w:rPr>
          <w:lang w:val="fr-FR" w:bidi="ar-KW"/>
        </w:rPr>
        <w:t>’</w:t>
      </w:r>
      <w:r w:rsidR="000C6D4A" w:rsidRPr="00F1180D">
        <w:rPr>
          <w:lang w:val="fr-FR" w:bidi="ar-KW"/>
        </w:rPr>
        <w:t>octroi régulier d</w:t>
      </w:r>
      <w:r w:rsidR="00680ADA" w:rsidRPr="00F1180D">
        <w:rPr>
          <w:lang w:val="fr-FR" w:bidi="ar-KW"/>
        </w:rPr>
        <w:t>’</w:t>
      </w:r>
      <w:r w:rsidR="000C6D4A" w:rsidRPr="00F1180D">
        <w:rPr>
          <w:lang w:val="fr-FR" w:bidi="ar-KW"/>
        </w:rPr>
        <w:t>aides financières à tous les travailleurs du secteur privé sans discrimination</w:t>
      </w:r>
      <w:r w:rsidR="00680ADA" w:rsidRPr="00F1180D">
        <w:rPr>
          <w:lang w:val="fr-FR" w:bidi="ar-KW"/>
        </w:rPr>
        <w:t>,</w:t>
      </w:r>
      <w:r w:rsidR="000C6D4A" w:rsidRPr="00F1180D">
        <w:rPr>
          <w:lang w:val="fr-FR" w:bidi="ar-KW"/>
        </w:rPr>
        <w:t xml:space="preserve"> visant à leur permettre de répondre aux exigences de la vie quotidienne et à les encourager à travailler dans le secteur privé. Ils bénéficient ainsi d</w:t>
      </w:r>
      <w:r w:rsidR="00680ADA" w:rsidRPr="00F1180D">
        <w:rPr>
          <w:lang w:val="fr-FR" w:bidi="ar-KW"/>
        </w:rPr>
        <w:t>’</w:t>
      </w:r>
      <w:r w:rsidR="000C6D4A" w:rsidRPr="00F1180D">
        <w:rPr>
          <w:lang w:val="fr-FR" w:bidi="ar-KW"/>
        </w:rPr>
        <w:t>allocations sociales</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allocations au titre d</w:t>
      </w:r>
      <w:r w:rsidR="00680ADA" w:rsidRPr="00F1180D">
        <w:rPr>
          <w:lang w:val="fr-FR" w:bidi="ar-KW"/>
        </w:rPr>
        <w:t>’</w:t>
      </w:r>
      <w:r w:rsidR="000C6D4A" w:rsidRPr="00F1180D">
        <w:rPr>
          <w:lang w:val="fr-FR" w:bidi="ar-KW"/>
        </w:rPr>
        <w:t>enfants à charge et d</w:t>
      </w:r>
      <w:r w:rsidR="00680ADA" w:rsidRPr="00F1180D">
        <w:rPr>
          <w:lang w:val="fr-FR" w:bidi="ar-KW"/>
        </w:rPr>
        <w:t>’</w:t>
      </w:r>
      <w:r w:rsidR="000C6D4A" w:rsidRPr="00F1180D">
        <w:rPr>
          <w:lang w:val="fr-FR" w:bidi="ar-KW"/>
        </w:rPr>
        <w:t>allocations de vie chère</w:t>
      </w:r>
      <w:r w:rsidR="00680ADA" w:rsidRPr="00F1180D">
        <w:rPr>
          <w:lang w:val="fr-FR" w:bidi="ar-KW"/>
        </w:rPr>
        <w:t>,</w:t>
      </w:r>
      <w:r w:rsidR="000C6D4A" w:rsidRPr="00F1180D">
        <w:rPr>
          <w:lang w:val="fr-FR" w:bidi="ar-KW"/>
        </w:rPr>
        <w:t xml:space="preserve"> outre les avantages</w:t>
      </w:r>
      <w:r w:rsidR="00680ADA" w:rsidRPr="00F1180D">
        <w:rPr>
          <w:lang w:val="fr-FR" w:bidi="ar-KW"/>
        </w:rPr>
        <w:t>,</w:t>
      </w:r>
      <w:r w:rsidR="000C6D4A" w:rsidRPr="00F1180D">
        <w:rPr>
          <w:lang w:val="fr-FR" w:bidi="ar-KW"/>
        </w:rPr>
        <w:t xml:space="preserve"> subventions et autres primes accordés aux travailleurs et cadres du secteur étatique</w:t>
      </w:r>
      <w:r w:rsidR="00680ADA" w:rsidRPr="00F1180D">
        <w:rPr>
          <w:lang w:val="fr-FR" w:bidi="ar-KW"/>
        </w:rPr>
        <w:t>,</w:t>
      </w:r>
      <w:r w:rsidR="000C6D4A" w:rsidRPr="00F1180D">
        <w:rPr>
          <w:lang w:val="fr-FR" w:bidi="ar-KW"/>
        </w:rPr>
        <w:t xml:space="preserve"> parmi lesquels les suivants</w:t>
      </w:r>
      <w:r w:rsidR="00680ADA" w:rsidRPr="00F1180D">
        <w:rPr>
          <w:lang w:val="fr-FR" w:bidi="ar-KW"/>
        </w:rPr>
        <w:t>:</w:t>
      </w:r>
      <w:r w:rsidR="000C6D4A" w:rsidRPr="00F1180D">
        <w:rPr>
          <w:lang w:val="fr-FR" w:bidi="ar-KW"/>
        </w:rPr>
        <w:t xml:space="preserve"> </w:t>
      </w:r>
    </w:p>
    <w:p w:rsidR="000C6D4A" w:rsidRPr="00F1180D" w:rsidRDefault="00935E7C" w:rsidP="00935E7C">
      <w:pPr>
        <w:pStyle w:val="Bullet1G"/>
        <w:rPr>
          <w:rtl/>
          <w:lang w:val="fr-FR" w:bidi="fr-FR"/>
        </w:rPr>
      </w:pPr>
      <w:r w:rsidRPr="00F1180D">
        <w:rPr>
          <w:lang w:val="fr-FR" w:bidi="ar-KW"/>
        </w:rPr>
        <w:lastRenderedPageBreak/>
        <w:t xml:space="preserve">Le </w:t>
      </w:r>
      <w:r w:rsidR="000C6D4A" w:rsidRPr="00F1180D">
        <w:rPr>
          <w:lang w:val="fr-FR" w:bidi="ar-KW"/>
        </w:rPr>
        <w:t xml:space="preserve">nombre de citoyens des deux sexes ayant bénéficié des allocations sociales et des allocations pour enfants à charge a atteint 109 774 personnes de 2001 (date de lancement du programme) à fin décembre 2014. </w:t>
      </w:r>
    </w:p>
    <w:p w:rsidR="000C6D4A" w:rsidRPr="00F1180D" w:rsidRDefault="00935E7C" w:rsidP="00935E7C">
      <w:pPr>
        <w:pStyle w:val="Bullet1G"/>
        <w:rPr>
          <w:lang w:val="fr-FR" w:bidi="ar-KW"/>
        </w:rPr>
      </w:pPr>
      <w:r w:rsidRPr="00F1180D">
        <w:rPr>
          <w:lang w:val="fr-FR" w:bidi="ar-KW"/>
        </w:rPr>
        <w:t xml:space="preserve">Un </w:t>
      </w:r>
      <w:r w:rsidR="000C6D4A" w:rsidRPr="00F1180D">
        <w:rPr>
          <w:lang w:val="fr-FR" w:bidi="ar-KW"/>
        </w:rPr>
        <w:t>montant global de 2 484 000 000</w:t>
      </w:r>
      <w:r w:rsidR="009B1350" w:rsidRPr="00F1180D">
        <w:rPr>
          <w:lang w:val="fr-FR" w:bidi="ar-KW"/>
        </w:rPr>
        <w:t> dinars</w:t>
      </w:r>
      <w:r w:rsidR="000C6D4A" w:rsidRPr="00F1180D">
        <w:rPr>
          <w:lang w:val="fr-FR" w:bidi="ar-KW"/>
        </w:rPr>
        <w:t xml:space="preserve"> koweïtiens (8 200 726 312</w:t>
      </w:r>
      <w:r w:rsidR="00680ADA" w:rsidRPr="00F1180D">
        <w:rPr>
          <w:lang w:val="fr-FR" w:bidi="ar-KW"/>
        </w:rPr>
        <w:t>,</w:t>
      </w:r>
      <w:r w:rsidR="000C6D4A" w:rsidRPr="00F1180D">
        <w:rPr>
          <w:lang w:val="fr-FR" w:bidi="ar-KW"/>
        </w:rPr>
        <w:t>3</w:t>
      </w:r>
      <w:r w:rsidRPr="00F1180D">
        <w:rPr>
          <w:lang w:val="fr-FR" w:bidi="ar-KW"/>
        </w:rPr>
        <w:t> dollars</w:t>
      </w:r>
      <w:r w:rsidR="000C6D4A" w:rsidRPr="00F1180D">
        <w:rPr>
          <w:lang w:val="fr-FR" w:bidi="ar-KW"/>
        </w:rPr>
        <w:t xml:space="preserve"> des États-Unis) a été versé au titre des allocations sociales et des allocations pour enfants à charge de 2001 à fin décembre 2014. </w:t>
      </w:r>
    </w:p>
    <w:p w:rsidR="000C6D4A" w:rsidRPr="00F1180D" w:rsidRDefault="00935E7C" w:rsidP="00935E7C">
      <w:pPr>
        <w:pStyle w:val="H23G"/>
        <w:rPr>
          <w:lang w:val="fr-FR" w:bidi="ar-KW"/>
        </w:rPr>
      </w:pPr>
      <w:r w:rsidRPr="00F1180D">
        <w:rPr>
          <w:lang w:val="fr-FR" w:bidi="ar-KW"/>
        </w:rPr>
        <w:tab/>
      </w:r>
      <w:r w:rsidR="000C6D4A" w:rsidRPr="00F1180D">
        <w:rPr>
          <w:lang w:val="fr-FR" w:bidi="ar-KW"/>
        </w:rPr>
        <w:t>2</w:t>
      </w:r>
      <w:r w:rsidRPr="00F1180D">
        <w:rPr>
          <w:lang w:val="fr-FR" w:bidi="ar-KW"/>
        </w:rPr>
        <w:t>.</w:t>
      </w:r>
      <w:r w:rsidR="000C6D4A" w:rsidRPr="00F1180D">
        <w:rPr>
          <w:lang w:val="fr-FR" w:bidi="ar-KW"/>
        </w:rPr>
        <w:tab/>
        <w:t>Formation et perfectionnement de la main d</w:t>
      </w:r>
      <w:r w:rsidR="00680ADA" w:rsidRPr="00F1180D">
        <w:rPr>
          <w:lang w:val="fr-FR" w:bidi="ar-KW"/>
        </w:rPr>
        <w:t>’</w:t>
      </w:r>
      <w:r w:rsidR="00823836" w:rsidRPr="00F1180D">
        <w:rPr>
          <w:lang w:val="fr-FR" w:bidi="ar-KW"/>
        </w:rPr>
        <w:t>œuvre</w:t>
      </w:r>
      <w:r w:rsidR="000C6D4A" w:rsidRPr="00F1180D">
        <w:rPr>
          <w:lang w:val="fr-FR" w:bidi="ar-KW"/>
        </w:rPr>
        <w:t xml:space="preserve"> nationale</w:t>
      </w:r>
    </w:p>
    <w:p w:rsidR="000C6D4A" w:rsidRPr="00F1180D" w:rsidRDefault="00BC37A2" w:rsidP="00935E7C">
      <w:pPr>
        <w:pStyle w:val="SingleTxtG"/>
        <w:keepNext/>
        <w:rPr>
          <w:lang w:val="fr-FR" w:bidi="ar-KW"/>
        </w:rPr>
      </w:pPr>
      <w:r>
        <w:rPr>
          <w:lang w:val="fr-FR" w:bidi="ar-KW"/>
        </w:rPr>
        <w:t>77.</w:t>
      </w:r>
      <w:r>
        <w:rPr>
          <w:lang w:val="fr-FR" w:bidi="ar-KW"/>
        </w:rPr>
        <w:tab/>
      </w:r>
      <w:r w:rsidR="000C6D4A" w:rsidRPr="00F1180D">
        <w:rPr>
          <w:lang w:val="fr-FR" w:bidi="ar-KW"/>
        </w:rPr>
        <w:t>Compte tenu de l</w:t>
      </w:r>
      <w:r w:rsidR="00680ADA" w:rsidRPr="00F1180D">
        <w:rPr>
          <w:lang w:val="fr-FR" w:bidi="ar-KW"/>
        </w:rPr>
        <w:t>’</w:t>
      </w:r>
      <w:r w:rsidR="000C6D4A" w:rsidRPr="00F1180D">
        <w:rPr>
          <w:lang w:val="fr-FR" w:bidi="ar-KW"/>
        </w:rPr>
        <w:t>incidence de la formation et de l</w:t>
      </w:r>
      <w:r w:rsidR="00680ADA" w:rsidRPr="00F1180D">
        <w:rPr>
          <w:lang w:val="fr-FR" w:bidi="ar-KW"/>
        </w:rPr>
        <w:t>’</w:t>
      </w:r>
      <w:r w:rsidR="000C6D4A" w:rsidRPr="00F1180D">
        <w:rPr>
          <w:lang w:val="fr-FR" w:bidi="ar-KW"/>
        </w:rPr>
        <w:t>amélioration des qualifications des demandeurs d</w:t>
      </w:r>
      <w:r w:rsidR="00680ADA" w:rsidRPr="00F1180D">
        <w:rPr>
          <w:lang w:val="fr-FR" w:bidi="ar-KW"/>
        </w:rPr>
        <w:t>’</w:t>
      </w:r>
      <w:r w:rsidR="000C6D4A" w:rsidRPr="00F1180D">
        <w:rPr>
          <w:lang w:val="fr-FR" w:bidi="ar-KW"/>
        </w:rPr>
        <w:t>emploi et des personnes occupant déjà un emploi sur l</w:t>
      </w:r>
      <w:r w:rsidR="00680ADA" w:rsidRPr="00F1180D">
        <w:rPr>
          <w:lang w:val="fr-FR" w:bidi="ar-KW"/>
        </w:rPr>
        <w:t>’</w:t>
      </w:r>
      <w:r w:rsidR="000C6D4A" w:rsidRPr="00F1180D">
        <w:rPr>
          <w:lang w:val="fr-FR" w:bidi="ar-KW"/>
        </w:rPr>
        <w:t>augmentation du taux d</w:t>
      </w:r>
      <w:r w:rsidR="00680ADA" w:rsidRPr="00F1180D">
        <w:rPr>
          <w:lang w:val="fr-FR" w:bidi="ar-KW"/>
        </w:rPr>
        <w:t>’</w:t>
      </w:r>
      <w:r w:rsidR="000C6D4A" w:rsidRPr="00F1180D">
        <w:rPr>
          <w:lang w:val="fr-FR" w:bidi="ar-KW"/>
        </w:rPr>
        <w:t>emploi et vu l</w:t>
      </w:r>
      <w:r w:rsidR="00680ADA" w:rsidRPr="00F1180D">
        <w:rPr>
          <w:lang w:val="fr-FR" w:bidi="ar-KW"/>
        </w:rPr>
        <w:t>’</w:t>
      </w:r>
      <w:r w:rsidR="000C6D4A" w:rsidRPr="00F1180D">
        <w:rPr>
          <w:lang w:val="fr-FR" w:bidi="ar-KW"/>
        </w:rPr>
        <w:t>importance du développement des capacité des citoyens pour leur permettre de trouver rapidement un emploi et le conserver</w:t>
      </w:r>
      <w:r w:rsidR="00680ADA" w:rsidRPr="00F1180D">
        <w:rPr>
          <w:lang w:val="fr-FR" w:bidi="ar-KW"/>
        </w:rPr>
        <w:t>,</w:t>
      </w:r>
      <w:r w:rsidR="000C6D4A" w:rsidRPr="00F1180D">
        <w:rPr>
          <w:lang w:val="fr-FR" w:bidi="ar-KW"/>
        </w:rPr>
        <w:t xml:space="preserve"> les activées menées dans le cadre du programme ont consisté à former le plus tôt possible les citoyens à intégrer le secteur privé</w:t>
      </w:r>
      <w:r w:rsidR="00680ADA" w:rsidRPr="00F1180D">
        <w:rPr>
          <w:lang w:val="fr-FR" w:bidi="ar-KW"/>
        </w:rPr>
        <w:t>,</w:t>
      </w:r>
      <w:r w:rsidR="000C6D4A" w:rsidRPr="00F1180D">
        <w:rPr>
          <w:lang w:val="fr-FR" w:bidi="ar-KW"/>
        </w:rPr>
        <w:t xml:space="preserve"> en inculquant les valeurs du travail aux étudiants et en leur offrant des stages pratiques dans les entreprises privées afin de les encourager à rejoindre le secteur privé</w:t>
      </w:r>
      <w:r w:rsidR="00680ADA" w:rsidRPr="00F1180D">
        <w:rPr>
          <w:lang w:val="fr-FR" w:bidi="ar-KW"/>
        </w:rPr>
        <w:t>,</w:t>
      </w:r>
      <w:r w:rsidR="000C6D4A" w:rsidRPr="00F1180D">
        <w:rPr>
          <w:lang w:val="fr-FR" w:bidi="ar-KW"/>
        </w:rPr>
        <w:t xml:space="preserve"> comme le montrent les chiffres suivants</w:t>
      </w:r>
      <w:r w:rsidR="00680ADA" w:rsidRPr="00F1180D">
        <w:rPr>
          <w:lang w:val="fr-FR" w:bidi="ar-KW"/>
        </w:rPr>
        <w:t>:</w:t>
      </w:r>
      <w:r w:rsidR="000C6D4A" w:rsidRPr="00F1180D">
        <w:rPr>
          <w:lang w:val="fr-FR" w:bidi="ar-KW"/>
        </w:rPr>
        <w:t xml:space="preserve"> </w:t>
      </w:r>
    </w:p>
    <w:p w:rsidR="000C6D4A" w:rsidRPr="00F1180D" w:rsidRDefault="000C6D4A" w:rsidP="00935E7C">
      <w:pPr>
        <w:pStyle w:val="Bullet1G"/>
        <w:rPr>
          <w:rtl/>
          <w:lang w:val="fr-FR" w:bidi="fr-FR"/>
        </w:rPr>
      </w:pPr>
      <w:r w:rsidRPr="00F1180D">
        <w:rPr>
          <w:lang w:val="fr-FR" w:bidi="ar-KW"/>
        </w:rPr>
        <w:t>Un nombre total de 6 346 demandeurs d</w:t>
      </w:r>
      <w:r w:rsidR="00680ADA" w:rsidRPr="00F1180D">
        <w:rPr>
          <w:lang w:val="fr-FR" w:bidi="ar-KW"/>
        </w:rPr>
        <w:t>’</w:t>
      </w:r>
      <w:r w:rsidRPr="00F1180D">
        <w:rPr>
          <w:lang w:val="fr-FR" w:bidi="ar-KW"/>
        </w:rPr>
        <w:t>emploi a bénéficié d</w:t>
      </w:r>
      <w:r w:rsidR="00680ADA" w:rsidRPr="00F1180D">
        <w:rPr>
          <w:lang w:val="fr-FR" w:bidi="ar-KW"/>
        </w:rPr>
        <w:t>’</w:t>
      </w:r>
      <w:r w:rsidRPr="00F1180D">
        <w:rPr>
          <w:lang w:val="fr-FR" w:bidi="ar-KW"/>
        </w:rPr>
        <w:t>une formation de 2003 à fin décembre 2014</w:t>
      </w:r>
      <w:r w:rsidR="00935E7C" w:rsidRPr="00F1180D">
        <w:rPr>
          <w:lang w:val="fr-FR" w:bidi="ar-KW"/>
        </w:rPr>
        <w:t>;</w:t>
      </w:r>
      <w:r w:rsidRPr="00F1180D">
        <w:rPr>
          <w:lang w:val="fr-FR" w:bidi="ar-KW"/>
        </w:rPr>
        <w:t xml:space="preserve"> </w:t>
      </w:r>
    </w:p>
    <w:p w:rsidR="000C6D4A" w:rsidRPr="00F1180D" w:rsidRDefault="000C6D4A" w:rsidP="00935E7C">
      <w:pPr>
        <w:pStyle w:val="Bullet1G"/>
        <w:rPr>
          <w:lang w:val="fr-FR" w:bidi="ar-KW"/>
        </w:rPr>
      </w:pPr>
      <w:r w:rsidRPr="00F1180D">
        <w:rPr>
          <w:lang w:val="fr-FR" w:bidi="ar-KW"/>
        </w:rPr>
        <w:t>Au total</w:t>
      </w:r>
      <w:r w:rsidR="00680ADA" w:rsidRPr="00F1180D">
        <w:rPr>
          <w:lang w:val="fr-FR" w:bidi="ar-KW"/>
        </w:rPr>
        <w:t>,</w:t>
      </w:r>
      <w:r w:rsidRPr="00F1180D">
        <w:rPr>
          <w:lang w:val="fr-FR" w:bidi="ar-KW"/>
        </w:rPr>
        <w:t xml:space="preserve"> 17 345 salariés du secteur privé ont bénéficié d</w:t>
      </w:r>
      <w:r w:rsidR="00680ADA" w:rsidRPr="00F1180D">
        <w:rPr>
          <w:lang w:val="fr-FR" w:bidi="ar-KW"/>
        </w:rPr>
        <w:t>’</w:t>
      </w:r>
      <w:r w:rsidRPr="00F1180D">
        <w:rPr>
          <w:lang w:val="fr-FR" w:bidi="ar-KW"/>
        </w:rPr>
        <w:t>une formation de 2003 à fin décembre 2014</w:t>
      </w:r>
      <w:r w:rsidR="00935E7C" w:rsidRPr="00F1180D">
        <w:rPr>
          <w:lang w:val="fr-FR" w:bidi="ar-KW"/>
        </w:rPr>
        <w:t>;</w:t>
      </w:r>
      <w:r w:rsidRPr="00F1180D">
        <w:rPr>
          <w:lang w:val="fr-FR" w:bidi="ar-KW"/>
        </w:rPr>
        <w:t xml:space="preserve"> </w:t>
      </w:r>
    </w:p>
    <w:p w:rsidR="000C6D4A" w:rsidRPr="00F1180D" w:rsidRDefault="000C6D4A" w:rsidP="00935E7C">
      <w:pPr>
        <w:pStyle w:val="Bullet1G"/>
        <w:rPr>
          <w:lang w:val="fr-FR" w:bidi="ar-KW"/>
        </w:rPr>
      </w:pPr>
      <w:r w:rsidRPr="00F1180D">
        <w:rPr>
          <w:lang w:val="fr-FR" w:bidi="ar-KW"/>
        </w:rPr>
        <w:t>Un nombre de 7 291 étudiants a bénéficié d</w:t>
      </w:r>
      <w:r w:rsidR="00680ADA" w:rsidRPr="00F1180D">
        <w:rPr>
          <w:lang w:val="fr-FR" w:bidi="ar-KW"/>
        </w:rPr>
        <w:t>’</w:t>
      </w:r>
      <w:r w:rsidRPr="00F1180D">
        <w:rPr>
          <w:lang w:val="fr-FR" w:bidi="ar-KW"/>
        </w:rPr>
        <w:t>une formation dans le secteur privé de 2003 à fin décembre 2014</w:t>
      </w:r>
      <w:r w:rsidR="00935E7C" w:rsidRPr="00F1180D">
        <w:rPr>
          <w:lang w:val="fr-FR" w:bidi="ar-KW"/>
        </w:rPr>
        <w:t>;</w:t>
      </w:r>
    </w:p>
    <w:p w:rsidR="000C6D4A" w:rsidRPr="00F1180D" w:rsidRDefault="000C6D4A" w:rsidP="00935E7C">
      <w:pPr>
        <w:pStyle w:val="Bullet1G"/>
        <w:rPr>
          <w:lang w:val="fr-FR" w:bidi="ar-KW"/>
        </w:rPr>
      </w:pPr>
      <w:r w:rsidRPr="00F1180D">
        <w:rPr>
          <w:lang w:val="fr-FR" w:bidi="ar-KW"/>
        </w:rPr>
        <w:t>Au total</w:t>
      </w:r>
      <w:r w:rsidR="00680ADA" w:rsidRPr="00F1180D">
        <w:rPr>
          <w:lang w:val="fr-FR" w:bidi="ar-KW"/>
        </w:rPr>
        <w:t>,</w:t>
      </w:r>
      <w:r w:rsidRPr="00F1180D">
        <w:rPr>
          <w:lang w:val="fr-FR" w:bidi="ar-KW"/>
        </w:rPr>
        <w:t xml:space="preserve"> 35 618 citoyens et citoyennes ont bénéficié d</w:t>
      </w:r>
      <w:r w:rsidR="00680ADA" w:rsidRPr="00F1180D">
        <w:rPr>
          <w:lang w:val="fr-FR" w:bidi="ar-KW"/>
        </w:rPr>
        <w:t>’</w:t>
      </w:r>
      <w:r w:rsidRPr="00F1180D">
        <w:rPr>
          <w:lang w:val="fr-FR" w:bidi="ar-KW"/>
        </w:rPr>
        <w:t>une formation pour un coût de 6 652 332</w:t>
      </w:r>
      <w:r w:rsidR="00680ADA" w:rsidRPr="00F1180D">
        <w:rPr>
          <w:lang w:val="fr-FR" w:bidi="ar-KW"/>
        </w:rPr>
        <w:t>,</w:t>
      </w:r>
      <w:r w:rsidRPr="00F1180D">
        <w:rPr>
          <w:lang w:val="fr-FR" w:bidi="ar-KW"/>
        </w:rPr>
        <w:t>529</w:t>
      </w:r>
      <w:r w:rsidR="009B1350" w:rsidRPr="00F1180D">
        <w:rPr>
          <w:lang w:val="fr-FR" w:bidi="ar-KW"/>
        </w:rPr>
        <w:t> dinars</w:t>
      </w:r>
      <w:r w:rsidRPr="00F1180D">
        <w:rPr>
          <w:lang w:val="fr-FR" w:bidi="ar-KW"/>
        </w:rPr>
        <w:t xml:space="preserve"> koweïtiens (21 962 141</w:t>
      </w:r>
      <w:r w:rsidR="00680ADA" w:rsidRPr="00F1180D">
        <w:rPr>
          <w:lang w:val="fr-FR" w:bidi="ar-KW"/>
        </w:rPr>
        <w:t>,</w:t>
      </w:r>
      <w:r w:rsidRPr="00F1180D">
        <w:rPr>
          <w:lang w:val="fr-FR" w:bidi="ar-KW"/>
        </w:rPr>
        <w:t>06</w:t>
      </w:r>
      <w:r w:rsidR="00935E7C" w:rsidRPr="00F1180D">
        <w:rPr>
          <w:lang w:val="fr-FR" w:bidi="ar-KW"/>
        </w:rPr>
        <w:t> dollars</w:t>
      </w:r>
      <w:r w:rsidRPr="00F1180D">
        <w:rPr>
          <w:lang w:val="fr-FR" w:bidi="ar-KW"/>
        </w:rPr>
        <w:t xml:space="preserve"> des États-Unis). </w:t>
      </w:r>
    </w:p>
    <w:p w:rsidR="000C6D4A" w:rsidRPr="00F1180D" w:rsidRDefault="00935E7C" w:rsidP="00935E7C">
      <w:pPr>
        <w:pStyle w:val="H23G"/>
        <w:rPr>
          <w:lang w:val="fr-FR" w:bidi="ar-KW"/>
        </w:rPr>
      </w:pPr>
      <w:r w:rsidRPr="00F1180D">
        <w:rPr>
          <w:lang w:val="fr-FR" w:bidi="ar-KW"/>
        </w:rPr>
        <w:tab/>
        <w:t>3.</w:t>
      </w:r>
      <w:r w:rsidR="000C6D4A" w:rsidRPr="00F1180D">
        <w:rPr>
          <w:lang w:val="fr-FR" w:bidi="ar-KW"/>
        </w:rPr>
        <w:tab/>
        <w:t>Allocations d</w:t>
      </w:r>
      <w:r w:rsidR="00680ADA" w:rsidRPr="00F1180D">
        <w:rPr>
          <w:lang w:val="fr-FR" w:bidi="ar-KW"/>
        </w:rPr>
        <w:t>’</w:t>
      </w:r>
      <w:r w:rsidR="000C6D4A" w:rsidRPr="00F1180D">
        <w:rPr>
          <w:lang w:val="fr-FR" w:bidi="ar-KW"/>
        </w:rPr>
        <w:t>aides à la recherche d</w:t>
      </w:r>
      <w:r w:rsidR="00680ADA" w:rsidRPr="00F1180D">
        <w:rPr>
          <w:lang w:val="fr-FR" w:bidi="ar-KW"/>
        </w:rPr>
        <w:t>’</w:t>
      </w:r>
      <w:r w:rsidR="000C6D4A" w:rsidRPr="00F1180D">
        <w:rPr>
          <w:lang w:val="fr-FR" w:bidi="ar-KW"/>
        </w:rPr>
        <w:t>un emploi</w:t>
      </w:r>
    </w:p>
    <w:p w:rsidR="000C6D4A" w:rsidRPr="00F1180D" w:rsidRDefault="00BC37A2" w:rsidP="00680ADA">
      <w:pPr>
        <w:pStyle w:val="SingleTxtG"/>
        <w:rPr>
          <w:lang w:val="fr-FR" w:bidi="ar-KW"/>
        </w:rPr>
      </w:pPr>
      <w:r>
        <w:rPr>
          <w:lang w:val="fr-FR" w:bidi="ar-KW"/>
        </w:rPr>
        <w:t>78.</w:t>
      </w:r>
      <w:r>
        <w:rPr>
          <w:lang w:val="fr-FR" w:bidi="ar-KW"/>
        </w:rPr>
        <w:tab/>
      </w:r>
      <w:r w:rsidR="000C6D4A" w:rsidRPr="00F1180D">
        <w:rPr>
          <w:lang w:val="fr-FR" w:bidi="ar-KW"/>
        </w:rPr>
        <w:t>Le programme a veillé à restructurer la main d</w:t>
      </w:r>
      <w:r w:rsidR="00680ADA" w:rsidRPr="00F1180D">
        <w:rPr>
          <w:lang w:val="fr-FR" w:bidi="ar-KW"/>
        </w:rPr>
        <w:t>’</w:t>
      </w:r>
      <w:r w:rsidR="00823836" w:rsidRPr="00F1180D">
        <w:rPr>
          <w:lang w:val="fr-FR" w:bidi="ar-KW"/>
        </w:rPr>
        <w:t>œuvre</w:t>
      </w:r>
      <w:r w:rsidR="000C6D4A" w:rsidRPr="00F1180D">
        <w:rPr>
          <w:lang w:val="fr-FR" w:bidi="ar-KW"/>
        </w:rPr>
        <w:t xml:space="preserve"> sur la base de la formation et de l</w:t>
      </w:r>
      <w:r w:rsidR="00680ADA" w:rsidRPr="00F1180D">
        <w:rPr>
          <w:lang w:val="fr-FR" w:bidi="ar-KW"/>
        </w:rPr>
        <w:t>’</w:t>
      </w:r>
      <w:r w:rsidR="000C6D4A" w:rsidRPr="00F1180D">
        <w:rPr>
          <w:lang w:val="fr-FR" w:bidi="ar-KW"/>
        </w:rPr>
        <w:t>amélioration des qualifications des demandeurs d</w:t>
      </w:r>
      <w:r w:rsidR="00680ADA" w:rsidRPr="00F1180D">
        <w:rPr>
          <w:lang w:val="fr-FR" w:bidi="ar-KW"/>
        </w:rPr>
        <w:t>’</w:t>
      </w:r>
      <w:r w:rsidR="000C6D4A" w:rsidRPr="00F1180D">
        <w:rPr>
          <w:lang w:val="fr-FR" w:bidi="ar-KW"/>
        </w:rPr>
        <w:t>emploi en vue de développer leurs capacités et leurs compétences et accroître ainsi leurs chances de trouver un emploi dans le secteur privé</w:t>
      </w:r>
      <w:r w:rsidR="00680ADA" w:rsidRPr="00F1180D">
        <w:rPr>
          <w:lang w:val="fr-FR" w:bidi="ar-KW"/>
        </w:rPr>
        <w:t>,</w:t>
      </w:r>
      <w:r w:rsidR="000C6D4A" w:rsidRPr="00F1180D">
        <w:rPr>
          <w:lang w:val="fr-FR" w:bidi="ar-KW"/>
        </w:rPr>
        <w:t xml:space="preserve"> des offres d</w:t>
      </w:r>
      <w:r w:rsidR="00680ADA" w:rsidRPr="00F1180D">
        <w:rPr>
          <w:lang w:val="fr-FR" w:bidi="ar-KW"/>
        </w:rPr>
        <w:t>’</w:t>
      </w:r>
      <w:r w:rsidR="000C6D4A" w:rsidRPr="00F1180D">
        <w:rPr>
          <w:lang w:val="fr-FR" w:bidi="ar-KW"/>
        </w:rPr>
        <w:t>emploi adaptées leur étant ensuite proposées périodiquement</w:t>
      </w:r>
      <w:r w:rsidR="009B1350" w:rsidRPr="00F1180D">
        <w:rPr>
          <w:lang w:val="fr-FR" w:bidi="ar-KW"/>
        </w:rPr>
        <w:t xml:space="preserve"> </w:t>
      </w:r>
      <w:r w:rsidR="000C6D4A" w:rsidRPr="00F1180D">
        <w:rPr>
          <w:lang w:val="fr-FR" w:bidi="ar-KW"/>
        </w:rPr>
        <w:t>pour leur permettre de choisir les postes correspondant à leurs capacités et spécialités</w:t>
      </w:r>
      <w:r w:rsidR="00680ADA" w:rsidRPr="00F1180D">
        <w:rPr>
          <w:lang w:val="fr-FR" w:bidi="ar-KW"/>
        </w:rPr>
        <w:t>,</w:t>
      </w:r>
      <w:r w:rsidR="000C6D4A" w:rsidRPr="00F1180D">
        <w:rPr>
          <w:lang w:val="fr-FR" w:bidi="ar-KW"/>
        </w:rPr>
        <w:t xml:space="preserve"> en adéquation avec les besoins du marché du travail</w:t>
      </w:r>
      <w:r w:rsidR="00680ADA" w:rsidRPr="00F1180D">
        <w:rPr>
          <w:lang w:val="fr-FR" w:bidi="ar-KW"/>
        </w:rPr>
        <w:t>,</w:t>
      </w:r>
      <w:r w:rsidR="000C6D4A" w:rsidRPr="00F1180D">
        <w:rPr>
          <w:lang w:val="fr-FR" w:bidi="ar-KW"/>
        </w:rPr>
        <w:t xml:space="preserve"> ainsi qu</w:t>
      </w:r>
      <w:r w:rsidR="00680ADA" w:rsidRPr="00F1180D">
        <w:rPr>
          <w:lang w:val="fr-FR" w:bidi="ar-KW"/>
        </w:rPr>
        <w:t>’</w:t>
      </w:r>
      <w:r w:rsidR="000C6D4A" w:rsidRPr="00F1180D">
        <w:rPr>
          <w:lang w:val="fr-FR" w:bidi="ar-KW"/>
        </w:rPr>
        <w:t>il apparaît ci-dessous</w:t>
      </w:r>
      <w:r w:rsidR="00680ADA" w:rsidRPr="00F1180D">
        <w:rPr>
          <w:lang w:val="fr-FR" w:bidi="ar-KW"/>
        </w:rPr>
        <w:t>:</w:t>
      </w:r>
      <w:r w:rsidR="000C6D4A" w:rsidRPr="00F1180D">
        <w:rPr>
          <w:lang w:val="fr-FR" w:bidi="ar-KW"/>
        </w:rPr>
        <w:t xml:space="preserve"> </w:t>
      </w:r>
    </w:p>
    <w:p w:rsidR="000C6D4A" w:rsidRPr="00F1180D" w:rsidRDefault="000C6D4A" w:rsidP="00BB02D2">
      <w:pPr>
        <w:pStyle w:val="Bullet1G"/>
        <w:rPr>
          <w:rtl/>
          <w:lang w:val="fr-FR" w:bidi="fr-FR"/>
        </w:rPr>
      </w:pPr>
      <w:r w:rsidRPr="00F1180D">
        <w:rPr>
          <w:lang w:val="fr-FR" w:bidi="ar-KW"/>
        </w:rPr>
        <w:t>De 2003 à fin décembre 2014</w:t>
      </w:r>
      <w:r w:rsidR="00680ADA" w:rsidRPr="00F1180D">
        <w:rPr>
          <w:lang w:val="fr-FR" w:bidi="ar-KW"/>
        </w:rPr>
        <w:t>,</w:t>
      </w:r>
      <w:r w:rsidRPr="00F1180D">
        <w:rPr>
          <w:lang w:val="fr-FR" w:bidi="ar-KW"/>
        </w:rPr>
        <w:t xml:space="preserve"> un nombre global de 31 848 demandeurs d</w:t>
      </w:r>
      <w:r w:rsidR="00680ADA" w:rsidRPr="00F1180D">
        <w:rPr>
          <w:lang w:val="fr-FR" w:bidi="ar-KW"/>
        </w:rPr>
        <w:t>’</w:t>
      </w:r>
      <w:r w:rsidRPr="00F1180D">
        <w:rPr>
          <w:lang w:val="fr-FR" w:bidi="ar-KW"/>
        </w:rPr>
        <w:t>emploi a bénéficié des allocations d</w:t>
      </w:r>
      <w:r w:rsidR="00680ADA" w:rsidRPr="00F1180D">
        <w:rPr>
          <w:lang w:val="fr-FR" w:bidi="ar-KW"/>
        </w:rPr>
        <w:t>’</w:t>
      </w:r>
      <w:r w:rsidRPr="00F1180D">
        <w:rPr>
          <w:lang w:val="fr-FR" w:bidi="ar-KW"/>
        </w:rPr>
        <w:t>aide à la recherche d</w:t>
      </w:r>
      <w:r w:rsidR="00680ADA" w:rsidRPr="00F1180D">
        <w:rPr>
          <w:lang w:val="fr-FR" w:bidi="ar-KW"/>
        </w:rPr>
        <w:t>’</w:t>
      </w:r>
      <w:r w:rsidRPr="00F1180D">
        <w:rPr>
          <w:lang w:val="fr-FR" w:bidi="ar-KW"/>
        </w:rPr>
        <w:t>emploi dans le cadre de ce programme</w:t>
      </w:r>
      <w:r w:rsidR="00BB02D2" w:rsidRPr="00F1180D">
        <w:rPr>
          <w:lang w:val="fr-FR" w:bidi="ar-KW"/>
        </w:rPr>
        <w:t>;</w:t>
      </w:r>
    </w:p>
    <w:p w:rsidR="000C6D4A" w:rsidRPr="00F1180D" w:rsidRDefault="000C6D4A" w:rsidP="00BB02D2">
      <w:pPr>
        <w:pStyle w:val="Bullet1G"/>
        <w:rPr>
          <w:lang w:val="fr-FR" w:bidi="ar-KW"/>
        </w:rPr>
      </w:pPr>
      <w:r w:rsidRPr="00F1180D">
        <w:rPr>
          <w:lang w:val="fr-FR" w:bidi="ar-KW"/>
        </w:rPr>
        <w:t>Un montant total de 22 188 316</w:t>
      </w:r>
      <w:r w:rsidR="00680ADA" w:rsidRPr="00F1180D">
        <w:rPr>
          <w:lang w:val="fr-FR" w:bidi="ar-KW"/>
        </w:rPr>
        <w:t>,</w:t>
      </w:r>
      <w:r w:rsidRPr="00F1180D">
        <w:rPr>
          <w:lang w:val="fr-FR" w:bidi="ar-KW"/>
        </w:rPr>
        <w:t>65</w:t>
      </w:r>
      <w:r w:rsidR="009B1350" w:rsidRPr="00F1180D">
        <w:rPr>
          <w:lang w:val="fr-FR" w:bidi="ar-KW"/>
        </w:rPr>
        <w:t> dinars</w:t>
      </w:r>
      <w:r w:rsidRPr="00F1180D">
        <w:rPr>
          <w:lang w:val="fr-FR" w:bidi="ar-KW"/>
        </w:rPr>
        <w:t xml:space="preserve"> koweïtiens (73 252 943</w:t>
      </w:r>
      <w:r w:rsidR="00680ADA" w:rsidRPr="00F1180D">
        <w:rPr>
          <w:lang w:val="fr-FR" w:bidi="ar-KW"/>
        </w:rPr>
        <w:t>,</w:t>
      </w:r>
      <w:r w:rsidRPr="00F1180D">
        <w:rPr>
          <w:lang w:val="fr-FR" w:bidi="ar-KW"/>
        </w:rPr>
        <w:t>71</w:t>
      </w:r>
      <w:r w:rsidR="00935E7C" w:rsidRPr="00F1180D">
        <w:rPr>
          <w:lang w:val="fr-FR" w:bidi="ar-KW"/>
        </w:rPr>
        <w:t> dollars</w:t>
      </w:r>
      <w:r w:rsidRPr="00F1180D">
        <w:rPr>
          <w:lang w:val="fr-FR" w:bidi="ar-KW"/>
        </w:rPr>
        <w:t xml:space="preserve"> des États-Unis) a été déboursé au titre de ces aides. </w:t>
      </w:r>
    </w:p>
    <w:p w:rsidR="000C6D4A" w:rsidRPr="00F1180D" w:rsidRDefault="00BB02D2" w:rsidP="00680ADA">
      <w:pPr>
        <w:pStyle w:val="SingleTxtG"/>
        <w:rPr>
          <w:lang w:val="fr-FR" w:bidi="ar-KW"/>
        </w:rPr>
      </w:pPr>
      <w:r w:rsidRPr="00F1180D">
        <w:rPr>
          <w:lang w:val="fr-FR" w:bidi="ar-KW"/>
        </w:rPr>
        <w:tab/>
      </w:r>
      <w:r w:rsidR="000C6D4A" w:rsidRPr="00F1180D">
        <w:rPr>
          <w:lang w:val="fr-FR" w:bidi="ar-KW"/>
        </w:rPr>
        <w:t>Il convient de noter que 4 614 demandeurs d</w:t>
      </w:r>
      <w:r w:rsidR="00680ADA" w:rsidRPr="00F1180D">
        <w:rPr>
          <w:lang w:val="fr-FR" w:bidi="ar-KW"/>
        </w:rPr>
        <w:t>’</w:t>
      </w:r>
      <w:r w:rsidR="000C6D4A" w:rsidRPr="00F1180D">
        <w:rPr>
          <w:lang w:val="fr-FR" w:bidi="ar-KW"/>
        </w:rPr>
        <w:t>emploi peuvent actuellement postuler aux offres d</w:t>
      </w:r>
      <w:r w:rsidR="00680ADA" w:rsidRPr="00F1180D">
        <w:rPr>
          <w:lang w:val="fr-FR" w:bidi="ar-KW"/>
        </w:rPr>
        <w:t>’</w:t>
      </w:r>
      <w:r w:rsidR="000C6D4A" w:rsidRPr="00F1180D">
        <w:rPr>
          <w:lang w:val="fr-FR" w:bidi="ar-KW"/>
        </w:rPr>
        <w:t xml:space="preserve">emploi proposées dans le cadre de ce programme. </w:t>
      </w:r>
    </w:p>
    <w:p w:rsidR="00BB02D2" w:rsidRPr="00F1180D" w:rsidRDefault="00BB02D2" w:rsidP="00BB02D2">
      <w:pPr>
        <w:pStyle w:val="H23G"/>
        <w:rPr>
          <w:bCs/>
          <w:rtl/>
          <w:lang w:val="fr-FR" w:bidi="fr-FR"/>
        </w:rPr>
      </w:pPr>
      <w:r w:rsidRPr="00F1180D">
        <w:rPr>
          <w:lang w:val="fr-FR" w:bidi="ar-KW"/>
        </w:rPr>
        <w:tab/>
        <w:t>4.</w:t>
      </w:r>
      <w:r w:rsidRPr="00F1180D">
        <w:rPr>
          <w:lang w:val="fr-FR" w:bidi="ar-KW"/>
        </w:rPr>
        <w:tab/>
        <w:t>Allocations sociales accordées aux nouveaux diplômés</w:t>
      </w:r>
    </w:p>
    <w:p w:rsidR="000C6D4A" w:rsidRPr="00F1180D" w:rsidRDefault="000C6D4A" w:rsidP="00BB02D2">
      <w:pPr>
        <w:pStyle w:val="Bullet1G"/>
        <w:rPr>
          <w:lang w:val="fr-FR" w:bidi="ar-KW"/>
        </w:rPr>
      </w:pPr>
      <w:r w:rsidRPr="00F1180D">
        <w:rPr>
          <w:lang w:val="fr-FR" w:bidi="ar-KW"/>
        </w:rPr>
        <w:t>Du 1</w:t>
      </w:r>
      <w:r w:rsidRPr="00F1180D">
        <w:rPr>
          <w:vertAlign w:val="superscript"/>
          <w:lang w:val="fr-FR" w:bidi="ar-KW"/>
        </w:rPr>
        <w:t>er</w:t>
      </w:r>
      <w:r w:rsidRPr="00F1180D">
        <w:rPr>
          <w:lang w:val="fr-FR" w:bidi="ar-KW"/>
        </w:rPr>
        <w:t xml:space="preserve"> janvier 2012 à fin décembre 2014</w:t>
      </w:r>
      <w:r w:rsidR="00680ADA" w:rsidRPr="00F1180D">
        <w:rPr>
          <w:lang w:val="fr-FR" w:bidi="ar-KW"/>
        </w:rPr>
        <w:t>,</w:t>
      </w:r>
      <w:r w:rsidRPr="00F1180D">
        <w:rPr>
          <w:lang w:val="fr-FR" w:bidi="ar-KW"/>
        </w:rPr>
        <w:t xml:space="preserve"> un nombre de 26 394 diplômés a bénéficié d</w:t>
      </w:r>
      <w:r w:rsidR="00680ADA" w:rsidRPr="00F1180D">
        <w:rPr>
          <w:lang w:val="fr-FR" w:bidi="ar-KW"/>
        </w:rPr>
        <w:t>’</w:t>
      </w:r>
      <w:r w:rsidRPr="00F1180D">
        <w:rPr>
          <w:lang w:val="fr-FR" w:bidi="ar-KW"/>
        </w:rPr>
        <w:t xml:space="preserve">allocations au titre du programme précité. </w:t>
      </w:r>
    </w:p>
    <w:p w:rsidR="000C6D4A" w:rsidRPr="00F1180D" w:rsidRDefault="000C6D4A" w:rsidP="00BB02D2">
      <w:pPr>
        <w:pStyle w:val="Bullet1G"/>
        <w:rPr>
          <w:lang w:val="fr-FR" w:bidi="ar-KW"/>
        </w:rPr>
      </w:pPr>
      <w:r w:rsidRPr="00F1180D">
        <w:rPr>
          <w:lang w:val="fr-FR" w:bidi="ar-KW"/>
        </w:rPr>
        <w:t>Un montant total de 32 291 056</w:t>
      </w:r>
      <w:r w:rsidR="009B1350" w:rsidRPr="00F1180D">
        <w:rPr>
          <w:lang w:val="fr-FR" w:bidi="ar-KW"/>
        </w:rPr>
        <w:t> dinars</w:t>
      </w:r>
      <w:r w:rsidRPr="00F1180D">
        <w:rPr>
          <w:lang w:val="fr-FR" w:bidi="ar-KW"/>
        </w:rPr>
        <w:t xml:space="preserve"> koweïtiens (106 606 325</w:t>
      </w:r>
      <w:r w:rsidR="00680ADA" w:rsidRPr="00F1180D">
        <w:rPr>
          <w:lang w:val="fr-FR" w:bidi="ar-KW"/>
        </w:rPr>
        <w:t>,</w:t>
      </w:r>
      <w:r w:rsidRPr="00F1180D">
        <w:rPr>
          <w:lang w:val="fr-FR" w:bidi="ar-KW"/>
        </w:rPr>
        <w:t>52</w:t>
      </w:r>
      <w:r w:rsidR="00935E7C" w:rsidRPr="00F1180D">
        <w:rPr>
          <w:lang w:val="fr-FR" w:bidi="ar-KW"/>
        </w:rPr>
        <w:t> dollars</w:t>
      </w:r>
      <w:r w:rsidR="0039456E" w:rsidRPr="00F1180D">
        <w:rPr>
          <w:lang w:val="fr-FR" w:bidi="ar-KW"/>
        </w:rPr>
        <w:t xml:space="preserve"> des États</w:t>
      </w:r>
      <w:r w:rsidR="0039456E" w:rsidRPr="00F1180D">
        <w:rPr>
          <w:lang w:val="fr-FR" w:bidi="ar-KW"/>
        </w:rPr>
        <w:noBreakHyphen/>
      </w:r>
      <w:r w:rsidRPr="00F1180D">
        <w:rPr>
          <w:lang w:val="fr-FR" w:bidi="ar-KW"/>
        </w:rPr>
        <w:t>Unis) a été déboursé au titre de ces allocations.</w:t>
      </w:r>
    </w:p>
    <w:p w:rsidR="000C6D4A" w:rsidRPr="00F1180D" w:rsidRDefault="00BB02D2" w:rsidP="00BB02D2">
      <w:pPr>
        <w:pStyle w:val="H23G"/>
        <w:rPr>
          <w:lang w:val="fr-FR" w:bidi="ar-KW"/>
        </w:rPr>
      </w:pPr>
      <w:r w:rsidRPr="00F1180D">
        <w:rPr>
          <w:lang w:val="fr-FR" w:bidi="ar-KW"/>
        </w:rPr>
        <w:lastRenderedPageBreak/>
        <w:tab/>
        <w:t>5.</w:t>
      </w:r>
      <w:r w:rsidR="000C6D4A" w:rsidRPr="00F1180D">
        <w:rPr>
          <w:lang w:val="fr-FR" w:bidi="ar-KW"/>
        </w:rPr>
        <w:tab/>
        <w:t>Quotas et main d</w:t>
      </w:r>
      <w:r w:rsidR="00680ADA" w:rsidRPr="00F1180D">
        <w:rPr>
          <w:lang w:val="fr-FR" w:bidi="ar-KW"/>
        </w:rPr>
        <w:t>’</w:t>
      </w:r>
      <w:r w:rsidR="00823836" w:rsidRPr="00F1180D">
        <w:rPr>
          <w:lang w:val="fr-FR" w:bidi="ar-KW"/>
        </w:rPr>
        <w:t>œuvre</w:t>
      </w:r>
      <w:r w:rsidR="000C6D4A" w:rsidRPr="00F1180D">
        <w:rPr>
          <w:lang w:val="fr-FR" w:bidi="ar-KW"/>
        </w:rPr>
        <w:t xml:space="preserve"> ciblée</w:t>
      </w:r>
    </w:p>
    <w:p w:rsidR="000C6D4A" w:rsidRPr="00F1180D" w:rsidRDefault="00BC37A2" w:rsidP="00BB02D2">
      <w:pPr>
        <w:pStyle w:val="SingleTxtG"/>
        <w:keepNext/>
        <w:rPr>
          <w:lang w:val="fr-FR" w:bidi="ar-KW"/>
        </w:rPr>
      </w:pPr>
      <w:r>
        <w:rPr>
          <w:lang w:val="fr-FR" w:bidi="ar-KW"/>
        </w:rPr>
        <w:t>79.</w:t>
      </w:r>
      <w:r>
        <w:rPr>
          <w:lang w:val="fr-FR" w:bidi="ar-KW"/>
        </w:rPr>
        <w:tab/>
      </w:r>
      <w:r w:rsidR="000C6D4A" w:rsidRPr="00F1180D">
        <w:rPr>
          <w:lang w:val="fr-FR" w:bidi="ar-KW"/>
        </w:rPr>
        <w:t xml:space="preserve">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19 de 2000 a imposé aux entreprises du secteur privé des quotas destinés à accroître le nombre d</w:t>
      </w:r>
      <w:r w:rsidR="00680ADA" w:rsidRPr="00F1180D">
        <w:rPr>
          <w:lang w:val="fr-FR" w:bidi="ar-KW"/>
        </w:rPr>
        <w:t>’</w:t>
      </w:r>
      <w:r w:rsidR="000C6D4A" w:rsidRPr="00F1180D">
        <w:rPr>
          <w:lang w:val="fr-FR" w:bidi="ar-KW"/>
        </w:rPr>
        <w:t>employés dans les secteurs non étatiques</w:t>
      </w:r>
      <w:r w:rsidR="00680ADA" w:rsidRPr="00F1180D">
        <w:rPr>
          <w:lang w:val="fr-FR" w:bidi="ar-KW"/>
        </w:rPr>
        <w:t>,</w:t>
      </w:r>
      <w:r w:rsidR="000C6D4A" w:rsidRPr="00F1180D">
        <w:rPr>
          <w:lang w:val="fr-FR" w:bidi="ar-KW"/>
        </w:rPr>
        <w:t xml:space="preserve"> transformant ces entreprises en partenaires de recrutement de la main-d</w:t>
      </w:r>
      <w:r w:rsidR="00680ADA" w:rsidRPr="00F1180D">
        <w:rPr>
          <w:lang w:val="fr-FR" w:bidi="ar-KW"/>
        </w:rPr>
        <w:t>’</w:t>
      </w:r>
      <w:r w:rsidR="00823836" w:rsidRPr="00F1180D">
        <w:rPr>
          <w:lang w:val="fr-FR" w:bidi="ar-KW"/>
        </w:rPr>
        <w:t>œuvre</w:t>
      </w:r>
      <w:r w:rsidR="000C6D4A" w:rsidRPr="00F1180D">
        <w:rPr>
          <w:lang w:val="fr-FR" w:bidi="ar-KW"/>
        </w:rPr>
        <w:t xml:space="preserve"> nationale et 3 décrets ont notamment été adoptés en Conseil des ministres de 2002 à ce jour dans le cadre de la mise en </w:t>
      </w:r>
      <w:r w:rsidR="00823836" w:rsidRPr="00F1180D">
        <w:rPr>
          <w:lang w:val="fr-FR" w:bidi="ar-KW"/>
        </w:rPr>
        <w:t>œuvre</w:t>
      </w:r>
      <w:r w:rsidR="000C6D4A" w:rsidRPr="00F1180D">
        <w:rPr>
          <w:lang w:val="fr-FR" w:bidi="ar-KW"/>
        </w:rPr>
        <w:t xml:space="preserve"> de ce programme</w:t>
      </w:r>
      <w:r w:rsidR="00680ADA" w:rsidRPr="00F1180D">
        <w:rPr>
          <w:lang w:val="fr-FR" w:bidi="ar-KW"/>
        </w:rPr>
        <w:t>,</w:t>
      </w:r>
      <w:r w:rsidR="000C6D4A" w:rsidRPr="00F1180D">
        <w:rPr>
          <w:lang w:val="fr-FR" w:bidi="ar-KW"/>
        </w:rPr>
        <w:t xml:space="preserve"> portant fixation des quotas d</w:t>
      </w:r>
      <w:r w:rsidR="00680ADA" w:rsidRPr="00F1180D">
        <w:rPr>
          <w:lang w:val="fr-FR" w:bidi="ar-KW"/>
        </w:rPr>
        <w:t>’</w:t>
      </w:r>
      <w:r w:rsidR="000C6D4A" w:rsidRPr="00F1180D">
        <w:rPr>
          <w:lang w:val="fr-FR" w:bidi="ar-KW"/>
        </w:rPr>
        <w:t>emploi de la main-d</w:t>
      </w:r>
      <w:r w:rsidR="00680ADA" w:rsidRPr="00F1180D">
        <w:rPr>
          <w:lang w:val="fr-FR" w:bidi="ar-KW"/>
        </w:rPr>
        <w:t>’</w:t>
      </w:r>
      <w:r w:rsidR="00823836" w:rsidRPr="00F1180D">
        <w:rPr>
          <w:lang w:val="fr-FR" w:bidi="ar-KW"/>
        </w:rPr>
        <w:t>œuvre</w:t>
      </w:r>
      <w:r w:rsidR="000C6D4A" w:rsidRPr="00F1180D">
        <w:rPr>
          <w:lang w:val="fr-FR" w:bidi="ar-KW"/>
        </w:rPr>
        <w:t xml:space="preserve"> nationale dans les secteurs non étatiques</w:t>
      </w:r>
      <w:r w:rsidR="00680ADA" w:rsidRPr="00F1180D">
        <w:rPr>
          <w:lang w:val="fr-FR" w:bidi="ar-KW"/>
        </w:rPr>
        <w:t>,</w:t>
      </w:r>
      <w:r w:rsidR="000C6D4A" w:rsidRPr="00F1180D">
        <w:rPr>
          <w:lang w:val="fr-FR" w:bidi="ar-KW"/>
        </w:rPr>
        <w:t xml:space="preserve"> à savoir</w:t>
      </w:r>
      <w:r w:rsidR="00680ADA" w:rsidRPr="00F1180D">
        <w:rPr>
          <w:lang w:val="fr-FR" w:bidi="ar-KW"/>
        </w:rPr>
        <w:t>:</w:t>
      </w:r>
    </w:p>
    <w:p w:rsidR="000C6D4A" w:rsidRPr="00F1180D" w:rsidRDefault="000C6D4A" w:rsidP="00BB02D2">
      <w:pPr>
        <w:pStyle w:val="Bullet1G"/>
        <w:rPr>
          <w:rtl/>
          <w:lang w:val="fr-FR" w:bidi="fr-FR"/>
        </w:rPr>
      </w:pPr>
      <w:r w:rsidRPr="00F1180D">
        <w:rPr>
          <w:lang w:val="fr-FR" w:bidi="ar-KW"/>
        </w:rPr>
        <w:t xml:space="preserve">Le décret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KW"/>
        </w:rPr>
        <w:t>904 de 2003</w:t>
      </w:r>
      <w:r w:rsidR="00680ADA" w:rsidRPr="00F1180D">
        <w:rPr>
          <w:lang w:val="fr-FR" w:bidi="ar-KW"/>
        </w:rPr>
        <w:t>,</w:t>
      </w:r>
      <w:r w:rsidRPr="00F1180D">
        <w:rPr>
          <w:lang w:val="fr-FR" w:bidi="ar-KW"/>
        </w:rPr>
        <w:t xml:space="preserve"> ayant pour objectif la création de 8 000 postes d</w:t>
      </w:r>
      <w:r w:rsidR="00680ADA" w:rsidRPr="00F1180D">
        <w:rPr>
          <w:lang w:val="fr-FR" w:bidi="ar-KW"/>
        </w:rPr>
        <w:t>’</w:t>
      </w:r>
      <w:r w:rsidRPr="00F1180D">
        <w:rPr>
          <w:lang w:val="fr-FR" w:bidi="ar-KW"/>
        </w:rPr>
        <w:t>emploi</w:t>
      </w:r>
      <w:r w:rsidR="00BB02D2" w:rsidRPr="00F1180D">
        <w:rPr>
          <w:lang w:val="fr-FR" w:bidi="ar-KW"/>
        </w:rPr>
        <w:t>;</w:t>
      </w:r>
    </w:p>
    <w:p w:rsidR="000C6D4A" w:rsidRPr="00F1180D" w:rsidRDefault="000C6D4A" w:rsidP="00BB02D2">
      <w:pPr>
        <w:pStyle w:val="Bullet1G"/>
        <w:rPr>
          <w:lang w:val="fr-FR" w:bidi="ar-KW"/>
        </w:rPr>
      </w:pPr>
      <w:r w:rsidRPr="00F1180D">
        <w:rPr>
          <w:lang w:val="fr-FR" w:bidi="ar-KW"/>
        </w:rPr>
        <w:t xml:space="preserve">Le décret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KW"/>
        </w:rPr>
        <w:t>955 de 2005 visant à créer 13 732 emplois</w:t>
      </w:r>
      <w:r w:rsidR="00BB02D2" w:rsidRPr="00F1180D">
        <w:rPr>
          <w:lang w:val="fr-FR" w:bidi="ar-KW"/>
        </w:rPr>
        <w:t>;</w:t>
      </w:r>
      <w:r w:rsidRPr="00F1180D">
        <w:rPr>
          <w:lang w:val="fr-FR" w:bidi="ar-KW"/>
        </w:rPr>
        <w:t xml:space="preserve"> </w:t>
      </w:r>
    </w:p>
    <w:p w:rsidR="000C6D4A" w:rsidRPr="00F1180D" w:rsidRDefault="000C6D4A" w:rsidP="00BB02D2">
      <w:pPr>
        <w:pStyle w:val="Bullet1G"/>
        <w:rPr>
          <w:lang w:val="fr-FR" w:bidi="ar-KW"/>
        </w:rPr>
      </w:pPr>
      <w:r w:rsidRPr="00F1180D">
        <w:rPr>
          <w:lang w:val="fr-FR" w:bidi="ar-KW"/>
        </w:rPr>
        <w:t xml:space="preserve">Le décret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KW"/>
        </w:rPr>
        <w:t>11</w:t>
      </w:r>
      <w:r w:rsidR="009B1350" w:rsidRPr="00F1180D">
        <w:rPr>
          <w:lang w:val="fr-FR" w:bidi="ar-KW"/>
        </w:rPr>
        <w:t>04/</w:t>
      </w:r>
      <w:r w:rsidRPr="00F1180D">
        <w:rPr>
          <w:lang w:val="fr-FR" w:bidi="ar-KW"/>
        </w:rPr>
        <w:t>5 de 2008</w:t>
      </w:r>
      <w:r w:rsidR="00680ADA" w:rsidRPr="00F1180D">
        <w:rPr>
          <w:lang w:val="fr-FR" w:bidi="ar-KW"/>
        </w:rPr>
        <w:t>,</w:t>
      </w:r>
      <w:r w:rsidRPr="00F1180D">
        <w:rPr>
          <w:lang w:val="fr-FR" w:bidi="ar-KW"/>
        </w:rPr>
        <w:t xml:space="preserve"> entré en vigueur en mars 2010 et ciblant la création d</w:t>
      </w:r>
      <w:r w:rsidR="00680ADA" w:rsidRPr="00F1180D">
        <w:rPr>
          <w:lang w:val="fr-FR" w:bidi="ar-KW"/>
        </w:rPr>
        <w:t>’</w:t>
      </w:r>
      <w:r w:rsidRPr="00F1180D">
        <w:rPr>
          <w:lang w:val="fr-FR" w:bidi="ar-KW"/>
        </w:rPr>
        <w:t>environ 12 000 emplois</w:t>
      </w:r>
      <w:r w:rsidR="00BB02D2" w:rsidRPr="00F1180D">
        <w:rPr>
          <w:lang w:val="fr-FR" w:bidi="ar-KW"/>
        </w:rPr>
        <w:t>;</w:t>
      </w:r>
      <w:r w:rsidRPr="00F1180D">
        <w:rPr>
          <w:lang w:val="fr-FR" w:bidi="ar-KW"/>
        </w:rPr>
        <w:t xml:space="preserve"> </w:t>
      </w:r>
    </w:p>
    <w:p w:rsidR="000C6D4A" w:rsidRPr="00F1180D" w:rsidRDefault="000C6D4A" w:rsidP="00BB02D2">
      <w:pPr>
        <w:pStyle w:val="Bullet1G"/>
        <w:rPr>
          <w:lang w:val="fr-FR" w:bidi="ar-KW"/>
        </w:rPr>
      </w:pPr>
      <w:r w:rsidRPr="00F1180D">
        <w:rPr>
          <w:lang w:val="fr-FR" w:bidi="ar-KW"/>
        </w:rPr>
        <w:t xml:space="preserve">Le décret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KW"/>
        </w:rPr>
        <w:t>1028 de 2014</w:t>
      </w:r>
      <w:r w:rsidR="00680ADA" w:rsidRPr="00F1180D">
        <w:rPr>
          <w:lang w:val="fr-FR" w:bidi="ar-KW"/>
        </w:rPr>
        <w:t>,</w:t>
      </w:r>
      <w:r w:rsidRPr="00F1180D">
        <w:rPr>
          <w:lang w:val="fr-FR" w:bidi="ar-KW"/>
        </w:rPr>
        <w:t xml:space="preserve"> entré en vigueur le 25 février 2014 et visant à créer quelques 10 000 emplois. </w:t>
      </w:r>
    </w:p>
    <w:p w:rsidR="000C6D4A" w:rsidRPr="00F1180D" w:rsidRDefault="00BB02D2" w:rsidP="00BB02D2">
      <w:pPr>
        <w:pStyle w:val="H23G"/>
        <w:rPr>
          <w:lang w:val="fr-FR" w:bidi="ar-KW"/>
        </w:rPr>
      </w:pPr>
      <w:r w:rsidRPr="00F1180D">
        <w:rPr>
          <w:lang w:val="fr-FR" w:bidi="ar-KW"/>
        </w:rPr>
        <w:tab/>
        <w:t>6.</w:t>
      </w:r>
      <w:r w:rsidR="000C6D4A" w:rsidRPr="00F1180D">
        <w:rPr>
          <w:lang w:val="fr-FR" w:bidi="ar-KW"/>
        </w:rPr>
        <w:tab/>
        <w:t>Indemnité de licenciement</w:t>
      </w:r>
    </w:p>
    <w:p w:rsidR="000C6D4A" w:rsidRPr="00F1180D" w:rsidRDefault="00BC37A2" w:rsidP="00680ADA">
      <w:pPr>
        <w:pStyle w:val="SingleTxtG"/>
        <w:rPr>
          <w:lang w:val="fr-FR" w:bidi="ar-KW"/>
        </w:rPr>
      </w:pPr>
      <w:r>
        <w:rPr>
          <w:lang w:val="fr-FR" w:bidi="ar-KW"/>
        </w:rPr>
        <w:t>80.</w:t>
      </w:r>
      <w:r>
        <w:rPr>
          <w:lang w:val="fr-FR" w:bidi="ar-KW"/>
        </w:rPr>
        <w:tab/>
      </w:r>
      <w:r w:rsidR="000C6D4A" w:rsidRPr="00F1180D">
        <w:rPr>
          <w:lang w:val="fr-FR" w:bidi="ar-KW"/>
        </w:rPr>
        <w:t xml:space="preserve">En vertu du décret du Conseil des ministres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675/1 de 2009</w:t>
      </w:r>
      <w:r w:rsidR="00680ADA" w:rsidRPr="00F1180D">
        <w:rPr>
          <w:lang w:val="fr-FR" w:bidi="ar-KW"/>
        </w:rPr>
        <w:t>,</w:t>
      </w:r>
      <w:r w:rsidR="000C6D4A" w:rsidRPr="00F1180D">
        <w:rPr>
          <w:lang w:val="fr-FR" w:bidi="ar-KW"/>
        </w:rPr>
        <w:t xml:space="preserve"> tel que modifié</w:t>
      </w:r>
      <w:r w:rsidR="00680ADA" w:rsidRPr="00F1180D">
        <w:rPr>
          <w:lang w:val="fr-FR" w:bidi="ar-KW"/>
        </w:rPr>
        <w:t>,</w:t>
      </w:r>
      <w:r w:rsidR="000C6D4A" w:rsidRPr="00F1180D">
        <w:rPr>
          <w:lang w:val="fr-FR" w:bidi="ar-KW"/>
        </w:rPr>
        <w:t xml:space="preserve"> une aide financière est accordée à chaque koweïtien apte au travail</w:t>
      </w:r>
      <w:r w:rsidR="00680ADA" w:rsidRPr="00F1180D">
        <w:rPr>
          <w:lang w:val="fr-FR" w:bidi="ar-KW"/>
        </w:rPr>
        <w:t>,</w:t>
      </w:r>
      <w:r w:rsidR="000C6D4A" w:rsidRPr="00F1180D">
        <w:rPr>
          <w:lang w:val="fr-FR" w:bidi="ar-KW"/>
        </w:rPr>
        <w:t xml:space="preserve"> qui aurait été licencié contre son gré par une institution non étatique entre le 1</w:t>
      </w:r>
      <w:r w:rsidR="000C6D4A" w:rsidRPr="00F1180D">
        <w:rPr>
          <w:vertAlign w:val="superscript"/>
          <w:lang w:val="fr-FR" w:bidi="ar-KW"/>
        </w:rPr>
        <w:t xml:space="preserve">er </w:t>
      </w:r>
      <w:r w:rsidR="000C6D4A" w:rsidRPr="00F1180D">
        <w:rPr>
          <w:lang w:val="fr-FR" w:bidi="ar-KW"/>
        </w:rPr>
        <w:t>août 2008 et le 31 octobre 2013</w:t>
      </w:r>
      <w:r w:rsidR="00680ADA" w:rsidRPr="00F1180D">
        <w:rPr>
          <w:lang w:val="fr-FR" w:bidi="ar-KW"/>
        </w:rPr>
        <w:t>,</w:t>
      </w:r>
      <w:r w:rsidR="000C6D4A" w:rsidRPr="00F1180D">
        <w:rPr>
          <w:lang w:val="fr-FR" w:bidi="ar-KW"/>
        </w:rPr>
        <w:t xml:space="preserve"> étant précisé que cette prestation a continué à être versée</w:t>
      </w:r>
      <w:r w:rsidR="00680ADA" w:rsidRPr="00F1180D">
        <w:rPr>
          <w:lang w:val="fr-FR" w:bidi="ar-KW"/>
        </w:rPr>
        <w:t>,</w:t>
      </w:r>
      <w:r w:rsidR="000C6D4A" w:rsidRPr="00F1180D">
        <w:rPr>
          <w:lang w:val="fr-FR" w:bidi="ar-KW"/>
        </w:rPr>
        <w:t xml:space="preserve"> dans le cadre du programme</w:t>
      </w:r>
      <w:r w:rsidR="00680ADA" w:rsidRPr="00F1180D">
        <w:rPr>
          <w:lang w:val="fr-FR" w:bidi="ar-KW"/>
        </w:rPr>
        <w:t>,</w:t>
      </w:r>
      <w:r w:rsidR="000C6D4A" w:rsidRPr="00F1180D">
        <w:rPr>
          <w:lang w:val="fr-FR" w:bidi="ar-KW"/>
        </w:rPr>
        <w:t xml:space="preserve"> jusqu</w:t>
      </w:r>
      <w:r w:rsidR="00680ADA" w:rsidRPr="00F1180D">
        <w:rPr>
          <w:lang w:val="fr-FR" w:bidi="ar-KW"/>
        </w:rPr>
        <w:t>’</w:t>
      </w:r>
      <w:r w:rsidR="000C6D4A" w:rsidRPr="00F1180D">
        <w:rPr>
          <w:lang w:val="fr-FR" w:bidi="ar-KW"/>
        </w:rPr>
        <w:t xml:space="preserve">au 30 octobre 2014 en application du décret du Conseil des ministres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610 de 2014 et jusqu</w:t>
      </w:r>
      <w:r w:rsidR="00680ADA" w:rsidRPr="00F1180D">
        <w:rPr>
          <w:lang w:val="fr-FR" w:bidi="ar-KW"/>
        </w:rPr>
        <w:t>’</w:t>
      </w:r>
      <w:r w:rsidR="000C6D4A" w:rsidRPr="00F1180D">
        <w:rPr>
          <w:lang w:val="fr-FR" w:bidi="ar-KW"/>
        </w:rPr>
        <w:t xml:space="preserve">à ce jour en application du décret du Conseil des ministres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1577 de 2014. Le montant de l</w:t>
      </w:r>
      <w:r w:rsidR="00680ADA" w:rsidRPr="00F1180D">
        <w:rPr>
          <w:lang w:val="fr-FR" w:bidi="ar-KW"/>
        </w:rPr>
        <w:t>’</w:t>
      </w:r>
      <w:r w:rsidR="000C6D4A" w:rsidRPr="00F1180D">
        <w:rPr>
          <w:lang w:val="fr-FR" w:bidi="ar-KW"/>
        </w:rPr>
        <w:t>aide financière accordée aux travailleurs licenciés est fixé à 60</w:t>
      </w:r>
      <w:r w:rsidR="00D259F0" w:rsidRPr="00F1180D">
        <w:rPr>
          <w:lang w:val="fr-FR" w:bidi="ar-KW"/>
        </w:rPr>
        <w:t> %</w:t>
      </w:r>
      <w:r w:rsidR="000C6D4A" w:rsidRPr="00F1180D">
        <w:rPr>
          <w:lang w:val="fr-FR" w:bidi="ar-KW"/>
        </w:rPr>
        <w:t xml:space="preserve"> du salaire soumis au régime de l</w:t>
      </w:r>
      <w:r w:rsidR="00680ADA" w:rsidRPr="00F1180D">
        <w:rPr>
          <w:lang w:val="fr-FR" w:bidi="ar-KW"/>
        </w:rPr>
        <w:t>’</w:t>
      </w:r>
      <w:r w:rsidR="000C6D4A" w:rsidRPr="00F1180D">
        <w:rPr>
          <w:lang w:val="fr-FR" w:bidi="ar-KW"/>
        </w:rPr>
        <w:t>assurance de base et complémentaire géré par l</w:t>
      </w:r>
      <w:r w:rsidR="00680ADA" w:rsidRPr="00F1180D">
        <w:rPr>
          <w:lang w:val="fr-FR" w:bidi="ar-KW"/>
        </w:rPr>
        <w:t>’</w:t>
      </w:r>
      <w:r w:rsidR="000C6D4A" w:rsidRPr="00F1180D">
        <w:rPr>
          <w:lang w:val="fr-FR" w:bidi="ar-KW"/>
        </w:rPr>
        <w:t>Office général des assurances sociales</w:t>
      </w:r>
      <w:r w:rsidR="00680ADA" w:rsidRPr="00F1180D">
        <w:rPr>
          <w:lang w:val="fr-FR" w:bidi="ar-KW"/>
        </w:rPr>
        <w:t>,</w:t>
      </w:r>
      <w:r w:rsidR="000C6D4A" w:rsidRPr="00F1180D">
        <w:rPr>
          <w:lang w:val="fr-FR" w:bidi="ar-KW"/>
        </w:rPr>
        <w:t xml:space="preserve"> à laquelle s</w:t>
      </w:r>
      <w:r w:rsidR="00680ADA" w:rsidRPr="00F1180D">
        <w:rPr>
          <w:lang w:val="fr-FR" w:bidi="ar-KW"/>
        </w:rPr>
        <w:t>’</w:t>
      </w:r>
      <w:r w:rsidR="000C6D4A" w:rsidRPr="00F1180D">
        <w:rPr>
          <w:lang w:val="fr-FR" w:bidi="ar-KW"/>
        </w:rPr>
        <w:t>ajoute une somme de 220</w:t>
      </w:r>
      <w:r w:rsidR="009B1350" w:rsidRPr="00F1180D">
        <w:rPr>
          <w:lang w:val="fr-FR" w:bidi="ar-KW"/>
        </w:rPr>
        <w:t> dinars</w:t>
      </w:r>
      <w:r w:rsidR="00BB000D" w:rsidRPr="00F1180D">
        <w:rPr>
          <w:lang w:val="fr-FR" w:bidi="ar-KW"/>
        </w:rPr>
        <w:t xml:space="preserve"> koweïtiens par mois (soit </w:t>
      </w:r>
      <w:r w:rsidR="000C6D4A" w:rsidRPr="00F1180D">
        <w:rPr>
          <w:lang w:val="fr-FR" w:bidi="ar-KW"/>
        </w:rPr>
        <w:t>726</w:t>
      </w:r>
      <w:r w:rsidR="00680ADA" w:rsidRPr="00F1180D">
        <w:rPr>
          <w:lang w:val="fr-FR" w:bidi="ar-KW"/>
        </w:rPr>
        <w:t>,</w:t>
      </w:r>
      <w:r w:rsidR="000C6D4A" w:rsidRPr="00F1180D">
        <w:rPr>
          <w:lang w:val="fr-FR" w:bidi="ar-KW"/>
        </w:rPr>
        <w:t>31</w:t>
      </w:r>
      <w:r w:rsidR="00935E7C" w:rsidRPr="00F1180D">
        <w:rPr>
          <w:lang w:val="fr-FR" w:bidi="ar-KW"/>
        </w:rPr>
        <w:t> dollars</w:t>
      </w:r>
      <w:r w:rsidR="000C6D4A" w:rsidRPr="00F1180D">
        <w:rPr>
          <w:lang w:val="fr-FR" w:bidi="ar-KW"/>
        </w:rPr>
        <w:t xml:space="preserve"> des États-Unis).</w:t>
      </w:r>
    </w:p>
    <w:p w:rsidR="000C6D4A" w:rsidRPr="00F1180D" w:rsidRDefault="00BC37A2" w:rsidP="00680ADA">
      <w:pPr>
        <w:pStyle w:val="SingleTxtG"/>
        <w:rPr>
          <w:rtl/>
          <w:lang w:val="fr-FR" w:bidi="fr-FR"/>
        </w:rPr>
      </w:pPr>
      <w:r>
        <w:rPr>
          <w:lang w:val="fr-FR" w:bidi="ar-KW"/>
        </w:rPr>
        <w:t>81.</w:t>
      </w:r>
      <w:r>
        <w:rPr>
          <w:lang w:val="fr-FR" w:bidi="ar-KW"/>
        </w:rPr>
        <w:tab/>
      </w:r>
      <w:r w:rsidR="000C6D4A" w:rsidRPr="00F1180D">
        <w:rPr>
          <w:lang w:val="fr-FR" w:bidi="ar-KW"/>
        </w:rPr>
        <w:t>Jusqu</w:t>
      </w:r>
      <w:r w:rsidR="00680ADA" w:rsidRPr="00F1180D">
        <w:rPr>
          <w:lang w:val="fr-FR" w:bidi="ar-KW"/>
        </w:rPr>
        <w:t>’</w:t>
      </w:r>
      <w:r w:rsidR="000C6D4A" w:rsidRPr="00F1180D">
        <w:rPr>
          <w:lang w:val="fr-FR" w:bidi="ar-KW"/>
        </w:rPr>
        <w:t>à fin décembre 2014</w:t>
      </w:r>
      <w:r w:rsidR="00680ADA" w:rsidRPr="00F1180D">
        <w:rPr>
          <w:lang w:val="fr-FR" w:bidi="ar-KW"/>
        </w:rPr>
        <w:t>,</w:t>
      </w:r>
      <w:r w:rsidR="000C6D4A" w:rsidRPr="00F1180D">
        <w:rPr>
          <w:lang w:val="fr-FR" w:bidi="ar-KW"/>
        </w:rPr>
        <w:t xml:space="preserve"> 2 378 citoyens ont bénéficié des prestations versées en application du décret du Conseil des ministres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675/1 de 2009</w:t>
      </w:r>
      <w:r w:rsidR="00680ADA" w:rsidRPr="00F1180D">
        <w:rPr>
          <w:lang w:val="fr-FR" w:bidi="ar-KW"/>
        </w:rPr>
        <w:t>,</w:t>
      </w:r>
      <w:r w:rsidR="000C6D4A" w:rsidRPr="00F1180D">
        <w:rPr>
          <w:lang w:val="fr-FR" w:bidi="ar-KW"/>
        </w:rPr>
        <w:t xml:space="preserve"> tel que modifié</w:t>
      </w:r>
      <w:r w:rsidR="00680ADA" w:rsidRPr="00F1180D">
        <w:rPr>
          <w:lang w:val="fr-FR" w:bidi="ar-KW"/>
        </w:rPr>
        <w:t>,</w:t>
      </w:r>
      <w:r w:rsidR="000C6D4A" w:rsidRPr="00F1180D">
        <w:rPr>
          <w:lang w:val="fr-FR" w:bidi="ar-KW"/>
        </w:rPr>
        <w:t xml:space="preserve"> pour un montant total de 25 millions de</w:t>
      </w:r>
      <w:r w:rsidR="009B1350" w:rsidRPr="00F1180D">
        <w:rPr>
          <w:lang w:val="fr-FR" w:bidi="ar-KW"/>
        </w:rPr>
        <w:t> dinars</w:t>
      </w:r>
      <w:r w:rsidR="000C6D4A" w:rsidRPr="00F1180D">
        <w:rPr>
          <w:lang w:val="fr-FR" w:bidi="ar-KW"/>
        </w:rPr>
        <w:t xml:space="preserve"> koweïtiens (soit 82 535 490</w:t>
      </w:r>
      <w:r w:rsidR="00680ADA" w:rsidRPr="00F1180D">
        <w:rPr>
          <w:lang w:val="fr-FR" w:bidi="ar-KW"/>
        </w:rPr>
        <w:t>,</w:t>
      </w:r>
      <w:r w:rsidR="000C6D4A" w:rsidRPr="00F1180D">
        <w:rPr>
          <w:lang w:val="fr-FR" w:bidi="ar-KW"/>
        </w:rPr>
        <w:t>26</w:t>
      </w:r>
      <w:r w:rsidR="00935E7C" w:rsidRPr="00F1180D">
        <w:rPr>
          <w:lang w:val="fr-FR" w:bidi="ar-KW"/>
        </w:rPr>
        <w:t> dollars</w:t>
      </w:r>
      <w:r w:rsidR="000C6D4A" w:rsidRPr="00F1180D">
        <w:rPr>
          <w:lang w:val="fr-FR" w:bidi="ar-KW"/>
        </w:rPr>
        <w:t xml:space="preserve"> des États-Unis).</w:t>
      </w:r>
    </w:p>
    <w:p w:rsidR="000C6D4A" w:rsidRPr="00F1180D" w:rsidRDefault="00BC37A2" w:rsidP="00680ADA">
      <w:pPr>
        <w:pStyle w:val="SingleTxtG"/>
        <w:rPr>
          <w:rtl/>
          <w:lang w:val="fr-FR" w:bidi="fr-FR"/>
        </w:rPr>
      </w:pPr>
      <w:r>
        <w:rPr>
          <w:lang w:val="fr-FR" w:bidi="ar-KW"/>
        </w:rPr>
        <w:t>82.</w:t>
      </w:r>
      <w:r>
        <w:rPr>
          <w:lang w:val="fr-FR" w:bidi="ar-KW"/>
        </w:rPr>
        <w:tab/>
      </w:r>
      <w:r w:rsidR="000C6D4A" w:rsidRPr="00F1180D">
        <w:rPr>
          <w:lang w:val="fr-FR" w:bidi="ar-KW"/>
        </w:rPr>
        <w:t>Il convient de noter que la sécurité de l</w:t>
      </w:r>
      <w:r w:rsidR="00680ADA" w:rsidRPr="00F1180D">
        <w:rPr>
          <w:lang w:val="fr-FR" w:bidi="ar-KW"/>
        </w:rPr>
        <w:t>’</w:t>
      </w:r>
      <w:r w:rsidR="000C6D4A" w:rsidRPr="00F1180D">
        <w:rPr>
          <w:lang w:val="fr-FR" w:bidi="ar-KW"/>
        </w:rPr>
        <w:t>emploi au profit des Koweïtiens est assurée au moyen de plusieurs textes en vertu desquels l</w:t>
      </w:r>
      <w:r w:rsidR="00680ADA" w:rsidRPr="00F1180D">
        <w:rPr>
          <w:lang w:val="fr-FR" w:bidi="ar-KW"/>
        </w:rPr>
        <w:t>’</w:t>
      </w:r>
      <w:r w:rsidR="000C6D4A" w:rsidRPr="00F1180D">
        <w:rPr>
          <w:lang w:val="fr-FR" w:bidi="ar-KW"/>
        </w:rPr>
        <w:t>État s</w:t>
      </w:r>
      <w:r w:rsidR="00680ADA" w:rsidRPr="00F1180D">
        <w:rPr>
          <w:lang w:val="fr-FR" w:bidi="ar-KW"/>
        </w:rPr>
        <w:t>’</w:t>
      </w:r>
      <w:r w:rsidR="000C6D4A" w:rsidRPr="00F1180D">
        <w:rPr>
          <w:lang w:val="fr-FR" w:bidi="ar-KW"/>
        </w:rPr>
        <w:t>engage à verser une aide financière aux salariés du secteur privé ayant fait l</w:t>
      </w:r>
      <w:r w:rsidR="00680ADA" w:rsidRPr="00F1180D">
        <w:rPr>
          <w:lang w:val="fr-FR" w:bidi="ar-KW"/>
        </w:rPr>
        <w:t>’</w:t>
      </w:r>
      <w:r w:rsidR="000C6D4A" w:rsidRPr="00F1180D">
        <w:rPr>
          <w:lang w:val="fr-FR" w:bidi="ar-KW"/>
        </w:rPr>
        <w:t>objet d</w:t>
      </w:r>
      <w:r w:rsidR="00680ADA" w:rsidRPr="00F1180D">
        <w:rPr>
          <w:lang w:val="fr-FR" w:bidi="ar-KW"/>
        </w:rPr>
        <w:t>’</w:t>
      </w:r>
      <w:r w:rsidR="000C6D4A" w:rsidRPr="00F1180D">
        <w:rPr>
          <w:lang w:val="fr-FR" w:bidi="ar-KW"/>
        </w:rPr>
        <w:t>un licenciement</w:t>
      </w:r>
      <w:r w:rsidR="00680ADA" w:rsidRPr="00F1180D">
        <w:rPr>
          <w:lang w:val="fr-FR" w:bidi="ar-KW"/>
        </w:rPr>
        <w:t>,</w:t>
      </w:r>
      <w:r w:rsidR="000C6D4A" w:rsidRPr="00F1180D">
        <w:rPr>
          <w:lang w:val="fr-FR" w:bidi="ar-KW"/>
        </w:rPr>
        <w:t xml:space="preserve"> comme par exemple le décret du Conseil des ministres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675 de 2009</w:t>
      </w:r>
      <w:r w:rsidR="00680ADA" w:rsidRPr="00F1180D">
        <w:rPr>
          <w:lang w:val="fr-FR" w:bidi="ar-KW"/>
        </w:rPr>
        <w:t>,</w:t>
      </w:r>
      <w:r w:rsidR="000C6D4A" w:rsidRPr="00F1180D">
        <w:rPr>
          <w:lang w:val="fr-FR" w:bidi="ar-KW"/>
        </w:rPr>
        <w:t xml:space="preserve"> tel que modifié</w:t>
      </w:r>
      <w:r w:rsidR="00680ADA" w:rsidRPr="00F1180D">
        <w:rPr>
          <w:lang w:val="fr-FR" w:bidi="ar-KW"/>
        </w:rPr>
        <w:t>,</w:t>
      </w:r>
      <w:r w:rsidR="000C6D4A" w:rsidRPr="00F1180D">
        <w:rPr>
          <w:lang w:val="fr-FR" w:bidi="ar-KW"/>
        </w:rPr>
        <w:t xml:space="preserve"> ainsi que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BB000D" w:rsidRPr="00F1180D">
        <w:rPr>
          <w:lang w:val="fr-FR" w:bidi="ar-KW"/>
        </w:rPr>
        <w:t>101 de </w:t>
      </w:r>
      <w:r w:rsidR="000C6D4A" w:rsidRPr="00F1180D">
        <w:rPr>
          <w:lang w:val="fr-FR" w:bidi="ar-KW"/>
        </w:rPr>
        <w:t>2013 relative à l</w:t>
      </w:r>
      <w:r w:rsidR="00680ADA" w:rsidRPr="00F1180D">
        <w:rPr>
          <w:lang w:val="fr-FR" w:bidi="ar-KW"/>
        </w:rPr>
        <w:t>’</w:t>
      </w:r>
      <w:r w:rsidR="000C6D4A" w:rsidRPr="00F1180D">
        <w:rPr>
          <w:lang w:val="fr-FR" w:bidi="ar-KW"/>
        </w:rPr>
        <w:t xml:space="preserve">indemnisation-chômage. </w:t>
      </w:r>
    </w:p>
    <w:p w:rsidR="000C6D4A" w:rsidRPr="00F1180D" w:rsidRDefault="00BC37A2" w:rsidP="00680ADA">
      <w:pPr>
        <w:pStyle w:val="SingleTxtG"/>
        <w:rPr>
          <w:rtl/>
          <w:lang w:val="fr-FR" w:bidi="fr-FR"/>
        </w:rPr>
      </w:pPr>
      <w:r>
        <w:rPr>
          <w:lang w:val="fr-FR" w:bidi="ar-KW"/>
        </w:rPr>
        <w:t>83.</w:t>
      </w:r>
      <w:r>
        <w:rPr>
          <w:lang w:val="fr-FR" w:bidi="ar-KW"/>
        </w:rPr>
        <w:tab/>
      </w:r>
      <w:r w:rsidR="000C6D4A" w:rsidRPr="00F1180D">
        <w:rPr>
          <w:lang w:val="fr-FR" w:bidi="ar-KW"/>
        </w:rPr>
        <w:t>En outre</w:t>
      </w:r>
      <w:r w:rsidR="00680ADA" w:rsidRPr="00F1180D">
        <w:rPr>
          <w:lang w:val="fr-FR" w:bidi="ar-KW"/>
        </w:rPr>
        <w:t>,</w:t>
      </w:r>
      <w:r w:rsidR="000C6D4A" w:rsidRPr="00F1180D">
        <w:rPr>
          <w:lang w:val="fr-FR" w:bidi="ar-KW"/>
        </w:rPr>
        <w:t xml:space="preserve"> </w:t>
      </w:r>
      <w:r w:rsidR="000C6D4A" w:rsidRPr="00F1180D">
        <w:rPr>
          <w:lang w:val="fr-FR" w:bidi="ar-EG"/>
        </w:rPr>
        <w:t xml:space="preserve">le Gouvernement a promulgué la </w:t>
      </w:r>
      <w:r w:rsidR="000C6D4A" w:rsidRPr="00F1180D">
        <w:rPr>
          <w:lang w:val="fr-FR" w:bidi="ar-KW"/>
        </w:rPr>
        <w:t xml:space="preserve">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9 de 1962 sur l</w:t>
      </w:r>
      <w:r w:rsidR="00680ADA" w:rsidRPr="00F1180D">
        <w:rPr>
          <w:lang w:val="fr-FR" w:bidi="ar-KW"/>
        </w:rPr>
        <w:t>’</w:t>
      </w:r>
      <w:r w:rsidR="000C6D4A" w:rsidRPr="00F1180D">
        <w:rPr>
          <w:lang w:val="fr-FR" w:bidi="ar-KW"/>
        </w:rPr>
        <w:t>aide publique</w:t>
      </w:r>
      <w:r w:rsidR="00680ADA" w:rsidRPr="00F1180D">
        <w:rPr>
          <w:lang w:val="fr-FR" w:bidi="ar-KW"/>
        </w:rPr>
        <w:t>,</w:t>
      </w:r>
      <w:r w:rsidR="000C6D4A" w:rsidRPr="00F1180D">
        <w:rPr>
          <w:lang w:val="fr-FR" w:bidi="ar-KW"/>
        </w:rPr>
        <w:t xml:space="preserve"> suivie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5 de 1968 qui visait à combler les lacunes de la première</w:t>
      </w:r>
      <w:r w:rsidR="00680ADA" w:rsidRPr="00F1180D">
        <w:rPr>
          <w:lang w:val="fr-FR" w:bidi="ar-KW"/>
        </w:rPr>
        <w:t>,</w:t>
      </w:r>
      <w:r w:rsidR="000C6D4A" w:rsidRPr="00F1180D">
        <w:rPr>
          <w:lang w:val="fr-FR" w:bidi="ar-KW"/>
        </w:rPr>
        <w:t xml:space="preserve"> étant précisé que ce texte a ensuite fait l</w:t>
      </w:r>
      <w:r w:rsidR="00680ADA" w:rsidRPr="00F1180D">
        <w:rPr>
          <w:lang w:val="fr-FR" w:bidi="ar-KW"/>
        </w:rPr>
        <w:t>’</w:t>
      </w:r>
      <w:r w:rsidR="000C6D4A" w:rsidRPr="00F1180D">
        <w:rPr>
          <w:lang w:val="fr-FR" w:bidi="ar-KW"/>
        </w:rPr>
        <w:t>objet de plusieurs révisions</w:t>
      </w:r>
      <w:r w:rsidR="00680ADA" w:rsidRPr="00F1180D">
        <w:rPr>
          <w:lang w:val="fr-FR" w:bidi="ar-KW"/>
        </w:rPr>
        <w:t>,</w:t>
      </w:r>
      <w:r w:rsidR="000C6D4A" w:rsidRPr="00F1180D">
        <w:rPr>
          <w:lang w:val="fr-FR" w:bidi="ar-KW"/>
        </w:rPr>
        <w:t xml:space="preserve"> dont la dernière en date a été opérée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12 de 2011 sur les aides publiques</w:t>
      </w:r>
      <w:r w:rsidR="00680ADA" w:rsidRPr="00F1180D">
        <w:rPr>
          <w:lang w:val="fr-FR" w:bidi="ar-KW"/>
        </w:rPr>
        <w:t>,</w:t>
      </w:r>
      <w:r w:rsidR="000C6D4A" w:rsidRPr="00F1180D">
        <w:rPr>
          <w:lang w:val="fr-FR" w:bidi="ar-KW"/>
        </w:rPr>
        <w:t xml:space="preserve"> qui a fixé les conditions et modalités d</w:t>
      </w:r>
      <w:r w:rsidR="00680ADA" w:rsidRPr="00F1180D">
        <w:rPr>
          <w:lang w:val="fr-FR" w:bidi="ar-KW"/>
        </w:rPr>
        <w:t>’</w:t>
      </w:r>
      <w:r w:rsidR="000C6D4A" w:rsidRPr="00F1180D">
        <w:rPr>
          <w:lang w:val="fr-FR" w:bidi="ar-KW"/>
        </w:rPr>
        <w:t>octroi desdites aides aux familles et aux individus koweïtiens</w:t>
      </w:r>
      <w:r w:rsidR="00680ADA" w:rsidRPr="00F1180D">
        <w:rPr>
          <w:lang w:val="fr-FR" w:bidi="ar-KW"/>
        </w:rPr>
        <w:t>,</w:t>
      </w:r>
      <w:r w:rsidR="000C6D4A" w:rsidRPr="00F1180D">
        <w:rPr>
          <w:lang w:val="fr-FR" w:bidi="ar-KW"/>
        </w:rPr>
        <w:t xml:space="preserve"> dans la perspective d</w:t>
      </w:r>
      <w:r w:rsidR="00680ADA" w:rsidRPr="00F1180D">
        <w:rPr>
          <w:lang w:val="fr-FR" w:bidi="ar-KW"/>
        </w:rPr>
        <w:t>’</w:t>
      </w:r>
      <w:r w:rsidR="000C6D4A" w:rsidRPr="00F1180D">
        <w:rPr>
          <w:lang w:val="fr-FR" w:bidi="ar-KW"/>
        </w:rPr>
        <w:t>une prise en compte des principaux risques auxquels peuvent se trouver exposées les familles koweïtiennes</w:t>
      </w:r>
      <w:r w:rsidR="00680ADA" w:rsidRPr="00F1180D">
        <w:rPr>
          <w:lang w:val="fr-FR" w:bidi="ar-KW"/>
        </w:rPr>
        <w:t>,</w:t>
      </w:r>
      <w:r w:rsidR="000C6D4A" w:rsidRPr="00F1180D">
        <w:rPr>
          <w:lang w:val="fr-FR" w:bidi="ar-KW"/>
        </w:rPr>
        <w:t xml:space="preserve"> telles que </w:t>
      </w:r>
      <w:r w:rsidR="000C6D4A" w:rsidRPr="00F1180D">
        <w:rPr>
          <w:lang w:val="fr-FR" w:bidi="ar-EG"/>
        </w:rPr>
        <w:t>le décès du soutien de famille laissant derrière lui veuves et orphelins</w:t>
      </w:r>
      <w:r w:rsidR="00680ADA" w:rsidRPr="00F1180D">
        <w:rPr>
          <w:lang w:val="fr-FR" w:bidi="ar-EG"/>
        </w:rPr>
        <w:t>,</w:t>
      </w:r>
      <w:r w:rsidR="000C6D4A" w:rsidRPr="00F1180D">
        <w:rPr>
          <w:lang w:val="fr-FR" w:bidi="ar-EG"/>
        </w:rPr>
        <w:t xml:space="preserve"> la maladie ou l</w:t>
      </w:r>
      <w:r w:rsidR="00680ADA" w:rsidRPr="00F1180D">
        <w:rPr>
          <w:lang w:val="fr-FR" w:bidi="ar-EG"/>
        </w:rPr>
        <w:t>’</w:t>
      </w:r>
      <w:r w:rsidR="000C6D4A" w:rsidRPr="00F1180D">
        <w:rPr>
          <w:lang w:val="fr-FR" w:bidi="ar-EG"/>
        </w:rPr>
        <w:t>invalidité du chef de famille ou son incapacité à subvenir aux besoins de sa famille du fait de son insolvabilité ou de son emprisonnement</w:t>
      </w:r>
      <w:r w:rsidR="00680ADA" w:rsidRPr="00F1180D">
        <w:rPr>
          <w:lang w:val="fr-FR" w:bidi="ar-EG"/>
        </w:rPr>
        <w:t>,</w:t>
      </w:r>
      <w:r w:rsidR="000C6D4A" w:rsidRPr="00F1180D">
        <w:rPr>
          <w:lang w:val="fr-FR" w:bidi="ar-EG"/>
        </w:rPr>
        <w:t xml:space="preserve"> ou encore plus généralement en cas de coup du sort pour les familles n</w:t>
      </w:r>
      <w:r w:rsidR="00680ADA" w:rsidRPr="00F1180D">
        <w:rPr>
          <w:lang w:val="fr-FR" w:bidi="ar-EG"/>
        </w:rPr>
        <w:t>’</w:t>
      </w:r>
      <w:r w:rsidR="000C6D4A" w:rsidRPr="00F1180D">
        <w:rPr>
          <w:lang w:val="fr-FR" w:bidi="ar-EG"/>
        </w:rPr>
        <w:t>entrant pas dans les catégories susceptibles de bénéficier d</w:t>
      </w:r>
      <w:r w:rsidR="00680ADA" w:rsidRPr="00F1180D">
        <w:rPr>
          <w:lang w:val="fr-FR" w:bidi="ar-EG"/>
        </w:rPr>
        <w:t>’</w:t>
      </w:r>
      <w:r w:rsidR="000C6D4A" w:rsidRPr="00F1180D">
        <w:rPr>
          <w:lang w:val="fr-FR" w:bidi="ar-EG"/>
        </w:rPr>
        <w:t>une aide</w:t>
      </w:r>
      <w:r w:rsidR="000C6D4A" w:rsidRPr="00F1180D">
        <w:rPr>
          <w:lang w:val="fr-FR" w:bidi="ar-KW"/>
        </w:rPr>
        <w:t>. La loi sur les aides publiques permet également d</w:t>
      </w:r>
      <w:r w:rsidR="00680ADA" w:rsidRPr="00F1180D">
        <w:rPr>
          <w:lang w:val="fr-FR" w:bidi="ar-KW"/>
        </w:rPr>
        <w:t>’</w:t>
      </w:r>
      <w:r w:rsidR="000C6D4A" w:rsidRPr="00F1180D">
        <w:rPr>
          <w:lang w:val="fr-FR" w:bidi="ar-KW"/>
        </w:rPr>
        <w:t xml:space="preserve">accorder un soutien complémentaire aux familles et aux personnes appelées à faire face à des difficultés particulières ou à des obligations sociales autres que celles mentionnées plus haut. </w:t>
      </w:r>
    </w:p>
    <w:p w:rsidR="000C6D4A" w:rsidRPr="00F1180D" w:rsidRDefault="00BC37A2" w:rsidP="00680ADA">
      <w:pPr>
        <w:pStyle w:val="SingleTxtG"/>
        <w:rPr>
          <w:rtl/>
          <w:lang w:val="fr-FR" w:bidi="fr-FR"/>
        </w:rPr>
      </w:pPr>
      <w:r>
        <w:rPr>
          <w:lang w:val="fr-FR" w:bidi="ar-EG"/>
        </w:rPr>
        <w:lastRenderedPageBreak/>
        <w:t>84.</w:t>
      </w:r>
      <w:r>
        <w:rPr>
          <w:lang w:val="fr-FR" w:bidi="ar-EG"/>
        </w:rPr>
        <w:tab/>
      </w:r>
      <w:r w:rsidR="000C6D4A" w:rsidRPr="00F1180D">
        <w:rPr>
          <w:lang w:val="fr-FR" w:bidi="ar-EG"/>
        </w:rPr>
        <w:t>Les organismes gouvernementaux compétents fournissent en outre par le biais du Ministère des affaires sociales et de l</w:t>
      </w:r>
      <w:r w:rsidR="00680ADA" w:rsidRPr="00F1180D">
        <w:rPr>
          <w:lang w:val="fr-FR" w:bidi="ar-EG"/>
        </w:rPr>
        <w:t>’</w:t>
      </w:r>
      <w:r w:rsidR="000C6D4A" w:rsidRPr="00F1180D">
        <w:rPr>
          <w:lang w:val="fr-FR" w:bidi="ar-EG"/>
        </w:rPr>
        <w:t>emploi une aide matérielle aux personnes dans le besoin. L</w:t>
      </w:r>
      <w:r w:rsidR="00680ADA" w:rsidRPr="00F1180D">
        <w:rPr>
          <w:lang w:val="fr-FR" w:bidi="ar-EG"/>
        </w:rPr>
        <w:t>’</w:t>
      </w:r>
      <w:r w:rsidR="000C6D4A" w:rsidRPr="00F1180D">
        <w:rPr>
          <w:lang w:val="fr-FR" w:bidi="ar-EG"/>
        </w:rPr>
        <w:t>État a également veillé à développer le système des aides publiques en modifiant la loi y afférente de manière à ce que le montant des aides soit revalorisé en fonction du coût de la vie. C</w:t>
      </w:r>
      <w:r w:rsidR="00680ADA" w:rsidRPr="00F1180D">
        <w:rPr>
          <w:lang w:val="fr-FR" w:bidi="ar-EG"/>
        </w:rPr>
        <w:t>’</w:t>
      </w:r>
      <w:r w:rsidR="000C6D4A" w:rsidRPr="00F1180D">
        <w:rPr>
          <w:lang w:val="fr-FR" w:bidi="ar-EG"/>
        </w:rPr>
        <w:t>est dans cette optique qu</w:t>
      </w:r>
      <w:r w:rsidR="00680ADA" w:rsidRPr="00F1180D">
        <w:rPr>
          <w:lang w:val="fr-FR" w:bidi="ar-EG"/>
        </w:rPr>
        <w:t>’</w:t>
      </w:r>
      <w:r w:rsidR="000C6D4A" w:rsidRPr="00F1180D">
        <w:rPr>
          <w:lang w:val="fr-FR" w:bidi="ar-EG"/>
        </w:rPr>
        <w:t>a été adopté le décret de l</w:t>
      </w:r>
      <w:r w:rsidR="00680ADA" w:rsidRPr="00F1180D">
        <w:rPr>
          <w:lang w:val="fr-FR" w:bidi="ar-EG"/>
        </w:rPr>
        <w:t>’</w:t>
      </w:r>
      <w:r w:rsidR="000C6D4A" w:rsidRPr="00F1180D">
        <w:rPr>
          <w:lang w:val="fr-FR" w:bidi="ar-EG"/>
        </w:rPr>
        <w:t xml:space="preserve">Émir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EG"/>
        </w:rPr>
        <w:t>23 de 2013 qui fixe les conditions d</w:t>
      </w:r>
      <w:r w:rsidR="00680ADA" w:rsidRPr="00F1180D">
        <w:rPr>
          <w:lang w:val="fr-FR" w:bidi="ar-EG"/>
        </w:rPr>
        <w:t>’</w:t>
      </w:r>
      <w:r w:rsidR="000C6D4A" w:rsidRPr="00F1180D">
        <w:rPr>
          <w:lang w:val="fr-FR" w:bidi="ar-EG"/>
        </w:rPr>
        <w:t>octroi</w:t>
      </w:r>
      <w:r w:rsidR="00680ADA" w:rsidRPr="00F1180D">
        <w:rPr>
          <w:lang w:val="fr-FR" w:bidi="ar-EG"/>
        </w:rPr>
        <w:t>,</w:t>
      </w:r>
      <w:r w:rsidR="000C6D4A" w:rsidRPr="00F1180D">
        <w:rPr>
          <w:lang w:val="fr-FR" w:bidi="ar-EG"/>
        </w:rPr>
        <w:t xml:space="preserve"> de calcul et d</w:t>
      </w:r>
      <w:r w:rsidR="00680ADA" w:rsidRPr="00F1180D">
        <w:rPr>
          <w:lang w:val="fr-FR" w:bidi="ar-EG"/>
        </w:rPr>
        <w:t>’</w:t>
      </w:r>
      <w:r w:rsidR="000C6D4A" w:rsidRPr="00F1180D">
        <w:rPr>
          <w:lang w:val="fr-FR" w:bidi="ar-EG"/>
        </w:rPr>
        <w:t>indexation des aides publiques versées aux catégories de femmes suivantes</w:t>
      </w:r>
      <w:r w:rsidR="00680ADA" w:rsidRPr="00F1180D">
        <w:rPr>
          <w:lang w:val="fr-FR" w:bidi="ar-EG"/>
        </w:rPr>
        <w:t>:</w:t>
      </w:r>
      <w:r w:rsidR="000C6D4A" w:rsidRPr="00F1180D">
        <w:rPr>
          <w:lang w:val="fr-FR" w:bidi="ar-EG"/>
        </w:rPr>
        <w:t xml:space="preserve"> les veuves non remariées</w:t>
      </w:r>
      <w:r w:rsidR="00680ADA" w:rsidRPr="00F1180D">
        <w:rPr>
          <w:lang w:val="fr-FR" w:bidi="ar-EG"/>
        </w:rPr>
        <w:t>,</w:t>
      </w:r>
      <w:r w:rsidR="000C6D4A" w:rsidRPr="00F1180D">
        <w:rPr>
          <w:lang w:val="fr-FR" w:bidi="ar-EG"/>
        </w:rPr>
        <w:t xml:space="preserve"> les femmes divorcées dont le délai de viduité est écoulé</w:t>
      </w:r>
      <w:r w:rsidR="00680ADA" w:rsidRPr="00F1180D">
        <w:rPr>
          <w:lang w:val="fr-FR" w:bidi="ar-EG"/>
        </w:rPr>
        <w:t>,</w:t>
      </w:r>
      <w:r w:rsidR="000C6D4A" w:rsidRPr="00F1180D">
        <w:rPr>
          <w:lang w:val="fr-FR" w:bidi="ar-EG"/>
        </w:rPr>
        <w:t xml:space="preserve"> que le mariage ait été ou non consommé</w:t>
      </w:r>
      <w:r w:rsidR="00680ADA" w:rsidRPr="00F1180D">
        <w:rPr>
          <w:lang w:val="fr-FR" w:bidi="ar-EG"/>
        </w:rPr>
        <w:t>,</w:t>
      </w:r>
      <w:r w:rsidR="000C6D4A" w:rsidRPr="00F1180D">
        <w:rPr>
          <w:lang w:val="fr-FR" w:bidi="ar-EG"/>
        </w:rPr>
        <w:t xml:space="preserve"> les mères de famille dont l</w:t>
      </w:r>
      <w:r w:rsidR="00680ADA" w:rsidRPr="00F1180D">
        <w:rPr>
          <w:lang w:val="fr-FR" w:bidi="ar-EG"/>
        </w:rPr>
        <w:t>’</w:t>
      </w:r>
      <w:r w:rsidR="000C6D4A" w:rsidRPr="00F1180D">
        <w:rPr>
          <w:lang w:val="fr-FR" w:bidi="ar-EG"/>
        </w:rPr>
        <w:t>époux est emprisonné</w:t>
      </w:r>
      <w:r w:rsidR="00680ADA" w:rsidRPr="00F1180D">
        <w:rPr>
          <w:lang w:val="fr-FR" w:bidi="ar-EG"/>
        </w:rPr>
        <w:t>,</w:t>
      </w:r>
      <w:r w:rsidR="000C6D4A" w:rsidRPr="00F1180D">
        <w:rPr>
          <w:lang w:val="fr-FR" w:bidi="ar-EG"/>
        </w:rPr>
        <w:t xml:space="preserve"> étant précisé que l</w:t>
      </w:r>
      <w:r w:rsidR="00680ADA" w:rsidRPr="00F1180D">
        <w:rPr>
          <w:lang w:val="fr-FR" w:bidi="ar-EG"/>
        </w:rPr>
        <w:t>’</w:t>
      </w:r>
      <w:r w:rsidR="000C6D4A" w:rsidRPr="00F1180D">
        <w:rPr>
          <w:lang w:val="fr-FR" w:bidi="ar-EG"/>
        </w:rPr>
        <w:t>épouse bénéficie dans ce cas du montant de l</w:t>
      </w:r>
      <w:r w:rsidR="00680ADA" w:rsidRPr="00F1180D">
        <w:rPr>
          <w:lang w:val="fr-FR" w:bidi="ar-EG"/>
        </w:rPr>
        <w:t>’</w:t>
      </w:r>
      <w:r w:rsidR="000C6D4A" w:rsidRPr="00F1180D">
        <w:rPr>
          <w:lang w:val="fr-FR" w:bidi="ar-EG"/>
        </w:rPr>
        <w:t>aide accordée à une famille entière</w:t>
      </w:r>
      <w:r w:rsidR="00680ADA" w:rsidRPr="00F1180D">
        <w:rPr>
          <w:lang w:val="fr-FR" w:bidi="ar-EG"/>
        </w:rPr>
        <w:t>,</w:t>
      </w:r>
      <w:r w:rsidR="000C6D4A" w:rsidRPr="00F1180D">
        <w:rPr>
          <w:lang w:val="fr-FR" w:bidi="ar-EG"/>
        </w:rPr>
        <w:t xml:space="preserve"> les filles célibataires âgées de plus de 18</w:t>
      </w:r>
      <w:r w:rsidR="00524736" w:rsidRPr="00F1180D">
        <w:rPr>
          <w:lang w:val="fr-FR" w:bidi="ar-EG"/>
        </w:rPr>
        <w:t> ans</w:t>
      </w:r>
      <w:r w:rsidR="000C6D4A" w:rsidRPr="00F1180D">
        <w:rPr>
          <w:lang w:val="fr-FR" w:bidi="ar-EG"/>
        </w:rPr>
        <w:t xml:space="preserve"> et n</w:t>
      </w:r>
      <w:r w:rsidR="00680ADA" w:rsidRPr="00F1180D">
        <w:rPr>
          <w:lang w:val="fr-FR" w:bidi="ar-EG"/>
        </w:rPr>
        <w:t>’</w:t>
      </w:r>
      <w:r w:rsidR="000C6D4A" w:rsidRPr="00F1180D">
        <w:rPr>
          <w:lang w:val="fr-FR" w:bidi="ar-EG"/>
        </w:rPr>
        <w:t>ayant pas de soutien de famille</w:t>
      </w:r>
      <w:r w:rsidR="00680ADA" w:rsidRPr="00F1180D">
        <w:rPr>
          <w:lang w:val="fr-FR" w:bidi="ar-EG"/>
        </w:rPr>
        <w:t>,</w:t>
      </w:r>
      <w:r w:rsidR="000C6D4A" w:rsidRPr="00F1180D">
        <w:rPr>
          <w:lang w:val="fr-FR" w:bidi="ar-EG"/>
        </w:rPr>
        <w:t xml:space="preserve"> les femmes non mariées âgées de 35</w:t>
      </w:r>
      <w:r w:rsidR="00524736" w:rsidRPr="00F1180D">
        <w:rPr>
          <w:lang w:val="fr-FR" w:bidi="ar-EG"/>
        </w:rPr>
        <w:t> ans</w:t>
      </w:r>
      <w:r w:rsidR="000C6D4A" w:rsidRPr="00F1180D">
        <w:rPr>
          <w:lang w:val="fr-FR" w:bidi="ar-EG"/>
        </w:rPr>
        <w:t xml:space="preserve"> à 60</w:t>
      </w:r>
      <w:r w:rsidR="00524736" w:rsidRPr="00F1180D">
        <w:rPr>
          <w:lang w:val="fr-FR" w:bidi="ar-EG"/>
        </w:rPr>
        <w:t> ans</w:t>
      </w:r>
      <w:r w:rsidR="000C6D4A" w:rsidRPr="00F1180D">
        <w:rPr>
          <w:lang w:val="fr-FR" w:bidi="ar-EG"/>
        </w:rPr>
        <w:t xml:space="preserve"> même si elles ont un soutien de famille</w:t>
      </w:r>
      <w:r w:rsidR="00680ADA" w:rsidRPr="00F1180D">
        <w:rPr>
          <w:lang w:val="fr-FR" w:bidi="ar-EG"/>
        </w:rPr>
        <w:t>,</w:t>
      </w:r>
      <w:r w:rsidR="000C6D4A" w:rsidRPr="00F1180D">
        <w:rPr>
          <w:lang w:val="fr-FR" w:bidi="ar-EG"/>
        </w:rPr>
        <w:t xml:space="preserve"> les Koweïtiennes mariées à des non Koweitiens et les Koweïtiennes âgées de plus de 55</w:t>
      </w:r>
      <w:r w:rsidR="00524736" w:rsidRPr="00F1180D">
        <w:rPr>
          <w:lang w:val="fr-FR" w:bidi="ar-EG"/>
        </w:rPr>
        <w:t> ans</w:t>
      </w:r>
      <w:r w:rsidR="00680ADA" w:rsidRPr="00F1180D">
        <w:rPr>
          <w:lang w:val="fr-FR" w:bidi="ar-EG"/>
        </w:rPr>
        <w:t>,</w:t>
      </w:r>
      <w:r w:rsidR="000C6D4A" w:rsidRPr="00F1180D">
        <w:rPr>
          <w:lang w:val="fr-FR" w:bidi="ar-EG"/>
        </w:rPr>
        <w:t xml:space="preserve"> même mariées</w:t>
      </w:r>
      <w:r w:rsidR="00680ADA" w:rsidRPr="00F1180D">
        <w:rPr>
          <w:lang w:val="fr-FR" w:bidi="ar-EG"/>
        </w:rPr>
        <w:t>,</w:t>
      </w:r>
      <w:r w:rsidR="000C6D4A" w:rsidRPr="00F1180D">
        <w:rPr>
          <w:lang w:val="fr-FR" w:bidi="ar-EG"/>
        </w:rPr>
        <w:t xml:space="preserve"> s</w:t>
      </w:r>
      <w:r w:rsidR="00680ADA" w:rsidRPr="00F1180D">
        <w:rPr>
          <w:lang w:val="fr-FR" w:bidi="ar-EG"/>
        </w:rPr>
        <w:t>’</w:t>
      </w:r>
      <w:r w:rsidR="000C6D4A" w:rsidRPr="00F1180D">
        <w:rPr>
          <w:lang w:val="fr-FR" w:bidi="ar-EG"/>
        </w:rPr>
        <w:t>il est établi qu</w:t>
      </w:r>
      <w:r w:rsidR="00680ADA" w:rsidRPr="00F1180D">
        <w:rPr>
          <w:lang w:val="fr-FR" w:bidi="ar-EG"/>
        </w:rPr>
        <w:t>’</w:t>
      </w:r>
      <w:r w:rsidR="000C6D4A" w:rsidRPr="00F1180D">
        <w:rPr>
          <w:lang w:val="fr-FR" w:bidi="ar-EG"/>
        </w:rPr>
        <w:t xml:space="preserve">elles ne disposent pas de sources de revenus propres. </w:t>
      </w:r>
    </w:p>
    <w:p w:rsidR="000C6D4A" w:rsidRPr="00F1180D" w:rsidRDefault="00BC37A2" w:rsidP="00680ADA">
      <w:pPr>
        <w:pStyle w:val="SingleTxtG"/>
        <w:rPr>
          <w:lang w:val="fr-FR"/>
        </w:rPr>
      </w:pPr>
      <w:r>
        <w:rPr>
          <w:lang w:val="fr-FR" w:bidi="ar-EG"/>
        </w:rPr>
        <w:t>85.</w:t>
      </w:r>
      <w:r>
        <w:rPr>
          <w:lang w:val="fr-FR" w:bidi="ar-EG"/>
        </w:rPr>
        <w:tab/>
      </w:r>
      <w:r w:rsidR="000C6D4A" w:rsidRPr="00F1180D">
        <w:rPr>
          <w:lang w:val="fr-FR" w:bidi="ar-EG"/>
        </w:rPr>
        <w:t>En outre</w:t>
      </w:r>
      <w:r w:rsidR="00680ADA" w:rsidRPr="00F1180D">
        <w:rPr>
          <w:lang w:val="fr-FR" w:bidi="ar-EG"/>
        </w:rPr>
        <w:t>,</w:t>
      </w:r>
      <w:r w:rsidR="000C6D4A" w:rsidRPr="00F1180D">
        <w:rPr>
          <w:lang w:val="fr-FR" w:bidi="ar-EG"/>
        </w:rPr>
        <w:t xml:space="preserve"> le Bureau koweïtien de la zakat</w:t>
      </w:r>
      <w:r w:rsidR="00680ADA" w:rsidRPr="00F1180D">
        <w:rPr>
          <w:lang w:val="fr-FR" w:bidi="ar-EG"/>
        </w:rPr>
        <w:t>,</w:t>
      </w:r>
      <w:r w:rsidR="000C6D4A" w:rsidRPr="00F1180D">
        <w:rPr>
          <w:lang w:val="fr-FR" w:bidi="ar-EG"/>
        </w:rPr>
        <w:t xml:space="preserve"> qui est un organisme public indépendant</w:t>
      </w:r>
      <w:r w:rsidR="00680ADA" w:rsidRPr="00F1180D">
        <w:rPr>
          <w:lang w:val="fr-FR" w:bidi="ar-EG"/>
        </w:rPr>
        <w:t>,</w:t>
      </w:r>
      <w:r w:rsidR="000C6D4A" w:rsidRPr="00F1180D">
        <w:rPr>
          <w:lang w:val="fr-FR" w:bidi="ar-EG"/>
        </w:rPr>
        <w:t xml:space="preserve"> </w:t>
      </w:r>
      <w:r w:rsidR="000C6D4A" w:rsidRPr="00F1180D">
        <w:rPr>
          <w:lang w:val="fr-FR"/>
        </w:rPr>
        <w:t xml:space="preserve">est chargé de percevoir les fonds de la zakat et les ressource provenant de diverses </w:t>
      </w:r>
      <w:r w:rsidR="00823836" w:rsidRPr="00F1180D">
        <w:rPr>
          <w:lang w:val="fr-FR"/>
        </w:rPr>
        <w:t>œuvre</w:t>
      </w:r>
      <w:r w:rsidR="000C6D4A" w:rsidRPr="00F1180D">
        <w:rPr>
          <w:lang w:val="fr-FR"/>
        </w:rPr>
        <w:t>s de bienfaisance en vue de réaliser des actions caritatives fondées sur les critères d</w:t>
      </w:r>
      <w:r w:rsidR="00680ADA" w:rsidRPr="00F1180D">
        <w:rPr>
          <w:lang w:val="fr-FR"/>
        </w:rPr>
        <w:t>’</w:t>
      </w:r>
      <w:r w:rsidR="000C6D4A" w:rsidRPr="00F1180D">
        <w:rPr>
          <w:lang w:val="fr-FR"/>
        </w:rPr>
        <w:t>excellence les plus élevés au profit de destinataires nationaux ou étrangers dans le besoin</w:t>
      </w:r>
      <w:r w:rsidR="00680ADA" w:rsidRPr="00F1180D">
        <w:rPr>
          <w:lang w:val="fr-FR"/>
        </w:rPr>
        <w:t>,</w:t>
      </w:r>
      <w:r w:rsidR="000C6D4A" w:rsidRPr="00F1180D">
        <w:rPr>
          <w:lang w:val="fr-FR"/>
        </w:rPr>
        <w:t xml:space="preserve"> tant au Koweït qu</w:t>
      </w:r>
      <w:r w:rsidR="00680ADA" w:rsidRPr="00F1180D">
        <w:rPr>
          <w:lang w:val="fr-FR"/>
        </w:rPr>
        <w:t>’</w:t>
      </w:r>
      <w:r w:rsidR="000C6D4A" w:rsidRPr="00F1180D">
        <w:rPr>
          <w:lang w:val="fr-FR"/>
        </w:rPr>
        <w:t>à l</w:t>
      </w:r>
      <w:r w:rsidR="00680ADA" w:rsidRPr="00F1180D">
        <w:rPr>
          <w:lang w:val="fr-FR"/>
        </w:rPr>
        <w:t>’</w:t>
      </w:r>
      <w:r w:rsidR="000C6D4A" w:rsidRPr="00F1180D">
        <w:rPr>
          <w:lang w:val="fr-FR"/>
        </w:rPr>
        <w:t>étranger</w:t>
      </w:r>
      <w:r w:rsidR="00680ADA" w:rsidRPr="00F1180D">
        <w:rPr>
          <w:lang w:val="fr-FR"/>
        </w:rPr>
        <w:t>,</w:t>
      </w:r>
      <w:r w:rsidR="000C6D4A" w:rsidRPr="00F1180D">
        <w:rPr>
          <w:lang w:val="fr-FR"/>
        </w:rPr>
        <w:t xml:space="preserve"> sur la base de systèmes administratifs et financiers conformes aux préceptes de l</w:t>
      </w:r>
      <w:r w:rsidR="00680ADA" w:rsidRPr="00F1180D">
        <w:rPr>
          <w:lang w:val="fr-FR"/>
        </w:rPr>
        <w:t>’</w:t>
      </w:r>
      <w:r w:rsidR="000C6D4A" w:rsidRPr="00F1180D">
        <w:rPr>
          <w:lang w:val="fr-FR"/>
        </w:rPr>
        <w:t>islam</w:t>
      </w:r>
      <w:r w:rsidR="00680ADA" w:rsidRPr="00F1180D">
        <w:rPr>
          <w:lang w:val="fr-FR"/>
        </w:rPr>
        <w:t>,</w:t>
      </w:r>
      <w:r w:rsidR="000C6D4A" w:rsidRPr="00F1180D">
        <w:rPr>
          <w:lang w:val="fr-FR"/>
        </w:rPr>
        <w:t xml:space="preserve"> aux normes de qualité et aux règles de bonne gouvernance des institutions. C</w:t>
      </w:r>
      <w:r w:rsidR="00680ADA" w:rsidRPr="00F1180D">
        <w:rPr>
          <w:lang w:val="fr-FR"/>
        </w:rPr>
        <w:t>’</w:t>
      </w:r>
      <w:r w:rsidR="000C6D4A" w:rsidRPr="00F1180D">
        <w:rPr>
          <w:lang w:val="fr-FR"/>
        </w:rPr>
        <w:t>est ainsi qu</w:t>
      </w:r>
      <w:r w:rsidR="00680ADA" w:rsidRPr="00F1180D">
        <w:rPr>
          <w:lang w:val="fr-FR"/>
        </w:rPr>
        <w:t>’</w:t>
      </w:r>
      <w:r w:rsidR="000C6D4A" w:rsidRPr="00F1180D">
        <w:rPr>
          <w:lang w:val="fr-FR"/>
        </w:rPr>
        <w:t>il supervise de nombreux projets au Koweït et à l</w:t>
      </w:r>
      <w:r w:rsidR="00680ADA" w:rsidRPr="00F1180D">
        <w:rPr>
          <w:lang w:val="fr-FR"/>
        </w:rPr>
        <w:t>’</w:t>
      </w:r>
      <w:r w:rsidR="000C6D4A" w:rsidRPr="00F1180D">
        <w:rPr>
          <w:lang w:val="fr-FR"/>
        </w:rPr>
        <w:t>étranger</w:t>
      </w:r>
      <w:r w:rsidR="00680ADA" w:rsidRPr="00F1180D">
        <w:rPr>
          <w:lang w:val="fr-FR"/>
        </w:rPr>
        <w:t>,</w:t>
      </w:r>
      <w:r w:rsidR="000C6D4A" w:rsidRPr="00F1180D">
        <w:rPr>
          <w:lang w:val="fr-FR"/>
        </w:rPr>
        <w:t xml:space="preserve"> permettant l</w:t>
      </w:r>
      <w:r w:rsidR="00680ADA" w:rsidRPr="00F1180D">
        <w:rPr>
          <w:lang w:val="fr-FR"/>
        </w:rPr>
        <w:t>’</w:t>
      </w:r>
      <w:r w:rsidR="000C6D4A" w:rsidRPr="00F1180D">
        <w:rPr>
          <w:lang w:val="fr-FR"/>
        </w:rPr>
        <w:t>accès de tous (ressortissants koweïtiens et étrangers résidant au Koweït) aux soins de santé</w:t>
      </w:r>
      <w:r w:rsidR="00680ADA" w:rsidRPr="00F1180D">
        <w:rPr>
          <w:lang w:val="fr-FR"/>
        </w:rPr>
        <w:t>,</w:t>
      </w:r>
      <w:r w:rsidR="000C6D4A" w:rsidRPr="00F1180D">
        <w:rPr>
          <w:lang w:val="fr-FR"/>
        </w:rPr>
        <w:t xml:space="preserve"> à la protection sociale et à l</w:t>
      </w:r>
      <w:r w:rsidR="00680ADA" w:rsidRPr="00F1180D">
        <w:rPr>
          <w:lang w:val="fr-FR"/>
        </w:rPr>
        <w:t>’</w:t>
      </w:r>
      <w:r w:rsidR="000C6D4A" w:rsidRPr="00F1180D">
        <w:rPr>
          <w:lang w:val="fr-FR"/>
        </w:rPr>
        <w:t xml:space="preserve">éducation. </w:t>
      </w:r>
    </w:p>
    <w:p w:rsidR="00A21A0B" w:rsidRPr="00F1180D" w:rsidRDefault="00A21A0B" w:rsidP="00A21A0B">
      <w:pPr>
        <w:pStyle w:val="H23G"/>
        <w:rPr>
          <w:lang w:val="fr-FR"/>
        </w:rPr>
      </w:pPr>
      <w:r w:rsidRPr="00F1180D">
        <w:rPr>
          <w:lang w:val="fr-FR"/>
        </w:rPr>
        <w:tab/>
      </w:r>
      <w:r w:rsidR="003F6D50" w:rsidRPr="00F1180D">
        <w:rPr>
          <w:lang w:val="fr-FR"/>
        </w:rPr>
        <w:tab/>
      </w:r>
      <w:r w:rsidR="004C1D3C" w:rsidRPr="00F1180D">
        <w:rPr>
          <w:lang w:val="fr-FR" w:bidi="ar-KW"/>
        </w:rPr>
        <w:t xml:space="preserve">Paragraphe </w:t>
      </w:r>
      <w:r w:rsidR="003F6D50" w:rsidRPr="00F1180D">
        <w:rPr>
          <w:lang w:val="fr-FR"/>
        </w:rPr>
        <w:t>e) ii)</w:t>
      </w:r>
    </w:p>
    <w:p w:rsidR="000C6D4A" w:rsidRPr="00F1180D" w:rsidRDefault="00BC37A2" w:rsidP="00325EA7">
      <w:pPr>
        <w:pStyle w:val="SingleTxtG"/>
        <w:keepNext/>
        <w:rPr>
          <w:lang w:val="fr-FR"/>
        </w:rPr>
      </w:pPr>
      <w:r>
        <w:rPr>
          <w:lang w:val="fr-FR"/>
        </w:rPr>
        <w:t>86.</w:t>
      </w:r>
      <w:r>
        <w:rPr>
          <w:lang w:val="fr-FR"/>
        </w:rPr>
        <w:tab/>
      </w:r>
      <w:r w:rsidR="000C6D4A" w:rsidRPr="00F1180D">
        <w:rPr>
          <w:lang w:val="fr-FR"/>
        </w:rPr>
        <w:t>Le droit de former des associations et syndicats et d</w:t>
      </w:r>
      <w:r w:rsidR="00680ADA" w:rsidRPr="00F1180D">
        <w:rPr>
          <w:lang w:val="fr-FR"/>
        </w:rPr>
        <w:t>’</w:t>
      </w:r>
      <w:r w:rsidR="000C6D4A" w:rsidRPr="00F1180D">
        <w:rPr>
          <w:lang w:val="fr-FR"/>
        </w:rPr>
        <w:t>exercer des activités</w:t>
      </w:r>
      <w:r w:rsidR="009B1350" w:rsidRPr="00F1180D">
        <w:rPr>
          <w:lang w:val="fr-FR"/>
        </w:rPr>
        <w:t xml:space="preserve"> </w:t>
      </w:r>
      <w:r w:rsidR="000C6D4A" w:rsidRPr="00F1180D">
        <w:rPr>
          <w:lang w:val="fr-FR"/>
        </w:rPr>
        <w:t>syndicales est garanti par l</w:t>
      </w:r>
      <w:r w:rsidR="00680ADA" w:rsidRPr="00F1180D">
        <w:rPr>
          <w:lang w:val="fr-FR"/>
        </w:rPr>
        <w:t>’</w:t>
      </w:r>
      <w:r w:rsidR="00163207" w:rsidRPr="00F1180D">
        <w:rPr>
          <w:lang w:val="fr-FR"/>
        </w:rPr>
        <w:t>article </w:t>
      </w:r>
      <w:r w:rsidR="000C6D4A" w:rsidRPr="00F1180D">
        <w:rPr>
          <w:lang w:val="fr-FR"/>
        </w:rPr>
        <w:t>43 de la Constitution koweïtienne et réglementé par l</w:t>
      </w:r>
      <w:r w:rsidR="00680ADA" w:rsidRPr="00F1180D">
        <w:rPr>
          <w:lang w:val="fr-FR"/>
        </w:rPr>
        <w:t>’</w:t>
      </w:r>
      <w:r w:rsidR="00163207" w:rsidRPr="00F1180D">
        <w:rPr>
          <w:lang w:val="fr-FR"/>
        </w:rPr>
        <w:t>article </w:t>
      </w:r>
      <w:r w:rsidR="000C6D4A" w:rsidRPr="00F1180D">
        <w:rPr>
          <w:lang w:val="fr-FR"/>
        </w:rPr>
        <w:t xml:space="preserve">98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rPr>
        <w:t>6 de 2010 sur l</w:t>
      </w:r>
      <w:r w:rsidR="00680ADA" w:rsidRPr="00F1180D">
        <w:rPr>
          <w:lang w:val="fr-FR"/>
        </w:rPr>
        <w:t>’</w:t>
      </w:r>
      <w:r w:rsidR="000C6D4A" w:rsidRPr="00F1180D">
        <w:rPr>
          <w:lang w:val="fr-FR"/>
        </w:rPr>
        <w:t>emploi dans le secteur privé</w:t>
      </w:r>
      <w:r w:rsidR="00680ADA" w:rsidRPr="00F1180D">
        <w:rPr>
          <w:lang w:val="fr-FR"/>
        </w:rPr>
        <w:t>,</w:t>
      </w:r>
      <w:r w:rsidR="000C6D4A" w:rsidRPr="00F1180D">
        <w:rPr>
          <w:lang w:val="fr-FR"/>
        </w:rPr>
        <w:t xml:space="preserve"> qui dispose </w:t>
      </w:r>
      <w:r w:rsidR="00325EA7" w:rsidRPr="00F1180D">
        <w:rPr>
          <w:lang w:val="fr-FR"/>
        </w:rPr>
        <w:t xml:space="preserve">que: </w:t>
      </w:r>
      <w:r w:rsidR="00680ADA" w:rsidRPr="00F1180D">
        <w:rPr>
          <w:lang w:val="fr-FR"/>
        </w:rPr>
        <w:t>«</w:t>
      </w:r>
      <w:r w:rsidR="000C6D4A" w:rsidRPr="00F1180D">
        <w:rPr>
          <w:lang w:val="fr-FR"/>
        </w:rPr>
        <w:t>Le droit des employeurs de former des organisations et celui des travailleurs de s</w:t>
      </w:r>
      <w:r w:rsidR="00680ADA" w:rsidRPr="00F1180D">
        <w:rPr>
          <w:lang w:val="fr-FR"/>
        </w:rPr>
        <w:t>’</w:t>
      </w:r>
      <w:r w:rsidR="000C6D4A" w:rsidRPr="00F1180D">
        <w:rPr>
          <w:lang w:val="fr-FR"/>
        </w:rPr>
        <w:t>organiser en syndicats est garanti conformément aux dispositions de la présente la loi</w:t>
      </w:r>
      <w:r w:rsidR="00680ADA" w:rsidRPr="00F1180D">
        <w:rPr>
          <w:lang w:val="fr-FR"/>
        </w:rPr>
        <w:t>,</w:t>
      </w:r>
      <w:r w:rsidR="000C6D4A" w:rsidRPr="00F1180D">
        <w:rPr>
          <w:lang w:val="fr-FR"/>
        </w:rPr>
        <w:t xml:space="preserve"> les dispositions de ce chapitre s</w:t>
      </w:r>
      <w:r w:rsidR="00680ADA" w:rsidRPr="00F1180D">
        <w:rPr>
          <w:lang w:val="fr-FR"/>
        </w:rPr>
        <w:t>’</w:t>
      </w:r>
      <w:r w:rsidR="000C6D4A" w:rsidRPr="00F1180D">
        <w:rPr>
          <w:lang w:val="fr-FR"/>
        </w:rPr>
        <w:t>appliquent aux employés des secteurs privé</w:t>
      </w:r>
      <w:r w:rsidR="00680ADA" w:rsidRPr="00F1180D">
        <w:rPr>
          <w:lang w:val="fr-FR"/>
        </w:rPr>
        <w:t>,</w:t>
      </w:r>
      <w:r w:rsidR="000C6D4A" w:rsidRPr="00F1180D">
        <w:rPr>
          <w:lang w:val="fr-FR"/>
        </w:rPr>
        <w:t xml:space="preserve"> public et pétrolier</w:t>
      </w:r>
      <w:r w:rsidR="00680ADA" w:rsidRPr="00F1180D">
        <w:rPr>
          <w:lang w:val="fr-FR"/>
        </w:rPr>
        <w:t>,</w:t>
      </w:r>
      <w:r w:rsidR="000C6D4A" w:rsidRPr="00F1180D">
        <w:rPr>
          <w:lang w:val="fr-FR"/>
        </w:rPr>
        <w:t xml:space="preserve"> pour autant qu</w:t>
      </w:r>
      <w:r w:rsidR="00680ADA" w:rsidRPr="00F1180D">
        <w:rPr>
          <w:lang w:val="fr-FR"/>
        </w:rPr>
        <w:t>’</w:t>
      </w:r>
      <w:r w:rsidR="000C6D4A" w:rsidRPr="00F1180D">
        <w:rPr>
          <w:lang w:val="fr-FR"/>
        </w:rPr>
        <w:t>elles ne contredisent pas les lois qui régissent ces derniers</w:t>
      </w:r>
      <w:r w:rsidR="00BB000D" w:rsidRPr="00F1180D">
        <w:rPr>
          <w:lang w:val="fr-FR"/>
        </w:rPr>
        <w:t>.</w:t>
      </w:r>
      <w:r w:rsidR="00680ADA" w:rsidRPr="00F1180D">
        <w:rPr>
          <w:lang w:val="fr-FR"/>
        </w:rPr>
        <w:t>»</w:t>
      </w:r>
      <w:r w:rsidR="000C6D4A" w:rsidRPr="00F1180D">
        <w:rPr>
          <w:lang w:val="fr-FR"/>
        </w:rPr>
        <w:t xml:space="preserve"> </w:t>
      </w:r>
    </w:p>
    <w:p w:rsidR="00A21A0B" w:rsidRPr="00F1180D" w:rsidRDefault="00A21A0B" w:rsidP="00A21A0B">
      <w:pPr>
        <w:pStyle w:val="H23G"/>
        <w:rPr>
          <w:lang w:val="fr-FR"/>
        </w:rPr>
      </w:pPr>
      <w:r w:rsidRPr="00F1180D">
        <w:rPr>
          <w:lang w:val="fr-FR"/>
        </w:rPr>
        <w:tab/>
      </w:r>
      <w:r w:rsidR="00497F27" w:rsidRPr="00F1180D">
        <w:rPr>
          <w:lang w:val="fr-FR"/>
        </w:rPr>
        <w:tab/>
      </w:r>
      <w:r w:rsidR="004C1D3C" w:rsidRPr="00F1180D">
        <w:rPr>
          <w:lang w:val="fr-FR" w:bidi="ar-KW"/>
        </w:rPr>
        <w:t xml:space="preserve">Paragraphe </w:t>
      </w:r>
      <w:r w:rsidR="00497F27" w:rsidRPr="00F1180D">
        <w:rPr>
          <w:lang w:val="fr-FR"/>
        </w:rPr>
        <w:t>e) iii)</w:t>
      </w:r>
    </w:p>
    <w:p w:rsidR="000C6D4A" w:rsidRPr="00F1180D" w:rsidRDefault="00BC37A2" w:rsidP="00680ADA">
      <w:pPr>
        <w:pStyle w:val="SingleTxtG"/>
        <w:rPr>
          <w:rtl/>
          <w:lang w:val="fr-FR" w:bidi="fr-FR"/>
        </w:rPr>
      </w:pPr>
      <w:r>
        <w:rPr>
          <w:lang w:val="fr-FR"/>
        </w:rPr>
        <w:t>87.</w:t>
      </w:r>
      <w:r>
        <w:rPr>
          <w:lang w:val="fr-FR"/>
        </w:rPr>
        <w:tab/>
      </w:r>
      <w:r w:rsidR="000C6D4A" w:rsidRPr="00F1180D">
        <w:rPr>
          <w:lang w:val="fr-FR" w:bidi="ar-KW"/>
        </w:rPr>
        <w:t>Convaincu de l</w:t>
      </w:r>
      <w:r w:rsidR="00680ADA" w:rsidRPr="00F1180D">
        <w:rPr>
          <w:lang w:val="fr-FR" w:bidi="ar-KW"/>
        </w:rPr>
        <w:t>’</w:t>
      </w:r>
      <w:r w:rsidR="000C6D4A" w:rsidRPr="00F1180D">
        <w:rPr>
          <w:lang w:val="fr-FR" w:bidi="ar-KW"/>
        </w:rPr>
        <w:t>importance du droit au logement et de son incidence sur la vie des citoyens</w:t>
      </w:r>
      <w:r w:rsidR="00680ADA" w:rsidRPr="00F1180D">
        <w:rPr>
          <w:lang w:val="fr-FR" w:bidi="ar-KW"/>
        </w:rPr>
        <w:t>,</w:t>
      </w:r>
      <w:r w:rsidR="000C6D4A" w:rsidRPr="00F1180D">
        <w:rPr>
          <w:lang w:val="fr-FR" w:bidi="ar-KW"/>
        </w:rPr>
        <w:t xml:space="preserve"> le Koweït a accordé une attention particulière à cette question au niveau de l</w:t>
      </w:r>
      <w:r w:rsidR="00680ADA" w:rsidRPr="00F1180D">
        <w:rPr>
          <w:lang w:val="fr-FR" w:bidi="ar-KW"/>
        </w:rPr>
        <w:t>’</w:t>
      </w:r>
      <w:r w:rsidR="00163207" w:rsidRPr="00F1180D">
        <w:rPr>
          <w:lang w:val="fr-FR" w:bidi="ar-KW"/>
        </w:rPr>
        <w:t>article </w:t>
      </w:r>
      <w:r w:rsidR="000C6D4A" w:rsidRPr="00F1180D">
        <w:rPr>
          <w:lang w:val="fr-FR" w:bidi="ar-KW"/>
        </w:rPr>
        <w:t>18 de la Constitution qui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La propriété privée est inviolable. Nul ne peut être empêché de disposer de ses biens</w:t>
      </w:r>
      <w:r w:rsidR="00680ADA" w:rsidRPr="00F1180D">
        <w:rPr>
          <w:lang w:val="fr-FR" w:bidi="ar-KW"/>
        </w:rPr>
        <w:t>,</w:t>
      </w:r>
      <w:r w:rsidR="000C6D4A" w:rsidRPr="00F1180D">
        <w:rPr>
          <w:lang w:val="fr-FR" w:bidi="ar-KW"/>
        </w:rPr>
        <w:t xml:space="preserve"> si ce n</w:t>
      </w:r>
      <w:r w:rsidR="00680ADA" w:rsidRPr="00F1180D">
        <w:rPr>
          <w:lang w:val="fr-FR" w:bidi="ar-KW"/>
        </w:rPr>
        <w:t>’</w:t>
      </w:r>
      <w:r w:rsidR="000C6D4A" w:rsidRPr="00F1180D">
        <w:rPr>
          <w:lang w:val="fr-FR" w:bidi="ar-KW"/>
        </w:rPr>
        <w:t>est dans les limites de la loi. Aucune propriété ne peut être expropriée sauf dans l</w:t>
      </w:r>
      <w:r w:rsidR="00680ADA" w:rsidRPr="00F1180D">
        <w:rPr>
          <w:lang w:val="fr-FR" w:bidi="ar-KW"/>
        </w:rPr>
        <w:t>’</w:t>
      </w:r>
      <w:r w:rsidR="000C6D4A" w:rsidRPr="00F1180D">
        <w:rPr>
          <w:lang w:val="fr-FR" w:bidi="ar-KW"/>
        </w:rPr>
        <w:t>intérêt public</w:t>
      </w:r>
      <w:r w:rsidR="00680ADA" w:rsidRPr="00F1180D">
        <w:rPr>
          <w:lang w:val="fr-FR" w:bidi="ar-KW"/>
        </w:rPr>
        <w:t>,</w:t>
      </w:r>
      <w:r w:rsidR="000C6D4A" w:rsidRPr="00F1180D">
        <w:rPr>
          <w:lang w:val="fr-FR" w:bidi="ar-KW"/>
        </w:rPr>
        <w:t xml:space="preserve"> dans les conditions et selon les modalités prévues par la loi</w:t>
      </w:r>
      <w:r w:rsidR="00680ADA" w:rsidRPr="00F1180D">
        <w:rPr>
          <w:lang w:val="fr-FR" w:bidi="ar-KW"/>
        </w:rPr>
        <w:t>,</w:t>
      </w:r>
      <w:r w:rsidR="000C6D4A" w:rsidRPr="00F1180D">
        <w:rPr>
          <w:lang w:val="fr-FR" w:bidi="ar-KW"/>
        </w:rPr>
        <w:t xml:space="preserve"> et sous réserve du paiement d</w:t>
      </w:r>
      <w:r w:rsidR="00680ADA" w:rsidRPr="00F1180D">
        <w:rPr>
          <w:lang w:val="fr-FR" w:bidi="ar-KW"/>
        </w:rPr>
        <w:t>’</w:t>
      </w:r>
      <w:r w:rsidR="000C6D4A" w:rsidRPr="00F1180D">
        <w:rPr>
          <w:lang w:val="fr-FR" w:bidi="ar-KW"/>
        </w:rPr>
        <w:t>une juste indemnité. Le droit à l</w:t>
      </w:r>
      <w:r w:rsidR="00680ADA" w:rsidRPr="00F1180D">
        <w:rPr>
          <w:lang w:val="fr-FR" w:bidi="ar-KW"/>
        </w:rPr>
        <w:t>’</w:t>
      </w:r>
      <w:r w:rsidR="000C6D4A" w:rsidRPr="00F1180D">
        <w:rPr>
          <w:lang w:val="fr-FR" w:bidi="ar-KW"/>
        </w:rPr>
        <w:t>héritage est réglementé par la charia islamique</w:t>
      </w:r>
      <w:r w:rsidR="00BB000D" w:rsidRPr="00F1180D">
        <w:rPr>
          <w:lang w:val="fr-FR" w:bidi="ar-KW"/>
        </w:rPr>
        <w:t>.</w:t>
      </w:r>
      <w:r w:rsidR="00680ADA" w:rsidRPr="00F1180D">
        <w:rPr>
          <w:lang w:val="fr-FR" w:bidi="ar-KW"/>
        </w:rPr>
        <w:t>»</w:t>
      </w:r>
      <w:r w:rsidR="000C6D4A" w:rsidRPr="00F1180D">
        <w:rPr>
          <w:lang w:val="fr-FR" w:bidi="ar-KW"/>
        </w:rPr>
        <w:t xml:space="preserve"> </w:t>
      </w:r>
    </w:p>
    <w:p w:rsidR="000C6D4A" w:rsidRPr="00F1180D" w:rsidRDefault="00BC37A2" w:rsidP="00680ADA">
      <w:pPr>
        <w:pStyle w:val="SingleTxtG"/>
        <w:rPr>
          <w:rtl/>
          <w:lang w:val="fr-FR" w:bidi="fr-FR"/>
        </w:rPr>
      </w:pPr>
      <w:r>
        <w:rPr>
          <w:lang w:val="fr-FR" w:bidi="ar-KW"/>
        </w:rPr>
        <w:t>88.</w:t>
      </w:r>
      <w:r>
        <w:rPr>
          <w:lang w:val="fr-FR" w:bidi="ar-KW"/>
        </w:rPr>
        <w:tab/>
      </w:r>
      <w:r w:rsidR="000C6D4A" w:rsidRPr="00F1180D">
        <w:rPr>
          <w:lang w:val="fr-FR" w:bidi="ar-KW"/>
        </w:rPr>
        <w:t>Le Gouvernement koweïtien a déployé</w:t>
      </w:r>
      <w:r w:rsidR="00680ADA" w:rsidRPr="00F1180D">
        <w:rPr>
          <w:lang w:val="fr-FR" w:bidi="ar-KW"/>
        </w:rPr>
        <w:t>,</w:t>
      </w:r>
      <w:r w:rsidR="000C6D4A" w:rsidRPr="00F1180D">
        <w:rPr>
          <w:lang w:val="fr-FR" w:bidi="ar-KW"/>
        </w:rPr>
        <w:t xml:space="preserve"> au moyen de ses plans de développement</w:t>
      </w:r>
      <w:r w:rsidR="00680ADA" w:rsidRPr="00F1180D">
        <w:rPr>
          <w:lang w:val="fr-FR" w:bidi="ar-KW"/>
        </w:rPr>
        <w:t>,</w:t>
      </w:r>
      <w:r w:rsidR="000C6D4A" w:rsidRPr="00F1180D">
        <w:rPr>
          <w:lang w:val="fr-FR" w:bidi="ar-KW"/>
        </w:rPr>
        <w:t xml:space="preserve"> une politique du logement visant à fournir des habitations abordables aux familles koweïtiennes et a commencé dès 1954 à construire divers types de logis</w:t>
      </w:r>
      <w:r w:rsidR="00680ADA" w:rsidRPr="00F1180D">
        <w:rPr>
          <w:lang w:val="fr-FR" w:bidi="ar-KW"/>
        </w:rPr>
        <w:t>,</w:t>
      </w:r>
      <w:r w:rsidR="000C6D4A" w:rsidRPr="00F1180D">
        <w:rPr>
          <w:lang w:val="fr-FR" w:bidi="ar-KW"/>
        </w:rPr>
        <w:t xml:space="preserve"> notamment des logements sociaux et des appartements</w:t>
      </w:r>
      <w:r w:rsidR="00680ADA" w:rsidRPr="00F1180D">
        <w:rPr>
          <w:lang w:val="fr-FR" w:bidi="ar-KW"/>
        </w:rPr>
        <w:t>,</w:t>
      </w:r>
      <w:r w:rsidR="000C6D4A" w:rsidRPr="00F1180D">
        <w:rPr>
          <w:lang w:val="fr-FR" w:bidi="ar-KW"/>
        </w:rPr>
        <w:t xml:space="preserve"> à distribuer des lots de terrain aux citoyens tout en s</w:t>
      </w:r>
      <w:r w:rsidR="00680ADA" w:rsidRPr="00F1180D">
        <w:rPr>
          <w:lang w:val="fr-FR" w:bidi="ar-KW"/>
        </w:rPr>
        <w:t>’</w:t>
      </w:r>
      <w:r w:rsidR="000C6D4A" w:rsidRPr="00F1180D">
        <w:rPr>
          <w:lang w:val="fr-FR" w:bidi="ar-KW"/>
        </w:rPr>
        <w:t>assurant que leur attribution soit réalisée dans des conditions d</w:t>
      </w:r>
      <w:r w:rsidR="00680ADA" w:rsidRPr="00F1180D">
        <w:rPr>
          <w:lang w:val="fr-FR" w:bidi="ar-KW"/>
        </w:rPr>
        <w:t>’</w:t>
      </w:r>
      <w:r w:rsidR="000C6D4A" w:rsidRPr="00F1180D">
        <w:rPr>
          <w:lang w:val="fr-FR" w:bidi="ar-KW"/>
        </w:rPr>
        <w:t>équité et conformément aux mécanismes et règles établis à cet effet</w:t>
      </w:r>
      <w:r w:rsidR="00680ADA" w:rsidRPr="00F1180D">
        <w:rPr>
          <w:lang w:val="fr-FR" w:bidi="ar-KW"/>
        </w:rPr>
        <w:t>,</w:t>
      </w:r>
      <w:r w:rsidR="000C6D4A" w:rsidRPr="00F1180D">
        <w:rPr>
          <w:lang w:val="fr-FR" w:bidi="ar-KW"/>
        </w:rPr>
        <w:t xml:space="preserve"> ainsi qu</w:t>
      </w:r>
      <w:r w:rsidR="00680ADA" w:rsidRPr="00F1180D">
        <w:rPr>
          <w:lang w:val="fr-FR" w:bidi="ar-KW"/>
        </w:rPr>
        <w:t>’</w:t>
      </w:r>
      <w:r w:rsidR="000C6D4A" w:rsidRPr="00F1180D">
        <w:rPr>
          <w:lang w:val="fr-FR" w:bidi="ar-KW"/>
        </w:rPr>
        <w:t>à faciliter l</w:t>
      </w:r>
      <w:r w:rsidR="00680ADA" w:rsidRPr="00F1180D">
        <w:rPr>
          <w:lang w:val="fr-FR" w:bidi="ar-KW"/>
        </w:rPr>
        <w:t>’</w:t>
      </w:r>
      <w:r w:rsidR="000C6D4A" w:rsidRPr="00F1180D">
        <w:rPr>
          <w:lang w:val="fr-FR" w:bidi="ar-KW"/>
        </w:rPr>
        <w:t>accès aux crédits immobiliers accordés par la Banque koweïtienne de crédit et d</w:t>
      </w:r>
      <w:r w:rsidR="00680ADA" w:rsidRPr="00F1180D">
        <w:rPr>
          <w:lang w:val="fr-FR" w:bidi="ar-KW"/>
        </w:rPr>
        <w:t>’</w:t>
      </w:r>
      <w:r w:rsidR="000C6D4A" w:rsidRPr="00F1180D">
        <w:rPr>
          <w:lang w:val="fr-FR" w:bidi="ar-KW"/>
        </w:rPr>
        <w:t>épargne dans le cadre de sa contribution à la réalisation des mêmes objectifs . Le montant du crédit accordé aux citoyens à titre de prêt pour la construction de logements adéquats a été augmenté pour tenir compte de la hausse des prix</w:t>
      </w:r>
      <w:r w:rsidR="00680ADA" w:rsidRPr="00F1180D">
        <w:rPr>
          <w:lang w:val="fr-FR" w:bidi="ar-KW"/>
        </w:rPr>
        <w:t>,</w:t>
      </w:r>
      <w:r w:rsidR="000C6D4A" w:rsidRPr="00F1180D">
        <w:rPr>
          <w:lang w:val="fr-FR" w:bidi="ar-KW"/>
        </w:rPr>
        <w:t xml:space="preserve"> passant de 70 000</w:t>
      </w:r>
      <w:r w:rsidR="009B1350" w:rsidRPr="00F1180D">
        <w:rPr>
          <w:lang w:val="fr-FR" w:bidi="ar-KW"/>
        </w:rPr>
        <w:t> dinars</w:t>
      </w:r>
      <w:r w:rsidR="000C6D4A" w:rsidRPr="00F1180D">
        <w:rPr>
          <w:lang w:val="fr-FR" w:bidi="ar-KW"/>
        </w:rPr>
        <w:t xml:space="preserve"> à 100 000</w:t>
      </w:r>
      <w:r w:rsidR="009B1350" w:rsidRPr="00F1180D">
        <w:rPr>
          <w:lang w:val="fr-FR" w:bidi="ar-KW"/>
        </w:rPr>
        <w:t> dinars</w:t>
      </w:r>
      <w:r w:rsidR="00680ADA" w:rsidRPr="00F1180D">
        <w:rPr>
          <w:lang w:val="fr-FR" w:bidi="ar-KW"/>
        </w:rPr>
        <w:t>,</w:t>
      </w:r>
      <w:r w:rsidR="000C6D4A" w:rsidRPr="00F1180D">
        <w:rPr>
          <w:lang w:val="fr-FR" w:bidi="ar-KW"/>
        </w:rPr>
        <w:t xml:space="preserve"> étant précisé que </w:t>
      </w:r>
      <w:r w:rsidR="000C6D4A" w:rsidRPr="00F1180D">
        <w:rPr>
          <w:lang w:val="fr-FR" w:bidi="ar-KW"/>
        </w:rPr>
        <w:lastRenderedPageBreak/>
        <w:t>tous les citoyens désireux de construire un logement familial peuvent en outre bénéficier d</w:t>
      </w:r>
      <w:r w:rsidR="00680ADA" w:rsidRPr="00F1180D">
        <w:rPr>
          <w:lang w:val="fr-FR" w:bidi="ar-KW"/>
        </w:rPr>
        <w:t>’</w:t>
      </w:r>
      <w:r w:rsidR="000C6D4A" w:rsidRPr="00F1180D">
        <w:rPr>
          <w:lang w:val="fr-FR" w:bidi="ar-KW"/>
        </w:rPr>
        <w:t>une subvention d</w:t>
      </w:r>
      <w:r w:rsidR="00680ADA" w:rsidRPr="00F1180D">
        <w:rPr>
          <w:lang w:val="fr-FR" w:bidi="ar-KW"/>
        </w:rPr>
        <w:t>’</w:t>
      </w:r>
      <w:r w:rsidR="000C6D4A" w:rsidRPr="00F1180D">
        <w:rPr>
          <w:lang w:val="fr-FR" w:bidi="ar-KW"/>
        </w:rPr>
        <w:t>environ 25 000</w:t>
      </w:r>
      <w:r w:rsidR="009B1350" w:rsidRPr="00F1180D">
        <w:rPr>
          <w:lang w:val="fr-FR" w:bidi="ar-KW"/>
        </w:rPr>
        <w:t> dinars</w:t>
      </w:r>
      <w:r w:rsidR="000C6D4A" w:rsidRPr="00F1180D">
        <w:rPr>
          <w:lang w:val="fr-FR" w:bidi="ar-KW"/>
        </w:rPr>
        <w:t xml:space="preserve"> pour l</w:t>
      </w:r>
      <w:r w:rsidR="00680ADA" w:rsidRPr="00F1180D">
        <w:rPr>
          <w:lang w:val="fr-FR" w:bidi="ar-KW"/>
        </w:rPr>
        <w:t>’</w:t>
      </w:r>
      <w:r w:rsidR="000C6D4A" w:rsidRPr="00F1180D">
        <w:rPr>
          <w:lang w:val="fr-FR" w:bidi="ar-KW"/>
        </w:rPr>
        <w:t xml:space="preserve">achat de matériaux de construction. </w:t>
      </w:r>
    </w:p>
    <w:p w:rsidR="000C6D4A" w:rsidRPr="00F1180D" w:rsidRDefault="00BC37A2" w:rsidP="00680ADA">
      <w:pPr>
        <w:pStyle w:val="SingleTxtG"/>
        <w:rPr>
          <w:rtl/>
          <w:lang w:val="fr-FR" w:bidi="fr-FR"/>
        </w:rPr>
      </w:pPr>
      <w:r>
        <w:rPr>
          <w:lang w:val="fr-FR" w:bidi="ar-KW"/>
        </w:rPr>
        <w:t>89.</w:t>
      </w:r>
      <w:r>
        <w:rPr>
          <w:lang w:val="fr-FR" w:bidi="ar-KW"/>
        </w:rPr>
        <w:tab/>
      </w:r>
      <w:r w:rsidR="000C6D4A" w:rsidRPr="00F1180D">
        <w:rPr>
          <w:lang w:val="fr-FR" w:bidi="ar-KW"/>
        </w:rPr>
        <w:t>À ce jour</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État a fourni des logements à 93 040 familles koweïtiennes</w:t>
      </w:r>
      <w:r w:rsidR="00680ADA" w:rsidRPr="00F1180D">
        <w:rPr>
          <w:lang w:val="fr-FR" w:bidi="ar-KW"/>
        </w:rPr>
        <w:t>,</w:t>
      </w:r>
      <w:r w:rsidR="000C6D4A" w:rsidRPr="00F1180D">
        <w:rPr>
          <w:lang w:val="fr-FR" w:bidi="ar-KW"/>
        </w:rPr>
        <w:t xml:space="preserve"> soit 40</w:t>
      </w:r>
      <w:r w:rsidR="00D259F0" w:rsidRPr="00F1180D">
        <w:rPr>
          <w:lang w:val="fr-FR" w:bidi="ar-KW"/>
        </w:rPr>
        <w:t> %</w:t>
      </w:r>
      <w:r w:rsidR="000C6D4A" w:rsidRPr="00F1180D">
        <w:rPr>
          <w:lang w:val="fr-FR" w:bidi="ar-KW"/>
        </w:rPr>
        <w:t xml:space="preserve"> du nombre total des foyers</w:t>
      </w:r>
      <w:r w:rsidR="00680ADA" w:rsidRPr="00F1180D">
        <w:rPr>
          <w:lang w:val="fr-FR" w:bidi="ar-KW"/>
        </w:rPr>
        <w:t>,</w:t>
      </w:r>
      <w:r w:rsidR="000C6D4A" w:rsidRPr="00F1180D">
        <w:rPr>
          <w:lang w:val="fr-FR" w:bidi="ar-KW"/>
        </w:rPr>
        <w:t xml:space="preserve"> étant précisé que le coût de chaque logement actuellement proposé par le Gouvernement s</w:t>
      </w:r>
      <w:r w:rsidR="00680ADA" w:rsidRPr="00F1180D">
        <w:rPr>
          <w:lang w:val="fr-FR" w:bidi="ar-KW"/>
        </w:rPr>
        <w:t>’</w:t>
      </w:r>
      <w:r w:rsidR="000C6D4A" w:rsidRPr="00F1180D">
        <w:rPr>
          <w:lang w:val="fr-FR" w:bidi="ar-KW"/>
        </w:rPr>
        <w:t>élève à environ 60 000</w:t>
      </w:r>
      <w:r w:rsidR="009B1350" w:rsidRPr="00F1180D">
        <w:rPr>
          <w:lang w:val="fr-FR" w:bidi="ar-KW"/>
        </w:rPr>
        <w:t> dinars</w:t>
      </w:r>
      <w:r w:rsidR="000C6D4A" w:rsidRPr="00F1180D">
        <w:rPr>
          <w:lang w:val="fr-FR" w:bidi="ar-KW"/>
        </w:rPr>
        <w:t xml:space="preserve"> koweïtiens (équivalant à environ 205 000</w:t>
      </w:r>
      <w:r w:rsidR="00935E7C" w:rsidRPr="00F1180D">
        <w:rPr>
          <w:lang w:val="fr-FR" w:bidi="ar-KW"/>
        </w:rPr>
        <w:t> dollars</w:t>
      </w:r>
      <w:r w:rsidR="000C6D4A" w:rsidRPr="00F1180D">
        <w:rPr>
          <w:lang w:val="fr-FR" w:bidi="ar-KW"/>
        </w:rPr>
        <w:t xml:space="preserve"> des États-Unis) et que des prêts sans intérêts d</w:t>
      </w:r>
      <w:r w:rsidR="00680ADA" w:rsidRPr="00F1180D">
        <w:rPr>
          <w:lang w:val="fr-FR" w:bidi="ar-KW"/>
        </w:rPr>
        <w:t>’</w:t>
      </w:r>
      <w:r w:rsidR="00A21A0B" w:rsidRPr="00F1180D">
        <w:rPr>
          <w:lang w:val="fr-FR" w:bidi="ar-KW"/>
        </w:rPr>
        <w:t>un montant de </w:t>
      </w:r>
      <w:r w:rsidR="000C6D4A" w:rsidRPr="00F1180D">
        <w:rPr>
          <w:lang w:val="fr-FR" w:bidi="ar-KW"/>
        </w:rPr>
        <w:t>100 000</w:t>
      </w:r>
      <w:r w:rsidR="009B1350" w:rsidRPr="00F1180D">
        <w:rPr>
          <w:lang w:val="fr-FR" w:bidi="ar-KW"/>
        </w:rPr>
        <w:t> dinars</w:t>
      </w:r>
      <w:r w:rsidR="000C6D4A" w:rsidRPr="00F1180D">
        <w:rPr>
          <w:lang w:val="fr-FR" w:bidi="ar-KW"/>
        </w:rPr>
        <w:t xml:space="preserve"> koweïtiens (équivalant à 329 327</w:t>
      </w:r>
      <w:r w:rsidR="00680ADA" w:rsidRPr="00F1180D">
        <w:rPr>
          <w:lang w:val="fr-FR" w:bidi="ar-KW"/>
        </w:rPr>
        <w:t>,</w:t>
      </w:r>
      <w:r w:rsidR="000C6D4A" w:rsidRPr="00F1180D">
        <w:rPr>
          <w:lang w:val="fr-FR" w:bidi="ar-KW"/>
        </w:rPr>
        <w:t xml:space="preserve"> 60</w:t>
      </w:r>
      <w:r w:rsidR="00935E7C" w:rsidRPr="00F1180D">
        <w:rPr>
          <w:lang w:val="fr-FR" w:bidi="ar-KW"/>
        </w:rPr>
        <w:t> dollars</w:t>
      </w:r>
      <w:r w:rsidR="000C6D4A" w:rsidRPr="00F1180D">
        <w:rPr>
          <w:lang w:val="fr-FR" w:bidi="ar-KW"/>
        </w:rPr>
        <w:t xml:space="preserve"> des États-Unis) sont accordés pour la construction de logements aux citoyens ayant bénéficié de l</w:t>
      </w:r>
      <w:r w:rsidR="00680ADA" w:rsidRPr="00F1180D">
        <w:rPr>
          <w:lang w:val="fr-FR" w:bidi="ar-KW"/>
        </w:rPr>
        <w:t>’</w:t>
      </w:r>
      <w:r w:rsidR="000C6D4A" w:rsidRPr="00F1180D">
        <w:rPr>
          <w:lang w:val="fr-FR" w:bidi="ar-KW"/>
        </w:rPr>
        <w:t>attribution de terrains constructibles. En outre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organisme public chargé du secteur du logement verse des allocations financières d</w:t>
      </w:r>
      <w:r w:rsidR="00680ADA" w:rsidRPr="00F1180D">
        <w:rPr>
          <w:lang w:val="fr-FR" w:bidi="ar-KW"/>
        </w:rPr>
        <w:t>’</w:t>
      </w:r>
      <w:r w:rsidR="000C6D4A" w:rsidRPr="00F1180D">
        <w:rPr>
          <w:lang w:val="fr-FR" w:bidi="ar-KW"/>
        </w:rPr>
        <w:t>aide au logement d</w:t>
      </w:r>
      <w:r w:rsidR="00680ADA" w:rsidRPr="00F1180D">
        <w:rPr>
          <w:lang w:val="fr-FR" w:bidi="ar-KW"/>
        </w:rPr>
        <w:t>’</w:t>
      </w:r>
      <w:r w:rsidR="000C6D4A" w:rsidRPr="00F1180D">
        <w:rPr>
          <w:lang w:val="fr-FR" w:bidi="ar-KW"/>
        </w:rPr>
        <w:t>un montant de 150</w:t>
      </w:r>
      <w:r w:rsidR="009B1350" w:rsidRPr="00F1180D">
        <w:rPr>
          <w:lang w:val="fr-FR" w:bidi="ar-KW"/>
        </w:rPr>
        <w:t> dinars</w:t>
      </w:r>
      <w:r w:rsidR="000C6D4A" w:rsidRPr="00F1180D">
        <w:rPr>
          <w:lang w:val="fr-FR" w:bidi="ar-KW"/>
        </w:rPr>
        <w:t xml:space="preserve"> koweïtiens par mois (environ 500</w:t>
      </w:r>
      <w:r w:rsidR="00935E7C" w:rsidRPr="00F1180D">
        <w:rPr>
          <w:lang w:val="fr-FR" w:bidi="ar-KW"/>
        </w:rPr>
        <w:t> dollars</w:t>
      </w:r>
      <w:r w:rsidR="000C6D4A" w:rsidRPr="00F1180D">
        <w:rPr>
          <w:lang w:val="fr-FR" w:bidi="ar-KW"/>
        </w:rPr>
        <w:t xml:space="preserve"> des États-Unis) aux bénéficiaires de cette aide jusqu</w:t>
      </w:r>
      <w:r w:rsidR="00680ADA" w:rsidRPr="00F1180D">
        <w:rPr>
          <w:lang w:val="fr-FR" w:bidi="ar-KW"/>
        </w:rPr>
        <w:t>’</w:t>
      </w:r>
      <w:r w:rsidR="000C6D4A" w:rsidRPr="00F1180D">
        <w:rPr>
          <w:lang w:val="fr-FR" w:bidi="ar-KW"/>
        </w:rPr>
        <w:t>à ce qu</w:t>
      </w:r>
      <w:r w:rsidR="00680ADA" w:rsidRPr="00F1180D">
        <w:rPr>
          <w:lang w:val="fr-FR" w:bidi="ar-KW"/>
        </w:rPr>
        <w:t>’</w:t>
      </w:r>
      <w:r w:rsidR="000C6D4A" w:rsidRPr="00F1180D">
        <w:rPr>
          <w:lang w:val="fr-FR" w:bidi="ar-KW"/>
        </w:rPr>
        <w:t xml:space="preserve">il leur soit attribué un logement social. </w:t>
      </w:r>
    </w:p>
    <w:p w:rsidR="000C6D4A" w:rsidRPr="00F1180D" w:rsidRDefault="00BC37A2" w:rsidP="00680ADA">
      <w:pPr>
        <w:pStyle w:val="SingleTxtG"/>
        <w:rPr>
          <w:lang w:val="fr-FR" w:bidi="ar-KW"/>
        </w:rPr>
      </w:pPr>
      <w:r>
        <w:rPr>
          <w:lang w:val="fr-FR" w:bidi="ar-KW"/>
        </w:rPr>
        <w:t>90.</w:t>
      </w:r>
      <w:r>
        <w:rPr>
          <w:lang w:val="fr-FR" w:bidi="ar-KW"/>
        </w:rPr>
        <w:tab/>
      </w:r>
      <w:r w:rsidR="000C6D4A" w:rsidRPr="00F1180D">
        <w:rPr>
          <w:lang w:val="fr-FR" w:bidi="ar-KW"/>
        </w:rPr>
        <w:t>L</w:t>
      </w:r>
      <w:r w:rsidR="00680ADA" w:rsidRPr="00F1180D">
        <w:rPr>
          <w:lang w:val="fr-FR" w:bidi="ar-KW"/>
        </w:rPr>
        <w:t>’</w:t>
      </w:r>
      <w:r w:rsidR="000C6D4A" w:rsidRPr="00F1180D">
        <w:rPr>
          <w:lang w:val="fr-FR" w:bidi="ar-KW"/>
        </w:rPr>
        <w:t>État koweïtien a également adopté des mesures législatives visant à faciliter l</w:t>
      </w:r>
      <w:r w:rsidR="00680ADA" w:rsidRPr="00F1180D">
        <w:rPr>
          <w:lang w:val="fr-FR" w:bidi="ar-KW"/>
        </w:rPr>
        <w:t>’</w:t>
      </w:r>
      <w:r w:rsidR="000C6D4A" w:rsidRPr="00F1180D">
        <w:rPr>
          <w:lang w:val="fr-FR" w:bidi="ar-KW"/>
        </w:rPr>
        <w:t>accès des citoyens au logement</w:t>
      </w:r>
      <w:r w:rsidR="00680ADA" w:rsidRPr="00F1180D">
        <w:rPr>
          <w:lang w:val="fr-FR" w:bidi="ar-KW"/>
        </w:rPr>
        <w:t>,</w:t>
      </w:r>
      <w:r w:rsidR="000C6D4A" w:rsidRPr="00F1180D">
        <w:rPr>
          <w:lang w:val="fr-FR" w:bidi="ar-KW"/>
        </w:rPr>
        <w:t xml:space="preserve"> parmi lesquelles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50/2010 qui impose à l</w:t>
      </w:r>
      <w:r w:rsidR="00680ADA" w:rsidRPr="00F1180D">
        <w:rPr>
          <w:lang w:val="fr-FR" w:bidi="ar-KW"/>
        </w:rPr>
        <w:t>’</w:t>
      </w:r>
      <w:r w:rsidR="000C6D4A" w:rsidRPr="00F1180D">
        <w:rPr>
          <w:lang w:val="fr-FR" w:bidi="ar-KW"/>
        </w:rPr>
        <w:t>organisme public chargé de ce secteur la mise à disposition de terrains destinés à la construction au profit d</w:t>
      </w:r>
      <w:r w:rsidR="00680ADA" w:rsidRPr="00F1180D">
        <w:rPr>
          <w:lang w:val="fr-FR" w:bidi="ar-KW"/>
        </w:rPr>
        <w:t>’</w:t>
      </w:r>
      <w:r w:rsidR="000C6D4A" w:rsidRPr="00F1180D">
        <w:rPr>
          <w:lang w:val="fr-FR" w:bidi="ar-KW"/>
        </w:rPr>
        <w:t>au moins 10 cités urbaines pouv</w:t>
      </w:r>
      <w:r w:rsidR="009B1350" w:rsidRPr="00F1180D">
        <w:rPr>
          <w:lang w:val="fr-FR" w:bidi="ar-KW"/>
        </w:rPr>
        <w:t>ant accueillir au moins 200 000 </w:t>
      </w:r>
      <w:r w:rsidR="000C6D4A" w:rsidRPr="00F1180D">
        <w:rPr>
          <w:lang w:val="fr-FR" w:bidi="ar-KW"/>
        </w:rPr>
        <w:t>unités d</w:t>
      </w:r>
      <w:r w:rsidR="00680ADA" w:rsidRPr="00F1180D">
        <w:rPr>
          <w:lang w:val="fr-FR" w:bidi="ar-KW"/>
        </w:rPr>
        <w:t>’</w:t>
      </w:r>
      <w:r w:rsidR="000C6D4A" w:rsidRPr="00F1180D">
        <w:rPr>
          <w:lang w:val="fr-FR" w:bidi="ar-KW"/>
        </w:rPr>
        <w:t>habitations (200 000 lots de terrains). En outre</w:t>
      </w:r>
      <w:r w:rsidR="00680ADA" w:rsidRPr="00F1180D">
        <w:rPr>
          <w:lang w:val="fr-FR" w:bidi="ar-KW"/>
        </w:rPr>
        <w:t>,</w:t>
      </w:r>
      <w:r w:rsidR="000C6D4A" w:rsidRPr="00F1180D">
        <w:rPr>
          <w:lang w:val="fr-FR" w:bidi="ar-KW"/>
        </w:rPr>
        <w:t xml:space="preserv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 xml:space="preserve">27 de 2012 a modifié quelques dispositions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47 de 1993 sur le logement. De plus</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0C6D4A" w:rsidRPr="00F1180D">
        <w:rPr>
          <w:lang w:val="fr-FR" w:bidi="ar-KW"/>
        </w:rPr>
        <w:t>27 bis de la loi impose à l</w:t>
      </w:r>
      <w:r w:rsidR="00680ADA" w:rsidRPr="00F1180D">
        <w:rPr>
          <w:lang w:val="fr-FR" w:bidi="ar-KW"/>
        </w:rPr>
        <w:t>’</w:t>
      </w:r>
      <w:r w:rsidR="000C6D4A" w:rsidRPr="00F1180D">
        <w:rPr>
          <w:lang w:val="fr-FR" w:bidi="ar-KW"/>
        </w:rPr>
        <w:t>organisme public chargé du logement de créer une ou plusieurs sociétés de participation koweïtiennes ayant pour mission la création</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 xml:space="preserve">aménagement et la réhabilitation des cités urbaines. </w:t>
      </w:r>
    </w:p>
    <w:p w:rsidR="00E05CF8" w:rsidRPr="00F1180D" w:rsidRDefault="00325EA7" w:rsidP="00E05CF8">
      <w:pPr>
        <w:pStyle w:val="H23G"/>
        <w:rPr>
          <w:lang w:val="fr-FR" w:bidi="ar-KW"/>
        </w:rPr>
      </w:pPr>
      <w:r w:rsidRPr="00F1180D">
        <w:rPr>
          <w:lang w:val="fr-FR" w:bidi="ar-KW"/>
        </w:rPr>
        <w:tab/>
      </w:r>
      <w:r w:rsidR="00E05CF8" w:rsidRPr="00F1180D">
        <w:rPr>
          <w:lang w:val="fr-FR" w:bidi="ar-KW"/>
        </w:rPr>
        <w:tab/>
      </w:r>
      <w:r w:rsidR="004C1D3C" w:rsidRPr="00F1180D">
        <w:rPr>
          <w:lang w:val="fr-FR" w:bidi="ar-KW"/>
        </w:rPr>
        <w:t xml:space="preserve">Paragraphe </w:t>
      </w:r>
      <w:r w:rsidRPr="00F1180D">
        <w:rPr>
          <w:lang w:val="fr-FR" w:bidi="ar-KW"/>
        </w:rPr>
        <w:t>e) iv)</w:t>
      </w:r>
    </w:p>
    <w:p w:rsidR="000C6D4A" w:rsidRPr="00F1180D" w:rsidRDefault="00BC37A2" w:rsidP="00680ADA">
      <w:pPr>
        <w:pStyle w:val="SingleTxtG"/>
        <w:rPr>
          <w:rtl/>
          <w:lang w:val="fr-FR" w:bidi="fr-FR"/>
        </w:rPr>
      </w:pPr>
      <w:r>
        <w:rPr>
          <w:lang w:val="fr-FR" w:bidi="ar-KW"/>
        </w:rPr>
        <w:t>91.</w:t>
      </w:r>
      <w:r>
        <w:rPr>
          <w:lang w:val="fr-FR" w:bidi="ar-KW"/>
        </w:rPr>
        <w:tab/>
      </w:r>
      <w:r w:rsidR="000C6D4A" w:rsidRPr="00F1180D">
        <w:rPr>
          <w:lang w:val="fr-FR" w:bidi="ar-KW"/>
        </w:rPr>
        <w:t>Le Koweït garantit le droit d</w:t>
      </w:r>
      <w:r w:rsidR="00680ADA" w:rsidRPr="00F1180D">
        <w:rPr>
          <w:lang w:val="fr-FR" w:bidi="ar-KW"/>
        </w:rPr>
        <w:t>’</w:t>
      </w:r>
      <w:r w:rsidR="000C6D4A" w:rsidRPr="00F1180D">
        <w:rPr>
          <w:lang w:val="fr-FR" w:bidi="ar-KW"/>
        </w:rPr>
        <w:t>accès à la santé grâce à un ensemble d</w:t>
      </w:r>
      <w:r w:rsidR="00680ADA" w:rsidRPr="00F1180D">
        <w:rPr>
          <w:lang w:val="fr-FR" w:bidi="ar-KW"/>
        </w:rPr>
        <w:t>’</w:t>
      </w:r>
      <w:r w:rsidR="000C6D4A" w:rsidRPr="00F1180D">
        <w:rPr>
          <w:lang w:val="fr-FR" w:bidi="ar-KW"/>
        </w:rPr>
        <w:t xml:space="preserve">infrastructures sanitaires composées de </w:t>
      </w:r>
      <w:r w:rsidR="000C6D4A" w:rsidRPr="00F1180D">
        <w:rPr>
          <w:lang w:val="fr-FR"/>
        </w:rPr>
        <w:t>centres de soins de santé primaire (100)</w:t>
      </w:r>
      <w:r w:rsidR="00680ADA" w:rsidRPr="00F1180D">
        <w:rPr>
          <w:lang w:val="fr-FR"/>
        </w:rPr>
        <w:t>,</w:t>
      </w:r>
      <w:r w:rsidR="000C6D4A" w:rsidRPr="00F1180D">
        <w:rPr>
          <w:lang w:val="fr-FR"/>
        </w:rPr>
        <w:t xml:space="preserve"> d</w:t>
      </w:r>
      <w:r w:rsidR="00680ADA" w:rsidRPr="00F1180D">
        <w:rPr>
          <w:lang w:val="fr-FR"/>
        </w:rPr>
        <w:t>’</w:t>
      </w:r>
      <w:r w:rsidR="000C6D4A" w:rsidRPr="00F1180D">
        <w:rPr>
          <w:lang w:val="fr-FR"/>
        </w:rPr>
        <w:t>hôpitaux publics (6)</w:t>
      </w:r>
      <w:r w:rsidR="00680ADA" w:rsidRPr="00F1180D">
        <w:rPr>
          <w:lang w:val="fr-FR"/>
        </w:rPr>
        <w:t>,</w:t>
      </w:r>
      <w:r w:rsidR="000C6D4A" w:rsidRPr="00F1180D">
        <w:rPr>
          <w:lang w:val="fr-FR"/>
        </w:rPr>
        <w:t xml:space="preserve"> de centres de soins spécialisés (36) et d</w:t>
      </w:r>
      <w:r w:rsidR="00680ADA" w:rsidRPr="00F1180D">
        <w:rPr>
          <w:lang w:val="fr-FR"/>
        </w:rPr>
        <w:t>’</w:t>
      </w:r>
      <w:r w:rsidR="000C6D4A" w:rsidRPr="00F1180D">
        <w:rPr>
          <w:lang w:val="fr-FR"/>
        </w:rPr>
        <w:t>établissements de soins contre le diabète (dont le nombre a récemment atteint 73 établissements</w:t>
      </w:r>
      <w:r w:rsidR="00680ADA" w:rsidRPr="00F1180D">
        <w:rPr>
          <w:lang w:val="fr-FR"/>
        </w:rPr>
        <w:t>,</w:t>
      </w:r>
      <w:r w:rsidR="000C6D4A" w:rsidRPr="00F1180D">
        <w:rPr>
          <w:lang w:val="fr-FR"/>
        </w:rPr>
        <w:t xml:space="preserve"> auxquels s</w:t>
      </w:r>
      <w:r w:rsidR="00680ADA" w:rsidRPr="00F1180D">
        <w:rPr>
          <w:lang w:val="fr-FR"/>
        </w:rPr>
        <w:t>’</w:t>
      </w:r>
      <w:r w:rsidR="000C6D4A" w:rsidRPr="00F1180D">
        <w:rPr>
          <w:lang w:val="fr-FR"/>
        </w:rPr>
        <w:t>ajoute le Centre Dasman pour la recherche sur le diabète) qui prodiguent des soins à tous les habitants</w:t>
      </w:r>
      <w:r w:rsidR="00680ADA" w:rsidRPr="00F1180D">
        <w:rPr>
          <w:lang w:val="fr-FR"/>
        </w:rPr>
        <w:t>,</w:t>
      </w:r>
      <w:r w:rsidR="000C6D4A" w:rsidRPr="00F1180D">
        <w:rPr>
          <w:lang w:val="fr-FR"/>
        </w:rPr>
        <w:t xml:space="preserve"> étant précisé que les prestations sont gratuites pour les Koweïtiens et proposées à des prix symboliques aux résidents</w:t>
      </w:r>
      <w:r w:rsidR="00680ADA" w:rsidRPr="00F1180D">
        <w:rPr>
          <w:lang w:val="fr-FR"/>
        </w:rPr>
        <w:t>,</w:t>
      </w:r>
      <w:r w:rsidR="000C6D4A" w:rsidRPr="00F1180D">
        <w:rPr>
          <w:lang w:val="fr-FR"/>
        </w:rPr>
        <w:t xml:space="preserve"> outre les services dispensés par le secteur de santé privé. </w:t>
      </w:r>
    </w:p>
    <w:p w:rsidR="000C6D4A" w:rsidRPr="00F1180D" w:rsidRDefault="00930AE5" w:rsidP="00680ADA">
      <w:pPr>
        <w:pStyle w:val="SingleTxtG"/>
        <w:rPr>
          <w:rtl/>
          <w:lang w:val="fr-FR" w:bidi="fr-FR"/>
        </w:rPr>
      </w:pPr>
      <w:r>
        <w:rPr>
          <w:lang w:val="fr-FR"/>
        </w:rPr>
        <w:t>92.</w:t>
      </w:r>
      <w:r>
        <w:rPr>
          <w:lang w:val="fr-FR"/>
        </w:rPr>
        <w:tab/>
      </w:r>
      <w:r w:rsidR="000C6D4A" w:rsidRPr="00F1180D">
        <w:rPr>
          <w:lang w:val="fr-FR"/>
        </w:rPr>
        <w:t>Une</w:t>
      </w:r>
      <w:r w:rsidR="000C6D4A" w:rsidRPr="00F1180D">
        <w:rPr>
          <w:lang w:val="fr-FR" w:bidi="ar-KW"/>
        </w:rPr>
        <w:t xml:space="preserve"> Direction de la santé scolaire a également été mise en place </w:t>
      </w:r>
      <w:r w:rsidR="000C6D4A" w:rsidRPr="00F1180D">
        <w:rPr>
          <w:lang w:val="fr-FR"/>
        </w:rPr>
        <w:t>en application de l</w:t>
      </w:r>
      <w:r w:rsidR="00680ADA" w:rsidRPr="00F1180D">
        <w:rPr>
          <w:lang w:val="fr-FR"/>
        </w:rPr>
        <w:t>’</w:t>
      </w:r>
      <w:r w:rsidR="000C6D4A" w:rsidRPr="00F1180D">
        <w:rPr>
          <w:lang w:val="fr-FR"/>
        </w:rPr>
        <w:t>arrêté ministériel</w:t>
      </w:r>
      <w:r w:rsidR="009B1350" w:rsidRPr="00F1180D">
        <w:rPr>
          <w:lang w:val="fr-FR"/>
        </w:rPr>
        <w:t xml:space="preserve"> </w:t>
      </w:r>
      <w:r w:rsidR="00FA4059" w:rsidRPr="00F1180D">
        <w:rPr>
          <w:lang w:val="fr-FR" w:bidi="ar-KW"/>
        </w:rPr>
        <w:t>n</w:t>
      </w:r>
      <w:r w:rsidR="00FA4059" w:rsidRPr="00F1180D">
        <w:rPr>
          <w:vertAlign w:val="superscript"/>
          <w:lang w:val="fr-FR" w:bidi="ar-KW"/>
        </w:rPr>
        <w:t>o</w:t>
      </w:r>
      <w:r w:rsidR="00FA4059" w:rsidRPr="00F1180D">
        <w:rPr>
          <w:lang w:val="fr-FR" w:bidi="ar-KW"/>
        </w:rPr>
        <w:t>°</w:t>
      </w:r>
      <w:r w:rsidR="000C6D4A" w:rsidRPr="00F1180D">
        <w:rPr>
          <w:lang w:val="fr-FR"/>
        </w:rPr>
        <w:t xml:space="preserve">172 de 2012 </w:t>
      </w:r>
      <w:r w:rsidR="000C6D4A" w:rsidRPr="00F1180D">
        <w:rPr>
          <w:lang w:val="fr-FR" w:bidi="ar-KW"/>
        </w:rPr>
        <w:t>et chargée d</w:t>
      </w:r>
      <w:r w:rsidR="00680ADA" w:rsidRPr="00F1180D">
        <w:rPr>
          <w:lang w:val="fr-FR" w:bidi="ar-KW"/>
        </w:rPr>
        <w:t>’</w:t>
      </w:r>
      <w:r w:rsidR="000C6D4A" w:rsidRPr="00F1180D">
        <w:rPr>
          <w:lang w:val="fr-FR" w:bidi="ar-KW"/>
        </w:rPr>
        <w:t>exercer la tutelle sur les infrastructures de santé modernes installées dans les établissements scolaires</w:t>
      </w:r>
      <w:r w:rsidR="00680ADA" w:rsidRPr="00F1180D">
        <w:rPr>
          <w:lang w:val="fr-FR" w:bidi="ar-KW"/>
        </w:rPr>
        <w:t>,</w:t>
      </w:r>
      <w:r w:rsidR="000C6D4A" w:rsidRPr="00F1180D">
        <w:rPr>
          <w:lang w:val="fr-FR" w:bidi="ar-KW"/>
        </w:rPr>
        <w:t xml:space="preserve"> qui assurent une sensibilisation précoce des élèves à différents aspects de santé publique</w:t>
      </w:r>
      <w:r w:rsidR="00680ADA" w:rsidRPr="00F1180D">
        <w:rPr>
          <w:lang w:val="fr-FR" w:bidi="ar-KW"/>
        </w:rPr>
        <w:t>,</w:t>
      </w:r>
      <w:r w:rsidR="000C6D4A" w:rsidRPr="00F1180D">
        <w:rPr>
          <w:lang w:val="fr-FR" w:bidi="ar-KW"/>
        </w:rPr>
        <w:t xml:space="preserve"> tels que la santé bucco-dentaire</w:t>
      </w:r>
      <w:r w:rsidR="00680ADA" w:rsidRPr="00F1180D">
        <w:rPr>
          <w:lang w:val="fr-FR" w:bidi="ar-KW"/>
        </w:rPr>
        <w:t>,</w:t>
      </w:r>
      <w:r w:rsidR="000C6D4A" w:rsidRPr="00F1180D">
        <w:rPr>
          <w:lang w:val="fr-FR" w:bidi="ar-KW"/>
        </w:rPr>
        <w:t xml:space="preserve"> la nutrition et la prévention des maladies et épidémies</w:t>
      </w:r>
      <w:r w:rsidR="000C6D4A" w:rsidRPr="00F1180D">
        <w:rPr>
          <w:lang w:val="fr-FR"/>
        </w:rPr>
        <w:t>.</w:t>
      </w:r>
      <w:r w:rsidR="000C6D4A" w:rsidRPr="00F1180D">
        <w:rPr>
          <w:lang w:val="fr-FR" w:bidi="ar-KW"/>
        </w:rPr>
        <w:t xml:space="preserve"> La démarche de l</w:t>
      </w:r>
      <w:r w:rsidR="00680ADA" w:rsidRPr="00F1180D">
        <w:rPr>
          <w:lang w:val="fr-FR" w:bidi="ar-KW"/>
        </w:rPr>
        <w:t>’</w:t>
      </w:r>
      <w:r w:rsidR="000C6D4A" w:rsidRPr="00F1180D">
        <w:rPr>
          <w:lang w:val="fr-FR" w:bidi="ar-KW"/>
        </w:rPr>
        <w:t>État consiste en outre à créer un dossier médical électronique par élève.</w:t>
      </w:r>
    </w:p>
    <w:p w:rsidR="000C6D4A" w:rsidRPr="00F1180D" w:rsidRDefault="00930AE5" w:rsidP="00680ADA">
      <w:pPr>
        <w:pStyle w:val="SingleTxtG"/>
        <w:rPr>
          <w:rtl/>
          <w:lang w:val="fr-FR" w:bidi="fr-FR"/>
        </w:rPr>
      </w:pPr>
      <w:r>
        <w:rPr>
          <w:lang w:val="fr-FR"/>
        </w:rPr>
        <w:t>93.</w:t>
      </w:r>
      <w:r>
        <w:rPr>
          <w:lang w:val="fr-FR"/>
        </w:rPr>
        <w:tab/>
      </w:r>
      <w:r w:rsidR="000C6D4A" w:rsidRPr="00F1180D">
        <w:rPr>
          <w:lang w:val="fr-FR"/>
        </w:rPr>
        <w:t>Des centres de santé maternelle et infantile</w:t>
      </w:r>
      <w:r w:rsidR="00680ADA" w:rsidRPr="00F1180D">
        <w:rPr>
          <w:lang w:val="fr-FR"/>
        </w:rPr>
        <w:t>,</w:t>
      </w:r>
      <w:r w:rsidR="000C6D4A" w:rsidRPr="00F1180D">
        <w:rPr>
          <w:lang w:val="fr-FR"/>
        </w:rPr>
        <w:t xml:space="preserve"> de médecine familiale</w:t>
      </w:r>
      <w:r w:rsidR="00680ADA" w:rsidRPr="00F1180D">
        <w:rPr>
          <w:lang w:val="fr-FR"/>
        </w:rPr>
        <w:t>,</w:t>
      </w:r>
      <w:r w:rsidR="000C6D4A" w:rsidRPr="00F1180D">
        <w:rPr>
          <w:lang w:val="fr-FR"/>
        </w:rPr>
        <w:t xml:space="preserve"> de santé publique et de promotion de la santé offrent des prestations de santé aux femmes enceintes</w:t>
      </w:r>
      <w:r w:rsidR="00680ADA" w:rsidRPr="00F1180D">
        <w:rPr>
          <w:lang w:val="fr-FR"/>
        </w:rPr>
        <w:t>,</w:t>
      </w:r>
      <w:r w:rsidR="000C6D4A" w:rsidRPr="00F1180D">
        <w:rPr>
          <w:lang w:val="fr-FR"/>
        </w:rPr>
        <w:t xml:space="preserve"> aux enfants et aux familles. Ces services sont accessibles gratuitement à tous les citoyens koweïtiens et proposés à des prix modiques aux non ressortissants</w:t>
      </w:r>
      <w:r w:rsidR="00680ADA" w:rsidRPr="00F1180D">
        <w:rPr>
          <w:lang w:val="fr-FR"/>
        </w:rPr>
        <w:t>,</w:t>
      </w:r>
      <w:r w:rsidR="000C6D4A" w:rsidRPr="00F1180D">
        <w:rPr>
          <w:lang w:val="fr-FR"/>
        </w:rPr>
        <w:t xml:space="preserve"> grâce à l</w:t>
      </w:r>
      <w:r w:rsidR="00680ADA" w:rsidRPr="00F1180D">
        <w:rPr>
          <w:lang w:val="fr-FR"/>
        </w:rPr>
        <w:t>’</w:t>
      </w:r>
      <w:r w:rsidR="000C6D4A" w:rsidRPr="00F1180D">
        <w:rPr>
          <w:lang w:val="fr-FR"/>
        </w:rPr>
        <w:t xml:space="preserve">assurance maladie et à la sécurité sociale. </w:t>
      </w:r>
    </w:p>
    <w:p w:rsidR="000C6D4A" w:rsidRPr="00F1180D" w:rsidRDefault="00930AE5" w:rsidP="00680ADA">
      <w:pPr>
        <w:pStyle w:val="SingleTxtG"/>
        <w:rPr>
          <w:rtl/>
          <w:lang w:val="fr-FR" w:bidi="fr-FR"/>
        </w:rPr>
      </w:pPr>
      <w:r>
        <w:rPr>
          <w:lang w:val="fr-FR"/>
        </w:rPr>
        <w:t>94.</w:t>
      </w:r>
      <w:r>
        <w:rPr>
          <w:lang w:val="fr-FR"/>
        </w:rPr>
        <w:tab/>
      </w:r>
      <w:r w:rsidR="000C6D4A" w:rsidRPr="00F1180D">
        <w:rPr>
          <w:lang w:val="fr-FR"/>
        </w:rPr>
        <w:t>Les services de santé préventive assurent la prévention des maladies contagieuses et l</w:t>
      </w:r>
      <w:r w:rsidR="00680ADA" w:rsidRPr="00F1180D">
        <w:rPr>
          <w:lang w:val="fr-FR"/>
        </w:rPr>
        <w:t>’</w:t>
      </w:r>
      <w:r w:rsidR="000C6D4A" w:rsidRPr="00F1180D">
        <w:rPr>
          <w:lang w:val="fr-FR"/>
        </w:rPr>
        <w:t>État veille à ce que tous les types de vaccins soient offerts gratuitement à tous les enfants</w:t>
      </w:r>
      <w:r w:rsidR="00680ADA" w:rsidRPr="00F1180D">
        <w:rPr>
          <w:lang w:val="fr-FR"/>
        </w:rPr>
        <w:t>,</w:t>
      </w:r>
      <w:r w:rsidR="000C6D4A" w:rsidRPr="00F1180D">
        <w:rPr>
          <w:lang w:val="fr-FR"/>
        </w:rPr>
        <w:t xml:space="preserve"> étant précisé qu</w:t>
      </w:r>
      <w:r w:rsidR="00680ADA" w:rsidRPr="00F1180D">
        <w:rPr>
          <w:lang w:val="fr-FR"/>
        </w:rPr>
        <w:t>’</w:t>
      </w:r>
      <w:r w:rsidR="000C6D4A" w:rsidRPr="00F1180D">
        <w:rPr>
          <w:lang w:val="fr-FR"/>
        </w:rPr>
        <w:t>en 2013</w:t>
      </w:r>
      <w:r w:rsidR="00680ADA" w:rsidRPr="00F1180D">
        <w:rPr>
          <w:lang w:val="fr-FR"/>
        </w:rPr>
        <w:t>,</w:t>
      </w:r>
      <w:r w:rsidR="000C6D4A" w:rsidRPr="00F1180D">
        <w:rPr>
          <w:lang w:val="fr-FR"/>
        </w:rPr>
        <w:t xml:space="preserve"> la couverture vaccinale a atteint 99</w:t>
      </w:r>
      <w:r w:rsidR="00D259F0" w:rsidRPr="00F1180D">
        <w:rPr>
          <w:lang w:val="fr-FR"/>
        </w:rPr>
        <w:t> %</w:t>
      </w:r>
      <w:r w:rsidR="000C6D4A" w:rsidRPr="00F1180D">
        <w:rPr>
          <w:lang w:val="fr-FR"/>
        </w:rPr>
        <w:t xml:space="preserve">. </w:t>
      </w:r>
    </w:p>
    <w:p w:rsidR="000C6D4A" w:rsidRPr="00F1180D" w:rsidRDefault="00930AE5" w:rsidP="00680ADA">
      <w:pPr>
        <w:pStyle w:val="SingleTxtG"/>
        <w:rPr>
          <w:rtl/>
          <w:lang w:val="fr-FR" w:bidi="fr-FR"/>
        </w:rPr>
      </w:pPr>
      <w:r>
        <w:rPr>
          <w:lang w:val="fr-FR" w:bidi="ar-KW"/>
        </w:rPr>
        <w:t>95.</w:t>
      </w:r>
      <w:r>
        <w:rPr>
          <w:lang w:val="fr-FR" w:bidi="ar-KW"/>
        </w:rPr>
        <w:tab/>
      </w:r>
      <w:r w:rsidR="000C6D4A" w:rsidRPr="00F1180D">
        <w:rPr>
          <w:lang w:val="fr-FR" w:bidi="ar-KW"/>
        </w:rPr>
        <w:t>Dans le cadre des projets destinés aux enfants koweïtiens ou non koweïtiens souffrant d</w:t>
      </w:r>
      <w:r w:rsidR="00680ADA" w:rsidRPr="00F1180D">
        <w:rPr>
          <w:lang w:val="fr-FR" w:bidi="ar-KW"/>
        </w:rPr>
        <w:t>’</w:t>
      </w:r>
      <w:r w:rsidR="000C6D4A" w:rsidRPr="00F1180D">
        <w:rPr>
          <w:lang w:val="fr-FR" w:bidi="ar-KW"/>
        </w:rPr>
        <w:t>un cancer ou d</w:t>
      </w:r>
      <w:r w:rsidR="00680ADA" w:rsidRPr="00F1180D">
        <w:rPr>
          <w:lang w:val="fr-FR" w:bidi="ar-KW"/>
        </w:rPr>
        <w:t>’</w:t>
      </w:r>
      <w:r w:rsidR="000C6D4A" w:rsidRPr="00F1180D">
        <w:rPr>
          <w:lang w:val="fr-FR" w:bidi="ar-KW"/>
        </w:rPr>
        <w:t>une maladie incurable</w:t>
      </w:r>
      <w:r w:rsidR="00680ADA" w:rsidRPr="00F1180D">
        <w:rPr>
          <w:lang w:val="fr-FR" w:bidi="ar-KW"/>
        </w:rPr>
        <w:t>,</w:t>
      </w:r>
      <w:r w:rsidR="000C6D4A" w:rsidRPr="00F1180D">
        <w:rPr>
          <w:lang w:val="fr-FR" w:bidi="ar-KW"/>
        </w:rPr>
        <w:t xml:space="preserve"> il convient de citer la création en 2011 du centre </w:t>
      </w:r>
      <w:r w:rsidR="000C6D4A" w:rsidRPr="00F1180D">
        <w:rPr>
          <w:i/>
          <w:lang w:val="fr-FR" w:bidi="ar-KW"/>
        </w:rPr>
        <w:t>Beit</w:t>
      </w:r>
      <w:r w:rsidR="000C6D4A" w:rsidRPr="00F1180D">
        <w:rPr>
          <w:lang w:val="fr-FR" w:bidi="ar-KW"/>
        </w:rPr>
        <w:t xml:space="preserve"> </w:t>
      </w:r>
      <w:r w:rsidR="000C6D4A" w:rsidRPr="00F1180D">
        <w:rPr>
          <w:i/>
          <w:iCs/>
          <w:lang w:val="fr-FR" w:bidi="ar-KW"/>
        </w:rPr>
        <w:t>Abdallah</w:t>
      </w:r>
      <w:r w:rsidR="000C6D4A" w:rsidRPr="00F1180D">
        <w:rPr>
          <w:lang w:val="fr-FR" w:bidi="ar-KW"/>
        </w:rPr>
        <w:t xml:space="preserve"> qui accueille les enfants et leur famille lorsque l</w:t>
      </w:r>
      <w:r w:rsidR="00680ADA" w:rsidRPr="00F1180D">
        <w:rPr>
          <w:lang w:val="fr-FR" w:bidi="ar-KW"/>
        </w:rPr>
        <w:t>’</w:t>
      </w:r>
      <w:r w:rsidR="000C6D4A" w:rsidRPr="00F1180D">
        <w:rPr>
          <w:lang w:val="fr-FR" w:bidi="ar-KW"/>
        </w:rPr>
        <w:t>état de santé des jeunes malades n</w:t>
      </w:r>
      <w:r w:rsidR="00680ADA" w:rsidRPr="00F1180D">
        <w:rPr>
          <w:lang w:val="fr-FR" w:bidi="ar-KW"/>
        </w:rPr>
        <w:t>’</w:t>
      </w:r>
      <w:r w:rsidR="000C6D4A" w:rsidRPr="00F1180D">
        <w:rPr>
          <w:lang w:val="fr-FR" w:bidi="ar-KW"/>
        </w:rPr>
        <w:t>est plus susceptible d</w:t>
      </w:r>
      <w:r w:rsidR="00680ADA" w:rsidRPr="00F1180D">
        <w:rPr>
          <w:lang w:val="fr-FR" w:bidi="ar-KW"/>
        </w:rPr>
        <w:t>’</w:t>
      </w:r>
      <w:r w:rsidR="000C6D4A" w:rsidRPr="00F1180D">
        <w:rPr>
          <w:lang w:val="fr-FR" w:bidi="ar-KW"/>
        </w:rPr>
        <w:t>amélioration ou lorsqu</w:t>
      </w:r>
      <w:r w:rsidR="00680ADA" w:rsidRPr="00F1180D">
        <w:rPr>
          <w:lang w:val="fr-FR" w:bidi="ar-KW"/>
        </w:rPr>
        <w:t>’</w:t>
      </w:r>
      <w:r w:rsidR="000C6D4A" w:rsidRPr="00F1180D">
        <w:rPr>
          <w:lang w:val="fr-FR" w:bidi="ar-KW"/>
        </w:rPr>
        <w:t>ils sont en phase terminale de leur maladie. Ce centre dispense des soins et offre aux enfants des conditions de repos et de détente leur permettant de vivre dans un environnement familial</w:t>
      </w:r>
      <w:r w:rsidR="00680ADA" w:rsidRPr="00F1180D">
        <w:rPr>
          <w:lang w:val="fr-FR" w:bidi="ar-KW"/>
        </w:rPr>
        <w:t>,</w:t>
      </w:r>
      <w:r w:rsidR="000C6D4A" w:rsidRPr="00F1180D">
        <w:rPr>
          <w:lang w:val="fr-FR" w:bidi="ar-KW"/>
        </w:rPr>
        <w:t xml:space="preserve"> sous surveillance </w:t>
      </w:r>
      <w:r w:rsidR="000C6D4A" w:rsidRPr="00F1180D">
        <w:rPr>
          <w:lang w:val="fr-FR" w:bidi="ar-KW"/>
        </w:rPr>
        <w:lastRenderedPageBreak/>
        <w:t>médicale</w:t>
      </w:r>
      <w:r w:rsidR="00680ADA" w:rsidRPr="00F1180D">
        <w:rPr>
          <w:lang w:val="fr-FR" w:bidi="ar-KW"/>
        </w:rPr>
        <w:t>,</w:t>
      </w:r>
      <w:r w:rsidR="000C6D4A" w:rsidRPr="00F1180D">
        <w:rPr>
          <w:lang w:val="fr-FR" w:bidi="ar-KW"/>
        </w:rPr>
        <w:t xml:space="preserve"> sociale et psychologique et en présence d</w:t>
      </w:r>
      <w:r w:rsidR="00680ADA" w:rsidRPr="00F1180D">
        <w:rPr>
          <w:lang w:val="fr-FR" w:bidi="ar-KW"/>
        </w:rPr>
        <w:t>’</w:t>
      </w:r>
      <w:r w:rsidR="000C6D4A" w:rsidRPr="00F1180D">
        <w:rPr>
          <w:lang w:val="fr-FR" w:bidi="ar-KW"/>
        </w:rPr>
        <w:t>une équipe chargée de soulager leurs douleurs et celles de leurs proches</w:t>
      </w:r>
      <w:r w:rsidR="00680ADA" w:rsidRPr="00F1180D">
        <w:rPr>
          <w:lang w:val="fr-FR" w:bidi="ar-KW"/>
        </w:rPr>
        <w:t>,</w:t>
      </w:r>
      <w:r w:rsidR="000C6D4A" w:rsidRPr="00F1180D">
        <w:rPr>
          <w:lang w:val="fr-FR" w:bidi="ar-KW"/>
        </w:rPr>
        <w:t xml:space="preserve"> au sein d</w:t>
      </w:r>
      <w:r w:rsidR="00680ADA" w:rsidRPr="00F1180D">
        <w:rPr>
          <w:lang w:val="fr-FR" w:bidi="ar-KW"/>
        </w:rPr>
        <w:t>’</w:t>
      </w:r>
      <w:r w:rsidR="000C6D4A" w:rsidRPr="00F1180D">
        <w:rPr>
          <w:lang w:val="fr-FR" w:bidi="ar-KW"/>
        </w:rPr>
        <w:t>une station située en bord de mer</w:t>
      </w:r>
      <w:r w:rsidR="00680ADA" w:rsidRPr="00F1180D">
        <w:rPr>
          <w:lang w:val="fr-FR" w:bidi="ar-KW"/>
        </w:rPr>
        <w:t>,</w:t>
      </w:r>
      <w:r w:rsidR="000C6D4A" w:rsidRPr="00F1180D">
        <w:rPr>
          <w:lang w:val="fr-FR" w:bidi="ar-KW"/>
        </w:rPr>
        <w:t xml:space="preserve"> loin de l</w:t>
      </w:r>
      <w:r w:rsidR="00680ADA" w:rsidRPr="00F1180D">
        <w:rPr>
          <w:lang w:val="fr-FR" w:bidi="ar-KW"/>
        </w:rPr>
        <w:t>’</w:t>
      </w:r>
      <w:r w:rsidR="000C6D4A" w:rsidRPr="00F1180D">
        <w:rPr>
          <w:lang w:val="fr-FR" w:bidi="ar-KW"/>
        </w:rPr>
        <w:t xml:space="preserve">atmosphère des hôpitaux. </w:t>
      </w:r>
    </w:p>
    <w:p w:rsidR="000C6D4A" w:rsidRPr="00F1180D" w:rsidRDefault="00930AE5" w:rsidP="00680ADA">
      <w:pPr>
        <w:pStyle w:val="SingleTxtG"/>
        <w:rPr>
          <w:rtl/>
          <w:lang w:val="fr-FR" w:bidi="fr-FR"/>
        </w:rPr>
      </w:pPr>
      <w:r>
        <w:rPr>
          <w:lang w:val="fr-FR" w:bidi="ar-KW"/>
        </w:rPr>
        <w:t>96.</w:t>
      </w:r>
      <w:r>
        <w:rPr>
          <w:lang w:val="fr-FR" w:bidi="ar-KW"/>
        </w:rPr>
        <w:tab/>
      </w:r>
      <w:r w:rsidR="000C6D4A" w:rsidRPr="00F1180D">
        <w:rPr>
          <w:lang w:val="fr-FR" w:bidi="ar-KW"/>
        </w:rPr>
        <w:t>L</w:t>
      </w:r>
      <w:r w:rsidR="00680ADA" w:rsidRPr="00F1180D">
        <w:rPr>
          <w:lang w:val="fr-FR" w:bidi="ar-KW"/>
        </w:rPr>
        <w:t>’</w:t>
      </w:r>
      <w:r w:rsidR="000C6D4A" w:rsidRPr="00F1180D">
        <w:rPr>
          <w:lang w:val="fr-FR" w:bidi="ar-KW"/>
        </w:rPr>
        <w:t>État veille à ce que les patients qui ne peuvent être soignés dans le pays puissent bénéficier de traitements à l</w:t>
      </w:r>
      <w:r w:rsidR="00680ADA" w:rsidRPr="00F1180D">
        <w:rPr>
          <w:lang w:val="fr-FR" w:bidi="ar-KW"/>
        </w:rPr>
        <w:t>’</w:t>
      </w:r>
      <w:r w:rsidR="000C6D4A" w:rsidRPr="00F1180D">
        <w:rPr>
          <w:lang w:val="fr-FR" w:bidi="ar-KW"/>
        </w:rPr>
        <w:t>étranger. Le budget alloué aux traitements à l</w:t>
      </w:r>
      <w:r w:rsidR="00680ADA" w:rsidRPr="00F1180D">
        <w:rPr>
          <w:lang w:val="fr-FR" w:bidi="ar-KW"/>
        </w:rPr>
        <w:t>’</w:t>
      </w:r>
      <w:r w:rsidR="000C6D4A" w:rsidRPr="00F1180D">
        <w:rPr>
          <w:lang w:val="fr-FR" w:bidi="ar-KW"/>
        </w:rPr>
        <w:t>étranger était de 62 948 543</w:t>
      </w:r>
      <w:r w:rsidR="009B1350" w:rsidRPr="00F1180D">
        <w:rPr>
          <w:lang w:val="fr-FR" w:bidi="ar-KW"/>
        </w:rPr>
        <w:t> dinars</w:t>
      </w:r>
      <w:r w:rsidR="000C6D4A" w:rsidRPr="00F1180D">
        <w:rPr>
          <w:lang w:val="fr-FR" w:bidi="ar-KW"/>
        </w:rPr>
        <w:t xml:space="preserve"> koweïtiens (équivalant à 218 195 787</w:t>
      </w:r>
      <w:r w:rsidR="00680ADA" w:rsidRPr="00F1180D">
        <w:rPr>
          <w:lang w:val="fr-FR" w:bidi="ar-KW"/>
        </w:rPr>
        <w:t>,</w:t>
      </w:r>
      <w:r w:rsidR="000C6D4A" w:rsidRPr="00F1180D">
        <w:rPr>
          <w:lang w:val="fr-FR" w:bidi="ar-KW"/>
        </w:rPr>
        <w:t>15</w:t>
      </w:r>
      <w:r w:rsidR="00935E7C" w:rsidRPr="00F1180D">
        <w:rPr>
          <w:lang w:val="fr-FR" w:bidi="ar-KW"/>
        </w:rPr>
        <w:t> dollars</w:t>
      </w:r>
      <w:r w:rsidR="00BA1F15" w:rsidRPr="00F1180D">
        <w:rPr>
          <w:lang w:val="fr-FR" w:bidi="ar-KW"/>
        </w:rPr>
        <w:t xml:space="preserve"> des États-Unis) en </w:t>
      </w:r>
      <w:r w:rsidR="000C6D4A" w:rsidRPr="00F1180D">
        <w:rPr>
          <w:lang w:val="fr-FR" w:bidi="ar-KW"/>
        </w:rPr>
        <w:t>2010/2011</w:t>
      </w:r>
      <w:r w:rsidR="00680ADA" w:rsidRPr="00F1180D">
        <w:rPr>
          <w:lang w:val="fr-FR" w:bidi="ar-KW"/>
        </w:rPr>
        <w:t>,</w:t>
      </w:r>
      <w:r w:rsidR="000C6D4A" w:rsidRPr="00F1180D">
        <w:rPr>
          <w:lang w:val="fr-FR" w:bidi="ar-KW"/>
        </w:rPr>
        <w:t xml:space="preserve"> de 120 millions de</w:t>
      </w:r>
      <w:r w:rsidR="00BA1F15" w:rsidRPr="00F1180D">
        <w:rPr>
          <w:lang w:val="fr-FR" w:bidi="ar-KW"/>
        </w:rPr>
        <w:t xml:space="preserve"> </w:t>
      </w:r>
      <w:r w:rsidR="009B1350" w:rsidRPr="00F1180D">
        <w:rPr>
          <w:lang w:val="fr-FR" w:bidi="ar-KW"/>
        </w:rPr>
        <w:t>dinars</w:t>
      </w:r>
      <w:r w:rsidR="000C6D4A" w:rsidRPr="00F1180D">
        <w:rPr>
          <w:lang w:val="fr-FR" w:bidi="ar-KW"/>
        </w:rPr>
        <w:t xml:space="preserve"> koweïtiens (équivalant à 416 562 823</w:t>
      </w:r>
      <w:r w:rsidR="00680ADA" w:rsidRPr="00F1180D">
        <w:rPr>
          <w:lang w:val="fr-FR" w:bidi="ar-KW"/>
        </w:rPr>
        <w:t>,</w:t>
      </w:r>
      <w:r w:rsidR="000C6D4A" w:rsidRPr="00F1180D">
        <w:rPr>
          <w:lang w:val="fr-FR" w:bidi="ar-KW"/>
        </w:rPr>
        <w:t>66</w:t>
      </w:r>
      <w:r w:rsidR="00935E7C" w:rsidRPr="00F1180D">
        <w:rPr>
          <w:lang w:val="fr-FR" w:bidi="ar-KW"/>
        </w:rPr>
        <w:t> dollars</w:t>
      </w:r>
      <w:r w:rsidR="000C6D4A" w:rsidRPr="00F1180D">
        <w:rPr>
          <w:lang w:val="fr-FR" w:bidi="ar-KW"/>
        </w:rPr>
        <w:t xml:space="preserve"> américains) en 2013/2014 et de 325 millions de</w:t>
      </w:r>
      <w:r w:rsidR="00BA1F15" w:rsidRPr="00F1180D">
        <w:rPr>
          <w:lang w:val="fr-FR" w:bidi="ar-KW"/>
        </w:rPr>
        <w:t xml:space="preserve"> </w:t>
      </w:r>
      <w:r w:rsidR="009B1350" w:rsidRPr="00F1180D">
        <w:rPr>
          <w:lang w:val="fr-FR" w:bidi="ar-KW"/>
        </w:rPr>
        <w:t>dinars</w:t>
      </w:r>
      <w:r w:rsidR="000C6D4A" w:rsidRPr="00F1180D">
        <w:rPr>
          <w:lang w:val="fr-FR" w:bidi="ar-KW"/>
        </w:rPr>
        <w:t xml:space="preserve"> koweïtiens (équivalant à 1 128 525 675</w:t>
      </w:r>
      <w:r w:rsidR="00935E7C" w:rsidRPr="00F1180D">
        <w:rPr>
          <w:lang w:val="fr-FR" w:bidi="ar-KW"/>
        </w:rPr>
        <w:t> dollars</w:t>
      </w:r>
      <w:r w:rsidR="000C6D4A" w:rsidRPr="00F1180D">
        <w:rPr>
          <w:lang w:val="fr-FR" w:bidi="ar-KW"/>
        </w:rPr>
        <w:t xml:space="preserve"> des États-Unis) en 2014. </w:t>
      </w:r>
    </w:p>
    <w:p w:rsidR="000C6D4A" w:rsidRPr="00F1180D" w:rsidRDefault="00930AE5" w:rsidP="00680ADA">
      <w:pPr>
        <w:pStyle w:val="SingleTxtG"/>
        <w:rPr>
          <w:rtl/>
          <w:lang w:val="fr-FR" w:bidi="fr-FR"/>
        </w:rPr>
      </w:pPr>
      <w:r>
        <w:rPr>
          <w:lang w:val="fr-FR" w:bidi="ar-KW"/>
        </w:rPr>
        <w:t>97.</w:t>
      </w:r>
      <w:r>
        <w:rPr>
          <w:lang w:val="fr-FR" w:bidi="ar-KW"/>
        </w:rPr>
        <w:tab/>
      </w:r>
      <w:r w:rsidR="000C6D4A" w:rsidRPr="00F1180D">
        <w:rPr>
          <w:lang w:val="fr-FR" w:bidi="ar-KW"/>
        </w:rPr>
        <w:t xml:space="preserve">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112 de 2013 portant création de l</w:t>
      </w:r>
      <w:r w:rsidR="00680ADA" w:rsidRPr="00F1180D">
        <w:rPr>
          <w:lang w:val="fr-FR" w:bidi="ar-KW"/>
        </w:rPr>
        <w:t>’</w:t>
      </w:r>
      <w:r w:rsidR="000C6D4A" w:rsidRPr="00F1180D">
        <w:rPr>
          <w:lang w:val="fr-FR" w:bidi="ar-KW"/>
        </w:rPr>
        <w:t>Autorité publique de l</w:t>
      </w:r>
      <w:r w:rsidR="00680ADA" w:rsidRPr="00F1180D">
        <w:rPr>
          <w:lang w:val="fr-FR" w:bidi="ar-KW"/>
        </w:rPr>
        <w:t>’</w:t>
      </w:r>
      <w:r w:rsidR="000C6D4A" w:rsidRPr="00F1180D">
        <w:rPr>
          <w:lang w:val="fr-FR" w:bidi="ar-KW"/>
        </w:rPr>
        <w:t>alimentation et de la nutrition a été adoptée. Elle met l</w:t>
      </w:r>
      <w:r w:rsidR="00680ADA" w:rsidRPr="00F1180D">
        <w:rPr>
          <w:lang w:val="fr-FR" w:bidi="ar-KW"/>
        </w:rPr>
        <w:t>’</w:t>
      </w:r>
      <w:r w:rsidR="000C6D4A" w:rsidRPr="00F1180D">
        <w:rPr>
          <w:lang w:val="fr-FR" w:bidi="ar-KW"/>
        </w:rPr>
        <w:t>accent sur la nécessité de veiller à la sécurité alimentaire et à la promotion de la nutrition en vue d</w:t>
      </w:r>
      <w:r w:rsidR="00680ADA" w:rsidRPr="00F1180D">
        <w:rPr>
          <w:lang w:val="fr-FR" w:bidi="ar-KW"/>
        </w:rPr>
        <w:t>’</w:t>
      </w:r>
      <w:r w:rsidR="000C6D4A" w:rsidRPr="00F1180D">
        <w:rPr>
          <w:lang w:val="fr-FR" w:bidi="ar-KW"/>
        </w:rPr>
        <w:t>atteindre le meilleur niveau possible de santé physique</w:t>
      </w:r>
      <w:r w:rsidR="00680ADA" w:rsidRPr="00F1180D">
        <w:rPr>
          <w:lang w:val="fr-FR" w:bidi="ar-KW"/>
        </w:rPr>
        <w:t>,</w:t>
      </w:r>
      <w:r w:rsidR="000C6D4A" w:rsidRPr="00F1180D">
        <w:rPr>
          <w:lang w:val="fr-FR" w:bidi="ar-KW"/>
        </w:rPr>
        <w:t xml:space="preserve"> mentale et psychique dans le cadre d</w:t>
      </w:r>
      <w:r w:rsidR="00680ADA" w:rsidRPr="00F1180D">
        <w:rPr>
          <w:lang w:val="fr-FR" w:bidi="ar-KW"/>
        </w:rPr>
        <w:t>’</w:t>
      </w:r>
      <w:r w:rsidR="000C6D4A" w:rsidRPr="00F1180D">
        <w:rPr>
          <w:lang w:val="fr-FR" w:bidi="ar-KW"/>
        </w:rPr>
        <w:t>un environnement sain</w:t>
      </w:r>
      <w:r w:rsidR="00680ADA" w:rsidRPr="00F1180D">
        <w:rPr>
          <w:lang w:val="fr-FR" w:bidi="ar-KW"/>
        </w:rPr>
        <w:t>,</w:t>
      </w:r>
      <w:r w:rsidR="000C6D4A" w:rsidRPr="00F1180D">
        <w:rPr>
          <w:lang w:val="fr-FR" w:bidi="ar-KW"/>
        </w:rPr>
        <w:t xml:space="preserve"> de combattre la malnutrition</w:t>
      </w:r>
      <w:r w:rsidR="00680ADA" w:rsidRPr="00F1180D">
        <w:rPr>
          <w:lang w:val="fr-FR" w:bidi="ar-KW"/>
        </w:rPr>
        <w:t>,</w:t>
      </w:r>
      <w:r w:rsidR="000C6D4A" w:rsidRPr="00F1180D">
        <w:rPr>
          <w:lang w:val="fr-FR" w:bidi="ar-KW"/>
        </w:rPr>
        <w:t xml:space="preserve"> de protéger la santé publique et de surveiller l</w:t>
      </w:r>
      <w:r w:rsidR="00680ADA" w:rsidRPr="00F1180D">
        <w:rPr>
          <w:lang w:val="fr-FR" w:bidi="ar-KW"/>
        </w:rPr>
        <w:t>’</w:t>
      </w:r>
      <w:r w:rsidR="000C6D4A" w:rsidRPr="00F1180D">
        <w:rPr>
          <w:lang w:val="fr-FR" w:bidi="ar-KW"/>
        </w:rPr>
        <w:t>application des lois et règlements relatifs à l</w:t>
      </w:r>
      <w:r w:rsidR="00680ADA" w:rsidRPr="00F1180D">
        <w:rPr>
          <w:lang w:val="fr-FR" w:bidi="ar-KW"/>
        </w:rPr>
        <w:t>’</w:t>
      </w:r>
      <w:r w:rsidR="000C6D4A" w:rsidRPr="00F1180D">
        <w:rPr>
          <w:lang w:val="fr-FR" w:bidi="ar-KW"/>
        </w:rPr>
        <w:t xml:space="preserve">alimentation et à la nutrition. </w:t>
      </w:r>
    </w:p>
    <w:p w:rsidR="000C6D4A" w:rsidRPr="00F1180D" w:rsidRDefault="00930AE5" w:rsidP="00680ADA">
      <w:pPr>
        <w:pStyle w:val="SingleTxtG"/>
        <w:rPr>
          <w:lang w:val="fr-FR" w:bidi="ar-KW"/>
        </w:rPr>
      </w:pPr>
      <w:r>
        <w:rPr>
          <w:lang w:val="fr-FR" w:bidi="ar-KW"/>
        </w:rPr>
        <w:t>98.</w:t>
      </w:r>
      <w:r>
        <w:rPr>
          <w:lang w:val="fr-FR" w:bidi="ar-KW"/>
        </w:rPr>
        <w:tab/>
      </w:r>
      <w:r w:rsidR="000C6D4A" w:rsidRPr="00F1180D">
        <w:rPr>
          <w:lang w:val="fr-FR" w:bidi="ar-KW"/>
        </w:rPr>
        <w:t>Le Comité international de la Croix-Rouge (CICR) a félicité le Koweït pour son rôle d</w:t>
      </w:r>
      <w:r w:rsidR="00680ADA" w:rsidRPr="00F1180D">
        <w:rPr>
          <w:lang w:val="fr-FR" w:bidi="ar-KW"/>
        </w:rPr>
        <w:t>’</w:t>
      </w:r>
      <w:r w:rsidR="000C6D4A" w:rsidRPr="00F1180D">
        <w:rPr>
          <w:lang w:val="fr-FR" w:bidi="ar-KW"/>
        </w:rPr>
        <w:t>avant-garde en matière de soins de santé dispensés dans les prisons</w:t>
      </w:r>
      <w:r w:rsidR="00680ADA" w:rsidRPr="00F1180D">
        <w:rPr>
          <w:lang w:val="fr-FR"/>
        </w:rPr>
        <w:t>,</w:t>
      </w:r>
      <w:r w:rsidR="000C6D4A" w:rsidRPr="00F1180D">
        <w:rPr>
          <w:lang w:val="fr-FR" w:bidi="ar-KW"/>
        </w:rPr>
        <w:t xml:space="preserve"> indiquant que le pays avait 40</w:t>
      </w:r>
      <w:r w:rsidR="00524736" w:rsidRPr="00F1180D">
        <w:rPr>
          <w:lang w:val="fr-FR" w:bidi="ar-KW"/>
        </w:rPr>
        <w:t> ans</w:t>
      </w:r>
      <w:r w:rsidR="000C6D4A" w:rsidRPr="00F1180D">
        <w:rPr>
          <w:lang w:val="fr-FR" w:bidi="ar-KW"/>
        </w:rPr>
        <w:t xml:space="preserve"> d</w:t>
      </w:r>
      <w:r w:rsidR="00680ADA" w:rsidRPr="00F1180D">
        <w:rPr>
          <w:lang w:val="fr-FR" w:bidi="ar-KW"/>
        </w:rPr>
        <w:t>’</w:t>
      </w:r>
      <w:r w:rsidR="000C6D4A" w:rsidRPr="00F1180D">
        <w:rPr>
          <w:lang w:val="fr-FR" w:bidi="ar-KW"/>
        </w:rPr>
        <w:t>avance sur l</w:t>
      </w:r>
      <w:r w:rsidR="00680ADA" w:rsidRPr="00F1180D">
        <w:rPr>
          <w:lang w:val="fr-FR" w:bidi="ar-KW"/>
        </w:rPr>
        <w:t>’</w:t>
      </w:r>
      <w:r w:rsidR="000C6D4A" w:rsidRPr="00F1180D">
        <w:rPr>
          <w:lang w:val="fr-FR" w:bidi="ar-KW"/>
        </w:rPr>
        <w:t>Organisation mondiale de la Santé concernant l</w:t>
      </w:r>
      <w:r w:rsidR="00680ADA" w:rsidRPr="00F1180D">
        <w:rPr>
          <w:lang w:val="fr-FR" w:bidi="ar-KW"/>
        </w:rPr>
        <w:t>’</w:t>
      </w:r>
      <w:r w:rsidR="000C6D4A" w:rsidRPr="00F1180D">
        <w:rPr>
          <w:lang w:val="fr-FR" w:bidi="ar-KW"/>
        </w:rPr>
        <w:t>appel lancé aux États du monde pour que les soins de santé assurés dans les établissements pénitentiaires soient placés sous la tutelle du Ministère de la santé plutôt que sous la supervision du Ministère de l</w:t>
      </w:r>
      <w:r w:rsidR="00680ADA" w:rsidRPr="00F1180D">
        <w:rPr>
          <w:lang w:val="fr-FR" w:bidi="ar-KW"/>
        </w:rPr>
        <w:t>’</w:t>
      </w:r>
      <w:r w:rsidR="000C6D4A" w:rsidRPr="00F1180D">
        <w:rPr>
          <w:lang w:val="fr-FR" w:bidi="ar-KW"/>
        </w:rPr>
        <w:t xml:space="preserve">intérieur. </w:t>
      </w:r>
    </w:p>
    <w:p w:rsidR="00E05CF8" w:rsidRPr="00F1180D" w:rsidRDefault="00306711" w:rsidP="00E05CF8">
      <w:pPr>
        <w:pStyle w:val="H23G"/>
        <w:rPr>
          <w:lang w:val="fr-FR" w:bidi="ar-KW"/>
        </w:rPr>
      </w:pPr>
      <w:r w:rsidRPr="00F1180D">
        <w:rPr>
          <w:lang w:val="fr-FR" w:bidi="ar-KW"/>
        </w:rPr>
        <w:tab/>
      </w:r>
      <w:r w:rsidR="00E05CF8" w:rsidRPr="00F1180D">
        <w:rPr>
          <w:lang w:val="fr-FR" w:bidi="ar-KW"/>
        </w:rPr>
        <w:tab/>
      </w:r>
      <w:r w:rsidR="004C1D3C" w:rsidRPr="00F1180D">
        <w:rPr>
          <w:lang w:val="fr-FR" w:bidi="ar-KW"/>
        </w:rPr>
        <w:t xml:space="preserve">Paragraphe </w:t>
      </w:r>
      <w:r w:rsidRPr="00F1180D">
        <w:rPr>
          <w:lang w:val="fr-FR" w:bidi="ar-KW"/>
        </w:rPr>
        <w:t>e) v)</w:t>
      </w:r>
    </w:p>
    <w:p w:rsidR="000C6D4A" w:rsidRPr="00F1180D" w:rsidRDefault="00930AE5" w:rsidP="00680ADA">
      <w:pPr>
        <w:pStyle w:val="SingleTxtG"/>
        <w:rPr>
          <w:rtl/>
          <w:lang w:val="fr-FR" w:bidi="fr-FR"/>
        </w:rPr>
      </w:pPr>
      <w:r>
        <w:rPr>
          <w:lang w:val="fr-FR" w:bidi="ar-KW"/>
        </w:rPr>
        <w:t>99.</w:t>
      </w:r>
      <w:r>
        <w:rPr>
          <w:lang w:val="fr-FR" w:bidi="ar-KW"/>
        </w:rPr>
        <w:tab/>
      </w:r>
      <w:r w:rsidR="000C6D4A" w:rsidRPr="00F1180D">
        <w:rPr>
          <w:lang w:val="fr-FR" w:bidi="ar-KW"/>
        </w:rPr>
        <w:t>Le Koweït garantit le droit à l</w:t>
      </w:r>
      <w:r w:rsidR="00680ADA" w:rsidRPr="00F1180D">
        <w:rPr>
          <w:lang w:val="fr-FR" w:bidi="ar-KW"/>
        </w:rPr>
        <w:t>’</w:t>
      </w:r>
      <w:r w:rsidR="000C6D4A" w:rsidRPr="00F1180D">
        <w:rPr>
          <w:lang w:val="fr-FR" w:bidi="ar-KW"/>
        </w:rPr>
        <w:t>éducation pour tous</w:t>
      </w:r>
      <w:r w:rsidR="00680ADA" w:rsidRPr="00F1180D">
        <w:rPr>
          <w:lang w:val="fr-FR" w:bidi="ar-KW"/>
        </w:rPr>
        <w:t>,</w:t>
      </w:r>
      <w:r w:rsidR="000C6D4A" w:rsidRPr="00F1180D">
        <w:rPr>
          <w:lang w:val="fr-FR" w:bidi="ar-KW"/>
        </w:rPr>
        <w:t xml:space="preserve"> comme énoncé à l</w:t>
      </w:r>
      <w:r w:rsidR="00680ADA" w:rsidRPr="00F1180D">
        <w:rPr>
          <w:lang w:val="fr-FR" w:bidi="ar-KW"/>
        </w:rPr>
        <w:t>’</w:t>
      </w:r>
      <w:r w:rsidR="00163207" w:rsidRPr="00F1180D">
        <w:rPr>
          <w:lang w:val="fr-FR" w:bidi="ar-KW"/>
        </w:rPr>
        <w:t>article </w:t>
      </w:r>
      <w:r w:rsidR="000C6D4A" w:rsidRPr="00F1180D">
        <w:rPr>
          <w:lang w:val="fr-FR"/>
        </w:rPr>
        <w:t>40 de la Constitution qui dispose ce qui suit</w:t>
      </w:r>
      <w:r w:rsidR="00680ADA" w:rsidRPr="00F1180D">
        <w:rPr>
          <w:lang w:val="fr-FR"/>
        </w:rPr>
        <w:t>:</w:t>
      </w:r>
      <w:r w:rsidR="000C6D4A" w:rsidRPr="00F1180D">
        <w:rPr>
          <w:lang w:val="fr-FR"/>
        </w:rPr>
        <w:t xml:space="preserve"> </w:t>
      </w:r>
      <w:r w:rsidR="00680ADA" w:rsidRPr="00F1180D">
        <w:rPr>
          <w:lang w:val="fr-FR"/>
        </w:rPr>
        <w:t>«</w:t>
      </w:r>
      <w:r w:rsidR="00C61000" w:rsidRPr="00F1180D">
        <w:rPr>
          <w:lang w:val="fr-FR"/>
        </w:rPr>
        <w:t xml:space="preserve">L’éducation </w:t>
      </w:r>
      <w:r w:rsidR="000C6D4A" w:rsidRPr="00F1180D">
        <w:rPr>
          <w:lang w:val="fr-FR"/>
        </w:rPr>
        <w:t>est un droit que l</w:t>
      </w:r>
      <w:r w:rsidR="00680ADA" w:rsidRPr="00F1180D">
        <w:rPr>
          <w:lang w:val="fr-FR"/>
        </w:rPr>
        <w:t>’</w:t>
      </w:r>
      <w:r w:rsidR="000C6D4A" w:rsidRPr="00F1180D">
        <w:rPr>
          <w:lang w:val="fr-FR"/>
        </w:rPr>
        <w:t>État garantit à tous les Koweïtiens</w:t>
      </w:r>
      <w:r w:rsidR="00C61000" w:rsidRPr="00F1180D">
        <w:rPr>
          <w:lang w:val="fr-FR"/>
        </w:rPr>
        <w:t>.</w:t>
      </w:r>
      <w:r w:rsidR="00680ADA" w:rsidRPr="00F1180D">
        <w:rPr>
          <w:lang w:val="fr-FR"/>
        </w:rPr>
        <w:t>»</w:t>
      </w:r>
      <w:r w:rsidR="000C6D4A" w:rsidRPr="00F1180D">
        <w:rPr>
          <w:lang w:val="fr-FR"/>
        </w:rPr>
        <w:t xml:space="preserve"> Ce droit est également accessible à toutes les personnes vivant au Koweït</w:t>
      </w:r>
      <w:r w:rsidR="00680ADA" w:rsidRPr="00F1180D">
        <w:rPr>
          <w:lang w:val="fr-FR"/>
        </w:rPr>
        <w:t>,</w:t>
      </w:r>
      <w:r w:rsidR="000C6D4A" w:rsidRPr="00F1180D">
        <w:rPr>
          <w:lang w:val="fr-FR"/>
        </w:rPr>
        <w:t xml:space="preserve"> notamment les travailleurs expatriés</w:t>
      </w:r>
      <w:r w:rsidR="00680ADA" w:rsidRPr="00F1180D">
        <w:rPr>
          <w:lang w:val="fr-FR"/>
        </w:rPr>
        <w:t>,</w:t>
      </w:r>
      <w:r w:rsidR="000C6D4A" w:rsidRPr="00F1180D">
        <w:rPr>
          <w:lang w:val="fr-FR"/>
        </w:rPr>
        <w:t xml:space="preserve"> en application de l</w:t>
      </w:r>
      <w:r w:rsidR="00680ADA" w:rsidRPr="00F1180D">
        <w:rPr>
          <w:lang w:val="fr-FR"/>
        </w:rPr>
        <w:t>’</w:t>
      </w:r>
      <w:r w:rsidR="000C6D4A" w:rsidRPr="00F1180D">
        <w:rPr>
          <w:lang w:val="fr-FR"/>
        </w:rPr>
        <w:t>arrêté ministériel sur l</w:t>
      </w:r>
      <w:r w:rsidR="00680ADA" w:rsidRPr="00F1180D">
        <w:rPr>
          <w:lang w:val="fr-FR"/>
        </w:rPr>
        <w:t>’</w:t>
      </w:r>
      <w:r w:rsidR="000C6D4A" w:rsidRPr="00F1180D">
        <w:rPr>
          <w:lang w:val="fr-FR"/>
        </w:rPr>
        <w:t>enseignement privé édicté en 1967. En collaboration avec le Ministère de l</w:t>
      </w:r>
      <w:r w:rsidR="00680ADA" w:rsidRPr="00F1180D">
        <w:rPr>
          <w:lang w:val="fr-FR"/>
        </w:rPr>
        <w:t>’</w:t>
      </w:r>
      <w:r w:rsidR="000C6D4A" w:rsidRPr="00F1180D">
        <w:rPr>
          <w:lang w:val="fr-FR"/>
        </w:rPr>
        <w:t>éducation</w:t>
      </w:r>
      <w:r w:rsidR="00680ADA" w:rsidRPr="00F1180D">
        <w:rPr>
          <w:lang w:val="fr-FR"/>
        </w:rPr>
        <w:t>,</w:t>
      </w:r>
      <w:r w:rsidR="000C6D4A" w:rsidRPr="00F1180D">
        <w:rPr>
          <w:lang w:val="fr-FR"/>
        </w:rPr>
        <w:t xml:space="preserve"> l</w:t>
      </w:r>
      <w:r w:rsidR="00680ADA" w:rsidRPr="00F1180D">
        <w:rPr>
          <w:lang w:val="fr-FR"/>
        </w:rPr>
        <w:t>’</w:t>
      </w:r>
      <w:r w:rsidR="000C6D4A" w:rsidRPr="00F1180D">
        <w:rPr>
          <w:lang w:val="fr-FR"/>
        </w:rPr>
        <w:t>Office central chargé de la situation des résidents en situation irrégulière a également ouvert ce droit aux résidents en situation irrégulière</w:t>
      </w:r>
      <w:r w:rsidR="00680ADA" w:rsidRPr="00F1180D">
        <w:rPr>
          <w:lang w:val="fr-FR"/>
        </w:rPr>
        <w:t>,</w:t>
      </w:r>
      <w:r w:rsidR="000C6D4A" w:rsidRPr="00F1180D">
        <w:rPr>
          <w:lang w:val="fr-FR"/>
        </w:rPr>
        <w:t xml:space="preserve"> étant précisé que récemment</w:t>
      </w:r>
      <w:r w:rsidR="00680ADA" w:rsidRPr="00F1180D">
        <w:rPr>
          <w:lang w:val="fr-FR"/>
        </w:rPr>
        <w:t>,</w:t>
      </w:r>
      <w:r w:rsidR="000C6D4A" w:rsidRPr="00F1180D">
        <w:rPr>
          <w:lang w:val="fr-FR"/>
        </w:rPr>
        <w:t xml:space="preserve"> un arrêté ministériel édicté en 2014 a autorisé la scolarisation des enfants des résidents en situation irrégulière servant dans l</w:t>
      </w:r>
      <w:r w:rsidR="00680ADA" w:rsidRPr="00F1180D">
        <w:rPr>
          <w:lang w:val="fr-FR"/>
        </w:rPr>
        <w:t>’</w:t>
      </w:r>
      <w:r w:rsidR="000C6D4A" w:rsidRPr="00F1180D">
        <w:rPr>
          <w:lang w:val="fr-FR"/>
        </w:rPr>
        <w:t>armée ou des retraités de ce corps</w:t>
      </w:r>
      <w:r w:rsidR="00680ADA" w:rsidRPr="00F1180D">
        <w:rPr>
          <w:lang w:val="fr-FR"/>
        </w:rPr>
        <w:t>,</w:t>
      </w:r>
      <w:r w:rsidR="000C6D4A" w:rsidRPr="00F1180D">
        <w:rPr>
          <w:lang w:val="fr-FR"/>
        </w:rPr>
        <w:t xml:space="preserve"> par le biais de l</w:t>
      </w:r>
      <w:r w:rsidR="00680ADA" w:rsidRPr="00F1180D">
        <w:rPr>
          <w:lang w:val="fr-FR"/>
        </w:rPr>
        <w:t>’</w:t>
      </w:r>
      <w:r w:rsidR="000C6D4A" w:rsidRPr="00F1180D">
        <w:rPr>
          <w:lang w:val="fr-FR"/>
        </w:rPr>
        <w:t xml:space="preserve">Office central. </w:t>
      </w:r>
    </w:p>
    <w:p w:rsidR="000C6D4A" w:rsidRPr="00F1180D" w:rsidRDefault="00930AE5" w:rsidP="00BB000D">
      <w:pPr>
        <w:pStyle w:val="SingleTxtG"/>
        <w:keepNext/>
        <w:rPr>
          <w:rtl/>
          <w:lang w:val="fr-FR" w:bidi="fr-FR"/>
        </w:rPr>
      </w:pPr>
      <w:r>
        <w:rPr>
          <w:lang w:val="fr-FR" w:bidi="ar-KW"/>
        </w:rPr>
        <w:t>100.</w:t>
      </w:r>
      <w:r>
        <w:rPr>
          <w:lang w:val="fr-FR" w:bidi="ar-KW"/>
        </w:rPr>
        <w:tab/>
      </w:r>
      <w:r w:rsidR="000C6D4A" w:rsidRPr="00F1180D">
        <w:rPr>
          <w:lang w:val="fr-FR" w:bidi="ar-KW"/>
        </w:rPr>
        <w:t>Il convient de signaler que depuis 1965</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enseignement est obligatoire pour tous les Koweïtiens du début du cycle primaire jusqu</w:t>
      </w:r>
      <w:r w:rsidR="00680ADA" w:rsidRPr="00F1180D">
        <w:rPr>
          <w:lang w:val="fr-FR" w:bidi="ar-KW"/>
        </w:rPr>
        <w:t>’</w:t>
      </w:r>
      <w:r w:rsidR="000C6D4A" w:rsidRPr="00F1180D">
        <w:rPr>
          <w:lang w:val="fr-FR" w:bidi="ar-KW"/>
        </w:rPr>
        <w:t>à la fin du cycle secondaire</w:t>
      </w:r>
      <w:r w:rsidR="00680ADA" w:rsidRPr="00F1180D">
        <w:rPr>
          <w:lang w:val="fr-FR" w:bidi="ar-KW"/>
        </w:rPr>
        <w:t>,</w:t>
      </w:r>
      <w:r w:rsidR="000C6D4A" w:rsidRPr="00F1180D">
        <w:rPr>
          <w:lang w:val="fr-FR" w:bidi="ar-KW"/>
        </w:rPr>
        <w:t xml:space="preserve"> conformément à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11 de 1965 sur l</w:t>
      </w:r>
      <w:r w:rsidR="00680ADA" w:rsidRPr="00F1180D">
        <w:rPr>
          <w:lang w:val="fr-FR" w:bidi="ar-KW"/>
        </w:rPr>
        <w:t>’</w:t>
      </w:r>
      <w:r w:rsidR="000C6D4A" w:rsidRPr="00F1180D">
        <w:rPr>
          <w:lang w:val="fr-FR" w:bidi="ar-KW"/>
        </w:rPr>
        <w:t>enseignement obligatoire</w:t>
      </w:r>
      <w:r w:rsidR="00680ADA" w:rsidRPr="00F1180D">
        <w:rPr>
          <w:lang w:val="fr-FR" w:bidi="ar-KW"/>
        </w:rPr>
        <w:t>,</w:t>
      </w:r>
      <w:r w:rsidR="000C6D4A" w:rsidRPr="00F1180D">
        <w:rPr>
          <w:lang w:val="fr-FR" w:bidi="ar-KW"/>
        </w:rPr>
        <w:t xml:space="preserve"> telle que modifiée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E05CF8" w:rsidRPr="00F1180D">
        <w:rPr>
          <w:lang w:val="fr-FR" w:bidi="ar-KW"/>
        </w:rPr>
        <w:t>25 de </w:t>
      </w:r>
      <w:r w:rsidR="000C6D4A" w:rsidRPr="00F1180D">
        <w:rPr>
          <w:lang w:val="fr-FR" w:bidi="ar-KW"/>
        </w:rPr>
        <w:t>2014</w:t>
      </w:r>
      <w:r w:rsidR="00680ADA" w:rsidRPr="00F1180D">
        <w:rPr>
          <w:lang w:val="fr-FR" w:bidi="ar-KW"/>
        </w:rPr>
        <w:t>,</w:t>
      </w:r>
      <w:r w:rsidR="000C6D4A" w:rsidRPr="00F1180D">
        <w:rPr>
          <w:lang w:val="fr-FR" w:bidi="ar-KW"/>
        </w:rPr>
        <w:t xml:space="preserve"> comme l</w:t>
      </w:r>
      <w:r w:rsidR="00680ADA" w:rsidRPr="00F1180D">
        <w:rPr>
          <w:lang w:val="fr-FR" w:bidi="ar-KW"/>
        </w:rPr>
        <w:t>’</w:t>
      </w:r>
      <w:r w:rsidR="000C6D4A" w:rsidRPr="00F1180D">
        <w:rPr>
          <w:lang w:val="fr-FR" w:bidi="ar-KW"/>
        </w:rPr>
        <w:t>illustrent les dispositions suivantes</w:t>
      </w:r>
      <w:r w:rsidR="00680ADA" w:rsidRPr="00F1180D">
        <w:rPr>
          <w:lang w:val="fr-FR" w:bidi="ar-KW"/>
        </w:rPr>
        <w:t>:</w:t>
      </w:r>
      <w:r w:rsidR="009B1350" w:rsidRPr="00F1180D">
        <w:rPr>
          <w:lang w:val="fr-FR" w:bidi="ar-KW"/>
        </w:rPr>
        <w:t xml:space="preserve"> </w:t>
      </w:r>
    </w:p>
    <w:p w:rsidR="000C6D4A" w:rsidRPr="00F1180D" w:rsidRDefault="000C6D4A" w:rsidP="00BB000D">
      <w:pPr>
        <w:pStyle w:val="Bullet1G"/>
        <w:rPr>
          <w:rtl/>
          <w:lang w:val="fr-FR" w:bidi="fr-FR"/>
        </w:rPr>
      </w:pPr>
      <w:r w:rsidRPr="00F1180D">
        <w:rPr>
          <w:lang w:val="fr-FR" w:bidi="ar-KW"/>
        </w:rPr>
        <w:t>L</w:t>
      </w:r>
      <w:r w:rsidR="00680ADA" w:rsidRPr="00F1180D">
        <w:rPr>
          <w:lang w:val="fr-FR" w:bidi="ar-KW"/>
        </w:rPr>
        <w:t>’</w:t>
      </w:r>
      <w:r w:rsidR="00163207" w:rsidRPr="00F1180D">
        <w:rPr>
          <w:lang w:val="fr-FR" w:bidi="ar-KW"/>
        </w:rPr>
        <w:t>article </w:t>
      </w:r>
      <w:r w:rsidRPr="00F1180D">
        <w:rPr>
          <w:lang w:val="fr-FR" w:bidi="ar-KW"/>
        </w:rPr>
        <w:t>1</w:t>
      </w:r>
      <w:r w:rsidRPr="00F1180D">
        <w:rPr>
          <w:vertAlign w:val="superscript"/>
          <w:lang w:val="fr-FR" w:bidi="ar-KW"/>
        </w:rPr>
        <w:t>er</w:t>
      </w:r>
      <w:r w:rsidRPr="00F1180D">
        <w:rPr>
          <w:lang w:val="fr-FR" w:bidi="ar-KW"/>
        </w:rPr>
        <w:t xml:space="preserve"> de ce texte dispose ce qui suit</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L</w:t>
      </w:r>
      <w:r w:rsidR="00680ADA" w:rsidRPr="00F1180D">
        <w:rPr>
          <w:lang w:val="fr-FR" w:bidi="ar-KW"/>
        </w:rPr>
        <w:t>’</w:t>
      </w:r>
      <w:r w:rsidRPr="00F1180D">
        <w:rPr>
          <w:lang w:val="fr-FR" w:bidi="ar-KW"/>
        </w:rPr>
        <w:t>enseignement est obligatoire et gratuit pour tous les enfants koweïtiens</w:t>
      </w:r>
      <w:r w:rsidR="00680ADA" w:rsidRPr="00F1180D">
        <w:rPr>
          <w:lang w:val="fr-FR" w:bidi="ar-KW"/>
        </w:rPr>
        <w:t>,</w:t>
      </w:r>
      <w:r w:rsidRPr="00F1180D">
        <w:rPr>
          <w:lang w:val="fr-FR" w:bidi="ar-KW"/>
        </w:rPr>
        <w:t xml:space="preserve"> garçons et filles</w:t>
      </w:r>
      <w:r w:rsidR="00680ADA" w:rsidRPr="00F1180D">
        <w:rPr>
          <w:lang w:val="fr-FR" w:bidi="ar-KW"/>
        </w:rPr>
        <w:t>,</w:t>
      </w:r>
      <w:r w:rsidRPr="00F1180D">
        <w:rPr>
          <w:lang w:val="fr-FR" w:bidi="ar-KW"/>
        </w:rPr>
        <w:t xml:space="preserve"> du début du cycle primaire jusqu</w:t>
      </w:r>
      <w:r w:rsidR="00680ADA" w:rsidRPr="00F1180D">
        <w:rPr>
          <w:lang w:val="fr-FR" w:bidi="ar-KW"/>
        </w:rPr>
        <w:t>’</w:t>
      </w:r>
      <w:r w:rsidRPr="00F1180D">
        <w:rPr>
          <w:lang w:val="fr-FR" w:bidi="ar-KW"/>
        </w:rPr>
        <w:t>à la fin du cycle secondaire. L</w:t>
      </w:r>
      <w:r w:rsidR="00680ADA" w:rsidRPr="00F1180D">
        <w:rPr>
          <w:lang w:val="fr-FR" w:bidi="ar-KW"/>
        </w:rPr>
        <w:t>’</w:t>
      </w:r>
      <w:r w:rsidRPr="00F1180D">
        <w:rPr>
          <w:lang w:val="fr-FR" w:bidi="ar-KW"/>
        </w:rPr>
        <w:t>État s</w:t>
      </w:r>
      <w:r w:rsidR="00680ADA" w:rsidRPr="00F1180D">
        <w:rPr>
          <w:lang w:val="fr-FR" w:bidi="ar-KW"/>
        </w:rPr>
        <w:t>’</w:t>
      </w:r>
      <w:r w:rsidRPr="00F1180D">
        <w:rPr>
          <w:lang w:val="fr-FR" w:bidi="ar-KW"/>
        </w:rPr>
        <w:t>engage à fournir les établissements scolaires</w:t>
      </w:r>
      <w:r w:rsidR="00680ADA" w:rsidRPr="00F1180D">
        <w:rPr>
          <w:lang w:val="fr-FR" w:bidi="ar-KW"/>
        </w:rPr>
        <w:t>,</w:t>
      </w:r>
      <w:r w:rsidRPr="00F1180D">
        <w:rPr>
          <w:lang w:val="fr-FR" w:bidi="ar-KW"/>
        </w:rPr>
        <w:t xml:space="preserve"> manuels</w:t>
      </w:r>
      <w:r w:rsidR="00680ADA" w:rsidRPr="00F1180D">
        <w:rPr>
          <w:lang w:val="fr-FR" w:bidi="ar-KW"/>
        </w:rPr>
        <w:t>,</w:t>
      </w:r>
      <w:r w:rsidRPr="00F1180D">
        <w:rPr>
          <w:lang w:val="fr-FR" w:bidi="ar-KW"/>
        </w:rPr>
        <w:t xml:space="preserve"> enseignants et toutes autres ressources humaines et matérielles nécessaires à la réussite de l</w:t>
      </w:r>
      <w:r w:rsidR="00680ADA" w:rsidRPr="00F1180D">
        <w:rPr>
          <w:lang w:val="fr-FR" w:bidi="ar-KW"/>
        </w:rPr>
        <w:t>’</w:t>
      </w:r>
      <w:r w:rsidRPr="00F1180D">
        <w:rPr>
          <w:lang w:val="fr-FR" w:bidi="ar-KW"/>
        </w:rPr>
        <w:t>enseignement</w:t>
      </w:r>
      <w:r w:rsidR="00680ADA" w:rsidRPr="00F1180D">
        <w:rPr>
          <w:lang w:val="fr-FR" w:bidi="ar-KW"/>
        </w:rPr>
        <w:t>»</w:t>
      </w:r>
      <w:r w:rsidRPr="00F1180D">
        <w:rPr>
          <w:lang w:val="fr-FR" w:bidi="ar-KW"/>
        </w:rPr>
        <w:t xml:space="preserve">. </w:t>
      </w:r>
    </w:p>
    <w:p w:rsidR="000C6D4A" w:rsidRPr="00F1180D" w:rsidRDefault="000C6D4A" w:rsidP="00BB000D">
      <w:pPr>
        <w:pStyle w:val="Bullet1G"/>
        <w:rPr>
          <w:lang w:val="fr-FR" w:bidi="ar-KW"/>
        </w:rPr>
      </w:pPr>
      <w:r w:rsidRPr="00F1180D">
        <w:rPr>
          <w:lang w:val="fr-FR" w:bidi="ar-KW"/>
        </w:rPr>
        <w:t>Selon l</w:t>
      </w:r>
      <w:r w:rsidR="00680ADA" w:rsidRPr="00F1180D">
        <w:rPr>
          <w:lang w:val="fr-FR" w:bidi="ar-KW"/>
        </w:rPr>
        <w:t>’</w:t>
      </w:r>
      <w:r w:rsidR="00163207" w:rsidRPr="00F1180D">
        <w:rPr>
          <w:lang w:val="fr-FR" w:bidi="ar-KW"/>
        </w:rPr>
        <w:t>article </w:t>
      </w:r>
      <w:r w:rsidRPr="00F1180D">
        <w:rPr>
          <w:lang w:val="fr-FR" w:bidi="ar-KW"/>
        </w:rPr>
        <w:t>12 de cette loi</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L</w:t>
      </w:r>
      <w:r w:rsidR="00680ADA" w:rsidRPr="00F1180D">
        <w:rPr>
          <w:lang w:val="fr-FR" w:bidi="ar-KW"/>
        </w:rPr>
        <w:t>’</w:t>
      </w:r>
      <w:r w:rsidRPr="00F1180D">
        <w:rPr>
          <w:lang w:val="fr-FR" w:bidi="ar-KW"/>
        </w:rPr>
        <w:t>enseignement obligatoire commence au début du cycle primaire et s</w:t>
      </w:r>
      <w:r w:rsidR="00680ADA" w:rsidRPr="00F1180D">
        <w:rPr>
          <w:lang w:val="fr-FR" w:bidi="ar-KW"/>
        </w:rPr>
        <w:t>’</w:t>
      </w:r>
      <w:r w:rsidRPr="00F1180D">
        <w:rPr>
          <w:lang w:val="fr-FR" w:bidi="ar-KW"/>
        </w:rPr>
        <w:t>achève à la fin du cycle secondaire</w:t>
      </w:r>
      <w:r w:rsidR="00680ADA" w:rsidRPr="00F1180D">
        <w:rPr>
          <w:lang w:val="fr-FR" w:bidi="ar-KW"/>
        </w:rPr>
        <w:t>»</w:t>
      </w:r>
      <w:r w:rsidRPr="00F1180D">
        <w:rPr>
          <w:lang w:val="fr-FR" w:bidi="ar-KW"/>
        </w:rPr>
        <w:t xml:space="preserve">. </w:t>
      </w:r>
    </w:p>
    <w:p w:rsidR="000C6D4A" w:rsidRPr="00F1180D" w:rsidRDefault="00930AE5" w:rsidP="00930AE5">
      <w:pPr>
        <w:pStyle w:val="SingleTxtG"/>
        <w:rPr>
          <w:lang w:val="fr-FR" w:bidi="ar-KW"/>
        </w:rPr>
      </w:pPr>
      <w:r>
        <w:rPr>
          <w:lang w:val="fr-FR" w:bidi="ar-KW"/>
        </w:rPr>
        <w:t>101.</w:t>
      </w:r>
      <w:r>
        <w:rPr>
          <w:lang w:val="fr-FR" w:bidi="ar-KW"/>
        </w:rPr>
        <w:tab/>
      </w:r>
      <w:r w:rsidR="000C6D4A" w:rsidRPr="00F1180D">
        <w:rPr>
          <w:lang w:val="fr-FR" w:bidi="ar-KW"/>
        </w:rPr>
        <w:t>La loi prévoit également d</w:t>
      </w:r>
      <w:r w:rsidR="00680ADA" w:rsidRPr="00F1180D">
        <w:rPr>
          <w:lang w:val="fr-FR" w:bidi="ar-KW"/>
        </w:rPr>
        <w:t>’</w:t>
      </w:r>
      <w:r w:rsidR="000C6D4A" w:rsidRPr="00F1180D">
        <w:rPr>
          <w:lang w:val="fr-FR" w:bidi="ar-KW"/>
        </w:rPr>
        <w:t xml:space="preserve">autres </w:t>
      </w:r>
      <w:r w:rsidR="00DE029F" w:rsidRPr="00F1180D">
        <w:rPr>
          <w:lang w:val="fr-FR" w:bidi="ar-KW"/>
        </w:rPr>
        <w:t>articles</w:t>
      </w:r>
      <w:r w:rsidR="00C61000" w:rsidRPr="00F1180D">
        <w:rPr>
          <w:lang w:val="fr-FR" w:bidi="ar-KW"/>
        </w:rPr>
        <w:t xml:space="preserve"> </w:t>
      </w:r>
      <w:r w:rsidR="000C6D4A" w:rsidRPr="00F1180D">
        <w:rPr>
          <w:lang w:val="fr-FR" w:bidi="ar-KW"/>
        </w:rPr>
        <w:t>qui consacrent cette obligation</w:t>
      </w:r>
      <w:r w:rsidR="00680ADA" w:rsidRPr="00F1180D">
        <w:rPr>
          <w:lang w:val="fr-FR" w:bidi="ar-KW"/>
        </w:rPr>
        <w:t>,</w:t>
      </w:r>
      <w:r w:rsidR="000C6D4A" w:rsidRPr="00F1180D">
        <w:rPr>
          <w:lang w:val="fr-FR" w:bidi="ar-KW"/>
        </w:rPr>
        <w:t xml:space="preserve"> à savoir</w:t>
      </w:r>
      <w:r w:rsidR="00680ADA" w:rsidRPr="00F1180D">
        <w:rPr>
          <w:lang w:val="fr-FR" w:bidi="ar-KW"/>
        </w:rPr>
        <w:t>:</w:t>
      </w:r>
      <w:r w:rsidR="000C6D4A" w:rsidRPr="00F1180D">
        <w:rPr>
          <w:lang w:val="fr-FR" w:bidi="ar-KW"/>
        </w:rPr>
        <w:t xml:space="preserve"> </w:t>
      </w:r>
    </w:p>
    <w:p w:rsidR="000C6D4A" w:rsidRPr="00F1180D" w:rsidRDefault="000C6D4A" w:rsidP="00BB000D">
      <w:pPr>
        <w:pStyle w:val="Bullet1G"/>
        <w:rPr>
          <w:rtl/>
          <w:lang w:val="fr-FR" w:bidi="fr-FR"/>
        </w:rPr>
      </w:pPr>
      <w:r w:rsidRPr="00F1180D">
        <w:rPr>
          <w:lang w:val="fr-FR" w:bidi="ar-KW"/>
        </w:rPr>
        <w:t>L</w:t>
      </w:r>
      <w:r w:rsidR="00680ADA" w:rsidRPr="00F1180D">
        <w:rPr>
          <w:lang w:val="fr-FR" w:bidi="ar-KW"/>
        </w:rPr>
        <w:t>’</w:t>
      </w:r>
      <w:r w:rsidR="00163207" w:rsidRPr="00F1180D">
        <w:rPr>
          <w:lang w:val="fr-FR" w:bidi="ar-KW"/>
        </w:rPr>
        <w:t>article </w:t>
      </w:r>
      <w:r w:rsidRPr="00F1180D">
        <w:rPr>
          <w:lang w:val="fr-FR" w:bidi="ar-KW"/>
        </w:rPr>
        <w:t>9</w:t>
      </w:r>
      <w:r w:rsidR="00680ADA" w:rsidRPr="00F1180D">
        <w:rPr>
          <w:lang w:val="fr-FR" w:bidi="ar-KW"/>
        </w:rPr>
        <w:t>,</w:t>
      </w:r>
      <w:r w:rsidRPr="00F1180D">
        <w:rPr>
          <w:lang w:val="fr-FR" w:bidi="ar-KW"/>
        </w:rPr>
        <w:t xml:space="preserve"> qui dispose ce qui suit</w:t>
      </w:r>
      <w:r w:rsidR="00680ADA" w:rsidRPr="00F1180D">
        <w:rPr>
          <w:lang w:val="fr-FR" w:bidi="ar-KW"/>
        </w:rPr>
        <w:t>:</w:t>
      </w:r>
      <w:r w:rsidRPr="00F1180D">
        <w:rPr>
          <w:lang w:val="fr-FR" w:bidi="ar-KW"/>
        </w:rPr>
        <w:t xml:space="preserve"> </w:t>
      </w:r>
      <w:r w:rsidR="00680ADA" w:rsidRPr="00F1180D">
        <w:rPr>
          <w:lang w:val="fr-FR" w:bidi="ar-KW"/>
        </w:rPr>
        <w:t>«</w:t>
      </w:r>
      <w:r w:rsidRPr="00F1180D">
        <w:rPr>
          <w:lang w:val="fr-FR" w:bidi="ar-KW"/>
        </w:rPr>
        <w:t>Si l</w:t>
      </w:r>
      <w:r w:rsidR="00680ADA" w:rsidRPr="00F1180D">
        <w:rPr>
          <w:lang w:val="fr-FR" w:bidi="ar-KW"/>
        </w:rPr>
        <w:t>’</w:t>
      </w:r>
      <w:r w:rsidRPr="00F1180D">
        <w:rPr>
          <w:lang w:val="fr-FR" w:bidi="ar-KW"/>
        </w:rPr>
        <w:t>élève ne se présente pas à l</w:t>
      </w:r>
      <w:r w:rsidR="00680ADA" w:rsidRPr="00F1180D">
        <w:rPr>
          <w:lang w:val="fr-FR" w:bidi="ar-KW"/>
        </w:rPr>
        <w:t>’</w:t>
      </w:r>
      <w:r w:rsidRPr="00F1180D">
        <w:rPr>
          <w:lang w:val="fr-FR" w:bidi="ar-KW"/>
        </w:rPr>
        <w:t>école dans les 7</w:t>
      </w:r>
      <w:r w:rsidR="00B2614C" w:rsidRPr="00F1180D">
        <w:rPr>
          <w:lang w:val="fr-FR" w:bidi="ar-KW"/>
        </w:rPr>
        <w:t> jours</w:t>
      </w:r>
      <w:r w:rsidRPr="00F1180D">
        <w:rPr>
          <w:lang w:val="fr-FR" w:bidi="ar-KW"/>
        </w:rPr>
        <w:t xml:space="preserve"> qui suivent une notification écrite ou s</w:t>
      </w:r>
      <w:r w:rsidR="00680ADA" w:rsidRPr="00F1180D">
        <w:rPr>
          <w:lang w:val="fr-FR" w:bidi="ar-KW"/>
        </w:rPr>
        <w:t>’</w:t>
      </w:r>
      <w:r w:rsidRPr="00F1180D">
        <w:rPr>
          <w:lang w:val="fr-FR" w:bidi="ar-KW"/>
        </w:rPr>
        <w:t>absente de l</w:t>
      </w:r>
      <w:r w:rsidR="00680ADA" w:rsidRPr="00F1180D">
        <w:rPr>
          <w:lang w:val="fr-FR" w:bidi="ar-KW"/>
        </w:rPr>
        <w:t>’</w:t>
      </w:r>
      <w:r w:rsidRPr="00F1180D">
        <w:rPr>
          <w:lang w:val="fr-FR" w:bidi="ar-KW"/>
        </w:rPr>
        <w:t>école une autre fois sans motif valable</w:t>
      </w:r>
      <w:r w:rsidR="00680ADA" w:rsidRPr="00F1180D">
        <w:rPr>
          <w:lang w:val="fr-FR" w:bidi="ar-KW"/>
        </w:rPr>
        <w:t>,</w:t>
      </w:r>
      <w:r w:rsidRPr="00F1180D">
        <w:rPr>
          <w:lang w:val="fr-FR" w:bidi="ar-KW"/>
        </w:rPr>
        <w:t xml:space="preserve"> les parents ou tuteurs sont considérés en infraction par rapport aux dispositions de la présente loi</w:t>
      </w:r>
      <w:r w:rsidR="00680ADA" w:rsidRPr="00F1180D">
        <w:rPr>
          <w:lang w:val="fr-FR" w:bidi="ar-KW"/>
        </w:rPr>
        <w:t>»</w:t>
      </w:r>
      <w:r w:rsidRPr="00F1180D">
        <w:rPr>
          <w:lang w:val="fr-FR" w:bidi="ar-KW"/>
        </w:rPr>
        <w:t xml:space="preserve">. Il convient de signaler que la durée de </w:t>
      </w:r>
      <w:r w:rsidRPr="00F1180D">
        <w:rPr>
          <w:lang w:val="fr-FR" w:bidi="ar-KW"/>
        </w:rPr>
        <w:lastRenderedPageBreak/>
        <w:t>l</w:t>
      </w:r>
      <w:r w:rsidR="00680ADA" w:rsidRPr="00F1180D">
        <w:rPr>
          <w:lang w:val="fr-FR" w:bidi="ar-KW"/>
        </w:rPr>
        <w:t>’</w:t>
      </w:r>
      <w:r w:rsidRPr="00F1180D">
        <w:rPr>
          <w:lang w:val="fr-FR" w:bidi="ar-KW"/>
        </w:rPr>
        <w:t>enseignement obligatoire a été portée à neuf</w:t>
      </w:r>
      <w:r w:rsidR="00524736" w:rsidRPr="00F1180D">
        <w:rPr>
          <w:lang w:val="fr-FR" w:bidi="ar-KW"/>
        </w:rPr>
        <w:t> ans</w:t>
      </w:r>
      <w:r w:rsidRPr="00F1180D">
        <w:rPr>
          <w:lang w:val="fr-FR" w:bidi="ar-KW"/>
        </w:rPr>
        <w:t xml:space="preserve"> par </w:t>
      </w:r>
      <w:r w:rsidR="00BB000D" w:rsidRPr="00F1180D">
        <w:rPr>
          <w:lang w:val="fr-FR" w:bidi="ar-KW"/>
        </w:rPr>
        <w:t>un arrêté ministériel édicté en </w:t>
      </w:r>
      <w:r w:rsidRPr="00F1180D">
        <w:rPr>
          <w:lang w:val="fr-FR" w:bidi="ar-KW"/>
        </w:rPr>
        <w:t>2013</w:t>
      </w:r>
      <w:r w:rsidR="00BB000D" w:rsidRPr="00F1180D">
        <w:rPr>
          <w:lang w:val="fr-FR" w:bidi="ar-KW"/>
        </w:rPr>
        <w:t>;</w:t>
      </w:r>
      <w:r w:rsidRPr="00F1180D">
        <w:rPr>
          <w:lang w:val="fr-FR" w:bidi="ar-KW"/>
        </w:rPr>
        <w:t xml:space="preserve"> </w:t>
      </w:r>
    </w:p>
    <w:p w:rsidR="000C6D4A" w:rsidRPr="00F1180D" w:rsidRDefault="00930AE5" w:rsidP="00930AE5">
      <w:pPr>
        <w:pStyle w:val="SingleTxtG"/>
        <w:rPr>
          <w:rtl/>
          <w:lang w:val="fr-FR" w:bidi="fr-FR"/>
        </w:rPr>
      </w:pPr>
      <w:r>
        <w:rPr>
          <w:lang w:val="fr-FR" w:bidi="ar-KW"/>
        </w:rPr>
        <w:t>102.</w:t>
      </w:r>
      <w:r>
        <w:rPr>
          <w:lang w:val="fr-FR" w:bidi="ar-KW"/>
        </w:rPr>
        <w:tab/>
      </w:r>
      <w:r w:rsidR="000C6D4A" w:rsidRPr="00F1180D">
        <w:rPr>
          <w:lang w:val="fr-FR" w:bidi="ar-KW"/>
        </w:rPr>
        <w:t>Outre l</w:t>
      </w:r>
      <w:r w:rsidR="00680ADA" w:rsidRPr="00F1180D">
        <w:rPr>
          <w:lang w:val="fr-FR" w:bidi="ar-KW"/>
        </w:rPr>
        <w:t>’</w:t>
      </w:r>
      <w:r w:rsidR="000C6D4A" w:rsidRPr="00F1180D">
        <w:rPr>
          <w:lang w:val="fr-FR" w:bidi="ar-KW"/>
        </w:rPr>
        <w:t>enseignement public</w:t>
      </w:r>
      <w:r w:rsidR="00680ADA" w:rsidRPr="00F1180D">
        <w:rPr>
          <w:lang w:val="fr-FR" w:bidi="ar-KW"/>
        </w:rPr>
        <w:t>,</w:t>
      </w:r>
      <w:r w:rsidR="000C6D4A" w:rsidRPr="00F1180D">
        <w:rPr>
          <w:lang w:val="fr-FR" w:bidi="ar-KW"/>
        </w:rPr>
        <w:t xml:space="preserve"> le Koweït assure l</w:t>
      </w:r>
      <w:r w:rsidR="00680ADA" w:rsidRPr="00F1180D">
        <w:rPr>
          <w:lang w:val="fr-FR" w:bidi="ar-KW"/>
        </w:rPr>
        <w:t>’</w:t>
      </w:r>
      <w:r w:rsidR="000C6D4A" w:rsidRPr="00F1180D">
        <w:rPr>
          <w:lang w:val="fr-FR" w:bidi="ar-KW"/>
        </w:rPr>
        <w:t>accès à l</w:t>
      </w:r>
      <w:r w:rsidR="00680ADA" w:rsidRPr="00F1180D">
        <w:rPr>
          <w:lang w:val="fr-FR" w:bidi="ar-KW"/>
        </w:rPr>
        <w:t>’</w:t>
      </w:r>
      <w:r w:rsidR="000C6D4A" w:rsidRPr="00F1180D">
        <w:rPr>
          <w:lang w:val="fr-FR" w:bidi="ar-KW"/>
        </w:rPr>
        <w:t>éducation de toutes les personnes résidant sur son territoire</w:t>
      </w:r>
      <w:r w:rsidR="00680ADA" w:rsidRPr="00F1180D">
        <w:rPr>
          <w:lang w:val="fr-FR" w:bidi="ar-KW"/>
        </w:rPr>
        <w:t>,</w:t>
      </w:r>
      <w:r w:rsidR="000C6D4A" w:rsidRPr="00F1180D">
        <w:rPr>
          <w:lang w:val="fr-FR" w:bidi="ar-KW"/>
        </w:rPr>
        <w:t xml:space="preserve"> dans la mesure où il a autorisé l</w:t>
      </w:r>
      <w:r w:rsidR="00680ADA" w:rsidRPr="00F1180D">
        <w:rPr>
          <w:lang w:val="fr-FR" w:bidi="ar-KW"/>
        </w:rPr>
        <w:t>’</w:t>
      </w:r>
      <w:r w:rsidR="000C6D4A" w:rsidRPr="00F1180D">
        <w:rPr>
          <w:lang w:val="fr-FR" w:bidi="ar-KW"/>
        </w:rPr>
        <w:t>installation d</w:t>
      </w:r>
      <w:r w:rsidR="00680ADA" w:rsidRPr="00F1180D">
        <w:rPr>
          <w:lang w:val="fr-FR" w:bidi="ar-KW"/>
        </w:rPr>
        <w:t>’</w:t>
      </w:r>
      <w:r w:rsidR="000C6D4A" w:rsidRPr="00F1180D">
        <w:rPr>
          <w:lang w:val="fr-FR" w:bidi="ar-KW"/>
        </w:rPr>
        <w:t>écoles communautaires. Ainsi</w:t>
      </w:r>
      <w:r w:rsidR="00680ADA" w:rsidRPr="00F1180D">
        <w:rPr>
          <w:lang w:val="fr-FR" w:bidi="ar-KW"/>
        </w:rPr>
        <w:t>,</w:t>
      </w:r>
      <w:r w:rsidR="000C6D4A" w:rsidRPr="00F1180D">
        <w:rPr>
          <w:lang w:val="fr-FR" w:bidi="ar-KW"/>
        </w:rPr>
        <w:t xml:space="preserve"> selon les statistiques de l</w:t>
      </w:r>
      <w:r w:rsidR="00680ADA" w:rsidRPr="00F1180D">
        <w:rPr>
          <w:lang w:val="fr-FR" w:bidi="ar-KW"/>
        </w:rPr>
        <w:t>’</w:t>
      </w:r>
      <w:r w:rsidR="000C6D4A" w:rsidRPr="00F1180D">
        <w:rPr>
          <w:lang w:val="fr-FR" w:bidi="ar-KW"/>
        </w:rPr>
        <w:t>enseignement au titre de l</w:t>
      </w:r>
      <w:r w:rsidR="00680ADA" w:rsidRPr="00F1180D">
        <w:rPr>
          <w:lang w:val="fr-FR" w:bidi="ar-KW"/>
        </w:rPr>
        <w:t>’</w:t>
      </w:r>
      <w:r w:rsidR="000C6D4A" w:rsidRPr="00F1180D">
        <w:rPr>
          <w:lang w:val="fr-FR" w:bidi="ar-KW"/>
        </w:rPr>
        <w:t>année 2008-2009</w:t>
      </w:r>
      <w:r w:rsidR="00680ADA" w:rsidRPr="00F1180D">
        <w:rPr>
          <w:lang w:val="fr-FR" w:bidi="ar-KW"/>
        </w:rPr>
        <w:t>,</w:t>
      </w:r>
      <w:r w:rsidR="000C6D4A" w:rsidRPr="00F1180D">
        <w:rPr>
          <w:lang w:val="fr-FR" w:bidi="ar-KW"/>
        </w:rPr>
        <w:t xml:space="preserve"> le nombre d</w:t>
      </w:r>
      <w:r w:rsidR="00680ADA" w:rsidRPr="00F1180D">
        <w:rPr>
          <w:lang w:val="fr-FR" w:bidi="ar-KW"/>
        </w:rPr>
        <w:t>’</w:t>
      </w:r>
      <w:r w:rsidR="000C6D4A" w:rsidRPr="00F1180D">
        <w:rPr>
          <w:lang w:val="fr-FR" w:bidi="ar-KW"/>
        </w:rPr>
        <w:t>élèves et d</w:t>
      </w:r>
      <w:r w:rsidR="00680ADA" w:rsidRPr="00F1180D">
        <w:rPr>
          <w:lang w:val="fr-FR" w:bidi="ar-KW"/>
        </w:rPr>
        <w:t>’</w:t>
      </w:r>
      <w:r w:rsidR="000C6D4A" w:rsidRPr="00F1180D">
        <w:rPr>
          <w:lang w:val="fr-FR" w:bidi="ar-KW"/>
        </w:rPr>
        <w:t>établissements était le suivant</w:t>
      </w:r>
      <w:r w:rsidR="00680ADA" w:rsidRPr="00F1180D">
        <w:rPr>
          <w:lang w:val="fr-FR" w:bidi="ar-KW"/>
        </w:rPr>
        <w:t>:</w:t>
      </w:r>
      <w:r w:rsidR="000C6D4A" w:rsidRPr="00F1180D">
        <w:rPr>
          <w:lang w:val="fr-FR" w:bidi="ar-KW"/>
        </w:rPr>
        <w:t xml:space="preserve"> 154</w:t>
      </w:r>
      <w:r w:rsidR="00C61000" w:rsidRPr="00F1180D">
        <w:rPr>
          <w:lang w:val="fr-FR" w:bidi="ar-KW"/>
        </w:rPr>
        <w:t> </w:t>
      </w:r>
      <w:r w:rsidR="000C6D4A" w:rsidRPr="00F1180D">
        <w:rPr>
          <w:lang w:val="fr-FR" w:bidi="ar-KW"/>
        </w:rPr>
        <w:t>établissement arabes comptant 88 969 élèves</w:t>
      </w:r>
      <w:r w:rsidR="00680ADA" w:rsidRPr="00F1180D">
        <w:rPr>
          <w:lang w:val="fr-FR" w:bidi="ar-KW"/>
        </w:rPr>
        <w:t>,</w:t>
      </w:r>
      <w:r w:rsidR="000C6D4A" w:rsidRPr="00F1180D">
        <w:rPr>
          <w:lang w:val="fr-FR" w:bidi="ar-KW"/>
        </w:rPr>
        <w:t xml:space="preserve"> 61 écoles britanniques accueillant 18 113 élèves</w:t>
      </w:r>
      <w:r w:rsidR="00680ADA" w:rsidRPr="00F1180D">
        <w:rPr>
          <w:lang w:val="fr-FR" w:bidi="ar-KW"/>
        </w:rPr>
        <w:t>,</w:t>
      </w:r>
      <w:r w:rsidR="000C6D4A" w:rsidRPr="00F1180D">
        <w:rPr>
          <w:lang w:val="fr-FR" w:bidi="ar-KW"/>
        </w:rPr>
        <w:t xml:space="preserve"> 30 écoles américaines regroupant 9 869 élèves</w:t>
      </w:r>
      <w:r w:rsidR="00680ADA" w:rsidRPr="00F1180D">
        <w:rPr>
          <w:lang w:val="fr-FR" w:bidi="ar-KW"/>
        </w:rPr>
        <w:t>,</w:t>
      </w:r>
      <w:r w:rsidR="000C6D4A" w:rsidRPr="00F1180D">
        <w:rPr>
          <w:lang w:val="fr-FR" w:bidi="ar-KW"/>
        </w:rPr>
        <w:t xml:space="preserve"> 48 écoles bilingues abritant 12 878 élèves</w:t>
      </w:r>
      <w:r w:rsidR="00680ADA" w:rsidRPr="00F1180D">
        <w:rPr>
          <w:lang w:val="fr-FR" w:bidi="ar-KW"/>
        </w:rPr>
        <w:t>,</w:t>
      </w:r>
      <w:r w:rsidR="000C6D4A" w:rsidRPr="00F1180D">
        <w:rPr>
          <w:lang w:val="fr-FR" w:bidi="ar-KW"/>
        </w:rPr>
        <w:t xml:space="preserve"> 67 écoles indiennes comprenant 33 015 élèves</w:t>
      </w:r>
      <w:r w:rsidR="00680ADA" w:rsidRPr="00F1180D">
        <w:rPr>
          <w:lang w:val="fr-FR" w:bidi="ar-KW"/>
        </w:rPr>
        <w:t>,</w:t>
      </w:r>
      <w:r w:rsidR="000C6D4A" w:rsidRPr="00F1180D">
        <w:rPr>
          <w:lang w:val="fr-FR" w:bidi="ar-KW"/>
        </w:rPr>
        <w:t xml:space="preserve"> 61 écoles pakistanaises dénombrant 25 015 élèves</w:t>
      </w:r>
      <w:r w:rsidR="00680ADA" w:rsidRPr="00F1180D">
        <w:rPr>
          <w:lang w:val="fr-FR" w:bidi="ar-KW"/>
        </w:rPr>
        <w:t>,</w:t>
      </w:r>
      <w:r w:rsidR="000C6D4A" w:rsidRPr="00F1180D">
        <w:rPr>
          <w:lang w:val="fr-FR" w:bidi="ar-KW"/>
        </w:rPr>
        <w:t xml:space="preserve"> 4 écoles philippines admettant 901 élèves</w:t>
      </w:r>
      <w:r w:rsidR="00680ADA" w:rsidRPr="00F1180D">
        <w:rPr>
          <w:lang w:val="fr-FR" w:bidi="ar-KW"/>
        </w:rPr>
        <w:t>,</w:t>
      </w:r>
      <w:r w:rsidR="000C6D4A" w:rsidRPr="00F1180D">
        <w:rPr>
          <w:lang w:val="fr-FR" w:bidi="ar-KW"/>
        </w:rPr>
        <w:t xml:space="preserve"> 4 écoles françaises recevant 1 120 élèves</w:t>
      </w:r>
      <w:r w:rsidR="00680ADA" w:rsidRPr="00F1180D">
        <w:rPr>
          <w:lang w:val="fr-FR" w:bidi="ar-KW"/>
        </w:rPr>
        <w:t>,</w:t>
      </w:r>
      <w:r w:rsidR="000C6D4A" w:rsidRPr="00F1180D">
        <w:rPr>
          <w:lang w:val="fr-FR" w:bidi="ar-KW"/>
        </w:rPr>
        <w:t xml:space="preserve"> 6 éco</w:t>
      </w:r>
      <w:r w:rsidR="006A0D6F" w:rsidRPr="00F1180D">
        <w:rPr>
          <w:lang w:val="fr-FR" w:bidi="ar-KW"/>
        </w:rPr>
        <w:t>les iraniennes ouvertes à </w:t>
      </w:r>
      <w:r w:rsidR="00BB000D" w:rsidRPr="00F1180D">
        <w:rPr>
          <w:lang w:val="fr-FR" w:bidi="ar-KW"/>
        </w:rPr>
        <w:t>2 473 </w:t>
      </w:r>
      <w:r w:rsidR="000C6D4A" w:rsidRPr="00F1180D">
        <w:rPr>
          <w:lang w:val="fr-FR" w:bidi="ar-KW"/>
        </w:rPr>
        <w:t>élèves</w:t>
      </w:r>
      <w:r w:rsidR="00680ADA" w:rsidRPr="00F1180D">
        <w:rPr>
          <w:lang w:val="fr-FR" w:bidi="ar-KW"/>
        </w:rPr>
        <w:t>,</w:t>
      </w:r>
      <w:r w:rsidR="000C6D4A" w:rsidRPr="00F1180D">
        <w:rPr>
          <w:lang w:val="fr-FR" w:bidi="ar-KW"/>
        </w:rPr>
        <w:t xml:space="preserve"> 6 écoles canadiennes ayant 299 élèves et 3 écoles arméniennes comptabilisant 355 élèves</w:t>
      </w:r>
      <w:r w:rsidR="00BB000D" w:rsidRPr="00F1180D">
        <w:rPr>
          <w:lang w:val="fr-FR" w:bidi="ar-KW"/>
        </w:rPr>
        <w:t>;</w:t>
      </w:r>
      <w:r w:rsidR="000C6D4A" w:rsidRPr="00F1180D">
        <w:rPr>
          <w:lang w:val="fr-FR" w:bidi="ar-KW"/>
        </w:rPr>
        <w:t xml:space="preserve"> </w:t>
      </w:r>
    </w:p>
    <w:p w:rsidR="000C6D4A" w:rsidRPr="00F1180D" w:rsidRDefault="000C6D4A" w:rsidP="00BB000D">
      <w:pPr>
        <w:pStyle w:val="Bullet1G"/>
        <w:rPr>
          <w:rtl/>
          <w:lang w:val="fr-FR" w:bidi="fr-FR"/>
        </w:rPr>
      </w:pPr>
      <w:r w:rsidRPr="00F1180D">
        <w:rPr>
          <w:lang w:val="fr-FR" w:bidi="ar-KW"/>
        </w:rPr>
        <w:t>Le Koweït accorde en outre une attention particulière à la formation</w:t>
      </w:r>
      <w:r w:rsidR="00680ADA" w:rsidRPr="00F1180D">
        <w:rPr>
          <w:lang w:val="fr-FR" w:bidi="ar-KW"/>
        </w:rPr>
        <w:t>,</w:t>
      </w:r>
      <w:r w:rsidRPr="00F1180D">
        <w:rPr>
          <w:lang w:val="fr-FR" w:bidi="ar-KW"/>
        </w:rPr>
        <w:t xml:space="preserve"> spécialisée ou continue</w:t>
      </w:r>
      <w:r w:rsidR="00680ADA" w:rsidRPr="00F1180D">
        <w:rPr>
          <w:lang w:val="fr-FR" w:bidi="ar-KW"/>
        </w:rPr>
        <w:t>,</w:t>
      </w:r>
      <w:r w:rsidRPr="00F1180D">
        <w:rPr>
          <w:lang w:val="fr-FR" w:bidi="ar-KW"/>
        </w:rPr>
        <w:t xml:space="preserve"> dans le cadre de programmes déployés par le Ministère de l</w:t>
      </w:r>
      <w:r w:rsidR="00680ADA" w:rsidRPr="00F1180D">
        <w:rPr>
          <w:lang w:val="fr-FR" w:bidi="ar-KW"/>
        </w:rPr>
        <w:t>’</w:t>
      </w:r>
      <w:r w:rsidRPr="00F1180D">
        <w:rPr>
          <w:lang w:val="fr-FR" w:bidi="ar-KW"/>
        </w:rPr>
        <w:t>éducation</w:t>
      </w:r>
      <w:r w:rsidR="00680ADA" w:rsidRPr="00F1180D">
        <w:rPr>
          <w:lang w:val="fr-FR" w:bidi="ar-KW"/>
        </w:rPr>
        <w:t>,</w:t>
      </w:r>
      <w:r w:rsidRPr="00F1180D">
        <w:rPr>
          <w:lang w:val="fr-FR" w:bidi="ar-KW"/>
        </w:rPr>
        <w:t xml:space="preserve"> l</w:t>
      </w:r>
      <w:r w:rsidR="00680ADA" w:rsidRPr="00F1180D">
        <w:rPr>
          <w:lang w:val="fr-FR" w:bidi="ar-KW"/>
        </w:rPr>
        <w:t>’</w:t>
      </w:r>
      <w:r w:rsidRPr="00F1180D">
        <w:rPr>
          <w:lang w:val="fr-FR" w:bidi="ar-KW"/>
        </w:rPr>
        <w:t>Université du Koweït</w:t>
      </w:r>
      <w:r w:rsidR="00680ADA" w:rsidRPr="00F1180D">
        <w:rPr>
          <w:lang w:val="fr-FR" w:bidi="ar-KW"/>
        </w:rPr>
        <w:t>,</w:t>
      </w:r>
      <w:r w:rsidRPr="00F1180D">
        <w:rPr>
          <w:lang w:val="fr-FR" w:bidi="ar-KW"/>
        </w:rPr>
        <w:t xml:space="preserve"> la Direction générale de l</w:t>
      </w:r>
      <w:r w:rsidR="00680ADA" w:rsidRPr="00F1180D">
        <w:rPr>
          <w:lang w:val="fr-FR" w:bidi="ar-KW"/>
        </w:rPr>
        <w:t>’</w:t>
      </w:r>
      <w:r w:rsidRPr="00F1180D">
        <w:rPr>
          <w:lang w:val="fr-FR" w:bidi="ar-KW"/>
        </w:rPr>
        <w:t>enseignement pratique et de la formation</w:t>
      </w:r>
      <w:r w:rsidR="00680ADA" w:rsidRPr="00F1180D">
        <w:rPr>
          <w:lang w:val="fr-FR" w:bidi="ar-KW"/>
        </w:rPr>
        <w:t>,</w:t>
      </w:r>
      <w:r w:rsidRPr="00F1180D">
        <w:rPr>
          <w:lang w:val="fr-FR" w:bidi="ar-KW"/>
        </w:rPr>
        <w:t xml:space="preserve"> ainsi que par les écoles et centres de formation privés. La plupart des cursus tiennent compte des besoins individuels en termes d</w:t>
      </w:r>
      <w:r w:rsidR="00680ADA" w:rsidRPr="00F1180D">
        <w:rPr>
          <w:lang w:val="fr-FR" w:bidi="ar-KW"/>
        </w:rPr>
        <w:t>’</w:t>
      </w:r>
      <w:r w:rsidRPr="00F1180D">
        <w:rPr>
          <w:lang w:val="fr-FR" w:bidi="ar-KW"/>
        </w:rPr>
        <w:t>apprentissage et d</w:t>
      </w:r>
      <w:r w:rsidR="00680ADA" w:rsidRPr="00F1180D">
        <w:rPr>
          <w:lang w:val="fr-FR" w:bidi="ar-KW"/>
        </w:rPr>
        <w:t>’</w:t>
      </w:r>
      <w:r w:rsidRPr="00F1180D">
        <w:rPr>
          <w:lang w:val="fr-FR" w:bidi="ar-KW"/>
        </w:rPr>
        <w:t>acquisition des connaissances en matière de développement des savoir-faire pratiques et des compétences essentielles à la vie. Dans cette optique</w:t>
      </w:r>
      <w:r w:rsidR="00680ADA" w:rsidRPr="00F1180D">
        <w:rPr>
          <w:lang w:val="fr-FR" w:bidi="ar-KW"/>
        </w:rPr>
        <w:t>,</w:t>
      </w:r>
      <w:r w:rsidRPr="00F1180D">
        <w:rPr>
          <w:lang w:val="fr-FR" w:bidi="ar-KW"/>
        </w:rPr>
        <w:t xml:space="preserve"> les programmes de formation abordent des thèmes présentant un intérêt lié à la vie quotidienne des apprenants</w:t>
      </w:r>
      <w:r w:rsidR="00680ADA" w:rsidRPr="00F1180D">
        <w:rPr>
          <w:lang w:val="fr-FR" w:bidi="ar-KW"/>
        </w:rPr>
        <w:t>,</w:t>
      </w:r>
      <w:r w:rsidRPr="00F1180D">
        <w:rPr>
          <w:lang w:val="fr-FR" w:bidi="ar-KW"/>
        </w:rPr>
        <w:t xml:space="preserve"> tels que l</w:t>
      </w:r>
      <w:r w:rsidR="00680ADA" w:rsidRPr="00F1180D">
        <w:rPr>
          <w:lang w:val="fr-FR" w:bidi="ar-KW"/>
        </w:rPr>
        <w:t>’</w:t>
      </w:r>
      <w:r w:rsidRPr="00F1180D">
        <w:rPr>
          <w:lang w:val="fr-FR" w:bidi="ar-KW"/>
        </w:rPr>
        <w:t>administration</w:t>
      </w:r>
      <w:r w:rsidR="00680ADA" w:rsidRPr="00F1180D">
        <w:rPr>
          <w:lang w:val="fr-FR" w:bidi="ar-KW"/>
        </w:rPr>
        <w:t>,</w:t>
      </w:r>
      <w:r w:rsidRPr="00F1180D">
        <w:rPr>
          <w:lang w:val="fr-FR" w:bidi="ar-KW"/>
        </w:rPr>
        <w:t xml:space="preserve"> le droit</w:t>
      </w:r>
      <w:r w:rsidR="00680ADA" w:rsidRPr="00F1180D">
        <w:rPr>
          <w:lang w:val="fr-FR" w:bidi="ar-KW"/>
        </w:rPr>
        <w:t>,</w:t>
      </w:r>
      <w:r w:rsidRPr="00F1180D">
        <w:rPr>
          <w:lang w:val="fr-FR" w:bidi="ar-KW"/>
        </w:rPr>
        <w:t xml:space="preserve"> l</w:t>
      </w:r>
      <w:r w:rsidR="00680ADA" w:rsidRPr="00F1180D">
        <w:rPr>
          <w:lang w:val="fr-FR" w:bidi="ar-KW"/>
        </w:rPr>
        <w:t>’</w:t>
      </w:r>
      <w:r w:rsidRPr="00F1180D">
        <w:rPr>
          <w:lang w:val="fr-FR" w:bidi="ar-KW"/>
        </w:rPr>
        <w:t>électricité</w:t>
      </w:r>
      <w:r w:rsidR="00680ADA" w:rsidRPr="00F1180D">
        <w:rPr>
          <w:lang w:val="fr-FR" w:bidi="ar-KW"/>
        </w:rPr>
        <w:t>,</w:t>
      </w:r>
      <w:r w:rsidRPr="00F1180D">
        <w:rPr>
          <w:lang w:val="fr-FR" w:bidi="ar-KW"/>
        </w:rPr>
        <w:t xml:space="preserve"> la mécanique</w:t>
      </w:r>
      <w:r w:rsidR="00680ADA" w:rsidRPr="00F1180D">
        <w:rPr>
          <w:lang w:val="fr-FR" w:bidi="ar-KW"/>
        </w:rPr>
        <w:t>,</w:t>
      </w:r>
      <w:r w:rsidRPr="00F1180D">
        <w:rPr>
          <w:lang w:val="fr-FR" w:bidi="ar-KW"/>
        </w:rPr>
        <w:t xml:space="preserve"> les techniques de communication</w:t>
      </w:r>
      <w:r w:rsidR="00680ADA" w:rsidRPr="00F1180D">
        <w:rPr>
          <w:lang w:val="fr-FR" w:bidi="ar-KW"/>
        </w:rPr>
        <w:t>,</w:t>
      </w:r>
      <w:r w:rsidRPr="00F1180D">
        <w:rPr>
          <w:lang w:val="fr-FR" w:bidi="ar-KW"/>
        </w:rPr>
        <w:t xml:space="preserve"> le développement des capacités de raisonnement et le leadership</w:t>
      </w:r>
      <w:r w:rsidR="00BB000D" w:rsidRPr="00F1180D">
        <w:rPr>
          <w:lang w:val="fr-FR" w:bidi="ar-KW"/>
        </w:rPr>
        <w:t>.</w:t>
      </w:r>
    </w:p>
    <w:p w:rsidR="000C6D4A" w:rsidRPr="00F1180D" w:rsidRDefault="00930AE5" w:rsidP="00E42AC1">
      <w:pPr>
        <w:pStyle w:val="SingleTxtG"/>
        <w:keepNext/>
        <w:rPr>
          <w:rtl/>
          <w:lang w:val="fr-FR" w:bidi="fr-FR"/>
        </w:rPr>
      </w:pPr>
      <w:r>
        <w:rPr>
          <w:lang w:val="fr-FR" w:bidi="ar-KW"/>
        </w:rPr>
        <w:t>103.</w:t>
      </w:r>
      <w:r>
        <w:rPr>
          <w:lang w:val="fr-FR" w:bidi="ar-KW"/>
        </w:rPr>
        <w:tab/>
      </w:r>
      <w:r w:rsidR="000C6D4A" w:rsidRPr="00F1180D">
        <w:rPr>
          <w:lang w:val="fr-FR" w:bidi="ar-KW"/>
        </w:rPr>
        <w:t>Selon la législation koweïtienne en vigueur</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éducation des adultes est accessible à tous sans exception et notamment aux catégories de personnes suivantes</w:t>
      </w:r>
      <w:r w:rsidR="00680ADA" w:rsidRPr="00F1180D">
        <w:rPr>
          <w:lang w:val="fr-FR" w:bidi="ar-KW"/>
        </w:rPr>
        <w:t>:</w:t>
      </w:r>
      <w:r w:rsidR="000C6D4A" w:rsidRPr="00F1180D">
        <w:rPr>
          <w:lang w:val="fr-FR" w:bidi="ar-KW"/>
        </w:rPr>
        <w:t xml:space="preserve"> </w:t>
      </w:r>
    </w:p>
    <w:p w:rsidR="000C6D4A" w:rsidRPr="00F1180D" w:rsidRDefault="000C6D4A" w:rsidP="00BB000D">
      <w:pPr>
        <w:pStyle w:val="Bullet1G"/>
        <w:rPr>
          <w:rtl/>
          <w:lang w:val="fr-FR" w:bidi="fr-FR"/>
        </w:rPr>
      </w:pPr>
      <w:r w:rsidRPr="00F1180D">
        <w:rPr>
          <w:lang w:val="fr-FR" w:bidi="ar-KW"/>
        </w:rPr>
        <w:t>Les fonctionnaires qui souhaitent achever leurs études et améliorer leurs compétences professionnelles et techniques</w:t>
      </w:r>
      <w:r w:rsidR="00BB000D" w:rsidRPr="00F1180D">
        <w:rPr>
          <w:lang w:val="fr-FR" w:bidi="ar-KW"/>
        </w:rPr>
        <w:t>;</w:t>
      </w:r>
    </w:p>
    <w:p w:rsidR="000C6D4A" w:rsidRPr="00F1180D" w:rsidRDefault="000C6D4A" w:rsidP="00BB000D">
      <w:pPr>
        <w:pStyle w:val="Bullet1G"/>
        <w:rPr>
          <w:rtl/>
          <w:lang w:val="fr-FR" w:bidi="fr-FR"/>
        </w:rPr>
      </w:pPr>
      <w:r w:rsidRPr="00F1180D">
        <w:rPr>
          <w:lang w:val="fr-FR" w:bidi="ar-KW"/>
        </w:rPr>
        <w:t>Les personnes ayant suivi les cycles de l</w:t>
      </w:r>
      <w:r w:rsidR="00680ADA" w:rsidRPr="00F1180D">
        <w:rPr>
          <w:lang w:val="fr-FR" w:bidi="ar-KW"/>
        </w:rPr>
        <w:t>’</w:t>
      </w:r>
      <w:r w:rsidRPr="00F1180D">
        <w:rPr>
          <w:lang w:val="fr-FR" w:bidi="ar-KW"/>
        </w:rPr>
        <w:t>enseignement obligatoire et rencontrant des difficultés d</w:t>
      </w:r>
      <w:r w:rsidR="00680ADA" w:rsidRPr="00F1180D">
        <w:rPr>
          <w:lang w:val="fr-FR" w:bidi="ar-KW"/>
        </w:rPr>
        <w:t>’</w:t>
      </w:r>
      <w:r w:rsidRPr="00F1180D">
        <w:rPr>
          <w:lang w:val="fr-FR" w:bidi="ar-KW"/>
        </w:rPr>
        <w:t>apprentissage</w:t>
      </w:r>
      <w:r w:rsidR="00BB000D" w:rsidRPr="00F1180D">
        <w:rPr>
          <w:lang w:val="fr-FR" w:bidi="ar-KW"/>
        </w:rPr>
        <w:t>;</w:t>
      </w:r>
      <w:r w:rsidRPr="00F1180D">
        <w:rPr>
          <w:lang w:val="fr-FR" w:bidi="ar-KW"/>
        </w:rPr>
        <w:t xml:space="preserve"> </w:t>
      </w:r>
    </w:p>
    <w:p w:rsidR="000C6D4A" w:rsidRPr="00F1180D" w:rsidRDefault="000C6D4A" w:rsidP="00BB000D">
      <w:pPr>
        <w:pStyle w:val="Bullet1G"/>
        <w:rPr>
          <w:rtl/>
          <w:lang w:val="fr-FR" w:bidi="fr-FR"/>
        </w:rPr>
      </w:pPr>
      <w:r w:rsidRPr="00F1180D">
        <w:rPr>
          <w:lang w:val="fr-FR" w:bidi="ar-KW"/>
        </w:rPr>
        <w:t>Les élèves ayant abandonné l</w:t>
      </w:r>
      <w:r w:rsidR="00680ADA" w:rsidRPr="00F1180D">
        <w:rPr>
          <w:lang w:val="fr-FR" w:bidi="ar-KW"/>
        </w:rPr>
        <w:t>’</w:t>
      </w:r>
      <w:r w:rsidRPr="00F1180D">
        <w:rPr>
          <w:lang w:val="fr-FR" w:bidi="ar-KW"/>
        </w:rPr>
        <w:t>école ou quitté l</w:t>
      </w:r>
      <w:r w:rsidR="00680ADA" w:rsidRPr="00F1180D">
        <w:rPr>
          <w:lang w:val="fr-FR" w:bidi="ar-KW"/>
        </w:rPr>
        <w:t>’</w:t>
      </w:r>
      <w:r w:rsidRPr="00F1180D">
        <w:rPr>
          <w:lang w:val="fr-FR" w:bidi="ar-KW"/>
        </w:rPr>
        <w:t>enseignement secondaire</w:t>
      </w:r>
      <w:r w:rsidR="00BB000D" w:rsidRPr="00F1180D">
        <w:rPr>
          <w:lang w:val="fr-FR" w:bidi="ar-KW"/>
        </w:rPr>
        <w:t>;</w:t>
      </w:r>
    </w:p>
    <w:p w:rsidR="000C6D4A" w:rsidRPr="00F1180D" w:rsidRDefault="000C6D4A" w:rsidP="00BB000D">
      <w:pPr>
        <w:pStyle w:val="Bullet1G"/>
        <w:rPr>
          <w:lang w:val="fr-FR" w:bidi="fr-FR"/>
        </w:rPr>
      </w:pPr>
      <w:r w:rsidRPr="00F1180D">
        <w:rPr>
          <w:lang w:val="fr-FR" w:bidi="ar-KW"/>
        </w:rPr>
        <w:t>Les filles ayant abandonné l</w:t>
      </w:r>
      <w:r w:rsidR="00680ADA" w:rsidRPr="00F1180D">
        <w:rPr>
          <w:lang w:val="fr-FR" w:bidi="ar-KW"/>
        </w:rPr>
        <w:t>’</w:t>
      </w:r>
      <w:r w:rsidRPr="00F1180D">
        <w:rPr>
          <w:lang w:val="fr-FR" w:bidi="ar-KW"/>
        </w:rPr>
        <w:t>école.</w:t>
      </w:r>
    </w:p>
    <w:p w:rsidR="00615886" w:rsidRPr="00F1180D" w:rsidRDefault="00615886" w:rsidP="00615886">
      <w:pPr>
        <w:pStyle w:val="H23G"/>
        <w:rPr>
          <w:lang w:val="fr-FR" w:bidi="ar-KW"/>
        </w:rPr>
      </w:pPr>
      <w:r w:rsidRPr="00F1180D">
        <w:rPr>
          <w:lang w:val="fr-FR" w:bidi="ar-KW"/>
        </w:rPr>
        <w:tab/>
      </w:r>
      <w:r w:rsidR="00E42AC1" w:rsidRPr="00F1180D">
        <w:rPr>
          <w:lang w:val="fr-FR" w:bidi="ar-KW"/>
        </w:rPr>
        <w:tab/>
      </w:r>
      <w:r w:rsidR="00F40669" w:rsidRPr="00F1180D">
        <w:rPr>
          <w:lang w:val="fr-FR" w:bidi="ar-KW"/>
        </w:rPr>
        <w:t xml:space="preserve">Paragraphe </w:t>
      </w:r>
      <w:r w:rsidR="00E42AC1" w:rsidRPr="00F1180D">
        <w:rPr>
          <w:lang w:val="fr-FR" w:bidi="ar-KW"/>
        </w:rPr>
        <w:t>e) vi)</w:t>
      </w:r>
    </w:p>
    <w:p w:rsidR="000C6D4A" w:rsidRPr="00F1180D" w:rsidRDefault="00930AE5" w:rsidP="00E42AC1">
      <w:pPr>
        <w:pStyle w:val="Bullet1G"/>
        <w:numPr>
          <w:ilvl w:val="0"/>
          <w:numId w:val="0"/>
        </w:numPr>
        <w:ind w:left="1134"/>
        <w:rPr>
          <w:rtl/>
          <w:lang w:val="fr-FR" w:bidi="fr-FR"/>
        </w:rPr>
      </w:pPr>
      <w:r>
        <w:rPr>
          <w:lang w:val="fr-FR" w:bidi="ar-KW"/>
        </w:rPr>
        <w:t>104.</w:t>
      </w:r>
      <w:r>
        <w:rPr>
          <w:lang w:val="fr-FR" w:bidi="ar-KW"/>
        </w:rPr>
        <w:tab/>
      </w:r>
      <w:r w:rsidR="000C6D4A" w:rsidRPr="00F1180D">
        <w:rPr>
          <w:lang w:val="fr-FR" w:bidi="ar-KW"/>
        </w:rPr>
        <w:t>Le Koweït accorde une attention particulière à la culture et à la recherche scientifique</w:t>
      </w:r>
      <w:r w:rsidR="00680ADA" w:rsidRPr="00F1180D">
        <w:rPr>
          <w:lang w:val="fr-FR" w:bidi="ar-KW"/>
        </w:rPr>
        <w:t>,</w:t>
      </w:r>
      <w:r w:rsidR="000C6D4A" w:rsidRPr="00F1180D">
        <w:rPr>
          <w:lang w:val="fr-FR" w:bidi="ar-KW"/>
        </w:rPr>
        <w:t xml:space="preserve"> comme en témoigne l</w:t>
      </w:r>
      <w:r w:rsidR="00680ADA" w:rsidRPr="00F1180D">
        <w:rPr>
          <w:lang w:val="fr-FR" w:bidi="ar-KW"/>
        </w:rPr>
        <w:t>’</w:t>
      </w:r>
      <w:r w:rsidR="00163207" w:rsidRPr="00F1180D">
        <w:rPr>
          <w:lang w:val="fr-FR" w:bidi="ar-KW"/>
        </w:rPr>
        <w:t>article </w:t>
      </w:r>
      <w:r w:rsidR="000C6D4A" w:rsidRPr="00F1180D">
        <w:rPr>
          <w:lang w:val="fr-FR" w:bidi="ar-KW"/>
        </w:rPr>
        <w:t>12 de la Constitution selon lequel</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w:t>
      </w:r>
      <w:r w:rsidR="00680ADA" w:rsidRPr="00F1180D">
        <w:rPr>
          <w:lang w:val="fr-FR" w:bidi="ar-KW"/>
        </w:rPr>
        <w:t>’</w:t>
      </w:r>
      <w:r w:rsidR="000C6D4A" w:rsidRPr="00F1180D">
        <w:rPr>
          <w:lang w:val="fr-FR" w:bidi="ar-KW"/>
        </w:rPr>
        <w:t>État protège le patrimoine islamique et arabe et contribue au développement de la civilisation humaine</w:t>
      </w:r>
      <w:r w:rsidR="00680ADA" w:rsidRPr="00F1180D">
        <w:rPr>
          <w:lang w:val="fr-FR" w:bidi="ar-KW"/>
        </w:rPr>
        <w:t>»,</w:t>
      </w:r>
      <w:r w:rsidR="000C6D4A" w:rsidRPr="00F1180D">
        <w:rPr>
          <w:lang w:val="fr-FR" w:bidi="ar-KW"/>
        </w:rPr>
        <w:t xml:space="preserve"> ainsi que l</w:t>
      </w:r>
      <w:r w:rsidR="00680ADA" w:rsidRPr="00F1180D">
        <w:rPr>
          <w:lang w:val="fr-FR" w:bidi="ar-KW"/>
        </w:rPr>
        <w:t>’</w:t>
      </w:r>
      <w:r w:rsidR="00163207" w:rsidRPr="00F1180D">
        <w:rPr>
          <w:lang w:val="fr-FR" w:bidi="ar-KW"/>
        </w:rPr>
        <w:t>article </w:t>
      </w:r>
      <w:r w:rsidR="000C6D4A" w:rsidRPr="00F1180D">
        <w:rPr>
          <w:lang w:val="fr-FR" w:bidi="ar-KW"/>
        </w:rPr>
        <w:t>14 aux termes duquel</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w:t>
      </w:r>
      <w:r w:rsidR="00680ADA" w:rsidRPr="00F1180D">
        <w:rPr>
          <w:lang w:val="fr-FR" w:bidi="ar-KW"/>
        </w:rPr>
        <w:t>’</w:t>
      </w:r>
      <w:r w:rsidR="000C6D4A" w:rsidRPr="00F1180D">
        <w:rPr>
          <w:lang w:val="fr-FR" w:bidi="ar-KW"/>
        </w:rPr>
        <w:t>État veille au développement des sciences</w:t>
      </w:r>
      <w:r w:rsidR="00680ADA" w:rsidRPr="00F1180D">
        <w:rPr>
          <w:lang w:val="fr-FR" w:bidi="ar-KW"/>
        </w:rPr>
        <w:t>,</w:t>
      </w:r>
      <w:r w:rsidR="000C6D4A" w:rsidRPr="00F1180D">
        <w:rPr>
          <w:lang w:val="fr-FR" w:bidi="ar-KW"/>
        </w:rPr>
        <w:t xml:space="preserve"> des lettres et des arts et encourage la recherche scientifique</w:t>
      </w:r>
      <w:r w:rsidR="00680ADA" w:rsidRPr="00F1180D">
        <w:rPr>
          <w:lang w:val="fr-FR" w:bidi="ar-KW"/>
        </w:rPr>
        <w:t>»</w:t>
      </w:r>
      <w:r w:rsidR="000C6D4A" w:rsidRPr="00F1180D">
        <w:rPr>
          <w:lang w:val="fr-FR" w:bidi="ar-KW"/>
        </w:rPr>
        <w:t>. On en déduit que sont reconnus à chaque personne les droits suivants</w:t>
      </w:r>
      <w:r w:rsidR="00680ADA" w:rsidRPr="00F1180D">
        <w:rPr>
          <w:lang w:val="fr-FR" w:bidi="ar-KW"/>
        </w:rPr>
        <w:t>:</w:t>
      </w:r>
      <w:r w:rsidR="000C6D4A" w:rsidRPr="00F1180D">
        <w:rPr>
          <w:lang w:val="fr-FR" w:bidi="ar-KW"/>
        </w:rPr>
        <w:t xml:space="preserve"> </w:t>
      </w:r>
    </w:p>
    <w:p w:rsidR="000C6D4A" w:rsidRPr="00F1180D" w:rsidRDefault="00D8351B" w:rsidP="00680ADA">
      <w:pPr>
        <w:pStyle w:val="SingleTxtG"/>
        <w:rPr>
          <w:lang w:val="fr-FR" w:bidi="ar-KW"/>
        </w:rPr>
      </w:pPr>
      <w:r w:rsidRPr="00F1180D">
        <w:rPr>
          <w:lang w:val="fr-FR" w:bidi="ar-KW"/>
        </w:rPr>
        <w:tab/>
        <w:t>a)</w:t>
      </w:r>
      <w:r w:rsidRPr="00F1180D">
        <w:rPr>
          <w:lang w:val="fr-FR" w:bidi="ar-KW"/>
        </w:rPr>
        <w:tab/>
      </w:r>
      <w:r w:rsidR="000C6D4A" w:rsidRPr="00F1180D">
        <w:rPr>
          <w:lang w:val="fr-FR" w:bidi="ar-KW"/>
        </w:rPr>
        <w:t>Le droit de participer à la vie culturelle sans aucune discrimination</w:t>
      </w:r>
      <w:r w:rsidR="004C4E04" w:rsidRPr="00F1180D">
        <w:rPr>
          <w:lang w:val="fr-FR" w:bidi="ar-KW"/>
        </w:rPr>
        <w:t>;</w:t>
      </w:r>
    </w:p>
    <w:p w:rsidR="000C6D4A" w:rsidRPr="00F1180D" w:rsidRDefault="00D8351B" w:rsidP="00680ADA">
      <w:pPr>
        <w:pStyle w:val="SingleTxtG"/>
        <w:rPr>
          <w:rtl/>
          <w:lang w:val="fr-FR" w:bidi="fr-FR"/>
        </w:rPr>
      </w:pPr>
      <w:r w:rsidRPr="00F1180D">
        <w:rPr>
          <w:lang w:val="fr-FR" w:bidi="ar-KW"/>
        </w:rPr>
        <w:tab/>
        <w:t>b)</w:t>
      </w:r>
      <w:r w:rsidRPr="00F1180D">
        <w:rPr>
          <w:lang w:val="fr-FR" w:bidi="ar-KW"/>
        </w:rPr>
        <w:tab/>
      </w:r>
      <w:r w:rsidR="000C6D4A" w:rsidRPr="00F1180D">
        <w:rPr>
          <w:lang w:val="fr-FR" w:bidi="ar-KW"/>
        </w:rPr>
        <w:t>Le droit de bénéficier du progrès scientifique et de ses applications</w:t>
      </w:r>
      <w:r w:rsidR="004C4E04" w:rsidRPr="00F1180D">
        <w:rPr>
          <w:lang w:val="fr-FR" w:bidi="ar-KW"/>
        </w:rPr>
        <w:t>;</w:t>
      </w:r>
      <w:r w:rsidR="000C6D4A" w:rsidRPr="00F1180D">
        <w:rPr>
          <w:lang w:val="fr-FR" w:bidi="ar-KW"/>
        </w:rPr>
        <w:t xml:space="preserve"> </w:t>
      </w:r>
    </w:p>
    <w:p w:rsidR="000C6D4A" w:rsidRPr="00F1180D" w:rsidRDefault="00D8351B" w:rsidP="00680ADA">
      <w:pPr>
        <w:pStyle w:val="SingleTxtG"/>
        <w:rPr>
          <w:lang w:val="fr-FR" w:bidi="ar-KW"/>
        </w:rPr>
      </w:pPr>
      <w:r w:rsidRPr="00F1180D">
        <w:rPr>
          <w:lang w:val="fr-FR" w:bidi="ar-KW"/>
        </w:rPr>
        <w:tab/>
      </w:r>
      <w:r w:rsidR="000C6D4A" w:rsidRPr="00F1180D">
        <w:rPr>
          <w:lang w:val="fr-FR" w:bidi="ar-KW"/>
        </w:rPr>
        <w:t>c</w:t>
      </w:r>
      <w:r w:rsidRPr="00F1180D">
        <w:rPr>
          <w:lang w:val="fr-FR" w:bidi="ar-KW"/>
        </w:rPr>
        <w:t>)</w:t>
      </w:r>
      <w:r w:rsidRPr="00F1180D">
        <w:rPr>
          <w:lang w:val="fr-FR" w:bidi="ar-KW"/>
        </w:rPr>
        <w:tab/>
      </w:r>
      <w:r w:rsidR="000C6D4A" w:rsidRPr="00F1180D">
        <w:rPr>
          <w:lang w:val="fr-FR" w:bidi="ar-KW"/>
        </w:rPr>
        <w:t>Le droit de bénéficier de la protection des intérêts moraux et matériels découlant de toute production scientifique ou littéraire</w:t>
      </w:r>
      <w:r w:rsidR="00680ADA" w:rsidRPr="00F1180D">
        <w:rPr>
          <w:lang w:val="fr-FR" w:bidi="ar-KW"/>
        </w:rPr>
        <w:t>,</w:t>
      </w:r>
      <w:r w:rsidR="000C6D4A" w:rsidRPr="00F1180D">
        <w:rPr>
          <w:lang w:val="fr-FR" w:bidi="ar-KW"/>
        </w:rPr>
        <w:t xml:space="preserve"> conformément à l</w:t>
      </w:r>
      <w:r w:rsidR="00680ADA" w:rsidRPr="00F1180D">
        <w:rPr>
          <w:lang w:val="fr-FR" w:bidi="ar-KW"/>
        </w:rPr>
        <w:t>’</w:t>
      </w:r>
      <w:r w:rsidR="00163207" w:rsidRPr="00F1180D">
        <w:rPr>
          <w:lang w:val="fr-FR" w:bidi="ar-KW"/>
        </w:rPr>
        <w:t>article </w:t>
      </w:r>
      <w:r w:rsidR="000C6D4A" w:rsidRPr="00F1180D">
        <w:rPr>
          <w:lang w:val="fr-FR" w:bidi="ar-KW"/>
        </w:rPr>
        <w:t>1</w:t>
      </w:r>
      <w:r w:rsidR="000C6D4A" w:rsidRPr="00F1180D">
        <w:rPr>
          <w:vertAlign w:val="superscript"/>
          <w:lang w:val="fr-FR" w:bidi="ar-KW"/>
        </w:rPr>
        <w:t>er</w:t>
      </w:r>
      <w:r w:rsidR="000C6D4A" w:rsidRPr="00F1180D">
        <w:rPr>
          <w:lang w:val="fr-FR" w:bidi="ar-KW"/>
        </w:rPr>
        <w:t xml:space="preserve">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64 de 1999</w:t>
      </w:r>
      <w:r w:rsidR="00680ADA" w:rsidRPr="00F1180D">
        <w:rPr>
          <w:lang w:val="fr-FR" w:bidi="ar-KW"/>
        </w:rPr>
        <w:t>,</w:t>
      </w:r>
      <w:r w:rsidR="000C6D4A" w:rsidRPr="00F1180D">
        <w:rPr>
          <w:lang w:val="fr-FR" w:bidi="ar-KW"/>
        </w:rPr>
        <w:t xml:space="preserve"> qui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Jouissent de la protection de cette la loi les auteurs d</w:t>
      </w:r>
      <w:r w:rsidR="00680ADA" w:rsidRPr="00F1180D">
        <w:rPr>
          <w:lang w:val="fr-FR" w:bidi="ar-KW"/>
        </w:rPr>
        <w:t>’</w:t>
      </w:r>
      <w:r w:rsidR="00823836" w:rsidRPr="00F1180D">
        <w:rPr>
          <w:lang w:val="fr-FR" w:bidi="ar-KW"/>
        </w:rPr>
        <w:t>œuvre</w:t>
      </w:r>
      <w:r w:rsidR="000C6D4A" w:rsidRPr="00F1180D">
        <w:rPr>
          <w:lang w:val="fr-FR" w:bidi="ar-KW"/>
        </w:rPr>
        <w:t>s littéraires</w:t>
      </w:r>
      <w:r w:rsidR="00680ADA" w:rsidRPr="00F1180D">
        <w:rPr>
          <w:lang w:val="fr-FR" w:bidi="ar-KW"/>
        </w:rPr>
        <w:t>,</w:t>
      </w:r>
      <w:r w:rsidR="000C6D4A" w:rsidRPr="00F1180D">
        <w:rPr>
          <w:lang w:val="fr-FR" w:bidi="ar-KW"/>
        </w:rPr>
        <w:t xml:space="preserve"> artistiques et scientifiques quelles que so</w:t>
      </w:r>
      <w:r w:rsidRPr="00F1180D">
        <w:rPr>
          <w:lang w:val="fr-FR" w:bidi="ar-KW"/>
        </w:rPr>
        <w:t>ient leur valeur et leur nature</w:t>
      </w:r>
      <w:r w:rsidR="000C6D4A" w:rsidRPr="00F1180D">
        <w:rPr>
          <w:lang w:val="fr-FR" w:bidi="ar-KW"/>
        </w:rPr>
        <w:t>...</w:t>
      </w:r>
      <w:r w:rsidR="00680ADA" w:rsidRPr="00F1180D">
        <w:rPr>
          <w:lang w:val="fr-FR" w:bidi="ar-KW"/>
        </w:rPr>
        <w:t>»</w:t>
      </w:r>
      <w:r w:rsidR="000C6D4A" w:rsidRPr="00F1180D">
        <w:rPr>
          <w:lang w:val="fr-FR" w:bidi="ar-KW"/>
        </w:rPr>
        <w:t xml:space="preserve">. </w:t>
      </w:r>
    </w:p>
    <w:p w:rsidR="000C6D4A" w:rsidRPr="00F1180D" w:rsidRDefault="00930AE5" w:rsidP="00680ADA">
      <w:pPr>
        <w:pStyle w:val="SingleTxtG"/>
        <w:rPr>
          <w:rtl/>
          <w:lang w:val="fr-FR" w:bidi="fr-FR"/>
        </w:rPr>
      </w:pPr>
      <w:r>
        <w:rPr>
          <w:lang w:val="fr-FR" w:bidi="ar-KW"/>
        </w:rPr>
        <w:lastRenderedPageBreak/>
        <w:t>105.</w:t>
      </w:r>
      <w:r>
        <w:rPr>
          <w:lang w:val="fr-FR" w:bidi="ar-KW"/>
        </w:rPr>
        <w:tab/>
      </w:r>
      <w:r w:rsidR="000C6D4A" w:rsidRPr="00F1180D">
        <w:rPr>
          <w:lang w:val="fr-FR" w:bidi="ar-KW"/>
        </w:rPr>
        <w:t>Les contenus des publications culturelles et des supports de publication et d</w:t>
      </w:r>
      <w:r w:rsidR="00680ADA" w:rsidRPr="00F1180D">
        <w:rPr>
          <w:lang w:val="fr-FR" w:bidi="ar-KW"/>
        </w:rPr>
        <w:t>’</w:t>
      </w:r>
      <w:r w:rsidR="000C6D4A" w:rsidRPr="00F1180D">
        <w:rPr>
          <w:lang w:val="fr-FR" w:bidi="ar-KW"/>
        </w:rPr>
        <w:t xml:space="preserve">information sont régis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3 de 2006 sur les publications et l</w:t>
      </w:r>
      <w:r w:rsidR="00680ADA" w:rsidRPr="00F1180D">
        <w:rPr>
          <w:lang w:val="fr-FR" w:bidi="ar-KW"/>
        </w:rPr>
        <w:t>’</w:t>
      </w:r>
      <w:r w:rsidR="000C6D4A" w:rsidRPr="00F1180D">
        <w:rPr>
          <w:lang w:val="fr-FR" w:bidi="ar-KW"/>
        </w:rPr>
        <w:t>édition</w:t>
      </w:r>
      <w:r w:rsidR="00680ADA" w:rsidRPr="00F1180D">
        <w:rPr>
          <w:lang w:val="fr-FR" w:bidi="ar-KW"/>
        </w:rPr>
        <w:t>,</w:t>
      </w:r>
      <w:r w:rsidR="000C6D4A" w:rsidRPr="00F1180D">
        <w:rPr>
          <w:lang w:val="fr-FR" w:bidi="ar-KW"/>
        </w:rPr>
        <w:t xml:space="preserve"> ainsi que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61 de 2007 sur l</w:t>
      </w:r>
      <w:r w:rsidR="00680ADA" w:rsidRPr="00F1180D">
        <w:rPr>
          <w:lang w:val="fr-FR" w:bidi="ar-KW"/>
        </w:rPr>
        <w:t>’</w:t>
      </w:r>
      <w:r w:rsidR="000C6D4A" w:rsidRPr="00F1180D">
        <w:rPr>
          <w:lang w:val="fr-FR" w:bidi="ar-KW"/>
        </w:rPr>
        <w:t>information audiovisuelle.</w:t>
      </w:r>
    </w:p>
    <w:p w:rsidR="000C6D4A" w:rsidRPr="00F1180D" w:rsidRDefault="00930AE5" w:rsidP="00615886">
      <w:pPr>
        <w:pStyle w:val="SingleTxtG"/>
        <w:keepNext/>
        <w:rPr>
          <w:rtl/>
          <w:lang w:val="fr-FR" w:bidi="fr-FR"/>
        </w:rPr>
      </w:pPr>
      <w:r>
        <w:rPr>
          <w:lang w:val="fr-FR" w:bidi="ar-KW"/>
        </w:rPr>
        <w:t>106.</w:t>
      </w:r>
      <w:r>
        <w:rPr>
          <w:lang w:val="fr-FR" w:bidi="ar-KW"/>
        </w:rPr>
        <w:tab/>
      </w:r>
      <w:r w:rsidR="000C6D4A" w:rsidRPr="00F1180D">
        <w:rPr>
          <w:lang w:val="fr-FR" w:bidi="ar-KW"/>
        </w:rPr>
        <w:t>Le Koweït a également prévu dans ses programmes et plans de développement des politiques en faveur du développement intellectuel</w:t>
      </w:r>
      <w:r w:rsidR="00680ADA" w:rsidRPr="00F1180D">
        <w:rPr>
          <w:lang w:val="fr-FR" w:bidi="ar-KW"/>
        </w:rPr>
        <w:t>,</w:t>
      </w:r>
      <w:r w:rsidR="000C6D4A" w:rsidRPr="00F1180D">
        <w:rPr>
          <w:lang w:val="fr-FR" w:bidi="ar-KW"/>
        </w:rPr>
        <w:t xml:space="preserve"> de l</w:t>
      </w:r>
      <w:r w:rsidR="00680ADA" w:rsidRPr="00F1180D">
        <w:rPr>
          <w:lang w:val="fr-FR" w:bidi="ar-KW"/>
        </w:rPr>
        <w:t>’</w:t>
      </w:r>
      <w:r w:rsidR="000C6D4A" w:rsidRPr="00F1180D">
        <w:rPr>
          <w:lang w:val="fr-FR" w:bidi="ar-KW"/>
        </w:rPr>
        <w:t>art et de la culture</w:t>
      </w:r>
      <w:r w:rsidR="00680ADA" w:rsidRPr="00F1180D">
        <w:rPr>
          <w:lang w:val="fr-FR" w:bidi="ar-KW"/>
        </w:rPr>
        <w:t>,</w:t>
      </w:r>
      <w:r w:rsidR="000C6D4A" w:rsidRPr="00F1180D">
        <w:rPr>
          <w:lang w:val="fr-FR" w:bidi="ar-KW"/>
        </w:rPr>
        <w:t xml:space="preserve"> fondées sur le déploiement de diverses activités</w:t>
      </w:r>
      <w:r w:rsidR="00680ADA" w:rsidRPr="00F1180D">
        <w:rPr>
          <w:lang w:val="fr-FR" w:bidi="ar-KW"/>
        </w:rPr>
        <w:t>,</w:t>
      </w:r>
      <w:r w:rsidR="000C6D4A" w:rsidRPr="00F1180D">
        <w:rPr>
          <w:lang w:val="fr-FR" w:bidi="ar-KW"/>
        </w:rPr>
        <w:t xml:space="preserve"> parmi lesquelles les suivantes</w:t>
      </w:r>
      <w:r w:rsidR="00680ADA" w:rsidRPr="00F1180D">
        <w:rPr>
          <w:lang w:val="fr-FR" w:bidi="ar-KW"/>
        </w:rPr>
        <w:t>:</w:t>
      </w:r>
      <w:r w:rsidR="000C6D4A" w:rsidRPr="00F1180D">
        <w:rPr>
          <w:lang w:val="fr-FR" w:bidi="ar-KW"/>
        </w:rPr>
        <w:t xml:space="preserve"> </w:t>
      </w:r>
    </w:p>
    <w:p w:rsidR="000C6D4A" w:rsidRPr="00F1180D" w:rsidRDefault="000C6D4A" w:rsidP="004C4E04">
      <w:pPr>
        <w:pStyle w:val="Bullet1G"/>
        <w:rPr>
          <w:rtl/>
          <w:lang w:val="fr-FR" w:bidi="fr-FR"/>
        </w:rPr>
      </w:pPr>
      <w:r w:rsidRPr="00F1180D">
        <w:rPr>
          <w:lang w:val="fr-FR" w:bidi="ar-KW"/>
        </w:rPr>
        <w:t>La promotion de la création artistique et littéraire et la diffusion au sein de la société d</w:t>
      </w:r>
      <w:r w:rsidR="00680ADA" w:rsidRPr="00F1180D">
        <w:rPr>
          <w:lang w:val="fr-FR" w:bidi="ar-KW"/>
        </w:rPr>
        <w:t>’</w:t>
      </w:r>
      <w:r w:rsidRPr="00F1180D">
        <w:rPr>
          <w:lang w:val="fr-FR" w:bidi="ar-KW"/>
        </w:rPr>
        <w:t>une culture de qualité</w:t>
      </w:r>
      <w:r w:rsidR="00680ADA" w:rsidRPr="00F1180D">
        <w:rPr>
          <w:lang w:val="fr-FR" w:bidi="ar-KW"/>
        </w:rPr>
        <w:t>,</w:t>
      </w:r>
      <w:r w:rsidRPr="00F1180D">
        <w:rPr>
          <w:lang w:val="fr-FR" w:bidi="ar-KW"/>
        </w:rPr>
        <w:t xml:space="preserve"> la construction d</w:t>
      </w:r>
      <w:r w:rsidR="00680ADA" w:rsidRPr="00F1180D">
        <w:rPr>
          <w:lang w:val="fr-FR" w:bidi="ar-KW"/>
        </w:rPr>
        <w:t>’</w:t>
      </w:r>
      <w:r w:rsidRPr="00F1180D">
        <w:rPr>
          <w:lang w:val="fr-FR" w:bidi="ar-KW"/>
        </w:rPr>
        <w:t>infrastructures à vocation culturelle telles que théâtres</w:t>
      </w:r>
      <w:r w:rsidR="00680ADA" w:rsidRPr="00F1180D">
        <w:rPr>
          <w:lang w:val="fr-FR" w:bidi="ar-KW"/>
        </w:rPr>
        <w:t>,</w:t>
      </w:r>
      <w:r w:rsidRPr="00F1180D">
        <w:rPr>
          <w:lang w:val="fr-FR" w:bidi="ar-KW"/>
        </w:rPr>
        <w:t xml:space="preserve"> espaces culturels</w:t>
      </w:r>
      <w:r w:rsidR="00680ADA" w:rsidRPr="00F1180D">
        <w:rPr>
          <w:lang w:val="fr-FR" w:bidi="ar-KW"/>
        </w:rPr>
        <w:t>,</w:t>
      </w:r>
      <w:r w:rsidRPr="00F1180D">
        <w:rPr>
          <w:lang w:val="fr-FR" w:bidi="ar-KW"/>
        </w:rPr>
        <w:t xml:space="preserve"> musées et bibliothèques publiques</w:t>
      </w:r>
      <w:r w:rsidR="00680ADA" w:rsidRPr="00F1180D">
        <w:rPr>
          <w:lang w:val="fr-FR" w:bidi="ar-KW"/>
        </w:rPr>
        <w:t>,</w:t>
      </w:r>
      <w:r w:rsidRPr="00F1180D">
        <w:rPr>
          <w:lang w:val="fr-FR" w:bidi="ar-KW"/>
        </w:rPr>
        <w:t xml:space="preserve"> ainsi que l</w:t>
      </w:r>
      <w:r w:rsidR="00680ADA" w:rsidRPr="00F1180D">
        <w:rPr>
          <w:lang w:val="fr-FR" w:bidi="ar-KW"/>
        </w:rPr>
        <w:t>’</w:t>
      </w:r>
      <w:r w:rsidRPr="00F1180D">
        <w:rPr>
          <w:lang w:val="fr-FR" w:bidi="ar-KW"/>
        </w:rPr>
        <w:t>organisation de concours artistiques et littéraires</w:t>
      </w:r>
      <w:r w:rsidR="004C4E04" w:rsidRPr="00F1180D">
        <w:rPr>
          <w:lang w:val="fr-FR" w:bidi="ar-KW"/>
        </w:rPr>
        <w:t>;</w:t>
      </w:r>
      <w:r w:rsidRPr="00F1180D">
        <w:rPr>
          <w:lang w:val="fr-FR" w:bidi="ar-KW"/>
        </w:rPr>
        <w:t xml:space="preserve"> </w:t>
      </w:r>
    </w:p>
    <w:p w:rsidR="000C6D4A" w:rsidRPr="00F1180D" w:rsidRDefault="000C6D4A" w:rsidP="004C4E04">
      <w:pPr>
        <w:pStyle w:val="Bullet1G"/>
        <w:rPr>
          <w:rtl/>
          <w:lang w:val="fr-FR" w:bidi="fr-FR"/>
        </w:rPr>
      </w:pPr>
      <w:r w:rsidRPr="00F1180D">
        <w:rPr>
          <w:lang w:val="fr-FR" w:bidi="ar-KW"/>
        </w:rPr>
        <w:t>La reconstruction et la restauration du vaste patrimoine culturel koweïtien au cours des dernières décennies</w:t>
      </w:r>
      <w:r w:rsidR="00680ADA" w:rsidRPr="00F1180D">
        <w:rPr>
          <w:lang w:val="fr-FR" w:bidi="ar-KW"/>
        </w:rPr>
        <w:t>,</w:t>
      </w:r>
      <w:r w:rsidRPr="00F1180D">
        <w:rPr>
          <w:lang w:val="fr-FR" w:bidi="ar-KW"/>
        </w:rPr>
        <w:t xml:space="preserve"> afin de le dynamiser</w:t>
      </w:r>
      <w:r w:rsidR="00680ADA" w:rsidRPr="00F1180D">
        <w:rPr>
          <w:lang w:val="fr-FR" w:bidi="ar-KW"/>
        </w:rPr>
        <w:t>,</w:t>
      </w:r>
      <w:r w:rsidRPr="00F1180D">
        <w:rPr>
          <w:lang w:val="fr-FR" w:bidi="ar-KW"/>
        </w:rPr>
        <w:t xml:space="preserve"> de renouveler ses moyens d</w:t>
      </w:r>
      <w:r w:rsidR="00680ADA" w:rsidRPr="00F1180D">
        <w:rPr>
          <w:lang w:val="fr-FR" w:bidi="ar-KW"/>
        </w:rPr>
        <w:t>’</w:t>
      </w:r>
      <w:r w:rsidRPr="00F1180D">
        <w:rPr>
          <w:lang w:val="fr-FR" w:bidi="ar-KW"/>
        </w:rPr>
        <w:t>expression et ses promoteurs dans tous les secteurs</w:t>
      </w:r>
      <w:r w:rsidR="004C4E04" w:rsidRPr="00F1180D">
        <w:rPr>
          <w:lang w:val="fr-FR" w:bidi="ar-KW"/>
        </w:rPr>
        <w:t>;</w:t>
      </w:r>
      <w:r w:rsidRPr="00F1180D">
        <w:rPr>
          <w:lang w:val="fr-FR" w:bidi="ar-KW"/>
        </w:rPr>
        <w:t xml:space="preserve"> </w:t>
      </w:r>
    </w:p>
    <w:p w:rsidR="000C6D4A" w:rsidRPr="00F1180D" w:rsidRDefault="000C6D4A" w:rsidP="004C4E04">
      <w:pPr>
        <w:pStyle w:val="Bullet1G"/>
        <w:rPr>
          <w:lang w:val="fr-FR" w:bidi="ar-KW"/>
        </w:rPr>
      </w:pPr>
      <w:r w:rsidRPr="00F1180D">
        <w:rPr>
          <w:lang w:val="fr-FR" w:bidi="ar-KW"/>
        </w:rPr>
        <w:t>Le développement de la liberté d</w:t>
      </w:r>
      <w:r w:rsidR="00680ADA" w:rsidRPr="00F1180D">
        <w:rPr>
          <w:lang w:val="fr-FR" w:bidi="ar-KW"/>
        </w:rPr>
        <w:t>’</w:t>
      </w:r>
      <w:r w:rsidRPr="00F1180D">
        <w:rPr>
          <w:lang w:val="fr-FR" w:bidi="ar-KW"/>
        </w:rPr>
        <w:t>expression en insufflant un esprit créatif et innovant aux acteurs sociaux</w:t>
      </w:r>
      <w:r w:rsidR="00680ADA" w:rsidRPr="00F1180D">
        <w:rPr>
          <w:lang w:val="fr-FR" w:bidi="ar-KW"/>
        </w:rPr>
        <w:t>,</w:t>
      </w:r>
      <w:r w:rsidRPr="00F1180D">
        <w:rPr>
          <w:lang w:val="fr-FR" w:bidi="ar-KW"/>
        </w:rPr>
        <w:t xml:space="preserve"> en éliminant tous les obstacles à la liberté d</w:t>
      </w:r>
      <w:r w:rsidR="00680ADA" w:rsidRPr="00F1180D">
        <w:rPr>
          <w:lang w:val="fr-FR" w:bidi="ar-KW"/>
        </w:rPr>
        <w:t>’</w:t>
      </w:r>
      <w:r w:rsidRPr="00F1180D">
        <w:rPr>
          <w:lang w:val="fr-FR" w:bidi="ar-KW"/>
        </w:rPr>
        <w:t>information et en levant les restrictions administratives</w:t>
      </w:r>
      <w:r w:rsidR="004C4E04" w:rsidRPr="00F1180D">
        <w:rPr>
          <w:lang w:val="fr-FR" w:bidi="ar-KW"/>
        </w:rPr>
        <w:t>;</w:t>
      </w:r>
      <w:r w:rsidRPr="00F1180D">
        <w:rPr>
          <w:lang w:val="fr-FR" w:bidi="ar-KW"/>
        </w:rPr>
        <w:t xml:space="preserve"> </w:t>
      </w:r>
    </w:p>
    <w:p w:rsidR="000C6D4A" w:rsidRPr="00F1180D" w:rsidRDefault="000C6D4A" w:rsidP="004C4E04">
      <w:pPr>
        <w:pStyle w:val="Bullet1G"/>
        <w:rPr>
          <w:lang w:val="fr-FR" w:bidi="ar-KW"/>
        </w:rPr>
      </w:pPr>
      <w:r w:rsidRPr="00F1180D">
        <w:rPr>
          <w:lang w:val="fr-FR" w:bidi="ar-KW"/>
        </w:rPr>
        <w:t>La promotion des productions culturelles</w:t>
      </w:r>
      <w:r w:rsidR="00680ADA" w:rsidRPr="00F1180D">
        <w:rPr>
          <w:lang w:val="fr-FR" w:bidi="ar-KW"/>
        </w:rPr>
        <w:t>,</w:t>
      </w:r>
      <w:r w:rsidRPr="00F1180D">
        <w:rPr>
          <w:lang w:val="fr-FR" w:bidi="ar-KW"/>
        </w:rPr>
        <w:t xml:space="preserve"> artistiques et littéraires et le développement des moyens de leur diffusion par la construction d</w:t>
      </w:r>
      <w:r w:rsidR="00680ADA" w:rsidRPr="00F1180D">
        <w:rPr>
          <w:lang w:val="fr-FR" w:bidi="ar-KW"/>
        </w:rPr>
        <w:t>’</w:t>
      </w:r>
      <w:r w:rsidRPr="00F1180D">
        <w:rPr>
          <w:lang w:val="fr-FR" w:bidi="ar-KW"/>
        </w:rPr>
        <w:t>établissements modernes</w:t>
      </w:r>
      <w:r w:rsidR="00680ADA" w:rsidRPr="00F1180D">
        <w:rPr>
          <w:lang w:val="fr-FR" w:bidi="ar-KW"/>
        </w:rPr>
        <w:t>,</w:t>
      </w:r>
      <w:r w:rsidRPr="00F1180D">
        <w:rPr>
          <w:lang w:val="fr-FR" w:bidi="ar-KW"/>
        </w:rPr>
        <w:t xml:space="preserve"> tels que des complexes culturels et des galeries d</w:t>
      </w:r>
      <w:r w:rsidR="00680ADA" w:rsidRPr="00F1180D">
        <w:rPr>
          <w:lang w:val="fr-FR" w:bidi="ar-KW"/>
        </w:rPr>
        <w:t>’</w:t>
      </w:r>
      <w:r w:rsidRPr="00F1180D">
        <w:rPr>
          <w:lang w:val="fr-FR" w:bidi="ar-KW"/>
        </w:rPr>
        <w:t>arts plastiques</w:t>
      </w:r>
      <w:r w:rsidR="004C4E04" w:rsidRPr="00F1180D">
        <w:rPr>
          <w:lang w:val="fr-FR" w:bidi="ar-KW"/>
        </w:rPr>
        <w:t>;</w:t>
      </w:r>
    </w:p>
    <w:p w:rsidR="000C6D4A" w:rsidRPr="00F1180D" w:rsidRDefault="000C6D4A" w:rsidP="004C4E04">
      <w:pPr>
        <w:pStyle w:val="Bullet1G"/>
        <w:rPr>
          <w:lang w:val="fr-FR" w:bidi="ar-KW"/>
        </w:rPr>
      </w:pPr>
      <w:r w:rsidRPr="00F1180D">
        <w:rPr>
          <w:lang w:val="fr-FR" w:bidi="ar-KW"/>
        </w:rPr>
        <w:t>Le renforcement des capacités</w:t>
      </w:r>
      <w:r w:rsidR="00680ADA" w:rsidRPr="00F1180D">
        <w:rPr>
          <w:lang w:val="fr-FR" w:bidi="ar-KW"/>
        </w:rPr>
        <w:t>,</w:t>
      </w:r>
      <w:r w:rsidRPr="00F1180D">
        <w:rPr>
          <w:lang w:val="fr-FR" w:bidi="ar-KW"/>
        </w:rPr>
        <w:t xml:space="preserve"> dons et compétences artistiques des élèves au niveau de l</w:t>
      </w:r>
      <w:r w:rsidR="00680ADA" w:rsidRPr="00F1180D">
        <w:rPr>
          <w:lang w:val="fr-FR" w:bidi="ar-KW"/>
        </w:rPr>
        <w:t>’</w:t>
      </w:r>
      <w:r w:rsidRPr="00F1180D">
        <w:rPr>
          <w:lang w:val="fr-FR" w:bidi="ar-KW"/>
        </w:rPr>
        <w:t>enseignement public afin de contribuer à l</w:t>
      </w:r>
      <w:r w:rsidR="00680ADA" w:rsidRPr="00F1180D">
        <w:rPr>
          <w:lang w:val="fr-FR" w:bidi="ar-KW"/>
        </w:rPr>
        <w:t>’</w:t>
      </w:r>
      <w:r w:rsidRPr="00F1180D">
        <w:rPr>
          <w:lang w:val="fr-FR" w:bidi="ar-KW"/>
        </w:rPr>
        <w:t>émergence d</w:t>
      </w:r>
      <w:r w:rsidR="00680ADA" w:rsidRPr="00F1180D">
        <w:rPr>
          <w:lang w:val="fr-FR" w:bidi="ar-KW"/>
        </w:rPr>
        <w:t>’</w:t>
      </w:r>
      <w:r w:rsidRPr="00F1180D">
        <w:rPr>
          <w:lang w:val="fr-FR" w:bidi="ar-KW"/>
        </w:rPr>
        <w:t>une génération créative susceptible de consolider la place de la culture au sein de la société</w:t>
      </w:r>
      <w:r w:rsidR="004C4E04" w:rsidRPr="00F1180D">
        <w:rPr>
          <w:lang w:val="fr-FR" w:bidi="ar-KW"/>
        </w:rPr>
        <w:t>;</w:t>
      </w:r>
      <w:r w:rsidRPr="00F1180D">
        <w:rPr>
          <w:lang w:val="fr-FR" w:bidi="ar-KW"/>
        </w:rPr>
        <w:t xml:space="preserve"> </w:t>
      </w:r>
    </w:p>
    <w:p w:rsidR="000C6D4A" w:rsidRPr="00F1180D" w:rsidRDefault="000C6D4A" w:rsidP="004C4E04">
      <w:pPr>
        <w:pStyle w:val="Bullet1G"/>
        <w:rPr>
          <w:lang w:val="fr-FR" w:bidi="ar-KW"/>
        </w:rPr>
      </w:pPr>
      <w:r w:rsidRPr="00F1180D">
        <w:rPr>
          <w:lang w:val="fr-FR" w:bidi="ar-KW"/>
        </w:rPr>
        <w:t>Le rejet de l</w:t>
      </w:r>
      <w:r w:rsidR="00680ADA" w:rsidRPr="00F1180D">
        <w:rPr>
          <w:lang w:val="fr-FR" w:bidi="ar-KW"/>
        </w:rPr>
        <w:t>’</w:t>
      </w:r>
      <w:r w:rsidRPr="00F1180D">
        <w:rPr>
          <w:lang w:val="fr-FR" w:bidi="ar-KW"/>
        </w:rPr>
        <w:t>extrémisme et du fanatisme en prônant la modération et en instaurant un environnement propice à son développement et au dialogue communautaire élargi</w:t>
      </w:r>
      <w:r w:rsidR="00680ADA" w:rsidRPr="00F1180D">
        <w:rPr>
          <w:lang w:val="fr-FR" w:bidi="ar-KW"/>
        </w:rPr>
        <w:t>,</w:t>
      </w:r>
      <w:r w:rsidRPr="00F1180D">
        <w:rPr>
          <w:lang w:val="fr-FR" w:bidi="ar-KW"/>
        </w:rPr>
        <w:t xml:space="preserve"> sans porter atteinte à l</w:t>
      </w:r>
      <w:r w:rsidR="00680ADA" w:rsidRPr="00F1180D">
        <w:rPr>
          <w:lang w:val="fr-FR" w:bidi="ar-KW"/>
        </w:rPr>
        <w:t>’</w:t>
      </w:r>
      <w:r w:rsidRPr="00F1180D">
        <w:rPr>
          <w:lang w:val="fr-FR" w:bidi="ar-KW"/>
        </w:rPr>
        <w:t>expression intellectuelle</w:t>
      </w:r>
      <w:r w:rsidR="00680ADA" w:rsidRPr="00F1180D">
        <w:rPr>
          <w:lang w:val="fr-FR" w:bidi="ar-KW"/>
        </w:rPr>
        <w:t>,</w:t>
      </w:r>
      <w:r w:rsidRPr="00F1180D">
        <w:rPr>
          <w:lang w:val="fr-FR" w:bidi="ar-KW"/>
        </w:rPr>
        <w:t xml:space="preserve"> ni entraver les efforts d</w:t>
      </w:r>
      <w:r w:rsidR="00680ADA" w:rsidRPr="00F1180D">
        <w:rPr>
          <w:lang w:val="fr-FR" w:bidi="ar-KW"/>
        </w:rPr>
        <w:t>’</w:t>
      </w:r>
      <w:r w:rsidRPr="00F1180D">
        <w:rPr>
          <w:lang w:val="fr-FR" w:bidi="ar-KW"/>
        </w:rPr>
        <w:t>innovation ou le droit à la différence</w:t>
      </w:r>
      <w:r w:rsidR="004C4E04" w:rsidRPr="00F1180D">
        <w:rPr>
          <w:lang w:val="fr-FR" w:bidi="ar-KW"/>
        </w:rPr>
        <w:t>;</w:t>
      </w:r>
      <w:r w:rsidRPr="00F1180D">
        <w:rPr>
          <w:lang w:val="fr-FR" w:bidi="ar-KW"/>
        </w:rPr>
        <w:t xml:space="preserve"> </w:t>
      </w:r>
    </w:p>
    <w:p w:rsidR="000C6D4A" w:rsidRPr="00F1180D" w:rsidRDefault="000C6D4A" w:rsidP="004C4E04">
      <w:pPr>
        <w:pStyle w:val="Bullet1G"/>
        <w:rPr>
          <w:lang w:val="fr-FR" w:bidi="ar-KW"/>
        </w:rPr>
      </w:pPr>
      <w:r w:rsidRPr="00F1180D">
        <w:rPr>
          <w:lang w:val="fr-FR" w:bidi="ar-KW"/>
        </w:rPr>
        <w:t>La mise à niveau des bibliothèques publiques en les dotant de moyens plus modernes leur permettant de renforcer leur rôle dans la promotion de la lecture et du libre accès des personnes au savoir et à la connaissance pour leur donner les moyens de s</w:t>
      </w:r>
      <w:r w:rsidR="00680ADA" w:rsidRPr="00F1180D">
        <w:rPr>
          <w:lang w:val="fr-FR" w:bidi="ar-KW"/>
        </w:rPr>
        <w:t>’</w:t>
      </w:r>
      <w:r w:rsidRPr="00F1180D">
        <w:rPr>
          <w:lang w:val="fr-FR" w:bidi="ar-KW"/>
        </w:rPr>
        <w:t>instruire et de se forger un esprit libre</w:t>
      </w:r>
      <w:r w:rsidR="00680ADA" w:rsidRPr="00F1180D">
        <w:rPr>
          <w:lang w:val="fr-FR" w:bidi="ar-KW"/>
        </w:rPr>
        <w:t>,</w:t>
      </w:r>
      <w:r w:rsidRPr="00F1180D">
        <w:rPr>
          <w:lang w:val="fr-FR" w:bidi="ar-KW"/>
        </w:rPr>
        <w:t xml:space="preserve"> critique et innovant</w:t>
      </w:r>
      <w:r w:rsidR="004C4E04" w:rsidRPr="00F1180D">
        <w:rPr>
          <w:lang w:val="fr-FR" w:bidi="ar-KW"/>
        </w:rPr>
        <w:t>;</w:t>
      </w:r>
      <w:r w:rsidRPr="00F1180D">
        <w:rPr>
          <w:lang w:val="fr-FR" w:bidi="ar-KW"/>
        </w:rPr>
        <w:t xml:space="preserve"> </w:t>
      </w:r>
    </w:p>
    <w:p w:rsidR="000C6D4A" w:rsidRPr="00F1180D" w:rsidRDefault="000C6D4A" w:rsidP="004C4E04">
      <w:pPr>
        <w:pStyle w:val="Bullet1G"/>
        <w:rPr>
          <w:lang w:val="fr-FR" w:bidi="ar-KW"/>
        </w:rPr>
      </w:pPr>
      <w:r w:rsidRPr="00F1180D">
        <w:rPr>
          <w:lang w:val="fr-FR" w:bidi="ar-KW"/>
        </w:rPr>
        <w:t>La promotion des différents musées nationaux (musées historiques</w:t>
      </w:r>
      <w:r w:rsidR="00680ADA" w:rsidRPr="00F1180D">
        <w:rPr>
          <w:lang w:val="fr-FR" w:bidi="ar-KW"/>
        </w:rPr>
        <w:t>,</w:t>
      </w:r>
      <w:r w:rsidRPr="00F1180D">
        <w:rPr>
          <w:lang w:val="fr-FR" w:bidi="ar-KW"/>
        </w:rPr>
        <w:t xml:space="preserve"> musées des arts et des sciences)</w:t>
      </w:r>
      <w:r w:rsidR="00680ADA" w:rsidRPr="00F1180D">
        <w:rPr>
          <w:lang w:val="fr-FR" w:bidi="ar-KW"/>
        </w:rPr>
        <w:t>,</w:t>
      </w:r>
      <w:r w:rsidRPr="00F1180D">
        <w:rPr>
          <w:lang w:val="fr-FR" w:bidi="ar-KW"/>
        </w:rPr>
        <w:t xml:space="preserve"> ainsi que des lieux d</w:t>
      </w:r>
      <w:r w:rsidR="00680ADA" w:rsidRPr="00F1180D">
        <w:rPr>
          <w:lang w:val="fr-FR" w:bidi="ar-KW"/>
        </w:rPr>
        <w:t>’</w:t>
      </w:r>
      <w:r w:rsidRPr="00F1180D">
        <w:rPr>
          <w:lang w:val="fr-FR" w:bidi="ar-KW"/>
        </w:rPr>
        <w:t>expositions artistiques</w:t>
      </w:r>
      <w:r w:rsidR="00680ADA" w:rsidRPr="00F1180D">
        <w:rPr>
          <w:lang w:val="fr-FR" w:bidi="ar-KW"/>
        </w:rPr>
        <w:t>,</w:t>
      </w:r>
      <w:r w:rsidRPr="00F1180D">
        <w:rPr>
          <w:lang w:val="fr-FR" w:bidi="ar-KW"/>
        </w:rPr>
        <w:t xml:space="preserve"> des galeries d</w:t>
      </w:r>
      <w:r w:rsidR="00680ADA" w:rsidRPr="00F1180D">
        <w:rPr>
          <w:lang w:val="fr-FR" w:bidi="ar-KW"/>
        </w:rPr>
        <w:t>’</w:t>
      </w:r>
      <w:r w:rsidRPr="00F1180D">
        <w:rPr>
          <w:lang w:val="fr-FR" w:bidi="ar-KW"/>
        </w:rPr>
        <w:t>arts plastiques et des salles de concert</w:t>
      </w:r>
      <w:r w:rsidR="004C4E04" w:rsidRPr="00F1180D">
        <w:rPr>
          <w:lang w:val="fr-FR" w:bidi="ar-KW"/>
        </w:rPr>
        <w:t>;</w:t>
      </w:r>
    </w:p>
    <w:p w:rsidR="000C6D4A" w:rsidRPr="00F1180D" w:rsidRDefault="000C6D4A" w:rsidP="004C4E04">
      <w:pPr>
        <w:pStyle w:val="Bullet1G"/>
        <w:rPr>
          <w:lang w:val="fr-FR" w:bidi="ar-KW"/>
        </w:rPr>
      </w:pPr>
      <w:r w:rsidRPr="00F1180D">
        <w:rPr>
          <w:lang w:val="fr-FR" w:bidi="ar-KW"/>
        </w:rPr>
        <w:t>La promotion d</w:t>
      </w:r>
      <w:r w:rsidR="00680ADA" w:rsidRPr="00F1180D">
        <w:rPr>
          <w:lang w:val="fr-FR" w:bidi="ar-KW"/>
        </w:rPr>
        <w:t>’</w:t>
      </w:r>
      <w:r w:rsidRPr="00F1180D">
        <w:rPr>
          <w:lang w:val="fr-FR" w:bidi="ar-KW"/>
        </w:rPr>
        <w:t>activités artistiques de qualité visant à promouvoir la culture auprès des enfants et à développer et affiner leurs talents</w:t>
      </w:r>
      <w:r w:rsidR="00680ADA" w:rsidRPr="00F1180D">
        <w:rPr>
          <w:lang w:val="fr-FR" w:bidi="ar-KW"/>
        </w:rPr>
        <w:t>,</w:t>
      </w:r>
      <w:r w:rsidRPr="00F1180D">
        <w:rPr>
          <w:lang w:val="fr-FR" w:bidi="ar-KW"/>
        </w:rPr>
        <w:t xml:space="preserve"> tout en contrôlant les produits culturels destinés aux enfants afin de prévenir tout risque d</w:t>
      </w:r>
      <w:r w:rsidR="00680ADA" w:rsidRPr="00F1180D">
        <w:rPr>
          <w:lang w:val="fr-FR" w:bidi="ar-KW"/>
        </w:rPr>
        <w:t>’</w:t>
      </w:r>
      <w:r w:rsidRPr="00F1180D">
        <w:rPr>
          <w:lang w:val="fr-FR" w:bidi="ar-KW"/>
        </w:rPr>
        <w:t xml:space="preserve">effet préjudiciable sur les jeunes esprits. </w:t>
      </w:r>
    </w:p>
    <w:p w:rsidR="000C6D4A" w:rsidRPr="00F1180D" w:rsidRDefault="00930AE5" w:rsidP="00680ADA">
      <w:pPr>
        <w:pStyle w:val="SingleTxtG"/>
        <w:rPr>
          <w:lang w:val="fr-FR" w:bidi="ar-KW"/>
        </w:rPr>
      </w:pPr>
      <w:r>
        <w:rPr>
          <w:lang w:val="fr-FR" w:bidi="ar-KW"/>
        </w:rPr>
        <w:t>107.</w:t>
      </w:r>
      <w:r>
        <w:rPr>
          <w:lang w:val="fr-FR" w:bidi="ar-KW"/>
        </w:rPr>
        <w:tab/>
      </w:r>
      <w:r w:rsidR="000C6D4A" w:rsidRPr="00F1180D">
        <w:rPr>
          <w:lang w:val="fr-FR" w:bidi="ar-KW"/>
        </w:rPr>
        <w:t>Il convient d</w:t>
      </w:r>
      <w:r w:rsidR="00680ADA" w:rsidRPr="00F1180D">
        <w:rPr>
          <w:lang w:val="fr-FR" w:bidi="ar-KW"/>
        </w:rPr>
        <w:t>’</w:t>
      </w:r>
      <w:r w:rsidR="000C6D4A" w:rsidRPr="00F1180D">
        <w:rPr>
          <w:lang w:val="fr-FR" w:bidi="ar-KW"/>
        </w:rPr>
        <w:t>affirmer à cet égard que tous les moyens permettant de participer aux activités culturelles et d</w:t>
      </w:r>
      <w:r w:rsidR="00680ADA" w:rsidRPr="00F1180D">
        <w:rPr>
          <w:lang w:val="fr-FR" w:bidi="ar-KW"/>
        </w:rPr>
        <w:t>’</w:t>
      </w:r>
      <w:r w:rsidR="000C6D4A" w:rsidRPr="00F1180D">
        <w:rPr>
          <w:lang w:val="fr-FR" w:bidi="ar-KW"/>
        </w:rPr>
        <w:t>en tirer profit</w:t>
      </w:r>
      <w:r w:rsidR="00680ADA" w:rsidRPr="00F1180D">
        <w:rPr>
          <w:lang w:val="fr-FR" w:bidi="ar-KW"/>
        </w:rPr>
        <w:t>,</w:t>
      </w:r>
      <w:r w:rsidR="000C6D4A" w:rsidRPr="00F1180D">
        <w:rPr>
          <w:lang w:val="fr-FR" w:bidi="ar-KW"/>
        </w:rPr>
        <w:t xml:space="preserve"> ainsi que les lieux de divertissement</w:t>
      </w:r>
      <w:r w:rsidR="00680ADA" w:rsidRPr="00F1180D">
        <w:rPr>
          <w:lang w:val="fr-FR" w:bidi="ar-KW"/>
        </w:rPr>
        <w:t>,</w:t>
      </w:r>
      <w:r w:rsidR="000C6D4A" w:rsidRPr="00F1180D">
        <w:rPr>
          <w:lang w:val="fr-FR" w:bidi="ar-KW"/>
        </w:rPr>
        <w:t xml:space="preserve"> notamment les théâtres et les cafés</w:t>
      </w:r>
      <w:r w:rsidR="00680ADA" w:rsidRPr="00F1180D">
        <w:rPr>
          <w:lang w:val="fr-FR" w:bidi="ar-KW"/>
        </w:rPr>
        <w:t>,</w:t>
      </w:r>
      <w:r w:rsidR="000C6D4A" w:rsidRPr="00F1180D">
        <w:rPr>
          <w:lang w:val="fr-FR" w:bidi="ar-KW"/>
        </w:rPr>
        <w:t xml:space="preserve"> sont accessibles à tous sans aucune distinction et aucune loi n</w:t>
      </w:r>
      <w:r w:rsidR="00680ADA" w:rsidRPr="00F1180D">
        <w:rPr>
          <w:lang w:val="fr-FR" w:bidi="ar-KW"/>
        </w:rPr>
        <w:t>’</w:t>
      </w:r>
      <w:r w:rsidR="000C6D4A" w:rsidRPr="00F1180D">
        <w:rPr>
          <w:lang w:val="fr-FR" w:bidi="ar-KW"/>
        </w:rPr>
        <w:t>interdit d</w:t>
      </w:r>
      <w:r w:rsidR="00680ADA" w:rsidRPr="00F1180D">
        <w:rPr>
          <w:lang w:val="fr-FR" w:bidi="ar-KW"/>
        </w:rPr>
        <w:t>’</w:t>
      </w:r>
      <w:r w:rsidR="000C6D4A" w:rsidRPr="00F1180D">
        <w:rPr>
          <w:lang w:val="fr-FR" w:bidi="ar-KW"/>
        </w:rPr>
        <w:t>y participer et d</w:t>
      </w:r>
      <w:r w:rsidR="00680ADA" w:rsidRPr="00F1180D">
        <w:rPr>
          <w:lang w:val="fr-FR" w:bidi="ar-KW"/>
        </w:rPr>
        <w:t>’</w:t>
      </w:r>
      <w:r w:rsidR="000C6D4A" w:rsidRPr="00F1180D">
        <w:rPr>
          <w:lang w:val="fr-FR" w:bidi="ar-KW"/>
        </w:rPr>
        <w:t xml:space="preserve">en bénéficier. </w:t>
      </w:r>
    </w:p>
    <w:p w:rsidR="000C6D4A" w:rsidRPr="00F1180D" w:rsidRDefault="004C4E04" w:rsidP="004C4E04">
      <w:pPr>
        <w:pStyle w:val="H23G"/>
        <w:rPr>
          <w:b w:val="0"/>
          <w:rtl/>
          <w:lang w:val="fr-FR" w:bidi="fr-FR"/>
        </w:rPr>
      </w:pPr>
      <w:r w:rsidRPr="00F1180D">
        <w:rPr>
          <w:lang w:val="fr-FR" w:bidi="ar-KW"/>
        </w:rPr>
        <w:tab/>
      </w:r>
      <w:r w:rsidRPr="00F1180D">
        <w:rPr>
          <w:lang w:val="fr-FR" w:bidi="ar-KW"/>
        </w:rPr>
        <w:tab/>
      </w:r>
      <w:r w:rsidR="00F40669" w:rsidRPr="00F1180D">
        <w:rPr>
          <w:lang w:val="fr-FR" w:bidi="ar-KW"/>
        </w:rPr>
        <w:t xml:space="preserve">Paragraphe </w:t>
      </w:r>
      <w:r w:rsidRPr="00F1180D">
        <w:rPr>
          <w:lang w:val="fr-FR" w:bidi="ar-KW"/>
        </w:rPr>
        <w:t>f)</w:t>
      </w:r>
      <w:r w:rsidR="000C6D4A" w:rsidRPr="00F1180D">
        <w:rPr>
          <w:lang w:val="fr-FR" w:bidi="ar-KW"/>
        </w:rPr>
        <w:t xml:space="preserve"> </w:t>
      </w:r>
    </w:p>
    <w:p w:rsidR="000C6D4A" w:rsidRPr="00F1180D" w:rsidRDefault="00930AE5" w:rsidP="00680ADA">
      <w:pPr>
        <w:pStyle w:val="SingleTxtG"/>
        <w:rPr>
          <w:rtl/>
          <w:lang w:val="fr-FR" w:bidi="fr-FR"/>
        </w:rPr>
      </w:pPr>
      <w:r>
        <w:rPr>
          <w:lang w:val="fr-FR" w:bidi="ar-KW"/>
        </w:rPr>
        <w:t>108.</w:t>
      </w:r>
      <w:r>
        <w:rPr>
          <w:lang w:val="fr-FR" w:bidi="ar-KW"/>
        </w:rPr>
        <w:tab/>
      </w:r>
      <w:r w:rsidR="000C6D4A" w:rsidRPr="00F1180D">
        <w:rPr>
          <w:lang w:val="fr-FR" w:bidi="ar-KW"/>
        </w:rPr>
        <w:t>Le droit d</w:t>
      </w:r>
      <w:r w:rsidR="00680ADA" w:rsidRPr="00F1180D">
        <w:rPr>
          <w:lang w:val="fr-FR" w:bidi="ar-KW"/>
        </w:rPr>
        <w:t>’</w:t>
      </w:r>
      <w:r w:rsidR="000C6D4A" w:rsidRPr="00F1180D">
        <w:rPr>
          <w:lang w:val="fr-FR" w:bidi="ar-KW"/>
        </w:rPr>
        <w:t>accès aux lieux et services destinés à l</w:t>
      </w:r>
      <w:r w:rsidR="00680ADA" w:rsidRPr="00F1180D">
        <w:rPr>
          <w:lang w:val="fr-FR" w:bidi="ar-KW"/>
        </w:rPr>
        <w:t>’</w:t>
      </w:r>
      <w:r w:rsidR="000C6D4A" w:rsidRPr="00F1180D">
        <w:rPr>
          <w:lang w:val="fr-FR" w:bidi="ar-KW"/>
        </w:rPr>
        <w:t>usage du public</w:t>
      </w:r>
      <w:r w:rsidR="00680ADA" w:rsidRPr="00F1180D">
        <w:rPr>
          <w:lang w:val="fr-FR" w:bidi="ar-KW"/>
        </w:rPr>
        <w:t>,</w:t>
      </w:r>
      <w:r w:rsidR="000C6D4A" w:rsidRPr="00F1180D">
        <w:rPr>
          <w:lang w:val="fr-FR" w:bidi="ar-KW"/>
        </w:rPr>
        <w:t xml:space="preserve"> tels que moyens de transport</w:t>
      </w:r>
      <w:r w:rsidR="00680ADA" w:rsidRPr="00F1180D">
        <w:rPr>
          <w:lang w:val="fr-FR" w:bidi="ar-KW"/>
        </w:rPr>
        <w:t>,</w:t>
      </w:r>
      <w:r w:rsidR="000C6D4A" w:rsidRPr="00F1180D">
        <w:rPr>
          <w:lang w:val="fr-FR" w:bidi="ar-KW"/>
        </w:rPr>
        <w:t xml:space="preserve"> hôtels</w:t>
      </w:r>
      <w:r w:rsidR="00680ADA" w:rsidRPr="00F1180D">
        <w:rPr>
          <w:lang w:val="fr-FR" w:bidi="ar-KW"/>
        </w:rPr>
        <w:t>,</w:t>
      </w:r>
      <w:r w:rsidR="000C6D4A" w:rsidRPr="00F1180D">
        <w:rPr>
          <w:lang w:val="fr-FR" w:bidi="ar-KW"/>
        </w:rPr>
        <w:t xml:space="preserve"> restaurants</w:t>
      </w:r>
      <w:r w:rsidR="00680ADA" w:rsidRPr="00F1180D">
        <w:rPr>
          <w:lang w:val="fr-FR" w:bidi="ar-KW"/>
        </w:rPr>
        <w:t>,</w:t>
      </w:r>
      <w:r w:rsidR="000C6D4A" w:rsidRPr="00F1180D">
        <w:rPr>
          <w:lang w:val="fr-FR" w:bidi="ar-KW"/>
        </w:rPr>
        <w:t xml:space="preserve"> cafés</w:t>
      </w:r>
      <w:r w:rsidR="00680ADA" w:rsidRPr="00F1180D">
        <w:rPr>
          <w:lang w:val="fr-FR" w:bidi="ar-KW"/>
        </w:rPr>
        <w:t>,</w:t>
      </w:r>
      <w:r w:rsidR="000C6D4A" w:rsidRPr="00F1180D">
        <w:rPr>
          <w:lang w:val="fr-FR" w:bidi="ar-KW"/>
        </w:rPr>
        <w:t xml:space="preserve"> spectacles et parcs est reconnu à tous sans distinction ou discrimination dans la mesure où il relève de la libre circulation garantie par la Constitution</w:t>
      </w:r>
      <w:r w:rsidR="00680ADA" w:rsidRPr="00F1180D">
        <w:rPr>
          <w:lang w:val="fr-FR" w:bidi="ar-KW"/>
        </w:rPr>
        <w:t>,</w:t>
      </w:r>
      <w:r w:rsidR="000C6D4A" w:rsidRPr="00F1180D">
        <w:rPr>
          <w:lang w:val="fr-FR" w:bidi="ar-KW"/>
        </w:rPr>
        <w:t xml:space="preserve"> comme souligné précédemment au </w:t>
      </w:r>
      <w:r w:rsidR="00410CA5" w:rsidRPr="00F1180D">
        <w:rPr>
          <w:lang w:val="fr-FR" w:bidi="ar-KW"/>
        </w:rPr>
        <w:t>paragraphe </w:t>
      </w:r>
      <w:r w:rsidR="00615886" w:rsidRPr="00F1180D">
        <w:rPr>
          <w:lang w:val="fr-FR" w:bidi="ar-KW"/>
        </w:rPr>
        <w:t>d) i)</w:t>
      </w:r>
      <w:r w:rsidR="000C6D4A" w:rsidRPr="00F1180D">
        <w:rPr>
          <w:lang w:val="fr-FR" w:bidi="ar-KW"/>
        </w:rPr>
        <w:t xml:space="preserve"> de l</w:t>
      </w:r>
      <w:r w:rsidR="00680ADA" w:rsidRPr="00F1180D">
        <w:rPr>
          <w:lang w:val="fr-FR" w:bidi="ar-KW"/>
        </w:rPr>
        <w:t>’</w:t>
      </w:r>
      <w:r w:rsidR="00163207" w:rsidRPr="00F1180D">
        <w:rPr>
          <w:lang w:val="fr-FR" w:bidi="ar-KW"/>
        </w:rPr>
        <w:t>article </w:t>
      </w:r>
      <w:r w:rsidR="000C6D4A" w:rsidRPr="00F1180D">
        <w:rPr>
          <w:lang w:val="fr-FR" w:bidi="ar-KW"/>
        </w:rPr>
        <w:t xml:space="preserve">5. </w:t>
      </w:r>
    </w:p>
    <w:p w:rsidR="000C6D4A" w:rsidRPr="00F1180D" w:rsidRDefault="004C4E04" w:rsidP="004C4E04">
      <w:pPr>
        <w:pStyle w:val="H1G"/>
        <w:rPr>
          <w:bCs/>
          <w:sz w:val="20"/>
          <w:rtl/>
          <w:lang w:val="fr-FR" w:bidi="fr-FR"/>
        </w:rPr>
      </w:pPr>
      <w:r w:rsidRPr="00F1180D">
        <w:rPr>
          <w:lang w:val="fr-FR" w:bidi="ar-KW"/>
        </w:rPr>
        <w:lastRenderedPageBreak/>
        <w:tab/>
      </w:r>
      <w:r w:rsidRPr="00F1180D">
        <w:rPr>
          <w:lang w:val="fr-FR" w:bidi="ar-KW"/>
        </w:rPr>
        <w:tab/>
      </w:r>
      <w:r w:rsidR="00163207" w:rsidRPr="00F1180D">
        <w:rPr>
          <w:lang w:val="fr-FR" w:bidi="ar-KW"/>
        </w:rPr>
        <w:t>Article </w:t>
      </w:r>
      <w:r w:rsidR="000C6D4A" w:rsidRPr="00F1180D">
        <w:rPr>
          <w:lang w:val="fr-FR" w:bidi="ar-KW"/>
        </w:rPr>
        <w:t>6</w:t>
      </w:r>
    </w:p>
    <w:p w:rsidR="000C6D4A" w:rsidRPr="00F1180D" w:rsidRDefault="00930AE5" w:rsidP="00680ADA">
      <w:pPr>
        <w:pStyle w:val="SingleTxtG"/>
        <w:rPr>
          <w:rtl/>
          <w:lang w:val="fr-FR" w:bidi="fr-FR"/>
        </w:rPr>
      </w:pPr>
      <w:r>
        <w:rPr>
          <w:lang w:val="fr-FR" w:bidi="ar-KW"/>
        </w:rPr>
        <w:t>109.</w:t>
      </w:r>
      <w:r>
        <w:rPr>
          <w:lang w:val="fr-FR" w:bidi="ar-KW"/>
        </w:rPr>
        <w:tab/>
      </w:r>
      <w:r w:rsidR="000C6D4A" w:rsidRPr="00F1180D">
        <w:rPr>
          <w:lang w:val="fr-FR" w:bidi="ar-KW"/>
        </w:rPr>
        <w:t>Parmi les droits fondamentaux consacrés par la Constitution koweïtienne</w:t>
      </w:r>
      <w:r w:rsidR="00680ADA" w:rsidRPr="00F1180D">
        <w:rPr>
          <w:lang w:val="fr-FR" w:bidi="ar-KW"/>
        </w:rPr>
        <w:t>,</w:t>
      </w:r>
      <w:r w:rsidR="000C6D4A" w:rsidRPr="00F1180D">
        <w:rPr>
          <w:lang w:val="fr-FR" w:bidi="ar-KW"/>
        </w:rPr>
        <w:t xml:space="preserve"> sans exclusion ni discrimination entre ressortissants et non ressortissants</w:t>
      </w:r>
      <w:r w:rsidR="00680ADA" w:rsidRPr="00F1180D">
        <w:rPr>
          <w:lang w:val="fr-FR" w:bidi="ar-KW"/>
        </w:rPr>
        <w:t>,</w:t>
      </w:r>
      <w:r w:rsidR="000C6D4A" w:rsidRPr="00F1180D">
        <w:rPr>
          <w:lang w:val="fr-FR" w:bidi="ar-KW"/>
        </w:rPr>
        <w:t xml:space="preserve"> figure celui de chaque personnes d</w:t>
      </w:r>
      <w:r w:rsidR="00680ADA" w:rsidRPr="00F1180D">
        <w:rPr>
          <w:lang w:val="fr-FR" w:bidi="ar-KW"/>
        </w:rPr>
        <w:t>’</w:t>
      </w:r>
      <w:r w:rsidR="000C6D4A" w:rsidRPr="00F1180D">
        <w:rPr>
          <w:lang w:val="fr-FR" w:bidi="ar-KW"/>
        </w:rPr>
        <w:t>ester en justice</w:t>
      </w:r>
      <w:r w:rsidR="00680ADA" w:rsidRPr="00F1180D">
        <w:rPr>
          <w:lang w:val="fr-FR" w:bidi="ar-KW"/>
        </w:rPr>
        <w:t>,</w:t>
      </w:r>
      <w:r w:rsidR="000C6D4A" w:rsidRPr="00F1180D">
        <w:rPr>
          <w:lang w:val="fr-FR" w:bidi="ar-KW"/>
        </w:rPr>
        <w:t xml:space="preserve"> consacré par l</w:t>
      </w:r>
      <w:r w:rsidR="00680ADA" w:rsidRPr="00F1180D">
        <w:rPr>
          <w:lang w:val="fr-FR" w:bidi="ar-KW"/>
        </w:rPr>
        <w:t>’</w:t>
      </w:r>
      <w:r w:rsidR="00163207" w:rsidRPr="00F1180D">
        <w:rPr>
          <w:lang w:val="fr-FR" w:bidi="ar-KW"/>
        </w:rPr>
        <w:t>article </w:t>
      </w:r>
      <w:r w:rsidR="000C6D4A" w:rsidRPr="00F1180D">
        <w:rPr>
          <w:lang w:val="fr-FR"/>
        </w:rPr>
        <w:t>166 de la Constitution selon lequel</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Le droit d</w:t>
      </w:r>
      <w:r w:rsidR="00680ADA" w:rsidRPr="00F1180D">
        <w:rPr>
          <w:lang w:val="fr-FR"/>
        </w:rPr>
        <w:t>’</w:t>
      </w:r>
      <w:r w:rsidR="000C6D4A" w:rsidRPr="00F1180D">
        <w:rPr>
          <w:lang w:val="fr-FR"/>
        </w:rPr>
        <w:t>accéder aux tribunaux est garanti à chacun</w:t>
      </w:r>
      <w:r w:rsidR="00680ADA" w:rsidRPr="00F1180D">
        <w:rPr>
          <w:lang w:val="fr-FR"/>
        </w:rPr>
        <w:t>;</w:t>
      </w:r>
      <w:r w:rsidR="000C6D4A" w:rsidRPr="00F1180D">
        <w:rPr>
          <w:lang w:val="fr-FR"/>
        </w:rPr>
        <w:t xml:space="preserve"> la loi prévoit les procédures et modalités d</w:t>
      </w:r>
      <w:r w:rsidR="00680ADA" w:rsidRPr="00F1180D">
        <w:rPr>
          <w:lang w:val="fr-FR"/>
        </w:rPr>
        <w:t>’</w:t>
      </w:r>
      <w:r w:rsidR="000C6D4A" w:rsidRPr="00F1180D">
        <w:rPr>
          <w:lang w:val="fr-FR"/>
        </w:rPr>
        <w:t>exercice de ce droit</w:t>
      </w:r>
      <w:r w:rsidR="00680ADA" w:rsidRPr="00F1180D">
        <w:rPr>
          <w:lang w:val="fr-FR"/>
        </w:rPr>
        <w:t>»</w:t>
      </w:r>
      <w:r w:rsidR="000C6D4A" w:rsidRPr="00F1180D">
        <w:rPr>
          <w:lang w:val="fr-FR" w:bidi="ar-KW"/>
        </w:rPr>
        <w:t>.</w:t>
      </w:r>
      <w:r w:rsidR="000C6D4A" w:rsidRPr="00F1180D">
        <w:rPr>
          <w:lang w:val="fr-FR"/>
        </w:rPr>
        <w:t xml:space="preserve"> Ces dispositions sont complétées par celles de l</w:t>
      </w:r>
      <w:r w:rsidR="00680ADA" w:rsidRPr="00F1180D">
        <w:rPr>
          <w:lang w:val="fr-FR"/>
        </w:rPr>
        <w:t>’</w:t>
      </w:r>
      <w:r w:rsidR="00163207" w:rsidRPr="00F1180D">
        <w:rPr>
          <w:lang w:val="fr-FR"/>
        </w:rPr>
        <w:t>article </w:t>
      </w:r>
      <w:r w:rsidR="000C6D4A" w:rsidRPr="00F1180D">
        <w:rPr>
          <w:lang w:val="fr-FR"/>
        </w:rPr>
        <w:t>29 de la Constitution qui dispose ce qui suit</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Tous les individus sont égaux devant la loi</w:t>
      </w:r>
      <w:r w:rsidR="00680ADA" w:rsidRPr="00F1180D">
        <w:rPr>
          <w:lang w:val="fr-FR"/>
        </w:rPr>
        <w:t>,</w:t>
      </w:r>
      <w:r w:rsidR="000C6D4A" w:rsidRPr="00F1180D">
        <w:rPr>
          <w:lang w:val="fr-FR"/>
        </w:rPr>
        <w:t xml:space="preserve"> en dignité comme en droits et en devoirs</w:t>
      </w:r>
      <w:r w:rsidR="00680ADA" w:rsidRPr="00F1180D">
        <w:rPr>
          <w:lang w:val="fr-FR"/>
        </w:rPr>
        <w:t>,</w:t>
      </w:r>
      <w:r w:rsidR="000C6D4A" w:rsidRPr="00F1180D">
        <w:rPr>
          <w:lang w:val="fr-FR"/>
        </w:rPr>
        <w:t xml:space="preserve"> sans distinction fondée sur le sexe</w:t>
      </w:r>
      <w:r w:rsidR="00680ADA" w:rsidRPr="00F1180D">
        <w:rPr>
          <w:lang w:val="fr-FR"/>
        </w:rPr>
        <w:t>,</w:t>
      </w:r>
      <w:r w:rsidR="000C6D4A" w:rsidRPr="00F1180D">
        <w:rPr>
          <w:lang w:val="fr-FR"/>
        </w:rPr>
        <w:t xml:space="preserve"> l</w:t>
      </w:r>
      <w:r w:rsidR="00680ADA" w:rsidRPr="00F1180D">
        <w:rPr>
          <w:lang w:val="fr-FR"/>
        </w:rPr>
        <w:t>’</w:t>
      </w:r>
      <w:r w:rsidR="000C6D4A" w:rsidRPr="00F1180D">
        <w:rPr>
          <w:lang w:val="fr-FR"/>
        </w:rPr>
        <w:t>origine</w:t>
      </w:r>
      <w:r w:rsidR="00680ADA" w:rsidRPr="00F1180D">
        <w:rPr>
          <w:lang w:val="fr-FR"/>
        </w:rPr>
        <w:t>,</w:t>
      </w:r>
      <w:r w:rsidR="000C6D4A" w:rsidRPr="00F1180D">
        <w:rPr>
          <w:lang w:val="fr-FR"/>
        </w:rPr>
        <w:t xml:space="preserve"> la langue ou la religion</w:t>
      </w:r>
      <w:r w:rsidR="00680ADA" w:rsidRPr="00F1180D">
        <w:rPr>
          <w:lang w:val="fr-FR"/>
        </w:rPr>
        <w:t>»</w:t>
      </w:r>
      <w:r w:rsidR="000C6D4A" w:rsidRPr="00F1180D">
        <w:rPr>
          <w:lang w:val="fr-FR"/>
        </w:rPr>
        <w:t>.</w:t>
      </w:r>
    </w:p>
    <w:p w:rsidR="000C6D4A" w:rsidRPr="00F1180D" w:rsidRDefault="00930AE5" w:rsidP="00680ADA">
      <w:pPr>
        <w:pStyle w:val="SingleTxtG"/>
        <w:rPr>
          <w:rtl/>
          <w:lang w:val="fr-FR" w:bidi="fr-FR"/>
        </w:rPr>
      </w:pPr>
      <w:r>
        <w:rPr>
          <w:lang w:val="fr-FR" w:bidi="ar-KW"/>
        </w:rPr>
        <w:t>110.</w:t>
      </w:r>
      <w:r>
        <w:rPr>
          <w:lang w:val="fr-FR" w:bidi="ar-KW"/>
        </w:rPr>
        <w:tab/>
      </w:r>
      <w:r w:rsidR="000C6D4A" w:rsidRPr="00F1180D">
        <w:rPr>
          <w:lang w:val="fr-FR" w:bidi="ar-KW"/>
        </w:rPr>
        <w:t>S</w:t>
      </w:r>
      <w:r w:rsidR="00680ADA" w:rsidRPr="00F1180D">
        <w:rPr>
          <w:lang w:val="fr-FR" w:bidi="ar-KW"/>
        </w:rPr>
        <w:t>’</w:t>
      </w:r>
      <w:r w:rsidR="000C6D4A" w:rsidRPr="00F1180D">
        <w:rPr>
          <w:lang w:val="fr-FR" w:bidi="ar-KW"/>
        </w:rPr>
        <w:t>agissant de la torture</w:t>
      </w:r>
      <w:r w:rsidR="00680ADA" w:rsidRPr="00F1180D">
        <w:rPr>
          <w:lang w:val="fr-FR" w:bidi="ar-KW"/>
        </w:rPr>
        <w:t>,</w:t>
      </w:r>
      <w:r w:rsidR="000C6D4A" w:rsidRPr="00F1180D">
        <w:rPr>
          <w:lang w:val="fr-FR" w:bidi="ar-KW"/>
        </w:rPr>
        <w:t xml:space="preserve"> la Constitution koweïtienne ne s</w:t>
      </w:r>
      <w:r w:rsidR="00680ADA" w:rsidRPr="00F1180D">
        <w:rPr>
          <w:lang w:val="fr-FR" w:bidi="ar-KW"/>
        </w:rPr>
        <w:t>’</w:t>
      </w:r>
      <w:r w:rsidR="000C6D4A" w:rsidRPr="00F1180D">
        <w:rPr>
          <w:lang w:val="fr-FR" w:bidi="ar-KW"/>
        </w:rPr>
        <w:t>est pas contentée d</w:t>
      </w:r>
      <w:r w:rsidR="00680ADA" w:rsidRPr="00F1180D">
        <w:rPr>
          <w:lang w:val="fr-FR" w:bidi="ar-KW"/>
        </w:rPr>
        <w:t>’</w:t>
      </w:r>
      <w:r w:rsidR="000C6D4A" w:rsidRPr="00F1180D">
        <w:rPr>
          <w:lang w:val="fr-FR" w:bidi="ar-KW"/>
        </w:rPr>
        <w:t>accorder aux victimes d</w:t>
      </w:r>
      <w:r w:rsidR="00680ADA" w:rsidRPr="00F1180D">
        <w:rPr>
          <w:lang w:val="fr-FR" w:bidi="ar-KW"/>
        </w:rPr>
        <w:t>’</w:t>
      </w:r>
      <w:r w:rsidR="000C6D4A" w:rsidRPr="00F1180D">
        <w:rPr>
          <w:lang w:val="fr-FR" w:bidi="ar-KW"/>
        </w:rPr>
        <w:t>actes de torture le droit d</w:t>
      </w:r>
      <w:r w:rsidR="00680ADA" w:rsidRPr="00F1180D">
        <w:rPr>
          <w:lang w:val="fr-FR" w:bidi="ar-KW"/>
        </w:rPr>
        <w:t>’</w:t>
      </w:r>
      <w:r w:rsidR="000C6D4A" w:rsidRPr="00F1180D">
        <w:rPr>
          <w:lang w:val="fr-FR" w:bidi="ar-KW"/>
        </w:rPr>
        <w:t>ester en justice</w:t>
      </w:r>
      <w:r w:rsidR="00680ADA" w:rsidRPr="00F1180D">
        <w:rPr>
          <w:lang w:val="fr-FR" w:bidi="ar-KW"/>
        </w:rPr>
        <w:t>,</w:t>
      </w:r>
      <w:r w:rsidR="000C6D4A" w:rsidRPr="00F1180D">
        <w:rPr>
          <w:lang w:val="fr-FR" w:bidi="ar-KW"/>
        </w:rPr>
        <w:t xml:space="preserve"> mais a insisté avec force sur le caractère absolu de l</w:t>
      </w:r>
      <w:r w:rsidR="00680ADA" w:rsidRPr="00F1180D">
        <w:rPr>
          <w:lang w:val="fr-FR" w:bidi="ar-KW"/>
        </w:rPr>
        <w:t>’</w:t>
      </w:r>
      <w:r w:rsidR="000C6D4A" w:rsidRPr="00F1180D">
        <w:rPr>
          <w:lang w:val="fr-FR" w:bidi="ar-KW"/>
        </w:rPr>
        <w:t>interdiction de la torture au niveau de l</w:t>
      </w:r>
      <w:r w:rsidR="00680ADA" w:rsidRPr="00F1180D">
        <w:rPr>
          <w:lang w:val="fr-FR" w:bidi="ar-KW"/>
        </w:rPr>
        <w:t>’</w:t>
      </w:r>
      <w:r w:rsidR="00163207" w:rsidRPr="00F1180D">
        <w:rPr>
          <w:lang w:val="fr-FR" w:bidi="ar-KW"/>
        </w:rPr>
        <w:t>article </w:t>
      </w:r>
      <w:r w:rsidR="000C6D4A" w:rsidRPr="00F1180D">
        <w:rPr>
          <w:lang w:val="fr-FR"/>
        </w:rPr>
        <w:t>31 de la Constitution selon lequel</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Nul ne peut être arrêté</w:t>
      </w:r>
      <w:r w:rsidR="00680ADA" w:rsidRPr="00F1180D">
        <w:rPr>
          <w:lang w:val="fr-FR"/>
        </w:rPr>
        <w:t>,</w:t>
      </w:r>
      <w:r w:rsidR="000C6D4A" w:rsidRPr="00F1180D">
        <w:rPr>
          <w:lang w:val="fr-FR"/>
        </w:rPr>
        <w:t xml:space="preserve"> détenu</w:t>
      </w:r>
      <w:r w:rsidR="00680ADA" w:rsidRPr="00F1180D">
        <w:rPr>
          <w:lang w:val="fr-FR"/>
        </w:rPr>
        <w:t>,</w:t>
      </w:r>
      <w:r w:rsidR="000C6D4A" w:rsidRPr="00F1180D">
        <w:rPr>
          <w:lang w:val="fr-FR"/>
        </w:rPr>
        <w:t xml:space="preserve"> recherché ou obligé de résider dans un endroit particulier</w:t>
      </w:r>
      <w:r w:rsidR="00680ADA" w:rsidRPr="00F1180D">
        <w:rPr>
          <w:lang w:val="fr-FR"/>
        </w:rPr>
        <w:t>,</w:t>
      </w:r>
      <w:r w:rsidR="000C6D4A" w:rsidRPr="00F1180D">
        <w:rPr>
          <w:lang w:val="fr-FR"/>
        </w:rPr>
        <w:t xml:space="preserve"> ni limité dans le choix de sa résidence ou de son domicile ou dans sa liberté de mouvement</w:t>
      </w:r>
      <w:r w:rsidR="00680ADA" w:rsidRPr="00F1180D">
        <w:rPr>
          <w:lang w:val="fr-FR"/>
        </w:rPr>
        <w:t>,</w:t>
      </w:r>
      <w:r w:rsidR="000C6D4A" w:rsidRPr="00F1180D">
        <w:rPr>
          <w:lang w:val="fr-FR"/>
        </w:rPr>
        <w:t xml:space="preserve"> </w:t>
      </w:r>
      <w:r w:rsidR="000C6D4A" w:rsidRPr="00F1180D">
        <w:rPr>
          <w:lang w:val="fr-FR" w:bidi="ar-KW"/>
        </w:rPr>
        <w:t>sauf dispositions légales expresses</w:t>
      </w:r>
      <w:r w:rsidR="00680ADA" w:rsidRPr="00F1180D">
        <w:rPr>
          <w:lang w:val="fr-FR" w:bidi="ar-KW"/>
        </w:rPr>
        <w:t>;</w:t>
      </w:r>
      <w:r w:rsidR="000C6D4A" w:rsidRPr="00F1180D">
        <w:rPr>
          <w:lang w:val="fr-FR" w:bidi="ar-KW"/>
        </w:rPr>
        <w:t xml:space="preserve"> </w:t>
      </w:r>
      <w:r w:rsidR="000C6D4A" w:rsidRPr="00F1180D">
        <w:rPr>
          <w:lang w:val="fr-FR"/>
        </w:rPr>
        <w:t>nul ne peut être soumis à la torture ou à un traitement dégradant</w:t>
      </w:r>
      <w:r w:rsidR="00680ADA" w:rsidRPr="00F1180D">
        <w:rPr>
          <w:lang w:val="fr-FR"/>
        </w:rPr>
        <w:t>»</w:t>
      </w:r>
      <w:r w:rsidR="000C6D4A" w:rsidRPr="00F1180D">
        <w:rPr>
          <w:lang w:val="fr-FR"/>
        </w:rPr>
        <w:t xml:space="preserve">. Cette interdiction est également consacrée au deuxième </w:t>
      </w:r>
      <w:r w:rsidR="00410CA5" w:rsidRPr="00F1180D">
        <w:rPr>
          <w:lang w:val="fr-FR"/>
        </w:rPr>
        <w:t>paragraphe </w:t>
      </w:r>
      <w:r w:rsidR="000C6D4A" w:rsidRPr="00F1180D">
        <w:rPr>
          <w:lang w:val="fr-FR"/>
        </w:rPr>
        <w:t>de l</w:t>
      </w:r>
      <w:r w:rsidR="00680ADA" w:rsidRPr="00F1180D">
        <w:rPr>
          <w:lang w:val="fr-FR"/>
        </w:rPr>
        <w:t>’</w:t>
      </w:r>
      <w:r w:rsidR="00163207" w:rsidRPr="00F1180D">
        <w:rPr>
          <w:lang w:val="fr-FR"/>
        </w:rPr>
        <w:t>article </w:t>
      </w:r>
      <w:r w:rsidR="000C6D4A" w:rsidRPr="00F1180D">
        <w:rPr>
          <w:lang w:val="fr-FR"/>
        </w:rPr>
        <w:t>34 de la Constitution dans les termes suivants</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 xml:space="preserve"> ... Il est interdit d</w:t>
      </w:r>
      <w:r w:rsidR="00680ADA" w:rsidRPr="00F1180D">
        <w:rPr>
          <w:lang w:val="fr-FR"/>
        </w:rPr>
        <w:t>’</w:t>
      </w:r>
      <w:r w:rsidR="000C6D4A" w:rsidRPr="00F1180D">
        <w:rPr>
          <w:lang w:val="fr-FR"/>
        </w:rPr>
        <w:t>infliger des dommages physiques ou moraux à une personne accusée</w:t>
      </w:r>
      <w:r w:rsidR="00680ADA" w:rsidRPr="00F1180D">
        <w:rPr>
          <w:lang w:val="fr-FR"/>
        </w:rPr>
        <w:t>»</w:t>
      </w:r>
      <w:r w:rsidR="000C6D4A" w:rsidRPr="00F1180D">
        <w:rPr>
          <w:lang w:val="fr-FR"/>
        </w:rPr>
        <w:t xml:space="preserve">. </w:t>
      </w:r>
    </w:p>
    <w:p w:rsidR="000C6D4A" w:rsidRPr="00F1180D" w:rsidRDefault="000C6D4A" w:rsidP="00930AE5">
      <w:pPr>
        <w:pStyle w:val="SingleTxtG"/>
        <w:ind w:left="1701" w:firstLine="567"/>
        <w:rPr>
          <w:rtl/>
          <w:lang w:val="fr-FR" w:bidi="fr-FR"/>
        </w:rPr>
      </w:pPr>
      <w:r w:rsidRPr="00F1180D">
        <w:rPr>
          <w:lang w:val="fr-FR" w:bidi="fr-FR"/>
        </w:rPr>
        <w:tab/>
      </w:r>
      <w:r w:rsidRPr="00F1180D">
        <w:rPr>
          <w:lang w:val="fr-FR" w:bidi="ar-EG"/>
        </w:rPr>
        <w:t xml:space="preserve">Les procédures applicables devant les différentes instances judiciaires sont régies par le Code de procédure civile et commerciale promulgué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EG"/>
        </w:rPr>
        <w:t>38 de 1980</w:t>
      </w:r>
      <w:r w:rsidR="00680ADA" w:rsidRPr="00F1180D">
        <w:rPr>
          <w:lang w:val="fr-FR" w:bidi="ar-EG"/>
        </w:rPr>
        <w:t>,</w:t>
      </w:r>
      <w:r w:rsidRPr="00F1180D">
        <w:rPr>
          <w:lang w:val="fr-FR" w:bidi="ar-EG"/>
        </w:rPr>
        <w:t xml:space="preserve"> ainsi que par le Code de procédure pénale promulgué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bidi="ar-EG"/>
        </w:rPr>
        <w:t>17 de 1960</w:t>
      </w:r>
      <w:r w:rsidR="00680ADA" w:rsidRPr="00F1180D">
        <w:rPr>
          <w:lang w:val="fr-FR" w:bidi="ar-EG"/>
        </w:rPr>
        <w:t>,</w:t>
      </w:r>
      <w:r w:rsidRPr="00F1180D">
        <w:rPr>
          <w:lang w:val="fr-FR" w:bidi="ar-EG"/>
        </w:rPr>
        <w:t xml:space="preserve"> étant précisé que les dispositions de ces deux codes s</w:t>
      </w:r>
      <w:r w:rsidR="00680ADA" w:rsidRPr="00F1180D">
        <w:rPr>
          <w:lang w:val="fr-FR" w:bidi="ar-EG"/>
        </w:rPr>
        <w:t>’</w:t>
      </w:r>
      <w:r w:rsidRPr="00F1180D">
        <w:rPr>
          <w:lang w:val="fr-FR" w:bidi="ar-EG"/>
        </w:rPr>
        <w:t xml:space="preserve">appliquent à tous les justiciables sans distinction. </w:t>
      </w:r>
    </w:p>
    <w:p w:rsidR="000C6D4A" w:rsidRPr="00F1180D" w:rsidRDefault="00930AE5" w:rsidP="00680ADA">
      <w:pPr>
        <w:pStyle w:val="SingleTxtG"/>
        <w:rPr>
          <w:lang w:val="fr-FR"/>
        </w:rPr>
      </w:pPr>
      <w:r>
        <w:rPr>
          <w:lang w:val="fr-FR"/>
        </w:rPr>
        <w:t>111.</w:t>
      </w:r>
      <w:r>
        <w:rPr>
          <w:lang w:val="fr-FR"/>
        </w:rPr>
        <w:tab/>
      </w:r>
      <w:r w:rsidR="000C6D4A" w:rsidRPr="00F1180D">
        <w:rPr>
          <w:lang w:val="fr-FR"/>
        </w:rPr>
        <w:t>En ce qui concerne l</w:t>
      </w:r>
      <w:r w:rsidR="00680ADA" w:rsidRPr="00F1180D">
        <w:rPr>
          <w:lang w:val="fr-FR"/>
        </w:rPr>
        <w:t>’</w:t>
      </w:r>
      <w:r w:rsidR="000C6D4A" w:rsidRPr="00F1180D">
        <w:rPr>
          <w:lang w:val="fr-FR"/>
        </w:rPr>
        <w:t>indemnisation des victimes d</w:t>
      </w:r>
      <w:r w:rsidR="00680ADA" w:rsidRPr="00F1180D">
        <w:rPr>
          <w:lang w:val="fr-FR"/>
        </w:rPr>
        <w:t>’</w:t>
      </w:r>
      <w:r w:rsidR="000C6D4A" w:rsidRPr="00F1180D">
        <w:rPr>
          <w:lang w:val="fr-FR"/>
        </w:rPr>
        <w:t>actes de torture</w:t>
      </w:r>
      <w:bookmarkStart w:id="0" w:name="Article_1997"/>
      <w:bookmarkStart w:id="1" w:name="Article_1485"/>
      <w:r w:rsidR="00680ADA" w:rsidRPr="00F1180D">
        <w:rPr>
          <w:lang w:val="fr-FR"/>
        </w:rPr>
        <w:t>,</w:t>
      </w:r>
      <w:r w:rsidR="000C6D4A" w:rsidRPr="00F1180D">
        <w:rPr>
          <w:lang w:val="fr-FR"/>
        </w:rPr>
        <w:t xml:space="preserve"> l</w:t>
      </w:r>
      <w:r w:rsidR="00680ADA" w:rsidRPr="00F1180D">
        <w:rPr>
          <w:lang w:val="fr-FR"/>
        </w:rPr>
        <w:t>’</w:t>
      </w:r>
      <w:r w:rsidR="00163207" w:rsidRPr="00F1180D">
        <w:rPr>
          <w:lang w:val="fr-FR"/>
        </w:rPr>
        <w:t>article </w:t>
      </w:r>
      <w:r w:rsidR="000C6D4A" w:rsidRPr="00F1180D">
        <w:rPr>
          <w:lang w:val="fr-FR"/>
        </w:rPr>
        <w:t xml:space="preserve">30 du décret-loi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rPr>
        <w:t>67 de 1980 portant Code civil définit les préjudices donnant droit à une indemnisation et dispose ce qui suit</w:t>
      </w:r>
      <w:r w:rsidR="00680ADA" w:rsidRPr="00F1180D">
        <w:rPr>
          <w:lang w:val="fr-FR"/>
        </w:rPr>
        <w:t>:</w:t>
      </w:r>
      <w:r w:rsidR="000C6D4A" w:rsidRPr="00F1180D">
        <w:rPr>
          <w:lang w:val="fr-FR"/>
        </w:rPr>
        <w:t xml:space="preserve"> </w:t>
      </w:r>
      <w:bookmarkEnd w:id="0"/>
      <w:r w:rsidR="00680ADA" w:rsidRPr="00F1180D">
        <w:rPr>
          <w:lang w:val="fr-FR"/>
        </w:rPr>
        <w:t>«</w:t>
      </w:r>
      <w:r w:rsidR="000C6D4A" w:rsidRPr="00F1180D">
        <w:rPr>
          <w:lang w:val="fr-FR"/>
        </w:rPr>
        <w:t>1</w:t>
      </w:r>
      <w:r w:rsidR="00680ADA" w:rsidRPr="00F1180D">
        <w:rPr>
          <w:lang w:val="fr-FR"/>
        </w:rPr>
        <w:t xml:space="preserve"> – </w:t>
      </w:r>
      <w:r w:rsidR="000C6D4A" w:rsidRPr="00F1180D">
        <w:rPr>
          <w:lang w:val="fr-FR"/>
        </w:rPr>
        <w:t>L</w:t>
      </w:r>
      <w:r w:rsidR="00680ADA" w:rsidRPr="00F1180D">
        <w:rPr>
          <w:lang w:val="fr-FR"/>
        </w:rPr>
        <w:t>’</w:t>
      </w:r>
      <w:r w:rsidR="000C6D4A" w:rsidRPr="00F1180D">
        <w:rPr>
          <w:lang w:val="fr-FR"/>
        </w:rPr>
        <w:t>abus de droit consiste à exercer son droit à des fins autres que celles pour lesquelles il a été conféré ou en méconnaissance de ses devoirs sociaux</w:t>
      </w:r>
      <w:r w:rsidR="00680ADA" w:rsidRPr="00F1180D">
        <w:rPr>
          <w:lang w:val="fr-FR"/>
        </w:rPr>
        <w:t>,</w:t>
      </w:r>
      <w:r w:rsidR="000C6D4A" w:rsidRPr="00F1180D">
        <w:rPr>
          <w:lang w:val="fr-FR"/>
        </w:rPr>
        <w:t xml:space="preserve"> notamment dans les situations suivantes</w:t>
      </w:r>
      <w:r w:rsidR="00680ADA" w:rsidRPr="00F1180D">
        <w:rPr>
          <w:lang w:val="fr-FR"/>
        </w:rPr>
        <w:t>:</w:t>
      </w:r>
      <w:r w:rsidR="000C6D4A" w:rsidRPr="00F1180D">
        <w:rPr>
          <w:lang w:val="fr-FR"/>
        </w:rPr>
        <w:t xml:space="preserve"> a) lorsque l</w:t>
      </w:r>
      <w:r w:rsidR="00680ADA" w:rsidRPr="00F1180D">
        <w:rPr>
          <w:lang w:val="fr-FR"/>
        </w:rPr>
        <w:t>’</w:t>
      </w:r>
      <w:r w:rsidR="000C6D4A" w:rsidRPr="00F1180D">
        <w:rPr>
          <w:lang w:val="fr-FR"/>
        </w:rPr>
        <w:t>exercice de ce droit vise à atteindre des objectifs illicites</w:t>
      </w:r>
      <w:r w:rsidR="00680ADA" w:rsidRPr="00F1180D">
        <w:rPr>
          <w:lang w:val="fr-FR"/>
        </w:rPr>
        <w:t>;</w:t>
      </w:r>
      <w:r w:rsidR="000C6D4A" w:rsidRPr="00F1180D">
        <w:rPr>
          <w:lang w:val="fr-FR"/>
        </w:rPr>
        <w:t xml:space="preserve"> b) lorsque ce droit est exercé dans le seul dessein de nuire à autrui</w:t>
      </w:r>
      <w:r w:rsidR="00680ADA" w:rsidRPr="00F1180D">
        <w:rPr>
          <w:lang w:val="fr-FR"/>
        </w:rPr>
        <w:t>;</w:t>
      </w:r>
      <w:r w:rsidR="000C6D4A" w:rsidRPr="00F1180D">
        <w:rPr>
          <w:lang w:val="fr-FR"/>
        </w:rPr>
        <w:t xml:space="preserve"> c) lorsque l</w:t>
      </w:r>
      <w:r w:rsidR="00680ADA" w:rsidRPr="00F1180D">
        <w:rPr>
          <w:lang w:val="fr-FR"/>
        </w:rPr>
        <w:t>’</w:t>
      </w:r>
      <w:r w:rsidR="000C6D4A" w:rsidRPr="00F1180D">
        <w:rPr>
          <w:lang w:val="fr-FR"/>
        </w:rPr>
        <w:t>exercice de ce droit cause à autrui un préjudice disproportionné par rapport au bénéfice que le titulaire peut en tirer</w:t>
      </w:r>
      <w:r w:rsidR="00680ADA" w:rsidRPr="00F1180D">
        <w:rPr>
          <w:lang w:val="fr-FR"/>
        </w:rPr>
        <w:t>;</w:t>
      </w:r>
      <w:r w:rsidR="000C6D4A" w:rsidRPr="00F1180D">
        <w:rPr>
          <w:lang w:val="fr-FR"/>
        </w:rPr>
        <w:t xml:space="preserve"> d) lorsque l</w:t>
      </w:r>
      <w:r w:rsidR="00680ADA" w:rsidRPr="00F1180D">
        <w:rPr>
          <w:lang w:val="fr-FR"/>
        </w:rPr>
        <w:t>’</w:t>
      </w:r>
      <w:r w:rsidR="000C6D4A" w:rsidRPr="00F1180D">
        <w:rPr>
          <w:lang w:val="fr-FR"/>
        </w:rPr>
        <w:t>exercice de ce droit cause à autrui un préjudice exorbitant et anormal</w:t>
      </w:r>
      <w:r w:rsidR="00680ADA" w:rsidRPr="00F1180D">
        <w:rPr>
          <w:lang w:val="fr-FR"/>
        </w:rPr>
        <w:t>»</w:t>
      </w:r>
      <w:r w:rsidR="004C4E04" w:rsidRPr="00F1180D">
        <w:rPr>
          <w:lang w:val="fr-FR"/>
        </w:rPr>
        <w:t>:</w:t>
      </w:r>
    </w:p>
    <w:p w:rsidR="000C6D4A" w:rsidRPr="00F1180D" w:rsidRDefault="000C6D4A" w:rsidP="004C4E04">
      <w:pPr>
        <w:pStyle w:val="Bullet1G"/>
        <w:rPr>
          <w:b/>
          <w:bCs/>
          <w:rtl/>
          <w:lang w:val="fr-FR" w:bidi="fr-FR"/>
        </w:rPr>
      </w:pPr>
      <w:r w:rsidRPr="00F1180D">
        <w:rPr>
          <w:lang w:val="fr-FR"/>
        </w:rPr>
        <w:t>De même</w:t>
      </w:r>
      <w:r w:rsidR="00680ADA" w:rsidRPr="00F1180D">
        <w:rPr>
          <w:lang w:val="fr-FR"/>
        </w:rPr>
        <w:t>,</w:t>
      </w:r>
      <w:r w:rsidRPr="00F1180D">
        <w:rPr>
          <w:lang w:val="fr-FR"/>
        </w:rPr>
        <w:t xml:space="preserve"> le décret-loi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Pr="00F1180D">
        <w:rPr>
          <w:lang w:val="fr-FR"/>
        </w:rPr>
        <w:t>67 de 1980 portant promulgation du Code civil comporte plusieurs dispositions consacrant le droit des victimes d</w:t>
      </w:r>
      <w:r w:rsidR="00680ADA" w:rsidRPr="00F1180D">
        <w:rPr>
          <w:lang w:val="fr-FR"/>
        </w:rPr>
        <w:t>’</w:t>
      </w:r>
      <w:r w:rsidRPr="00F1180D">
        <w:rPr>
          <w:lang w:val="fr-FR"/>
        </w:rPr>
        <w:t>actes illégaux d</w:t>
      </w:r>
      <w:r w:rsidR="00680ADA" w:rsidRPr="00F1180D">
        <w:rPr>
          <w:lang w:val="fr-FR"/>
        </w:rPr>
        <w:t>’</w:t>
      </w:r>
      <w:r w:rsidRPr="00F1180D">
        <w:rPr>
          <w:lang w:val="fr-FR"/>
        </w:rPr>
        <w:t>être indemnisées à hauteur du préjudice subi</w:t>
      </w:r>
      <w:r w:rsidR="00680ADA" w:rsidRPr="00F1180D">
        <w:rPr>
          <w:lang w:val="fr-FR"/>
        </w:rPr>
        <w:t>,</w:t>
      </w:r>
      <w:r w:rsidRPr="00F1180D">
        <w:rPr>
          <w:lang w:val="fr-FR"/>
        </w:rPr>
        <w:t xml:space="preserve"> à savoir</w:t>
      </w:r>
      <w:r w:rsidR="00680ADA" w:rsidRPr="00F1180D">
        <w:rPr>
          <w:lang w:val="fr-FR"/>
        </w:rPr>
        <w:t>:</w:t>
      </w:r>
      <w:r w:rsidRPr="00F1180D">
        <w:rPr>
          <w:lang w:val="fr-FR"/>
        </w:rPr>
        <w:t xml:space="preserve"> </w:t>
      </w:r>
    </w:p>
    <w:p w:rsidR="000C6D4A" w:rsidRPr="00F1180D" w:rsidRDefault="000C6D4A" w:rsidP="004C4E04">
      <w:pPr>
        <w:pStyle w:val="Bullet2G"/>
        <w:rPr>
          <w:rtl/>
          <w:lang w:val="fr-FR" w:bidi="fr-FR"/>
        </w:rPr>
      </w:pPr>
      <w:r w:rsidRPr="00F1180D">
        <w:rPr>
          <w:lang w:val="fr-FR"/>
        </w:rPr>
        <w:t>L</w:t>
      </w:r>
      <w:r w:rsidR="00680ADA" w:rsidRPr="00F1180D">
        <w:rPr>
          <w:lang w:val="fr-FR"/>
        </w:rPr>
        <w:t>’</w:t>
      </w:r>
      <w:r w:rsidR="00163207" w:rsidRPr="00F1180D">
        <w:rPr>
          <w:lang w:val="fr-FR"/>
        </w:rPr>
        <w:t>article </w:t>
      </w:r>
      <w:r w:rsidRPr="00F1180D">
        <w:rPr>
          <w:lang w:val="fr-FR"/>
        </w:rPr>
        <w:t>227</w:t>
      </w:r>
      <w:r w:rsidR="00680ADA" w:rsidRPr="00F1180D">
        <w:rPr>
          <w:lang w:val="fr-FR"/>
        </w:rPr>
        <w:t>,</w:t>
      </w:r>
      <w:r w:rsidRPr="00F1180D">
        <w:rPr>
          <w:lang w:val="fr-FR"/>
        </w:rPr>
        <w:t xml:space="preserve"> </w:t>
      </w:r>
      <w:bookmarkEnd w:id="1"/>
      <w:r w:rsidRPr="00F1180D">
        <w:rPr>
          <w:lang w:val="fr-FR"/>
        </w:rPr>
        <w:t>qui dispose ce qui suit</w:t>
      </w:r>
      <w:r w:rsidR="00680ADA" w:rsidRPr="00F1180D">
        <w:rPr>
          <w:lang w:val="fr-FR"/>
        </w:rPr>
        <w:t>:</w:t>
      </w:r>
      <w:r w:rsidRPr="00F1180D">
        <w:rPr>
          <w:lang w:val="fr-FR"/>
        </w:rPr>
        <w:t xml:space="preserve"> </w:t>
      </w:r>
    </w:p>
    <w:p w:rsidR="000C6D4A" w:rsidRPr="00F1180D" w:rsidRDefault="004C4E04" w:rsidP="002A0AED">
      <w:pPr>
        <w:pStyle w:val="SingleTxtG"/>
        <w:ind w:left="2268" w:hanging="567"/>
        <w:rPr>
          <w:lang w:val="fr-FR"/>
        </w:rPr>
      </w:pPr>
      <w:r w:rsidRPr="00F1180D">
        <w:rPr>
          <w:lang w:val="fr-FR"/>
        </w:rPr>
        <w:tab/>
      </w:r>
      <w:r w:rsidR="00FA2B70" w:rsidRPr="00F1180D">
        <w:rPr>
          <w:lang w:val="fr-FR"/>
        </w:rPr>
        <w:tab/>
      </w:r>
      <w:r w:rsidR="000C6D4A" w:rsidRPr="00F1180D">
        <w:rPr>
          <w:lang w:val="fr-FR"/>
        </w:rPr>
        <w:t>1</w:t>
      </w:r>
      <w:r w:rsidRPr="00F1180D">
        <w:rPr>
          <w:lang w:val="fr-FR"/>
        </w:rPr>
        <w:t>.</w:t>
      </w:r>
      <w:r w:rsidR="000C6D4A" w:rsidRPr="00F1180D">
        <w:rPr>
          <w:lang w:val="fr-FR"/>
        </w:rPr>
        <w:tab/>
        <w:t>Quiconque cause un dommage à autrui par sa faute est tenu de le réparer</w:t>
      </w:r>
      <w:r w:rsidR="00680ADA" w:rsidRPr="00F1180D">
        <w:rPr>
          <w:lang w:val="fr-FR"/>
        </w:rPr>
        <w:t>,</w:t>
      </w:r>
      <w:r w:rsidR="000C6D4A" w:rsidRPr="00F1180D">
        <w:rPr>
          <w:lang w:val="fr-FR"/>
        </w:rPr>
        <w:t xml:space="preserve"> que le préjudice résulte de son propre fait ou du fait d</w:t>
      </w:r>
      <w:r w:rsidR="00680ADA" w:rsidRPr="00F1180D">
        <w:rPr>
          <w:lang w:val="fr-FR"/>
        </w:rPr>
        <w:t>’</w:t>
      </w:r>
      <w:r w:rsidR="000C6D4A" w:rsidRPr="00F1180D">
        <w:rPr>
          <w:lang w:val="fr-FR"/>
        </w:rPr>
        <w:t>un tiers.</w:t>
      </w:r>
    </w:p>
    <w:p w:rsidR="000C6D4A" w:rsidRPr="00F1180D" w:rsidRDefault="004C4E04" w:rsidP="002A0AED">
      <w:pPr>
        <w:pStyle w:val="SingleTxtG"/>
        <w:ind w:left="2268" w:hanging="567"/>
        <w:rPr>
          <w:lang w:val="fr-FR"/>
        </w:rPr>
      </w:pPr>
      <w:r w:rsidRPr="00F1180D">
        <w:rPr>
          <w:lang w:val="fr-FR"/>
        </w:rPr>
        <w:tab/>
      </w:r>
      <w:r w:rsidR="00FA2B70" w:rsidRPr="00F1180D">
        <w:rPr>
          <w:lang w:val="fr-FR"/>
        </w:rPr>
        <w:tab/>
      </w:r>
      <w:r w:rsidR="000C6D4A" w:rsidRPr="00F1180D">
        <w:rPr>
          <w:lang w:val="fr-FR"/>
        </w:rPr>
        <w:t>2</w:t>
      </w:r>
      <w:r w:rsidRPr="00F1180D">
        <w:rPr>
          <w:lang w:val="fr-FR"/>
        </w:rPr>
        <w:t>.</w:t>
      </w:r>
      <w:r w:rsidR="000C6D4A" w:rsidRPr="00F1180D">
        <w:rPr>
          <w:lang w:val="fr-FR"/>
        </w:rPr>
        <w:tab/>
        <w:t>Le dommage doit être réparé même s</w:t>
      </w:r>
      <w:r w:rsidR="00680ADA" w:rsidRPr="00F1180D">
        <w:rPr>
          <w:lang w:val="fr-FR"/>
        </w:rPr>
        <w:t>’</w:t>
      </w:r>
      <w:r w:rsidR="000C6D4A" w:rsidRPr="00F1180D">
        <w:rPr>
          <w:lang w:val="fr-FR"/>
        </w:rPr>
        <w:t>il s</w:t>
      </w:r>
      <w:r w:rsidR="00680ADA" w:rsidRPr="00F1180D">
        <w:rPr>
          <w:lang w:val="fr-FR"/>
        </w:rPr>
        <w:t>’</w:t>
      </w:r>
      <w:r w:rsidR="000C6D4A" w:rsidRPr="00F1180D">
        <w:rPr>
          <w:lang w:val="fr-FR"/>
        </w:rPr>
        <w:t>agit du fait d</w:t>
      </w:r>
      <w:r w:rsidR="00680ADA" w:rsidRPr="00F1180D">
        <w:rPr>
          <w:lang w:val="fr-FR"/>
        </w:rPr>
        <w:t>’</w:t>
      </w:r>
      <w:r w:rsidR="000C6D4A" w:rsidRPr="00F1180D">
        <w:rPr>
          <w:lang w:val="fr-FR"/>
        </w:rPr>
        <w:t>une personne incapable de discernement.</w:t>
      </w:r>
      <w:bookmarkStart w:id="2" w:name="Article_1486"/>
    </w:p>
    <w:p w:rsidR="000C6D4A" w:rsidRPr="00F1180D" w:rsidRDefault="000C6D4A" w:rsidP="004C4E04">
      <w:pPr>
        <w:pStyle w:val="Bullet2G"/>
        <w:keepNext/>
        <w:rPr>
          <w:lang w:val="fr-FR"/>
        </w:rPr>
      </w:pPr>
      <w:r w:rsidRPr="00F1180D">
        <w:rPr>
          <w:lang w:val="fr-FR"/>
        </w:rPr>
        <w:tab/>
        <w:t>L</w:t>
      </w:r>
      <w:r w:rsidR="00680ADA" w:rsidRPr="00F1180D">
        <w:rPr>
          <w:lang w:val="fr-FR"/>
        </w:rPr>
        <w:t>’</w:t>
      </w:r>
      <w:r w:rsidR="00163207" w:rsidRPr="00F1180D">
        <w:rPr>
          <w:lang w:val="fr-FR"/>
        </w:rPr>
        <w:t>article </w:t>
      </w:r>
      <w:r w:rsidRPr="00F1180D">
        <w:rPr>
          <w:lang w:val="fr-FR"/>
        </w:rPr>
        <w:t>228</w:t>
      </w:r>
      <w:r w:rsidR="00680ADA" w:rsidRPr="00F1180D">
        <w:rPr>
          <w:lang w:val="fr-FR"/>
        </w:rPr>
        <w:t>,</w:t>
      </w:r>
      <w:r w:rsidRPr="00F1180D">
        <w:rPr>
          <w:lang w:val="fr-FR"/>
        </w:rPr>
        <w:t xml:space="preserve"> </w:t>
      </w:r>
      <w:bookmarkEnd w:id="2"/>
      <w:r w:rsidRPr="00F1180D">
        <w:rPr>
          <w:lang w:val="fr-FR"/>
        </w:rPr>
        <w:t>qui prévoit ce qui suit</w:t>
      </w:r>
      <w:r w:rsidR="00680ADA" w:rsidRPr="00F1180D">
        <w:rPr>
          <w:lang w:val="fr-FR"/>
        </w:rPr>
        <w:t>:</w:t>
      </w:r>
      <w:r w:rsidR="009B1350" w:rsidRPr="00F1180D">
        <w:rPr>
          <w:lang w:val="fr-FR"/>
        </w:rPr>
        <w:t xml:space="preserve"> </w:t>
      </w:r>
    </w:p>
    <w:p w:rsidR="000C6D4A" w:rsidRPr="00F1180D" w:rsidRDefault="004C4E04" w:rsidP="002A0AED">
      <w:pPr>
        <w:pStyle w:val="SingleTxtG"/>
        <w:ind w:left="2268" w:hanging="567"/>
        <w:rPr>
          <w:lang w:val="fr-FR"/>
        </w:rPr>
      </w:pPr>
      <w:r w:rsidRPr="00F1180D">
        <w:rPr>
          <w:lang w:val="fr-FR"/>
        </w:rPr>
        <w:tab/>
      </w:r>
      <w:r w:rsidR="00FA2B70" w:rsidRPr="00F1180D">
        <w:rPr>
          <w:lang w:val="fr-FR"/>
        </w:rPr>
        <w:tab/>
      </w:r>
      <w:r w:rsidR="000C6D4A" w:rsidRPr="00F1180D">
        <w:rPr>
          <w:lang w:val="fr-FR"/>
        </w:rPr>
        <w:t>1</w:t>
      </w:r>
      <w:r w:rsidRPr="00F1180D">
        <w:rPr>
          <w:lang w:val="fr-FR"/>
        </w:rPr>
        <w:t>.</w:t>
      </w:r>
      <w:r w:rsidR="000C6D4A" w:rsidRPr="00F1180D">
        <w:rPr>
          <w:lang w:val="fr-FR"/>
        </w:rPr>
        <w:tab/>
        <w:t>Lorsque le dommage est causé par plusieurs personnes</w:t>
      </w:r>
      <w:r w:rsidR="00680ADA" w:rsidRPr="00F1180D">
        <w:rPr>
          <w:lang w:val="fr-FR"/>
        </w:rPr>
        <w:t>,</w:t>
      </w:r>
      <w:r w:rsidR="000C6D4A" w:rsidRPr="00F1180D">
        <w:rPr>
          <w:lang w:val="fr-FR"/>
        </w:rPr>
        <w:t xml:space="preserve"> chacune d</w:t>
      </w:r>
      <w:r w:rsidR="00680ADA" w:rsidRPr="00F1180D">
        <w:rPr>
          <w:lang w:val="fr-FR"/>
        </w:rPr>
        <w:t>’</w:t>
      </w:r>
      <w:r w:rsidR="000C6D4A" w:rsidRPr="00F1180D">
        <w:rPr>
          <w:lang w:val="fr-FR"/>
        </w:rPr>
        <w:t>entre elles doit contribuer à la réparation de l</w:t>
      </w:r>
      <w:r w:rsidR="00680ADA" w:rsidRPr="00F1180D">
        <w:rPr>
          <w:lang w:val="fr-FR"/>
        </w:rPr>
        <w:t>’</w:t>
      </w:r>
      <w:r w:rsidR="000C6D4A" w:rsidRPr="00F1180D">
        <w:rPr>
          <w:lang w:val="fr-FR"/>
        </w:rPr>
        <w:t>intégralité du préjudice subi par la victime.</w:t>
      </w:r>
    </w:p>
    <w:p w:rsidR="000C6D4A" w:rsidRPr="00F1180D" w:rsidRDefault="004C4E04" w:rsidP="002A0AED">
      <w:pPr>
        <w:pStyle w:val="SingleTxtG"/>
        <w:ind w:left="2268" w:hanging="567"/>
        <w:rPr>
          <w:lang w:val="fr-FR"/>
        </w:rPr>
      </w:pPr>
      <w:r w:rsidRPr="00F1180D">
        <w:rPr>
          <w:lang w:val="fr-FR"/>
        </w:rPr>
        <w:tab/>
      </w:r>
      <w:r w:rsidR="00FA2B70" w:rsidRPr="00F1180D">
        <w:rPr>
          <w:lang w:val="fr-FR"/>
        </w:rPr>
        <w:tab/>
      </w:r>
      <w:r w:rsidRPr="00F1180D">
        <w:rPr>
          <w:lang w:val="fr-FR"/>
        </w:rPr>
        <w:t>2.</w:t>
      </w:r>
      <w:r w:rsidR="000C6D4A" w:rsidRPr="00F1180D">
        <w:rPr>
          <w:lang w:val="fr-FR"/>
        </w:rPr>
        <w:tab/>
        <w:t>La responsabilité de chaque coauteur est déterminée au prorata de sa contribution à la réalisation du dommage. À défaut</w:t>
      </w:r>
      <w:r w:rsidR="00680ADA" w:rsidRPr="00F1180D">
        <w:rPr>
          <w:lang w:val="fr-FR"/>
        </w:rPr>
        <w:t>,</w:t>
      </w:r>
      <w:r w:rsidR="000C6D4A" w:rsidRPr="00F1180D">
        <w:rPr>
          <w:lang w:val="fr-FR"/>
        </w:rPr>
        <w:t xml:space="preserve"> la réparation du dommage est assumée à parts égales par les coauteurs.</w:t>
      </w:r>
      <w:bookmarkStart w:id="3" w:name="Article_1487"/>
    </w:p>
    <w:p w:rsidR="000C6D4A" w:rsidRPr="00F1180D" w:rsidRDefault="000C6D4A" w:rsidP="00593CF4">
      <w:pPr>
        <w:pStyle w:val="Bullet2G"/>
        <w:keepNext/>
        <w:rPr>
          <w:lang w:val="fr-FR"/>
        </w:rPr>
      </w:pPr>
      <w:r w:rsidRPr="00F1180D">
        <w:rPr>
          <w:lang w:val="fr-FR"/>
        </w:rPr>
        <w:lastRenderedPageBreak/>
        <w:t>L</w:t>
      </w:r>
      <w:r w:rsidR="00680ADA" w:rsidRPr="00F1180D">
        <w:rPr>
          <w:lang w:val="fr-FR"/>
        </w:rPr>
        <w:t>’</w:t>
      </w:r>
      <w:r w:rsidR="00163207" w:rsidRPr="00F1180D">
        <w:rPr>
          <w:lang w:val="fr-FR"/>
        </w:rPr>
        <w:t>article </w:t>
      </w:r>
      <w:r w:rsidRPr="00F1180D">
        <w:rPr>
          <w:lang w:val="fr-FR"/>
        </w:rPr>
        <w:t>229</w:t>
      </w:r>
      <w:r w:rsidR="00680ADA" w:rsidRPr="00F1180D">
        <w:rPr>
          <w:lang w:val="fr-FR"/>
        </w:rPr>
        <w:t>,</w:t>
      </w:r>
      <w:r w:rsidRPr="00F1180D">
        <w:rPr>
          <w:lang w:val="fr-FR"/>
        </w:rPr>
        <w:t xml:space="preserve"> </w:t>
      </w:r>
      <w:bookmarkEnd w:id="3"/>
      <w:r w:rsidRPr="00F1180D">
        <w:rPr>
          <w:lang w:val="fr-FR"/>
        </w:rPr>
        <w:t>selon lequel</w:t>
      </w:r>
      <w:r w:rsidR="00680ADA" w:rsidRPr="00F1180D">
        <w:rPr>
          <w:lang w:val="fr-FR"/>
        </w:rPr>
        <w:t>:</w:t>
      </w:r>
      <w:r w:rsidR="009B1350" w:rsidRPr="00F1180D">
        <w:rPr>
          <w:lang w:val="fr-FR"/>
        </w:rPr>
        <w:t xml:space="preserve"> </w:t>
      </w:r>
    </w:p>
    <w:p w:rsidR="000C6D4A" w:rsidRPr="00F1180D" w:rsidRDefault="00593CF4" w:rsidP="00FA2B70">
      <w:pPr>
        <w:pStyle w:val="SingleTxtG"/>
        <w:ind w:left="2268" w:hanging="567"/>
        <w:rPr>
          <w:lang w:val="fr-FR"/>
        </w:rPr>
      </w:pPr>
      <w:r w:rsidRPr="00F1180D">
        <w:rPr>
          <w:lang w:val="fr-FR"/>
        </w:rPr>
        <w:tab/>
      </w:r>
      <w:r w:rsidR="00FA2B70" w:rsidRPr="00F1180D">
        <w:rPr>
          <w:lang w:val="fr-FR"/>
        </w:rPr>
        <w:tab/>
      </w:r>
      <w:r w:rsidR="00680ADA" w:rsidRPr="00F1180D">
        <w:rPr>
          <w:lang w:val="fr-FR"/>
        </w:rPr>
        <w:t>«</w:t>
      </w:r>
      <w:r w:rsidR="000C6D4A" w:rsidRPr="00F1180D">
        <w:rPr>
          <w:lang w:val="fr-FR"/>
        </w:rPr>
        <w:t>Lorsque l</w:t>
      </w:r>
      <w:r w:rsidR="00680ADA" w:rsidRPr="00F1180D">
        <w:rPr>
          <w:lang w:val="fr-FR"/>
        </w:rPr>
        <w:t>’</w:t>
      </w:r>
      <w:r w:rsidR="000C6D4A" w:rsidRPr="00F1180D">
        <w:rPr>
          <w:lang w:val="fr-FR"/>
        </w:rPr>
        <w:t>acte illicite ayant causé le dommage est le fait d</w:t>
      </w:r>
      <w:r w:rsidR="00680ADA" w:rsidRPr="00F1180D">
        <w:rPr>
          <w:lang w:val="fr-FR"/>
        </w:rPr>
        <w:t>’</w:t>
      </w:r>
      <w:r w:rsidR="000C6D4A" w:rsidRPr="00F1180D">
        <w:rPr>
          <w:lang w:val="fr-FR"/>
        </w:rPr>
        <w:t>une personne bénéficiant d</w:t>
      </w:r>
      <w:r w:rsidR="00680ADA" w:rsidRPr="00F1180D">
        <w:rPr>
          <w:lang w:val="fr-FR"/>
        </w:rPr>
        <w:t>’</w:t>
      </w:r>
      <w:r w:rsidR="000C6D4A" w:rsidRPr="00F1180D">
        <w:rPr>
          <w:lang w:val="fr-FR"/>
        </w:rPr>
        <w:t>une complicité par aide ou instigation</w:t>
      </w:r>
      <w:r w:rsidR="00680ADA" w:rsidRPr="00F1180D">
        <w:rPr>
          <w:lang w:val="fr-FR"/>
        </w:rPr>
        <w:t>,</w:t>
      </w:r>
      <w:r w:rsidR="000C6D4A" w:rsidRPr="00F1180D">
        <w:rPr>
          <w:lang w:val="fr-FR"/>
        </w:rPr>
        <w:t xml:space="preserve"> l</w:t>
      </w:r>
      <w:r w:rsidR="00680ADA" w:rsidRPr="00F1180D">
        <w:rPr>
          <w:lang w:val="fr-FR"/>
        </w:rPr>
        <w:t>’</w:t>
      </w:r>
      <w:r w:rsidR="000C6D4A" w:rsidRPr="00F1180D">
        <w:rPr>
          <w:lang w:val="fr-FR"/>
        </w:rPr>
        <w:t>auteur principal et ses complices sont réputés responsables du dommage et</w:t>
      </w:r>
      <w:r w:rsidR="00680ADA" w:rsidRPr="00F1180D">
        <w:rPr>
          <w:lang w:val="fr-FR"/>
        </w:rPr>
        <w:t>,</w:t>
      </w:r>
      <w:r w:rsidR="000C6D4A" w:rsidRPr="00F1180D">
        <w:rPr>
          <w:lang w:val="fr-FR"/>
        </w:rPr>
        <w:t xml:space="preserve"> par conséquent</w:t>
      </w:r>
      <w:r w:rsidR="00680ADA" w:rsidRPr="00F1180D">
        <w:rPr>
          <w:lang w:val="fr-FR"/>
        </w:rPr>
        <w:t>,</w:t>
      </w:r>
      <w:r w:rsidR="000C6D4A" w:rsidRPr="00F1180D">
        <w:rPr>
          <w:lang w:val="fr-FR"/>
        </w:rPr>
        <w:t xml:space="preserve"> ils sont tous tenus de le réparer</w:t>
      </w:r>
      <w:r w:rsidR="00680ADA" w:rsidRPr="00F1180D">
        <w:rPr>
          <w:lang w:val="fr-FR"/>
        </w:rPr>
        <w:t>»</w:t>
      </w:r>
      <w:r w:rsidR="000C6D4A" w:rsidRPr="00F1180D">
        <w:rPr>
          <w:lang w:val="fr-FR"/>
        </w:rPr>
        <w:t>.</w:t>
      </w:r>
    </w:p>
    <w:p w:rsidR="000C6D4A" w:rsidRPr="00F1180D" w:rsidRDefault="000C6D4A" w:rsidP="00593CF4">
      <w:pPr>
        <w:pStyle w:val="Bullet2G"/>
        <w:rPr>
          <w:lang w:val="fr-FR"/>
        </w:rPr>
      </w:pPr>
      <w:bookmarkStart w:id="4" w:name="Article_1488"/>
      <w:r w:rsidRPr="00F1180D">
        <w:rPr>
          <w:lang w:val="fr-FR"/>
        </w:rPr>
        <w:t>L</w:t>
      </w:r>
      <w:r w:rsidR="00680ADA" w:rsidRPr="00F1180D">
        <w:rPr>
          <w:lang w:val="fr-FR"/>
        </w:rPr>
        <w:t>’</w:t>
      </w:r>
      <w:r w:rsidR="00163207" w:rsidRPr="00F1180D">
        <w:rPr>
          <w:lang w:val="fr-FR"/>
        </w:rPr>
        <w:t>article</w:t>
      </w:r>
      <w:r w:rsidR="009B1350" w:rsidRPr="00F1180D">
        <w:rPr>
          <w:lang w:val="fr-FR"/>
        </w:rPr>
        <w:t xml:space="preserve"> </w:t>
      </w:r>
      <w:r w:rsidRPr="00F1180D">
        <w:rPr>
          <w:lang w:val="fr-FR"/>
        </w:rPr>
        <w:t>230</w:t>
      </w:r>
      <w:r w:rsidR="00680ADA" w:rsidRPr="00F1180D">
        <w:rPr>
          <w:lang w:val="fr-FR"/>
        </w:rPr>
        <w:t>,</w:t>
      </w:r>
      <w:r w:rsidRPr="00F1180D">
        <w:rPr>
          <w:lang w:val="fr-FR"/>
        </w:rPr>
        <w:t xml:space="preserve"> qui dispose </w:t>
      </w:r>
      <w:bookmarkEnd w:id="4"/>
      <w:r w:rsidRPr="00F1180D">
        <w:rPr>
          <w:lang w:val="fr-FR"/>
        </w:rPr>
        <w:t>ce qui suit</w:t>
      </w:r>
      <w:r w:rsidR="00680ADA" w:rsidRPr="00F1180D">
        <w:rPr>
          <w:lang w:val="fr-FR"/>
        </w:rPr>
        <w:t>:</w:t>
      </w:r>
      <w:r w:rsidR="000925C7" w:rsidRPr="00F1180D">
        <w:rPr>
          <w:lang w:val="fr-FR"/>
        </w:rPr>
        <w:t xml:space="preserve"> </w:t>
      </w:r>
    </w:p>
    <w:p w:rsidR="000C6D4A" w:rsidRPr="00F1180D" w:rsidRDefault="00593CF4" w:rsidP="002A0AED">
      <w:pPr>
        <w:pStyle w:val="SingleTxtG"/>
        <w:ind w:left="2268" w:hanging="567"/>
        <w:rPr>
          <w:lang w:val="fr-FR"/>
        </w:rPr>
      </w:pPr>
      <w:r w:rsidRPr="00F1180D">
        <w:rPr>
          <w:lang w:val="fr-FR"/>
        </w:rPr>
        <w:tab/>
      </w:r>
      <w:r w:rsidR="00FA2B70" w:rsidRPr="00F1180D">
        <w:rPr>
          <w:lang w:val="fr-FR"/>
        </w:rPr>
        <w:tab/>
      </w:r>
      <w:r w:rsidR="000C6D4A" w:rsidRPr="00F1180D">
        <w:rPr>
          <w:lang w:val="fr-FR"/>
        </w:rPr>
        <w:t>1</w:t>
      </w:r>
      <w:r w:rsidRPr="00F1180D">
        <w:rPr>
          <w:lang w:val="fr-FR"/>
        </w:rPr>
        <w:t>.</w:t>
      </w:r>
      <w:r w:rsidR="000C6D4A" w:rsidRPr="00F1180D">
        <w:rPr>
          <w:lang w:val="fr-FR"/>
        </w:rPr>
        <w:tab/>
      </w:r>
      <w:r w:rsidR="00680ADA" w:rsidRPr="00F1180D">
        <w:rPr>
          <w:lang w:val="fr-FR"/>
        </w:rPr>
        <w:t>«</w:t>
      </w:r>
      <w:r w:rsidR="000C6D4A" w:rsidRPr="00F1180D">
        <w:rPr>
          <w:lang w:val="fr-FR"/>
        </w:rPr>
        <w:t>L</w:t>
      </w:r>
      <w:r w:rsidR="00680ADA" w:rsidRPr="00F1180D">
        <w:rPr>
          <w:lang w:val="fr-FR"/>
        </w:rPr>
        <w:t>’</w:t>
      </w:r>
      <w:r w:rsidR="000C6D4A" w:rsidRPr="00F1180D">
        <w:rPr>
          <w:lang w:val="fr-FR"/>
        </w:rPr>
        <w:t>indemnisation du préjudice est évaluée au regard des pertes ou du manque à gagner causés par l</w:t>
      </w:r>
      <w:r w:rsidR="00680ADA" w:rsidRPr="00F1180D">
        <w:rPr>
          <w:lang w:val="fr-FR"/>
        </w:rPr>
        <w:t>’</w:t>
      </w:r>
      <w:r w:rsidR="000C6D4A" w:rsidRPr="00F1180D">
        <w:rPr>
          <w:lang w:val="fr-FR"/>
        </w:rPr>
        <w:t xml:space="preserve">acte illicite. </w:t>
      </w:r>
    </w:p>
    <w:p w:rsidR="000C6D4A" w:rsidRPr="00F1180D" w:rsidRDefault="00593CF4" w:rsidP="002A0AED">
      <w:pPr>
        <w:pStyle w:val="SingleTxtG"/>
        <w:ind w:left="2268" w:hanging="567"/>
        <w:rPr>
          <w:lang w:val="fr-FR"/>
        </w:rPr>
      </w:pPr>
      <w:r w:rsidRPr="00F1180D">
        <w:rPr>
          <w:lang w:val="fr-FR"/>
        </w:rPr>
        <w:tab/>
      </w:r>
      <w:r w:rsidR="00FA2B70" w:rsidRPr="00F1180D">
        <w:rPr>
          <w:lang w:val="fr-FR"/>
        </w:rPr>
        <w:tab/>
      </w:r>
      <w:r w:rsidR="000C6D4A" w:rsidRPr="00F1180D">
        <w:rPr>
          <w:lang w:val="fr-FR"/>
        </w:rPr>
        <w:t>2</w:t>
      </w:r>
      <w:r w:rsidRPr="00F1180D">
        <w:rPr>
          <w:lang w:val="fr-FR"/>
        </w:rPr>
        <w:t>.</w:t>
      </w:r>
      <w:r w:rsidR="000C6D4A" w:rsidRPr="00F1180D">
        <w:rPr>
          <w:lang w:val="fr-FR"/>
        </w:rPr>
        <w:tab/>
        <w:t>Les pertes ou le manque à gagner sont considérés comme une conséquence naturelle d</w:t>
      </w:r>
      <w:r w:rsidR="00680ADA" w:rsidRPr="00F1180D">
        <w:rPr>
          <w:lang w:val="fr-FR"/>
        </w:rPr>
        <w:t>’</w:t>
      </w:r>
      <w:r w:rsidR="000C6D4A" w:rsidRPr="00F1180D">
        <w:rPr>
          <w:lang w:val="fr-FR"/>
        </w:rPr>
        <w:t>un acte illicite lorsqu</w:t>
      </w:r>
      <w:r w:rsidR="00680ADA" w:rsidRPr="00F1180D">
        <w:rPr>
          <w:lang w:val="fr-FR"/>
        </w:rPr>
        <w:t>’</w:t>
      </w:r>
      <w:r w:rsidR="000C6D4A" w:rsidRPr="00F1180D">
        <w:rPr>
          <w:lang w:val="fr-FR"/>
        </w:rPr>
        <w:t>il est impossible de les éviter malgré les efforts que peut faire en l</w:t>
      </w:r>
      <w:r w:rsidR="00680ADA" w:rsidRPr="00F1180D">
        <w:rPr>
          <w:lang w:val="fr-FR"/>
        </w:rPr>
        <w:t>’</w:t>
      </w:r>
      <w:r w:rsidR="000C6D4A" w:rsidRPr="00F1180D">
        <w:rPr>
          <w:lang w:val="fr-FR"/>
        </w:rPr>
        <w:t>espèce une personne raisonnable</w:t>
      </w:r>
      <w:r w:rsidR="00680ADA" w:rsidRPr="00F1180D">
        <w:rPr>
          <w:lang w:val="fr-FR"/>
        </w:rPr>
        <w:t>»</w:t>
      </w:r>
      <w:r w:rsidR="000C6D4A" w:rsidRPr="00F1180D">
        <w:rPr>
          <w:lang w:val="fr-FR"/>
        </w:rPr>
        <w:t>.</w:t>
      </w:r>
    </w:p>
    <w:p w:rsidR="000C6D4A" w:rsidRPr="00F1180D" w:rsidRDefault="000C6D4A" w:rsidP="00593CF4">
      <w:pPr>
        <w:pStyle w:val="Bullet2G"/>
        <w:rPr>
          <w:lang w:val="fr-FR"/>
        </w:rPr>
      </w:pPr>
      <w:r w:rsidRPr="00F1180D">
        <w:rPr>
          <w:lang w:val="fr-FR"/>
        </w:rPr>
        <w:t>L</w:t>
      </w:r>
      <w:r w:rsidR="00680ADA" w:rsidRPr="00F1180D">
        <w:rPr>
          <w:lang w:val="fr-FR"/>
        </w:rPr>
        <w:t>’</w:t>
      </w:r>
      <w:r w:rsidR="00163207" w:rsidRPr="00F1180D">
        <w:rPr>
          <w:lang w:val="fr-FR"/>
        </w:rPr>
        <w:t>article </w:t>
      </w:r>
      <w:r w:rsidRPr="00F1180D">
        <w:rPr>
          <w:lang w:val="fr-FR"/>
        </w:rPr>
        <w:t>231</w:t>
      </w:r>
      <w:r w:rsidR="00680ADA" w:rsidRPr="00F1180D">
        <w:rPr>
          <w:lang w:val="fr-FR"/>
        </w:rPr>
        <w:t>,</w:t>
      </w:r>
      <w:r w:rsidRPr="00F1180D">
        <w:rPr>
          <w:lang w:val="fr-FR"/>
        </w:rPr>
        <w:t xml:space="preserve"> qui consacre le principe suivant</w:t>
      </w:r>
      <w:r w:rsidR="00680ADA" w:rsidRPr="00F1180D">
        <w:rPr>
          <w:lang w:val="fr-FR"/>
        </w:rPr>
        <w:t>:</w:t>
      </w:r>
      <w:r w:rsidRPr="00F1180D">
        <w:rPr>
          <w:lang w:val="fr-FR"/>
        </w:rPr>
        <w:t xml:space="preserve"> </w:t>
      </w:r>
    </w:p>
    <w:p w:rsidR="000C6D4A" w:rsidRPr="00F1180D" w:rsidRDefault="00593CF4" w:rsidP="002A0AED">
      <w:pPr>
        <w:pStyle w:val="SingleTxtG"/>
        <w:ind w:left="2268" w:hanging="567"/>
        <w:rPr>
          <w:lang w:val="fr-FR"/>
        </w:rPr>
      </w:pPr>
      <w:r w:rsidRPr="00F1180D">
        <w:rPr>
          <w:lang w:val="fr-FR"/>
        </w:rPr>
        <w:tab/>
      </w:r>
      <w:r w:rsidR="00FA2B70" w:rsidRPr="00F1180D">
        <w:rPr>
          <w:lang w:val="fr-FR"/>
        </w:rPr>
        <w:tab/>
      </w:r>
      <w:r w:rsidRPr="00F1180D">
        <w:rPr>
          <w:lang w:val="fr-FR"/>
        </w:rPr>
        <w:t>1.</w:t>
      </w:r>
      <w:r w:rsidR="000C6D4A" w:rsidRPr="00F1180D">
        <w:rPr>
          <w:lang w:val="fr-FR"/>
        </w:rPr>
        <w:tab/>
        <w:t>La réparation du dommage causé par un acte illicite est due même si le préjudice subi est moral.</w:t>
      </w:r>
    </w:p>
    <w:p w:rsidR="000C6D4A" w:rsidRPr="00F1180D" w:rsidRDefault="00593CF4" w:rsidP="002A0AED">
      <w:pPr>
        <w:pStyle w:val="SingleTxtG"/>
        <w:ind w:left="2268" w:hanging="567"/>
        <w:rPr>
          <w:lang w:val="fr-FR"/>
        </w:rPr>
      </w:pPr>
      <w:r w:rsidRPr="00F1180D">
        <w:rPr>
          <w:lang w:val="fr-FR"/>
        </w:rPr>
        <w:tab/>
      </w:r>
      <w:r w:rsidR="00FA2B70" w:rsidRPr="00F1180D">
        <w:rPr>
          <w:lang w:val="fr-FR"/>
        </w:rPr>
        <w:tab/>
      </w:r>
      <w:r w:rsidRPr="00F1180D">
        <w:rPr>
          <w:lang w:val="fr-FR"/>
        </w:rPr>
        <w:t>2.</w:t>
      </w:r>
      <w:r w:rsidR="000C6D4A" w:rsidRPr="00F1180D">
        <w:rPr>
          <w:lang w:val="fr-FR"/>
        </w:rPr>
        <w:tab/>
        <w:t>Le dommage moral inclut notamment le préjudice d</w:t>
      </w:r>
      <w:r w:rsidR="00680ADA" w:rsidRPr="00F1180D">
        <w:rPr>
          <w:lang w:val="fr-FR"/>
        </w:rPr>
        <w:t>’</w:t>
      </w:r>
      <w:r w:rsidR="000C6D4A" w:rsidRPr="00F1180D">
        <w:rPr>
          <w:lang w:val="fr-FR"/>
        </w:rPr>
        <w:t>affection ou psychique subi par une personne</w:t>
      </w:r>
      <w:r w:rsidR="00680ADA" w:rsidRPr="00F1180D">
        <w:rPr>
          <w:lang w:val="fr-FR"/>
        </w:rPr>
        <w:t>,</w:t>
      </w:r>
      <w:r w:rsidR="000C6D4A" w:rsidRPr="00F1180D">
        <w:rPr>
          <w:lang w:val="fr-FR"/>
        </w:rPr>
        <w:t xml:space="preserve"> suite à une atteinte à sa vie</w:t>
      </w:r>
      <w:r w:rsidR="00680ADA" w:rsidRPr="00F1180D">
        <w:rPr>
          <w:lang w:val="fr-FR"/>
        </w:rPr>
        <w:t>,</w:t>
      </w:r>
      <w:r w:rsidR="000C6D4A" w:rsidRPr="00F1180D">
        <w:rPr>
          <w:lang w:val="fr-FR"/>
        </w:rPr>
        <w:t xml:space="preserve"> à son intégrité physique</w:t>
      </w:r>
      <w:r w:rsidR="00680ADA" w:rsidRPr="00F1180D">
        <w:rPr>
          <w:lang w:val="fr-FR"/>
        </w:rPr>
        <w:t>,</w:t>
      </w:r>
      <w:r w:rsidR="000C6D4A" w:rsidRPr="00F1180D">
        <w:rPr>
          <w:lang w:val="fr-FR"/>
        </w:rPr>
        <w:t xml:space="preserve"> à sa liberté</w:t>
      </w:r>
      <w:r w:rsidR="00680ADA" w:rsidRPr="00F1180D">
        <w:rPr>
          <w:lang w:val="fr-FR"/>
        </w:rPr>
        <w:t>,</w:t>
      </w:r>
      <w:r w:rsidR="000C6D4A" w:rsidRPr="00F1180D">
        <w:rPr>
          <w:lang w:val="fr-FR"/>
        </w:rPr>
        <w:t xml:space="preserve"> à son honneur ou à sa réputation</w:t>
      </w:r>
      <w:r w:rsidR="00680ADA" w:rsidRPr="00F1180D">
        <w:rPr>
          <w:lang w:val="fr-FR"/>
        </w:rPr>
        <w:t>,</w:t>
      </w:r>
      <w:r w:rsidR="000C6D4A" w:rsidRPr="00F1180D">
        <w:rPr>
          <w:lang w:val="fr-FR"/>
        </w:rPr>
        <w:t xml:space="preserve"> ou encore à sa position sociale et morale ou à sa réputation financière. Il inclut également la tristesse et les peines éprouvées par une personne</w:t>
      </w:r>
      <w:r w:rsidR="00680ADA" w:rsidRPr="00F1180D">
        <w:rPr>
          <w:lang w:val="fr-FR"/>
        </w:rPr>
        <w:t>,</w:t>
      </w:r>
      <w:r w:rsidR="000C6D4A" w:rsidRPr="00F1180D">
        <w:rPr>
          <w:lang w:val="fr-FR"/>
        </w:rPr>
        <w:t xml:space="preserve"> ainsi que la perte de liens d</w:t>
      </w:r>
      <w:r w:rsidR="00680ADA" w:rsidRPr="00F1180D">
        <w:rPr>
          <w:lang w:val="fr-FR"/>
        </w:rPr>
        <w:t>’</w:t>
      </w:r>
      <w:r w:rsidR="000C6D4A" w:rsidRPr="00F1180D">
        <w:rPr>
          <w:lang w:val="fr-FR"/>
        </w:rPr>
        <w:t>amour et d</w:t>
      </w:r>
      <w:r w:rsidR="00680ADA" w:rsidRPr="00F1180D">
        <w:rPr>
          <w:lang w:val="fr-FR"/>
        </w:rPr>
        <w:t>’</w:t>
      </w:r>
      <w:r w:rsidR="000C6D4A" w:rsidRPr="00F1180D">
        <w:rPr>
          <w:lang w:val="fr-FR"/>
        </w:rPr>
        <w:t>affection résultant de la perte d</w:t>
      </w:r>
      <w:r w:rsidR="00680ADA" w:rsidRPr="00F1180D">
        <w:rPr>
          <w:lang w:val="fr-FR"/>
        </w:rPr>
        <w:t>’</w:t>
      </w:r>
      <w:r w:rsidR="000C6D4A" w:rsidRPr="00F1180D">
        <w:rPr>
          <w:lang w:val="fr-FR"/>
        </w:rPr>
        <w:t>un être cher...</w:t>
      </w:r>
      <w:r w:rsidR="00680ADA" w:rsidRPr="00F1180D">
        <w:rPr>
          <w:lang w:val="fr-FR"/>
        </w:rPr>
        <w:t>»</w:t>
      </w:r>
      <w:r w:rsidR="000C6D4A" w:rsidRPr="00F1180D">
        <w:rPr>
          <w:lang w:val="fr-FR"/>
        </w:rPr>
        <w:t xml:space="preserve">. </w:t>
      </w:r>
    </w:p>
    <w:p w:rsidR="000C6D4A" w:rsidRPr="00F1180D" w:rsidRDefault="00A612AA" w:rsidP="00A612AA">
      <w:pPr>
        <w:pStyle w:val="H1G"/>
        <w:rPr>
          <w:bCs/>
          <w:sz w:val="20"/>
          <w:rtl/>
          <w:lang w:val="fr-FR" w:bidi="fr-FR"/>
        </w:rPr>
      </w:pPr>
      <w:r w:rsidRPr="00F1180D">
        <w:rPr>
          <w:lang w:val="fr-FR" w:bidi="ar-KW"/>
        </w:rPr>
        <w:tab/>
      </w:r>
      <w:r w:rsidRPr="00F1180D">
        <w:rPr>
          <w:lang w:val="fr-FR" w:bidi="ar-KW"/>
        </w:rPr>
        <w:tab/>
      </w:r>
      <w:r w:rsidR="00163207" w:rsidRPr="00F1180D">
        <w:rPr>
          <w:lang w:val="fr-FR" w:bidi="ar-KW"/>
        </w:rPr>
        <w:t>Article </w:t>
      </w:r>
      <w:r w:rsidR="000C6D4A" w:rsidRPr="00F1180D">
        <w:rPr>
          <w:lang w:val="fr-FR" w:bidi="ar-KW"/>
        </w:rPr>
        <w:t>7</w:t>
      </w:r>
    </w:p>
    <w:p w:rsidR="000C6D4A" w:rsidRPr="00F1180D" w:rsidRDefault="00930AE5" w:rsidP="00A612AA">
      <w:pPr>
        <w:pStyle w:val="SingleTxtG"/>
        <w:keepNext/>
        <w:rPr>
          <w:rtl/>
          <w:lang w:val="fr-FR" w:bidi="fr-FR"/>
        </w:rPr>
      </w:pPr>
      <w:r>
        <w:rPr>
          <w:lang w:val="fr-FR" w:bidi="ar-KW"/>
        </w:rPr>
        <w:t>112.</w:t>
      </w:r>
      <w:r>
        <w:rPr>
          <w:lang w:val="fr-FR" w:bidi="ar-KW"/>
        </w:rPr>
        <w:tab/>
      </w:r>
      <w:r w:rsidR="000C6D4A" w:rsidRPr="00F1180D">
        <w:rPr>
          <w:lang w:val="fr-FR" w:bidi="ar-KW"/>
        </w:rPr>
        <w:t>Le Koweït attache une attention particulière à la lutte contre toutes les formes de discrimination raciale dans les domaines de l</w:t>
      </w:r>
      <w:r w:rsidR="00680ADA" w:rsidRPr="00F1180D">
        <w:rPr>
          <w:lang w:val="fr-FR" w:bidi="ar-KW"/>
        </w:rPr>
        <w:t>’</w:t>
      </w:r>
      <w:r w:rsidR="000C6D4A" w:rsidRPr="00F1180D">
        <w:rPr>
          <w:lang w:val="fr-FR" w:bidi="ar-KW"/>
        </w:rPr>
        <w:t>enseignement</w:t>
      </w:r>
      <w:r w:rsidR="00680ADA" w:rsidRPr="00F1180D">
        <w:rPr>
          <w:lang w:val="fr-FR" w:bidi="ar-KW"/>
        </w:rPr>
        <w:t>,</w:t>
      </w:r>
      <w:r w:rsidR="000C6D4A" w:rsidRPr="00F1180D">
        <w:rPr>
          <w:lang w:val="fr-FR" w:bidi="ar-KW"/>
        </w:rPr>
        <w:t xml:space="preserve"> de l</w:t>
      </w:r>
      <w:r w:rsidR="00680ADA" w:rsidRPr="00F1180D">
        <w:rPr>
          <w:lang w:val="fr-FR" w:bidi="ar-KW"/>
        </w:rPr>
        <w:t>’</w:t>
      </w:r>
      <w:r w:rsidR="000C6D4A" w:rsidRPr="00F1180D">
        <w:rPr>
          <w:lang w:val="fr-FR" w:bidi="ar-KW"/>
        </w:rPr>
        <w:t>information et de la culture.</w:t>
      </w:r>
      <w:r w:rsidR="009B1350" w:rsidRPr="00F1180D">
        <w:rPr>
          <w:lang w:val="fr-FR" w:bidi="ar-KW"/>
        </w:rPr>
        <w:t xml:space="preserve"> </w:t>
      </w:r>
      <w:r w:rsidR="000C6D4A" w:rsidRPr="00F1180D">
        <w:rPr>
          <w:lang w:val="fr-FR" w:bidi="ar-KW"/>
        </w:rPr>
        <w:t>À titre d</w:t>
      </w:r>
      <w:r w:rsidR="00680ADA" w:rsidRPr="00F1180D">
        <w:rPr>
          <w:lang w:val="fr-FR" w:bidi="ar-KW"/>
        </w:rPr>
        <w:t>’</w:t>
      </w:r>
      <w:r w:rsidR="000C6D4A" w:rsidRPr="00F1180D">
        <w:rPr>
          <w:lang w:val="fr-FR" w:bidi="ar-KW"/>
        </w:rPr>
        <w:t>exemple</w:t>
      </w:r>
      <w:r w:rsidR="00680ADA" w:rsidRPr="00F1180D">
        <w:rPr>
          <w:lang w:val="fr-FR" w:bidi="ar-KW"/>
        </w:rPr>
        <w:t>,</w:t>
      </w:r>
      <w:r w:rsidR="000C6D4A" w:rsidRPr="00F1180D">
        <w:rPr>
          <w:lang w:val="fr-FR" w:bidi="ar-KW"/>
        </w:rPr>
        <w:t xml:space="preserve"> les mesures suivantes ont été prises dans le domaine de l</w:t>
      </w:r>
      <w:r w:rsidR="00680ADA" w:rsidRPr="00F1180D">
        <w:rPr>
          <w:lang w:val="fr-FR" w:bidi="ar-KW"/>
        </w:rPr>
        <w:t>’</w:t>
      </w:r>
      <w:r w:rsidR="000C6D4A" w:rsidRPr="00F1180D">
        <w:rPr>
          <w:lang w:val="fr-FR" w:bidi="ar-KW"/>
        </w:rPr>
        <w:t>éducation</w:t>
      </w:r>
      <w:r w:rsidR="00680ADA" w:rsidRPr="00F1180D">
        <w:rPr>
          <w:lang w:val="fr-FR" w:bidi="ar-KW"/>
        </w:rPr>
        <w:t>:</w:t>
      </w:r>
    </w:p>
    <w:p w:rsidR="000C6D4A" w:rsidRPr="00F1180D" w:rsidRDefault="00A612AA" w:rsidP="00A612AA">
      <w:pPr>
        <w:pStyle w:val="Bullet1G"/>
        <w:rPr>
          <w:rtl/>
          <w:lang w:val="fr-FR" w:bidi="fr-FR"/>
        </w:rPr>
      </w:pPr>
      <w:r w:rsidRPr="00F1180D">
        <w:rPr>
          <w:lang w:val="fr-FR" w:bidi="ar-KW"/>
        </w:rPr>
        <w:t xml:space="preserve">L’adoption </w:t>
      </w:r>
      <w:r w:rsidR="000C6D4A" w:rsidRPr="00F1180D">
        <w:rPr>
          <w:lang w:val="fr-FR" w:bidi="ar-KW"/>
        </w:rPr>
        <w:t>de plusieurs directives interdisant toute discrimination entre élèves et enseignants fondée sur la race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ethnie</w:t>
      </w:r>
      <w:r w:rsidR="00680ADA" w:rsidRPr="00F1180D">
        <w:rPr>
          <w:lang w:val="fr-FR" w:bidi="ar-KW"/>
        </w:rPr>
        <w:t>,</w:t>
      </w:r>
      <w:r w:rsidR="000C6D4A" w:rsidRPr="00F1180D">
        <w:rPr>
          <w:lang w:val="fr-FR" w:bidi="ar-KW"/>
        </w:rPr>
        <w:t xml:space="preserve"> la tribu</w:t>
      </w:r>
      <w:r w:rsidR="00680ADA" w:rsidRPr="00F1180D">
        <w:rPr>
          <w:lang w:val="fr-FR" w:bidi="ar-KW"/>
        </w:rPr>
        <w:t>,</w:t>
      </w:r>
      <w:r w:rsidR="000C6D4A" w:rsidRPr="00F1180D">
        <w:rPr>
          <w:lang w:val="fr-FR" w:bidi="ar-KW"/>
        </w:rPr>
        <w:t xml:space="preserve"> etc</w:t>
      </w:r>
      <w:r w:rsidR="00DE72EA" w:rsidRPr="00F1180D">
        <w:rPr>
          <w:lang w:val="fr-FR" w:bidi="ar-KW"/>
        </w:rPr>
        <w:t>.</w:t>
      </w:r>
      <w:r w:rsidRPr="00F1180D">
        <w:rPr>
          <w:lang w:val="fr-FR" w:bidi="ar-KW"/>
        </w:rPr>
        <w:t>;</w:t>
      </w:r>
      <w:r w:rsidR="000C6D4A" w:rsidRPr="00F1180D">
        <w:rPr>
          <w:lang w:val="fr-FR" w:bidi="ar-KW"/>
        </w:rPr>
        <w:t xml:space="preserve"> </w:t>
      </w:r>
    </w:p>
    <w:p w:rsidR="000C6D4A" w:rsidRPr="00F1180D" w:rsidRDefault="000C6D4A" w:rsidP="00A612AA">
      <w:pPr>
        <w:pStyle w:val="Bullet1G"/>
        <w:rPr>
          <w:rtl/>
          <w:lang w:val="fr-FR" w:bidi="fr-FR"/>
        </w:rPr>
      </w:pPr>
      <w:r w:rsidRPr="00F1180D">
        <w:rPr>
          <w:lang w:val="fr-FR" w:bidi="ar-KW"/>
        </w:rPr>
        <w:t>L</w:t>
      </w:r>
      <w:r w:rsidR="00680ADA" w:rsidRPr="00F1180D">
        <w:rPr>
          <w:lang w:val="fr-FR" w:bidi="ar-KW"/>
        </w:rPr>
        <w:t>’</w:t>
      </w:r>
      <w:r w:rsidRPr="00F1180D">
        <w:rPr>
          <w:lang w:val="fr-FR" w:bidi="ar-KW"/>
        </w:rPr>
        <w:t>interdiction des discours</w:t>
      </w:r>
      <w:r w:rsidR="00680ADA" w:rsidRPr="00F1180D">
        <w:rPr>
          <w:lang w:val="fr-FR" w:bidi="ar-KW"/>
        </w:rPr>
        <w:t>,</w:t>
      </w:r>
      <w:r w:rsidRPr="00F1180D">
        <w:rPr>
          <w:lang w:val="fr-FR" w:bidi="ar-KW"/>
        </w:rPr>
        <w:t xml:space="preserve"> dialogues ou débats incitant à la discrimination</w:t>
      </w:r>
      <w:r w:rsidR="00A612AA" w:rsidRPr="00F1180D">
        <w:rPr>
          <w:lang w:val="fr-FR" w:bidi="ar-KW"/>
        </w:rPr>
        <w:t>;</w:t>
      </w:r>
      <w:r w:rsidRPr="00F1180D">
        <w:rPr>
          <w:lang w:val="fr-FR" w:bidi="ar-KW"/>
        </w:rPr>
        <w:t xml:space="preserve"> </w:t>
      </w:r>
    </w:p>
    <w:p w:rsidR="000C6D4A" w:rsidRPr="00F1180D" w:rsidRDefault="000C6D4A" w:rsidP="00A612AA">
      <w:pPr>
        <w:pStyle w:val="Bullet1G"/>
        <w:rPr>
          <w:rtl/>
          <w:lang w:val="fr-FR" w:bidi="fr-FR"/>
        </w:rPr>
      </w:pPr>
      <w:r w:rsidRPr="00F1180D">
        <w:rPr>
          <w:lang w:val="fr-FR" w:bidi="ar-KW"/>
        </w:rPr>
        <w:t>L</w:t>
      </w:r>
      <w:r w:rsidR="00680ADA" w:rsidRPr="00F1180D">
        <w:rPr>
          <w:lang w:val="fr-FR" w:bidi="ar-KW"/>
        </w:rPr>
        <w:t>’</w:t>
      </w:r>
      <w:r w:rsidRPr="00F1180D">
        <w:rPr>
          <w:lang w:val="fr-FR" w:bidi="ar-KW"/>
        </w:rPr>
        <w:t>intégration des thématiques relatives aux droits de l</w:t>
      </w:r>
      <w:r w:rsidR="00680ADA" w:rsidRPr="00F1180D">
        <w:rPr>
          <w:lang w:val="fr-FR" w:bidi="ar-KW"/>
        </w:rPr>
        <w:t>’</w:t>
      </w:r>
      <w:r w:rsidRPr="00F1180D">
        <w:rPr>
          <w:lang w:val="fr-FR" w:bidi="ar-KW"/>
        </w:rPr>
        <w:t>homme</w:t>
      </w:r>
      <w:r w:rsidR="00680ADA" w:rsidRPr="00F1180D">
        <w:rPr>
          <w:lang w:val="fr-FR" w:bidi="ar-KW"/>
        </w:rPr>
        <w:t>,</w:t>
      </w:r>
      <w:r w:rsidRPr="00F1180D">
        <w:rPr>
          <w:lang w:val="fr-FR" w:bidi="ar-KW"/>
        </w:rPr>
        <w:t xml:space="preserve"> à la paix dans le monde et à l</w:t>
      </w:r>
      <w:r w:rsidR="00680ADA" w:rsidRPr="00F1180D">
        <w:rPr>
          <w:lang w:val="fr-FR" w:bidi="ar-KW"/>
        </w:rPr>
        <w:t>’</w:t>
      </w:r>
      <w:r w:rsidRPr="00F1180D">
        <w:rPr>
          <w:lang w:val="fr-FR" w:bidi="ar-KW"/>
        </w:rPr>
        <w:t>entente internationale dans les programmes scolaires</w:t>
      </w:r>
      <w:r w:rsidR="00A612AA" w:rsidRPr="00F1180D">
        <w:rPr>
          <w:lang w:val="fr-FR" w:bidi="ar-KW"/>
        </w:rPr>
        <w:t>;</w:t>
      </w:r>
    </w:p>
    <w:p w:rsidR="000C6D4A" w:rsidRPr="00F1180D" w:rsidRDefault="000C6D4A" w:rsidP="00A612AA">
      <w:pPr>
        <w:pStyle w:val="Bullet1G"/>
        <w:rPr>
          <w:rtl/>
          <w:lang w:val="fr-FR" w:bidi="fr-FR"/>
        </w:rPr>
      </w:pPr>
      <w:r w:rsidRPr="00F1180D">
        <w:rPr>
          <w:lang w:val="fr-FR" w:bidi="ar-KW"/>
        </w:rPr>
        <w:t>L</w:t>
      </w:r>
      <w:r w:rsidR="00680ADA" w:rsidRPr="00F1180D">
        <w:rPr>
          <w:lang w:val="fr-FR" w:bidi="ar-KW"/>
        </w:rPr>
        <w:t>’</w:t>
      </w:r>
      <w:r w:rsidRPr="00F1180D">
        <w:rPr>
          <w:lang w:val="fr-FR" w:bidi="ar-KW"/>
        </w:rPr>
        <w:t>enseignement des droits de l</w:t>
      </w:r>
      <w:r w:rsidR="00680ADA" w:rsidRPr="00F1180D">
        <w:rPr>
          <w:lang w:val="fr-FR" w:bidi="ar-KW"/>
        </w:rPr>
        <w:t>’</w:t>
      </w:r>
      <w:r w:rsidRPr="00F1180D">
        <w:rPr>
          <w:lang w:val="fr-FR" w:bidi="ar-KW"/>
        </w:rPr>
        <w:t>homme aux élèves du cycle secondaire. Ainsi</w:t>
      </w:r>
      <w:r w:rsidR="00680ADA" w:rsidRPr="00F1180D">
        <w:rPr>
          <w:lang w:val="fr-FR" w:bidi="ar-KW"/>
        </w:rPr>
        <w:t>,</w:t>
      </w:r>
      <w:r w:rsidRPr="00F1180D">
        <w:rPr>
          <w:lang w:val="fr-FR" w:bidi="ar-KW"/>
        </w:rPr>
        <w:t xml:space="preserve"> le manuel portant sur les droits de l</w:t>
      </w:r>
      <w:r w:rsidR="00680ADA" w:rsidRPr="00F1180D">
        <w:rPr>
          <w:lang w:val="fr-FR" w:bidi="ar-KW"/>
        </w:rPr>
        <w:t>’</w:t>
      </w:r>
      <w:r w:rsidRPr="00F1180D">
        <w:rPr>
          <w:lang w:val="fr-FR" w:bidi="ar-KW"/>
        </w:rPr>
        <w:t>homme aborde notamment l</w:t>
      </w:r>
      <w:r w:rsidR="00680ADA" w:rsidRPr="00F1180D">
        <w:rPr>
          <w:lang w:val="fr-FR" w:bidi="ar-KW"/>
        </w:rPr>
        <w:t>’</w:t>
      </w:r>
      <w:r w:rsidRPr="00F1180D">
        <w:rPr>
          <w:lang w:val="fr-FR" w:bidi="ar-KW"/>
        </w:rPr>
        <w:t>explication de cette notion</w:t>
      </w:r>
      <w:r w:rsidR="00680ADA" w:rsidRPr="00F1180D">
        <w:rPr>
          <w:lang w:val="fr-FR" w:bidi="ar-KW"/>
        </w:rPr>
        <w:t>,</w:t>
      </w:r>
      <w:r w:rsidRPr="00F1180D">
        <w:rPr>
          <w:lang w:val="fr-FR" w:bidi="ar-KW"/>
        </w:rPr>
        <w:t xml:space="preserve"> de son importance</w:t>
      </w:r>
      <w:r w:rsidR="00680ADA" w:rsidRPr="00F1180D">
        <w:rPr>
          <w:lang w:val="fr-FR" w:bidi="ar-KW"/>
        </w:rPr>
        <w:t>,</w:t>
      </w:r>
      <w:r w:rsidRPr="00F1180D">
        <w:rPr>
          <w:lang w:val="fr-FR" w:bidi="ar-KW"/>
        </w:rPr>
        <w:t xml:space="preserve"> de ses caractéristiques et de ses sources</w:t>
      </w:r>
      <w:r w:rsidR="00680ADA" w:rsidRPr="00F1180D">
        <w:rPr>
          <w:lang w:val="fr-FR" w:bidi="ar-KW"/>
        </w:rPr>
        <w:t>,</w:t>
      </w:r>
      <w:r w:rsidRPr="00F1180D">
        <w:rPr>
          <w:lang w:val="fr-FR" w:bidi="ar-KW"/>
        </w:rPr>
        <w:t xml:space="preserve"> puis passe à une étude détaillée de certains droits tels que les droits à la vie</w:t>
      </w:r>
      <w:r w:rsidR="00680ADA" w:rsidRPr="00F1180D">
        <w:rPr>
          <w:lang w:val="fr-FR" w:bidi="ar-KW"/>
        </w:rPr>
        <w:t>,</w:t>
      </w:r>
      <w:r w:rsidRPr="00F1180D">
        <w:rPr>
          <w:lang w:val="fr-FR" w:bidi="ar-KW"/>
        </w:rPr>
        <w:t xml:space="preserve"> à l</w:t>
      </w:r>
      <w:r w:rsidR="00680ADA" w:rsidRPr="00F1180D">
        <w:rPr>
          <w:lang w:val="fr-FR" w:bidi="ar-KW"/>
        </w:rPr>
        <w:t>’</w:t>
      </w:r>
      <w:r w:rsidRPr="00F1180D">
        <w:rPr>
          <w:lang w:val="fr-FR" w:bidi="ar-KW"/>
        </w:rPr>
        <w:t>égalité</w:t>
      </w:r>
      <w:r w:rsidR="00680ADA" w:rsidRPr="00F1180D">
        <w:rPr>
          <w:lang w:val="fr-FR" w:bidi="ar-KW"/>
        </w:rPr>
        <w:t>,</w:t>
      </w:r>
      <w:r w:rsidRPr="00F1180D">
        <w:rPr>
          <w:lang w:val="fr-FR" w:bidi="ar-KW"/>
        </w:rPr>
        <w:t xml:space="preserve"> à la dignité humaine</w:t>
      </w:r>
      <w:r w:rsidR="00680ADA" w:rsidRPr="00F1180D">
        <w:rPr>
          <w:lang w:val="fr-FR" w:bidi="ar-KW"/>
        </w:rPr>
        <w:t>,</w:t>
      </w:r>
      <w:r w:rsidRPr="00F1180D">
        <w:rPr>
          <w:lang w:val="fr-FR" w:bidi="ar-KW"/>
        </w:rPr>
        <w:t xml:space="preserve"> à la liberté de croyance</w:t>
      </w:r>
      <w:r w:rsidR="00680ADA" w:rsidRPr="00F1180D">
        <w:rPr>
          <w:lang w:val="fr-FR" w:bidi="ar-KW"/>
        </w:rPr>
        <w:t>,</w:t>
      </w:r>
      <w:r w:rsidRPr="00F1180D">
        <w:rPr>
          <w:lang w:val="fr-FR" w:bidi="ar-KW"/>
        </w:rPr>
        <w:t xml:space="preserve"> d</w:t>
      </w:r>
      <w:r w:rsidR="00680ADA" w:rsidRPr="00F1180D">
        <w:rPr>
          <w:lang w:val="fr-FR" w:bidi="ar-KW"/>
        </w:rPr>
        <w:t>’</w:t>
      </w:r>
      <w:r w:rsidRPr="00F1180D">
        <w:rPr>
          <w:lang w:val="fr-FR" w:bidi="ar-KW"/>
        </w:rPr>
        <w:t>opinion et d</w:t>
      </w:r>
      <w:r w:rsidR="00680ADA" w:rsidRPr="00F1180D">
        <w:rPr>
          <w:lang w:val="fr-FR" w:bidi="ar-KW"/>
        </w:rPr>
        <w:t>’</w:t>
      </w:r>
      <w:r w:rsidRPr="00F1180D">
        <w:rPr>
          <w:lang w:val="fr-FR" w:bidi="ar-KW"/>
        </w:rPr>
        <w:t>expression</w:t>
      </w:r>
      <w:r w:rsidR="00680ADA" w:rsidRPr="00F1180D">
        <w:rPr>
          <w:lang w:val="fr-FR" w:bidi="ar-KW"/>
        </w:rPr>
        <w:t>,</w:t>
      </w:r>
      <w:r w:rsidRPr="00F1180D">
        <w:rPr>
          <w:lang w:val="fr-FR" w:bidi="ar-KW"/>
        </w:rPr>
        <w:t xml:space="preserve"> à l</w:t>
      </w:r>
      <w:r w:rsidR="00680ADA" w:rsidRPr="00F1180D">
        <w:rPr>
          <w:lang w:val="fr-FR" w:bidi="ar-KW"/>
        </w:rPr>
        <w:t>’</w:t>
      </w:r>
      <w:r w:rsidRPr="00F1180D">
        <w:rPr>
          <w:lang w:val="fr-FR" w:bidi="ar-KW"/>
        </w:rPr>
        <w:t>éducation et à l</w:t>
      </w:r>
      <w:r w:rsidR="00680ADA" w:rsidRPr="00F1180D">
        <w:rPr>
          <w:lang w:val="fr-FR" w:bidi="ar-KW"/>
        </w:rPr>
        <w:t>’</w:t>
      </w:r>
      <w:r w:rsidRPr="00F1180D">
        <w:rPr>
          <w:lang w:val="fr-FR" w:bidi="ar-KW"/>
        </w:rPr>
        <w:t>apprentissage</w:t>
      </w:r>
      <w:r w:rsidR="00680ADA" w:rsidRPr="00F1180D">
        <w:rPr>
          <w:lang w:val="fr-FR" w:bidi="ar-KW"/>
        </w:rPr>
        <w:t>,</w:t>
      </w:r>
      <w:r w:rsidRPr="00F1180D">
        <w:rPr>
          <w:lang w:val="fr-FR" w:bidi="ar-KW"/>
        </w:rPr>
        <w:t xml:space="preserve"> les droits de la femme</w:t>
      </w:r>
      <w:r w:rsidR="00680ADA" w:rsidRPr="00F1180D">
        <w:rPr>
          <w:lang w:val="fr-FR" w:bidi="ar-KW"/>
        </w:rPr>
        <w:t>,</w:t>
      </w:r>
      <w:r w:rsidRPr="00F1180D">
        <w:rPr>
          <w:lang w:val="fr-FR" w:bidi="ar-KW"/>
        </w:rPr>
        <w:t xml:space="preserve"> les droits de l</w:t>
      </w:r>
      <w:r w:rsidR="00680ADA" w:rsidRPr="00F1180D">
        <w:rPr>
          <w:lang w:val="fr-FR" w:bidi="ar-KW"/>
        </w:rPr>
        <w:t>’</w:t>
      </w:r>
      <w:r w:rsidRPr="00F1180D">
        <w:rPr>
          <w:lang w:val="fr-FR" w:bidi="ar-KW"/>
        </w:rPr>
        <w:t>enfant</w:t>
      </w:r>
      <w:r w:rsidR="00680ADA" w:rsidRPr="00F1180D">
        <w:rPr>
          <w:lang w:val="fr-FR" w:bidi="ar-KW"/>
        </w:rPr>
        <w:t>,</w:t>
      </w:r>
      <w:r w:rsidRPr="00F1180D">
        <w:rPr>
          <w:lang w:val="fr-FR" w:bidi="ar-KW"/>
        </w:rPr>
        <w:t xml:space="preserve"> les droits politiques et les obligations des individus. Le Ministère de l</w:t>
      </w:r>
      <w:r w:rsidR="00680ADA" w:rsidRPr="00F1180D">
        <w:rPr>
          <w:lang w:val="fr-FR" w:bidi="ar-KW"/>
        </w:rPr>
        <w:t>’</w:t>
      </w:r>
      <w:r w:rsidRPr="00F1180D">
        <w:rPr>
          <w:lang w:val="fr-FR" w:bidi="ar-KW"/>
        </w:rPr>
        <w:t>éducation a également organisé des sessions de formation aux méthodes d</w:t>
      </w:r>
      <w:r w:rsidR="00680ADA" w:rsidRPr="00F1180D">
        <w:rPr>
          <w:lang w:val="fr-FR" w:bidi="ar-KW"/>
        </w:rPr>
        <w:t>’</w:t>
      </w:r>
      <w:r w:rsidRPr="00F1180D">
        <w:rPr>
          <w:lang w:val="fr-FR" w:bidi="ar-KW"/>
        </w:rPr>
        <w:t>enseignement des droits de l</w:t>
      </w:r>
      <w:r w:rsidR="00680ADA" w:rsidRPr="00F1180D">
        <w:rPr>
          <w:lang w:val="fr-FR" w:bidi="ar-KW"/>
        </w:rPr>
        <w:t>’</w:t>
      </w:r>
      <w:r w:rsidRPr="00F1180D">
        <w:rPr>
          <w:lang w:val="fr-FR" w:bidi="ar-KW"/>
        </w:rPr>
        <w:t>homme</w:t>
      </w:r>
      <w:r w:rsidR="00680ADA" w:rsidRPr="00F1180D">
        <w:rPr>
          <w:lang w:val="fr-FR" w:bidi="ar-KW"/>
        </w:rPr>
        <w:t>,</w:t>
      </w:r>
      <w:r w:rsidRPr="00F1180D">
        <w:rPr>
          <w:lang w:val="fr-FR" w:bidi="ar-KW"/>
        </w:rPr>
        <w:t xml:space="preserve"> ainsi qu</w:t>
      </w:r>
      <w:r w:rsidR="00680ADA" w:rsidRPr="00F1180D">
        <w:rPr>
          <w:lang w:val="fr-FR" w:bidi="ar-KW"/>
        </w:rPr>
        <w:t>’</w:t>
      </w:r>
      <w:r w:rsidRPr="00F1180D">
        <w:rPr>
          <w:lang w:val="fr-FR" w:bidi="ar-KW"/>
        </w:rPr>
        <w:t>aux modalités de leur intégration dans le système éducatif.</w:t>
      </w:r>
    </w:p>
    <w:p w:rsidR="000C6D4A" w:rsidRPr="00F1180D" w:rsidRDefault="00930AE5" w:rsidP="00680ADA">
      <w:pPr>
        <w:pStyle w:val="SingleTxtG"/>
        <w:rPr>
          <w:rtl/>
          <w:lang w:val="fr-FR" w:bidi="fr-FR"/>
        </w:rPr>
      </w:pPr>
      <w:r>
        <w:rPr>
          <w:lang w:val="fr-FR" w:bidi="ar-KW"/>
        </w:rPr>
        <w:t>113.</w:t>
      </w:r>
      <w:r>
        <w:rPr>
          <w:lang w:val="fr-FR" w:bidi="ar-KW"/>
        </w:rPr>
        <w:tab/>
      </w:r>
      <w:r w:rsidR="000C6D4A" w:rsidRPr="00F1180D">
        <w:rPr>
          <w:lang w:val="fr-FR" w:bidi="ar-KW"/>
        </w:rPr>
        <w:t xml:space="preserve">Il convient de signaler à cet égard que le décret-loi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19 de 2012 sur la sauvegarde de l</w:t>
      </w:r>
      <w:r w:rsidR="00680ADA" w:rsidRPr="00F1180D">
        <w:rPr>
          <w:lang w:val="fr-FR" w:bidi="ar-KW"/>
        </w:rPr>
        <w:t>’</w:t>
      </w:r>
      <w:r w:rsidR="000C6D4A" w:rsidRPr="00F1180D">
        <w:rPr>
          <w:lang w:val="fr-FR" w:bidi="ar-KW"/>
        </w:rPr>
        <w:t>unité nationale interdit également tout acte ou incitation</w:t>
      </w:r>
      <w:r w:rsidR="00680ADA" w:rsidRPr="00F1180D">
        <w:rPr>
          <w:lang w:val="fr-FR" w:bidi="ar-KW"/>
        </w:rPr>
        <w:t>,</w:t>
      </w:r>
      <w:r w:rsidR="000C6D4A" w:rsidRPr="00F1180D">
        <w:rPr>
          <w:lang w:val="fr-FR" w:bidi="ar-KW"/>
        </w:rPr>
        <w:t xml:space="preserve"> par tout moyen d</w:t>
      </w:r>
      <w:r w:rsidR="00680ADA" w:rsidRPr="00F1180D">
        <w:rPr>
          <w:lang w:val="fr-FR" w:bidi="ar-KW"/>
        </w:rPr>
        <w:t>’</w:t>
      </w:r>
      <w:r w:rsidR="000C6D4A" w:rsidRPr="00F1180D">
        <w:rPr>
          <w:lang w:val="fr-FR" w:bidi="ar-KW"/>
        </w:rPr>
        <w:t>expression</w:t>
      </w:r>
      <w:r w:rsidR="00680ADA" w:rsidRPr="00F1180D">
        <w:rPr>
          <w:lang w:val="fr-FR" w:bidi="ar-KW"/>
        </w:rPr>
        <w:t>,</w:t>
      </w:r>
      <w:r w:rsidR="000C6D4A" w:rsidRPr="00F1180D">
        <w:rPr>
          <w:lang w:val="fr-FR" w:bidi="ar-KW"/>
        </w:rPr>
        <w:t xml:space="preserve"> à la haine</w:t>
      </w:r>
      <w:r w:rsidR="00680ADA" w:rsidRPr="00F1180D">
        <w:rPr>
          <w:lang w:val="fr-FR" w:bidi="ar-KW"/>
        </w:rPr>
        <w:t>,</w:t>
      </w:r>
      <w:r w:rsidR="000C6D4A" w:rsidRPr="00F1180D">
        <w:rPr>
          <w:lang w:val="fr-FR" w:bidi="ar-KW"/>
        </w:rPr>
        <w:t xml:space="preserve"> au dénigrement d</w:t>
      </w:r>
      <w:r w:rsidR="00680ADA" w:rsidRPr="00F1180D">
        <w:rPr>
          <w:lang w:val="fr-FR" w:bidi="ar-KW"/>
        </w:rPr>
        <w:t>’</w:t>
      </w:r>
      <w:r w:rsidR="000C6D4A" w:rsidRPr="00F1180D">
        <w:rPr>
          <w:lang w:val="fr-FR" w:bidi="ar-KW"/>
        </w:rPr>
        <w:t>un groupe social</w:t>
      </w:r>
      <w:r w:rsidR="00680ADA" w:rsidRPr="00F1180D">
        <w:rPr>
          <w:lang w:val="fr-FR" w:bidi="ar-KW"/>
        </w:rPr>
        <w:t>,</w:t>
      </w:r>
      <w:r w:rsidR="000C6D4A" w:rsidRPr="00F1180D">
        <w:rPr>
          <w:lang w:val="fr-FR" w:bidi="ar-KW"/>
        </w:rPr>
        <w:t xml:space="preserve"> ou aux conflits confessionnels ou tribaux</w:t>
      </w:r>
      <w:r w:rsidR="00680ADA" w:rsidRPr="00F1180D">
        <w:rPr>
          <w:lang w:val="fr-FR" w:bidi="ar-KW"/>
        </w:rPr>
        <w:t>,</w:t>
      </w:r>
      <w:r w:rsidR="000C6D4A" w:rsidRPr="00F1180D">
        <w:rPr>
          <w:lang w:val="fr-FR" w:bidi="ar-KW"/>
        </w:rPr>
        <w:t xml:space="preserve"> ainsi que la diffusion de toute idéologie prônant la supériorité d</w:t>
      </w:r>
      <w:r w:rsidR="00680ADA" w:rsidRPr="00F1180D">
        <w:rPr>
          <w:lang w:val="fr-FR" w:bidi="ar-KW"/>
        </w:rPr>
        <w:t>’</w:t>
      </w:r>
      <w:r w:rsidR="000C6D4A" w:rsidRPr="00F1180D">
        <w:rPr>
          <w:lang w:val="fr-FR" w:bidi="ar-KW"/>
        </w:rPr>
        <w:t>une race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 groupe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couleur</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origine nationale ou ethnique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confession</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 genre ou d</w:t>
      </w:r>
      <w:r w:rsidR="00680ADA" w:rsidRPr="00F1180D">
        <w:rPr>
          <w:lang w:val="fr-FR" w:bidi="ar-KW"/>
        </w:rPr>
        <w:t>’</w:t>
      </w:r>
      <w:r w:rsidR="000C6D4A" w:rsidRPr="00F1180D">
        <w:rPr>
          <w:lang w:val="fr-FR" w:bidi="ar-KW"/>
        </w:rPr>
        <w:t>une filiation</w:t>
      </w:r>
      <w:r w:rsidR="00680ADA" w:rsidRPr="00F1180D">
        <w:rPr>
          <w:lang w:val="fr-FR" w:bidi="ar-KW"/>
        </w:rPr>
        <w:t>,</w:t>
      </w:r>
      <w:r w:rsidR="000C6D4A" w:rsidRPr="00F1180D">
        <w:rPr>
          <w:lang w:val="fr-FR" w:bidi="ar-KW"/>
        </w:rPr>
        <w:t xml:space="preserve"> ainsi que l</w:t>
      </w:r>
      <w:r w:rsidR="00680ADA" w:rsidRPr="00F1180D">
        <w:rPr>
          <w:lang w:val="fr-FR" w:bidi="ar-KW"/>
        </w:rPr>
        <w:t>’</w:t>
      </w:r>
      <w:r w:rsidR="000C6D4A" w:rsidRPr="00F1180D">
        <w:rPr>
          <w:lang w:val="fr-FR" w:bidi="ar-KW"/>
        </w:rPr>
        <w:t>incitation à la commission de tout acte de violence à cette fin</w:t>
      </w:r>
      <w:r w:rsidR="00680ADA" w:rsidRPr="00F1180D">
        <w:rPr>
          <w:lang w:val="fr-FR" w:bidi="ar-KW"/>
        </w:rPr>
        <w:t>,</w:t>
      </w:r>
      <w:r w:rsidR="000C6D4A" w:rsidRPr="00F1180D">
        <w:rPr>
          <w:lang w:val="fr-FR" w:bidi="ar-KW"/>
        </w:rPr>
        <w:t xml:space="preserve"> de même </w:t>
      </w:r>
      <w:r w:rsidR="000C6D4A" w:rsidRPr="00F1180D">
        <w:rPr>
          <w:lang w:val="fr-FR" w:bidi="ar-KW"/>
        </w:rPr>
        <w:lastRenderedPageBreak/>
        <w:t>que la propagation</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édition</w:t>
      </w:r>
      <w:r w:rsidR="00680ADA" w:rsidRPr="00F1180D">
        <w:rPr>
          <w:lang w:val="fr-FR" w:bidi="ar-KW"/>
        </w:rPr>
        <w:t>,</w:t>
      </w:r>
      <w:r w:rsidR="000C6D4A" w:rsidRPr="00F1180D">
        <w:rPr>
          <w:lang w:val="fr-FR" w:bidi="ar-KW"/>
        </w:rPr>
        <w:t xml:space="preserve"> la publication</w:t>
      </w:r>
      <w:r w:rsidR="00680ADA" w:rsidRPr="00F1180D">
        <w:rPr>
          <w:lang w:val="fr-FR" w:bidi="ar-KW"/>
        </w:rPr>
        <w:t>,</w:t>
      </w:r>
      <w:r w:rsidR="000C6D4A" w:rsidRPr="00F1180D">
        <w:rPr>
          <w:lang w:val="fr-FR" w:bidi="ar-KW"/>
        </w:rPr>
        <w:t xml:space="preserve"> la diffusion</w:t>
      </w:r>
      <w:r w:rsidR="00680ADA" w:rsidRPr="00F1180D">
        <w:rPr>
          <w:lang w:val="fr-FR" w:bidi="ar-KW"/>
        </w:rPr>
        <w:t>,</w:t>
      </w:r>
      <w:r w:rsidR="000C6D4A" w:rsidRPr="00F1180D">
        <w:rPr>
          <w:lang w:val="fr-FR" w:bidi="ar-KW"/>
        </w:rPr>
        <w:t xml:space="preserve"> la retransmission</w:t>
      </w:r>
      <w:r w:rsidR="00680ADA" w:rsidRPr="00F1180D">
        <w:rPr>
          <w:lang w:val="fr-FR" w:bidi="ar-KW"/>
        </w:rPr>
        <w:t>,</w:t>
      </w:r>
      <w:r w:rsidR="000C6D4A" w:rsidRPr="00F1180D">
        <w:rPr>
          <w:lang w:val="fr-FR" w:bidi="ar-KW"/>
        </w:rPr>
        <w:t xml:space="preserve"> la production</w:t>
      </w:r>
      <w:r w:rsidR="00680ADA" w:rsidRPr="00F1180D">
        <w:rPr>
          <w:lang w:val="fr-FR" w:bidi="ar-KW"/>
        </w:rPr>
        <w:t>,</w:t>
      </w:r>
      <w:r w:rsidR="000C6D4A" w:rsidRPr="00F1180D">
        <w:rPr>
          <w:lang w:val="fr-FR" w:bidi="ar-KW"/>
        </w:rPr>
        <w:t xml:space="preserve"> ou la mise en circulation de tout document imprimé ou contenu audiovisuel de nature à provoquer les infractions susvisées et la diffusion</w:t>
      </w:r>
      <w:r w:rsidR="00680ADA" w:rsidRPr="00F1180D">
        <w:rPr>
          <w:lang w:val="fr-FR" w:bidi="ar-KW"/>
        </w:rPr>
        <w:t>,</w:t>
      </w:r>
      <w:r w:rsidR="000C6D4A" w:rsidRPr="00F1180D">
        <w:rPr>
          <w:lang w:val="fr-FR" w:bidi="ar-KW"/>
        </w:rPr>
        <w:t xml:space="preserve"> la propagation ou la retransmission de fausses rumeurs susceptibles de produire les mêmes effets. </w:t>
      </w:r>
    </w:p>
    <w:p w:rsidR="000C6D4A" w:rsidRPr="00F1180D" w:rsidRDefault="00DE72EA" w:rsidP="00A612AA">
      <w:pPr>
        <w:pStyle w:val="HChG"/>
        <w:rPr>
          <w:lang w:val="fr-FR"/>
        </w:rPr>
      </w:pPr>
      <w:r w:rsidRPr="00F1180D">
        <w:rPr>
          <w:lang w:val="fr-FR"/>
        </w:rPr>
        <w:tab/>
      </w:r>
      <w:r w:rsidRPr="00F1180D">
        <w:rPr>
          <w:lang w:val="fr-FR"/>
        </w:rPr>
        <w:tab/>
      </w:r>
      <w:r w:rsidR="000C6D4A" w:rsidRPr="00F1180D">
        <w:rPr>
          <w:lang w:val="fr-FR"/>
        </w:rPr>
        <w:t>Troisième partie</w:t>
      </w:r>
      <w:r w:rsidR="00A612AA" w:rsidRPr="00F1180D">
        <w:rPr>
          <w:lang w:val="fr-FR"/>
        </w:rPr>
        <w:br/>
      </w:r>
      <w:r w:rsidR="000C6D4A" w:rsidRPr="00F1180D">
        <w:rPr>
          <w:lang w:val="fr-FR"/>
        </w:rPr>
        <w:t xml:space="preserve">Préoccupations et recommandations formulées par le Comité au </w:t>
      </w:r>
      <w:r w:rsidR="00410CA5" w:rsidRPr="00F1180D">
        <w:rPr>
          <w:lang w:val="fr-FR"/>
        </w:rPr>
        <w:t>paragraphe </w:t>
      </w:r>
      <w:r w:rsidR="00A612AA" w:rsidRPr="00F1180D">
        <w:rPr>
          <w:lang w:val="fr-FR"/>
        </w:rPr>
        <w:t>c</w:t>
      </w:r>
      <w:r w:rsidR="000C6D4A" w:rsidRPr="00F1180D">
        <w:rPr>
          <w:lang w:val="fr-FR"/>
        </w:rPr>
        <w:t>) du document CERD/C/KWT/CO/15-20</w:t>
      </w:r>
    </w:p>
    <w:p w:rsidR="000C6D4A" w:rsidRPr="00F1180D" w:rsidRDefault="001C785A" w:rsidP="001C785A">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7</w:t>
      </w:r>
    </w:p>
    <w:p w:rsidR="000C6D4A" w:rsidRPr="00F1180D" w:rsidRDefault="00930AE5" w:rsidP="000925C7">
      <w:pPr>
        <w:pStyle w:val="SingleTxtG"/>
        <w:spacing w:after="360"/>
        <w:rPr>
          <w:lang w:val="fr-FR" w:bidi="ar-KW"/>
        </w:rPr>
      </w:pPr>
      <w:r>
        <w:rPr>
          <w:lang w:val="fr-FR" w:bidi="ar-KW"/>
        </w:rPr>
        <w:t>114.</w:t>
      </w:r>
      <w:r>
        <w:rPr>
          <w:lang w:val="fr-FR" w:bidi="ar-KW"/>
        </w:rPr>
        <w:tab/>
      </w:r>
      <w:r w:rsidR="000C6D4A" w:rsidRPr="00F1180D">
        <w:rPr>
          <w:lang w:val="fr-FR" w:bidi="ar-KW"/>
        </w:rPr>
        <w:t>Le tableau ci-après présente la composition ethnique de la population vivant sur le territoire de l</w:t>
      </w:r>
      <w:r w:rsidR="00680ADA" w:rsidRPr="00F1180D">
        <w:rPr>
          <w:lang w:val="fr-FR" w:bidi="ar-KW"/>
        </w:rPr>
        <w:t>’</w:t>
      </w:r>
      <w:r w:rsidR="000C6D4A" w:rsidRPr="00F1180D">
        <w:rPr>
          <w:lang w:val="fr-FR" w:bidi="ar-KW"/>
        </w:rPr>
        <w:t>État du Koweït</w:t>
      </w:r>
      <w:r w:rsidR="00680ADA" w:rsidRPr="00F1180D">
        <w:rPr>
          <w:lang w:val="fr-FR" w:bidi="ar-KW"/>
        </w:rPr>
        <w:t>,</w:t>
      </w:r>
      <w:r w:rsidR="000C6D4A" w:rsidRPr="00F1180D">
        <w:rPr>
          <w:lang w:val="fr-FR" w:bidi="ar-KW"/>
        </w:rPr>
        <w:t xml:space="preserve"> ventilée en fonction de la nationalité et de la religion. Fort de la conviction que toutes les religions appellent à l</w:t>
      </w:r>
      <w:r w:rsidR="00680ADA" w:rsidRPr="00F1180D">
        <w:rPr>
          <w:lang w:val="fr-FR" w:bidi="ar-KW"/>
        </w:rPr>
        <w:t>’</w:t>
      </w:r>
      <w:r w:rsidR="000C6D4A" w:rsidRPr="00F1180D">
        <w:rPr>
          <w:lang w:val="fr-FR" w:bidi="ar-KW"/>
        </w:rPr>
        <w:t>amour</w:t>
      </w:r>
      <w:r w:rsidR="00680ADA" w:rsidRPr="00F1180D">
        <w:rPr>
          <w:lang w:val="fr-FR" w:bidi="ar-KW"/>
        </w:rPr>
        <w:t>,</w:t>
      </w:r>
      <w:r w:rsidR="000C6D4A" w:rsidRPr="00F1180D">
        <w:rPr>
          <w:lang w:val="fr-FR" w:bidi="ar-KW"/>
        </w:rPr>
        <w:t xml:space="preserve"> à la vertu et à la tolérance</w:t>
      </w:r>
      <w:r w:rsidR="00680ADA" w:rsidRPr="00F1180D">
        <w:rPr>
          <w:lang w:val="fr-FR" w:bidi="ar-KW"/>
        </w:rPr>
        <w:t>,</w:t>
      </w:r>
      <w:r w:rsidR="000C6D4A" w:rsidRPr="00F1180D">
        <w:rPr>
          <w:lang w:val="fr-FR" w:bidi="ar-KW"/>
        </w:rPr>
        <w:t xml:space="preserve"> le Koweït veille au respect des croyances et de la liberté des minorités religieuses</w:t>
      </w:r>
      <w:r w:rsidR="00680ADA" w:rsidRPr="00F1180D">
        <w:rPr>
          <w:lang w:val="fr-FR" w:bidi="ar-KW"/>
        </w:rPr>
        <w:t>,</w:t>
      </w:r>
      <w:r w:rsidR="000C6D4A" w:rsidRPr="00F1180D">
        <w:rPr>
          <w:lang w:val="fr-FR" w:bidi="ar-KW"/>
        </w:rPr>
        <w:t xml:space="preserve"> ainsi qu</w:t>
      </w:r>
      <w:r w:rsidR="00680ADA" w:rsidRPr="00F1180D">
        <w:rPr>
          <w:lang w:val="fr-FR" w:bidi="ar-KW"/>
        </w:rPr>
        <w:t>’</w:t>
      </w:r>
      <w:r w:rsidR="000C6D4A" w:rsidRPr="00F1180D">
        <w:rPr>
          <w:lang w:val="fr-FR" w:bidi="ar-KW"/>
        </w:rPr>
        <w:t>à l</w:t>
      </w:r>
      <w:r w:rsidR="00680ADA" w:rsidRPr="00F1180D">
        <w:rPr>
          <w:lang w:val="fr-FR" w:bidi="ar-KW"/>
        </w:rPr>
        <w:t>’</w:t>
      </w:r>
      <w:r w:rsidR="000C6D4A" w:rsidRPr="00F1180D">
        <w:rPr>
          <w:lang w:val="fr-FR" w:bidi="ar-KW"/>
        </w:rPr>
        <w:t>égalité entre toutes les communautés composant la population du pays</w:t>
      </w:r>
      <w:r w:rsidR="00680ADA" w:rsidRPr="00F1180D">
        <w:rPr>
          <w:lang w:val="fr-FR" w:bidi="ar-KW"/>
        </w:rPr>
        <w:t>,</w:t>
      </w:r>
      <w:r w:rsidR="000C6D4A" w:rsidRPr="00F1180D">
        <w:rPr>
          <w:lang w:val="fr-FR" w:bidi="ar-KW"/>
        </w:rPr>
        <w:t xml:space="preserve"> conformément aux dispositions de l</w:t>
      </w:r>
      <w:r w:rsidR="00680ADA" w:rsidRPr="00F1180D">
        <w:rPr>
          <w:lang w:val="fr-FR" w:bidi="ar-KW"/>
        </w:rPr>
        <w:t>’</w:t>
      </w:r>
      <w:r w:rsidR="00163207" w:rsidRPr="00F1180D">
        <w:rPr>
          <w:lang w:val="fr-FR" w:bidi="ar-KW"/>
        </w:rPr>
        <w:t>article </w:t>
      </w:r>
      <w:r w:rsidR="000C6D4A" w:rsidRPr="00F1180D">
        <w:rPr>
          <w:lang w:val="fr-FR" w:bidi="ar-KW"/>
        </w:rPr>
        <w:t>27 du Pacte international relatif aux droits civils et politiques. Le droit à la liberté de religion ou de croyance fait en effet partie des droits fondamentaux de la personne et implique à la fois l</w:t>
      </w:r>
      <w:r w:rsidR="00680ADA" w:rsidRPr="00F1180D">
        <w:rPr>
          <w:lang w:val="fr-FR" w:bidi="ar-KW"/>
        </w:rPr>
        <w:t>’</w:t>
      </w:r>
      <w:r w:rsidR="000C6D4A" w:rsidRPr="00F1180D">
        <w:rPr>
          <w:lang w:val="fr-FR" w:bidi="ar-KW"/>
        </w:rPr>
        <w:t>interdiction de mépriser ou de rejeter quiconque à cause de sa religion et l</w:t>
      </w:r>
      <w:r w:rsidR="00680ADA" w:rsidRPr="00F1180D">
        <w:rPr>
          <w:lang w:val="fr-FR" w:bidi="ar-KW"/>
        </w:rPr>
        <w:t>’</w:t>
      </w:r>
      <w:r w:rsidR="000C6D4A" w:rsidRPr="00F1180D">
        <w:rPr>
          <w:lang w:val="fr-FR" w:bidi="ar-KW"/>
        </w:rPr>
        <w:t>obligation de traiter chaque personne sur la base de l</w:t>
      </w:r>
      <w:r w:rsidR="00680ADA" w:rsidRPr="00F1180D">
        <w:rPr>
          <w:lang w:val="fr-FR" w:bidi="ar-KW"/>
        </w:rPr>
        <w:t>’</w:t>
      </w:r>
      <w:r w:rsidR="000C6D4A" w:rsidRPr="00F1180D">
        <w:rPr>
          <w:lang w:val="fr-FR" w:bidi="ar-KW"/>
        </w:rPr>
        <w:t>égalité avec le reste de la population</w:t>
      </w:r>
      <w:r w:rsidR="00680ADA" w:rsidRPr="00F1180D">
        <w:rPr>
          <w:lang w:val="fr-FR" w:bidi="ar-KW"/>
        </w:rPr>
        <w:t>,</w:t>
      </w:r>
      <w:r w:rsidR="000C6D4A" w:rsidRPr="00F1180D">
        <w:rPr>
          <w:lang w:val="fr-FR" w:bidi="ar-KW"/>
        </w:rPr>
        <w:t xml:space="preserve"> conformément aux instruments internationaux et au droit international. </w:t>
      </w:r>
    </w:p>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746"/>
        <w:gridCol w:w="1209"/>
        <w:gridCol w:w="746"/>
        <w:gridCol w:w="850"/>
        <w:gridCol w:w="848"/>
        <w:gridCol w:w="1134"/>
        <w:gridCol w:w="1134"/>
        <w:gridCol w:w="852"/>
        <w:gridCol w:w="854"/>
      </w:tblGrid>
      <w:tr w:rsidR="0097714D" w:rsidRPr="00F1180D" w:rsidTr="007F6B6A">
        <w:trPr>
          <w:trHeight w:val="240"/>
          <w:tblHeader/>
        </w:trPr>
        <w:tc>
          <w:tcPr>
            <w:tcW w:w="1044" w:type="pct"/>
            <w:gridSpan w:val="2"/>
            <w:tcBorders>
              <w:top w:val="single" w:sz="4" w:space="0" w:color="auto"/>
              <w:bottom w:val="nil"/>
            </w:tcBorders>
            <w:shd w:val="clear" w:color="auto" w:fill="auto"/>
            <w:vAlign w:val="bottom"/>
          </w:tcPr>
          <w:p w:rsidR="0097714D" w:rsidRPr="00F1180D" w:rsidRDefault="0097714D" w:rsidP="0097714D">
            <w:pPr>
              <w:pStyle w:val="SingleTxtG"/>
              <w:spacing w:before="80" w:after="80" w:line="200" w:lineRule="exact"/>
              <w:ind w:left="0" w:right="0"/>
              <w:jc w:val="left"/>
              <w:rPr>
                <w:i/>
                <w:sz w:val="16"/>
                <w:lang w:val="fr-FR"/>
              </w:rPr>
            </w:pPr>
          </w:p>
        </w:tc>
        <w:tc>
          <w:tcPr>
            <w:tcW w:w="3956" w:type="pct"/>
            <w:gridSpan w:val="8"/>
            <w:tcBorders>
              <w:top w:val="single" w:sz="4" w:space="0" w:color="auto"/>
              <w:bottom w:val="single" w:sz="4" w:space="0" w:color="auto"/>
            </w:tcBorders>
            <w:shd w:val="clear" w:color="auto" w:fill="auto"/>
            <w:vAlign w:val="bottom"/>
          </w:tcPr>
          <w:p w:rsidR="0097714D" w:rsidRPr="00F1180D" w:rsidRDefault="0097714D" w:rsidP="0097714D">
            <w:pPr>
              <w:pStyle w:val="SingleTxtG"/>
              <w:spacing w:before="80" w:after="80" w:line="200" w:lineRule="exact"/>
              <w:ind w:left="113" w:right="0"/>
              <w:jc w:val="center"/>
              <w:rPr>
                <w:i/>
                <w:sz w:val="16"/>
                <w:lang w:val="fr-FR"/>
              </w:rPr>
            </w:pPr>
            <w:r w:rsidRPr="00F1180D">
              <w:rPr>
                <w:i/>
                <w:sz w:val="16"/>
                <w:lang w:val="fr-FR"/>
              </w:rPr>
              <w:t>Nationalité</w:t>
            </w:r>
          </w:p>
        </w:tc>
      </w:tr>
      <w:tr w:rsidR="007F6B6A" w:rsidRPr="00F1180D" w:rsidTr="007F6B6A">
        <w:trPr>
          <w:trHeight w:val="240"/>
        </w:trPr>
        <w:tc>
          <w:tcPr>
            <w:tcW w:w="657" w:type="pct"/>
            <w:tcBorders>
              <w:top w:val="nil"/>
              <w:bottom w:val="single" w:sz="12" w:space="0" w:color="auto"/>
            </w:tcBorders>
            <w:shd w:val="clear" w:color="auto" w:fill="auto"/>
            <w:vAlign w:val="bottom"/>
          </w:tcPr>
          <w:p w:rsidR="0097714D" w:rsidRPr="00F1180D" w:rsidRDefault="0097714D" w:rsidP="007F6B6A">
            <w:pPr>
              <w:pStyle w:val="SingleTxtG"/>
              <w:spacing w:before="80" w:after="80" w:line="200" w:lineRule="exact"/>
              <w:ind w:left="0" w:right="0"/>
              <w:jc w:val="left"/>
              <w:rPr>
                <w:i/>
                <w:sz w:val="16"/>
                <w:lang w:val="fr-FR"/>
              </w:rPr>
            </w:pPr>
            <w:r w:rsidRPr="00F1180D">
              <w:rPr>
                <w:i/>
                <w:sz w:val="16"/>
                <w:lang w:val="fr-FR"/>
              </w:rPr>
              <w:t>Religion</w:t>
            </w:r>
          </w:p>
        </w:tc>
        <w:tc>
          <w:tcPr>
            <w:tcW w:w="387" w:type="pct"/>
            <w:tcBorders>
              <w:top w:val="nil"/>
              <w:bottom w:val="single" w:sz="12" w:space="0" w:color="auto"/>
            </w:tcBorders>
            <w:shd w:val="clear" w:color="auto" w:fill="auto"/>
            <w:vAlign w:val="bottom"/>
          </w:tcPr>
          <w:p w:rsidR="0097714D" w:rsidRPr="00F1180D" w:rsidRDefault="0097714D" w:rsidP="007F6B6A">
            <w:pPr>
              <w:pStyle w:val="SingleTxtG"/>
              <w:spacing w:before="80" w:after="80" w:line="200" w:lineRule="exact"/>
              <w:ind w:left="0" w:right="0"/>
              <w:jc w:val="left"/>
              <w:rPr>
                <w:i/>
                <w:sz w:val="16"/>
                <w:lang w:val="fr-FR"/>
              </w:rPr>
            </w:pPr>
            <w:r w:rsidRPr="00F1180D">
              <w:rPr>
                <w:i/>
                <w:sz w:val="16"/>
                <w:lang w:val="fr-FR"/>
              </w:rPr>
              <w:t>Sexe</w:t>
            </w:r>
          </w:p>
        </w:tc>
        <w:tc>
          <w:tcPr>
            <w:tcW w:w="627" w:type="pct"/>
            <w:tcBorders>
              <w:top w:val="single" w:sz="4" w:space="0" w:color="auto"/>
              <w:bottom w:val="single" w:sz="12" w:space="0" w:color="auto"/>
            </w:tcBorders>
            <w:shd w:val="clear" w:color="auto" w:fill="auto"/>
            <w:vAlign w:val="bottom"/>
          </w:tcPr>
          <w:p w:rsidR="0097714D" w:rsidRPr="00F1180D" w:rsidRDefault="0097714D" w:rsidP="007F6B6A">
            <w:pPr>
              <w:pStyle w:val="SingleTxtG"/>
              <w:spacing w:before="80" w:after="80" w:line="200" w:lineRule="exact"/>
              <w:ind w:left="0" w:right="0"/>
              <w:jc w:val="right"/>
              <w:rPr>
                <w:i/>
                <w:sz w:val="16"/>
                <w:lang w:val="fr-FR"/>
              </w:rPr>
            </w:pPr>
            <w:r w:rsidRPr="00F1180D">
              <w:rPr>
                <w:i/>
                <w:sz w:val="16"/>
                <w:lang w:val="fr-FR"/>
              </w:rPr>
              <w:t>Arabes</w:t>
            </w:r>
          </w:p>
        </w:tc>
        <w:tc>
          <w:tcPr>
            <w:tcW w:w="387" w:type="pct"/>
            <w:tcBorders>
              <w:top w:val="single" w:sz="4" w:space="0" w:color="auto"/>
              <w:bottom w:val="single" w:sz="12" w:space="0" w:color="auto"/>
            </w:tcBorders>
            <w:shd w:val="clear" w:color="auto" w:fill="auto"/>
            <w:vAlign w:val="bottom"/>
          </w:tcPr>
          <w:p w:rsidR="0097714D" w:rsidRPr="00F1180D" w:rsidRDefault="0097714D" w:rsidP="007F6B6A">
            <w:pPr>
              <w:pStyle w:val="SingleTxtG"/>
              <w:spacing w:before="80" w:after="80" w:line="200" w:lineRule="exact"/>
              <w:ind w:left="0" w:right="0"/>
              <w:jc w:val="right"/>
              <w:rPr>
                <w:i/>
                <w:sz w:val="16"/>
                <w:lang w:val="fr-FR"/>
              </w:rPr>
            </w:pPr>
            <w:r w:rsidRPr="00F1180D">
              <w:rPr>
                <w:i/>
                <w:sz w:val="16"/>
                <w:lang w:val="fr-FR"/>
              </w:rPr>
              <w:t>Asiatiques</w:t>
            </w:r>
          </w:p>
        </w:tc>
        <w:tc>
          <w:tcPr>
            <w:tcW w:w="441" w:type="pct"/>
            <w:tcBorders>
              <w:top w:val="single" w:sz="4" w:space="0" w:color="auto"/>
              <w:bottom w:val="single" w:sz="12" w:space="0" w:color="auto"/>
            </w:tcBorders>
            <w:shd w:val="clear" w:color="auto" w:fill="auto"/>
            <w:vAlign w:val="bottom"/>
          </w:tcPr>
          <w:p w:rsidR="0097714D" w:rsidRPr="00F1180D" w:rsidRDefault="0097714D" w:rsidP="007F6B6A">
            <w:pPr>
              <w:pStyle w:val="SingleTxtG"/>
              <w:spacing w:before="80" w:after="80" w:line="200" w:lineRule="exact"/>
              <w:ind w:left="0" w:right="0"/>
              <w:jc w:val="right"/>
              <w:rPr>
                <w:i/>
                <w:sz w:val="16"/>
                <w:lang w:val="fr-FR"/>
              </w:rPr>
            </w:pPr>
            <w:r w:rsidRPr="00F1180D">
              <w:rPr>
                <w:i/>
                <w:sz w:val="16"/>
                <w:lang w:val="fr-FR"/>
              </w:rPr>
              <w:t>Africains</w:t>
            </w:r>
          </w:p>
        </w:tc>
        <w:tc>
          <w:tcPr>
            <w:tcW w:w="440" w:type="pct"/>
            <w:tcBorders>
              <w:top w:val="single" w:sz="4" w:space="0" w:color="auto"/>
              <w:bottom w:val="single" w:sz="12" w:space="0" w:color="auto"/>
            </w:tcBorders>
            <w:shd w:val="clear" w:color="auto" w:fill="auto"/>
            <w:vAlign w:val="bottom"/>
          </w:tcPr>
          <w:p w:rsidR="0097714D" w:rsidRPr="00F1180D" w:rsidRDefault="0097714D" w:rsidP="007F6B6A">
            <w:pPr>
              <w:pStyle w:val="SingleTxtG"/>
              <w:spacing w:before="80" w:after="80" w:line="200" w:lineRule="exact"/>
              <w:ind w:left="0" w:right="0"/>
              <w:jc w:val="right"/>
              <w:rPr>
                <w:i/>
                <w:sz w:val="16"/>
                <w:lang w:val="fr-FR"/>
              </w:rPr>
            </w:pPr>
            <w:r w:rsidRPr="00F1180D">
              <w:rPr>
                <w:i/>
                <w:sz w:val="16"/>
                <w:lang w:val="fr-FR"/>
              </w:rPr>
              <w:t>Européens</w:t>
            </w:r>
          </w:p>
        </w:tc>
        <w:tc>
          <w:tcPr>
            <w:tcW w:w="588" w:type="pct"/>
            <w:tcBorders>
              <w:top w:val="single" w:sz="4" w:space="0" w:color="auto"/>
              <w:bottom w:val="single" w:sz="12" w:space="0" w:color="auto"/>
            </w:tcBorders>
            <w:shd w:val="clear" w:color="auto" w:fill="auto"/>
            <w:vAlign w:val="bottom"/>
          </w:tcPr>
          <w:p w:rsidR="0097714D" w:rsidRPr="00F1180D" w:rsidRDefault="0097714D" w:rsidP="007F6B6A">
            <w:pPr>
              <w:pStyle w:val="SingleTxtG"/>
              <w:spacing w:before="80" w:after="80" w:line="200" w:lineRule="exact"/>
              <w:ind w:left="0" w:right="0"/>
              <w:jc w:val="right"/>
              <w:rPr>
                <w:i/>
                <w:sz w:val="16"/>
                <w:lang w:val="fr-FR"/>
              </w:rPr>
            </w:pPr>
            <w:r w:rsidRPr="00F1180D">
              <w:rPr>
                <w:i/>
                <w:sz w:val="16"/>
                <w:lang w:val="fr-FR"/>
              </w:rPr>
              <w:t>Nord</w:t>
            </w:r>
            <w:r w:rsidR="007F6B6A" w:rsidRPr="00F1180D">
              <w:rPr>
                <w:i/>
                <w:sz w:val="16"/>
                <w:lang w:val="fr-FR"/>
              </w:rPr>
              <w:t>-américains</w:t>
            </w:r>
          </w:p>
        </w:tc>
        <w:tc>
          <w:tcPr>
            <w:tcW w:w="588" w:type="pct"/>
            <w:tcBorders>
              <w:top w:val="single" w:sz="4" w:space="0" w:color="auto"/>
              <w:bottom w:val="single" w:sz="12" w:space="0" w:color="auto"/>
            </w:tcBorders>
            <w:shd w:val="clear" w:color="auto" w:fill="auto"/>
            <w:vAlign w:val="bottom"/>
          </w:tcPr>
          <w:p w:rsidR="0097714D" w:rsidRPr="00F1180D" w:rsidRDefault="007F6B6A" w:rsidP="007F6B6A">
            <w:pPr>
              <w:pStyle w:val="SingleTxtG"/>
              <w:spacing w:before="80" w:after="80" w:line="200" w:lineRule="exact"/>
              <w:ind w:left="0" w:right="0"/>
              <w:jc w:val="right"/>
              <w:rPr>
                <w:i/>
                <w:sz w:val="16"/>
                <w:lang w:val="fr-FR"/>
              </w:rPr>
            </w:pPr>
            <w:r w:rsidRPr="00F1180D">
              <w:rPr>
                <w:i/>
                <w:sz w:val="16"/>
                <w:lang w:val="fr-FR"/>
              </w:rPr>
              <w:t>Sud-américains</w:t>
            </w:r>
          </w:p>
        </w:tc>
        <w:tc>
          <w:tcPr>
            <w:tcW w:w="442" w:type="pct"/>
            <w:tcBorders>
              <w:top w:val="single" w:sz="4" w:space="0" w:color="auto"/>
              <w:bottom w:val="single" w:sz="12" w:space="0" w:color="auto"/>
            </w:tcBorders>
            <w:shd w:val="clear" w:color="auto" w:fill="auto"/>
            <w:vAlign w:val="bottom"/>
          </w:tcPr>
          <w:p w:rsidR="0097714D" w:rsidRPr="00F1180D" w:rsidRDefault="007F6B6A" w:rsidP="007F6B6A">
            <w:pPr>
              <w:pStyle w:val="SingleTxtG"/>
              <w:spacing w:before="80" w:after="80" w:line="200" w:lineRule="exact"/>
              <w:ind w:left="0" w:right="0"/>
              <w:jc w:val="right"/>
              <w:rPr>
                <w:i/>
                <w:sz w:val="16"/>
                <w:lang w:val="fr-FR"/>
              </w:rPr>
            </w:pPr>
            <w:r w:rsidRPr="00F1180D">
              <w:rPr>
                <w:i/>
                <w:sz w:val="16"/>
                <w:lang w:val="fr-FR"/>
              </w:rPr>
              <w:t>Australien</w:t>
            </w:r>
          </w:p>
        </w:tc>
        <w:tc>
          <w:tcPr>
            <w:tcW w:w="443" w:type="pct"/>
            <w:tcBorders>
              <w:top w:val="single" w:sz="4" w:space="0" w:color="auto"/>
              <w:bottom w:val="single" w:sz="12" w:space="0" w:color="auto"/>
            </w:tcBorders>
            <w:shd w:val="clear" w:color="auto" w:fill="auto"/>
            <w:vAlign w:val="bottom"/>
          </w:tcPr>
          <w:p w:rsidR="0097714D" w:rsidRPr="00F1180D" w:rsidRDefault="0097714D" w:rsidP="007F6B6A">
            <w:pPr>
              <w:pStyle w:val="SingleTxtG"/>
              <w:spacing w:before="80" w:after="80" w:line="200" w:lineRule="exact"/>
              <w:ind w:left="0" w:right="0"/>
              <w:jc w:val="right"/>
              <w:rPr>
                <w:b/>
                <w:i/>
                <w:sz w:val="16"/>
                <w:lang w:val="fr-FR"/>
              </w:rPr>
            </w:pPr>
            <w:r w:rsidRPr="00F1180D">
              <w:rPr>
                <w:b/>
                <w:i/>
                <w:sz w:val="16"/>
                <w:lang w:val="fr-FR"/>
              </w:rPr>
              <w:t>Total</w:t>
            </w:r>
          </w:p>
        </w:tc>
      </w:tr>
      <w:tr w:rsidR="007F6B6A" w:rsidRPr="00F1180D" w:rsidTr="007F6B6A">
        <w:trPr>
          <w:trHeight w:val="240"/>
        </w:trPr>
        <w:tc>
          <w:tcPr>
            <w:tcW w:w="657" w:type="pct"/>
            <w:vMerge w:val="restart"/>
            <w:tcBorders>
              <w:top w:val="single" w:sz="12" w:space="0" w:color="auto"/>
            </w:tcBorders>
            <w:shd w:val="clear" w:color="auto" w:fill="auto"/>
          </w:tcPr>
          <w:p w:rsidR="0097714D" w:rsidRPr="00F1180D" w:rsidRDefault="0097714D" w:rsidP="007F6B6A">
            <w:pPr>
              <w:pStyle w:val="SingleTxtG"/>
              <w:spacing w:before="40" w:after="40" w:line="220" w:lineRule="exact"/>
              <w:ind w:left="0" w:right="0"/>
              <w:jc w:val="left"/>
              <w:rPr>
                <w:sz w:val="18"/>
                <w:szCs w:val="18"/>
                <w:lang w:val="fr-FR"/>
              </w:rPr>
            </w:pPr>
            <w:r w:rsidRPr="00F1180D">
              <w:rPr>
                <w:sz w:val="18"/>
                <w:szCs w:val="18"/>
                <w:lang w:val="fr-FR"/>
              </w:rPr>
              <w:t>Musulman</w:t>
            </w:r>
            <w:r w:rsidR="007F6B6A" w:rsidRPr="00F1180D">
              <w:rPr>
                <w:sz w:val="18"/>
                <w:szCs w:val="18"/>
                <w:lang w:val="fr-FR"/>
              </w:rPr>
              <w:t>s</w:t>
            </w:r>
          </w:p>
        </w:tc>
        <w:tc>
          <w:tcPr>
            <w:tcW w:w="387" w:type="pct"/>
            <w:tcBorders>
              <w:top w:val="single" w:sz="12" w:space="0" w:color="auto"/>
            </w:tcBorders>
            <w:shd w:val="clear" w:color="auto" w:fill="auto"/>
            <w:vAlign w:val="bottom"/>
          </w:tcPr>
          <w:p w:rsidR="0097714D" w:rsidRPr="00F1180D" w:rsidRDefault="007F6B6A" w:rsidP="007F6B6A">
            <w:pPr>
              <w:pStyle w:val="SingleTxtG"/>
              <w:spacing w:before="40" w:after="40" w:line="220" w:lineRule="exact"/>
              <w:ind w:left="0" w:right="0"/>
              <w:jc w:val="left"/>
              <w:rPr>
                <w:sz w:val="18"/>
                <w:szCs w:val="18"/>
                <w:lang w:val="fr-FR"/>
              </w:rPr>
            </w:pPr>
            <w:r w:rsidRPr="00F1180D">
              <w:rPr>
                <w:sz w:val="18"/>
                <w:szCs w:val="18"/>
                <w:lang w:val="fr-FR"/>
              </w:rPr>
              <w:t>Hommes</w:t>
            </w:r>
          </w:p>
        </w:tc>
        <w:tc>
          <w:tcPr>
            <w:tcW w:w="627" w:type="pct"/>
            <w:tcBorders>
              <w:top w:val="single" w:sz="12"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1 347 959</w:t>
            </w:r>
          </w:p>
        </w:tc>
        <w:tc>
          <w:tcPr>
            <w:tcW w:w="387" w:type="pct"/>
            <w:tcBorders>
              <w:top w:val="single" w:sz="12"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580 750</w:t>
            </w:r>
          </w:p>
        </w:tc>
        <w:tc>
          <w:tcPr>
            <w:tcW w:w="441" w:type="pct"/>
            <w:tcBorders>
              <w:top w:val="single" w:sz="12"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3 960</w:t>
            </w:r>
          </w:p>
        </w:tc>
        <w:tc>
          <w:tcPr>
            <w:tcW w:w="440" w:type="pct"/>
            <w:tcBorders>
              <w:top w:val="single" w:sz="12"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3 084</w:t>
            </w:r>
          </w:p>
        </w:tc>
        <w:tc>
          <w:tcPr>
            <w:tcW w:w="588" w:type="pct"/>
            <w:tcBorders>
              <w:top w:val="single" w:sz="12"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6 514</w:t>
            </w:r>
          </w:p>
        </w:tc>
        <w:tc>
          <w:tcPr>
            <w:tcW w:w="588" w:type="pct"/>
            <w:tcBorders>
              <w:top w:val="single" w:sz="12"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548</w:t>
            </w:r>
          </w:p>
        </w:tc>
        <w:tc>
          <w:tcPr>
            <w:tcW w:w="442" w:type="pct"/>
            <w:tcBorders>
              <w:top w:val="single" w:sz="12"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682</w:t>
            </w:r>
          </w:p>
        </w:tc>
        <w:tc>
          <w:tcPr>
            <w:tcW w:w="443" w:type="pct"/>
            <w:tcBorders>
              <w:top w:val="single" w:sz="12"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1 943 497</w:t>
            </w:r>
          </w:p>
        </w:tc>
      </w:tr>
      <w:tr w:rsidR="007F6B6A" w:rsidRPr="00F1180D" w:rsidTr="007F6B6A">
        <w:trPr>
          <w:trHeight w:val="240"/>
        </w:trPr>
        <w:tc>
          <w:tcPr>
            <w:tcW w:w="657" w:type="pct"/>
            <w:vMerge/>
            <w:shd w:val="clear" w:color="auto" w:fill="auto"/>
          </w:tcPr>
          <w:p w:rsidR="0097714D" w:rsidRPr="00F1180D" w:rsidRDefault="0097714D" w:rsidP="007F6B6A">
            <w:pPr>
              <w:pStyle w:val="SingleTxtG"/>
              <w:spacing w:before="40" w:after="40" w:line="220" w:lineRule="exact"/>
              <w:ind w:left="0" w:right="0"/>
              <w:jc w:val="left"/>
              <w:rPr>
                <w:sz w:val="18"/>
                <w:szCs w:val="18"/>
                <w:lang w:val="fr-FR"/>
              </w:rPr>
            </w:pPr>
          </w:p>
        </w:tc>
        <w:tc>
          <w:tcPr>
            <w:tcW w:w="387" w:type="pct"/>
            <w:tcBorders>
              <w:bottom w:val="single" w:sz="4" w:space="0" w:color="auto"/>
            </w:tcBorders>
            <w:shd w:val="clear" w:color="auto" w:fill="auto"/>
            <w:vAlign w:val="bottom"/>
          </w:tcPr>
          <w:p w:rsidR="0097714D" w:rsidRPr="00F1180D" w:rsidRDefault="007F6B6A" w:rsidP="007F6B6A">
            <w:pPr>
              <w:pStyle w:val="SingleTxtG"/>
              <w:spacing w:before="40" w:after="40" w:line="220" w:lineRule="exact"/>
              <w:ind w:left="0" w:right="0"/>
              <w:jc w:val="left"/>
              <w:rPr>
                <w:sz w:val="18"/>
                <w:szCs w:val="18"/>
                <w:lang w:val="fr-FR"/>
              </w:rPr>
            </w:pPr>
            <w:r w:rsidRPr="00F1180D">
              <w:rPr>
                <w:sz w:val="18"/>
                <w:szCs w:val="18"/>
                <w:lang w:val="fr-FR"/>
              </w:rPr>
              <w:t>Femmes</w:t>
            </w:r>
          </w:p>
        </w:tc>
        <w:tc>
          <w:tcPr>
            <w:tcW w:w="627"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1 044 164</w:t>
            </w:r>
          </w:p>
        </w:tc>
        <w:tc>
          <w:tcPr>
            <w:tcW w:w="387"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147 057</w:t>
            </w:r>
          </w:p>
        </w:tc>
        <w:tc>
          <w:tcPr>
            <w:tcW w:w="441"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16 592</w:t>
            </w:r>
          </w:p>
        </w:tc>
        <w:tc>
          <w:tcPr>
            <w:tcW w:w="440"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2 861</w:t>
            </w:r>
          </w:p>
        </w:tc>
        <w:tc>
          <w:tcPr>
            <w:tcW w:w="588"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5 338</w:t>
            </w:r>
          </w:p>
        </w:tc>
        <w:tc>
          <w:tcPr>
            <w:tcW w:w="588"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393</w:t>
            </w:r>
          </w:p>
        </w:tc>
        <w:tc>
          <w:tcPr>
            <w:tcW w:w="442"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541</w:t>
            </w:r>
          </w:p>
        </w:tc>
        <w:tc>
          <w:tcPr>
            <w:tcW w:w="443" w:type="pct"/>
            <w:tcBorders>
              <w:bottom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1 216 946</w:t>
            </w:r>
          </w:p>
        </w:tc>
      </w:tr>
      <w:tr w:rsidR="007F6B6A" w:rsidRPr="00F1180D" w:rsidTr="007F6B6A">
        <w:trPr>
          <w:trHeight w:val="240"/>
        </w:trPr>
        <w:tc>
          <w:tcPr>
            <w:tcW w:w="657" w:type="pct"/>
            <w:vMerge/>
            <w:shd w:val="clear" w:color="auto" w:fill="auto"/>
          </w:tcPr>
          <w:p w:rsidR="0097714D" w:rsidRPr="00F1180D" w:rsidRDefault="0097714D" w:rsidP="007F6B6A">
            <w:pPr>
              <w:pStyle w:val="SingleTxtG"/>
              <w:spacing w:before="40" w:after="40" w:line="220" w:lineRule="exact"/>
              <w:ind w:left="0" w:right="0"/>
              <w:jc w:val="left"/>
              <w:rPr>
                <w:sz w:val="18"/>
                <w:szCs w:val="18"/>
                <w:lang w:val="fr-FR"/>
              </w:rPr>
            </w:pPr>
          </w:p>
        </w:tc>
        <w:tc>
          <w:tcPr>
            <w:tcW w:w="387" w:type="pct"/>
            <w:tcBorders>
              <w:top w:val="single" w:sz="4" w:space="0" w:color="auto"/>
              <w:bottom w:val="single" w:sz="4" w:space="0" w:color="auto"/>
            </w:tcBorders>
            <w:shd w:val="clear" w:color="auto" w:fill="auto"/>
            <w:vAlign w:val="bottom"/>
          </w:tcPr>
          <w:p w:rsidR="0097714D" w:rsidRPr="00F1180D" w:rsidRDefault="0097714D" w:rsidP="007F6B6A">
            <w:pPr>
              <w:pStyle w:val="SingleTxtG"/>
              <w:spacing w:before="80" w:after="80" w:line="220" w:lineRule="exact"/>
              <w:ind w:left="113" w:right="0"/>
              <w:jc w:val="left"/>
              <w:rPr>
                <w:b/>
                <w:sz w:val="18"/>
                <w:szCs w:val="18"/>
                <w:lang w:val="fr-FR"/>
              </w:rPr>
            </w:pPr>
            <w:r w:rsidRPr="00F1180D">
              <w:rPr>
                <w:b/>
                <w:sz w:val="18"/>
                <w:szCs w:val="18"/>
                <w:lang w:val="fr-FR"/>
              </w:rPr>
              <w:t>Total</w:t>
            </w:r>
          </w:p>
        </w:tc>
        <w:tc>
          <w:tcPr>
            <w:tcW w:w="627"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2 392 123</w:t>
            </w:r>
          </w:p>
        </w:tc>
        <w:tc>
          <w:tcPr>
            <w:tcW w:w="387"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727 807</w:t>
            </w:r>
          </w:p>
        </w:tc>
        <w:tc>
          <w:tcPr>
            <w:tcW w:w="441"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20 552</w:t>
            </w:r>
          </w:p>
        </w:tc>
        <w:tc>
          <w:tcPr>
            <w:tcW w:w="440"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5 945</w:t>
            </w:r>
          </w:p>
        </w:tc>
        <w:tc>
          <w:tcPr>
            <w:tcW w:w="588"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11 852</w:t>
            </w:r>
          </w:p>
        </w:tc>
        <w:tc>
          <w:tcPr>
            <w:tcW w:w="588"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941</w:t>
            </w:r>
          </w:p>
        </w:tc>
        <w:tc>
          <w:tcPr>
            <w:tcW w:w="442"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1 223</w:t>
            </w:r>
          </w:p>
        </w:tc>
        <w:tc>
          <w:tcPr>
            <w:tcW w:w="443"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3 160 443</w:t>
            </w:r>
          </w:p>
        </w:tc>
      </w:tr>
      <w:tr w:rsidR="007F6B6A" w:rsidRPr="00F1180D" w:rsidTr="007F6B6A">
        <w:trPr>
          <w:trHeight w:val="240"/>
        </w:trPr>
        <w:tc>
          <w:tcPr>
            <w:tcW w:w="657" w:type="pct"/>
            <w:vMerge w:val="restart"/>
            <w:shd w:val="clear" w:color="auto" w:fill="auto"/>
          </w:tcPr>
          <w:p w:rsidR="0097714D" w:rsidRPr="00F1180D" w:rsidRDefault="007F6B6A" w:rsidP="007F6B6A">
            <w:pPr>
              <w:pStyle w:val="SingleTxtG"/>
              <w:spacing w:before="40" w:after="40" w:line="220" w:lineRule="exact"/>
              <w:ind w:left="0" w:right="0"/>
              <w:jc w:val="left"/>
              <w:rPr>
                <w:sz w:val="18"/>
                <w:szCs w:val="18"/>
                <w:lang w:val="fr-FR"/>
              </w:rPr>
            </w:pPr>
            <w:r w:rsidRPr="00F1180D">
              <w:rPr>
                <w:sz w:val="18"/>
                <w:szCs w:val="18"/>
                <w:lang w:val="fr-FR"/>
              </w:rPr>
              <w:t>Chrétiens</w:t>
            </w:r>
          </w:p>
        </w:tc>
        <w:tc>
          <w:tcPr>
            <w:tcW w:w="387" w:type="pct"/>
            <w:tcBorders>
              <w:top w:val="single" w:sz="4" w:space="0" w:color="auto"/>
            </w:tcBorders>
            <w:shd w:val="clear" w:color="auto" w:fill="auto"/>
            <w:vAlign w:val="bottom"/>
          </w:tcPr>
          <w:p w:rsidR="0097714D" w:rsidRPr="00F1180D" w:rsidRDefault="007F6B6A" w:rsidP="007F6B6A">
            <w:pPr>
              <w:pStyle w:val="SingleTxtG"/>
              <w:spacing w:before="40" w:after="40" w:line="220" w:lineRule="exact"/>
              <w:ind w:left="0" w:right="0"/>
              <w:jc w:val="left"/>
              <w:rPr>
                <w:sz w:val="18"/>
                <w:szCs w:val="18"/>
                <w:lang w:val="fr-FR"/>
              </w:rPr>
            </w:pPr>
            <w:r w:rsidRPr="00F1180D">
              <w:rPr>
                <w:sz w:val="18"/>
                <w:szCs w:val="18"/>
                <w:lang w:val="fr-FR"/>
              </w:rPr>
              <w:t>Hommes</w:t>
            </w:r>
          </w:p>
        </w:tc>
        <w:tc>
          <w:tcPr>
            <w:tcW w:w="627"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47 123</w:t>
            </w:r>
          </w:p>
        </w:tc>
        <w:tc>
          <w:tcPr>
            <w:tcW w:w="387"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350 513</w:t>
            </w:r>
          </w:p>
        </w:tc>
        <w:tc>
          <w:tcPr>
            <w:tcW w:w="441"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3 093</w:t>
            </w:r>
          </w:p>
        </w:tc>
        <w:tc>
          <w:tcPr>
            <w:tcW w:w="440"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4 805</w:t>
            </w:r>
          </w:p>
        </w:tc>
        <w:tc>
          <w:tcPr>
            <w:tcW w:w="588"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5 344</w:t>
            </w:r>
          </w:p>
        </w:tc>
        <w:tc>
          <w:tcPr>
            <w:tcW w:w="588"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344</w:t>
            </w:r>
          </w:p>
        </w:tc>
        <w:tc>
          <w:tcPr>
            <w:tcW w:w="442"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251</w:t>
            </w:r>
          </w:p>
        </w:tc>
        <w:tc>
          <w:tcPr>
            <w:tcW w:w="443" w:type="pct"/>
            <w:tcBorders>
              <w:top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411 473</w:t>
            </w:r>
          </w:p>
        </w:tc>
      </w:tr>
      <w:tr w:rsidR="007F6B6A" w:rsidRPr="00F1180D" w:rsidTr="007F6B6A">
        <w:trPr>
          <w:trHeight w:val="240"/>
        </w:trPr>
        <w:tc>
          <w:tcPr>
            <w:tcW w:w="657" w:type="pct"/>
            <w:vMerge/>
            <w:shd w:val="clear" w:color="auto" w:fill="auto"/>
          </w:tcPr>
          <w:p w:rsidR="0097714D" w:rsidRPr="00F1180D" w:rsidRDefault="0097714D" w:rsidP="007F6B6A">
            <w:pPr>
              <w:pStyle w:val="SingleTxtG"/>
              <w:spacing w:before="40" w:after="40" w:line="220" w:lineRule="exact"/>
              <w:ind w:left="0" w:right="0"/>
              <w:jc w:val="left"/>
              <w:rPr>
                <w:sz w:val="18"/>
                <w:szCs w:val="18"/>
                <w:lang w:val="fr-FR"/>
              </w:rPr>
            </w:pPr>
          </w:p>
        </w:tc>
        <w:tc>
          <w:tcPr>
            <w:tcW w:w="387" w:type="pct"/>
            <w:tcBorders>
              <w:bottom w:val="single" w:sz="4" w:space="0" w:color="auto"/>
            </w:tcBorders>
            <w:shd w:val="clear" w:color="auto" w:fill="auto"/>
            <w:vAlign w:val="bottom"/>
          </w:tcPr>
          <w:p w:rsidR="0097714D" w:rsidRPr="00F1180D" w:rsidRDefault="007F6B6A" w:rsidP="007F6B6A">
            <w:pPr>
              <w:pStyle w:val="SingleTxtG"/>
              <w:spacing w:before="40" w:after="40" w:line="220" w:lineRule="exact"/>
              <w:ind w:left="0" w:right="0"/>
              <w:jc w:val="left"/>
              <w:rPr>
                <w:sz w:val="18"/>
                <w:szCs w:val="18"/>
                <w:lang w:val="fr-FR"/>
              </w:rPr>
            </w:pPr>
            <w:r w:rsidRPr="00F1180D">
              <w:rPr>
                <w:sz w:val="18"/>
                <w:szCs w:val="18"/>
                <w:lang w:val="fr-FR"/>
              </w:rPr>
              <w:t>Femmes</w:t>
            </w:r>
          </w:p>
        </w:tc>
        <w:tc>
          <w:tcPr>
            <w:tcW w:w="627"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14 163</w:t>
            </w:r>
          </w:p>
        </w:tc>
        <w:tc>
          <w:tcPr>
            <w:tcW w:w="387"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289 834</w:t>
            </w:r>
          </w:p>
        </w:tc>
        <w:tc>
          <w:tcPr>
            <w:tcW w:w="441"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30 865</w:t>
            </w:r>
          </w:p>
        </w:tc>
        <w:tc>
          <w:tcPr>
            <w:tcW w:w="440"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4 043</w:t>
            </w:r>
          </w:p>
        </w:tc>
        <w:tc>
          <w:tcPr>
            <w:tcW w:w="588"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2 514</w:t>
            </w:r>
          </w:p>
        </w:tc>
        <w:tc>
          <w:tcPr>
            <w:tcW w:w="588"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265</w:t>
            </w:r>
          </w:p>
        </w:tc>
        <w:tc>
          <w:tcPr>
            <w:tcW w:w="442"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171</w:t>
            </w:r>
          </w:p>
        </w:tc>
        <w:tc>
          <w:tcPr>
            <w:tcW w:w="443" w:type="pct"/>
            <w:tcBorders>
              <w:bottom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341 855</w:t>
            </w:r>
          </w:p>
        </w:tc>
      </w:tr>
      <w:tr w:rsidR="007F6B6A" w:rsidRPr="00F1180D" w:rsidTr="000D78CD">
        <w:trPr>
          <w:trHeight w:val="240"/>
        </w:trPr>
        <w:tc>
          <w:tcPr>
            <w:tcW w:w="657" w:type="pct"/>
            <w:vMerge/>
            <w:tcBorders>
              <w:bottom w:val="nil"/>
            </w:tcBorders>
            <w:shd w:val="clear" w:color="auto" w:fill="auto"/>
          </w:tcPr>
          <w:p w:rsidR="0097714D" w:rsidRPr="00F1180D" w:rsidRDefault="0097714D" w:rsidP="007F6B6A">
            <w:pPr>
              <w:pStyle w:val="SingleTxtG"/>
              <w:spacing w:before="40" w:after="40" w:line="220" w:lineRule="exact"/>
              <w:ind w:left="0" w:right="0"/>
              <w:jc w:val="left"/>
              <w:rPr>
                <w:sz w:val="18"/>
                <w:szCs w:val="18"/>
                <w:lang w:val="fr-FR"/>
              </w:rPr>
            </w:pPr>
          </w:p>
        </w:tc>
        <w:tc>
          <w:tcPr>
            <w:tcW w:w="387" w:type="pct"/>
            <w:tcBorders>
              <w:top w:val="single" w:sz="4" w:space="0" w:color="auto"/>
              <w:bottom w:val="single" w:sz="4" w:space="0" w:color="auto"/>
            </w:tcBorders>
            <w:shd w:val="clear" w:color="auto" w:fill="auto"/>
            <w:vAlign w:val="bottom"/>
          </w:tcPr>
          <w:p w:rsidR="0097714D" w:rsidRPr="00F1180D" w:rsidRDefault="0097714D" w:rsidP="007F6B6A">
            <w:pPr>
              <w:pStyle w:val="SingleTxtG"/>
              <w:spacing w:before="80" w:after="80" w:line="220" w:lineRule="exact"/>
              <w:ind w:left="113" w:right="0"/>
              <w:jc w:val="left"/>
              <w:rPr>
                <w:b/>
                <w:sz w:val="18"/>
                <w:szCs w:val="18"/>
                <w:lang w:val="fr-FR"/>
              </w:rPr>
            </w:pPr>
            <w:r w:rsidRPr="00F1180D">
              <w:rPr>
                <w:b/>
                <w:sz w:val="18"/>
                <w:szCs w:val="18"/>
                <w:lang w:val="fr-FR"/>
              </w:rPr>
              <w:t>Total</w:t>
            </w:r>
          </w:p>
        </w:tc>
        <w:tc>
          <w:tcPr>
            <w:tcW w:w="627"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61 286</w:t>
            </w:r>
          </w:p>
        </w:tc>
        <w:tc>
          <w:tcPr>
            <w:tcW w:w="387"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640 347</w:t>
            </w:r>
          </w:p>
        </w:tc>
        <w:tc>
          <w:tcPr>
            <w:tcW w:w="441"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33 958</w:t>
            </w:r>
          </w:p>
        </w:tc>
        <w:tc>
          <w:tcPr>
            <w:tcW w:w="440"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8 848</w:t>
            </w:r>
          </w:p>
        </w:tc>
        <w:tc>
          <w:tcPr>
            <w:tcW w:w="588"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7 858</w:t>
            </w:r>
          </w:p>
        </w:tc>
        <w:tc>
          <w:tcPr>
            <w:tcW w:w="588"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609</w:t>
            </w:r>
          </w:p>
        </w:tc>
        <w:tc>
          <w:tcPr>
            <w:tcW w:w="442"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422</w:t>
            </w:r>
          </w:p>
        </w:tc>
        <w:tc>
          <w:tcPr>
            <w:tcW w:w="443"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753 328</w:t>
            </w:r>
          </w:p>
        </w:tc>
      </w:tr>
      <w:tr w:rsidR="007F6B6A" w:rsidRPr="00F1180D" w:rsidTr="000D78CD">
        <w:trPr>
          <w:trHeight w:val="240"/>
        </w:trPr>
        <w:tc>
          <w:tcPr>
            <w:tcW w:w="657" w:type="pct"/>
            <w:vMerge w:val="restart"/>
            <w:tcBorders>
              <w:top w:val="nil"/>
              <w:bottom w:val="single" w:sz="4" w:space="0" w:color="auto"/>
            </w:tcBorders>
            <w:shd w:val="clear" w:color="auto" w:fill="auto"/>
          </w:tcPr>
          <w:p w:rsidR="0097714D" w:rsidRPr="00F1180D" w:rsidRDefault="007F6B6A" w:rsidP="007F6B6A">
            <w:pPr>
              <w:pStyle w:val="SingleTxtG"/>
              <w:spacing w:before="40" w:after="40" w:line="220" w:lineRule="exact"/>
              <w:ind w:left="0" w:right="0"/>
              <w:jc w:val="left"/>
              <w:rPr>
                <w:sz w:val="18"/>
                <w:szCs w:val="18"/>
                <w:lang w:val="fr-FR"/>
              </w:rPr>
            </w:pPr>
            <w:r w:rsidRPr="00F1180D">
              <w:rPr>
                <w:sz w:val="18"/>
                <w:szCs w:val="18"/>
                <w:lang w:val="fr-FR"/>
              </w:rPr>
              <w:t>Autres religions</w:t>
            </w:r>
          </w:p>
        </w:tc>
        <w:tc>
          <w:tcPr>
            <w:tcW w:w="387" w:type="pct"/>
            <w:tcBorders>
              <w:top w:val="single" w:sz="4" w:space="0" w:color="auto"/>
            </w:tcBorders>
            <w:shd w:val="clear" w:color="auto" w:fill="auto"/>
            <w:vAlign w:val="bottom"/>
          </w:tcPr>
          <w:p w:rsidR="0097714D" w:rsidRPr="00F1180D" w:rsidRDefault="007F6B6A" w:rsidP="007F6B6A">
            <w:pPr>
              <w:pStyle w:val="SingleTxtG"/>
              <w:spacing w:before="40" w:after="40" w:line="220" w:lineRule="exact"/>
              <w:ind w:left="0" w:right="0"/>
              <w:jc w:val="left"/>
              <w:rPr>
                <w:sz w:val="18"/>
                <w:szCs w:val="18"/>
                <w:lang w:val="fr-FR"/>
              </w:rPr>
            </w:pPr>
            <w:r w:rsidRPr="00F1180D">
              <w:rPr>
                <w:sz w:val="18"/>
                <w:szCs w:val="18"/>
                <w:lang w:val="fr-FR"/>
              </w:rPr>
              <w:t>Hommes</w:t>
            </w:r>
          </w:p>
        </w:tc>
        <w:tc>
          <w:tcPr>
            <w:tcW w:w="627"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3 779</w:t>
            </w:r>
          </w:p>
        </w:tc>
        <w:tc>
          <w:tcPr>
            <w:tcW w:w="387"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191 493</w:t>
            </w:r>
          </w:p>
        </w:tc>
        <w:tc>
          <w:tcPr>
            <w:tcW w:w="441"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853</w:t>
            </w:r>
          </w:p>
        </w:tc>
        <w:tc>
          <w:tcPr>
            <w:tcW w:w="440"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505</w:t>
            </w:r>
          </w:p>
        </w:tc>
        <w:tc>
          <w:tcPr>
            <w:tcW w:w="588"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716</w:t>
            </w:r>
          </w:p>
        </w:tc>
        <w:tc>
          <w:tcPr>
            <w:tcW w:w="588"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45</w:t>
            </w:r>
          </w:p>
        </w:tc>
        <w:tc>
          <w:tcPr>
            <w:tcW w:w="442" w:type="pct"/>
            <w:tcBorders>
              <w:top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41</w:t>
            </w:r>
          </w:p>
        </w:tc>
        <w:tc>
          <w:tcPr>
            <w:tcW w:w="443" w:type="pct"/>
            <w:tcBorders>
              <w:top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197 432</w:t>
            </w:r>
          </w:p>
        </w:tc>
      </w:tr>
      <w:tr w:rsidR="007F6B6A" w:rsidRPr="00F1180D" w:rsidTr="000D78CD">
        <w:trPr>
          <w:trHeight w:val="240"/>
        </w:trPr>
        <w:tc>
          <w:tcPr>
            <w:tcW w:w="657" w:type="pct"/>
            <w:vMerge/>
            <w:tcBorders>
              <w:top w:val="single" w:sz="12" w:space="0" w:color="auto"/>
              <w:bottom w:val="single" w:sz="4" w:space="0" w:color="auto"/>
            </w:tcBorders>
            <w:shd w:val="clear" w:color="auto" w:fill="auto"/>
            <w:vAlign w:val="bottom"/>
          </w:tcPr>
          <w:p w:rsidR="0097714D" w:rsidRPr="00F1180D" w:rsidRDefault="0097714D" w:rsidP="007F6B6A">
            <w:pPr>
              <w:pStyle w:val="SingleTxtG"/>
              <w:spacing w:before="40" w:after="40" w:line="220" w:lineRule="exact"/>
              <w:ind w:left="0" w:right="0"/>
              <w:jc w:val="left"/>
              <w:rPr>
                <w:sz w:val="18"/>
                <w:szCs w:val="18"/>
                <w:lang w:val="fr-FR"/>
              </w:rPr>
            </w:pPr>
          </w:p>
        </w:tc>
        <w:tc>
          <w:tcPr>
            <w:tcW w:w="387" w:type="pct"/>
            <w:tcBorders>
              <w:bottom w:val="single" w:sz="4" w:space="0" w:color="auto"/>
            </w:tcBorders>
            <w:shd w:val="clear" w:color="auto" w:fill="auto"/>
            <w:vAlign w:val="bottom"/>
          </w:tcPr>
          <w:p w:rsidR="0097714D" w:rsidRPr="00F1180D" w:rsidRDefault="007F6B6A" w:rsidP="007F6B6A">
            <w:pPr>
              <w:pStyle w:val="SingleTxtG"/>
              <w:spacing w:before="40" w:after="40" w:line="220" w:lineRule="exact"/>
              <w:ind w:left="0" w:right="0"/>
              <w:jc w:val="left"/>
              <w:rPr>
                <w:sz w:val="18"/>
                <w:szCs w:val="18"/>
                <w:lang w:val="fr-FR"/>
              </w:rPr>
            </w:pPr>
            <w:r w:rsidRPr="00F1180D">
              <w:rPr>
                <w:sz w:val="18"/>
                <w:szCs w:val="18"/>
                <w:lang w:val="fr-FR"/>
              </w:rPr>
              <w:t>Femmes</w:t>
            </w:r>
          </w:p>
        </w:tc>
        <w:tc>
          <w:tcPr>
            <w:tcW w:w="627"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922</w:t>
            </w:r>
          </w:p>
        </w:tc>
        <w:tc>
          <w:tcPr>
            <w:tcW w:w="387"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65 811</w:t>
            </w:r>
          </w:p>
        </w:tc>
        <w:tc>
          <w:tcPr>
            <w:tcW w:w="441"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4 868</w:t>
            </w:r>
          </w:p>
        </w:tc>
        <w:tc>
          <w:tcPr>
            <w:tcW w:w="440"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399</w:t>
            </w:r>
          </w:p>
        </w:tc>
        <w:tc>
          <w:tcPr>
            <w:tcW w:w="588"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390</w:t>
            </w:r>
          </w:p>
        </w:tc>
        <w:tc>
          <w:tcPr>
            <w:tcW w:w="588"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39</w:t>
            </w:r>
          </w:p>
        </w:tc>
        <w:tc>
          <w:tcPr>
            <w:tcW w:w="442" w:type="pct"/>
            <w:tcBorders>
              <w:bottom w:val="single" w:sz="4" w:space="0" w:color="auto"/>
            </w:tcBorders>
            <w:shd w:val="clear" w:color="auto" w:fill="auto"/>
          </w:tcPr>
          <w:p w:rsidR="0097714D" w:rsidRPr="00F1180D" w:rsidRDefault="0097714D" w:rsidP="007F6B6A">
            <w:pPr>
              <w:spacing w:before="40" w:after="40" w:line="220" w:lineRule="exact"/>
              <w:jc w:val="right"/>
              <w:rPr>
                <w:sz w:val="18"/>
                <w:szCs w:val="18"/>
                <w:lang w:val="fr-FR"/>
              </w:rPr>
            </w:pPr>
            <w:r w:rsidRPr="00F1180D">
              <w:rPr>
                <w:sz w:val="18"/>
                <w:szCs w:val="18"/>
                <w:lang w:val="fr-FR"/>
              </w:rPr>
              <w:t>26</w:t>
            </w:r>
          </w:p>
        </w:tc>
        <w:tc>
          <w:tcPr>
            <w:tcW w:w="443" w:type="pct"/>
            <w:tcBorders>
              <w:bottom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72 455</w:t>
            </w:r>
          </w:p>
        </w:tc>
      </w:tr>
      <w:tr w:rsidR="007F6B6A" w:rsidRPr="00F1180D" w:rsidTr="000D78CD">
        <w:trPr>
          <w:trHeight w:val="240"/>
        </w:trPr>
        <w:tc>
          <w:tcPr>
            <w:tcW w:w="657" w:type="pct"/>
            <w:vMerge/>
            <w:tcBorders>
              <w:top w:val="single" w:sz="12" w:space="0" w:color="auto"/>
              <w:bottom w:val="single" w:sz="4" w:space="0" w:color="auto"/>
            </w:tcBorders>
            <w:shd w:val="clear" w:color="auto" w:fill="auto"/>
            <w:vAlign w:val="bottom"/>
          </w:tcPr>
          <w:p w:rsidR="0097714D" w:rsidRPr="00F1180D" w:rsidRDefault="0097714D" w:rsidP="007F6B6A">
            <w:pPr>
              <w:pStyle w:val="SingleTxtG"/>
              <w:spacing w:before="40" w:after="40" w:line="220" w:lineRule="exact"/>
              <w:ind w:left="0" w:right="0"/>
              <w:jc w:val="left"/>
              <w:rPr>
                <w:sz w:val="18"/>
                <w:szCs w:val="18"/>
                <w:lang w:val="fr-FR"/>
              </w:rPr>
            </w:pPr>
          </w:p>
        </w:tc>
        <w:tc>
          <w:tcPr>
            <w:tcW w:w="387" w:type="pct"/>
            <w:tcBorders>
              <w:top w:val="single" w:sz="4" w:space="0" w:color="auto"/>
              <w:bottom w:val="single" w:sz="4" w:space="0" w:color="auto"/>
            </w:tcBorders>
            <w:shd w:val="clear" w:color="auto" w:fill="auto"/>
            <w:vAlign w:val="bottom"/>
          </w:tcPr>
          <w:p w:rsidR="0097714D" w:rsidRPr="00F1180D" w:rsidRDefault="0097714D" w:rsidP="007F6B6A">
            <w:pPr>
              <w:pStyle w:val="SingleTxtG"/>
              <w:spacing w:before="80" w:after="80" w:line="220" w:lineRule="exact"/>
              <w:ind w:left="113" w:right="0"/>
              <w:jc w:val="left"/>
              <w:rPr>
                <w:sz w:val="18"/>
                <w:szCs w:val="18"/>
                <w:lang w:val="fr-FR"/>
              </w:rPr>
            </w:pPr>
            <w:r w:rsidRPr="00F1180D">
              <w:rPr>
                <w:b/>
                <w:sz w:val="18"/>
                <w:szCs w:val="18"/>
                <w:lang w:val="fr-FR"/>
              </w:rPr>
              <w:t>Total</w:t>
            </w:r>
          </w:p>
        </w:tc>
        <w:tc>
          <w:tcPr>
            <w:tcW w:w="627"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4 701</w:t>
            </w:r>
          </w:p>
        </w:tc>
        <w:tc>
          <w:tcPr>
            <w:tcW w:w="387"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257 304</w:t>
            </w:r>
          </w:p>
        </w:tc>
        <w:tc>
          <w:tcPr>
            <w:tcW w:w="441"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5 721</w:t>
            </w:r>
          </w:p>
        </w:tc>
        <w:tc>
          <w:tcPr>
            <w:tcW w:w="440"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904</w:t>
            </w:r>
          </w:p>
        </w:tc>
        <w:tc>
          <w:tcPr>
            <w:tcW w:w="588"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1 106</w:t>
            </w:r>
          </w:p>
        </w:tc>
        <w:tc>
          <w:tcPr>
            <w:tcW w:w="588"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84</w:t>
            </w:r>
          </w:p>
        </w:tc>
        <w:tc>
          <w:tcPr>
            <w:tcW w:w="442"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67</w:t>
            </w:r>
          </w:p>
        </w:tc>
        <w:tc>
          <w:tcPr>
            <w:tcW w:w="443" w:type="pct"/>
            <w:tcBorders>
              <w:top w:val="single" w:sz="4" w:space="0" w:color="auto"/>
              <w:bottom w:val="single" w:sz="4"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269 887</w:t>
            </w:r>
          </w:p>
        </w:tc>
      </w:tr>
      <w:tr w:rsidR="007F6B6A" w:rsidRPr="00F1180D" w:rsidTr="000D78CD">
        <w:trPr>
          <w:trHeight w:val="240"/>
        </w:trPr>
        <w:tc>
          <w:tcPr>
            <w:tcW w:w="657" w:type="pct"/>
            <w:vMerge w:val="restart"/>
            <w:tcBorders>
              <w:top w:val="single" w:sz="4" w:space="0" w:color="auto"/>
            </w:tcBorders>
            <w:shd w:val="clear" w:color="auto" w:fill="auto"/>
          </w:tcPr>
          <w:p w:rsidR="0097714D" w:rsidRPr="00F1180D" w:rsidRDefault="0097714D" w:rsidP="000D78CD">
            <w:pPr>
              <w:pStyle w:val="SingleTxtG"/>
              <w:spacing w:before="40" w:after="40" w:line="220" w:lineRule="exact"/>
              <w:ind w:left="142" w:right="0"/>
              <w:jc w:val="left"/>
              <w:rPr>
                <w:b/>
                <w:sz w:val="18"/>
                <w:szCs w:val="18"/>
                <w:lang w:val="fr-FR"/>
              </w:rPr>
            </w:pPr>
            <w:r w:rsidRPr="00F1180D">
              <w:rPr>
                <w:b/>
                <w:sz w:val="18"/>
                <w:szCs w:val="18"/>
                <w:lang w:val="fr-FR"/>
              </w:rPr>
              <w:t>Total</w:t>
            </w:r>
          </w:p>
        </w:tc>
        <w:tc>
          <w:tcPr>
            <w:tcW w:w="387" w:type="pct"/>
            <w:tcBorders>
              <w:top w:val="single" w:sz="4" w:space="0" w:color="auto"/>
            </w:tcBorders>
            <w:shd w:val="clear" w:color="auto" w:fill="auto"/>
            <w:vAlign w:val="bottom"/>
          </w:tcPr>
          <w:p w:rsidR="0097714D" w:rsidRPr="00F1180D" w:rsidRDefault="007F6B6A" w:rsidP="007F6B6A">
            <w:pPr>
              <w:pStyle w:val="SingleTxtG"/>
              <w:spacing w:before="40" w:after="40" w:line="220" w:lineRule="exact"/>
              <w:ind w:left="0" w:right="0"/>
              <w:jc w:val="left"/>
              <w:rPr>
                <w:b/>
                <w:sz w:val="18"/>
                <w:szCs w:val="18"/>
                <w:lang w:val="fr-FR"/>
              </w:rPr>
            </w:pPr>
            <w:r w:rsidRPr="00F1180D">
              <w:rPr>
                <w:b/>
                <w:sz w:val="18"/>
                <w:szCs w:val="18"/>
                <w:lang w:val="fr-FR"/>
              </w:rPr>
              <w:t>Hommes</w:t>
            </w:r>
          </w:p>
        </w:tc>
        <w:tc>
          <w:tcPr>
            <w:tcW w:w="627" w:type="pct"/>
            <w:tcBorders>
              <w:top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1 398 861</w:t>
            </w:r>
          </w:p>
        </w:tc>
        <w:tc>
          <w:tcPr>
            <w:tcW w:w="387" w:type="pct"/>
            <w:tcBorders>
              <w:top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1 122 756</w:t>
            </w:r>
          </w:p>
        </w:tc>
        <w:tc>
          <w:tcPr>
            <w:tcW w:w="441" w:type="pct"/>
            <w:tcBorders>
              <w:top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7 906</w:t>
            </w:r>
          </w:p>
        </w:tc>
        <w:tc>
          <w:tcPr>
            <w:tcW w:w="440" w:type="pct"/>
            <w:tcBorders>
              <w:top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8 394</w:t>
            </w:r>
          </w:p>
        </w:tc>
        <w:tc>
          <w:tcPr>
            <w:tcW w:w="588" w:type="pct"/>
            <w:tcBorders>
              <w:top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12 574</w:t>
            </w:r>
          </w:p>
        </w:tc>
        <w:tc>
          <w:tcPr>
            <w:tcW w:w="588" w:type="pct"/>
            <w:tcBorders>
              <w:top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937</w:t>
            </w:r>
          </w:p>
        </w:tc>
        <w:tc>
          <w:tcPr>
            <w:tcW w:w="442" w:type="pct"/>
            <w:tcBorders>
              <w:top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974</w:t>
            </w:r>
          </w:p>
        </w:tc>
        <w:tc>
          <w:tcPr>
            <w:tcW w:w="443" w:type="pct"/>
            <w:tcBorders>
              <w:top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2 552 402</w:t>
            </w:r>
          </w:p>
        </w:tc>
      </w:tr>
      <w:tr w:rsidR="007F6B6A" w:rsidRPr="00F1180D" w:rsidTr="007F6B6A">
        <w:trPr>
          <w:trHeight w:val="240"/>
        </w:trPr>
        <w:tc>
          <w:tcPr>
            <w:tcW w:w="657" w:type="pct"/>
            <w:vMerge/>
            <w:shd w:val="clear" w:color="auto" w:fill="auto"/>
            <w:vAlign w:val="bottom"/>
          </w:tcPr>
          <w:p w:rsidR="0097714D" w:rsidRPr="00F1180D" w:rsidRDefault="0097714D" w:rsidP="007F6B6A">
            <w:pPr>
              <w:pStyle w:val="SingleTxtG"/>
              <w:spacing w:before="40" w:after="40" w:line="220" w:lineRule="exact"/>
              <w:ind w:left="0" w:right="0"/>
              <w:jc w:val="left"/>
              <w:rPr>
                <w:b/>
                <w:sz w:val="18"/>
                <w:szCs w:val="18"/>
                <w:lang w:val="fr-FR"/>
              </w:rPr>
            </w:pPr>
          </w:p>
        </w:tc>
        <w:tc>
          <w:tcPr>
            <w:tcW w:w="387" w:type="pct"/>
            <w:tcBorders>
              <w:bottom w:val="single" w:sz="4" w:space="0" w:color="auto"/>
            </w:tcBorders>
            <w:shd w:val="clear" w:color="auto" w:fill="auto"/>
            <w:vAlign w:val="bottom"/>
          </w:tcPr>
          <w:p w:rsidR="0097714D" w:rsidRPr="00F1180D" w:rsidRDefault="007F6B6A" w:rsidP="007F6B6A">
            <w:pPr>
              <w:pStyle w:val="SingleTxtG"/>
              <w:spacing w:before="40" w:after="40" w:line="220" w:lineRule="exact"/>
              <w:ind w:left="0" w:right="0"/>
              <w:jc w:val="left"/>
              <w:rPr>
                <w:b/>
                <w:sz w:val="18"/>
                <w:szCs w:val="18"/>
                <w:lang w:val="fr-FR"/>
              </w:rPr>
            </w:pPr>
            <w:r w:rsidRPr="00F1180D">
              <w:rPr>
                <w:b/>
                <w:sz w:val="18"/>
                <w:szCs w:val="18"/>
                <w:lang w:val="fr-FR"/>
              </w:rPr>
              <w:t>Femmes</w:t>
            </w:r>
          </w:p>
        </w:tc>
        <w:tc>
          <w:tcPr>
            <w:tcW w:w="627" w:type="pct"/>
            <w:tcBorders>
              <w:bottom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1 059 249</w:t>
            </w:r>
          </w:p>
        </w:tc>
        <w:tc>
          <w:tcPr>
            <w:tcW w:w="387" w:type="pct"/>
            <w:tcBorders>
              <w:bottom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502 702</w:t>
            </w:r>
          </w:p>
        </w:tc>
        <w:tc>
          <w:tcPr>
            <w:tcW w:w="441" w:type="pct"/>
            <w:tcBorders>
              <w:bottom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52 325</w:t>
            </w:r>
          </w:p>
        </w:tc>
        <w:tc>
          <w:tcPr>
            <w:tcW w:w="440" w:type="pct"/>
            <w:tcBorders>
              <w:bottom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7 303</w:t>
            </w:r>
          </w:p>
        </w:tc>
        <w:tc>
          <w:tcPr>
            <w:tcW w:w="588" w:type="pct"/>
            <w:tcBorders>
              <w:bottom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8 242</w:t>
            </w:r>
          </w:p>
        </w:tc>
        <w:tc>
          <w:tcPr>
            <w:tcW w:w="588" w:type="pct"/>
            <w:tcBorders>
              <w:bottom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697</w:t>
            </w:r>
          </w:p>
        </w:tc>
        <w:tc>
          <w:tcPr>
            <w:tcW w:w="442" w:type="pct"/>
            <w:tcBorders>
              <w:bottom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738</w:t>
            </w:r>
          </w:p>
        </w:tc>
        <w:tc>
          <w:tcPr>
            <w:tcW w:w="443" w:type="pct"/>
            <w:tcBorders>
              <w:bottom w:val="single" w:sz="4" w:space="0" w:color="auto"/>
            </w:tcBorders>
            <w:shd w:val="clear" w:color="auto" w:fill="auto"/>
          </w:tcPr>
          <w:p w:rsidR="0097714D" w:rsidRPr="00F1180D" w:rsidRDefault="0097714D" w:rsidP="007F6B6A">
            <w:pPr>
              <w:spacing w:before="40" w:after="40" w:line="220" w:lineRule="exact"/>
              <w:jc w:val="right"/>
              <w:rPr>
                <w:b/>
                <w:sz w:val="18"/>
                <w:szCs w:val="18"/>
                <w:lang w:val="fr-FR"/>
              </w:rPr>
            </w:pPr>
            <w:r w:rsidRPr="00F1180D">
              <w:rPr>
                <w:b/>
                <w:sz w:val="18"/>
                <w:szCs w:val="18"/>
                <w:lang w:val="fr-FR"/>
              </w:rPr>
              <w:t>1 631 256</w:t>
            </w:r>
          </w:p>
        </w:tc>
      </w:tr>
      <w:tr w:rsidR="007F6B6A" w:rsidRPr="00F1180D" w:rsidTr="007F6B6A">
        <w:trPr>
          <w:trHeight w:val="240"/>
        </w:trPr>
        <w:tc>
          <w:tcPr>
            <w:tcW w:w="657" w:type="pct"/>
            <w:vMerge/>
            <w:tcBorders>
              <w:bottom w:val="single" w:sz="12" w:space="0" w:color="auto"/>
            </w:tcBorders>
            <w:shd w:val="clear" w:color="auto" w:fill="auto"/>
            <w:vAlign w:val="bottom"/>
          </w:tcPr>
          <w:p w:rsidR="0097714D" w:rsidRPr="00F1180D" w:rsidRDefault="0097714D" w:rsidP="007F6B6A">
            <w:pPr>
              <w:pStyle w:val="SingleTxtG"/>
              <w:spacing w:before="40" w:after="40" w:line="220" w:lineRule="exact"/>
              <w:ind w:left="0" w:right="0"/>
              <w:jc w:val="left"/>
              <w:rPr>
                <w:sz w:val="18"/>
                <w:szCs w:val="18"/>
                <w:lang w:val="fr-FR"/>
              </w:rPr>
            </w:pPr>
          </w:p>
        </w:tc>
        <w:tc>
          <w:tcPr>
            <w:tcW w:w="387" w:type="pct"/>
            <w:tcBorders>
              <w:top w:val="single" w:sz="4" w:space="0" w:color="auto"/>
              <w:bottom w:val="single" w:sz="12" w:space="0" w:color="auto"/>
            </w:tcBorders>
            <w:shd w:val="clear" w:color="auto" w:fill="auto"/>
            <w:vAlign w:val="bottom"/>
          </w:tcPr>
          <w:p w:rsidR="0097714D" w:rsidRPr="00F1180D" w:rsidRDefault="0097714D" w:rsidP="007F6B6A">
            <w:pPr>
              <w:pStyle w:val="SingleTxtG"/>
              <w:spacing w:before="80" w:after="80" w:line="220" w:lineRule="exact"/>
              <w:ind w:left="113" w:right="0"/>
              <w:jc w:val="left"/>
              <w:rPr>
                <w:sz w:val="18"/>
                <w:szCs w:val="18"/>
                <w:lang w:val="fr-FR"/>
              </w:rPr>
            </w:pPr>
            <w:r w:rsidRPr="00F1180D">
              <w:rPr>
                <w:b/>
                <w:sz w:val="18"/>
                <w:szCs w:val="18"/>
                <w:lang w:val="fr-FR"/>
              </w:rPr>
              <w:t>Total</w:t>
            </w:r>
          </w:p>
        </w:tc>
        <w:tc>
          <w:tcPr>
            <w:tcW w:w="627" w:type="pct"/>
            <w:tcBorders>
              <w:top w:val="single" w:sz="4" w:space="0" w:color="auto"/>
              <w:bottom w:val="single" w:sz="12"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2 458 110</w:t>
            </w:r>
          </w:p>
        </w:tc>
        <w:tc>
          <w:tcPr>
            <w:tcW w:w="387" w:type="pct"/>
            <w:tcBorders>
              <w:top w:val="single" w:sz="4" w:space="0" w:color="auto"/>
              <w:bottom w:val="single" w:sz="12"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1 625 458</w:t>
            </w:r>
          </w:p>
        </w:tc>
        <w:tc>
          <w:tcPr>
            <w:tcW w:w="441" w:type="pct"/>
            <w:tcBorders>
              <w:top w:val="single" w:sz="4" w:space="0" w:color="auto"/>
              <w:bottom w:val="single" w:sz="12"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60 231</w:t>
            </w:r>
          </w:p>
        </w:tc>
        <w:tc>
          <w:tcPr>
            <w:tcW w:w="440" w:type="pct"/>
            <w:tcBorders>
              <w:top w:val="single" w:sz="4" w:space="0" w:color="auto"/>
              <w:bottom w:val="single" w:sz="12"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15 697</w:t>
            </w:r>
          </w:p>
        </w:tc>
        <w:tc>
          <w:tcPr>
            <w:tcW w:w="588" w:type="pct"/>
            <w:tcBorders>
              <w:top w:val="single" w:sz="4" w:space="0" w:color="auto"/>
              <w:bottom w:val="single" w:sz="12"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20 816</w:t>
            </w:r>
          </w:p>
        </w:tc>
        <w:tc>
          <w:tcPr>
            <w:tcW w:w="588" w:type="pct"/>
            <w:tcBorders>
              <w:top w:val="single" w:sz="4" w:space="0" w:color="auto"/>
              <w:bottom w:val="single" w:sz="12"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1 634</w:t>
            </w:r>
          </w:p>
        </w:tc>
        <w:tc>
          <w:tcPr>
            <w:tcW w:w="442" w:type="pct"/>
            <w:tcBorders>
              <w:top w:val="single" w:sz="4" w:space="0" w:color="auto"/>
              <w:bottom w:val="single" w:sz="12"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1 712</w:t>
            </w:r>
          </w:p>
        </w:tc>
        <w:tc>
          <w:tcPr>
            <w:tcW w:w="443" w:type="pct"/>
            <w:tcBorders>
              <w:top w:val="single" w:sz="4" w:space="0" w:color="auto"/>
              <w:bottom w:val="single" w:sz="12" w:space="0" w:color="auto"/>
            </w:tcBorders>
            <w:shd w:val="clear" w:color="auto" w:fill="auto"/>
          </w:tcPr>
          <w:p w:rsidR="0097714D" w:rsidRPr="00F1180D" w:rsidRDefault="0097714D" w:rsidP="007F6B6A">
            <w:pPr>
              <w:spacing w:before="80" w:after="80" w:line="220" w:lineRule="exact"/>
              <w:jc w:val="right"/>
              <w:rPr>
                <w:b/>
                <w:sz w:val="18"/>
                <w:szCs w:val="18"/>
                <w:lang w:val="fr-FR"/>
              </w:rPr>
            </w:pPr>
            <w:r w:rsidRPr="00F1180D">
              <w:rPr>
                <w:b/>
                <w:sz w:val="18"/>
                <w:szCs w:val="18"/>
                <w:lang w:val="fr-FR"/>
              </w:rPr>
              <w:t>4 183 658</w:t>
            </w:r>
          </w:p>
        </w:tc>
      </w:tr>
    </w:tbl>
    <w:p w:rsidR="000925C7" w:rsidRPr="00F1180D" w:rsidRDefault="000925C7">
      <w:pPr>
        <w:suppressAutoHyphens w:val="0"/>
        <w:spacing w:line="240" w:lineRule="auto"/>
        <w:rPr>
          <w:b/>
          <w:sz w:val="24"/>
          <w:lang w:val="fr-FR" w:bidi="ar-KW"/>
        </w:rPr>
      </w:pPr>
      <w:r w:rsidRPr="00F1180D">
        <w:rPr>
          <w:lang w:val="fr-FR" w:bidi="ar-KW"/>
        </w:rPr>
        <w:br w:type="page"/>
      </w:r>
    </w:p>
    <w:p w:rsidR="000C6D4A" w:rsidRPr="00F1180D" w:rsidRDefault="00B31DD1" w:rsidP="00B31DD1">
      <w:pPr>
        <w:pStyle w:val="H1G"/>
        <w:rPr>
          <w:bCs/>
          <w:sz w:val="20"/>
          <w:rtl/>
          <w:lang w:val="fr-FR" w:bidi="fr-FR"/>
        </w:rPr>
      </w:pPr>
      <w:r w:rsidRPr="00F1180D">
        <w:rPr>
          <w:lang w:val="fr-FR" w:bidi="ar-KW"/>
        </w:rPr>
        <w:lastRenderedPageBreak/>
        <w:tab/>
      </w:r>
      <w:r w:rsidRPr="00F1180D">
        <w:rPr>
          <w:lang w:val="fr-FR" w:bidi="ar-KW"/>
        </w:rPr>
        <w:tab/>
      </w:r>
      <w:r w:rsidR="000C6D4A" w:rsidRPr="00F1180D">
        <w:rPr>
          <w:lang w:val="fr-FR" w:bidi="ar-KW"/>
        </w:rPr>
        <w:t xml:space="preserve">Recommandation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8</w:t>
      </w:r>
    </w:p>
    <w:p w:rsidR="000C6D4A" w:rsidRPr="00F1180D" w:rsidRDefault="00930AE5" w:rsidP="00680ADA">
      <w:pPr>
        <w:pStyle w:val="SingleTxtG"/>
        <w:rPr>
          <w:rtl/>
          <w:lang w:val="fr-FR" w:bidi="fr-FR"/>
        </w:rPr>
      </w:pPr>
      <w:r>
        <w:rPr>
          <w:lang w:val="fr-FR" w:bidi="ar-KW"/>
        </w:rPr>
        <w:t>115.</w:t>
      </w:r>
      <w:r>
        <w:rPr>
          <w:lang w:val="fr-FR" w:bidi="ar-KW"/>
        </w:rPr>
        <w:tab/>
      </w:r>
      <w:r w:rsidR="000C6D4A" w:rsidRPr="00F1180D">
        <w:rPr>
          <w:lang w:val="fr-FR" w:bidi="ar-KW"/>
        </w:rPr>
        <w:t xml:space="preserve">La Constitution </w:t>
      </w:r>
      <w:r w:rsidR="000C6D4A" w:rsidRPr="00F1180D">
        <w:rPr>
          <w:lang w:val="fr-FR" w:bidi="ar-EG"/>
        </w:rPr>
        <w:t>considère à cet égard que les traités ratifiés par le Koweït deviennent partie intégrante de l</w:t>
      </w:r>
      <w:r w:rsidR="00680ADA" w:rsidRPr="00F1180D">
        <w:rPr>
          <w:lang w:val="fr-FR" w:bidi="ar-EG"/>
        </w:rPr>
        <w:t>’</w:t>
      </w:r>
      <w:r w:rsidR="000C6D4A" w:rsidRPr="00F1180D">
        <w:rPr>
          <w:lang w:val="fr-FR" w:bidi="ar-EG"/>
        </w:rPr>
        <w:t>ordre juridique interne dès leur entrée en vigueur et qu</w:t>
      </w:r>
      <w:r w:rsidR="00680ADA" w:rsidRPr="00F1180D">
        <w:rPr>
          <w:lang w:val="fr-FR" w:bidi="ar-EG"/>
        </w:rPr>
        <w:t>’</w:t>
      </w:r>
      <w:r w:rsidR="000C6D4A" w:rsidRPr="00F1180D">
        <w:rPr>
          <w:lang w:val="fr-FR" w:bidi="ar-EG"/>
        </w:rPr>
        <w:t>en conséquence</w:t>
      </w:r>
      <w:r w:rsidR="00680ADA" w:rsidRPr="00F1180D">
        <w:rPr>
          <w:lang w:val="fr-FR" w:bidi="ar-EG"/>
        </w:rPr>
        <w:t>,</w:t>
      </w:r>
      <w:r w:rsidR="000C6D4A" w:rsidRPr="00F1180D">
        <w:rPr>
          <w:lang w:val="fr-FR" w:bidi="ar-EG"/>
        </w:rPr>
        <w:t xml:space="preserve"> tous les pouvoirs publics</w:t>
      </w:r>
      <w:r w:rsidR="00680ADA" w:rsidRPr="00F1180D">
        <w:rPr>
          <w:lang w:val="fr-FR" w:bidi="ar-EG"/>
        </w:rPr>
        <w:t>,</w:t>
      </w:r>
      <w:r w:rsidR="000C6D4A" w:rsidRPr="00F1180D">
        <w:rPr>
          <w:lang w:val="fr-FR" w:bidi="ar-EG"/>
        </w:rPr>
        <w:t xml:space="preserve"> ainsi que les particuliers</w:t>
      </w:r>
      <w:r w:rsidR="00680ADA" w:rsidRPr="00F1180D">
        <w:rPr>
          <w:lang w:val="fr-FR" w:bidi="ar-EG"/>
        </w:rPr>
        <w:t>,</w:t>
      </w:r>
      <w:r w:rsidR="000C6D4A" w:rsidRPr="00F1180D">
        <w:rPr>
          <w:lang w:val="fr-FR" w:bidi="ar-EG"/>
        </w:rPr>
        <w:t xml:space="preserve"> doivent s</w:t>
      </w:r>
      <w:r w:rsidR="00680ADA" w:rsidRPr="00F1180D">
        <w:rPr>
          <w:lang w:val="fr-FR" w:bidi="ar-EG"/>
        </w:rPr>
        <w:t>’</w:t>
      </w:r>
      <w:r w:rsidR="000C6D4A" w:rsidRPr="00F1180D">
        <w:rPr>
          <w:lang w:val="fr-FR" w:bidi="ar-EG"/>
        </w:rPr>
        <w:t>y conformer</w:t>
      </w:r>
      <w:r w:rsidR="00680ADA" w:rsidRPr="00F1180D">
        <w:rPr>
          <w:lang w:val="fr-FR" w:bidi="ar-EG"/>
        </w:rPr>
        <w:t>,</w:t>
      </w:r>
      <w:r w:rsidR="000C6D4A" w:rsidRPr="00F1180D">
        <w:rPr>
          <w:lang w:val="fr-FR" w:bidi="ar-EG"/>
        </w:rPr>
        <w:t xml:space="preserve"> de même qu</w:t>
      </w:r>
      <w:r w:rsidR="00680ADA" w:rsidRPr="00F1180D">
        <w:rPr>
          <w:lang w:val="fr-FR" w:bidi="ar-EG"/>
        </w:rPr>
        <w:t>’</w:t>
      </w:r>
      <w:r w:rsidR="000C6D4A" w:rsidRPr="00F1180D">
        <w:rPr>
          <w:lang w:val="fr-FR" w:bidi="ar-EG"/>
        </w:rPr>
        <w:t xml:space="preserve">il incombe à la justice de veiller à leur respect. </w:t>
      </w:r>
    </w:p>
    <w:p w:rsidR="000C6D4A" w:rsidRPr="00F1180D" w:rsidRDefault="00930AE5" w:rsidP="00680ADA">
      <w:pPr>
        <w:pStyle w:val="SingleTxtG"/>
        <w:rPr>
          <w:b/>
          <w:bCs/>
          <w:rtl/>
          <w:lang w:val="fr-FR" w:bidi="fr-FR"/>
        </w:rPr>
      </w:pPr>
      <w:r>
        <w:rPr>
          <w:lang w:val="fr-FR" w:bidi="ar-EG"/>
        </w:rPr>
        <w:t>116.</w:t>
      </w:r>
      <w:r>
        <w:rPr>
          <w:lang w:val="fr-FR" w:bidi="ar-EG"/>
        </w:rPr>
        <w:tab/>
      </w:r>
      <w:r w:rsidR="000C6D4A" w:rsidRPr="00F1180D">
        <w:rPr>
          <w:lang w:val="fr-FR" w:bidi="ar-EG"/>
        </w:rPr>
        <w:t>Cette obligation découle de l</w:t>
      </w:r>
      <w:r w:rsidR="00680ADA" w:rsidRPr="00F1180D">
        <w:rPr>
          <w:lang w:val="fr-FR" w:bidi="ar-EG"/>
        </w:rPr>
        <w:t>’</w:t>
      </w:r>
      <w:r w:rsidR="00163207" w:rsidRPr="00F1180D">
        <w:rPr>
          <w:lang w:val="fr-FR" w:bidi="ar-EG"/>
        </w:rPr>
        <w:t>article </w:t>
      </w:r>
      <w:r w:rsidR="000C6D4A" w:rsidRPr="00F1180D">
        <w:rPr>
          <w:lang w:val="fr-FR" w:bidi="ar-EG"/>
        </w:rPr>
        <w:t>70 de la Constitution aux termes duquel</w:t>
      </w:r>
      <w:r w:rsidR="00680ADA" w:rsidRPr="00F1180D">
        <w:rPr>
          <w:lang w:val="fr-FR" w:bidi="ar-EG"/>
        </w:rPr>
        <w:t>:</w:t>
      </w:r>
      <w:r w:rsidR="000C6D4A" w:rsidRPr="00F1180D">
        <w:rPr>
          <w:lang w:val="fr-FR" w:bidi="ar-EG"/>
        </w:rPr>
        <w:t xml:space="preserve"> </w:t>
      </w:r>
      <w:r w:rsidR="00680ADA" w:rsidRPr="00F1180D">
        <w:rPr>
          <w:lang w:val="fr-FR" w:bidi="ar-EG"/>
        </w:rPr>
        <w:t>«</w:t>
      </w:r>
      <w:r w:rsidR="000C6D4A" w:rsidRPr="00F1180D">
        <w:rPr>
          <w:lang w:val="fr-FR" w:bidi="ar-EG"/>
        </w:rPr>
        <w:t>L</w:t>
      </w:r>
      <w:r w:rsidR="00680ADA" w:rsidRPr="00F1180D">
        <w:rPr>
          <w:lang w:val="fr-FR" w:bidi="ar-EG"/>
        </w:rPr>
        <w:t>’</w:t>
      </w:r>
      <w:r w:rsidR="000C6D4A" w:rsidRPr="00F1180D">
        <w:rPr>
          <w:lang w:val="fr-FR" w:bidi="ar-EG"/>
        </w:rPr>
        <w:t>Émir conclut des traités par décret et les transmet immédiatement à l</w:t>
      </w:r>
      <w:r w:rsidR="00680ADA" w:rsidRPr="00F1180D">
        <w:rPr>
          <w:lang w:val="fr-FR" w:bidi="ar-EG"/>
        </w:rPr>
        <w:t>’</w:t>
      </w:r>
      <w:r w:rsidR="000C6D4A" w:rsidRPr="00F1180D">
        <w:rPr>
          <w:lang w:val="fr-FR" w:bidi="ar-EG"/>
        </w:rPr>
        <w:t>Assemblée nationale</w:t>
      </w:r>
      <w:r w:rsidR="00680ADA" w:rsidRPr="00F1180D">
        <w:rPr>
          <w:lang w:val="fr-FR" w:bidi="ar-EG"/>
        </w:rPr>
        <w:t>,</w:t>
      </w:r>
      <w:r w:rsidR="000C6D4A" w:rsidRPr="00F1180D">
        <w:rPr>
          <w:lang w:val="fr-FR" w:bidi="ar-EG"/>
        </w:rPr>
        <w:t xml:space="preserve"> avec ses annotations. Un traité acquiert force de loi une fois signé</w:t>
      </w:r>
      <w:r w:rsidR="00680ADA" w:rsidRPr="00F1180D">
        <w:rPr>
          <w:lang w:val="fr-FR" w:bidi="ar-EG"/>
        </w:rPr>
        <w:t>,</w:t>
      </w:r>
      <w:r w:rsidR="000C6D4A" w:rsidRPr="00F1180D">
        <w:rPr>
          <w:lang w:val="fr-FR" w:bidi="ar-EG"/>
        </w:rPr>
        <w:t xml:space="preserve"> ratifié et publié au Journal officiel ...</w:t>
      </w:r>
      <w:r w:rsidR="00680ADA" w:rsidRPr="00F1180D">
        <w:rPr>
          <w:lang w:val="fr-FR" w:bidi="ar-EG"/>
        </w:rPr>
        <w:t>»</w:t>
      </w:r>
      <w:r w:rsidR="000C6D4A" w:rsidRPr="00F1180D">
        <w:rPr>
          <w:lang w:val="fr-FR" w:bidi="ar-EG"/>
        </w:rPr>
        <w:t xml:space="preserve">. </w:t>
      </w:r>
    </w:p>
    <w:p w:rsidR="000C6D4A" w:rsidRPr="00F1180D" w:rsidRDefault="00930AE5" w:rsidP="00680ADA">
      <w:pPr>
        <w:pStyle w:val="SingleTxtG"/>
        <w:rPr>
          <w:b/>
          <w:bCs/>
          <w:rtl/>
          <w:lang w:val="fr-FR" w:bidi="fr-FR"/>
        </w:rPr>
      </w:pPr>
      <w:r>
        <w:rPr>
          <w:lang w:val="fr-FR" w:bidi="ar-KW"/>
        </w:rPr>
        <w:t>117.</w:t>
      </w:r>
      <w:r>
        <w:rPr>
          <w:lang w:val="fr-FR" w:bidi="ar-KW"/>
        </w:rPr>
        <w:tab/>
      </w:r>
      <w:r w:rsidR="000C6D4A" w:rsidRPr="00F1180D">
        <w:rPr>
          <w:lang w:val="fr-FR" w:bidi="ar-KW"/>
        </w:rPr>
        <w:t>Pour sa part</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115F1F" w:rsidRPr="00F1180D">
        <w:rPr>
          <w:lang w:val="fr-FR" w:bidi="ar-KW"/>
        </w:rPr>
        <w:t>1</w:t>
      </w:r>
      <w:r w:rsidR="00115F1F" w:rsidRPr="00F1180D">
        <w:rPr>
          <w:vertAlign w:val="superscript"/>
          <w:lang w:val="fr-FR" w:bidi="ar-KW"/>
        </w:rPr>
        <w:t>er</w:t>
      </w:r>
      <w:r w:rsidR="00115F1F" w:rsidRPr="00F1180D">
        <w:rPr>
          <w:lang w:val="fr-FR" w:bidi="ar-KW"/>
        </w:rPr>
        <w:t xml:space="preserve"> </w:t>
      </w:r>
      <w:r w:rsidR="000C6D4A" w:rsidRPr="00F1180D">
        <w:rPr>
          <w:lang w:val="fr-FR" w:bidi="ar-KW"/>
        </w:rPr>
        <w:t xml:space="preserve">du décret-loi </w:t>
      </w:r>
      <w:r w:rsidR="00FA4059" w:rsidRPr="00F1180D">
        <w:rPr>
          <w:lang w:val="fr-FR" w:bidi="ar-KW"/>
        </w:rPr>
        <w:t>n</w:t>
      </w:r>
      <w:r w:rsidR="00FA4059" w:rsidRPr="00F1180D">
        <w:rPr>
          <w:vertAlign w:val="superscript"/>
          <w:lang w:val="fr-FR" w:bidi="ar-KW"/>
        </w:rPr>
        <w:t>o</w:t>
      </w:r>
      <w:r w:rsidR="00FA4059" w:rsidRPr="00F1180D">
        <w:rPr>
          <w:lang w:val="fr-FR" w:bidi="ar-KW"/>
        </w:rPr>
        <w:t>°</w:t>
      </w:r>
      <w:r w:rsidR="000C6D4A" w:rsidRPr="00F1180D">
        <w:rPr>
          <w:lang w:val="fr-FR" w:bidi="ar-KW"/>
        </w:rPr>
        <w:t>19 de 2012 sur la sauvegarde de l</w:t>
      </w:r>
      <w:r w:rsidR="00680ADA" w:rsidRPr="00F1180D">
        <w:rPr>
          <w:lang w:val="fr-FR" w:bidi="ar-KW"/>
        </w:rPr>
        <w:t>’</w:t>
      </w:r>
      <w:r w:rsidR="000C6D4A" w:rsidRPr="00F1180D">
        <w:rPr>
          <w:lang w:val="fr-FR" w:bidi="ar-KW"/>
        </w:rPr>
        <w:t>unité nationale</w:t>
      </w:r>
      <w:r w:rsidR="00680ADA" w:rsidRPr="00F1180D">
        <w:rPr>
          <w:lang w:val="fr-FR" w:bidi="ar-KW"/>
        </w:rPr>
        <w:t>,</w:t>
      </w:r>
      <w:r w:rsidR="000C6D4A" w:rsidRPr="00F1180D">
        <w:rPr>
          <w:lang w:val="fr-FR" w:bidi="ar-KW"/>
        </w:rPr>
        <w:t xml:space="preserve"> interdit </w:t>
      </w:r>
      <w:r w:rsidR="00680ADA" w:rsidRPr="00F1180D">
        <w:rPr>
          <w:lang w:val="fr-FR" w:bidi="ar-KW"/>
        </w:rPr>
        <w:t>«</w:t>
      </w:r>
      <w:r w:rsidR="000C6D4A" w:rsidRPr="00F1180D">
        <w:rPr>
          <w:lang w:val="fr-FR" w:bidi="ar-KW"/>
        </w:rPr>
        <w:t>tout acte ou appel</w:t>
      </w:r>
      <w:r w:rsidR="00680ADA" w:rsidRPr="00F1180D">
        <w:rPr>
          <w:lang w:val="fr-FR" w:bidi="ar-KW"/>
        </w:rPr>
        <w:t>,</w:t>
      </w:r>
      <w:r w:rsidR="000C6D4A" w:rsidRPr="00F1180D">
        <w:rPr>
          <w:lang w:val="fr-FR" w:bidi="ar-KW"/>
        </w:rPr>
        <w:t xml:space="preserve"> par l</w:t>
      </w:r>
      <w:r w:rsidR="00680ADA" w:rsidRPr="00F1180D">
        <w:rPr>
          <w:lang w:val="fr-FR" w:bidi="ar-KW"/>
        </w:rPr>
        <w:t>’</w:t>
      </w:r>
      <w:r w:rsidR="000C6D4A" w:rsidRPr="00F1180D">
        <w:rPr>
          <w:lang w:val="fr-FR" w:bidi="ar-KW"/>
        </w:rPr>
        <w:t>un des moyens d</w:t>
      </w:r>
      <w:r w:rsidR="00680ADA" w:rsidRPr="00F1180D">
        <w:rPr>
          <w:lang w:val="fr-FR" w:bidi="ar-KW"/>
        </w:rPr>
        <w:t>’</w:t>
      </w:r>
      <w:r w:rsidR="000C6D4A" w:rsidRPr="00F1180D">
        <w:rPr>
          <w:lang w:val="fr-FR" w:bidi="ar-KW"/>
        </w:rPr>
        <w:t>expression visés à l</w:t>
      </w:r>
      <w:r w:rsidR="00680ADA" w:rsidRPr="00F1180D">
        <w:rPr>
          <w:lang w:val="fr-FR" w:bidi="ar-KW"/>
        </w:rPr>
        <w:t>’</w:t>
      </w:r>
      <w:r w:rsidR="00163207" w:rsidRPr="00F1180D">
        <w:rPr>
          <w:lang w:val="fr-FR" w:bidi="ar-KW"/>
        </w:rPr>
        <w:t>article </w:t>
      </w:r>
      <w:r w:rsidR="000C6D4A" w:rsidRPr="00F1180D">
        <w:rPr>
          <w:lang w:val="fr-FR" w:bidi="ar-KW"/>
        </w:rPr>
        <w:t xml:space="preserve">29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31 de 1970 modifiant certaines dispositions du Code pénal</w:t>
      </w:r>
      <w:r w:rsidR="00680ADA" w:rsidRPr="00F1180D">
        <w:rPr>
          <w:lang w:val="fr-FR" w:bidi="ar-KW"/>
        </w:rPr>
        <w:t>,</w:t>
      </w:r>
      <w:r w:rsidR="000C6D4A" w:rsidRPr="00F1180D">
        <w:rPr>
          <w:lang w:val="fr-FR" w:bidi="ar-KW"/>
        </w:rPr>
        <w:t xml:space="preserve"> qui constitue une incitation à la haine</w:t>
      </w:r>
      <w:r w:rsidR="00680ADA" w:rsidRPr="00F1180D">
        <w:rPr>
          <w:lang w:val="fr-FR" w:bidi="ar-KW"/>
        </w:rPr>
        <w:t>,</w:t>
      </w:r>
      <w:r w:rsidR="000C6D4A" w:rsidRPr="00F1180D">
        <w:rPr>
          <w:lang w:val="fr-FR" w:bidi="ar-KW"/>
        </w:rPr>
        <w:t xml:space="preserve"> au dénigrement d</w:t>
      </w:r>
      <w:r w:rsidR="00680ADA" w:rsidRPr="00F1180D">
        <w:rPr>
          <w:lang w:val="fr-FR" w:bidi="ar-KW"/>
        </w:rPr>
        <w:t>’</w:t>
      </w:r>
      <w:r w:rsidR="000C6D4A" w:rsidRPr="00F1180D">
        <w:rPr>
          <w:lang w:val="fr-FR" w:bidi="ar-KW"/>
        </w:rPr>
        <w:t>un groupe social</w:t>
      </w:r>
      <w:r w:rsidR="00680ADA" w:rsidRPr="00F1180D">
        <w:rPr>
          <w:lang w:val="fr-FR" w:bidi="ar-KW"/>
        </w:rPr>
        <w:t>,</w:t>
      </w:r>
      <w:r w:rsidR="000C6D4A" w:rsidRPr="00F1180D">
        <w:rPr>
          <w:lang w:val="fr-FR" w:bidi="ar-KW"/>
        </w:rPr>
        <w:t xml:space="preserve"> aux conflits confessionnels ou tribaux</w:t>
      </w:r>
      <w:r w:rsidR="00680ADA" w:rsidRPr="00F1180D">
        <w:rPr>
          <w:lang w:val="fr-FR" w:bidi="ar-KW"/>
        </w:rPr>
        <w:t>,</w:t>
      </w:r>
      <w:r w:rsidR="000C6D4A" w:rsidRPr="00F1180D">
        <w:rPr>
          <w:lang w:val="fr-FR" w:bidi="ar-KW"/>
        </w:rPr>
        <w:t xml:space="preserve"> ainsi que la diffusion de toute idéologie prônant la supériorité d</w:t>
      </w:r>
      <w:r w:rsidR="00680ADA" w:rsidRPr="00F1180D">
        <w:rPr>
          <w:lang w:val="fr-FR" w:bidi="ar-KW"/>
        </w:rPr>
        <w:t>’</w:t>
      </w:r>
      <w:r w:rsidR="000C6D4A" w:rsidRPr="00F1180D">
        <w:rPr>
          <w:lang w:val="fr-FR" w:bidi="ar-KW"/>
        </w:rPr>
        <w:t>une race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 groupe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couleur</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origine nationale ou ethnique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confession</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 genre ou d</w:t>
      </w:r>
      <w:r w:rsidR="00680ADA" w:rsidRPr="00F1180D">
        <w:rPr>
          <w:lang w:val="fr-FR" w:bidi="ar-KW"/>
        </w:rPr>
        <w:t>’</w:t>
      </w:r>
      <w:r w:rsidR="000C6D4A" w:rsidRPr="00F1180D">
        <w:rPr>
          <w:lang w:val="fr-FR" w:bidi="ar-KW"/>
        </w:rPr>
        <w:t>une filiation et l</w:t>
      </w:r>
      <w:r w:rsidR="00680ADA" w:rsidRPr="00F1180D">
        <w:rPr>
          <w:lang w:val="fr-FR" w:bidi="ar-KW"/>
        </w:rPr>
        <w:t>’</w:t>
      </w:r>
      <w:r w:rsidR="000C6D4A" w:rsidRPr="00F1180D">
        <w:rPr>
          <w:lang w:val="fr-FR" w:bidi="ar-KW"/>
        </w:rPr>
        <w:t>incitation à la commission de tout acte de violence à cette fin</w:t>
      </w:r>
      <w:r w:rsidR="00680ADA" w:rsidRPr="00F1180D">
        <w:rPr>
          <w:lang w:val="fr-FR" w:bidi="ar-KW"/>
        </w:rPr>
        <w:t>,</w:t>
      </w:r>
      <w:r w:rsidR="000C6D4A" w:rsidRPr="00F1180D">
        <w:rPr>
          <w:lang w:val="fr-FR" w:bidi="ar-KW"/>
        </w:rPr>
        <w:t xml:space="preserve"> de même que la propagation</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édition</w:t>
      </w:r>
      <w:r w:rsidR="00680ADA" w:rsidRPr="00F1180D">
        <w:rPr>
          <w:lang w:val="fr-FR" w:bidi="ar-KW"/>
        </w:rPr>
        <w:t>,</w:t>
      </w:r>
      <w:r w:rsidR="000C6D4A" w:rsidRPr="00F1180D">
        <w:rPr>
          <w:lang w:val="fr-FR" w:bidi="ar-KW"/>
        </w:rPr>
        <w:t xml:space="preserve"> la publication</w:t>
      </w:r>
      <w:r w:rsidR="00680ADA" w:rsidRPr="00F1180D">
        <w:rPr>
          <w:lang w:val="fr-FR" w:bidi="ar-KW"/>
        </w:rPr>
        <w:t>,</w:t>
      </w:r>
      <w:r w:rsidR="000C6D4A" w:rsidRPr="00F1180D">
        <w:rPr>
          <w:lang w:val="fr-FR" w:bidi="ar-KW"/>
        </w:rPr>
        <w:t xml:space="preserve"> la diffusion</w:t>
      </w:r>
      <w:r w:rsidR="00680ADA" w:rsidRPr="00F1180D">
        <w:rPr>
          <w:lang w:val="fr-FR" w:bidi="ar-KW"/>
        </w:rPr>
        <w:t>,</w:t>
      </w:r>
      <w:r w:rsidR="000C6D4A" w:rsidRPr="00F1180D">
        <w:rPr>
          <w:lang w:val="fr-FR" w:bidi="ar-KW"/>
        </w:rPr>
        <w:t xml:space="preserve"> la retransmission</w:t>
      </w:r>
      <w:r w:rsidR="00680ADA" w:rsidRPr="00F1180D">
        <w:rPr>
          <w:lang w:val="fr-FR" w:bidi="ar-KW"/>
        </w:rPr>
        <w:t>,</w:t>
      </w:r>
      <w:r w:rsidR="000C6D4A" w:rsidRPr="00F1180D">
        <w:rPr>
          <w:lang w:val="fr-FR" w:bidi="ar-KW"/>
        </w:rPr>
        <w:t xml:space="preserve"> la production</w:t>
      </w:r>
      <w:r w:rsidR="00680ADA" w:rsidRPr="00F1180D">
        <w:rPr>
          <w:lang w:val="fr-FR" w:bidi="ar-KW"/>
        </w:rPr>
        <w:t>,</w:t>
      </w:r>
      <w:r w:rsidR="000C6D4A" w:rsidRPr="00F1180D">
        <w:rPr>
          <w:lang w:val="fr-FR" w:bidi="ar-KW"/>
        </w:rPr>
        <w:t xml:space="preserve"> ou la mise en circulation de tout document imprimé ou contenu audiovisuel de nature à provoquer les infractions visées ci-dessus et la diffusion</w:t>
      </w:r>
      <w:r w:rsidR="00680ADA" w:rsidRPr="00F1180D">
        <w:rPr>
          <w:lang w:val="fr-FR" w:bidi="ar-KW"/>
        </w:rPr>
        <w:t>,</w:t>
      </w:r>
      <w:r w:rsidR="000C6D4A" w:rsidRPr="00F1180D">
        <w:rPr>
          <w:lang w:val="fr-FR" w:bidi="ar-KW"/>
        </w:rPr>
        <w:t xml:space="preserve"> la propagation ou la retransmission de fausses rumeurs susceptibles de produire les mêmes effets. Les dispositions de l</w:t>
      </w:r>
      <w:r w:rsidR="00680ADA" w:rsidRPr="00F1180D">
        <w:rPr>
          <w:lang w:val="fr-FR" w:bidi="ar-KW"/>
        </w:rPr>
        <w:t>’</w:t>
      </w:r>
      <w:r w:rsidR="000C6D4A" w:rsidRPr="00F1180D">
        <w:rPr>
          <w:lang w:val="fr-FR" w:bidi="ar-KW"/>
        </w:rPr>
        <w:t>alinéa précédent s</w:t>
      </w:r>
      <w:r w:rsidR="00680ADA" w:rsidRPr="00F1180D">
        <w:rPr>
          <w:lang w:val="fr-FR" w:bidi="ar-KW"/>
        </w:rPr>
        <w:t>’</w:t>
      </w:r>
      <w:r w:rsidR="000C6D4A" w:rsidRPr="00F1180D">
        <w:rPr>
          <w:lang w:val="fr-FR" w:bidi="ar-KW"/>
        </w:rPr>
        <w:t>appliquent à toute personne qui commet</w:t>
      </w:r>
      <w:r w:rsidR="00680ADA" w:rsidRPr="00F1180D">
        <w:rPr>
          <w:lang w:val="fr-FR" w:bidi="ar-KW"/>
        </w:rPr>
        <w:t>,</w:t>
      </w:r>
      <w:r w:rsidR="000C6D4A" w:rsidRPr="00F1180D">
        <w:rPr>
          <w:lang w:val="fr-FR" w:bidi="ar-KW"/>
        </w:rPr>
        <w:t xml:space="preserve"> à l</w:t>
      </w:r>
      <w:r w:rsidR="00680ADA" w:rsidRPr="00F1180D">
        <w:rPr>
          <w:lang w:val="fr-FR" w:bidi="ar-KW"/>
        </w:rPr>
        <w:t>’</w:t>
      </w:r>
      <w:r w:rsidR="000C6D4A" w:rsidRPr="00F1180D">
        <w:rPr>
          <w:lang w:val="fr-FR" w:bidi="ar-KW"/>
        </w:rPr>
        <w:t>étranger</w:t>
      </w:r>
      <w:r w:rsidR="00680ADA" w:rsidRPr="00F1180D">
        <w:rPr>
          <w:lang w:val="fr-FR" w:bidi="ar-KW"/>
        </w:rPr>
        <w:t>,</w:t>
      </w:r>
      <w:r w:rsidR="000C6D4A" w:rsidRPr="00F1180D">
        <w:rPr>
          <w:lang w:val="fr-FR" w:bidi="ar-KW"/>
        </w:rPr>
        <w:t xml:space="preserve"> un acte le rendant auteur ou complice d</w:t>
      </w:r>
      <w:r w:rsidR="00680ADA" w:rsidRPr="00F1180D">
        <w:rPr>
          <w:lang w:val="fr-FR" w:bidi="ar-KW"/>
        </w:rPr>
        <w:t>’</w:t>
      </w:r>
      <w:r w:rsidR="000C6D4A" w:rsidRPr="00F1180D">
        <w:rPr>
          <w:lang w:val="fr-FR" w:bidi="ar-KW"/>
        </w:rPr>
        <w:t>une infraction qui se produit en totalité ou en partie au Koweït. Sont considérés comme moyens d</w:t>
      </w:r>
      <w:r w:rsidR="00680ADA" w:rsidRPr="00F1180D">
        <w:rPr>
          <w:lang w:val="fr-FR" w:bidi="ar-KW"/>
        </w:rPr>
        <w:t>’</w:t>
      </w:r>
      <w:r w:rsidR="000C6D4A" w:rsidRPr="00F1180D">
        <w:rPr>
          <w:lang w:val="fr-FR" w:bidi="ar-KW"/>
        </w:rPr>
        <w:t>expression les réseaux d</w:t>
      </w:r>
      <w:r w:rsidR="00680ADA" w:rsidRPr="00F1180D">
        <w:rPr>
          <w:lang w:val="fr-FR" w:bidi="ar-KW"/>
        </w:rPr>
        <w:t>’</w:t>
      </w:r>
      <w:r w:rsidR="000C6D4A" w:rsidRPr="00F1180D">
        <w:rPr>
          <w:lang w:val="fr-FR" w:bidi="ar-KW"/>
        </w:rPr>
        <w:t>information</w:t>
      </w:r>
      <w:r w:rsidR="00680ADA" w:rsidRPr="00F1180D">
        <w:rPr>
          <w:lang w:val="fr-FR" w:bidi="ar-KW"/>
        </w:rPr>
        <w:t>,</w:t>
      </w:r>
      <w:r w:rsidR="000C6D4A" w:rsidRPr="00F1180D">
        <w:rPr>
          <w:lang w:val="fr-FR" w:bidi="ar-KW"/>
        </w:rPr>
        <w:t xml:space="preserve"> les blogs et autres moyens de communication modernes</w:t>
      </w:r>
      <w:r w:rsidR="00680ADA" w:rsidRPr="00F1180D">
        <w:rPr>
          <w:lang w:val="fr-FR" w:bidi="ar-KW"/>
        </w:rPr>
        <w:t>»</w:t>
      </w:r>
      <w:r w:rsidR="000C6D4A" w:rsidRPr="00F1180D">
        <w:rPr>
          <w:lang w:val="fr-FR"/>
        </w:rPr>
        <w:t>.</w:t>
      </w:r>
      <w:r w:rsidR="000C6D4A" w:rsidRPr="00F1180D">
        <w:rPr>
          <w:lang w:val="fr-FR" w:bidi="ar-KW"/>
        </w:rPr>
        <w:t xml:space="preserve"> </w:t>
      </w:r>
    </w:p>
    <w:p w:rsidR="000C6D4A" w:rsidRPr="00F1180D" w:rsidRDefault="00930AE5" w:rsidP="00680ADA">
      <w:pPr>
        <w:pStyle w:val="SingleTxtG"/>
        <w:rPr>
          <w:rtl/>
          <w:lang w:val="fr-FR" w:bidi="fr-FR"/>
        </w:rPr>
      </w:pPr>
      <w:r>
        <w:rPr>
          <w:lang w:val="fr-FR" w:bidi="ar-KW"/>
        </w:rPr>
        <w:t>118.</w:t>
      </w:r>
      <w:r>
        <w:rPr>
          <w:lang w:val="fr-FR" w:bidi="ar-KW"/>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2 de ce texte prévoit à l</w:t>
      </w:r>
      <w:r w:rsidR="00680ADA" w:rsidRPr="00F1180D">
        <w:rPr>
          <w:lang w:val="fr-FR" w:bidi="ar-KW"/>
        </w:rPr>
        <w:t>’</w:t>
      </w:r>
      <w:r w:rsidR="000C6D4A" w:rsidRPr="00F1180D">
        <w:rPr>
          <w:lang w:val="fr-FR" w:bidi="ar-KW"/>
        </w:rPr>
        <w:t>encontre des auteurs des actes incriminés par l</w:t>
      </w:r>
      <w:r w:rsidR="00680ADA" w:rsidRPr="00F1180D">
        <w:rPr>
          <w:lang w:val="fr-FR" w:bidi="ar-KW"/>
        </w:rPr>
        <w:t>’</w:t>
      </w:r>
      <w:r w:rsidR="00163207" w:rsidRPr="00F1180D">
        <w:rPr>
          <w:lang w:val="fr-FR" w:bidi="ar-KW"/>
        </w:rPr>
        <w:t>article </w:t>
      </w:r>
      <w:r w:rsidR="000C6D4A" w:rsidRPr="00F1180D">
        <w:rPr>
          <w:lang w:val="fr-FR" w:bidi="ar-KW"/>
        </w:rPr>
        <w:t>1</w:t>
      </w:r>
      <w:r w:rsidR="000C6D4A" w:rsidRPr="00F1180D">
        <w:rPr>
          <w:vertAlign w:val="superscript"/>
          <w:lang w:val="fr-FR" w:bidi="ar-KW"/>
        </w:rPr>
        <w:t>er</w:t>
      </w:r>
      <w:r w:rsidR="000C6D4A" w:rsidRPr="00F1180D">
        <w:rPr>
          <w:lang w:val="fr-FR" w:bidi="ar-KW"/>
        </w:rPr>
        <w:t xml:space="preserve"> et </w:t>
      </w:r>
      <w:r w:rsidR="00680ADA" w:rsidRPr="00F1180D">
        <w:rPr>
          <w:lang w:val="fr-FR" w:bidi="ar-KW"/>
        </w:rPr>
        <w:t>«</w:t>
      </w:r>
      <w:r w:rsidR="000C6D4A" w:rsidRPr="00F1180D">
        <w:rPr>
          <w:lang w:val="fr-FR" w:bidi="ar-KW"/>
        </w:rPr>
        <w:t>sans préjudice de toute autre sanction plus sévère prévue par une autre loi</w:t>
      </w:r>
      <w:r w:rsidR="00680ADA" w:rsidRPr="00F1180D">
        <w:rPr>
          <w:lang w:val="fr-FR" w:bidi="ar-KW"/>
        </w:rPr>
        <w:t>»,</w:t>
      </w:r>
      <w:r w:rsidR="000C6D4A" w:rsidRPr="00F1180D">
        <w:rPr>
          <w:lang w:val="fr-FR" w:bidi="ar-KW"/>
        </w:rPr>
        <w:t xml:space="preserve"> une peine privative de liberté pouvant aller jusqu</w:t>
      </w:r>
      <w:r w:rsidR="00680ADA" w:rsidRPr="00F1180D">
        <w:rPr>
          <w:lang w:val="fr-FR" w:bidi="ar-KW"/>
        </w:rPr>
        <w:t>’</w:t>
      </w:r>
      <w:r w:rsidR="000C6D4A" w:rsidRPr="00F1180D">
        <w:rPr>
          <w:lang w:val="fr-FR" w:bidi="ar-KW"/>
        </w:rPr>
        <w:t>à 7</w:t>
      </w:r>
      <w:r w:rsidR="00524736" w:rsidRPr="00F1180D">
        <w:rPr>
          <w:lang w:val="fr-FR" w:bidi="ar-KW"/>
        </w:rPr>
        <w:t> ans</w:t>
      </w:r>
      <w:r w:rsidR="000C6D4A" w:rsidRPr="00F1180D">
        <w:rPr>
          <w:lang w:val="fr-FR" w:bidi="ar-KW"/>
        </w:rPr>
        <w:t xml:space="preserve"> de prison et/ou une amende de 10 000 à 100 000</w:t>
      </w:r>
      <w:r w:rsidR="009B1350" w:rsidRPr="00F1180D">
        <w:rPr>
          <w:lang w:val="fr-FR" w:bidi="ar-KW"/>
        </w:rPr>
        <w:t> dinars</w:t>
      </w:r>
      <w:r w:rsidR="00680ADA" w:rsidRPr="00F1180D">
        <w:rPr>
          <w:lang w:val="fr-FR" w:bidi="ar-KW"/>
        </w:rPr>
        <w:t>,</w:t>
      </w:r>
      <w:r w:rsidR="000C6D4A" w:rsidRPr="00F1180D">
        <w:rPr>
          <w:lang w:val="fr-FR" w:bidi="ar-KW"/>
        </w:rPr>
        <w:t xml:space="preserve"> assortie(s) de la confiscation des moyens</w:t>
      </w:r>
      <w:r w:rsidR="00680ADA" w:rsidRPr="00F1180D">
        <w:rPr>
          <w:lang w:val="fr-FR" w:bidi="ar-KW"/>
        </w:rPr>
        <w:t>,</w:t>
      </w:r>
      <w:r w:rsidR="000C6D4A" w:rsidRPr="00F1180D">
        <w:rPr>
          <w:lang w:val="fr-FR" w:bidi="ar-KW"/>
        </w:rPr>
        <w:t xml:space="preserve"> ressources</w:t>
      </w:r>
      <w:r w:rsidR="00680ADA" w:rsidRPr="00F1180D">
        <w:rPr>
          <w:lang w:val="fr-FR" w:bidi="ar-KW"/>
        </w:rPr>
        <w:t>,</w:t>
      </w:r>
      <w:r w:rsidR="000C6D4A" w:rsidRPr="00F1180D">
        <w:rPr>
          <w:lang w:val="fr-FR" w:bidi="ar-KW"/>
        </w:rPr>
        <w:t xml:space="preserve"> dispositifs</w:t>
      </w:r>
      <w:r w:rsidR="00680ADA" w:rsidRPr="00F1180D">
        <w:rPr>
          <w:lang w:val="fr-FR" w:bidi="ar-KW"/>
        </w:rPr>
        <w:t>,</w:t>
      </w:r>
      <w:r w:rsidR="000C6D4A" w:rsidRPr="00F1180D">
        <w:rPr>
          <w:lang w:val="fr-FR" w:bidi="ar-KW"/>
        </w:rPr>
        <w:t xml:space="preserve"> journaux et publications utilisés pour les commettre</w:t>
      </w:r>
      <w:r w:rsidR="00680ADA" w:rsidRPr="00F1180D">
        <w:rPr>
          <w:lang w:val="fr-FR" w:bidi="ar-KW"/>
        </w:rPr>
        <w:t>;</w:t>
      </w:r>
      <w:r w:rsidR="000C6D4A" w:rsidRPr="00F1180D">
        <w:rPr>
          <w:lang w:val="fr-FR" w:bidi="ar-KW"/>
        </w:rPr>
        <w:t xml:space="preserve"> la sanction étant doublée en cas de récidive. </w:t>
      </w:r>
    </w:p>
    <w:p w:rsidR="000C6D4A" w:rsidRPr="00F1180D" w:rsidRDefault="00115F1F" w:rsidP="00115F1F">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Recommandation n</w:t>
      </w:r>
      <w:r w:rsidRPr="00F1180D">
        <w:rPr>
          <w:vertAlign w:val="superscript"/>
          <w:lang w:val="fr-FR" w:bidi="ar-KW"/>
        </w:rPr>
        <w:t>o</w:t>
      </w:r>
      <w:r w:rsidR="000C6D4A" w:rsidRPr="00F1180D">
        <w:rPr>
          <w:lang w:val="fr-FR" w:bidi="ar-KW"/>
        </w:rPr>
        <w:t>°9</w:t>
      </w:r>
    </w:p>
    <w:p w:rsidR="000C6D4A" w:rsidRPr="00F1180D" w:rsidRDefault="00930AE5" w:rsidP="00680ADA">
      <w:pPr>
        <w:pStyle w:val="SingleTxtG"/>
        <w:rPr>
          <w:rtl/>
          <w:lang w:val="fr-FR" w:bidi="fr-FR"/>
        </w:rPr>
      </w:pPr>
      <w:r>
        <w:rPr>
          <w:lang w:val="fr-FR" w:bidi="ar-EG"/>
        </w:rPr>
        <w:t>119.</w:t>
      </w:r>
      <w:r>
        <w:rPr>
          <w:lang w:val="fr-FR" w:bidi="ar-EG"/>
        </w:rPr>
        <w:tab/>
      </w:r>
      <w:r w:rsidR="000C6D4A" w:rsidRPr="00F1180D">
        <w:rPr>
          <w:lang w:val="fr-FR" w:bidi="ar-EG"/>
        </w:rPr>
        <w:t>La Constitution du Koweït</w:t>
      </w:r>
      <w:r w:rsidR="00680ADA" w:rsidRPr="00F1180D">
        <w:rPr>
          <w:lang w:val="fr-FR" w:bidi="ar-EG"/>
        </w:rPr>
        <w:t>,</w:t>
      </w:r>
      <w:r w:rsidR="000C6D4A" w:rsidRPr="00F1180D">
        <w:rPr>
          <w:lang w:val="fr-FR" w:bidi="ar-EG"/>
        </w:rPr>
        <w:t xml:space="preserve"> suivie sur ce point par la jurisprudence de la Cour de cassation</w:t>
      </w:r>
      <w:r w:rsidR="00680ADA" w:rsidRPr="00F1180D">
        <w:rPr>
          <w:lang w:val="fr-FR" w:bidi="ar-EG"/>
        </w:rPr>
        <w:t>,</w:t>
      </w:r>
      <w:r w:rsidR="000C6D4A" w:rsidRPr="00F1180D">
        <w:rPr>
          <w:lang w:val="fr-FR" w:bidi="ar-EG"/>
        </w:rPr>
        <w:t xml:space="preserve"> a posé le principe général selon lequel les instruments ratifiés par le Koweït deviennent partie intégrante de sa législation nationale à compter de la date de leur entrée en vigueur. Par conséquent</w:t>
      </w:r>
      <w:r w:rsidR="00680ADA" w:rsidRPr="00F1180D">
        <w:rPr>
          <w:lang w:val="fr-FR" w:bidi="ar-EG"/>
        </w:rPr>
        <w:t>,</w:t>
      </w:r>
      <w:r w:rsidR="000C6D4A" w:rsidRPr="00F1180D">
        <w:rPr>
          <w:lang w:val="fr-FR" w:bidi="ar-EG"/>
        </w:rPr>
        <w:t xml:space="preserve"> tous les pouvoirs publics et les citoyens sont tenus de s</w:t>
      </w:r>
      <w:r w:rsidR="00680ADA" w:rsidRPr="00F1180D">
        <w:rPr>
          <w:lang w:val="fr-FR" w:bidi="ar-EG"/>
        </w:rPr>
        <w:t>’</w:t>
      </w:r>
      <w:r w:rsidR="000C6D4A" w:rsidRPr="00F1180D">
        <w:rPr>
          <w:lang w:val="fr-FR" w:bidi="ar-EG"/>
        </w:rPr>
        <w:t xml:space="preserve">y conformer et la justice doit veiller à leur respect (arrêt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EG"/>
        </w:rPr>
        <w:t>80 de 1997</w:t>
      </w:r>
      <w:r w:rsidR="00680ADA" w:rsidRPr="00F1180D">
        <w:rPr>
          <w:lang w:val="fr-FR" w:bidi="ar-EG"/>
        </w:rPr>
        <w:t>,</w:t>
      </w:r>
      <w:r w:rsidR="000C6D4A" w:rsidRPr="00F1180D">
        <w:rPr>
          <w:lang w:val="fr-FR" w:bidi="ar-EG"/>
        </w:rPr>
        <w:t xml:space="preserve"> Chambre commerciale</w:t>
      </w:r>
      <w:r w:rsidR="00680ADA" w:rsidRPr="00F1180D">
        <w:rPr>
          <w:lang w:val="fr-FR" w:bidi="ar-EG"/>
        </w:rPr>
        <w:t>,</w:t>
      </w:r>
      <w:r w:rsidR="000C6D4A" w:rsidRPr="00F1180D">
        <w:rPr>
          <w:lang w:val="fr-FR" w:bidi="ar-EG"/>
        </w:rPr>
        <w:t xml:space="preserve"> audience du 10 mai 1998</w:t>
      </w:r>
      <w:r w:rsidR="00680ADA" w:rsidRPr="00F1180D">
        <w:rPr>
          <w:lang w:val="fr-FR" w:bidi="ar-EG"/>
        </w:rPr>
        <w:t>,</w:t>
      </w:r>
      <w:r w:rsidR="000C6D4A" w:rsidRPr="00F1180D">
        <w:rPr>
          <w:lang w:val="fr-FR" w:bidi="ar-EG"/>
        </w:rPr>
        <w:t xml:space="preserve"> </w:t>
      </w:r>
      <w:r w:rsidR="000C6D4A" w:rsidRPr="00F1180D">
        <w:rPr>
          <w:i/>
          <w:lang w:val="fr-FR" w:bidi="ar-EG"/>
        </w:rPr>
        <w:t>Revue de la magistrature et du droit</w:t>
      </w:r>
      <w:r w:rsidR="00680ADA" w:rsidRPr="00F1180D">
        <w:rPr>
          <w:lang w:val="fr-FR" w:bidi="ar-EG"/>
        </w:rPr>
        <w:t xml:space="preserve"> – </w:t>
      </w:r>
      <w:r w:rsidR="000C6D4A" w:rsidRPr="00F1180D">
        <w:rPr>
          <w:lang w:val="fr-FR" w:bidi="ar-EG"/>
        </w:rPr>
        <w:t>Année 26</w:t>
      </w:r>
      <w:r w:rsidR="00680ADA" w:rsidRPr="00F1180D">
        <w:rPr>
          <w:lang w:val="fr-FR" w:bidi="ar-EG"/>
        </w:rPr>
        <w:t>,</w:t>
      </w:r>
      <w:r w:rsidR="000C6D4A" w:rsidRPr="00F1180D">
        <w:rPr>
          <w:lang w:val="fr-FR" w:bidi="ar-EG"/>
        </w:rPr>
        <w:t xml:space="preserve">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EG"/>
        </w:rPr>
        <w:t>1</w:t>
      </w:r>
      <w:r w:rsidR="00680ADA" w:rsidRPr="00F1180D">
        <w:rPr>
          <w:lang w:val="fr-FR" w:bidi="ar-EG"/>
        </w:rPr>
        <w:t>,</w:t>
      </w:r>
      <w:r w:rsidR="000C6D4A" w:rsidRPr="00F1180D">
        <w:rPr>
          <w:lang w:val="fr-FR" w:bidi="ar-EG"/>
        </w:rPr>
        <w:t xml:space="preserve"> p</w:t>
      </w:r>
      <w:r w:rsidR="0040287F" w:rsidRPr="00F1180D">
        <w:rPr>
          <w:lang w:val="fr-FR" w:bidi="ar-EG"/>
        </w:rPr>
        <w:t>.</w:t>
      </w:r>
      <w:r w:rsidR="000C6D4A" w:rsidRPr="00F1180D">
        <w:rPr>
          <w:lang w:val="fr-FR" w:bidi="ar-EG"/>
        </w:rPr>
        <w:t xml:space="preserve"> 291) </w:t>
      </w:r>
    </w:p>
    <w:p w:rsidR="000C6D4A" w:rsidRPr="00F1180D" w:rsidRDefault="00930AE5" w:rsidP="00680ADA">
      <w:pPr>
        <w:pStyle w:val="SingleTxtG"/>
        <w:rPr>
          <w:rtl/>
          <w:lang w:val="fr-FR" w:bidi="fr-FR"/>
        </w:rPr>
      </w:pPr>
      <w:r>
        <w:rPr>
          <w:lang w:val="fr-FR" w:bidi="ar-EG"/>
        </w:rPr>
        <w:t>120.</w:t>
      </w:r>
      <w:r>
        <w:rPr>
          <w:lang w:val="fr-FR" w:bidi="ar-EG"/>
        </w:rPr>
        <w:tab/>
      </w:r>
      <w:r w:rsidR="000C6D4A" w:rsidRPr="00F1180D">
        <w:rPr>
          <w:lang w:val="fr-FR" w:bidi="ar-EG"/>
        </w:rPr>
        <w:t>Dans son arrêt du 11 novembre 2015 rendu à propos de l</w:t>
      </w:r>
      <w:r w:rsidR="00680ADA" w:rsidRPr="00F1180D">
        <w:rPr>
          <w:lang w:val="fr-FR" w:bidi="ar-EG"/>
        </w:rPr>
        <w:t>’</w:t>
      </w:r>
      <w:r w:rsidR="000C6D4A" w:rsidRPr="00F1180D">
        <w:rPr>
          <w:lang w:val="fr-FR" w:bidi="ar-EG"/>
        </w:rPr>
        <w:t xml:space="preserve">affaire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EG"/>
        </w:rPr>
        <w:t>751/2015</w:t>
      </w:r>
      <w:r w:rsidR="00680ADA" w:rsidRPr="00F1180D">
        <w:rPr>
          <w:lang w:val="fr-FR" w:bidi="ar-EG"/>
        </w:rPr>
        <w:t>,</w:t>
      </w:r>
      <w:r w:rsidR="000C6D4A" w:rsidRPr="00F1180D">
        <w:rPr>
          <w:lang w:val="fr-FR" w:bidi="ar-EG"/>
        </w:rPr>
        <w:t xml:space="preserve"> la Cour d</w:t>
      </w:r>
      <w:r w:rsidR="00680ADA" w:rsidRPr="00F1180D">
        <w:rPr>
          <w:lang w:val="fr-FR" w:bidi="ar-EG"/>
        </w:rPr>
        <w:t>’</w:t>
      </w:r>
      <w:r w:rsidR="000C6D4A" w:rsidRPr="00F1180D">
        <w:rPr>
          <w:lang w:val="fr-FR" w:bidi="ar-EG"/>
        </w:rPr>
        <w:t>appel de la capitale</w:t>
      </w:r>
      <w:r w:rsidR="00680ADA" w:rsidRPr="00F1180D">
        <w:rPr>
          <w:lang w:val="fr-FR" w:bidi="ar-EG"/>
        </w:rPr>
        <w:t>,</w:t>
      </w:r>
      <w:r w:rsidR="000C6D4A" w:rsidRPr="00F1180D">
        <w:rPr>
          <w:lang w:val="fr-FR" w:bidi="ar-EG"/>
        </w:rPr>
        <w:t xml:space="preserve"> en se fondant sur l</w:t>
      </w:r>
      <w:r w:rsidR="00680ADA" w:rsidRPr="00F1180D">
        <w:rPr>
          <w:lang w:val="fr-FR" w:bidi="ar-EG"/>
        </w:rPr>
        <w:t>’</w:t>
      </w:r>
      <w:r w:rsidR="00163207" w:rsidRPr="00F1180D">
        <w:rPr>
          <w:lang w:val="fr-FR" w:bidi="ar-EG"/>
        </w:rPr>
        <w:t>article </w:t>
      </w:r>
      <w:r w:rsidR="000C6D4A" w:rsidRPr="00F1180D">
        <w:rPr>
          <w:lang w:val="fr-FR" w:bidi="ar-EG"/>
        </w:rPr>
        <w:t>172 du Code de procédure pénale</w:t>
      </w:r>
      <w:r w:rsidR="00680ADA" w:rsidRPr="00F1180D">
        <w:rPr>
          <w:lang w:val="fr-FR" w:bidi="ar-EG"/>
        </w:rPr>
        <w:t>,</w:t>
      </w:r>
      <w:r w:rsidR="000C6D4A" w:rsidRPr="00F1180D">
        <w:rPr>
          <w:lang w:val="fr-FR" w:bidi="ar-EG"/>
        </w:rPr>
        <w:t xml:space="preserve"> a prononcé la culpabilité de l</w:t>
      </w:r>
      <w:r w:rsidR="00680ADA" w:rsidRPr="00F1180D">
        <w:rPr>
          <w:lang w:val="fr-FR" w:bidi="ar-EG"/>
        </w:rPr>
        <w:t>’</w:t>
      </w:r>
      <w:r w:rsidR="000C6D4A" w:rsidRPr="00F1180D">
        <w:rPr>
          <w:lang w:val="fr-FR" w:bidi="ar-EG"/>
        </w:rPr>
        <w:t>accusé concernant les chefs d</w:t>
      </w:r>
      <w:r w:rsidR="00680ADA" w:rsidRPr="00F1180D">
        <w:rPr>
          <w:lang w:val="fr-FR" w:bidi="ar-EG"/>
        </w:rPr>
        <w:t>’</w:t>
      </w:r>
      <w:r w:rsidR="000C6D4A" w:rsidRPr="00F1180D">
        <w:rPr>
          <w:lang w:val="fr-FR" w:bidi="ar-EG"/>
        </w:rPr>
        <w:t>accusation retenus contre lui</w:t>
      </w:r>
      <w:r w:rsidR="00680ADA" w:rsidRPr="00F1180D">
        <w:rPr>
          <w:lang w:val="fr-FR" w:bidi="ar-EG"/>
        </w:rPr>
        <w:t>,</w:t>
      </w:r>
      <w:r w:rsidR="000C6D4A" w:rsidRPr="00F1180D">
        <w:rPr>
          <w:lang w:val="fr-FR" w:bidi="ar-EG"/>
        </w:rPr>
        <w:t xml:space="preserve"> à savoir le dénigrement et le mépris d</w:t>
      </w:r>
      <w:r w:rsidR="00680ADA" w:rsidRPr="00F1180D">
        <w:rPr>
          <w:lang w:val="fr-FR" w:bidi="ar-EG"/>
        </w:rPr>
        <w:t>’</w:t>
      </w:r>
      <w:r w:rsidR="000C6D4A" w:rsidRPr="00F1180D">
        <w:rPr>
          <w:lang w:val="fr-FR" w:bidi="ar-EG"/>
        </w:rPr>
        <w:t>une doctrine religieuse par le biais d</w:t>
      </w:r>
      <w:r w:rsidR="00680ADA" w:rsidRPr="00F1180D">
        <w:rPr>
          <w:lang w:val="fr-FR" w:bidi="ar-EG"/>
        </w:rPr>
        <w:t>’</w:t>
      </w:r>
      <w:r w:rsidR="000C6D4A" w:rsidRPr="00F1180D">
        <w:rPr>
          <w:lang w:val="fr-FR" w:bidi="ar-EG"/>
        </w:rPr>
        <w:t>attaques envers les pratiques</w:t>
      </w:r>
      <w:r w:rsidR="00680ADA" w:rsidRPr="00F1180D">
        <w:rPr>
          <w:lang w:val="fr-FR" w:bidi="ar-EG"/>
        </w:rPr>
        <w:t>,</w:t>
      </w:r>
      <w:r w:rsidR="000C6D4A" w:rsidRPr="00F1180D">
        <w:rPr>
          <w:lang w:val="fr-FR" w:bidi="ar-EG"/>
        </w:rPr>
        <w:t xml:space="preserve"> croyances et enseignements de celle-ci. En conséquence</w:t>
      </w:r>
      <w:r w:rsidR="00680ADA" w:rsidRPr="00F1180D">
        <w:rPr>
          <w:lang w:val="fr-FR" w:bidi="ar-EG"/>
        </w:rPr>
        <w:t>,</w:t>
      </w:r>
      <w:r w:rsidR="000C6D4A" w:rsidRPr="00F1180D">
        <w:rPr>
          <w:lang w:val="fr-FR" w:bidi="ar-EG"/>
        </w:rPr>
        <w:t xml:space="preserve"> elle lui a infligé la peine la plus sévère</w:t>
      </w:r>
      <w:r w:rsidR="00680ADA" w:rsidRPr="00F1180D">
        <w:rPr>
          <w:lang w:val="fr-FR" w:bidi="ar-EG"/>
        </w:rPr>
        <w:t>,</w:t>
      </w:r>
      <w:r w:rsidR="000C6D4A" w:rsidRPr="00F1180D">
        <w:rPr>
          <w:lang w:val="fr-FR" w:bidi="ar-EG"/>
        </w:rPr>
        <w:t xml:space="preserve"> conformément aux </w:t>
      </w:r>
      <w:r w:rsidR="00DE029F" w:rsidRPr="00F1180D">
        <w:rPr>
          <w:lang w:val="fr-FR" w:bidi="ar-EG"/>
        </w:rPr>
        <w:t>articles </w:t>
      </w:r>
      <w:r w:rsidR="000C6D4A" w:rsidRPr="00F1180D">
        <w:rPr>
          <w:lang w:val="fr-FR" w:bidi="ar-EG"/>
        </w:rPr>
        <w:t xml:space="preserve">1 et 2 du décret-loi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EG"/>
        </w:rPr>
        <w:t>19 de 2012 sur la sauvegarde de l</w:t>
      </w:r>
      <w:r w:rsidR="00680ADA" w:rsidRPr="00F1180D">
        <w:rPr>
          <w:lang w:val="fr-FR" w:bidi="ar-EG"/>
        </w:rPr>
        <w:t>’</w:t>
      </w:r>
      <w:r w:rsidR="000C6D4A" w:rsidRPr="00F1180D">
        <w:rPr>
          <w:lang w:val="fr-FR" w:bidi="ar-EG"/>
        </w:rPr>
        <w:t>unité nationale</w:t>
      </w:r>
      <w:r w:rsidR="00680ADA" w:rsidRPr="00F1180D">
        <w:rPr>
          <w:lang w:val="fr-FR" w:bidi="ar-EG"/>
        </w:rPr>
        <w:t>,</w:t>
      </w:r>
      <w:r w:rsidR="000C6D4A" w:rsidRPr="00F1180D">
        <w:rPr>
          <w:lang w:val="fr-FR" w:bidi="ar-EG"/>
        </w:rPr>
        <w:t xml:space="preserve"> en application de l</w:t>
      </w:r>
      <w:r w:rsidR="00680ADA" w:rsidRPr="00F1180D">
        <w:rPr>
          <w:lang w:val="fr-FR" w:bidi="ar-EG"/>
        </w:rPr>
        <w:t>’</w:t>
      </w:r>
      <w:r w:rsidR="00163207" w:rsidRPr="00F1180D">
        <w:rPr>
          <w:lang w:val="fr-FR" w:bidi="ar-EG"/>
        </w:rPr>
        <w:t>article </w:t>
      </w:r>
      <w:r w:rsidR="000C6D4A" w:rsidRPr="00F1180D">
        <w:rPr>
          <w:lang w:val="fr-FR" w:bidi="ar-EG"/>
        </w:rPr>
        <w:t>84 du Code pénal. La Cour a souligné que l</w:t>
      </w:r>
      <w:r w:rsidR="00680ADA" w:rsidRPr="00F1180D">
        <w:rPr>
          <w:lang w:val="fr-FR" w:bidi="ar-EG"/>
        </w:rPr>
        <w:t>’</w:t>
      </w:r>
      <w:r w:rsidR="000C6D4A" w:rsidRPr="00F1180D">
        <w:rPr>
          <w:lang w:val="fr-FR" w:bidi="ar-EG"/>
        </w:rPr>
        <w:t xml:space="preserve">unité nationale était essentielle à la stabilité des États et à leur développement et a affirmé que le Koweït avait toujours été une terre de coexistence </w:t>
      </w:r>
      <w:r w:rsidR="000C6D4A" w:rsidRPr="00F1180D">
        <w:rPr>
          <w:lang w:val="fr-FR" w:bidi="ar-EG"/>
        </w:rPr>
        <w:lastRenderedPageBreak/>
        <w:t>pacifique entre toutes les communautés et confessions</w:t>
      </w:r>
      <w:r w:rsidR="00680ADA" w:rsidRPr="00F1180D">
        <w:rPr>
          <w:lang w:val="fr-FR" w:bidi="ar-EG"/>
        </w:rPr>
        <w:t>,</w:t>
      </w:r>
      <w:r w:rsidR="000C6D4A" w:rsidRPr="00F1180D">
        <w:rPr>
          <w:lang w:val="fr-FR" w:bidi="ar-EG"/>
        </w:rPr>
        <w:t xml:space="preserve"> ce qui a permis au peuple koweïtien</w:t>
      </w:r>
      <w:r w:rsidR="00680ADA" w:rsidRPr="00F1180D">
        <w:rPr>
          <w:lang w:val="fr-FR" w:bidi="ar-EG"/>
        </w:rPr>
        <w:t>,</w:t>
      </w:r>
      <w:r w:rsidR="000C6D4A" w:rsidRPr="00F1180D">
        <w:rPr>
          <w:lang w:val="fr-FR" w:bidi="ar-EG"/>
        </w:rPr>
        <w:t xml:space="preserve"> en dépit des épreuves et tribulations auxquelles il a été confronté</w:t>
      </w:r>
      <w:r w:rsidR="00680ADA" w:rsidRPr="00F1180D">
        <w:rPr>
          <w:lang w:val="fr-FR" w:bidi="ar-EG"/>
        </w:rPr>
        <w:t>,</w:t>
      </w:r>
      <w:r w:rsidR="000C6D4A" w:rsidRPr="00F1180D">
        <w:rPr>
          <w:lang w:val="fr-FR" w:bidi="ar-EG"/>
        </w:rPr>
        <w:t xml:space="preserve"> de former une société harmonieuse et de préserver l</w:t>
      </w:r>
      <w:r w:rsidR="00680ADA" w:rsidRPr="00F1180D">
        <w:rPr>
          <w:lang w:val="fr-FR" w:bidi="ar-EG"/>
        </w:rPr>
        <w:t>’</w:t>
      </w:r>
      <w:r w:rsidR="000C6D4A" w:rsidRPr="00F1180D">
        <w:rPr>
          <w:lang w:val="fr-FR" w:bidi="ar-EG"/>
        </w:rPr>
        <w:t>unité des diverses communautés qui le composent</w:t>
      </w:r>
      <w:r w:rsidR="00680ADA" w:rsidRPr="00F1180D">
        <w:rPr>
          <w:lang w:val="fr-FR" w:bidi="ar-EG"/>
        </w:rPr>
        <w:t>,</w:t>
      </w:r>
      <w:r w:rsidR="000C6D4A" w:rsidRPr="00F1180D">
        <w:rPr>
          <w:lang w:val="fr-FR" w:bidi="ar-EG"/>
        </w:rPr>
        <w:t xml:space="preserve"> tout en rappelant que l</w:t>
      </w:r>
      <w:r w:rsidR="00680ADA" w:rsidRPr="00F1180D">
        <w:rPr>
          <w:lang w:val="fr-FR" w:bidi="ar-EG"/>
        </w:rPr>
        <w:t>’</w:t>
      </w:r>
      <w:r w:rsidR="000C6D4A" w:rsidRPr="00F1180D">
        <w:rPr>
          <w:lang w:val="fr-FR" w:bidi="ar-EG"/>
        </w:rPr>
        <w:t>islam était une religion appelant à l</w:t>
      </w:r>
      <w:r w:rsidR="00680ADA" w:rsidRPr="00F1180D">
        <w:rPr>
          <w:lang w:val="fr-FR" w:bidi="ar-EG"/>
        </w:rPr>
        <w:t>’</w:t>
      </w:r>
      <w:r w:rsidR="000C6D4A" w:rsidRPr="00F1180D">
        <w:rPr>
          <w:lang w:val="fr-FR" w:bidi="ar-EG"/>
        </w:rPr>
        <w:t>unité et à l</w:t>
      </w:r>
      <w:r w:rsidR="00680ADA" w:rsidRPr="00F1180D">
        <w:rPr>
          <w:lang w:val="fr-FR" w:bidi="ar-EG"/>
        </w:rPr>
        <w:t>’</w:t>
      </w:r>
      <w:r w:rsidR="000C6D4A" w:rsidRPr="00F1180D">
        <w:rPr>
          <w:lang w:val="fr-FR" w:bidi="ar-EG"/>
        </w:rPr>
        <w:t xml:space="preserve">abandon de la division. </w:t>
      </w:r>
    </w:p>
    <w:p w:rsidR="000C6D4A" w:rsidRPr="00F1180D" w:rsidRDefault="00930AE5" w:rsidP="00680ADA">
      <w:pPr>
        <w:pStyle w:val="SingleTxtG"/>
        <w:rPr>
          <w:rtl/>
          <w:lang w:val="fr-FR" w:bidi="fr-FR"/>
        </w:rPr>
      </w:pPr>
      <w:r>
        <w:rPr>
          <w:lang w:val="fr-FR" w:bidi="ar-EG"/>
        </w:rPr>
        <w:t>121.</w:t>
      </w:r>
      <w:r>
        <w:rPr>
          <w:lang w:val="fr-FR" w:bidi="ar-EG"/>
        </w:rPr>
        <w:tab/>
      </w:r>
      <w:r w:rsidR="000C6D4A" w:rsidRPr="00F1180D">
        <w:rPr>
          <w:lang w:val="fr-FR" w:bidi="ar-EG"/>
        </w:rPr>
        <w:t>Dans son arrêt du 9 décembre 2015 rendu à propos de l</w:t>
      </w:r>
      <w:r w:rsidR="00680ADA" w:rsidRPr="00F1180D">
        <w:rPr>
          <w:lang w:val="fr-FR" w:bidi="ar-EG"/>
        </w:rPr>
        <w:t>’affaire n</w:t>
      </w:r>
      <w:r w:rsidR="00680ADA" w:rsidRPr="00F1180D">
        <w:rPr>
          <w:vertAlign w:val="superscript"/>
          <w:lang w:val="fr-FR" w:bidi="ar-EG"/>
        </w:rPr>
        <w:t>o</w:t>
      </w:r>
      <w:r w:rsidR="00680ADA" w:rsidRPr="00F1180D">
        <w:rPr>
          <w:lang w:val="fr-FR" w:bidi="ar-EG"/>
        </w:rPr>
        <w:t> </w:t>
      </w:r>
      <w:r w:rsidR="000C6D4A" w:rsidRPr="00F1180D">
        <w:rPr>
          <w:lang w:val="fr-FR" w:bidi="ar-EG"/>
        </w:rPr>
        <w:t>2/2015 relative à la non-discrimination entre enseignants expatriés en matière d</w:t>
      </w:r>
      <w:r w:rsidR="00680ADA" w:rsidRPr="00F1180D">
        <w:rPr>
          <w:lang w:val="fr-FR" w:bidi="ar-EG"/>
        </w:rPr>
        <w:t>’</w:t>
      </w:r>
      <w:r w:rsidR="000C6D4A" w:rsidRPr="00F1180D">
        <w:rPr>
          <w:lang w:val="fr-FR" w:bidi="ar-EG"/>
        </w:rPr>
        <w:t>accès au logement</w:t>
      </w:r>
      <w:r w:rsidR="00680ADA" w:rsidRPr="00F1180D">
        <w:rPr>
          <w:lang w:val="fr-FR" w:bidi="ar-EG"/>
        </w:rPr>
        <w:t>,</w:t>
      </w:r>
      <w:r w:rsidR="000C6D4A" w:rsidRPr="00F1180D">
        <w:rPr>
          <w:lang w:val="fr-FR" w:bidi="ar-EG"/>
        </w:rPr>
        <w:t xml:space="preserve"> la Cour constitutionnelle a conclu à l</w:t>
      </w:r>
      <w:r w:rsidR="00680ADA" w:rsidRPr="00F1180D">
        <w:rPr>
          <w:lang w:val="fr-FR" w:bidi="ar-EG"/>
        </w:rPr>
        <w:t>’</w:t>
      </w:r>
      <w:r w:rsidR="000C6D4A" w:rsidRPr="00F1180D">
        <w:rPr>
          <w:lang w:val="fr-FR" w:bidi="ar-EG"/>
        </w:rPr>
        <w:t>inconstitutionnalité de l</w:t>
      </w:r>
      <w:r w:rsidR="00680ADA" w:rsidRPr="00F1180D">
        <w:rPr>
          <w:lang w:val="fr-FR" w:bidi="ar-EG"/>
        </w:rPr>
        <w:t>’</w:t>
      </w:r>
      <w:r w:rsidR="00163207" w:rsidRPr="00F1180D">
        <w:rPr>
          <w:lang w:val="fr-FR" w:bidi="ar-EG"/>
        </w:rPr>
        <w:t>article </w:t>
      </w:r>
      <w:r w:rsidR="000C6D4A" w:rsidRPr="00F1180D">
        <w:rPr>
          <w:lang w:val="fr-FR" w:bidi="ar-EG"/>
        </w:rPr>
        <w:t xml:space="preserve">2 de la décision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40287F" w:rsidRPr="00F1180D">
        <w:rPr>
          <w:lang w:val="fr-FR" w:bidi="ar-EG"/>
        </w:rPr>
        <w:t>1 du 27 </w:t>
      </w:r>
      <w:r w:rsidR="000C6D4A" w:rsidRPr="00F1180D">
        <w:rPr>
          <w:lang w:val="fr-FR" w:bidi="ar-EG"/>
        </w:rPr>
        <w:t>mars 2011 du Conseil de la fonction publique</w:t>
      </w:r>
      <w:r w:rsidR="00680ADA" w:rsidRPr="00F1180D">
        <w:rPr>
          <w:lang w:val="fr-FR" w:bidi="ar-EG"/>
        </w:rPr>
        <w:t>,</w:t>
      </w:r>
      <w:r w:rsidR="000C6D4A" w:rsidRPr="00F1180D">
        <w:rPr>
          <w:lang w:val="fr-FR" w:bidi="ar-EG"/>
        </w:rPr>
        <w:t xml:space="preserve"> du fait de l</w:t>
      </w:r>
      <w:r w:rsidR="00680ADA" w:rsidRPr="00F1180D">
        <w:rPr>
          <w:lang w:val="fr-FR" w:bidi="ar-EG"/>
        </w:rPr>
        <w:t>’</w:t>
      </w:r>
      <w:r w:rsidR="000C6D4A" w:rsidRPr="00F1180D">
        <w:rPr>
          <w:lang w:val="fr-FR" w:bidi="ar-EG"/>
        </w:rPr>
        <w:t>institution d</w:t>
      </w:r>
      <w:r w:rsidR="00680ADA" w:rsidRPr="00F1180D">
        <w:rPr>
          <w:lang w:val="fr-FR" w:bidi="ar-EG"/>
        </w:rPr>
        <w:t>’</w:t>
      </w:r>
      <w:r w:rsidR="000C6D4A" w:rsidRPr="00F1180D">
        <w:rPr>
          <w:lang w:val="fr-FR" w:bidi="ar-EG"/>
        </w:rPr>
        <w:t>un montant d</w:t>
      </w:r>
      <w:r w:rsidR="00680ADA" w:rsidRPr="00F1180D">
        <w:rPr>
          <w:lang w:val="fr-FR" w:bidi="ar-EG"/>
        </w:rPr>
        <w:t>’</w:t>
      </w:r>
      <w:r w:rsidR="000C6D4A" w:rsidRPr="00F1180D">
        <w:rPr>
          <w:lang w:val="fr-FR" w:bidi="ar-EG"/>
        </w:rPr>
        <w:t>indemnité-logement à l</w:t>
      </w:r>
      <w:r w:rsidR="00680ADA" w:rsidRPr="00F1180D">
        <w:rPr>
          <w:lang w:val="fr-FR" w:bidi="ar-EG"/>
        </w:rPr>
        <w:t>’</w:t>
      </w:r>
      <w:r w:rsidR="000C6D4A" w:rsidRPr="00F1180D">
        <w:rPr>
          <w:lang w:val="fr-FR" w:bidi="ar-EG"/>
        </w:rPr>
        <w:t>intention des enseignantes des écoles du Ministère de l</w:t>
      </w:r>
      <w:r w:rsidR="00680ADA" w:rsidRPr="00F1180D">
        <w:rPr>
          <w:lang w:val="fr-FR" w:bidi="ar-EG"/>
        </w:rPr>
        <w:t>’</w:t>
      </w:r>
      <w:r w:rsidR="000C6D4A" w:rsidRPr="00F1180D">
        <w:rPr>
          <w:lang w:val="fr-FR" w:bidi="ar-EG"/>
        </w:rPr>
        <w:t>éducation (60</w:t>
      </w:r>
      <w:r w:rsidR="009B1350" w:rsidRPr="00F1180D">
        <w:rPr>
          <w:lang w:val="fr-FR" w:bidi="ar-EG"/>
        </w:rPr>
        <w:t> dinars</w:t>
      </w:r>
      <w:r w:rsidR="000C6D4A" w:rsidRPr="00F1180D">
        <w:rPr>
          <w:lang w:val="fr-FR" w:bidi="ar-EG"/>
        </w:rPr>
        <w:t xml:space="preserve"> koweïtiens/mois) différent de celui destiné aux enseignants relevant de ce département</w:t>
      </w:r>
      <w:r w:rsidR="00680ADA" w:rsidRPr="00F1180D">
        <w:rPr>
          <w:lang w:val="fr-FR" w:bidi="ar-EG"/>
        </w:rPr>
        <w:t>,</w:t>
      </w:r>
      <w:r w:rsidR="000C6D4A" w:rsidRPr="00F1180D">
        <w:rPr>
          <w:lang w:val="fr-FR" w:bidi="ar-EG"/>
        </w:rPr>
        <w:t xml:space="preserve"> fixé pour sa part par l</w:t>
      </w:r>
      <w:r w:rsidR="00680ADA" w:rsidRPr="00F1180D">
        <w:rPr>
          <w:lang w:val="fr-FR" w:bidi="ar-EG"/>
        </w:rPr>
        <w:t>’</w:t>
      </w:r>
      <w:r w:rsidR="00163207" w:rsidRPr="00F1180D">
        <w:rPr>
          <w:lang w:val="fr-FR" w:bidi="ar-EG"/>
        </w:rPr>
        <w:t>article </w:t>
      </w:r>
      <w:r w:rsidR="000C6D4A" w:rsidRPr="00F1180D">
        <w:rPr>
          <w:lang w:val="fr-FR" w:bidi="ar-EG"/>
        </w:rPr>
        <w:t>1</w:t>
      </w:r>
      <w:r w:rsidR="000C6D4A" w:rsidRPr="00F1180D">
        <w:rPr>
          <w:vertAlign w:val="superscript"/>
          <w:lang w:val="fr-FR" w:bidi="ar-EG"/>
        </w:rPr>
        <w:t>er</w:t>
      </w:r>
      <w:r w:rsidR="000C6D4A" w:rsidRPr="00F1180D">
        <w:rPr>
          <w:lang w:val="fr-FR" w:bidi="ar-EG"/>
        </w:rPr>
        <w:t xml:space="preserve"> du même texte.</w:t>
      </w:r>
    </w:p>
    <w:p w:rsidR="000C6D4A" w:rsidRPr="00F1180D" w:rsidRDefault="00930AE5" w:rsidP="00680ADA">
      <w:pPr>
        <w:pStyle w:val="SingleTxtG"/>
        <w:rPr>
          <w:rtl/>
          <w:lang w:val="fr-FR" w:bidi="fr-FR"/>
        </w:rPr>
      </w:pPr>
      <w:r>
        <w:rPr>
          <w:lang w:val="fr-FR" w:bidi="ar-KW"/>
        </w:rPr>
        <w:t>122.</w:t>
      </w:r>
      <w:r>
        <w:rPr>
          <w:lang w:val="fr-FR" w:bidi="ar-KW"/>
        </w:rPr>
        <w:tab/>
      </w:r>
      <w:r w:rsidR="000C6D4A" w:rsidRPr="00F1180D">
        <w:rPr>
          <w:lang w:val="fr-FR" w:bidi="ar-KW"/>
        </w:rPr>
        <w:t>De ce fait</w:t>
      </w:r>
      <w:r w:rsidR="00680ADA" w:rsidRPr="00F1180D">
        <w:rPr>
          <w:lang w:val="fr-FR" w:bidi="ar-KW"/>
        </w:rPr>
        <w:t>,</w:t>
      </w:r>
      <w:r w:rsidR="000C6D4A" w:rsidRPr="00F1180D">
        <w:rPr>
          <w:lang w:val="fr-FR" w:bidi="ar-KW"/>
        </w:rPr>
        <w:t xml:space="preserve"> rien n</w:t>
      </w:r>
      <w:r w:rsidR="00680ADA" w:rsidRPr="00F1180D">
        <w:rPr>
          <w:lang w:val="fr-FR" w:bidi="ar-KW"/>
        </w:rPr>
        <w:t>’</w:t>
      </w:r>
      <w:r w:rsidR="000C6D4A" w:rsidRPr="00F1180D">
        <w:rPr>
          <w:lang w:val="fr-FR" w:bidi="ar-KW"/>
        </w:rPr>
        <w:t>empêche les juges d</w:t>
      </w:r>
      <w:r w:rsidR="00680ADA" w:rsidRPr="00F1180D">
        <w:rPr>
          <w:lang w:val="fr-FR" w:bidi="ar-KW"/>
        </w:rPr>
        <w:t>’</w:t>
      </w:r>
      <w:r w:rsidR="000C6D4A" w:rsidRPr="00F1180D">
        <w:rPr>
          <w:lang w:val="fr-FR" w:bidi="ar-KW"/>
        </w:rPr>
        <w:t>appliquer les dispositions des instruments internationaux ratifiés par le pays</w:t>
      </w:r>
      <w:r w:rsidR="00680ADA" w:rsidRPr="00F1180D">
        <w:rPr>
          <w:lang w:val="fr-FR" w:bidi="ar-KW"/>
        </w:rPr>
        <w:t>,</w:t>
      </w:r>
      <w:r w:rsidR="000C6D4A" w:rsidRPr="00F1180D">
        <w:rPr>
          <w:lang w:val="fr-FR" w:bidi="ar-KW"/>
        </w:rPr>
        <w:t xml:space="preserve"> ni ne restreint leur pouvoir dans les jugements qu</w:t>
      </w:r>
      <w:r w:rsidR="00680ADA" w:rsidRPr="00F1180D">
        <w:rPr>
          <w:lang w:val="fr-FR" w:bidi="ar-KW"/>
        </w:rPr>
        <w:t>’</w:t>
      </w:r>
      <w:r w:rsidR="000C6D4A" w:rsidRPr="00F1180D">
        <w:rPr>
          <w:lang w:val="fr-FR" w:bidi="ar-KW"/>
        </w:rPr>
        <w:t>ils rendent en la matière</w:t>
      </w:r>
      <w:r w:rsidR="00680ADA" w:rsidRPr="00F1180D">
        <w:rPr>
          <w:lang w:val="fr-FR" w:bidi="ar-KW"/>
        </w:rPr>
        <w:t>,</w:t>
      </w:r>
      <w:r w:rsidR="000C6D4A" w:rsidRPr="00F1180D">
        <w:rPr>
          <w:lang w:val="fr-FR" w:bidi="ar-KW"/>
        </w:rPr>
        <w:t xml:space="preserve"> étant précisé qu</w:t>
      </w:r>
      <w:r w:rsidR="00680ADA" w:rsidRPr="00F1180D">
        <w:rPr>
          <w:lang w:val="fr-FR" w:bidi="ar-KW"/>
        </w:rPr>
        <w:t>’</w:t>
      </w:r>
      <w:r w:rsidR="000C6D4A" w:rsidRPr="00F1180D">
        <w:rPr>
          <w:lang w:val="fr-FR" w:bidi="ar-KW"/>
        </w:rPr>
        <w:t>ils sont même tenus de s</w:t>
      </w:r>
      <w:r w:rsidR="00680ADA" w:rsidRPr="00F1180D">
        <w:rPr>
          <w:lang w:val="fr-FR" w:bidi="ar-KW"/>
        </w:rPr>
        <w:t>’</w:t>
      </w:r>
      <w:r w:rsidR="000C6D4A" w:rsidRPr="00F1180D">
        <w:rPr>
          <w:lang w:val="fr-FR" w:bidi="ar-KW"/>
        </w:rPr>
        <w:t>y référer lorsque l</w:t>
      </w:r>
      <w:r w:rsidR="00680ADA" w:rsidRPr="00F1180D">
        <w:rPr>
          <w:lang w:val="fr-FR" w:bidi="ar-KW"/>
        </w:rPr>
        <w:t>’</w:t>
      </w:r>
      <w:r w:rsidR="000C6D4A" w:rsidRPr="00F1180D">
        <w:rPr>
          <w:lang w:val="fr-FR" w:bidi="ar-KW"/>
        </w:rPr>
        <w:t>une quelconque de leurs dispositions concerne une question soulevée dans le cadre de l</w:t>
      </w:r>
      <w:r w:rsidR="00680ADA" w:rsidRPr="00F1180D">
        <w:rPr>
          <w:lang w:val="fr-FR" w:bidi="ar-KW"/>
        </w:rPr>
        <w:t>’</w:t>
      </w:r>
      <w:r w:rsidR="000C6D4A" w:rsidRPr="00F1180D">
        <w:rPr>
          <w:lang w:val="fr-FR" w:bidi="ar-KW"/>
        </w:rPr>
        <w:t xml:space="preserve">examen des litiges dont ils sont saisis. </w:t>
      </w:r>
    </w:p>
    <w:p w:rsidR="000C6D4A" w:rsidRPr="00F1180D" w:rsidRDefault="0040287F" w:rsidP="0040287F">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10</w:t>
      </w:r>
    </w:p>
    <w:p w:rsidR="000C6D4A" w:rsidRPr="00F1180D" w:rsidRDefault="00930AE5" w:rsidP="00680ADA">
      <w:pPr>
        <w:pStyle w:val="SingleTxtG"/>
        <w:rPr>
          <w:b/>
          <w:bCs/>
          <w:rtl/>
          <w:lang w:val="fr-FR" w:bidi="fr-FR"/>
        </w:rPr>
      </w:pPr>
      <w:r>
        <w:rPr>
          <w:lang w:val="fr-FR" w:bidi="ar-KW"/>
        </w:rPr>
        <w:t>123.</w:t>
      </w:r>
      <w:r>
        <w:rPr>
          <w:lang w:val="fr-FR" w:bidi="ar-KW"/>
        </w:rPr>
        <w:tab/>
      </w:r>
      <w:r w:rsidR="000C6D4A" w:rsidRPr="00F1180D">
        <w:rPr>
          <w:lang w:val="fr-FR" w:bidi="ar-KW"/>
        </w:rPr>
        <w:t>Il convient de signaler l</w:t>
      </w:r>
      <w:r w:rsidR="00680ADA" w:rsidRPr="00F1180D">
        <w:rPr>
          <w:lang w:val="fr-FR" w:bidi="ar-KW"/>
        </w:rPr>
        <w:t>’</w:t>
      </w:r>
      <w:r w:rsidR="000C6D4A" w:rsidRPr="00F1180D">
        <w:rPr>
          <w:lang w:val="fr-FR" w:bidi="ar-KW"/>
        </w:rPr>
        <w:t xml:space="preserve">adoption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67 de 2015 portant création de l</w:t>
      </w:r>
      <w:r w:rsidR="00680ADA" w:rsidRPr="00F1180D">
        <w:rPr>
          <w:lang w:val="fr-FR" w:bidi="ar-KW"/>
        </w:rPr>
        <w:t>’</w:t>
      </w:r>
      <w:r w:rsidR="000C6D4A" w:rsidRPr="00F1180D">
        <w:rPr>
          <w:lang w:val="fr-FR" w:bidi="ar-KW"/>
        </w:rPr>
        <w:t>Office national des droits de l</w:t>
      </w:r>
      <w:r w:rsidR="00680ADA" w:rsidRPr="00F1180D">
        <w:rPr>
          <w:lang w:val="fr-FR" w:bidi="ar-KW"/>
        </w:rPr>
        <w:t>’</w:t>
      </w:r>
      <w:r w:rsidR="000C6D4A" w:rsidRPr="00F1180D">
        <w:rPr>
          <w:lang w:val="fr-FR" w:bidi="ar-KW"/>
        </w:rPr>
        <w:t>homme</w:t>
      </w:r>
      <w:r w:rsidR="00680ADA" w:rsidRPr="00F1180D">
        <w:rPr>
          <w:lang w:val="fr-FR" w:bidi="ar-KW"/>
        </w:rPr>
        <w:t>,</w:t>
      </w:r>
      <w:r w:rsidR="000C6D4A" w:rsidRPr="00F1180D">
        <w:rPr>
          <w:lang w:val="fr-FR" w:bidi="ar-KW"/>
        </w:rPr>
        <w:t xml:space="preserve"> dont l</w:t>
      </w:r>
      <w:r w:rsidR="00680ADA" w:rsidRPr="00F1180D">
        <w:rPr>
          <w:lang w:val="fr-FR" w:bidi="ar-KW"/>
        </w:rPr>
        <w:t>’</w:t>
      </w:r>
      <w:r w:rsidR="00163207" w:rsidRPr="00F1180D">
        <w:rPr>
          <w:lang w:val="fr-FR" w:bidi="ar-KW"/>
        </w:rPr>
        <w:t>article </w:t>
      </w:r>
      <w:r w:rsidR="000C6D4A" w:rsidRPr="00F1180D">
        <w:rPr>
          <w:lang w:val="fr-FR" w:bidi="ar-KW"/>
        </w:rPr>
        <w:t xml:space="preserve">2 </w:t>
      </w:r>
      <w:r w:rsidR="000C6D4A" w:rsidRPr="00F1180D">
        <w:rPr>
          <w:lang w:val="fr-FR"/>
        </w:rPr>
        <w:t>dispose notamment ce qui suit</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Il est créé une instance indépendante appelée Office national des droits de l</w:t>
      </w:r>
      <w:r w:rsidR="00680ADA" w:rsidRPr="00F1180D">
        <w:rPr>
          <w:lang w:val="fr-FR"/>
        </w:rPr>
        <w:t>’</w:t>
      </w:r>
      <w:r w:rsidR="000C6D4A" w:rsidRPr="00F1180D">
        <w:rPr>
          <w:lang w:val="fr-FR"/>
        </w:rPr>
        <w:t>homme</w:t>
      </w:r>
      <w:r w:rsidR="00680ADA" w:rsidRPr="00F1180D">
        <w:rPr>
          <w:lang w:val="fr-FR"/>
        </w:rPr>
        <w:t>,</w:t>
      </w:r>
      <w:r w:rsidR="000C6D4A" w:rsidRPr="00F1180D">
        <w:rPr>
          <w:lang w:val="fr-FR"/>
        </w:rPr>
        <w:t xml:space="preserve"> chargée de renforcer et de protéger les droits de l</w:t>
      </w:r>
      <w:r w:rsidR="00680ADA" w:rsidRPr="00F1180D">
        <w:rPr>
          <w:lang w:val="fr-FR"/>
        </w:rPr>
        <w:t>’</w:t>
      </w:r>
      <w:r w:rsidR="000C6D4A" w:rsidRPr="00F1180D">
        <w:rPr>
          <w:lang w:val="fr-FR"/>
        </w:rPr>
        <w:t>homme</w:t>
      </w:r>
      <w:r w:rsidR="00680ADA" w:rsidRPr="00F1180D">
        <w:rPr>
          <w:lang w:val="fr-FR"/>
        </w:rPr>
        <w:t>,</w:t>
      </w:r>
      <w:r w:rsidR="000C6D4A" w:rsidRPr="00F1180D">
        <w:rPr>
          <w:lang w:val="fr-FR"/>
        </w:rPr>
        <w:t xml:space="preserve"> ainsi que de diffuser et de promouvoir le respect des libertés publiques et privées à la lumière des dispositions de la Constitution et des instruments internationaux ratifiés par le Koweït</w:t>
      </w:r>
      <w:r w:rsidR="00680ADA" w:rsidRPr="00F1180D">
        <w:rPr>
          <w:lang w:val="fr-FR"/>
        </w:rPr>
        <w:t>,</w:t>
      </w:r>
      <w:r w:rsidR="000C6D4A" w:rsidRPr="00F1180D">
        <w:rPr>
          <w:lang w:val="fr-FR"/>
        </w:rPr>
        <w:t xml:space="preserve"> compte dûment tenu de l</w:t>
      </w:r>
      <w:r w:rsidR="00680ADA" w:rsidRPr="00F1180D">
        <w:rPr>
          <w:lang w:val="fr-FR"/>
        </w:rPr>
        <w:t>’</w:t>
      </w:r>
      <w:r w:rsidR="00163207" w:rsidRPr="00F1180D">
        <w:rPr>
          <w:lang w:val="fr-FR"/>
        </w:rPr>
        <w:t>article </w:t>
      </w:r>
      <w:r w:rsidR="000C6D4A" w:rsidRPr="00F1180D">
        <w:rPr>
          <w:lang w:val="fr-FR"/>
        </w:rPr>
        <w:t>2 de la Constitution. L</w:t>
      </w:r>
      <w:r w:rsidR="00680ADA" w:rsidRPr="00F1180D">
        <w:rPr>
          <w:lang w:val="fr-FR"/>
        </w:rPr>
        <w:t>’</w:t>
      </w:r>
      <w:r w:rsidR="000C6D4A" w:rsidRPr="00F1180D">
        <w:rPr>
          <w:lang w:val="fr-FR"/>
        </w:rPr>
        <w:t>Office est doté de la personnalité morale et jouit de l</w:t>
      </w:r>
      <w:r w:rsidR="00680ADA" w:rsidRPr="00F1180D">
        <w:rPr>
          <w:lang w:val="fr-FR"/>
        </w:rPr>
        <w:t>’</w:t>
      </w:r>
      <w:r w:rsidR="000C6D4A" w:rsidRPr="00F1180D">
        <w:rPr>
          <w:lang w:val="fr-FR"/>
        </w:rPr>
        <w:t>autonomie dans le cadre de l</w:t>
      </w:r>
      <w:r w:rsidR="00680ADA" w:rsidRPr="00F1180D">
        <w:rPr>
          <w:lang w:val="fr-FR"/>
        </w:rPr>
        <w:t>’</w:t>
      </w:r>
      <w:r w:rsidR="000C6D4A" w:rsidRPr="00F1180D">
        <w:rPr>
          <w:lang w:val="fr-FR"/>
        </w:rPr>
        <w:t>exercice de ses fonctions et activités énoncées dans la présente la loi</w:t>
      </w:r>
      <w:r w:rsidR="00665A2A" w:rsidRPr="00F1180D">
        <w:rPr>
          <w:lang w:val="fr-FR"/>
        </w:rPr>
        <w:t>.</w:t>
      </w:r>
      <w:r w:rsidR="00680ADA" w:rsidRPr="00F1180D">
        <w:rPr>
          <w:lang w:val="fr-FR"/>
        </w:rPr>
        <w:t>»</w:t>
      </w:r>
      <w:r w:rsidR="000C6D4A" w:rsidRPr="00F1180D">
        <w:rPr>
          <w:lang w:val="fr-FR"/>
        </w:rPr>
        <w:t xml:space="preserve"> </w:t>
      </w:r>
    </w:p>
    <w:p w:rsidR="000C6D4A" w:rsidRPr="00F1180D" w:rsidRDefault="00930AE5" w:rsidP="00680ADA">
      <w:pPr>
        <w:pStyle w:val="SingleTxtG"/>
        <w:rPr>
          <w:lang w:val="fr-FR" w:bidi="ar-KW"/>
        </w:rPr>
      </w:pPr>
      <w:r>
        <w:rPr>
          <w:lang w:val="fr-FR"/>
        </w:rPr>
        <w:t>124.</w:t>
      </w:r>
      <w:r>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6 du même texte dispose également ce qui suit</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Afin de réaliser les objectifs de l</w:t>
      </w:r>
      <w:r w:rsidR="00680ADA" w:rsidRPr="00F1180D">
        <w:rPr>
          <w:lang w:val="fr-FR"/>
        </w:rPr>
        <w:t>’</w:t>
      </w:r>
      <w:r w:rsidR="000C6D4A" w:rsidRPr="00F1180D">
        <w:rPr>
          <w:lang w:val="fr-FR"/>
        </w:rPr>
        <w:t>Office</w:t>
      </w:r>
      <w:r w:rsidR="00680ADA" w:rsidRPr="00F1180D">
        <w:rPr>
          <w:lang w:val="fr-FR"/>
        </w:rPr>
        <w:t>,</w:t>
      </w:r>
      <w:r w:rsidR="000C6D4A" w:rsidRPr="00F1180D">
        <w:rPr>
          <w:lang w:val="fr-FR"/>
        </w:rPr>
        <w:t xml:space="preserve"> le Conseil est doté des compétences suivantes</w:t>
      </w:r>
      <w:r w:rsidR="00680ADA" w:rsidRPr="00F1180D">
        <w:rPr>
          <w:lang w:val="fr-FR"/>
        </w:rPr>
        <w:t>:</w:t>
      </w:r>
    </w:p>
    <w:p w:rsidR="000C6D4A" w:rsidRPr="00F1180D" w:rsidRDefault="00665A2A" w:rsidP="00680ADA">
      <w:pPr>
        <w:pStyle w:val="SingleTxtG"/>
        <w:rPr>
          <w:lang w:val="fr-FR" w:bidi="ar-KW"/>
        </w:rPr>
      </w:pPr>
      <w:r w:rsidRPr="00F1180D">
        <w:rPr>
          <w:lang w:val="fr-FR" w:bidi="ar-KW"/>
        </w:rPr>
        <w:tab/>
        <w:t>1.</w:t>
      </w:r>
      <w:r w:rsidR="000C6D4A" w:rsidRPr="00F1180D">
        <w:rPr>
          <w:lang w:val="fr-FR" w:bidi="ar-KW"/>
        </w:rPr>
        <w:tab/>
      </w:r>
      <w:r w:rsidR="000C6D4A" w:rsidRPr="00F1180D">
        <w:rPr>
          <w:lang w:val="fr-FR"/>
        </w:rPr>
        <w:t>L</w:t>
      </w:r>
      <w:r w:rsidR="00680ADA" w:rsidRPr="00F1180D">
        <w:rPr>
          <w:lang w:val="fr-FR"/>
        </w:rPr>
        <w:t>’</w:t>
      </w:r>
      <w:r w:rsidR="000C6D4A" w:rsidRPr="00F1180D">
        <w:rPr>
          <w:lang w:val="fr-FR"/>
        </w:rPr>
        <w:t>émission d</w:t>
      </w:r>
      <w:r w:rsidR="00680ADA" w:rsidRPr="00F1180D">
        <w:rPr>
          <w:lang w:val="fr-FR"/>
        </w:rPr>
        <w:t>’</w:t>
      </w:r>
      <w:r w:rsidR="000C6D4A" w:rsidRPr="00F1180D">
        <w:rPr>
          <w:lang w:val="fr-FR"/>
        </w:rPr>
        <w:t>avis</w:t>
      </w:r>
      <w:r w:rsidR="00680ADA" w:rsidRPr="00F1180D">
        <w:rPr>
          <w:lang w:val="fr-FR"/>
        </w:rPr>
        <w:t>,</w:t>
      </w:r>
      <w:r w:rsidR="000C6D4A" w:rsidRPr="00F1180D">
        <w:rPr>
          <w:lang w:val="fr-FR"/>
        </w:rPr>
        <w:t xml:space="preserve"> recommandations</w:t>
      </w:r>
      <w:r w:rsidR="00680ADA" w:rsidRPr="00F1180D">
        <w:rPr>
          <w:lang w:val="fr-FR"/>
        </w:rPr>
        <w:t>,</w:t>
      </w:r>
      <w:r w:rsidR="000C6D4A" w:rsidRPr="00F1180D">
        <w:rPr>
          <w:lang w:val="fr-FR"/>
        </w:rPr>
        <w:t xml:space="preserve"> propositions et rapports à l</w:t>
      </w:r>
      <w:r w:rsidR="00680ADA" w:rsidRPr="00F1180D">
        <w:rPr>
          <w:lang w:val="fr-FR"/>
        </w:rPr>
        <w:t>’</w:t>
      </w:r>
      <w:r w:rsidR="000C6D4A" w:rsidRPr="00F1180D">
        <w:rPr>
          <w:lang w:val="fr-FR"/>
        </w:rPr>
        <w:t>intention des autorités concernées à propos de tous les thèmes relatifs à la promotion et à la protection des droits de l</w:t>
      </w:r>
      <w:r w:rsidR="00680ADA" w:rsidRPr="00F1180D">
        <w:rPr>
          <w:lang w:val="fr-FR"/>
        </w:rPr>
        <w:t>’</w:t>
      </w:r>
      <w:r w:rsidR="000C6D4A" w:rsidRPr="00F1180D">
        <w:rPr>
          <w:lang w:val="fr-FR"/>
        </w:rPr>
        <w:t>homme et la réponse à toute question émanant de l</w:t>
      </w:r>
      <w:r w:rsidR="00680ADA" w:rsidRPr="00F1180D">
        <w:rPr>
          <w:lang w:val="fr-FR"/>
        </w:rPr>
        <w:t>’</w:t>
      </w:r>
      <w:r w:rsidR="000C6D4A" w:rsidRPr="00F1180D">
        <w:rPr>
          <w:lang w:val="fr-FR"/>
        </w:rPr>
        <w:t>Assemblée nationale et du Conseil des ministres à ce sujet.</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2</w:t>
      </w:r>
      <w:r w:rsidRPr="00F1180D">
        <w:rPr>
          <w:lang w:val="fr-FR" w:bidi="ar-KW"/>
        </w:rPr>
        <w:t>.</w:t>
      </w:r>
      <w:r w:rsidR="000C6D4A" w:rsidRPr="00F1180D">
        <w:rPr>
          <w:lang w:val="fr-FR" w:bidi="ar-KW"/>
        </w:rPr>
        <w:tab/>
      </w:r>
      <w:r w:rsidR="000C6D4A" w:rsidRPr="00F1180D">
        <w:rPr>
          <w:lang w:val="fr-FR"/>
        </w:rPr>
        <w:t>La réalisation d</w:t>
      </w:r>
      <w:r w:rsidR="00680ADA" w:rsidRPr="00F1180D">
        <w:rPr>
          <w:lang w:val="fr-FR"/>
        </w:rPr>
        <w:t>’</w:t>
      </w:r>
      <w:r w:rsidR="000C6D4A" w:rsidRPr="00F1180D">
        <w:rPr>
          <w:lang w:val="fr-FR"/>
        </w:rPr>
        <w:t>études juridiques et pratiques en liaison avec la promotion et de la protection des droits de l</w:t>
      </w:r>
      <w:r w:rsidR="00680ADA" w:rsidRPr="00F1180D">
        <w:rPr>
          <w:lang w:val="fr-FR"/>
        </w:rPr>
        <w:t>’</w:t>
      </w:r>
      <w:r w:rsidR="000C6D4A" w:rsidRPr="00F1180D">
        <w:rPr>
          <w:lang w:val="fr-FR"/>
        </w:rPr>
        <w:t>homme</w:t>
      </w:r>
      <w:r w:rsidR="00680ADA" w:rsidRPr="00F1180D">
        <w:rPr>
          <w:lang w:val="fr-FR"/>
        </w:rPr>
        <w:t>,</w:t>
      </w:r>
      <w:r w:rsidR="000C6D4A" w:rsidRPr="00F1180D">
        <w:rPr>
          <w:lang w:val="fr-FR"/>
        </w:rPr>
        <w:t xml:space="preserve"> à la lumière des dispositions pertinentes de la Constitution et des traités internationaux et régionaux ratifiés dans ce domaine</w:t>
      </w:r>
      <w:r w:rsidR="00680ADA" w:rsidRPr="00F1180D">
        <w:rPr>
          <w:lang w:val="fr-FR"/>
        </w:rPr>
        <w:t>,</w:t>
      </w:r>
      <w:r w:rsidR="000C6D4A" w:rsidRPr="00F1180D">
        <w:rPr>
          <w:lang w:val="fr-FR"/>
        </w:rPr>
        <w:t xml:space="preserve"> l</w:t>
      </w:r>
      <w:r w:rsidR="00680ADA" w:rsidRPr="00F1180D">
        <w:rPr>
          <w:lang w:val="fr-FR"/>
        </w:rPr>
        <w:t>’</w:t>
      </w:r>
      <w:r w:rsidR="000C6D4A" w:rsidRPr="00F1180D">
        <w:rPr>
          <w:lang w:val="fr-FR"/>
        </w:rPr>
        <w:t>examen de la conformité des projets et propositions de lois aux principes fondamentaux des droits de l</w:t>
      </w:r>
      <w:r w:rsidR="00680ADA" w:rsidRPr="00F1180D">
        <w:rPr>
          <w:lang w:val="fr-FR"/>
        </w:rPr>
        <w:t>’</w:t>
      </w:r>
      <w:r w:rsidR="000C6D4A" w:rsidRPr="00F1180D">
        <w:rPr>
          <w:lang w:val="fr-FR"/>
        </w:rPr>
        <w:t>homme</w:t>
      </w:r>
      <w:r w:rsidR="00680ADA" w:rsidRPr="00F1180D">
        <w:rPr>
          <w:lang w:val="fr-FR"/>
        </w:rPr>
        <w:t>,</w:t>
      </w:r>
      <w:r w:rsidR="000C6D4A" w:rsidRPr="00F1180D">
        <w:rPr>
          <w:lang w:val="fr-FR"/>
        </w:rPr>
        <w:t xml:space="preserve"> ainsi que la formulation de recommandations en vue de l</w:t>
      </w:r>
      <w:r w:rsidR="00680ADA" w:rsidRPr="00F1180D">
        <w:rPr>
          <w:lang w:val="fr-FR"/>
        </w:rPr>
        <w:t>’</w:t>
      </w:r>
      <w:r w:rsidR="000C6D4A" w:rsidRPr="00F1180D">
        <w:rPr>
          <w:lang w:val="fr-FR"/>
        </w:rPr>
        <w:t xml:space="preserve">adoption de nouveaux textes ou de la modification de ceux déjà en vigueur. </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3</w:t>
      </w:r>
      <w:r w:rsidRPr="00F1180D">
        <w:rPr>
          <w:lang w:val="fr-FR" w:bidi="ar-KW"/>
        </w:rPr>
        <w:t>.</w:t>
      </w:r>
      <w:r w:rsidR="000C6D4A" w:rsidRPr="00F1180D">
        <w:rPr>
          <w:lang w:val="fr-FR" w:bidi="ar-KW"/>
        </w:rPr>
        <w:tab/>
      </w:r>
      <w:r w:rsidR="000C6D4A" w:rsidRPr="00F1180D">
        <w:rPr>
          <w:lang w:val="fr-FR"/>
        </w:rPr>
        <w:t>Le recueil et le suivi des plaintes et allégations de violation des droits de l</w:t>
      </w:r>
      <w:r w:rsidR="00680ADA" w:rsidRPr="00F1180D">
        <w:rPr>
          <w:lang w:val="fr-FR"/>
        </w:rPr>
        <w:t>’</w:t>
      </w:r>
      <w:r w:rsidR="000C6D4A" w:rsidRPr="00F1180D">
        <w:rPr>
          <w:lang w:val="fr-FR"/>
        </w:rPr>
        <w:t>homme</w:t>
      </w:r>
      <w:r w:rsidR="00680ADA" w:rsidRPr="00F1180D">
        <w:rPr>
          <w:lang w:val="fr-FR"/>
        </w:rPr>
        <w:t>,</w:t>
      </w:r>
      <w:r w:rsidR="000C6D4A" w:rsidRPr="00F1180D">
        <w:rPr>
          <w:lang w:val="fr-FR"/>
        </w:rPr>
        <w:t xml:space="preserve"> l</w:t>
      </w:r>
      <w:r w:rsidR="00680ADA" w:rsidRPr="00F1180D">
        <w:rPr>
          <w:lang w:val="fr-FR"/>
        </w:rPr>
        <w:t>’</w:t>
      </w:r>
      <w:r w:rsidR="000C6D4A" w:rsidRPr="00F1180D">
        <w:rPr>
          <w:lang w:val="fr-FR"/>
        </w:rPr>
        <w:t>examen des faits et l</w:t>
      </w:r>
      <w:r w:rsidR="00680ADA" w:rsidRPr="00F1180D">
        <w:rPr>
          <w:lang w:val="fr-FR"/>
        </w:rPr>
        <w:t>’</w:t>
      </w:r>
      <w:r w:rsidR="000C6D4A" w:rsidRPr="00F1180D">
        <w:rPr>
          <w:lang w:val="fr-FR"/>
        </w:rPr>
        <w:t>établissement de la vérité</w:t>
      </w:r>
      <w:r w:rsidR="00680ADA" w:rsidRPr="00F1180D">
        <w:rPr>
          <w:lang w:val="fr-FR"/>
        </w:rPr>
        <w:t>,</w:t>
      </w:r>
      <w:r w:rsidR="000C6D4A" w:rsidRPr="00F1180D">
        <w:rPr>
          <w:lang w:val="fr-FR"/>
        </w:rPr>
        <w:t xml:space="preserve"> ainsi que le transfert aux instances compétentes des requêtes qu</w:t>
      </w:r>
      <w:r w:rsidR="00680ADA" w:rsidRPr="00F1180D">
        <w:rPr>
          <w:lang w:val="fr-FR"/>
        </w:rPr>
        <w:t>’</w:t>
      </w:r>
      <w:r w:rsidR="000C6D4A" w:rsidRPr="00F1180D">
        <w:rPr>
          <w:lang w:val="fr-FR"/>
        </w:rPr>
        <w:t>il estime fondées</w:t>
      </w:r>
      <w:r w:rsidR="00680ADA" w:rsidRPr="00F1180D">
        <w:rPr>
          <w:lang w:val="fr-FR"/>
        </w:rPr>
        <w:t>,</w:t>
      </w:r>
      <w:r w:rsidR="000C6D4A" w:rsidRPr="00F1180D">
        <w:rPr>
          <w:lang w:val="fr-FR"/>
        </w:rPr>
        <w:t xml:space="preserve"> dont il assure le suivi en collaborant avec les autorités concernées</w:t>
      </w:r>
      <w:r w:rsidR="00680ADA" w:rsidRPr="00F1180D">
        <w:rPr>
          <w:lang w:val="fr-FR"/>
        </w:rPr>
        <w:t>,</w:t>
      </w:r>
      <w:r w:rsidR="000C6D4A" w:rsidRPr="00F1180D">
        <w:rPr>
          <w:lang w:val="fr-FR"/>
        </w:rPr>
        <w:t xml:space="preserve"> en informant les requérants des procédures juridiques obligatoires et en les aidant à les engager ou bien à régler et résoudre leur différend avec les organismes intéressés. </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4</w:t>
      </w:r>
      <w:r w:rsidRPr="00F1180D">
        <w:rPr>
          <w:lang w:val="fr-FR" w:bidi="ar-KW"/>
        </w:rPr>
        <w:t>.</w:t>
      </w:r>
      <w:r w:rsidR="000C6D4A" w:rsidRPr="00F1180D">
        <w:rPr>
          <w:lang w:val="fr-FR" w:bidi="ar-KW"/>
        </w:rPr>
        <w:tab/>
      </w:r>
      <w:r w:rsidR="000C6D4A" w:rsidRPr="00F1180D">
        <w:rPr>
          <w:lang w:val="fr-FR"/>
        </w:rPr>
        <w:t>Le suivi de l</w:t>
      </w:r>
      <w:r w:rsidR="00680ADA" w:rsidRPr="00F1180D">
        <w:rPr>
          <w:lang w:val="fr-FR"/>
        </w:rPr>
        <w:t>’</w:t>
      </w:r>
      <w:r w:rsidR="000C6D4A" w:rsidRPr="00F1180D">
        <w:rPr>
          <w:lang w:val="fr-FR"/>
        </w:rPr>
        <w:t xml:space="preserve">application de la Constitution et de la mise en </w:t>
      </w:r>
      <w:r w:rsidR="00823836" w:rsidRPr="00F1180D">
        <w:rPr>
          <w:lang w:val="fr-FR"/>
        </w:rPr>
        <w:t>œuvre</w:t>
      </w:r>
      <w:r w:rsidR="000C6D4A" w:rsidRPr="00F1180D">
        <w:rPr>
          <w:lang w:val="fr-FR"/>
        </w:rPr>
        <w:t xml:space="preserve"> des instruments internationaux relatifs aux droits de l</w:t>
      </w:r>
      <w:r w:rsidR="00680ADA" w:rsidRPr="00F1180D">
        <w:rPr>
          <w:lang w:val="fr-FR"/>
        </w:rPr>
        <w:t>’</w:t>
      </w:r>
      <w:r w:rsidR="000C6D4A" w:rsidRPr="00F1180D">
        <w:rPr>
          <w:lang w:val="fr-FR"/>
        </w:rPr>
        <w:t>homme au Koweït</w:t>
      </w:r>
      <w:r w:rsidR="00680ADA" w:rsidRPr="00F1180D">
        <w:rPr>
          <w:lang w:val="fr-FR"/>
        </w:rPr>
        <w:t>,</w:t>
      </w:r>
      <w:r w:rsidR="000C6D4A" w:rsidRPr="00F1180D">
        <w:rPr>
          <w:lang w:val="fr-FR"/>
        </w:rPr>
        <w:t xml:space="preserve"> ainsi que la présentation aux autorités concernées de propositions pertinentes à cet effet. </w:t>
      </w:r>
    </w:p>
    <w:p w:rsidR="000C6D4A" w:rsidRPr="00F1180D" w:rsidRDefault="00665A2A" w:rsidP="00680ADA">
      <w:pPr>
        <w:pStyle w:val="SingleTxtG"/>
        <w:rPr>
          <w:lang w:val="fr-FR" w:bidi="ar-KW"/>
        </w:rPr>
      </w:pPr>
      <w:r w:rsidRPr="00F1180D">
        <w:rPr>
          <w:lang w:val="fr-FR" w:bidi="ar-KW"/>
        </w:rPr>
        <w:lastRenderedPageBreak/>
        <w:tab/>
      </w:r>
      <w:r w:rsidR="000C6D4A" w:rsidRPr="00F1180D">
        <w:rPr>
          <w:lang w:val="fr-FR" w:bidi="ar-KW"/>
        </w:rPr>
        <w:t>5</w:t>
      </w:r>
      <w:r w:rsidRPr="00F1180D">
        <w:rPr>
          <w:lang w:val="fr-FR" w:bidi="ar-KW"/>
        </w:rPr>
        <w:t>.</w:t>
      </w:r>
      <w:r w:rsidR="000C6D4A" w:rsidRPr="00F1180D">
        <w:rPr>
          <w:lang w:val="fr-FR" w:bidi="ar-KW"/>
        </w:rPr>
        <w:tab/>
      </w:r>
      <w:r w:rsidR="000C6D4A" w:rsidRPr="00F1180D">
        <w:rPr>
          <w:lang w:val="fr-FR"/>
        </w:rPr>
        <w:t>La publication de rapports annuels sur l</w:t>
      </w:r>
      <w:r w:rsidR="00680ADA" w:rsidRPr="00F1180D">
        <w:rPr>
          <w:lang w:val="fr-FR"/>
        </w:rPr>
        <w:t>’</w:t>
      </w:r>
      <w:r w:rsidR="000C6D4A" w:rsidRPr="00F1180D">
        <w:rPr>
          <w:lang w:val="fr-FR"/>
        </w:rPr>
        <w:t>évolution de la situation des droits de l</w:t>
      </w:r>
      <w:r w:rsidR="00680ADA" w:rsidRPr="00F1180D">
        <w:rPr>
          <w:lang w:val="fr-FR"/>
        </w:rPr>
        <w:t>’</w:t>
      </w:r>
      <w:r w:rsidR="000C6D4A" w:rsidRPr="00F1180D">
        <w:rPr>
          <w:lang w:val="fr-FR"/>
        </w:rPr>
        <w:t>homme au Koweït et leur présentation à l</w:t>
      </w:r>
      <w:r w:rsidR="00680ADA" w:rsidRPr="00F1180D">
        <w:rPr>
          <w:lang w:val="fr-FR"/>
        </w:rPr>
        <w:t>’</w:t>
      </w:r>
      <w:r w:rsidR="000C6D4A" w:rsidRPr="00F1180D">
        <w:rPr>
          <w:lang w:val="fr-FR"/>
        </w:rPr>
        <w:t>Assemblée nationale et au Conseil des ministres.</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6</w:t>
      </w:r>
      <w:r w:rsidRPr="00F1180D">
        <w:rPr>
          <w:lang w:val="fr-FR" w:bidi="ar-KW"/>
        </w:rPr>
        <w:t>.</w:t>
      </w:r>
      <w:r w:rsidR="000C6D4A" w:rsidRPr="00F1180D">
        <w:rPr>
          <w:lang w:val="fr-FR" w:bidi="ar-KW"/>
        </w:rPr>
        <w:tab/>
      </w:r>
      <w:r w:rsidR="000C6D4A" w:rsidRPr="00F1180D">
        <w:rPr>
          <w:lang w:val="fr-FR"/>
        </w:rPr>
        <w:t>La collaboration avec les Nations Unies et leurs organes subsidiaires</w:t>
      </w:r>
      <w:r w:rsidR="00680ADA" w:rsidRPr="00F1180D">
        <w:rPr>
          <w:lang w:val="fr-FR"/>
        </w:rPr>
        <w:t>,</w:t>
      </w:r>
      <w:r w:rsidR="000C6D4A" w:rsidRPr="00F1180D">
        <w:rPr>
          <w:lang w:val="fr-FR"/>
        </w:rPr>
        <w:t xml:space="preserve"> ainsi qu</w:t>
      </w:r>
      <w:r w:rsidR="00680ADA" w:rsidRPr="00F1180D">
        <w:rPr>
          <w:lang w:val="fr-FR"/>
        </w:rPr>
        <w:t>’</w:t>
      </w:r>
      <w:r w:rsidR="000C6D4A" w:rsidRPr="00F1180D">
        <w:rPr>
          <w:lang w:val="fr-FR"/>
        </w:rPr>
        <w:t>avec les institutions nationales</w:t>
      </w:r>
      <w:r w:rsidR="00680ADA" w:rsidRPr="00F1180D">
        <w:rPr>
          <w:lang w:val="fr-FR"/>
        </w:rPr>
        <w:t>,</w:t>
      </w:r>
      <w:r w:rsidR="000C6D4A" w:rsidRPr="00F1180D">
        <w:rPr>
          <w:lang w:val="fr-FR"/>
        </w:rPr>
        <w:t xml:space="preserve"> régionales et internationales</w:t>
      </w:r>
      <w:r w:rsidR="00680ADA" w:rsidRPr="00F1180D">
        <w:rPr>
          <w:lang w:val="fr-FR"/>
        </w:rPr>
        <w:t>,</w:t>
      </w:r>
      <w:r w:rsidR="000C6D4A" w:rsidRPr="00F1180D">
        <w:rPr>
          <w:lang w:val="fr-FR"/>
        </w:rPr>
        <w:t xml:space="preserve"> ainsi que la coordination et la communication avec les organisations non gouvernementales agissant dans le domaine des droits de l</w:t>
      </w:r>
      <w:r w:rsidR="00680ADA" w:rsidRPr="00F1180D">
        <w:rPr>
          <w:lang w:val="fr-FR"/>
        </w:rPr>
        <w:t>’</w:t>
      </w:r>
      <w:r w:rsidR="000C6D4A" w:rsidRPr="00F1180D">
        <w:rPr>
          <w:lang w:val="fr-FR"/>
        </w:rPr>
        <w:t xml:space="preserve">homme. </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7</w:t>
      </w:r>
      <w:r w:rsidRPr="00F1180D">
        <w:rPr>
          <w:lang w:val="fr-FR" w:bidi="ar-KW"/>
        </w:rPr>
        <w:t>.</w:t>
      </w:r>
      <w:r w:rsidR="000C6D4A" w:rsidRPr="00F1180D">
        <w:rPr>
          <w:lang w:val="fr-FR" w:bidi="ar-KW"/>
        </w:rPr>
        <w:tab/>
      </w:r>
      <w:r w:rsidR="000C6D4A" w:rsidRPr="00F1180D">
        <w:rPr>
          <w:lang w:val="fr-FR"/>
        </w:rPr>
        <w:t>La contribution à l</w:t>
      </w:r>
      <w:r w:rsidR="00680ADA" w:rsidRPr="00F1180D">
        <w:rPr>
          <w:lang w:val="fr-FR"/>
        </w:rPr>
        <w:t>’</w:t>
      </w:r>
      <w:r w:rsidR="000C6D4A" w:rsidRPr="00F1180D">
        <w:rPr>
          <w:lang w:val="fr-FR"/>
        </w:rPr>
        <w:t>élaboration des rapports à soumettre par le Koweït aux organes et Comités des Nations Unies</w:t>
      </w:r>
      <w:r w:rsidR="00680ADA" w:rsidRPr="00F1180D">
        <w:rPr>
          <w:lang w:val="fr-FR"/>
        </w:rPr>
        <w:t>,</w:t>
      </w:r>
      <w:r w:rsidR="000C6D4A" w:rsidRPr="00F1180D">
        <w:rPr>
          <w:lang w:val="fr-FR"/>
        </w:rPr>
        <w:t xml:space="preserve"> ainsi qu</w:t>
      </w:r>
      <w:r w:rsidR="00680ADA" w:rsidRPr="00F1180D">
        <w:rPr>
          <w:lang w:val="fr-FR"/>
        </w:rPr>
        <w:t>’</w:t>
      </w:r>
      <w:r w:rsidR="000C6D4A" w:rsidRPr="00F1180D">
        <w:rPr>
          <w:lang w:val="fr-FR"/>
        </w:rPr>
        <w:t>aux institutions régionales</w:t>
      </w:r>
      <w:r w:rsidR="00680ADA" w:rsidRPr="00F1180D">
        <w:rPr>
          <w:lang w:val="fr-FR"/>
        </w:rPr>
        <w:t>,</w:t>
      </w:r>
      <w:r w:rsidR="000C6D4A" w:rsidRPr="00F1180D">
        <w:rPr>
          <w:lang w:val="fr-FR"/>
        </w:rPr>
        <w:t xml:space="preserve"> en vertu de son adhésion aux instruments internationaux relatifs aux droits de l</w:t>
      </w:r>
      <w:r w:rsidR="00680ADA" w:rsidRPr="00F1180D">
        <w:rPr>
          <w:lang w:val="fr-FR"/>
        </w:rPr>
        <w:t>’</w:t>
      </w:r>
      <w:r w:rsidR="000C6D4A" w:rsidRPr="00F1180D">
        <w:rPr>
          <w:lang w:val="fr-FR"/>
        </w:rPr>
        <w:t>homme et la réponse aux rapports émanant des organisations non gouvernementales (ONG) et d</w:t>
      </w:r>
      <w:r w:rsidR="00680ADA" w:rsidRPr="00F1180D">
        <w:rPr>
          <w:lang w:val="fr-FR"/>
        </w:rPr>
        <w:t>’</w:t>
      </w:r>
      <w:r w:rsidR="000C6D4A" w:rsidRPr="00F1180D">
        <w:rPr>
          <w:lang w:val="fr-FR"/>
        </w:rPr>
        <w:t xml:space="preserve">autres instances étrangères. </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8</w:t>
      </w:r>
      <w:r w:rsidRPr="00F1180D">
        <w:rPr>
          <w:lang w:val="fr-FR" w:bidi="ar-KW"/>
        </w:rPr>
        <w:t>.</w:t>
      </w:r>
      <w:r w:rsidR="000C6D4A" w:rsidRPr="00F1180D">
        <w:rPr>
          <w:lang w:val="fr-FR" w:bidi="ar-KW"/>
        </w:rPr>
        <w:tab/>
      </w:r>
      <w:r w:rsidR="000C6D4A" w:rsidRPr="00F1180D">
        <w:rPr>
          <w:lang w:val="fr-FR"/>
        </w:rPr>
        <w:t>L</w:t>
      </w:r>
      <w:r w:rsidR="00680ADA" w:rsidRPr="00F1180D">
        <w:rPr>
          <w:lang w:val="fr-FR"/>
        </w:rPr>
        <w:t>’</w:t>
      </w:r>
      <w:r w:rsidR="000C6D4A" w:rsidRPr="00F1180D">
        <w:rPr>
          <w:lang w:val="fr-FR"/>
        </w:rPr>
        <w:t>élaboration d</w:t>
      </w:r>
      <w:r w:rsidR="00680ADA" w:rsidRPr="00F1180D">
        <w:rPr>
          <w:lang w:val="fr-FR"/>
        </w:rPr>
        <w:t>’</w:t>
      </w:r>
      <w:r w:rsidR="000C6D4A" w:rsidRPr="00F1180D">
        <w:rPr>
          <w:lang w:val="fr-FR"/>
        </w:rPr>
        <w:t>études et la mise en place de mécanismes de formation</w:t>
      </w:r>
      <w:r w:rsidR="00680ADA" w:rsidRPr="00F1180D">
        <w:rPr>
          <w:lang w:val="fr-FR"/>
        </w:rPr>
        <w:t>,</w:t>
      </w:r>
      <w:r w:rsidR="000C6D4A" w:rsidRPr="00F1180D">
        <w:rPr>
          <w:lang w:val="fr-FR"/>
        </w:rPr>
        <w:t xml:space="preserve"> de sensibilisation et de diffusion des principes et normes relatifs aux droits de l</w:t>
      </w:r>
      <w:r w:rsidR="00680ADA" w:rsidRPr="00F1180D">
        <w:rPr>
          <w:lang w:val="fr-FR"/>
        </w:rPr>
        <w:t>’</w:t>
      </w:r>
      <w:r w:rsidR="000C6D4A" w:rsidRPr="00F1180D">
        <w:rPr>
          <w:lang w:val="fr-FR"/>
        </w:rPr>
        <w:t>homme</w:t>
      </w:r>
      <w:r w:rsidR="00680ADA" w:rsidRPr="00F1180D">
        <w:rPr>
          <w:lang w:val="fr-FR"/>
        </w:rPr>
        <w:t>,</w:t>
      </w:r>
      <w:r w:rsidR="000C6D4A" w:rsidRPr="00F1180D">
        <w:rPr>
          <w:lang w:val="fr-FR"/>
        </w:rPr>
        <w:t xml:space="preserve"> aux libertés et à la lutte contre la torture et la discrimination raciale</w:t>
      </w:r>
      <w:r w:rsidR="00680ADA" w:rsidRPr="00F1180D">
        <w:rPr>
          <w:lang w:val="fr-FR"/>
        </w:rPr>
        <w:t>,</w:t>
      </w:r>
      <w:r w:rsidR="000C6D4A" w:rsidRPr="00F1180D">
        <w:rPr>
          <w:lang w:val="fr-FR"/>
        </w:rPr>
        <w:t xml:space="preserve"> ainsi que la participation à l</w:t>
      </w:r>
      <w:r w:rsidR="00680ADA" w:rsidRPr="00F1180D">
        <w:rPr>
          <w:lang w:val="fr-FR"/>
        </w:rPr>
        <w:t>’</w:t>
      </w:r>
      <w:r w:rsidR="000C6D4A" w:rsidRPr="00F1180D">
        <w:rPr>
          <w:lang w:val="fr-FR"/>
        </w:rPr>
        <w:t>élaboration des programmes d</w:t>
      </w:r>
      <w:r w:rsidR="00680ADA" w:rsidRPr="00F1180D">
        <w:rPr>
          <w:lang w:val="fr-FR"/>
        </w:rPr>
        <w:t>’</w:t>
      </w:r>
      <w:r w:rsidR="000C6D4A" w:rsidRPr="00F1180D">
        <w:rPr>
          <w:lang w:val="fr-FR"/>
        </w:rPr>
        <w:t>éducation aux droits de l</w:t>
      </w:r>
      <w:r w:rsidR="00680ADA" w:rsidRPr="00F1180D">
        <w:rPr>
          <w:lang w:val="fr-FR"/>
        </w:rPr>
        <w:t>’</w:t>
      </w:r>
      <w:r w:rsidR="000C6D4A" w:rsidRPr="00F1180D">
        <w:rPr>
          <w:lang w:val="fr-FR"/>
        </w:rPr>
        <w:t>homme dans les écoles</w:t>
      </w:r>
      <w:r w:rsidR="00680ADA" w:rsidRPr="00F1180D">
        <w:rPr>
          <w:lang w:val="fr-FR"/>
        </w:rPr>
        <w:t>,</w:t>
      </w:r>
      <w:r w:rsidR="000C6D4A" w:rsidRPr="00F1180D">
        <w:rPr>
          <w:lang w:val="fr-FR"/>
        </w:rPr>
        <w:t xml:space="preserve"> les universités et les milieux professionnels.</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9</w:t>
      </w:r>
      <w:r w:rsidRPr="00F1180D">
        <w:rPr>
          <w:lang w:val="fr-FR" w:bidi="ar-KW"/>
        </w:rPr>
        <w:t>.</w:t>
      </w:r>
      <w:r w:rsidR="000C6D4A" w:rsidRPr="00F1180D">
        <w:rPr>
          <w:lang w:val="fr-FR" w:bidi="ar-KW"/>
        </w:rPr>
        <w:tab/>
      </w:r>
      <w:r w:rsidR="000C6D4A" w:rsidRPr="00F1180D">
        <w:rPr>
          <w:lang w:val="fr-FR"/>
        </w:rPr>
        <w:t>La réalisation d</w:t>
      </w:r>
      <w:r w:rsidR="00680ADA" w:rsidRPr="00F1180D">
        <w:rPr>
          <w:lang w:val="fr-FR"/>
        </w:rPr>
        <w:t>’</w:t>
      </w:r>
      <w:r w:rsidR="000C6D4A" w:rsidRPr="00F1180D">
        <w:rPr>
          <w:lang w:val="fr-FR"/>
        </w:rPr>
        <w:t>inspections périodiques ou inopinées des maisons de correction</w:t>
      </w:r>
      <w:r w:rsidR="00680ADA" w:rsidRPr="00F1180D">
        <w:rPr>
          <w:lang w:val="fr-FR"/>
        </w:rPr>
        <w:t>,</w:t>
      </w:r>
      <w:r w:rsidR="000C6D4A" w:rsidRPr="00F1180D">
        <w:rPr>
          <w:lang w:val="fr-FR"/>
        </w:rPr>
        <w:t xml:space="preserve"> des centres de détention et des diverses institutions de prise en charge</w:t>
      </w:r>
      <w:r w:rsidR="00680ADA" w:rsidRPr="00F1180D">
        <w:rPr>
          <w:lang w:val="fr-FR"/>
        </w:rPr>
        <w:t>,</w:t>
      </w:r>
      <w:r w:rsidR="000C6D4A" w:rsidRPr="00F1180D">
        <w:rPr>
          <w:lang w:val="fr-FR"/>
        </w:rPr>
        <w:t xml:space="preserve"> ainsi que l</w:t>
      </w:r>
      <w:r w:rsidR="00680ADA" w:rsidRPr="00F1180D">
        <w:rPr>
          <w:lang w:val="fr-FR"/>
        </w:rPr>
        <w:t>’</w:t>
      </w:r>
      <w:r w:rsidR="000C6D4A" w:rsidRPr="00F1180D">
        <w:rPr>
          <w:lang w:val="fr-FR"/>
        </w:rPr>
        <w:t xml:space="preserve">élaboration de rapports y afférents. </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10</w:t>
      </w:r>
      <w:r w:rsidRPr="00F1180D">
        <w:rPr>
          <w:lang w:val="fr-FR" w:bidi="ar-KW"/>
        </w:rPr>
        <w:t>.</w:t>
      </w:r>
      <w:r w:rsidR="000C6D4A" w:rsidRPr="00F1180D">
        <w:rPr>
          <w:lang w:val="fr-FR" w:bidi="ar-KW"/>
        </w:rPr>
        <w:tab/>
      </w:r>
      <w:r w:rsidR="000C6D4A" w:rsidRPr="00F1180D">
        <w:rPr>
          <w:lang w:val="fr-FR"/>
        </w:rPr>
        <w:t>L</w:t>
      </w:r>
      <w:r w:rsidR="00680ADA" w:rsidRPr="00F1180D">
        <w:rPr>
          <w:lang w:val="fr-FR"/>
        </w:rPr>
        <w:t>’</w:t>
      </w:r>
      <w:r w:rsidR="000C6D4A" w:rsidRPr="00F1180D">
        <w:rPr>
          <w:lang w:val="fr-FR"/>
        </w:rPr>
        <w:t>examen et l</w:t>
      </w:r>
      <w:r w:rsidR="00680ADA" w:rsidRPr="00F1180D">
        <w:rPr>
          <w:lang w:val="fr-FR"/>
        </w:rPr>
        <w:t>’</w:t>
      </w:r>
      <w:r w:rsidR="000C6D4A" w:rsidRPr="00F1180D">
        <w:rPr>
          <w:lang w:val="fr-FR"/>
        </w:rPr>
        <w:t>étude d</w:t>
      </w:r>
      <w:r w:rsidR="00680ADA" w:rsidRPr="00F1180D">
        <w:rPr>
          <w:lang w:val="fr-FR"/>
        </w:rPr>
        <w:t>’</w:t>
      </w:r>
      <w:r w:rsidR="000C6D4A" w:rsidRPr="00F1180D">
        <w:rPr>
          <w:lang w:val="fr-FR"/>
        </w:rPr>
        <w:t>une éventuelle adhésion du Koweït aux instruments internationaux relatifs aux droits de l</w:t>
      </w:r>
      <w:r w:rsidR="00680ADA" w:rsidRPr="00F1180D">
        <w:rPr>
          <w:lang w:val="fr-FR"/>
        </w:rPr>
        <w:t>’</w:t>
      </w:r>
      <w:r w:rsidR="000C6D4A" w:rsidRPr="00F1180D">
        <w:rPr>
          <w:lang w:val="fr-FR"/>
        </w:rPr>
        <w:t>homme auxquels il n</w:t>
      </w:r>
      <w:r w:rsidR="00680ADA" w:rsidRPr="00F1180D">
        <w:rPr>
          <w:lang w:val="fr-FR"/>
        </w:rPr>
        <w:t>’</w:t>
      </w:r>
      <w:r w:rsidR="000C6D4A" w:rsidRPr="00F1180D">
        <w:rPr>
          <w:lang w:val="fr-FR"/>
        </w:rPr>
        <w:t xml:space="preserve">est pas partie et la formulation de recommandations à ce sujet aux autorités concernées. </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11</w:t>
      </w:r>
      <w:r w:rsidRPr="00F1180D">
        <w:rPr>
          <w:lang w:val="fr-FR" w:bidi="ar-KW"/>
        </w:rPr>
        <w:t>.</w:t>
      </w:r>
      <w:r w:rsidR="000C6D4A" w:rsidRPr="00F1180D">
        <w:rPr>
          <w:lang w:val="fr-FR" w:bidi="ar-KW"/>
        </w:rPr>
        <w:tab/>
      </w:r>
      <w:r w:rsidR="000C6D4A" w:rsidRPr="00F1180D">
        <w:rPr>
          <w:lang w:val="fr-FR"/>
        </w:rPr>
        <w:t>La participation aux forums</w:t>
      </w:r>
      <w:r w:rsidR="00680ADA" w:rsidRPr="00F1180D">
        <w:rPr>
          <w:lang w:val="fr-FR"/>
        </w:rPr>
        <w:t>,</w:t>
      </w:r>
      <w:r w:rsidR="000C6D4A" w:rsidRPr="00F1180D">
        <w:rPr>
          <w:lang w:val="fr-FR"/>
        </w:rPr>
        <w:t xml:space="preserve"> réunions</w:t>
      </w:r>
      <w:r w:rsidR="00680ADA" w:rsidRPr="00F1180D">
        <w:rPr>
          <w:lang w:val="fr-FR"/>
        </w:rPr>
        <w:t>,</w:t>
      </w:r>
      <w:r w:rsidR="000C6D4A" w:rsidRPr="00F1180D">
        <w:rPr>
          <w:lang w:val="fr-FR"/>
        </w:rPr>
        <w:t xml:space="preserve"> conférences</w:t>
      </w:r>
      <w:r w:rsidR="00680ADA" w:rsidRPr="00F1180D">
        <w:rPr>
          <w:lang w:val="fr-FR"/>
        </w:rPr>
        <w:t>,</w:t>
      </w:r>
      <w:r w:rsidR="000C6D4A" w:rsidRPr="00F1180D">
        <w:rPr>
          <w:lang w:val="fr-FR"/>
        </w:rPr>
        <w:t xml:space="preserve"> séminaires et colloques internationaux portant sur la promotion et la protection des droits de l</w:t>
      </w:r>
      <w:r w:rsidR="00680ADA" w:rsidRPr="00F1180D">
        <w:rPr>
          <w:lang w:val="fr-FR"/>
        </w:rPr>
        <w:t>’</w:t>
      </w:r>
      <w:r w:rsidR="000C6D4A" w:rsidRPr="00F1180D">
        <w:rPr>
          <w:lang w:val="fr-FR"/>
        </w:rPr>
        <w:t>homme.</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12</w:t>
      </w:r>
      <w:r w:rsidRPr="00F1180D">
        <w:rPr>
          <w:lang w:val="fr-FR" w:bidi="ar-KW"/>
        </w:rPr>
        <w:t>.</w:t>
      </w:r>
      <w:r w:rsidR="000C6D4A" w:rsidRPr="00F1180D">
        <w:rPr>
          <w:lang w:val="fr-FR" w:bidi="ar-KW"/>
        </w:rPr>
        <w:tab/>
      </w:r>
      <w:r w:rsidR="000C6D4A" w:rsidRPr="00F1180D">
        <w:rPr>
          <w:lang w:val="fr-FR"/>
        </w:rPr>
        <w:t>Le suivi des atteintes aux droits de l</w:t>
      </w:r>
      <w:r w:rsidR="00680ADA" w:rsidRPr="00F1180D">
        <w:rPr>
          <w:lang w:val="fr-FR"/>
        </w:rPr>
        <w:t>’</w:t>
      </w:r>
      <w:r w:rsidR="000C6D4A" w:rsidRPr="00F1180D">
        <w:rPr>
          <w:lang w:val="fr-FR"/>
        </w:rPr>
        <w:t>homme perpétrées à l</w:t>
      </w:r>
      <w:r w:rsidR="00680ADA" w:rsidRPr="00F1180D">
        <w:rPr>
          <w:lang w:val="fr-FR"/>
        </w:rPr>
        <w:t>’</w:t>
      </w:r>
      <w:r w:rsidR="000C6D4A" w:rsidRPr="00F1180D">
        <w:rPr>
          <w:lang w:val="fr-FR"/>
        </w:rPr>
        <w:t>encontre des citoyens koweïtiens</w:t>
      </w:r>
      <w:r w:rsidR="00680ADA" w:rsidRPr="00F1180D">
        <w:rPr>
          <w:lang w:val="fr-FR"/>
        </w:rPr>
        <w:t>,</w:t>
      </w:r>
      <w:r w:rsidR="000C6D4A" w:rsidRPr="00F1180D">
        <w:rPr>
          <w:lang w:val="fr-FR"/>
        </w:rPr>
        <w:t xml:space="preserve"> en collaboration avec le Ministère des affaires étrangères.</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13</w:t>
      </w:r>
      <w:r w:rsidRPr="00F1180D">
        <w:rPr>
          <w:lang w:val="fr-FR" w:bidi="ar-KW"/>
        </w:rPr>
        <w:t>.</w:t>
      </w:r>
      <w:r w:rsidR="000C6D4A" w:rsidRPr="00F1180D">
        <w:rPr>
          <w:lang w:val="fr-FR" w:bidi="ar-KW"/>
        </w:rPr>
        <w:tab/>
      </w:r>
      <w:r w:rsidR="000C6D4A" w:rsidRPr="00F1180D">
        <w:rPr>
          <w:lang w:val="fr-FR"/>
        </w:rPr>
        <w:t>L</w:t>
      </w:r>
      <w:r w:rsidR="00680ADA" w:rsidRPr="00F1180D">
        <w:rPr>
          <w:lang w:val="fr-FR"/>
        </w:rPr>
        <w:t>’</w:t>
      </w:r>
      <w:r w:rsidR="000C6D4A" w:rsidRPr="00F1180D">
        <w:rPr>
          <w:lang w:val="fr-FR"/>
        </w:rPr>
        <w:t>organisation de conférences et séminaires à propos de la promotion et la protection des droits de l</w:t>
      </w:r>
      <w:r w:rsidR="00680ADA" w:rsidRPr="00F1180D">
        <w:rPr>
          <w:lang w:val="fr-FR"/>
        </w:rPr>
        <w:t>’</w:t>
      </w:r>
      <w:r w:rsidR="000C6D4A" w:rsidRPr="00F1180D">
        <w:rPr>
          <w:lang w:val="fr-FR"/>
        </w:rPr>
        <w:t>homme au Koweït.</w:t>
      </w:r>
    </w:p>
    <w:p w:rsidR="000C6D4A" w:rsidRPr="00F1180D" w:rsidRDefault="00665A2A" w:rsidP="00680ADA">
      <w:pPr>
        <w:pStyle w:val="SingleTxtG"/>
        <w:rPr>
          <w:lang w:val="fr-FR" w:bidi="ar-KW"/>
        </w:rPr>
      </w:pPr>
      <w:r w:rsidRPr="00F1180D">
        <w:rPr>
          <w:lang w:val="fr-FR" w:bidi="ar-KW"/>
        </w:rPr>
        <w:tab/>
      </w:r>
      <w:r w:rsidR="000C6D4A" w:rsidRPr="00F1180D">
        <w:rPr>
          <w:lang w:val="fr-FR" w:bidi="ar-KW"/>
        </w:rPr>
        <w:t>14</w:t>
      </w:r>
      <w:r w:rsidRPr="00F1180D">
        <w:rPr>
          <w:lang w:val="fr-FR" w:bidi="ar-KW"/>
        </w:rPr>
        <w:t>.</w:t>
      </w:r>
      <w:r w:rsidR="000C6D4A" w:rsidRPr="00F1180D">
        <w:rPr>
          <w:lang w:val="fr-FR" w:bidi="ar-KW"/>
        </w:rPr>
        <w:tab/>
      </w:r>
      <w:r w:rsidR="000C6D4A" w:rsidRPr="00F1180D">
        <w:rPr>
          <w:lang w:val="fr-FR"/>
        </w:rPr>
        <w:t>La diffusion de bulletins d</w:t>
      </w:r>
      <w:r w:rsidR="00680ADA" w:rsidRPr="00F1180D">
        <w:rPr>
          <w:lang w:val="fr-FR"/>
        </w:rPr>
        <w:t>’</w:t>
      </w:r>
      <w:r w:rsidR="000C6D4A" w:rsidRPr="00F1180D">
        <w:rPr>
          <w:lang w:val="fr-FR"/>
        </w:rPr>
        <w:t>information</w:t>
      </w:r>
      <w:r w:rsidR="00680ADA" w:rsidRPr="00F1180D">
        <w:rPr>
          <w:lang w:val="fr-FR"/>
        </w:rPr>
        <w:t>,</w:t>
      </w:r>
      <w:r w:rsidR="000C6D4A" w:rsidRPr="00F1180D">
        <w:rPr>
          <w:lang w:val="fr-FR"/>
        </w:rPr>
        <w:t xml:space="preserve"> revues et autres publications relatives aux objectifs et attributions de l</w:t>
      </w:r>
      <w:r w:rsidR="00680ADA" w:rsidRPr="00F1180D">
        <w:rPr>
          <w:lang w:val="fr-FR"/>
        </w:rPr>
        <w:t>’</w:t>
      </w:r>
      <w:r w:rsidR="000C6D4A" w:rsidRPr="00F1180D">
        <w:rPr>
          <w:lang w:val="fr-FR"/>
        </w:rPr>
        <w:t xml:space="preserve">Office. </w:t>
      </w:r>
    </w:p>
    <w:p w:rsidR="000C6D4A" w:rsidRPr="00F1180D" w:rsidRDefault="00665A2A" w:rsidP="00665A2A">
      <w:pPr>
        <w:pStyle w:val="H1G"/>
        <w:rPr>
          <w:lang w:val="fr-FR"/>
        </w:rPr>
      </w:pPr>
      <w:r w:rsidRPr="00F1180D">
        <w:rPr>
          <w:lang w:val="fr-FR" w:bidi="ar-KW"/>
        </w:rPr>
        <w:tab/>
      </w:r>
      <w:r w:rsidRPr="00F1180D">
        <w:rPr>
          <w:lang w:val="fr-FR" w:bidi="ar-KW"/>
        </w:rPr>
        <w:tab/>
      </w:r>
      <w:r w:rsidR="000C6D4A" w:rsidRPr="00F1180D">
        <w:rPr>
          <w:lang w:val="fr-FR" w:bidi="ar-KW"/>
        </w:rPr>
        <w:t xml:space="preserve">Recommandation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11</w:t>
      </w:r>
    </w:p>
    <w:p w:rsidR="000C6D4A" w:rsidRPr="00F1180D" w:rsidRDefault="00930AE5" w:rsidP="00680ADA">
      <w:pPr>
        <w:pStyle w:val="SingleTxtG"/>
        <w:rPr>
          <w:rtl/>
          <w:lang w:val="fr-FR" w:bidi="fr-FR"/>
        </w:rPr>
      </w:pPr>
      <w:r>
        <w:rPr>
          <w:lang w:val="fr-FR" w:bidi="ar-KW"/>
        </w:rPr>
        <w:t>125.</w:t>
      </w:r>
      <w:r>
        <w:rPr>
          <w:lang w:val="fr-FR" w:bidi="ar-KW"/>
        </w:rPr>
        <w:tab/>
      </w:r>
      <w:r w:rsidR="000C6D4A" w:rsidRPr="00F1180D">
        <w:rPr>
          <w:lang w:val="fr-FR" w:bidi="ar-KW"/>
        </w:rPr>
        <w:t>Les dispositions de la Convention sur la réduction des cas d</w:t>
      </w:r>
      <w:r w:rsidR="00680ADA" w:rsidRPr="00F1180D">
        <w:rPr>
          <w:lang w:val="fr-FR" w:bidi="ar-KW"/>
        </w:rPr>
        <w:t>’</w:t>
      </w:r>
      <w:r w:rsidR="000C6D4A" w:rsidRPr="00F1180D">
        <w:rPr>
          <w:lang w:val="fr-FR" w:bidi="ar-KW"/>
        </w:rPr>
        <w:t>apatridie sont incompatibles avec les dispositions de la loi koweïtienne sur la nationalité</w:t>
      </w:r>
      <w:r w:rsidR="00680ADA" w:rsidRPr="00F1180D">
        <w:rPr>
          <w:lang w:val="fr-FR" w:bidi="ar-KW"/>
        </w:rPr>
        <w:t>,</w:t>
      </w:r>
      <w:r w:rsidR="000C6D4A" w:rsidRPr="00F1180D">
        <w:rPr>
          <w:lang w:val="fr-FR" w:bidi="ar-KW"/>
        </w:rPr>
        <w:t xml:space="preserve"> dans la mesure où elles préconisent d</w:t>
      </w:r>
      <w:r w:rsidR="00680ADA" w:rsidRPr="00F1180D">
        <w:rPr>
          <w:lang w:val="fr-FR" w:bidi="ar-KW"/>
        </w:rPr>
        <w:t>’</w:t>
      </w:r>
      <w:r w:rsidR="000C6D4A" w:rsidRPr="00F1180D">
        <w:rPr>
          <w:lang w:val="fr-FR" w:bidi="ar-KW"/>
        </w:rPr>
        <w:t>accorder aux apatrides la nationalité de leur pays de résidence pour régler la question de l</w:t>
      </w:r>
      <w:r w:rsidR="00680ADA" w:rsidRPr="00F1180D">
        <w:rPr>
          <w:lang w:val="fr-FR" w:bidi="ar-KW"/>
        </w:rPr>
        <w:t>’</w:t>
      </w:r>
      <w:r w:rsidR="000C6D4A" w:rsidRPr="00F1180D">
        <w:rPr>
          <w:lang w:val="fr-FR" w:bidi="ar-KW"/>
        </w:rPr>
        <w:t>apatridie. Ainsi</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0F7294" w:rsidRPr="00F1180D">
        <w:rPr>
          <w:lang w:val="fr-FR" w:bidi="ar-KW"/>
        </w:rPr>
        <w:t>1</w:t>
      </w:r>
      <w:r w:rsidR="000F7294" w:rsidRPr="00F1180D">
        <w:rPr>
          <w:vertAlign w:val="superscript"/>
          <w:lang w:val="fr-FR" w:bidi="ar-KW"/>
        </w:rPr>
        <w:t>er</w:t>
      </w:r>
      <w:r w:rsidR="000F7294" w:rsidRPr="00F1180D">
        <w:rPr>
          <w:lang w:val="fr-FR" w:bidi="ar-KW"/>
        </w:rPr>
        <w:t xml:space="preserve"> </w:t>
      </w:r>
      <w:r w:rsidR="000C6D4A" w:rsidRPr="00F1180D">
        <w:rPr>
          <w:lang w:val="fr-FR" w:bidi="ar-KW"/>
        </w:rPr>
        <w:t>(</w:t>
      </w:r>
      <w:r w:rsidR="000F7294" w:rsidRPr="00F1180D">
        <w:rPr>
          <w:lang w:val="fr-FR" w:bidi="ar-KW"/>
        </w:rPr>
        <w:t>par. </w:t>
      </w:r>
      <w:r w:rsidR="000C6D4A" w:rsidRPr="00F1180D">
        <w:rPr>
          <w:lang w:val="fr-FR" w:bidi="ar-KW"/>
        </w:rPr>
        <w:t>1) de la Convention impose à tout État contractant d</w:t>
      </w:r>
      <w:r w:rsidR="00680ADA" w:rsidRPr="00F1180D">
        <w:rPr>
          <w:lang w:val="fr-FR" w:bidi="ar-KW"/>
        </w:rPr>
        <w:t>’</w:t>
      </w:r>
      <w:r w:rsidR="000C6D4A" w:rsidRPr="00F1180D">
        <w:rPr>
          <w:lang w:val="fr-FR" w:bidi="ar-KW"/>
        </w:rPr>
        <w:t>accorder sa nationalité aux personnes nées sur son territoire</w:t>
      </w:r>
      <w:r w:rsidR="00680ADA" w:rsidRPr="00F1180D">
        <w:rPr>
          <w:lang w:val="fr-FR" w:bidi="ar-KW"/>
        </w:rPr>
        <w:t>,</w:t>
      </w:r>
      <w:r w:rsidR="000C6D4A" w:rsidRPr="00F1180D">
        <w:rPr>
          <w:lang w:val="fr-FR" w:bidi="ar-KW"/>
        </w:rPr>
        <w:t xml:space="preserve"> ce qui est en contradiction avec la loi koweïtienne sur la nationalité</w:t>
      </w:r>
      <w:r w:rsidR="00680ADA" w:rsidRPr="00F1180D">
        <w:rPr>
          <w:lang w:val="fr-FR" w:bidi="ar-KW"/>
        </w:rPr>
        <w:t>,</w:t>
      </w:r>
      <w:r w:rsidR="000C6D4A" w:rsidRPr="00F1180D">
        <w:rPr>
          <w:lang w:val="fr-FR" w:bidi="ar-KW"/>
        </w:rPr>
        <w:t xml:space="preserve"> selon laquelle la nationalité s</w:t>
      </w:r>
      <w:r w:rsidR="00680ADA" w:rsidRPr="00F1180D">
        <w:rPr>
          <w:lang w:val="fr-FR" w:bidi="ar-KW"/>
        </w:rPr>
        <w:t>’</w:t>
      </w:r>
      <w:r w:rsidR="000C6D4A" w:rsidRPr="00F1180D">
        <w:rPr>
          <w:lang w:val="fr-FR" w:bidi="ar-KW"/>
        </w:rPr>
        <w:t>acquiert par filiation (</w:t>
      </w:r>
      <w:r w:rsidR="000C6D4A" w:rsidRPr="00F1180D">
        <w:rPr>
          <w:i/>
          <w:lang w:val="fr-FR" w:bidi="ar-KW"/>
        </w:rPr>
        <w:t>jus sanguinis</w:t>
      </w:r>
      <w:r w:rsidR="000C6D4A" w:rsidRPr="00F1180D">
        <w:rPr>
          <w:lang w:val="fr-FR" w:bidi="ar-KW"/>
        </w:rPr>
        <w:t>) paternelle et non en raison du lieu de naissance (</w:t>
      </w:r>
      <w:r w:rsidR="000C6D4A" w:rsidRPr="00F1180D">
        <w:rPr>
          <w:i/>
          <w:lang w:val="fr-FR" w:bidi="ar-KW"/>
        </w:rPr>
        <w:t>jus soli</w:t>
      </w:r>
      <w:r w:rsidR="000C6D4A" w:rsidRPr="00F1180D">
        <w:rPr>
          <w:lang w:val="fr-FR" w:bidi="ar-KW"/>
        </w:rPr>
        <w:t xml:space="preserve">). </w:t>
      </w:r>
    </w:p>
    <w:p w:rsidR="000C6D4A" w:rsidRPr="00F1180D" w:rsidRDefault="00930AE5" w:rsidP="00680ADA">
      <w:pPr>
        <w:pStyle w:val="SingleTxtG"/>
        <w:rPr>
          <w:rtl/>
          <w:lang w:val="fr-FR" w:bidi="fr-FR"/>
        </w:rPr>
      </w:pPr>
      <w:r>
        <w:rPr>
          <w:lang w:val="fr-FR" w:bidi="ar-KW"/>
        </w:rPr>
        <w:t>126.</w:t>
      </w:r>
      <w:r>
        <w:rPr>
          <w:lang w:val="fr-FR" w:bidi="ar-KW"/>
        </w:rPr>
        <w:tab/>
      </w:r>
      <w:r w:rsidR="000C6D4A" w:rsidRPr="00F1180D">
        <w:rPr>
          <w:lang w:val="fr-FR" w:bidi="ar-KW"/>
        </w:rPr>
        <w:t xml:space="preserve">Le même </w:t>
      </w:r>
      <w:r w:rsidR="00163207" w:rsidRPr="00F1180D">
        <w:rPr>
          <w:lang w:val="fr-FR" w:bidi="ar-KW"/>
        </w:rPr>
        <w:t>article </w:t>
      </w:r>
      <w:r w:rsidR="000F7294" w:rsidRPr="00F1180D">
        <w:rPr>
          <w:lang w:val="fr-FR" w:bidi="ar-KW"/>
        </w:rPr>
        <w:t>1</w:t>
      </w:r>
      <w:r w:rsidR="000F7294" w:rsidRPr="00F1180D">
        <w:rPr>
          <w:vertAlign w:val="superscript"/>
          <w:lang w:val="fr-FR" w:bidi="ar-KW"/>
        </w:rPr>
        <w:t>er</w:t>
      </w:r>
      <w:r w:rsidR="000F7294" w:rsidRPr="00F1180D">
        <w:rPr>
          <w:lang w:val="fr-FR" w:bidi="ar-KW"/>
        </w:rPr>
        <w:t xml:space="preserve"> </w:t>
      </w:r>
      <w:r w:rsidR="000C6D4A" w:rsidRPr="00F1180D">
        <w:rPr>
          <w:lang w:val="fr-FR" w:bidi="ar-KW"/>
        </w:rPr>
        <w:t>de la Convention (</w:t>
      </w:r>
      <w:r w:rsidR="000F7294" w:rsidRPr="00F1180D">
        <w:rPr>
          <w:lang w:val="fr-FR" w:bidi="ar-KW"/>
        </w:rPr>
        <w:t>par. </w:t>
      </w:r>
      <w:r w:rsidR="000C6D4A" w:rsidRPr="00F1180D">
        <w:rPr>
          <w:lang w:val="fr-FR" w:bidi="ar-KW"/>
        </w:rPr>
        <w:t>3) selon lequel</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w:t>
      </w:r>
      <w:r w:rsidR="00680ADA" w:rsidRPr="00F1180D">
        <w:rPr>
          <w:lang w:val="fr-FR" w:bidi="ar-KW"/>
        </w:rPr>
        <w:t>’</w:t>
      </w:r>
      <w:r w:rsidR="000C6D4A" w:rsidRPr="00F1180D">
        <w:rPr>
          <w:lang w:val="fr-FR" w:bidi="ar-KW"/>
        </w:rPr>
        <w:t>enfant légitime né sur le territoire d</w:t>
      </w:r>
      <w:r w:rsidR="00680ADA" w:rsidRPr="00F1180D">
        <w:rPr>
          <w:lang w:val="fr-FR" w:bidi="ar-KW"/>
        </w:rPr>
        <w:t>’</w:t>
      </w:r>
      <w:r w:rsidR="000C6D4A" w:rsidRPr="00F1180D">
        <w:rPr>
          <w:lang w:val="fr-FR" w:bidi="ar-KW"/>
        </w:rPr>
        <w:t>un État contractant et dont la mère possède la nationalité de cet État acquiert cette nationalité à la naissance si</w:t>
      </w:r>
      <w:r w:rsidR="00680ADA" w:rsidRPr="00F1180D">
        <w:rPr>
          <w:lang w:val="fr-FR" w:bidi="ar-KW"/>
        </w:rPr>
        <w:t>,</w:t>
      </w:r>
      <w:r w:rsidR="000C6D4A" w:rsidRPr="00F1180D">
        <w:rPr>
          <w:lang w:val="fr-FR" w:bidi="ar-KW"/>
        </w:rPr>
        <w:t xml:space="preserve"> autrement</w:t>
      </w:r>
      <w:r w:rsidR="00680ADA" w:rsidRPr="00F1180D">
        <w:rPr>
          <w:lang w:val="fr-FR" w:bidi="ar-KW"/>
        </w:rPr>
        <w:t>,</w:t>
      </w:r>
      <w:r w:rsidR="000C6D4A" w:rsidRPr="00F1180D">
        <w:rPr>
          <w:lang w:val="fr-FR" w:bidi="ar-KW"/>
        </w:rPr>
        <w:t xml:space="preserve"> il serait apatride</w:t>
      </w:r>
      <w:r w:rsidR="00680ADA" w:rsidRPr="00F1180D">
        <w:rPr>
          <w:lang w:val="fr-FR" w:bidi="ar-KW"/>
        </w:rPr>
        <w:t>»</w:t>
      </w:r>
      <w:r w:rsidR="000C6D4A" w:rsidRPr="00F1180D">
        <w:rPr>
          <w:lang w:val="fr-FR" w:bidi="ar-KW"/>
        </w:rPr>
        <w:t xml:space="preserve"> est également en contradiction avec la loi koweïtienne sur la nationalité</w:t>
      </w:r>
      <w:r w:rsidR="00680ADA" w:rsidRPr="00F1180D">
        <w:rPr>
          <w:lang w:val="fr-FR" w:bidi="ar-KW"/>
        </w:rPr>
        <w:t>,</w:t>
      </w:r>
      <w:r w:rsidR="000C6D4A" w:rsidRPr="00F1180D">
        <w:rPr>
          <w:lang w:val="fr-FR" w:bidi="ar-KW"/>
        </w:rPr>
        <w:t xml:space="preserve"> notamment avec les dispositions de son </w:t>
      </w:r>
      <w:r w:rsidR="00163207" w:rsidRPr="00F1180D">
        <w:rPr>
          <w:lang w:val="fr-FR" w:bidi="ar-KW"/>
        </w:rPr>
        <w:t>article </w:t>
      </w:r>
      <w:r w:rsidR="000C6D4A" w:rsidRPr="00F1180D">
        <w:rPr>
          <w:lang w:val="fr-FR" w:bidi="ar-KW"/>
        </w:rPr>
        <w:t>5 qui subordonnent l</w:t>
      </w:r>
      <w:r w:rsidR="00680ADA" w:rsidRPr="00F1180D">
        <w:rPr>
          <w:lang w:val="fr-FR" w:bidi="ar-KW"/>
        </w:rPr>
        <w:t>’</w:t>
      </w:r>
      <w:r w:rsidR="000C6D4A" w:rsidRPr="00F1180D">
        <w:rPr>
          <w:lang w:val="fr-FR" w:bidi="ar-KW"/>
        </w:rPr>
        <w:t>octroi de la nationalité de la mère citoyenne à l</w:t>
      </w:r>
      <w:r w:rsidR="00680ADA" w:rsidRPr="00F1180D">
        <w:rPr>
          <w:lang w:val="fr-FR" w:bidi="ar-KW"/>
        </w:rPr>
        <w:t>’</w:t>
      </w:r>
      <w:r w:rsidR="000C6D4A" w:rsidRPr="00F1180D">
        <w:rPr>
          <w:lang w:val="fr-FR" w:bidi="ar-KW"/>
        </w:rPr>
        <w:t xml:space="preserve">enfant à des </w:t>
      </w:r>
      <w:r w:rsidR="000C6D4A" w:rsidRPr="00F1180D">
        <w:rPr>
          <w:lang w:val="fr-FR" w:bidi="ar-KW"/>
        </w:rPr>
        <w:lastRenderedPageBreak/>
        <w:t>conditions et critères déterminés</w:t>
      </w:r>
      <w:r w:rsidR="00680ADA" w:rsidRPr="00F1180D">
        <w:rPr>
          <w:lang w:val="fr-FR" w:bidi="ar-KW"/>
        </w:rPr>
        <w:t>,</w:t>
      </w:r>
      <w:r w:rsidR="000C6D4A" w:rsidRPr="00F1180D">
        <w:rPr>
          <w:lang w:val="fr-FR" w:bidi="ar-KW"/>
        </w:rPr>
        <w:t xml:space="preserve"> parmi lesquels l</w:t>
      </w:r>
      <w:r w:rsidR="00680ADA" w:rsidRPr="00F1180D">
        <w:rPr>
          <w:lang w:val="fr-FR" w:bidi="ar-KW"/>
        </w:rPr>
        <w:t>’</w:t>
      </w:r>
      <w:r w:rsidR="000C6D4A" w:rsidRPr="00F1180D">
        <w:rPr>
          <w:lang w:val="fr-FR" w:bidi="ar-KW"/>
        </w:rPr>
        <w:t>obligation incombant à l</w:t>
      </w:r>
      <w:r w:rsidR="00680ADA" w:rsidRPr="00F1180D">
        <w:rPr>
          <w:lang w:val="fr-FR" w:bidi="ar-KW"/>
        </w:rPr>
        <w:t>’</w:t>
      </w:r>
      <w:r w:rsidR="000C6D4A" w:rsidRPr="00F1180D">
        <w:rPr>
          <w:lang w:val="fr-FR" w:bidi="ar-KW"/>
        </w:rPr>
        <w:t>intéressé de résider dans le pays jusqu</w:t>
      </w:r>
      <w:r w:rsidR="00680ADA" w:rsidRPr="00F1180D">
        <w:rPr>
          <w:lang w:val="fr-FR" w:bidi="ar-KW"/>
        </w:rPr>
        <w:t>’</w:t>
      </w:r>
      <w:r w:rsidR="000C6D4A" w:rsidRPr="00F1180D">
        <w:rPr>
          <w:lang w:val="fr-FR" w:bidi="ar-KW"/>
        </w:rPr>
        <w:t xml:space="preserve">à sa majorité. </w:t>
      </w:r>
    </w:p>
    <w:p w:rsidR="000C6D4A" w:rsidRPr="00F1180D" w:rsidRDefault="00930AE5" w:rsidP="00680ADA">
      <w:pPr>
        <w:pStyle w:val="SingleTxtG"/>
        <w:rPr>
          <w:rtl/>
          <w:lang w:val="fr-FR" w:bidi="fr-FR"/>
        </w:rPr>
      </w:pPr>
      <w:r>
        <w:rPr>
          <w:lang w:val="fr-FR" w:bidi="ar-KW"/>
        </w:rPr>
        <w:t>127.</w:t>
      </w:r>
      <w:r>
        <w:rPr>
          <w:lang w:val="fr-FR" w:bidi="ar-KW"/>
        </w:rPr>
        <w:tab/>
      </w:r>
      <w:r w:rsidR="000C6D4A" w:rsidRPr="00F1180D">
        <w:rPr>
          <w:lang w:val="fr-FR" w:bidi="ar-KW"/>
        </w:rPr>
        <w:t>En outre</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0C6D4A" w:rsidRPr="00F1180D">
        <w:rPr>
          <w:lang w:val="fr-FR" w:bidi="ar-KW"/>
        </w:rPr>
        <w:t>6 de la Convention selon lequel le fait pour un individu de perdre sa nationalité ou d</w:t>
      </w:r>
      <w:r w:rsidR="00680ADA" w:rsidRPr="00F1180D">
        <w:rPr>
          <w:lang w:val="fr-FR" w:bidi="ar-KW"/>
        </w:rPr>
        <w:t>’</w:t>
      </w:r>
      <w:r w:rsidR="000C6D4A" w:rsidRPr="00F1180D">
        <w:rPr>
          <w:lang w:val="fr-FR" w:bidi="ar-KW"/>
        </w:rPr>
        <w:t>en être privé entraîne la perte de cette nationalité pour le conjoint ou les enfants</w:t>
      </w:r>
      <w:r w:rsidR="00680ADA" w:rsidRPr="00F1180D">
        <w:rPr>
          <w:lang w:val="fr-FR" w:bidi="ar-KW"/>
        </w:rPr>
        <w:t>,</w:t>
      </w:r>
      <w:r w:rsidR="000C6D4A" w:rsidRPr="00F1180D">
        <w:rPr>
          <w:lang w:val="fr-FR" w:bidi="ar-KW"/>
        </w:rPr>
        <w:t xml:space="preserve"> perte subordonnée à la possession ou à l</w:t>
      </w:r>
      <w:r w:rsidR="00680ADA" w:rsidRPr="00F1180D">
        <w:rPr>
          <w:lang w:val="fr-FR" w:bidi="ar-KW"/>
        </w:rPr>
        <w:t>’</w:t>
      </w:r>
      <w:r w:rsidR="000C6D4A" w:rsidRPr="00F1180D">
        <w:rPr>
          <w:lang w:val="fr-FR" w:bidi="ar-KW"/>
        </w:rPr>
        <w:t>acquisition par ces derniers d</w:t>
      </w:r>
      <w:r w:rsidR="00680ADA" w:rsidRPr="00F1180D">
        <w:rPr>
          <w:lang w:val="fr-FR" w:bidi="ar-KW"/>
        </w:rPr>
        <w:t>’</w:t>
      </w:r>
      <w:r w:rsidR="000C6D4A" w:rsidRPr="00F1180D">
        <w:rPr>
          <w:lang w:val="fr-FR" w:bidi="ar-KW"/>
        </w:rPr>
        <w:t>une autre nationalité</w:t>
      </w:r>
      <w:r w:rsidR="00680ADA" w:rsidRPr="00F1180D">
        <w:rPr>
          <w:lang w:val="fr-FR" w:bidi="ar-KW"/>
        </w:rPr>
        <w:t>,</w:t>
      </w:r>
      <w:r w:rsidR="000C6D4A" w:rsidRPr="00F1180D">
        <w:rPr>
          <w:lang w:val="fr-FR" w:bidi="ar-KW"/>
        </w:rPr>
        <w:t xml:space="preserve"> est contraire aux </w:t>
      </w:r>
      <w:r w:rsidR="00DE029F" w:rsidRPr="00F1180D">
        <w:rPr>
          <w:lang w:val="fr-FR" w:bidi="ar-KW"/>
        </w:rPr>
        <w:t>articles </w:t>
      </w:r>
      <w:r w:rsidR="000C6D4A" w:rsidRPr="00F1180D">
        <w:rPr>
          <w:lang w:val="fr-FR" w:bidi="ar-KW"/>
        </w:rPr>
        <w:t>11 et 12 de la loi koweïtienne sur la nationalité et incompatible avec leurs dispositions</w:t>
      </w:r>
      <w:r w:rsidR="00680ADA" w:rsidRPr="00F1180D">
        <w:rPr>
          <w:lang w:val="fr-FR" w:bidi="ar-KW"/>
        </w:rPr>
        <w:t>,</w:t>
      </w:r>
      <w:r w:rsidR="000C6D4A" w:rsidRPr="00F1180D">
        <w:rPr>
          <w:lang w:val="fr-FR" w:bidi="ar-KW"/>
        </w:rPr>
        <w:t xml:space="preserve"> qui prévoient que le fait pour un individu naturalisé de perdre sa nationalité ou d</w:t>
      </w:r>
      <w:r w:rsidR="00680ADA" w:rsidRPr="00F1180D">
        <w:rPr>
          <w:lang w:val="fr-FR" w:bidi="ar-KW"/>
        </w:rPr>
        <w:t>’</w:t>
      </w:r>
      <w:r w:rsidR="000C6D4A" w:rsidRPr="00F1180D">
        <w:rPr>
          <w:lang w:val="fr-FR" w:bidi="ar-KW"/>
        </w:rPr>
        <w:t>en être privé entraîne la perte de celle-ci pour tous ceux l</w:t>
      </w:r>
      <w:r w:rsidR="00680ADA" w:rsidRPr="00F1180D">
        <w:rPr>
          <w:lang w:val="fr-FR" w:bidi="ar-KW"/>
        </w:rPr>
        <w:t>’</w:t>
      </w:r>
      <w:r w:rsidR="000C6D4A" w:rsidRPr="00F1180D">
        <w:rPr>
          <w:lang w:val="fr-FR" w:bidi="ar-KW"/>
        </w:rPr>
        <w:t>ayant acquise à sa suite par alliance ou filiation et qui précisent que l</w:t>
      </w:r>
      <w:r w:rsidR="00680ADA" w:rsidRPr="00F1180D">
        <w:rPr>
          <w:lang w:val="fr-FR" w:bidi="ar-KW"/>
        </w:rPr>
        <w:t>’</w:t>
      </w:r>
      <w:r w:rsidR="000C6D4A" w:rsidRPr="00F1180D">
        <w:rPr>
          <w:lang w:val="fr-FR" w:bidi="ar-KW"/>
        </w:rPr>
        <w:t>État n</w:t>
      </w:r>
      <w:r w:rsidR="00680ADA" w:rsidRPr="00F1180D">
        <w:rPr>
          <w:lang w:val="fr-FR" w:bidi="ar-KW"/>
        </w:rPr>
        <w:t>’</w:t>
      </w:r>
      <w:r w:rsidR="000C6D4A" w:rsidRPr="00F1180D">
        <w:rPr>
          <w:lang w:val="fr-FR" w:bidi="ar-KW"/>
        </w:rPr>
        <w:t>est pas habilité à diligenter des recherches visant à déterminer si ces personnes bénéficient par ailleurs d</w:t>
      </w:r>
      <w:r w:rsidR="00680ADA" w:rsidRPr="00F1180D">
        <w:rPr>
          <w:lang w:val="fr-FR" w:bidi="ar-KW"/>
        </w:rPr>
        <w:t>’</w:t>
      </w:r>
      <w:r w:rsidR="000C6D4A" w:rsidRPr="00F1180D">
        <w:rPr>
          <w:lang w:val="fr-FR" w:bidi="ar-KW"/>
        </w:rPr>
        <w:t>une autre nationalité.</w:t>
      </w:r>
    </w:p>
    <w:p w:rsidR="000C6D4A" w:rsidRPr="00F1180D" w:rsidRDefault="000F7294" w:rsidP="000F7294">
      <w:pPr>
        <w:pStyle w:val="H23G"/>
        <w:rPr>
          <w:bCs/>
          <w:rtl/>
          <w:lang w:val="fr-FR" w:bidi="fr-FR"/>
        </w:rPr>
      </w:pPr>
      <w:r w:rsidRPr="00F1180D">
        <w:rPr>
          <w:lang w:val="fr-FR" w:bidi="ar-KW"/>
        </w:rPr>
        <w:tab/>
      </w:r>
      <w:r w:rsidRPr="00F1180D">
        <w:rPr>
          <w:lang w:val="fr-FR" w:bidi="ar-KW"/>
        </w:rPr>
        <w:tab/>
      </w:r>
      <w:r w:rsidR="000C6D4A" w:rsidRPr="00F1180D">
        <w:rPr>
          <w:lang w:val="fr-FR" w:bidi="ar-KW"/>
        </w:rPr>
        <w:t>Convention relative au statut des apatrides</w:t>
      </w:r>
    </w:p>
    <w:p w:rsidR="000C6D4A" w:rsidRPr="00F1180D" w:rsidRDefault="00930AE5" w:rsidP="00680ADA">
      <w:pPr>
        <w:pStyle w:val="SingleTxtG"/>
        <w:rPr>
          <w:rtl/>
          <w:lang w:val="fr-FR" w:bidi="fr-FR"/>
        </w:rPr>
      </w:pPr>
      <w:r>
        <w:rPr>
          <w:lang w:val="fr-FR" w:bidi="ar-KW"/>
        </w:rPr>
        <w:t>128.</w:t>
      </w:r>
      <w:r>
        <w:rPr>
          <w:lang w:val="fr-FR" w:bidi="ar-KW"/>
        </w:rPr>
        <w:tab/>
      </w:r>
      <w:r w:rsidR="000C6D4A" w:rsidRPr="00F1180D">
        <w:rPr>
          <w:lang w:val="fr-FR" w:bidi="ar-KW"/>
        </w:rPr>
        <w:t>La Convention traite des questions relatives aux apatrides sous tous leurs aspects</w:t>
      </w:r>
      <w:r w:rsidR="00680ADA" w:rsidRPr="00F1180D">
        <w:rPr>
          <w:lang w:val="fr-FR" w:bidi="ar-KW"/>
        </w:rPr>
        <w:t>,</w:t>
      </w:r>
      <w:r w:rsidR="000C6D4A" w:rsidRPr="00F1180D">
        <w:rPr>
          <w:lang w:val="fr-FR" w:bidi="ar-KW"/>
        </w:rPr>
        <w:t xml:space="preserve"> étant précisé qu</w:t>
      </w:r>
      <w:r w:rsidR="00680ADA" w:rsidRPr="00F1180D">
        <w:rPr>
          <w:lang w:val="fr-FR" w:bidi="ar-KW"/>
        </w:rPr>
        <w:t>’</w:t>
      </w:r>
      <w:r w:rsidR="000C6D4A" w:rsidRPr="00F1180D">
        <w:rPr>
          <w:lang w:val="fr-FR" w:bidi="ar-KW"/>
        </w:rPr>
        <w:t>elle ne cherche pas à réduire les cas d</w:t>
      </w:r>
      <w:r w:rsidR="00680ADA" w:rsidRPr="00F1180D">
        <w:rPr>
          <w:lang w:val="fr-FR" w:bidi="ar-KW"/>
        </w:rPr>
        <w:t>’</w:t>
      </w:r>
      <w:r w:rsidR="000C6D4A" w:rsidRPr="00F1180D">
        <w:rPr>
          <w:lang w:val="fr-FR" w:bidi="ar-KW"/>
        </w:rPr>
        <w:t>apatridie en proposant des solutions à cette catégorie de personnes</w:t>
      </w:r>
      <w:r w:rsidR="00680ADA" w:rsidRPr="00F1180D">
        <w:rPr>
          <w:lang w:val="fr-FR" w:bidi="ar-KW"/>
        </w:rPr>
        <w:t>,</w:t>
      </w:r>
      <w:r w:rsidR="000C6D4A" w:rsidRPr="00F1180D">
        <w:rPr>
          <w:lang w:val="fr-FR" w:bidi="ar-KW"/>
        </w:rPr>
        <w:t xml:space="preserve"> mais réglemente leur situation dans les pays où elles se trouvent. Le Koweït n</w:t>
      </w:r>
      <w:r w:rsidR="00680ADA" w:rsidRPr="00F1180D">
        <w:rPr>
          <w:lang w:val="fr-FR" w:bidi="ar-KW"/>
        </w:rPr>
        <w:t>’</w:t>
      </w:r>
      <w:r w:rsidR="000C6D4A" w:rsidRPr="00F1180D">
        <w:rPr>
          <w:lang w:val="fr-FR" w:bidi="ar-KW"/>
        </w:rPr>
        <w:t xml:space="preserve">a pas adhéré à cette Convention au motif que ses dispositions sont contraires à la loi koweïtienne sur la nationalité. </w:t>
      </w:r>
    </w:p>
    <w:p w:rsidR="000C6D4A" w:rsidRPr="00F1180D" w:rsidRDefault="00930AE5" w:rsidP="00680ADA">
      <w:pPr>
        <w:pStyle w:val="SingleTxtG"/>
        <w:rPr>
          <w:rtl/>
          <w:lang w:val="fr-FR" w:bidi="fr-FR"/>
        </w:rPr>
      </w:pPr>
      <w:r>
        <w:rPr>
          <w:lang w:val="fr-FR" w:bidi="ar-KW"/>
        </w:rPr>
        <w:t>129.</w:t>
      </w:r>
      <w:r>
        <w:rPr>
          <w:lang w:val="fr-FR" w:bidi="ar-KW"/>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17 (</w:t>
      </w:r>
      <w:r w:rsidR="000F7294" w:rsidRPr="00F1180D">
        <w:rPr>
          <w:lang w:val="fr-FR" w:bidi="ar-KW"/>
        </w:rPr>
        <w:t>par. </w:t>
      </w:r>
      <w:r w:rsidR="000C6D4A" w:rsidRPr="00F1180D">
        <w:rPr>
          <w:lang w:val="fr-FR" w:bidi="ar-KW"/>
        </w:rPr>
        <w:t>1)</w:t>
      </w:r>
      <w:r w:rsidR="00680ADA" w:rsidRPr="00F1180D">
        <w:rPr>
          <w:lang w:val="fr-FR" w:bidi="ar-KW"/>
        </w:rPr>
        <w:t>,</w:t>
      </w:r>
      <w:r w:rsidR="000C6D4A" w:rsidRPr="00F1180D">
        <w:rPr>
          <w:lang w:val="fr-FR" w:bidi="ar-KW"/>
        </w:rPr>
        <w:t xml:space="preserve"> qui subordonne la perte de la nationalité ou la renonciation à celle-ci à l</w:t>
      </w:r>
      <w:r w:rsidR="00680ADA" w:rsidRPr="00F1180D">
        <w:rPr>
          <w:lang w:val="fr-FR" w:bidi="ar-KW"/>
        </w:rPr>
        <w:t>’</w:t>
      </w:r>
      <w:r w:rsidR="000C6D4A" w:rsidRPr="00F1180D">
        <w:rPr>
          <w:lang w:val="fr-FR" w:bidi="ar-KW"/>
        </w:rPr>
        <w:t>acquisition d</w:t>
      </w:r>
      <w:r w:rsidR="00680ADA" w:rsidRPr="00F1180D">
        <w:rPr>
          <w:lang w:val="fr-FR" w:bidi="ar-KW"/>
        </w:rPr>
        <w:t>’</w:t>
      </w:r>
      <w:r w:rsidR="000C6D4A" w:rsidRPr="00F1180D">
        <w:rPr>
          <w:lang w:val="fr-FR" w:bidi="ar-KW"/>
        </w:rPr>
        <w:t>une autre nationalité</w:t>
      </w:r>
      <w:r w:rsidR="00680ADA" w:rsidRPr="00F1180D">
        <w:rPr>
          <w:lang w:val="fr-FR" w:bidi="ar-KW"/>
        </w:rPr>
        <w:t>,</w:t>
      </w:r>
      <w:r w:rsidR="000C6D4A" w:rsidRPr="00F1180D">
        <w:rPr>
          <w:lang w:val="fr-FR" w:bidi="ar-KW"/>
        </w:rPr>
        <w:t xml:space="preserve"> dépasse le champ de compétence de l</w:t>
      </w:r>
      <w:r w:rsidR="00680ADA" w:rsidRPr="00F1180D">
        <w:rPr>
          <w:lang w:val="fr-FR" w:bidi="ar-KW"/>
        </w:rPr>
        <w:t>’</w:t>
      </w:r>
      <w:r w:rsidR="000C6D4A" w:rsidRPr="00F1180D">
        <w:rPr>
          <w:lang w:val="fr-FR" w:bidi="ar-KW"/>
        </w:rPr>
        <w:t>État</w:t>
      </w:r>
      <w:r w:rsidR="00680ADA" w:rsidRPr="00F1180D">
        <w:rPr>
          <w:lang w:val="fr-FR" w:bidi="ar-KW"/>
        </w:rPr>
        <w:t>,</w:t>
      </w:r>
      <w:r w:rsidR="000C6D4A" w:rsidRPr="00F1180D">
        <w:rPr>
          <w:lang w:val="fr-FR" w:bidi="ar-KW"/>
        </w:rPr>
        <w:t xml:space="preserve"> dans la mesure où le retrait ou la privation de nationalité ne peuvent intervenir que si certaines conditions sont remplies et indépendamment du fait de l</w:t>
      </w:r>
      <w:r w:rsidR="00680ADA" w:rsidRPr="00F1180D">
        <w:rPr>
          <w:lang w:val="fr-FR" w:bidi="ar-KW"/>
        </w:rPr>
        <w:t>’</w:t>
      </w:r>
      <w:r w:rsidR="000C6D4A" w:rsidRPr="00F1180D">
        <w:rPr>
          <w:lang w:val="fr-FR" w:bidi="ar-KW"/>
        </w:rPr>
        <w:t>acquisition ou non de cette nationalité par l</w:t>
      </w:r>
      <w:r w:rsidR="00680ADA" w:rsidRPr="00F1180D">
        <w:rPr>
          <w:lang w:val="fr-FR" w:bidi="ar-KW"/>
        </w:rPr>
        <w:t>’</w:t>
      </w:r>
      <w:r w:rsidR="000C6D4A" w:rsidRPr="00F1180D">
        <w:rPr>
          <w:lang w:val="fr-FR" w:bidi="ar-KW"/>
        </w:rPr>
        <w:t xml:space="preserve">intéressé. </w:t>
      </w:r>
    </w:p>
    <w:p w:rsidR="000C6D4A" w:rsidRPr="00F1180D" w:rsidRDefault="00930AE5" w:rsidP="00680ADA">
      <w:pPr>
        <w:pStyle w:val="SingleTxtG"/>
        <w:rPr>
          <w:rtl/>
          <w:lang w:val="fr-FR" w:bidi="fr-FR"/>
        </w:rPr>
      </w:pPr>
      <w:r>
        <w:rPr>
          <w:lang w:val="fr-FR" w:bidi="ar-KW"/>
        </w:rPr>
        <w:t>130.</w:t>
      </w:r>
      <w:r>
        <w:rPr>
          <w:lang w:val="fr-FR" w:bidi="ar-KW"/>
        </w:rPr>
        <w:tab/>
      </w:r>
      <w:r w:rsidR="000C6D4A" w:rsidRPr="00F1180D">
        <w:rPr>
          <w:lang w:val="fr-FR" w:bidi="ar-KW"/>
        </w:rPr>
        <w:t>Il en est de même de l</w:t>
      </w:r>
      <w:r w:rsidR="00680ADA" w:rsidRPr="00F1180D">
        <w:rPr>
          <w:lang w:val="fr-FR" w:bidi="ar-KW"/>
        </w:rPr>
        <w:t>’</w:t>
      </w:r>
      <w:r w:rsidR="00163207" w:rsidRPr="00F1180D">
        <w:rPr>
          <w:lang w:val="fr-FR" w:bidi="ar-KW"/>
        </w:rPr>
        <w:t>article </w:t>
      </w:r>
      <w:r w:rsidR="000C6D4A" w:rsidRPr="00F1180D">
        <w:rPr>
          <w:lang w:val="fr-FR" w:bidi="ar-KW"/>
        </w:rPr>
        <w:t>7 (</w:t>
      </w:r>
      <w:r w:rsidR="000F7294" w:rsidRPr="00F1180D">
        <w:rPr>
          <w:lang w:val="fr-FR" w:bidi="ar-KW"/>
        </w:rPr>
        <w:t>par. </w:t>
      </w:r>
      <w:r w:rsidR="000C6D4A" w:rsidRPr="00F1180D">
        <w:rPr>
          <w:lang w:val="fr-FR" w:bidi="ar-KW"/>
        </w:rPr>
        <w:t>6) qui énonce un principe général d</w:t>
      </w:r>
      <w:r w:rsidR="00680ADA" w:rsidRPr="00F1180D">
        <w:rPr>
          <w:lang w:val="fr-FR" w:bidi="ar-KW"/>
        </w:rPr>
        <w:t>’</w:t>
      </w:r>
      <w:r w:rsidR="000C6D4A" w:rsidRPr="00F1180D">
        <w:rPr>
          <w:lang w:val="fr-FR" w:bidi="ar-KW"/>
        </w:rPr>
        <w:t>interdiction de priver une personne de sa nationalité si cela doit la rendre apatride</w:t>
      </w:r>
      <w:r w:rsidR="00680ADA" w:rsidRPr="00F1180D">
        <w:rPr>
          <w:lang w:val="fr-FR" w:bidi="ar-KW"/>
        </w:rPr>
        <w:t>,</w:t>
      </w:r>
      <w:r w:rsidR="000C6D4A" w:rsidRPr="00F1180D">
        <w:rPr>
          <w:lang w:val="fr-FR" w:bidi="ar-KW"/>
        </w:rPr>
        <w:t xml:space="preserve"> car comme indiqué précédemment</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octroi d</w:t>
      </w:r>
      <w:r w:rsidR="00680ADA" w:rsidRPr="00F1180D">
        <w:rPr>
          <w:lang w:val="fr-FR" w:bidi="ar-KW"/>
        </w:rPr>
        <w:t>’</w:t>
      </w:r>
      <w:r w:rsidR="000C6D4A" w:rsidRPr="00F1180D">
        <w:rPr>
          <w:lang w:val="fr-FR" w:bidi="ar-KW"/>
        </w:rPr>
        <w:t xml:space="preserve">une autre nationalité à une personne ayant perdu la sienne ne fait pas partie des compétences étatiques et ne doit pas faire obstacle au retrait ou à la privation de nationalité si les dispositions y afférentes sont conformes à la loi koweïtienne sur la nationalité. </w:t>
      </w:r>
    </w:p>
    <w:p w:rsidR="000C6D4A" w:rsidRPr="00F1180D" w:rsidRDefault="00930AE5" w:rsidP="00680ADA">
      <w:pPr>
        <w:pStyle w:val="SingleTxtG"/>
        <w:rPr>
          <w:rtl/>
          <w:lang w:val="fr-FR" w:bidi="fr-FR"/>
        </w:rPr>
      </w:pPr>
      <w:r>
        <w:rPr>
          <w:lang w:val="fr-FR" w:bidi="ar-KW"/>
        </w:rPr>
        <w:t>131.</w:t>
      </w:r>
      <w:r>
        <w:rPr>
          <w:lang w:val="fr-FR" w:bidi="ar-KW"/>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17 (</w:t>
      </w:r>
      <w:r w:rsidR="000F7294" w:rsidRPr="00F1180D">
        <w:rPr>
          <w:lang w:val="fr-FR" w:bidi="ar-KW"/>
        </w:rPr>
        <w:t>par. </w:t>
      </w:r>
      <w:r w:rsidR="000C6D4A" w:rsidRPr="00F1180D">
        <w:rPr>
          <w:lang w:val="fr-FR" w:bidi="ar-KW"/>
        </w:rPr>
        <w:t>1) de la Convention n</w:t>
      </w:r>
      <w:r w:rsidR="00680ADA" w:rsidRPr="00F1180D">
        <w:rPr>
          <w:lang w:val="fr-FR" w:bidi="ar-KW"/>
        </w:rPr>
        <w:t>’</w:t>
      </w:r>
      <w:r w:rsidR="000C6D4A" w:rsidRPr="00F1180D">
        <w:rPr>
          <w:lang w:val="fr-FR" w:bidi="ar-KW"/>
        </w:rPr>
        <w:t>autorise les États contractants à formuler des réserves qu</w:t>
      </w:r>
      <w:r w:rsidR="00680ADA" w:rsidRPr="00F1180D">
        <w:rPr>
          <w:lang w:val="fr-FR" w:bidi="ar-KW"/>
        </w:rPr>
        <w:t>’</w:t>
      </w:r>
      <w:r w:rsidR="000C6D4A" w:rsidRPr="00F1180D">
        <w:rPr>
          <w:lang w:val="fr-FR" w:bidi="ar-KW"/>
        </w:rPr>
        <w:t xml:space="preserve">à propos de ses </w:t>
      </w:r>
      <w:r w:rsidR="00DE029F" w:rsidRPr="00F1180D">
        <w:rPr>
          <w:lang w:val="fr-FR" w:bidi="ar-KW"/>
        </w:rPr>
        <w:t>articles </w:t>
      </w:r>
      <w:r w:rsidR="000C6D4A" w:rsidRPr="00F1180D">
        <w:rPr>
          <w:lang w:val="fr-FR" w:bidi="ar-KW"/>
        </w:rPr>
        <w:t>11</w:t>
      </w:r>
      <w:r w:rsidR="00680ADA" w:rsidRPr="00F1180D">
        <w:rPr>
          <w:lang w:val="fr-FR" w:bidi="ar-KW"/>
        </w:rPr>
        <w:t>,</w:t>
      </w:r>
      <w:r w:rsidR="000C6D4A" w:rsidRPr="00F1180D">
        <w:rPr>
          <w:lang w:val="fr-FR" w:bidi="ar-KW"/>
        </w:rPr>
        <w:t xml:space="preserve"> 14 et 15. Or</w:t>
      </w:r>
      <w:r w:rsidR="00680ADA" w:rsidRPr="00F1180D">
        <w:rPr>
          <w:lang w:val="fr-FR" w:bidi="ar-KW"/>
        </w:rPr>
        <w:t>,</w:t>
      </w:r>
      <w:r w:rsidR="000C6D4A" w:rsidRPr="00F1180D">
        <w:rPr>
          <w:lang w:val="fr-FR" w:bidi="ar-KW"/>
        </w:rPr>
        <w:t xml:space="preserve"> dans la mesure où le Koweït a formulé des observations au sujet de divers autres articles</w:t>
      </w:r>
      <w:r w:rsidR="00680ADA" w:rsidRPr="00F1180D">
        <w:rPr>
          <w:lang w:val="fr-FR" w:bidi="ar-KW"/>
        </w:rPr>
        <w:t>,</w:t>
      </w:r>
      <w:r w:rsidR="000C6D4A" w:rsidRPr="00F1180D">
        <w:rPr>
          <w:lang w:val="fr-FR" w:bidi="ar-KW"/>
        </w:rPr>
        <w:t xml:space="preserve"> il lui est par conséquent impossible d</w:t>
      </w:r>
      <w:r w:rsidR="00680ADA" w:rsidRPr="00F1180D">
        <w:rPr>
          <w:lang w:val="fr-FR" w:bidi="ar-KW"/>
        </w:rPr>
        <w:t>’</w:t>
      </w:r>
      <w:r w:rsidR="000C6D4A" w:rsidRPr="00F1180D">
        <w:rPr>
          <w:lang w:val="fr-FR" w:bidi="ar-KW"/>
        </w:rPr>
        <w:t xml:space="preserve">y adhérer. </w:t>
      </w:r>
    </w:p>
    <w:p w:rsidR="000C6D4A" w:rsidRPr="00F1180D" w:rsidRDefault="000F7294" w:rsidP="000F7294">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12</w:t>
      </w:r>
    </w:p>
    <w:p w:rsidR="000C6D4A" w:rsidRPr="00F1180D" w:rsidRDefault="00930AE5" w:rsidP="00680ADA">
      <w:pPr>
        <w:pStyle w:val="SingleTxtG"/>
        <w:rPr>
          <w:rtl/>
          <w:lang w:val="fr-FR" w:bidi="fr-FR"/>
        </w:rPr>
      </w:pPr>
      <w:r>
        <w:rPr>
          <w:lang w:val="fr-FR" w:bidi="ar-KW"/>
        </w:rPr>
        <w:t>132.</w:t>
      </w:r>
      <w:r>
        <w:rPr>
          <w:lang w:val="fr-FR" w:bidi="ar-KW"/>
        </w:rPr>
        <w:tab/>
      </w:r>
      <w:r w:rsidR="000C6D4A" w:rsidRPr="00F1180D">
        <w:rPr>
          <w:lang w:val="fr-FR" w:bidi="ar-KW"/>
        </w:rPr>
        <w:t>Le Koweït condamne et rejette le racisme et la discrimination raciale et n</w:t>
      </w:r>
      <w:r w:rsidR="00680ADA" w:rsidRPr="00F1180D">
        <w:rPr>
          <w:lang w:val="fr-FR" w:bidi="ar-KW"/>
        </w:rPr>
        <w:t>’</w:t>
      </w:r>
      <w:r w:rsidR="000C6D4A" w:rsidRPr="00F1180D">
        <w:rPr>
          <w:lang w:val="fr-FR" w:bidi="ar-KW"/>
        </w:rPr>
        <w:t>établit aucune distinction entre les membres de la société</w:t>
      </w:r>
      <w:r w:rsidR="00680ADA" w:rsidRPr="00F1180D">
        <w:rPr>
          <w:lang w:val="fr-FR" w:bidi="ar-KW"/>
        </w:rPr>
        <w:t>,</w:t>
      </w:r>
      <w:r w:rsidR="000C6D4A" w:rsidRPr="00F1180D">
        <w:rPr>
          <w:lang w:val="fr-FR" w:bidi="ar-KW"/>
        </w:rPr>
        <w:t xml:space="preserve"> conformément au verset coranique suivant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Humains</w:t>
      </w:r>
      <w:r w:rsidR="00680ADA" w:rsidRPr="00F1180D">
        <w:rPr>
          <w:lang w:val="fr-FR" w:bidi="ar-KW"/>
        </w:rPr>
        <w:t>,</w:t>
      </w:r>
      <w:r w:rsidR="000C6D4A" w:rsidRPr="00F1180D">
        <w:rPr>
          <w:lang w:val="fr-FR" w:bidi="ar-KW"/>
        </w:rPr>
        <w:t xml:space="preserve"> Nous vous avons créés d</w:t>
      </w:r>
      <w:r w:rsidR="00680ADA" w:rsidRPr="00F1180D">
        <w:rPr>
          <w:lang w:val="fr-FR" w:bidi="ar-KW"/>
        </w:rPr>
        <w:t>’</w:t>
      </w:r>
      <w:r w:rsidR="000C6D4A" w:rsidRPr="00F1180D">
        <w:rPr>
          <w:lang w:val="fr-FR" w:bidi="ar-KW"/>
        </w:rPr>
        <w:t>un mâle et d</w:t>
      </w:r>
      <w:r w:rsidR="00680ADA" w:rsidRPr="00F1180D">
        <w:rPr>
          <w:lang w:val="fr-FR" w:bidi="ar-KW"/>
        </w:rPr>
        <w:t>’</w:t>
      </w:r>
      <w:r w:rsidR="000C6D4A" w:rsidRPr="00F1180D">
        <w:rPr>
          <w:lang w:val="fr-FR" w:bidi="ar-KW"/>
        </w:rPr>
        <w:t>une femelle. Si nous avons fait de vous des peuples et des tribus c</w:t>
      </w:r>
      <w:r w:rsidR="00680ADA" w:rsidRPr="00F1180D">
        <w:rPr>
          <w:lang w:val="fr-FR" w:bidi="ar-KW"/>
        </w:rPr>
        <w:t>’</w:t>
      </w:r>
      <w:r w:rsidR="000C6D4A" w:rsidRPr="00F1180D">
        <w:rPr>
          <w:lang w:val="fr-FR" w:bidi="ar-KW"/>
        </w:rPr>
        <w:t>est en vue de votre connaissance mutuelle. Le plus noble d</w:t>
      </w:r>
      <w:r w:rsidR="00680ADA" w:rsidRPr="00F1180D">
        <w:rPr>
          <w:lang w:val="fr-FR" w:bidi="ar-KW"/>
        </w:rPr>
        <w:t>’</w:t>
      </w:r>
      <w:r w:rsidR="000C6D4A" w:rsidRPr="00F1180D">
        <w:rPr>
          <w:lang w:val="fr-FR" w:bidi="ar-KW"/>
        </w:rPr>
        <w:t>entre vous au regard de Dieu est le plus pieux</w:t>
      </w:r>
      <w:r w:rsidR="00680ADA" w:rsidRPr="00F1180D">
        <w:rPr>
          <w:lang w:val="fr-FR" w:bidi="ar-KW"/>
        </w:rPr>
        <w:t>;</w:t>
      </w:r>
      <w:r w:rsidR="000C6D4A" w:rsidRPr="00F1180D">
        <w:rPr>
          <w:lang w:val="fr-FR" w:bidi="ar-KW"/>
        </w:rPr>
        <w:t xml:space="preserve"> Dieu est omniscient et parfaitement connaisseur</w:t>
      </w:r>
      <w:r w:rsidR="00680ADA" w:rsidRPr="00F1180D">
        <w:rPr>
          <w:lang w:val="fr-FR" w:bidi="ar-KW"/>
        </w:rPr>
        <w:t>»</w:t>
      </w:r>
      <w:r w:rsidR="000C6D4A" w:rsidRPr="00F1180D">
        <w:rPr>
          <w:lang w:val="fr-FR" w:bidi="ar-KW"/>
        </w:rPr>
        <w:t xml:space="preserve"> (Al-Hujurat</w:t>
      </w:r>
      <w:r w:rsidR="00680ADA" w:rsidRPr="00F1180D">
        <w:rPr>
          <w:lang w:val="fr-FR" w:bidi="ar-KW"/>
        </w:rPr>
        <w:t xml:space="preserve"> –</w:t>
      </w:r>
      <w:r w:rsidR="000C6D4A" w:rsidRPr="00F1180D">
        <w:rPr>
          <w:lang w:val="fr-FR" w:bidi="ar-KW"/>
        </w:rPr>
        <w:t xml:space="preserve"> verset 13)</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autant qu</w:t>
      </w:r>
      <w:r w:rsidR="00680ADA" w:rsidRPr="00F1180D">
        <w:rPr>
          <w:lang w:val="fr-FR" w:bidi="ar-KW"/>
        </w:rPr>
        <w:t>’</w:t>
      </w:r>
      <w:r w:rsidR="000C6D4A" w:rsidRPr="00F1180D">
        <w:rPr>
          <w:lang w:val="fr-FR" w:bidi="ar-KW"/>
        </w:rPr>
        <w:t>en vertu de l</w:t>
      </w:r>
      <w:r w:rsidR="00680ADA" w:rsidRPr="00F1180D">
        <w:rPr>
          <w:lang w:val="fr-FR" w:bidi="ar-KW"/>
        </w:rPr>
        <w:t>’</w:t>
      </w:r>
      <w:r w:rsidR="00163207" w:rsidRPr="00F1180D">
        <w:rPr>
          <w:lang w:val="fr-FR" w:bidi="ar-KW"/>
        </w:rPr>
        <w:t>article </w:t>
      </w:r>
      <w:r w:rsidR="000C6D4A" w:rsidRPr="00F1180D">
        <w:rPr>
          <w:lang w:val="fr-FR" w:bidi="ar-KW"/>
        </w:rPr>
        <w:t>2 de la Constitution</w:t>
      </w:r>
      <w:r w:rsidR="00680ADA" w:rsidRPr="00F1180D">
        <w:rPr>
          <w:lang w:val="fr-FR" w:bidi="ar-KW"/>
        </w:rPr>
        <w:t>,</w:t>
      </w:r>
      <w:r w:rsidR="000C6D4A" w:rsidRPr="00F1180D">
        <w:rPr>
          <w:lang w:val="fr-FR" w:bidi="ar-KW"/>
        </w:rPr>
        <w:t xml:space="preserve"> la charia constitue l</w:t>
      </w:r>
      <w:r w:rsidR="00680ADA" w:rsidRPr="00F1180D">
        <w:rPr>
          <w:lang w:val="fr-FR" w:bidi="ar-KW"/>
        </w:rPr>
        <w:t>’</w:t>
      </w:r>
      <w:r w:rsidR="000C6D4A" w:rsidRPr="00F1180D">
        <w:rPr>
          <w:lang w:val="fr-FR" w:bidi="ar-KW"/>
        </w:rPr>
        <w:t xml:space="preserve">une des principales sources du droit. </w:t>
      </w:r>
    </w:p>
    <w:p w:rsidR="000C6D4A" w:rsidRPr="00F1180D" w:rsidRDefault="00930AE5" w:rsidP="00680ADA">
      <w:pPr>
        <w:pStyle w:val="SingleTxtG"/>
        <w:rPr>
          <w:lang w:val="fr-FR" w:bidi="ar-KW"/>
        </w:rPr>
      </w:pPr>
      <w:r>
        <w:rPr>
          <w:lang w:val="fr-FR" w:bidi="ar-KW"/>
        </w:rPr>
        <w:t>133.</w:t>
      </w:r>
      <w:r>
        <w:rPr>
          <w:lang w:val="fr-FR" w:bidi="ar-KW"/>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29 de la Constitution a également consacré le principe général de lutte contre le racisme en proclamant les règles fondamentales de l</w:t>
      </w:r>
      <w:r w:rsidR="00680ADA" w:rsidRPr="00F1180D">
        <w:rPr>
          <w:lang w:val="fr-FR" w:bidi="ar-KW"/>
        </w:rPr>
        <w:t>’</w:t>
      </w:r>
      <w:r w:rsidR="000C6D4A" w:rsidRPr="00F1180D">
        <w:rPr>
          <w:lang w:val="fr-FR" w:bidi="ar-KW"/>
        </w:rPr>
        <w:t>égalité</w:t>
      </w:r>
      <w:r w:rsidR="00680ADA" w:rsidRPr="00F1180D">
        <w:rPr>
          <w:lang w:val="fr-FR" w:bidi="ar-KW"/>
        </w:rPr>
        <w:t>,</w:t>
      </w:r>
      <w:r w:rsidR="000C6D4A" w:rsidRPr="00F1180D">
        <w:rPr>
          <w:lang w:val="fr-FR" w:bidi="ar-KW"/>
        </w:rPr>
        <w:t xml:space="preserve"> de la lutte contre la discrimination et de la promotion de la dignité humaine dans les termes suivants</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Tous les individus sont égaux devant la loi</w:t>
      </w:r>
      <w:r w:rsidR="00680ADA" w:rsidRPr="00F1180D">
        <w:rPr>
          <w:lang w:val="fr-FR" w:bidi="ar-KW"/>
        </w:rPr>
        <w:t>,</w:t>
      </w:r>
      <w:r w:rsidR="000C6D4A" w:rsidRPr="00F1180D">
        <w:rPr>
          <w:lang w:val="fr-FR" w:bidi="ar-KW"/>
        </w:rPr>
        <w:t xml:space="preserve"> en dignité comme en droits et en devoirs</w:t>
      </w:r>
      <w:r w:rsidR="00680ADA" w:rsidRPr="00F1180D">
        <w:rPr>
          <w:lang w:val="fr-FR" w:bidi="ar-KW"/>
        </w:rPr>
        <w:t>,</w:t>
      </w:r>
      <w:r w:rsidR="000C6D4A" w:rsidRPr="00F1180D">
        <w:rPr>
          <w:lang w:val="fr-FR" w:bidi="ar-KW"/>
        </w:rPr>
        <w:t xml:space="preserve"> sans distinction fondée sur le sexe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origine</w:t>
      </w:r>
      <w:r w:rsidR="00680ADA" w:rsidRPr="00F1180D">
        <w:rPr>
          <w:lang w:val="fr-FR" w:bidi="ar-KW"/>
        </w:rPr>
        <w:t>,</w:t>
      </w:r>
      <w:r w:rsidR="000C6D4A" w:rsidRPr="00F1180D">
        <w:rPr>
          <w:lang w:val="fr-FR" w:bidi="ar-KW"/>
        </w:rPr>
        <w:t xml:space="preserve"> la langue ou la religion</w:t>
      </w:r>
      <w:r w:rsidR="000F7294" w:rsidRPr="00F1180D">
        <w:rPr>
          <w:lang w:val="fr-FR" w:bidi="ar-KW"/>
        </w:rPr>
        <w:t>.</w:t>
      </w:r>
      <w:r w:rsidR="00680ADA" w:rsidRPr="00F1180D">
        <w:rPr>
          <w:lang w:val="fr-FR" w:bidi="ar-KW"/>
        </w:rPr>
        <w:t>»</w:t>
      </w:r>
    </w:p>
    <w:p w:rsidR="000C6D4A" w:rsidRPr="00F1180D" w:rsidRDefault="00930AE5" w:rsidP="00680ADA">
      <w:pPr>
        <w:pStyle w:val="SingleTxtG"/>
        <w:rPr>
          <w:lang w:val="fr-FR" w:bidi="ar-KW"/>
        </w:rPr>
      </w:pPr>
      <w:r>
        <w:rPr>
          <w:lang w:val="fr-FR" w:bidi="ar-KW"/>
        </w:rPr>
        <w:lastRenderedPageBreak/>
        <w:t>134.</w:t>
      </w:r>
      <w:r>
        <w:rPr>
          <w:lang w:val="fr-FR" w:bidi="ar-KW"/>
        </w:rPr>
        <w:tab/>
      </w:r>
      <w:r w:rsidR="000C6D4A" w:rsidRPr="00F1180D">
        <w:rPr>
          <w:lang w:val="fr-FR" w:bidi="ar-KW"/>
        </w:rPr>
        <w:t>De son côté</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0C6D4A" w:rsidRPr="00F1180D">
        <w:rPr>
          <w:lang w:val="fr-FR" w:bidi="ar-KW"/>
        </w:rPr>
        <w:t>7 de la Constitution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La justice</w:t>
      </w:r>
      <w:r w:rsidR="00680ADA" w:rsidRPr="00F1180D">
        <w:rPr>
          <w:lang w:val="fr-FR" w:bidi="ar-KW"/>
        </w:rPr>
        <w:t>,</w:t>
      </w:r>
      <w:r w:rsidR="000C6D4A" w:rsidRPr="00F1180D">
        <w:rPr>
          <w:lang w:val="fr-FR" w:bidi="ar-KW"/>
        </w:rPr>
        <w:t xml:space="preserve"> la liberté et l</w:t>
      </w:r>
      <w:r w:rsidR="00680ADA" w:rsidRPr="00F1180D">
        <w:rPr>
          <w:lang w:val="fr-FR" w:bidi="ar-KW"/>
        </w:rPr>
        <w:t>’</w:t>
      </w:r>
      <w:r w:rsidR="000C6D4A" w:rsidRPr="00F1180D">
        <w:rPr>
          <w:lang w:val="fr-FR" w:bidi="ar-KW"/>
        </w:rPr>
        <w:t>égalité sont les fondements de la société; la coopération et l</w:t>
      </w:r>
      <w:r w:rsidR="00680ADA" w:rsidRPr="00F1180D">
        <w:rPr>
          <w:lang w:val="fr-FR" w:bidi="ar-KW"/>
        </w:rPr>
        <w:t>’</w:t>
      </w:r>
      <w:r w:rsidR="000C6D4A" w:rsidRPr="00F1180D">
        <w:rPr>
          <w:lang w:val="fr-FR" w:bidi="ar-KW"/>
        </w:rPr>
        <w:t>entraide sont les liens solides qui unissent les citoyens</w:t>
      </w:r>
      <w:r w:rsidR="00680ADA" w:rsidRPr="00F1180D">
        <w:rPr>
          <w:lang w:val="fr-FR" w:bidi="ar-KW"/>
        </w:rPr>
        <w:t>»</w:t>
      </w:r>
      <w:r w:rsidR="000C6D4A" w:rsidRPr="00F1180D">
        <w:rPr>
          <w:lang w:val="fr-FR" w:bidi="ar-KW"/>
        </w:rPr>
        <w:t xml:space="preserve">. </w:t>
      </w:r>
    </w:p>
    <w:p w:rsidR="000C6D4A" w:rsidRPr="00F1180D" w:rsidRDefault="00930AE5" w:rsidP="00680ADA">
      <w:pPr>
        <w:pStyle w:val="SingleTxtG"/>
        <w:rPr>
          <w:lang w:val="fr-FR" w:bidi="ar-KW"/>
        </w:rPr>
      </w:pPr>
      <w:r>
        <w:rPr>
          <w:lang w:val="fr-FR" w:bidi="ar-KW"/>
        </w:rPr>
        <w:t>135.</w:t>
      </w:r>
      <w:r>
        <w:rPr>
          <w:lang w:val="fr-FR" w:bidi="ar-KW"/>
        </w:rPr>
        <w:tab/>
      </w:r>
      <w:r w:rsidR="000C6D4A" w:rsidRPr="00F1180D">
        <w:rPr>
          <w:lang w:val="fr-FR" w:bidi="ar-KW"/>
        </w:rPr>
        <w:t>À cet égard</w:t>
      </w:r>
      <w:r w:rsidR="00680ADA" w:rsidRPr="00F1180D">
        <w:rPr>
          <w:lang w:val="fr-FR" w:bidi="ar-KW"/>
        </w:rPr>
        <w:t>,</w:t>
      </w:r>
      <w:r w:rsidR="000C6D4A" w:rsidRPr="00F1180D">
        <w:rPr>
          <w:lang w:val="fr-FR" w:bidi="ar-KW"/>
        </w:rPr>
        <w:t xml:space="preserve"> la note explicative de la Constitution traite en ces termes de son </w:t>
      </w:r>
      <w:r w:rsidR="00163207" w:rsidRPr="00F1180D">
        <w:rPr>
          <w:lang w:val="fr-FR" w:bidi="ar-KW"/>
        </w:rPr>
        <w:t>article </w:t>
      </w:r>
      <w:r w:rsidR="000C6D4A" w:rsidRPr="00F1180D">
        <w:rPr>
          <w:lang w:val="fr-FR" w:bidi="ar-KW"/>
        </w:rPr>
        <w:t>29</w:t>
      </w:r>
      <w:r w:rsidR="00680ADA" w:rsidRPr="00F1180D">
        <w:rPr>
          <w:lang w:val="fr-FR" w:bidi="ar-KW"/>
        </w:rPr>
        <w:t>:</w:t>
      </w:r>
      <w:r w:rsidR="000C6D4A" w:rsidRPr="00F1180D">
        <w:rPr>
          <w:lang w:val="fr-FR" w:bidi="ar-KW"/>
        </w:rPr>
        <w:t xml:space="preserve"> </w:t>
      </w:r>
      <w:r w:rsidR="00680ADA" w:rsidRPr="00F1180D">
        <w:rPr>
          <w:lang w:val="fr-FR" w:bidi="ar-KW"/>
        </w:rPr>
        <w:t>«</w:t>
      </w:r>
      <w:r w:rsidR="001C2769" w:rsidRPr="00F1180D">
        <w:rPr>
          <w:lang w:val="fr-FR" w:bidi="ar-KW"/>
        </w:rPr>
        <w:t xml:space="preserve">Cet article </w:t>
      </w:r>
      <w:r w:rsidR="000C6D4A" w:rsidRPr="00F1180D">
        <w:rPr>
          <w:lang w:val="fr-FR" w:bidi="ar-KW"/>
        </w:rPr>
        <w:t>consacre le principe de l</w:t>
      </w:r>
      <w:r w:rsidR="00680ADA" w:rsidRPr="00F1180D">
        <w:rPr>
          <w:lang w:val="fr-FR" w:bidi="ar-KW"/>
        </w:rPr>
        <w:t>’</w:t>
      </w:r>
      <w:r w:rsidR="000C6D4A" w:rsidRPr="00F1180D">
        <w:rPr>
          <w:lang w:val="fr-FR" w:bidi="ar-KW"/>
        </w:rPr>
        <w:t>égalité en droits et en devoirs de manière générale et précise ses principales applications</w:t>
      </w:r>
      <w:r w:rsidR="00680ADA" w:rsidRPr="00F1180D">
        <w:rPr>
          <w:lang w:val="fr-FR" w:bidi="ar-KW"/>
        </w:rPr>
        <w:t>,</w:t>
      </w:r>
      <w:r w:rsidR="000C6D4A" w:rsidRPr="00F1180D">
        <w:rPr>
          <w:lang w:val="fr-FR" w:bidi="ar-KW"/>
        </w:rPr>
        <w:t xml:space="preserve"> à savoir </w:t>
      </w:r>
      <w:r w:rsidR="00680ADA" w:rsidRPr="00F1180D">
        <w:rPr>
          <w:lang w:val="fr-FR" w:bidi="ar-KW"/>
        </w:rPr>
        <w:t>«</w:t>
      </w:r>
      <w:r w:rsidR="000C6D4A" w:rsidRPr="00F1180D">
        <w:rPr>
          <w:lang w:val="fr-FR" w:bidi="ar-KW"/>
        </w:rPr>
        <w:t>sans distinction fondée sur le sexe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origine</w:t>
      </w:r>
      <w:r w:rsidR="00680ADA" w:rsidRPr="00F1180D">
        <w:rPr>
          <w:lang w:val="fr-FR" w:bidi="ar-KW"/>
        </w:rPr>
        <w:t>,</w:t>
      </w:r>
      <w:r w:rsidR="000C6D4A" w:rsidRPr="00F1180D">
        <w:rPr>
          <w:lang w:val="fr-FR" w:bidi="ar-KW"/>
        </w:rPr>
        <w:t xml:space="preserve"> la langue ou la religion</w:t>
      </w:r>
      <w:r w:rsidR="00680ADA" w:rsidRPr="00F1180D">
        <w:rPr>
          <w:lang w:val="fr-FR" w:bidi="ar-KW"/>
        </w:rPr>
        <w:t>»</w:t>
      </w:r>
      <w:r w:rsidR="000C6D4A" w:rsidRPr="00F1180D">
        <w:rPr>
          <w:lang w:val="fr-FR" w:bidi="ar-KW"/>
        </w:rPr>
        <w:t>. Si l</w:t>
      </w:r>
      <w:r w:rsidR="00680ADA" w:rsidRPr="00F1180D">
        <w:rPr>
          <w:lang w:val="fr-FR" w:bidi="ar-KW"/>
        </w:rPr>
        <w:t>’</w:t>
      </w:r>
      <w:r w:rsidR="001C2769" w:rsidRPr="00F1180D">
        <w:rPr>
          <w:lang w:val="fr-FR" w:bidi="ar-KW"/>
        </w:rPr>
        <w:t xml:space="preserve">article </w:t>
      </w:r>
      <w:r w:rsidR="000C6D4A" w:rsidRPr="00F1180D">
        <w:rPr>
          <w:lang w:val="fr-FR" w:bidi="ar-KW"/>
        </w:rPr>
        <w:t xml:space="preserve">ne mentionne pas </w:t>
      </w:r>
      <w:r w:rsidR="00680ADA" w:rsidRPr="00F1180D">
        <w:rPr>
          <w:lang w:val="fr-FR" w:bidi="ar-KW"/>
        </w:rPr>
        <w:t>«</w:t>
      </w:r>
      <w:r w:rsidR="000C6D4A" w:rsidRPr="00F1180D">
        <w:rPr>
          <w:lang w:val="fr-FR" w:bidi="ar-KW"/>
        </w:rPr>
        <w:t>la couleur ou la fortune</w:t>
      </w:r>
      <w:r w:rsidR="00680ADA" w:rsidRPr="00F1180D">
        <w:rPr>
          <w:lang w:val="fr-FR" w:bidi="ar-KW"/>
        </w:rPr>
        <w:t>»,</w:t>
      </w:r>
      <w:r w:rsidR="000C6D4A" w:rsidRPr="00F1180D">
        <w:rPr>
          <w:lang w:val="fr-FR" w:bidi="ar-KW"/>
        </w:rPr>
        <w:t xml:space="preserve"> qui pourtant figurent dans la Déclaration universelle des droits de l</w:t>
      </w:r>
      <w:r w:rsidR="00680ADA" w:rsidRPr="00F1180D">
        <w:rPr>
          <w:lang w:val="fr-FR" w:bidi="ar-KW"/>
        </w:rPr>
        <w:t>’</w:t>
      </w:r>
      <w:r w:rsidR="000C6D4A" w:rsidRPr="00F1180D">
        <w:rPr>
          <w:lang w:val="fr-FR" w:bidi="ar-KW"/>
        </w:rPr>
        <w:t>homme</w:t>
      </w:r>
      <w:r w:rsidR="00680ADA" w:rsidRPr="00F1180D">
        <w:rPr>
          <w:lang w:val="fr-FR" w:bidi="ar-KW"/>
        </w:rPr>
        <w:t>,</w:t>
      </w:r>
      <w:r w:rsidR="000C6D4A" w:rsidRPr="00F1180D">
        <w:rPr>
          <w:lang w:val="fr-FR" w:bidi="ar-KW"/>
        </w:rPr>
        <w:t xml:space="preserve"> c</w:t>
      </w:r>
      <w:r w:rsidR="00680ADA" w:rsidRPr="00F1180D">
        <w:rPr>
          <w:lang w:val="fr-FR" w:bidi="ar-KW"/>
        </w:rPr>
        <w:t>’</w:t>
      </w:r>
      <w:r w:rsidR="000C6D4A" w:rsidRPr="00F1180D">
        <w:rPr>
          <w:lang w:val="fr-FR" w:bidi="ar-KW"/>
        </w:rPr>
        <w:t>est qu</w:t>
      </w:r>
      <w:r w:rsidR="00680ADA" w:rsidRPr="00F1180D">
        <w:rPr>
          <w:lang w:val="fr-FR" w:bidi="ar-KW"/>
        </w:rPr>
        <w:t>’</w:t>
      </w:r>
      <w:r w:rsidR="000C6D4A" w:rsidRPr="00F1180D">
        <w:rPr>
          <w:lang w:val="fr-FR" w:bidi="ar-KW"/>
        </w:rPr>
        <w:t>il n</w:t>
      </w:r>
      <w:r w:rsidR="00680ADA" w:rsidRPr="00F1180D">
        <w:rPr>
          <w:lang w:val="fr-FR" w:bidi="ar-KW"/>
        </w:rPr>
        <w:t>’</w:t>
      </w:r>
      <w:r w:rsidR="000C6D4A" w:rsidRPr="00F1180D">
        <w:rPr>
          <w:lang w:val="fr-FR" w:bidi="ar-KW"/>
        </w:rPr>
        <w:t>y a pas la moindre discrimination raciale dans le pays</w:t>
      </w:r>
      <w:r w:rsidR="00680ADA" w:rsidRPr="00F1180D">
        <w:rPr>
          <w:lang w:val="fr-FR" w:bidi="ar-KW"/>
        </w:rPr>
        <w:t>;</w:t>
      </w:r>
      <w:r w:rsidR="000C6D4A" w:rsidRPr="00F1180D">
        <w:rPr>
          <w:lang w:val="fr-FR" w:bidi="ar-KW"/>
        </w:rPr>
        <w:t xml:space="preserve"> du reste</w:t>
      </w:r>
      <w:r w:rsidR="00680ADA" w:rsidRPr="00F1180D">
        <w:rPr>
          <w:lang w:val="fr-FR" w:bidi="ar-KW"/>
        </w:rPr>
        <w:t>,</w:t>
      </w:r>
      <w:r w:rsidR="000C6D4A" w:rsidRPr="00F1180D">
        <w:rPr>
          <w:lang w:val="fr-FR" w:bidi="ar-KW"/>
        </w:rPr>
        <w:t xml:space="preserve"> le texte de l</w:t>
      </w:r>
      <w:r w:rsidR="00680ADA" w:rsidRPr="00F1180D">
        <w:rPr>
          <w:lang w:val="fr-FR" w:bidi="ar-KW"/>
        </w:rPr>
        <w:t>’</w:t>
      </w:r>
      <w:r w:rsidR="00163207" w:rsidRPr="00F1180D">
        <w:rPr>
          <w:lang w:val="fr-FR" w:bidi="ar-KW"/>
        </w:rPr>
        <w:t>article</w:t>
      </w:r>
      <w:r w:rsidR="001C2769" w:rsidRPr="00F1180D">
        <w:rPr>
          <w:lang w:val="fr-FR" w:bidi="ar-KW"/>
        </w:rPr>
        <w:t xml:space="preserve"> </w:t>
      </w:r>
      <w:r w:rsidR="000C6D4A" w:rsidRPr="00F1180D">
        <w:rPr>
          <w:lang w:val="fr-FR" w:bidi="ar-KW"/>
        </w:rPr>
        <w:t>lui-même exclut toute possibilité de discrimination. De même</w:t>
      </w:r>
      <w:r w:rsidR="00680ADA" w:rsidRPr="00F1180D">
        <w:rPr>
          <w:lang w:val="fr-FR" w:bidi="ar-KW"/>
        </w:rPr>
        <w:t>,</w:t>
      </w:r>
      <w:r w:rsidR="000C6D4A" w:rsidRPr="00F1180D">
        <w:rPr>
          <w:lang w:val="fr-FR" w:bidi="ar-KW"/>
        </w:rPr>
        <w:t xml:space="preserve"> la discrimination pour des raisons de fortune est inconnue dans le pays</w:t>
      </w:r>
      <w:r w:rsidR="00680ADA" w:rsidRPr="00F1180D">
        <w:rPr>
          <w:lang w:val="fr-FR" w:bidi="ar-KW"/>
        </w:rPr>
        <w:t>,</w:t>
      </w:r>
      <w:r w:rsidR="000C6D4A" w:rsidRPr="00F1180D">
        <w:rPr>
          <w:lang w:val="fr-FR" w:bidi="ar-KW"/>
        </w:rPr>
        <w:t xml:space="preserve"> ce qui rend superflu d</w:t>
      </w:r>
      <w:r w:rsidR="00680ADA" w:rsidRPr="00F1180D">
        <w:rPr>
          <w:lang w:val="fr-FR" w:bidi="ar-KW"/>
        </w:rPr>
        <w:t>’</w:t>
      </w:r>
      <w:r w:rsidR="000C6D4A" w:rsidRPr="00F1180D">
        <w:rPr>
          <w:lang w:val="fr-FR" w:bidi="ar-KW"/>
        </w:rPr>
        <w:t xml:space="preserve">en faire expressément état dans le texte. </w:t>
      </w:r>
    </w:p>
    <w:p w:rsidR="000C6D4A" w:rsidRPr="00F1180D" w:rsidRDefault="00930AE5" w:rsidP="00680ADA">
      <w:pPr>
        <w:pStyle w:val="SingleTxtG"/>
        <w:rPr>
          <w:lang w:val="fr-FR" w:bidi="ar-KW"/>
        </w:rPr>
      </w:pPr>
      <w:r>
        <w:rPr>
          <w:lang w:val="fr-FR" w:bidi="ar-KW"/>
        </w:rPr>
        <w:t>136.</w:t>
      </w:r>
      <w:r>
        <w:rPr>
          <w:lang w:val="fr-FR" w:bidi="ar-KW"/>
        </w:rPr>
        <w:tab/>
      </w:r>
      <w:r w:rsidR="000C6D4A" w:rsidRPr="00F1180D">
        <w:rPr>
          <w:lang w:val="fr-FR" w:bidi="ar-KW"/>
        </w:rPr>
        <w:t>Il convient de signaler également l</w:t>
      </w:r>
      <w:r w:rsidR="00680ADA" w:rsidRPr="00F1180D">
        <w:rPr>
          <w:lang w:val="fr-FR" w:bidi="ar-KW"/>
        </w:rPr>
        <w:t>’</w:t>
      </w:r>
      <w:r w:rsidR="00163207" w:rsidRPr="00F1180D">
        <w:rPr>
          <w:lang w:val="fr-FR" w:bidi="ar-KW"/>
        </w:rPr>
        <w:t>article </w:t>
      </w:r>
      <w:r w:rsidR="000C6D4A" w:rsidRPr="00F1180D">
        <w:rPr>
          <w:lang w:val="fr-FR" w:bidi="ar-KW"/>
        </w:rPr>
        <w:t xml:space="preserve">6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24 de 1962 sur les clubs et associations d</w:t>
      </w:r>
      <w:r w:rsidR="00680ADA" w:rsidRPr="00F1180D">
        <w:rPr>
          <w:lang w:val="fr-FR" w:bidi="ar-KW"/>
        </w:rPr>
        <w:t>’</w:t>
      </w:r>
      <w:r w:rsidR="000C6D4A" w:rsidRPr="00F1180D">
        <w:rPr>
          <w:lang w:val="fr-FR" w:bidi="ar-KW"/>
        </w:rPr>
        <w:t>utilité publique</w:t>
      </w:r>
      <w:r w:rsidR="00680ADA" w:rsidRPr="00F1180D">
        <w:rPr>
          <w:lang w:val="fr-FR" w:bidi="ar-KW"/>
        </w:rPr>
        <w:t>,</w:t>
      </w:r>
      <w:r w:rsidR="000C6D4A" w:rsidRPr="00F1180D">
        <w:rPr>
          <w:lang w:val="fr-FR" w:bidi="ar-KW"/>
        </w:rPr>
        <w:t xml:space="preserve"> qui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il est interdit aux clubs et associations de poursuivre des buts contraires à la loi .... d</w:t>
      </w:r>
      <w:r w:rsidR="00680ADA" w:rsidRPr="00F1180D">
        <w:rPr>
          <w:lang w:val="fr-FR" w:bidi="ar-KW"/>
        </w:rPr>
        <w:t>’</w:t>
      </w:r>
      <w:r w:rsidR="000C6D4A" w:rsidRPr="00F1180D">
        <w:rPr>
          <w:lang w:val="fr-FR" w:bidi="ar-KW"/>
        </w:rPr>
        <w:t>intervenir dans les conflits politiques ou religieux ou de susciter des dissensions ethniques</w:t>
      </w:r>
      <w:r w:rsidR="00680ADA" w:rsidRPr="00F1180D">
        <w:rPr>
          <w:lang w:val="fr-FR" w:bidi="ar-KW"/>
        </w:rPr>
        <w:t>,</w:t>
      </w:r>
      <w:r w:rsidR="000C6D4A" w:rsidRPr="00F1180D">
        <w:rPr>
          <w:lang w:val="fr-FR" w:bidi="ar-KW"/>
        </w:rPr>
        <w:t xml:space="preserve"> raciales ou confessionnelles</w:t>
      </w:r>
      <w:r w:rsidR="00680ADA" w:rsidRPr="00F1180D">
        <w:rPr>
          <w:lang w:val="fr-FR" w:bidi="ar-KW"/>
        </w:rPr>
        <w:t>»</w:t>
      </w:r>
      <w:r w:rsidR="000C6D4A" w:rsidRPr="00F1180D">
        <w:rPr>
          <w:lang w:val="fr-FR" w:bidi="ar-KW"/>
        </w:rPr>
        <w:t>.</w:t>
      </w:r>
    </w:p>
    <w:p w:rsidR="000C6D4A" w:rsidRPr="00F1180D" w:rsidRDefault="00930AE5" w:rsidP="00680ADA">
      <w:pPr>
        <w:pStyle w:val="SingleTxtG"/>
        <w:rPr>
          <w:lang w:val="fr-FR" w:bidi="ar-KW"/>
        </w:rPr>
      </w:pPr>
      <w:r>
        <w:rPr>
          <w:lang w:val="fr-FR" w:bidi="ar-KW"/>
        </w:rPr>
        <w:t>137.</w:t>
      </w:r>
      <w:r>
        <w:rPr>
          <w:lang w:val="fr-FR" w:bidi="ar-KW"/>
        </w:rPr>
        <w:tab/>
      </w:r>
      <w:r w:rsidR="000C6D4A" w:rsidRPr="00F1180D">
        <w:rPr>
          <w:lang w:val="fr-FR" w:bidi="ar-KW"/>
        </w:rPr>
        <w:t>Le même principe est consacré par l</w:t>
      </w:r>
      <w:r w:rsidR="00680ADA" w:rsidRPr="00F1180D">
        <w:rPr>
          <w:lang w:val="fr-FR" w:bidi="ar-KW"/>
        </w:rPr>
        <w:t>’</w:t>
      </w:r>
      <w:r w:rsidR="00163207" w:rsidRPr="00F1180D">
        <w:rPr>
          <w:lang w:val="fr-FR" w:bidi="ar-KW"/>
        </w:rPr>
        <w:t>article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 xml:space="preserve">6 du décret-loi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42 de 1978 sur les associations sportives qui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 xml:space="preserve"> Il est interdit aux associations sportives de poursuivre des buts contraires à la loi et de prendre part ou d</w:t>
      </w:r>
      <w:r w:rsidR="00680ADA" w:rsidRPr="00F1180D">
        <w:rPr>
          <w:lang w:val="fr-FR" w:bidi="ar-KW"/>
        </w:rPr>
        <w:t>’</w:t>
      </w:r>
      <w:r w:rsidR="000C6D4A" w:rsidRPr="00F1180D">
        <w:rPr>
          <w:lang w:val="fr-FR" w:bidi="ar-KW"/>
        </w:rPr>
        <w:t>intervenir dans les conflits politiques ou religieux ou de susciter des dissensions ethniques</w:t>
      </w:r>
      <w:r w:rsidR="00680ADA" w:rsidRPr="00F1180D">
        <w:rPr>
          <w:lang w:val="fr-FR" w:bidi="ar-KW"/>
        </w:rPr>
        <w:t>,</w:t>
      </w:r>
      <w:r w:rsidR="000C6D4A" w:rsidRPr="00F1180D">
        <w:rPr>
          <w:lang w:val="fr-FR" w:bidi="ar-KW"/>
        </w:rPr>
        <w:t xml:space="preserve"> raciales ou confessionnelles</w:t>
      </w:r>
      <w:r w:rsidR="00680ADA" w:rsidRPr="00F1180D">
        <w:rPr>
          <w:lang w:val="fr-FR" w:bidi="ar-KW"/>
        </w:rPr>
        <w:t>»</w:t>
      </w:r>
      <w:r w:rsidR="000C6D4A" w:rsidRPr="00F1180D">
        <w:rPr>
          <w:lang w:val="fr-FR" w:bidi="ar-KW"/>
        </w:rPr>
        <w:t>.</w:t>
      </w:r>
    </w:p>
    <w:p w:rsidR="000C6D4A" w:rsidRPr="00F1180D" w:rsidRDefault="00930AE5" w:rsidP="00680ADA">
      <w:pPr>
        <w:pStyle w:val="SingleTxtG"/>
        <w:rPr>
          <w:lang w:val="fr-FR" w:bidi="ar-KW"/>
        </w:rPr>
      </w:pPr>
      <w:r>
        <w:rPr>
          <w:lang w:val="fr-FR" w:bidi="ar-KW"/>
        </w:rPr>
        <w:t>138.</w:t>
      </w:r>
      <w:r>
        <w:rPr>
          <w:lang w:val="fr-FR" w:bidi="ar-KW"/>
        </w:rPr>
        <w:tab/>
      </w:r>
      <w:r w:rsidR="000C6D4A" w:rsidRPr="00F1180D">
        <w:rPr>
          <w:lang w:val="fr-FR" w:bidi="ar-KW"/>
        </w:rPr>
        <w:t>Sur le plan pénal</w:t>
      </w:r>
      <w:r w:rsidR="00680ADA" w:rsidRPr="00F1180D">
        <w:rPr>
          <w:lang w:val="fr-FR" w:bidi="ar-KW"/>
        </w:rPr>
        <w:t>,</w:t>
      </w:r>
      <w:r w:rsidR="000C6D4A" w:rsidRPr="00F1180D">
        <w:rPr>
          <w:lang w:val="fr-FR" w:bidi="ar-KW"/>
        </w:rPr>
        <w:t xml:space="preserve"> l</w:t>
      </w:r>
      <w:r w:rsidR="00680ADA" w:rsidRPr="00F1180D">
        <w:rPr>
          <w:lang w:val="fr-FR" w:bidi="ar-KW"/>
        </w:rPr>
        <w:t>’</w:t>
      </w:r>
      <w:r w:rsidR="00163207" w:rsidRPr="00F1180D">
        <w:rPr>
          <w:lang w:val="fr-FR" w:bidi="ar-KW"/>
        </w:rPr>
        <w:t>article </w:t>
      </w:r>
      <w:r w:rsidR="000C6D4A" w:rsidRPr="00F1180D">
        <w:rPr>
          <w:lang w:val="fr-FR" w:bidi="ar-KW"/>
        </w:rPr>
        <w:t>111 du Code pénal koweïtien</w:t>
      </w:r>
      <w:r w:rsidR="00680ADA" w:rsidRPr="00F1180D">
        <w:rPr>
          <w:lang w:val="fr-FR" w:bidi="ar-KW"/>
        </w:rPr>
        <w:t>,</w:t>
      </w:r>
      <w:r w:rsidR="000C6D4A" w:rsidRPr="00F1180D">
        <w:rPr>
          <w:lang w:val="fr-FR" w:bidi="ar-KW"/>
        </w:rPr>
        <w:t xml:space="preserve"> promulgué par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16 de 1960</w:t>
      </w:r>
      <w:r w:rsidR="00680ADA" w:rsidRPr="00F1180D">
        <w:rPr>
          <w:lang w:val="fr-FR" w:bidi="ar-KW"/>
        </w:rPr>
        <w:t>,</w:t>
      </w:r>
      <w:r w:rsidR="000C6D4A" w:rsidRPr="00F1180D">
        <w:rPr>
          <w:lang w:val="fr-FR" w:bidi="ar-KW"/>
        </w:rPr>
        <w:t xml:space="preserve"> incrimine toute manifestation de sectarisme religieux et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Quiconque diffuse</w:t>
      </w:r>
      <w:r w:rsidR="00680ADA" w:rsidRPr="00F1180D">
        <w:rPr>
          <w:lang w:val="fr-FR" w:bidi="ar-KW"/>
        </w:rPr>
        <w:t>,</w:t>
      </w:r>
      <w:r w:rsidR="000C6D4A" w:rsidRPr="00F1180D">
        <w:rPr>
          <w:lang w:val="fr-FR" w:bidi="ar-KW"/>
        </w:rPr>
        <w:t xml:space="preserve"> par le biais de l</w:t>
      </w:r>
      <w:r w:rsidR="00680ADA" w:rsidRPr="00F1180D">
        <w:rPr>
          <w:lang w:val="fr-FR" w:bidi="ar-KW"/>
        </w:rPr>
        <w:t>’</w:t>
      </w:r>
      <w:r w:rsidR="000C6D4A" w:rsidRPr="00F1180D">
        <w:rPr>
          <w:lang w:val="fr-FR" w:bidi="ar-KW"/>
        </w:rPr>
        <w:t>un des médias visés à l</w:t>
      </w:r>
      <w:r w:rsidR="00680ADA" w:rsidRPr="00F1180D">
        <w:rPr>
          <w:lang w:val="fr-FR" w:bidi="ar-KW"/>
        </w:rPr>
        <w:t>’</w:t>
      </w:r>
      <w:r w:rsidR="00163207" w:rsidRPr="00F1180D">
        <w:rPr>
          <w:lang w:val="fr-FR" w:bidi="ar-KW"/>
        </w:rPr>
        <w:t>article </w:t>
      </w:r>
      <w:r w:rsidR="000C6D4A" w:rsidRPr="00F1180D">
        <w:rPr>
          <w:lang w:val="fr-FR" w:bidi="ar-KW"/>
        </w:rPr>
        <w:t>101 des opinions dénigrant</w:t>
      </w:r>
      <w:r w:rsidR="00680ADA" w:rsidRPr="00F1180D">
        <w:rPr>
          <w:lang w:val="fr-FR" w:bidi="ar-KW"/>
        </w:rPr>
        <w:t>,</w:t>
      </w:r>
      <w:r w:rsidR="000C6D4A" w:rsidRPr="00F1180D">
        <w:rPr>
          <w:lang w:val="fr-FR" w:bidi="ar-KW"/>
        </w:rPr>
        <w:t xml:space="preserve"> méprisant ou rabaissant une religion ou une confession en s</w:t>
      </w:r>
      <w:r w:rsidR="00680ADA" w:rsidRPr="00F1180D">
        <w:rPr>
          <w:lang w:val="fr-FR" w:bidi="ar-KW"/>
        </w:rPr>
        <w:t>’</w:t>
      </w:r>
      <w:r w:rsidR="000C6D4A" w:rsidRPr="00F1180D">
        <w:rPr>
          <w:lang w:val="fr-FR" w:bidi="ar-KW"/>
        </w:rPr>
        <w:t>attaquant à ses croyances</w:t>
      </w:r>
      <w:r w:rsidR="00680ADA" w:rsidRPr="00F1180D">
        <w:rPr>
          <w:lang w:val="fr-FR" w:bidi="ar-KW"/>
        </w:rPr>
        <w:t>,</w:t>
      </w:r>
      <w:r w:rsidR="000C6D4A" w:rsidRPr="00F1180D">
        <w:rPr>
          <w:lang w:val="fr-FR" w:bidi="ar-KW"/>
        </w:rPr>
        <w:t xml:space="preserve"> cultes</w:t>
      </w:r>
      <w:r w:rsidR="00680ADA" w:rsidRPr="00F1180D">
        <w:rPr>
          <w:lang w:val="fr-FR" w:bidi="ar-KW"/>
        </w:rPr>
        <w:t>,</w:t>
      </w:r>
      <w:r w:rsidR="000C6D4A" w:rsidRPr="00F1180D">
        <w:rPr>
          <w:lang w:val="fr-FR" w:bidi="ar-KW"/>
        </w:rPr>
        <w:t xml:space="preserve"> rites ou enseignements</w:t>
      </w:r>
      <w:r w:rsidR="00680ADA" w:rsidRPr="00F1180D">
        <w:rPr>
          <w:lang w:val="fr-FR" w:bidi="ar-KW"/>
        </w:rPr>
        <w:t>,</w:t>
      </w:r>
      <w:r w:rsidR="000C6D4A" w:rsidRPr="00F1180D">
        <w:rPr>
          <w:lang w:val="fr-FR" w:bidi="ar-KW"/>
        </w:rPr>
        <w:t xml:space="preserve"> est passible d</w:t>
      </w:r>
      <w:r w:rsidR="00680ADA" w:rsidRPr="00F1180D">
        <w:rPr>
          <w:lang w:val="fr-FR" w:bidi="ar-KW"/>
        </w:rPr>
        <w:t>’</w:t>
      </w:r>
      <w:r w:rsidR="000C6D4A" w:rsidRPr="00F1180D">
        <w:rPr>
          <w:lang w:val="fr-FR" w:bidi="ar-KW"/>
        </w:rPr>
        <w:t>une peine de prison pouvant aller jusqu</w:t>
      </w:r>
      <w:r w:rsidR="00680ADA" w:rsidRPr="00F1180D">
        <w:rPr>
          <w:lang w:val="fr-FR" w:bidi="ar-KW"/>
        </w:rPr>
        <w:t>’</w:t>
      </w:r>
      <w:r w:rsidR="000C6D4A" w:rsidRPr="00F1180D">
        <w:rPr>
          <w:lang w:val="fr-FR" w:bidi="ar-KW"/>
        </w:rPr>
        <w:t>à une année et/ou d</w:t>
      </w:r>
      <w:r w:rsidR="00680ADA" w:rsidRPr="00F1180D">
        <w:rPr>
          <w:lang w:val="fr-FR" w:bidi="ar-KW"/>
        </w:rPr>
        <w:t>’</w:t>
      </w:r>
      <w:r w:rsidR="000C6D4A" w:rsidRPr="00F1180D">
        <w:rPr>
          <w:lang w:val="fr-FR" w:bidi="ar-KW"/>
        </w:rPr>
        <w:t>une amende pouvant aller</w:t>
      </w:r>
      <w:r w:rsidR="009B1350" w:rsidRPr="00F1180D">
        <w:rPr>
          <w:lang w:val="fr-FR" w:bidi="ar-KW"/>
        </w:rPr>
        <w:t xml:space="preserve"> </w:t>
      </w:r>
      <w:r w:rsidR="000C6D4A" w:rsidRPr="00F1180D">
        <w:rPr>
          <w:lang w:val="fr-FR" w:bidi="ar-KW"/>
        </w:rPr>
        <w:t>jusqu</w:t>
      </w:r>
      <w:r w:rsidR="00680ADA" w:rsidRPr="00F1180D">
        <w:rPr>
          <w:lang w:val="fr-FR" w:bidi="ar-KW"/>
        </w:rPr>
        <w:t>’</w:t>
      </w:r>
      <w:r w:rsidR="000C6D4A" w:rsidRPr="00F1180D">
        <w:rPr>
          <w:lang w:val="fr-FR" w:bidi="ar-KW"/>
        </w:rPr>
        <w:t>à 1 000 roupies</w:t>
      </w:r>
      <w:r w:rsidR="00680ADA" w:rsidRPr="00F1180D">
        <w:rPr>
          <w:lang w:val="fr-FR" w:bidi="ar-KW"/>
        </w:rPr>
        <w:t>»</w:t>
      </w:r>
      <w:r w:rsidR="000C6D4A" w:rsidRPr="00F1180D">
        <w:rPr>
          <w:lang w:val="fr-FR" w:bidi="ar-KW"/>
        </w:rPr>
        <w:t xml:space="preserve">. </w:t>
      </w:r>
    </w:p>
    <w:p w:rsidR="000C6D4A" w:rsidRPr="00F1180D" w:rsidRDefault="00930AE5" w:rsidP="00680ADA">
      <w:pPr>
        <w:pStyle w:val="SingleTxtG"/>
        <w:rPr>
          <w:rtl/>
          <w:lang w:val="fr-FR" w:bidi="fr-FR"/>
        </w:rPr>
      </w:pPr>
      <w:r>
        <w:rPr>
          <w:lang w:val="fr-FR" w:bidi="ar-KW"/>
        </w:rPr>
        <w:t>139.</w:t>
      </w:r>
      <w:r>
        <w:rPr>
          <w:lang w:val="fr-FR" w:bidi="ar-KW"/>
        </w:rPr>
        <w:tab/>
      </w:r>
      <w:r w:rsidR="000C6D4A" w:rsidRPr="00F1180D">
        <w:rPr>
          <w:lang w:val="fr-FR" w:bidi="ar-KW"/>
        </w:rPr>
        <w:t>Il convient de signaler que l</w:t>
      </w:r>
      <w:r w:rsidR="00680ADA" w:rsidRPr="00F1180D">
        <w:rPr>
          <w:lang w:val="fr-FR" w:bidi="ar-KW"/>
        </w:rPr>
        <w:t>’</w:t>
      </w:r>
      <w:r w:rsidR="00163207" w:rsidRPr="00F1180D">
        <w:rPr>
          <w:lang w:val="fr-FR" w:bidi="ar-KW"/>
        </w:rPr>
        <w:t>article </w:t>
      </w:r>
      <w:r w:rsidR="009E18CC" w:rsidRPr="00F1180D">
        <w:rPr>
          <w:lang w:val="fr-FR" w:bidi="ar-KW"/>
        </w:rPr>
        <w:t>1</w:t>
      </w:r>
      <w:r w:rsidR="009E18CC" w:rsidRPr="00F1180D">
        <w:rPr>
          <w:vertAlign w:val="superscript"/>
          <w:lang w:val="fr-FR" w:bidi="ar-KW"/>
        </w:rPr>
        <w:t>er</w:t>
      </w:r>
      <w:r w:rsidR="009E18CC" w:rsidRPr="00F1180D">
        <w:rPr>
          <w:lang w:val="fr-FR" w:bidi="ar-KW"/>
        </w:rPr>
        <w:t xml:space="preserve"> </w:t>
      </w:r>
      <w:r w:rsidR="000C6D4A" w:rsidRPr="00F1180D">
        <w:rPr>
          <w:lang w:val="fr-FR" w:bidi="ar-KW"/>
        </w:rPr>
        <w:t xml:space="preserve">du décret-loi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19 de 2012 sur la sauvegarde de l</w:t>
      </w:r>
      <w:r w:rsidR="00680ADA" w:rsidRPr="00F1180D">
        <w:rPr>
          <w:lang w:val="fr-FR" w:bidi="ar-KW"/>
        </w:rPr>
        <w:t>’</w:t>
      </w:r>
      <w:r w:rsidR="000C6D4A" w:rsidRPr="00F1180D">
        <w:rPr>
          <w:lang w:val="fr-FR" w:bidi="ar-KW"/>
        </w:rPr>
        <w:t>unité nationale</w:t>
      </w:r>
      <w:r w:rsidR="00680ADA" w:rsidRPr="00F1180D">
        <w:rPr>
          <w:lang w:val="fr-FR" w:bidi="ar-KW"/>
        </w:rPr>
        <w:t>,</w:t>
      </w:r>
      <w:r w:rsidR="000C6D4A" w:rsidRPr="00F1180D">
        <w:rPr>
          <w:lang w:val="fr-FR" w:bidi="ar-KW"/>
        </w:rPr>
        <w:t xml:space="preserve"> promulgué fin 2012 (publié au journal </w:t>
      </w:r>
      <w:r w:rsidR="00680ADA" w:rsidRPr="00F1180D">
        <w:rPr>
          <w:lang w:val="fr-FR" w:bidi="ar-KW"/>
        </w:rPr>
        <w:t>«</w:t>
      </w:r>
      <w:r w:rsidR="000C6D4A" w:rsidRPr="00F1180D">
        <w:rPr>
          <w:lang w:val="fr-FR" w:bidi="ar-KW"/>
        </w:rPr>
        <w:t>Le Koweït contemporain</w:t>
      </w:r>
      <w:r w:rsidR="00680ADA" w:rsidRPr="00F1180D">
        <w:rPr>
          <w:lang w:val="fr-FR" w:bidi="ar-KW"/>
        </w:rPr>
        <w:t>»</w:t>
      </w:r>
      <w:r w:rsidR="000C6D4A" w:rsidRPr="00F1180D">
        <w:rPr>
          <w:lang w:val="fr-FR" w:bidi="ar-KW"/>
        </w:rPr>
        <w:t xml:space="preserve">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1102) interdit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tout acte ou appel</w:t>
      </w:r>
      <w:r w:rsidR="00680ADA" w:rsidRPr="00F1180D">
        <w:rPr>
          <w:lang w:val="fr-FR" w:bidi="ar-KW"/>
        </w:rPr>
        <w:t>,</w:t>
      </w:r>
      <w:r w:rsidR="000C6D4A" w:rsidRPr="00F1180D">
        <w:rPr>
          <w:lang w:val="fr-FR" w:bidi="ar-KW"/>
        </w:rPr>
        <w:t xml:space="preserve"> par l</w:t>
      </w:r>
      <w:r w:rsidR="00680ADA" w:rsidRPr="00F1180D">
        <w:rPr>
          <w:lang w:val="fr-FR" w:bidi="ar-KW"/>
        </w:rPr>
        <w:t>’</w:t>
      </w:r>
      <w:r w:rsidR="000C6D4A" w:rsidRPr="00F1180D">
        <w:rPr>
          <w:lang w:val="fr-FR" w:bidi="ar-KW"/>
        </w:rPr>
        <w:t>un des moyens d</w:t>
      </w:r>
      <w:r w:rsidR="00680ADA" w:rsidRPr="00F1180D">
        <w:rPr>
          <w:lang w:val="fr-FR" w:bidi="ar-KW"/>
        </w:rPr>
        <w:t>’</w:t>
      </w:r>
      <w:r w:rsidR="000C6D4A" w:rsidRPr="00F1180D">
        <w:rPr>
          <w:lang w:val="fr-FR" w:bidi="ar-KW"/>
        </w:rPr>
        <w:t>expression visés à l</w:t>
      </w:r>
      <w:r w:rsidR="00680ADA" w:rsidRPr="00F1180D">
        <w:rPr>
          <w:lang w:val="fr-FR" w:bidi="ar-KW"/>
        </w:rPr>
        <w:t>’</w:t>
      </w:r>
      <w:r w:rsidR="00163207" w:rsidRPr="00F1180D">
        <w:rPr>
          <w:lang w:val="fr-FR" w:bidi="ar-KW"/>
        </w:rPr>
        <w:t>article </w:t>
      </w:r>
      <w:r w:rsidR="000C6D4A" w:rsidRPr="00F1180D">
        <w:rPr>
          <w:lang w:val="fr-FR" w:bidi="ar-KW"/>
        </w:rPr>
        <w:t xml:space="preserve">29 de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31 de 1970 modifiant certaines dispositions du Code pénal</w:t>
      </w:r>
      <w:r w:rsidR="00680ADA" w:rsidRPr="00F1180D">
        <w:rPr>
          <w:lang w:val="fr-FR" w:bidi="ar-KW"/>
        </w:rPr>
        <w:t>,</w:t>
      </w:r>
      <w:r w:rsidR="000C6D4A" w:rsidRPr="00F1180D">
        <w:rPr>
          <w:lang w:val="fr-FR" w:bidi="ar-KW"/>
        </w:rPr>
        <w:t xml:space="preserve"> qui constitue une incitation à la haine</w:t>
      </w:r>
      <w:r w:rsidR="00680ADA" w:rsidRPr="00F1180D">
        <w:rPr>
          <w:lang w:val="fr-FR" w:bidi="ar-KW"/>
        </w:rPr>
        <w:t>,</w:t>
      </w:r>
      <w:r w:rsidR="000C6D4A" w:rsidRPr="00F1180D">
        <w:rPr>
          <w:lang w:val="fr-FR" w:bidi="ar-KW"/>
        </w:rPr>
        <w:t xml:space="preserve"> au dénigrement d</w:t>
      </w:r>
      <w:r w:rsidR="00680ADA" w:rsidRPr="00F1180D">
        <w:rPr>
          <w:lang w:val="fr-FR" w:bidi="ar-KW"/>
        </w:rPr>
        <w:t>’</w:t>
      </w:r>
      <w:r w:rsidR="000C6D4A" w:rsidRPr="00F1180D">
        <w:rPr>
          <w:lang w:val="fr-FR" w:bidi="ar-KW"/>
        </w:rPr>
        <w:t>un groupe social</w:t>
      </w:r>
      <w:r w:rsidR="00680ADA" w:rsidRPr="00F1180D">
        <w:rPr>
          <w:lang w:val="fr-FR" w:bidi="ar-KW"/>
        </w:rPr>
        <w:t>,</w:t>
      </w:r>
      <w:r w:rsidR="000C6D4A" w:rsidRPr="00F1180D">
        <w:rPr>
          <w:lang w:val="fr-FR" w:bidi="ar-KW"/>
        </w:rPr>
        <w:t xml:space="preserve"> aux conflits confessionnels ou tribaux</w:t>
      </w:r>
      <w:r w:rsidR="00680ADA" w:rsidRPr="00F1180D">
        <w:rPr>
          <w:lang w:val="fr-FR" w:bidi="ar-KW"/>
        </w:rPr>
        <w:t>,</w:t>
      </w:r>
      <w:r w:rsidR="000C6D4A" w:rsidRPr="00F1180D">
        <w:rPr>
          <w:lang w:val="fr-FR" w:bidi="ar-KW"/>
        </w:rPr>
        <w:t xml:space="preserve"> ainsi que la diffusion de toute idéologie prônant la supériorité d</w:t>
      </w:r>
      <w:r w:rsidR="00680ADA" w:rsidRPr="00F1180D">
        <w:rPr>
          <w:lang w:val="fr-FR" w:bidi="ar-KW"/>
        </w:rPr>
        <w:t>’</w:t>
      </w:r>
      <w:r w:rsidR="000C6D4A" w:rsidRPr="00F1180D">
        <w:rPr>
          <w:lang w:val="fr-FR" w:bidi="ar-KW"/>
        </w:rPr>
        <w:t>une race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 groupe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couleur</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origine nationale ou ethnique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confession</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 genre ou d</w:t>
      </w:r>
      <w:r w:rsidR="00680ADA" w:rsidRPr="00F1180D">
        <w:rPr>
          <w:lang w:val="fr-FR" w:bidi="ar-KW"/>
        </w:rPr>
        <w:t>’</w:t>
      </w:r>
      <w:r w:rsidR="000C6D4A" w:rsidRPr="00F1180D">
        <w:rPr>
          <w:lang w:val="fr-FR" w:bidi="ar-KW"/>
        </w:rPr>
        <w:t>une filiation et l</w:t>
      </w:r>
      <w:r w:rsidR="00680ADA" w:rsidRPr="00F1180D">
        <w:rPr>
          <w:lang w:val="fr-FR" w:bidi="ar-KW"/>
        </w:rPr>
        <w:t>’</w:t>
      </w:r>
      <w:r w:rsidR="000C6D4A" w:rsidRPr="00F1180D">
        <w:rPr>
          <w:lang w:val="fr-FR" w:bidi="ar-KW"/>
        </w:rPr>
        <w:t>incitation à la commission de tout acte de violence à cette fin</w:t>
      </w:r>
      <w:r w:rsidR="00680ADA" w:rsidRPr="00F1180D">
        <w:rPr>
          <w:lang w:val="fr-FR" w:bidi="ar-KW"/>
        </w:rPr>
        <w:t>,</w:t>
      </w:r>
      <w:r w:rsidR="000C6D4A" w:rsidRPr="00F1180D">
        <w:rPr>
          <w:lang w:val="fr-FR" w:bidi="ar-KW"/>
        </w:rPr>
        <w:t xml:space="preserve"> de même que la propagation</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édition</w:t>
      </w:r>
      <w:r w:rsidR="00680ADA" w:rsidRPr="00F1180D">
        <w:rPr>
          <w:lang w:val="fr-FR" w:bidi="ar-KW"/>
        </w:rPr>
        <w:t>,</w:t>
      </w:r>
      <w:r w:rsidR="000C6D4A" w:rsidRPr="00F1180D">
        <w:rPr>
          <w:lang w:val="fr-FR" w:bidi="ar-KW"/>
        </w:rPr>
        <w:t xml:space="preserve"> la publication</w:t>
      </w:r>
      <w:r w:rsidR="00680ADA" w:rsidRPr="00F1180D">
        <w:rPr>
          <w:lang w:val="fr-FR" w:bidi="ar-KW"/>
        </w:rPr>
        <w:t>,</w:t>
      </w:r>
      <w:r w:rsidR="000C6D4A" w:rsidRPr="00F1180D">
        <w:rPr>
          <w:lang w:val="fr-FR" w:bidi="ar-KW"/>
        </w:rPr>
        <w:t xml:space="preserve"> la diffusion</w:t>
      </w:r>
      <w:r w:rsidR="00680ADA" w:rsidRPr="00F1180D">
        <w:rPr>
          <w:lang w:val="fr-FR" w:bidi="ar-KW"/>
        </w:rPr>
        <w:t>,</w:t>
      </w:r>
      <w:r w:rsidR="000C6D4A" w:rsidRPr="00F1180D">
        <w:rPr>
          <w:lang w:val="fr-FR" w:bidi="ar-KW"/>
        </w:rPr>
        <w:t xml:space="preserve"> la retransmission</w:t>
      </w:r>
      <w:r w:rsidR="00680ADA" w:rsidRPr="00F1180D">
        <w:rPr>
          <w:lang w:val="fr-FR" w:bidi="ar-KW"/>
        </w:rPr>
        <w:t>,</w:t>
      </w:r>
      <w:r w:rsidR="000C6D4A" w:rsidRPr="00F1180D">
        <w:rPr>
          <w:lang w:val="fr-FR" w:bidi="ar-KW"/>
        </w:rPr>
        <w:t xml:space="preserve"> la production</w:t>
      </w:r>
      <w:r w:rsidR="00680ADA" w:rsidRPr="00F1180D">
        <w:rPr>
          <w:lang w:val="fr-FR" w:bidi="ar-KW"/>
        </w:rPr>
        <w:t>,</w:t>
      </w:r>
      <w:r w:rsidR="000C6D4A" w:rsidRPr="00F1180D">
        <w:rPr>
          <w:lang w:val="fr-FR" w:bidi="ar-KW"/>
        </w:rPr>
        <w:t xml:space="preserve"> ou la mise en circulation de tout document imprimé ou contenu audiovisuel de nature à provoquer les infractions visées ci-dessus et la diffusion</w:t>
      </w:r>
      <w:r w:rsidR="00680ADA" w:rsidRPr="00F1180D">
        <w:rPr>
          <w:lang w:val="fr-FR" w:bidi="ar-KW"/>
        </w:rPr>
        <w:t>,</w:t>
      </w:r>
      <w:r w:rsidR="000C6D4A" w:rsidRPr="00F1180D">
        <w:rPr>
          <w:lang w:val="fr-FR" w:bidi="ar-KW"/>
        </w:rPr>
        <w:t xml:space="preserve"> la propagation ou la retransmission de fausses rumeurs susceptibles de produire les mêmes effets</w:t>
      </w:r>
      <w:r w:rsidR="00680ADA" w:rsidRPr="00F1180D">
        <w:rPr>
          <w:lang w:val="fr-FR" w:bidi="ar-KW"/>
        </w:rPr>
        <w:t>»</w:t>
      </w:r>
      <w:r w:rsidR="000C6D4A" w:rsidRPr="00F1180D">
        <w:rPr>
          <w:lang w:val="fr-FR" w:bidi="ar-KW"/>
        </w:rPr>
        <w:t xml:space="preserve">. </w:t>
      </w:r>
    </w:p>
    <w:p w:rsidR="000C6D4A" w:rsidRPr="00F1180D" w:rsidRDefault="000F7294" w:rsidP="000F7294">
      <w:pPr>
        <w:pStyle w:val="H1G"/>
        <w:rPr>
          <w:lang w:val="fr-FR" w:bidi="ar-KW"/>
        </w:rPr>
      </w:pPr>
      <w:r w:rsidRPr="00F1180D">
        <w:rPr>
          <w:lang w:val="fr-FR" w:bidi="ar-KW"/>
        </w:rPr>
        <w:tab/>
      </w:r>
      <w:r w:rsidRPr="00F1180D">
        <w:rPr>
          <w:lang w:val="fr-FR" w:bidi="ar-KW"/>
        </w:rPr>
        <w:tab/>
      </w:r>
      <w:r w:rsidR="000C6D4A" w:rsidRPr="00F1180D">
        <w:rPr>
          <w:lang w:val="fr-FR" w:bidi="ar-KW"/>
        </w:rPr>
        <w:t xml:space="preserve">Recommandation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KW"/>
        </w:rPr>
        <w:t>13</w:t>
      </w:r>
    </w:p>
    <w:p w:rsidR="000C6D4A" w:rsidRPr="00F1180D" w:rsidRDefault="00930AE5" w:rsidP="00680ADA">
      <w:pPr>
        <w:pStyle w:val="SingleTxtG"/>
        <w:rPr>
          <w:lang w:val="fr-FR" w:bidi="ar-EG"/>
        </w:rPr>
      </w:pPr>
      <w:r>
        <w:rPr>
          <w:lang w:val="fr-FR" w:bidi="ar-EG"/>
        </w:rPr>
        <w:t>140.</w:t>
      </w:r>
      <w:r>
        <w:rPr>
          <w:lang w:val="fr-FR" w:bidi="ar-EG"/>
        </w:rPr>
        <w:tab/>
      </w:r>
      <w:r w:rsidR="000C6D4A" w:rsidRPr="00F1180D">
        <w:rPr>
          <w:lang w:val="fr-FR" w:bidi="ar-EG"/>
        </w:rPr>
        <w:t>Conformément à ses engagements internationaux</w:t>
      </w:r>
      <w:r w:rsidR="00680ADA" w:rsidRPr="00F1180D">
        <w:rPr>
          <w:lang w:val="fr-FR" w:bidi="ar-EG"/>
        </w:rPr>
        <w:t>,</w:t>
      </w:r>
      <w:r w:rsidR="000C6D4A" w:rsidRPr="00F1180D">
        <w:rPr>
          <w:lang w:val="fr-FR" w:bidi="ar-EG"/>
        </w:rPr>
        <w:t xml:space="preserve"> le Koweït a promulgué la loi </w:t>
      </w:r>
      <w:r w:rsidR="00680ADA" w:rsidRPr="00F1180D">
        <w:rPr>
          <w:lang w:val="fr-FR" w:bidi="ar-EG"/>
        </w:rPr>
        <w:t>n</w:t>
      </w:r>
      <w:r w:rsidR="00680ADA" w:rsidRPr="00F1180D">
        <w:rPr>
          <w:vertAlign w:val="superscript"/>
          <w:lang w:val="fr-FR" w:bidi="ar-EG"/>
        </w:rPr>
        <w:t>o</w:t>
      </w:r>
      <w:r w:rsidR="00680ADA" w:rsidRPr="00F1180D">
        <w:rPr>
          <w:lang w:val="fr-FR" w:bidi="ar-EG"/>
        </w:rPr>
        <w:t> </w:t>
      </w:r>
      <w:r w:rsidR="000C6D4A" w:rsidRPr="00F1180D">
        <w:rPr>
          <w:lang w:val="fr-FR" w:bidi="ar-EG"/>
        </w:rPr>
        <w:t>5 du 27 mars 2006 portant adhésion du pays à la Convention des Nations Unies sur la criminalité transnationale organisée et à ses deux Protocoles additionnels visant à prévenir</w:t>
      </w:r>
      <w:r w:rsidR="00680ADA" w:rsidRPr="00F1180D">
        <w:rPr>
          <w:lang w:val="fr-FR" w:bidi="ar-EG"/>
        </w:rPr>
        <w:t>,</w:t>
      </w:r>
      <w:r w:rsidR="000C6D4A" w:rsidRPr="00F1180D">
        <w:rPr>
          <w:lang w:val="fr-FR" w:bidi="ar-EG"/>
        </w:rPr>
        <w:t xml:space="preserve"> réprimer et punir la traite des personnes</w:t>
      </w:r>
      <w:r w:rsidR="00680ADA" w:rsidRPr="00F1180D">
        <w:rPr>
          <w:lang w:val="fr-FR" w:bidi="ar-EG"/>
        </w:rPr>
        <w:t>,</w:t>
      </w:r>
      <w:r w:rsidR="000C6D4A" w:rsidRPr="00F1180D">
        <w:rPr>
          <w:lang w:val="fr-FR" w:bidi="ar-EG"/>
        </w:rPr>
        <w:t xml:space="preserve"> en particulier des femmes et des enfants</w:t>
      </w:r>
      <w:r w:rsidR="00680ADA" w:rsidRPr="00F1180D">
        <w:rPr>
          <w:lang w:val="fr-FR" w:bidi="ar-EG"/>
        </w:rPr>
        <w:t>,</w:t>
      </w:r>
      <w:r w:rsidR="000C6D4A" w:rsidRPr="00F1180D">
        <w:rPr>
          <w:lang w:val="fr-FR" w:bidi="ar-EG"/>
        </w:rPr>
        <w:t xml:space="preserve"> et contre le trafic illicite de migrants par terre</w:t>
      </w:r>
      <w:r w:rsidR="00680ADA" w:rsidRPr="00F1180D">
        <w:rPr>
          <w:lang w:val="fr-FR" w:bidi="ar-EG"/>
        </w:rPr>
        <w:t>,</w:t>
      </w:r>
      <w:r w:rsidR="000C6D4A" w:rsidRPr="00F1180D">
        <w:rPr>
          <w:lang w:val="fr-FR" w:bidi="ar-EG"/>
        </w:rPr>
        <w:t xml:space="preserve"> air et mer.</w:t>
      </w:r>
    </w:p>
    <w:p w:rsidR="000C6D4A" w:rsidRPr="00F1180D" w:rsidRDefault="00930AE5" w:rsidP="00680ADA">
      <w:pPr>
        <w:pStyle w:val="SingleTxtG"/>
        <w:rPr>
          <w:rtl/>
          <w:lang w:val="fr-FR" w:bidi="fr-FR"/>
        </w:rPr>
      </w:pPr>
      <w:r>
        <w:rPr>
          <w:lang w:val="fr-FR" w:bidi="ar-EG"/>
        </w:rPr>
        <w:t>141.</w:t>
      </w:r>
      <w:r>
        <w:rPr>
          <w:lang w:val="fr-FR" w:bidi="ar-EG"/>
        </w:rPr>
        <w:tab/>
      </w:r>
      <w:r w:rsidR="000C6D4A" w:rsidRPr="00F1180D">
        <w:rPr>
          <w:lang w:val="fr-FR" w:bidi="ar-EG"/>
        </w:rPr>
        <w:t>La Constitution considère à cet égard que les traités ratifiés par le Koweït deviennent partie intégrante de l</w:t>
      </w:r>
      <w:r w:rsidR="00680ADA" w:rsidRPr="00F1180D">
        <w:rPr>
          <w:lang w:val="fr-FR" w:bidi="ar-EG"/>
        </w:rPr>
        <w:t>’</w:t>
      </w:r>
      <w:r w:rsidR="000C6D4A" w:rsidRPr="00F1180D">
        <w:rPr>
          <w:lang w:val="fr-FR" w:bidi="ar-EG"/>
        </w:rPr>
        <w:t>ordre juridique interne dès leur entrée en vigueur et qu</w:t>
      </w:r>
      <w:r w:rsidR="00680ADA" w:rsidRPr="00F1180D">
        <w:rPr>
          <w:lang w:val="fr-FR" w:bidi="ar-EG"/>
        </w:rPr>
        <w:t>’</w:t>
      </w:r>
      <w:r w:rsidR="000C6D4A" w:rsidRPr="00F1180D">
        <w:rPr>
          <w:lang w:val="fr-FR" w:bidi="ar-EG"/>
        </w:rPr>
        <w:t xml:space="preserve">en </w:t>
      </w:r>
      <w:r w:rsidR="000C6D4A" w:rsidRPr="00F1180D">
        <w:rPr>
          <w:lang w:val="fr-FR" w:bidi="ar-EG"/>
        </w:rPr>
        <w:lastRenderedPageBreak/>
        <w:t>conséquence</w:t>
      </w:r>
      <w:r w:rsidR="00680ADA" w:rsidRPr="00F1180D">
        <w:rPr>
          <w:lang w:val="fr-FR" w:bidi="ar-EG"/>
        </w:rPr>
        <w:t>,</w:t>
      </w:r>
      <w:r w:rsidR="000C6D4A" w:rsidRPr="00F1180D">
        <w:rPr>
          <w:lang w:val="fr-FR" w:bidi="ar-EG"/>
        </w:rPr>
        <w:t xml:space="preserve"> tous les pouvoirs publics</w:t>
      </w:r>
      <w:r w:rsidR="00680ADA" w:rsidRPr="00F1180D">
        <w:rPr>
          <w:lang w:val="fr-FR" w:bidi="ar-EG"/>
        </w:rPr>
        <w:t>,</w:t>
      </w:r>
      <w:r w:rsidR="000C6D4A" w:rsidRPr="00F1180D">
        <w:rPr>
          <w:lang w:val="fr-FR" w:bidi="ar-EG"/>
        </w:rPr>
        <w:t xml:space="preserve"> ainsi que les particuliers</w:t>
      </w:r>
      <w:r w:rsidR="00680ADA" w:rsidRPr="00F1180D">
        <w:rPr>
          <w:lang w:val="fr-FR" w:bidi="ar-EG"/>
        </w:rPr>
        <w:t>,</w:t>
      </w:r>
      <w:r w:rsidR="000C6D4A" w:rsidRPr="00F1180D">
        <w:rPr>
          <w:lang w:val="fr-FR" w:bidi="ar-EG"/>
        </w:rPr>
        <w:t xml:space="preserve"> doivent s</w:t>
      </w:r>
      <w:r w:rsidR="00680ADA" w:rsidRPr="00F1180D">
        <w:rPr>
          <w:lang w:val="fr-FR" w:bidi="ar-EG"/>
        </w:rPr>
        <w:t>’</w:t>
      </w:r>
      <w:r w:rsidR="000C6D4A" w:rsidRPr="00F1180D">
        <w:rPr>
          <w:lang w:val="fr-FR" w:bidi="ar-EG"/>
        </w:rPr>
        <w:t>y conformer</w:t>
      </w:r>
      <w:r w:rsidR="00680ADA" w:rsidRPr="00F1180D">
        <w:rPr>
          <w:lang w:val="fr-FR" w:bidi="ar-EG"/>
        </w:rPr>
        <w:t>,</w:t>
      </w:r>
      <w:r w:rsidR="000C6D4A" w:rsidRPr="00F1180D">
        <w:rPr>
          <w:lang w:val="fr-FR" w:bidi="ar-EG"/>
        </w:rPr>
        <w:t xml:space="preserve"> de même qu</w:t>
      </w:r>
      <w:r w:rsidR="00680ADA" w:rsidRPr="00F1180D">
        <w:rPr>
          <w:lang w:val="fr-FR" w:bidi="ar-EG"/>
        </w:rPr>
        <w:t>’</w:t>
      </w:r>
      <w:r w:rsidR="000C6D4A" w:rsidRPr="00F1180D">
        <w:rPr>
          <w:lang w:val="fr-FR" w:bidi="ar-EG"/>
        </w:rPr>
        <w:t>il incombe à la justice de veiller à leur respect.</w:t>
      </w:r>
    </w:p>
    <w:p w:rsidR="000C6D4A" w:rsidRPr="00F1180D" w:rsidRDefault="00930AE5" w:rsidP="00680ADA">
      <w:pPr>
        <w:pStyle w:val="SingleTxtG"/>
        <w:rPr>
          <w:rtl/>
          <w:lang w:val="fr-FR" w:bidi="fr-FR"/>
        </w:rPr>
      </w:pPr>
      <w:r>
        <w:rPr>
          <w:lang w:val="fr-FR" w:bidi="ar-EG"/>
        </w:rPr>
        <w:t>142.</w:t>
      </w:r>
      <w:r>
        <w:rPr>
          <w:lang w:val="fr-FR" w:bidi="ar-EG"/>
        </w:rPr>
        <w:tab/>
      </w:r>
      <w:r w:rsidR="000C6D4A" w:rsidRPr="00F1180D">
        <w:rPr>
          <w:lang w:val="fr-FR" w:bidi="ar-EG"/>
        </w:rPr>
        <w:t>Cette obligation découle de l</w:t>
      </w:r>
      <w:r w:rsidR="00680ADA" w:rsidRPr="00F1180D">
        <w:rPr>
          <w:lang w:val="fr-FR" w:bidi="ar-EG"/>
        </w:rPr>
        <w:t>’</w:t>
      </w:r>
      <w:r w:rsidR="00163207" w:rsidRPr="00F1180D">
        <w:rPr>
          <w:lang w:val="fr-FR" w:bidi="ar-EG"/>
        </w:rPr>
        <w:t>article </w:t>
      </w:r>
      <w:r w:rsidR="000C6D4A" w:rsidRPr="00F1180D">
        <w:rPr>
          <w:lang w:val="fr-FR" w:bidi="ar-EG"/>
        </w:rPr>
        <w:t>70 de la Constitution aux termes duquel</w:t>
      </w:r>
      <w:r w:rsidR="00680ADA" w:rsidRPr="00F1180D">
        <w:rPr>
          <w:lang w:val="fr-FR" w:bidi="ar-EG"/>
        </w:rPr>
        <w:t>:</w:t>
      </w:r>
      <w:r w:rsidR="000C6D4A" w:rsidRPr="00F1180D">
        <w:rPr>
          <w:lang w:val="fr-FR" w:bidi="ar-EG"/>
        </w:rPr>
        <w:t xml:space="preserve"> </w:t>
      </w:r>
      <w:r w:rsidR="00680ADA" w:rsidRPr="00F1180D">
        <w:rPr>
          <w:lang w:val="fr-FR" w:bidi="ar-EG"/>
        </w:rPr>
        <w:t>«</w:t>
      </w:r>
      <w:r w:rsidR="000C6D4A" w:rsidRPr="00F1180D">
        <w:rPr>
          <w:lang w:val="fr-FR" w:bidi="ar-EG"/>
        </w:rPr>
        <w:t>L</w:t>
      </w:r>
      <w:r w:rsidR="00680ADA" w:rsidRPr="00F1180D">
        <w:rPr>
          <w:lang w:val="fr-FR" w:bidi="ar-EG"/>
        </w:rPr>
        <w:t>’</w:t>
      </w:r>
      <w:r w:rsidR="000C6D4A" w:rsidRPr="00F1180D">
        <w:rPr>
          <w:lang w:val="fr-FR" w:bidi="ar-EG"/>
        </w:rPr>
        <w:t>Émir conclut des traités par décret et les transmet immédiatement à l</w:t>
      </w:r>
      <w:r w:rsidR="00680ADA" w:rsidRPr="00F1180D">
        <w:rPr>
          <w:lang w:val="fr-FR" w:bidi="ar-EG"/>
        </w:rPr>
        <w:t>’</w:t>
      </w:r>
      <w:r w:rsidR="000C6D4A" w:rsidRPr="00F1180D">
        <w:rPr>
          <w:lang w:val="fr-FR" w:bidi="ar-EG"/>
        </w:rPr>
        <w:t>Assemblée nationale</w:t>
      </w:r>
      <w:r w:rsidR="00680ADA" w:rsidRPr="00F1180D">
        <w:rPr>
          <w:lang w:val="fr-FR" w:bidi="ar-EG"/>
        </w:rPr>
        <w:t>,</w:t>
      </w:r>
      <w:r w:rsidR="000C6D4A" w:rsidRPr="00F1180D">
        <w:rPr>
          <w:lang w:val="fr-FR" w:bidi="ar-EG"/>
        </w:rPr>
        <w:t xml:space="preserve"> avec ses annotations. Un traité acquiert force de loi une fois signé</w:t>
      </w:r>
      <w:r w:rsidR="00680ADA" w:rsidRPr="00F1180D">
        <w:rPr>
          <w:lang w:val="fr-FR" w:bidi="ar-EG"/>
        </w:rPr>
        <w:t>,</w:t>
      </w:r>
      <w:r w:rsidR="000C6D4A" w:rsidRPr="00F1180D">
        <w:rPr>
          <w:lang w:val="fr-FR" w:bidi="ar-EG"/>
        </w:rPr>
        <w:t xml:space="preserve"> ratifié et publié au Journal officiel ...</w:t>
      </w:r>
      <w:r w:rsidR="00680ADA" w:rsidRPr="00F1180D">
        <w:rPr>
          <w:lang w:val="fr-FR" w:bidi="ar-EG"/>
        </w:rPr>
        <w:t>»</w:t>
      </w:r>
      <w:r w:rsidR="000C6D4A" w:rsidRPr="00F1180D">
        <w:rPr>
          <w:lang w:val="fr-FR" w:bidi="ar-EG"/>
        </w:rPr>
        <w:t>.</w:t>
      </w:r>
    </w:p>
    <w:p w:rsidR="000C6D4A" w:rsidRPr="00F1180D" w:rsidRDefault="00930AE5" w:rsidP="00680ADA">
      <w:pPr>
        <w:pStyle w:val="SingleTxtG"/>
        <w:rPr>
          <w:lang w:val="fr-FR" w:bidi="ar-EG"/>
        </w:rPr>
      </w:pPr>
      <w:r>
        <w:rPr>
          <w:lang w:val="fr-FR" w:bidi="ar-EG"/>
        </w:rPr>
        <w:t>143.</w:t>
      </w:r>
      <w:r>
        <w:rPr>
          <w:lang w:val="fr-FR" w:bidi="ar-EG"/>
        </w:rPr>
        <w:tab/>
      </w:r>
      <w:r w:rsidR="000C6D4A" w:rsidRPr="00F1180D">
        <w:rPr>
          <w:lang w:val="fr-FR" w:bidi="ar-EG"/>
        </w:rPr>
        <w:t>L</w:t>
      </w:r>
      <w:r w:rsidR="00680ADA" w:rsidRPr="00F1180D">
        <w:rPr>
          <w:lang w:val="fr-FR" w:bidi="ar-EG"/>
        </w:rPr>
        <w:t>’</w:t>
      </w:r>
      <w:r w:rsidR="000C6D4A" w:rsidRPr="00F1180D">
        <w:rPr>
          <w:lang w:val="fr-FR" w:bidi="ar-EG"/>
        </w:rPr>
        <w:t xml:space="preserve">État du Koweït a promulgué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EG"/>
        </w:rPr>
        <w:t>91 de 2013 sur la lutte contre la traite de personnes et le trafic de migrants</w:t>
      </w:r>
      <w:r w:rsidR="00680ADA" w:rsidRPr="00F1180D">
        <w:rPr>
          <w:lang w:val="fr-FR" w:bidi="ar-EG"/>
        </w:rPr>
        <w:t>,</w:t>
      </w:r>
      <w:r w:rsidR="000C6D4A" w:rsidRPr="00F1180D">
        <w:rPr>
          <w:lang w:val="fr-FR" w:bidi="ar-EG"/>
        </w:rPr>
        <w:t xml:space="preserve"> dont les principales dispositions sont présentées ci-après. Ainsi</w:t>
      </w:r>
      <w:r w:rsidR="00680ADA" w:rsidRPr="00F1180D">
        <w:rPr>
          <w:lang w:val="fr-FR" w:bidi="ar-EG"/>
        </w:rPr>
        <w:t>,</w:t>
      </w:r>
      <w:r w:rsidR="000C6D4A" w:rsidRPr="00F1180D">
        <w:rPr>
          <w:lang w:val="fr-FR" w:bidi="ar-EG"/>
        </w:rPr>
        <w:t xml:space="preserve"> l</w:t>
      </w:r>
      <w:r w:rsidR="00680ADA" w:rsidRPr="00F1180D">
        <w:rPr>
          <w:lang w:val="fr-FR" w:bidi="ar-EG"/>
        </w:rPr>
        <w:t>’</w:t>
      </w:r>
      <w:r w:rsidR="00163207" w:rsidRPr="00F1180D">
        <w:rPr>
          <w:lang w:val="fr-FR" w:bidi="ar-EG"/>
        </w:rPr>
        <w:t>article </w:t>
      </w:r>
      <w:r w:rsidR="00352800" w:rsidRPr="00F1180D">
        <w:rPr>
          <w:lang w:val="fr-FR" w:bidi="ar-EG"/>
        </w:rPr>
        <w:t>1</w:t>
      </w:r>
      <w:r w:rsidR="00352800" w:rsidRPr="00F1180D">
        <w:rPr>
          <w:vertAlign w:val="superscript"/>
          <w:lang w:val="fr-FR" w:bidi="ar-EG"/>
        </w:rPr>
        <w:t>er</w:t>
      </w:r>
      <w:r w:rsidR="00352800" w:rsidRPr="00F1180D">
        <w:rPr>
          <w:lang w:val="fr-FR" w:bidi="ar-EG"/>
        </w:rPr>
        <w:t xml:space="preserve"> </w:t>
      </w:r>
      <w:r w:rsidR="000C6D4A" w:rsidRPr="00F1180D">
        <w:rPr>
          <w:lang w:val="fr-FR" w:bidi="ar-EG"/>
        </w:rPr>
        <w:t>de ce texte définit la criminalité transnationale organisée</w:t>
      </w:r>
      <w:r w:rsidR="00680ADA" w:rsidRPr="00F1180D">
        <w:rPr>
          <w:lang w:val="fr-FR" w:bidi="ar-EG"/>
        </w:rPr>
        <w:t>,</w:t>
      </w:r>
      <w:r w:rsidR="000C6D4A" w:rsidRPr="00F1180D">
        <w:rPr>
          <w:lang w:val="fr-FR" w:bidi="ar-EG"/>
        </w:rPr>
        <w:t xml:space="preserve"> la traite d</w:t>
      </w:r>
      <w:r w:rsidR="00680ADA" w:rsidRPr="00F1180D">
        <w:rPr>
          <w:lang w:val="fr-FR" w:bidi="ar-EG"/>
        </w:rPr>
        <w:t>’</w:t>
      </w:r>
      <w:r w:rsidR="000C6D4A" w:rsidRPr="00F1180D">
        <w:rPr>
          <w:lang w:val="fr-FR" w:bidi="ar-EG"/>
        </w:rPr>
        <w:t>êtres humains</w:t>
      </w:r>
      <w:r w:rsidR="00680ADA" w:rsidRPr="00F1180D">
        <w:rPr>
          <w:lang w:val="fr-FR" w:bidi="ar-EG"/>
        </w:rPr>
        <w:t>,</w:t>
      </w:r>
      <w:r w:rsidR="000C6D4A" w:rsidRPr="00F1180D">
        <w:rPr>
          <w:lang w:val="fr-FR" w:bidi="ar-EG"/>
        </w:rPr>
        <w:t xml:space="preserve"> le trafic de migrants et l</w:t>
      </w:r>
      <w:r w:rsidR="00680ADA" w:rsidRPr="00F1180D">
        <w:rPr>
          <w:lang w:val="fr-FR" w:bidi="ar-EG"/>
        </w:rPr>
        <w:t>’</w:t>
      </w:r>
      <w:r w:rsidR="000C6D4A" w:rsidRPr="00F1180D">
        <w:rPr>
          <w:lang w:val="fr-FR" w:bidi="ar-EG"/>
        </w:rPr>
        <w:t>entrée illégale sur le territoire. L</w:t>
      </w:r>
      <w:r w:rsidR="00680ADA" w:rsidRPr="00F1180D">
        <w:rPr>
          <w:lang w:val="fr-FR" w:bidi="ar-EG"/>
        </w:rPr>
        <w:t>’</w:t>
      </w:r>
      <w:r w:rsidR="00163207" w:rsidRPr="00F1180D">
        <w:rPr>
          <w:lang w:val="fr-FR" w:bidi="ar-EG"/>
        </w:rPr>
        <w:t>article </w:t>
      </w:r>
      <w:r w:rsidR="000C6D4A" w:rsidRPr="00F1180D">
        <w:rPr>
          <w:lang w:val="fr-FR" w:bidi="ar-EG"/>
        </w:rPr>
        <w:t xml:space="preserve">2 </w:t>
      </w:r>
      <w:r w:rsidR="000C6D4A" w:rsidRPr="00F1180D">
        <w:rPr>
          <w:lang w:val="fr-FR"/>
        </w:rPr>
        <w:t>fixe les peines prévues en cas de traite des personnes</w:t>
      </w:r>
      <w:r w:rsidR="00680ADA" w:rsidRPr="00F1180D">
        <w:rPr>
          <w:lang w:val="fr-FR"/>
        </w:rPr>
        <w:t>,</w:t>
      </w:r>
      <w:r w:rsidR="000C6D4A" w:rsidRPr="00F1180D">
        <w:rPr>
          <w:lang w:val="fr-FR"/>
        </w:rPr>
        <w:t xml:space="preserve"> qui peuvent aller jusqu</w:t>
      </w:r>
      <w:r w:rsidR="00680ADA" w:rsidRPr="00F1180D">
        <w:rPr>
          <w:lang w:val="fr-FR"/>
        </w:rPr>
        <w:t>’</w:t>
      </w:r>
      <w:r w:rsidR="000C6D4A" w:rsidRPr="00F1180D">
        <w:rPr>
          <w:lang w:val="fr-FR"/>
        </w:rPr>
        <w:t>à la peine de mort</w:t>
      </w:r>
      <w:r w:rsidR="000C6D4A" w:rsidRPr="00F1180D">
        <w:rPr>
          <w:lang w:val="fr-FR" w:bidi="ar-EG"/>
        </w:rPr>
        <w:t xml:space="preserve">. </w:t>
      </w:r>
    </w:p>
    <w:p w:rsidR="000C6D4A" w:rsidRPr="00F1180D" w:rsidRDefault="00930AE5" w:rsidP="00680ADA">
      <w:pPr>
        <w:pStyle w:val="SingleTxtG"/>
        <w:rPr>
          <w:rtl/>
          <w:lang w:val="fr-FR" w:bidi="fr-FR"/>
        </w:rPr>
      </w:pPr>
      <w:r>
        <w:rPr>
          <w:lang w:val="fr-FR" w:bidi="ar-EG"/>
        </w:rPr>
        <w:t>144.</w:t>
      </w:r>
      <w:r>
        <w:rPr>
          <w:lang w:val="fr-FR" w:bidi="ar-EG"/>
        </w:rPr>
        <w:tab/>
      </w:r>
      <w:r w:rsidR="000C6D4A" w:rsidRPr="00F1180D">
        <w:rPr>
          <w:lang w:val="fr-FR" w:bidi="ar-EG"/>
        </w:rPr>
        <w:t>L</w:t>
      </w:r>
      <w:r w:rsidR="00680ADA" w:rsidRPr="00F1180D">
        <w:rPr>
          <w:lang w:val="fr-FR" w:bidi="ar-EG"/>
        </w:rPr>
        <w:t>’</w:t>
      </w:r>
      <w:r w:rsidR="00163207" w:rsidRPr="00F1180D">
        <w:rPr>
          <w:lang w:val="fr-FR" w:bidi="ar-EG"/>
        </w:rPr>
        <w:t>article </w:t>
      </w:r>
      <w:r w:rsidR="000C6D4A" w:rsidRPr="00F1180D">
        <w:rPr>
          <w:lang w:val="fr-FR" w:bidi="ar-EG"/>
        </w:rPr>
        <w:t>3 fixe les sanctions prévues en cas de trafic de migrants</w:t>
      </w:r>
      <w:r w:rsidR="00680ADA" w:rsidRPr="00F1180D">
        <w:rPr>
          <w:lang w:val="fr-FR" w:bidi="ar-EG"/>
        </w:rPr>
        <w:t>,</w:t>
      </w:r>
      <w:r w:rsidR="000C6D4A" w:rsidRPr="00F1180D">
        <w:rPr>
          <w:lang w:val="fr-FR" w:bidi="ar-EG"/>
        </w:rPr>
        <w:t xml:space="preserve"> à savoir une peine privative de liberté pouvant aller jusqu</w:t>
      </w:r>
      <w:r w:rsidR="00680ADA" w:rsidRPr="00F1180D">
        <w:rPr>
          <w:lang w:val="fr-FR" w:bidi="ar-EG"/>
        </w:rPr>
        <w:t>’</w:t>
      </w:r>
      <w:r w:rsidR="000C6D4A" w:rsidRPr="00F1180D">
        <w:rPr>
          <w:lang w:val="fr-FR" w:bidi="ar-EG"/>
        </w:rPr>
        <w:t>à quinze</w:t>
      </w:r>
      <w:r w:rsidR="00524736" w:rsidRPr="00F1180D">
        <w:rPr>
          <w:lang w:val="fr-FR" w:bidi="ar-EG"/>
        </w:rPr>
        <w:t> ans</w:t>
      </w:r>
      <w:r w:rsidR="000C6D4A" w:rsidRPr="00F1180D">
        <w:rPr>
          <w:lang w:val="fr-FR" w:bidi="ar-EG"/>
        </w:rPr>
        <w:t xml:space="preserve"> d</w:t>
      </w:r>
      <w:r w:rsidR="00680ADA" w:rsidRPr="00F1180D">
        <w:rPr>
          <w:lang w:val="fr-FR" w:bidi="ar-EG"/>
        </w:rPr>
        <w:t>’</w:t>
      </w:r>
      <w:r w:rsidR="000C6D4A" w:rsidRPr="00F1180D">
        <w:rPr>
          <w:lang w:val="fr-FR" w:bidi="ar-EG"/>
        </w:rPr>
        <w:t>emprisonnement et une amende de 10 000 à 20 000</w:t>
      </w:r>
      <w:r w:rsidR="009B1350" w:rsidRPr="00F1180D">
        <w:rPr>
          <w:lang w:val="fr-FR" w:bidi="ar-EG"/>
        </w:rPr>
        <w:t> dinars</w:t>
      </w:r>
      <w:r w:rsidR="000C6D4A" w:rsidRPr="00F1180D">
        <w:rPr>
          <w:lang w:val="fr-FR" w:bidi="ar-EG"/>
        </w:rPr>
        <w:t>.</w:t>
      </w:r>
    </w:p>
    <w:p w:rsidR="000C6D4A" w:rsidRPr="00F1180D" w:rsidRDefault="00930AE5" w:rsidP="00680ADA">
      <w:pPr>
        <w:pStyle w:val="SingleTxtG"/>
        <w:rPr>
          <w:rtl/>
          <w:lang w:val="fr-FR" w:bidi="fr-FR"/>
        </w:rPr>
      </w:pPr>
      <w:r>
        <w:rPr>
          <w:lang w:val="fr-FR" w:bidi="ar-EG"/>
        </w:rPr>
        <w:t>145.</w:t>
      </w:r>
      <w:r>
        <w:rPr>
          <w:lang w:val="fr-FR" w:bidi="ar-EG"/>
        </w:rPr>
        <w:tab/>
      </w:r>
      <w:r w:rsidR="000C6D4A" w:rsidRPr="00F1180D">
        <w:rPr>
          <w:lang w:val="fr-FR" w:bidi="ar-EG"/>
        </w:rPr>
        <w:t>L</w:t>
      </w:r>
      <w:r w:rsidR="00680ADA" w:rsidRPr="00F1180D">
        <w:rPr>
          <w:lang w:val="fr-FR" w:bidi="ar-EG"/>
        </w:rPr>
        <w:t>’</w:t>
      </w:r>
      <w:r w:rsidR="00163207" w:rsidRPr="00F1180D">
        <w:rPr>
          <w:lang w:val="fr-FR" w:bidi="ar-EG"/>
        </w:rPr>
        <w:t>article </w:t>
      </w:r>
      <w:r w:rsidR="000C6D4A" w:rsidRPr="00F1180D">
        <w:rPr>
          <w:lang w:val="fr-FR" w:bidi="ar-EG"/>
        </w:rPr>
        <w:t>4 incrimine la dissimulation de l</w:t>
      </w:r>
      <w:r w:rsidR="00680ADA" w:rsidRPr="00F1180D">
        <w:rPr>
          <w:lang w:val="fr-FR" w:bidi="ar-EG"/>
        </w:rPr>
        <w:t>’</w:t>
      </w:r>
      <w:r w:rsidR="000C6D4A" w:rsidRPr="00F1180D">
        <w:rPr>
          <w:lang w:val="fr-FR" w:bidi="ar-EG"/>
        </w:rPr>
        <w:t>accusé et/ou le recel des produits de la traite des personnes ou du trafic de migrants. L</w:t>
      </w:r>
      <w:r w:rsidR="00680ADA" w:rsidRPr="00F1180D">
        <w:rPr>
          <w:lang w:val="fr-FR" w:bidi="ar-EG"/>
        </w:rPr>
        <w:t>’</w:t>
      </w:r>
      <w:r w:rsidR="00163207" w:rsidRPr="00F1180D">
        <w:rPr>
          <w:lang w:val="fr-FR" w:bidi="ar-EG"/>
        </w:rPr>
        <w:t>article </w:t>
      </w:r>
      <w:r w:rsidR="000C6D4A" w:rsidRPr="00F1180D">
        <w:rPr>
          <w:lang w:val="fr-FR" w:bidi="ar-EG"/>
        </w:rPr>
        <w:t>5 prévoit la confiscation des biens meubles</w:t>
      </w:r>
      <w:r w:rsidR="00680ADA" w:rsidRPr="00F1180D">
        <w:rPr>
          <w:lang w:val="fr-FR" w:bidi="ar-EG"/>
        </w:rPr>
        <w:t>,</w:t>
      </w:r>
      <w:r w:rsidR="000C6D4A" w:rsidRPr="00F1180D">
        <w:rPr>
          <w:lang w:val="fr-FR" w:bidi="ar-EG"/>
        </w:rPr>
        <w:t xml:space="preserve"> moyens de transport et objets saisis ayant servi ou qui étaient susceptibles de servir à la traite des personnes ou au trafic de migrants. </w:t>
      </w:r>
    </w:p>
    <w:p w:rsidR="000C6D4A" w:rsidRPr="00F1180D" w:rsidRDefault="00930AE5" w:rsidP="00680ADA">
      <w:pPr>
        <w:pStyle w:val="SingleTxtG"/>
        <w:rPr>
          <w:rtl/>
          <w:lang w:val="fr-FR" w:bidi="fr-FR"/>
        </w:rPr>
      </w:pPr>
      <w:r>
        <w:rPr>
          <w:lang w:val="fr-FR" w:bidi="ar-EG"/>
        </w:rPr>
        <w:t>146.</w:t>
      </w:r>
      <w:r>
        <w:rPr>
          <w:lang w:val="fr-FR" w:bidi="ar-EG"/>
        </w:rPr>
        <w:tab/>
      </w:r>
      <w:r w:rsidR="000C6D4A" w:rsidRPr="00F1180D">
        <w:rPr>
          <w:lang w:val="fr-FR" w:bidi="ar-EG"/>
        </w:rPr>
        <w:t>L</w:t>
      </w:r>
      <w:r w:rsidR="00680ADA" w:rsidRPr="00F1180D">
        <w:rPr>
          <w:lang w:val="fr-FR" w:bidi="ar-EG"/>
        </w:rPr>
        <w:t>’</w:t>
      </w:r>
      <w:r w:rsidR="00163207" w:rsidRPr="00F1180D">
        <w:rPr>
          <w:lang w:val="fr-FR" w:bidi="ar-EG"/>
        </w:rPr>
        <w:t>article </w:t>
      </w:r>
      <w:r w:rsidR="000C6D4A" w:rsidRPr="00F1180D">
        <w:rPr>
          <w:lang w:val="fr-FR" w:bidi="ar-EG"/>
        </w:rPr>
        <w:t>6 punit</w:t>
      </w:r>
      <w:r w:rsidR="00680ADA" w:rsidRPr="00F1180D">
        <w:rPr>
          <w:lang w:val="fr-FR" w:bidi="ar-EG"/>
        </w:rPr>
        <w:t>,</w:t>
      </w:r>
      <w:r w:rsidR="000C6D4A" w:rsidRPr="00F1180D">
        <w:rPr>
          <w:lang w:val="fr-FR" w:bidi="ar-EG"/>
        </w:rPr>
        <w:t xml:space="preserve"> sans préjudice de la responsabilité pénale personnelle de l</w:t>
      </w:r>
      <w:r w:rsidR="00680ADA" w:rsidRPr="00F1180D">
        <w:rPr>
          <w:lang w:val="fr-FR" w:bidi="ar-EG"/>
        </w:rPr>
        <w:t>’</w:t>
      </w:r>
      <w:r w:rsidR="000C6D4A" w:rsidRPr="00F1180D">
        <w:rPr>
          <w:lang w:val="fr-FR" w:bidi="ar-EG"/>
        </w:rPr>
        <w:t>auteur de l</w:t>
      </w:r>
      <w:r w:rsidR="00680ADA" w:rsidRPr="00F1180D">
        <w:rPr>
          <w:lang w:val="fr-FR" w:bidi="ar-EG"/>
        </w:rPr>
        <w:t>’</w:t>
      </w:r>
      <w:r w:rsidR="000C6D4A" w:rsidRPr="00F1180D">
        <w:rPr>
          <w:lang w:val="fr-FR" w:bidi="ar-EG"/>
        </w:rPr>
        <w:t>infraction</w:t>
      </w:r>
      <w:r w:rsidR="00680ADA" w:rsidRPr="00F1180D">
        <w:rPr>
          <w:lang w:val="fr-FR" w:bidi="ar-EG"/>
        </w:rPr>
        <w:t>,</w:t>
      </w:r>
      <w:r w:rsidR="000C6D4A" w:rsidRPr="00F1180D">
        <w:rPr>
          <w:lang w:val="fr-FR" w:bidi="ar-EG"/>
        </w:rPr>
        <w:t xml:space="preserve"> le représentant légal et le directeur exécutif de la personne morale pour le compte de laquelle les crimes de traite de personnes ou de trafic de migrants ont été commis.</w:t>
      </w:r>
    </w:p>
    <w:p w:rsidR="000C6D4A" w:rsidRPr="00F1180D" w:rsidRDefault="00930AE5" w:rsidP="00680ADA">
      <w:pPr>
        <w:pStyle w:val="SingleTxtG"/>
        <w:rPr>
          <w:rtl/>
          <w:lang w:val="fr-FR" w:bidi="fr-FR"/>
        </w:rPr>
      </w:pPr>
      <w:r>
        <w:rPr>
          <w:lang w:val="fr-FR" w:bidi="ar-EG"/>
        </w:rPr>
        <w:t>147.</w:t>
      </w:r>
      <w:r>
        <w:rPr>
          <w:lang w:val="fr-FR" w:bidi="ar-EG"/>
        </w:rPr>
        <w:tab/>
      </w:r>
      <w:r w:rsidR="000C6D4A" w:rsidRPr="00F1180D">
        <w:rPr>
          <w:lang w:val="fr-FR" w:bidi="ar-EG"/>
        </w:rPr>
        <w:t>L</w:t>
      </w:r>
      <w:r w:rsidR="00680ADA" w:rsidRPr="00F1180D">
        <w:rPr>
          <w:lang w:val="fr-FR" w:bidi="ar-EG"/>
        </w:rPr>
        <w:t>’</w:t>
      </w:r>
      <w:r w:rsidR="00163207" w:rsidRPr="00F1180D">
        <w:rPr>
          <w:lang w:val="fr-FR" w:bidi="ar-EG"/>
        </w:rPr>
        <w:t>article </w:t>
      </w:r>
      <w:r w:rsidR="000C6D4A" w:rsidRPr="00F1180D">
        <w:rPr>
          <w:lang w:val="fr-FR" w:bidi="ar-EG"/>
        </w:rPr>
        <w:t>7 prévoit jusqu</w:t>
      </w:r>
      <w:r w:rsidR="00680ADA" w:rsidRPr="00F1180D">
        <w:rPr>
          <w:lang w:val="fr-FR" w:bidi="ar-EG"/>
        </w:rPr>
        <w:t>’</w:t>
      </w:r>
      <w:r w:rsidR="000C6D4A" w:rsidRPr="00F1180D">
        <w:rPr>
          <w:lang w:val="fr-FR" w:bidi="ar-EG"/>
        </w:rPr>
        <w:t>à trois</w:t>
      </w:r>
      <w:r w:rsidR="00524736" w:rsidRPr="00F1180D">
        <w:rPr>
          <w:lang w:val="fr-FR" w:bidi="ar-EG"/>
        </w:rPr>
        <w:t> ans</w:t>
      </w:r>
      <w:r w:rsidR="000C6D4A" w:rsidRPr="00F1180D">
        <w:rPr>
          <w:lang w:val="fr-FR" w:bidi="ar-EG"/>
        </w:rPr>
        <w:t xml:space="preserve"> d</w:t>
      </w:r>
      <w:r w:rsidR="00680ADA" w:rsidRPr="00F1180D">
        <w:rPr>
          <w:lang w:val="fr-FR" w:bidi="ar-EG"/>
        </w:rPr>
        <w:t>’</w:t>
      </w:r>
      <w:r w:rsidR="000C6D4A" w:rsidRPr="00F1180D">
        <w:rPr>
          <w:lang w:val="fr-FR" w:bidi="ar-EG"/>
        </w:rPr>
        <w:t>emprisonnement et une amende de 1 000 à 3 000</w:t>
      </w:r>
      <w:r w:rsidR="009B1350" w:rsidRPr="00F1180D">
        <w:rPr>
          <w:lang w:val="fr-FR" w:bidi="ar-EG"/>
        </w:rPr>
        <w:t> dinars</w:t>
      </w:r>
      <w:r w:rsidR="000C6D4A" w:rsidRPr="00F1180D">
        <w:rPr>
          <w:lang w:val="fr-FR" w:bidi="ar-EG"/>
        </w:rPr>
        <w:t xml:space="preserve"> à l</w:t>
      </w:r>
      <w:r w:rsidR="00680ADA" w:rsidRPr="00F1180D">
        <w:rPr>
          <w:lang w:val="fr-FR" w:bidi="ar-EG"/>
        </w:rPr>
        <w:t>’</w:t>
      </w:r>
      <w:r w:rsidR="000C6D4A" w:rsidRPr="00F1180D">
        <w:rPr>
          <w:lang w:val="fr-FR" w:bidi="ar-EG"/>
        </w:rPr>
        <w:t>encontre de quiconque s</w:t>
      </w:r>
      <w:r w:rsidR="00680ADA" w:rsidRPr="00F1180D">
        <w:rPr>
          <w:lang w:val="fr-FR" w:bidi="ar-EG"/>
        </w:rPr>
        <w:t>’</w:t>
      </w:r>
      <w:r w:rsidR="000C6D4A" w:rsidRPr="00F1180D">
        <w:rPr>
          <w:lang w:val="fr-FR" w:bidi="ar-EG"/>
        </w:rPr>
        <w:t>abstient d</w:t>
      </w:r>
      <w:r w:rsidR="00680ADA" w:rsidRPr="00F1180D">
        <w:rPr>
          <w:lang w:val="fr-FR" w:bidi="ar-EG"/>
        </w:rPr>
        <w:t>’</w:t>
      </w:r>
      <w:r w:rsidR="000C6D4A" w:rsidRPr="00F1180D">
        <w:rPr>
          <w:lang w:val="fr-FR" w:bidi="ar-EG"/>
        </w:rPr>
        <w:t>informer les autorités compétentes de l</w:t>
      </w:r>
      <w:r w:rsidR="00680ADA" w:rsidRPr="00F1180D">
        <w:rPr>
          <w:lang w:val="fr-FR" w:bidi="ar-EG"/>
        </w:rPr>
        <w:t>’</w:t>
      </w:r>
      <w:r w:rsidR="000C6D4A" w:rsidRPr="00F1180D">
        <w:rPr>
          <w:lang w:val="fr-FR" w:bidi="ar-EG"/>
        </w:rPr>
        <w:t>existence d</w:t>
      </w:r>
      <w:r w:rsidR="00680ADA" w:rsidRPr="00F1180D">
        <w:rPr>
          <w:lang w:val="fr-FR" w:bidi="ar-EG"/>
        </w:rPr>
        <w:t>’</w:t>
      </w:r>
      <w:r w:rsidR="000C6D4A" w:rsidRPr="00F1180D">
        <w:rPr>
          <w:lang w:val="fr-FR" w:bidi="ar-EG"/>
        </w:rPr>
        <w:t>un projet de traite de personnes ou de trafic illicite de migrants dont il a c</w:t>
      </w:r>
      <w:r w:rsidR="00F1180D">
        <w:rPr>
          <w:lang w:val="fr-FR" w:bidi="ar-EG"/>
        </w:rPr>
        <w:t>onnaissance.</w:t>
      </w:r>
    </w:p>
    <w:p w:rsidR="000C6D4A" w:rsidRPr="00F1180D" w:rsidRDefault="00930AE5" w:rsidP="00680ADA">
      <w:pPr>
        <w:pStyle w:val="SingleTxtG"/>
        <w:rPr>
          <w:rtl/>
          <w:lang w:val="fr-FR" w:bidi="fr-FR"/>
        </w:rPr>
      </w:pPr>
      <w:r>
        <w:rPr>
          <w:lang w:val="fr-FR" w:bidi="ar-EG"/>
        </w:rPr>
        <w:t>148.</w:t>
      </w:r>
      <w:r>
        <w:rPr>
          <w:lang w:val="fr-FR" w:bidi="ar-EG"/>
        </w:rPr>
        <w:tab/>
      </w:r>
      <w:r w:rsidR="000C6D4A" w:rsidRPr="00F1180D">
        <w:rPr>
          <w:lang w:val="fr-FR" w:bidi="ar-EG"/>
        </w:rPr>
        <w:t>L</w:t>
      </w:r>
      <w:r w:rsidR="00680ADA" w:rsidRPr="00F1180D">
        <w:rPr>
          <w:lang w:val="fr-FR" w:bidi="ar-EG"/>
        </w:rPr>
        <w:t>’</w:t>
      </w:r>
      <w:r w:rsidR="00163207" w:rsidRPr="00F1180D">
        <w:rPr>
          <w:lang w:val="fr-FR" w:bidi="ar-EG"/>
        </w:rPr>
        <w:t>article </w:t>
      </w:r>
      <w:r w:rsidR="000C6D4A" w:rsidRPr="00F1180D">
        <w:rPr>
          <w:lang w:val="fr-FR" w:bidi="ar-EG"/>
        </w:rPr>
        <w:t>8 punit les personnes qui agressent un agent chargé d</w:t>
      </w:r>
      <w:r w:rsidR="00680ADA" w:rsidRPr="00F1180D">
        <w:rPr>
          <w:lang w:val="fr-FR" w:bidi="ar-EG"/>
        </w:rPr>
        <w:t>’</w:t>
      </w:r>
      <w:r w:rsidR="000C6D4A" w:rsidRPr="00F1180D">
        <w:rPr>
          <w:lang w:val="fr-FR" w:bidi="ar-EG"/>
        </w:rPr>
        <w:t>appliquer la loi. L</w:t>
      </w:r>
      <w:r w:rsidR="00680ADA" w:rsidRPr="00F1180D">
        <w:rPr>
          <w:lang w:val="fr-FR" w:bidi="ar-EG"/>
        </w:rPr>
        <w:t>’</w:t>
      </w:r>
      <w:r w:rsidR="00163207" w:rsidRPr="00F1180D">
        <w:rPr>
          <w:lang w:val="fr-FR" w:bidi="ar-EG"/>
        </w:rPr>
        <w:t>article </w:t>
      </w:r>
      <w:r w:rsidR="000C6D4A" w:rsidRPr="00F1180D">
        <w:rPr>
          <w:lang w:val="fr-FR" w:bidi="ar-EG"/>
        </w:rPr>
        <w:t>9 réprime l</w:t>
      </w:r>
      <w:r w:rsidR="00680ADA" w:rsidRPr="00F1180D">
        <w:rPr>
          <w:lang w:val="fr-FR" w:bidi="ar-EG"/>
        </w:rPr>
        <w:t>’</w:t>
      </w:r>
      <w:r w:rsidR="000C6D4A" w:rsidRPr="00F1180D">
        <w:rPr>
          <w:lang w:val="fr-FR" w:bidi="ar-EG"/>
        </w:rPr>
        <w:t>usage de la force</w:t>
      </w:r>
      <w:r w:rsidR="00680ADA" w:rsidRPr="00F1180D">
        <w:rPr>
          <w:lang w:val="fr-FR" w:bidi="ar-EG"/>
        </w:rPr>
        <w:t>,</w:t>
      </w:r>
      <w:r w:rsidR="000C6D4A" w:rsidRPr="00F1180D">
        <w:rPr>
          <w:lang w:val="fr-FR" w:bidi="ar-EG"/>
        </w:rPr>
        <w:t xml:space="preserve"> de la menace ou de la corruption pour amener une personne à faire un faux témoignage ou à donner de fausses informations.</w:t>
      </w:r>
    </w:p>
    <w:p w:rsidR="000C6D4A" w:rsidRPr="00F1180D" w:rsidRDefault="00930AE5" w:rsidP="00680ADA">
      <w:pPr>
        <w:pStyle w:val="SingleTxtG"/>
        <w:rPr>
          <w:rtl/>
          <w:lang w:val="fr-FR" w:bidi="fr-FR"/>
        </w:rPr>
      </w:pPr>
      <w:r>
        <w:rPr>
          <w:lang w:val="fr-FR" w:bidi="ar-EG"/>
        </w:rPr>
        <w:t>149.</w:t>
      </w:r>
      <w:r>
        <w:rPr>
          <w:lang w:val="fr-FR" w:bidi="ar-EG"/>
        </w:rPr>
        <w:tab/>
      </w:r>
      <w:r w:rsidR="000C6D4A" w:rsidRPr="00F1180D">
        <w:rPr>
          <w:lang w:val="fr-FR" w:bidi="ar-EG"/>
        </w:rPr>
        <w:t>L</w:t>
      </w:r>
      <w:r w:rsidR="00680ADA" w:rsidRPr="00F1180D">
        <w:rPr>
          <w:lang w:val="fr-FR" w:bidi="ar-EG"/>
        </w:rPr>
        <w:t>’</w:t>
      </w:r>
      <w:r w:rsidR="00163207" w:rsidRPr="00F1180D">
        <w:rPr>
          <w:lang w:val="fr-FR" w:bidi="ar-EG"/>
        </w:rPr>
        <w:t>article </w:t>
      </w:r>
      <w:r w:rsidR="000C6D4A" w:rsidRPr="00F1180D">
        <w:rPr>
          <w:lang w:val="fr-FR" w:bidi="ar-EG"/>
        </w:rPr>
        <w:t>10 prévoit une exemption de peine à l</w:t>
      </w:r>
      <w:r w:rsidR="00680ADA" w:rsidRPr="00F1180D">
        <w:rPr>
          <w:lang w:val="fr-FR" w:bidi="ar-EG"/>
        </w:rPr>
        <w:t>’</w:t>
      </w:r>
      <w:r w:rsidR="000C6D4A" w:rsidRPr="00F1180D">
        <w:rPr>
          <w:lang w:val="fr-FR" w:bidi="ar-EG"/>
        </w:rPr>
        <w:t>égard des auteurs d</w:t>
      </w:r>
      <w:r w:rsidR="00680ADA" w:rsidRPr="00F1180D">
        <w:rPr>
          <w:lang w:val="fr-FR" w:bidi="ar-EG"/>
        </w:rPr>
        <w:t>’</w:t>
      </w:r>
      <w:r w:rsidR="000C6D4A" w:rsidRPr="00F1180D">
        <w:rPr>
          <w:lang w:val="fr-FR" w:bidi="ar-EG"/>
        </w:rPr>
        <w:t>infractions qui informent les autorités compétentes d</w:t>
      </w:r>
      <w:r w:rsidR="00680ADA" w:rsidRPr="00F1180D">
        <w:rPr>
          <w:lang w:val="fr-FR" w:bidi="ar-EG"/>
        </w:rPr>
        <w:t>’</w:t>
      </w:r>
      <w:r w:rsidR="000C6D4A" w:rsidRPr="00F1180D">
        <w:rPr>
          <w:lang w:val="fr-FR" w:bidi="ar-EG"/>
        </w:rPr>
        <w:t>un projet de crime avant sa commission. L</w:t>
      </w:r>
      <w:r w:rsidR="00680ADA" w:rsidRPr="00F1180D">
        <w:rPr>
          <w:lang w:val="fr-FR" w:bidi="ar-EG"/>
        </w:rPr>
        <w:t>’</w:t>
      </w:r>
      <w:r w:rsidR="00163207" w:rsidRPr="00F1180D">
        <w:rPr>
          <w:lang w:val="fr-FR" w:bidi="ar-EG"/>
        </w:rPr>
        <w:t>article </w:t>
      </w:r>
      <w:r w:rsidR="000C6D4A" w:rsidRPr="00F1180D">
        <w:rPr>
          <w:lang w:val="fr-FR" w:bidi="ar-EG"/>
        </w:rPr>
        <w:t>11 précise que seul le Parquet est habilité à engager les enquêtes et les poursuites pénales contre les auteurs des infractions visées par la (présente) loi.</w:t>
      </w:r>
    </w:p>
    <w:p w:rsidR="000C6D4A" w:rsidRPr="00F1180D" w:rsidRDefault="00930AE5" w:rsidP="00680ADA">
      <w:pPr>
        <w:pStyle w:val="SingleTxtG"/>
        <w:rPr>
          <w:rtl/>
          <w:lang w:val="fr-FR" w:bidi="fr-FR"/>
        </w:rPr>
      </w:pPr>
      <w:r>
        <w:rPr>
          <w:lang w:val="fr-FR" w:bidi="ar-EG"/>
        </w:rPr>
        <w:t>150.</w:t>
      </w:r>
      <w:r>
        <w:rPr>
          <w:lang w:val="fr-FR" w:bidi="ar-EG"/>
        </w:rPr>
        <w:tab/>
      </w:r>
      <w:r w:rsidR="000C6D4A" w:rsidRPr="00F1180D">
        <w:rPr>
          <w:lang w:val="fr-FR" w:bidi="ar-EG"/>
        </w:rPr>
        <w:t>L</w:t>
      </w:r>
      <w:r w:rsidR="00680ADA" w:rsidRPr="00F1180D">
        <w:rPr>
          <w:lang w:val="fr-FR" w:bidi="ar-EG"/>
        </w:rPr>
        <w:t>’</w:t>
      </w:r>
      <w:r w:rsidR="00163207" w:rsidRPr="00F1180D">
        <w:rPr>
          <w:lang w:val="fr-FR" w:bidi="ar-EG"/>
        </w:rPr>
        <w:t>article </w:t>
      </w:r>
      <w:r w:rsidR="000C6D4A" w:rsidRPr="00F1180D">
        <w:rPr>
          <w:lang w:val="fr-FR" w:bidi="ar-EG"/>
        </w:rPr>
        <w:t>12 habilite le Parquet ou l</w:t>
      </w:r>
      <w:r w:rsidR="00680ADA" w:rsidRPr="00F1180D">
        <w:rPr>
          <w:lang w:val="fr-FR" w:bidi="ar-EG"/>
        </w:rPr>
        <w:t>’</w:t>
      </w:r>
      <w:r w:rsidR="000C6D4A" w:rsidRPr="00F1180D">
        <w:rPr>
          <w:lang w:val="fr-FR" w:bidi="ar-EG"/>
        </w:rPr>
        <w:t>autorité compétente à soumettre les victimes à des examens médicaux et à les placer dans des foyers sociaux ou dans l</w:t>
      </w:r>
      <w:r w:rsidR="00680ADA" w:rsidRPr="00F1180D">
        <w:rPr>
          <w:lang w:val="fr-FR" w:bidi="ar-EG"/>
        </w:rPr>
        <w:t>’</w:t>
      </w:r>
      <w:r w:rsidR="000C6D4A" w:rsidRPr="00F1180D">
        <w:rPr>
          <w:lang w:val="fr-FR" w:bidi="ar-EG"/>
        </w:rPr>
        <w:t>une des structures d</w:t>
      </w:r>
      <w:r w:rsidR="00680ADA" w:rsidRPr="00F1180D">
        <w:rPr>
          <w:lang w:val="fr-FR" w:bidi="ar-EG"/>
        </w:rPr>
        <w:t>’</w:t>
      </w:r>
      <w:r w:rsidR="000C6D4A" w:rsidRPr="00F1180D">
        <w:rPr>
          <w:lang w:val="fr-FR" w:bidi="ar-EG"/>
        </w:rPr>
        <w:t>accueil mises en place par l</w:t>
      </w:r>
      <w:r w:rsidR="00680ADA" w:rsidRPr="00F1180D">
        <w:rPr>
          <w:lang w:val="fr-FR" w:bidi="ar-EG"/>
        </w:rPr>
        <w:t>’</w:t>
      </w:r>
      <w:r w:rsidR="000C6D4A" w:rsidRPr="00F1180D">
        <w:rPr>
          <w:lang w:val="fr-FR" w:bidi="ar-EG"/>
        </w:rPr>
        <w:t>État.</w:t>
      </w:r>
    </w:p>
    <w:p w:rsidR="000C6D4A" w:rsidRPr="00F1180D" w:rsidRDefault="00930AE5" w:rsidP="00680ADA">
      <w:pPr>
        <w:pStyle w:val="SingleTxtG"/>
        <w:rPr>
          <w:rtl/>
          <w:lang w:val="fr-FR" w:bidi="fr-FR"/>
        </w:rPr>
      </w:pPr>
      <w:r>
        <w:rPr>
          <w:lang w:val="fr-FR" w:bidi="ar-EG"/>
        </w:rPr>
        <w:t>151.</w:t>
      </w:r>
      <w:r>
        <w:rPr>
          <w:lang w:val="fr-FR" w:bidi="ar-EG"/>
        </w:rPr>
        <w:tab/>
      </w:r>
      <w:r w:rsidR="000C6D4A" w:rsidRPr="00F1180D">
        <w:rPr>
          <w:lang w:val="fr-FR" w:bidi="ar-EG"/>
        </w:rPr>
        <w:t>L</w:t>
      </w:r>
      <w:r w:rsidR="00680ADA" w:rsidRPr="00F1180D">
        <w:rPr>
          <w:lang w:val="fr-FR" w:bidi="ar-EG"/>
        </w:rPr>
        <w:t>’</w:t>
      </w:r>
      <w:r w:rsidR="00163207" w:rsidRPr="00F1180D">
        <w:rPr>
          <w:lang w:val="fr-FR" w:bidi="ar-EG"/>
        </w:rPr>
        <w:t>article </w:t>
      </w:r>
      <w:r w:rsidR="000C6D4A" w:rsidRPr="00F1180D">
        <w:rPr>
          <w:lang w:val="fr-FR" w:bidi="ar-EG"/>
        </w:rPr>
        <w:t>13 dispose que nonobstant les dispositions de l</w:t>
      </w:r>
      <w:r w:rsidR="00680ADA" w:rsidRPr="00F1180D">
        <w:rPr>
          <w:lang w:val="fr-FR" w:bidi="ar-EG"/>
        </w:rPr>
        <w:t>’</w:t>
      </w:r>
      <w:r w:rsidR="00163207" w:rsidRPr="00F1180D">
        <w:rPr>
          <w:lang w:val="fr-FR" w:bidi="ar-EG"/>
        </w:rPr>
        <w:t>article </w:t>
      </w:r>
      <w:r w:rsidR="000C6D4A" w:rsidRPr="00F1180D">
        <w:rPr>
          <w:lang w:val="fr-FR" w:bidi="ar-EG"/>
        </w:rPr>
        <w:t>83 du Code pénal</w:t>
      </w:r>
      <w:r w:rsidR="00680ADA" w:rsidRPr="00F1180D">
        <w:rPr>
          <w:lang w:val="fr-FR" w:bidi="ar-EG"/>
        </w:rPr>
        <w:t>,</w:t>
      </w:r>
      <w:r w:rsidR="000C6D4A" w:rsidRPr="00F1180D">
        <w:rPr>
          <w:lang w:val="fr-FR" w:bidi="ar-EG"/>
        </w:rPr>
        <w:t xml:space="preserve"> il est interdit de commuer la peine de mort en réclusion à perpétuité et la réclusion à perpétuité en emprisonnement à terme dans les affaires de traite des personnes et de trafic de migrants</w:t>
      </w:r>
      <w:r w:rsidR="00680ADA" w:rsidRPr="00F1180D">
        <w:rPr>
          <w:lang w:val="fr-FR" w:bidi="ar-EG"/>
        </w:rPr>
        <w:t>,</w:t>
      </w:r>
      <w:r w:rsidR="000C6D4A" w:rsidRPr="00F1180D">
        <w:rPr>
          <w:lang w:val="fr-FR" w:bidi="ar-EG"/>
        </w:rPr>
        <w:t xml:space="preserve"> de même qu</w:t>
      </w:r>
      <w:r w:rsidR="00680ADA" w:rsidRPr="00F1180D">
        <w:rPr>
          <w:lang w:val="fr-FR" w:bidi="ar-EG"/>
        </w:rPr>
        <w:t>’</w:t>
      </w:r>
      <w:r w:rsidR="000C6D4A" w:rsidRPr="00F1180D">
        <w:rPr>
          <w:lang w:val="fr-FR" w:bidi="ar-EG"/>
        </w:rPr>
        <w:t>il est interdit d</w:t>
      </w:r>
      <w:r w:rsidR="00680ADA" w:rsidRPr="00F1180D">
        <w:rPr>
          <w:lang w:val="fr-FR" w:bidi="ar-EG"/>
        </w:rPr>
        <w:t>’</w:t>
      </w:r>
      <w:r w:rsidR="000C6D4A" w:rsidRPr="00F1180D">
        <w:rPr>
          <w:lang w:val="fr-FR" w:bidi="ar-EG"/>
        </w:rPr>
        <w:t>accorder un sursis ou de s</w:t>
      </w:r>
      <w:r w:rsidR="00680ADA" w:rsidRPr="00F1180D">
        <w:rPr>
          <w:lang w:val="fr-FR" w:bidi="ar-EG"/>
        </w:rPr>
        <w:t>’</w:t>
      </w:r>
      <w:r w:rsidR="000C6D4A" w:rsidRPr="00F1180D">
        <w:rPr>
          <w:lang w:val="fr-FR" w:bidi="ar-EG"/>
        </w:rPr>
        <w:t>abstenir de prononcer une peine concernant lesdites infractions.</w:t>
      </w:r>
    </w:p>
    <w:p w:rsidR="000C6D4A" w:rsidRPr="00F1180D" w:rsidRDefault="000C6D4A" w:rsidP="006066AF">
      <w:pPr>
        <w:pStyle w:val="Bullet1G"/>
        <w:keepNext/>
        <w:rPr>
          <w:rtl/>
          <w:lang w:val="fr-FR" w:bidi="fr-FR"/>
        </w:rPr>
      </w:pPr>
      <w:r w:rsidRPr="00F1180D">
        <w:rPr>
          <w:lang w:val="fr-FR" w:bidi="ar-KW"/>
        </w:rPr>
        <w:lastRenderedPageBreak/>
        <w:t>Il convient d</w:t>
      </w:r>
      <w:r w:rsidR="00680ADA" w:rsidRPr="00F1180D">
        <w:rPr>
          <w:lang w:val="fr-FR" w:bidi="ar-KW"/>
        </w:rPr>
        <w:t>’</w:t>
      </w:r>
      <w:r w:rsidRPr="00F1180D">
        <w:rPr>
          <w:lang w:val="fr-FR" w:bidi="ar-KW"/>
        </w:rPr>
        <w:t>indiquer qu</w:t>
      </w:r>
      <w:r w:rsidR="00680ADA" w:rsidRPr="00F1180D">
        <w:rPr>
          <w:lang w:val="fr-FR" w:bidi="ar-KW"/>
        </w:rPr>
        <w:t>’</w:t>
      </w:r>
      <w:r w:rsidRPr="00F1180D">
        <w:rPr>
          <w:lang w:val="fr-FR" w:bidi="ar-KW"/>
        </w:rPr>
        <w:t>outre l</w:t>
      </w:r>
      <w:r w:rsidR="00680ADA" w:rsidRPr="00F1180D">
        <w:rPr>
          <w:lang w:val="fr-FR" w:bidi="ar-KW"/>
        </w:rPr>
        <w:t>’</w:t>
      </w:r>
      <w:r w:rsidRPr="00F1180D">
        <w:rPr>
          <w:lang w:val="fr-FR" w:bidi="ar-KW"/>
        </w:rPr>
        <w:t xml:space="preserve">adoption de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Pr="00F1180D">
        <w:rPr>
          <w:lang w:val="fr-FR" w:bidi="ar-KW"/>
        </w:rPr>
        <w:t>91 de 2013 visant à éliminer la traite des personnes et à protéger les personnes qui en sont victimes conformément aux normes internationales</w:t>
      </w:r>
      <w:r w:rsidR="00680ADA" w:rsidRPr="00F1180D">
        <w:rPr>
          <w:lang w:val="fr-FR" w:bidi="ar-KW"/>
        </w:rPr>
        <w:t>,</w:t>
      </w:r>
      <w:r w:rsidRPr="00F1180D">
        <w:rPr>
          <w:lang w:val="fr-FR" w:bidi="ar-KW"/>
        </w:rPr>
        <w:t xml:space="preserve"> l</w:t>
      </w:r>
      <w:r w:rsidR="00680ADA" w:rsidRPr="00F1180D">
        <w:rPr>
          <w:lang w:val="fr-FR" w:bidi="ar-KW"/>
        </w:rPr>
        <w:t>’</w:t>
      </w:r>
      <w:r w:rsidRPr="00F1180D">
        <w:rPr>
          <w:lang w:val="fr-FR" w:bidi="ar-KW"/>
        </w:rPr>
        <w:t>État du Koweït a pris des mesures pratiques en promulguant un certain nombre de textes visant à lutter contre la traite d</w:t>
      </w:r>
      <w:r w:rsidR="00680ADA" w:rsidRPr="00F1180D">
        <w:rPr>
          <w:lang w:val="fr-FR" w:bidi="ar-KW"/>
        </w:rPr>
        <w:t>’</w:t>
      </w:r>
      <w:r w:rsidRPr="00F1180D">
        <w:rPr>
          <w:lang w:val="fr-FR" w:bidi="ar-KW"/>
        </w:rPr>
        <w:t>êtres humains</w:t>
      </w:r>
      <w:r w:rsidR="00680ADA" w:rsidRPr="00F1180D">
        <w:rPr>
          <w:lang w:val="fr-FR" w:bidi="ar-KW"/>
        </w:rPr>
        <w:t>,</w:t>
      </w:r>
      <w:r w:rsidRPr="00F1180D">
        <w:rPr>
          <w:lang w:val="fr-FR" w:bidi="ar-KW"/>
        </w:rPr>
        <w:t xml:space="preserve"> parmi lesquels les suivants</w:t>
      </w:r>
      <w:r w:rsidR="00680ADA" w:rsidRPr="00F1180D">
        <w:rPr>
          <w:lang w:val="fr-FR" w:bidi="ar-KW"/>
        </w:rPr>
        <w:t>:</w:t>
      </w:r>
      <w:r w:rsidRPr="00F1180D">
        <w:rPr>
          <w:lang w:val="fr-FR" w:bidi="ar-KW"/>
        </w:rPr>
        <w:t xml:space="preserve"> </w:t>
      </w:r>
    </w:p>
    <w:p w:rsidR="000C6D4A" w:rsidRPr="00F1180D" w:rsidRDefault="000C6D4A" w:rsidP="006066AF">
      <w:pPr>
        <w:pStyle w:val="Bullet2G"/>
        <w:rPr>
          <w:lang w:val="fr-FR" w:bidi="ar-KW"/>
        </w:rPr>
      </w:pPr>
      <w:r w:rsidRPr="00F1180D">
        <w:rPr>
          <w:lang w:val="fr-FR" w:bidi="ar-KW"/>
        </w:rPr>
        <w:t xml:space="preserve">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Pr="00F1180D">
        <w:rPr>
          <w:lang w:val="fr-FR" w:bidi="ar-KW"/>
        </w:rPr>
        <w:t>91 de 2013 sur la lutte contre la traite de pers</w:t>
      </w:r>
      <w:r w:rsidR="006066AF" w:rsidRPr="00F1180D">
        <w:rPr>
          <w:lang w:val="fr-FR" w:bidi="ar-KW"/>
        </w:rPr>
        <w:t>onnes et le trafic de migrants;</w:t>
      </w:r>
    </w:p>
    <w:p w:rsidR="000C6D4A" w:rsidRPr="00F1180D" w:rsidRDefault="000C6D4A" w:rsidP="006066AF">
      <w:pPr>
        <w:pStyle w:val="Bullet2G"/>
        <w:rPr>
          <w:rtl/>
          <w:lang w:val="fr-FR" w:bidi="fr-FR"/>
        </w:rPr>
      </w:pPr>
      <w:r w:rsidRPr="00F1180D">
        <w:rPr>
          <w:lang w:val="fr-FR" w:bidi="ar-KW"/>
        </w:rPr>
        <w:t xml:space="preserve">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Pr="00F1180D">
        <w:rPr>
          <w:lang w:val="fr-FR" w:bidi="ar-KW"/>
        </w:rPr>
        <w:t>68 de 2015 sur les employés domestiques</w:t>
      </w:r>
      <w:r w:rsidR="00680ADA" w:rsidRPr="00F1180D">
        <w:rPr>
          <w:lang w:val="fr-FR" w:bidi="ar-KW"/>
        </w:rPr>
        <w:t>,</w:t>
      </w:r>
      <w:r w:rsidRPr="00F1180D">
        <w:rPr>
          <w:lang w:val="fr-FR" w:bidi="ar-KW"/>
        </w:rPr>
        <w:t xml:space="preserve"> qui prévoit un certain nombre d</w:t>
      </w:r>
      <w:r w:rsidR="00680ADA" w:rsidRPr="00F1180D">
        <w:rPr>
          <w:lang w:val="fr-FR" w:bidi="ar-KW"/>
        </w:rPr>
        <w:t>’</w:t>
      </w:r>
      <w:r w:rsidRPr="00F1180D">
        <w:rPr>
          <w:lang w:val="fr-FR" w:bidi="ar-KW"/>
        </w:rPr>
        <w:t>obligations que les employeurs sont tenus de respecter en vue d</w:t>
      </w:r>
      <w:r w:rsidR="00680ADA" w:rsidRPr="00F1180D">
        <w:rPr>
          <w:lang w:val="fr-FR" w:bidi="ar-KW"/>
        </w:rPr>
        <w:t>’</w:t>
      </w:r>
      <w:r w:rsidRPr="00F1180D">
        <w:rPr>
          <w:lang w:val="fr-FR" w:bidi="ar-KW"/>
        </w:rPr>
        <w:t>assurer la protection des travailleurs domestiques.</w:t>
      </w:r>
    </w:p>
    <w:p w:rsidR="000C6D4A" w:rsidRPr="00F1180D" w:rsidRDefault="000C6D4A" w:rsidP="00563441">
      <w:pPr>
        <w:pStyle w:val="Bullet2G"/>
        <w:rPr>
          <w:lang w:val="fr-FR" w:bidi="ar-KW"/>
        </w:rPr>
      </w:pPr>
      <w:r w:rsidRPr="00F1180D">
        <w:rPr>
          <w:lang w:val="fr-FR" w:bidi="ar-KW"/>
        </w:rPr>
        <w:t>Une Unité de lutte contre la traite d</w:t>
      </w:r>
      <w:r w:rsidR="00680ADA" w:rsidRPr="00F1180D">
        <w:rPr>
          <w:lang w:val="fr-FR" w:bidi="ar-KW"/>
        </w:rPr>
        <w:t>’</w:t>
      </w:r>
      <w:r w:rsidR="00F1180D" w:rsidRPr="00F1180D">
        <w:rPr>
          <w:lang w:val="fr-FR" w:bidi="ar-KW"/>
        </w:rPr>
        <w:t>êtres</w:t>
      </w:r>
      <w:r w:rsidRPr="00F1180D">
        <w:rPr>
          <w:lang w:val="fr-FR" w:bidi="ar-KW"/>
        </w:rPr>
        <w:t xml:space="preserve"> humains relevant de la Direction générale des enquêtes criminelles a été créée spécialement à cet effet. D</w:t>
      </w:r>
      <w:r w:rsidR="00680ADA" w:rsidRPr="00F1180D">
        <w:rPr>
          <w:lang w:val="fr-FR" w:bidi="ar-KW"/>
        </w:rPr>
        <w:t>’</w:t>
      </w:r>
      <w:r w:rsidRPr="00F1180D">
        <w:rPr>
          <w:lang w:val="fr-FR" w:bidi="ar-KW"/>
        </w:rPr>
        <w:t xml:space="preserve">autres organismes </w:t>
      </w:r>
      <w:r w:rsidR="00823836" w:rsidRPr="00F1180D">
        <w:rPr>
          <w:lang w:val="fr-FR" w:bidi="ar-KW"/>
        </w:rPr>
        <w:t>œuvre</w:t>
      </w:r>
      <w:r w:rsidRPr="00F1180D">
        <w:rPr>
          <w:lang w:val="fr-FR" w:bidi="ar-KW"/>
        </w:rPr>
        <w:t>nt également dans le domaine de la lutte contre la traite d</w:t>
      </w:r>
      <w:r w:rsidR="00680ADA" w:rsidRPr="00F1180D">
        <w:rPr>
          <w:lang w:val="fr-FR" w:bidi="ar-KW"/>
        </w:rPr>
        <w:t>’</w:t>
      </w:r>
      <w:r w:rsidRPr="00F1180D">
        <w:rPr>
          <w:lang w:val="fr-FR" w:bidi="ar-KW"/>
        </w:rPr>
        <w:t>êtres humains</w:t>
      </w:r>
      <w:r w:rsidR="00680ADA" w:rsidRPr="00F1180D">
        <w:rPr>
          <w:lang w:val="fr-FR" w:bidi="ar-KW"/>
        </w:rPr>
        <w:t>,</w:t>
      </w:r>
      <w:r w:rsidRPr="00F1180D">
        <w:rPr>
          <w:lang w:val="fr-FR" w:bidi="ar-KW"/>
        </w:rPr>
        <w:t xml:space="preserve"> parmi lesquels le Ministère des affaires sociales. </w:t>
      </w:r>
    </w:p>
    <w:p w:rsidR="000C6D4A" w:rsidRPr="00F1180D" w:rsidRDefault="006066AF" w:rsidP="006066AF">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14</w:t>
      </w:r>
    </w:p>
    <w:p w:rsidR="000C6D4A" w:rsidRPr="00F1180D" w:rsidRDefault="00930AE5" w:rsidP="00680ADA">
      <w:pPr>
        <w:pStyle w:val="SingleTxtG"/>
        <w:rPr>
          <w:rtl/>
          <w:lang w:val="fr-FR" w:bidi="fr-FR"/>
        </w:rPr>
      </w:pPr>
      <w:r>
        <w:rPr>
          <w:lang w:val="fr-FR" w:bidi="ar-KW"/>
        </w:rPr>
        <w:t>152.</w:t>
      </w:r>
      <w:r>
        <w:rPr>
          <w:lang w:val="fr-FR" w:bidi="ar-KW"/>
        </w:rPr>
        <w:tab/>
      </w:r>
      <w:r w:rsidR="000C6D4A" w:rsidRPr="00F1180D">
        <w:rPr>
          <w:lang w:val="fr-FR" w:bidi="ar-KW"/>
        </w:rPr>
        <w:t>Le Koweït se situe à l</w:t>
      </w:r>
      <w:r w:rsidR="00680ADA" w:rsidRPr="00F1180D">
        <w:rPr>
          <w:lang w:val="fr-FR" w:bidi="ar-KW"/>
        </w:rPr>
        <w:t>’</w:t>
      </w:r>
      <w:r w:rsidR="000C6D4A" w:rsidRPr="00F1180D">
        <w:rPr>
          <w:lang w:val="fr-FR" w:bidi="ar-KW"/>
        </w:rPr>
        <w:t>avant-garde en termes de promotion du principe d</w:t>
      </w:r>
      <w:r w:rsidR="00680ADA" w:rsidRPr="00F1180D">
        <w:rPr>
          <w:lang w:val="fr-FR" w:bidi="ar-KW"/>
        </w:rPr>
        <w:t>’</w:t>
      </w:r>
      <w:r w:rsidR="000C6D4A" w:rsidRPr="00F1180D">
        <w:rPr>
          <w:lang w:val="fr-FR" w:bidi="ar-KW"/>
        </w:rPr>
        <w:t>égalité et de lutte contre la discrimination fondée sur le sexe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origine</w:t>
      </w:r>
      <w:r w:rsidR="00680ADA" w:rsidRPr="00F1180D">
        <w:rPr>
          <w:lang w:val="fr-FR" w:bidi="ar-KW"/>
        </w:rPr>
        <w:t>,</w:t>
      </w:r>
      <w:r w:rsidR="000C6D4A" w:rsidRPr="00F1180D">
        <w:rPr>
          <w:lang w:val="fr-FR" w:bidi="ar-KW"/>
        </w:rPr>
        <w:t xml:space="preserve"> la langue et la religion</w:t>
      </w:r>
      <w:r w:rsidR="00680ADA" w:rsidRPr="00F1180D">
        <w:rPr>
          <w:lang w:val="fr-FR" w:bidi="ar-KW"/>
        </w:rPr>
        <w:t>,</w:t>
      </w:r>
      <w:r w:rsidR="000C6D4A" w:rsidRPr="00F1180D">
        <w:rPr>
          <w:lang w:val="fr-FR" w:bidi="ar-KW"/>
        </w:rPr>
        <w:t xml:space="preserve"> comme en attestent les dispositions de la Constitution évoquées dans le cadre de l</w:t>
      </w:r>
      <w:r w:rsidR="00680ADA" w:rsidRPr="00F1180D">
        <w:rPr>
          <w:lang w:val="fr-FR" w:bidi="ar-KW"/>
        </w:rPr>
        <w:t>’</w:t>
      </w:r>
      <w:r w:rsidR="000C6D4A" w:rsidRPr="00F1180D">
        <w:rPr>
          <w:lang w:val="fr-FR" w:bidi="ar-KW"/>
        </w:rPr>
        <w:t xml:space="preserve">examen du </w:t>
      </w:r>
      <w:r w:rsidR="00410CA5" w:rsidRPr="00F1180D">
        <w:rPr>
          <w:lang w:val="fr-FR" w:bidi="ar-KW"/>
        </w:rPr>
        <w:t>paragraphe </w:t>
      </w:r>
      <w:r w:rsidR="00FA4059" w:rsidRPr="00F1180D">
        <w:rPr>
          <w:lang w:val="fr-FR" w:bidi="ar-KW"/>
        </w:rPr>
        <w:t>c</w:t>
      </w:r>
      <w:r w:rsidR="000C6D4A" w:rsidRPr="00F1180D">
        <w:rPr>
          <w:lang w:val="fr-FR" w:bidi="ar-KW"/>
        </w:rPr>
        <w:t xml:space="preserve"> de la Convention internationale sur l</w:t>
      </w:r>
      <w:r w:rsidR="00680ADA" w:rsidRPr="00F1180D">
        <w:rPr>
          <w:lang w:val="fr-FR" w:bidi="ar-KW"/>
        </w:rPr>
        <w:t>’</w:t>
      </w:r>
      <w:r w:rsidR="000C6D4A" w:rsidRPr="00F1180D">
        <w:rPr>
          <w:lang w:val="fr-FR" w:bidi="ar-KW"/>
        </w:rPr>
        <w:t>élimination de toutes les formes de discrimination raciale.</w:t>
      </w:r>
    </w:p>
    <w:p w:rsidR="000C6D4A" w:rsidRPr="00F1180D" w:rsidRDefault="00930AE5" w:rsidP="00680ADA">
      <w:pPr>
        <w:pStyle w:val="SingleTxtG"/>
        <w:rPr>
          <w:rtl/>
          <w:lang w:val="fr-FR" w:bidi="fr-FR"/>
        </w:rPr>
      </w:pPr>
      <w:r>
        <w:rPr>
          <w:lang w:val="fr-FR" w:bidi="ar-KW"/>
        </w:rPr>
        <w:t>153.</w:t>
      </w:r>
      <w:r>
        <w:rPr>
          <w:lang w:val="fr-FR" w:bidi="ar-KW"/>
        </w:rPr>
        <w:tab/>
      </w:r>
      <w:r w:rsidR="000C6D4A" w:rsidRPr="00F1180D">
        <w:rPr>
          <w:lang w:val="fr-FR" w:bidi="ar-KW"/>
        </w:rPr>
        <w:t>Concernant l</w:t>
      </w:r>
      <w:r w:rsidR="00680ADA" w:rsidRPr="00F1180D">
        <w:rPr>
          <w:lang w:val="fr-FR" w:bidi="ar-KW"/>
        </w:rPr>
        <w:t>’</w:t>
      </w:r>
      <w:r w:rsidR="000C6D4A" w:rsidRPr="00F1180D">
        <w:rPr>
          <w:lang w:val="fr-FR" w:bidi="ar-KW"/>
        </w:rPr>
        <w:t xml:space="preserve">absence de révision de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15 de 1979 sur la fonction publique</w:t>
      </w:r>
      <w:r w:rsidR="00680ADA" w:rsidRPr="00F1180D">
        <w:rPr>
          <w:lang w:val="fr-FR" w:bidi="ar-KW"/>
        </w:rPr>
        <w:t>,</w:t>
      </w:r>
      <w:r w:rsidR="000C6D4A" w:rsidRPr="00F1180D">
        <w:rPr>
          <w:lang w:val="fr-FR" w:bidi="ar-KW"/>
        </w:rPr>
        <w:t xml:space="preserve"> il convient de signaler que le législateur y a apporté des modifications lorsque cela semblait pertinent</w:t>
      </w:r>
      <w:r w:rsidR="00680ADA" w:rsidRPr="00F1180D">
        <w:rPr>
          <w:lang w:val="fr-FR" w:bidi="ar-KW"/>
        </w:rPr>
        <w:t>,</w:t>
      </w:r>
      <w:r w:rsidR="000C6D4A" w:rsidRPr="00F1180D">
        <w:rPr>
          <w:lang w:val="fr-FR" w:bidi="ar-KW"/>
        </w:rPr>
        <w:t xml:space="preserve"> sachant qu</w:t>
      </w:r>
      <w:r w:rsidR="00680ADA" w:rsidRPr="00F1180D">
        <w:rPr>
          <w:lang w:val="fr-FR" w:bidi="ar-KW"/>
        </w:rPr>
        <w:t>’</w:t>
      </w:r>
      <w:r w:rsidR="000C6D4A" w:rsidRPr="00F1180D">
        <w:rPr>
          <w:lang w:val="fr-FR" w:bidi="ar-KW"/>
        </w:rPr>
        <w:t>il incombe en tout état de cause au pouvoir législatif d</w:t>
      </w:r>
      <w:r w:rsidR="00680ADA" w:rsidRPr="00F1180D">
        <w:rPr>
          <w:lang w:val="fr-FR" w:bidi="ar-KW"/>
        </w:rPr>
        <w:t>’</w:t>
      </w:r>
      <w:r w:rsidR="000C6D4A" w:rsidRPr="00F1180D">
        <w:rPr>
          <w:lang w:val="fr-FR" w:bidi="ar-KW"/>
        </w:rPr>
        <w:t>y procéder et non à la Commission de la fonction publique qui</w:t>
      </w:r>
      <w:r w:rsidR="00680ADA" w:rsidRPr="00F1180D">
        <w:rPr>
          <w:lang w:val="fr-FR" w:bidi="ar-KW"/>
        </w:rPr>
        <w:t>,</w:t>
      </w:r>
      <w:r w:rsidR="000C6D4A" w:rsidRPr="00F1180D">
        <w:rPr>
          <w:lang w:val="fr-FR" w:bidi="ar-KW"/>
        </w:rPr>
        <w:t xml:space="preserve"> comme le Conseil de la fonction publique</w:t>
      </w:r>
      <w:r w:rsidR="00680ADA" w:rsidRPr="00F1180D">
        <w:rPr>
          <w:lang w:val="fr-FR" w:bidi="ar-KW"/>
        </w:rPr>
        <w:t>,</w:t>
      </w:r>
      <w:r w:rsidR="000C6D4A" w:rsidRPr="00F1180D">
        <w:rPr>
          <w:lang w:val="fr-FR" w:bidi="ar-KW"/>
        </w:rPr>
        <w:t xml:space="preserve"> édicte des circulaires et décisions visant à interpréter les dispositions de la loi et à lever toute ambiguïté possible</w:t>
      </w:r>
      <w:r w:rsidR="00680ADA" w:rsidRPr="00F1180D">
        <w:rPr>
          <w:lang w:val="fr-FR" w:bidi="ar-KW"/>
        </w:rPr>
        <w:t>,</w:t>
      </w:r>
      <w:r w:rsidR="000C6D4A" w:rsidRPr="00F1180D">
        <w:rPr>
          <w:lang w:val="fr-FR" w:bidi="ar-KW"/>
        </w:rPr>
        <w:t xml:space="preserve"> étant précisé que l</w:t>
      </w:r>
      <w:r w:rsidR="00680ADA" w:rsidRPr="00F1180D">
        <w:rPr>
          <w:lang w:val="fr-FR" w:bidi="ar-KW"/>
        </w:rPr>
        <w:t>’</w:t>
      </w:r>
      <w:r w:rsidR="000C6D4A" w:rsidRPr="00F1180D">
        <w:rPr>
          <w:lang w:val="fr-FR" w:bidi="ar-KW"/>
        </w:rPr>
        <w:t>ensemble de ces textes s</w:t>
      </w:r>
      <w:r w:rsidR="00680ADA" w:rsidRPr="00F1180D">
        <w:rPr>
          <w:lang w:val="fr-FR" w:bidi="ar-KW"/>
        </w:rPr>
        <w:t>’</w:t>
      </w:r>
      <w:r w:rsidR="000C6D4A" w:rsidRPr="00F1180D">
        <w:rPr>
          <w:lang w:val="fr-FR" w:bidi="ar-KW"/>
        </w:rPr>
        <w:t>inspire de la Constitution et de la loi et tend à donner effet au principe d</w:t>
      </w:r>
      <w:r w:rsidR="00680ADA" w:rsidRPr="00F1180D">
        <w:rPr>
          <w:lang w:val="fr-FR" w:bidi="ar-KW"/>
        </w:rPr>
        <w:t>’</w:t>
      </w:r>
      <w:r w:rsidR="000C6D4A" w:rsidRPr="00F1180D">
        <w:rPr>
          <w:lang w:val="fr-FR" w:bidi="ar-KW"/>
        </w:rPr>
        <w:t>égalité des chances en matière d</w:t>
      </w:r>
      <w:r w:rsidR="00680ADA" w:rsidRPr="00F1180D">
        <w:rPr>
          <w:lang w:val="fr-FR" w:bidi="ar-KW"/>
        </w:rPr>
        <w:t>’</w:t>
      </w:r>
      <w:r w:rsidR="000C6D4A" w:rsidRPr="00F1180D">
        <w:rPr>
          <w:lang w:val="fr-FR" w:bidi="ar-KW"/>
        </w:rPr>
        <w:t>accès aux fonctions publiques pouvant être exercées au sein de l</w:t>
      </w:r>
      <w:r w:rsidR="00680ADA" w:rsidRPr="00F1180D">
        <w:rPr>
          <w:lang w:val="fr-FR" w:bidi="ar-KW"/>
        </w:rPr>
        <w:t>’</w:t>
      </w:r>
      <w:r w:rsidR="000C6D4A" w:rsidRPr="00F1180D">
        <w:rPr>
          <w:lang w:val="fr-FR" w:bidi="ar-KW"/>
        </w:rPr>
        <w:t>appareil d</w:t>
      </w:r>
      <w:r w:rsidR="00680ADA" w:rsidRPr="00F1180D">
        <w:rPr>
          <w:lang w:val="fr-FR" w:bidi="ar-KW"/>
        </w:rPr>
        <w:t>’</w:t>
      </w:r>
      <w:r w:rsidR="000C6D4A" w:rsidRPr="00F1180D">
        <w:rPr>
          <w:lang w:val="fr-FR" w:bidi="ar-KW"/>
        </w:rPr>
        <w:t xml:space="preserve">État. </w:t>
      </w:r>
    </w:p>
    <w:p w:rsidR="000C6D4A" w:rsidRPr="00F1180D" w:rsidRDefault="00FA4059" w:rsidP="00FA4059">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15</w:t>
      </w:r>
    </w:p>
    <w:p w:rsidR="000C6D4A" w:rsidRPr="00F1180D" w:rsidRDefault="00930AE5" w:rsidP="00680ADA">
      <w:pPr>
        <w:pStyle w:val="SingleTxtG"/>
        <w:rPr>
          <w:rtl/>
          <w:lang w:val="fr-FR" w:bidi="fr-FR"/>
        </w:rPr>
      </w:pPr>
      <w:r>
        <w:rPr>
          <w:lang w:val="fr-FR" w:bidi="ar-KW"/>
        </w:rPr>
        <w:t>154.</w:t>
      </w:r>
      <w:r>
        <w:rPr>
          <w:lang w:val="fr-FR" w:bidi="ar-KW"/>
        </w:rPr>
        <w:tab/>
      </w:r>
      <w:r w:rsidR="000C6D4A" w:rsidRPr="00F1180D">
        <w:rPr>
          <w:lang w:val="fr-FR" w:bidi="ar-KW"/>
        </w:rPr>
        <w:t>L</w:t>
      </w:r>
      <w:r w:rsidR="00680ADA" w:rsidRPr="00F1180D">
        <w:rPr>
          <w:lang w:val="fr-FR" w:bidi="ar-KW"/>
        </w:rPr>
        <w:t>’</w:t>
      </w:r>
      <w:r w:rsidR="000C6D4A" w:rsidRPr="00F1180D">
        <w:rPr>
          <w:lang w:val="fr-FR" w:bidi="ar-KW"/>
        </w:rPr>
        <w:t>État veille à ce que tous ceux qui se trouvent sur son territoire jouissent du droit d</w:t>
      </w:r>
      <w:r w:rsidR="00680ADA" w:rsidRPr="00F1180D">
        <w:rPr>
          <w:lang w:val="fr-FR" w:bidi="ar-KW"/>
        </w:rPr>
        <w:t>’</w:t>
      </w:r>
      <w:r w:rsidR="000C6D4A" w:rsidRPr="00F1180D">
        <w:rPr>
          <w:lang w:val="fr-FR" w:bidi="ar-KW"/>
        </w:rPr>
        <w:t>établir leurs lieux de culte et d</w:t>
      </w:r>
      <w:r w:rsidR="00680ADA" w:rsidRPr="00F1180D">
        <w:rPr>
          <w:lang w:val="fr-FR" w:bidi="ar-KW"/>
        </w:rPr>
        <w:t>’</w:t>
      </w:r>
      <w:r w:rsidR="000C6D4A" w:rsidRPr="00F1180D">
        <w:rPr>
          <w:lang w:val="fr-FR" w:bidi="ar-KW"/>
        </w:rPr>
        <w:t>y avoir accès et à ce que toutes les restrictions en la matière soient examinées conformément aux normes internationales relatives aux droits de l</w:t>
      </w:r>
      <w:r w:rsidR="00680ADA" w:rsidRPr="00F1180D">
        <w:rPr>
          <w:lang w:val="fr-FR" w:bidi="ar-KW"/>
        </w:rPr>
        <w:t>’</w:t>
      </w:r>
      <w:r w:rsidR="000C6D4A" w:rsidRPr="00F1180D">
        <w:rPr>
          <w:lang w:val="fr-FR" w:bidi="ar-KW"/>
        </w:rPr>
        <w:t>homme</w:t>
      </w:r>
      <w:r w:rsidR="00680ADA" w:rsidRPr="00F1180D">
        <w:rPr>
          <w:lang w:val="fr-FR" w:bidi="ar-KW"/>
        </w:rPr>
        <w:t>,</w:t>
      </w:r>
      <w:r w:rsidR="000C6D4A" w:rsidRPr="00F1180D">
        <w:rPr>
          <w:lang w:val="fr-FR" w:bidi="ar-KW"/>
        </w:rPr>
        <w:t xml:space="preserve"> notamment les instruments auxquels l</w:t>
      </w:r>
      <w:r w:rsidR="00680ADA" w:rsidRPr="00F1180D">
        <w:rPr>
          <w:lang w:val="fr-FR" w:bidi="ar-KW"/>
        </w:rPr>
        <w:t>’</w:t>
      </w:r>
      <w:r w:rsidR="000C6D4A" w:rsidRPr="00F1180D">
        <w:rPr>
          <w:lang w:val="fr-FR" w:bidi="ar-KW"/>
        </w:rPr>
        <w:t>État a adhéré ou qu</w:t>
      </w:r>
      <w:r w:rsidR="00680ADA" w:rsidRPr="00F1180D">
        <w:rPr>
          <w:lang w:val="fr-FR" w:bidi="ar-KW"/>
        </w:rPr>
        <w:t>’</w:t>
      </w:r>
      <w:r w:rsidR="000C6D4A" w:rsidRPr="00F1180D">
        <w:rPr>
          <w:lang w:val="fr-FR" w:bidi="ar-KW"/>
        </w:rPr>
        <w:t>il a ratifiés. L</w:t>
      </w:r>
      <w:r w:rsidR="00680ADA" w:rsidRPr="00F1180D">
        <w:rPr>
          <w:lang w:val="fr-FR" w:bidi="ar-KW"/>
        </w:rPr>
        <w:t>’</w:t>
      </w:r>
      <w:r w:rsidR="000C6D4A" w:rsidRPr="00F1180D">
        <w:rPr>
          <w:lang w:val="fr-FR" w:bidi="ar-KW"/>
        </w:rPr>
        <w:t>autorisation de construire des lieux de culte constitue ainsi l</w:t>
      </w:r>
      <w:r w:rsidR="00680ADA" w:rsidRPr="00F1180D">
        <w:rPr>
          <w:lang w:val="fr-FR" w:bidi="ar-KW"/>
        </w:rPr>
        <w:t>’</w:t>
      </w:r>
      <w:r w:rsidR="000C6D4A" w:rsidRPr="00F1180D">
        <w:rPr>
          <w:lang w:val="fr-FR" w:bidi="ar-KW"/>
        </w:rPr>
        <w:t>aboutissement d</w:t>
      </w:r>
      <w:r w:rsidR="00680ADA" w:rsidRPr="00F1180D">
        <w:rPr>
          <w:lang w:val="fr-FR" w:bidi="ar-KW"/>
        </w:rPr>
        <w:t>’</w:t>
      </w:r>
      <w:r w:rsidR="000C6D4A" w:rsidRPr="00F1180D">
        <w:rPr>
          <w:lang w:val="fr-FR" w:bidi="ar-KW"/>
        </w:rPr>
        <w:t>une série de procédures et de démarches administratives et réglementaires faisant intervenir différents services gouvernementaux et menant à la délivrance du permis de construire</w:t>
      </w:r>
      <w:r w:rsidR="00680ADA" w:rsidRPr="00F1180D">
        <w:rPr>
          <w:lang w:val="fr-FR" w:bidi="ar-KW"/>
        </w:rPr>
        <w:t>,</w:t>
      </w:r>
      <w:r w:rsidR="000C6D4A" w:rsidRPr="00F1180D">
        <w:rPr>
          <w:lang w:val="fr-FR" w:bidi="ar-KW"/>
        </w:rPr>
        <w:t xml:space="preserve"> les lieux de culte étant à cet égard logés à la même enseigne que n</w:t>
      </w:r>
      <w:r w:rsidR="00680ADA" w:rsidRPr="00F1180D">
        <w:rPr>
          <w:lang w:val="fr-FR" w:bidi="ar-KW"/>
        </w:rPr>
        <w:t>’</w:t>
      </w:r>
      <w:r w:rsidR="000C6D4A" w:rsidRPr="00F1180D">
        <w:rPr>
          <w:lang w:val="fr-FR" w:bidi="ar-KW"/>
        </w:rPr>
        <w:t>importe quel autre édifice public et soumis aux mêmes obligations procédurales</w:t>
      </w:r>
      <w:r w:rsidR="00680ADA" w:rsidRPr="00F1180D">
        <w:rPr>
          <w:lang w:val="fr-FR" w:bidi="ar-KW"/>
        </w:rPr>
        <w:t>,</w:t>
      </w:r>
      <w:r w:rsidR="000C6D4A" w:rsidRPr="00F1180D">
        <w:rPr>
          <w:lang w:val="fr-FR" w:bidi="ar-KW"/>
        </w:rPr>
        <w:t xml:space="preserve"> illustrant ainsi l</w:t>
      </w:r>
      <w:r w:rsidR="00680ADA" w:rsidRPr="00F1180D">
        <w:rPr>
          <w:lang w:val="fr-FR" w:bidi="ar-KW"/>
        </w:rPr>
        <w:t>’</w:t>
      </w:r>
      <w:r w:rsidR="000C6D4A" w:rsidRPr="00F1180D">
        <w:rPr>
          <w:lang w:val="fr-FR" w:bidi="ar-KW"/>
        </w:rPr>
        <w:t>absence de discrimination en la matière.</w:t>
      </w:r>
    </w:p>
    <w:p w:rsidR="000C6D4A" w:rsidRPr="00F1180D" w:rsidRDefault="00930AE5" w:rsidP="00680ADA">
      <w:pPr>
        <w:pStyle w:val="SingleTxtG"/>
        <w:rPr>
          <w:rtl/>
          <w:lang w:val="fr-FR" w:bidi="fr-FR"/>
        </w:rPr>
      </w:pPr>
      <w:r>
        <w:rPr>
          <w:lang w:val="fr-FR" w:bidi="ar-KW"/>
        </w:rPr>
        <w:t>155.</w:t>
      </w:r>
      <w:r>
        <w:rPr>
          <w:lang w:val="fr-FR" w:bidi="ar-KW"/>
        </w:rPr>
        <w:tab/>
      </w:r>
      <w:r w:rsidR="000C6D4A" w:rsidRPr="00F1180D">
        <w:rPr>
          <w:lang w:val="fr-FR" w:bidi="ar-KW"/>
        </w:rPr>
        <w:t>La liberté de religion ou de conviction</w:t>
      </w:r>
      <w:r w:rsidR="00680ADA" w:rsidRPr="00F1180D">
        <w:rPr>
          <w:lang w:val="fr-FR" w:bidi="ar-KW"/>
        </w:rPr>
        <w:t>,</w:t>
      </w:r>
      <w:r w:rsidR="000C6D4A" w:rsidRPr="00F1180D">
        <w:rPr>
          <w:lang w:val="fr-FR" w:bidi="ar-KW"/>
        </w:rPr>
        <w:t xml:space="preserve"> qui est garantie par les instruments internationaux et dont l</w:t>
      </w:r>
      <w:r w:rsidR="00680ADA" w:rsidRPr="00F1180D">
        <w:rPr>
          <w:lang w:val="fr-FR" w:bidi="ar-KW"/>
        </w:rPr>
        <w:t>’</w:t>
      </w:r>
      <w:r w:rsidR="000C6D4A" w:rsidRPr="00F1180D">
        <w:rPr>
          <w:lang w:val="fr-FR" w:bidi="ar-KW"/>
        </w:rPr>
        <w:t>exercice constitue un objet de préoccupation pour les organismes internationaux des droits de l</w:t>
      </w:r>
      <w:r w:rsidR="00680ADA" w:rsidRPr="00F1180D">
        <w:rPr>
          <w:lang w:val="fr-FR" w:bidi="ar-KW"/>
        </w:rPr>
        <w:t>’</w:t>
      </w:r>
      <w:r w:rsidR="000C6D4A" w:rsidRPr="00F1180D">
        <w:rPr>
          <w:lang w:val="fr-FR" w:bidi="ar-KW"/>
        </w:rPr>
        <w:t>homme</w:t>
      </w:r>
      <w:r w:rsidR="00680ADA" w:rsidRPr="00F1180D">
        <w:rPr>
          <w:lang w:val="fr-FR" w:bidi="ar-KW"/>
        </w:rPr>
        <w:t>,</w:t>
      </w:r>
      <w:r w:rsidR="000C6D4A" w:rsidRPr="00F1180D">
        <w:rPr>
          <w:lang w:val="fr-FR" w:bidi="ar-KW"/>
        </w:rPr>
        <w:t xml:space="preserve"> fait partie des principes bien établis de la religion musulmane</w:t>
      </w:r>
      <w:r w:rsidR="00680ADA" w:rsidRPr="00F1180D">
        <w:rPr>
          <w:lang w:val="fr-FR" w:bidi="ar-KW"/>
        </w:rPr>
        <w:t>,</w:t>
      </w:r>
      <w:r w:rsidR="000C6D4A" w:rsidRPr="00F1180D">
        <w:rPr>
          <w:lang w:val="fr-FR" w:bidi="ar-KW"/>
        </w:rPr>
        <w:t xml:space="preserve"> tels que confirmés par les dispositions constitutionnelles. Ainsi</w:t>
      </w:r>
      <w:r w:rsidR="00680ADA" w:rsidRPr="00F1180D">
        <w:rPr>
          <w:lang w:val="fr-FR" w:bidi="ar-KW"/>
        </w:rPr>
        <w:t>,</w:t>
      </w:r>
      <w:r w:rsidR="000C6D4A" w:rsidRPr="00F1180D">
        <w:rPr>
          <w:lang w:val="fr-FR" w:bidi="ar-KW"/>
        </w:rPr>
        <w:t xml:space="preserve"> aux termes de l</w:t>
      </w:r>
      <w:r w:rsidR="00680ADA" w:rsidRPr="00F1180D">
        <w:rPr>
          <w:lang w:val="fr-FR" w:bidi="ar-KW"/>
        </w:rPr>
        <w:t>’</w:t>
      </w:r>
      <w:r w:rsidR="00163207" w:rsidRPr="00F1180D">
        <w:rPr>
          <w:lang w:val="fr-FR" w:bidi="ar-KW"/>
        </w:rPr>
        <w:t>article </w:t>
      </w:r>
      <w:r w:rsidR="000C6D4A" w:rsidRPr="00F1180D">
        <w:rPr>
          <w:lang w:val="fr-FR" w:bidi="ar-KW"/>
        </w:rPr>
        <w:t>35 de la Constitution koweïtienne</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 xml:space="preserve">La liberté de conviction est absolue et la liberté </w:t>
      </w:r>
      <w:r w:rsidR="000C6D4A" w:rsidRPr="00F1180D">
        <w:rPr>
          <w:lang w:val="fr-FR" w:bidi="ar-KW"/>
        </w:rPr>
        <w:lastRenderedPageBreak/>
        <w:t>de pratiquer sa religion est protégée par l</w:t>
      </w:r>
      <w:r w:rsidR="00680ADA" w:rsidRPr="00F1180D">
        <w:rPr>
          <w:lang w:val="fr-FR" w:bidi="ar-KW"/>
        </w:rPr>
        <w:t>’</w:t>
      </w:r>
      <w:r w:rsidR="000C6D4A" w:rsidRPr="00F1180D">
        <w:rPr>
          <w:lang w:val="fr-FR" w:bidi="ar-KW"/>
        </w:rPr>
        <w:t>État conformément aux coutumes établies</w:t>
      </w:r>
      <w:r w:rsidR="00680ADA" w:rsidRPr="00F1180D">
        <w:rPr>
          <w:lang w:val="fr-FR" w:bidi="ar-KW"/>
        </w:rPr>
        <w:t>,</w:t>
      </w:r>
      <w:r w:rsidR="000C6D4A" w:rsidRPr="00F1180D">
        <w:rPr>
          <w:lang w:val="fr-FR" w:bidi="ar-KW"/>
        </w:rPr>
        <w:t xml:space="preserve"> sous réserve qu</w:t>
      </w:r>
      <w:r w:rsidR="00680ADA" w:rsidRPr="00F1180D">
        <w:rPr>
          <w:lang w:val="fr-FR" w:bidi="ar-KW"/>
        </w:rPr>
        <w:t>’</w:t>
      </w:r>
      <w:r w:rsidR="000C6D4A" w:rsidRPr="00F1180D">
        <w:rPr>
          <w:lang w:val="fr-FR" w:bidi="ar-KW"/>
        </w:rPr>
        <w:t>elle ne soit pas incompatible avec l</w:t>
      </w:r>
      <w:r w:rsidR="00680ADA" w:rsidRPr="00F1180D">
        <w:rPr>
          <w:lang w:val="fr-FR" w:bidi="ar-KW"/>
        </w:rPr>
        <w:t>’</w:t>
      </w:r>
      <w:r w:rsidR="000C6D4A" w:rsidRPr="00F1180D">
        <w:rPr>
          <w:lang w:val="fr-FR" w:bidi="ar-KW"/>
        </w:rPr>
        <w:t>ordre ou la morale publics</w:t>
      </w:r>
      <w:r w:rsidR="00680ADA" w:rsidRPr="00F1180D">
        <w:rPr>
          <w:lang w:val="fr-FR" w:bidi="ar-KW"/>
        </w:rPr>
        <w:t>»</w:t>
      </w:r>
      <w:r w:rsidR="000C6D4A" w:rsidRPr="00F1180D">
        <w:rPr>
          <w:lang w:val="fr-FR" w:bidi="ar-KW"/>
        </w:rPr>
        <w:t>.</w:t>
      </w:r>
    </w:p>
    <w:p w:rsidR="000C6D4A" w:rsidRPr="00F1180D" w:rsidRDefault="00930AE5" w:rsidP="00680ADA">
      <w:pPr>
        <w:pStyle w:val="SingleTxtG"/>
        <w:rPr>
          <w:rtl/>
          <w:lang w:val="fr-FR" w:bidi="fr-FR"/>
        </w:rPr>
      </w:pPr>
      <w:r>
        <w:rPr>
          <w:lang w:val="fr-FR" w:bidi="ar-KW"/>
        </w:rPr>
        <w:t>156.</w:t>
      </w:r>
      <w:r>
        <w:rPr>
          <w:lang w:val="fr-FR" w:bidi="ar-KW"/>
        </w:rPr>
        <w:tab/>
      </w:r>
      <w:r w:rsidR="000C6D4A" w:rsidRPr="00F1180D">
        <w:rPr>
          <w:lang w:val="fr-FR" w:bidi="ar-KW"/>
        </w:rPr>
        <w:t>Le Code pénal a prévu de nombreuses dispositions afin de protéger cette liberté de toute atteinte ou violation</w:t>
      </w:r>
      <w:r w:rsidR="00680ADA" w:rsidRPr="00F1180D">
        <w:rPr>
          <w:lang w:val="fr-FR" w:bidi="ar-KW"/>
        </w:rPr>
        <w:t>,</w:t>
      </w:r>
      <w:r w:rsidR="000C6D4A" w:rsidRPr="00F1180D">
        <w:rPr>
          <w:lang w:val="fr-FR" w:bidi="ar-KW"/>
        </w:rPr>
        <w:t xml:space="preserve"> notamment les </w:t>
      </w:r>
      <w:r w:rsidR="00DE029F" w:rsidRPr="00F1180D">
        <w:rPr>
          <w:lang w:val="fr-FR" w:bidi="ar-KW"/>
        </w:rPr>
        <w:t>articles </w:t>
      </w:r>
      <w:r w:rsidR="000C6D4A" w:rsidRPr="00F1180D">
        <w:rPr>
          <w:lang w:val="fr-FR" w:bidi="ar-KW"/>
        </w:rPr>
        <w:t>109 à 113</w:t>
      </w:r>
      <w:r w:rsidR="00680ADA" w:rsidRPr="00F1180D">
        <w:rPr>
          <w:lang w:val="fr-FR" w:bidi="ar-KW"/>
        </w:rPr>
        <w:t>,</w:t>
      </w:r>
      <w:r w:rsidR="000C6D4A" w:rsidRPr="00F1180D">
        <w:rPr>
          <w:lang w:val="fr-FR" w:bidi="ar-KW"/>
        </w:rPr>
        <w:t xml:space="preserve"> qui prévoient une série de sanctions pénales contre quiconque vandalise ou profane un lieu de culte</w:t>
      </w:r>
      <w:r w:rsidR="00680ADA" w:rsidRPr="00F1180D">
        <w:rPr>
          <w:lang w:val="fr-FR" w:bidi="ar-KW"/>
        </w:rPr>
        <w:t>,</w:t>
      </w:r>
      <w:r w:rsidR="000C6D4A" w:rsidRPr="00F1180D">
        <w:rPr>
          <w:lang w:val="fr-FR" w:bidi="ar-KW"/>
        </w:rPr>
        <w:t xml:space="preserve"> y commet un acte préjudiciable au respect dû à la religion concernée ou perturbe le calme nécessaire à une réunion légale tenue par un groupe de personnes en vue de pratiquer leur religion. </w:t>
      </w:r>
    </w:p>
    <w:p w:rsidR="000C6D4A" w:rsidRPr="00F1180D" w:rsidRDefault="00930AE5" w:rsidP="00680ADA">
      <w:pPr>
        <w:pStyle w:val="SingleTxtG"/>
        <w:rPr>
          <w:rtl/>
          <w:lang w:val="fr-FR" w:bidi="fr-FR"/>
        </w:rPr>
      </w:pPr>
      <w:r>
        <w:rPr>
          <w:lang w:val="fr-FR" w:bidi="ar-KW"/>
        </w:rPr>
        <w:t>157.</w:t>
      </w:r>
      <w:r>
        <w:rPr>
          <w:lang w:val="fr-FR" w:bidi="ar-KW"/>
        </w:rPr>
        <w:tab/>
      </w:r>
      <w:r w:rsidR="000C6D4A" w:rsidRPr="00F1180D">
        <w:rPr>
          <w:lang w:val="fr-FR" w:bidi="ar-KW"/>
        </w:rPr>
        <w:t>L</w:t>
      </w:r>
      <w:r w:rsidR="00680ADA" w:rsidRPr="00F1180D">
        <w:rPr>
          <w:lang w:val="fr-FR" w:bidi="ar-KW"/>
        </w:rPr>
        <w:t>’</w:t>
      </w:r>
      <w:r w:rsidR="000C6D4A" w:rsidRPr="00F1180D">
        <w:rPr>
          <w:lang w:val="fr-FR" w:bidi="ar-KW"/>
        </w:rPr>
        <w:t>État du Koweït est fier de faire partie des États pionniers engagés dans la promotion de la culture de la tolérance et de la modération en matière de religion et d</w:t>
      </w:r>
      <w:r w:rsidR="00680ADA" w:rsidRPr="00F1180D">
        <w:rPr>
          <w:lang w:val="fr-FR" w:bidi="ar-KW"/>
        </w:rPr>
        <w:t>’</w:t>
      </w:r>
      <w:r w:rsidR="000C6D4A" w:rsidRPr="00F1180D">
        <w:rPr>
          <w:lang w:val="fr-FR" w:bidi="ar-KW"/>
        </w:rPr>
        <w:t>avoir adopté une approche à laquelle il ne déroge pas</w:t>
      </w:r>
      <w:r w:rsidR="00680ADA" w:rsidRPr="00F1180D">
        <w:rPr>
          <w:lang w:val="fr-FR" w:bidi="ar-KW"/>
        </w:rPr>
        <w:t>,</w:t>
      </w:r>
      <w:r w:rsidR="000C6D4A" w:rsidRPr="00F1180D">
        <w:rPr>
          <w:lang w:val="fr-FR" w:bidi="ar-KW"/>
        </w:rPr>
        <w:t xml:space="preserve"> fondée sur les principes découlant des préceptes d</w:t>
      </w:r>
      <w:r w:rsidR="00680ADA" w:rsidRPr="00F1180D">
        <w:rPr>
          <w:lang w:val="fr-FR" w:bidi="ar-KW"/>
        </w:rPr>
        <w:t>’</w:t>
      </w:r>
      <w:r w:rsidR="000C6D4A" w:rsidRPr="00F1180D">
        <w:rPr>
          <w:lang w:val="fr-FR" w:bidi="ar-KW"/>
        </w:rPr>
        <w:t>une religion juste</w:t>
      </w:r>
      <w:r w:rsidR="00680ADA" w:rsidRPr="00F1180D">
        <w:rPr>
          <w:lang w:val="fr-FR" w:bidi="ar-KW"/>
        </w:rPr>
        <w:t>,</w:t>
      </w:r>
      <w:r w:rsidR="000C6D4A" w:rsidRPr="00F1180D">
        <w:rPr>
          <w:lang w:val="fr-FR" w:bidi="ar-KW"/>
        </w:rPr>
        <w:t xml:space="preserve"> confortée par des dispositions constitutionnelles et légales solides</w:t>
      </w:r>
      <w:r w:rsidR="00680ADA" w:rsidRPr="00F1180D">
        <w:rPr>
          <w:lang w:val="fr-FR" w:bidi="ar-KW"/>
        </w:rPr>
        <w:t>,</w:t>
      </w:r>
      <w:r w:rsidR="000C6D4A" w:rsidRPr="00F1180D">
        <w:rPr>
          <w:lang w:val="fr-FR" w:bidi="ar-KW"/>
        </w:rPr>
        <w:t xml:space="preserve"> ainsi que sur une société prédisposée à cohabiter pacifiquement avec les peuples de toutes les religions et confessions. </w:t>
      </w:r>
    </w:p>
    <w:p w:rsidR="000C6D4A" w:rsidRPr="00F1180D" w:rsidRDefault="00930AE5" w:rsidP="00680ADA">
      <w:pPr>
        <w:pStyle w:val="SingleTxtG"/>
        <w:rPr>
          <w:rtl/>
          <w:lang w:val="fr-FR" w:bidi="fr-FR"/>
        </w:rPr>
      </w:pPr>
      <w:r>
        <w:rPr>
          <w:lang w:val="fr-FR" w:bidi="ar-KW"/>
        </w:rPr>
        <w:t>158.</w:t>
      </w:r>
      <w:r>
        <w:rPr>
          <w:lang w:val="fr-FR" w:bidi="ar-KW"/>
        </w:rPr>
        <w:tab/>
      </w:r>
      <w:r w:rsidR="000C6D4A" w:rsidRPr="00F1180D">
        <w:rPr>
          <w:lang w:val="fr-FR" w:bidi="ar-KW"/>
        </w:rPr>
        <w:t>À cet égard</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État ne ménage aucun effort pour établir des institutions visant à consacrer cette approche et à adopter une législation susceptible de garantir le respect et la sauvegarde de ces idéaux. C</w:t>
      </w:r>
      <w:r w:rsidR="00680ADA" w:rsidRPr="00F1180D">
        <w:rPr>
          <w:lang w:val="fr-FR" w:bidi="ar-KW"/>
        </w:rPr>
        <w:t>’</w:t>
      </w:r>
      <w:r w:rsidR="000C6D4A" w:rsidRPr="00F1180D">
        <w:rPr>
          <w:lang w:val="fr-FR" w:bidi="ar-KW"/>
        </w:rPr>
        <w:t>est notamment dans cette perspective que l</w:t>
      </w:r>
      <w:r w:rsidR="00680ADA" w:rsidRPr="00F1180D">
        <w:rPr>
          <w:lang w:val="fr-FR" w:bidi="ar-KW"/>
        </w:rPr>
        <w:t>’</w:t>
      </w:r>
      <w:r w:rsidR="000C6D4A" w:rsidRPr="00F1180D">
        <w:rPr>
          <w:lang w:val="fr-FR" w:bidi="ar-KW"/>
        </w:rPr>
        <w:t xml:space="preserve">arrêté ministériel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14/2006 a créé le Centre mondial de la modération en 2006 en vue de promouvoir la modération en matière de religion</w:t>
      </w:r>
      <w:r w:rsidR="00680ADA" w:rsidRPr="00F1180D">
        <w:rPr>
          <w:lang w:val="fr-FR" w:bidi="ar-KW"/>
        </w:rPr>
        <w:t>,</w:t>
      </w:r>
      <w:r w:rsidR="000C6D4A" w:rsidRPr="00F1180D">
        <w:rPr>
          <w:lang w:val="fr-FR" w:bidi="ar-KW"/>
        </w:rPr>
        <w:t xml:space="preserve"> de combattre l</w:t>
      </w:r>
      <w:r w:rsidR="00680ADA" w:rsidRPr="00F1180D">
        <w:rPr>
          <w:lang w:val="fr-FR" w:bidi="ar-KW"/>
        </w:rPr>
        <w:t>’</w:t>
      </w:r>
      <w:r w:rsidR="000C6D4A" w:rsidRPr="00F1180D">
        <w:rPr>
          <w:lang w:val="fr-FR" w:bidi="ar-KW"/>
        </w:rPr>
        <w:t xml:space="preserve">extrémisme et le terrorisme sous toutes leurs formes et de diffuser les valeurs de tolérance et de coexistence pacifique entre toutes les religions et confessions. </w:t>
      </w:r>
    </w:p>
    <w:p w:rsidR="000C6D4A" w:rsidRPr="00F1180D" w:rsidRDefault="00930AE5" w:rsidP="00680ADA">
      <w:pPr>
        <w:pStyle w:val="SingleTxtG"/>
        <w:rPr>
          <w:rtl/>
          <w:lang w:val="fr-FR" w:bidi="fr-FR"/>
        </w:rPr>
      </w:pPr>
      <w:r>
        <w:rPr>
          <w:lang w:val="fr-FR" w:bidi="ar-KW"/>
        </w:rPr>
        <w:t>159.</w:t>
      </w:r>
      <w:r>
        <w:rPr>
          <w:lang w:val="fr-FR" w:bidi="ar-KW"/>
        </w:rPr>
        <w:tab/>
      </w:r>
      <w:r w:rsidR="000C6D4A" w:rsidRPr="00F1180D">
        <w:rPr>
          <w:lang w:val="fr-FR" w:bidi="ar-KW"/>
        </w:rPr>
        <w:t>En vue de réaliser ces objectifs</w:t>
      </w:r>
      <w:r w:rsidR="00680ADA" w:rsidRPr="00F1180D">
        <w:rPr>
          <w:lang w:val="fr-FR" w:bidi="ar-KW"/>
        </w:rPr>
        <w:t>,</w:t>
      </w:r>
      <w:r w:rsidR="000C6D4A" w:rsidRPr="00F1180D">
        <w:rPr>
          <w:lang w:val="fr-FR" w:bidi="ar-KW"/>
        </w:rPr>
        <w:t xml:space="preserve"> plusieurs activités ont été menées au niveau national et international par ce Centre</w:t>
      </w:r>
      <w:r w:rsidR="00680ADA" w:rsidRPr="00F1180D">
        <w:rPr>
          <w:lang w:val="fr-FR" w:bidi="ar-KW"/>
        </w:rPr>
        <w:t>,</w:t>
      </w:r>
      <w:r w:rsidR="000C6D4A" w:rsidRPr="00F1180D">
        <w:rPr>
          <w:lang w:val="fr-FR" w:bidi="ar-KW"/>
        </w:rPr>
        <w:t xml:space="preserve"> telles que l</w:t>
      </w:r>
      <w:r w:rsidR="00680ADA" w:rsidRPr="00F1180D">
        <w:rPr>
          <w:lang w:val="fr-FR" w:bidi="ar-KW"/>
        </w:rPr>
        <w:t>’</w:t>
      </w:r>
      <w:r w:rsidR="000C6D4A" w:rsidRPr="00F1180D">
        <w:rPr>
          <w:lang w:val="fr-FR" w:bidi="ar-KW"/>
        </w:rPr>
        <w:t>organisation de conférences et de débats</w:t>
      </w:r>
      <w:r w:rsidR="00680ADA" w:rsidRPr="00F1180D">
        <w:rPr>
          <w:lang w:val="fr-FR" w:bidi="ar-KW"/>
        </w:rPr>
        <w:t>,</w:t>
      </w:r>
      <w:r w:rsidR="000C6D4A" w:rsidRPr="00F1180D">
        <w:rPr>
          <w:lang w:val="fr-FR" w:bidi="ar-KW"/>
        </w:rPr>
        <w:t xml:space="preserve"> ainsi que la production de publications visant à promouvoir la culture de la modération et de la tolérance entre les communautés ethniques</w:t>
      </w:r>
      <w:r w:rsidR="00680ADA" w:rsidRPr="00F1180D">
        <w:rPr>
          <w:lang w:val="fr-FR" w:bidi="ar-KW"/>
        </w:rPr>
        <w:t>,</w:t>
      </w:r>
      <w:r w:rsidR="000C6D4A" w:rsidRPr="00F1180D">
        <w:rPr>
          <w:lang w:val="fr-FR" w:bidi="ar-KW"/>
        </w:rPr>
        <w:t xml:space="preserve"> religieuses et confessionnelles</w:t>
      </w:r>
      <w:r w:rsidR="00680ADA" w:rsidRPr="00F1180D">
        <w:rPr>
          <w:lang w:val="fr-FR" w:bidi="ar-KW"/>
        </w:rPr>
        <w:t>,</w:t>
      </w:r>
      <w:r w:rsidR="000C6D4A" w:rsidRPr="00F1180D">
        <w:rPr>
          <w:lang w:val="fr-FR" w:bidi="ar-KW"/>
        </w:rPr>
        <w:t xml:space="preserve"> à lutter contre toutes les formes d</w:t>
      </w:r>
      <w:r w:rsidR="00680ADA" w:rsidRPr="00F1180D">
        <w:rPr>
          <w:lang w:val="fr-FR" w:bidi="ar-KW"/>
        </w:rPr>
        <w:t>’</w:t>
      </w:r>
      <w:r w:rsidR="000C6D4A" w:rsidRPr="00F1180D">
        <w:rPr>
          <w:lang w:val="fr-FR" w:bidi="ar-KW"/>
        </w:rPr>
        <w:t>extrémisme de fanatisme religieux et d</w:t>
      </w:r>
      <w:r w:rsidR="00680ADA" w:rsidRPr="00F1180D">
        <w:rPr>
          <w:lang w:val="fr-FR" w:bidi="ar-KW"/>
        </w:rPr>
        <w:t>’</w:t>
      </w:r>
      <w:r w:rsidR="000C6D4A" w:rsidRPr="00F1180D">
        <w:rPr>
          <w:lang w:val="fr-FR" w:bidi="ar-KW"/>
        </w:rPr>
        <w:t>intolérance et à encourager l</w:t>
      </w:r>
      <w:r w:rsidR="00680ADA" w:rsidRPr="00F1180D">
        <w:rPr>
          <w:lang w:val="fr-FR" w:bidi="ar-KW"/>
        </w:rPr>
        <w:t>’</w:t>
      </w:r>
      <w:r w:rsidR="000C6D4A" w:rsidRPr="00F1180D">
        <w:rPr>
          <w:lang w:val="fr-FR" w:bidi="ar-KW"/>
        </w:rPr>
        <w:t xml:space="preserve">établissement de liens de coopération et le dialogue entre les civilisations. Les institutions publiques et les organisations de la société civile ont également contribué à ces efforts. </w:t>
      </w:r>
    </w:p>
    <w:p w:rsidR="000C6D4A" w:rsidRPr="00F1180D" w:rsidRDefault="00930AE5" w:rsidP="00680ADA">
      <w:pPr>
        <w:pStyle w:val="SingleTxtG"/>
        <w:rPr>
          <w:rtl/>
          <w:lang w:val="fr-FR" w:bidi="fr-FR"/>
        </w:rPr>
      </w:pPr>
      <w:r>
        <w:rPr>
          <w:lang w:val="fr-FR" w:bidi="ar-KW"/>
        </w:rPr>
        <w:t>160.</w:t>
      </w:r>
      <w:r>
        <w:rPr>
          <w:lang w:val="fr-FR" w:bidi="ar-KW"/>
        </w:rPr>
        <w:tab/>
      </w:r>
      <w:r w:rsidR="000C6D4A" w:rsidRPr="00F1180D">
        <w:rPr>
          <w:lang w:val="fr-FR" w:bidi="ar-KW"/>
        </w:rPr>
        <w:t>Il convient également de signaler la promulgation du décret-loi n</w:t>
      </w:r>
      <w:r w:rsidR="00FA4059" w:rsidRPr="00F1180D">
        <w:rPr>
          <w:vertAlign w:val="superscript"/>
          <w:lang w:val="fr-FR" w:bidi="ar-KW"/>
        </w:rPr>
        <w:t>o</w:t>
      </w:r>
      <w:r w:rsidR="000C6D4A" w:rsidRPr="00F1180D">
        <w:rPr>
          <w:lang w:val="fr-FR" w:bidi="ar-KW"/>
        </w:rPr>
        <w:t>°19 de 2012 sur la sauvegarde de l</w:t>
      </w:r>
      <w:r w:rsidR="00680ADA" w:rsidRPr="00F1180D">
        <w:rPr>
          <w:lang w:val="fr-FR" w:bidi="ar-KW"/>
        </w:rPr>
        <w:t>’</w:t>
      </w:r>
      <w:r w:rsidR="000C6D4A" w:rsidRPr="00F1180D">
        <w:rPr>
          <w:lang w:val="fr-FR" w:bidi="ar-KW"/>
        </w:rPr>
        <w:t>unité nationale</w:t>
      </w:r>
      <w:r w:rsidR="00680ADA" w:rsidRPr="00F1180D">
        <w:rPr>
          <w:lang w:val="fr-FR" w:bidi="ar-KW"/>
        </w:rPr>
        <w:t>,</w:t>
      </w:r>
      <w:r w:rsidR="000C6D4A" w:rsidRPr="00F1180D">
        <w:rPr>
          <w:lang w:val="fr-FR" w:bidi="ar-KW"/>
        </w:rPr>
        <w:t xml:space="preserve"> qui interdit tout acte ou appel</w:t>
      </w:r>
      <w:r w:rsidR="00680ADA" w:rsidRPr="00F1180D">
        <w:rPr>
          <w:lang w:val="fr-FR" w:bidi="ar-KW"/>
        </w:rPr>
        <w:t>,</w:t>
      </w:r>
      <w:r w:rsidR="000C6D4A" w:rsidRPr="00F1180D">
        <w:rPr>
          <w:lang w:val="fr-FR" w:bidi="ar-KW"/>
        </w:rPr>
        <w:t xml:space="preserve"> par quelque moyen d</w:t>
      </w:r>
      <w:r w:rsidR="00680ADA" w:rsidRPr="00F1180D">
        <w:rPr>
          <w:lang w:val="fr-FR" w:bidi="ar-KW"/>
        </w:rPr>
        <w:t>’</w:t>
      </w:r>
      <w:r w:rsidR="000C6D4A" w:rsidRPr="00F1180D">
        <w:rPr>
          <w:lang w:val="fr-FR" w:bidi="ar-KW"/>
        </w:rPr>
        <w:t>expression que ce soit</w:t>
      </w:r>
      <w:r w:rsidR="00680ADA" w:rsidRPr="00F1180D">
        <w:rPr>
          <w:lang w:val="fr-FR" w:bidi="ar-KW"/>
        </w:rPr>
        <w:t>,</w:t>
      </w:r>
      <w:r w:rsidR="000C6D4A" w:rsidRPr="00F1180D">
        <w:rPr>
          <w:lang w:val="fr-FR" w:bidi="ar-KW"/>
        </w:rPr>
        <w:t xml:space="preserve"> constituant une incitation à la haine</w:t>
      </w:r>
      <w:r w:rsidR="00680ADA" w:rsidRPr="00F1180D">
        <w:rPr>
          <w:lang w:val="fr-FR" w:bidi="ar-KW"/>
        </w:rPr>
        <w:t>,</w:t>
      </w:r>
      <w:r w:rsidR="000C6D4A" w:rsidRPr="00F1180D">
        <w:rPr>
          <w:lang w:val="fr-FR" w:bidi="ar-KW"/>
        </w:rPr>
        <w:t xml:space="preserve"> au dénigrement d</w:t>
      </w:r>
      <w:r w:rsidR="00680ADA" w:rsidRPr="00F1180D">
        <w:rPr>
          <w:lang w:val="fr-FR" w:bidi="ar-KW"/>
        </w:rPr>
        <w:t>’</w:t>
      </w:r>
      <w:r w:rsidR="000C6D4A" w:rsidRPr="00F1180D">
        <w:rPr>
          <w:lang w:val="fr-FR" w:bidi="ar-KW"/>
        </w:rPr>
        <w:t>un groupe social</w:t>
      </w:r>
      <w:r w:rsidR="00680ADA" w:rsidRPr="00F1180D">
        <w:rPr>
          <w:lang w:val="fr-FR" w:bidi="ar-KW"/>
        </w:rPr>
        <w:t>,</w:t>
      </w:r>
      <w:r w:rsidR="000C6D4A" w:rsidRPr="00F1180D">
        <w:rPr>
          <w:lang w:val="fr-FR" w:bidi="ar-KW"/>
        </w:rPr>
        <w:t xml:space="preserve"> aux conflits confessionnels ou tribaux</w:t>
      </w:r>
      <w:r w:rsidR="00680ADA" w:rsidRPr="00F1180D">
        <w:rPr>
          <w:lang w:val="fr-FR" w:bidi="ar-KW"/>
        </w:rPr>
        <w:t>,</w:t>
      </w:r>
      <w:r w:rsidR="000C6D4A" w:rsidRPr="00F1180D">
        <w:rPr>
          <w:lang w:val="fr-FR" w:bidi="ar-KW"/>
        </w:rPr>
        <w:t xml:space="preserve"> ainsi que la diffusion de toute idéologie prônant la supériorité d</w:t>
      </w:r>
      <w:r w:rsidR="00680ADA" w:rsidRPr="00F1180D">
        <w:rPr>
          <w:lang w:val="fr-FR" w:bidi="ar-KW"/>
        </w:rPr>
        <w:t>’</w:t>
      </w:r>
      <w:r w:rsidR="000C6D4A" w:rsidRPr="00F1180D">
        <w:rPr>
          <w:lang w:val="fr-FR" w:bidi="ar-KW"/>
        </w:rPr>
        <w:t>une race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 groupe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couleur</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origine nationale ou ethnique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confession</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 genre ou d</w:t>
      </w:r>
      <w:r w:rsidR="00680ADA" w:rsidRPr="00F1180D">
        <w:rPr>
          <w:lang w:val="fr-FR" w:bidi="ar-KW"/>
        </w:rPr>
        <w:t>’</w:t>
      </w:r>
      <w:r w:rsidR="000C6D4A" w:rsidRPr="00F1180D">
        <w:rPr>
          <w:lang w:val="fr-FR" w:bidi="ar-KW"/>
        </w:rPr>
        <w:t>une filiation et l</w:t>
      </w:r>
      <w:r w:rsidR="00680ADA" w:rsidRPr="00F1180D">
        <w:rPr>
          <w:lang w:val="fr-FR" w:bidi="ar-KW"/>
        </w:rPr>
        <w:t>’</w:t>
      </w:r>
      <w:r w:rsidR="000C6D4A" w:rsidRPr="00F1180D">
        <w:rPr>
          <w:lang w:val="fr-FR" w:bidi="ar-KW"/>
        </w:rPr>
        <w:t>incitation à la commission de tout acte de violence à cette fin</w:t>
      </w:r>
      <w:r w:rsidR="00680ADA" w:rsidRPr="00F1180D">
        <w:rPr>
          <w:lang w:val="fr-FR" w:bidi="ar-KW"/>
        </w:rPr>
        <w:t>,</w:t>
      </w:r>
      <w:r w:rsidR="000C6D4A" w:rsidRPr="00F1180D">
        <w:rPr>
          <w:lang w:val="fr-FR" w:bidi="ar-KW"/>
        </w:rPr>
        <w:t xml:space="preserve"> de même que la propagation</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édition</w:t>
      </w:r>
      <w:r w:rsidR="00680ADA" w:rsidRPr="00F1180D">
        <w:rPr>
          <w:lang w:val="fr-FR" w:bidi="ar-KW"/>
        </w:rPr>
        <w:t>,</w:t>
      </w:r>
      <w:r w:rsidR="000C6D4A" w:rsidRPr="00F1180D">
        <w:rPr>
          <w:lang w:val="fr-FR" w:bidi="ar-KW"/>
        </w:rPr>
        <w:t xml:space="preserve"> la publication</w:t>
      </w:r>
      <w:r w:rsidR="00680ADA" w:rsidRPr="00F1180D">
        <w:rPr>
          <w:lang w:val="fr-FR" w:bidi="ar-KW"/>
        </w:rPr>
        <w:t>,</w:t>
      </w:r>
      <w:r w:rsidR="000C6D4A" w:rsidRPr="00F1180D">
        <w:rPr>
          <w:lang w:val="fr-FR" w:bidi="ar-KW"/>
        </w:rPr>
        <w:t xml:space="preserve"> la diffusion</w:t>
      </w:r>
      <w:r w:rsidR="00680ADA" w:rsidRPr="00F1180D">
        <w:rPr>
          <w:lang w:val="fr-FR" w:bidi="ar-KW"/>
        </w:rPr>
        <w:t>,</w:t>
      </w:r>
      <w:r w:rsidR="000C6D4A" w:rsidRPr="00F1180D">
        <w:rPr>
          <w:lang w:val="fr-FR" w:bidi="ar-KW"/>
        </w:rPr>
        <w:t xml:space="preserve"> la retransmission</w:t>
      </w:r>
      <w:r w:rsidR="00680ADA" w:rsidRPr="00F1180D">
        <w:rPr>
          <w:lang w:val="fr-FR" w:bidi="ar-KW"/>
        </w:rPr>
        <w:t>,</w:t>
      </w:r>
      <w:r w:rsidR="000C6D4A" w:rsidRPr="00F1180D">
        <w:rPr>
          <w:lang w:val="fr-FR" w:bidi="ar-KW"/>
        </w:rPr>
        <w:t xml:space="preserve"> la production</w:t>
      </w:r>
      <w:r w:rsidR="00680ADA" w:rsidRPr="00F1180D">
        <w:rPr>
          <w:lang w:val="fr-FR" w:bidi="ar-KW"/>
        </w:rPr>
        <w:t>,</w:t>
      </w:r>
      <w:r w:rsidR="000C6D4A" w:rsidRPr="00F1180D">
        <w:rPr>
          <w:lang w:val="fr-FR" w:bidi="ar-KW"/>
        </w:rPr>
        <w:t xml:space="preserve"> ou la mise en circulation de tout document imprimé ou contenu audiovisuel de nature à provoquer les infractions visées ci-dessus et la diffusion</w:t>
      </w:r>
      <w:r w:rsidR="00680ADA" w:rsidRPr="00F1180D">
        <w:rPr>
          <w:lang w:val="fr-FR" w:bidi="ar-KW"/>
        </w:rPr>
        <w:t>,</w:t>
      </w:r>
      <w:r w:rsidR="000C6D4A" w:rsidRPr="00F1180D">
        <w:rPr>
          <w:lang w:val="fr-FR" w:bidi="ar-KW"/>
        </w:rPr>
        <w:t xml:space="preserve"> la propagation ou la retransmission de fausses rumeurs susceptibles de produire les mêmes effets. </w:t>
      </w:r>
    </w:p>
    <w:p w:rsidR="000C6D4A" w:rsidRPr="00F1180D" w:rsidRDefault="00930AE5" w:rsidP="00680ADA">
      <w:pPr>
        <w:pStyle w:val="SingleTxtG"/>
        <w:rPr>
          <w:rtl/>
          <w:lang w:val="fr-FR" w:bidi="fr-FR"/>
        </w:rPr>
      </w:pPr>
      <w:r>
        <w:rPr>
          <w:lang w:val="fr-FR" w:bidi="ar-KW"/>
        </w:rPr>
        <w:t>161.</w:t>
      </w:r>
      <w:r>
        <w:rPr>
          <w:lang w:val="fr-FR" w:bidi="ar-KW"/>
        </w:rPr>
        <w:tab/>
      </w:r>
      <w:r w:rsidR="000C6D4A" w:rsidRPr="00F1180D">
        <w:rPr>
          <w:lang w:val="fr-FR" w:bidi="ar-KW"/>
        </w:rPr>
        <w:t>La Constitution koweïtienne garantissant la liberté de conviction</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État est ainsi tenu de protéger la liberté de pratiquer sa religion conformément aux coutumes établies</w:t>
      </w:r>
      <w:r w:rsidR="00680ADA" w:rsidRPr="00F1180D">
        <w:rPr>
          <w:lang w:val="fr-FR" w:bidi="ar-KW"/>
        </w:rPr>
        <w:t>,</w:t>
      </w:r>
      <w:r w:rsidR="000C6D4A" w:rsidRPr="00F1180D">
        <w:rPr>
          <w:lang w:val="fr-FR" w:bidi="ar-KW"/>
        </w:rPr>
        <w:t xml:space="preserve"> à condition que cela ne porte pas atteinte à l</w:t>
      </w:r>
      <w:r w:rsidR="00680ADA" w:rsidRPr="00F1180D">
        <w:rPr>
          <w:lang w:val="fr-FR" w:bidi="ar-KW"/>
        </w:rPr>
        <w:t>’</w:t>
      </w:r>
      <w:r w:rsidR="000C6D4A" w:rsidRPr="00F1180D">
        <w:rPr>
          <w:lang w:val="fr-FR" w:bidi="ar-KW"/>
        </w:rPr>
        <w:t xml:space="preserve">ordre et à la morale publics. </w:t>
      </w:r>
    </w:p>
    <w:p w:rsidR="000C6D4A" w:rsidRPr="00F1180D" w:rsidRDefault="00FA4059" w:rsidP="00FA4059">
      <w:pPr>
        <w:pStyle w:val="H1G"/>
        <w:rPr>
          <w:lang w:val="fr-FR" w:bidi="ar-KW"/>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16</w:t>
      </w:r>
    </w:p>
    <w:p w:rsidR="000C6D4A" w:rsidRPr="00F1180D" w:rsidRDefault="00930AE5" w:rsidP="00680ADA">
      <w:pPr>
        <w:pStyle w:val="SingleTxtG"/>
        <w:rPr>
          <w:rtl/>
          <w:lang w:val="fr-FR" w:bidi="fr-FR"/>
        </w:rPr>
      </w:pPr>
      <w:r>
        <w:rPr>
          <w:lang w:val="fr-FR" w:bidi="ar-KW"/>
        </w:rPr>
        <w:t>162.</w:t>
      </w:r>
      <w:r>
        <w:rPr>
          <w:lang w:val="fr-FR" w:bidi="ar-KW"/>
        </w:rPr>
        <w:tab/>
      </w:r>
      <w:r w:rsidR="000C6D4A" w:rsidRPr="00F1180D">
        <w:rPr>
          <w:lang w:val="fr-FR" w:bidi="ar-KW"/>
        </w:rPr>
        <w:t>Il convient de noter que la protection accordée par le législateur koweïtien à la main-d</w:t>
      </w:r>
      <w:r w:rsidR="00680ADA" w:rsidRPr="00F1180D">
        <w:rPr>
          <w:lang w:val="fr-FR" w:bidi="ar-KW"/>
        </w:rPr>
        <w:t>’</w:t>
      </w:r>
      <w:r w:rsidR="00823836" w:rsidRPr="00F1180D">
        <w:rPr>
          <w:lang w:val="fr-FR" w:bidi="ar-KW"/>
        </w:rPr>
        <w:t>œuvre</w:t>
      </w:r>
      <w:r w:rsidR="000C6D4A" w:rsidRPr="00F1180D">
        <w:rPr>
          <w:lang w:val="fr-FR" w:bidi="ar-KW"/>
        </w:rPr>
        <w:t xml:space="preserve"> étrangère en vertu de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6 de 2010 régissant l</w:t>
      </w:r>
      <w:r w:rsidR="00680ADA" w:rsidRPr="00F1180D">
        <w:rPr>
          <w:lang w:val="fr-FR" w:bidi="ar-KW"/>
        </w:rPr>
        <w:t>’</w:t>
      </w:r>
      <w:r w:rsidR="000C6D4A" w:rsidRPr="00F1180D">
        <w:rPr>
          <w:lang w:val="fr-FR" w:bidi="ar-KW"/>
        </w:rPr>
        <w:t>emploi dans le secteur privé a été évoquée précédemment dans le présent rapport (voir p</w:t>
      </w:r>
      <w:r w:rsidR="0030399D" w:rsidRPr="00F1180D">
        <w:rPr>
          <w:lang w:val="fr-FR" w:bidi="ar-KW"/>
        </w:rPr>
        <w:t>. </w:t>
      </w:r>
      <w:r w:rsidR="000C6D4A" w:rsidRPr="00F1180D">
        <w:rPr>
          <w:lang w:val="fr-FR" w:bidi="ar-KW"/>
        </w:rPr>
        <w:t>22 et suivantes).</w:t>
      </w:r>
    </w:p>
    <w:p w:rsidR="000C6D4A" w:rsidRPr="00F1180D" w:rsidRDefault="00930AE5" w:rsidP="00680ADA">
      <w:pPr>
        <w:pStyle w:val="SingleTxtG"/>
        <w:rPr>
          <w:rtl/>
          <w:lang w:val="fr-FR" w:bidi="fr-FR"/>
        </w:rPr>
      </w:pPr>
      <w:r>
        <w:rPr>
          <w:lang w:val="fr-FR" w:bidi="ar-KW"/>
        </w:rPr>
        <w:t>163.</w:t>
      </w:r>
      <w:r>
        <w:rPr>
          <w:lang w:val="fr-FR" w:bidi="ar-KW"/>
        </w:rPr>
        <w:tab/>
      </w:r>
      <w:r w:rsidR="000C6D4A" w:rsidRPr="00F1180D">
        <w:rPr>
          <w:lang w:val="fr-FR" w:bidi="ar-KW"/>
        </w:rPr>
        <w:t>Le législateur koweïtien a accordé une attention particulière aux travailleurs domestiques migrants</w:t>
      </w:r>
      <w:r w:rsidR="00680ADA" w:rsidRPr="00F1180D">
        <w:rPr>
          <w:lang w:val="fr-FR" w:bidi="ar-KW"/>
        </w:rPr>
        <w:t>,</w:t>
      </w:r>
      <w:r w:rsidR="000C6D4A" w:rsidRPr="00F1180D">
        <w:rPr>
          <w:lang w:val="fr-FR" w:bidi="ar-KW"/>
        </w:rPr>
        <w:t xml:space="preserve"> en promulguant le décret-loi </w:t>
      </w:r>
      <w:r w:rsidR="00FA4059" w:rsidRPr="00F1180D">
        <w:rPr>
          <w:lang w:val="fr-FR" w:bidi="ar-KW"/>
        </w:rPr>
        <w:t>n</w:t>
      </w:r>
      <w:r w:rsidR="00FA4059" w:rsidRPr="00F1180D">
        <w:rPr>
          <w:vertAlign w:val="superscript"/>
          <w:lang w:val="fr-FR" w:bidi="ar-KW"/>
        </w:rPr>
        <w:t>o</w:t>
      </w:r>
      <w:r w:rsidR="00FA4059" w:rsidRPr="00F1180D">
        <w:rPr>
          <w:lang w:val="fr-FR" w:bidi="ar-KW"/>
        </w:rPr>
        <w:t>°</w:t>
      </w:r>
      <w:r w:rsidR="000C6D4A" w:rsidRPr="00F1180D">
        <w:rPr>
          <w:lang w:val="fr-FR" w:bidi="ar-KW"/>
        </w:rPr>
        <w:t xml:space="preserve">40 de 1992 relatif aux procédures de </w:t>
      </w:r>
      <w:r w:rsidR="000C6D4A" w:rsidRPr="00F1180D">
        <w:rPr>
          <w:lang w:val="fr-FR" w:bidi="ar-KW"/>
        </w:rPr>
        <w:lastRenderedPageBreak/>
        <w:t>recrutement des employés de maison dans leur pays d</w:t>
      </w:r>
      <w:r w:rsidR="00680ADA" w:rsidRPr="00F1180D">
        <w:rPr>
          <w:lang w:val="fr-FR" w:bidi="ar-KW"/>
        </w:rPr>
        <w:t>’</w:t>
      </w:r>
      <w:r w:rsidR="000C6D4A" w:rsidRPr="00F1180D">
        <w:rPr>
          <w:lang w:val="fr-FR" w:bidi="ar-KW"/>
        </w:rPr>
        <w:t>origine</w:t>
      </w:r>
      <w:r w:rsidR="00680ADA" w:rsidRPr="00F1180D">
        <w:rPr>
          <w:lang w:val="fr-FR" w:bidi="ar-KW"/>
        </w:rPr>
        <w:t>,</w:t>
      </w:r>
      <w:r w:rsidR="000C6D4A" w:rsidRPr="00F1180D">
        <w:rPr>
          <w:lang w:val="fr-FR" w:bidi="ar-KW"/>
        </w:rPr>
        <w:t xml:space="preserve"> qui est resté en vigueur pendant plus de 20</w:t>
      </w:r>
      <w:r w:rsidR="00524736" w:rsidRPr="00F1180D">
        <w:rPr>
          <w:lang w:val="fr-FR" w:bidi="ar-KW"/>
        </w:rPr>
        <w:t> ans</w:t>
      </w:r>
      <w:r w:rsidR="000C6D4A" w:rsidRPr="00F1180D">
        <w:rPr>
          <w:lang w:val="fr-FR" w:bidi="ar-KW"/>
        </w:rPr>
        <w:t>. En outre</w:t>
      </w:r>
      <w:r w:rsidR="00680ADA" w:rsidRPr="00F1180D">
        <w:rPr>
          <w:lang w:val="fr-FR" w:bidi="ar-KW"/>
        </w:rPr>
        <w:t>,</w:t>
      </w:r>
      <w:r w:rsidR="000C6D4A" w:rsidRPr="00F1180D">
        <w:rPr>
          <w:lang w:val="fr-FR" w:bidi="ar-KW"/>
        </w:rPr>
        <w:t xml:space="preserve"> dans le souci de s</w:t>
      </w:r>
      <w:r w:rsidR="00680ADA" w:rsidRPr="00F1180D">
        <w:rPr>
          <w:lang w:val="fr-FR" w:bidi="ar-KW"/>
        </w:rPr>
        <w:t>’</w:t>
      </w:r>
      <w:r w:rsidR="000C6D4A" w:rsidRPr="00F1180D">
        <w:rPr>
          <w:lang w:val="fr-FR" w:bidi="ar-KW"/>
        </w:rPr>
        <w:t>adapter aux changements intervenus depuis lors</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accorder une protection accrue aux travailleurs domestiques et de réglementer les relations contractuelles entre les employés de maison</w:t>
      </w:r>
      <w:r w:rsidR="00680ADA" w:rsidRPr="00F1180D">
        <w:rPr>
          <w:lang w:val="fr-FR" w:bidi="ar-KW"/>
        </w:rPr>
        <w:t>,</w:t>
      </w:r>
      <w:r w:rsidR="000C6D4A" w:rsidRPr="00F1180D">
        <w:rPr>
          <w:lang w:val="fr-FR" w:bidi="ar-KW"/>
        </w:rPr>
        <w:t xml:space="preserve"> leurs employeurs et les agences de recrutement</w:t>
      </w:r>
      <w:r w:rsidR="00680ADA" w:rsidRPr="00F1180D">
        <w:rPr>
          <w:lang w:val="fr-FR" w:bidi="ar-KW"/>
        </w:rPr>
        <w:t>,</w:t>
      </w:r>
      <w:r w:rsidR="000C6D4A" w:rsidRPr="00F1180D">
        <w:rPr>
          <w:lang w:val="fr-FR" w:bidi="ar-KW"/>
        </w:rPr>
        <w:t xml:space="preserve"> le législateur koweïtien a promulgué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68 de 2015 relative aux employés domestiques</w:t>
      </w:r>
      <w:r w:rsidR="00680ADA" w:rsidRPr="00F1180D">
        <w:rPr>
          <w:lang w:val="fr-FR" w:bidi="ar-KW"/>
        </w:rPr>
        <w:t>,</w:t>
      </w:r>
      <w:r w:rsidR="000C6D4A" w:rsidRPr="00F1180D">
        <w:rPr>
          <w:lang w:val="fr-FR" w:bidi="ar-KW"/>
        </w:rPr>
        <w:t xml:space="preserve"> régissant les relations de travail entre cette catégorie de travailleurs et leurs employeurs. </w:t>
      </w:r>
    </w:p>
    <w:p w:rsidR="000C6D4A" w:rsidRPr="00F1180D" w:rsidRDefault="00DB7FBA" w:rsidP="00680ADA">
      <w:pPr>
        <w:pStyle w:val="SingleTxtG"/>
        <w:rPr>
          <w:rtl/>
          <w:lang w:val="fr-FR" w:bidi="fr-FR"/>
        </w:rPr>
      </w:pPr>
      <w:r>
        <w:rPr>
          <w:lang w:val="fr-FR"/>
        </w:rPr>
        <w:t>164.</w:t>
      </w:r>
      <w:r>
        <w:rPr>
          <w:lang w:val="fr-FR"/>
        </w:rPr>
        <w:tab/>
      </w:r>
      <w:r w:rsidR="000C6D4A" w:rsidRPr="00F1180D">
        <w:rPr>
          <w:lang w:val="fr-FR"/>
        </w:rPr>
        <w:t xml:space="preserve">La promulgation de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rPr>
        <w:t>68 de 2015 sur les employés domestiques</w:t>
      </w:r>
      <w:r w:rsidR="00680ADA" w:rsidRPr="00F1180D">
        <w:rPr>
          <w:lang w:val="fr-FR"/>
        </w:rPr>
        <w:t>,</w:t>
      </w:r>
      <w:r w:rsidR="000C6D4A" w:rsidRPr="00F1180D">
        <w:rPr>
          <w:lang w:val="fr-FR"/>
        </w:rPr>
        <w:t xml:space="preserve"> qui prévoit de nombreuses obligations à la charge des employeurs vis-à-vis des travailleurs domestiques</w:t>
      </w:r>
      <w:r w:rsidR="00680ADA" w:rsidRPr="00F1180D">
        <w:rPr>
          <w:lang w:val="fr-FR"/>
        </w:rPr>
        <w:t>,</w:t>
      </w:r>
      <w:r w:rsidR="000C6D4A" w:rsidRPr="00F1180D">
        <w:rPr>
          <w:lang w:val="fr-FR"/>
        </w:rPr>
        <w:t xml:space="preserve"> vise à assurer la protection de ces derniers</w:t>
      </w:r>
      <w:r w:rsidR="00680ADA" w:rsidRPr="00F1180D">
        <w:rPr>
          <w:lang w:val="fr-FR"/>
        </w:rPr>
        <w:t>,</w:t>
      </w:r>
      <w:r w:rsidR="000C6D4A" w:rsidRPr="00F1180D">
        <w:rPr>
          <w:lang w:val="fr-FR"/>
        </w:rPr>
        <w:t xml:space="preserve"> notamment par l</w:t>
      </w:r>
      <w:r w:rsidR="00680ADA" w:rsidRPr="00F1180D">
        <w:rPr>
          <w:lang w:val="fr-FR"/>
        </w:rPr>
        <w:t>’</w:t>
      </w:r>
      <w:r w:rsidR="000C6D4A" w:rsidRPr="00F1180D">
        <w:rPr>
          <w:lang w:val="fr-FR"/>
        </w:rPr>
        <w:t>introduction des mesures suivantes</w:t>
      </w:r>
      <w:r w:rsidR="00680ADA" w:rsidRPr="00F1180D">
        <w:rPr>
          <w:lang w:val="fr-FR"/>
        </w:rPr>
        <w:t>:</w:t>
      </w:r>
      <w:r w:rsidR="000C6D4A" w:rsidRPr="00F1180D">
        <w:rPr>
          <w:lang w:val="fr-FR"/>
        </w:rPr>
        <w:t xml:space="preserve"> </w:t>
      </w:r>
    </w:p>
    <w:p w:rsidR="000C6D4A" w:rsidRPr="00F1180D" w:rsidRDefault="000C6D4A" w:rsidP="0030399D">
      <w:pPr>
        <w:pStyle w:val="Bullet1G"/>
        <w:rPr>
          <w:lang w:val="fr-FR"/>
        </w:rPr>
      </w:pPr>
      <w:r w:rsidRPr="00F1180D">
        <w:rPr>
          <w:lang w:val="fr-FR"/>
        </w:rPr>
        <w:t xml:space="preserve">Les </w:t>
      </w:r>
      <w:r w:rsidR="00DE029F" w:rsidRPr="00F1180D">
        <w:rPr>
          <w:lang w:val="fr-FR"/>
        </w:rPr>
        <w:t>articles </w:t>
      </w:r>
      <w:r w:rsidRPr="00F1180D">
        <w:rPr>
          <w:lang w:val="fr-FR"/>
        </w:rPr>
        <w:t>7 et 8 de ce texte imposent à l</w:t>
      </w:r>
      <w:r w:rsidR="00680ADA" w:rsidRPr="00F1180D">
        <w:rPr>
          <w:lang w:val="fr-FR"/>
        </w:rPr>
        <w:t>’</w:t>
      </w:r>
      <w:r w:rsidRPr="00F1180D">
        <w:rPr>
          <w:lang w:val="fr-FR"/>
        </w:rPr>
        <w:t>employeur de payer les salaires convenus à leurs employés à la fin de chaque mois et précisent que l</w:t>
      </w:r>
      <w:r w:rsidR="00680ADA" w:rsidRPr="00F1180D">
        <w:rPr>
          <w:lang w:val="fr-FR"/>
        </w:rPr>
        <w:t>’</w:t>
      </w:r>
      <w:r w:rsidRPr="00F1180D">
        <w:rPr>
          <w:lang w:val="fr-FR"/>
        </w:rPr>
        <w:t>ordre de virement et/ou la quittance de paiement de ces salaires constituent des moyens de preuve de versement de ces salaires</w:t>
      </w:r>
      <w:r w:rsidR="00680ADA" w:rsidRPr="00F1180D">
        <w:rPr>
          <w:lang w:val="fr-FR"/>
        </w:rPr>
        <w:t>,</w:t>
      </w:r>
      <w:r w:rsidRPr="00F1180D">
        <w:rPr>
          <w:lang w:val="fr-FR"/>
        </w:rPr>
        <w:t xml:space="preserve"> étant précisé que la période de travail pour laquelle le paiement est prévu doit correspondre à la durée effective de travail et que le salaire ne doit en aucun cas faire l</w:t>
      </w:r>
      <w:r w:rsidR="00680ADA" w:rsidRPr="00F1180D">
        <w:rPr>
          <w:lang w:val="fr-FR"/>
        </w:rPr>
        <w:t>’</w:t>
      </w:r>
      <w:r w:rsidRPr="00F1180D">
        <w:rPr>
          <w:lang w:val="fr-FR"/>
        </w:rPr>
        <w:t>objet d</w:t>
      </w:r>
      <w:r w:rsidR="00680ADA" w:rsidRPr="00F1180D">
        <w:rPr>
          <w:lang w:val="fr-FR"/>
        </w:rPr>
        <w:t>’</w:t>
      </w:r>
      <w:r w:rsidRPr="00F1180D">
        <w:rPr>
          <w:lang w:val="fr-FR"/>
        </w:rPr>
        <w:t>une retenue</w:t>
      </w:r>
      <w:r w:rsidR="001C2769" w:rsidRPr="00F1180D">
        <w:rPr>
          <w:lang w:val="fr-FR"/>
        </w:rPr>
        <w:t xml:space="preserve"> de quelque nature que ce soit;</w:t>
      </w:r>
    </w:p>
    <w:p w:rsidR="000C6D4A" w:rsidRPr="00F1180D" w:rsidRDefault="000C6D4A" w:rsidP="0030399D">
      <w:pPr>
        <w:pStyle w:val="Bullet1G"/>
        <w:rPr>
          <w:lang w:val="fr-FR"/>
        </w:rPr>
      </w:pPr>
      <w:r w:rsidRPr="00F1180D">
        <w:rPr>
          <w:lang w:val="fr-FR"/>
        </w:rPr>
        <w:t xml:space="preserve">Les </w:t>
      </w:r>
      <w:r w:rsidR="00DE029F" w:rsidRPr="00F1180D">
        <w:rPr>
          <w:lang w:val="fr-FR"/>
        </w:rPr>
        <w:t>articles </w:t>
      </w:r>
      <w:r w:rsidRPr="00F1180D">
        <w:rPr>
          <w:lang w:val="fr-FR"/>
        </w:rPr>
        <w:t>9</w:t>
      </w:r>
      <w:r w:rsidR="00680ADA" w:rsidRPr="00F1180D">
        <w:rPr>
          <w:lang w:val="fr-FR"/>
        </w:rPr>
        <w:t>,</w:t>
      </w:r>
      <w:r w:rsidRPr="00F1180D">
        <w:rPr>
          <w:lang w:val="fr-FR"/>
        </w:rPr>
        <w:t xml:space="preserve"> 10 et 11 de la loi obligent les employeurs à nourrir leurs employés</w:t>
      </w:r>
      <w:r w:rsidR="00680ADA" w:rsidRPr="00F1180D">
        <w:rPr>
          <w:lang w:val="fr-FR"/>
        </w:rPr>
        <w:t>,</w:t>
      </w:r>
      <w:r w:rsidRPr="00F1180D">
        <w:rPr>
          <w:lang w:val="fr-FR"/>
        </w:rPr>
        <w:t xml:space="preserve"> à leur fournir des vêtements adéquats</w:t>
      </w:r>
      <w:r w:rsidR="00680ADA" w:rsidRPr="00F1180D">
        <w:rPr>
          <w:lang w:val="fr-FR"/>
        </w:rPr>
        <w:t>,</w:t>
      </w:r>
      <w:r w:rsidRPr="00F1180D">
        <w:rPr>
          <w:lang w:val="fr-FR"/>
        </w:rPr>
        <w:t xml:space="preserve"> à prendre en charge leurs soins de santé si nécessaire</w:t>
      </w:r>
      <w:r w:rsidR="00680ADA" w:rsidRPr="00F1180D">
        <w:rPr>
          <w:lang w:val="fr-FR"/>
        </w:rPr>
        <w:t>,</w:t>
      </w:r>
      <w:r w:rsidRPr="00F1180D">
        <w:rPr>
          <w:lang w:val="fr-FR"/>
        </w:rPr>
        <w:t xml:space="preserve"> ainsi qu</w:t>
      </w:r>
      <w:r w:rsidR="00680ADA" w:rsidRPr="00F1180D">
        <w:rPr>
          <w:lang w:val="fr-FR"/>
        </w:rPr>
        <w:t>’</w:t>
      </w:r>
      <w:r w:rsidRPr="00F1180D">
        <w:rPr>
          <w:lang w:val="fr-FR"/>
        </w:rPr>
        <w:t>à leur offrir un hébergement adéquat et des conditions de vie décentes</w:t>
      </w:r>
      <w:r w:rsidR="00680ADA" w:rsidRPr="00F1180D">
        <w:rPr>
          <w:lang w:val="fr-FR"/>
        </w:rPr>
        <w:t>,</w:t>
      </w:r>
      <w:r w:rsidRPr="00F1180D">
        <w:rPr>
          <w:lang w:val="fr-FR"/>
        </w:rPr>
        <w:t xml:space="preserve"> tout en leur interdisant de les contraindre à accomplir des tâches susceptibles de porter atteinte à leur santé ou à leur dignité</w:t>
      </w:r>
      <w:r w:rsidR="001C2769" w:rsidRPr="00F1180D">
        <w:rPr>
          <w:lang w:val="fr-FR"/>
        </w:rPr>
        <w:t>;</w:t>
      </w:r>
      <w:r w:rsidRPr="00F1180D">
        <w:rPr>
          <w:lang w:val="fr-FR"/>
        </w:rPr>
        <w:t xml:space="preserve"> </w:t>
      </w:r>
    </w:p>
    <w:p w:rsidR="000C6D4A" w:rsidRPr="00F1180D" w:rsidRDefault="000C6D4A" w:rsidP="0030399D">
      <w:pPr>
        <w:pStyle w:val="Bullet1G"/>
        <w:keepNext/>
        <w:rPr>
          <w:lang w:val="fr-FR"/>
        </w:rPr>
      </w:pPr>
      <w:r w:rsidRPr="00F1180D">
        <w:rPr>
          <w:lang w:val="fr-FR"/>
        </w:rPr>
        <w:t>L</w:t>
      </w:r>
      <w:r w:rsidR="00680ADA" w:rsidRPr="00F1180D">
        <w:rPr>
          <w:lang w:val="fr-FR"/>
        </w:rPr>
        <w:t>’</w:t>
      </w:r>
      <w:r w:rsidR="00163207" w:rsidRPr="00F1180D">
        <w:rPr>
          <w:lang w:val="fr-FR"/>
        </w:rPr>
        <w:t>article </w:t>
      </w:r>
      <w:r w:rsidRPr="00F1180D">
        <w:rPr>
          <w:lang w:val="fr-FR"/>
        </w:rPr>
        <w:t>22 de la même loi dispose que les contrats de travail délivrés par le Bureau du travail domestique doivent mentionner les droits des travailleurs</w:t>
      </w:r>
      <w:r w:rsidR="00680ADA" w:rsidRPr="00F1180D">
        <w:rPr>
          <w:lang w:val="fr-FR"/>
        </w:rPr>
        <w:t>,</w:t>
      </w:r>
      <w:r w:rsidRPr="00F1180D">
        <w:rPr>
          <w:lang w:val="fr-FR"/>
        </w:rPr>
        <w:t xml:space="preserve"> parmi lesquels notamment les suivants</w:t>
      </w:r>
      <w:r w:rsidR="00680ADA" w:rsidRPr="00F1180D">
        <w:rPr>
          <w:lang w:val="fr-FR"/>
        </w:rPr>
        <w:t>:</w:t>
      </w:r>
    </w:p>
    <w:p w:rsidR="000C6D4A" w:rsidRPr="00F1180D" w:rsidRDefault="0030399D" w:rsidP="0030399D">
      <w:pPr>
        <w:pStyle w:val="SingleTxtG"/>
        <w:ind w:left="1701"/>
        <w:rPr>
          <w:lang w:val="fr-FR"/>
        </w:rPr>
      </w:pPr>
      <w:r w:rsidRPr="00F1180D">
        <w:rPr>
          <w:lang w:val="fr-FR"/>
        </w:rPr>
        <w:tab/>
      </w:r>
      <w:r w:rsidR="000C6D4A" w:rsidRPr="00F1180D">
        <w:rPr>
          <w:lang w:val="fr-FR"/>
        </w:rPr>
        <w:t>1</w:t>
      </w:r>
      <w:r w:rsidRPr="00F1180D">
        <w:rPr>
          <w:lang w:val="fr-FR"/>
        </w:rPr>
        <w:t>.</w:t>
      </w:r>
      <w:r w:rsidR="000C6D4A" w:rsidRPr="00F1180D">
        <w:rPr>
          <w:lang w:val="fr-FR"/>
        </w:rPr>
        <w:tab/>
        <w:t>La mention du nombre maximal d</w:t>
      </w:r>
      <w:r w:rsidR="00680ADA" w:rsidRPr="00F1180D">
        <w:rPr>
          <w:lang w:val="fr-FR"/>
        </w:rPr>
        <w:t>’</w:t>
      </w:r>
      <w:r w:rsidR="000C6D4A" w:rsidRPr="00F1180D">
        <w:rPr>
          <w:lang w:val="fr-FR"/>
        </w:rPr>
        <w:t>heures de travail quotidiennes</w:t>
      </w:r>
      <w:r w:rsidR="00680ADA" w:rsidRPr="00F1180D">
        <w:rPr>
          <w:lang w:val="fr-FR"/>
        </w:rPr>
        <w:t>,</w:t>
      </w:r>
      <w:r w:rsidR="000C6D4A" w:rsidRPr="00F1180D">
        <w:rPr>
          <w:lang w:val="fr-FR"/>
        </w:rPr>
        <w:t xml:space="preserve"> incluant les</w:t>
      </w:r>
      <w:r w:rsidR="00170E65" w:rsidRPr="00F1180D">
        <w:rPr>
          <w:lang w:val="fr-FR"/>
        </w:rPr>
        <w:t xml:space="preserve"> </w:t>
      </w:r>
      <w:r w:rsidR="002C7BC5" w:rsidRPr="00F1180D">
        <w:rPr>
          <w:lang w:val="fr-FR"/>
        </w:rPr>
        <w:t>heures</w:t>
      </w:r>
      <w:r w:rsidR="000C6D4A" w:rsidRPr="00F1180D">
        <w:rPr>
          <w:lang w:val="fr-FR"/>
        </w:rPr>
        <w:t xml:space="preserve"> de pause obligatoires</w:t>
      </w:r>
      <w:r w:rsidR="00170E65" w:rsidRPr="00F1180D">
        <w:rPr>
          <w:lang w:val="fr-FR"/>
        </w:rPr>
        <w:t>;</w:t>
      </w:r>
    </w:p>
    <w:p w:rsidR="000C6D4A" w:rsidRPr="00F1180D" w:rsidRDefault="0030399D" w:rsidP="0030399D">
      <w:pPr>
        <w:pStyle w:val="SingleTxtG"/>
        <w:ind w:left="1701"/>
        <w:rPr>
          <w:lang w:val="fr-FR"/>
        </w:rPr>
      </w:pPr>
      <w:r w:rsidRPr="00F1180D">
        <w:rPr>
          <w:lang w:val="fr-FR"/>
        </w:rPr>
        <w:tab/>
      </w:r>
      <w:r w:rsidR="000C6D4A" w:rsidRPr="00F1180D">
        <w:rPr>
          <w:lang w:val="fr-FR"/>
        </w:rPr>
        <w:t>2</w:t>
      </w:r>
      <w:r w:rsidRPr="00F1180D">
        <w:rPr>
          <w:lang w:val="fr-FR"/>
        </w:rPr>
        <w:t>.</w:t>
      </w:r>
      <w:r w:rsidR="000C6D4A" w:rsidRPr="00F1180D">
        <w:rPr>
          <w:lang w:val="fr-FR"/>
        </w:rPr>
        <w:tab/>
        <w:t>La possibilité pour le travailleur domestique de bénéficier d</w:t>
      </w:r>
      <w:r w:rsidR="00680ADA" w:rsidRPr="00F1180D">
        <w:rPr>
          <w:lang w:val="fr-FR"/>
        </w:rPr>
        <w:t>’</w:t>
      </w:r>
      <w:r w:rsidR="000C6D4A" w:rsidRPr="00F1180D">
        <w:rPr>
          <w:lang w:val="fr-FR"/>
        </w:rPr>
        <w:t>un repos hebdomadaire et de congés annuels rémunérés</w:t>
      </w:r>
      <w:r w:rsidR="00170E65" w:rsidRPr="00F1180D">
        <w:rPr>
          <w:lang w:val="fr-FR"/>
        </w:rPr>
        <w:t>;</w:t>
      </w:r>
    </w:p>
    <w:p w:rsidR="000C6D4A" w:rsidRPr="00F1180D" w:rsidRDefault="0030399D" w:rsidP="0030399D">
      <w:pPr>
        <w:pStyle w:val="SingleTxtG"/>
        <w:ind w:left="1701"/>
        <w:rPr>
          <w:lang w:val="fr-FR"/>
        </w:rPr>
      </w:pPr>
      <w:r w:rsidRPr="00F1180D">
        <w:rPr>
          <w:lang w:val="fr-FR"/>
        </w:rPr>
        <w:tab/>
      </w:r>
      <w:r w:rsidR="000C6D4A" w:rsidRPr="00F1180D">
        <w:rPr>
          <w:lang w:val="fr-FR"/>
        </w:rPr>
        <w:t>3</w:t>
      </w:r>
      <w:r w:rsidRPr="00F1180D">
        <w:rPr>
          <w:lang w:val="fr-FR"/>
        </w:rPr>
        <w:t>.</w:t>
      </w:r>
      <w:r w:rsidR="000C6D4A" w:rsidRPr="00F1180D">
        <w:rPr>
          <w:lang w:val="fr-FR"/>
        </w:rPr>
        <w:tab/>
        <w:t>L</w:t>
      </w:r>
      <w:r w:rsidR="00680ADA" w:rsidRPr="00F1180D">
        <w:rPr>
          <w:lang w:val="fr-FR"/>
        </w:rPr>
        <w:t>’</w:t>
      </w:r>
      <w:r w:rsidR="000C6D4A" w:rsidRPr="00F1180D">
        <w:rPr>
          <w:lang w:val="fr-FR"/>
        </w:rPr>
        <w:t>obligation pour l</w:t>
      </w:r>
      <w:r w:rsidR="00680ADA" w:rsidRPr="00F1180D">
        <w:rPr>
          <w:lang w:val="fr-FR"/>
        </w:rPr>
        <w:t>’</w:t>
      </w:r>
      <w:r w:rsidR="000C6D4A" w:rsidRPr="00F1180D">
        <w:rPr>
          <w:lang w:val="fr-FR"/>
        </w:rPr>
        <w:t>employeur de prendre en charge les frais médicaux liés à des accidents de travail et de verser une indemnité à ce titre à ses employés</w:t>
      </w:r>
      <w:r w:rsidR="00170E65" w:rsidRPr="00F1180D">
        <w:rPr>
          <w:lang w:val="fr-FR"/>
        </w:rPr>
        <w:t>;</w:t>
      </w:r>
    </w:p>
    <w:p w:rsidR="000C6D4A" w:rsidRPr="00F1180D" w:rsidRDefault="0030399D" w:rsidP="0030399D">
      <w:pPr>
        <w:pStyle w:val="SingleTxtG"/>
        <w:ind w:left="1701"/>
        <w:rPr>
          <w:lang w:val="fr-FR"/>
        </w:rPr>
      </w:pPr>
      <w:r w:rsidRPr="00F1180D">
        <w:rPr>
          <w:lang w:val="fr-FR"/>
        </w:rPr>
        <w:tab/>
      </w:r>
      <w:r w:rsidR="000C6D4A" w:rsidRPr="00F1180D">
        <w:rPr>
          <w:lang w:val="fr-FR"/>
        </w:rPr>
        <w:t>4</w:t>
      </w:r>
      <w:r w:rsidRPr="00F1180D">
        <w:rPr>
          <w:lang w:val="fr-FR"/>
        </w:rPr>
        <w:t>.</w:t>
      </w:r>
      <w:r w:rsidR="000C6D4A" w:rsidRPr="00F1180D">
        <w:rPr>
          <w:lang w:val="fr-FR"/>
        </w:rPr>
        <w:tab/>
        <w:t>L</w:t>
      </w:r>
      <w:r w:rsidR="00680ADA" w:rsidRPr="00F1180D">
        <w:rPr>
          <w:lang w:val="fr-FR"/>
        </w:rPr>
        <w:t>’</w:t>
      </w:r>
      <w:r w:rsidR="000C6D4A" w:rsidRPr="00F1180D">
        <w:rPr>
          <w:lang w:val="fr-FR"/>
        </w:rPr>
        <w:t>indication selon laquelle le passeport du travailleur domestique est un document personnel qui doit rester en permanence en possession de son titulaire et qu</w:t>
      </w:r>
      <w:r w:rsidR="00680ADA" w:rsidRPr="00F1180D">
        <w:rPr>
          <w:lang w:val="fr-FR"/>
        </w:rPr>
        <w:t>’</w:t>
      </w:r>
      <w:r w:rsidR="000C6D4A" w:rsidRPr="00F1180D">
        <w:rPr>
          <w:lang w:val="fr-FR"/>
        </w:rPr>
        <w:t>il est interdit à l</w:t>
      </w:r>
      <w:r w:rsidR="00680ADA" w:rsidRPr="00F1180D">
        <w:rPr>
          <w:lang w:val="fr-FR"/>
        </w:rPr>
        <w:t>’</w:t>
      </w:r>
      <w:r w:rsidR="000C6D4A" w:rsidRPr="00F1180D">
        <w:rPr>
          <w:lang w:val="fr-FR"/>
        </w:rPr>
        <w:t>employeur de le confisquer.</w:t>
      </w:r>
    </w:p>
    <w:p w:rsidR="000C6D4A" w:rsidRPr="00F1180D" w:rsidRDefault="000C6D4A" w:rsidP="00170E65">
      <w:pPr>
        <w:pStyle w:val="Bullet1G"/>
        <w:rPr>
          <w:lang w:val="fr-FR"/>
        </w:rPr>
      </w:pPr>
      <w:r w:rsidRPr="00F1180D">
        <w:rPr>
          <w:lang w:val="fr-FR"/>
        </w:rPr>
        <w:t>L</w:t>
      </w:r>
      <w:r w:rsidR="00680ADA" w:rsidRPr="00F1180D">
        <w:rPr>
          <w:lang w:val="fr-FR"/>
        </w:rPr>
        <w:t>’</w:t>
      </w:r>
      <w:r w:rsidR="00163207" w:rsidRPr="00F1180D">
        <w:rPr>
          <w:lang w:val="fr-FR"/>
        </w:rPr>
        <w:t>article </w:t>
      </w:r>
      <w:r w:rsidRPr="00F1180D">
        <w:rPr>
          <w:lang w:val="fr-FR"/>
        </w:rPr>
        <w:t>27 de la loi précitée dispose ce qui suit</w:t>
      </w:r>
      <w:r w:rsidR="00680ADA" w:rsidRPr="00F1180D">
        <w:rPr>
          <w:lang w:val="fr-FR"/>
        </w:rPr>
        <w:t>:</w:t>
      </w:r>
      <w:r w:rsidRPr="00F1180D">
        <w:rPr>
          <w:lang w:val="fr-FR"/>
        </w:rPr>
        <w:t xml:space="preserve"> </w:t>
      </w:r>
      <w:r w:rsidR="00680ADA" w:rsidRPr="00F1180D">
        <w:rPr>
          <w:lang w:val="fr-FR"/>
        </w:rPr>
        <w:t>«</w:t>
      </w:r>
      <w:r w:rsidRPr="00F1180D">
        <w:rPr>
          <w:lang w:val="fr-FR"/>
        </w:rPr>
        <w:t>L</w:t>
      </w:r>
      <w:r w:rsidR="00680ADA" w:rsidRPr="00F1180D">
        <w:rPr>
          <w:lang w:val="fr-FR"/>
        </w:rPr>
        <w:t>’</w:t>
      </w:r>
      <w:r w:rsidRPr="00F1180D">
        <w:rPr>
          <w:lang w:val="fr-FR"/>
        </w:rPr>
        <w:t>employeur qui ne verse pas la rémunération due à des travailleurs domestiques dans les délais convenus est tenu de leur payer dix</w:t>
      </w:r>
      <w:r w:rsidR="009B1350" w:rsidRPr="00F1180D">
        <w:rPr>
          <w:lang w:val="fr-FR"/>
        </w:rPr>
        <w:t> dinars</w:t>
      </w:r>
      <w:r w:rsidRPr="00F1180D">
        <w:rPr>
          <w:lang w:val="fr-FR"/>
        </w:rPr>
        <w:t xml:space="preserve"> koweïtiens par mois de retard</w:t>
      </w:r>
      <w:r w:rsidR="00680ADA" w:rsidRPr="00F1180D">
        <w:rPr>
          <w:lang w:val="fr-FR"/>
        </w:rPr>
        <w:t>»</w:t>
      </w:r>
      <w:r w:rsidRPr="00F1180D">
        <w:rPr>
          <w:lang w:val="fr-FR"/>
        </w:rPr>
        <w:t>.</w:t>
      </w:r>
    </w:p>
    <w:p w:rsidR="000C6D4A" w:rsidRPr="00F1180D" w:rsidRDefault="00DB7FBA" w:rsidP="00680ADA">
      <w:pPr>
        <w:pStyle w:val="SingleTxtG"/>
        <w:rPr>
          <w:lang w:val="fr-FR" w:bidi="ar-KW"/>
        </w:rPr>
      </w:pPr>
      <w:r>
        <w:rPr>
          <w:lang w:val="fr-FR"/>
        </w:rPr>
        <w:t>165.</w:t>
      </w:r>
      <w:r>
        <w:rPr>
          <w:lang w:val="fr-FR"/>
        </w:rPr>
        <w:tab/>
      </w:r>
      <w:r w:rsidR="000C6D4A" w:rsidRPr="00F1180D">
        <w:rPr>
          <w:lang w:val="fr-FR"/>
        </w:rPr>
        <w:t>D</w:t>
      </w:r>
      <w:r w:rsidR="00680ADA" w:rsidRPr="00F1180D">
        <w:rPr>
          <w:lang w:val="fr-FR"/>
        </w:rPr>
        <w:t>’</w:t>
      </w:r>
      <w:r w:rsidR="000C6D4A" w:rsidRPr="00F1180D">
        <w:rPr>
          <w:lang w:val="fr-FR"/>
        </w:rPr>
        <w:t>autres textes pertinents ont également été promulgués</w:t>
      </w:r>
      <w:r w:rsidR="00680ADA" w:rsidRPr="00F1180D">
        <w:rPr>
          <w:lang w:val="fr-FR"/>
        </w:rPr>
        <w:t>,</w:t>
      </w:r>
      <w:r w:rsidR="000C6D4A" w:rsidRPr="00F1180D">
        <w:rPr>
          <w:lang w:val="fr-FR"/>
        </w:rPr>
        <w:t xml:space="preserve"> tels que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170E65" w:rsidRPr="00F1180D">
        <w:rPr>
          <w:lang w:val="fr-FR"/>
        </w:rPr>
        <w:t>69 de </w:t>
      </w:r>
      <w:r w:rsidR="000C6D4A" w:rsidRPr="00F1180D">
        <w:rPr>
          <w:lang w:val="fr-FR"/>
        </w:rPr>
        <w:t>2015 portant création d</w:t>
      </w:r>
      <w:r w:rsidR="00680ADA" w:rsidRPr="00F1180D">
        <w:rPr>
          <w:lang w:val="fr-FR"/>
        </w:rPr>
        <w:t>’</w:t>
      </w:r>
      <w:r w:rsidR="000C6D4A" w:rsidRPr="00F1180D">
        <w:rPr>
          <w:lang w:val="fr-FR"/>
        </w:rPr>
        <w:t>une société de anonyme en participation chargée du recrutement et de l</w:t>
      </w:r>
      <w:r w:rsidR="00680ADA" w:rsidRPr="00F1180D">
        <w:rPr>
          <w:lang w:val="fr-FR"/>
        </w:rPr>
        <w:t>’</w:t>
      </w:r>
      <w:r w:rsidR="000C6D4A" w:rsidRPr="00F1180D">
        <w:rPr>
          <w:lang w:val="fr-FR"/>
        </w:rPr>
        <w:t xml:space="preserve">emploi des travailleurs domestiques. </w:t>
      </w:r>
    </w:p>
    <w:p w:rsidR="000C6D4A" w:rsidRPr="00F1180D" w:rsidRDefault="00DB7FBA" w:rsidP="00680ADA">
      <w:pPr>
        <w:pStyle w:val="SingleTxtG"/>
        <w:rPr>
          <w:rtl/>
          <w:lang w:val="fr-FR" w:bidi="fr-FR"/>
        </w:rPr>
      </w:pPr>
      <w:r>
        <w:rPr>
          <w:lang w:val="fr-FR" w:bidi="ar-KW"/>
        </w:rPr>
        <w:t>166.</w:t>
      </w:r>
      <w:r>
        <w:rPr>
          <w:lang w:val="fr-FR" w:bidi="ar-KW"/>
        </w:rPr>
        <w:tab/>
      </w:r>
      <w:r w:rsidR="000C6D4A" w:rsidRPr="00F1180D">
        <w:rPr>
          <w:lang w:val="fr-FR" w:bidi="ar-KW"/>
        </w:rPr>
        <w:t>La loi</w:t>
      </w:r>
      <w:r w:rsidR="00680ADA" w:rsidRPr="00F1180D">
        <w:rPr>
          <w:lang w:val="fr-FR" w:bidi="ar-KW"/>
        </w:rPr>
        <w:t>,</w:t>
      </w:r>
      <w:r w:rsidR="000C6D4A" w:rsidRPr="00F1180D">
        <w:rPr>
          <w:lang w:val="fr-FR" w:bidi="ar-KW"/>
        </w:rPr>
        <w:t xml:space="preserve"> telle que mise en </w:t>
      </w:r>
      <w:r w:rsidR="00823836" w:rsidRPr="00F1180D">
        <w:rPr>
          <w:lang w:val="fr-FR" w:bidi="ar-KW"/>
        </w:rPr>
        <w:t>œuvre</w:t>
      </w:r>
      <w:r w:rsidR="000C6D4A" w:rsidRPr="00F1180D">
        <w:rPr>
          <w:lang w:val="fr-FR" w:bidi="ar-KW"/>
        </w:rPr>
        <w:t xml:space="preserve"> par les décisions ministérielles pertinentes</w:t>
      </w:r>
      <w:r w:rsidR="00680ADA" w:rsidRPr="00F1180D">
        <w:rPr>
          <w:lang w:val="fr-FR" w:bidi="ar-KW"/>
        </w:rPr>
        <w:t>,</w:t>
      </w:r>
      <w:r w:rsidR="000C6D4A" w:rsidRPr="00F1180D">
        <w:rPr>
          <w:lang w:val="fr-FR" w:bidi="ar-KW"/>
        </w:rPr>
        <w:t xml:space="preserve"> interdit la confiscation des passeports des salariés par l</w:t>
      </w:r>
      <w:r w:rsidR="00680ADA" w:rsidRPr="00F1180D">
        <w:rPr>
          <w:lang w:val="fr-FR" w:bidi="ar-KW"/>
        </w:rPr>
        <w:t>’</w:t>
      </w:r>
      <w:r w:rsidR="000C6D4A" w:rsidRPr="00F1180D">
        <w:rPr>
          <w:lang w:val="fr-FR" w:bidi="ar-KW"/>
        </w:rPr>
        <w:t>employeur et d</w:t>
      </w:r>
      <w:r w:rsidR="00680ADA" w:rsidRPr="00F1180D">
        <w:rPr>
          <w:lang w:val="fr-FR" w:bidi="ar-KW"/>
        </w:rPr>
        <w:t>’</w:t>
      </w:r>
      <w:r w:rsidR="000C6D4A" w:rsidRPr="00F1180D">
        <w:rPr>
          <w:lang w:val="fr-FR" w:bidi="ar-KW"/>
        </w:rPr>
        <w:t>autres dispositions édictées à ce sujet précisent que le document de voyage est strictement personnel</w:t>
      </w:r>
      <w:r w:rsidR="00680ADA" w:rsidRPr="00F1180D">
        <w:rPr>
          <w:lang w:val="fr-FR" w:bidi="ar-KW"/>
        </w:rPr>
        <w:t>,</w:t>
      </w:r>
      <w:r w:rsidR="000C6D4A" w:rsidRPr="00F1180D">
        <w:rPr>
          <w:lang w:val="fr-FR" w:bidi="ar-KW"/>
        </w:rPr>
        <w:t xml:space="preserve"> qu</w:t>
      </w:r>
      <w:r w:rsidR="00680ADA" w:rsidRPr="00F1180D">
        <w:rPr>
          <w:lang w:val="fr-FR" w:bidi="ar-KW"/>
        </w:rPr>
        <w:t>’</w:t>
      </w:r>
      <w:r w:rsidR="000C6D4A" w:rsidRPr="00F1180D">
        <w:rPr>
          <w:lang w:val="fr-FR" w:bidi="ar-KW"/>
        </w:rPr>
        <w:t>il ne peut être retiré au salarié contre son gré et que l</w:t>
      </w:r>
      <w:r w:rsidR="00680ADA" w:rsidRPr="00F1180D">
        <w:rPr>
          <w:lang w:val="fr-FR" w:bidi="ar-KW"/>
        </w:rPr>
        <w:t>’</w:t>
      </w:r>
      <w:r w:rsidR="000C6D4A" w:rsidRPr="00F1180D">
        <w:rPr>
          <w:lang w:val="fr-FR" w:bidi="ar-KW"/>
        </w:rPr>
        <w:t>employeur n</w:t>
      </w:r>
      <w:r w:rsidR="00680ADA" w:rsidRPr="00F1180D">
        <w:rPr>
          <w:lang w:val="fr-FR" w:bidi="ar-KW"/>
        </w:rPr>
        <w:t>’</w:t>
      </w:r>
      <w:r w:rsidR="000C6D4A" w:rsidRPr="00F1180D">
        <w:rPr>
          <w:lang w:val="fr-FR" w:bidi="ar-KW"/>
        </w:rPr>
        <w:t>a pas le droit de le confisquer pour quelque motif que ce soit</w:t>
      </w:r>
      <w:r w:rsidR="00680ADA" w:rsidRPr="00F1180D">
        <w:rPr>
          <w:lang w:val="fr-FR" w:bidi="ar-KW"/>
        </w:rPr>
        <w:t>,</w:t>
      </w:r>
      <w:r w:rsidR="000C6D4A" w:rsidRPr="00F1180D">
        <w:rPr>
          <w:lang w:val="fr-FR" w:bidi="ar-KW"/>
        </w:rPr>
        <w:t xml:space="preserve"> en précisant que s</w:t>
      </w:r>
      <w:r w:rsidR="00680ADA" w:rsidRPr="00F1180D">
        <w:rPr>
          <w:lang w:val="fr-FR" w:bidi="ar-KW"/>
        </w:rPr>
        <w:t>’</w:t>
      </w:r>
      <w:r w:rsidR="000C6D4A" w:rsidRPr="00F1180D">
        <w:rPr>
          <w:lang w:val="fr-FR" w:bidi="ar-KW"/>
        </w:rPr>
        <w:t>il refuse de le lui remettre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employé peut déposer une plainte auprès de la Direction des relations du travail</w:t>
      </w:r>
      <w:r w:rsidR="00680ADA" w:rsidRPr="00F1180D">
        <w:rPr>
          <w:lang w:val="fr-FR" w:bidi="ar-KW"/>
        </w:rPr>
        <w:t>,</w:t>
      </w:r>
      <w:r w:rsidR="000C6D4A" w:rsidRPr="00F1180D">
        <w:rPr>
          <w:lang w:val="fr-FR" w:bidi="ar-KW"/>
        </w:rPr>
        <w:t xml:space="preserve"> laquelle convoque l</w:t>
      </w:r>
      <w:r w:rsidR="00680ADA" w:rsidRPr="00F1180D">
        <w:rPr>
          <w:lang w:val="fr-FR" w:bidi="ar-KW"/>
        </w:rPr>
        <w:t>’</w:t>
      </w:r>
      <w:r w:rsidR="000C6D4A" w:rsidRPr="00F1180D">
        <w:rPr>
          <w:lang w:val="fr-FR" w:bidi="ar-KW"/>
        </w:rPr>
        <w:t>employeur et peut le traduire en justice s</w:t>
      </w:r>
      <w:r w:rsidR="00680ADA" w:rsidRPr="00F1180D">
        <w:rPr>
          <w:lang w:val="fr-FR" w:bidi="ar-KW"/>
        </w:rPr>
        <w:t>’</w:t>
      </w:r>
      <w:r w:rsidR="000C6D4A" w:rsidRPr="00F1180D">
        <w:rPr>
          <w:lang w:val="fr-FR" w:bidi="ar-KW"/>
        </w:rPr>
        <w:t xml:space="preserve">il persiste à ne pas remettre le passeport à son </w:t>
      </w:r>
      <w:r w:rsidR="000C6D4A" w:rsidRPr="00F1180D">
        <w:rPr>
          <w:lang w:val="fr-FR" w:bidi="ar-KW"/>
        </w:rPr>
        <w:lastRenderedPageBreak/>
        <w:t>titulaire. À cet égard</w:t>
      </w:r>
      <w:r w:rsidR="00680ADA" w:rsidRPr="00F1180D">
        <w:rPr>
          <w:lang w:val="fr-FR" w:bidi="ar-KW"/>
        </w:rPr>
        <w:t>,</w:t>
      </w:r>
      <w:r w:rsidR="000C6D4A" w:rsidRPr="00F1180D">
        <w:rPr>
          <w:lang w:val="fr-FR" w:bidi="ar-KW"/>
        </w:rPr>
        <w:t xml:space="preserve"> la Direction des relations de travail a reçu en 2015 un nombre de 2 487 plaintes relatives à la confiscation de passeports. </w:t>
      </w:r>
    </w:p>
    <w:p w:rsidR="000C6D4A" w:rsidRPr="00F1180D" w:rsidRDefault="00CF3538" w:rsidP="00CF3538">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17</w:t>
      </w:r>
    </w:p>
    <w:p w:rsidR="000C6D4A" w:rsidRPr="00F1180D" w:rsidRDefault="00DB7FBA" w:rsidP="00680ADA">
      <w:pPr>
        <w:pStyle w:val="SingleTxtG"/>
        <w:rPr>
          <w:lang w:val="fr-FR" w:bidi="ar-KW"/>
        </w:rPr>
      </w:pPr>
      <w:r>
        <w:rPr>
          <w:lang w:val="fr-FR" w:bidi="ar-KW"/>
        </w:rPr>
        <w:t>167.</w:t>
      </w:r>
      <w:r>
        <w:rPr>
          <w:lang w:val="fr-FR" w:bidi="ar-KW"/>
        </w:rPr>
        <w:tab/>
      </w:r>
      <w:r w:rsidR="000C6D4A" w:rsidRPr="00F1180D">
        <w:rPr>
          <w:lang w:val="fr-FR" w:bidi="ar-KW"/>
        </w:rPr>
        <w:t>Il convient tout d</w:t>
      </w:r>
      <w:r w:rsidR="00680ADA" w:rsidRPr="00F1180D">
        <w:rPr>
          <w:lang w:val="fr-FR" w:bidi="ar-KW"/>
        </w:rPr>
        <w:t>’</w:t>
      </w:r>
      <w:r w:rsidR="000C6D4A" w:rsidRPr="00F1180D">
        <w:rPr>
          <w:lang w:val="fr-FR" w:bidi="ar-KW"/>
        </w:rPr>
        <w:t>abord de préciser qu</w:t>
      </w:r>
      <w:r w:rsidR="00680ADA" w:rsidRPr="00F1180D">
        <w:rPr>
          <w:lang w:val="fr-FR" w:bidi="ar-KW"/>
        </w:rPr>
        <w:t>’</w:t>
      </w:r>
      <w:r w:rsidR="000C6D4A" w:rsidRPr="00F1180D">
        <w:rPr>
          <w:lang w:val="fr-FR" w:bidi="ar-KW"/>
        </w:rPr>
        <w:t>avant l</w:t>
      </w:r>
      <w:r w:rsidR="00680ADA" w:rsidRPr="00F1180D">
        <w:rPr>
          <w:lang w:val="fr-FR" w:bidi="ar-KW"/>
        </w:rPr>
        <w:t>’</w:t>
      </w:r>
      <w:r w:rsidR="000C6D4A" w:rsidRPr="00F1180D">
        <w:rPr>
          <w:lang w:val="fr-FR" w:bidi="ar-KW"/>
        </w:rPr>
        <w:t>invasion irakienne et la création de l</w:t>
      </w:r>
      <w:r w:rsidR="00680ADA" w:rsidRPr="00F1180D">
        <w:rPr>
          <w:lang w:val="fr-FR" w:bidi="ar-KW"/>
        </w:rPr>
        <w:t>’</w:t>
      </w:r>
      <w:r w:rsidR="000C6D4A" w:rsidRPr="00F1180D">
        <w:rPr>
          <w:lang w:val="fr-FR" w:bidi="ar-KW"/>
        </w:rPr>
        <w:t>Office central</w:t>
      </w:r>
      <w:r w:rsidR="00680ADA" w:rsidRPr="00F1180D">
        <w:rPr>
          <w:lang w:val="fr-FR" w:bidi="ar-KW"/>
        </w:rPr>
        <w:t>,</w:t>
      </w:r>
      <w:r w:rsidR="000C6D4A" w:rsidRPr="00F1180D">
        <w:rPr>
          <w:lang w:val="fr-FR" w:bidi="ar-KW"/>
        </w:rPr>
        <w:t xml:space="preserve"> le nombre de résidents en situation irrégulière était de 220 mille personnes. En revanche</w:t>
      </w:r>
      <w:r w:rsidR="00680ADA" w:rsidRPr="00F1180D">
        <w:rPr>
          <w:lang w:val="fr-FR" w:bidi="ar-KW"/>
        </w:rPr>
        <w:t>,</w:t>
      </w:r>
      <w:r w:rsidR="000C6D4A" w:rsidRPr="00F1180D">
        <w:rPr>
          <w:lang w:val="fr-FR" w:bidi="ar-KW"/>
        </w:rPr>
        <w:t xml:space="preserve"> on ne comptait plus que 96 000 résidents en situation irrégulière possédant une carte de l</w:t>
      </w:r>
      <w:r w:rsidR="00680ADA" w:rsidRPr="00F1180D">
        <w:rPr>
          <w:lang w:val="fr-FR" w:bidi="ar-KW"/>
        </w:rPr>
        <w:t>’</w:t>
      </w:r>
      <w:r w:rsidR="000C6D4A" w:rsidRPr="00F1180D">
        <w:rPr>
          <w:lang w:val="fr-FR" w:bidi="ar-KW"/>
        </w:rPr>
        <w:t>Office central en décembre 2015</w:t>
      </w:r>
      <w:r w:rsidR="00680ADA" w:rsidRPr="00F1180D">
        <w:rPr>
          <w:lang w:val="fr-FR" w:bidi="ar-KW"/>
        </w:rPr>
        <w:t>,</w:t>
      </w:r>
      <w:r w:rsidR="000C6D4A" w:rsidRPr="00F1180D">
        <w:rPr>
          <w:lang w:val="fr-FR" w:bidi="ar-KW"/>
        </w:rPr>
        <w:t xml:space="preserve"> étant précisé que ces chiffres sont appelés à varier en fonction du nombre de décès</w:t>
      </w:r>
      <w:r w:rsidR="00680ADA" w:rsidRPr="00F1180D">
        <w:rPr>
          <w:lang w:val="fr-FR" w:bidi="ar-KW"/>
        </w:rPr>
        <w:t>,</w:t>
      </w:r>
      <w:r w:rsidR="000C6D4A" w:rsidRPr="00F1180D">
        <w:rPr>
          <w:lang w:val="fr-FR" w:bidi="ar-KW"/>
        </w:rPr>
        <w:t xml:space="preserve"> de la régularisation des situations et des migrations à l</w:t>
      </w:r>
      <w:r w:rsidR="00680ADA" w:rsidRPr="00F1180D">
        <w:rPr>
          <w:lang w:val="fr-FR" w:bidi="ar-KW"/>
        </w:rPr>
        <w:t>’</w:t>
      </w:r>
      <w:r w:rsidR="000C6D4A" w:rsidRPr="00F1180D">
        <w:rPr>
          <w:lang w:val="fr-FR" w:bidi="ar-KW"/>
        </w:rPr>
        <w:t xml:space="preserve">extérieur du pays. </w:t>
      </w:r>
    </w:p>
    <w:p w:rsidR="000C6D4A" w:rsidRPr="00F1180D" w:rsidRDefault="00DB7FBA" w:rsidP="00680ADA">
      <w:pPr>
        <w:pStyle w:val="SingleTxtG"/>
        <w:rPr>
          <w:lang w:val="fr-FR" w:bidi="ar-KW"/>
        </w:rPr>
      </w:pPr>
      <w:r>
        <w:rPr>
          <w:lang w:val="fr-FR" w:bidi="ar-KW"/>
        </w:rPr>
        <w:t>168.</w:t>
      </w:r>
      <w:r>
        <w:rPr>
          <w:lang w:val="fr-FR" w:bidi="ar-KW"/>
        </w:rPr>
        <w:tab/>
      </w:r>
      <w:r w:rsidR="000C6D4A" w:rsidRPr="00F1180D">
        <w:rPr>
          <w:lang w:val="fr-FR" w:bidi="ar-KW"/>
        </w:rPr>
        <w:t>En 2010</w:t>
      </w:r>
      <w:r w:rsidR="00680ADA" w:rsidRPr="00F1180D">
        <w:rPr>
          <w:lang w:val="fr-FR" w:bidi="ar-KW"/>
        </w:rPr>
        <w:t>,</w:t>
      </w:r>
      <w:r w:rsidR="000C6D4A" w:rsidRPr="00F1180D">
        <w:rPr>
          <w:lang w:val="fr-FR" w:bidi="ar-KW"/>
        </w:rPr>
        <w:t xml:space="preserve"> à l</w:t>
      </w:r>
      <w:r w:rsidR="00680ADA" w:rsidRPr="00F1180D">
        <w:rPr>
          <w:lang w:val="fr-FR" w:bidi="ar-KW"/>
        </w:rPr>
        <w:t>’</w:t>
      </w:r>
      <w:r w:rsidR="000C6D4A" w:rsidRPr="00F1180D">
        <w:rPr>
          <w:lang w:val="fr-FR" w:bidi="ar-KW"/>
        </w:rPr>
        <w:t>issue des réunions préliminaires du Conseil supérieur de la planification et du développement visant à élaborer un plan adapté à la situation des résidents en situation irrégulière</w:t>
      </w:r>
      <w:r w:rsidR="00680ADA" w:rsidRPr="00F1180D">
        <w:rPr>
          <w:lang w:val="fr-FR" w:bidi="ar-KW"/>
        </w:rPr>
        <w:t>,</w:t>
      </w:r>
      <w:r w:rsidR="000C6D4A" w:rsidRPr="00F1180D">
        <w:rPr>
          <w:lang w:val="fr-FR" w:bidi="ar-KW"/>
        </w:rPr>
        <w:t xml:space="preserve"> des recommandations et propositions concrètes ont été formulées visant notamment l</w:t>
      </w:r>
      <w:r w:rsidR="00680ADA" w:rsidRPr="00F1180D">
        <w:rPr>
          <w:lang w:val="fr-FR" w:bidi="ar-KW"/>
        </w:rPr>
        <w:t>’</w:t>
      </w:r>
      <w:r w:rsidR="000C6D4A" w:rsidRPr="00F1180D">
        <w:rPr>
          <w:lang w:val="fr-FR" w:bidi="ar-KW"/>
        </w:rPr>
        <w:t>identification d</w:t>
      </w:r>
      <w:r w:rsidR="00680ADA" w:rsidRPr="00F1180D">
        <w:rPr>
          <w:lang w:val="fr-FR" w:bidi="ar-KW"/>
        </w:rPr>
        <w:t>’</w:t>
      </w:r>
      <w:r w:rsidR="000C6D4A" w:rsidRPr="00F1180D">
        <w:rPr>
          <w:lang w:val="fr-FR" w:bidi="ar-KW"/>
        </w:rPr>
        <w:t>une feuille de route claire et cohérente</w:t>
      </w:r>
      <w:r w:rsidR="00680ADA" w:rsidRPr="00F1180D">
        <w:rPr>
          <w:lang w:val="fr-FR" w:bidi="ar-KW"/>
        </w:rPr>
        <w:t>,</w:t>
      </w:r>
      <w:r w:rsidR="000C6D4A" w:rsidRPr="00F1180D">
        <w:rPr>
          <w:lang w:val="fr-FR" w:bidi="ar-KW"/>
        </w:rPr>
        <w:t xml:space="preserve"> qui a finalement été adoptée par le Conseil des ministres en application de la décision </w:t>
      </w:r>
      <w:r w:rsidR="00FA4059" w:rsidRPr="00F1180D">
        <w:rPr>
          <w:lang w:val="fr-FR" w:bidi="ar-KW"/>
        </w:rPr>
        <w:t>n</w:t>
      </w:r>
      <w:r w:rsidR="00FA4059" w:rsidRPr="00F1180D">
        <w:rPr>
          <w:vertAlign w:val="superscript"/>
          <w:lang w:val="fr-FR" w:bidi="ar-KW"/>
        </w:rPr>
        <w:t>o</w:t>
      </w:r>
      <w:r w:rsidR="00FA4059" w:rsidRPr="00F1180D">
        <w:rPr>
          <w:lang w:val="fr-FR" w:bidi="ar-KW"/>
        </w:rPr>
        <w:t>°</w:t>
      </w:r>
      <w:r w:rsidR="000C6D4A" w:rsidRPr="00F1180D">
        <w:rPr>
          <w:lang w:val="fr-FR" w:bidi="ar-KW"/>
        </w:rPr>
        <w:t xml:space="preserve">1612/2010 et concrétisée le 9 novembre 2010 par la promulgation du décret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467/2010 portant création de l</w:t>
      </w:r>
      <w:r w:rsidR="00680ADA" w:rsidRPr="00F1180D">
        <w:rPr>
          <w:lang w:val="fr-FR" w:bidi="ar-KW"/>
        </w:rPr>
        <w:t>’</w:t>
      </w:r>
      <w:r w:rsidR="000C6D4A" w:rsidRPr="00F1180D">
        <w:rPr>
          <w:lang w:val="fr-FR" w:bidi="ar-KW"/>
        </w:rPr>
        <w:t>Office central pour la régularisation de la situation des résidents en situation irrégulière</w:t>
      </w:r>
      <w:r w:rsidR="00680ADA" w:rsidRPr="00F1180D">
        <w:rPr>
          <w:lang w:val="fr-FR" w:bidi="ar-KW"/>
        </w:rPr>
        <w:t>,</w:t>
      </w:r>
      <w:r w:rsidR="000C6D4A" w:rsidRPr="00F1180D">
        <w:rPr>
          <w:lang w:val="fr-FR" w:bidi="ar-KW"/>
        </w:rPr>
        <w:t xml:space="preserve"> tout en faisant de cette instance le seul et unique organisme officiel chargé des affaires des résidents en situation irrégulière et de la mise en </w:t>
      </w:r>
      <w:r w:rsidR="00823836" w:rsidRPr="00F1180D">
        <w:rPr>
          <w:lang w:val="fr-FR" w:bidi="ar-KW"/>
        </w:rPr>
        <w:t>œuvre</w:t>
      </w:r>
      <w:r w:rsidR="000C6D4A" w:rsidRPr="00F1180D">
        <w:rPr>
          <w:lang w:val="fr-FR" w:bidi="ar-KW"/>
        </w:rPr>
        <w:t xml:space="preserve"> de la feuille de route. Les résidents en situation irrégulière ont été classés en trois catégories</w:t>
      </w:r>
      <w:r w:rsidR="00680ADA" w:rsidRPr="00F1180D">
        <w:rPr>
          <w:lang w:val="fr-FR" w:bidi="ar-KW"/>
        </w:rPr>
        <w:t>,</w:t>
      </w:r>
      <w:r w:rsidR="000C6D4A" w:rsidRPr="00F1180D">
        <w:rPr>
          <w:lang w:val="fr-FR" w:bidi="ar-KW"/>
        </w:rPr>
        <w:t xml:space="preserve"> réparties à leur tour en sous-catégories</w:t>
      </w:r>
      <w:r w:rsidR="00680ADA" w:rsidRPr="00F1180D">
        <w:rPr>
          <w:lang w:val="fr-FR" w:bidi="ar-KW"/>
        </w:rPr>
        <w:t>,</w:t>
      </w:r>
      <w:r w:rsidR="000C6D4A" w:rsidRPr="00F1180D">
        <w:rPr>
          <w:lang w:val="fr-FR" w:bidi="ar-KW"/>
        </w:rPr>
        <w:t xml:space="preserve"> à savoir</w:t>
      </w:r>
      <w:r w:rsidR="00680ADA" w:rsidRPr="00F1180D">
        <w:rPr>
          <w:lang w:val="fr-FR" w:bidi="ar-KW"/>
        </w:rPr>
        <w:t>:</w:t>
      </w:r>
    </w:p>
    <w:p w:rsidR="00CF3538" w:rsidRPr="00F1180D" w:rsidRDefault="00CF3538" w:rsidP="00680ADA">
      <w:pPr>
        <w:pStyle w:val="SingleTxtG"/>
        <w:rPr>
          <w:rtl/>
          <w:lang w:val="fr-FR" w:bidi="fr-FR"/>
        </w:rPr>
      </w:pPr>
      <w:r w:rsidRPr="00F1180D">
        <w:rPr>
          <w:lang w:val="fr-FR" w:bidi="ar-KW"/>
        </w:rPr>
        <w:tab/>
        <w:t>1.</w:t>
      </w:r>
      <w:r w:rsidRPr="00F1180D">
        <w:rPr>
          <w:lang w:val="fr-FR" w:bidi="ar-KW"/>
        </w:rPr>
        <w:tab/>
        <w:t>Les résidents en situation irrégulière dont la situation nécessite une régularisation.</w:t>
      </w:r>
    </w:p>
    <w:p w:rsidR="000C6D4A" w:rsidRPr="00F1180D" w:rsidRDefault="00CF3538" w:rsidP="00680ADA">
      <w:pPr>
        <w:pStyle w:val="SingleTxtG"/>
        <w:rPr>
          <w:lang w:val="fr-FR" w:bidi="ar-KW"/>
        </w:rPr>
      </w:pPr>
      <w:r w:rsidRPr="00F1180D">
        <w:rPr>
          <w:lang w:val="fr-FR" w:bidi="ar-KW"/>
        </w:rPr>
        <w:tab/>
      </w:r>
      <w:r w:rsidR="000C6D4A" w:rsidRPr="00F1180D">
        <w:rPr>
          <w:lang w:val="fr-FR" w:bidi="ar-KW"/>
        </w:rPr>
        <w:t>2</w:t>
      </w:r>
      <w:r w:rsidRPr="00F1180D">
        <w:rPr>
          <w:lang w:val="fr-FR" w:bidi="ar-KW"/>
        </w:rPr>
        <w:t>.</w:t>
      </w:r>
      <w:r w:rsidRPr="00F1180D">
        <w:rPr>
          <w:lang w:val="fr-FR" w:bidi="ar-KW"/>
        </w:rPr>
        <w:tab/>
      </w:r>
      <w:r w:rsidR="000C6D4A" w:rsidRPr="00F1180D">
        <w:rPr>
          <w:lang w:val="fr-FR" w:bidi="ar-KW"/>
        </w:rPr>
        <w:t>Les résidents en situation irrégulière dont il est possible d</w:t>
      </w:r>
      <w:r w:rsidR="00680ADA" w:rsidRPr="00F1180D">
        <w:rPr>
          <w:lang w:val="fr-FR" w:bidi="ar-KW"/>
        </w:rPr>
        <w:t>’</w:t>
      </w:r>
      <w:r w:rsidR="000C6D4A" w:rsidRPr="00F1180D">
        <w:rPr>
          <w:lang w:val="fr-FR" w:bidi="ar-KW"/>
        </w:rPr>
        <w:t xml:space="preserve">envisager la naturalisation conformément au Code koweïtien de la nationalité (loi </w:t>
      </w:r>
      <w:r w:rsidR="00FA4059" w:rsidRPr="00F1180D">
        <w:rPr>
          <w:lang w:val="fr-FR" w:bidi="ar-KW"/>
        </w:rPr>
        <w:t>n</w:t>
      </w:r>
      <w:r w:rsidR="00FA4059" w:rsidRPr="00F1180D">
        <w:rPr>
          <w:vertAlign w:val="superscript"/>
          <w:lang w:val="fr-FR" w:bidi="ar-KW"/>
        </w:rPr>
        <w:t>o</w:t>
      </w:r>
      <w:r w:rsidR="00FA4059" w:rsidRPr="00F1180D">
        <w:rPr>
          <w:lang w:val="fr-FR" w:bidi="ar-KW"/>
        </w:rPr>
        <w:t>°</w:t>
      </w:r>
      <w:r w:rsidR="000C6D4A" w:rsidRPr="00F1180D">
        <w:rPr>
          <w:lang w:val="fr-FR" w:bidi="ar-KW"/>
        </w:rPr>
        <w:t>15/59).</w:t>
      </w:r>
    </w:p>
    <w:p w:rsidR="000C6D4A" w:rsidRPr="00F1180D" w:rsidRDefault="00CF3538" w:rsidP="00680ADA">
      <w:pPr>
        <w:pStyle w:val="SingleTxtG"/>
        <w:rPr>
          <w:lang w:val="fr-FR" w:bidi="ar-KW"/>
        </w:rPr>
      </w:pPr>
      <w:r w:rsidRPr="00F1180D">
        <w:rPr>
          <w:lang w:val="fr-FR" w:bidi="ar-KW"/>
        </w:rPr>
        <w:tab/>
        <w:t>3.</w:t>
      </w:r>
      <w:r w:rsidR="000C6D4A" w:rsidRPr="00F1180D">
        <w:rPr>
          <w:lang w:val="fr-FR" w:bidi="ar-KW"/>
        </w:rPr>
        <w:tab/>
        <w:t>Les résidents en situation irrégulière auxquels un permis de séjour officiel est proposé.</w:t>
      </w:r>
    </w:p>
    <w:p w:rsidR="000C6D4A" w:rsidRPr="00F1180D" w:rsidRDefault="00DB7FBA" w:rsidP="00680ADA">
      <w:pPr>
        <w:pStyle w:val="SingleTxtG"/>
        <w:rPr>
          <w:rtl/>
          <w:lang w:val="fr-FR" w:bidi="fr-FR"/>
        </w:rPr>
      </w:pPr>
      <w:r>
        <w:rPr>
          <w:lang w:val="fr-FR" w:bidi="ar-KW"/>
        </w:rPr>
        <w:t>169.</w:t>
      </w:r>
      <w:r>
        <w:rPr>
          <w:lang w:val="fr-FR" w:bidi="ar-KW"/>
        </w:rPr>
        <w:tab/>
      </w:r>
      <w:r w:rsidR="000C6D4A" w:rsidRPr="00F1180D">
        <w:rPr>
          <w:lang w:val="fr-FR" w:bidi="ar-KW"/>
        </w:rPr>
        <w:t>Les résidents en situation irrégulière ayant été classés selon leur statut juridique</w:t>
      </w:r>
      <w:r w:rsidR="00680ADA" w:rsidRPr="00F1180D">
        <w:rPr>
          <w:lang w:val="fr-FR" w:bidi="ar-KW"/>
        </w:rPr>
        <w:t>,</w:t>
      </w:r>
      <w:r w:rsidR="000C6D4A" w:rsidRPr="00F1180D">
        <w:rPr>
          <w:lang w:val="fr-FR" w:bidi="ar-KW"/>
        </w:rPr>
        <w:t xml:space="preserve"> ceux qui satisfont aux conditions légales requises peuvent bénéficier de la nationalité koweïtienne et les autres d</w:t>
      </w:r>
      <w:r w:rsidR="00680ADA" w:rsidRPr="00F1180D">
        <w:rPr>
          <w:lang w:val="fr-FR" w:bidi="ar-KW"/>
        </w:rPr>
        <w:t>’</w:t>
      </w:r>
      <w:r w:rsidR="000C6D4A" w:rsidRPr="00F1180D">
        <w:rPr>
          <w:lang w:val="fr-FR" w:bidi="ar-KW"/>
        </w:rPr>
        <w:t xml:space="preserve">une régularisation de leur situation. </w:t>
      </w:r>
    </w:p>
    <w:p w:rsidR="000C6D4A" w:rsidRPr="00F1180D" w:rsidRDefault="00DB7FBA" w:rsidP="00680ADA">
      <w:pPr>
        <w:pStyle w:val="SingleTxtG"/>
        <w:rPr>
          <w:b/>
          <w:bCs/>
          <w:rtl/>
          <w:lang w:val="fr-FR" w:bidi="fr-FR"/>
        </w:rPr>
      </w:pPr>
      <w:r>
        <w:rPr>
          <w:lang w:val="fr-FR" w:bidi="ar-KW"/>
        </w:rPr>
        <w:t>170.</w:t>
      </w:r>
      <w:r>
        <w:rPr>
          <w:lang w:val="fr-FR" w:bidi="ar-KW"/>
        </w:rPr>
        <w:tab/>
      </w:r>
      <w:r w:rsidR="000C6D4A" w:rsidRPr="00F1180D">
        <w:rPr>
          <w:lang w:val="fr-FR" w:bidi="ar-KW"/>
        </w:rPr>
        <w:t>Par ailleurs les personnes dont l</w:t>
      </w:r>
      <w:r w:rsidR="00680ADA" w:rsidRPr="00F1180D">
        <w:rPr>
          <w:lang w:val="fr-FR" w:bidi="ar-KW"/>
        </w:rPr>
        <w:t>’</w:t>
      </w:r>
      <w:r w:rsidR="000C6D4A" w:rsidRPr="00F1180D">
        <w:rPr>
          <w:lang w:val="fr-FR" w:bidi="ar-KW"/>
        </w:rPr>
        <w:t xml:space="preserve">Office central a identifié la nationalité sont appelées à être traitées conformément aux lois koweïtiennes et renvoyées devant les autorités compétentes. </w:t>
      </w:r>
    </w:p>
    <w:p w:rsidR="000C6D4A" w:rsidRPr="00F1180D" w:rsidRDefault="00DB7FBA" w:rsidP="00680ADA">
      <w:pPr>
        <w:pStyle w:val="SingleTxtG"/>
        <w:rPr>
          <w:rtl/>
          <w:lang w:val="fr-FR" w:bidi="fr-FR"/>
        </w:rPr>
      </w:pPr>
      <w:r>
        <w:rPr>
          <w:lang w:val="fr-FR" w:bidi="ar-KW"/>
        </w:rPr>
        <w:t>171.</w:t>
      </w:r>
      <w:r>
        <w:rPr>
          <w:lang w:val="fr-FR" w:bidi="ar-KW"/>
        </w:rPr>
        <w:tab/>
      </w:r>
      <w:r w:rsidR="000C6D4A" w:rsidRPr="00F1180D">
        <w:rPr>
          <w:lang w:val="fr-FR" w:bidi="ar-KW"/>
        </w:rPr>
        <w:t>Il convient de noter que le Koweït s</w:t>
      </w:r>
      <w:r w:rsidR="00680ADA" w:rsidRPr="00F1180D">
        <w:rPr>
          <w:lang w:val="fr-FR" w:bidi="ar-KW"/>
        </w:rPr>
        <w:t>’</w:t>
      </w:r>
      <w:r w:rsidR="000C6D4A" w:rsidRPr="00F1180D">
        <w:rPr>
          <w:lang w:val="fr-FR" w:bidi="ar-KW"/>
        </w:rPr>
        <w:t>est employé à protéger toutes les personnes résidant sur son territoire</w:t>
      </w:r>
      <w:r w:rsidR="00680ADA" w:rsidRPr="00F1180D">
        <w:rPr>
          <w:lang w:val="fr-FR" w:bidi="ar-KW"/>
        </w:rPr>
        <w:t>,</w:t>
      </w:r>
      <w:r w:rsidR="000C6D4A" w:rsidRPr="00F1180D">
        <w:rPr>
          <w:lang w:val="fr-FR" w:bidi="ar-KW"/>
        </w:rPr>
        <w:t xml:space="preserve"> notamment ceux en situation irrégulière</w:t>
      </w:r>
      <w:r w:rsidR="00680ADA" w:rsidRPr="00F1180D">
        <w:rPr>
          <w:lang w:val="fr-FR" w:bidi="ar-KW"/>
        </w:rPr>
        <w:t>,</w:t>
      </w:r>
      <w:r w:rsidR="000C6D4A" w:rsidRPr="00F1180D">
        <w:rPr>
          <w:lang w:val="fr-FR" w:bidi="ar-KW"/>
        </w:rPr>
        <w:t xml:space="preserve"> contre toute forme de discrimination raciale. Dans cette optique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Office central chargé de la régularisation de la situation des résidents en situation irrégulière s</w:t>
      </w:r>
      <w:r w:rsidR="00680ADA" w:rsidRPr="00F1180D">
        <w:rPr>
          <w:lang w:val="fr-FR" w:bidi="ar-KW"/>
        </w:rPr>
        <w:t>’</w:t>
      </w:r>
      <w:r w:rsidR="000C6D4A" w:rsidRPr="00F1180D">
        <w:rPr>
          <w:lang w:val="fr-FR" w:bidi="ar-KW"/>
        </w:rPr>
        <w:t>est employé à pérenniser les services et facilités qui leur sont fournis</w:t>
      </w:r>
      <w:r w:rsidR="00680ADA" w:rsidRPr="00F1180D">
        <w:rPr>
          <w:lang w:val="fr-FR" w:bidi="ar-KW"/>
        </w:rPr>
        <w:t>,</w:t>
      </w:r>
      <w:r w:rsidR="000C6D4A" w:rsidRPr="00F1180D">
        <w:rPr>
          <w:lang w:val="fr-FR" w:bidi="ar-KW"/>
        </w:rPr>
        <w:t xml:space="preserve"> en soumettant au Conseil des ministres une initiative visant à assurer la continuité des services humanitaires qui leur sont offerts</w:t>
      </w:r>
      <w:r w:rsidR="00680ADA" w:rsidRPr="00F1180D">
        <w:rPr>
          <w:lang w:val="fr-FR" w:bidi="ar-KW"/>
        </w:rPr>
        <w:t>,</w:t>
      </w:r>
      <w:r w:rsidR="000C6D4A" w:rsidRPr="00F1180D">
        <w:rPr>
          <w:lang w:val="fr-FR" w:bidi="ar-KW"/>
        </w:rPr>
        <w:t xml:space="preserve"> ce qui a abouti à l</w:t>
      </w:r>
      <w:r w:rsidR="00680ADA" w:rsidRPr="00F1180D">
        <w:rPr>
          <w:lang w:val="fr-FR" w:bidi="ar-KW"/>
        </w:rPr>
        <w:t>’</w:t>
      </w:r>
      <w:r w:rsidR="000C6D4A" w:rsidRPr="00F1180D">
        <w:rPr>
          <w:lang w:val="fr-FR" w:bidi="ar-KW"/>
        </w:rPr>
        <w:t xml:space="preserve">adoption de la décision du Conseil des ministres </w:t>
      </w:r>
      <w:r w:rsidR="00FA4059" w:rsidRPr="00F1180D">
        <w:rPr>
          <w:lang w:val="fr-FR" w:bidi="ar-KW"/>
        </w:rPr>
        <w:t>n</w:t>
      </w:r>
      <w:r w:rsidR="00FA4059" w:rsidRPr="00F1180D">
        <w:rPr>
          <w:vertAlign w:val="superscript"/>
          <w:lang w:val="fr-FR" w:bidi="ar-KW"/>
        </w:rPr>
        <w:t>o</w:t>
      </w:r>
      <w:r w:rsidR="00FA4059" w:rsidRPr="00F1180D">
        <w:rPr>
          <w:lang w:val="fr-FR" w:bidi="ar-KW"/>
        </w:rPr>
        <w:t>°</w:t>
      </w:r>
      <w:r w:rsidR="000C6D4A" w:rsidRPr="00F1180D">
        <w:rPr>
          <w:lang w:val="fr-FR" w:bidi="ar-KW"/>
        </w:rPr>
        <w:t>409/2011 relative aux services sociaux et humanitaires destinés aux résidents en situation irrégulière enregistrés auprès de l</w:t>
      </w:r>
      <w:r w:rsidR="00680ADA" w:rsidRPr="00F1180D">
        <w:rPr>
          <w:lang w:val="fr-FR" w:bidi="ar-KW"/>
        </w:rPr>
        <w:t>’</w:t>
      </w:r>
      <w:r w:rsidR="000C6D4A" w:rsidRPr="00F1180D">
        <w:rPr>
          <w:lang w:val="fr-FR" w:bidi="ar-KW"/>
        </w:rPr>
        <w:t>Office central</w:t>
      </w:r>
      <w:r w:rsidR="00680ADA" w:rsidRPr="00F1180D">
        <w:rPr>
          <w:lang w:val="fr-FR" w:bidi="ar-KW"/>
        </w:rPr>
        <w:t>,</w:t>
      </w:r>
      <w:r w:rsidR="000C6D4A" w:rsidRPr="00F1180D">
        <w:rPr>
          <w:lang w:val="fr-FR" w:bidi="ar-KW"/>
        </w:rPr>
        <w:t xml:space="preserve"> venant renforcer l</w:t>
      </w:r>
      <w:r w:rsidR="00680ADA" w:rsidRPr="00F1180D">
        <w:rPr>
          <w:lang w:val="fr-FR" w:bidi="ar-KW"/>
        </w:rPr>
        <w:t>’</w:t>
      </w:r>
      <w:r w:rsidR="000C6D4A" w:rsidRPr="00F1180D">
        <w:rPr>
          <w:lang w:val="fr-FR" w:bidi="ar-KW"/>
        </w:rPr>
        <w:t>action humanitaire de l</w:t>
      </w:r>
      <w:r w:rsidR="00680ADA" w:rsidRPr="00F1180D">
        <w:rPr>
          <w:lang w:val="fr-FR" w:bidi="ar-KW"/>
        </w:rPr>
        <w:t>’</w:t>
      </w:r>
      <w:r w:rsidR="000C6D4A" w:rsidRPr="00F1180D">
        <w:rPr>
          <w:lang w:val="fr-FR" w:bidi="ar-KW"/>
        </w:rPr>
        <w:t>État en faveur de ces personnes. L</w:t>
      </w:r>
      <w:r w:rsidR="00680ADA" w:rsidRPr="00F1180D">
        <w:rPr>
          <w:lang w:val="fr-FR" w:bidi="ar-KW"/>
        </w:rPr>
        <w:t>’</w:t>
      </w:r>
      <w:r w:rsidR="000C6D4A" w:rsidRPr="00F1180D">
        <w:rPr>
          <w:lang w:val="fr-FR" w:bidi="ar-KW"/>
        </w:rPr>
        <w:t>Office central</w:t>
      </w:r>
      <w:r w:rsidR="00680ADA" w:rsidRPr="00F1180D">
        <w:rPr>
          <w:lang w:val="fr-FR" w:bidi="ar-KW"/>
        </w:rPr>
        <w:t>,</w:t>
      </w:r>
      <w:r w:rsidR="000C6D4A" w:rsidRPr="00F1180D">
        <w:rPr>
          <w:lang w:val="fr-FR" w:bidi="ar-KW"/>
        </w:rPr>
        <w:t xml:space="preserve"> en collaboration avec les organismes concernés</w:t>
      </w:r>
      <w:r w:rsidR="00680ADA" w:rsidRPr="00F1180D">
        <w:rPr>
          <w:lang w:val="fr-FR" w:bidi="ar-KW"/>
        </w:rPr>
        <w:t>,</w:t>
      </w:r>
      <w:r w:rsidR="000C6D4A" w:rsidRPr="00F1180D">
        <w:rPr>
          <w:lang w:val="fr-FR" w:bidi="ar-KW"/>
        </w:rPr>
        <w:t xml:space="preserve"> a facilité l</w:t>
      </w:r>
      <w:r w:rsidR="00680ADA" w:rsidRPr="00F1180D">
        <w:rPr>
          <w:lang w:val="fr-FR" w:bidi="ar-KW"/>
        </w:rPr>
        <w:t>’</w:t>
      </w:r>
      <w:r w:rsidR="000C6D4A" w:rsidRPr="00F1180D">
        <w:rPr>
          <w:lang w:val="fr-FR" w:bidi="ar-KW"/>
        </w:rPr>
        <w:t>accès des résidents en situation irrégulière à un ensemble de services</w:t>
      </w:r>
      <w:r w:rsidR="00680ADA" w:rsidRPr="00F1180D">
        <w:rPr>
          <w:lang w:val="fr-FR" w:bidi="ar-KW"/>
        </w:rPr>
        <w:t>,</w:t>
      </w:r>
      <w:r w:rsidR="000C6D4A" w:rsidRPr="00F1180D">
        <w:rPr>
          <w:lang w:val="fr-FR" w:bidi="ar-KW"/>
        </w:rPr>
        <w:t xml:space="preserve"> de prestations sociales et de facilités administratives que les organismes concernés se sont engagés à leur fournir en vue de leur garantir une vie décente.</w:t>
      </w:r>
      <w:r w:rsidR="009B1350" w:rsidRPr="00F1180D">
        <w:rPr>
          <w:lang w:val="fr-FR" w:bidi="ar-KW"/>
        </w:rPr>
        <w:t xml:space="preserve"> </w:t>
      </w:r>
    </w:p>
    <w:p w:rsidR="000C6D4A" w:rsidRPr="00F1180D" w:rsidRDefault="00DB7FBA" w:rsidP="00680ADA">
      <w:pPr>
        <w:pStyle w:val="SingleTxtG"/>
        <w:rPr>
          <w:b/>
          <w:bCs/>
          <w:rtl/>
          <w:lang w:val="fr-FR" w:bidi="fr-FR"/>
        </w:rPr>
      </w:pPr>
      <w:r>
        <w:rPr>
          <w:lang w:val="fr-FR" w:bidi="ar-KW"/>
        </w:rPr>
        <w:t>172.</w:t>
      </w:r>
      <w:r>
        <w:rPr>
          <w:lang w:val="fr-FR" w:bidi="ar-KW"/>
        </w:rPr>
        <w:tab/>
      </w:r>
      <w:r w:rsidR="000C6D4A" w:rsidRPr="00F1180D">
        <w:rPr>
          <w:lang w:val="fr-FR" w:bidi="ar-KW"/>
        </w:rPr>
        <w:t>Ceci ne veut pas dire les résidents en situation irrégulière n</w:t>
      </w:r>
      <w:r w:rsidR="00680ADA" w:rsidRPr="00F1180D">
        <w:rPr>
          <w:lang w:val="fr-FR" w:bidi="ar-KW"/>
        </w:rPr>
        <w:t>’</w:t>
      </w:r>
      <w:r w:rsidR="000C6D4A" w:rsidRPr="00F1180D">
        <w:rPr>
          <w:lang w:val="fr-FR" w:bidi="ar-KW"/>
        </w:rPr>
        <w:t>avaient pas accès à ces services humanitaires avant la création de l</w:t>
      </w:r>
      <w:r w:rsidR="00680ADA" w:rsidRPr="00F1180D">
        <w:rPr>
          <w:lang w:val="fr-FR" w:bidi="ar-KW"/>
        </w:rPr>
        <w:t>’</w:t>
      </w:r>
      <w:r w:rsidR="000C6D4A" w:rsidRPr="00F1180D">
        <w:rPr>
          <w:lang w:val="fr-FR" w:bidi="ar-KW"/>
        </w:rPr>
        <w:t>Office central</w:t>
      </w:r>
      <w:r w:rsidR="00680ADA" w:rsidRPr="00F1180D">
        <w:rPr>
          <w:lang w:val="fr-FR" w:bidi="ar-KW"/>
        </w:rPr>
        <w:t>,</w:t>
      </w:r>
      <w:r w:rsidR="000C6D4A" w:rsidRPr="00F1180D">
        <w:rPr>
          <w:lang w:val="fr-FR" w:bidi="ar-KW"/>
        </w:rPr>
        <w:t xml:space="preserve"> lequel n</w:t>
      </w:r>
      <w:r w:rsidR="00680ADA" w:rsidRPr="00F1180D">
        <w:rPr>
          <w:lang w:val="fr-FR" w:bidi="ar-KW"/>
        </w:rPr>
        <w:t>’</w:t>
      </w:r>
      <w:r w:rsidR="000C6D4A" w:rsidRPr="00F1180D">
        <w:rPr>
          <w:lang w:val="fr-FR" w:bidi="ar-KW"/>
        </w:rPr>
        <w:t xml:space="preserve">a fait que renforcer </w:t>
      </w:r>
      <w:r w:rsidR="000C6D4A" w:rsidRPr="00F1180D">
        <w:rPr>
          <w:lang w:val="fr-FR" w:bidi="ar-KW"/>
        </w:rPr>
        <w:lastRenderedPageBreak/>
        <w:t>l</w:t>
      </w:r>
      <w:r w:rsidR="00680ADA" w:rsidRPr="00F1180D">
        <w:rPr>
          <w:lang w:val="fr-FR" w:bidi="ar-KW"/>
        </w:rPr>
        <w:t>’</w:t>
      </w:r>
      <w:r w:rsidR="000C6D4A" w:rsidRPr="00F1180D">
        <w:rPr>
          <w:lang w:val="fr-FR" w:bidi="ar-KW"/>
        </w:rPr>
        <w:t>action de l</w:t>
      </w:r>
      <w:r w:rsidR="00680ADA" w:rsidRPr="00F1180D">
        <w:rPr>
          <w:lang w:val="fr-FR" w:bidi="ar-KW"/>
        </w:rPr>
        <w:t>’</w:t>
      </w:r>
      <w:r w:rsidR="000C6D4A" w:rsidRPr="00F1180D">
        <w:rPr>
          <w:lang w:val="fr-FR" w:bidi="ar-KW"/>
        </w:rPr>
        <w:t>État en la matière</w:t>
      </w:r>
      <w:r w:rsidR="00680ADA" w:rsidRPr="00F1180D">
        <w:rPr>
          <w:lang w:val="fr-FR" w:bidi="ar-KW"/>
        </w:rPr>
        <w:t>,</w:t>
      </w:r>
      <w:r w:rsidR="000C6D4A" w:rsidRPr="00F1180D">
        <w:rPr>
          <w:lang w:val="fr-FR" w:bidi="ar-KW"/>
        </w:rPr>
        <w:t xml:space="preserve"> celui-ci ayant toujours satisfait à tous leurs besoins en dépit de leur situation irrégulière. Le tableau ci-après indique les services humanitaires et administratifs destinés aux résidents en situation irrégulière enregistrés auprès de l</w:t>
      </w:r>
      <w:r w:rsidR="00680ADA" w:rsidRPr="00F1180D">
        <w:rPr>
          <w:lang w:val="fr-FR" w:bidi="ar-KW"/>
        </w:rPr>
        <w:t>’</w:t>
      </w:r>
      <w:r w:rsidR="000C6D4A" w:rsidRPr="00F1180D">
        <w:rPr>
          <w:lang w:val="fr-FR" w:bidi="ar-KW"/>
        </w:rPr>
        <w:t>Office central.</w:t>
      </w:r>
    </w:p>
    <w:tbl>
      <w:tblPr>
        <w:tblW w:w="9639" w:type="dxa"/>
        <w:tblLayout w:type="fixed"/>
        <w:tblCellMar>
          <w:left w:w="0" w:type="dxa"/>
          <w:right w:w="0" w:type="dxa"/>
        </w:tblCellMar>
        <w:tblLook w:val="00A0" w:firstRow="1" w:lastRow="0" w:firstColumn="1" w:lastColumn="0" w:noHBand="0" w:noVBand="0"/>
      </w:tblPr>
      <w:tblGrid>
        <w:gridCol w:w="1843"/>
        <w:gridCol w:w="3969"/>
        <w:gridCol w:w="3827"/>
      </w:tblGrid>
      <w:tr w:rsidR="000728BA" w:rsidRPr="00F1180D" w:rsidTr="00727FA9">
        <w:trPr>
          <w:tblHeader/>
        </w:trPr>
        <w:tc>
          <w:tcPr>
            <w:tcW w:w="1843" w:type="dxa"/>
            <w:tcBorders>
              <w:top w:val="single" w:sz="4" w:space="0" w:color="auto"/>
              <w:bottom w:val="single" w:sz="12" w:space="0" w:color="auto"/>
            </w:tcBorders>
            <w:vAlign w:val="bottom"/>
          </w:tcPr>
          <w:p w:rsidR="000728BA" w:rsidRPr="00F1180D" w:rsidRDefault="000728BA" w:rsidP="0091630C">
            <w:pPr>
              <w:spacing w:before="40" w:after="120"/>
              <w:ind w:right="113"/>
              <w:rPr>
                <w:i/>
                <w:sz w:val="16"/>
                <w:szCs w:val="16"/>
                <w:lang w:val="fr-FR" w:bidi="ar-KW"/>
              </w:rPr>
            </w:pPr>
            <w:r w:rsidRPr="00F1180D">
              <w:rPr>
                <w:i/>
                <w:sz w:val="16"/>
                <w:szCs w:val="16"/>
                <w:lang w:val="fr-FR" w:bidi="ar-KW"/>
              </w:rPr>
              <w:t>Prestations offertes</w:t>
            </w:r>
          </w:p>
        </w:tc>
        <w:tc>
          <w:tcPr>
            <w:tcW w:w="3969" w:type="dxa"/>
            <w:tcBorders>
              <w:top w:val="single" w:sz="4" w:space="0" w:color="auto"/>
              <w:bottom w:val="single" w:sz="12" w:space="0" w:color="auto"/>
            </w:tcBorders>
            <w:vAlign w:val="bottom"/>
          </w:tcPr>
          <w:p w:rsidR="000728BA" w:rsidRPr="00F1180D" w:rsidRDefault="000728BA" w:rsidP="0091630C">
            <w:pPr>
              <w:spacing w:before="40" w:after="120"/>
              <w:ind w:right="113"/>
              <w:rPr>
                <w:i/>
                <w:sz w:val="16"/>
                <w:szCs w:val="16"/>
                <w:lang w:val="fr-FR" w:bidi="ar-KW"/>
              </w:rPr>
            </w:pPr>
            <w:r w:rsidRPr="00F1180D">
              <w:rPr>
                <w:i/>
                <w:sz w:val="16"/>
                <w:szCs w:val="16"/>
                <w:lang w:val="fr-FR" w:bidi="ar-KW"/>
              </w:rPr>
              <w:t>Détails des prestations</w:t>
            </w:r>
          </w:p>
        </w:tc>
        <w:tc>
          <w:tcPr>
            <w:tcW w:w="3827" w:type="dxa"/>
            <w:tcBorders>
              <w:top w:val="single" w:sz="4" w:space="0" w:color="auto"/>
              <w:bottom w:val="single" w:sz="12" w:space="0" w:color="auto"/>
            </w:tcBorders>
            <w:vAlign w:val="bottom"/>
          </w:tcPr>
          <w:p w:rsidR="000728BA" w:rsidRPr="00F1180D" w:rsidRDefault="000728BA" w:rsidP="0091630C">
            <w:pPr>
              <w:pStyle w:val="SingleTxtG"/>
              <w:spacing w:before="40"/>
              <w:ind w:right="113"/>
              <w:jc w:val="left"/>
              <w:rPr>
                <w:i/>
                <w:sz w:val="16"/>
                <w:szCs w:val="16"/>
                <w:lang w:val="fr-FR" w:bidi="ar-KW"/>
              </w:rPr>
            </w:pPr>
            <w:r w:rsidRPr="00F1180D">
              <w:rPr>
                <w:i/>
                <w:sz w:val="16"/>
                <w:szCs w:val="16"/>
                <w:lang w:val="fr-FR" w:bidi="ar-KW"/>
              </w:rPr>
              <w:t>Données statistiques</w:t>
            </w:r>
          </w:p>
        </w:tc>
      </w:tr>
      <w:tr w:rsidR="000728BA" w:rsidRPr="00F1180D" w:rsidTr="00727FA9">
        <w:tc>
          <w:tcPr>
            <w:tcW w:w="1843" w:type="dxa"/>
            <w:tcBorders>
              <w:top w:val="single" w:sz="12" w:space="0" w:color="auto"/>
            </w:tcBorders>
          </w:tcPr>
          <w:p w:rsidR="000728BA" w:rsidRPr="00F1180D" w:rsidRDefault="000728BA" w:rsidP="0091630C">
            <w:pPr>
              <w:spacing w:before="40" w:after="120"/>
              <w:ind w:right="113"/>
              <w:rPr>
                <w:lang w:val="fr-FR" w:bidi="ar-KW"/>
              </w:rPr>
            </w:pPr>
            <w:r w:rsidRPr="00F1180D">
              <w:rPr>
                <w:lang w:val="fr-FR" w:bidi="ar-KW"/>
              </w:rPr>
              <w:t>Soins médicaux</w:t>
            </w:r>
          </w:p>
        </w:tc>
        <w:tc>
          <w:tcPr>
            <w:tcW w:w="3969" w:type="dxa"/>
            <w:tcBorders>
              <w:top w:val="single" w:sz="12" w:space="0" w:color="auto"/>
            </w:tcBorders>
          </w:tcPr>
          <w:p w:rsidR="000728BA" w:rsidRPr="00F1180D" w:rsidRDefault="000728BA" w:rsidP="0091630C">
            <w:pPr>
              <w:pStyle w:val="Bullet1G"/>
              <w:tabs>
                <w:tab w:val="clear" w:pos="1701"/>
                <w:tab w:val="num" w:pos="284"/>
              </w:tabs>
              <w:spacing w:before="40"/>
              <w:ind w:left="284" w:right="151"/>
              <w:jc w:val="left"/>
              <w:rPr>
                <w:rtl/>
                <w:lang w:val="fr-FR" w:bidi="fr-FR"/>
              </w:rPr>
            </w:pPr>
            <w:r w:rsidRPr="00F1180D">
              <w:rPr>
                <w:lang w:val="fr-FR" w:bidi="ar-KW"/>
              </w:rPr>
              <w:t>Depuis la création de l’Office central le 9 novembre 2010, l’État prend entièrement en charge le coût des soins prodigués aux résidents en situation irrégulière, qui bénéficient ainsi de soins gratuits dans tous les centres de soins et hôpitaux publics du pays.</w:t>
            </w:r>
          </w:p>
          <w:p w:rsidR="000728BA" w:rsidRPr="00F1180D" w:rsidRDefault="000728BA" w:rsidP="0091630C">
            <w:pPr>
              <w:pStyle w:val="Bullet1G"/>
              <w:tabs>
                <w:tab w:val="clear" w:pos="1701"/>
                <w:tab w:val="num" w:pos="284"/>
              </w:tabs>
              <w:spacing w:before="40"/>
              <w:ind w:left="284" w:right="151"/>
              <w:jc w:val="left"/>
              <w:rPr>
                <w:lang w:val="fr-FR" w:bidi="ar-KW"/>
              </w:rPr>
            </w:pPr>
            <w:r w:rsidRPr="00F1180D">
              <w:rPr>
                <w:lang w:val="fr-FR" w:bidi="ar-KW"/>
              </w:rPr>
              <w:t>Création du Fonds caritatif pour le financement des soins de santé des personnes démunies en application de la décision n</w:t>
            </w:r>
            <w:r w:rsidRPr="00F1180D">
              <w:rPr>
                <w:vertAlign w:val="superscript"/>
                <w:lang w:val="fr-FR" w:bidi="ar-KW"/>
              </w:rPr>
              <w:t>o</w:t>
            </w:r>
            <w:r w:rsidRPr="00F1180D">
              <w:rPr>
                <w:lang w:val="fr-FR" w:bidi="ar-KW"/>
              </w:rPr>
              <w:t> 855/2003, qui prévoit la prise en charge de l’intégralité des frais médicaux (radiologie, chirurgie, analyses, médicaments, prothèses, etc.).</w:t>
            </w:r>
          </w:p>
          <w:p w:rsidR="000728BA" w:rsidRPr="00F1180D" w:rsidRDefault="000728BA" w:rsidP="0091630C">
            <w:pPr>
              <w:pStyle w:val="Bullet1G"/>
              <w:tabs>
                <w:tab w:val="clear" w:pos="1701"/>
                <w:tab w:val="num" w:pos="284"/>
              </w:tabs>
              <w:spacing w:before="40"/>
              <w:ind w:left="284" w:right="151"/>
              <w:jc w:val="left"/>
              <w:rPr>
                <w:lang w:val="fr-FR" w:bidi="ar-KW"/>
              </w:rPr>
            </w:pPr>
            <w:r w:rsidRPr="00F1180D">
              <w:rPr>
                <w:lang w:val="fr-FR" w:bidi="ar-KW"/>
              </w:rPr>
              <w:t>Les femmes des résidents en situation irrégulière bénéficient des mêmes services que les hommes, auxquels s’ajoutent les prestations et soins médicaux liés à la grossesse et à la maternité.</w:t>
            </w:r>
          </w:p>
        </w:tc>
        <w:tc>
          <w:tcPr>
            <w:tcW w:w="3827" w:type="dxa"/>
            <w:tcBorders>
              <w:top w:val="single" w:sz="12" w:space="0" w:color="auto"/>
            </w:tcBorders>
          </w:tcPr>
          <w:p w:rsidR="000728BA" w:rsidRPr="00F1180D" w:rsidRDefault="000728BA" w:rsidP="002A665D">
            <w:pPr>
              <w:pStyle w:val="Bullet1G"/>
              <w:tabs>
                <w:tab w:val="clear" w:pos="1701"/>
                <w:tab w:val="num" w:pos="284"/>
              </w:tabs>
              <w:spacing w:before="40"/>
              <w:ind w:left="284" w:right="151"/>
              <w:jc w:val="left"/>
              <w:rPr>
                <w:rtl/>
                <w:lang w:val="fr-FR" w:bidi="fr-FR"/>
              </w:rPr>
            </w:pPr>
            <w:r w:rsidRPr="00F1180D">
              <w:rPr>
                <w:lang w:val="fr-FR" w:bidi="ar-KW"/>
              </w:rPr>
              <w:t>De septembre 2003 à fin 2012, les prestations du Fonds caritatif pour les soin</w:t>
            </w:r>
            <w:r w:rsidR="0091630C" w:rsidRPr="00F1180D">
              <w:rPr>
                <w:lang w:val="fr-FR" w:bidi="ar-KW"/>
              </w:rPr>
              <w:t>s de santé ont bénéficié 56 547 </w:t>
            </w:r>
            <w:r w:rsidRPr="00F1180D">
              <w:rPr>
                <w:lang w:val="fr-FR" w:bidi="ar-KW"/>
              </w:rPr>
              <w:t>résidents en situation irrégulière, pour un coût total de 3 812 107</w:t>
            </w:r>
            <w:r w:rsidR="009B1350" w:rsidRPr="00F1180D">
              <w:rPr>
                <w:lang w:val="fr-FR" w:bidi="ar-KW"/>
              </w:rPr>
              <w:t> dinars</w:t>
            </w:r>
            <w:r w:rsidRPr="00F1180D">
              <w:rPr>
                <w:lang w:val="fr-FR" w:bidi="ar-KW"/>
              </w:rPr>
              <w:t xml:space="preserve"> koweïtiens (12 553 907,37 dollars américains).</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Les résidents en situation irrégulière sont traités comme les Koweïtiens en ce qui concerne les frais et les salaires, en application de la décision ministérielle n</w:t>
            </w:r>
            <w:r w:rsidRPr="00F1180D">
              <w:rPr>
                <w:vertAlign w:val="superscript"/>
                <w:lang w:val="fr-FR" w:bidi="ar-KW"/>
              </w:rPr>
              <w:t>o</w:t>
            </w:r>
            <w:r w:rsidRPr="00F1180D">
              <w:rPr>
                <w:lang w:val="fr-FR" w:bidi="ar-KW"/>
              </w:rPr>
              <w:t> 86/2011. Ils sont ainsi exemptés des frais d’occupation de chambres individuelles.</w:t>
            </w:r>
          </w:p>
        </w:tc>
      </w:tr>
      <w:tr w:rsidR="000728BA" w:rsidRPr="00F1180D" w:rsidTr="00727FA9">
        <w:tc>
          <w:tcPr>
            <w:tcW w:w="1843" w:type="dxa"/>
          </w:tcPr>
          <w:p w:rsidR="000728BA" w:rsidRPr="00F1180D" w:rsidRDefault="000728BA" w:rsidP="0091630C">
            <w:pPr>
              <w:spacing w:before="40" w:after="120"/>
              <w:ind w:right="113"/>
              <w:rPr>
                <w:lang w:val="fr-FR" w:bidi="ar-KW"/>
              </w:rPr>
            </w:pPr>
            <w:r w:rsidRPr="00F1180D">
              <w:rPr>
                <w:lang w:val="fr-FR" w:bidi="ar-KW"/>
              </w:rPr>
              <w:t xml:space="preserve">Éducation </w:t>
            </w:r>
          </w:p>
        </w:tc>
        <w:tc>
          <w:tcPr>
            <w:tcW w:w="3969" w:type="dxa"/>
          </w:tcPr>
          <w:p w:rsidR="000728BA" w:rsidRPr="00F1180D" w:rsidRDefault="000728BA" w:rsidP="002A665D">
            <w:pPr>
              <w:pStyle w:val="Bullet1G"/>
              <w:tabs>
                <w:tab w:val="clear" w:pos="1701"/>
                <w:tab w:val="num" w:pos="284"/>
              </w:tabs>
              <w:spacing w:before="40"/>
              <w:ind w:left="284" w:right="151"/>
              <w:jc w:val="left"/>
              <w:rPr>
                <w:rtl/>
                <w:lang w:val="fr-FR" w:bidi="fr-FR"/>
              </w:rPr>
            </w:pPr>
            <w:r w:rsidRPr="00F1180D">
              <w:rPr>
                <w:lang w:val="fr-FR" w:bidi="ar-KW"/>
              </w:rPr>
              <w:t>Mise en place du Fonds caritatif destiné à financer l’éducation des enfants défavorisés, conformément à la décision</w:t>
            </w:r>
            <w:r w:rsidR="00FA4334" w:rsidRPr="00F1180D">
              <w:rPr>
                <w:lang w:val="fr-FR" w:bidi="ar-KW"/>
              </w:rPr>
              <w:t xml:space="preserve"> n</w:t>
            </w:r>
            <w:r w:rsidR="00FA4334" w:rsidRPr="00F1180D">
              <w:rPr>
                <w:vertAlign w:val="superscript"/>
                <w:lang w:val="fr-FR" w:bidi="ar-KW"/>
              </w:rPr>
              <w:t>o</w:t>
            </w:r>
            <w:r w:rsidR="00FA4334" w:rsidRPr="00F1180D">
              <w:rPr>
                <w:lang w:val="fr-FR" w:bidi="ar-KW"/>
              </w:rPr>
              <w:t> </w:t>
            </w:r>
            <w:r w:rsidRPr="00F1180D">
              <w:rPr>
                <w:lang w:val="fr-FR" w:bidi="ar-KW"/>
              </w:rPr>
              <w:t>855/2003 du Conseil des ministres. Ce Fonds reçoit des subventions de l’État couvrant tous les types de frais de scolarité.</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Les élèves en situation irrégulière au regard du séjour bénéficient des mêmes enseignements et programmes scolaires que ceux destinés aux élèves koweïtiens.</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L’État offre aux élèves en situation irrégulière la possibilité de poursuivre leurs études à l’université afin que leur scolarité ne s’arrête pas aux cycles primaire et/ou secondaire. Des quotas leur sont réservés dans les différentes universités où ils peuvent être admis conformément au système d’équivalence établi pour assurer leur inscription, ainsi qu’aux critères et conditions appliqués par les facultés.</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Mise en place du projet destiné à fournir des aides aux étudiants défavorisés et à prendre en charge leurs frais de scolarité.</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 xml:space="preserve">Les étudiants concernés peuvent être admis </w:t>
            </w:r>
            <w:r w:rsidRPr="00F1180D">
              <w:rPr>
                <w:lang w:val="fr-FR" w:bidi="ar-KW"/>
              </w:rPr>
              <w:lastRenderedPageBreak/>
              <w:t>dans les universités privées après acquittement des frais de scolarité, sous réserve de remplir les conditions d’admission en vigueur.</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 xml:space="preserve">Des mesures ont été prises en coordination avec la Direction générale de l’enseignement pratique et de la formation afin de définir les catégories d’étudiants admissibles dans les facultés relevant de cette instance. </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Au titre de l’année universitaire 2012/13 tous les élèves de résidents en situation irrégulière ayant obtenu de bons résultats scolaires ont été admis à l’université, conformément aux directives de l’Émir.</w:t>
            </w:r>
          </w:p>
          <w:p w:rsidR="000728BA" w:rsidRPr="00F1180D" w:rsidRDefault="000728BA" w:rsidP="002A665D">
            <w:pPr>
              <w:pStyle w:val="Bullet1G"/>
              <w:keepNext/>
              <w:tabs>
                <w:tab w:val="clear" w:pos="1701"/>
                <w:tab w:val="num" w:pos="284"/>
              </w:tabs>
              <w:spacing w:before="40"/>
              <w:ind w:left="283" w:right="153"/>
              <w:jc w:val="left"/>
              <w:rPr>
                <w:lang w:val="fr-FR" w:bidi="ar-KW"/>
              </w:rPr>
            </w:pPr>
            <w:r w:rsidRPr="00F1180D">
              <w:rPr>
                <w:lang w:val="fr-FR" w:bidi="ar-KW"/>
              </w:rPr>
              <w:t>Les étudiants des deux sexes bénéficient d’un accès égal aux services éducatifs, qu’il s’agisse de l’enseignement fondamental ou supérieur, le seul critère d’accès à l’université étant d’obtenir la moyenne requise et de remplir les conditions d’admission.</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Les enfants en situation irrégulière ont accès à l’ensemble des services éducatifs, leurs frais de scolarité (uniformes, manuels et fournitures scolaires, etc.) étant entièrement pris en charge par le Fonds caritatif destiné à financer l’enseignement des enfants défavorisés.</w:t>
            </w:r>
          </w:p>
        </w:tc>
        <w:tc>
          <w:tcPr>
            <w:tcW w:w="3827" w:type="dxa"/>
          </w:tcPr>
          <w:p w:rsidR="000728BA" w:rsidRPr="00F1180D" w:rsidRDefault="000728BA" w:rsidP="0084364C">
            <w:pPr>
              <w:pStyle w:val="Bullet1G"/>
              <w:tabs>
                <w:tab w:val="clear" w:pos="1701"/>
                <w:tab w:val="num" w:pos="284"/>
              </w:tabs>
              <w:spacing w:before="40"/>
              <w:ind w:left="284" w:right="151"/>
              <w:jc w:val="left"/>
              <w:rPr>
                <w:rtl/>
                <w:lang w:val="fr-FR" w:bidi="fr-FR"/>
              </w:rPr>
            </w:pPr>
            <w:r w:rsidRPr="00F1180D">
              <w:rPr>
                <w:lang w:val="fr-FR" w:bidi="ar-KW"/>
              </w:rPr>
              <w:lastRenderedPageBreak/>
              <w:t>Au cours de l’année scolaire 2014/15, les prestations offertes par le Fonds ont profité à environ 15 105 élèves des deux sexes pour un coût total de 4 711 093</w:t>
            </w:r>
            <w:r w:rsidR="009B1350" w:rsidRPr="00F1180D">
              <w:rPr>
                <w:lang w:val="fr-FR" w:bidi="ar-KW"/>
              </w:rPr>
              <w:t> dinars</w:t>
            </w:r>
            <w:r w:rsidRPr="00F1180D">
              <w:rPr>
                <w:lang w:val="fr-FR" w:bidi="ar-KW"/>
              </w:rPr>
              <w:t xml:space="preserve"> koweïtiens (15 514 418,96 dollars américains). </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L’inscription dans les écoles publiques des enfants de Koweïtiennes mariées à des résidents en situation irrégulière travaillant pour le compte des Ministères de la défense et de l’intérieur.</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 xml:space="preserve">Le Ministère de l’éducation prend en charge les frais de scolarité des enfants de résidents en situation irrégulière employés par les Ministères de la défense et de l’intérieur, ayant régularisé leur situation et disposant de passeports valides. </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 xml:space="preserve">La poursuite de l’offre de services éducatifs au profit de ceux qui régularisent leur situation. </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 xml:space="preserve">La poursuite d’études supérieures à l’Université du Koweït et/ou auprès de la Direction générale de l’enseignement pratique et de la formation, conformément </w:t>
            </w:r>
            <w:r w:rsidRPr="00F1180D">
              <w:rPr>
                <w:lang w:val="fr-FR" w:bidi="ar-KW"/>
              </w:rPr>
              <w:lastRenderedPageBreak/>
              <w:t xml:space="preserve">aux règles et conditions exigées par chacune de ces deux institutions: </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Nombre total d’étudiants en situation irrégulière inscrits à l’</w:t>
            </w:r>
            <w:r w:rsidR="009B1350" w:rsidRPr="00F1180D">
              <w:rPr>
                <w:lang w:val="fr-FR" w:bidi="ar-KW"/>
              </w:rPr>
              <w:t>Université du Koweït de 2011/</w:t>
            </w:r>
            <w:r w:rsidRPr="00F1180D">
              <w:rPr>
                <w:lang w:val="fr-FR" w:bidi="ar-KW"/>
              </w:rPr>
              <w:t>12 à 2014/2015: 5 758.</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Nombre total d’étudiants en situation irrégulière inscrits auprès de la Direction générale de l’enseignement pratique et de la fo</w:t>
            </w:r>
            <w:r w:rsidR="009B1350" w:rsidRPr="00F1180D">
              <w:rPr>
                <w:lang w:val="fr-FR" w:bidi="ar-KW"/>
              </w:rPr>
              <w:t>rmation de 2011/12 à 2014/</w:t>
            </w:r>
            <w:r w:rsidRPr="00F1180D">
              <w:rPr>
                <w:lang w:val="fr-FR" w:bidi="ar-KW"/>
              </w:rPr>
              <w:t>15: 3 347.</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De 2010 à 2014, 1 063 étudiants des deux sexes en situation irrégulière ont été exonérés du paiement des frais de scolarité dans le cadre du projet d’aide aux étudiants défavorisés, pour un coût total de 420 078</w:t>
            </w:r>
            <w:r w:rsidR="009B1350" w:rsidRPr="00F1180D">
              <w:rPr>
                <w:lang w:val="fr-FR" w:bidi="ar-KW"/>
              </w:rPr>
              <w:t> dinars</w:t>
            </w:r>
            <w:r w:rsidRPr="00F1180D">
              <w:rPr>
                <w:lang w:val="fr-FR" w:bidi="ar-KW"/>
              </w:rPr>
              <w:t xml:space="preserve"> koweïtiens (1 383 387,27 dollars américains).</w:t>
            </w:r>
          </w:p>
          <w:p w:rsidR="000728BA" w:rsidRPr="00F1180D" w:rsidRDefault="009B1350" w:rsidP="0084364C">
            <w:pPr>
              <w:pStyle w:val="Bullet1G"/>
              <w:tabs>
                <w:tab w:val="clear" w:pos="1701"/>
                <w:tab w:val="num" w:pos="485"/>
              </w:tabs>
              <w:spacing w:before="40"/>
              <w:ind w:left="485" w:right="151" w:hanging="154"/>
              <w:jc w:val="left"/>
              <w:rPr>
                <w:lang w:val="fr-FR" w:bidi="ar-KW"/>
              </w:rPr>
            </w:pPr>
            <w:r w:rsidRPr="00F1180D">
              <w:rPr>
                <w:lang w:val="fr-FR" w:bidi="ar-KW"/>
              </w:rPr>
              <w:t>En 2015/</w:t>
            </w:r>
            <w:r w:rsidR="000728BA" w:rsidRPr="00F1180D">
              <w:rPr>
                <w:lang w:val="fr-FR" w:bidi="ar-KW"/>
              </w:rPr>
              <w:t>16, 5 000 élèves des deux sexes en situation irrégulière ont été admis aux différents cycles d’enseignement.</w:t>
            </w:r>
          </w:p>
        </w:tc>
      </w:tr>
      <w:tr w:rsidR="000728BA" w:rsidRPr="00F1180D" w:rsidTr="00727FA9">
        <w:tc>
          <w:tcPr>
            <w:tcW w:w="1843" w:type="dxa"/>
          </w:tcPr>
          <w:p w:rsidR="000728BA" w:rsidRPr="00F1180D" w:rsidRDefault="000728BA" w:rsidP="002A665D">
            <w:pPr>
              <w:spacing w:before="40" w:after="120"/>
              <w:ind w:right="113"/>
              <w:rPr>
                <w:rtl/>
                <w:lang w:val="fr-FR" w:bidi="fr-FR"/>
              </w:rPr>
            </w:pPr>
            <w:r w:rsidRPr="00F1180D">
              <w:rPr>
                <w:lang w:val="fr-FR" w:bidi="ar-KW"/>
              </w:rPr>
              <w:lastRenderedPageBreak/>
              <w:t xml:space="preserve">Actes d’état civil, dont: </w:t>
            </w:r>
          </w:p>
          <w:p w:rsidR="000728BA" w:rsidRPr="00F1180D" w:rsidRDefault="000728BA" w:rsidP="002A665D">
            <w:pPr>
              <w:pStyle w:val="Bullet1G"/>
              <w:tabs>
                <w:tab w:val="clear" w:pos="1701"/>
                <w:tab w:val="num" w:pos="284"/>
              </w:tabs>
              <w:spacing w:before="40"/>
              <w:ind w:left="284" w:right="151"/>
              <w:jc w:val="left"/>
              <w:rPr>
                <w:rtl/>
                <w:lang w:val="fr-FR" w:bidi="fr-FR"/>
              </w:rPr>
            </w:pPr>
            <w:r w:rsidRPr="00F1180D">
              <w:rPr>
                <w:lang w:val="fr-FR" w:bidi="ar-KW"/>
              </w:rPr>
              <w:t>Actes de naissance</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Actes de décès</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Actes de succession et testaments</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Actes de mariage</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Attestations de divorce</w:t>
            </w:r>
          </w:p>
        </w:tc>
        <w:tc>
          <w:tcPr>
            <w:tcW w:w="3969" w:type="dxa"/>
          </w:tcPr>
          <w:p w:rsidR="000728BA" w:rsidRPr="00F1180D" w:rsidRDefault="000728BA" w:rsidP="002A665D">
            <w:pPr>
              <w:pStyle w:val="Bullet1G"/>
              <w:tabs>
                <w:tab w:val="clear" w:pos="1701"/>
                <w:tab w:val="num" w:pos="284"/>
              </w:tabs>
              <w:spacing w:before="40"/>
              <w:ind w:left="284" w:right="151"/>
              <w:jc w:val="left"/>
              <w:rPr>
                <w:rtl/>
                <w:lang w:val="fr-FR" w:bidi="fr-FR"/>
              </w:rPr>
            </w:pPr>
            <w:r w:rsidRPr="00F1180D">
              <w:rPr>
                <w:lang w:val="fr-FR" w:bidi="ar-KW"/>
              </w:rPr>
              <w:t xml:space="preserve">La délivrance de tous types d’actes d’état civil est un droit inaliénable reconnu par l’État à toutes les personnes qui se trouvent sur son territoire et nul n’en est privé, car il s’agit de l’un des moyens de protéger la famille. </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Les actes de naissance et de décès sont délivrés conformément à la loi</w:t>
            </w:r>
            <w:r w:rsidR="00FA4334" w:rsidRPr="00F1180D">
              <w:rPr>
                <w:lang w:val="fr-FR" w:bidi="ar-KW"/>
              </w:rPr>
              <w:t xml:space="preserve"> n</w:t>
            </w:r>
            <w:r w:rsidR="00FA4334" w:rsidRPr="00F1180D">
              <w:rPr>
                <w:vertAlign w:val="superscript"/>
                <w:lang w:val="fr-FR" w:bidi="ar-KW"/>
              </w:rPr>
              <w:t>o</w:t>
            </w:r>
            <w:r w:rsidR="00FA4334" w:rsidRPr="00F1180D">
              <w:rPr>
                <w:lang w:val="fr-FR" w:bidi="ar-KW"/>
              </w:rPr>
              <w:t> </w:t>
            </w:r>
            <w:r w:rsidRPr="00F1180D">
              <w:rPr>
                <w:lang w:val="fr-FR" w:bidi="ar-KW"/>
              </w:rPr>
              <w:t>36/1969 régissant l’enregistrement des naissances et des décès.</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Les documents et certificats de mariage sont établis et délivrés conformément aux conditions fixées par l’arrêté ministériel n</w:t>
            </w:r>
            <w:r w:rsidRPr="00F1180D">
              <w:rPr>
                <w:vertAlign w:val="superscript"/>
                <w:lang w:val="fr-FR" w:bidi="ar-KW"/>
              </w:rPr>
              <w:t>o</w:t>
            </w:r>
            <w:r w:rsidRPr="00F1180D">
              <w:rPr>
                <w:lang w:val="fr-FR" w:bidi="ar-KW"/>
              </w:rPr>
              <w:t> 142/2002 relatif à la réorganisation de l’administration et aux décisions et circulaires administratives régissant le travail.</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 xml:space="preserve">Les autorités koweïtiennes ont facilité les </w:t>
            </w:r>
            <w:r w:rsidRPr="00F1180D">
              <w:rPr>
                <w:lang w:val="fr-FR" w:bidi="ar-KW"/>
              </w:rPr>
              <w:lastRenderedPageBreak/>
              <w:t>procédures d’établissement des documents d’état civil au profit des résidents en situation irrégulière, et ce, conformément à la décision n</w:t>
            </w:r>
            <w:r w:rsidRPr="00F1180D">
              <w:rPr>
                <w:vertAlign w:val="superscript"/>
                <w:lang w:val="fr-FR" w:bidi="ar-KW"/>
              </w:rPr>
              <w:t>o</w:t>
            </w:r>
            <w:r w:rsidRPr="00F1180D">
              <w:rPr>
                <w:lang w:val="fr-FR" w:bidi="ar-KW"/>
              </w:rPr>
              <w:t> 409/2011 du Conseil des ministres, qui a prévu que la mention «non Koweïtien» remplacerait désormais dans ces documents la rubrique «nationalité d’origine».</w:t>
            </w:r>
          </w:p>
          <w:p w:rsidR="000728BA" w:rsidRPr="00F1180D" w:rsidRDefault="000728BA" w:rsidP="002A665D">
            <w:pPr>
              <w:pStyle w:val="Bullet1G"/>
              <w:tabs>
                <w:tab w:val="clear" w:pos="1701"/>
                <w:tab w:val="num" w:pos="284"/>
              </w:tabs>
              <w:spacing w:before="40"/>
              <w:ind w:left="284" w:right="151"/>
              <w:jc w:val="left"/>
              <w:rPr>
                <w:lang w:val="fr-FR" w:bidi="ar-KW"/>
              </w:rPr>
            </w:pPr>
            <w:r w:rsidRPr="00F1180D">
              <w:rPr>
                <w:lang w:val="fr-FR" w:bidi="ar-KW"/>
              </w:rPr>
              <w:t>La simplification des procédures par les autorités a entraîné l’augmentation du nombre de documents délivrés à des résidents en situation irrégulière, qui jusque-là s’abstenaient de les réceptionner.</w:t>
            </w:r>
          </w:p>
        </w:tc>
        <w:tc>
          <w:tcPr>
            <w:tcW w:w="3827" w:type="dxa"/>
          </w:tcPr>
          <w:p w:rsidR="000728BA" w:rsidRPr="00F1180D" w:rsidRDefault="000728BA" w:rsidP="0084364C">
            <w:pPr>
              <w:pStyle w:val="Bullet1G"/>
              <w:tabs>
                <w:tab w:val="clear" w:pos="1701"/>
                <w:tab w:val="num" w:pos="284"/>
              </w:tabs>
              <w:spacing w:before="40"/>
              <w:ind w:left="284" w:right="151"/>
              <w:jc w:val="left"/>
              <w:rPr>
                <w:rtl/>
                <w:lang w:val="fr-FR" w:bidi="fr-FR"/>
              </w:rPr>
            </w:pPr>
            <w:r w:rsidRPr="00F1180D">
              <w:rPr>
                <w:lang w:val="fr-FR" w:bidi="ar-KW"/>
              </w:rPr>
              <w:lastRenderedPageBreak/>
              <w:t>Actes de naissance:</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De 2011 à août 2014: délivrance de 23 247 actes de naissance.</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Actes de décès:</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De 2011 à mars 2014: délivrance de 1 268 actes de décès.</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Actes de mariage:</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De janvier 2014 à août 2014: délivrance de 6 256 actes de mariage.</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Attestations de divorce:</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De 2011 à juillet 2014: délivrance de 77 attestations de divorce.</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Héritage:</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En 2012: délivrance de 315 actes de succession.</w:t>
            </w:r>
          </w:p>
          <w:p w:rsidR="000728BA" w:rsidRPr="00F1180D" w:rsidRDefault="000728BA" w:rsidP="0084364C">
            <w:pPr>
              <w:pStyle w:val="Bullet1G"/>
              <w:tabs>
                <w:tab w:val="clear" w:pos="1701"/>
                <w:tab w:val="num" w:pos="485"/>
              </w:tabs>
              <w:spacing w:before="40"/>
              <w:ind w:left="485" w:right="151" w:hanging="154"/>
              <w:jc w:val="left"/>
              <w:rPr>
                <w:rtl/>
                <w:lang w:val="fr-FR" w:bidi="fr-FR"/>
              </w:rPr>
            </w:pPr>
            <w:r w:rsidRPr="00F1180D">
              <w:rPr>
                <w:lang w:val="fr-FR" w:bidi="ar-KW"/>
              </w:rPr>
              <w:lastRenderedPageBreak/>
              <w:t>De janvier 2014 à juillet 2014: délivrance de 84 actes de succession.</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Notifications officielles:</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En 2012: délivrance de 15 416 notifications.</w:t>
            </w:r>
          </w:p>
          <w:p w:rsidR="000728BA" w:rsidRPr="00F1180D" w:rsidRDefault="000728BA" w:rsidP="0084364C">
            <w:pPr>
              <w:pStyle w:val="Bullet1G"/>
              <w:tabs>
                <w:tab w:val="clear" w:pos="1701"/>
                <w:tab w:val="num" w:pos="485"/>
              </w:tabs>
              <w:spacing w:before="40"/>
              <w:ind w:left="485" w:right="151" w:hanging="154"/>
              <w:jc w:val="left"/>
              <w:rPr>
                <w:rtl/>
                <w:lang w:val="fr-FR" w:bidi="fr-FR"/>
              </w:rPr>
            </w:pPr>
            <w:r w:rsidRPr="00F1180D">
              <w:rPr>
                <w:lang w:val="fr-FR" w:bidi="ar-KW"/>
              </w:rPr>
              <w:t xml:space="preserve">De janvier 2014 à juillet 2014: </w:t>
            </w:r>
            <w:r w:rsidR="0084364C" w:rsidRPr="00F1180D">
              <w:rPr>
                <w:lang w:val="fr-FR" w:bidi="ar-KW"/>
              </w:rPr>
              <w:t>délivrance de 7 326 </w:t>
            </w:r>
            <w:r w:rsidRPr="00F1180D">
              <w:rPr>
                <w:lang w:val="fr-FR" w:bidi="ar-KW"/>
              </w:rPr>
              <w:t>notifications.</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Procurations d’ordre général:</w:t>
            </w:r>
          </w:p>
          <w:p w:rsidR="000728BA" w:rsidRPr="00F1180D" w:rsidRDefault="0084364C" w:rsidP="0084364C">
            <w:pPr>
              <w:pStyle w:val="Bullet1G"/>
              <w:tabs>
                <w:tab w:val="clear" w:pos="1701"/>
                <w:tab w:val="num" w:pos="485"/>
              </w:tabs>
              <w:spacing w:before="40"/>
              <w:ind w:left="485" w:right="151" w:hanging="154"/>
              <w:jc w:val="left"/>
              <w:rPr>
                <w:lang w:val="fr-FR" w:bidi="ar-KW"/>
              </w:rPr>
            </w:pPr>
            <w:r w:rsidRPr="00F1180D">
              <w:rPr>
                <w:lang w:val="fr-FR" w:bidi="ar-KW"/>
              </w:rPr>
              <w:t>En 2012: délivrance de 1 427 </w:t>
            </w:r>
            <w:r w:rsidR="000728BA" w:rsidRPr="00F1180D">
              <w:rPr>
                <w:lang w:val="fr-FR" w:bidi="ar-KW"/>
              </w:rPr>
              <w:t>procurations.</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Procurations spéciales:</w:t>
            </w:r>
          </w:p>
          <w:p w:rsidR="000728BA" w:rsidRPr="00F1180D" w:rsidRDefault="00727FA9" w:rsidP="0084364C">
            <w:pPr>
              <w:pStyle w:val="Bullet1G"/>
              <w:tabs>
                <w:tab w:val="clear" w:pos="1701"/>
                <w:tab w:val="num" w:pos="485"/>
              </w:tabs>
              <w:spacing w:before="40"/>
              <w:ind w:left="485" w:right="151" w:hanging="154"/>
              <w:jc w:val="left"/>
              <w:rPr>
                <w:lang w:val="fr-FR" w:bidi="ar-KW"/>
              </w:rPr>
            </w:pPr>
            <w:r w:rsidRPr="00F1180D">
              <w:rPr>
                <w:lang w:val="fr-FR" w:bidi="ar-KW"/>
              </w:rPr>
              <w:t>En 2012: délivrance de 3 603 </w:t>
            </w:r>
            <w:r w:rsidR="000728BA" w:rsidRPr="00F1180D">
              <w:rPr>
                <w:lang w:val="fr-FR" w:bidi="ar-KW"/>
              </w:rPr>
              <w:t>procurations.</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Accès à la propriété immobilière:</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 xml:space="preserve">17 procédures </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Accès à la propriété grâce à un don de l’État:</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 xml:space="preserve">10 procédures </w:t>
            </w:r>
          </w:p>
          <w:p w:rsidR="00333C0B"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 xml:space="preserve">Parts héritées de proches koweïtiens: </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 xml:space="preserve">4 parts </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En 2013:</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4 240 procédures d’authentification</w:t>
            </w:r>
          </w:p>
          <w:p w:rsidR="000728BA" w:rsidRPr="00F1180D" w:rsidRDefault="00333C0B" w:rsidP="0084364C">
            <w:pPr>
              <w:pStyle w:val="Bullet1G"/>
              <w:tabs>
                <w:tab w:val="clear" w:pos="1701"/>
                <w:tab w:val="num" w:pos="485"/>
              </w:tabs>
              <w:spacing w:before="40"/>
              <w:ind w:left="485" w:right="151" w:hanging="154"/>
              <w:jc w:val="left"/>
              <w:rPr>
                <w:rtl/>
                <w:lang w:val="fr-FR" w:bidi="fr-FR"/>
              </w:rPr>
            </w:pPr>
            <w:r w:rsidRPr="00F1180D">
              <w:rPr>
                <w:lang w:val="fr-FR" w:bidi="ar-KW"/>
              </w:rPr>
              <w:t xml:space="preserve">Et </w:t>
            </w:r>
            <w:r w:rsidR="000728BA" w:rsidRPr="00F1180D">
              <w:rPr>
                <w:lang w:val="fr-FR" w:bidi="ar-KW"/>
              </w:rPr>
              <w:t>1 309 procédures de certification (procurations et déclarations)</w:t>
            </w:r>
          </w:p>
          <w:p w:rsidR="000728BA" w:rsidRPr="00F1180D" w:rsidRDefault="000728BA" w:rsidP="0084364C">
            <w:pPr>
              <w:pStyle w:val="Bullet1G"/>
              <w:tabs>
                <w:tab w:val="clear" w:pos="1701"/>
                <w:tab w:val="num" w:pos="284"/>
              </w:tabs>
              <w:spacing w:before="40"/>
              <w:ind w:left="284" w:right="151"/>
              <w:jc w:val="left"/>
              <w:rPr>
                <w:lang w:val="fr-FR" w:bidi="ar-KW"/>
              </w:rPr>
            </w:pPr>
            <w:r w:rsidRPr="00F1180D">
              <w:rPr>
                <w:lang w:val="fr-FR" w:bidi="ar-KW"/>
              </w:rPr>
              <w:t>Examens médicaux prénuptiaux:</w:t>
            </w:r>
          </w:p>
          <w:p w:rsidR="000728BA" w:rsidRPr="00F1180D" w:rsidRDefault="000728BA" w:rsidP="0084364C">
            <w:pPr>
              <w:pStyle w:val="Bullet1G"/>
              <w:tabs>
                <w:tab w:val="clear" w:pos="1701"/>
                <w:tab w:val="num" w:pos="485"/>
              </w:tabs>
              <w:spacing w:before="40"/>
              <w:ind w:left="485" w:right="151" w:hanging="154"/>
              <w:jc w:val="left"/>
              <w:rPr>
                <w:lang w:val="fr-FR" w:bidi="ar-KW"/>
              </w:rPr>
            </w:pPr>
            <w:r w:rsidRPr="00F1180D">
              <w:rPr>
                <w:lang w:val="fr-FR" w:bidi="ar-KW"/>
              </w:rPr>
              <w:t>7</w:t>
            </w:r>
            <w:r w:rsidR="00333C0B" w:rsidRPr="00F1180D">
              <w:rPr>
                <w:lang w:val="fr-FR" w:bidi="ar-KW"/>
              </w:rPr>
              <w:t>9 au cours du premier trimestre </w:t>
            </w:r>
            <w:r w:rsidRPr="00F1180D">
              <w:rPr>
                <w:lang w:val="fr-FR" w:bidi="ar-KW"/>
              </w:rPr>
              <w:t>2014.</w:t>
            </w:r>
          </w:p>
        </w:tc>
      </w:tr>
      <w:tr w:rsidR="000728BA" w:rsidRPr="00F1180D" w:rsidTr="001E2693">
        <w:tc>
          <w:tcPr>
            <w:tcW w:w="1843" w:type="dxa"/>
          </w:tcPr>
          <w:p w:rsidR="000728BA" w:rsidRPr="00F1180D" w:rsidRDefault="000728BA" w:rsidP="0091630C">
            <w:pPr>
              <w:spacing w:before="40" w:after="120"/>
              <w:ind w:right="113"/>
              <w:rPr>
                <w:lang w:val="fr-FR" w:bidi="ar-KW"/>
              </w:rPr>
            </w:pPr>
            <w:r w:rsidRPr="00F1180D">
              <w:rPr>
                <w:lang w:val="fr-FR" w:bidi="ar-KW"/>
              </w:rPr>
              <w:lastRenderedPageBreak/>
              <w:t>Délivrance de permis de conduire</w:t>
            </w:r>
          </w:p>
        </w:tc>
        <w:tc>
          <w:tcPr>
            <w:tcW w:w="3969" w:type="dxa"/>
          </w:tcPr>
          <w:p w:rsidR="000728BA" w:rsidRPr="00F1180D" w:rsidRDefault="000728BA" w:rsidP="001E2693">
            <w:pPr>
              <w:pStyle w:val="Bullet1G"/>
              <w:tabs>
                <w:tab w:val="clear" w:pos="1701"/>
                <w:tab w:val="num" w:pos="284"/>
              </w:tabs>
              <w:spacing w:before="40"/>
              <w:ind w:left="284" w:right="151"/>
              <w:jc w:val="left"/>
              <w:rPr>
                <w:rtl/>
                <w:lang w:val="fr-FR" w:bidi="fr-FR"/>
              </w:rPr>
            </w:pPr>
            <w:r w:rsidRPr="00F1180D">
              <w:rPr>
                <w:lang w:val="fr-FR" w:bidi="ar-KW"/>
              </w:rPr>
              <w:t>Les conditions d’octroi du permis de conduire sont fixées par l’article 85 du décret d’application du Code de la route (arrêté ministériel n</w:t>
            </w:r>
            <w:r w:rsidRPr="00F1180D">
              <w:rPr>
                <w:vertAlign w:val="superscript"/>
                <w:lang w:val="fr-FR" w:bidi="ar-KW"/>
              </w:rPr>
              <w:t>o</w:t>
            </w:r>
            <w:r w:rsidRPr="00F1180D">
              <w:rPr>
                <w:lang w:val="fr-FR" w:bidi="ar-KW"/>
              </w:rPr>
              <w:t> 1729/2005, modifié par l’arrêté n</w:t>
            </w:r>
            <w:r w:rsidRPr="00F1180D">
              <w:rPr>
                <w:vertAlign w:val="superscript"/>
                <w:lang w:val="fr-FR" w:bidi="ar-KW"/>
              </w:rPr>
              <w:t>o</w:t>
            </w:r>
            <w:r w:rsidRPr="00F1180D">
              <w:rPr>
                <w:lang w:val="fr-FR" w:bidi="ar-KW"/>
              </w:rPr>
              <w:t> 393/2013 sur les conditions d’octroi du permis de conduire):</w:t>
            </w:r>
          </w:p>
          <w:p w:rsidR="000728BA" w:rsidRPr="00F1180D" w:rsidRDefault="000728BA" w:rsidP="001E2693">
            <w:pPr>
              <w:pStyle w:val="Bullet1G"/>
              <w:tabs>
                <w:tab w:val="clear" w:pos="1701"/>
                <w:tab w:val="num" w:pos="284"/>
              </w:tabs>
              <w:spacing w:before="40"/>
              <w:ind w:left="284" w:right="151"/>
              <w:jc w:val="left"/>
              <w:rPr>
                <w:lang w:val="fr-FR" w:bidi="ar-KW"/>
              </w:rPr>
            </w:pPr>
            <w:r w:rsidRPr="00F1180D">
              <w:rPr>
                <w:lang w:val="fr-FR" w:bidi="ar-KW"/>
              </w:rPr>
              <w:t>«Certaines catégories sont exemptées de ces conditions, notamment les résidents en situation irrégulière qui possèdent des cartes valables délivrées par l’Office central de traitement de la situation des résidents en situation irrégulière».</w:t>
            </w:r>
          </w:p>
          <w:p w:rsidR="000728BA" w:rsidRPr="00F1180D" w:rsidRDefault="000728BA" w:rsidP="001E2693">
            <w:pPr>
              <w:pStyle w:val="Bullet1G"/>
              <w:tabs>
                <w:tab w:val="clear" w:pos="1701"/>
                <w:tab w:val="num" w:pos="284"/>
              </w:tabs>
              <w:spacing w:before="40"/>
              <w:ind w:left="284" w:right="151"/>
              <w:jc w:val="left"/>
              <w:rPr>
                <w:lang w:val="fr-FR" w:bidi="ar-KW"/>
              </w:rPr>
            </w:pPr>
            <w:r w:rsidRPr="00F1180D">
              <w:rPr>
                <w:lang w:val="fr-FR" w:bidi="ar-KW"/>
              </w:rPr>
              <w:t xml:space="preserve">Les permis de conduire sont délivrés à tous les résidents en situation irrégulière âgés de 18 ans lorsqu’ils réussissent les épreuves du </w:t>
            </w:r>
            <w:r w:rsidRPr="00F1180D">
              <w:rPr>
                <w:lang w:val="fr-FR" w:bidi="ar-KW"/>
              </w:rPr>
              <w:lastRenderedPageBreak/>
              <w:t xml:space="preserve">code de la route et l’examen de conduite. </w:t>
            </w:r>
          </w:p>
          <w:p w:rsidR="000728BA" w:rsidRPr="00F1180D" w:rsidRDefault="000728BA" w:rsidP="001E2693">
            <w:pPr>
              <w:pStyle w:val="Bullet1G"/>
              <w:tabs>
                <w:tab w:val="clear" w:pos="1701"/>
                <w:tab w:val="num" w:pos="284"/>
              </w:tabs>
              <w:spacing w:before="40"/>
              <w:ind w:left="284" w:right="151"/>
              <w:jc w:val="left"/>
              <w:rPr>
                <w:lang w:val="fr-FR" w:bidi="ar-KW"/>
              </w:rPr>
            </w:pPr>
            <w:r w:rsidRPr="00F1180D">
              <w:rPr>
                <w:lang w:val="fr-FR" w:bidi="ar-KW"/>
              </w:rPr>
              <w:t>Les permis de conduire sont indifféremment délivrés aux hommes et aux femmes remplissant les conditions légales requises à cet effet.</w:t>
            </w:r>
          </w:p>
        </w:tc>
        <w:tc>
          <w:tcPr>
            <w:tcW w:w="3827" w:type="dxa"/>
          </w:tcPr>
          <w:p w:rsidR="000728BA" w:rsidRPr="00F1180D" w:rsidRDefault="000728BA" w:rsidP="001E2693">
            <w:pPr>
              <w:pStyle w:val="Bullet1G"/>
              <w:tabs>
                <w:tab w:val="clear" w:pos="1701"/>
                <w:tab w:val="num" w:pos="284"/>
              </w:tabs>
              <w:spacing w:before="40"/>
              <w:ind w:left="284" w:right="151"/>
              <w:jc w:val="left"/>
              <w:rPr>
                <w:rtl/>
                <w:lang w:val="fr-FR" w:bidi="fr-FR"/>
              </w:rPr>
            </w:pPr>
            <w:r w:rsidRPr="00F1180D">
              <w:rPr>
                <w:lang w:val="fr-FR" w:bidi="ar-KW"/>
              </w:rPr>
              <w:lastRenderedPageBreak/>
              <w:t>Permis de conduire:</w:t>
            </w:r>
          </w:p>
          <w:p w:rsidR="000728BA" w:rsidRPr="00F1180D" w:rsidRDefault="000728BA" w:rsidP="001E2693">
            <w:pPr>
              <w:pStyle w:val="Bullet1G"/>
              <w:tabs>
                <w:tab w:val="clear" w:pos="1701"/>
                <w:tab w:val="num" w:pos="485"/>
              </w:tabs>
              <w:spacing w:before="40"/>
              <w:ind w:left="485" w:right="151" w:hanging="154"/>
              <w:jc w:val="left"/>
              <w:rPr>
                <w:lang w:val="fr-FR" w:bidi="ar-KW"/>
              </w:rPr>
            </w:pPr>
            <w:r w:rsidRPr="00F1180D">
              <w:rPr>
                <w:lang w:val="fr-FR" w:bidi="ar-KW"/>
              </w:rPr>
              <w:t>De 2012 à 2014: délivrance de 34 085 permis de conduire.</w:t>
            </w:r>
          </w:p>
          <w:p w:rsidR="000728BA" w:rsidRPr="00F1180D" w:rsidRDefault="000728BA" w:rsidP="001E2693">
            <w:pPr>
              <w:pStyle w:val="Bullet1G"/>
              <w:tabs>
                <w:tab w:val="clear" w:pos="1701"/>
                <w:tab w:val="num" w:pos="284"/>
              </w:tabs>
              <w:spacing w:before="40"/>
              <w:ind w:left="284" w:right="151"/>
              <w:jc w:val="left"/>
              <w:rPr>
                <w:lang w:val="fr-FR" w:bidi="ar-KW"/>
              </w:rPr>
            </w:pPr>
            <w:r w:rsidRPr="00F1180D">
              <w:rPr>
                <w:lang w:val="fr-FR" w:bidi="ar-KW"/>
              </w:rPr>
              <w:t>Enregistrement, renouvellement et</w:t>
            </w:r>
            <w:r w:rsidR="009B1350" w:rsidRPr="00F1180D">
              <w:rPr>
                <w:lang w:val="fr-FR" w:bidi="ar-KW"/>
              </w:rPr>
              <w:t xml:space="preserve"> </w:t>
            </w:r>
            <w:r w:rsidRPr="00F1180D">
              <w:rPr>
                <w:lang w:val="fr-FR" w:bidi="ar-KW"/>
              </w:rPr>
              <w:t>cession d’immatriculations de véhicules:</w:t>
            </w:r>
          </w:p>
          <w:p w:rsidR="000728BA" w:rsidRPr="00F1180D" w:rsidRDefault="000728BA" w:rsidP="001E2693">
            <w:pPr>
              <w:pStyle w:val="Bullet1G"/>
              <w:tabs>
                <w:tab w:val="clear" w:pos="1701"/>
                <w:tab w:val="num" w:pos="485"/>
              </w:tabs>
              <w:spacing w:before="40"/>
              <w:ind w:left="485" w:right="151" w:hanging="154"/>
              <w:jc w:val="left"/>
              <w:rPr>
                <w:lang w:val="fr-FR" w:bidi="ar-KW"/>
              </w:rPr>
            </w:pPr>
            <w:r w:rsidRPr="00F1180D">
              <w:rPr>
                <w:lang w:val="fr-FR" w:bidi="ar-KW"/>
              </w:rPr>
              <w:t>En 2012: 3 186 procédures.</w:t>
            </w:r>
          </w:p>
        </w:tc>
      </w:tr>
      <w:tr w:rsidR="000728BA" w:rsidRPr="00F1180D" w:rsidTr="00727FA9">
        <w:tc>
          <w:tcPr>
            <w:tcW w:w="1843" w:type="dxa"/>
          </w:tcPr>
          <w:p w:rsidR="000728BA" w:rsidRPr="00F1180D" w:rsidRDefault="000728BA" w:rsidP="0091630C">
            <w:pPr>
              <w:spacing w:before="40" w:after="120"/>
              <w:ind w:right="113"/>
              <w:rPr>
                <w:lang w:val="fr-FR" w:bidi="ar-KW"/>
              </w:rPr>
            </w:pPr>
            <w:r w:rsidRPr="00F1180D">
              <w:rPr>
                <w:lang w:val="fr-FR" w:bidi="ar-KW"/>
              </w:rPr>
              <w:lastRenderedPageBreak/>
              <w:t>Emploi</w:t>
            </w:r>
          </w:p>
        </w:tc>
        <w:tc>
          <w:tcPr>
            <w:tcW w:w="3969" w:type="dxa"/>
          </w:tcPr>
          <w:p w:rsidR="000728BA" w:rsidRPr="00F1180D" w:rsidRDefault="000728BA" w:rsidP="00A42C20">
            <w:pPr>
              <w:pStyle w:val="Bullet1G"/>
              <w:tabs>
                <w:tab w:val="clear" w:pos="1701"/>
                <w:tab w:val="num" w:pos="284"/>
              </w:tabs>
              <w:spacing w:before="40"/>
              <w:ind w:left="284" w:right="151"/>
              <w:jc w:val="left"/>
              <w:rPr>
                <w:rtl/>
                <w:lang w:val="fr-FR" w:bidi="fr-FR"/>
              </w:rPr>
            </w:pPr>
            <w:r w:rsidRPr="00F1180D">
              <w:rPr>
                <w:lang w:val="fr-FR" w:bidi="ar-KW"/>
              </w:rPr>
              <w:t xml:space="preserve">Un accord a été conclu avec le Bureau de la fonction publique au sujet des recrutements dans le secteur public (autorité compétente au niveau national) afin que les résidents en situation irrégulière puissent être recrutés dans les ministères, en fonction des besoins. </w:t>
            </w:r>
          </w:p>
          <w:p w:rsidR="000728BA" w:rsidRPr="00F1180D" w:rsidRDefault="000728BA" w:rsidP="00A42C20">
            <w:pPr>
              <w:pStyle w:val="Bullet1G"/>
              <w:tabs>
                <w:tab w:val="clear" w:pos="1701"/>
                <w:tab w:val="num" w:pos="284"/>
              </w:tabs>
              <w:spacing w:before="40"/>
              <w:ind w:left="284" w:right="151"/>
              <w:jc w:val="left"/>
              <w:rPr>
                <w:lang w:val="fr-FR" w:bidi="ar-KW"/>
              </w:rPr>
            </w:pPr>
            <w:r w:rsidRPr="00F1180D">
              <w:rPr>
                <w:lang w:val="fr-FR" w:bidi="ar-KW"/>
              </w:rPr>
              <w:t xml:space="preserve">S’agissant de l’emploi dans le secteur privé: un site Web a été créé en collaboration avec la Chambre de commerce et d’industrie koweïtienne et le Ministère des affaires sociales et de l’emploi pour que les demandeurs d’emploi soient affectés à différents postes du secteur privé en fonction des vacances de poste. </w:t>
            </w:r>
          </w:p>
          <w:p w:rsidR="000728BA" w:rsidRPr="00F1180D" w:rsidRDefault="000728BA" w:rsidP="00A42C20">
            <w:pPr>
              <w:pStyle w:val="Bullet1G"/>
              <w:tabs>
                <w:tab w:val="clear" w:pos="1701"/>
                <w:tab w:val="num" w:pos="284"/>
              </w:tabs>
              <w:spacing w:before="40"/>
              <w:ind w:left="284" w:right="151"/>
              <w:jc w:val="left"/>
              <w:rPr>
                <w:lang w:val="fr-FR" w:bidi="ar-KW"/>
              </w:rPr>
            </w:pPr>
            <w:r w:rsidRPr="00F1180D">
              <w:rPr>
                <w:lang w:val="fr-FR" w:bidi="ar-KW"/>
              </w:rPr>
              <w:t xml:space="preserve">Le salaire des fonctionnaires recrutés parmi les résidents en situation irrégulière correspond à celui des candidats recrutés en vertu du statut de la fonction publique et il est fixé en fonction du type de poste occupé, sachant que les intéressés sont traités sur un pied d’égalité avec les fonctionnaires en situation régulière. Dans le secteur privé, le salaire est fixé en fonction du contrat conclu entre les deux parties. </w:t>
            </w:r>
          </w:p>
          <w:p w:rsidR="000728BA" w:rsidRPr="00F1180D" w:rsidRDefault="000728BA" w:rsidP="00A42C20">
            <w:pPr>
              <w:pStyle w:val="Bullet1G"/>
              <w:tabs>
                <w:tab w:val="clear" w:pos="1701"/>
                <w:tab w:val="num" w:pos="284"/>
              </w:tabs>
              <w:spacing w:before="40"/>
              <w:ind w:left="284" w:right="151"/>
              <w:jc w:val="left"/>
              <w:rPr>
                <w:lang w:val="fr-FR" w:bidi="ar-KW"/>
              </w:rPr>
            </w:pPr>
            <w:r w:rsidRPr="00F1180D">
              <w:rPr>
                <w:lang w:val="fr-FR" w:bidi="ar-KW"/>
              </w:rPr>
              <w:t>Emploi dans le secteur coopératif: des efforts ont été faits en coordination avec la Fédération des associations coopératives en vue d’offrir des emplois aux résidents en situation irrégulière.</w:t>
            </w:r>
          </w:p>
          <w:p w:rsidR="000728BA" w:rsidRPr="00F1180D" w:rsidRDefault="000728BA" w:rsidP="00A42C20">
            <w:pPr>
              <w:pStyle w:val="Bullet1G"/>
              <w:tabs>
                <w:tab w:val="clear" w:pos="1701"/>
                <w:tab w:val="num" w:pos="284"/>
              </w:tabs>
              <w:spacing w:before="40"/>
              <w:ind w:left="284" w:right="151"/>
              <w:jc w:val="left"/>
              <w:rPr>
                <w:lang w:val="fr-FR" w:bidi="ar-KW"/>
              </w:rPr>
            </w:pPr>
            <w:r w:rsidRPr="00F1180D">
              <w:rPr>
                <w:lang w:val="fr-FR" w:bidi="ar-KW"/>
              </w:rPr>
              <w:t>Les opportunités d’emploi sont les mêmes pour les femmes et les hommes; il n’existe aucune discrimination en matière d’accès à l’emploi.</w:t>
            </w:r>
          </w:p>
          <w:p w:rsidR="000728BA" w:rsidRPr="00F1180D" w:rsidRDefault="000728BA" w:rsidP="00A42C20">
            <w:pPr>
              <w:pStyle w:val="Bullet1G"/>
              <w:tabs>
                <w:tab w:val="clear" w:pos="1701"/>
                <w:tab w:val="num" w:pos="284"/>
              </w:tabs>
              <w:spacing w:before="40"/>
              <w:ind w:left="284" w:right="151"/>
              <w:jc w:val="left"/>
              <w:rPr>
                <w:lang w:val="fr-FR" w:bidi="ar-KW"/>
              </w:rPr>
            </w:pPr>
            <w:r w:rsidRPr="00F1180D">
              <w:rPr>
                <w:lang w:val="fr-FR" w:bidi="ar-KW"/>
              </w:rPr>
              <w:t>Le Gouvernement s’emploie à lutter par tous les moyens légaux existants contre l’exploitation économique des enfants en situation irrégulière par leurs familles, car ce phénomène a des répercussions négatives sur leur scolarité.</w:t>
            </w:r>
          </w:p>
        </w:tc>
        <w:tc>
          <w:tcPr>
            <w:tcW w:w="3827" w:type="dxa"/>
          </w:tcPr>
          <w:p w:rsidR="000728BA" w:rsidRPr="00F1180D" w:rsidRDefault="000728BA" w:rsidP="00A84ED6">
            <w:pPr>
              <w:pStyle w:val="Bullet1G"/>
              <w:tabs>
                <w:tab w:val="clear" w:pos="1701"/>
                <w:tab w:val="num" w:pos="284"/>
              </w:tabs>
              <w:spacing w:before="40"/>
              <w:ind w:left="284" w:right="151"/>
              <w:jc w:val="left"/>
              <w:rPr>
                <w:lang w:val="fr-FR" w:bidi="ar-KW"/>
              </w:rPr>
            </w:pPr>
            <w:r w:rsidRPr="00F1180D">
              <w:rPr>
                <w:lang w:val="fr-FR" w:bidi="ar-KW"/>
              </w:rPr>
              <w:t>Jusqu’en mars 2014, un nombre de 1 419 résidents en situation irrégulière a été recruté dans la fonction publique.</w:t>
            </w:r>
          </w:p>
          <w:p w:rsidR="000728BA" w:rsidRPr="00F1180D" w:rsidRDefault="000728BA" w:rsidP="00A84ED6">
            <w:pPr>
              <w:pStyle w:val="Bullet1G"/>
              <w:tabs>
                <w:tab w:val="clear" w:pos="1701"/>
                <w:tab w:val="num" w:pos="284"/>
              </w:tabs>
              <w:spacing w:before="40"/>
              <w:ind w:left="284" w:right="151"/>
              <w:jc w:val="left"/>
              <w:rPr>
                <w:lang w:val="fr-FR" w:bidi="ar-KW"/>
              </w:rPr>
            </w:pPr>
            <w:r w:rsidRPr="00F1180D">
              <w:rPr>
                <w:lang w:val="fr-FR" w:bidi="ar-KW"/>
              </w:rPr>
              <w:t xml:space="preserve">En 2015, 2 030 personnes nées de mère Koweïtienne et résidant irrégulièrement au Koweït ont été recrutées par le Ministère de la défense. </w:t>
            </w:r>
          </w:p>
          <w:p w:rsidR="000728BA" w:rsidRPr="00F1180D" w:rsidRDefault="000728BA" w:rsidP="00A84ED6">
            <w:pPr>
              <w:pStyle w:val="Bullet1G"/>
              <w:tabs>
                <w:tab w:val="clear" w:pos="1701"/>
                <w:tab w:val="num" w:pos="284"/>
              </w:tabs>
              <w:spacing w:before="40"/>
              <w:ind w:left="284" w:right="151"/>
              <w:jc w:val="left"/>
              <w:rPr>
                <w:lang w:val="fr-FR" w:bidi="ar-KW"/>
              </w:rPr>
            </w:pPr>
            <w:r w:rsidRPr="00F1180D">
              <w:rPr>
                <w:lang w:val="fr-FR" w:bidi="ar-KW"/>
              </w:rPr>
              <w:t xml:space="preserve">630 résidents en situation irrégulière ont été recrutés dans le secteur des associations coopératives. </w:t>
            </w:r>
          </w:p>
          <w:p w:rsidR="000728BA" w:rsidRPr="00F1180D" w:rsidRDefault="000728BA" w:rsidP="00A84ED6">
            <w:pPr>
              <w:spacing w:before="40" w:after="120"/>
              <w:ind w:right="113"/>
              <w:rPr>
                <w:lang w:val="fr-FR" w:bidi="ar-KW"/>
              </w:rPr>
            </w:pPr>
          </w:p>
        </w:tc>
      </w:tr>
      <w:tr w:rsidR="000728BA" w:rsidRPr="00F1180D" w:rsidTr="00492522">
        <w:tc>
          <w:tcPr>
            <w:tcW w:w="1843" w:type="dxa"/>
          </w:tcPr>
          <w:p w:rsidR="000728BA" w:rsidRPr="00F1180D" w:rsidRDefault="000728BA" w:rsidP="00A84ED6">
            <w:pPr>
              <w:keepNext/>
              <w:spacing w:before="40" w:after="120"/>
              <w:ind w:right="113"/>
              <w:rPr>
                <w:lang w:val="fr-FR" w:bidi="ar-KW"/>
              </w:rPr>
            </w:pPr>
            <w:r w:rsidRPr="00F1180D">
              <w:rPr>
                <w:lang w:val="fr-FR" w:bidi="ar-KW"/>
              </w:rPr>
              <w:lastRenderedPageBreak/>
              <w:t xml:space="preserve">Octroi d’une carte d’approvisionnement </w:t>
            </w:r>
          </w:p>
        </w:tc>
        <w:tc>
          <w:tcPr>
            <w:tcW w:w="3969" w:type="dxa"/>
          </w:tcPr>
          <w:p w:rsidR="000728BA" w:rsidRPr="00F1180D" w:rsidRDefault="000728BA" w:rsidP="00A84ED6">
            <w:pPr>
              <w:pStyle w:val="Bullet1G"/>
              <w:keepNext/>
              <w:tabs>
                <w:tab w:val="clear" w:pos="1701"/>
                <w:tab w:val="num" w:pos="284"/>
              </w:tabs>
              <w:spacing w:before="40"/>
              <w:ind w:left="284" w:right="151"/>
              <w:jc w:val="left"/>
              <w:rPr>
                <w:rtl/>
                <w:lang w:val="fr-FR" w:bidi="fr-FR"/>
              </w:rPr>
            </w:pPr>
            <w:r w:rsidRPr="00F1180D">
              <w:rPr>
                <w:lang w:val="fr-FR" w:bidi="ar-KW"/>
              </w:rPr>
              <w:t xml:space="preserve">Grâce aux cartes d’approvisionnement, les résidents en situation irrégulière ont accès aux produits alimentaires de base subventionnés par l’État. </w:t>
            </w:r>
          </w:p>
          <w:p w:rsidR="000728BA" w:rsidRPr="00F1180D" w:rsidRDefault="000728BA" w:rsidP="00A84ED6">
            <w:pPr>
              <w:pStyle w:val="Bullet1G"/>
              <w:keepNext/>
              <w:tabs>
                <w:tab w:val="clear" w:pos="1701"/>
                <w:tab w:val="num" w:pos="284"/>
              </w:tabs>
              <w:spacing w:before="40"/>
              <w:ind w:left="284" w:right="151"/>
              <w:jc w:val="left"/>
              <w:rPr>
                <w:lang w:val="fr-FR" w:bidi="ar-KW"/>
              </w:rPr>
            </w:pPr>
            <w:r w:rsidRPr="00F1180D">
              <w:rPr>
                <w:lang w:val="fr-FR" w:bidi="ar-KW"/>
              </w:rPr>
              <w:t>Il s’agit notamment des produits suivant: riz, sucre, huile, lait maternisé, volailles, fromages, lentilles et concentré de tomate.</w:t>
            </w:r>
          </w:p>
        </w:tc>
        <w:tc>
          <w:tcPr>
            <w:tcW w:w="3827" w:type="dxa"/>
          </w:tcPr>
          <w:p w:rsidR="000728BA" w:rsidRPr="00F1180D" w:rsidRDefault="000728BA" w:rsidP="00492522">
            <w:pPr>
              <w:pStyle w:val="Bullet1G"/>
              <w:keepNext/>
              <w:tabs>
                <w:tab w:val="clear" w:pos="1701"/>
                <w:tab w:val="num" w:pos="284"/>
              </w:tabs>
              <w:spacing w:before="40"/>
              <w:ind w:left="284" w:right="151"/>
              <w:jc w:val="left"/>
              <w:rPr>
                <w:lang w:val="fr-FR" w:bidi="ar-KW"/>
              </w:rPr>
            </w:pPr>
            <w:r w:rsidRPr="00F1180D">
              <w:rPr>
                <w:lang w:val="fr-FR" w:bidi="ar-KW"/>
              </w:rPr>
              <w:t>98 384 résidents en situation irrégulière ont bénéficié de la carte d’approvisionnement jusqu’en 2014, pour un coût total de 699 527</w:t>
            </w:r>
            <w:r w:rsidR="009B1350" w:rsidRPr="00F1180D">
              <w:rPr>
                <w:lang w:val="fr-FR" w:bidi="ar-KW"/>
              </w:rPr>
              <w:t> dinars</w:t>
            </w:r>
            <w:r w:rsidRPr="00F1180D">
              <w:rPr>
                <w:lang w:val="fr-FR" w:bidi="ar-KW"/>
              </w:rPr>
              <w:t xml:space="preserve"> koweïtiens (2 303 659,67 dollars américains).</w:t>
            </w:r>
          </w:p>
        </w:tc>
      </w:tr>
      <w:tr w:rsidR="000728BA" w:rsidRPr="00F1180D" w:rsidTr="00492522">
        <w:tc>
          <w:tcPr>
            <w:tcW w:w="1843" w:type="dxa"/>
          </w:tcPr>
          <w:p w:rsidR="000728BA" w:rsidRPr="00F1180D" w:rsidRDefault="000728BA" w:rsidP="0091630C">
            <w:pPr>
              <w:spacing w:before="40" w:after="120"/>
              <w:ind w:right="113"/>
              <w:rPr>
                <w:lang w:val="fr-FR" w:bidi="ar-KW"/>
              </w:rPr>
            </w:pPr>
            <w:r w:rsidRPr="00F1180D">
              <w:rPr>
                <w:lang w:val="fr-FR" w:bidi="ar-KW"/>
              </w:rPr>
              <w:t xml:space="preserve">Protection des personnes handicapées </w:t>
            </w:r>
          </w:p>
        </w:tc>
        <w:tc>
          <w:tcPr>
            <w:tcW w:w="3969" w:type="dxa"/>
          </w:tcPr>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t>Les résidents en situation irrégulière handicapés, auxquels s’applique l’article 2/1 de la loi n</w:t>
            </w:r>
            <w:r w:rsidRPr="00F1180D">
              <w:rPr>
                <w:vertAlign w:val="superscript"/>
                <w:lang w:val="fr-FR" w:bidi="ar-KW"/>
              </w:rPr>
              <w:t>o</w:t>
            </w:r>
            <w:r w:rsidRPr="00F1180D">
              <w:rPr>
                <w:lang w:val="fr-FR" w:bidi="ar-KW"/>
              </w:rPr>
              <w:t xml:space="preserve"> 8/2010 sur les droits des personnes handicapées, bénéficient des services fournis par le Conseil supérieur des personnes handicapées, qui dispose ce qui suit: «Les dispositions de la présente loi s’appliquent aux personnes handicapées de nationalité koweïtienne, ainsi qu’aux enfants des Koweïtiennes mariées à des non Koweïtiens, dans la limite des droits à la protection sociale, à l’éducation et à l’emploi prévus la présente loi».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Les personnes non visées par l’article susmentionné sont couvertes par le Fonds d’aide aux malades et le Bureau de la zakat (aumône légale).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Des réunions de coordination sont en cours avec l’Autorité publique chargée des personnes handicapées non Koweïtiennes, conformément aux conditions et règles fixées par cette instance, après approbation du Conseil supérieur des personnes handicapées, le but étant de permettre aux résidents en situation irrégulière de bénéficier de ces dispositions. </w:t>
            </w:r>
          </w:p>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t>En attendant l’adoption de la proposition précédente, l’Autorité offre aux handicapés en situation irrégulière les services suivants:</w:t>
            </w:r>
          </w:p>
          <w:p w:rsidR="000728BA" w:rsidRPr="00F1180D" w:rsidRDefault="00A42C20" w:rsidP="00492522">
            <w:pPr>
              <w:tabs>
                <w:tab w:val="left" w:pos="255"/>
              </w:tabs>
              <w:spacing w:before="40" w:after="120"/>
              <w:ind w:left="255" w:right="113" w:hanging="255"/>
              <w:rPr>
                <w:lang w:val="fr-FR" w:bidi="ar-KW"/>
              </w:rPr>
            </w:pPr>
            <w:r w:rsidRPr="00F1180D">
              <w:rPr>
                <w:lang w:val="fr-FR" w:bidi="ar-KW"/>
              </w:rPr>
              <w:t>1.</w:t>
            </w:r>
            <w:r w:rsidR="000728BA" w:rsidRPr="00F1180D">
              <w:rPr>
                <w:lang w:val="fr-FR" w:bidi="ar-KW"/>
              </w:rPr>
              <w:tab/>
              <w:t>Délivrance d’une attestation de handicap à faire valoir auprès des différentes institutions publiques.</w:t>
            </w:r>
          </w:p>
          <w:p w:rsidR="000728BA" w:rsidRPr="00F1180D" w:rsidRDefault="00A42C20" w:rsidP="001E2693">
            <w:pPr>
              <w:keepNext/>
              <w:tabs>
                <w:tab w:val="left" w:pos="255"/>
              </w:tabs>
              <w:spacing w:before="40" w:after="120"/>
              <w:ind w:left="255" w:right="113" w:hanging="255"/>
              <w:rPr>
                <w:lang w:val="fr-FR" w:bidi="ar-KW"/>
              </w:rPr>
            </w:pPr>
            <w:r w:rsidRPr="00F1180D">
              <w:rPr>
                <w:lang w:val="fr-FR" w:bidi="ar-KW"/>
              </w:rPr>
              <w:t>2.</w:t>
            </w:r>
            <w:r w:rsidR="000728BA" w:rsidRPr="00F1180D">
              <w:rPr>
                <w:lang w:val="fr-FR" w:bidi="ar-KW"/>
              </w:rPr>
              <w:tab/>
              <w:t>Remise de documents officiels pour leur permettre de bénéficier des prestations du Bureau de la zakat et du Fonds d’aide aux malades.</w:t>
            </w:r>
          </w:p>
          <w:p w:rsidR="000728BA" w:rsidRPr="00F1180D" w:rsidRDefault="00A42C20" w:rsidP="001E2693">
            <w:pPr>
              <w:keepNext/>
              <w:tabs>
                <w:tab w:val="left" w:pos="255"/>
              </w:tabs>
              <w:spacing w:before="40" w:after="120"/>
              <w:ind w:left="255" w:right="113" w:hanging="255"/>
              <w:rPr>
                <w:lang w:val="fr-FR" w:bidi="ar-KW"/>
              </w:rPr>
            </w:pPr>
            <w:r w:rsidRPr="00F1180D">
              <w:rPr>
                <w:lang w:val="fr-FR" w:bidi="ar-KW"/>
              </w:rPr>
              <w:t>3.</w:t>
            </w:r>
            <w:r w:rsidR="000728BA" w:rsidRPr="00F1180D">
              <w:rPr>
                <w:lang w:val="fr-FR" w:bidi="ar-KW"/>
              </w:rPr>
              <w:tab/>
              <w:t>Installation de panneaux de signalisation spéciaux à leur intention.</w:t>
            </w:r>
          </w:p>
          <w:p w:rsidR="000728BA" w:rsidRPr="00F1180D" w:rsidRDefault="00A42C20" w:rsidP="001E2693">
            <w:pPr>
              <w:keepNext/>
              <w:tabs>
                <w:tab w:val="left" w:pos="255"/>
              </w:tabs>
              <w:spacing w:before="40" w:after="120"/>
              <w:ind w:left="255" w:right="113" w:hanging="255"/>
              <w:rPr>
                <w:lang w:val="fr-FR" w:bidi="ar-KW"/>
              </w:rPr>
            </w:pPr>
            <w:r w:rsidRPr="00F1180D">
              <w:rPr>
                <w:lang w:val="fr-FR" w:bidi="ar-KW"/>
              </w:rPr>
              <w:lastRenderedPageBreak/>
              <w:t>4.</w:t>
            </w:r>
            <w:r w:rsidR="000728BA" w:rsidRPr="00F1180D">
              <w:rPr>
                <w:lang w:val="fr-FR" w:bidi="ar-KW"/>
              </w:rPr>
              <w:tab/>
              <w:t>Octroi d’une allocation aux militaires et policiers en situation irrégulière ayant des enfants handicapés, dans des conditions d’égalité avec les Koweïtiens.</w:t>
            </w:r>
          </w:p>
          <w:p w:rsidR="000728BA" w:rsidRPr="00F1180D" w:rsidRDefault="00A42C20" w:rsidP="00492522">
            <w:pPr>
              <w:tabs>
                <w:tab w:val="left" w:pos="255"/>
              </w:tabs>
              <w:spacing w:before="40" w:after="120"/>
              <w:ind w:left="255" w:right="113" w:hanging="255"/>
              <w:rPr>
                <w:lang w:val="fr-FR" w:bidi="ar-KW"/>
              </w:rPr>
            </w:pPr>
            <w:r w:rsidRPr="00F1180D">
              <w:rPr>
                <w:lang w:val="fr-FR" w:bidi="ar-KW"/>
              </w:rPr>
              <w:t>5.</w:t>
            </w:r>
            <w:r w:rsidR="000728BA" w:rsidRPr="00F1180D">
              <w:rPr>
                <w:lang w:val="fr-FR" w:bidi="ar-KW"/>
              </w:rPr>
              <w:tab/>
              <w:t>Octroi d’une aide complète à l’éducation aux enfants handicapés de mère Koweïtienne.</w:t>
            </w:r>
          </w:p>
          <w:p w:rsidR="000728BA" w:rsidRPr="00F1180D" w:rsidRDefault="00A42C20" w:rsidP="00492522">
            <w:pPr>
              <w:tabs>
                <w:tab w:val="left" w:pos="255"/>
              </w:tabs>
              <w:spacing w:before="40" w:after="120"/>
              <w:ind w:left="255" w:right="113" w:hanging="255"/>
              <w:rPr>
                <w:lang w:val="fr-FR" w:bidi="ar-KW"/>
              </w:rPr>
            </w:pPr>
            <w:r w:rsidRPr="00F1180D">
              <w:rPr>
                <w:lang w:val="fr-FR" w:bidi="ar-KW"/>
              </w:rPr>
              <w:t>6.</w:t>
            </w:r>
            <w:r w:rsidR="000728BA" w:rsidRPr="00F1180D">
              <w:rPr>
                <w:lang w:val="fr-FR" w:bidi="ar-KW"/>
              </w:rPr>
              <w:tab/>
              <w:t>Octroi d’une pension mensuelle de 300</w:t>
            </w:r>
            <w:r w:rsidR="009B1350" w:rsidRPr="00F1180D">
              <w:rPr>
                <w:lang w:val="fr-FR" w:bidi="ar-KW"/>
              </w:rPr>
              <w:t> dinars</w:t>
            </w:r>
            <w:r w:rsidR="000728BA" w:rsidRPr="00F1180D">
              <w:rPr>
                <w:lang w:val="fr-FR" w:bidi="ar-KW"/>
              </w:rPr>
              <w:t xml:space="preserve"> koweïtiens à toute femme handicapée en situation irrégulière mariée à un Koweïtien, et à toute femme divorcée ou veuve d’un Koweïtien élevant un enfant handicapé.</w:t>
            </w:r>
          </w:p>
          <w:p w:rsidR="000728BA" w:rsidRPr="00F1180D" w:rsidRDefault="00A42C20" w:rsidP="00492522">
            <w:pPr>
              <w:tabs>
                <w:tab w:val="left" w:pos="255"/>
              </w:tabs>
              <w:spacing w:before="40" w:after="120"/>
              <w:ind w:left="255" w:right="113" w:hanging="255"/>
              <w:rPr>
                <w:lang w:val="fr-FR" w:bidi="ar-KW"/>
              </w:rPr>
            </w:pPr>
            <w:r w:rsidRPr="00F1180D">
              <w:rPr>
                <w:lang w:val="fr-FR" w:bidi="ar-KW"/>
              </w:rPr>
              <w:t>7.</w:t>
            </w:r>
            <w:r w:rsidR="000728BA" w:rsidRPr="00F1180D">
              <w:rPr>
                <w:lang w:val="fr-FR" w:bidi="ar-KW"/>
              </w:rPr>
              <w:tab/>
              <w:t>Délivrance d’une attestation aux Koweïtiennes ayant un enfant handicapé afin de leur permettre de bénéficier d’un horaire de travail allégé.</w:t>
            </w:r>
          </w:p>
          <w:p w:rsidR="000728BA" w:rsidRPr="00F1180D" w:rsidRDefault="00A42C20" w:rsidP="00492522">
            <w:pPr>
              <w:tabs>
                <w:tab w:val="left" w:pos="255"/>
              </w:tabs>
              <w:spacing w:before="40" w:after="120"/>
              <w:ind w:left="255" w:right="113" w:hanging="255"/>
              <w:rPr>
                <w:lang w:val="fr-FR" w:bidi="ar-KW"/>
              </w:rPr>
            </w:pPr>
            <w:r w:rsidRPr="00F1180D">
              <w:rPr>
                <w:lang w:val="fr-FR" w:bidi="ar-KW"/>
              </w:rPr>
              <w:t>8.</w:t>
            </w:r>
            <w:r w:rsidR="000728BA" w:rsidRPr="00F1180D">
              <w:rPr>
                <w:lang w:val="fr-FR" w:bidi="ar-KW"/>
              </w:rPr>
              <w:tab/>
              <w:t xml:space="preserve">Exemption des frais d’établissement du permis de séjour.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L’Autorité n’est pas la seule instance à offrir des prestations aux personnes handicapées, dans la mesure où plusieurs départements ministériels s’emploient à répondre à leurs besoins, notamment le Ministère de l’éducation et de l’enseignement supérieur, qui veille à ce que les enfants ayant des besoins particuliers soient admis dans les écoles publiques et privées.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Recrutement par le Ministère des affaires sociales et de l’emploi de personnes handicapées mentales titulaires d’un certificat d’aptitude professionnelle. </w:t>
            </w:r>
          </w:p>
        </w:tc>
        <w:tc>
          <w:tcPr>
            <w:tcW w:w="3827" w:type="dxa"/>
          </w:tcPr>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lastRenderedPageBreak/>
              <w:t>Un nombre de 1 871 résidents en situation irrégulière bénéficie des services fournis par l’Autorité publique chargée des personnes handicapées.</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En 2013, 36 garçons et filles handicapés étaient inscrits dans les classes réservées aux personnes ayant des besoins spéciaux dans des écoles privées.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Au cours de l’année scolaire 2009/10, 87 garçons et filles handicapés étaient inscrits dans les écoles publiques.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En 2010/11, ce nombre était de 91 enfants (garçons et filles).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Jusqu’en janvier 2013, un nombre de 89 personnes handicapées a bénéficié des services offerts par les centres d’accueil. </w:t>
            </w:r>
          </w:p>
        </w:tc>
      </w:tr>
      <w:tr w:rsidR="000728BA" w:rsidRPr="00F1180D" w:rsidTr="00492522">
        <w:tc>
          <w:tcPr>
            <w:tcW w:w="1843" w:type="dxa"/>
          </w:tcPr>
          <w:p w:rsidR="000728BA" w:rsidRPr="00F1180D" w:rsidRDefault="000728BA" w:rsidP="0091630C">
            <w:pPr>
              <w:keepNext/>
              <w:spacing w:before="40" w:after="120"/>
              <w:ind w:right="113"/>
              <w:rPr>
                <w:lang w:val="fr-FR" w:bidi="ar-KW"/>
              </w:rPr>
            </w:pPr>
            <w:r w:rsidRPr="00F1180D">
              <w:rPr>
                <w:lang w:val="fr-FR" w:bidi="ar-KW"/>
              </w:rPr>
              <w:lastRenderedPageBreak/>
              <w:t xml:space="preserve">Logement </w:t>
            </w:r>
          </w:p>
        </w:tc>
        <w:tc>
          <w:tcPr>
            <w:tcW w:w="3969" w:type="dxa"/>
          </w:tcPr>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t>La loi n</w:t>
            </w:r>
            <w:r w:rsidRPr="00F1180D">
              <w:rPr>
                <w:vertAlign w:val="superscript"/>
                <w:lang w:val="fr-FR" w:bidi="ar-KW"/>
              </w:rPr>
              <w:t>o</w:t>
            </w:r>
            <w:r w:rsidRPr="00F1180D">
              <w:rPr>
                <w:lang w:val="fr-FR" w:bidi="ar-KW"/>
              </w:rPr>
              <w:t xml:space="preserve"> 45/2007 sur le logement prévoit le lancement d’un projet de logement à faible coût.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Les militaires et policiers recrutés parmi les résidents en situation irrégulière ont droit aux prestations de sécurité sociale. </w:t>
            </w:r>
          </w:p>
        </w:tc>
        <w:tc>
          <w:tcPr>
            <w:tcW w:w="3827" w:type="dxa"/>
          </w:tcPr>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t xml:space="preserve">Au total, 4 800 logements sont occupés par des résidents en situation irrégulière.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Le montant des aides au logement versées aux sans-abri a atteint près de 2 millions de</w:t>
            </w:r>
            <w:r w:rsidR="009B1350" w:rsidRPr="00F1180D">
              <w:rPr>
                <w:lang w:val="fr-FR" w:bidi="ar-KW"/>
              </w:rPr>
              <w:t> dinars</w:t>
            </w:r>
            <w:r w:rsidR="001E2693" w:rsidRPr="00F1180D">
              <w:rPr>
                <w:lang w:val="fr-FR" w:bidi="ar-KW"/>
              </w:rPr>
              <w:t xml:space="preserve"> koweïtiens (soit 6 602 </w:t>
            </w:r>
            <w:r w:rsidRPr="00F1180D">
              <w:rPr>
                <w:lang w:val="fr-FR" w:bidi="ar-KW"/>
              </w:rPr>
              <w:t xml:space="preserve">839,22 dollars américains). </w:t>
            </w:r>
          </w:p>
        </w:tc>
      </w:tr>
      <w:tr w:rsidR="000728BA" w:rsidRPr="00F1180D" w:rsidTr="00492522">
        <w:tc>
          <w:tcPr>
            <w:tcW w:w="1843" w:type="dxa"/>
          </w:tcPr>
          <w:p w:rsidR="000728BA" w:rsidRPr="00F1180D" w:rsidRDefault="000728BA" w:rsidP="0091630C">
            <w:pPr>
              <w:spacing w:before="40" w:after="120"/>
              <w:ind w:right="113"/>
              <w:rPr>
                <w:rtl/>
                <w:lang w:val="fr-FR" w:bidi="fr-FR"/>
              </w:rPr>
            </w:pPr>
            <w:r w:rsidRPr="00F1180D">
              <w:rPr>
                <w:lang w:val="fr-FR" w:bidi="ar-KW"/>
              </w:rPr>
              <w:t xml:space="preserve">Services sociaux </w:t>
            </w:r>
          </w:p>
          <w:p w:rsidR="000728BA" w:rsidRPr="00F1180D" w:rsidRDefault="00C208C2" w:rsidP="00A84ED6">
            <w:pPr>
              <w:tabs>
                <w:tab w:val="left" w:pos="288"/>
              </w:tabs>
              <w:spacing w:before="40" w:after="120"/>
              <w:ind w:right="113"/>
              <w:rPr>
                <w:rtl/>
                <w:lang w:val="fr-FR" w:bidi="fr-FR"/>
              </w:rPr>
            </w:pPr>
            <w:r w:rsidRPr="00F1180D">
              <w:rPr>
                <w:lang w:val="fr-FR" w:bidi="ar-KW"/>
              </w:rPr>
              <w:t>a)</w:t>
            </w:r>
            <w:r w:rsidR="00A84ED6" w:rsidRPr="00F1180D">
              <w:rPr>
                <w:lang w:val="fr-FR" w:bidi="ar-KW"/>
              </w:rPr>
              <w:tab/>
            </w:r>
            <w:r w:rsidR="000728BA" w:rsidRPr="00F1180D">
              <w:rPr>
                <w:lang w:val="fr-FR" w:bidi="ar-KW"/>
              </w:rPr>
              <w:t>Assurance sociale</w:t>
            </w:r>
          </w:p>
          <w:p w:rsidR="000728BA" w:rsidRPr="00F1180D" w:rsidRDefault="000728BA" w:rsidP="0091630C">
            <w:pPr>
              <w:spacing w:before="40" w:after="120"/>
              <w:ind w:right="113"/>
              <w:rPr>
                <w:rtl/>
                <w:lang w:val="fr-FR" w:bidi="fr-FR"/>
              </w:rPr>
            </w:pPr>
            <w:r w:rsidRPr="00F1180D">
              <w:rPr>
                <w:lang w:val="fr-FR" w:bidi="ar-KW"/>
              </w:rPr>
              <w:t xml:space="preserve">Versement des pensions de retraite </w:t>
            </w:r>
          </w:p>
          <w:p w:rsidR="000728BA" w:rsidRPr="00F1180D" w:rsidRDefault="000728BA" w:rsidP="00A84ED6">
            <w:pPr>
              <w:tabs>
                <w:tab w:val="left" w:pos="288"/>
              </w:tabs>
              <w:spacing w:before="40" w:after="120"/>
              <w:ind w:right="113"/>
              <w:rPr>
                <w:rtl/>
                <w:lang w:val="fr-FR" w:bidi="fr-FR"/>
              </w:rPr>
            </w:pPr>
            <w:r w:rsidRPr="00F1180D">
              <w:rPr>
                <w:lang w:val="fr-FR" w:bidi="ar-KW"/>
              </w:rPr>
              <w:t xml:space="preserve">b) </w:t>
            </w:r>
            <w:r w:rsidR="00A84ED6" w:rsidRPr="00F1180D">
              <w:rPr>
                <w:lang w:val="fr-FR" w:bidi="ar-KW"/>
              </w:rPr>
              <w:tab/>
            </w:r>
            <w:r w:rsidRPr="00F1180D">
              <w:rPr>
                <w:lang w:val="fr-FR" w:bidi="ar-KW"/>
              </w:rPr>
              <w:t xml:space="preserve">Accueil dans les institutions de </w:t>
            </w:r>
            <w:r w:rsidRPr="00F1180D">
              <w:rPr>
                <w:lang w:val="fr-FR" w:bidi="ar-KW"/>
              </w:rPr>
              <w:lastRenderedPageBreak/>
              <w:t xml:space="preserve">protection sociale. </w:t>
            </w:r>
          </w:p>
          <w:p w:rsidR="000728BA" w:rsidRPr="00F1180D" w:rsidRDefault="000728BA" w:rsidP="00A84ED6">
            <w:pPr>
              <w:tabs>
                <w:tab w:val="left" w:pos="288"/>
              </w:tabs>
              <w:spacing w:before="40" w:after="120"/>
              <w:ind w:right="113"/>
              <w:rPr>
                <w:lang w:val="fr-FR" w:bidi="ar-KW"/>
              </w:rPr>
            </w:pPr>
            <w:r w:rsidRPr="00F1180D">
              <w:rPr>
                <w:lang w:val="fr-FR" w:bidi="ar-KW"/>
              </w:rPr>
              <w:t xml:space="preserve">c) </w:t>
            </w:r>
            <w:r w:rsidR="00A84ED6" w:rsidRPr="00F1180D">
              <w:rPr>
                <w:lang w:val="fr-FR" w:bidi="ar-KW"/>
              </w:rPr>
              <w:tab/>
            </w:r>
            <w:r w:rsidRPr="00F1180D">
              <w:rPr>
                <w:lang w:val="fr-FR" w:bidi="ar-KW"/>
              </w:rPr>
              <w:t>Dialogue avec les organisations de la société civile.</w:t>
            </w:r>
          </w:p>
        </w:tc>
        <w:tc>
          <w:tcPr>
            <w:tcW w:w="3969" w:type="dxa"/>
          </w:tcPr>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lastRenderedPageBreak/>
              <w:t xml:space="preserve">L’Office public des assurances sociales, qui est chargé de verser les pensions de retraite des Koweïtiens, octroie également des pensions de retraite aux militaires recrutés parmi les résidents en situation irrégulière.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Les services offerts par les centres d’accueil du Ministère des affaires sociales et de </w:t>
            </w:r>
            <w:r w:rsidRPr="00F1180D">
              <w:rPr>
                <w:lang w:val="fr-FR" w:bidi="ar-KW"/>
              </w:rPr>
              <w:lastRenderedPageBreak/>
              <w:t xml:space="preserve">l’emploi ciblent les catégories suivantes: </w:t>
            </w:r>
          </w:p>
          <w:p w:rsidR="000728BA" w:rsidRPr="00F1180D" w:rsidRDefault="00ED67BC" w:rsidP="00492522">
            <w:pPr>
              <w:tabs>
                <w:tab w:val="left" w:pos="284"/>
              </w:tabs>
              <w:spacing w:before="40" w:after="120"/>
              <w:ind w:left="284" w:right="113" w:hanging="284"/>
              <w:rPr>
                <w:lang w:val="fr-FR" w:bidi="ar-KW"/>
              </w:rPr>
            </w:pPr>
            <w:r w:rsidRPr="00F1180D">
              <w:rPr>
                <w:lang w:val="fr-FR" w:bidi="ar-KW"/>
              </w:rPr>
              <w:t>1.</w:t>
            </w:r>
            <w:r w:rsidR="000728BA" w:rsidRPr="00F1180D">
              <w:rPr>
                <w:lang w:val="fr-FR" w:bidi="ar-KW"/>
              </w:rPr>
              <w:tab/>
              <w:t>Les mineurs.</w:t>
            </w:r>
          </w:p>
          <w:p w:rsidR="000728BA" w:rsidRPr="00F1180D" w:rsidRDefault="00ED67BC" w:rsidP="00492522">
            <w:pPr>
              <w:tabs>
                <w:tab w:val="left" w:pos="284"/>
              </w:tabs>
              <w:spacing w:before="40" w:after="120"/>
              <w:ind w:left="284" w:right="113" w:hanging="284"/>
              <w:rPr>
                <w:lang w:val="fr-FR" w:bidi="ar-KW"/>
              </w:rPr>
            </w:pPr>
            <w:r w:rsidRPr="00F1180D">
              <w:rPr>
                <w:lang w:val="fr-FR" w:bidi="ar-KW"/>
              </w:rPr>
              <w:t>2.</w:t>
            </w:r>
            <w:r w:rsidR="000728BA" w:rsidRPr="00F1180D">
              <w:rPr>
                <w:lang w:val="fr-FR" w:bidi="ar-KW"/>
              </w:rPr>
              <w:tab/>
              <w:t>Les personnes âgées bénéficiant de soins ambulatoires.</w:t>
            </w:r>
          </w:p>
          <w:p w:rsidR="000728BA" w:rsidRPr="00F1180D" w:rsidRDefault="00ED67BC" w:rsidP="00492522">
            <w:pPr>
              <w:tabs>
                <w:tab w:val="left" w:pos="284"/>
              </w:tabs>
              <w:spacing w:before="40" w:after="120"/>
              <w:ind w:left="284" w:right="113" w:hanging="284"/>
              <w:rPr>
                <w:lang w:val="fr-FR" w:bidi="ar-KW"/>
              </w:rPr>
            </w:pPr>
            <w:r w:rsidRPr="00F1180D">
              <w:rPr>
                <w:lang w:val="fr-FR" w:bidi="ar-KW"/>
              </w:rPr>
              <w:t>3.</w:t>
            </w:r>
            <w:r w:rsidR="000728BA" w:rsidRPr="00F1180D">
              <w:rPr>
                <w:lang w:val="fr-FR" w:bidi="ar-KW"/>
              </w:rPr>
              <w:tab/>
              <w:t>Les personnes handicapées.</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Un dialogue a été engagé avec un grand nombre d’associations d’intérêt public, à savoir l’Association culturelle des femmes koweïtiennes, l’Association koweïtienne d’aide aux étudiants, l’association des avocats koweïtiens, l’Association du Croissant rouge koweïtien, l’Association koweïtienne des droits de l’homme et l’Association koweïtienne de protection des personnes handicapées, ainsi qu’avec d’autres associations désireuses de collaborer avec les autorités dans ce domaine. </w:t>
            </w:r>
          </w:p>
        </w:tc>
        <w:tc>
          <w:tcPr>
            <w:tcW w:w="3827" w:type="dxa"/>
          </w:tcPr>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lastRenderedPageBreak/>
              <w:t>Au total, 921 pensions de retraite ont été versées.</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En 2012, 229 mineurs ont bénéficié des servi</w:t>
            </w:r>
            <w:r w:rsidR="00892008" w:rsidRPr="00F1180D">
              <w:rPr>
                <w:lang w:val="fr-FR" w:bidi="ar-KW"/>
              </w:rPr>
              <w:t>ces des centres et en 2013, 173 </w:t>
            </w:r>
            <w:r w:rsidRPr="00F1180D">
              <w:rPr>
                <w:lang w:val="fr-FR" w:bidi="ar-KW"/>
              </w:rPr>
              <w:t>personnes âgées et 89 personnes handicapées en ont profité.</w:t>
            </w:r>
          </w:p>
        </w:tc>
      </w:tr>
      <w:tr w:rsidR="000728BA" w:rsidRPr="00F1180D" w:rsidTr="00492522">
        <w:tc>
          <w:tcPr>
            <w:tcW w:w="1843" w:type="dxa"/>
          </w:tcPr>
          <w:p w:rsidR="000728BA" w:rsidRPr="00F1180D" w:rsidRDefault="000728BA" w:rsidP="0091630C">
            <w:pPr>
              <w:spacing w:before="40" w:after="120"/>
              <w:ind w:right="113"/>
              <w:rPr>
                <w:lang w:val="fr-FR" w:bidi="ar-KW"/>
              </w:rPr>
            </w:pPr>
            <w:r w:rsidRPr="00F1180D">
              <w:rPr>
                <w:lang w:val="fr-FR" w:bidi="ar-KW"/>
              </w:rPr>
              <w:lastRenderedPageBreak/>
              <w:t>Droit d’ester en justice</w:t>
            </w:r>
          </w:p>
        </w:tc>
        <w:tc>
          <w:tcPr>
            <w:tcW w:w="3969" w:type="dxa"/>
          </w:tcPr>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t>Les résidents en situation irrégulière ont le droit de saisir les tribunaux koweïtiens au même titre que les nationaux et ils sont nombreux à avoir intenté une action contre divers organismes publics, étant précisé que les décisions de justice sont rendues en toute impartialité.</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Au-delà de l’intégrité, de l’équité et de l’impartialité des décisions adoptées par la justice koweïtienne, l’État tient compte des conditions particulières dans lesquelles vivent les résidents en situation irrégulière et c’est donc ainsi que toutes les personnes faisant l’objet d’une décision de justice ordonnant leur expulsion du territoire koweïtien ont bénéficié d’une exemption de peine en application des règles et critères posés en la matière par les mesures d’amnistie prononcées par l’Émir en 2013 et en 2014. </w:t>
            </w:r>
          </w:p>
        </w:tc>
        <w:tc>
          <w:tcPr>
            <w:tcW w:w="3827" w:type="dxa"/>
          </w:tcPr>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En 2013, 182 résidents en situation irrégulière accusés d’infractions ont été graciés par l’Émir. </w:t>
            </w:r>
          </w:p>
        </w:tc>
      </w:tr>
      <w:tr w:rsidR="000728BA" w:rsidRPr="00F1180D" w:rsidTr="00492522">
        <w:tc>
          <w:tcPr>
            <w:tcW w:w="1843" w:type="dxa"/>
          </w:tcPr>
          <w:p w:rsidR="000728BA" w:rsidRPr="00F1180D" w:rsidRDefault="000728BA" w:rsidP="0091630C">
            <w:pPr>
              <w:spacing w:before="40" w:after="120"/>
              <w:ind w:right="113"/>
              <w:rPr>
                <w:lang w:val="fr-FR" w:bidi="ar-KW"/>
              </w:rPr>
            </w:pPr>
            <w:r w:rsidRPr="00F1180D">
              <w:rPr>
                <w:lang w:val="fr-FR" w:bidi="ar-KW"/>
              </w:rPr>
              <w:t xml:space="preserve">Liberté d’expression dans les médias et réunions pacifiques </w:t>
            </w:r>
          </w:p>
        </w:tc>
        <w:tc>
          <w:tcPr>
            <w:tcW w:w="3969" w:type="dxa"/>
          </w:tcPr>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t>Les résidents en situation irrégulière ont le droit d’exprimer leurs opinions dans les différents types de médias audiovisuels et la presse écrite, sans autres restrictions que celles imposées par la loi.</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Étant donné que les réunions pacifiques sont une forme d’expression, la loi koweïtienne ne prévoit aucune distinction en la matière. Par conséquent, les résidents </w:t>
            </w:r>
            <w:r w:rsidRPr="00F1180D">
              <w:rPr>
                <w:lang w:val="fr-FR" w:bidi="ar-KW"/>
              </w:rPr>
              <w:lastRenderedPageBreak/>
              <w:t>en situation irrégulière ont le droit d’organiser des réunions pacifiques pour exprimer leurs opinions dans les limites prévues par la loi.</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Ce droit est également garanti à leurs enfants. Un groupe d’enfants a, à cet égard, participé à des réunions pacifiques et à des manifestations sous la protection des forces de sécurité. Ces enfants ont également pris part à plusieurs campagnes médiatiques au cours desquelles ils ont exprimé diverses opinions.</w:t>
            </w:r>
          </w:p>
        </w:tc>
        <w:tc>
          <w:tcPr>
            <w:tcW w:w="3827" w:type="dxa"/>
          </w:tcPr>
          <w:p w:rsidR="000728BA" w:rsidRPr="00F1180D" w:rsidRDefault="000728BA" w:rsidP="00492522">
            <w:pPr>
              <w:spacing w:before="40" w:after="120"/>
              <w:ind w:right="113"/>
              <w:rPr>
                <w:lang w:val="fr-FR" w:bidi="ar-KW"/>
              </w:rPr>
            </w:pPr>
          </w:p>
        </w:tc>
      </w:tr>
      <w:tr w:rsidR="000728BA" w:rsidRPr="00F1180D" w:rsidTr="00492522">
        <w:tc>
          <w:tcPr>
            <w:tcW w:w="1843" w:type="dxa"/>
          </w:tcPr>
          <w:p w:rsidR="000728BA" w:rsidRPr="00F1180D" w:rsidRDefault="000728BA" w:rsidP="0091630C">
            <w:pPr>
              <w:spacing w:before="40" w:after="120"/>
              <w:ind w:right="113"/>
              <w:rPr>
                <w:lang w:val="fr-FR" w:bidi="ar-KW"/>
              </w:rPr>
            </w:pPr>
            <w:r w:rsidRPr="00F1180D">
              <w:rPr>
                <w:lang w:val="fr-FR" w:bidi="ar-KW"/>
              </w:rPr>
              <w:lastRenderedPageBreak/>
              <w:t xml:space="preserve">Délivrance de passeports conformément à l’article 17 </w:t>
            </w:r>
          </w:p>
        </w:tc>
        <w:tc>
          <w:tcPr>
            <w:tcW w:w="3969" w:type="dxa"/>
          </w:tcPr>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Des passeports sont délivrés aux résidents en situation irrégulière en application de l’article 17 de la loi</w:t>
            </w:r>
            <w:r w:rsidR="00FA4334" w:rsidRPr="00F1180D">
              <w:rPr>
                <w:lang w:val="fr-FR" w:bidi="ar-KW"/>
              </w:rPr>
              <w:t xml:space="preserve"> n</w:t>
            </w:r>
            <w:r w:rsidR="00FA4334" w:rsidRPr="00F1180D">
              <w:rPr>
                <w:vertAlign w:val="superscript"/>
                <w:lang w:val="fr-FR" w:bidi="ar-KW"/>
              </w:rPr>
              <w:t>o</w:t>
            </w:r>
            <w:r w:rsidR="00FA4334" w:rsidRPr="00F1180D">
              <w:rPr>
                <w:lang w:val="fr-FR" w:bidi="ar-KW"/>
              </w:rPr>
              <w:t> </w:t>
            </w:r>
            <w:r w:rsidRPr="00F1180D">
              <w:rPr>
                <w:lang w:val="fr-FR" w:bidi="ar-KW"/>
              </w:rPr>
              <w:t>11/1962 sur les passeports, pour leur permettre d’accomplir des rites religieux, tels que le petit ou le grand pèlerinage, de bénéficier d’un traitement médical ou d’étudier à l’étranger, conformément aux règles en vigueur en la matière.</w:t>
            </w:r>
          </w:p>
        </w:tc>
        <w:tc>
          <w:tcPr>
            <w:tcW w:w="3827" w:type="dxa"/>
          </w:tcPr>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Du 1</w:t>
            </w:r>
            <w:r w:rsidRPr="00F1180D">
              <w:rPr>
                <w:vertAlign w:val="superscript"/>
                <w:lang w:val="fr-FR" w:bidi="ar-KW"/>
              </w:rPr>
              <w:t>er</w:t>
            </w:r>
            <w:r w:rsidR="00ED67BC" w:rsidRPr="00F1180D">
              <w:rPr>
                <w:lang w:val="fr-FR" w:bidi="ar-KW"/>
              </w:rPr>
              <w:t xml:space="preserve"> </w:t>
            </w:r>
            <w:r w:rsidRPr="00F1180D">
              <w:rPr>
                <w:lang w:val="fr-FR" w:bidi="ar-KW"/>
              </w:rPr>
              <w:t>novembre 2010 au 1</w:t>
            </w:r>
            <w:r w:rsidRPr="00F1180D">
              <w:rPr>
                <w:vertAlign w:val="superscript"/>
                <w:lang w:val="fr-FR" w:bidi="ar-KW"/>
              </w:rPr>
              <w:t>er</w:t>
            </w:r>
            <w:r w:rsidR="00ED67BC" w:rsidRPr="00F1180D">
              <w:rPr>
                <w:lang w:val="fr-FR" w:bidi="ar-KW"/>
              </w:rPr>
              <w:t xml:space="preserve"> </w:t>
            </w:r>
            <w:r w:rsidRPr="00F1180D">
              <w:rPr>
                <w:lang w:val="fr-FR" w:bidi="ar-KW"/>
              </w:rPr>
              <w:t>mars 2013, 43 142 passeports leur ont été délivrés, conformément à l’article 17 de la loi sur les passeports.</w:t>
            </w:r>
          </w:p>
        </w:tc>
      </w:tr>
      <w:tr w:rsidR="000728BA" w:rsidRPr="00F1180D" w:rsidTr="00492522">
        <w:tc>
          <w:tcPr>
            <w:tcW w:w="1843" w:type="dxa"/>
          </w:tcPr>
          <w:p w:rsidR="000728BA" w:rsidRPr="00F1180D" w:rsidRDefault="000728BA" w:rsidP="0091630C">
            <w:pPr>
              <w:spacing w:before="40" w:after="120"/>
              <w:ind w:right="113"/>
              <w:rPr>
                <w:rtl/>
                <w:lang w:val="fr-FR" w:bidi="fr-FR"/>
              </w:rPr>
            </w:pPr>
            <w:r w:rsidRPr="00F1180D">
              <w:rPr>
                <w:lang w:val="fr-FR" w:bidi="ar-KW"/>
              </w:rPr>
              <w:t>Solidarité sociale:</w:t>
            </w:r>
          </w:p>
          <w:p w:rsidR="000728BA" w:rsidRPr="00F1180D" w:rsidRDefault="000728BA" w:rsidP="0091630C">
            <w:pPr>
              <w:tabs>
                <w:tab w:val="left" w:pos="230"/>
              </w:tabs>
              <w:spacing w:before="40" w:after="120"/>
              <w:ind w:left="230" w:right="113" w:hanging="230"/>
              <w:rPr>
                <w:rtl/>
                <w:lang w:val="fr-FR" w:bidi="fr-FR"/>
              </w:rPr>
            </w:pPr>
            <w:r w:rsidRPr="00F1180D">
              <w:rPr>
                <w:lang w:val="fr-FR" w:bidi="ar-KW"/>
              </w:rPr>
              <w:t>a)</w:t>
            </w:r>
            <w:r w:rsidR="00A47ECB" w:rsidRPr="00F1180D">
              <w:rPr>
                <w:lang w:val="fr-FR" w:bidi="ar-KW"/>
              </w:rPr>
              <w:tab/>
            </w:r>
            <w:r w:rsidRPr="00F1180D">
              <w:rPr>
                <w:lang w:val="fr-FR" w:bidi="ar-KW"/>
              </w:rPr>
              <w:t xml:space="preserve">Services offerts par le Bureau de la </w:t>
            </w:r>
            <w:r w:rsidRPr="00F1180D">
              <w:rPr>
                <w:i/>
                <w:lang w:val="fr-FR" w:bidi="ar-KW"/>
              </w:rPr>
              <w:t>zakat</w:t>
            </w:r>
            <w:r w:rsidRPr="00F1180D">
              <w:rPr>
                <w:lang w:val="fr-FR" w:bidi="ar-KW"/>
              </w:rPr>
              <w:t xml:space="preserve">. </w:t>
            </w:r>
          </w:p>
          <w:p w:rsidR="000728BA" w:rsidRPr="00F1180D" w:rsidRDefault="000728BA" w:rsidP="0091630C">
            <w:pPr>
              <w:spacing w:before="40" w:after="120"/>
              <w:ind w:right="113"/>
              <w:rPr>
                <w:rtl/>
                <w:lang w:val="fr-FR" w:bidi="fr-FR"/>
              </w:rPr>
            </w:pPr>
          </w:p>
          <w:p w:rsidR="000728BA" w:rsidRPr="00F1180D" w:rsidRDefault="000728BA" w:rsidP="0091630C">
            <w:pPr>
              <w:spacing w:before="40" w:after="120"/>
              <w:ind w:right="113"/>
              <w:rPr>
                <w:rtl/>
                <w:lang w:val="fr-FR" w:bidi="fr-FR"/>
              </w:rPr>
            </w:pPr>
          </w:p>
          <w:p w:rsidR="000728BA" w:rsidRPr="00F1180D" w:rsidRDefault="000728BA" w:rsidP="0091630C">
            <w:pPr>
              <w:spacing w:before="40" w:after="120"/>
              <w:ind w:right="113"/>
              <w:rPr>
                <w:rtl/>
                <w:lang w:val="fr-FR" w:bidi="fr-FR"/>
              </w:rPr>
            </w:pPr>
          </w:p>
          <w:p w:rsidR="000728BA" w:rsidRPr="00F1180D" w:rsidRDefault="000728BA" w:rsidP="0091630C">
            <w:pPr>
              <w:spacing w:before="40" w:after="120"/>
              <w:ind w:right="113"/>
              <w:rPr>
                <w:rtl/>
                <w:lang w:val="fr-FR" w:bidi="fr-FR"/>
              </w:rPr>
            </w:pPr>
          </w:p>
          <w:p w:rsidR="000728BA" w:rsidRPr="00F1180D" w:rsidRDefault="000728BA" w:rsidP="0091630C">
            <w:pPr>
              <w:spacing w:before="40" w:after="120"/>
              <w:ind w:right="113"/>
              <w:rPr>
                <w:rtl/>
                <w:lang w:val="fr-FR" w:bidi="fr-FR"/>
              </w:rPr>
            </w:pPr>
          </w:p>
          <w:p w:rsidR="000728BA" w:rsidRPr="00F1180D" w:rsidRDefault="000728BA" w:rsidP="0091630C">
            <w:pPr>
              <w:spacing w:before="40" w:after="120"/>
              <w:ind w:right="113"/>
              <w:rPr>
                <w:rtl/>
                <w:lang w:val="fr-FR" w:bidi="fr-FR"/>
              </w:rPr>
            </w:pPr>
          </w:p>
          <w:p w:rsidR="000728BA" w:rsidRPr="00F1180D" w:rsidRDefault="000728BA" w:rsidP="0091630C">
            <w:pPr>
              <w:spacing w:before="40" w:after="120"/>
              <w:ind w:right="113"/>
              <w:rPr>
                <w:rtl/>
                <w:lang w:val="fr-FR" w:bidi="fr-FR"/>
              </w:rPr>
            </w:pPr>
          </w:p>
          <w:p w:rsidR="000728BA" w:rsidRPr="00F1180D" w:rsidRDefault="000728BA" w:rsidP="0091630C">
            <w:pPr>
              <w:spacing w:before="40" w:after="120"/>
              <w:ind w:right="113"/>
              <w:rPr>
                <w:rtl/>
                <w:lang w:val="fr-FR" w:bidi="fr-FR"/>
              </w:rPr>
            </w:pPr>
          </w:p>
          <w:p w:rsidR="000728BA" w:rsidRPr="00F1180D" w:rsidRDefault="000728BA" w:rsidP="0091630C">
            <w:pPr>
              <w:spacing w:before="40" w:after="120"/>
              <w:ind w:right="113"/>
              <w:rPr>
                <w:lang w:val="fr-FR" w:bidi="fr-FR"/>
              </w:rPr>
            </w:pPr>
          </w:p>
          <w:p w:rsidR="0091630C" w:rsidRPr="00F1180D" w:rsidRDefault="0091630C" w:rsidP="0091630C">
            <w:pPr>
              <w:spacing w:before="40" w:after="120"/>
              <w:ind w:right="113"/>
              <w:rPr>
                <w:lang w:val="fr-FR" w:bidi="fr-FR"/>
              </w:rPr>
            </w:pPr>
          </w:p>
          <w:p w:rsidR="000728BA" w:rsidRPr="00F1180D" w:rsidRDefault="000728BA" w:rsidP="00C208C2">
            <w:pPr>
              <w:tabs>
                <w:tab w:val="left" w:pos="230"/>
              </w:tabs>
              <w:spacing w:before="40" w:after="120"/>
              <w:ind w:left="230" w:right="113" w:hanging="230"/>
              <w:rPr>
                <w:lang w:val="fr-FR" w:bidi="ar-KW"/>
              </w:rPr>
            </w:pPr>
            <w:r w:rsidRPr="00F1180D">
              <w:rPr>
                <w:lang w:val="fr-FR" w:bidi="ar-KW"/>
              </w:rPr>
              <w:t>b)</w:t>
            </w:r>
            <w:r w:rsidR="00A47ECB" w:rsidRPr="00F1180D">
              <w:rPr>
                <w:lang w:val="fr-FR" w:bidi="ar-KW"/>
              </w:rPr>
              <w:tab/>
            </w:r>
            <w:r w:rsidRPr="00F1180D">
              <w:rPr>
                <w:lang w:val="fr-FR" w:bidi="ar-KW"/>
              </w:rPr>
              <w:t xml:space="preserve">Décret relatif aux aides sociales. </w:t>
            </w:r>
          </w:p>
        </w:tc>
        <w:tc>
          <w:tcPr>
            <w:tcW w:w="3969" w:type="dxa"/>
          </w:tcPr>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t>Le Bureau de la zakat fournit les prestations suivantes:</w:t>
            </w:r>
          </w:p>
          <w:p w:rsidR="000728BA" w:rsidRPr="00F1180D" w:rsidRDefault="00A47ECB" w:rsidP="00492522">
            <w:pPr>
              <w:spacing w:before="40" w:after="120"/>
              <w:ind w:left="567" w:right="113" w:hanging="283"/>
              <w:rPr>
                <w:lang w:val="fr-FR" w:bidi="ar-KW"/>
              </w:rPr>
            </w:pPr>
            <w:r w:rsidRPr="00F1180D">
              <w:rPr>
                <w:lang w:val="fr-FR" w:bidi="ar-KW"/>
              </w:rPr>
              <w:t>1.</w:t>
            </w:r>
            <w:r w:rsidRPr="00F1180D">
              <w:rPr>
                <w:lang w:val="fr-FR" w:bidi="ar-KW"/>
              </w:rPr>
              <w:tab/>
            </w:r>
            <w:r w:rsidR="000728BA" w:rsidRPr="00F1180D">
              <w:rPr>
                <w:lang w:val="fr-FR" w:bidi="ar-KW"/>
              </w:rPr>
              <w:t>Prise en charge des frais d’établissement d’empreintes génétiques.</w:t>
            </w:r>
          </w:p>
          <w:p w:rsidR="000728BA" w:rsidRPr="00F1180D" w:rsidRDefault="00A47ECB" w:rsidP="00492522">
            <w:pPr>
              <w:spacing w:before="40" w:after="120"/>
              <w:ind w:left="567" w:right="113" w:hanging="283"/>
              <w:rPr>
                <w:lang w:val="fr-FR" w:bidi="ar-KW"/>
              </w:rPr>
            </w:pPr>
            <w:r w:rsidRPr="00F1180D">
              <w:rPr>
                <w:lang w:val="fr-FR" w:bidi="ar-KW"/>
              </w:rPr>
              <w:t>2.</w:t>
            </w:r>
            <w:r w:rsidRPr="00F1180D">
              <w:rPr>
                <w:lang w:val="fr-FR" w:bidi="ar-KW"/>
              </w:rPr>
              <w:tab/>
            </w:r>
            <w:r w:rsidR="000728BA" w:rsidRPr="00F1180D">
              <w:rPr>
                <w:lang w:val="fr-FR" w:bidi="ar-KW"/>
              </w:rPr>
              <w:t xml:space="preserve">Attribution d’aides financières. </w:t>
            </w:r>
          </w:p>
          <w:p w:rsidR="000728BA" w:rsidRPr="00F1180D" w:rsidRDefault="00A47ECB" w:rsidP="00492522">
            <w:pPr>
              <w:spacing w:before="40" w:after="120"/>
              <w:ind w:left="567" w:right="113" w:hanging="283"/>
              <w:rPr>
                <w:lang w:val="fr-FR" w:bidi="ar-KW"/>
              </w:rPr>
            </w:pPr>
            <w:r w:rsidRPr="00F1180D">
              <w:rPr>
                <w:lang w:val="fr-FR" w:bidi="ar-KW"/>
              </w:rPr>
              <w:t>3.</w:t>
            </w:r>
            <w:r w:rsidRPr="00F1180D">
              <w:rPr>
                <w:lang w:val="fr-FR" w:bidi="ar-KW"/>
              </w:rPr>
              <w:tab/>
            </w:r>
            <w:r w:rsidR="000728BA" w:rsidRPr="00F1180D">
              <w:rPr>
                <w:lang w:val="fr-FR" w:bidi="ar-KW"/>
              </w:rPr>
              <w:t>Distribution d’aides en nature: denrées alimentaires, vêtements, couvertures, appareils électriques, meubles et fournitures scolaires.</w:t>
            </w:r>
          </w:p>
          <w:p w:rsidR="000728BA" w:rsidRPr="00F1180D" w:rsidRDefault="00A47ECB" w:rsidP="00492522">
            <w:pPr>
              <w:spacing w:before="40" w:after="120"/>
              <w:ind w:left="567" w:right="113" w:hanging="283"/>
              <w:rPr>
                <w:lang w:val="fr-FR" w:bidi="ar-KW"/>
              </w:rPr>
            </w:pPr>
            <w:r w:rsidRPr="00F1180D">
              <w:rPr>
                <w:lang w:val="fr-FR" w:bidi="ar-KW"/>
              </w:rPr>
              <w:t>4.</w:t>
            </w:r>
            <w:r w:rsidR="000728BA" w:rsidRPr="00F1180D">
              <w:rPr>
                <w:lang w:val="fr-FR" w:bidi="ar-KW"/>
              </w:rPr>
              <w:tab/>
              <w:t>Délivrance de cartes d’assurance maladie aux personnes ne possédant pas de cartes délivrées par l’Office central.</w:t>
            </w:r>
          </w:p>
          <w:p w:rsidR="000728BA" w:rsidRPr="00F1180D" w:rsidRDefault="00A47ECB" w:rsidP="00492522">
            <w:pPr>
              <w:spacing w:before="40" w:after="120"/>
              <w:ind w:left="567" w:right="113" w:hanging="283"/>
              <w:rPr>
                <w:lang w:val="fr-FR" w:bidi="ar-KW"/>
              </w:rPr>
            </w:pPr>
            <w:r w:rsidRPr="00F1180D">
              <w:rPr>
                <w:lang w:val="fr-FR" w:bidi="ar-KW"/>
              </w:rPr>
              <w:t>5.</w:t>
            </w:r>
            <w:r w:rsidR="000728BA" w:rsidRPr="00F1180D">
              <w:rPr>
                <w:lang w:val="fr-FR" w:bidi="ar-KW"/>
              </w:rPr>
              <w:tab/>
              <w:t>Réalisation d’un projet de formation destiné aux personnes défavorisées, dont les résidents en situation irrégulière, en coordination avec le Fonds d’aide aux malades.</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La loi n</w:t>
            </w:r>
            <w:r w:rsidRPr="00F1180D">
              <w:rPr>
                <w:vertAlign w:val="superscript"/>
                <w:lang w:val="fr-FR" w:bidi="ar-KW"/>
              </w:rPr>
              <w:t>o</w:t>
            </w:r>
            <w:r w:rsidRPr="00F1180D">
              <w:rPr>
                <w:lang w:val="fr-FR" w:bidi="ar-KW"/>
              </w:rPr>
              <w:t> 12/2011 modifiant sur ce point le décret-loi</w:t>
            </w:r>
            <w:r w:rsidR="00FA4334" w:rsidRPr="00F1180D">
              <w:rPr>
                <w:lang w:val="fr-FR" w:bidi="ar-KW"/>
              </w:rPr>
              <w:t xml:space="preserve"> n</w:t>
            </w:r>
            <w:r w:rsidR="00FA4334" w:rsidRPr="00F1180D">
              <w:rPr>
                <w:vertAlign w:val="superscript"/>
                <w:lang w:val="fr-FR" w:bidi="ar-KW"/>
              </w:rPr>
              <w:t>o</w:t>
            </w:r>
            <w:r w:rsidR="00FA4334" w:rsidRPr="00F1180D">
              <w:rPr>
                <w:lang w:val="fr-FR" w:bidi="ar-KW"/>
              </w:rPr>
              <w:t> </w:t>
            </w:r>
            <w:r w:rsidRPr="00F1180D">
              <w:rPr>
                <w:lang w:val="fr-FR" w:bidi="ar-KW"/>
              </w:rPr>
              <w:t xml:space="preserve">22/1987 relatif aux aides publiques a été adoptée et prévoit de nouvelles catégories de bénéficiaires, parmi lesquelles les Koweïtiennes mariées à des non Koweïtiens en situation irrégulière, qui jouissent désormais d’un droit inaliénable aux aides publiques. </w:t>
            </w:r>
          </w:p>
        </w:tc>
        <w:tc>
          <w:tcPr>
            <w:tcW w:w="3827" w:type="dxa"/>
          </w:tcPr>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t>Frais d’établissement d’empreintes génétiques: en 2013, le montant de ces frais a atteint 814 300</w:t>
            </w:r>
            <w:r w:rsidR="009B1350" w:rsidRPr="00F1180D">
              <w:rPr>
                <w:lang w:val="fr-FR" w:bidi="ar-KW"/>
              </w:rPr>
              <w:t> dinars</w:t>
            </w:r>
            <w:r w:rsidRPr="00F1180D">
              <w:rPr>
                <w:lang w:val="fr-FR" w:bidi="ar-KW"/>
              </w:rPr>
              <w:t xml:space="preserve"> koweïtiens pour 9 580 réside</w:t>
            </w:r>
            <w:r w:rsidR="00333C0B" w:rsidRPr="00F1180D">
              <w:rPr>
                <w:lang w:val="fr-FR" w:bidi="ar-KW"/>
              </w:rPr>
              <w:t xml:space="preserve">nts </w:t>
            </w:r>
            <w:r w:rsidR="0089090F" w:rsidRPr="00F1180D">
              <w:rPr>
                <w:lang w:val="fr-FR" w:bidi="ar-KW"/>
              </w:rPr>
              <w:br/>
            </w:r>
            <w:r w:rsidR="00333C0B" w:rsidRPr="00F1180D">
              <w:rPr>
                <w:lang w:val="fr-FR" w:bidi="ar-KW"/>
              </w:rPr>
              <w:t>en situation irrégulière (2 691 </w:t>
            </w:r>
            <w:r w:rsidRPr="00F1180D">
              <w:rPr>
                <w:lang w:val="fr-FR" w:bidi="ar-KW"/>
              </w:rPr>
              <w:t>900 dollars américains).</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Coût des aides financières:</w:t>
            </w:r>
          </w:p>
          <w:p w:rsidR="000728BA" w:rsidRPr="00F1180D" w:rsidRDefault="000728BA" w:rsidP="00492522">
            <w:pPr>
              <w:pStyle w:val="Bullet1G"/>
              <w:tabs>
                <w:tab w:val="clear" w:pos="1701"/>
                <w:tab w:val="num" w:pos="485"/>
              </w:tabs>
              <w:spacing w:before="40"/>
              <w:ind w:left="485" w:right="151" w:hanging="154"/>
              <w:jc w:val="left"/>
              <w:rPr>
                <w:lang w:val="fr-FR" w:bidi="ar-KW"/>
              </w:rPr>
            </w:pPr>
            <w:r w:rsidRPr="00F1180D">
              <w:rPr>
                <w:lang w:val="fr-FR" w:bidi="ar-KW"/>
              </w:rPr>
              <w:t>En 2012: 13 606 474</w:t>
            </w:r>
            <w:r w:rsidR="009B1350" w:rsidRPr="00F1180D">
              <w:rPr>
                <w:lang w:val="fr-FR" w:bidi="ar-KW"/>
              </w:rPr>
              <w:t> dinars</w:t>
            </w:r>
            <w:r w:rsidRPr="00F1180D">
              <w:rPr>
                <w:lang w:val="fr-FR" w:bidi="ar-KW"/>
              </w:rPr>
              <w:t xml:space="preserve"> koweïtiens (47 032 645,69 dollars américains) au profit de 62 590 personnes.</w:t>
            </w:r>
          </w:p>
          <w:p w:rsidR="000728BA" w:rsidRPr="00F1180D" w:rsidRDefault="000728BA" w:rsidP="00492522">
            <w:pPr>
              <w:pStyle w:val="Bullet1G"/>
              <w:tabs>
                <w:tab w:val="clear" w:pos="1701"/>
                <w:tab w:val="num" w:pos="485"/>
              </w:tabs>
              <w:spacing w:before="40"/>
              <w:ind w:left="485" w:right="151" w:hanging="154"/>
              <w:jc w:val="left"/>
              <w:rPr>
                <w:lang w:val="fr-FR" w:bidi="ar-KW"/>
              </w:rPr>
            </w:pPr>
            <w:r w:rsidRPr="00F1180D">
              <w:rPr>
                <w:lang w:val="fr-FR" w:bidi="ar-KW"/>
              </w:rPr>
              <w:t>En 2013: 13 086 465</w:t>
            </w:r>
            <w:r w:rsidR="009B1350" w:rsidRPr="00F1180D">
              <w:rPr>
                <w:lang w:val="fr-FR" w:bidi="ar-KW"/>
              </w:rPr>
              <w:t> dinars</w:t>
            </w:r>
            <w:r w:rsidR="00CC6D8C" w:rsidRPr="00F1180D">
              <w:rPr>
                <w:lang w:val="fr-FR" w:bidi="ar-KW"/>
              </w:rPr>
              <w:t xml:space="preserve"> koweïtiens (45 258 </w:t>
            </w:r>
            <w:r w:rsidRPr="00F1180D">
              <w:rPr>
                <w:lang w:val="fr-FR" w:bidi="ar-KW"/>
              </w:rPr>
              <w:t xml:space="preserve">127,64 dollars </w:t>
            </w:r>
            <w:r w:rsidR="00CC6D8C" w:rsidRPr="00F1180D">
              <w:rPr>
                <w:lang w:val="fr-FR" w:bidi="ar-KW"/>
              </w:rPr>
              <w:t>américains) au profit de 13 434 </w:t>
            </w:r>
            <w:r w:rsidRPr="00F1180D">
              <w:rPr>
                <w:lang w:val="fr-FR" w:bidi="ar-KW"/>
              </w:rPr>
              <w:t xml:space="preserve">ménages </w:t>
            </w:r>
            <w:r w:rsidR="00A47ECB" w:rsidRPr="00F1180D">
              <w:rPr>
                <w:lang w:val="fr-FR" w:bidi="ar-KW"/>
              </w:rPr>
              <w:br/>
            </w:r>
            <w:r w:rsidRPr="00F1180D">
              <w:rPr>
                <w:lang w:val="fr-FR" w:bidi="ar-KW"/>
              </w:rPr>
              <w:t xml:space="preserve">(64 949 personnes). </w:t>
            </w:r>
          </w:p>
          <w:p w:rsidR="000728BA" w:rsidRPr="00F1180D" w:rsidRDefault="000728BA" w:rsidP="00492522">
            <w:pPr>
              <w:pStyle w:val="Bullet1G"/>
              <w:tabs>
                <w:tab w:val="clear" w:pos="1701"/>
                <w:tab w:val="num" w:pos="485"/>
              </w:tabs>
              <w:spacing w:before="40"/>
              <w:ind w:left="485" w:right="151" w:hanging="154"/>
              <w:jc w:val="left"/>
              <w:rPr>
                <w:lang w:val="fr-FR" w:bidi="ar-KW"/>
              </w:rPr>
            </w:pPr>
            <w:r w:rsidRPr="00F1180D">
              <w:rPr>
                <w:lang w:val="fr-FR" w:bidi="ar-KW"/>
              </w:rPr>
              <w:t>De janvier 2014 à juillet 2014: 6 730 000</w:t>
            </w:r>
            <w:r w:rsidR="009B1350" w:rsidRPr="00F1180D">
              <w:rPr>
                <w:lang w:val="fr-FR" w:bidi="ar-KW"/>
              </w:rPr>
              <w:t> dinars</w:t>
            </w:r>
            <w:r w:rsidRPr="00F1180D">
              <w:rPr>
                <w:lang w:val="fr-FR" w:bidi="ar-KW"/>
              </w:rPr>
              <w:t xml:space="preserve"> koweïtiens (23 266 420,74 dollars </w:t>
            </w:r>
            <w:r w:rsidR="00A47ECB" w:rsidRPr="00F1180D">
              <w:rPr>
                <w:lang w:val="fr-FR" w:bidi="ar-KW"/>
              </w:rPr>
              <w:t>américains) au profit de 13 414 </w:t>
            </w:r>
            <w:r w:rsidRPr="00F1180D">
              <w:rPr>
                <w:lang w:val="fr-FR" w:bidi="ar-KW"/>
              </w:rPr>
              <w:t xml:space="preserve">ménages.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Aides en nature:</w:t>
            </w:r>
          </w:p>
          <w:p w:rsidR="000728BA" w:rsidRPr="00F1180D" w:rsidRDefault="000728BA" w:rsidP="00492522">
            <w:pPr>
              <w:pStyle w:val="Bullet1G"/>
              <w:tabs>
                <w:tab w:val="clear" w:pos="1701"/>
                <w:tab w:val="num" w:pos="485"/>
              </w:tabs>
              <w:spacing w:before="40"/>
              <w:ind w:left="485" w:right="151" w:hanging="154"/>
              <w:jc w:val="left"/>
              <w:rPr>
                <w:lang w:val="fr-FR" w:bidi="ar-KW"/>
              </w:rPr>
            </w:pPr>
            <w:r w:rsidRPr="00F1180D">
              <w:rPr>
                <w:lang w:val="fr-FR" w:bidi="ar-KW"/>
              </w:rPr>
              <w:t>En 2012: 1 052 410</w:t>
            </w:r>
            <w:r w:rsidR="009B1350" w:rsidRPr="00F1180D">
              <w:rPr>
                <w:lang w:val="fr-FR" w:bidi="ar-KW"/>
              </w:rPr>
              <w:t> dinars</w:t>
            </w:r>
            <w:r w:rsidRPr="00F1180D">
              <w:rPr>
                <w:lang w:val="fr-FR" w:bidi="ar-KW"/>
              </w:rPr>
              <w:t xml:space="preserve"> koweïtiens (3 638 308,15 dollars américains) au profit de 37 947 personnes.</w:t>
            </w:r>
          </w:p>
          <w:p w:rsidR="000728BA" w:rsidRPr="00F1180D" w:rsidRDefault="000728BA" w:rsidP="00492522">
            <w:pPr>
              <w:pStyle w:val="Bullet1G"/>
              <w:tabs>
                <w:tab w:val="clear" w:pos="1701"/>
                <w:tab w:val="num" w:pos="485"/>
              </w:tabs>
              <w:spacing w:before="40"/>
              <w:ind w:left="485" w:right="151" w:hanging="154"/>
              <w:jc w:val="left"/>
              <w:rPr>
                <w:lang w:val="fr-FR" w:bidi="ar-KW"/>
              </w:rPr>
            </w:pPr>
            <w:r w:rsidRPr="00F1180D">
              <w:rPr>
                <w:lang w:val="fr-FR" w:bidi="ar-KW"/>
              </w:rPr>
              <w:t>En 2013: 4 115 ménages bénéficiaires (c’est-à-dire 28 805 personnes).</w:t>
            </w:r>
          </w:p>
          <w:p w:rsidR="000728BA" w:rsidRPr="00F1180D" w:rsidRDefault="000728BA" w:rsidP="00492522">
            <w:pPr>
              <w:pStyle w:val="Bullet1G"/>
              <w:tabs>
                <w:tab w:val="clear" w:pos="1701"/>
                <w:tab w:val="num" w:pos="485"/>
              </w:tabs>
              <w:spacing w:before="40"/>
              <w:ind w:left="485" w:right="151" w:hanging="154"/>
              <w:jc w:val="left"/>
              <w:rPr>
                <w:lang w:val="fr-FR" w:bidi="ar-KW"/>
              </w:rPr>
            </w:pPr>
            <w:r w:rsidRPr="00F1180D">
              <w:rPr>
                <w:lang w:val="fr-FR" w:bidi="ar-KW"/>
              </w:rPr>
              <w:lastRenderedPageBreak/>
              <w:t>De 2007 à 2014: 69 880</w:t>
            </w:r>
            <w:r w:rsidR="009B1350" w:rsidRPr="00F1180D">
              <w:rPr>
                <w:lang w:val="fr-FR" w:bidi="ar-KW"/>
              </w:rPr>
              <w:t> dinars</w:t>
            </w:r>
            <w:r w:rsidRPr="00F1180D">
              <w:rPr>
                <w:lang w:val="fr-FR" w:bidi="ar-KW"/>
              </w:rPr>
              <w:t xml:space="preserve"> koweïtiens (241 655,80 dollars américains) au profit de 5 357 ménages.</w:t>
            </w:r>
          </w:p>
          <w:p w:rsidR="00551140" w:rsidRPr="00F1180D" w:rsidRDefault="000728BA" w:rsidP="00892008">
            <w:pPr>
              <w:pStyle w:val="Bullet1G"/>
              <w:tabs>
                <w:tab w:val="clear" w:pos="1701"/>
                <w:tab w:val="num" w:pos="485"/>
              </w:tabs>
              <w:spacing w:before="40"/>
              <w:ind w:left="485" w:right="151" w:hanging="154"/>
              <w:jc w:val="left"/>
              <w:rPr>
                <w:lang w:val="fr-FR" w:bidi="ar-KW"/>
              </w:rPr>
            </w:pPr>
            <w:r w:rsidRPr="00F1180D">
              <w:rPr>
                <w:lang w:val="fr-FR" w:bidi="ar-KW"/>
              </w:rPr>
              <w:t>Bénéficiaires du projet de formation de la main-d’œuvre: 135 personnes, pour un coût total de 158 300</w:t>
            </w:r>
            <w:r w:rsidR="009B1350" w:rsidRPr="00F1180D">
              <w:rPr>
                <w:lang w:val="fr-FR" w:bidi="ar-KW"/>
              </w:rPr>
              <w:t> dinars</w:t>
            </w:r>
            <w:r w:rsidRPr="00F1180D">
              <w:rPr>
                <w:lang w:val="fr-FR" w:bidi="ar-KW"/>
              </w:rPr>
              <w:t xml:space="preserve"> koweïtiens (547 254,12 dollars américains).</w:t>
            </w:r>
          </w:p>
        </w:tc>
      </w:tr>
      <w:tr w:rsidR="000728BA" w:rsidRPr="00F1180D" w:rsidTr="00492522">
        <w:tc>
          <w:tcPr>
            <w:tcW w:w="1843" w:type="dxa"/>
            <w:tcBorders>
              <w:bottom w:val="single" w:sz="12" w:space="0" w:color="auto"/>
            </w:tcBorders>
          </w:tcPr>
          <w:p w:rsidR="000728BA" w:rsidRPr="00F1180D" w:rsidRDefault="000728BA" w:rsidP="0091630C">
            <w:pPr>
              <w:spacing w:before="40" w:after="120"/>
              <w:ind w:right="113"/>
              <w:rPr>
                <w:lang w:val="fr-FR" w:bidi="ar-KW"/>
              </w:rPr>
            </w:pPr>
            <w:r w:rsidRPr="00F1180D">
              <w:rPr>
                <w:lang w:val="fr-FR" w:bidi="ar-KW"/>
              </w:rPr>
              <w:lastRenderedPageBreak/>
              <w:t xml:space="preserve">Régularisations </w:t>
            </w:r>
          </w:p>
        </w:tc>
        <w:tc>
          <w:tcPr>
            <w:tcW w:w="3969" w:type="dxa"/>
            <w:tcBorders>
              <w:bottom w:val="single" w:sz="12" w:space="0" w:color="auto"/>
            </w:tcBorders>
          </w:tcPr>
          <w:p w:rsidR="000728BA" w:rsidRPr="00F1180D" w:rsidRDefault="000728BA" w:rsidP="00492522">
            <w:pPr>
              <w:pStyle w:val="Bullet1G"/>
              <w:tabs>
                <w:tab w:val="clear" w:pos="1701"/>
                <w:tab w:val="num" w:pos="284"/>
              </w:tabs>
              <w:spacing w:before="40"/>
              <w:ind w:left="284" w:right="151"/>
              <w:jc w:val="left"/>
              <w:rPr>
                <w:rtl/>
                <w:lang w:val="fr-FR" w:bidi="fr-FR"/>
              </w:rPr>
            </w:pPr>
            <w:r w:rsidRPr="00F1180D">
              <w:rPr>
                <w:lang w:val="fr-FR" w:bidi="ar-KW"/>
              </w:rPr>
              <w:t xml:space="preserve">Deux organismes ont été mis en place pour accueillir les résidents en situation irrégulière souhaitant régulariser leur situation: le Centre Moubarak El-Kébir et le Service d’enquête en matière d’immigration. </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Bien que les résidents en situation irrégulière soient en infraction à la loi n</w:t>
            </w:r>
            <w:r w:rsidRPr="00F1180D">
              <w:rPr>
                <w:vertAlign w:val="superscript"/>
                <w:lang w:val="fr-FR" w:bidi="ar-KW"/>
              </w:rPr>
              <w:t>o</w:t>
            </w:r>
            <w:r w:rsidRPr="00F1180D">
              <w:rPr>
                <w:lang w:val="fr-FR" w:bidi="ar-KW"/>
              </w:rPr>
              <w:t>°17/1959 sur le séjour des étrangers, les procédures de régularisation sont facilitées et ces personnes n’encourent aucune sanction pour infraction à la législation.</w:t>
            </w:r>
          </w:p>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L’Office central continue d’accorder à ces personnes des prestations sociales et administratives afin de les encourager à régulariser leur situation.</w:t>
            </w:r>
          </w:p>
        </w:tc>
        <w:tc>
          <w:tcPr>
            <w:tcW w:w="3827" w:type="dxa"/>
            <w:tcBorders>
              <w:bottom w:val="single" w:sz="12" w:space="0" w:color="auto"/>
            </w:tcBorders>
          </w:tcPr>
          <w:p w:rsidR="000728BA" w:rsidRPr="00F1180D" w:rsidRDefault="000728BA" w:rsidP="00492522">
            <w:pPr>
              <w:pStyle w:val="Bullet1G"/>
              <w:tabs>
                <w:tab w:val="clear" w:pos="1701"/>
                <w:tab w:val="num" w:pos="284"/>
              </w:tabs>
              <w:spacing w:before="40"/>
              <w:ind w:left="284" w:right="151"/>
              <w:jc w:val="left"/>
              <w:rPr>
                <w:lang w:val="fr-FR" w:bidi="ar-KW"/>
              </w:rPr>
            </w:pPr>
            <w:r w:rsidRPr="00F1180D">
              <w:rPr>
                <w:lang w:val="fr-FR" w:bidi="ar-KW"/>
              </w:rPr>
              <w:t xml:space="preserve">Depuis la création de l’Office central jusqu’à mi-2015, 7 243 résidents en situation irrégulière ont régularisé leur situation, ce qui indique qu’un grand nombre d’entre eux était en possession d’un passeport de leur pays d’origine. Ce nombre est appelé à augmenter suite au traitement des dossiers par l’Office et aux enquêtes menées en vue de retrouver les parents, enfants et petits-enfants concernés par la régularisation. </w:t>
            </w:r>
          </w:p>
        </w:tc>
      </w:tr>
    </w:tbl>
    <w:p w:rsidR="000C6D4A" w:rsidRPr="00F1180D" w:rsidRDefault="00622E00" w:rsidP="00622E00">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18</w:t>
      </w:r>
    </w:p>
    <w:p w:rsidR="000C6D4A" w:rsidRPr="00F1180D" w:rsidRDefault="00622E00" w:rsidP="00622E00">
      <w:pPr>
        <w:pStyle w:val="H23G"/>
        <w:rPr>
          <w:bCs/>
          <w:rtl/>
          <w:lang w:val="fr-FR" w:bidi="fr-FR"/>
        </w:rPr>
      </w:pPr>
      <w:r w:rsidRPr="00F1180D">
        <w:rPr>
          <w:rFonts w:ascii="Symbol" w:hAnsi="Symbol"/>
          <w:bCs/>
          <w:lang w:val="fr-FR" w:bidi="fr-FR"/>
        </w:rPr>
        <w:tab/>
      </w:r>
      <w:r w:rsidRPr="00F1180D">
        <w:rPr>
          <w:rFonts w:ascii="Symbol" w:hAnsi="Symbol"/>
          <w:bCs/>
          <w:lang w:val="fr-FR" w:bidi="fr-FR"/>
        </w:rPr>
        <w:tab/>
      </w:r>
      <w:r w:rsidR="000C6D4A" w:rsidRPr="00F1180D">
        <w:rPr>
          <w:lang w:val="fr-FR" w:bidi="ar-KW"/>
        </w:rPr>
        <w:t>Droit de la femme de transmettre la nationalité koweïtienne</w:t>
      </w:r>
    </w:p>
    <w:p w:rsidR="000C6D4A" w:rsidRPr="00F1180D" w:rsidRDefault="00DB7FBA" w:rsidP="00680ADA">
      <w:pPr>
        <w:pStyle w:val="SingleTxtG"/>
        <w:rPr>
          <w:lang w:val="fr-FR" w:bidi="ar-KW"/>
        </w:rPr>
      </w:pPr>
      <w:r>
        <w:rPr>
          <w:lang w:val="fr-FR" w:bidi="ar-KW"/>
        </w:rPr>
        <w:t>173.</w:t>
      </w:r>
      <w:r>
        <w:rPr>
          <w:lang w:val="fr-FR" w:bidi="ar-KW"/>
        </w:rPr>
        <w:tab/>
      </w:r>
      <w:r w:rsidR="000C6D4A" w:rsidRPr="00F1180D">
        <w:rPr>
          <w:lang w:val="fr-FR" w:bidi="ar-KW"/>
        </w:rPr>
        <w:t>Il est généralement reconnu sur le plan international que la nationalité désigne un lien juridique entre l</w:t>
      </w:r>
      <w:r w:rsidR="00680ADA" w:rsidRPr="00F1180D">
        <w:rPr>
          <w:lang w:val="fr-FR" w:bidi="ar-KW"/>
        </w:rPr>
        <w:t>’</w:t>
      </w:r>
      <w:r w:rsidR="000C6D4A" w:rsidRPr="00F1180D">
        <w:rPr>
          <w:lang w:val="fr-FR" w:bidi="ar-KW"/>
        </w:rPr>
        <w:t>individu et l</w:t>
      </w:r>
      <w:r w:rsidR="00680ADA" w:rsidRPr="00F1180D">
        <w:rPr>
          <w:lang w:val="fr-FR" w:bidi="ar-KW"/>
        </w:rPr>
        <w:t>’</w:t>
      </w:r>
      <w:r w:rsidR="000C6D4A" w:rsidRPr="00F1180D">
        <w:rPr>
          <w:lang w:val="fr-FR" w:bidi="ar-KW"/>
        </w:rPr>
        <w:t>État</w:t>
      </w:r>
      <w:r w:rsidR="00680ADA" w:rsidRPr="00F1180D">
        <w:rPr>
          <w:lang w:val="fr-FR" w:bidi="ar-KW"/>
        </w:rPr>
        <w:t>,</w:t>
      </w:r>
      <w:r w:rsidR="000C6D4A" w:rsidRPr="00F1180D">
        <w:rPr>
          <w:lang w:val="fr-FR" w:bidi="ar-KW"/>
        </w:rPr>
        <w:t xml:space="preserve"> que la législation en matière de nationalité fait partie des questions relevant exclusivement de la compétence de chaque État et qu</w:t>
      </w:r>
      <w:r w:rsidR="00680ADA" w:rsidRPr="00F1180D">
        <w:rPr>
          <w:lang w:val="fr-FR" w:bidi="ar-KW"/>
        </w:rPr>
        <w:t>’</w:t>
      </w:r>
      <w:r w:rsidR="000C6D4A" w:rsidRPr="00F1180D">
        <w:rPr>
          <w:lang w:val="fr-FR" w:bidi="ar-KW"/>
        </w:rPr>
        <w:t>il appartient à chaque État de déterminer quels sont ses ressortissants et de fixer les droits et devoirs y afférents</w:t>
      </w:r>
      <w:r w:rsidR="00680ADA" w:rsidRPr="00F1180D">
        <w:rPr>
          <w:lang w:val="fr-FR" w:bidi="ar-KW"/>
        </w:rPr>
        <w:t>,</w:t>
      </w:r>
      <w:r w:rsidR="000C6D4A" w:rsidRPr="00F1180D">
        <w:rPr>
          <w:lang w:val="fr-FR" w:bidi="ar-KW"/>
        </w:rPr>
        <w:t xml:space="preserve"> compte tenu des effets que cela peut avoir sur sa structure démographique et sa vie politique et économique. Ce principe a été réaffirmé dans l</w:t>
      </w:r>
      <w:r w:rsidR="00680ADA" w:rsidRPr="00F1180D">
        <w:rPr>
          <w:lang w:val="fr-FR" w:bidi="ar-KW"/>
        </w:rPr>
        <w:t>’</w:t>
      </w:r>
      <w:r w:rsidR="000C6D4A" w:rsidRPr="00F1180D">
        <w:rPr>
          <w:lang w:val="fr-FR" w:bidi="ar-KW"/>
        </w:rPr>
        <w:t>Avis consultatif émis en</w:t>
      </w:r>
      <w:r w:rsidR="00892008" w:rsidRPr="00F1180D">
        <w:rPr>
          <w:lang w:val="fr-FR" w:bidi="ar-KW"/>
        </w:rPr>
        <w:t> </w:t>
      </w:r>
      <w:r w:rsidR="000C6D4A" w:rsidRPr="00F1180D">
        <w:rPr>
          <w:lang w:val="fr-FR" w:bidi="ar-KW"/>
        </w:rPr>
        <w:t>1923 par la Cour permanente de justice internationale</w:t>
      </w:r>
      <w:r w:rsidR="00680ADA" w:rsidRPr="00F1180D">
        <w:rPr>
          <w:lang w:val="fr-FR" w:bidi="ar-KW"/>
        </w:rPr>
        <w:t>,</w:t>
      </w:r>
      <w:r w:rsidR="000C6D4A" w:rsidRPr="00F1180D">
        <w:rPr>
          <w:lang w:val="fr-FR" w:bidi="ar-KW"/>
        </w:rPr>
        <w:t xml:space="preserve"> qui a considéré que chaque État avait le droit de conserver sa liberté de légiférer en matière de nationalité</w:t>
      </w:r>
      <w:r w:rsidR="00680ADA" w:rsidRPr="00F1180D">
        <w:rPr>
          <w:lang w:val="fr-FR" w:bidi="ar-KW"/>
        </w:rPr>
        <w:t>,</w:t>
      </w:r>
      <w:r w:rsidR="000C6D4A" w:rsidRPr="00F1180D">
        <w:rPr>
          <w:lang w:val="fr-FR" w:bidi="ar-KW"/>
        </w:rPr>
        <w:t xml:space="preserve"> ainsi que par la Convention de La Haye de 1930 concernant certaines questions relatives aux conflits de lois sur la nationalité. Chacun sait qu</w:t>
      </w:r>
      <w:r w:rsidR="00680ADA" w:rsidRPr="00F1180D">
        <w:rPr>
          <w:lang w:val="fr-FR" w:bidi="ar-KW"/>
        </w:rPr>
        <w:t>’</w:t>
      </w:r>
      <w:r w:rsidR="000C6D4A" w:rsidRPr="00F1180D">
        <w:rPr>
          <w:lang w:val="fr-FR" w:bidi="ar-KW"/>
        </w:rPr>
        <w:t>un État exerce sa souveraineté lorsqu</w:t>
      </w:r>
      <w:r w:rsidR="00680ADA" w:rsidRPr="00F1180D">
        <w:rPr>
          <w:lang w:val="fr-FR" w:bidi="ar-KW"/>
        </w:rPr>
        <w:t>’</w:t>
      </w:r>
      <w:r w:rsidR="000C6D4A" w:rsidRPr="00F1180D">
        <w:rPr>
          <w:lang w:val="fr-FR" w:bidi="ar-KW"/>
        </w:rPr>
        <w:t>il adopte une loi régissant sa nationalité et fixant les conditions et procédures d</w:t>
      </w:r>
      <w:r w:rsidR="00680ADA" w:rsidRPr="00F1180D">
        <w:rPr>
          <w:lang w:val="fr-FR" w:bidi="ar-KW"/>
        </w:rPr>
        <w:t>’</w:t>
      </w:r>
      <w:r w:rsidR="000C6D4A" w:rsidRPr="00F1180D">
        <w:rPr>
          <w:lang w:val="fr-FR" w:bidi="ar-KW"/>
        </w:rPr>
        <w:t>octroi ou d</w:t>
      </w:r>
      <w:r w:rsidR="00680ADA" w:rsidRPr="00F1180D">
        <w:rPr>
          <w:lang w:val="fr-FR" w:bidi="ar-KW"/>
        </w:rPr>
        <w:t>’</w:t>
      </w:r>
      <w:r w:rsidR="000C6D4A" w:rsidRPr="00F1180D">
        <w:rPr>
          <w:lang w:val="fr-FR" w:bidi="ar-KW"/>
        </w:rPr>
        <w:t>acquisition de celle-ci</w:t>
      </w:r>
      <w:r w:rsidR="00680ADA" w:rsidRPr="00F1180D">
        <w:rPr>
          <w:lang w:val="fr-FR" w:bidi="ar-KW"/>
        </w:rPr>
        <w:t>,</w:t>
      </w:r>
      <w:r w:rsidR="000C6D4A" w:rsidRPr="00F1180D">
        <w:rPr>
          <w:lang w:val="fr-FR" w:bidi="ar-KW"/>
        </w:rPr>
        <w:t xml:space="preserve"> dans la mesure où c</w:t>
      </w:r>
      <w:r w:rsidR="00680ADA" w:rsidRPr="00F1180D">
        <w:rPr>
          <w:lang w:val="fr-FR" w:bidi="ar-KW"/>
        </w:rPr>
        <w:t>’</w:t>
      </w:r>
      <w:r w:rsidR="000C6D4A" w:rsidRPr="00F1180D">
        <w:rPr>
          <w:lang w:val="fr-FR" w:bidi="ar-KW"/>
        </w:rPr>
        <w:t>est lui-même qui en est à l</w:t>
      </w:r>
      <w:r w:rsidR="00680ADA" w:rsidRPr="00F1180D">
        <w:rPr>
          <w:lang w:val="fr-FR" w:bidi="ar-KW"/>
        </w:rPr>
        <w:t>’</w:t>
      </w:r>
      <w:r w:rsidR="000C6D4A" w:rsidRPr="00F1180D">
        <w:rPr>
          <w:lang w:val="fr-FR" w:bidi="ar-KW"/>
        </w:rPr>
        <w:t>origine et qu</w:t>
      </w:r>
      <w:r w:rsidR="00680ADA" w:rsidRPr="00F1180D">
        <w:rPr>
          <w:lang w:val="fr-FR" w:bidi="ar-KW"/>
        </w:rPr>
        <w:t>’</w:t>
      </w:r>
      <w:r w:rsidR="000C6D4A" w:rsidRPr="00F1180D">
        <w:rPr>
          <w:lang w:val="fr-FR" w:bidi="ar-KW"/>
        </w:rPr>
        <w:t>il se donne</w:t>
      </w:r>
      <w:r w:rsidR="00680ADA" w:rsidRPr="00F1180D">
        <w:rPr>
          <w:lang w:val="fr-FR" w:bidi="ar-KW"/>
        </w:rPr>
        <w:t>,</w:t>
      </w:r>
      <w:r w:rsidR="000C6D4A" w:rsidRPr="00F1180D">
        <w:rPr>
          <w:lang w:val="fr-FR" w:bidi="ar-KW"/>
        </w:rPr>
        <w:t xml:space="preserve"> en légiférant sur ce point</w:t>
      </w:r>
      <w:r w:rsidR="00680ADA" w:rsidRPr="00F1180D">
        <w:rPr>
          <w:lang w:val="fr-FR" w:bidi="ar-KW"/>
        </w:rPr>
        <w:t>,</w:t>
      </w:r>
      <w:r w:rsidR="000C6D4A" w:rsidRPr="00F1180D">
        <w:rPr>
          <w:lang w:val="fr-FR" w:bidi="ar-KW"/>
        </w:rPr>
        <w:t xml:space="preserve"> les moyens de la mettre en </w:t>
      </w:r>
      <w:r w:rsidR="00823836" w:rsidRPr="00F1180D">
        <w:rPr>
          <w:lang w:val="fr-FR" w:bidi="ar-KW"/>
        </w:rPr>
        <w:t>œuvre</w:t>
      </w:r>
      <w:r w:rsidR="000C6D4A" w:rsidRPr="00F1180D">
        <w:rPr>
          <w:lang w:val="fr-FR" w:bidi="ar-KW"/>
        </w:rPr>
        <w:t xml:space="preserve"> et la faire respecter par toutes les parties concernées.</w:t>
      </w:r>
    </w:p>
    <w:p w:rsidR="000C6D4A" w:rsidRPr="00F1180D" w:rsidRDefault="00DB7FBA" w:rsidP="00680ADA">
      <w:pPr>
        <w:pStyle w:val="SingleTxtG"/>
        <w:rPr>
          <w:lang w:val="fr-FR" w:bidi="ar-KW"/>
        </w:rPr>
      </w:pPr>
      <w:r>
        <w:rPr>
          <w:lang w:val="fr-FR" w:bidi="ar-KW"/>
        </w:rPr>
        <w:t>174.</w:t>
      </w:r>
      <w:r>
        <w:rPr>
          <w:lang w:val="fr-FR" w:bidi="ar-KW"/>
        </w:rPr>
        <w:tab/>
      </w:r>
      <w:r w:rsidR="000C6D4A" w:rsidRPr="00F1180D">
        <w:rPr>
          <w:lang w:val="fr-FR" w:bidi="ar-KW"/>
        </w:rPr>
        <w:t xml:space="preserve">Le décret-loi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15/1959 sur la nationalité repose sur le principe qui fonde la plupart des lois en la matière dans le monde</w:t>
      </w:r>
      <w:r w:rsidR="00680ADA" w:rsidRPr="00F1180D">
        <w:rPr>
          <w:lang w:val="fr-FR" w:bidi="ar-KW"/>
        </w:rPr>
        <w:t>,</w:t>
      </w:r>
      <w:r w:rsidR="000C6D4A" w:rsidRPr="00F1180D">
        <w:rPr>
          <w:lang w:val="fr-FR" w:bidi="ar-KW"/>
        </w:rPr>
        <w:t xml:space="preserve"> selon lequel la nationalité est accordée sur la base du </w:t>
      </w:r>
      <w:r w:rsidR="000C6D4A" w:rsidRPr="00F1180D">
        <w:rPr>
          <w:i/>
          <w:lang w:val="fr-FR" w:bidi="ar-KW"/>
        </w:rPr>
        <w:t xml:space="preserve">jus sanguinis </w:t>
      </w:r>
      <w:r w:rsidR="000C6D4A" w:rsidRPr="00F1180D">
        <w:rPr>
          <w:lang w:val="fr-FR" w:bidi="ar-KW"/>
        </w:rPr>
        <w:t>(filiation paternelle). En d</w:t>
      </w:r>
      <w:r w:rsidR="00680ADA" w:rsidRPr="00F1180D">
        <w:rPr>
          <w:lang w:val="fr-FR" w:bidi="ar-KW"/>
        </w:rPr>
        <w:t>’</w:t>
      </w:r>
      <w:r w:rsidR="000C6D4A" w:rsidRPr="00F1180D">
        <w:rPr>
          <w:lang w:val="fr-FR" w:bidi="ar-KW"/>
        </w:rPr>
        <w:t>autres termes</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toute personne née au Koweït ou à l</w:t>
      </w:r>
      <w:r w:rsidR="00680ADA" w:rsidRPr="00F1180D">
        <w:rPr>
          <w:lang w:val="fr-FR" w:bidi="ar-KW"/>
        </w:rPr>
        <w:t>’</w:t>
      </w:r>
      <w:r w:rsidR="000C6D4A" w:rsidRPr="00F1180D">
        <w:rPr>
          <w:lang w:val="fr-FR" w:bidi="ar-KW"/>
        </w:rPr>
        <w:t>étranger de père koweïtien est Koweïtienne</w:t>
      </w:r>
      <w:r w:rsidR="00680ADA" w:rsidRPr="00F1180D">
        <w:rPr>
          <w:lang w:val="fr-FR" w:bidi="ar-KW"/>
        </w:rPr>
        <w:t>»</w:t>
      </w:r>
      <w:r w:rsidR="000C6D4A" w:rsidRPr="00F1180D">
        <w:rPr>
          <w:lang w:val="fr-FR" w:bidi="ar-KW"/>
        </w:rPr>
        <w:t xml:space="preserve"> (</w:t>
      </w:r>
      <w:r w:rsidR="00622E00" w:rsidRPr="00F1180D">
        <w:rPr>
          <w:lang w:val="fr-FR" w:bidi="ar-KW"/>
        </w:rPr>
        <w:t>art. </w:t>
      </w:r>
      <w:r w:rsidR="000C6D4A" w:rsidRPr="00F1180D">
        <w:rPr>
          <w:lang w:val="fr-FR" w:bidi="ar-KW"/>
        </w:rPr>
        <w:t xml:space="preserve">2). </w:t>
      </w:r>
    </w:p>
    <w:p w:rsidR="000C6D4A" w:rsidRPr="00F1180D" w:rsidRDefault="00DB7FBA" w:rsidP="00680ADA">
      <w:pPr>
        <w:pStyle w:val="SingleTxtG"/>
        <w:rPr>
          <w:rtl/>
          <w:lang w:val="fr-FR" w:bidi="fr-FR"/>
        </w:rPr>
      </w:pPr>
      <w:r>
        <w:rPr>
          <w:lang w:val="fr-FR" w:bidi="ar-KW"/>
        </w:rPr>
        <w:lastRenderedPageBreak/>
        <w:t>175.</w:t>
      </w:r>
      <w:r>
        <w:rPr>
          <w:lang w:val="fr-FR" w:bidi="ar-KW"/>
        </w:rPr>
        <w:tab/>
      </w:r>
      <w:r w:rsidR="000C6D4A" w:rsidRPr="00F1180D">
        <w:rPr>
          <w:lang w:val="fr-FR" w:bidi="ar-KW"/>
        </w:rPr>
        <w:t>Toutefois</w:t>
      </w:r>
      <w:r w:rsidR="00680ADA" w:rsidRPr="00F1180D">
        <w:rPr>
          <w:lang w:val="fr-FR" w:bidi="ar-KW"/>
        </w:rPr>
        <w:t>,</w:t>
      </w:r>
      <w:r w:rsidR="000C6D4A" w:rsidRPr="00F1180D">
        <w:rPr>
          <w:lang w:val="fr-FR" w:bidi="ar-KW"/>
        </w:rPr>
        <w:t xml:space="preserve"> pour des raisons humanitaires</w:t>
      </w:r>
      <w:r w:rsidR="00680ADA" w:rsidRPr="00F1180D">
        <w:rPr>
          <w:lang w:val="fr-FR" w:bidi="ar-KW"/>
        </w:rPr>
        <w:t>,</w:t>
      </w:r>
      <w:r w:rsidR="000C6D4A" w:rsidRPr="00F1180D">
        <w:rPr>
          <w:lang w:val="fr-FR" w:bidi="ar-KW"/>
        </w:rPr>
        <w:t xml:space="preserve"> la nationalité koweïtienne est également accordée sans délai aux enfants nés de mère Koweïtienne dans un certain nombre de cas</w:t>
      </w:r>
      <w:r w:rsidR="00680ADA" w:rsidRPr="00F1180D">
        <w:rPr>
          <w:lang w:val="fr-FR" w:bidi="ar-KW"/>
        </w:rPr>
        <w:t>,</w:t>
      </w:r>
      <w:r w:rsidR="000C6D4A" w:rsidRPr="00F1180D">
        <w:rPr>
          <w:lang w:val="fr-FR" w:bidi="ar-KW"/>
        </w:rPr>
        <w:t xml:space="preserve"> conformément à l</w:t>
      </w:r>
      <w:r w:rsidR="00680ADA" w:rsidRPr="00F1180D">
        <w:rPr>
          <w:lang w:val="fr-FR" w:bidi="ar-KW"/>
        </w:rPr>
        <w:t>’</w:t>
      </w:r>
      <w:r w:rsidR="00163207" w:rsidRPr="00F1180D">
        <w:rPr>
          <w:lang w:val="fr-FR" w:bidi="ar-KW"/>
        </w:rPr>
        <w:t>article </w:t>
      </w:r>
      <w:r w:rsidR="000C6D4A" w:rsidRPr="00F1180D">
        <w:rPr>
          <w:lang w:val="fr-FR" w:bidi="ar-KW"/>
        </w:rPr>
        <w:t>3 de la loi susmentionnée qui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Est Koweïtienne toute personne née au Koweït ou à l</w:t>
      </w:r>
      <w:r w:rsidR="00680ADA" w:rsidRPr="00F1180D">
        <w:rPr>
          <w:lang w:val="fr-FR" w:bidi="ar-KW"/>
        </w:rPr>
        <w:t>’</w:t>
      </w:r>
      <w:r w:rsidR="000C6D4A" w:rsidRPr="00F1180D">
        <w:rPr>
          <w:lang w:val="fr-FR" w:bidi="ar-KW"/>
        </w:rPr>
        <w:t>étranger d</w:t>
      </w:r>
      <w:r w:rsidR="00680ADA" w:rsidRPr="00F1180D">
        <w:rPr>
          <w:lang w:val="fr-FR" w:bidi="ar-KW"/>
        </w:rPr>
        <w:t>’</w:t>
      </w:r>
      <w:r w:rsidR="000C6D4A" w:rsidRPr="00F1180D">
        <w:rPr>
          <w:lang w:val="fr-FR" w:bidi="ar-KW"/>
        </w:rPr>
        <w:t>une mère koweïtienne et de père inconnu ou dont la paternité ne peut être légalement établie</w:t>
      </w:r>
      <w:r w:rsidR="00680ADA" w:rsidRPr="00F1180D">
        <w:rPr>
          <w:lang w:val="fr-FR" w:bidi="ar-KW"/>
        </w:rPr>
        <w:t>»</w:t>
      </w:r>
      <w:r w:rsidR="000C6D4A" w:rsidRPr="00F1180D">
        <w:rPr>
          <w:lang w:val="fr-FR" w:bidi="ar-KW"/>
        </w:rPr>
        <w:t xml:space="preserve">. </w:t>
      </w:r>
    </w:p>
    <w:p w:rsidR="000C6D4A" w:rsidRPr="00F1180D" w:rsidRDefault="00DB7FBA" w:rsidP="00680ADA">
      <w:pPr>
        <w:pStyle w:val="SingleTxtG"/>
        <w:rPr>
          <w:lang w:val="fr-FR" w:bidi="ar-KW"/>
        </w:rPr>
      </w:pPr>
      <w:r>
        <w:rPr>
          <w:lang w:val="fr-FR" w:bidi="ar-KW"/>
        </w:rPr>
        <w:t>176.</w:t>
      </w:r>
      <w:r>
        <w:rPr>
          <w:lang w:val="fr-FR" w:bidi="ar-KW"/>
        </w:rPr>
        <w:tab/>
      </w:r>
      <w:r w:rsidR="000C6D4A" w:rsidRPr="00F1180D">
        <w:rPr>
          <w:lang w:val="fr-FR" w:bidi="ar-KW"/>
        </w:rPr>
        <w:t xml:space="preserve">Un nouveau </w:t>
      </w:r>
      <w:r w:rsidR="00410CA5" w:rsidRPr="00F1180D">
        <w:rPr>
          <w:lang w:val="fr-FR" w:bidi="ar-KW"/>
        </w:rPr>
        <w:t>paragra</w:t>
      </w:r>
      <w:r w:rsidR="00F216E6" w:rsidRPr="00F1180D">
        <w:rPr>
          <w:lang w:val="fr-FR" w:bidi="ar-KW"/>
        </w:rPr>
        <w:t xml:space="preserve">phe </w:t>
      </w:r>
      <w:r w:rsidR="000C6D4A" w:rsidRPr="00F1180D">
        <w:rPr>
          <w:lang w:val="fr-FR" w:bidi="ar-KW"/>
        </w:rPr>
        <w:t>(</w:t>
      </w:r>
      <w:r w:rsidR="000F7294" w:rsidRPr="00F1180D">
        <w:rPr>
          <w:lang w:val="fr-FR" w:bidi="ar-KW"/>
        </w:rPr>
        <w:t>par. </w:t>
      </w:r>
      <w:r w:rsidR="000C6D4A" w:rsidRPr="00F1180D">
        <w:rPr>
          <w:lang w:val="fr-FR" w:bidi="ar-KW"/>
        </w:rPr>
        <w:t>2)</w:t>
      </w:r>
      <w:r w:rsidR="00680ADA" w:rsidRPr="00F1180D">
        <w:rPr>
          <w:lang w:val="fr-FR" w:bidi="ar-KW"/>
        </w:rPr>
        <w:t>,</w:t>
      </w:r>
      <w:r w:rsidR="000C6D4A" w:rsidRPr="00F1180D">
        <w:rPr>
          <w:lang w:val="fr-FR" w:bidi="ar-KW"/>
        </w:rPr>
        <w:t xml:space="preserve"> permettant aux enfants nés de mère Koweïtienne d</w:t>
      </w:r>
      <w:r w:rsidR="00680ADA" w:rsidRPr="00F1180D">
        <w:rPr>
          <w:lang w:val="fr-FR" w:bidi="ar-KW"/>
        </w:rPr>
        <w:t>’</w:t>
      </w:r>
      <w:r w:rsidR="000C6D4A" w:rsidRPr="00F1180D">
        <w:rPr>
          <w:lang w:val="fr-FR" w:bidi="ar-KW"/>
        </w:rPr>
        <w:t>acquérir la nationalité koweïtienne si la mère est définitivement divorcée</w:t>
      </w:r>
      <w:r w:rsidR="00680ADA" w:rsidRPr="00F1180D">
        <w:rPr>
          <w:lang w:val="fr-FR" w:bidi="ar-KW"/>
        </w:rPr>
        <w:t>,</w:t>
      </w:r>
      <w:r w:rsidR="000C6D4A" w:rsidRPr="00F1180D">
        <w:rPr>
          <w:lang w:val="fr-FR" w:bidi="ar-KW"/>
        </w:rPr>
        <w:t xml:space="preserve"> si le père est décédé ou est en captivité</w:t>
      </w:r>
      <w:r w:rsidR="00680ADA" w:rsidRPr="00F1180D">
        <w:rPr>
          <w:lang w:val="fr-FR" w:bidi="ar-KW"/>
        </w:rPr>
        <w:t>,</w:t>
      </w:r>
      <w:r w:rsidR="000C6D4A" w:rsidRPr="00F1180D">
        <w:rPr>
          <w:lang w:val="fr-FR" w:bidi="ar-KW"/>
        </w:rPr>
        <w:t xml:space="preserve"> a été ajouté à l</w:t>
      </w:r>
      <w:r w:rsidR="00680ADA" w:rsidRPr="00F1180D">
        <w:rPr>
          <w:lang w:val="fr-FR" w:bidi="ar-KW"/>
        </w:rPr>
        <w:t>’</w:t>
      </w:r>
      <w:r w:rsidR="00163207" w:rsidRPr="00F1180D">
        <w:rPr>
          <w:lang w:val="fr-FR" w:bidi="ar-KW"/>
        </w:rPr>
        <w:t>article </w:t>
      </w:r>
      <w:r w:rsidR="000C6D4A" w:rsidRPr="00F1180D">
        <w:rPr>
          <w:lang w:val="fr-FR" w:bidi="ar-KW"/>
        </w:rPr>
        <w:t xml:space="preserve">5 de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 xml:space="preserve">100/1980 modifiant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15/19</w:t>
      </w:r>
      <w:r w:rsidR="00F216E6" w:rsidRPr="00F1180D">
        <w:rPr>
          <w:lang w:val="fr-FR" w:bidi="ar-KW"/>
        </w:rPr>
        <w:t>59 sur la nationalité.</w:t>
      </w:r>
    </w:p>
    <w:p w:rsidR="000C6D4A" w:rsidRPr="00F1180D" w:rsidRDefault="0085024E" w:rsidP="0085024E">
      <w:pPr>
        <w:pStyle w:val="HChG"/>
        <w:rPr>
          <w:lang w:val="fr-FR" w:bidi="ar-KW"/>
        </w:rPr>
      </w:pPr>
      <w:r w:rsidRPr="00F1180D">
        <w:rPr>
          <w:lang w:val="fr-FR" w:bidi="ar-KW"/>
        </w:rPr>
        <w:tab/>
      </w:r>
      <w:r w:rsidRPr="00F1180D">
        <w:rPr>
          <w:lang w:val="fr-FR" w:bidi="ar-KW"/>
        </w:rPr>
        <w:tab/>
      </w:r>
      <w:r w:rsidR="000C6D4A" w:rsidRPr="00F1180D">
        <w:rPr>
          <w:lang w:val="fr-FR" w:bidi="ar-KW"/>
        </w:rPr>
        <w:t>Statistiques indiquant le nombre d</w:t>
      </w:r>
      <w:r w:rsidR="00680ADA" w:rsidRPr="00F1180D">
        <w:rPr>
          <w:lang w:val="fr-FR" w:bidi="ar-KW"/>
        </w:rPr>
        <w:t>’</w:t>
      </w:r>
      <w:r w:rsidR="000C6D4A" w:rsidRPr="00F1180D">
        <w:rPr>
          <w:lang w:val="fr-FR" w:bidi="ar-KW"/>
        </w:rPr>
        <w:t>enfants nés de mère Koweïtienne ayant été naturalisés (2010-2014)</w:t>
      </w:r>
    </w:p>
    <w:p w:rsidR="000C6D4A" w:rsidRPr="00F1180D" w:rsidRDefault="0085024E" w:rsidP="0085024E">
      <w:pPr>
        <w:pStyle w:val="H1G"/>
        <w:rPr>
          <w:lang w:val="fr-FR" w:bidi="ar-KW"/>
        </w:rPr>
      </w:pPr>
      <w:r w:rsidRPr="00F1180D">
        <w:rPr>
          <w:lang w:val="fr-FR" w:bidi="ar-KW"/>
        </w:rPr>
        <w:tab/>
      </w:r>
      <w:r w:rsidRPr="00F1180D">
        <w:rPr>
          <w:lang w:val="fr-FR" w:bidi="ar-KW"/>
        </w:rPr>
        <w:tab/>
      </w:r>
      <w:r w:rsidR="000C6D4A" w:rsidRPr="00F1180D">
        <w:rPr>
          <w:lang w:val="fr-FR" w:bidi="ar-KW"/>
        </w:rPr>
        <w:t xml:space="preserve">Statistiques indiquant le nombre de personnes ayant acquis la nationalité koweïtienne conformément au </w:t>
      </w:r>
      <w:r w:rsidR="00410CA5" w:rsidRPr="00F1180D">
        <w:rPr>
          <w:lang w:val="fr-FR" w:bidi="ar-KW"/>
        </w:rPr>
        <w:t>paragraphe </w:t>
      </w:r>
      <w:r w:rsidR="000C6D4A" w:rsidRPr="00F1180D">
        <w:rPr>
          <w:lang w:val="fr-FR" w:bidi="ar-KW"/>
        </w:rPr>
        <w:t>2 de l</w:t>
      </w:r>
      <w:r w:rsidR="00680ADA" w:rsidRPr="00F1180D">
        <w:rPr>
          <w:lang w:val="fr-FR" w:bidi="ar-KW"/>
        </w:rPr>
        <w:t>’</w:t>
      </w:r>
      <w:r w:rsidR="00163207" w:rsidRPr="00F1180D">
        <w:rPr>
          <w:lang w:val="fr-FR" w:bidi="ar-KW"/>
        </w:rPr>
        <w:t>article </w:t>
      </w:r>
      <w:r w:rsidR="000C6D4A" w:rsidRPr="00F1180D">
        <w:rPr>
          <w:lang w:val="fr-FR" w:bidi="ar-KW"/>
        </w:rPr>
        <w:t xml:space="preserve">5 </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3827"/>
        <w:gridCol w:w="566"/>
      </w:tblGrid>
      <w:tr w:rsidR="00E501D8" w:rsidRPr="00F1180D" w:rsidTr="00C66720">
        <w:trPr>
          <w:trHeight w:val="240"/>
          <w:tblHeader/>
        </w:trPr>
        <w:tc>
          <w:tcPr>
            <w:tcW w:w="1560" w:type="dxa"/>
            <w:tcBorders>
              <w:top w:val="single" w:sz="4" w:space="0" w:color="auto"/>
              <w:bottom w:val="single" w:sz="12" w:space="0" w:color="auto"/>
              <w:right w:val="nil"/>
            </w:tcBorders>
            <w:shd w:val="clear" w:color="auto" w:fill="auto"/>
            <w:vAlign w:val="bottom"/>
          </w:tcPr>
          <w:p w:rsidR="00E501D8" w:rsidRPr="00F1180D" w:rsidRDefault="00E501D8" w:rsidP="00E501D8">
            <w:pPr>
              <w:pStyle w:val="SingleTxtG"/>
              <w:spacing w:before="80" w:after="80" w:line="200" w:lineRule="exact"/>
              <w:ind w:left="0" w:right="0"/>
              <w:jc w:val="left"/>
              <w:rPr>
                <w:i/>
                <w:sz w:val="16"/>
                <w:lang w:val="fr-FR"/>
              </w:rPr>
            </w:pPr>
            <w:r w:rsidRPr="00F1180D">
              <w:rPr>
                <w:i/>
                <w:sz w:val="16"/>
                <w:lang w:val="fr-FR"/>
              </w:rPr>
              <w:t>Nationalité d’origine</w:t>
            </w:r>
          </w:p>
        </w:tc>
        <w:tc>
          <w:tcPr>
            <w:tcW w:w="1417" w:type="dxa"/>
            <w:tcBorders>
              <w:top w:val="single" w:sz="4" w:space="0" w:color="auto"/>
              <w:left w:val="nil"/>
              <w:bottom w:val="single" w:sz="12" w:space="0" w:color="auto"/>
            </w:tcBorders>
            <w:shd w:val="clear" w:color="auto" w:fill="auto"/>
            <w:vAlign w:val="bottom"/>
          </w:tcPr>
          <w:p w:rsidR="00E501D8" w:rsidRPr="00F1180D" w:rsidRDefault="00E501D8" w:rsidP="00C66720">
            <w:pPr>
              <w:pStyle w:val="SingleTxtG"/>
              <w:spacing w:before="80" w:after="80" w:line="200" w:lineRule="exact"/>
              <w:ind w:left="0" w:right="0"/>
              <w:jc w:val="right"/>
              <w:rPr>
                <w:i/>
                <w:sz w:val="16"/>
                <w:lang w:val="fr-FR"/>
              </w:rPr>
            </w:pPr>
            <w:r w:rsidRPr="00F1180D">
              <w:rPr>
                <w:i/>
                <w:sz w:val="16"/>
                <w:lang w:val="fr-FR"/>
              </w:rPr>
              <w:t>Nombre</w:t>
            </w:r>
          </w:p>
        </w:tc>
        <w:tc>
          <w:tcPr>
            <w:tcW w:w="3827" w:type="dxa"/>
            <w:tcBorders>
              <w:top w:val="single" w:sz="4" w:space="0" w:color="auto"/>
              <w:bottom w:val="single" w:sz="12" w:space="0" w:color="auto"/>
              <w:right w:val="nil"/>
            </w:tcBorders>
            <w:shd w:val="clear" w:color="auto" w:fill="auto"/>
            <w:vAlign w:val="bottom"/>
          </w:tcPr>
          <w:p w:rsidR="00E501D8" w:rsidRPr="00F1180D" w:rsidRDefault="00E501D8" w:rsidP="00700BB7">
            <w:pPr>
              <w:pStyle w:val="SingleTxtG"/>
              <w:spacing w:before="80" w:after="80" w:line="200" w:lineRule="exact"/>
              <w:ind w:left="284" w:right="284"/>
              <w:jc w:val="left"/>
              <w:rPr>
                <w:i/>
                <w:sz w:val="16"/>
                <w:lang w:val="fr-FR"/>
              </w:rPr>
            </w:pPr>
            <w:r w:rsidRPr="00F1180D">
              <w:rPr>
                <w:i/>
                <w:sz w:val="16"/>
                <w:lang w:val="fr-FR"/>
              </w:rPr>
              <w:t>Nationalité d’origine</w:t>
            </w:r>
          </w:p>
        </w:tc>
        <w:tc>
          <w:tcPr>
            <w:tcW w:w="566" w:type="dxa"/>
            <w:tcBorders>
              <w:top w:val="single" w:sz="4" w:space="0" w:color="auto"/>
              <w:left w:val="nil"/>
              <w:bottom w:val="single" w:sz="12" w:space="0" w:color="auto"/>
            </w:tcBorders>
            <w:shd w:val="clear" w:color="auto" w:fill="auto"/>
            <w:vAlign w:val="bottom"/>
          </w:tcPr>
          <w:p w:rsidR="00E501D8" w:rsidRPr="00F1180D" w:rsidRDefault="00E501D8" w:rsidP="00E501D8">
            <w:pPr>
              <w:pStyle w:val="SingleTxtG"/>
              <w:spacing w:before="80" w:after="80" w:line="200" w:lineRule="exact"/>
              <w:ind w:left="0" w:right="0"/>
              <w:jc w:val="right"/>
              <w:rPr>
                <w:i/>
                <w:sz w:val="16"/>
                <w:lang w:val="fr-FR"/>
              </w:rPr>
            </w:pPr>
            <w:r w:rsidRPr="00F1180D">
              <w:rPr>
                <w:i/>
                <w:sz w:val="16"/>
                <w:lang w:val="fr-FR"/>
              </w:rPr>
              <w:t>Nombre</w:t>
            </w:r>
          </w:p>
        </w:tc>
      </w:tr>
      <w:tr w:rsidR="00E501D8" w:rsidRPr="00F1180D" w:rsidTr="00C66720">
        <w:trPr>
          <w:trHeight w:val="240"/>
        </w:trPr>
        <w:tc>
          <w:tcPr>
            <w:tcW w:w="1560" w:type="dxa"/>
            <w:tcBorders>
              <w:top w:val="single" w:sz="12" w:space="0" w:color="auto"/>
              <w:right w:val="nil"/>
            </w:tcBorders>
            <w:shd w:val="clear" w:color="auto" w:fill="auto"/>
            <w:vAlign w:val="bottom"/>
          </w:tcPr>
          <w:p w:rsidR="00E501D8" w:rsidRPr="00F1180D" w:rsidRDefault="00E501D8" w:rsidP="00E501D8">
            <w:pPr>
              <w:pStyle w:val="SingleTxtG"/>
              <w:spacing w:before="40" w:after="40" w:line="220" w:lineRule="exact"/>
              <w:ind w:left="0" w:right="0"/>
              <w:jc w:val="left"/>
              <w:rPr>
                <w:lang w:val="fr-FR"/>
              </w:rPr>
            </w:pPr>
            <w:r w:rsidRPr="00F1180D">
              <w:rPr>
                <w:lang w:val="fr-FR"/>
              </w:rPr>
              <w:t>Érythréenne</w:t>
            </w:r>
          </w:p>
        </w:tc>
        <w:tc>
          <w:tcPr>
            <w:tcW w:w="1417" w:type="dxa"/>
            <w:tcBorders>
              <w:top w:val="single" w:sz="12" w:space="0" w:color="auto"/>
              <w:left w:val="nil"/>
            </w:tcBorders>
            <w:shd w:val="clear" w:color="auto" w:fill="auto"/>
            <w:vAlign w:val="bottom"/>
          </w:tcPr>
          <w:p w:rsidR="00E501D8" w:rsidRPr="00F1180D" w:rsidRDefault="00E501D8" w:rsidP="00C66720">
            <w:pPr>
              <w:pStyle w:val="SingleTxtG"/>
              <w:spacing w:before="40" w:after="40" w:line="220" w:lineRule="exact"/>
              <w:ind w:left="0" w:right="0"/>
              <w:jc w:val="right"/>
              <w:rPr>
                <w:lang w:val="fr-FR"/>
              </w:rPr>
            </w:pPr>
            <w:r w:rsidRPr="00F1180D">
              <w:rPr>
                <w:lang w:val="fr-FR"/>
              </w:rPr>
              <w:t>2</w:t>
            </w:r>
          </w:p>
        </w:tc>
        <w:tc>
          <w:tcPr>
            <w:tcW w:w="3827" w:type="dxa"/>
            <w:tcBorders>
              <w:top w:val="single" w:sz="12" w:space="0" w:color="auto"/>
              <w:right w:val="nil"/>
            </w:tcBorders>
            <w:shd w:val="clear" w:color="auto" w:fill="auto"/>
            <w:vAlign w:val="bottom"/>
          </w:tcPr>
          <w:p w:rsidR="00E501D8" w:rsidRPr="00F1180D" w:rsidRDefault="00E501D8" w:rsidP="00700BB7">
            <w:pPr>
              <w:pStyle w:val="SingleTxtG"/>
              <w:spacing w:before="40" w:after="40" w:line="220" w:lineRule="exact"/>
              <w:ind w:left="284" w:right="284"/>
              <w:jc w:val="left"/>
              <w:rPr>
                <w:lang w:val="fr-FR"/>
              </w:rPr>
            </w:pPr>
            <w:r w:rsidRPr="00F1180D">
              <w:rPr>
                <w:lang w:val="fr-FR"/>
              </w:rPr>
              <w:t>Iranienne</w:t>
            </w:r>
          </w:p>
        </w:tc>
        <w:tc>
          <w:tcPr>
            <w:tcW w:w="566" w:type="dxa"/>
            <w:tcBorders>
              <w:top w:val="single" w:sz="12" w:space="0" w:color="auto"/>
              <w:left w:val="nil"/>
            </w:tcBorders>
            <w:shd w:val="clear" w:color="auto" w:fill="auto"/>
            <w:vAlign w:val="bottom"/>
          </w:tcPr>
          <w:p w:rsidR="00E501D8" w:rsidRPr="00F1180D" w:rsidRDefault="00E501D8" w:rsidP="00E501D8">
            <w:pPr>
              <w:pStyle w:val="SingleTxtG"/>
              <w:spacing w:before="40" w:after="40" w:line="220" w:lineRule="exact"/>
              <w:ind w:left="0" w:right="0"/>
              <w:jc w:val="right"/>
              <w:rPr>
                <w:lang w:val="fr-FR"/>
              </w:rPr>
            </w:pPr>
            <w:r w:rsidRPr="00F1180D">
              <w:rPr>
                <w:lang w:val="fr-FR"/>
              </w:rPr>
              <w:t>16</w:t>
            </w:r>
          </w:p>
        </w:tc>
      </w:tr>
      <w:tr w:rsidR="00E501D8" w:rsidRPr="00F1180D" w:rsidTr="00C66720">
        <w:trPr>
          <w:trHeight w:val="240"/>
        </w:trPr>
        <w:tc>
          <w:tcPr>
            <w:tcW w:w="1560" w:type="dxa"/>
            <w:tcBorders>
              <w:right w:val="nil"/>
            </w:tcBorders>
            <w:shd w:val="clear" w:color="auto" w:fill="auto"/>
            <w:vAlign w:val="bottom"/>
          </w:tcPr>
          <w:p w:rsidR="00E501D8" w:rsidRPr="00F1180D" w:rsidRDefault="00E501D8" w:rsidP="00E501D8">
            <w:pPr>
              <w:pStyle w:val="SingleTxtG"/>
              <w:spacing w:before="40" w:after="40" w:line="220" w:lineRule="exact"/>
              <w:ind w:left="0" w:right="0"/>
              <w:jc w:val="left"/>
              <w:rPr>
                <w:lang w:val="fr-FR"/>
              </w:rPr>
            </w:pPr>
            <w:r w:rsidRPr="00F1180D">
              <w:rPr>
                <w:lang w:val="fr-FR"/>
              </w:rPr>
              <w:t>Australienne</w:t>
            </w:r>
          </w:p>
        </w:tc>
        <w:tc>
          <w:tcPr>
            <w:tcW w:w="1417" w:type="dxa"/>
            <w:tcBorders>
              <w:left w:val="nil"/>
            </w:tcBorders>
            <w:shd w:val="clear" w:color="auto" w:fill="auto"/>
            <w:vAlign w:val="bottom"/>
          </w:tcPr>
          <w:p w:rsidR="00E501D8" w:rsidRPr="00F1180D" w:rsidRDefault="00E501D8" w:rsidP="00C66720">
            <w:pPr>
              <w:pStyle w:val="SingleTxtG"/>
              <w:spacing w:before="40" w:after="40" w:line="220" w:lineRule="exact"/>
              <w:ind w:left="0" w:right="0"/>
              <w:jc w:val="right"/>
              <w:rPr>
                <w:lang w:val="fr-FR"/>
              </w:rPr>
            </w:pPr>
            <w:r w:rsidRPr="00F1180D">
              <w:rPr>
                <w:lang w:val="fr-FR"/>
              </w:rPr>
              <w:t>1</w:t>
            </w:r>
          </w:p>
        </w:tc>
        <w:tc>
          <w:tcPr>
            <w:tcW w:w="3827" w:type="dxa"/>
            <w:tcBorders>
              <w:right w:val="nil"/>
            </w:tcBorders>
            <w:shd w:val="clear" w:color="auto" w:fill="auto"/>
            <w:vAlign w:val="bottom"/>
          </w:tcPr>
          <w:p w:rsidR="00E501D8" w:rsidRPr="00F1180D" w:rsidRDefault="00E501D8" w:rsidP="00700BB7">
            <w:pPr>
              <w:pStyle w:val="SingleTxtG"/>
              <w:spacing w:before="40" w:after="40" w:line="220" w:lineRule="exact"/>
              <w:ind w:left="284" w:right="284"/>
              <w:jc w:val="left"/>
              <w:rPr>
                <w:lang w:val="fr-FR"/>
              </w:rPr>
            </w:pPr>
            <w:r w:rsidRPr="00F1180D">
              <w:rPr>
                <w:lang w:val="fr-FR"/>
              </w:rPr>
              <w:t>Omanaise</w:t>
            </w:r>
          </w:p>
        </w:tc>
        <w:tc>
          <w:tcPr>
            <w:tcW w:w="566" w:type="dxa"/>
            <w:tcBorders>
              <w:left w:val="nil"/>
            </w:tcBorders>
            <w:shd w:val="clear" w:color="auto" w:fill="auto"/>
            <w:vAlign w:val="bottom"/>
          </w:tcPr>
          <w:p w:rsidR="00E501D8" w:rsidRPr="00F1180D" w:rsidRDefault="00E501D8" w:rsidP="00E501D8">
            <w:pPr>
              <w:pStyle w:val="SingleTxtG"/>
              <w:spacing w:before="40" w:after="40" w:line="220" w:lineRule="exact"/>
              <w:ind w:left="0" w:right="0"/>
              <w:jc w:val="right"/>
              <w:rPr>
                <w:lang w:val="fr-FR"/>
              </w:rPr>
            </w:pPr>
            <w:r w:rsidRPr="00F1180D">
              <w:rPr>
                <w:lang w:val="fr-FR"/>
              </w:rPr>
              <w:t>10</w:t>
            </w:r>
          </w:p>
        </w:tc>
      </w:tr>
      <w:tr w:rsidR="00E501D8" w:rsidRPr="00F1180D" w:rsidTr="00C66720">
        <w:trPr>
          <w:trHeight w:val="240"/>
        </w:trPr>
        <w:tc>
          <w:tcPr>
            <w:tcW w:w="1560" w:type="dxa"/>
            <w:tcBorders>
              <w:right w:val="nil"/>
            </w:tcBorders>
            <w:shd w:val="clear" w:color="auto" w:fill="auto"/>
            <w:vAlign w:val="bottom"/>
          </w:tcPr>
          <w:p w:rsidR="00E501D8" w:rsidRPr="00F1180D" w:rsidRDefault="00E501D8" w:rsidP="00E501D8">
            <w:pPr>
              <w:pStyle w:val="SingleTxtG"/>
              <w:spacing w:before="40" w:after="40" w:line="220" w:lineRule="exact"/>
              <w:ind w:left="0" w:right="0"/>
              <w:jc w:val="left"/>
              <w:rPr>
                <w:lang w:val="fr-FR"/>
              </w:rPr>
            </w:pPr>
            <w:r w:rsidRPr="00F1180D">
              <w:rPr>
                <w:lang w:val="fr-FR"/>
              </w:rPr>
              <w:t>Jordanienne</w:t>
            </w:r>
          </w:p>
        </w:tc>
        <w:tc>
          <w:tcPr>
            <w:tcW w:w="1417" w:type="dxa"/>
            <w:tcBorders>
              <w:left w:val="nil"/>
            </w:tcBorders>
            <w:shd w:val="clear" w:color="auto" w:fill="auto"/>
            <w:vAlign w:val="bottom"/>
          </w:tcPr>
          <w:p w:rsidR="00E501D8" w:rsidRPr="00F1180D" w:rsidRDefault="00E501D8" w:rsidP="00C66720">
            <w:pPr>
              <w:pStyle w:val="SingleTxtG"/>
              <w:spacing w:before="40" w:after="40" w:line="220" w:lineRule="exact"/>
              <w:ind w:left="0" w:right="0"/>
              <w:jc w:val="right"/>
              <w:rPr>
                <w:lang w:val="fr-FR"/>
              </w:rPr>
            </w:pPr>
            <w:r w:rsidRPr="00F1180D">
              <w:rPr>
                <w:lang w:val="fr-FR"/>
              </w:rPr>
              <w:t>21</w:t>
            </w:r>
          </w:p>
        </w:tc>
        <w:tc>
          <w:tcPr>
            <w:tcW w:w="3827" w:type="dxa"/>
            <w:tcBorders>
              <w:right w:val="nil"/>
            </w:tcBorders>
            <w:shd w:val="clear" w:color="auto" w:fill="auto"/>
            <w:vAlign w:val="bottom"/>
          </w:tcPr>
          <w:p w:rsidR="00E501D8" w:rsidRPr="00F1180D" w:rsidRDefault="00E501D8" w:rsidP="00700BB7">
            <w:pPr>
              <w:pStyle w:val="SingleTxtG"/>
              <w:spacing w:before="40" w:after="40" w:line="220" w:lineRule="exact"/>
              <w:ind w:left="284" w:right="284"/>
              <w:jc w:val="left"/>
              <w:rPr>
                <w:lang w:val="fr-FR"/>
              </w:rPr>
            </w:pPr>
            <w:r w:rsidRPr="00F1180D">
              <w:rPr>
                <w:lang w:val="fr-FR"/>
              </w:rPr>
              <w:t>Syrienne</w:t>
            </w:r>
          </w:p>
        </w:tc>
        <w:tc>
          <w:tcPr>
            <w:tcW w:w="566" w:type="dxa"/>
            <w:tcBorders>
              <w:left w:val="nil"/>
            </w:tcBorders>
            <w:shd w:val="clear" w:color="auto" w:fill="auto"/>
            <w:vAlign w:val="bottom"/>
          </w:tcPr>
          <w:p w:rsidR="00E501D8" w:rsidRPr="00F1180D" w:rsidRDefault="00E501D8" w:rsidP="00E501D8">
            <w:pPr>
              <w:pStyle w:val="SingleTxtG"/>
              <w:spacing w:before="40" w:after="40" w:line="220" w:lineRule="exact"/>
              <w:ind w:left="0" w:right="0"/>
              <w:jc w:val="right"/>
              <w:rPr>
                <w:lang w:val="fr-FR"/>
              </w:rPr>
            </w:pPr>
            <w:r w:rsidRPr="00F1180D">
              <w:rPr>
                <w:lang w:val="fr-FR"/>
              </w:rPr>
              <w:t>7</w:t>
            </w:r>
          </w:p>
        </w:tc>
      </w:tr>
      <w:tr w:rsidR="00E501D8" w:rsidRPr="00F1180D" w:rsidTr="00C66720">
        <w:trPr>
          <w:trHeight w:val="240"/>
        </w:trPr>
        <w:tc>
          <w:tcPr>
            <w:tcW w:w="1560" w:type="dxa"/>
            <w:tcBorders>
              <w:right w:val="nil"/>
            </w:tcBorders>
            <w:shd w:val="clear" w:color="auto" w:fill="auto"/>
            <w:vAlign w:val="bottom"/>
          </w:tcPr>
          <w:p w:rsidR="00E501D8" w:rsidRPr="00F1180D" w:rsidRDefault="00E501D8" w:rsidP="00E501D8">
            <w:pPr>
              <w:pStyle w:val="SingleTxtG"/>
              <w:spacing w:before="40" w:after="40" w:line="220" w:lineRule="exact"/>
              <w:ind w:left="0" w:right="0"/>
              <w:jc w:val="left"/>
              <w:rPr>
                <w:lang w:val="fr-FR"/>
              </w:rPr>
            </w:pPr>
            <w:r w:rsidRPr="00F1180D">
              <w:rPr>
                <w:lang w:val="fr-FR"/>
              </w:rPr>
              <w:t>Émiratie</w:t>
            </w:r>
          </w:p>
        </w:tc>
        <w:tc>
          <w:tcPr>
            <w:tcW w:w="1417" w:type="dxa"/>
            <w:tcBorders>
              <w:left w:val="nil"/>
            </w:tcBorders>
            <w:shd w:val="clear" w:color="auto" w:fill="auto"/>
            <w:vAlign w:val="bottom"/>
          </w:tcPr>
          <w:p w:rsidR="00E501D8" w:rsidRPr="00F1180D" w:rsidRDefault="00E501D8" w:rsidP="00C66720">
            <w:pPr>
              <w:pStyle w:val="SingleTxtG"/>
              <w:spacing w:before="40" w:after="40" w:line="220" w:lineRule="exact"/>
              <w:ind w:left="0" w:right="0"/>
              <w:jc w:val="right"/>
              <w:rPr>
                <w:lang w:val="fr-FR"/>
              </w:rPr>
            </w:pPr>
            <w:r w:rsidRPr="00F1180D">
              <w:rPr>
                <w:lang w:val="fr-FR"/>
              </w:rPr>
              <w:t>5</w:t>
            </w:r>
          </w:p>
        </w:tc>
        <w:tc>
          <w:tcPr>
            <w:tcW w:w="3827" w:type="dxa"/>
            <w:tcBorders>
              <w:right w:val="nil"/>
            </w:tcBorders>
            <w:shd w:val="clear" w:color="auto" w:fill="auto"/>
            <w:vAlign w:val="bottom"/>
          </w:tcPr>
          <w:p w:rsidR="00E501D8" w:rsidRPr="00F1180D" w:rsidRDefault="00E501D8" w:rsidP="00700BB7">
            <w:pPr>
              <w:pStyle w:val="SingleTxtG"/>
              <w:spacing w:before="40" w:after="40" w:line="220" w:lineRule="exact"/>
              <w:ind w:left="284" w:right="284"/>
              <w:jc w:val="left"/>
              <w:rPr>
                <w:lang w:val="fr-FR"/>
              </w:rPr>
            </w:pPr>
            <w:r w:rsidRPr="00F1180D">
              <w:rPr>
                <w:lang w:val="fr-FR"/>
              </w:rPr>
              <w:t>Non koweïtienne</w:t>
            </w:r>
          </w:p>
        </w:tc>
        <w:tc>
          <w:tcPr>
            <w:tcW w:w="566" w:type="dxa"/>
            <w:tcBorders>
              <w:left w:val="nil"/>
            </w:tcBorders>
            <w:shd w:val="clear" w:color="auto" w:fill="auto"/>
            <w:vAlign w:val="bottom"/>
          </w:tcPr>
          <w:p w:rsidR="00E501D8" w:rsidRPr="00F1180D" w:rsidRDefault="00E501D8" w:rsidP="00E501D8">
            <w:pPr>
              <w:pStyle w:val="SingleTxtG"/>
              <w:spacing w:before="40" w:after="40" w:line="220" w:lineRule="exact"/>
              <w:ind w:left="0" w:right="0"/>
              <w:jc w:val="right"/>
              <w:rPr>
                <w:lang w:val="fr-FR"/>
              </w:rPr>
            </w:pPr>
            <w:r w:rsidRPr="00F1180D">
              <w:rPr>
                <w:lang w:val="fr-FR"/>
              </w:rPr>
              <w:t>123</w:t>
            </w:r>
          </w:p>
        </w:tc>
      </w:tr>
      <w:tr w:rsidR="00E501D8" w:rsidRPr="00F1180D" w:rsidTr="00C66720">
        <w:trPr>
          <w:trHeight w:val="240"/>
        </w:trPr>
        <w:tc>
          <w:tcPr>
            <w:tcW w:w="1560" w:type="dxa"/>
            <w:tcBorders>
              <w:right w:val="nil"/>
            </w:tcBorders>
            <w:shd w:val="clear" w:color="auto" w:fill="auto"/>
            <w:vAlign w:val="bottom"/>
          </w:tcPr>
          <w:p w:rsidR="00E501D8" w:rsidRPr="00F1180D" w:rsidRDefault="00E501D8" w:rsidP="00E501D8">
            <w:pPr>
              <w:pStyle w:val="SingleTxtG"/>
              <w:spacing w:before="40" w:after="40" w:line="220" w:lineRule="exact"/>
              <w:ind w:left="0" w:right="0"/>
              <w:jc w:val="left"/>
              <w:rPr>
                <w:lang w:val="fr-FR"/>
              </w:rPr>
            </w:pPr>
            <w:r w:rsidRPr="00F1180D">
              <w:rPr>
                <w:lang w:val="fr-FR"/>
              </w:rPr>
              <w:t xml:space="preserve">Bahreïnie </w:t>
            </w:r>
          </w:p>
        </w:tc>
        <w:tc>
          <w:tcPr>
            <w:tcW w:w="1417" w:type="dxa"/>
            <w:tcBorders>
              <w:left w:val="nil"/>
            </w:tcBorders>
            <w:shd w:val="clear" w:color="auto" w:fill="auto"/>
            <w:vAlign w:val="bottom"/>
          </w:tcPr>
          <w:p w:rsidR="00E501D8" w:rsidRPr="00F1180D" w:rsidRDefault="00E501D8" w:rsidP="00C66720">
            <w:pPr>
              <w:pStyle w:val="SingleTxtG"/>
              <w:spacing w:before="40" w:after="40" w:line="220" w:lineRule="exact"/>
              <w:ind w:left="0" w:right="0"/>
              <w:jc w:val="right"/>
              <w:rPr>
                <w:lang w:val="fr-FR"/>
              </w:rPr>
            </w:pPr>
            <w:r w:rsidRPr="00F1180D">
              <w:rPr>
                <w:lang w:val="fr-FR"/>
              </w:rPr>
              <w:t>4</w:t>
            </w:r>
          </w:p>
        </w:tc>
        <w:tc>
          <w:tcPr>
            <w:tcW w:w="3827" w:type="dxa"/>
            <w:tcBorders>
              <w:right w:val="nil"/>
            </w:tcBorders>
            <w:shd w:val="clear" w:color="auto" w:fill="auto"/>
            <w:vAlign w:val="bottom"/>
          </w:tcPr>
          <w:p w:rsidR="00E501D8" w:rsidRPr="00F1180D" w:rsidRDefault="00E501D8" w:rsidP="00700BB7">
            <w:pPr>
              <w:pStyle w:val="SingleTxtG"/>
              <w:spacing w:before="40" w:after="40" w:line="220" w:lineRule="exact"/>
              <w:ind w:left="284" w:right="284"/>
              <w:jc w:val="left"/>
              <w:rPr>
                <w:lang w:val="fr-FR"/>
              </w:rPr>
            </w:pPr>
            <w:r w:rsidRPr="00F1180D">
              <w:rPr>
                <w:lang w:val="fr-FR"/>
              </w:rPr>
              <w:t>Palestinienne</w:t>
            </w:r>
          </w:p>
        </w:tc>
        <w:tc>
          <w:tcPr>
            <w:tcW w:w="566" w:type="dxa"/>
            <w:tcBorders>
              <w:left w:val="nil"/>
            </w:tcBorders>
            <w:shd w:val="clear" w:color="auto" w:fill="auto"/>
            <w:vAlign w:val="bottom"/>
          </w:tcPr>
          <w:p w:rsidR="00E501D8" w:rsidRPr="00F1180D" w:rsidRDefault="00E501D8" w:rsidP="00E501D8">
            <w:pPr>
              <w:pStyle w:val="SingleTxtG"/>
              <w:spacing w:before="40" w:after="40" w:line="220" w:lineRule="exact"/>
              <w:ind w:left="0" w:right="0"/>
              <w:jc w:val="right"/>
              <w:rPr>
                <w:lang w:val="fr-FR"/>
              </w:rPr>
            </w:pPr>
            <w:r w:rsidRPr="00F1180D">
              <w:rPr>
                <w:lang w:val="fr-FR"/>
              </w:rPr>
              <w:t>2</w:t>
            </w:r>
          </w:p>
        </w:tc>
      </w:tr>
      <w:tr w:rsidR="00E501D8" w:rsidRPr="00F1180D" w:rsidTr="00C66720">
        <w:trPr>
          <w:trHeight w:val="240"/>
        </w:trPr>
        <w:tc>
          <w:tcPr>
            <w:tcW w:w="1560" w:type="dxa"/>
            <w:tcBorders>
              <w:right w:val="nil"/>
            </w:tcBorders>
            <w:shd w:val="clear" w:color="auto" w:fill="auto"/>
            <w:vAlign w:val="bottom"/>
          </w:tcPr>
          <w:p w:rsidR="00E501D8" w:rsidRPr="00F1180D" w:rsidRDefault="00E501D8" w:rsidP="00E501D8">
            <w:pPr>
              <w:pStyle w:val="SingleTxtG"/>
              <w:spacing w:before="40" w:after="40" w:line="220" w:lineRule="exact"/>
              <w:ind w:left="0" w:right="0"/>
              <w:jc w:val="left"/>
              <w:rPr>
                <w:lang w:val="fr-FR"/>
              </w:rPr>
            </w:pPr>
            <w:r w:rsidRPr="00F1180D">
              <w:rPr>
                <w:lang w:val="fr-FR"/>
              </w:rPr>
              <w:t>Dominicaine</w:t>
            </w:r>
          </w:p>
        </w:tc>
        <w:tc>
          <w:tcPr>
            <w:tcW w:w="1417" w:type="dxa"/>
            <w:tcBorders>
              <w:left w:val="nil"/>
            </w:tcBorders>
            <w:shd w:val="clear" w:color="auto" w:fill="auto"/>
            <w:vAlign w:val="bottom"/>
          </w:tcPr>
          <w:p w:rsidR="00E501D8" w:rsidRPr="00F1180D" w:rsidRDefault="00E501D8" w:rsidP="00C66720">
            <w:pPr>
              <w:pStyle w:val="SingleTxtG"/>
              <w:spacing w:before="40" w:after="40" w:line="220" w:lineRule="exact"/>
              <w:ind w:left="0" w:right="0"/>
              <w:jc w:val="right"/>
              <w:rPr>
                <w:lang w:val="fr-FR"/>
              </w:rPr>
            </w:pPr>
            <w:r w:rsidRPr="00F1180D">
              <w:rPr>
                <w:lang w:val="fr-FR"/>
              </w:rPr>
              <w:t>9</w:t>
            </w:r>
          </w:p>
        </w:tc>
        <w:tc>
          <w:tcPr>
            <w:tcW w:w="3827" w:type="dxa"/>
            <w:tcBorders>
              <w:right w:val="nil"/>
            </w:tcBorders>
            <w:shd w:val="clear" w:color="auto" w:fill="auto"/>
            <w:vAlign w:val="bottom"/>
          </w:tcPr>
          <w:p w:rsidR="00E501D8" w:rsidRPr="00F1180D" w:rsidRDefault="00E501D8" w:rsidP="00C66720">
            <w:pPr>
              <w:pStyle w:val="SingleTxtG"/>
              <w:spacing w:before="40" w:after="40" w:line="220" w:lineRule="exact"/>
              <w:ind w:left="284" w:right="284"/>
              <w:jc w:val="left"/>
              <w:rPr>
                <w:lang w:val="fr-FR"/>
              </w:rPr>
            </w:pPr>
            <w:r w:rsidRPr="00F1180D">
              <w:rPr>
                <w:lang w:val="fr-FR"/>
              </w:rPr>
              <w:t>Palestinienne (titre de séjour libanais)</w:t>
            </w:r>
          </w:p>
        </w:tc>
        <w:tc>
          <w:tcPr>
            <w:tcW w:w="566" w:type="dxa"/>
            <w:tcBorders>
              <w:left w:val="nil"/>
            </w:tcBorders>
            <w:shd w:val="clear" w:color="auto" w:fill="auto"/>
            <w:vAlign w:val="bottom"/>
          </w:tcPr>
          <w:p w:rsidR="00E501D8" w:rsidRPr="00F1180D" w:rsidRDefault="00E501D8" w:rsidP="00E501D8">
            <w:pPr>
              <w:pStyle w:val="SingleTxtG"/>
              <w:spacing w:before="40" w:after="40" w:line="220" w:lineRule="exact"/>
              <w:ind w:left="0" w:right="0"/>
              <w:jc w:val="right"/>
              <w:rPr>
                <w:lang w:val="fr-FR"/>
              </w:rPr>
            </w:pPr>
            <w:r w:rsidRPr="00F1180D">
              <w:rPr>
                <w:lang w:val="fr-FR"/>
              </w:rPr>
              <w:t>4</w:t>
            </w:r>
          </w:p>
        </w:tc>
      </w:tr>
      <w:tr w:rsidR="00E501D8" w:rsidRPr="00F1180D" w:rsidTr="00C66720">
        <w:trPr>
          <w:trHeight w:val="240"/>
        </w:trPr>
        <w:tc>
          <w:tcPr>
            <w:tcW w:w="1560" w:type="dxa"/>
            <w:tcBorders>
              <w:right w:val="nil"/>
            </w:tcBorders>
            <w:shd w:val="clear" w:color="auto" w:fill="auto"/>
            <w:vAlign w:val="bottom"/>
          </w:tcPr>
          <w:p w:rsidR="00E501D8" w:rsidRPr="00F1180D" w:rsidRDefault="00E501D8" w:rsidP="00E501D8">
            <w:pPr>
              <w:pStyle w:val="SingleTxtG"/>
              <w:spacing w:before="40" w:after="40" w:line="220" w:lineRule="exact"/>
              <w:ind w:left="0" w:right="0"/>
              <w:jc w:val="left"/>
              <w:rPr>
                <w:lang w:val="fr-FR"/>
              </w:rPr>
            </w:pPr>
            <w:r w:rsidRPr="00F1180D">
              <w:rPr>
                <w:lang w:val="fr-FR"/>
              </w:rPr>
              <w:t>Saoudienne</w:t>
            </w:r>
          </w:p>
        </w:tc>
        <w:tc>
          <w:tcPr>
            <w:tcW w:w="1417" w:type="dxa"/>
            <w:tcBorders>
              <w:left w:val="nil"/>
            </w:tcBorders>
            <w:shd w:val="clear" w:color="auto" w:fill="auto"/>
            <w:vAlign w:val="bottom"/>
          </w:tcPr>
          <w:p w:rsidR="00E501D8" w:rsidRPr="00F1180D" w:rsidRDefault="00E501D8" w:rsidP="00C66720">
            <w:pPr>
              <w:pStyle w:val="SingleTxtG"/>
              <w:spacing w:before="40" w:after="40" w:line="220" w:lineRule="exact"/>
              <w:ind w:left="0" w:right="0"/>
              <w:jc w:val="right"/>
              <w:rPr>
                <w:lang w:val="fr-FR"/>
              </w:rPr>
            </w:pPr>
            <w:r w:rsidRPr="00F1180D">
              <w:rPr>
                <w:lang w:val="fr-FR"/>
              </w:rPr>
              <w:t>248</w:t>
            </w:r>
          </w:p>
        </w:tc>
        <w:tc>
          <w:tcPr>
            <w:tcW w:w="3827" w:type="dxa"/>
            <w:tcBorders>
              <w:right w:val="nil"/>
            </w:tcBorders>
            <w:shd w:val="clear" w:color="auto" w:fill="auto"/>
            <w:vAlign w:val="bottom"/>
          </w:tcPr>
          <w:p w:rsidR="00E501D8" w:rsidRPr="00F1180D" w:rsidRDefault="00E501D8" w:rsidP="00700BB7">
            <w:pPr>
              <w:pStyle w:val="SingleTxtG"/>
              <w:spacing w:before="40" w:after="40" w:line="220" w:lineRule="exact"/>
              <w:ind w:left="284" w:right="284"/>
              <w:jc w:val="left"/>
              <w:rPr>
                <w:lang w:val="fr-FR"/>
              </w:rPr>
            </w:pPr>
            <w:r w:rsidRPr="00F1180D">
              <w:rPr>
                <w:lang w:val="fr-FR"/>
              </w:rPr>
              <w:t>Qatarie</w:t>
            </w:r>
          </w:p>
        </w:tc>
        <w:tc>
          <w:tcPr>
            <w:tcW w:w="566" w:type="dxa"/>
            <w:tcBorders>
              <w:left w:val="nil"/>
            </w:tcBorders>
            <w:shd w:val="clear" w:color="auto" w:fill="auto"/>
            <w:vAlign w:val="bottom"/>
          </w:tcPr>
          <w:p w:rsidR="00E501D8" w:rsidRPr="00F1180D" w:rsidRDefault="00E501D8" w:rsidP="00E501D8">
            <w:pPr>
              <w:pStyle w:val="SingleTxtG"/>
              <w:spacing w:before="40" w:after="40" w:line="220" w:lineRule="exact"/>
              <w:ind w:left="0" w:right="0"/>
              <w:jc w:val="right"/>
              <w:rPr>
                <w:lang w:val="fr-FR"/>
              </w:rPr>
            </w:pPr>
            <w:r w:rsidRPr="00F1180D">
              <w:rPr>
                <w:lang w:val="fr-FR"/>
              </w:rPr>
              <w:t>3</w:t>
            </w:r>
          </w:p>
        </w:tc>
      </w:tr>
      <w:tr w:rsidR="00E501D8" w:rsidRPr="00F1180D" w:rsidTr="00C66720">
        <w:trPr>
          <w:trHeight w:val="240"/>
        </w:trPr>
        <w:tc>
          <w:tcPr>
            <w:tcW w:w="1560" w:type="dxa"/>
            <w:tcBorders>
              <w:right w:val="nil"/>
            </w:tcBorders>
            <w:shd w:val="clear" w:color="auto" w:fill="auto"/>
            <w:vAlign w:val="bottom"/>
          </w:tcPr>
          <w:p w:rsidR="00E501D8" w:rsidRPr="00F1180D" w:rsidRDefault="00E501D8" w:rsidP="00E501D8">
            <w:pPr>
              <w:pStyle w:val="SingleTxtG"/>
              <w:spacing w:before="40" w:after="40" w:line="220" w:lineRule="exact"/>
              <w:ind w:left="0" w:right="0"/>
              <w:jc w:val="left"/>
              <w:rPr>
                <w:lang w:val="fr-FR"/>
              </w:rPr>
            </w:pPr>
            <w:r w:rsidRPr="00F1180D">
              <w:rPr>
                <w:lang w:val="fr-FR"/>
              </w:rPr>
              <w:t>Soudanaise</w:t>
            </w:r>
          </w:p>
        </w:tc>
        <w:tc>
          <w:tcPr>
            <w:tcW w:w="1417" w:type="dxa"/>
            <w:tcBorders>
              <w:left w:val="nil"/>
            </w:tcBorders>
            <w:shd w:val="clear" w:color="auto" w:fill="auto"/>
            <w:vAlign w:val="bottom"/>
          </w:tcPr>
          <w:p w:rsidR="00E501D8" w:rsidRPr="00F1180D" w:rsidRDefault="00E501D8" w:rsidP="00C66720">
            <w:pPr>
              <w:pStyle w:val="SingleTxtG"/>
              <w:spacing w:before="40" w:after="40" w:line="220" w:lineRule="exact"/>
              <w:ind w:left="0" w:right="0"/>
              <w:jc w:val="right"/>
              <w:rPr>
                <w:lang w:val="fr-FR"/>
              </w:rPr>
            </w:pPr>
            <w:r w:rsidRPr="00F1180D">
              <w:rPr>
                <w:lang w:val="fr-FR"/>
              </w:rPr>
              <w:t>3</w:t>
            </w:r>
          </w:p>
        </w:tc>
        <w:tc>
          <w:tcPr>
            <w:tcW w:w="3827" w:type="dxa"/>
            <w:tcBorders>
              <w:right w:val="nil"/>
            </w:tcBorders>
            <w:shd w:val="clear" w:color="auto" w:fill="auto"/>
            <w:vAlign w:val="bottom"/>
          </w:tcPr>
          <w:p w:rsidR="00E501D8" w:rsidRPr="00F1180D" w:rsidRDefault="00E501D8" w:rsidP="00700BB7">
            <w:pPr>
              <w:pStyle w:val="SingleTxtG"/>
              <w:spacing w:before="40" w:after="40" w:line="220" w:lineRule="exact"/>
              <w:ind w:left="284" w:right="284"/>
              <w:jc w:val="left"/>
              <w:rPr>
                <w:lang w:val="fr-FR"/>
              </w:rPr>
            </w:pPr>
            <w:r w:rsidRPr="00F1180D">
              <w:rPr>
                <w:lang w:val="fr-FR"/>
              </w:rPr>
              <w:t>Canadienne</w:t>
            </w:r>
          </w:p>
        </w:tc>
        <w:tc>
          <w:tcPr>
            <w:tcW w:w="566" w:type="dxa"/>
            <w:tcBorders>
              <w:left w:val="nil"/>
            </w:tcBorders>
            <w:shd w:val="clear" w:color="auto" w:fill="auto"/>
            <w:vAlign w:val="bottom"/>
          </w:tcPr>
          <w:p w:rsidR="00E501D8" w:rsidRPr="00F1180D" w:rsidRDefault="00E501D8" w:rsidP="00E501D8">
            <w:pPr>
              <w:pStyle w:val="SingleTxtG"/>
              <w:spacing w:before="40" w:after="40" w:line="220" w:lineRule="exact"/>
              <w:ind w:left="0" w:right="0"/>
              <w:jc w:val="right"/>
              <w:rPr>
                <w:lang w:val="fr-FR"/>
              </w:rPr>
            </w:pPr>
            <w:r w:rsidRPr="00F1180D">
              <w:rPr>
                <w:lang w:val="fr-FR"/>
              </w:rPr>
              <w:t>7</w:t>
            </w:r>
          </w:p>
        </w:tc>
      </w:tr>
      <w:tr w:rsidR="00E501D8" w:rsidRPr="00F1180D" w:rsidTr="00C66720">
        <w:trPr>
          <w:trHeight w:val="240"/>
        </w:trPr>
        <w:tc>
          <w:tcPr>
            <w:tcW w:w="1560" w:type="dxa"/>
            <w:tcBorders>
              <w:right w:val="nil"/>
            </w:tcBorders>
            <w:shd w:val="clear" w:color="auto" w:fill="auto"/>
            <w:vAlign w:val="bottom"/>
          </w:tcPr>
          <w:p w:rsidR="00E501D8" w:rsidRPr="00F1180D" w:rsidRDefault="00E501D8" w:rsidP="00E501D8">
            <w:pPr>
              <w:pStyle w:val="SingleTxtG"/>
              <w:spacing w:before="40" w:after="40" w:line="220" w:lineRule="exact"/>
              <w:ind w:left="0" w:right="0"/>
              <w:jc w:val="left"/>
              <w:rPr>
                <w:lang w:val="fr-FR"/>
              </w:rPr>
            </w:pPr>
            <w:r w:rsidRPr="00F1180D">
              <w:rPr>
                <w:lang w:val="fr-FR"/>
              </w:rPr>
              <w:t>Irakienne</w:t>
            </w:r>
          </w:p>
        </w:tc>
        <w:tc>
          <w:tcPr>
            <w:tcW w:w="1417" w:type="dxa"/>
            <w:tcBorders>
              <w:left w:val="nil"/>
            </w:tcBorders>
            <w:shd w:val="clear" w:color="auto" w:fill="auto"/>
            <w:vAlign w:val="bottom"/>
          </w:tcPr>
          <w:p w:rsidR="00E501D8" w:rsidRPr="00F1180D" w:rsidRDefault="00E501D8" w:rsidP="00C66720">
            <w:pPr>
              <w:pStyle w:val="SingleTxtG"/>
              <w:spacing w:before="40" w:after="40" w:line="220" w:lineRule="exact"/>
              <w:ind w:left="0" w:right="0"/>
              <w:jc w:val="right"/>
              <w:rPr>
                <w:lang w:val="fr-FR"/>
              </w:rPr>
            </w:pPr>
            <w:r w:rsidRPr="00F1180D">
              <w:rPr>
                <w:lang w:val="fr-FR"/>
              </w:rPr>
              <w:t>66</w:t>
            </w:r>
          </w:p>
        </w:tc>
        <w:tc>
          <w:tcPr>
            <w:tcW w:w="3827" w:type="dxa"/>
            <w:tcBorders>
              <w:right w:val="nil"/>
            </w:tcBorders>
            <w:shd w:val="clear" w:color="auto" w:fill="auto"/>
            <w:vAlign w:val="bottom"/>
          </w:tcPr>
          <w:p w:rsidR="00E501D8" w:rsidRPr="00F1180D" w:rsidRDefault="00E501D8" w:rsidP="00700BB7">
            <w:pPr>
              <w:pStyle w:val="SingleTxtG"/>
              <w:spacing w:before="40" w:after="40" w:line="220" w:lineRule="exact"/>
              <w:ind w:left="284" w:right="284"/>
              <w:jc w:val="left"/>
              <w:rPr>
                <w:lang w:val="fr-FR"/>
              </w:rPr>
            </w:pPr>
            <w:r w:rsidRPr="00F1180D">
              <w:rPr>
                <w:lang w:val="fr-FR"/>
              </w:rPr>
              <w:t>Libanaise</w:t>
            </w:r>
          </w:p>
        </w:tc>
        <w:tc>
          <w:tcPr>
            <w:tcW w:w="566" w:type="dxa"/>
            <w:tcBorders>
              <w:left w:val="nil"/>
            </w:tcBorders>
            <w:shd w:val="clear" w:color="auto" w:fill="auto"/>
            <w:vAlign w:val="bottom"/>
          </w:tcPr>
          <w:p w:rsidR="00E501D8" w:rsidRPr="00F1180D" w:rsidRDefault="00E501D8" w:rsidP="00E501D8">
            <w:pPr>
              <w:pStyle w:val="SingleTxtG"/>
              <w:spacing w:before="40" w:after="40" w:line="220" w:lineRule="exact"/>
              <w:ind w:left="0" w:right="0"/>
              <w:jc w:val="right"/>
              <w:rPr>
                <w:lang w:val="fr-FR"/>
              </w:rPr>
            </w:pPr>
            <w:r w:rsidRPr="00F1180D">
              <w:rPr>
                <w:lang w:val="fr-FR"/>
              </w:rPr>
              <w:t>9</w:t>
            </w:r>
          </w:p>
        </w:tc>
      </w:tr>
      <w:tr w:rsidR="00E501D8" w:rsidRPr="00F1180D" w:rsidTr="00C66720">
        <w:trPr>
          <w:trHeight w:val="240"/>
        </w:trPr>
        <w:tc>
          <w:tcPr>
            <w:tcW w:w="1560" w:type="dxa"/>
            <w:tcBorders>
              <w:right w:val="nil"/>
            </w:tcBorders>
            <w:shd w:val="clear" w:color="auto" w:fill="auto"/>
            <w:vAlign w:val="bottom"/>
          </w:tcPr>
          <w:p w:rsidR="00E501D8" w:rsidRPr="00F1180D" w:rsidRDefault="00E501D8" w:rsidP="00E501D8">
            <w:pPr>
              <w:pStyle w:val="SingleTxtG"/>
              <w:spacing w:before="40" w:after="40" w:line="220" w:lineRule="exact"/>
              <w:ind w:left="0" w:right="0"/>
              <w:jc w:val="left"/>
              <w:rPr>
                <w:lang w:val="fr-FR"/>
              </w:rPr>
            </w:pPr>
            <w:r w:rsidRPr="00F1180D">
              <w:rPr>
                <w:lang w:val="fr-FR"/>
              </w:rPr>
              <w:t>Américaine</w:t>
            </w:r>
          </w:p>
        </w:tc>
        <w:tc>
          <w:tcPr>
            <w:tcW w:w="1417" w:type="dxa"/>
            <w:tcBorders>
              <w:left w:val="nil"/>
            </w:tcBorders>
            <w:shd w:val="clear" w:color="auto" w:fill="auto"/>
            <w:vAlign w:val="bottom"/>
          </w:tcPr>
          <w:p w:rsidR="00E501D8" w:rsidRPr="00F1180D" w:rsidRDefault="00E501D8" w:rsidP="00C66720">
            <w:pPr>
              <w:pStyle w:val="SingleTxtG"/>
              <w:spacing w:before="40" w:after="40" w:line="220" w:lineRule="exact"/>
              <w:ind w:left="0" w:right="0"/>
              <w:jc w:val="right"/>
              <w:rPr>
                <w:lang w:val="fr-FR"/>
              </w:rPr>
            </w:pPr>
            <w:r w:rsidRPr="00F1180D">
              <w:rPr>
                <w:lang w:val="fr-FR"/>
              </w:rPr>
              <w:t>4</w:t>
            </w:r>
          </w:p>
        </w:tc>
        <w:tc>
          <w:tcPr>
            <w:tcW w:w="3827" w:type="dxa"/>
            <w:tcBorders>
              <w:right w:val="nil"/>
            </w:tcBorders>
            <w:shd w:val="clear" w:color="auto" w:fill="auto"/>
            <w:vAlign w:val="bottom"/>
          </w:tcPr>
          <w:p w:rsidR="00E501D8" w:rsidRPr="00F1180D" w:rsidRDefault="00E501D8" w:rsidP="00700BB7">
            <w:pPr>
              <w:pStyle w:val="SingleTxtG"/>
              <w:spacing w:before="40" w:after="40" w:line="220" w:lineRule="exact"/>
              <w:ind w:left="284" w:right="284"/>
              <w:jc w:val="left"/>
              <w:rPr>
                <w:lang w:val="fr-FR"/>
              </w:rPr>
            </w:pPr>
            <w:r w:rsidRPr="00F1180D">
              <w:rPr>
                <w:lang w:val="fr-FR"/>
              </w:rPr>
              <w:t>Libérienne</w:t>
            </w:r>
          </w:p>
        </w:tc>
        <w:tc>
          <w:tcPr>
            <w:tcW w:w="566" w:type="dxa"/>
            <w:tcBorders>
              <w:left w:val="nil"/>
            </w:tcBorders>
            <w:shd w:val="clear" w:color="auto" w:fill="auto"/>
            <w:vAlign w:val="bottom"/>
          </w:tcPr>
          <w:p w:rsidR="00E501D8" w:rsidRPr="00F1180D" w:rsidRDefault="00E501D8" w:rsidP="00E501D8">
            <w:pPr>
              <w:pStyle w:val="SingleTxtG"/>
              <w:spacing w:before="40" w:after="40" w:line="220" w:lineRule="exact"/>
              <w:ind w:left="0" w:right="0"/>
              <w:jc w:val="right"/>
              <w:rPr>
                <w:lang w:val="fr-FR"/>
              </w:rPr>
            </w:pPr>
            <w:r w:rsidRPr="00F1180D">
              <w:rPr>
                <w:lang w:val="fr-FR"/>
              </w:rPr>
              <w:t>1</w:t>
            </w:r>
          </w:p>
        </w:tc>
      </w:tr>
      <w:tr w:rsidR="00E501D8" w:rsidRPr="00F1180D" w:rsidTr="00C66720">
        <w:trPr>
          <w:trHeight w:val="240"/>
        </w:trPr>
        <w:tc>
          <w:tcPr>
            <w:tcW w:w="1560" w:type="dxa"/>
            <w:tcBorders>
              <w:right w:val="nil"/>
            </w:tcBorders>
            <w:shd w:val="clear" w:color="auto" w:fill="auto"/>
            <w:vAlign w:val="bottom"/>
          </w:tcPr>
          <w:p w:rsidR="00E501D8" w:rsidRPr="00F1180D" w:rsidRDefault="00E501D8" w:rsidP="00E501D8">
            <w:pPr>
              <w:pStyle w:val="SingleTxtG"/>
              <w:spacing w:before="40" w:after="40" w:line="220" w:lineRule="exact"/>
              <w:ind w:left="0" w:right="0"/>
              <w:jc w:val="left"/>
              <w:rPr>
                <w:lang w:val="fr-FR"/>
              </w:rPr>
            </w:pPr>
            <w:r w:rsidRPr="00F1180D">
              <w:rPr>
                <w:lang w:val="fr-FR"/>
              </w:rPr>
              <w:t>Yéménite</w:t>
            </w:r>
          </w:p>
        </w:tc>
        <w:tc>
          <w:tcPr>
            <w:tcW w:w="1417" w:type="dxa"/>
            <w:tcBorders>
              <w:left w:val="nil"/>
            </w:tcBorders>
            <w:shd w:val="clear" w:color="auto" w:fill="auto"/>
            <w:vAlign w:val="bottom"/>
          </w:tcPr>
          <w:p w:rsidR="00E501D8" w:rsidRPr="00F1180D" w:rsidRDefault="00E501D8" w:rsidP="00C66720">
            <w:pPr>
              <w:pStyle w:val="SingleTxtG"/>
              <w:spacing w:before="40" w:after="40" w:line="220" w:lineRule="exact"/>
              <w:ind w:left="0" w:right="0"/>
              <w:jc w:val="right"/>
              <w:rPr>
                <w:lang w:val="fr-FR"/>
              </w:rPr>
            </w:pPr>
            <w:r w:rsidRPr="00F1180D">
              <w:rPr>
                <w:lang w:val="fr-FR"/>
              </w:rPr>
              <w:t>11</w:t>
            </w:r>
          </w:p>
        </w:tc>
        <w:tc>
          <w:tcPr>
            <w:tcW w:w="3827" w:type="dxa"/>
            <w:tcBorders>
              <w:right w:val="nil"/>
            </w:tcBorders>
            <w:shd w:val="clear" w:color="auto" w:fill="auto"/>
            <w:vAlign w:val="bottom"/>
          </w:tcPr>
          <w:p w:rsidR="00E501D8" w:rsidRPr="00F1180D" w:rsidRDefault="00E501D8" w:rsidP="00700BB7">
            <w:pPr>
              <w:pStyle w:val="SingleTxtG"/>
              <w:spacing w:before="40" w:after="40" w:line="220" w:lineRule="exact"/>
              <w:ind w:left="284" w:right="284"/>
              <w:jc w:val="left"/>
              <w:rPr>
                <w:lang w:val="fr-FR"/>
              </w:rPr>
            </w:pPr>
            <w:r w:rsidRPr="00F1180D">
              <w:rPr>
                <w:lang w:val="fr-FR"/>
              </w:rPr>
              <w:t>Égyptienne</w:t>
            </w:r>
          </w:p>
        </w:tc>
        <w:tc>
          <w:tcPr>
            <w:tcW w:w="566" w:type="dxa"/>
            <w:tcBorders>
              <w:left w:val="nil"/>
            </w:tcBorders>
            <w:shd w:val="clear" w:color="auto" w:fill="auto"/>
            <w:vAlign w:val="bottom"/>
          </w:tcPr>
          <w:p w:rsidR="00E501D8" w:rsidRPr="00F1180D" w:rsidRDefault="00E501D8" w:rsidP="00E501D8">
            <w:pPr>
              <w:pStyle w:val="SingleTxtG"/>
              <w:spacing w:before="40" w:after="40" w:line="220" w:lineRule="exact"/>
              <w:ind w:left="0" w:right="0"/>
              <w:jc w:val="right"/>
              <w:rPr>
                <w:lang w:val="fr-FR"/>
              </w:rPr>
            </w:pPr>
            <w:r w:rsidRPr="00F1180D">
              <w:rPr>
                <w:lang w:val="fr-FR"/>
              </w:rPr>
              <w:t>31</w:t>
            </w:r>
          </w:p>
        </w:tc>
      </w:tr>
      <w:tr w:rsidR="00E501D8" w:rsidRPr="00F1180D" w:rsidTr="00C66720">
        <w:trPr>
          <w:trHeight w:val="240"/>
        </w:trPr>
        <w:tc>
          <w:tcPr>
            <w:tcW w:w="1560" w:type="dxa"/>
            <w:tcBorders>
              <w:top w:val="single" w:sz="4" w:space="0" w:color="auto"/>
              <w:bottom w:val="single" w:sz="12" w:space="0" w:color="auto"/>
              <w:right w:val="nil"/>
            </w:tcBorders>
            <w:shd w:val="clear" w:color="auto" w:fill="auto"/>
          </w:tcPr>
          <w:p w:rsidR="00E501D8" w:rsidRPr="00F1180D" w:rsidRDefault="00E501D8" w:rsidP="0039456E">
            <w:pPr>
              <w:pStyle w:val="SingleTxtG"/>
              <w:spacing w:before="80" w:after="80"/>
              <w:ind w:left="284" w:right="0"/>
              <w:jc w:val="left"/>
              <w:rPr>
                <w:b/>
                <w:lang w:val="fr-FR"/>
              </w:rPr>
            </w:pPr>
            <w:r w:rsidRPr="00F1180D">
              <w:rPr>
                <w:b/>
                <w:lang w:val="fr-FR"/>
              </w:rPr>
              <w:t>Total</w:t>
            </w:r>
          </w:p>
        </w:tc>
        <w:tc>
          <w:tcPr>
            <w:tcW w:w="1417" w:type="dxa"/>
            <w:tcBorders>
              <w:top w:val="single" w:sz="4" w:space="0" w:color="auto"/>
              <w:left w:val="nil"/>
              <w:bottom w:val="single" w:sz="12" w:space="0" w:color="auto"/>
            </w:tcBorders>
            <w:shd w:val="clear" w:color="auto" w:fill="auto"/>
          </w:tcPr>
          <w:p w:rsidR="00E501D8" w:rsidRPr="00F1180D" w:rsidRDefault="00E501D8" w:rsidP="00E501D8">
            <w:pPr>
              <w:pStyle w:val="SingleTxtG"/>
              <w:spacing w:before="80" w:after="80"/>
              <w:ind w:left="0" w:right="0"/>
              <w:jc w:val="left"/>
              <w:rPr>
                <w:b/>
                <w:lang w:val="fr-FR"/>
              </w:rPr>
            </w:pPr>
          </w:p>
        </w:tc>
        <w:tc>
          <w:tcPr>
            <w:tcW w:w="3827" w:type="dxa"/>
            <w:tcBorders>
              <w:top w:val="single" w:sz="4" w:space="0" w:color="auto"/>
              <w:bottom w:val="single" w:sz="12" w:space="0" w:color="auto"/>
              <w:right w:val="nil"/>
            </w:tcBorders>
            <w:shd w:val="clear" w:color="auto" w:fill="auto"/>
            <w:vAlign w:val="bottom"/>
          </w:tcPr>
          <w:p w:rsidR="00E501D8" w:rsidRPr="00F1180D" w:rsidRDefault="00E501D8" w:rsidP="00E501D8">
            <w:pPr>
              <w:pStyle w:val="SingleTxtG"/>
              <w:spacing w:before="80" w:after="80"/>
              <w:ind w:left="0" w:right="0"/>
              <w:jc w:val="right"/>
              <w:rPr>
                <w:b/>
                <w:lang w:val="fr-FR"/>
              </w:rPr>
            </w:pPr>
          </w:p>
        </w:tc>
        <w:tc>
          <w:tcPr>
            <w:tcW w:w="566" w:type="dxa"/>
            <w:tcBorders>
              <w:top w:val="single" w:sz="4" w:space="0" w:color="auto"/>
              <w:left w:val="nil"/>
              <w:bottom w:val="single" w:sz="12" w:space="0" w:color="auto"/>
            </w:tcBorders>
            <w:shd w:val="clear" w:color="auto" w:fill="auto"/>
            <w:vAlign w:val="bottom"/>
          </w:tcPr>
          <w:p w:rsidR="00E501D8" w:rsidRPr="00F1180D" w:rsidRDefault="00E501D8" w:rsidP="0085024E">
            <w:pPr>
              <w:pStyle w:val="SingleTxtG"/>
              <w:spacing w:before="80" w:after="80"/>
              <w:ind w:left="0" w:right="0"/>
              <w:jc w:val="right"/>
              <w:rPr>
                <w:b/>
                <w:lang w:val="fr-FR"/>
              </w:rPr>
            </w:pPr>
            <w:r w:rsidRPr="00F1180D">
              <w:rPr>
                <w:b/>
                <w:lang w:val="fr-FR"/>
              </w:rPr>
              <w:t>587</w:t>
            </w:r>
          </w:p>
        </w:tc>
      </w:tr>
    </w:tbl>
    <w:p w:rsidR="000C6D4A" w:rsidRPr="00F1180D" w:rsidRDefault="00F216E6" w:rsidP="00F216E6">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19</w:t>
      </w:r>
    </w:p>
    <w:p w:rsidR="000C6D4A" w:rsidRPr="00F1180D" w:rsidRDefault="00DB7FBA" w:rsidP="00680ADA">
      <w:pPr>
        <w:pStyle w:val="SingleTxtG"/>
        <w:rPr>
          <w:rtl/>
          <w:lang w:val="fr-FR" w:bidi="fr-FR"/>
        </w:rPr>
      </w:pPr>
      <w:r>
        <w:rPr>
          <w:lang w:val="fr-FR" w:bidi="ar-KW"/>
        </w:rPr>
        <w:t>177.</w:t>
      </w:r>
      <w:r>
        <w:rPr>
          <w:lang w:val="fr-FR" w:bidi="ar-KW"/>
        </w:rPr>
        <w:tab/>
      </w:r>
      <w:r w:rsidR="000C6D4A" w:rsidRPr="00F1180D">
        <w:rPr>
          <w:lang w:val="fr-FR" w:bidi="ar-KW"/>
        </w:rPr>
        <w:t>En ce qui concerne l</w:t>
      </w:r>
      <w:r w:rsidR="00680ADA" w:rsidRPr="00F1180D">
        <w:rPr>
          <w:lang w:val="fr-FR" w:bidi="ar-KW"/>
        </w:rPr>
        <w:t>’</w:t>
      </w:r>
      <w:r w:rsidR="000C6D4A" w:rsidRPr="00F1180D">
        <w:rPr>
          <w:lang w:val="fr-FR" w:bidi="ar-KW"/>
        </w:rPr>
        <w:t>abolition du système de parrainage (Kafala) et son remplacement par des permis de séjour délivrés par le Gouvernement aux travailleurs domestiques... l</w:t>
      </w:r>
      <w:r w:rsidR="00680ADA" w:rsidRPr="00F1180D">
        <w:rPr>
          <w:lang w:val="fr-FR" w:bidi="ar-KW"/>
        </w:rPr>
        <w:t>’</w:t>
      </w:r>
      <w:r w:rsidR="000C6D4A" w:rsidRPr="00F1180D">
        <w:rPr>
          <w:lang w:val="fr-FR" w:bidi="ar-KW"/>
        </w:rPr>
        <w:t>Organisation internationale du Travail a élaboré une étude qui a été transmise au Ministère des affaires sociales et de l</w:t>
      </w:r>
      <w:r w:rsidR="00680ADA" w:rsidRPr="00F1180D">
        <w:rPr>
          <w:lang w:val="fr-FR" w:bidi="ar-KW"/>
        </w:rPr>
        <w:t>’</w:t>
      </w:r>
      <w:r w:rsidR="000C6D4A" w:rsidRPr="00F1180D">
        <w:rPr>
          <w:lang w:val="fr-FR" w:bidi="ar-KW"/>
        </w:rPr>
        <w:t>emploi</w:t>
      </w:r>
      <w:r w:rsidR="00680ADA" w:rsidRPr="00F1180D">
        <w:rPr>
          <w:lang w:val="fr-FR" w:bidi="ar-KW"/>
        </w:rPr>
        <w:t>,</w:t>
      </w:r>
      <w:r w:rsidR="000C6D4A" w:rsidRPr="00F1180D">
        <w:rPr>
          <w:lang w:val="fr-FR" w:bidi="ar-KW"/>
        </w:rPr>
        <w:t xml:space="preserve"> incluant plusieurs propositions et mesures de réforme à mettre en </w:t>
      </w:r>
      <w:r w:rsidR="00823836" w:rsidRPr="00F1180D">
        <w:rPr>
          <w:lang w:val="fr-FR" w:bidi="ar-KW"/>
        </w:rPr>
        <w:t>œuvre</w:t>
      </w:r>
      <w:r w:rsidR="000C6D4A" w:rsidRPr="00F1180D">
        <w:rPr>
          <w:lang w:val="fr-FR" w:bidi="ar-KW"/>
        </w:rPr>
        <w:t xml:space="preserve"> pour amender le système de recrutement et d</w:t>
      </w:r>
      <w:r w:rsidR="00680ADA" w:rsidRPr="00F1180D">
        <w:rPr>
          <w:lang w:val="fr-FR" w:bidi="ar-KW"/>
        </w:rPr>
        <w:t>’</w:t>
      </w:r>
      <w:r w:rsidR="000C6D4A" w:rsidRPr="00F1180D">
        <w:rPr>
          <w:lang w:val="fr-FR" w:bidi="ar-KW"/>
        </w:rPr>
        <w:t>emploi au Koweït</w:t>
      </w:r>
      <w:r w:rsidR="00680ADA" w:rsidRPr="00F1180D">
        <w:rPr>
          <w:lang w:val="fr-FR" w:bidi="ar-KW"/>
        </w:rPr>
        <w:t>,</w:t>
      </w:r>
      <w:r w:rsidR="000C6D4A" w:rsidRPr="00F1180D">
        <w:rPr>
          <w:lang w:val="fr-FR" w:bidi="ar-KW"/>
        </w:rPr>
        <w:t xml:space="preserve"> mais suggérant cependant le maintien du système de parrainage. </w:t>
      </w:r>
    </w:p>
    <w:p w:rsidR="000C6D4A" w:rsidRPr="00F1180D" w:rsidRDefault="00DB7FBA" w:rsidP="00680ADA">
      <w:pPr>
        <w:pStyle w:val="SingleTxtG"/>
        <w:rPr>
          <w:lang w:val="fr-FR" w:bidi="ar-KW"/>
        </w:rPr>
      </w:pPr>
      <w:r>
        <w:rPr>
          <w:lang w:val="fr-FR" w:bidi="ar-KW"/>
        </w:rPr>
        <w:t>178.</w:t>
      </w:r>
      <w:r>
        <w:rPr>
          <w:lang w:val="fr-FR" w:bidi="ar-KW"/>
        </w:rPr>
        <w:tab/>
      </w:r>
      <w:r w:rsidR="000C6D4A" w:rsidRPr="00F1180D">
        <w:rPr>
          <w:lang w:val="fr-FR" w:bidi="ar-KW"/>
        </w:rPr>
        <w:t>Par conséquent</w:t>
      </w:r>
      <w:r w:rsidR="00680ADA" w:rsidRPr="00F1180D">
        <w:rPr>
          <w:lang w:val="fr-FR" w:bidi="ar-KW"/>
        </w:rPr>
        <w:t>,</w:t>
      </w:r>
      <w:r w:rsidR="000C6D4A" w:rsidRPr="00F1180D">
        <w:rPr>
          <w:lang w:val="fr-FR" w:bidi="ar-KW"/>
        </w:rPr>
        <w:t xml:space="preserve"> le système de parrainage actuellement en vigueur au Koweït figure parmi les modèles les mieux adaptés au cadre juridique koweïtien et il convient de le conserver sous sa forme actuelle en ce qui concerne les travailleurs domestiques</w:t>
      </w:r>
      <w:r w:rsidR="00680ADA" w:rsidRPr="00F1180D">
        <w:rPr>
          <w:lang w:val="fr-FR" w:bidi="ar-KW"/>
        </w:rPr>
        <w:t>,</w:t>
      </w:r>
      <w:r w:rsidR="000C6D4A" w:rsidRPr="00F1180D">
        <w:rPr>
          <w:lang w:val="fr-FR" w:bidi="ar-KW"/>
        </w:rPr>
        <w:t xml:space="preserve"> tout en veillant à appliquer les lois et décisions ministérielles en vigueur régissant ce secteur et les relations entre toutes les parties prenantes.</w:t>
      </w:r>
      <w:r w:rsidR="009B1350" w:rsidRPr="00F1180D">
        <w:rPr>
          <w:lang w:val="fr-FR" w:bidi="ar-KW"/>
        </w:rPr>
        <w:t xml:space="preserve"> </w:t>
      </w:r>
    </w:p>
    <w:p w:rsidR="000C6D4A" w:rsidRPr="00F1180D" w:rsidRDefault="000C6D4A" w:rsidP="00BB6700">
      <w:pPr>
        <w:pStyle w:val="Bullet1G"/>
        <w:keepNext/>
        <w:tabs>
          <w:tab w:val="clear" w:pos="1701"/>
          <w:tab w:val="num" w:pos="1276"/>
        </w:tabs>
        <w:ind w:left="1304"/>
        <w:rPr>
          <w:b/>
          <w:lang w:val="fr-FR" w:bidi="ar-KW"/>
        </w:rPr>
      </w:pPr>
      <w:r w:rsidRPr="00F1180D">
        <w:rPr>
          <w:b/>
          <w:lang w:val="fr-FR" w:bidi="ar-KW"/>
        </w:rPr>
        <w:lastRenderedPageBreak/>
        <w:t>Création au Ministère de l</w:t>
      </w:r>
      <w:r w:rsidR="00680ADA" w:rsidRPr="00F1180D">
        <w:rPr>
          <w:b/>
          <w:lang w:val="fr-FR" w:bidi="ar-KW"/>
        </w:rPr>
        <w:t>’</w:t>
      </w:r>
      <w:r w:rsidRPr="00F1180D">
        <w:rPr>
          <w:b/>
          <w:lang w:val="fr-FR" w:bidi="ar-KW"/>
        </w:rPr>
        <w:t>intérieur d</w:t>
      </w:r>
      <w:r w:rsidR="00680ADA" w:rsidRPr="00F1180D">
        <w:rPr>
          <w:b/>
          <w:lang w:val="fr-FR" w:bidi="ar-KW"/>
        </w:rPr>
        <w:t>’</w:t>
      </w:r>
      <w:r w:rsidRPr="00F1180D">
        <w:rPr>
          <w:b/>
          <w:lang w:val="fr-FR" w:bidi="ar-KW"/>
        </w:rPr>
        <w:t>un dispositif de contrôle de l</w:t>
      </w:r>
      <w:r w:rsidR="00680ADA" w:rsidRPr="00F1180D">
        <w:rPr>
          <w:b/>
          <w:lang w:val="fr-FR" w:bidi="ar-KW"/>
        </w:rPr>
        <w:t>’</w:t>
      </w:r>
      <w:r w:rsidRPr="00F1180D">
        <w:rPr>
          <w:b/>
          <w:lang w:val="fr-FR" w:bidi="ar-KW"/>
        </w:rPr>
        <w:t>application des lois et règlements relatifs aux employés de maison</w:t>
      </w:r>
    </w:p>
    <w:p w:rsidR="000C6D4A" w:rsidRPr="00F1180D" w:rsidRDefault="00DB7FBA" w:rsidP="00EF1173">
      <w:pPr>
        <w:pStyle w:val="SingleTxtG"/>
        <w:keepNext/>
        <w:rPr>
          <w:lang w:val="fr-FR" w:bidi="ar-KW"/>
        </w:rPr>
      </w:pPr>
      <w:r>
        <w:rPr>
          <w:lang w:val="fr-FR" w:bidi="ar-KW"/>
        </w:rPr>
        <w:t>179.</w:t>
      </w:r>
      <w:r>
        <w:rPr>
          <w:lang w:val="fr-FR" w:bidi="ar-KW"/>
        </w:rPr>
        <w:tab/>
      </w:r>
      <w:r w:rsidR="000C6D4A" w:rsidRPr="00F1180D">
        <w:rPr>
          <w:lang w:val="fr-FR" w:bidi="ar-KW"/>
        </w:rPr>
        <w:t>Le Ministère de l</w:t>
      </w:r>
      <w:r w:rsidR="00680ADA" w:rsidRPr="00F1180D">
        <w:rPr>
          <w:lang w:val="fr-FR" w:bidi="ar-KW"/>
        </w:rPr>
        <w:t>’</w:t>
      </w:r>
      <w:r w:rsidR="000C6D4A" w:rsidRPr="00F1180D">
        <w:rPr>
          <w:lang w:val="fr-FR" w:bidi="ar-KW"/>
        </w:rPr>
        <w:t>intérieur a créé le Service des employés domestiques</w:t>
      </w:r>
      <w:r w:rsidR="00680ADA" w:rsidRPr="00F1180D">
        <w:rPr>
          <w:lang w:val="fr-FR" w:bidi="ar-KW"/>
        </w:rPr>
        <w:t>,</w:t>
      </w:r>
      <w:r w:rsidR="000C6D4A" w:rsidRPr="00F1180D">
        <w:rPr>
          <w:lang w:val="fr-FR" w:bidi="ar-KW"/>
        </w:rPr>
        <w:t xml:space="preserve"> auquel la décision ministérielle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2411/2008 relative à l</w:t>
      </w:r>
      <w:r w:rsidR="00680ADA" w:rsidRPr="00F1180D">
        <w:rPr>
          <w:lang w:val="fr-FR" w:bidi="ar-KW"/>
        </w:rPr>
        <w:t>’</w:t>
      </w:r>
      <w:r w:rsidR="000C6D4A" w:rsidRPr="00F1180D">
        <w:rPr>
          <w:lang w:val="fr-FR" w:bidi="ar-KW"/>
        </w:rPr>
        <w:t>organigramme du Ministère de l</w:t>
      </w:r>
      <w:r w:rsidR="00680ADA" w:rsidRPr="00F1180D">
        <w:rPr>
          <w:lang w:val="fr-FR" w:bidi="ar-KW"/>
        </w:rPr>
        <w:t>’</w:t>
      </w:r>
      <w:r w:rsidR="000C6D4A" w:rsidRPr="00F1180D">
        <w:rPr>
          <w:lang w:val="fr-FR" w:bidi="ar-KW"/>
        </w:rPr>
        <w:t>intérieur a confié des tâches et compétences précises</w:t>
      </w:r>
      <w:r w:rsidR="00680ADA" w:rsidRPr="00F1180D">
        <w:rPr>
          <w:lang w:val="fr-FR" w:bidi="ar-KW"/>
        </w:rPr>
        <w:t>,</w:t>
      </w:r>
      <w:r w:rsidR="000C6D4A" w:rsidRPr="00F1180D">
        <w:rPr>
          <w:lang w:val="fr-FR" w:bidi="ar-KW"/>
        </w:rPr>
        <w:t xml:space="preserve"> à savoir</w:t>
      </w:r>
      <w:r w:rsidR="00680ADA" w:rsidRPr="00F1180D">
        <w:rPr>
          <w:lang w:val="fr-FR" w:bidi="ar-KW"/>
        </w:rPr>
        <w:t>:</w:t>
      </w:r>
      <w:r w:rsidR="000C6D4A" w:rsidRPr="00F1180D">
        <w:rPr>
          <w:lang w:val="fr-FR" w:bidi="ar-KW"/>
        </w:rPr>
        <w:t xml:space="preserve"> </w:t>
      </w:r>
    </w:p>
    <w:p w:rsidR="00EF1173" w:rsidRPr="00F1180D" w:rsidRDefault="00EF1173" w:rsidP="00EF1173">
      <w:pPr>
        <w:pStyle w:val="SingleTxtG"/>
        <w:keepNext/>
        <w:rPr>
          <w:lang w:val="fr-FR" w:bidi="ar-KW"/>
        </w:rPr>
      </w:pPr>
      <w:r w:rsidRPr="00F1180D">
        <w:rPr>
          <w:lang w:val="fr-FR" w:bidi="ar-KW"/>
        </w:rPr>
        <w:tab/>
        <w:t>1.</w:t>
      </w:r>
      <w:r w:rsidRPr="00F1180D">
        <w:rPr>
          <w:lang w:val="fr-FR" w:bidi="ar-KW"/>
        </w:rPr>
        <w:tab/>
        <w:t>L’application des dispositions légales relatives au fonctionnement des agences de recrutement des employés domestiques.</w:t>
      </w:r>
    </w:p>
    <w:p w:rsidR="000C6D4A" w:rsidRPr="00F1180D" w:rsidRDefault="00EF1173" w:rsidP="00680ADA">
      <w:pPr>
        <w:pStyle w:val="SingleTxtG"/>
        <w:rPr>
          <w:lang w:val="fr-FR" w:bidi="ar-KW"/>
        </w:rPr>
      </w:pPr>
      <w:r w:rsidRPr="00F1180D">
        <w:rPr>
          <w:rtl/>
          <w:lang w:val="fr-FR" w:bidi="fr-FR"/>
        </w:rPr>
        <w:tab/>
      </w:r>
      <w:r w:rsidRPr="00F1180D">
        <w:rPr>
          <w:lang w:val="fr-FR" w:bidi="ar-KW"/>
        </w:rPr>
        <w:t>2.</w:t>
      </w:r>
      <w:r w:rsidR="000C6D4A" w:rsidRPr="00F1180D">
        <w:rPr>
          <w:lang w:val="fr-FR" w:bidi="ar-KW"/>
        </w:rPr>
        <w:tab/>
        <w:t>L</w:t>
      </w:r>
      <w:r w:rsidR="00680ADA" w:rsidRPr="00F1180D">
        <w:rPr>
          <w:lang w:val="fr-FR" w:bidi="ar-KW"/>
        </w:rPr>
        <w:t>’</w:t>
      </w:r>
      <w:r w:rsidR="000C6D4A" w:rsidRPr="00F1180D">
        <w:rPr>
          <w:lang w:val="fr-FR" w:bidi="ar-KW"/>
        </w:rPr>
        <w:t>inspection des bureaux et autres lieux de recrutement des employés domestiques et assimilés et l</w:t>
      </w:r>
      <w:r w:rsidR="00680ADA" w:rsidRPr="00F1180D">
        <w:rPr>
          <w:lang w:val="fr-FR" w:bidi="ar-KW"/>
        </w:rPr>
        <w:t>’</w:t>
      </w:r>
      <w:r w:rsidR="000C6D4A" w:rsidRPr="00F1180D">
        <w:rPr>
          <w:lang w:val="fr-FR" w:bidi="ar-KW"/>
        </w:rPr>
        <w:t>examen des registres et dossiers les concernant.</w:t>
      </w:r>
    </w:p>
    <w:p w:rsidR="000C6D4A" w:rsidRPr="00F1180D" w:rsidRDefault="00EF1173" w:rsidP="00680ADA">
      <w:pPr>
        <w:pStyle w:val="SingleTxtG"/>
        <w:rPr>
          <w:lang w:val="fr-FR" w:bidi="ar-KW"/>
        </w:rPr>
      </w:pPr>
      <w:r w:rsidRPr="00F1180D">
        <w:rPr>
          <w:lang w:val="fr-FR" w:bidi="ar-KW"/>
        </w:rPr>
        <w:tab/>
      </w:r>
      <w:r w:rsidR="000C6D4A" w:rsidRPr="00F1180D">
        <w:rPr>
          <w:lang w:val="fr-FR" w:bidi="ar-KW"/>
        </w:rPr>
        <w:t>3</w:t>
      </w:r>
      <w:r w:rsidRPr="00F1180D">
        <w:rPr>
          <w:lang w:val="fr-FR" w:bidi="ar-KW"/>
        </w:rPr>
        <w:t>.</w:t>
      </w:r>
      <w:r w:rsidR="000C6D4A" w:rsidRPr="00F1180D">
        <w:rPr>
          <w:lang w:val="fr-FR" w:bidi="ar-KW"/>
        </w:rPr>
        <w:tab/>
        <w:t>L</w:t>
      </w:r>
      <w:r w:rsidR="00680ADA" w:rsidRPr="00F1180D">
        <w:rPr>
          <w:lang w:val="fr-FR" w:bidi="ar-KW"/>
        </w:rPr>
        <w:t>’</w:t>
      </w:r>
      <w:r w:rsidR="000C6D4A" w:rsidRPr="00F1180D">
        <w:rPr>
          <w:lang w:val="fr-FR" w:bidi="ar-KW"/>
        </w:rPr>
        <w:t>établissement de procès-verbaux d</w:t>
      </w:r>
      <w:r w:rsidR="00680ADA" w:rsidRPr="00F1180D">
        <w:rPr>
          <w:lang w:val="fr-FR" w:bidi="ar-KW"/>
        </w:rPr>
        <w:t>’</w:t>
      </w:r>
      <w:r w:rsidR="000C6D4A" w:rsidRPr="00F1180D">
        <w:rPr>
          <w:lang w:val="fr-FR" w:bidi="ar-KW"/>
        </w:rPr>
        <w:t>infractions et l</w:t>
      </w:r>
      <w:r w:rsidR="00680ADA" w:rsidRPr="00F1180D">
        <w:rPr>
          <w:lang w:val="fr-FR" w:bidi="ar-KW"/>
        </w:rPr>
        <w:t>’</w:t>
      </w:r>
      <w:r w:rsidR="000C6D4A" w:rsidRPr="00F1180D">
        <w:rPr>
          <w:lang w:val="fr-FR" w:bidi="ar-KW"/>
        </w:rPr>
        <w:t>ouverture d</w:t>
      </w:r>
      <w:r w:rsidR="00680ADA" w:rsidRPr="00F1180D">
        <w:rPr>
          <w:lang w:val="fr-FR" w:bidi="ar-KW"/>
        </w:rPr>
        <w:t>’</w:t>
      </w:r>
      <w:r w:rsidR="000C6D4A" w:rsidRPr="00F1180D">
        <w:rPr>
          <w:lang w:val="fr-FR" w:bidi="ar-KW"/>
        </w:rPr>
        <w:t>enquêtes relatives aux employés domestiques</w:t>
      </w:r>
      <w:r w:rsidR="00680ADA" w:rsidRPr="00F1180D">
        <w:rPr>
          <w:lang w:val="fr-FR" w:bidi="ar-KW"/>
        </w:rPr>
        <w:t>,</w:t>
      </w:r>
      <w:r w:rsidR="000C6D4A" w:rsidRPr="00F1180D">
        <w:rPr>
          <w:lang w:val="fr-FR" w:bidi="ar-KW"/>
        </w:rPr>
        <w:t xml:space="preserve"> ainsi que la transmission des dossiers aux autorités compétentes. Ainsi</w:t>
      </w:r>
      <w:r w:rsidR="00680ADA" w:rsidRPr="00F1180D">
        <w:rPr>
          <w:lang w:val="fr-FR" w:bidi="ar-KW"/>
        </w:rPr>
        <w:t>,</w:t>
      </w:r>
      <w:r w:rsidR="000C6D4A" w:rsidRPr="00F1180D">
        <w:rPr>
          <w:lang w:val="fr-FR" w:bidi="ar-KW"/>
        </w:rPr>
        <w:t xml:space="preserve"> le Service a dressé des procès-verbaux à plusieurs bureaux de placement</w:t>
      </w:r>
      <w:r w:rsidR="00680ADA" w:rsidRPr="00F1180D">
        <w:rPr>
          <w:lang w:val="fr-FR" w:bidi="ar-KW"/>
        </w:rPr>
        <w:t>,</w:t>
      </w:r>
      <w:r w:rsidR="000C6D4A" w:rsidRPr="00F1180D">
        <w:rPr>
          <w:lang w:val="fr-FR" w:bidi="ar-KW"/>
        </w:rPr>
        <w:t xml:space="preserve"> saisi la Direction générale des enquêtes à leur sujet et procédé au retrait de 866 agréments</w:t>
      </w:r>
      <w:r w:rsidR="00680ADA" w:rsidRPr="00F1180D">
        <w:rPr>
          <w:lang w:val="fr-FR" w:bidi="ar-KW"/>
        </w:rPr>
        <w:t>,</w:t>
      </w:r>
      <w:r w:rsidR="000C6D4A" w:rsidRPr="00F1180D">
        <w:rPr>
          <w:lang w:val="fr-FR" w:bidi="ar-KW"/>
        </w:rPr>
        <w:t xml:space="preserve"> dont 40 pour violation de la décision ministérielle. Désormais</w:t>
      </w:r>
      <w:r w:rsidR="00680ADA" w:rsidRPr="00F1180D">
        <w:rPr>
          <w:lang w:val="fr-FR" w:bidi="ar-KW"/>
        </w:rPr>
        <w:t>,</w:t>
      </w:r>
      <w:r w:rsidR="000C6D4A" w:rsidRPr="00F1180D">
        <w:rPr>
          <w:lang w:val="fr-FR" w:bidi="ar-KW"/>
        </w:rPr>
        <w:t xml:space="preserve"> le nombre de bureaux de placement autorisés à exercer n</w:t>
      </w:r>
      <w:r w:rsidR="00680ADA" w:rsidRPr="00F1180D">
        <w:rPr>
          <w:lang w:val="fr-FR" w:bidi="ar-KW"/>
        </w:rPr>
        <w:t>’</w:t>
      </w:r>
      <w:r w:rsidR="000C6D4A" w:rsidRPr="00F1180D">
        <w:rPr>
          <w:lang w:val="fr-FR" w:bidi="ar-KW"/>
        </w:rPr>
        <w:t xml:space="preserve">est que plus que de 370 unités. </w:t>
      </w:r>
    </w:p>
    <w:p w:rsidR="000C6D4A" w:rsidRPr="00F1180D" w:rsidRDefault="00EF1173" w:rsidP="00680ADA">
      <w:pPr>
        <w:pStyle w:val="SingleTxtG"/>
        <w:rPr>
          <w:lang w:val="fr-FR" w:bidi="ar-KW"/>
        </w:rPr>
      </w:pPr>
      <w:r w:rsidRPr="00F1180D">
        <w:rPr>
          <w:lang w:val="fr-FR" w:bidi="ar-KW"/>
        </w:rPr>
        <w:tab/>
      </w:r>
      <w:r w:rsidR="000C6D4A" w:rsidRPr="00F1180D">
        <w:rPr>
          <w:lang w:val="fr-FR" w:bidi="ar-KW"/>
        </w:rPr>
        <w:t>4</w:t>
      </w:r>
      <w:r w:rsidRPr="00F1180D">
        <w:rPr>
          <w:lang w:val="fr-FR" w:bidi="ar-KW"/>
        </w:rPr>
        <w:t>.</w:t>
      </w:r>
      <w:r w:rsidR="000C6D4A" w:rsidRPr="00F1180D">
        <w:rPr>
          <w:lang w:val="fr-FR" w:bidi="ar-KW"/>
        </w:rPr>
        <w:tab/>
        <w:t>Le recueil des plaintes des employés domestiques contre leurs employeurs</w:t>
      </w:r>
      <w:r w:rsidR="00680ADA" w:rsidRPr="00F1180D">
        <w:rPr>
          <w:lang w:val="fr-FR" w:bidi="ar-KW"/>
        </w:rPr>
        <w:t>,</w:t>
      </w:r>
      <w:r w:rsidR="000C6D4A" w:rsidRPr="00F1180D">
        <w:rPr>
          <w:lang w:val="fr-FR" w:bidi="ar-KW"/>
        </w:rPr>
        <w:t xml:space="preserve"> concernant notamment le non-paiement de leurs salaires et les mauvais traitements dont ils auraient fait l</w:t>
      </w:r>
      <w:r w:rsidR="00680ADA" w:rsidRPr="00F1180D">
        <w:rPr>
          <w:lang w:val="fr-FR" w:bidi="ar-KW"/>
        </w:rPr>
        <w:t>’</w:t>
      </w:r>
      <w:r w:rsidR="000C6D4A" w:rsidRPr="00F1180D">
        <w:rPr>
          <w:lang w:val="fr-FR" w:bidi="ar-KW"/>
        </w:rPr>
        <w:t>objet</w:t>
      </w:r>
      <w:r w:rsidR="00680ADA" w:rsidRPr="00F1180D">
        <w:rPr>
          <w:lang w:val="fr-FR" w:bidi="ar-KW"/>
        </w:rPr>
        <w:t>;</w:t>
      </w:r>
      <w:r w:rsidR="000C6D4A" w:rsidRPr="00F1180D">
        <w:rPr>
          <w:lang w:val="fr-FR" w:bidi="ar-KW"/>
        </w:rPr>
        <w:t xml:space="preserve"> ainsi que l</w:t>
      </w:r>
      <w:r w:rsidR="00680ADA" w:rsidRPr="00F1180D">
        <w:rPr>
          <w:lang w:val="fr-FR" w:bidi="ar-KW"/>
        </w:rPr>
        <w:t>’</w:t>
      </w:r>
      <w:r w:rsidR="000C6D4A" w:rsidRPr="00F1180D">
        <w:rPr>
          <w:lang w:val="fr-FR" w:bidi="ar-KW"/>
        </w:rPr>
        <w:t>adoption des mesures nécessaires afin que les employés soient payés et rétablis dans leurs droits.</w:t>
      </w:r>
    </w:p>
    <w:p w:rsidR="000C6D4A" w:rsidRPr="00F1180D" w:rsidRDefault="00EF1173" w:rsidP="00680ADA">
      <w:pPr>
        <w:pStyle w:val="SingleTxtG"/>
        <w:rPr>
          <w:lang w:val="fr-FR" w:bidi="ar-KW"/>
        </w:rPr>
      </w:pPr>
      <w:r w:rsidRPr="00F1180D">
        <w:rPr>
          <w:lang w:val="fr-FR" w:bidi="ar-KW"/>
        </w:rPr>
        <w:tab/>
      </w:r>
      <w:r w:rsidR="000C6D4A" w:rsidRPr="00F1180D">
        <w:rPr>
          <w:lang w:val="fr-FR" w:bidi="ar-KW"/>
        </w:rPr>
        <w:t>5</w:t>
      </w:r>
      <w:r w:rsidRPr="00F1180D">
        <w:rPr>
          <w:lang w:val="fr-FR" w:bidi="ar-KW"/>
        </w:rPr>
        <w:t>.</w:t>
      </w:r>
      <w:r w:rsidR="000C6D4A" w:rsidRPr="00F1180D">
        <w:rPr>
          <w:lang w:val="fr-FR" w:bidi="ar-KW"/>
        </w:rPr>
        <w:tab/>
        <w:t>La mise en place d</w:t>
      </w:r>
      <w:r w:rsidR="00680ADA" w:rsidRPr="00F1180D">
        <w:rPr>
          <w:lang w:val="fr-FR" w:bidi="ar-KW"/>
        </w:rPr>
        <w:t>’</w:t>
      </w:r>
      <w:r w:rsidR="000C6D4A" w:rsidRPr="00F1180D">
        <w:rPr>
          <w:lang w:val="fr-FR" w:bidi="ar-KW"/>
        </w:rPr>
        <w:t>une section chargée spécifiquement de recevoir les plaintes des ambassades concernant les employés domestiques</w:t>
      </w:r>
      <w:r w:rsidR="00680ADA" w:rsidRPr="00F1180D">
        <w:rPr>
          <w:lang w:val="fr-FR" w:bidi="ar-KW"/>
        </w:rPr>
        <w:t>,</w:t>
      </w:r>
      <w:r w:rsidR="000C6D4A" w:rsidRPr="00F1180D">
        <w:rPr>
          <w:lang w:val="fr-FR" w:bidi="ar-KW"/>
        </w:rPr>
        <w:t xml:space="preserve"> ainsi que de trouver une solution à l</w:t>
      </w:r>
      <w:r w:rsidR="00680ADA" w:rsidRPr="00F1180D">
        <w:rPr>
          <w:lang w:val="fr-FR" w:bidi="ar-KW"/>
        </w:rPr>
        <w:t>’</w:t>
      </w:r>
      <w:r w:rsidR="000C6D4A" w:rsidRPr="00F1180D">
        <w:rPr>
          <w:lang w:val="fr-FR" w:bidi="ar-KW"/>
        </w:rPr>
        <w:t>amiable à leurs problèmes. En cas de persistance du différend</w:t>
      </w:r>
      <w:r w:rsidR="00680ADA" w:rsidRPr="00F1180D">
        <w:rPr>
          <w:lang w:val="fr-FR" w:bidi="ar-KW"/>
        </w:rPr>
        <w:t>,</w:t>
      </w:r>
      <w:r w:rsidR="000C6D4A" w:rsidRPr="00F1180D">
        <w:rPr>
          <w:lang w:val="fr-FR" w:bidi="ar-KW"/>
        </w:rPr>
        <w:t xml:space="preserve"> les deux parties au conflit sont invitées à saisir les tribunaux koweïtiens au civil. Il convient de noter à cet égard que le départ du travailleur migrant n</w:t>
      </w:r>
      <w:r w:rsidR="00680ADA" w:rsidRPr="00F1180D">
        <w:rPr>
          <w:lang w:val="fr-FR" w:bidi="ar-KW"/>
        </w:rPr>
        <w:t>’</w:t>
      </w:r>
      <w:r w:rsidR="000C6D4A" w:rsidRPr="00F1180D">
        <w:rPr>
          <w:lang w:val="fr-FR" w:bidi="ar-KW"/>
        </w:rPr>
        <w:t>intervient que sur demande de l</w:t>
      </w:r>
      <w:r w:rsidR="00680ADA" w:rsidRPr="00F1180D">
        <w:rPr>
          <w:lang w:val="fr-FR" w:bidi="ar-KW"/>
        </w:rPr>
        <w:t>’</w:t>
      </w:r>
      <w:r w:rsidR="000C6D4A" w:rsidRPr="00F1180D">
        <w:rPr>
          <w:lang w:val="fr-FR" w:bidi="ar-KW"/>
        </w:rPr>
        <w:t>ambassade de son pays et une fois que tous ses salaires et indemnités lui ont été payés. Jusqu</w:t>
      </w:r>
      <w:r w:rsidR="00680ADA" w:rsidRPr="00F1180D">
        <w:rPr>
          <w:lang w:val="fr-FR" w:bidi="ar-KW"/>
        </w:rPr>
        <w:t>’</w:t>
      </w:r>
      <w:r w:rsidR="000C6D4A" w:rsidRPr="00F1180D">
        <w:rPr>
          <w:lang w:val="fr-FR" w:bidi="ar-KW"/>
        </w:rPr>
        <w:t>au 5 mai 2013</w:t>
      </w:r>
      <w:r w:rsidR="00680ADA" w:rsidRPr="00F1180D">
        <w:rPr>
          <w:lang w:val="fr-FR" w:bidi="ar-KW"/>
        </w:rPr>
        <w:t>,</w:t>
      </w:r>
      <w:r w:rsidR="000C6D4A" w:rsidRPr="00F1180D">
        <w:rPr>
          <w:lang w:val="fr-FR" w:bidi="ar-KW"/>
        </w:rPr>
        <w:t xml:space="preserve"> le Service des travailleurs domestiques a facilité le départ de 1 521 travailleurs migrants</w:t>
      </w:r>
      <w:r w:rsidR="00680ADA" w:rsidRPr="00F1180D">
        <w:rPr>
          <w:lang w:val="fr-FR" w:bidi="ar-KW"/>
        </w:rPr>
        <w:t>,</w:t>
      </w:r>
      <w:r w:rsidR="000C6D4A" w:rsidRPr="00F1180D">
        <w:rPr>
          <w:lang w:val="fr-FR" w:bidi="ar-KW"/>
        </w:rPr>
        <w:t xml:space="preserve"> sur leur propre demande ou sur requête de l</w:t>
      </w:r>
      <w:r w:rsidR="00680ADA" w:rsidRPr="00F1180D">
        <w:rPr>
          <w:lang w:val="fr-FR" w:bidi="ar-KW"/>
        </w:rPr>
        <w:t>’</w:t>
      </w:r>
      <w:r w:rsidR="000C6D4A" w:rsidRPr="00F1180D">
        <w:rPr>
          <w:lang w:val="fr-FR" w:bidi="ar-KW"/>
        </w:rPr>
        <w:t xml:space="preserve">ambassade de leur pays. </w:t>
      </w:r>
    </w:p>
    <w:p w:rsidR="000C6D4A" w:rsidRPr="00F1180D" w:rsidRDefault="00EF1173" w:rsidP="00EF1173">
      <w:pPr>
        <w:pStyle w:val="H1G"/>
        <w:rPr>
          <w:lang w:val="fr-FR" w:bidi="ar-KW"/>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Pr="00F1180D">
        <w:rPr>
          <w:lang w:val="fr-FR" w:bidi="ar-KW"/>
        </w:rPr>
        <w:t>2</w:t>
      </w:r>
      <w:r w:rsidR="00C66720" w:rsidRPr="00F1180D">
        <w:rPr>
          <w:lang w:val="fr-FR" w:bidi="ar-KW"/>
        </w:rPr>
        <w:t>0</w:t>
      </w:r>
    </w:p>
    <w:p w:rsidR="000C6D4A" w:rsidRPr="00F1180D" w:rsidRDefault="00DB7FBA" w:rsidP="00680ADA">
      <w:pPr>
        <w:pStyle w:val="SingleTxtG"/>
        <w:rPr>
          <w:rtl/>
          <w:lang w:val="fr-FR" w:bidi="fr-FR"/>
        </w:rPr>
      </w:pPr>
      <w:r>
        <w:rPr>
          <w:lang w:val="fr-FR" w:bidi="ar-KW"/>
        </w:rPr>
        <w:t>180.</w:t>
      </w:r>
      <w:r>
        <w:rPr>
          <w:lang w:val="fr-FR" w:bidi="ar-KW"/>
        </w:rPr>
        <w:tab/>
      </w:r>
      <w:r w:rsidR="000C6D4A" w:rsidRPr="00F1180D">
        <w:rPr>
          <w:lang w:val="fr-FR" w:bidi="ar-KW"/>
        </w:rPr>
        <w:t>N</w:t>
      </w:r>
      <w:r w:rsidR="00680ADA" w:rsidRPr="00F1180D">
        <w:rPr>
          <w:lang w:val="fr-FR" w:bidi="ar-KW"/>
        </w:rPr>
        <w:t>’</w:t>
      </w:r>
      <w:r w:rsidR="000C6D4A" w:rsidRPr="00F1180D">
        <w:rPr>
          <w:lang w:val="fr-FR" w:bidi="ar-KW"/>
        </w:rPr>
        <w:t>étant pas partie à la Convention de 1951 relative au statut des réfugiés</w:t>
      </w:r>
      <w:r w:rsidR="00680ADA" w:rsidRPr="00F1180D">
        <w:rPr>
          <w:lang w:val="fr-FR" w:bidi="ar-KW"/>
        </w:rPr>
        <w:t>,</w:t>
      </w:r>
      <w:r w:rsidR="000C6D4A" w:rsidRPr="00F1180D">
        <w:rPr>
          <w:lang w:val="fr-FR" w:bidi="ar-KW"/>
        </w:rPr>
        <w:t xml:space="preserve"> le Koweït n</w:t>
      </w:r>
      <w:r w:rsidR="00680ADA" w:rsidRPr="00F1180D">
        <w:rPr>
          <w:lang w:val="fr-FR" w:bidi="ar-KW"/>
        </w:rPr>
        <w:t>’</w:t>
      </w:r>
      <w:r w:rsidR="000C6D4A" w:rsidRPr="00F1180D">
        <w:rPr>
          <w:lang w:val="fr-FR" w:bidi="ar-KW"/>
        </w:rPr>
        <w:t>est pas tenu d</w:t>
      </w:r>
      <w:r w:rsidR="00680ADA" w:rsidRPr="00F1180D">
        <w:rPr>
          <w:lang w:val="fr-FR" w:bidi="ar-KW"/>
        </w:rPr>
        <w:t>’</w:t>
      </w:r>
      <w:r w:rsidR="000C6D4A" w:rsidRPr="00F1180D">
        <w:rPr>
          <w:lang w:val="fr-FR" w:bidi="ar-KW"/>
        </w:rPr>
        <w:t>accueillir ces personnes sur son territoire. Ainsi</w:t>
      </w:r>
      <w:r w:rsidR="00680ADA" w:rsidRPr="00F1180D">
        <w:rPr>
          <w:lang w:val="fr-FR" w:bidi="ar-KW"/>
        </w:rPr>
        <w:t>,</w:t>
      </w:r>
      <w:r w:rsidR="000C6D4A" w:rsidRPr="00F1180D">
        <w:rPr>
          <w:lang w:val="fr-FR" w:bidi="ar-KW"/>
        </w:rPr>
        <w:t xml:space="preserve"> le système juridique koweïtien n</w:t>
      </w:r>
      <w:r w:rsidR="00680ADA" w:rsidRPr="00F1180D">
        <w:rPr>
          <w:lang w:val="fr-FR" w:bidi="ar-KW"/>
        </w:rPr>
        <w:t>’</w:t>
      </w:r>
      <w:r w:rsidR="000C6D4A" w:rsidRPr="00F1180D">
        <w:rPr>
          <w:lang w:val="fr-FR" w:bidi="ar-KW"/>
        </w:rPr>
        <w:t>autorise les étrangers à résider dans le pays qu</w:t>
      </w:r>
      <w:r w:rsidR="00680ADA" w:rsidRPr="00F1180D">
        <w:rPr>
          <w:lang w:val="fr-FR" w:bidi="ar-KW"/>
        </w:rPr>
        <w:t>’</w:t>
      </w:r>
      <w:r w:rsidR="000C6D4A" w:rsidRPr="00F1180D">
        <w:rPr>
          <w:lang w:val="fr-FR" w:bidi="ar-KW"/>
        </w:rPr>
        <w:t>à titre provisoire</w:t>
      </w:r>
      <w:r w:rsidR="00680ADA" w:rsidRPr="00F1180D">
        <w:rPr>
          <w:lang w:val="fr-FR" w:bidi="ar-KW"/>
        </w:rPr>
        <w:t>,</w:t>
      </w:r>
      <w:r w:rsidR="000C6D4A" w:rsidRPr="00F1180D">
        <w:rPr>
          <w:lang w:val="fr-FR" w:bidi="ar-KW"/>
        </w:rPr>
        <w:t xml:space="preserve"> sur la base d</w:t>
      </w:r>
      <w:r w:rsidR="00680ADA" w:rsidRPr="00F1180D">
        <w:rPr>
          <w:lang w:val="fr-FR" w:bidi="ar-KW"/>
        </w:rPr>
        <w:t>’</w:t>
      </w:r>
      <w:r w:rsidR="000C6D4A" w:rsidRPr="00F1180D">
        <w:rPr>
          <w:lang w:val="fr-FR" w:bidi="ar-KW"/>
        </w:rPr>
        <w:t>un titre de séjour dont l</w:t>
      </w:r>
      <w:r w:rsidR="00680ADA" w:rsidRPr="00F1180D">
        <w:rPr>
          <w:lang w:val="fr-FR" w:bidi="ar-KW"/>
        </w:rPr>
        <w:t>’</w:t>
      </w:r>
      <w:r w:rsidR="000C6D4A" w:rsidRPr="00F1180D">
        <w:rPr>
          <w:lang w:val="fr-FR" w:bidi="ar-KW"/>
        </w:rPr>
        <w:t xml:space="preserve">obtention obéit aux dispositions du décret-loi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17 de 1959 sur le séjour des étrangers et à celles de son règlement exécutif</w:t>
      </w:r>
      <w:r w:rsidR="00680ADA" w:rsidRPr="00F1180D">
        <w:rPr>
          <w:lang w:val="fr-FR" w:bidi="ar-KW"/>
        </w:rPr>
        <w:t>,</w:t>
      </w:r>
      <w:r w:rsidR="000C6D4A" w:rsidRPr="00F1180D">
        <w:rPr>
          <w:lang w:val="fr-FR" w:bidi="ar-KW"/>
        </w:rPr>
        <w:t xml:space="preserve"> étant précisé qu</w:t>
      </w:r>
      <w:r w:rsidR="00680ADA" w:rsidRPr="00F1180D">
        <w:rPr>
          <w:lang w:val="fr-FR" w:bidi="ar-KW"/>
        </w:rPr>
        <w:t>’</w:t>
      </w:r>
      <w:r w:rsidR="000C6D4A" w:rsidRPr="00F1180D">
        <w:rPr>
          <w:lang w:val="fr-FR" w:bidi="ar-KW"/>
        </w:rPr>
        <w:t>à l</w:t>
      </w:r>
      <w:r w:rsidR="00680ADA" w:rsidRPr="00F1180D">
        <w:rPr>
          <w:lang w:val="fr-FR" w:bidi="ar-KW"/>
        </w:rPr>
        <w:t>’</w:t>
      </w:r>
      <w:r w:rsidR="000C6D4A" w:rsidRPr="00F1180D">
        <w:rPr>
          <w:lang w:val="fr-FR" w:bidi="ar-KW"/>
        </w:rPr>
        <w:t>expiration de la période de séjour autorisée ou en cas de rejet d</w:t>
      </w:r>
      <w:r w:rsidR="00680ADA" w:rsidRPr="00F1180D">
        <w:rPr>
          <w:lang w:val="fr-FR" w:bidi="ar-KW"/>
        </w:rPr>
        <w:t>’</w:t>
      </w:r>
      <w:r w:rsidR="000C6D4A" w:rsidRPr="00F1180D">
        <w:rPr>
          <w:lang w:val="fr-FR" w:bidi="ar-KW"/>
        </w:rPr>
        <w:t>une demande de renouvellement</w:t>
      </w:r>
      <w:r w:rsidR="00680ADA" w:rsidRPr="00F1180D">
        <w:rPr>
          <w:lang w:val="fr-FR" w:bidi="ar-KW"/>
        </w:rPr>
        <w:t>,</w:t>
      </w:r>
      <w:r w:rsidR="000C6D4A" w:rsidRPr="00F1180D">
        <w:rPr>
          <w:lang w:val="fr-FR" w:bidi="ar-KW"/>
        </w:rPr>
        <w:t xml:space="preserve"> les étrangers concernés doivent retourner dans leur pays d</w:t>
      </w:r>
      <w:r w:rsidR="00680ADA" w:rsidRPr="00F1180D">
        <w:rPr>
          <w:lang w:val="fr-FR" w:bidi="ar-KW"/>
        </w:rPr>
        <w:t>’</w:t>
      </w:r>
      <w:r w:rsidR="000C6D4A" w:rsidRPr="00F1180D">
        <w:rPr>
          <w:lang w:val="fr-FR" w:bidi="ar-KW"/>
        </w:rPr>
        <w:t xml:space="preserve">origine. </w:t>
      </w:r>
    </w:p>
    <w:p w:rsidR="000C6D4A" w:rsidRPr="00F1180D" w:rsidRDefault="00DB7FBA" w:rsidP="00680ADA">
      <w:pPr>
        <w:pStyle w:val="SingleTxtG"/>
        <w:rPr>
          <w:lang w:val="fr-FR" w:bidi="ar-KW"/>
        </w:rPr>
      </w:pPr>
      <w:r>
        <w:rPr>
          <w:lang w:val="fr-FR" w:bidi="ar-KW"/>
        </w:rPr>
        <w:t>181.</w:t>
      </w:r>
      <w:r>
        <w:rPr>
          <w:lang w:val="fr-FR" w:bidi="ar-KW"/>
        </w:rPr>
        <w:tab/>
      </w:r>
      <w:r w:rsidR="000C6D4A" w:rsidRPr="00F1180D">
        <w:rPr>
          <w:lang w:val="fr-FR" w:bidi="ar-KW"/>
        </w:rPr>
        <w:t>En outre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Office central chargé des résidents en situation irrégulière a été créé pour régulariser la situation de ces derniers et permettre aux personnes séjournant au Koweït en ayant dissimulé leur nationalité d</w:t>
      </w:r>
      <w:r w:rsidR="00680ADA" w:rsidRPr="00F1180D">
        <w:rPr>
          <w:lang w:val="fr-FR" w:bidi="ar-KW"/>
        </w:rPr>
        <w:t>’</w:t>
      </w:r>
      <w:r w:rsidR="000C6D4A" w:rsidRPr="00F1180D">
        <w:rPr>
          <w:lang w:val="fr-FR" w:bidi="ar-KW"/>
        </w:rPr>
        <w:t>origine et leurs pièces d</w:t>
      </w:r>
      <w:r w:rsidR="00680ADA" w:rsidRPr="00F1180D">
        <w:rPr>
          <w:lang w:val="fr-FR" w:bidi="ar-KW"/>
        </w:rPr>
        <w:t>’</w:t>
      </w:r>
      <w:r w:rsidR="000C6D4A" w:rsidRPr="00F1180D">
        <w:rPr>
          <w:lang w:val="fr-FR" w:bidi="ar-KW"/>
        </w:rPr>
        <w:t>identité officielles</w:t>
      </w:r>
      <w:r w:rsidR="00680ADA" w:rsidRPr="00F1180D">
        <w:rPr>
          <w:lang w:val="fr-FR" w:bidi="ar-KW"/>
        </w:rPr>
        <w:t>,</w:t>
      </w:r>
      <w:r w:rsidR="000C6D4A" w:rsidRPr="00F1180D">
        <w:rPr>
          <w:lang w:val="fr-FR" w:bidi="ar-KW"/>
        </w:rPr>
        <w:t xml:space="preserve"> espérant ainsi acquérir la nationalité koweïtienne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exercer tous leurs droits fondamentaux</w:t>
      </w:r>
      <w:r w:rsidR="00680ADA" w:rsidRPr="00F1180D">
        <w:rPr>
          <w:lang w:val="fr-FR" w:bidi="ar-KW"/>
        </w:rPr>
        <w:t>,</w:t>
      </w:r>
      <w:r w:rsidR="000C6D4A" w:rsidRPr="00F1180D">
        <w:rPr>
          <w:lang w:val="fr-FR" w:bidi="ar-KW"/>
        </w:rPr>
        <w:t xml:space="preserve"> comme indiqué précédemment dans le présent rapport. </w:t>
      </w:r>
    </w:p>
    <w:p w:rsidR="000C6D4A" w:rsidRPr="00F1180D" w:rsidRDefault="00EF1173" w:rsidP="00EF1173">
      <w:pPr>
        <w:pStyle w:val="H1G"/>
        <w:rPr>
          <w:lang w:val="fr-FR" w:bidi="ar-KW"/>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21</w:t>
      </w:r>
    </w:p>
    <w:p w:rsidR="000C6D4A" w:rsidRPr="00F1180D" w:rsidRDefault="00DB7FBA" w:rsidP="00680ADA">
      <w:pPr>
        <w:pStyle w:val="SingleTxtG"/>
        <w:rPr>
          <w:rtl/>
          <w:lang w:val="fr-FR" w:bidi="fr-FR"/>
        </w:rPr>
      </w:pPr>
      <w:r>
        <w:rPr>
          <w:lang w:val="fr-FR" w:bidi="ar-KW"/>
        </w:rPr>
        <w:t>182.</w:t>
      </w:r>
      <w:r>
        <w:rPr>
          <w:lang w:val="fr-FR" w:bidi="ar-KW"/>
        </w:rPr>
        <w:tab/>
      </w:r>
      <w:r w:rsidR="000C6D4A" w:rsidRPr="00F1180D">
        <w:rPr>
          <w:lang w:val="fr-FR" w:bidi="ar-KW"/>
        </w:rPr>
        <w:t>L</w:t>
      </w:r>
      <w:r w:rsidR="00680ADA" w:rsidRPr="00F1180D">
        <w:rPr>
          <w:lang w:val="fr-FR" w:bidi="ar-KW"/>
        </w:rPr>
        <w:t>’</w:t>
      </w:r>
      <w:r w:rsidR="000C6D4A" w:rsidRPr="00F1180D">
        <w:rPr>
          <w:lang w:val="fr-FR" w:bidi="ar-KW"/>
        </w:rPr>
        <w:t>État du Koweït est pleinement résolu à assurer l</w:t>
      </w:r>
      <w:r w:rsidR="00680ADA" w:rsidRPr="00F1180D">
        <w:rPr>
          <w:lang w:val="fr-FR" w:bidi="ar-KW"/>
        </w:rPr>
        <w:t>’</w:t>
      </w:r>
      <w:r w:rsidR="000C6D4A" w:rsidRPr="00F1180D">
        <w:rPr>
          <w:lang w:val="fr-FR" w:bidi="ar-KW"/>
        </w:rPr>
        <w:t>égalité entre tous les élèves</w:t>
      </w:r>
      <w:r w:rsidR="00680ADA" w:rsidRPr="00F1180D">
        <w:rPr>
          <w:lang w:val="fr-FR" w:bidi="ar-KW"/>
        </w:rPr>
        <w:t>,</w:t>
      </w:r>
      <w:r w:rsidR="000C6D4A" w:rsidRPr="00F1180D">
        <w:rPr>
          <w:lang w:val="fr-FR" w:bidi="ar-KW"/>
        </w:rPr>
        <w:t xml:space="preserve"> qu</w:t>
      </w:r>
      <w:r w:rsidR="00680ADA" w:rsidRPr="00F1180D">
        <w:rPr>
          <w:lang w:val="fr-FR" w:bidi="ar-KW"/>
        </w:rPr>
        <w:t>’</w:t>
      </w:r>
      <w:r w:rsidR="000C6D4A" w:rsidRPr="00F1180D">
        <w:rPr>
          <w:lang w:val="fr-FR" w:bidi="ar-KW"/>
        </w:rPr>
        <w:t>il s</w:t>
      </w:r>
      <w:r w:rsidR="00680ADA" w:rsidRPr="00F1180D">
        <w:rPr>
          <w:lang w:val="fr-FR" w:bidi="ar-KW"/>
        </w:rPr>
        <w:t>’</w:t>
      </w:r>
      <w:r w:rsidR="000C6D4A" w:rsidRPr="00F1180D">
        <w:rPr>
          <w:lang w:val="fr-FR" w:bidi="ar-KW"/>
        </w:rPr>
        <w:t>agisse de ses propres ressortissants</w:t>
      </w:r>
      <w:r w:rsidR="00680ADA" w:rsidRPr="00F1180D">
        <w:rPr>
          <w:lang w:val="fr-FR" w:bidi="ar-KW"/>
        </w:rPr>
        <w:t>,</w:t>
      </w:r>
      <w:r w:rsidR="000C6D4A" w:rsidRPr="00F1180D">
        <w:rPr>
          <w:lang w:val="fr-FR" w:bidi="ar-KW"/>
        </w:rPr>
        <w:t xml:space="preserve"> des migrants ou des résidents en situation irrégulière</w:t>
      </w:r>
      <w:r w:rsidR="00680ADA" w:rsidRPr="00F1180D">
        <w:rPr>
          <w:lang w:val="fr-FR" w:bidi="ar-KW"/>
        </w:rPr>
        <w:t>,</w:t>
      </w:r>
      <w:r w:rsidR="000C6D4A" w:rsidRPr="00F1180D">
        <w:rPr>
          <w:lang w:val="fr-FR" w:bidi="ar-KW"/>
        </w:rPr>
        <w:t xml:space="preserve"> dans la mesure où les lois</w:t>
      </w:r>
      <w:r w:rsidR="00680ADA" w:rsidRPr="00F1180D">
        <w:rPr>
          <w:lang w:val="fr-FR" w:bidi="ar-KW"/>
        </w:rPr>
        <w:t>,</w:t>
      </w:r>
      <w:r w:rsidR="000C6D4A" w:rsidRPr="00F1180D">
        <w:rPr>
          <w:lang w:val="fr-FR" w:bidi="ar-KW"/>
        </w:rPr>
        <w:t xml:space="preserve"> décisions administratives et règlements en vigueur au Ministère </w:t>
      </w:r>
      <w:r w:rsidR="000C6D4A" w:rsidRPr="00F1180D">
        <w:rPr>
          <w:lang w:val="fr-FR" w:bidi="ar-KW"/>
        </w:rPr>
        <w:lastRenderedPageBreak/>
        <w:t>de l</w:t>
      </w:r>
      <w:r w:rsidR="00680ADA" w:rsidRPr="00F1180D">
        <w:rPr>
          <w:lang w:val="fr-FR" w:bidi="ar-KW"/>
        </w:rPr>
        <w:t>’</w:t>
      </w:r>
      <w:r w:rsidR="000C6D4A" w:rsidRPr="00F1180D">
        <w:rPr>
          <w:lang w:val="fr-FR" w:bidi="ar-KW"/>
        </w:rPr>
        <w:t>éducation régissant les questions éducatives s</w:t>
      </w:r>
      <w:r w:rsidR="00680ADA" w:rsidRPr="00F1180D">
        <w:rPr>
          <w:lang w:val="fr-FR" w:bidi="ar-KW"/>
        </w:rPr>
        <w:t>’</w:t>
      </w:r>
      <w:r w:rsidR="000C6D4A" w:rsidRPr="00F1180D">
        <w:rPr>
          <w:lang w:val="fr-FR" w:bidi="ar-KW"/>
        </w:rPr>
        <w:t>appliquent à tous les élèves sans exception.</w:t>
      </w:r>
    </w:p>
    <w:p w:rsidR="000C6D4A" w:rsidRPr="00F1180D" w:rsidRDefault="00DB7FBA" w:rsidP="00680ADA">
      <w:pPr>
        <w:pStyle w:val="SingleTxtG"/>
        <w:rPr>
          <w:rtl/>
          <w:lang w:val="fr-FR" w:bidi="fr-FR"/>
        </w:rPr>
      </w:pPr>
      <w:r>
        <w:rPr>
          <w:lang w:val="fr-FR" w:bidi="ar-KW"/>
        </w:rPr>
        <w:t>183.</w:t>
      </w:r>
      <w:r>
        <w:rPr>
          <w:lang w:val="fr-FR" w:bidi="ar-KW"/>
        </w:rPr>
        <w:tab/>
      </w:r>
      <w:r w:rsidR="000C6D4A" w:rsidRPr="00F1180D">
        <w:rPr>
          <w:lang w:val="fr-FR" w:bidi="ar-KW"/>
        </w:rPr>
        <w:t>L</w:t>
      </w:r>
      <w:r w:rsidR="00680ADA" w:rsidRPr="00F1180D">
        <w:rPr>
          <w:lang w:val="fr-FR" w:bidi="ar-KW"/>
        </w:rPr>
        <w:t>’</w:t>
      </w:r>
      <w:r w:rsidR="000C6D4A" w:rsidRPr="00F1180D">
        <w:rPr>
          <w:lang w:val="fr-FR" w:bidi="ar-KW"/>
        </w:rPr>
        <w:t>accès des enfants des résidents en situation irrégulière à l</w:t>
      </w:r>
      <w:r w:rsidR="00680ADA" w:rsidRPr="00F1180D">
        <w:rPr>
          <w:lang w:val="fr-FR" w:bidi="ar-KW"/>
        </w:rPr>
        <w:t>’</w:t>
      </w:r>
      <w:r w:rsidR="000C6D4A" w:rsidRPr="00F1180D">
        <w:rPr>
          <w:lang w:val="fr-FR" w:bidi="ar-KW"/>
        </w:rPr>
        <w:t>éducation est consacré par l</w:t>
      </w:r>
      <w:r w:rsidR="00680ADA" w:rsidRPr="00F1180D">
        <w:rPr>
          <w:lang w:val="fr-FR" w:bidi="ar-KW"/>
        </w:rPr>
        <w:t>’</w:t>
      </w:r>
      <w:r w:rsidR="00163207" w:rsidRPr="00F1180D">
        <w:rPr>
          <w:lang w:val="fr-FR" w:bidi="ar-KW"/>
        </w:rPr>
        <w:t>article </w:t>
      </w:r>
      <w:r w:rsidR="000C6D4A" w:rsidRPr="00F1180D">
        <w:rPr>
          <w:lang w:val="fr-FR" w:bidi="ar-KW"/>
        </w:rPr>
        <w:t>1</w:t>
      </w:r>
      <w:r w:rsidR="000C6D4A" w:rsidRPr="00F1180D">
        <w:rPr>
          <w:vertAlign w:val="superscript"/>
          <w:lang w:val="fr-FR" w:bidi="ar-KW"/>
        </w:rPr>
        <w:t>er</w:t>
      </w:r>
      <w:r w:rsidR="000C6D4A" w:rsidRPr="00F1180D">
        <w:rPr>
          <w:lang w:val="fr-FR" w:bidi="ar-KW"/>
        </w:rPr>
        <w:t xml:space="preserve"> de la loi sur l</w:t>
      </w:r>
      <w:r w:rsidR="00680ADA" w:rsidRPr="00F1180D">
        <w:rPr>
          <w:lang w:val="fr-FR" w:bidi="ar-KW"/>
        </w:rPr>
        <w:t>’</w:t>
      </w:r>
      <w:r w:rsidR="000C6D4A" w:rsidRPr="00F1180D">
        <w:rPr>
          <w:lang w:val="fr-FR" w:bidi="ar-KW"/>
        </w:rPr>
        <w:t>enseignement obligatoire</w:t>
      </w:r>
      <w:r w:rsidR="00680ADA" w:rsidRPr="00F1180D">
        <w:rPr>
          <w:lang w:val="fr-FR" w:bidi="ar-KW"/>
        </w:rPr>
        <w:t>,</w:t>
      </w:r>
      <w:r w:rsidR="000C6D4A" w:rsidRPr="00F1180D">
        <w:rPr>
          <w:lang w:val="fr-FR" w:bidi="ar-KW"/>
        </w:rPr>
        <w:t xml:space="preserve"> qui dispose que l</w:t>
      </w:r>
      <w:r w:rsidR="00680ADA" w:rsidRPr="00F1180D">
        <w:rPr>
          <w:lang w:val="fr-FR" w:bidi="ar-KW"/>
        </w:rPr>
        <w:t>’</w:t>
      </w:r>
      <w:r w:rsidR="000C6D4A" w:rsidRPr="00F1180D">
        <w:rPr>
          <w:lang w:val="fr-FR" w:bidi="ar-KW"/>
        </w:rPr>
        <w:t>État fournit les manuels scolaires</w:t>
      </w:r>
      <w:r w:rsidR="00680ADA" w:rsidRPr="00F1180D">
        <w:rPr>
          <w:lang w:val="fr-FR" w:bidi="ar-KW"/>
        </w:rPr>
        <w:t>,</w:t>
      </w:r>
      <w:r w:rsidR="000C6D4A" w:rsidRPr="00F1180D">
        <w:rPr>
          <w:lang w:val="fr-FR" w:bidi="ar-KW"/>
        </w:rPr>
        <w:t xml:space="preserve"> les enseignants et les ressources humaines et matérielles permettant d</w:t>
      </w:r>
      <w:r w:rsidR="00680ADA" w:rsidRPr="00F1180D">
        <w:rPr>
          <w:lang w:val="fr-FR" w:bidi="ar-KW"/>
        </w:rPr>
        <w:t>’</w:t>
      </w:r>
      <w:r w:rsidR="000C6D4A" w:rsidRPr="00F1180D">
        <w:rPr>
          <w:lang w:val="fr-FR" w:bidi="ar-KW"/>
        </w:rPr>
        <w:t>assurer la réussite du processus éducatif. À cet égard</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État du Koweït a apporté</w:t>
      </w:r>
      <w:r w:rsidR="00680ADA" w:rsidRPr="00F1180D">
        <w:rPr>
          <w:lang w:val="fr-FR" w:bidi="ar-KW"/>
        </w:rPr>
        <w:t>,</w:t>
      </w:r>
      <w:r w:rsidR="000C6D4A" w:rsidRPr="00F1180D">
        <w:rPr>
          <w:lang w:val="fr-FR" w:bidi="ar-KW"/>
        </w:rPr>
        <w:t xml:space="preserve"> par le biais du Fonds caritatif</w:t>
      </w:r>
      <w:r w:rsidR="00680ADA" w:rsidRPr="00F1180D">
        <w:rPr>
          <w:lang w:val="fr-FR" w:bidi="ar-KW"/>
        </w:rPr>
        <w:t>,</w:t>
      </w:r>
      <w:r w:rsidR="000C6D4A" w:rsidRPr="00F1180D">
        <w:rPr>
          <w:lang w:val="fr-FR" w:bidi="ar-KW"/>
        </w:rPr>
        <w:t xml:space="preserve"> un soutien financier destiné à financer l</w:t>
      </w:r>
      <w:r w:rsidR="00680ADA" w:rsidRPr="00F1180D">
        <w:rPr>
          <w:lang w:val="fr-FR" w:bidi="ar-KW"/>
        </w:rPr>
        <w:t>’</w:t>
      </w:r>
      <w:r w:rsidR="000C6D4A" w:rsidRPr="00F1180D">
        <w:rPr>
          <w:lang w:val="fr-FR" w:bidi="ar-KW"/>
        </w:rPr>
        <w:t>enseignement des enfants défavorisés. Il convient de noter que les résidents en situation irrégulière ont accès aux mêmes programmes scolaires</w:t>
      </w:r>
      <w:r w:rsidR="00680ADA" w:rsidRPr="00F1180D">
        <w:rPr>
          <w:lang w:val="fr-FR" w:bidi="ar-KW"/>
        </w:rPr>
        <w:t>,</w:t>
      </w:r>
      <w:r w:rsidR="000C6D4A" w:rsidRPr="00F1180D">
        <w:rPr>
          <w:lang w:val="fr-FR" w:bidi="ar-KW"/>
        </w:rPr>
        <w:t xml:space="preserve"> à la même qualité d</w:t>
      </w:r>
      <w:r w:rsidR="00680ADA" w:rsidRPr="00F1180D">
        <w:rPr>
          <w:lang w:val="fr-FR" w:bidi="ar-KW"/>
        </w:rPr>
        <w:t>’</w:t>
      </w:r>
      <w:r w:rsidR="000C6D4A" w:rsidRPr="00F1180D">
        <w:rPr>
          <w:lang w:val="fr-FR" w:bidi="ar-KW"/>
        </w:rPr>
        <w:t>enseignement que celle dispensée aux ressortissants koweïtiens ainsi qu</w:t>
      </w:r>
      <w:r w:rsidR="00680ADA" w:rsidRPr="00F1180D">
        <w:rPr>
          <w:lang w:val="fr-FR" w:bidi="ar-KW"/>
        </w:rPr>
        <w:t>’</w:t>
      </w:r>
      <w:r w:rsidR="000C6D4A" w:rsidRPr="00F1180D">
        <w:rPr>
          <w:lang w:val="fr-FR" w:bidi="ar-KW"/>
        </w:rPr>
        <w:t>aux mêmes écoles que celles fréquentées par ceux-ci</w:t>
      </w:r>
      <w:r w:rsidR="00680ADA" w:rsidRPr="00F1180D">
        <w:rPr>
          <w:lang w:val="fr-FR" w:bidi="ar-KW"/>
        </w:rPr>
        <w:t>,</w:t>
      </w:r>
      <w:r w:rsidR="000C6D4A" w:rsidRPr="00F1180D">
        <w:rPr>
          <w:lang w:val="fr-FR" w:bidi="ar-KW"/>
        </w:rPr>
        <w:t xml:space="preserve"> ce qui atteste l</w:t>
      </w:r>
      <w:r w:rsidR="00680ADA" w:rsidRPr="00F1180D">
        <w:rPr>
          <w:lang w:val="fr-FR" w:bidi="ar-KW"/>
        </w:rPr>
        <w:t>’</w:t>
      </w:r>
      <w:r w:rsidR="000C6D4A" w:rsidRPr="00F1180D">
        <w:rPr>
          <w:lang w:val="fr-FR" w:bidi="ar-KW"/>
        </w:rPr>
        <w:t>intérêt accordé par le Koweït à l</w:t>
      </w:r>
      <w:r w:rsidR="00680ADA" w:rsidRPr="00F1180D">
        <w:rPr>
          <w:lang w:val="fr-FR" w:bidi="ar-KW"/>
        </w:rPr>
        <w:t>’</w:t>
      </w:r>
      <w:r w:rsidR="000C6D4A" w:rsidRPr="00F1180D">
        <w:rPr>
          <w:lang w:val="fr-FR" w:bidi="ar-KW"/>
        </w:rPr>
        <w:t>égalité d</w:t>
      </w:r>
      <w:r w:rsidR="00680ADA" w:rsidRPr="00F1180D">
        <w:rPr>
          <w:lang w:val="fr-FR" w:bidi="ar-KW"/>
        </w:rPr>
        <w:t>’</w:t>
      </w:r>
      <w:r w:rsidR="000C6D4A" w:rsidRPr="00F1180D">
        <w:rPr>
          <w:lang w:val="fr-FR" w:bidi="ar-KW"/>
        </w:rPr>
        <w:t>accès à l</w:t>
      </w:r>
      <w:r w:rsidR="00680ADA" w:rsidRPr="00F1180D">
        <w:rPr>
          <w:lang w:val="fr-FR" w:bidi="ar-KW"/>
        </w:rPr>
        <w:t>’</w:t>
      </w:r>
      <w:r w:rsidR="000C6D4A" w:rsidRPr="00F1180D">
        <w:rPr>
          <w:lang w:val="fr-FR" w:bidi="ar-KW"/>
        </w:rPr>
        <w:t>éducation.</w:t>
      </w:r>
    </w:p>
    <w:p w:rsidR="000C6D4A" w:rsidRPr="00F1180D" w:rsidRDefault="00DB7FBA" w:rsidP="00680ADA">
      <w:pPr>
        <w:pStyle w:val="SingleTxtG"/>
        <w:rPr>
          <w:b/>
          <w:bCs/>
          <w:rtl/>
          <w:lang w:val="fr-FR" w:bidi="fr-FR"/>
        </w:rPr>
      </w:pPr>
      <w:r>
        <w:rPr>
          <w:lang w:val="fr-FR" w:bidi="ar-KW"/>
        </w:rPr>
        <w:t>184.</w:t>
      </w:r>
      <w:r>
        <w:rPr>
          <w:lang w:val="fr-FR" w:bidi="ar-KW"/>
        </w:rPr>
        <w:tab/>
      </w:r>
      <w:r w:rsidR="000C6D4A" w:rsidRPr="00F1180D">
        <w:rPr>
          <w:lang w:val="fr-FR" w:bidi="ar-KW"/>
        </w:rPr>
        <w:t>Pleinement conscient de l</w:t>
      </w:r>
      <w:r w:rsidR="00680ADA" w:rsidRPr="00F1180D">
        <w:rPr>
          <w:lang w:val="fr-FR" w:bidi="ar-KW"/>
        </w:rPr>
        <w:t>’</w:t>
      </w:r>
      <w:r w:rsidR="000C6D4A" w:rsidRPr="00F1180D">
        <w:rPr>
          <w:lang w:val="fr-FR" w:bidi="ar-KW"/>
        </w:rPr>
        <w:t>importance de l</w:t>
      </w:r>
      <w:r w:rsidR="00680ADA" w:rsidRPr="00F1180D">
        <w:rPr>
          <w:lang w:val="fr-FR" w:bidi="ar-KW"/>
        </w:rPr>
        <w:t>’</w:t>
      </w:r>
      <w:r w:rsidR="000C6D4A" w:rsidRPr="00F1180D">
        <w:rPr>
          <w:lang w:val="fr-FR" w:bidi="ar-KW"/>
        </w:rPr>
        <w:t>éducation</w:t>
      </w:r>
      <w:r w:rsidR="00680ADA" w:rsidRPr="00F1180D">
        <w:rPr>
          <w:lang w:val="fr-FR" w:bidi="ar-KW"/>
        </w:rPr>
        <w:t>,</w:t>
      </w:r>
      <w:r w:rsidR="000C6D4A" w:rsidRPr="00F1180D">
        <w:rPr>
          <w:lang w:val="fr-FR" w:bidi="ar-KW"/>
        </w:rPr>
        <w:t xml:space="preserve"> le Koweït a autorisé l</w:t>
      </w:r>
      <w:r w:rsidR="00680ADA" w:rsidRPr="00F1180D">
        <w:rPr>
          <w:lang w:val="fr-FR" w:bidi="ar-KW"/>
        </w:rPr>
        <w:t>’</w:t>
      </w:r>
      <w:r w:rsidR="000C6D4A" w:rsidRPr="00F1180D">
        <w:rPr>
          <w:lang w:val="fr-FR" w:bidi="ar-KW"/>
        </w:rPr>
        <w:t>inscription des enfants de résidents en situation irrégulière à l</w:t>
      </w:r>
      <w:r w:rsidR="00680ADA" w:rsidRPr="00F1180D">
        <w:rPr>
          <w:lang w:val="fr-FR" w:bidi="ar-KW"/>
        </w:rPr>
        <w:t>’</w:t>
      </w:r>
      <w:r w:rsidR="000C6D4A" w:rsidRPr="00F1180D">
        <w:rPr>
          <w:lang w:val="fr-FR" w:bidi="ar-KW"/>
        </w:rPr>
        <w:t>école</w:t>
      </w:r>
      <w:r w:rsidR="00680ADA" w:rsidRPr="00F1180D">
        <w:rPr>
          <w:lang w:val="fr-FR" w:bidi="ar-KW"/>
        </w:rPr>
        <w:t>,</w:t>
      </w:r>
      <w:r w:rsidR="000C6D4A" w:rsidRPr="00F1180D">
        <w:rPr>
          <w:lang w:val="fr-FR" w:bidi="ar-KW"/>
        </w:rPr>
        <w:t xml:space="preserve"> moyennant la présentation d</w:t>
      </w:r>
      <w:r w:rsidR="00680ADA" w:rsidRPr="00F1180D">
        <w:rPr>
          <w:lang w:val="fr-FR" w:bidi="ar-KW"/>
        </w:rPr>
        <w:t>’</w:t>
      </w:r>
      <w:r w:rsidR="000C6D4A" w:rsidRPr="00F1180D">
        <w:rPr>
          <w:lang w:val="fr-FR" w:bidi="ar-KW"/>
        </w:rPr>
        <w:t>une notification de naissance</w:t>
      </w:r>
      <w:r w:rsidR="00680ADA" w:rsidRPr="00F1180D">
        <w:rPr>
          <w:lang w:val="fr-FR" w:bidi="ar-KW"/>
        </w:rPr>
        <w:t>,</w:t>
      </w:r>
      <w:r w:rsidR="000C6D4A" w:rsidRPr="00F1180D">
        <w:rPr>
          <w:lang w:val="fr-FR" w:bidi="ar-KW"/>
        </w:rPr>
        <w:t xml:space="preserve"> accompagnée du livret de la Commission de recherche de filiation et de rectification des noms portant la mention </w:t>
      </w:r>
      <w:r w:rsidR="00680ADA" w:rsidRPr="00F1180D">
        <w:rPr>
          <w:lang w:val="fr-FR" w:bidi="ar-KW"/>
        </w:rPr>
        <w:t>«</w:t>
      </w:r>
      <w:r w:rsidR="000C6D4A" w:rsidRPr="00F1180D">
        <w:rPr>
          <w:lang w:val="fr-FR" w:bidi="ar-KW"/>
        </w:rPr>
        <w:t>demande de recherche de filiation en cours</w:t>
      </w:r>
      <w:r w:rsidR="00680ADA" w:rsidRPr="00F1180D">
        <w:rPr>
          <w:lang w:val="fr-FR" w:bidi="ar-KW"/>
        </w:rPr>
        <w:t>»</w:t>
      </w:r>
      <w:r w:rsidR="000C6D4A" w:rsidRPr="00F1180D">
        <w:rPr>
          <w:lang w:val="fr-FR" w:bidi="ar-KW"/>
        </w:rPr>
        <w:t>.</w:t>
      </w:r>
    </w:p>
    <w:p w:rsidR="000C6D4A" w:rsidRPr="00F1180D" w:rsidRDefault="00DB7FBA" w:rsidP="000D78CD">
      <w:pPr>
        <w:pStyle w:val="SingleTxtG"/>
        <w:spacing w:after="240"/>
        <w:rPr>
          <w:lang w:val="fr-FR" w:bidi="ar-KW"/>
        </w:rPr>
      </w:pPr>
      <w:r w:rsidRPr="00C13D1B">
        <w:rPr>
          <w:lang w:val="fr-FR" w:bidi="ar-KW"/>
        </w:rPr>
        <w:t>185.</w:t>
      </w:r>
      <w:r w:rsidRPr="00C13D1B">
        <w:rPr>
          <w:lang w:val="fr-FR" w:bidi="ar-KW"/>
        </w:rPr>
        <w:tab/>
      </w:r>
      <w:r w:rsidR="000C6D4A" w:rsidRPr="00C13D1B">
        <w:rPr>
          <w:lang w:val="fr-FR" w:bidi="ar-KW"/>
        </w:rPr>
        <w:t>L</w:t>
      </w:r>
      <w:r w:rsidR="00680ADA" w:rsidRPr="00C13D1B">
        <w:rPr>
          <w:lang w:val="fr-FR" w:bidi="ar-KW"/>
        </w:rPr>
        <w:t>’</w:t>
      </w:r>
      <w:r w:rsidR="000C6D4A" w:rsidRPr="00C13D1B">
        <w:rPr>
          <w:lang w:val="fr-FR" w:bidi="ar-KW"/>
        </w:rPr>
        <w:t>égalité d</w:t>
      </w:r>
      <w:r w:rsidR="00680ADA" w:rsidRPr="00C13D1B">
        <w:rPr>
          <w:lang w:val="fr-FR" w:bidi="ar-KW"/>
        </w:rPr>
        <w:t>’</w:t>
      </w:r>
      <w:r w:rsidR="000C6D4A" w:rsidRPr="00C13D1B">
        <w:rPr>
          <w:lang w:val="fr-FR" w:bidi="ar-KW"/>
        </w:rPr>
        <w:t>accès à l</w:t>
      </w:r>
      <w:r w:rsidR="00680ADA" w:rsidRPr="00C13D1B">
        <w:rPr>
          <w:lang w:val="fr-FR" w:bidi="ar-KW"/>
        </w:rPr>
        <w:t>’</w:t>
      </w:r>
      <w:r w:rsidR="000C6D4A" w:rsidRPr="00C13D1B">
        <w:rPr>
          <w:lang w:val="fr-FR" w:bidi="ar-KW"/>
        </w:rPr>
        <w:t>éducation ne se limite pas aux premiers cycles de l</w:t>
      </w:r>
      <w:r w:rsidR="00680ADA" w:rsidRPr="00C13D1B">
        <w:rPr>
          <w:lang w:val="fr-FR" w:bidi="ar-KW"/>
        </w:rPr>
        <w:t>’</w:t>
      </w:r>
      <w:r w:rsidR="000C6D4A" w:rsidRPr="00C13D1B">
        <w:rPr>
          <w:lang w:val="fr-FR" w:bidi="ar-KW"/>
        </w:rPr>
        <w:t>enseignement</w:t>
      </w:r>
      <w:r w:rsidR="00680ADA" w:rsidRPr="00C13D1B">
        <w:rPr>
          <w:lang w:val="fr-FR" w:bidi="ar-KW"/>
        </w:rPr>
        <w:t>,</w:t>
      </w:r>
      <w:r w:rsidR="000C6D4A" w:rsidRPr="00C13D1B">
        <w:rPr>
          <w:lang w:val="fr-FR" w:bidi="ar-KW"/>
        </w:rPr>
        <w:t xml:space="preserve"> mais s</w:t>
      </w:r>
      <w:r w:rsidR="00680ADA" w:rsidRPr="00C13D1B">
        <w:rPr>
          <w:lang w:val="fr-FR" w:bidi="ar-KW"/>
        </w:rPr>
        <w:t>’</w:t>
      </w:r>
      <w:r w:rsidR="000C6D4A" w:rsidRPr="00C13D1B">
        <w:rPr>
          <w:lang w:val="fr-FR" w:bidi="ar-KW"/>
        </w:rPr>
        <w:t>étend à l</w:t>
      </w:r>
      <w:r w:rsidR="00680ADA" w:rsidRPr="00C13D1B">
        <w:rPr>
          <w:lang w:val="fr-FR" w:bidi="ar-KW"/>
        </w:rPr>
        <w:t>’</w:t>
      </w:r>
      <w:r w:rsidR="000C6D4A" w:rsidRPr="00C13D1B">
        <w:rPr>
          <w:lang w:val="fr-FR" w:bidi="ar-KW"/>
        </w:rPr>
        <w:t>enseignement supérieur assuré par l</w:t>
      </w:r>
      <w:r w:rsidR="00680ADA" w:rsidRPr="00C13D1B">
        <w:rPr>
          <w:lang w:val="fr-FR" w:bidi="ar-KW"/>
        </w:rPr>
        <w:t>’</w:t>
      </w:r>
      <w:r w:rsidR="000C6D4A" w:rsidRPr="00C13D1B">
        <w:rPr>
          <w:lang w:val="fr-FR" w:bidi="ar-KW"/>
        </w:rPr>
        <w:t>Université du Koweït</w:t>
      </w:r>
      <w:r w:rsidR="00680ADA" w:rsidRPr="00C13D1B">
        <w:rPr>
          <w:lang w:val="fr-FR" w:bidi="ar-KW"/>
        </w:rPr>
        <w:t>,</w:t>
      </w:r>
      <w:r w:rsidR="000C6D4A" w:rsidRPr="00C13D1B">
        <w:rPr>
          <w:lang w:val="fr-FR" w:bidi="ar-KW"/>
        </w:rPr>
        <w:t xml:space="preserve"> par les facultés relevant de la Direction générale de l</w:t>
      </w:r>
      <w:r w:rsidR="00680ADA" w:rsidRPr="00C13D1B">
        <w:rPr>
          <w:lang w:val="fr-FR" w:bidi="ar-KW"/>
        </w:rPr>
        <w:t>’</w:t>
      </w:r>
      <w:r w:rsidR="000C6D4A" w:rsidRPr="00C13D1B">
        <w:rPr>
          <w:lang w:val="fr-FR" w:bidi="ar-KW"/>
        </w:rPr>
        <w:t>enseignement pratique et de la</w:t>
      </w:r>
      <w:r w:rsidR="000C6D4A" w:rsidRPr="00F1180D">
        <w:rPr>
          <w:lang w:val="fr-FR" w:bidi="ar-KW"/>
        </w:rPr>
        <w:t xml:space="preserve"> formation ou par les universités privées</w:t>
      </w:r>
      <w:r w:rsidR="00680ADA" w:rsidRPr="00F1180D">
        <w:rPr>
          <w:lang w:val="fr-FR" w:bidi="ar-KW"/>
        </w:rPr>
        <w:t>,</w:t>
      </w:r>
      <w:r w:rsidR="000C6D4A" w:rsidRPr="00F1180D">
        <w:rPr>
          <w:lang w:val="fr-FR" w:bidi="ar-KW"/>
        </w:rPr>
        <w:t xml:space="preserve"> conformément aux règlements en vigueur dans chaque établissement. Le tableau ci-après montre le soutien financier accordé par le Fonds caritatif à l</w:t>
      </w:r>
      <w:r w:rsidR="00680ADA" w:rsidRPr="00F1180D">
        <w:rPr>
          <w:lang w:val="fr-FR" w:bidi="ar-KW"/>
        </w:rPr>
        <w:t>’</w:t>
      </w:r>
      <w:r w:rsidR="000C6D4A" w:rsidRPr="00F1180D">
        <w:rPr>
          <w:lang w:val="fr-FR" w:bidi="ar-KW"/>
        </w:rPr>
        <w:t>enseignement des enfants défavorisés et le nombre de bénéficiaires</w:t>
      </w:r>
      <w:r w:rsidR="00680ADA" w:rsidRPr="00F1180D">
        <w:rPr>
          <w:lang w:val="fr-FR" w:bidi="ar-KW"/>
        </w:rPr>
        <w:t>:</w:t>
      </w:r>
      <w:r w:rsidR="000C6D4A" w:rsidRPr="00F1180D">
        <w:rPr>
          <w:lang w:val="fr-FR" w:bidi="ar-KW"/>
        </w:rPr>
        <w:t xml:space="preserve"> </w:t>
      </w:r>
    </w:p>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4066"/>
        <w:gridCol w:w="3890"/>
      </w:tblGrid>
      <w:tr w:rsidR="00844E67" w:rsidRPr="00F1180D" w:rsidTr="00402D0D">
        <w:trPr>
          <w:cantSplit/>
          <w:trHeight w:val="240"/>
        </w:trPr>
        <w:tc>
          <w:tcPr>
            <w:tcW w:w="873" w:type="pct"/>
            <w:tcBorders>
              <w:top w:val="single" w:sz="4" w:space="0" w:color="auto"/>
              <w:bottom w:val="nil"/>
            </w:tcBorders>
            <w:shd w:val="clear" w:color="auto" w:fill="auto"/>
          </w:tcPr>
          <w:p w:rsidR="00844E67" w:rsidRPr="00F1180D" w:rsidRDefault="00844E67" w:rsidP="00402D0D">
            <w:pPr>
              <w:pStyle w:val="SingleTxtG"/>
              <w:spacing w:before="40"/>
              <w:ind w:left="0" w:right="0"/>
              <w:jc w:val="left"/>
              <w:rPr>
                <w:lang w:val="fr-FR"/>
              </w:rPr>
            </w:pPr>
            <w:r w:rsidRPr="00F1180D">
              <w:rPr>
                <w:lang w:val="fr-FR"/>
              </w:rPr>
              <w:t>Enseignement gratuit</w:t>
            </w:r>
          </w:p>
        </w:tc>
        <w:tc>
          <w:tcPr>
            <w:tcW w:w="2109" w:type="pct"/>
            <w:tcBorders>
              <w:top w:val="single" w:sz="4" w:space="0" w:color="auto"/>
              <w:bottom w:val="nil"/>
            </w:tcBorders>
            <w:shd w:val="clear" w:color="auto" w:fill="auto"/>
          </w:tcPr>
          <w:p w:rsidR="00844E67" w:rsidRPr="00F1180D" w:rsidRDefault="00844E67" w:rsidP="00402D0D">
            <w:pPr>
              <w:pStyle w:val="Bullet1G"/>
              <w:tabs>
                <w:tab w:val="clear" w:pos="1701"/>
                <w:tab w:val="num" w:pos="284"/>
              </w:tabs>
              <w:spacing w:before="40"/>
              <w:ind w:left="284" w:right="151"/>
              <w:jc w:val="left"/>
              <w:rPr>
                <w:lang w:val="fr-FR" w:bidi="fr-FR"/>
              </w:rPr>
            </w:pPr>
            <w:r w:rsidRPr="00F1180D">
              <w:rPr>
                <w:lang w:val="fr-FR" w:bidi="ar-KW"/>
              </w:rPr>
              <w:t xml:space="preserve">Mise en place du Fonds caritatif destiné à financer l’éducation des enfants défavorisés, conformément à la décision no 855/2003 du Conseil des ministres. Ce Fonds reçoit des subventions de l’État couvrant tous les types de frais de scolarité. </w:t>
            </w:r>
          </w:p>
          <w:p w:rsidR="00C66720" w:rsidRPr="00F1180D" w:rsidRDefault="00C66720" w:rsidP="00402D0D">
            <w:pPr>
              <w:pStyle w:val="Bullet1G"/>
              <w:tabs>
                <w:tab w:val="clear" w:pos="1701"/>
                <w:tab w:val="num" w:pos="284"/>
              </w:tabs>
              <w:spacing w:before="40"/>
              <w:ind w:left="284" w:right="151"/>
              <w:jc w:val="left"/>
              <w:rPr>
                <w:lang w:val="fr-FR" w:bidi="fr-FR"/>
              </w:rPr>
            </w:pPr>
            <w:r w:rsidRPr="00F1180D">
              <w:rPr>
                <w:lang w:val="fr-FR" w:bidi="ar-KW"/>
              </w:rPr>
              <w:t>Les élèves en situation irrégulière au regard du séjour bénéficient des mêmes enseignements et programmes scolaires que ceux destinés aux élèves koweïtiens.</w:t>
            </w:r>
          </w:p>
          <w:p w:rsidR="00C66720" w:rsidRPr="00F1180D" w:rsidRDefault="00C66720" w:rsidP="00402D0D">
            <w:pPr>
              <w:pStyle w:val="Bullet1G"/>
              <w:tabs>
                <w:tab w:val="clear" w:pos="1701"/>
                <w:tab w:val="num" w:pos="284"/>
              </w:tabs>
              <w:spacing w:before="40"/>
              <w:ind w:left="284" w:right="151"/>
              <w:jc w:val="left"/>
              <w:rPr>
                <w:lang w:val="fr-FR" w:bidi="fr-FR"/>
              </w:rPr>
            </w:pPr>
            <w:r w:rsidRPr="00F1180D">
              <w:rPr>
                <w:lang w:val="fr-FR" w:bidi="ar-KW"/>
              </w:rPr>
              <w:t xml:space="preserve">L’État offre aux élèves en situation irrégulière la possibilité de poursuivre leurs études à l’université afin que leur scolarité ne s’arrête pas aux cycles primaire et/ou secondaire. Des quotas leur sont réservés dans les différentes universités où ils peuvent être admis conformément au système d’équivalence établi pour assurer leur inscription, ainsi qu’aux critères et conditions appliqués par les facultés. </w:t>
            </w:r>
          </w:p>
          <w:p w:rsidR="00402D0D" w:rsidRPr="00F1180D" w:rsidRDefault="00C66720" w:rsidP="00402D0D">
            <w:pPr>
              <w:pStyle w:val="Bullet1G"/>
              <w:tabs>
                <w:tab w:val="clear" w:pos="1701"/>
                <w:tab w:val="num" w:pos="284"/>
              </w:tabs>
              <w:spacing w:before="40"/>
              <w:ind w:left="284" w:right="151"/>
              <w:jc w:val="left"/>
              <w:rPr>
                <w:rtl/>
                <w:lang w:val="fr-FR" w:bidi="fr-FR"/>
              </w:rPr>
            </w:pPr>
            <w:r w:rsidRPr="00F1180D">
              <w:rPr>
                <w:lang w:val="fr-FR" w:bidi="ar-KW"/>
              </w:rPr>
              <w:t>Mise en place du projet destiné à fournir des aides aux étudiants défavorisés et à prendre en charge leurs frais de scolarité.</w:t>
            </w:r>
          </w:p>
        </w:tc>
        <w:tc>
          <w:tcPr>
            <w:tcW w:w="2018" w:type="pct"/>
            <w:tcBorders>
              <w:top w:val="single" w:sz="4" w:space="0" w:color="auto"/>
              <w:bottom w:val="nil"/>
            </w:tcBorders>
            <w:shd w:val="clear" w:color="auto" w:fill="auto"/>
          </w:tcPr>
          <w:p w:rsidR="00844E67" w:rsidRPr="00F1180D" w:rsidRDefault="00844E67" w:rsidP="00402D0D">
            <w:pPr>
              <w:pStyle w:val="Bullet1G"/>
              <w:tabs>
                <w:tab w:val="clear" w:pos="1701"/>
                <w:tab w:val="num" w:pos="284"/>
              </w:tabs>
              <w:spacing w:before="40"/>
              <w:ind w:left="284" w:right="151"/>
              <w:jc w:val="left"/>
              <w:rPr>
                <w:lang w:val="fr-FR" w:bidi="fr-FR"/>
              </w:rPr>
            </w:pPr>
            <w:r w:rsidRPr="00F1180D">
              <w:rPr>
                <w:lang w:val="fr-FR" w:bidi="ar-KW"/>
              </w:rPr>
              <w:t>Nombre d’élèves des deux sexes au cours de l’année scolaire 2011/12: 13 533; coût total: 3 589 000 dinars koweïtiens (12 409 297,09 dollars américains).</w:t>
            </w:r>
          </w:p>
          <w:p w:rsidR="00C66720" w:rsidRPr="00F1180D" w:rsidRDefault="00C66720" w:rsidP="00402D0D">
            <w:pPr>
              <w:pStyle w:val="Bullet1G"/>
              <w:tabs>
                <w:tab w:val="clear" w:pos="1701"/>
                <w:tab w:val="num" w:pos="284"/>
              </w:tabs>
              <w:spacing w:before="40"/>
              <w:ind w:left="284" w:right="151"/>
              <w:jc w:val="left"/>
              <w:rPr>
                <w:lang w:val="fr-FR" w:bidi="fr-FR"/>
              </w:rPr>
            </w:pPr>
            <w:r w:rsidRPr="00F1180D">
              <w:rPr>
                <w:lang w:val="fr-FR" w:bidi="ar-KW"/>
              </w:rPr>
              <w:t>Nombre d’élèves des deux sexes au cours de l’année scolaire 2012/13: 14 250; coût total: 4 137 435 dinars koweïtiens (14 308 674,41 dollars américains).</w:t>
            </w:r>
          </w:p>
          <w:p w:rsidR="00C66720" w:rsidRPr="00F1180D" w:rsidRDefault="00C66720" w:rsidP="00402D0D">
            <w:pPr>
              <w:pStyle w:val="Bullet1G"/>
              <w:tabs>
                <w:tab w:val="clear" w:pos="1701"/>
                <w:tab w:val="num" w:pos="284"/>
              </w:tabs>
              <w:spacing w:before="40"/>
              <w:ind w:left="284" w:right="151"/>
              <w:jc w:val="left"/>
              <w:rPr>
                <w:lang w:val="fr-FR" w:bidi="fr-FR"/>
              </w:rPr>
            </w:pPr>
            <w:r w:rsidRPr="00F1180D">
              <w:rPr>
                <w:lang w:val="fr-FR" w:bidi="ar-KW"/>
              </w:rPr>
              <w:t>Nombre d’élèves des deux sexes au cours de l’année scolaire 2013/14: 14 910; coût total: 4 453 566 dinars koweïtiens (154 019 640,22 dollars américains).</w:t>
            </w:r>
          </w:p>
          <w:p w:rsidR="00C66720" w:rsidRPr="00F1180D" w:rsidRDefault="00C66720" w:rsidP="00402D0D">
            <w:pPr>
              <w:pStyle w:val="Bullet1G"/>
              <w:tabs>
                <w:tab w:val="clear" w:pos="1701"/>
                <w:tab w:val="num" w:pos="284"/>
              </w:tabs>
              <w:spacing w:before="40"/>
              <w:ind w:left="284" w:right="151"/>
              <w:jc w:val="left"/>
              <w:rPr>
                <w:lang w:val="fr-FR" w:bidi="fr-FR"/>
              </w:rPr>
            </w:pPr>
            <w:r w:rsidRPr="00F1180D">
              <w:rPr>
                <w:lang w:val="fr-FR" w:bidi="ar-KW"/>
              </w:rPr>
              <w:t xml:space="preserve">Nombre d’étudiants des deux sexes ayant bénéficié du projet d’aide aux étudiants, depuis sa création en 2007 jusqu’en 2013/14: 1 063; coût total: 420 278 dinars koweïtiens (1 452 676,080 dollars américains). </w:t>
            </w:r>
          </w:p>
          <w:p w:rsidR="00402D0D" w:rsidRPr="00F1180D" w:rsidRDefault="00C66720" w:rsidP="00402D0D">
            <w:pPr>
              <w:pStyle w:val="Bullet1G"/>
              <w:tabs>
                <w:tab w:val="clear" w:pos="1701"/>
                <w:tab w:val="num" w:pos="284"/>
              </w:tabs>
              <w:spacing w:before="40"/>
              <w:ind w:left="284" w:right="151"/>
              <w:jc w:val="left"/>
              <w:rPr>
                <w:rtl/>
                <w:lang w:val="fr-FR" w:bidi="fr-FR"/>
              </w:rPr>
            </w:pPr>
            <w:r w:rsidRPr="00F1180D">
              <w:rPr>
                <w:lang w:val="fr-FR" w:bidi="ar-KW"/>
              </w:rPr>
              <w:t xml:space="preserve">Nombre d’étudiants admis au cours de l’année universitaire 2013/14 grâce à une bourse du Directeur général de l’enseignement pratique et de la formation: 50. </w:t>
            </w:r>
          </w:p>
        </w:tc>
      </w:tr>
      <w:tr w:rsidR="00844E67" w:rsidRPr="00F1180D" w:rsidTr="00402D0D">
        <w:trPr>
          <w:cantSplit/>
          <w:trHeight w:val="240"/>
        </w:trPr>
        <w:tc>
          <w:tcPr>
            <w:tcW w:w="873" w:type="pct"/>
            <w:tcBorders>
              <w:top w:val="nil"/>
              <w:bottom w:val="single" w:sz="12" w:space="0" w:color="auto"/>
            </w:tcBorders>
            <w:shd w:val="clear" w:color="auto" w:fill="auto"/>
          </w:tcPr>
          <w:p w:rsidR="00844E67" w:rsidRPr="00F1180D" w:rsidRDefault="00844E67" w:rsidP="0039456E">
            <w:pPr>
              <w:pStyle w:val="SingleTxtG"/>
              <w:spacing w:before="40"/>
              <w:ind w:left="0" w:right="0"/>
              <w:jc w:val="left"/>
              <w:rPr>
                <w:lang w:val="fr-FR"/>
              </w:rPr>
            </w:pPr>
          </w:p>
        </w:tc>
        <w:tc>
          <w:tcPr>
            <w:tcW w:w="2109" w:type="pct"/>
            <w:tcBorders>
              <w:top w:val="nil"/>
              <w:bottom w:val="single" w:sz="12" w:space="0" w:color="auto"/>
            </w:tcBorders>
            <w:shd w:val="clear" w:color="auto" w:fill="auto"/>
          </w:tcPr>
          <w:p w:rsidR="00402D0D" w:rsidRPr="00F1180D" w:rsidRDefault="00402D0D" w:rsidP="004738C5">
            <w:pPr>
              <w:pStyle w:val="Bullet1G"/>
              <w:tabs>
                <w:tab w:val="clear" w:pos="1701"/>
                <w:tab w:val="num" w:pos="284"/>
              </w:tabs>
              <w:spacing w:before="40"/>
              <w:ind w:left="284" w:right="151"/>
              <w:jc w:val="left"/>
              <w:rPr>
                <w:lang w:val="fr-FR" w:bidi="ar-KW"/>
              </w:rPr>
            </w:pPr>
            <w:r w:rsidRPr="00F1180D">
              <w:rPr>
                <w:lang w:val="fr-FR" w:bidi="ar-KW"/>
              </w:rPr>
              <w:t>Les étudiants concernés peuvent être admis dans les universités privées après acquittement des frais de scolarité, sous réserve de remplir les conditions d’admission en vigueur.</w:t>
            </w:r>
          </w:p>
          <w:p w:rsidR="00844E67" w:rsidRPr="00F1180D" w:rsidRDefault="00844E67" w:rsidP="004738C5">
            <w:pPr>
              <w:pStyle w:val="Bullet1G"/>
              <w:tabs>
                <w:tab w:val="clear" w:pos="1701"/>
                <w:tab w:val="num" w:pos="284"/>
              </w:tabs>
              <w:spacing w:before="40"/>
              <w:ind w:left="284" w:right="151"/>
              <w:jc w:val="left"/>
              <w:rPr>
                <w:lang w:val="fr-FR" w:bidi="ar-KW"/>
              </w:rPr>
            </w:pPr>
            <w:r w:rsidRPr="00F1180D">
              <w:rPr>
                <w:lang w:val="fr-FR" w:bidi="ar-KW"/>
              </w:rPr>
              <w:t>Des mesures ont été prises, en coordination avec la Direction générale de l’enseignement pratique et de la formation, afin de définir les catégories d’étudiants admissibles dans les facultés relevant de cet organisme.</w:t>
            </w:r>
          </w:p>
          <w:p w:rsidR="00402D0D" w:rsidRPr="00F1180D" w:rsidRDefault="00402D0D" w:rsidP="004738C5">
            <w:pPr>
              <w:pStyle w:val="Bullet1G"/>
              <w:tabs>
                <w:tab w:val="clear" w:pos="1701"/>
                <w:tab w:val="num" w:pos="284"/>
              </w:tabs>
              <w:spacing w:before="40"/>
              <w:ind w:left="284" w:right="151"/>
              <w:jc w:val="left"/>
              <w:rPr>
                <w:lang w:val="fr-FR" w:bidi="ar-KW"/>
              </w:rPr>
            </w:pPr>
            <w:r w:rsidRPr="00F1180D">
              <w:rPr>
                <w:lang w:val="fr-FR" w:bidi="ar-KW"/>
              </w:rPr>
              <w:t xml:space="preserve">Au titre de l’année universitaire 2012/13, tous les élèves de résidents en situation irrégulière ayant obtenu de bons résultats scolaires ont été admis à l’université, conformément aux directives de l’Émir. </w:t>
            </w:r>
          </w:p>
          <w:p w:rsidR="00402D0D" w:rsidRPr="00F1180D" w:rsidRDefault="00402D0D" w:rsidP="004738C5">
            <w:pPr>
              <w:pStyle w:val="Bullet1G"/>
              <w:tabs>
                <w:tab w:val="clear" w:pos="1701"/>
                <w:tab w:val="num" w:pos="284"/>
              </w:tabs>
              <w:spacing w:before="40"/>
              <w:ind w:left="284" w:right="151"/>
              <w:jc w:val="left"/>
              <w:rPr>
                <w:lang w:val="fr-FR" w:bidi="ar-KW"/>
              </w:rPr>
            </w:pPr>
            <w:r w:rsidRPr="00F1180D">
              <w:rPr>
                <w:lang w:val="fr-FR" w:bidi="ar-KW"/>
              </w:rPr>
              <w:t xml:space="preserve">Les étudiants des deux sexes bénéficient d’un accès égal aux services éducatifs, qu’il s’agisse de l’enseignement fondamental ou supérieur, le seul critère d’accès à l’université étant d’obtenir la moyenne requise et de remplir les conditions d’admission. </w:t>
            </w:r>
          </w:p>
          <w:p w:rsidR="00402D0D" w:rsidRPr="00F1180D" w:rsidRDefault="00402D0D" w:rsidP="004738C5">
            <w:pPr>
              <w:pStyle w:val="Bullet1G"/>
              <w:tabs>
                <w:tab w:val="clear" w:pos="1701"/>
                <w:tab w:val="num" w:pos="284"/>
              </w:tabs>
              <w:spacing w:before="40"/>
              <w:ind w:left="284" w:right="151"/>
              <w:jc w:val="left"/>
              <w:rPr>
                <w:lang w:val="fr-FR" w:bidi="ar-KW"/>
              </w:rPr>
            </w:pPr>
            <w:r w:rsidRPr="00F1180D">
              <w:rPr>
                <w:lang w:val="fr-FR" w:bidi="ar-KW"/>
              </w:rPr>
              <w:t xml:space="preserve">Les enfants en situation irrégulière ont accès à l’ensemble des services éducatifs, leurs frais de scolarité (uniformes, manuels et fournitures scolaires, etc.) étant entièrement pris en charge par le Fonds caritatif au titre de ses dépenses au profit de l’enseignement des enfants défavorisés. </w:t>
            </w:r>
          </w:p>
        </w:tc>
        <w:tc>
          <w:tcPr>
            <w:tcW w:w="2018" w:type="pct"/>
            <w:tcBorders>
              <w:top w:val="nil"/>
              <w:bottom w:val="single" w:sz="12" w:space="0" w:color="auto"/>
            </w:tcBorders>
            <w:shd w:val="clear" w:color="auto" w:fill="auto"/>
          </w:tcPr>
          <w:p w:rsidR="00844E67" w:rsidRPr="00F1180D" w:rsidRDefault="00402D0D" w:rsidP="004738C5">
            <w:pPr>
              <w:pStyle w:val="Bullet1G"/>
              <w:tabs>
                <w:tab w:val="clear" w:pos="1701"/>
                <w:tab w:val="num" w:pos="284"/>
              </w:tabs>
              <w:spacing w:before="40"/>
              <w:ind w:left="284" w:right="151"/>
              <w:jc w:val="left"/>
              <w:rPr>
                <w:lang w:val="fr-FR" w:bidi="ar-KW"/>
              </w:rPr>
            </w:pPr>
            <w:r w:rsidRPr="00F1180D">
              <w:rPr>
                <w:lang w:val="fr-FR" w:bidi="ar-KW"/>
              </w:rPr>
              <w:t>Nombre d’élèves des deux sexes au cours de l’année scolaire 2014/15: 150 105; coût total: 4 711 093 dinars koweïtiens (16 285 186,59 dollars américains).</w:t>
            </w:r>
          </w:p>
          <w:p w:rsidR="00402D0D" w:rsidRPr="00F1180D" w:rsidRDefault="00402D0D" w:rsidP="004738C5">
            <w:pPr>
              <w:pStyle w:val="Bullet1G"/>
              <w:tabs>
                <w:tab w:val="clear" w:pos="1701"/>
                <w:tab w:val="num" w:pos="284"/>
              </w:tabs>
              <w:spacing w:before="40"/>
              <w:ind w:left="284" w:right="151"/>
              <w:jc w:val="left"/>
              <w:rPr>
                <w:lang w:val="fr-FR" w:bidi="ar-KW"/>
              </w:rPr>
            </w:pPr>
            <w:r w:rsidRPr="00F1180D">
              <w:rPr>
                <w:lang w:val="fr-FR" w:bidi="ar-KW"/>
              </w:rPr>
              <w:t xml:space="preserve">Nombre d’étudiants admis au cours de l’année universitaire 2014/15 grâce à une bourse du Directeur général de l’enseignement pratique et de la formation: 50. </w:t>
            </w:r>
          </w:p>
          <w:p w:rsidR="00402D0D" w:rsidRPr="00F1180D" w:rsidRDefault="00402D0D" w:rsidP="004738C5">
            <w:pPr>
              <w:pStyle w:val="Bullet1G"/>
              <w:tabs>
                <w:tab w:val="clear" w:pos="1701"/>
                <w:tab w:val="num" w:pos="284"/>
              </w:tabs>
              <w:spacing w:before="40"/>
              <w:ind w:left="284" w:right="151"/>
              <w:jc w:val="left"/>
              <w:rPr>
                <w:lang w:val="fr-FR" w:bidi="ar-KW"/>
              </w:rPr>
            </w:pPr>
            <w:r w:rsidRPr="00F1180D">
              <w:rPr>
                <w:lang w:val="fr-FR" w:bidi="ar-KW"/>
              </w:rPr>
              <w:t xml:space="preserve">Nombre total d’étudiants des deux sexes inscrits à l’Université du Koweït de 2011/12 à 2014/15, tous niveaux confondus, premier cycle, deuxième cycle et sessions d’été: 5 758. </w:t>
            </w:r>
          </w:p>
        </w:tc>
      </w:tr>
    </w:tbl>
    <w:p w:rsidR="000C6D4A" w:rsidRPr="00F1180D" w:rsidRDefault="00EF1173" w:rsidP="00EF1173">
      <w:pPr>
        <w:pStyle w:val="H1G"/>
        <w:rPr>
          <w:bCs/>
          <w:sz w:val="20"/>
          <w:rtl/>
          <w:lang w:val="fr-FR" w:bidi="fr-FR"/>
        </w:rPr>
      </w:pPr>
      <w:r w:rsidRPr="00F1180D">
        <w:rPr>
          <w:rFonts w:ascii="Arial" w:hAnsi="Arial"/>
          <w:bCs/>
          <w:lang w:val="fr-FR" w:bidi="fr-FR"/>
        </w:rPr>
        <w:tab/>
      </w:r>
      <w:r w:rsidRPr="00F1180D">
        <w:rPr>
          <w:rFonts w:ascii="Arial" w:hAnsi="Arial"/>
          <w:bCs/>
          <w:lang w:val="fr-FR" w:bidi="fr-FR"/>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22</w:t>
      </w:r>
    </w:p>
    <w:p w:rsidR="000C6D4A" w:rsidRPr="00F1180D" w:rsidRDefault="00C13D1B" w:rsidP="00680ADA">
      <w:pPr>
        <w:pStyle w:val="SingleTxtG"/>
        <w:rPr>
          <w:rtl/>
          <w:lang w:val="fr-FR" w:bidi="fr-FR"/>
        </w:rPr>
      </w:pPr>
      <w:r>
        <w:rPr>
          <w:lang w:val="fr-FR" w:bidi="ar-KW"/>
        </w:rPr>
        <w:t>186.</w:t>
      </w:r>
      <w:r>
        <w:rPr>
          <w:lang w:val="fr-FR" w:bidi="ar-KW"/>
        </w:rPr>
        <w:tab/>
      </w:r>
      <w:r w:rsidR="000C6D4A" w:rsidRPr="00F1180D">
        <w:rPr>
          <w:lang w:val="fr-FR" w:bidi="ar-KW"/>
        </w:rPr>
        <w:t xml:space="preserve">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6 de 2010 sur l</w:t>
      </w:r>
      <w:r w:rsidR="00680ADA" w:rsidRPr="00F1180D">
        <w:rPr>
          <w:lang w:val="fr-FR" w:bidi="ar-KW"/>
        </w:rPr>
        <w:t>’</w:t>
      </w:r>
      <w:r w:rsidR="000C6D4A" w:rsidRPr="00F1180D">
        <w:rPr>
          <w:lang w:val="fr-FR" w:bidi="ar-KW"/>
        </w:rPr>
        <w:t>emploi dans le secteur privé est disponible en arabe et en anglais et tout employé peut en obtenir copie sous différents formats</w:t>
      </w:r>
      <w:r w:rsidR="00680ADA" w:rsidRPr="00F1180D">
        <w:rPr>
          <w:lang w:val="fr-FR" w:bidi="ar-KW"/>
        </w:rPr>
        <w:t>,</w:t>
      </w:r>
      <w:r w:rsidR="000C6D4A" w:rsidRPr="00F1180D">
        <w:rPr>
          <w:lang w:val="fr-FR" w:bidi="ar-KW"/>
        </w:rPr>
        <w:t xml:space="preserve"> étant précisé que ce texte est également accessible sur divers sites Web</w:t>
      </w:r>
      <w:r w:rsidR="00680ADA" w:rsidRPr="00F1180D">
        <w:rPr>
          <w:lang w:val="fr-FR" w:bidi="ar-KW"/>
        </w:rPr>
        <w:t>,</w:t>
      </w:r>
      <w:r w:rsidR="000C6D4A" w:rsidRPr="00F1180D">
        <w:rPr>
          <w:lang w:val="fr-FR" w:bidi="ar-KW"/>
        </w:rPr>
        <w:t xml:space="preserve"> ce qui permet à toute personne d</w:t>
      </w:r>
      <w:r w:rsidR="00680ADA" w:rsidRPr="00F1180D">
        <w:rPr>
          <w:lang w:val="fr-FR" w:bidi="ar-KW"/>
        </w:rPr>
        <w:t>’</w:t>
      </w:r>
      <w:r w:rsidR="000C6D4A" w:rsidRPr="00F1180D">
        <w:rPr>
          <w:lang w:val="fr-FR" w:bidi="ar-KW"/>
        </w:rPr>
        <w:t xml:space="preserve">être informée des droits et obligations des travailleurs et des employeurs. </w:t>
      </w:r>
    </w:p>
    <w:p w:rsidR="000C6D4A" w:rsidRPr="00F1180D" w:rsidRDefault="00C13D1B" w:rsidP="00680ADA">
      <w:pPr>
        <w:pStyle w:val="SingleTxtG"/>
        <w:rPr>
          <w:rtl/>
          <w:lang w:val="fr-FR" w:bidi="fr-FR"/>
        </w:rPr>
      </w:pPr>
      <w:r>
        <w:rPr>
          <w:lang w:val="fr-FR" w:bidi="ar-KW"/>
        </w:rPr>
        <w:t>187.</w:t>
      </w:r>
      <w:r>
        <w:rPr>
          <w:lang w:val="fr-FR" w:bidi="ar-KW"/>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 xml:space="preserve">28 de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6 de 2010 impose la conclusion d</w:t>
      </w:r>
      <w:r w:rsidR="00680ADA" w:rsidRPr="00F1180D">
        <w:rPr>
          <w:lang w:val="fr-FR" w:bidi="ar-KW"/>
        </w:rPr>
        <w:t>’</w:t>
      </w:r>
      <w:r w:rsidR="000C6D4A" w:rsidRPr="00F1180D">
        <w:rPr>
          <w:lang w:val="fr-FR" w:bidi="ar-KW"/>
        </w:rPr>
        <w:t>un contrat de travail écrit</w:t>
      </w:r>
      <w:r w:rsidR="00680ADA" w:rsidRPr="00F1180D">
        <w:rPr>
          <w:lang w:val="fr-FR" w:bidi="ar-KW"/>
        </w:rPr>
        <w:t>,</w:t>
      </w:r>
      <w:r w:rsidR="000C6D4A" w:rsidRPr="00F1180D">
        <w:rPr>
          <w:lang w:val="fr-FR" w:bidi="ar-KW"/>
        </w:rPr>
        <w:t xml:space="preserve"> mentionnant la date de sa conclusion et celle de son entrée en vigueur</w:t>
      </w:r>
      <w:r w:rsidR="00680ADA" w:rsidRPr="00F1180D">
        <w:rPr>
          <w:lang w:val="fr-FR" w:bidi="ar-KW"/>
        </w:rPr>
        <w:t>,</w:t>
      </w:r>
      <w:r w:rsidR="000C6D4A" w:rsidRPr="00F1180D">
        <w:rPr>
          <w:lang w:val="fr-FR" w:bidi="ar-KW"/>
        </w:rPr>
        <w:t xml:space="preserve"> ainsi que le montant de la rémunération de l</w:t>
      </w:r>
      <w:r w:rsidR="00680ADA" w:rsidRPr="00F1180D">
        <w:rPr>
          <w:lang w:val="fr-FR" w:bidi="ar-KW"/>
        </w:rPr>
        <w:t>’</w:t>
      </w:r>
      <w:r w:rsidR="000C6D4A" w:rsidRPr="00F1180D">
        <w:rPr>
          <w:lang w:val="fr-FR" w:bidi="ar-KW"/>
        </w:rPr>
        <w:t xml:space="preserve">employé et la durée du contrat. </w:t>
      </w:r>
    </w:p>
    <w:p w:rsidR="000C6D4A" w:rsidRPr="00F1180D" w:rsidRDefault="00C13D1B" w:rsidP="00680ADA">
      <w:pPr>
        <w:pStyle w:val="SingleTxtG"/>
        <w:rPr>
          <w:rtl/>
          <w:lang w:val="fr-FR" w:bidi="fr-FR"/>
        </w:rPr>
      </w:pPr>
      <w:r>
        <w:rPr>
          <w:lang w:val="fr-FR" w:bidi="ar-KW"/>
        </w:rPr>
        <w:t>188.</w:t>
      </w:r>
      <w:r>
        <w:rPr>
          <w:lang w:val="fr-FR" w:bidi="ar-KW"/>
        </w:rPr>
        <w:tab/>
      </w:r>
      <w:r w:rsidR="000C6D4A" w:rsidRPr="00F1180D">
        <w:rPr>
          <w:lang w:val="fr-FR" w:bidi="ar-KW"/>
        </w:rPr>
        <w:t>L</w:t>
      </w:r>
      <w:r w:rsidR="00680ADA" w:rsidRPr="00F1180D">
        <w:rPr>
          <w:lang w:val="fr-FR" w:bidi="ar-KW"/>
        </w:rPr>
        <w:t>’</w:t>
      </w:r>
      <w:r w:rsidR="00163207" w:rsidRPr="00F1180D">
        <w:rPr>
          <w:lang w:val="fr-FR" w:bidi="ar-KW"/>
        </w:rPr>
        <w:t>article </w:t>
      </w:r>
      <w:r w:rsidR="000C6D4A" w:rsidRPr="00F1180D">
        <w:rPr>
          <w:lang w:val="fr-FR" w:bidi="ar-KW"/>
        </w:rPr>
        <w:t>29 de la même loi autorise la traduction du contrat de travail vers n</w:t>
      </w:r>
      <w:r w:rsidR="00680ADA" w:rsidRPr="00F1180D">
        <w:rPr>
          <w:lang w:val="fr-FR" w:bidi="ar-KW"/>
        </w:rPr>
        <w:t>’</w:t>
      </w:r>
      <w:r w:rsidR="000C6D4A" w:rsidRPr="00F1180D">
        <w:rPr>
          <w:lang w:val="fr-FR" w:bidi="ar-KW"/>
        </w:rPr>
        <w:t>importe quelle autre langue</w:t>
      </w:r>
      <w:r w:rsidR="00680ADA" w:rsidRPr="00F1180D">
        <w:rPr>
          <w:lang w:val="fr-FR" w:bidi="ar-KW"/>
        </w:rPr>
        <w:t>,</w:t>
      </w:r>
      <w:r w:rsidR="000C6D4A" w:rsidRPr="00F1180D">
        <w:rPr>
          <w:lang w:val="fr-FR" w:bidi="ar-KW"/>
        </w:rPr>
        <w:t xml:space="preserve"> hormis l</w:t>
      </w:r>
      <w:r w:rsidR="00680ADA" w:rsidRPr="00F1180D">
        <w:rPr>
          <w:lang w:val="fr-FR" w:bidi="ar-KW"/>
        </w:rPr>
        <w:t>’</w:t>
      </w:r>
      <w:r w:rsidR="000C6D4A" w:rsidRPr="00F1180D">
        <w:rPr>
          <w:lang w:val="fr-FR" w:bidi="ar-KW"/>
        </w:rPr>
        <w:t>arabe</w:t>
      </w:r>
      <w:r w:rsidR="00680ADA" w:rsidRPr="00F1180D">
        <w:rPr>
          <w:lang w:val="fr-FR" w:bidi="ar-KW"/>
        </w:rPr>
        <w:t>,</w:t>
      </w:r>
      <w:r w:rsidR="000C6D4A" w:rsidRPr="00F1180D">
        <w:rPr>
          <w:lang w:val="fr-FR" w:bidi="ar-KW"/>
        </w:rPr>
        <w:t xml:space="preserve"> tout en précisant que les deux parties peuvent également traduire les correspondances</w:t>
      </w:r>
      <w:r w:rsidR="00680ADA" w:rsidRPr="00F1180D">
        <w:rPr>
          <w:lang w:val="fr-FR" w:bidi="ar-KW"/>
        </w:rPr>
        <w:t>,</w:t>
      </w:r>
      <w:r w:rsidR="000C6D4A" w:rsidRPr="00F1180D">
        <w:rPr>
          <w:lang w:val="fr-FR" w:bidi="ar-KW"/>
        </w:rPr>
        <w:t xml:space="preserve"> ainsi que les bulletins d</w:t>
      </w:r>
      <w:r w:rsidR="00680ADA" w:rsidRPr="00F1180D">
        <w:rPr>
          <w:lang w:val="fr-FR" w:bidi="ar-KW"/>
        </w:rPr>
        <w:t>’</w:t>
      </w:r>
      <w:r w:rsidR="000C6D4A" w:rsidRPr="00F1180D">
        <w:rPr>
          <w:lang w:val="fr-FR" w:bidi="ar-KW"/>
        </w:rPr>
        <w:t>information</w:t>
      </w:r>
      <w:r w:rsidR="00680ADA" w:rsidRPr="00F1180D">
        <w:rPr>
          <w:lang w:val="fr-FR" w:bidi="ar-KW"/>
        </w:rPr>
        <w:t>,</w:t>
      </w:r>
      <w:r w:rsidR="000C6D4A" w:rsidRPr="00F1180D">
        <w:rPr>
          <w:lang w:val="fr-FR" w:bidi="ar-KW"/>
        </w:rPr>
        <w:t xml:space="preserve"> règlements et instructions publiés par l</w:t>
      </w:r>
      <w:r w:rsidR="00680ADA" w:rsidRPr="00F1180D">
        <w:rPr>
          <w:lang w:val="fr-FR" w:bidi="ar-KW"/>
        </w:rPr>
        <w:t>’</w:t>
      </w:r>
      <w:r w:rsidR="000C6D4A" w:rsidRPr="00F1180D">
        <w:rPr>
          <w:lang w:val="fr-FR" w:bidi="ar-KW"/>
        </w:rPr>
        <w:t xml:space="preserve">employeur. </w:t>
      </w:r>
    </w:p>
    <w:p w:rsidR="000C6D4A" w:rsidRPr="00F1180D" w:rsidRDefault="00C13D1B" w:rsidP="00680ADA">
      <w:pPr>
        <w:pStyle w:val="SingleTxtG"/>
        <w:rPr>
          <w:rtl/>
          <w:lang w:val="fr-FR" w:bidi="fr-FR"/>
        </w:rPr>
      </w:pPr>
      <w:r>
        <w:rPr>
          <w:lang w:val="fr-FR" w:bidi="ar-KW"/>
        </w:rPr>
        <w:t>189.</w:t>
      </w:r>
      <w:r>
        <w:rPr>
          <w:lang w:val="fr-FR" w:bidi="ar-KW"/>
        </w:rPr>
        <w:tab/>
      </w:r>
      <w:r w:rsidR="000C6D4A" w:rsidRPr="00F1180D">
        <w:rPr>
          <w:lang w:val="fr-FR" w:bidi="ar-KW"/>
        </w:rPr>
        <w:t>Dans la mesure où l</w:t>
      </w:r>
      <w:r w:rsidR="00680ADA" w:rsidRPr="00F1180D">
        <w:rPr>
          <w:lang w:val="fr-FR" w:bidi="ar-KW"/>
        </w:rPr>
        <w:t>’</w:t>
      </w:r>
      <w:r w:rsidR="000C6D4A" w:rsidRPr="00F1180D">
        <w:rPr>
          <w:lang w:val="fr-FR" w:bidi="ar-KW"/>
        </w:rPr>
        <w:t>on recense plus de 150 nationalités différentes sur le marché du travail koweïtien et qu</w:t>
      </w:r>
      <w:r w:rsidR="00680ADA" w:rsidRPr="00F1180D">
        <w:rPr>
          <w:lang w:val="fr-FR" w:bidi="ar-KW"/>
        </w:rPr>
        <w:t>’</w:t>
      </w:r>
      <w:r w:rsidR="000C6D4A" w:rsidRPr="00F1180D">
        <w:rPr>
          <w:lang w:val="fr-FR" w:bidi="ar-KW"/>
        </w:rPr>
        <w:t>il est difficile de traduire le Code du travail dans toutes ces langues</w:t>
      </w:r>
      <w:r w:rsidR="00680ADA" w:rsidRPr="00F1180D">
        <w:rPr>
          <w:lang w:val="fr-FR" w:bidi="ar-KW"/>
        </w:rPr>
        <w:t>,</w:t>
      </w:r>
      <w:r w:rsidR="000C6D4A" w:rsidRPr="00F1180D">
        <w:rPr>
          <w:lang w:val="fr-FR" w:bidi="ar-KW"/>
        </w:rPr>
        <w:t xml:space="preserve"> notamment s</w:t>
      </w:r>
      <w:r w:rsidR="00680ADA" w:rsidRPr="00F1180D">
        <w:rPr>
          <w:lang w:val="fr-FR" w:bidi="ar-KW"/>
        </w:rPr>
        <w:t>’</w:t>
      </w:r>
      <w:r w:rsidR="000C6D4A" w:rsidRPr="00F1180D">
        <w:rPr>
          <w:lang w:val="fr-FR" w:bidi="ar-KW"/>
        </w:rPr>
        <w:t>agissant des langues locales</w:t>
      </w:r>
      <w:r w:rsidR="00680ADA" w:rsidRPr="00F1180D">
        <w:rPr>
          <w:lang w:val="fr-FR" w:bidi="ar-KW"/>
        </w:rPr>
        <w:t>,</w:t>
      </w:r>
      <w:r w:rsidR="000C6D4A" w:rsidRPr="00F1180D">
        <w:rPr>
          <w:lang w:val="fr-FR" w:bidi="ar-KW"/>
        </w:rPr>
        <w:t xml:space="preserve"> seuls les contrats de travail ont fait l</w:t>
      </w:r>
      <w:r w:rsidR="00680ADA" w:rsidRPr="00F1180D">
        <w:rPr>
          <w:lang w:val="fr-FR" w:bidi="ar-KW"/>
        </w:rPr>
        <w:t>’</w:t>
      </w:r>
      <w:r w:rsidR="000C6D4A" w:rsidRPr="00F1180D">
        <w:rPr>
          <w:lang w:val="fr-FR" w:bidi="ar-KW"/>
        </w:rPr>
        <w:t>objet d</w:t>
      </w:r>
      <w:r w:rsidR="00680ADA" w:rsidRPr="00F1180D">
        <w:rPr>
          <w:lang w:val="fr-FR" w:bidi="ar-KW"/>
        </w:rPr>
        <w:t>’</w:t>
      </w:r>
      <w:r w:rsidR="000C6D4A" w:rsidRPr="00F1180D">
        <w:rPr>
          <w:lang w:val="fr-FR" w:bidi="ar-KW"/>
        </w:rPr>
        <w:t xml:space="preserve">une traduction en langue anglaise. </w:t>
      </w:r>
    </w:p>
    <w:p w:rsidR="000C6D4A" w:rsidRPr="00F1180D" w:rsidRDefault="00C13D1B" w:rsidP="00680ADA">
      <w:pPr>
        <w:pStyle w:val="SingleTxtG"/>
        <w:rPr>
          <w:lang w:val="fr-FR" w:bidi="fr-FR"/>
        </w:rPr>
      </w:pPr>
      <w:r>
        <w:rPr>
          <w:lang w:val="fr-FR" w:bidi="fr-FR"/>
        </w:rPr>
        <w:lastRenderedPageBreak/>
        <w:t>190.</w:t>
      </w:r>
      <w:r>
        <w:rPr>
          <w:rFonts w:ascii="Arial" w:hAnsi="Arial"/>
          <w:lang w:val="fr-FR" w:bidi="fr-FR"/>
        </w:rPr>
        <w:tab/>
      </w:r>
      <w:r w:rsidR="000C6D4A" w:rsidRPr="00F1180D">
        <w:rPr>
          <w:lang w:val="fr-FR" w:bidi="ar-KW"/>
        </w:rPr>
        <w:t>La Direction générale des résidents du Ministère de l</w:t>
      </w:r>
      <w:r w:rsidR="00680ADA" w:rsidRPr="00F1180D">
        <w:rPr>
          <w:lang w:val="fr-FR" w:bidi="ar-KW"/>
        </w:rPr>
        <w:t>’</w:t>
      </w:r>
      <w:r w:rsidR="000C6D4A" w:rsidRPr="00F1180D">
        <w:rPr>
          <w:lang w:val="fr-FR" w:bidi="ar-KW"/>
        </w:rPr>
        <w:t>intérieur impose aux employeurs et aux bureaux de placement des employés domestiques la transmission d</w:t>
      </w:r>
      <w:r w:rsidR="00680ADA" w:rsidRPr="00F1180D">
        <w:rPr>
          <w:lang w:val="fr-FR" w:bidi="ar-KW"/>
        </w:rPr>
        <w:t>’</w:t>
      </w:r>
      <w:r w:rsidR="000C6D4A" w:rsidRPr="00F1180D">
        <w:rPr>
          <w:lang w:val="fr-FR" w:bidi="ar-KW"/>
        </w:rPr>
        <w:t>une copie du contrat de travail aux futurs employés. Il a en outre été demandé au Ministère des affaires étrangères d</w:t>
      </w:r>
      <w:r w:rsidR="00680ADA" w:rsidRPr="00F1180D">
        <w:rPr>
          <w:lang w:val="fr-FR" w:bidi="ar-KW"/>
        </w:rPr>
        <w:t>’</w:t>
      </w:r>
      <w:r w:rsidR="000C6D4A" w:rsidRPr="00F1180D">
        <w:rPr>
          <w:lang w:val="fr-FR" w:bidi="ar-KW"/>
        </w:rPr>
        <w:t>informer les représentations diplomatiques du Koweït dans tous les pays exportateurs de main-d</w:t>
      </w:r>
      <w:r w:rsidR="00680ADA" w:rsidRPr="00F1180D">
        <w:rPr>
          <w:lang w:val="fr-FR" w:bidi="ar-KW"/>
        </w:rPr>
        <w:t>’</w:t>
      </w:r>
      <w:r w:rsidR="00823836" w:rsidRPr="00F1180D">
        <w:rPr>
          <w:lang w:val="fr-FR" w:bidi="ar-KW"/>
        </w:rPr>
        <w:t>œuvre</w:t>
      </w:r>
      <w:r w:rsidR="000C6D4A" w:rsidRPr="00F1180D">
        <w:rPr>
          <w:lang w:val="fr-FR" w:bidi="ar-KW"/>
        </w:rPr>
        <w:t xml:space="preserve"> domestique de la nécessité de permettre aux travailleurs étrangers</w:t>
      </w:r>
      <w:r w:rsidR="00680ADA" w:rsidRPr="00F1180D">
        <w:rPr>
          <w:lang w:val="fr-FR" w:bidi="ar-KW"/>
        </w:rPr>
        <w:t>,</w:t>
      </w:r>
      <w:r w:rsidR="000C6D4A" w:rsidRPr="00F1180D">
        <w:rPr>
          <w:lang w:val="fr-FR" w:bidi="ar-KW"/>
        </w:rPr>
        <w:t xml:space="preserve"> lorsqu</w:t>
      </w:r>
      <w:r w:rsidR="00680ADA" w:rsidRPr="00F1180D">
        <w:rPr>
          <w:lang w:val="fr-FR" w:bidi="ar-KW"/>
        </w:rPr>
        <w:t>’</w:t>
      </w:r>
      <w:r w:rsidR="000C6D4A" w:rsidRPr="00F1180D">
        <w:rPr>
          <w:lang w:val="fr-FR" w:bidi="ar-KW"/>
        </w:rPr>
        <w:t>ils se rendent auxdites représentations pour obtenir leur visa d</w:t>
      </w:r>
      <w:r w:rsidR="00680ADA" w:rsidRPr="00F1180D">
        <w:rPr>
          <w:lang w:val="fr-FR" w:bidi="ar-KW"/>
        </w:rPr>
        <w:t>’</w:t>
      </w:r>
      <w:r w:rsidR="000C6D4A" w:rsidRPr="00F1180D">
        <w:rPr>
          <w:lang w:val="fr-FR" w:bidi="ar-KW"/>
        </w:rPr>
        <w:t>entrée</w:t>
      </w:r>
      <w:r w:rsidR="00680ADA" w:rsidRPr="00F1180D">
        <w:rPr>
          <w:lang w:val="fr-FR" w:bidi="ar-KW"/>
        </w:rPr>
        <w:t>,</w:t>
      </w:r>
      <w:r w:rsidR="000C6D4A" w:rsidRPr="00F1180D">
        <w:rPr>
          <w:lang w:val="fr-FR" w:bidi="ar-KW"/>
        </w:rPr>
        <w:t xml:space="preserve"> de lire leur contrat de travail avant de le signer</w:t>
      </w:r>
      <w:r w:rsidR="00680ADA" w:rsidRPr="00F1180D">
        <w:rPr>
          <w:lang w:val="fr-FR" w:bidi="ar-KW"/>
        </w:rPr>
        <w:t>,</w:t>
      </w:r>
      <w:r w:rsidR="000C6D4A" w:rsidRPr="00F1180D">
        <w:rPr>
          <w:lang w:val="fr-FR" w:bidi="ar-KW"/>
        </w:rPr>
        <w:t xml:space="preserve"> afin de prendre connaissance de leurs droits et obligations et des conditions de travail auprès de leur futurs employeurs. </w:t>
      </w:r>
    </w:p>
    <w:p w:rsidR="000C6D4A" w:rsidRPr="00F1180D" w:rsidRDefault="00EF1173" w:rsidP="00EF1173">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23</w:t>
      </w:r>
    </w:p>
    <w:p w:rsidR="000C6D4A" w:rsidRPr="00F1180D" w:rsidRDefault="00C13D1B" w:rsidP="00680ADA">
      <w:pPr>
        <w:pStyle w:val="SingleTxtG"/>
        <w:rPr>
          <w:lang w:val="fr-FR" w:bidi="ar-KW"/>
        </w:rPr>
      </w:pPr>
      <w:r w:rsidRPr="00C13D1B">
        <w:rPr>
          <w:lang w:val="fr-FR" w:bidi="ar-KW"/>
        </w:rPr>
        <w:t>191.</w:t>
      </w:r>
      <w:r>
        <w:rPr>
          <w:rFonts w:ascii="Arial" w:hAnsi="Arial"/>
          <w:lang w:val="fr-FR" w:bidi="ar-KW"/>
        </w:rPr>
        <w:tab/>
      </w:r>
      <w:r w:rsidR="000C6D4A" w:rsidRPr="00F1180D">
        <w:rPr>
          <w:lang w:val="fr-FR" w:bidi="ar-KW"/>
        </w:rPr>
        <w:t>Le passeport est considéré comme un document strictement personnel qu</w:t>
      </w:r>
      <w:r w:rsidR="00680ADA" w:rsidRPr="00F1180D">
        <w:rPr>
          <w:lang w:val="fr-FR" w:bidi="ar-KW"/>
        </w:rPr>
        <w:t>’</w:t>
      </w:r>
      <w:r w:rsidR="000C6D4A" w:rsidRPr="00F1180D">
        <w:rPr>
          <w:lang w:val="fr-FR" w:bidi="ar-KW"/>
        </w:rPr>
        <w:t>il est interdit de confisquer et qui est indispensable à l</w:t>
      </w:r>
      <w:r w:rsidR="00680ADA" w:rsidRPr="00F1180D">
        <w:rPr>
          <w:lang w:val="fr-FR" w:bidi="ar-KW"/>
        </w:rPr>
        <w:t>’</w:t>
      </w:r>
      <w:r w:rsidR="000C6D4A" w:rsidRPr="00F1180D">
        <w:rPr>
          <w:lang w:val="fr-FR" w:bidi="ar-KW"/>
        </w:rPr>
        <w:t>entrée et à la sortie d</w:t>
      </w:r>
      <w:r w:rsidR="00680ADA" w:rsidRPr="00F1180D">
        <w:rPr>
          <w:lang w:val="fr-FR" w:bidi="ar-KW"/>
        </w:rPr>
        <w:t>’</w:t>
      </w:r>
      <w:r w:rsidR="000C6D4A" w:rsidRPr="00F1180D">
        <w:rPr>
          <w:lang w:val="fr-FR" w:bidi="ar-KW"/>
        </w:rPr>
        <w:t>un pays</w:t>
      </w:r>
      <w:r w:rsidR="00680ADA" w:rsidRPr="00F1180D">
        <w:rPr>
          <w:lang w:val="fr-FR" w:bidi="ar-KW"/>
        </w:rPr>
        <w:t>,</w:t>
      </w:r>
      <w:r w:rsidR="000C6D4A" w:rsidRPr="00F1180D">
        <w:rPr>
          <w:lang w:val="fr-FR" w:bidi="ar-KW"/>
        </w:rPr>
        <w:t xml:space="preserve"> comme établi par la jurisprudence koweïtienne et consacré par l</w:t>
      </w:r>
      <w:r w:rsidR="00680ADA" w:rsidRPr="00F1180D">
        <w:rPr>
          <w:lang w:val="fr-FR" w:bidi="ar-KW"/>
        </w:rPr>
        <w:t>’</w:t>
      </w:r>
      <w:r w:rsidR="00163207" w:rsidRPr="00F1180D">
        <w:rPr>
          <w:lang w:val="fr-FR" w:bidi="ar-KW"/>
        </w:rPr>
        <w:t>article </w:t>
      </w:r>
      <w:r w:rsidR="000C6D4A" w:rsidRPr="00F1180D">
        <w:rPr>
          <w:lang w:val="fr-FR" w:bidi="ar-KW"/>
        </w:rPr>
        <w:t xml:space="preserve">8/1 du décret-loi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9B1350" w:rsidRPr="00F1180D">
        <w:rPr>
          <w:lang w:val="fr-FR" w:bidi="ar-KW"/>
        </w:rPr>
        <w:t xml:space="preserve">17/1959 </w:t>
      </w:r>
      <w:r w:rsidR="000C6D4A" w:rsidRPr="00F1180D">
        <w:rPr>
          <w:lang w:val="fr-FR" w:bidi="ar-KW"/>
        </w:rPr>
        <w:t>relatif au séjour des étrangers qui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Pendant leur séjour</w:t>
      </w:r>
      <w:r w:rsidR="00680ADA" w:rsidRPr="00F1180D">
        <w:rPr>
          <w:lang w:val="fr-FR" w:bidi="ar-KW"/>
        </w:rPr>
        <w:t>,</w:t>
      </w:r>
      <w:r w:rsidR="000C6D4A" w:rsidRPr="00F1180D">
        <w:rPr>
          <w:lang w:val="fr-FR" w:bidi="ar-KW"/>
        </w:rPr>
        <w:t xml:space="preserve"> les étrangers sont tenus de présenter leur passeport ou tout autre document d</w:t>
      </w:r>
      <w:r w:rsidR="00680ADA" w:rsidRPr="00F1180D">
        <w:rPr>
          <w:lang w:val="fr-FR" w:bidi="ar-KW"/>
        </w:rPr>
        <w:t>’</w:t>
      </w:r>
      <w:r w:rsidR="000C6D4A" w:rsidRPr="00F1180D">
        <w:rPr>
          <w:lang w:val="fr-FR" w:bidi="ar-KW"/>
        </w:rPr>
        <w:t>identité à la demande des autorités compétentes</w:t>
      </w:r>
      <w:r w:rsidR="00680ADA" w:rsidRPr="00F1180D">
        <w:rPr>
          <w:lang w:val="fr-FR" w:bidi="ar-KW"/>
        </w:rPr>
        <w:t>»,</w:t>
      </w:r>
      <w:r w:rsidR="000C6D4A" w:rsidRPr="00F1180D">
        <w:rPr>
          <w:lang w:val="fr-FR" w:bidi="ar-KW"/>
        </w:rPr>
        <w:t xml:space="preserve"> ce qui signifie que le passeport doit rester en permanence en possession de la personne à laquelle il appartient et ne peut être ni détenu</w:t>
      </w:r>
      <w:r w:rsidR="00680ADA" w:rsidRPr="00F1180D">
        <w:rPr>
          <w:lang w:val="fr-FR" w:bidi="ar-KW"/>
        </w:rPr>
        <w:t>,</w:t>
      </w:r>
      <w:r w:rsidR="000C6D4A" w:rsidRPr="00F1180D">
        <w:rPr>
          <w:lang w:val="fr-FR" w:bidi="ar-KW"/>
        </w:rPr>
        <w:t xml:space="preserve"> ni confisqué par un tiers. En outre</w:t>
      </w:r>
      <w:r w:rsidR="00680ADA" w:rsidRPr="00F1180D">
        <w:rPr>
          <w:lang w:val="fr-FR" w:bidi="ar-KW"/>
        </w:rPr>
        <w:t>,</w:t>
      </w:r>
      <w:r w:rsidR="000C6D4A" w:rsidRPr="00F1180D">
        <w:rPr>
          <w:lang w:val="fr-FR" w:bidi="ar-KW"/>
        </w:rPr>
        <w:t xml:space="preserve"> les autorités compétentes du ministère ont introduit dans les contrats de travail bilatéraux ou tripartites qu</w:t>
      </w:r>
      <w:r w:rsidR="00680ADA" w:rsidRPr="00F1180D">
        <w:rPr>
          <w:lang w:val="fr-FR" w:bidi="ar-KW"/>
        </w:rPr>
        <w:t>’</w:t>
      </w:r>
      <w:r w:rsidR="000C6D4A" w:rsidRPr="00F1180D">
        <w:rPr>
          <w:lang w:val="fr-FR" w:bidi="ar-KW"/>
        </w:rPr>
        <w:t xml:space="preserve">elles élaborent une clause selon laquelle le passeport du travailleur est un document personnel que ce dernier a le droit de conserver. </w:t>
      </w:r>
    </w:p>
    <w:p w:rsidR="000C6D4A" w:rsidRPr="00F1180D" w:rsidRDefault="00C13D1B" w:rsidP="00680ADA">
      <w:pPr>
        <w:pStyle w:val="SingleTxtG"/>
        <w:rPr>
          <w:rtl/>
          <w:lang w:val="fr-FR" w:bidi="fr-FR"/>
        </w:rPr>
      </w:pPr>
      <w:r>
        <w:rPr>
          <w:lang w:val="fr-FR" w:bidi="fr-FR"/>
        </w:rPr>
        <w:t>192.</w:t>
      </w:r>
      <w:r>
        <w:rPr>
          <w:lang w:val="fr-FR" w:bidi="fr-FR"/>
        </w:rPr>
        <w:tab/>
      </w:r>
      <w:r w:rsidR="000C6D4A" w:rsidRPr="00F1180D">
        <w:rPr>
          <w:lang w:val="fr-FR" w:bidi="ar-KW"/>
        </w:rPr>
        <w:t>Si un employé domestique quitte son poste de travail et sollicite l</w:t>
      </w:r>
      <w:r w:rsidR="00680ADA" w:rsidRPr="00F1180D">
        <w:rPr>
          <w:lang w:val="fr-FR" w:bidi="ar-KW"/>
        </w:rPr>
        <w:t>’</w:t>
      </w:r>
      <w:r w:rsidR="000C6D4A" w:rsidRPr="00F1180D">
        <w:rPr>
          <w:lang w:val="fr-FR" w:bidi="ar-KW"/>
        </w:rPr>
        <w:t>aide de son ambassade pour quitter le pays en arguant de la confiscation de son passeport et si l</w:t>
      </w:r>
      <w:r w:rsidR="00680ADA" w:rsidRPr="00F1180D">
        <w:rPr>
          <w:lang w:val="fr-FR" w:bidi="ar-KW"/>
        </w:rPr>
        <w:t>’</w:t>
      </w:r>
      <w:r w:rsidR="000C6D4A" w:rsidRPr="00F1180D">
        <w:rPr>
          <w:lang w:val="fr-FR" w:bidi="ar-KW"/>
        </w:rPr>
        <w:t>employeur ne signale pas son absence aux autorités compétentes un mois après l</w:t>
      </w:r>
      <w:r w:rsidR="00680ADA" w:rsidRPr="00F1180D">
        <w:rPr>
          <w:lang w:val="fr-FR" w:bidi="ar-KW"/>
        </w:rPr>
        <w:t>’</w:t>
      </w:r>
      <w:r w:rsidR="000C6D4A" w:rsidRPr="00F1180D">
        <w:rPr>
          <w:lang w:val="fr-FR" w:bidi="ar-KW"/>
        </w:rPr>
        <w:t>abandon de poste par le travailleur</w:t>
      </w:r>
      <w:r w:rsidR="00680ADA" w:rsidRPr="00F1180D">
        <w:rPr>
          <w:lang w:val="fr-FR" w:bidi="ar-KW"/>
        </w:rPr>
        <w:t>,</w:t>
      </w:r>
      <w:r w:rsidR="000C6D4A" w:rsidRPr="00F1180D">
        <w:rPr>
          <w:lang w:val="fr-FR" w:bidi="ar-KW"/>
        </w:rPr>
        <w:t xml:space="preserve"> le Service des employés domestiques organise son rapatriement</w:t>
      </w:r>
      <w:r w:rsidR="00680ADA" w:rsidRPr="00F1180D">
        <w:rPr>
          <w:lang w:val="fr-FR" w:bidi="ar-KW"/>
        </w:rPr>
        <w:t>,</w:t>
      </w:r>
      <w:r w:rsidR="000C6D4A" w:rsidRPr="00F1180D">
        <w:rPr>
          <w:lang w:val="fr-FR" w:bidi="ar-KW"/>
        </w:rPr>
        <w:t xml:space="preserve"> en collaboration avec l</w:t>
      </w:r>
      <w:r w:rsidR="00680ADA" w:rsidRPr="00F1180D">
        <w:rPr>
          <w:lang w:val="fr-FR" w:bidi="ar-KW"/>
        </w:rPr>
        <w:t>’</w:t>
      </w:r>
      <w:r w:rsidR="000C6D4A" w:rsidRPr="00F1180D">
        <w:rPr>
          <w:lang w:val="fr-FR" w:bidi="ar-KW"/>
        </w:rPr>
        <w:t>ambassade de son pays</w:t>
      </w:r>
      <w:r w:rsidR="00680ADA" w:rsidRPr="00F1180D">
        <w:rPr>
          <w:lang w:val="fr-FR" w:bidi="ar-KW"/>
        </w:rPr>
        <w:t>,</w:t>
      </w:r>
      <w:r w:rsidR="000C6D4A" w:rsidRPr="00F1180D">
        <w:rPr>
          <w:lang w:val="fr-FR" w:bidi="ar-KW"/>
        </w:rPr>
        <w:t xml:space="preserve"> qui lui fournit un titre de voyage conformément aux procédures prévues à cet égard. </w:t>
      </w:r>
    </w:p>
    <w:p w:rsidR="000C6D4A" w:rsidRPr="00F1180D" w:rsidRDefault="00C13D1B" w:rsidP="00680ADA">
      <w:pPr>
        <w:pStyle w:val="SingleTxtG"/>
        <w:rPr>
          <w:lang w:val="fr-FR" w:bidi="ar-KW"/>
        </w:rPr>
      </w:pPr>
      <w:r w:rsidRPr="00C13D1B">
        <w:rPr>
          <w:lang w:val="fr-FR" w:bidi="ar-KW"/>
        </w:rPr>
        <w:t>193.</w:t>
      </w:r>
      <w:r w:rsidRPr="00C13D1B">
        <w:rPr>
          <w:lang w:val="fr-FR" w:bidi="ar-KW"/>
        </w:rPr>
        <w:tab/>
      </w:r>
      <w:r w:rsidR="000C6D4A" w:rsidRPr="00F1180D">
        <w:rPr>
          <w:lang w:val="fr-FR" w:bidi="ar-KW"/>
        </w:rPr>
        <w:t>Plusieurs jugements ont été prononcés à cet égard</w:t>
      </w:r>
      <w:r w:rsidR="00680ADA" w:rsidRPr="00F1180D">
        <w:rPr>
          <w:lang w:val="fr-FR" w:bidi="ar-KW"/>
        </w:rPr>
        <w:t>,</w:t>
      </w:r>
      <w:r w:rsidR="000C6D4A" w:rsidRPr="00F1180D">
        <w:rPr>
          <w:lang w:val="fr-FR" w:bidi="ar-KW"/>
        </w:rPr>
        <w:t xml:space="preserve"> tels que l</w:t>
      </w:r>
      <w:r w:rsidR="00680ADA" w:rsidRPr="00F1180D">
        <w:rPr>
          <w:lang w:val="fr-FR" w:bidi="ar-KW"/>
        </w:rPr>
        <w:t>’</w:t>
      </w:r>
      <w:r w:rsidR="000C6D4A" w:rsidRPr="00F1180D">
        <w:rPr>
          <w:lang w:val="fr-FR" w:bidi="ar-KW"/>
        </w:rPr>
        <w:t>arrêt de la Haute Cour d</w:t>
      </w:r>
      <w:r w:rsidR="00680ADA" w:rsidRPr="00F1180D">
        <w:rPr>
          <w:lang w:val="fr-FR" w:bidi="ar-KW"/>
        </w:rPr>
        <w:t>’</w:t>
      </w:r>
      <w:r w:rsidR="000C6D4A" w:rsidRPr="00F1180D">
        <w:rPr>
          <w:lang w:val="fr-FR" w:bidi="ar-KW"/>
        </w:rPr>
        <w:t xml:space="preserve">appel (Chambre de cassation) du 27 novembre 1989 (appels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16 et 18/1989) qui a ordonné le versement de 1 000</w:t>
      </w:r>
      <w:r w:rsidR="009B1350" w:rsidRPr="00F1180D">
        <w:rPr>
          <w:lang w:val="fr-FR" w:bidi="ar-KW"/>
        </w:rPr>
        <w:t> dinars</w:t>
      </w:r>
      <w:r w:rsidR="000C6D4A" w:rsidRPr="00F1180D">
        <w:rPr>
          <w:lang w:val="fr-FR" w:bidi="ar-KW"/>
        </w:rPr>
        <w:t xml:space="preserve"> koweïtiens d</w:t>
      </w:r>
      <w:r w:rsidR="00680ADA" w:rsidRPr="00F1180D">
        <w:rPr>
          <w:lang w:val="fr-FR" w:bidi="ar-KW"/>
        </w:rPr>
        <w:t>’</w:t>
      </w:r>
      <w:r w:rsidR="000C6D4A" w:rsidRPr="00F1180D">
        <w:rPr>
          <w:lang w:val="fr-FR" w:bidi="ar-KW"/>
        </w:rPr>
        <w:t>indemnité au profit d</w:t>
      </w:r>
      <w:r w:rsidR="00680ADA" w:rsidRPr="00F1180D">
        <w:rPr>
          <w:lang w:val="fr-FR" w:bidi="ar-KW"/>
        </w:rPr>
        <w:t>’</w:t>
      </w:r>
      <w:r w:rsidR="000C6D4A" w:rsidRPr="00F1180D">
        <w:rPr>
          <w:lang w:val="fr-FR" w:bidi="ar-KW"/>
        </w:rPr>
        <w:t>un travailleur qui s</w:t>
      </w:r>
      <w:r w:rsidR="00680ADA" w:rsidRPr="00F1180D">
        <w:rPr>
          <w:lang w:val="fr-FR" w:bidi="ar-KW"/>
        </w:rPr>
        <w:t>’</w:t>
      </w:r>
      <w:r w:rsidR="000C6D4A" w:rsidRPr="00F1180D">
        <w:rPr>
          <w:lang w:val="fr-FR" w:bidi="ar-KW"/>
        </w:rPr>
        <w:t>était vu confisquer son passeport.</w:t>
      </w:r>
    </w:p>
    <w:p w:rsidR="000C6D4A" w:rsidRPr="00F1180D" w:rsidRDefault="00EF1173" w:rsidP="00EF1173">
      <w:pPr>
        <w:pStyle w:val="H23G"/>
        <w:rPr>
          <w:lang w:val="fr-FR" w:bidi="ar-KW"/>
        </w:rPr>
      </w:pPr>
      <w:r w:rsidRPr="00F1180D">
        <w:rPr>
          <w:color w:val="000000"/>
          <w:lang w:val="fr-FR" w:bidi="ar-KW"/>
        </w:rPr>
        <w:tab/>
      </w:r>
      <w:r w:rsidR="000C6D4A" w:rsidRPr="00F1180D">
        <w:rPr>
          <w:color w:val="000000"/>
          <w:lang w:val="fr-FR" w:bidi="ar-KW"/>
        </w:rPr>
        <w:t>1</w:t>
      </w:r>
      <w:r w:rsidR="000C6D4A" w:rsidRPr="00F1180D">
        <w:rPr>
          <w:color w:val="000000"/>
          <w:lang w:val="fr-FR" w:bidi="ar-KW"/>
        </w:rPr>
        <w:tab/>
      </w:r>
      <w:r w:rsidR="000C6D4A" w:rsidRPr="00F1180D">
        <w:rPr>
          <w:lang w:val="fr-FR" w:bidi="ar-KW"/>
        </w:rPr>
        <w:t>Dispositif de recueil des plaintes</w:t>
      </w:r>
    </w:p>
    <w:p w:rsidR="000C6D4A" w:rsidRPr="00F1180D" w:rsidRDefault="00C13D1B" w:rsidP="00680ADA">
      <w:pPr>
        <w:pStyle w:val="SingleTxtG"/>
        <w:rPr>
          <w:rtl/>
          <w:lang w:val="fr-FR" w:bidi="fr-FR"/>
        </w:rPr>
      </w:pPr>
      <w:r w:rsidRPr="00C13D1B">
        <w:rPr>
          <w:lang w:val="fr-FR" w:bidi="fr-FR"/>
        </w:rPr>
        <w:t>194.</w:t>
      </w:r>
      <w:r>
        <w:rPr>
          <w:rFonts w:ascii="Arial" w:hAnsi="Arial"/>
          <w:lang w:val="fr-FR" w:bidi="fr-FR"/>
        </w:rPr>
        <w:tab/>
      </w:r>
      <w:r w:rsidR="000C6D4A" w:rsidRPr="00F1180D">
        <w:rPr>
          <w:lang w:val="fr-FR" w:bidi="ar-KW"/>
        </w:rPr>
        <w:t xml:space="preserve">Selon les </w:t>
      </w:r>
      <w:r w:rsidR="00DE029F" w:rsidRPr="00F1180D">
        <w:rPr>
          <w:lang w:val="fr-FR" w:bidi="ar-KW"/>
        </w:rPr>
        <w:t>articles </w:t>
      </w:r>
      <w:r w:rsidR="000C6D4A" w:rsidRPr="00F1180D">
        <w:rPr>
          <w:lang w:val="fr-FR" w:bidi="ar-KW"/>
        </w:rPr>
        <w:t xml:space="preserve">31 et 35 de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68 de 2015</w:t>
      </w:r>
      <w:r w:rsidR="00680ADA" w:rsidRPr="00F1180D">
        <w:rPr>
          <w:lang w:val="fr-FR" w:bidi="ar-KW"/>
        </w:rPr>
        <w:t>,</w:t>
      </w:r>
      <w:r w:rsidR="000C6D4A" w:rsidRPr="00F1180D">
        <w:rPr>
          <w:lang w:val="fr-FR" w:bidi="ar-KW"/>
        </w:rPr>
        <w:t xml:space="preserve"> le règlement des litiges entre les parties au contrat relève de la compétence du Service des employés domestiques et si le différend persiste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affaire est renvoyée devant les tribunaux civils compétents.</w:t>
      </w:r>
    </w:p>
    <w:p w:rsidR="000C6D4A" w:rsidRPr="00F1180D" w:rsidRDefault="00C13D1B" w:rsidP="00680ADA">
      <w:pPr>
        <w:pStyle w:val="SingleTxtG"/>
        <w:rPr>
          <w:rtl/>
          <w:lang w:val="fr-FR" w:bidi="fr-FR"/>
        </w:rPr>
      </w:pPr>
      <w:r w:rsidRPr="00C13D1B">
        <w:rPr>
          <w:lang w:val="fr-FR" w:bidi="fr-FR"/>
        </w:rPr>
        <w:t>195.</w:t>
      </w:r>
      <w:r w:rsidRPr="00C13D1B">
        <w:rPr>
          <w:lang w:val="fr-FR" w:bidi="fr-FR"/>
        </w:rPr>
        <w:tab/>
      </w:r>
      <w:r w:rsidR="000C6D4A" w:rsidRPr="00F1180D">
        <w:rPr>
          <w:lang w:val="fr-FR" w:bidi="ar-KW"/>
        </w:rPr>
        <w:t>Ainsi</w:t>
      </w:r>
      <w:r w:rsidR="00680ADA" w:rsidRPr="00F1180D">
        <w:rPr>
          <w:lang w:val="fr-FR" w:bidi="ar-KW"/>
        </w:rPr>
        <w:t>,</w:t>
      </w:r>
      <w:r w:rsidR="000C6D4A" w:rsidRPr="00F1180D">
        <w:rPr>
          <w:lang w:val="fr-FR" w:bidi="ar-KW"/>
        </w:rPr>
        <w:t xml:space="preserve"> si le Service des employés domestiques auprès duquel l</w:t>
      </w:r>
      <w:r w:rsidR="00680ADA" w:rsidRPr="00F1180D">
        <w:rPr>
          <w:lang w:val="fr-FR" w:bidi="ar-KW"/>
        </w:rPr>
        <w:t>’</w:t>
      </w:r>
      <w:r w:rsidR="000C6D4A" w:rsidRPr="00F1180D">
        <w:rPr>
          <w:lang w:val="fr-FR" w:bidi="ar-KW"/>
        </w:rPr>
        <w:t>employé dépose une plainte contre l</w:t>
      </w:r>
      <w:r w:rsidR="00680ADA" w:rsidRPr="00F1180D">
        <w:rPr>
          <w:lang w:val="fr-FR" w:bidi="ar-KW"/>
        </w:rPr>
        <w:t>’</w:t>
      </w:r>
      <w:r w:rsidR="000C6D4A" w:rsidRPr="00F1180D">
        <w:rPr>
          <w:lang w:val="fr-FR" w:bidi="ar-KW"/>
        </w:rPr>
        <w:t>employeur n</w:t>
      </w:r>
      <w:r w:rsidR="00680ADA" w:rsidRPr="00F1180D">
        <w:rPr>
          <w:lang w:val="fr-FR" w:bidi="ar-KW"/>
        </w:rPr>
        <w:t>’</w:t>
      </w:r>
      <w:r w:rsidR="000C6D4A" w:rsidRPr="00F1180D">
        <w:rPr>
          <w:lang w:val="fr-FR" w:bidi="ar-KW"/>
        </w:rPr>
        <w:t>est pas en mesure de donner suite à sa requête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employé peut faire appel aux tribunaux pour poursuivre l</w:t>
      </w:r>
      <w:r w:rsidR="00680ADA" w:rsidRPr="00F1180D">
        <w:rPr>
          <w:lang w:val="fr-FR" w:bidi="ar-KW"/>
        </w:rPr>
        <w:t>’</w:t>
      </w:r>
      <w:r w:rsidR="000C6D4A" w:rsidRPr="00F1180D">
        <w:rPr>
          <w:lang w:val="fr-FR" w:bidi="ar-KW"/>
        </w:rPr>
        <w:t>employeur</w:t>
      </w:r>
      <w:r w:rsidR="00680ADA" w:rsidRPr="00F1180D">
        <w:rPr>
          <w:lang w:val="fr-FR" w:bidi="ar-KW"/>
        </w:rPr>
        <w:t>,</w:t>
      </w:r>
      <w:r w:rsidR="000C6D4A" w:rsidRPr="00F1180D">
        <w:rPr>
          <w:lang w:val="fr-FR" w:bidi="ar-KW"/>
        </w:rPr>
        <w:t xml:space="preserve"> étant donné que l</w:t>
      </w:r>
      <w:r w:rsidR="00680ADA" w:rsidRPr="00F1180D">
        <w:rPr>
          <w:lang w:val="fr-FR" w:bidi="ar-KW"/>
        </w:rPr>
        <w:t>’</w:t>
      </w:r>
      <w:r w:rsidR="000C6D4A" w:rsidRPr="00F1180D">
        <w:rPr>
          <w:lang w:val="fr-FR" w:bidi="ar-KW"/>
        </w:rPr>
        <w:t>accès à la justice est un droit protégé et garanti au profit de tous</w:t>
      </w:r>
      <w:r w:rsidR="00680ADA" w:rsidRPr="00F1180D">
        <w:rPr>
          <w:lang w:val="fr-FR" w:bidi="ar-KW"/>
        </w:rPr>
        <w:t>,</w:t>
      </w:r>
      <w:r w:rsidR="000C6D4A" w:rsidRPr="00F1180D">
        <w:rPr>
          <w:lang w:val="fr-FR" w:bidi="ar-KW"/>
        </w:rPr>
        <w:t xml:space="preserve"> conformément à l</w:t>
      </w:r>
      <w:r w:rsidR="00680ADA" w:rsidRPr="00F1180D">
        <w:rPr>
          <w:lang w:val="fr-FR" w:bidi="ar-KW"/>
        </w:rPr>
        <w:t>’</w:t>
      </w:r>
      <w:r w:rsidR="00163207" w:rsidRPr="00F1180D">
        <w:rPr>
          <w:lang w:val="fr-FR" w:bidi="ar-KW"/>
        </w:rPr>
        <w:t>article </w:t>
      </w:r>
      <w:r w:rsidR="000C6D4A" w:rsidRPr="00F1180D">
        <w:rPr>
          <w:lang w:val="fr-FR" w:bidi="ar-KW"/>
        </w:rPr>
        <w:t>166 de la Constitution koweïtienne selon lequel</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Le droit d</w:t>
      </w:r>
      <w:r w:rsidR="00680ADA" w:rsidRPr="00F1180D">
        <w:rPr>
          <w:lang w:val="fr-FR" w:bidi="ar-KW"/>
        </w:rPr>
        <w:t>’</w:t>
      </w:r>
      <w:r w:rsidR="000C6D4A" w:rsidRPr="00F1180D">
        <w:rPr>
          <w:lang w:val="fr-FR" w:bidi="ar-KW"/>
        </w:rPr>
        <w:t>accéder aux tribunaux est garanti à chacun</w:t>
      </w:r>
      <w:r w:rsidR="00680ADA" w:rsidRPr="00F1180D">
        <w:rPr>
          <w:lang w:val="fr-FR" w:bidi="ar-KW"/>
        </w:rPr>
        <w:t>»</w:t>
      </w:r>
      <w:r w:rsidR="000C6D4A" w:rsidRPr="00F1180D">
        <w:rPr>
          <w:lang w:val="fr-FR" w:bidi="ar-KW"/>
        </w:rPr>
        <w:t>. Il convient en outre de préciser que les recours contentieux liés au travail domestique devant toutes les juridictions sont exemptés de tous frais de justice en vertu de l</w:t>
      </w:r>
      <w:r w:rsidR="00680ADA" w:rsidRPr="00F1180D">
        <w:rPr>
          <w:lang w:val="fr-FR" w:bidi="ar-KW"/>
        </w:rPr>
        <w:t>’</w:t>
      </w:r>
      <w:r w:rsidR="00163207" w:rsidRPr="00F1180D">
        <w:rPr>
          <w:lang w:val="fr-FR" w:bidi="ar-KW"/>
        </w:rPr>
        <w:t>article </w:t>
      </w:r>
      <w:r w:rsidR="000C6D4A" w:rsidRPr="00F1180D">
        <w:rPr>
          <w:lang w:val="fr-FR" w:bidi="ar-KW"/>
        </w:rPr>
        <w:t xml:space="preserve">36 de la nouvelle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 xml:space="preserve">68 de 2015 sur les employés domestiques. </w:t>
      </w:r>
    </w:p>
    <w:p w:rsidR="000C6D4A" w:rsidRPr="00F1180D" w:rsidRDefault="00C13D1B" w:rsidP="00680ADA">
      <w:pPr>
        <w:pStyle w:val="SingleTxtG"/>
        <w:rPr>
          <w:lang w:val="fr-FR" w:bidi="ar-KW"/>
        </w:rPr>
      </w:pPr>
      <w:r w:rsidRPr="00C13D1B">
        <w:rPr>
          <w:lang w:val="fr-FR" w:bidi="ar-KW"/>
        </w:rPr>
        <w:t>196.</w:t>
      </w:r>
      <w:r w:rsidRPr="00C13D1B">
        <w:rPr>
          <w:lang w:val="fr-FR" w:bidi="ar-KW"/>
        </w:rPr>
        <w:tab/>
      </w:r>
      <w:r w:rsidR="000C6D4A" w:rsidRPr="00F1180D">
        <w:rPr>
          <w:lang w:val="fr-FR" w:bidi="ar-KW"/>
        </w:rPr>
        <w:t>Pour ce qui est de la réadaptation des victimes ... la Direction générale de la main d</w:t>
      </w:r>
      <w:r w:rsidR="00680ADA" w:rsidRPr="00F1180D">
        <w:rPr>
          <w:lang w:val="fr-FR" w:bidi="ar-KW"/>
        </w:rPr>
        <w:t>’</w:t>
      </w:r>
      <w:r w:rsidR="00823836" w:rsidRPr="00F1180D">
        <w:rPr>
          <w:lang w:val="fr-FR" w:bidi="ar-KW"/>
        </w:rPr>
        <w:t>œuvre</w:t>
      </w:r>
      <w:r w:rsidR="000C6D4A" w:rsidRPr="00F1180D">
        <w:rPr>
          <w:lang w:val="fr-FR" w:bidi="ar-KW"/>
        </w:rPr>
        <w:t xml:space="preserve"> a créé un foyer d</w:t>
      </w:r>
      <w:r w:rsidR="00680ADA" w:rsidRPr="00F1180D">
        <w:rPr>
          <w:lang w:val="fr-FR" w:bidi="ar-KW"/>
        </w:rPr>
        <w:t>’</w:t>
      </w:r>
      <w:r w:rsidR="000C6D4A" w:rsidRPr="00F1180D">
        <w:rPr>
          <w:lang w:val="fr-FR" w:bidi="ar-KW"/>
        </w:rPr>
        <w:t xml:space="preserve">accueil à leur intention et a établi des plans et programmes visant à assurer leur réadaptation. </w:t>
      </w:r>
    </w:p>
    <w:p w:rsidR="00EF1173" w:rsidRPr="00F1180D" w:rsidRDefault="00EF1173" w:rsidP="00EF1173">
      <w:pPr>
        <w:pStyle w:val="H23G"/>
        <w:rPr>
          <w:lang w:val="fr-FR" w:bidi="ar-KW"/>
        </w:rPr>
      </w:pPr>
      <w:r w:rsidRPr="00F1180D">
        <w:rPr>
          <w:lang w:val="fr-FR" w:bidi="ar-KW"/>
        </w:rPr>
        <w:lastRenderedPageBreak/>
        <w:tab/>
        <w:t>2.</w:t>
      </w:r>
      <w:r w:rsidRPr="00F1180D">
        <w:rPr>
          <w:lang w:val="fr-FR" w:bidi="ar-KW"/>
        </w:rPr>
        <w:tab/>
        <w:t>Voies de recours</w:t>
      </w:r>
    </w:p>
    <w:p w:rsidR="000C6D4A" w:rsidRPr="00F1180D" w:rsidRDefault="00C13D1B" w:rsidP="00680ADA">
      <w:pPr>
        <w:pStyle w:val="SingleTxtG"/>
        <w:rPr>
          <w:lang w:val="fr-FR" w:bidi="ar-KW"/>
        </w:rPr>
      </w:pPr>
      <w:r w:rsidRPr="00C13D1B">
        <w:rPr>
          <w:lang w:val="fr-FR" w:bidi="ar-KW"/>
        </w:rPr>
        <w:t>197.</w:t>
      </w:r>
      <w:r w:rsidRPr="00C13D1B">
        <w:rPr>
          <w:lang w:val="fr-FR" w:bidi="ar-KW"/>
        </w:rPr>
        <w:tab/>
      </w:r>
      <w:r w:rsidR="000C6D4A" w:rsidRPr="00F1180D">
        <w:rPr>
          <w:lang w:val="fr-FR" w:bidi="ar-KW"/>
        </w:rPr>
        <w:t>L</w:t>
      </w:r>
      <w:r w:rsidR="00680ADA" w:rsidRPr="00F1180D">
        <w:rPr>
          <w:lang w:val="fr-FR" w:bidi="ar-KW"/>
        </w:rPr>
        <w:t>’</w:t>
      </w:r>
      <w:r w:rsidR="000C6D4A" w:rsidRPr="00F1180D">
        <w:rPr>
          <w:lang w:val="fr-FR" w:bidi="ar-KW"/>
        </w:rPr>
        <w:t>accès à la justice est garanti par le système juridique koweïtien</w:t>
      </w:r>
      <w:r w:rsidR="00680ADA" w:rsidRPr="00F1180D">
        <w:rPr>
          <w:lang w:val="fr-FR" w:bidi="ar-KW"/>
        </w:rPr>
        <w:t>,</w:t>
      </w:r>
      <w:r w:rsidR="000C6D4A" w:rsidRPr="00F1180D">
        <w:rPr>
          <w:lang w:val="fr-FR" w:bidi="ar-KW"/>
        </w:rPr>
        <w:t xml:space="preserve"> qui reconnaît aux victimes d</w:t>
      </w:r>
      <w:r w:rsidR="00680ADA" w:rsidRPr="00F1180D">
        <w:rPr>
          <w:lang w:val="fr-FR" w:bidi="ar-KW"/>
        </w:rPr>
        <w:t>’</w:t>
      </w:r>
      <w:r w:rsidR="000C6D4A" w:rsidRPr="00F1180D">
        <w:rPr>
          <w:lang w:val="fr-FR" w:bidi="ar-KW"/>
        </w:rPr>
        <w:t>infractions le droit à une indemnisation adéquate</w:t>
      </w:r>
      <w:r w:rsidR="00680ADA" w:rsidRPr="00F1180D">
        <w:rPr>
          <w:lang w:val="fr-FR" w:bidi="ar-KW"/>
        </w:rPr>
        <w:t>,</w:t>
      </w:r>
      <w:r w:rsidR="000C6D4A" w:rsidRPr="00F1180D">
        <w:rPr>
          <w:lang w:val="fr-FR" w:bidi="ar-KW"/>
        </w:rPr>
        <w:t xml:space="preserve"> comme le prévoit l</w:t>
      </w:r>
      <w:r w:rsidR="00680ADA" w:rsidRPr="00F1180D">
        <w:rPr>
          <w:lang w:val="fr-FR" w:bidi="ar-KW"/>
        </w:rPr>
        <w:t>’</w:t>
      </w:r>
      <w:r w:rsidR="00163207" w:rsidRPr="00F1180D">
        <w:rPr>
          <w:lang w:val="fr-FR" w:bidi="ar-KW"/>
        </w:rPr>
        <w:t>article </w:t>
      </w:r>
      <w:r w:rsidR="000C6D4A" w:rsidRPr="00F1180D">
        <w:rPr>
          <w:lang w:val="fr-FR" w:bidi="ar-KW"/>
        </w:rPr>
        <w:t xml:space="preserve">11 du Code de procédure pénale promulgué par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17 de 1960</w:t>
      </w:r>
      <w:r w:rsidR="00680ADA" w:rsidRPr="00F1180D">
        <w:rPr>
          <w:lang w:val="fr-FR" w:bidi="ar-KW"/>
        </w:rPr>
        <w:t>,</w:t>
      </w:r>
      <w:r w:rsidR="000C6D4A" w:rsidRPr="00F1180D">
        <w:rPr>
          <w:lang w:val="fr-FR" w:bidi="ar-KW"/>
        </w:rPr>
        <w:t xml:space="preserve"> qui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Toute personne ayant subi un dommage résultant d</w:t>
      </w:r>
      <w:r w:rsidR="00680ADA" w:rsidRPr="00F1180D">
        <w:rPr>
          <w:lang w:val="fr-FR" w:bidi="ar-KW"/>
        </w:rPr>
        <w:t>’</w:t>
      </w:r>
      <w:r w:rsidR="000C6D4A" w:rsidRPr="00F1180D">
        <w:rPr>
          <w:lang w:val="fr-FR" w:bidi="ar-KW"/>
        </w:rPr>
        <w:t>une infraction peut intenter une action civile devant les juridictions pénales à n</w:t>
      </w:r>
      <w:r w:rsidR="00680ADA" w:rsidRPr="00F1180D">
        <w:rPr>
          <w:lang w:val="fr-FR" w:bidi="ar-KW"/>
        </w:rPr>
        <w:t>’</w:t>
      </w:r>
      <w:r w:rsidR="000C6D4A" w:rsidRPr="00F1180D">
        <w:rPr>
          <w:lang w:val="fr-FR" w:bidi="ar-KW"/>
        </w:rPr>
        <w:t>importe quel stade du procès et jusqu</w:t>
      </w:r>
      <w:r w:rsidR="00680ADA" w:rsidRPr="00F1180D">
        <w:rPr>
          <w:lang w:val="fr-FR" w:bidi="ar-KW"/>
        </w:rPr>
        <w:t>’</w:t>
      </w:r>
      <w:r w:rsidR="000C6D4A" w:rsidRPr="00F1180D">
        <w:rPr>
          <w:lang w:val="fr-FR" w:bidi="ar-KW"/>
        </w:rPr>
        <w:t>au prononcé du jugement</w:t>
      </w:r>
      <w:r w:rsidR="00680ADA" w:rsidRPr="00F1180D">
        <w:rPr>
          <w:lang w:val="fr-FR" w:bidi="ar-KW"/>
        </w:rPr>
        <w:t>»</w:t>
      </w:r>
      <w:r w:rsidR="000C6D4A" w:rsidRPr="00F1180D">
        <w:rPr>
          <w:lang w:val="fr-FR" w:bidi="ar-KW"/>
        </w:rPr>
        <w:t>. La partie civile peut également faire valoir ses droits au cours de l</w:t>
      </w:r>
      <w:r w:rsidR="00680ADA" w:rsidRPr="00F1180D">
        <w:rPr>
          <w:lang w:val="fr-FR" w:bidi="ar-KW"/>
        </w:rPr>
        <w:t>’</w:t>
      </w:r>
      <w:r w:rsidR="000C6D4A" w:rsidRPr="00F1180D">
        <w:rPr>
          <w:lang w:val="fr-FR" w:bidi="ar-KW"/>
        </w:rPr>
        <w:t>enquête préliminaire au moyen d</w:t>
      </w:r>
      <w:r w:rsidR="00680ADA" w:rsidRPr="00F1180D">
        <w:rPr>
          <w:lang w:val="fr-FR" w:bidi="ar-KW"/>
        </w:rPr>
        <w:t>’</w:t>
      </w:r>
      <w:r w:rsidR="000C6D4A" w:rsidRPr="00F1180D">
        <w:rPr>
          <w:lang w:val="fr-FR" w:bidi="ar-KW"/>
        </w:rPr>
        <w:t>une requête déposée auprès du juge d</w:t>
      </w:r>
      <w:r w:rsidR="00680ADA" w:rsidRPr="00F1180D">
        <w:rPr>
          <w:lang w:val="fr-FR" w:bidi="ar-KW"/>
        </w:rPr>
        <w:t>’</w:t>
      </w:r>
      <w:r w:rsidR="000C6D4A" w:rsidRPr="00F1180D">
        <w:rPr>
          <w:lang w:val="fr-FR" w:bidi="ar-KW"/>
        </w:rPr>
        <w:t>instruction</w:t>
      </w:r>
      <w:r w:rsidR="00680ADA" w:rsidRPr="00F1180D">
        <w:rPr>
          <w:lang w:val="fr-FR" w:bidi="ar-KW"/>
        </w:rPr>
        <w:t>,</w:t>
      </w:r>
      <w:r w:rsidR="000C6D4A" w:rsidRPr="00F1180D">
        <w:rPr>
          <w:lang w:val="fr-FR" w:bidi="ar-KW"/>
        </w:rPr>
        <w:t xml:space="preserve"> qui la traite alors comme une partie demanderesse. </w:t>
      </w:r>
    </w:p>
    <w:p w:rsidR="000C6D4A" w:rsidRPr="00F1180D" w:rsidRDefault="000C6D4A" w:rsidP="009E1E23">
      <w:pPr>
        <w:pStyle w:val="Bullet1G"/>
        <w:tabs>
          <w:tab w:val="clear" w:pos="1701"/>
          <w:tab w:val="left" w:pos="284"/>
          <w:tab w:val="left" w:pos="1276"/>
        </w:tabs>
        <w:ind w:left="1134" w:firstLine="0"/>
        <w:rPr>
          <w:b/>
          <w:bCs/>
          <w:rtl/>
          <w:lang w:val="fr-FR" w:bidi="fr-FR"/>
        </w:rPr>
      </w:pPr>
      <w:r w:rsidRPr="00F1180D">
        <w:rPr>
          <w:b/>
          <w:lang w:val="fr-FR" w:bidi="ar-KW"/>
        </w:rPr>
        <w:t>Centre d</w:t>
      </w:r>
      <w:r w:rsidR="00680ADA" w:rsidRPr="00F1180D">
        <w:rPr>
          <w:b/>
          <w:lang w:val="fr-FR" w:bidi="ar-KW"/>
        </w:rPr>
        <w:t>’</w:t>
      </w:r>
      <w:r w:rsidRPr="00F1180D">
        <w:rPr>
          <w:b/>
          <w:lang w:val="fr-FR" w:bidi="ar-KW"/>
        </w:rPr>
        <w:t>hébergement des travailleurs migrants</w:t>
      </w:r>
    </w:p>
    <w:p w:rsidR="000C6D4A" w:rsidRPr="00F1180D" w:rsidRDefault="00C13D1B" w:rsidP="00680ADA">
      <w:pPr>
        <w:pStyle w:val="SingleTxtG"/>
        <w:rPr>
          <w:lang w:val="fr-FR" w:bidi="ar-KW"/>
        </w:rPr>
      </w:pPr>
      <w:r w:rsidRPr="00C13D1B">
        <w:rPr>
          <w:lang w:val="fr-FR" w:bidi="ar-KW"/>
        </w:rPr>
        <w:t>198.</w:t>
      </w:r>
      <w:r w:rsidRPr="00C13D1B">
        <w:rPr>
          <w:lang w:val="fr-FR" w:bidi="ar-KW"/>
        </w:rPr>
        <w:tab/>
      </w:r>
      <w:r w:rsidR="000C6D4A" w:rsidRPr="00F1180D">
        <w:rPr>
          <w:lang w:val="fr-FR" w:bidi="ar-KW"/>
        </w:rPr>
        <w:t xml:space="preserve">Lors de son conseil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20/2/2007 qui s</w:t>
      </w:r>
      <w:r w:rsidR="00680ADA" w:rsidRPr="00F1180D">
        <w:rPr>
          <w:lang w:val="fr-FR" w:bidi="ar-KW"/>
        </w:rPr>
        <w:t>’</w:t>
      </w:r>
      <w:r w:rsidR="009B1350" w:rsidRPr="00F1180D">
        <w:rPr>
          <w:lang w:val="fr-FR" w:bidi="ar-KW"/>
        </w:rPr>
        <w:t xml:space="preserve">est tenu le 8 juillet </w:t>
      </w:r>
      <w:r w:rsidR="000C6D4A" w:rsidRPr="00F1180D">
        <w:rPr>
          <w:lang w:val="fr-FR" w:bidi="ar-KW"/>
        </w:rPr>
        <w:t>2007</w:t>
      </w:r>
      <w:r w:rsidR="00680ADA" w:rsidRPr="00F1180D">
        <w:rPr>
          <w:lang w:val="fr-FR" w:bidi="ar-KW"/>
        </w:rPr>
        <w:t>,</w:t>
      </w:r>
      <w:r w:rsidR="000C6D4A" w:rsidRPr="00F1180D">
        <w:rPr>
          <w:lang w:val="fr-FR" w:bidi="ar-KW"/>
        </w:rPr>
        <w:t xml:space="preserve"> le Conseil des ministres a adopté la décision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652 portant création d</w:t>
      </w:r>
      <w:r w:rsidR="00680ADA" w:rsidRPr="00F1180D">
        <w:rPr>
          <w:lang w:val="fr-FR" w:bidi="ar-KW"/>
        </w:rPr>
        <w:t>’</w:t>
      </w:r>
      <w:r w:rsidR="000C6D4A" w:rsidRPr="00F1180D">
        <w:rPr>
          <w:lang w:val="fr-FR" w:bidi="ar-KW"/>
        </w:rPr>
        <w:t>un Centre d</w:t>
      </w:r>
      <w:r w:rsidR="00680ADA" w:rsidRPr="00F1180D">
        <w:rPr>
          <w:lang w:val="fr-FR" w:bidi="ar-KW"/>
        </w:rPr>
        <w:t>’</w:t>
      </w:r>
      <w:r w:rsidR="000C6D4A" w:rsidRPr="00F1180D">
        <w:rPr>
          <w:lang w:val="fr-FR" w:bidi="ar-KW"/>
        </w:rPr>
        <w:t>hébergement pour les travailleurs migrants</w:t>
      </w:r>
      <w:r w:rsidR="00680ADA" w:rsidRPr="00F1180D">
        <w:rPr>
          <w:lang w:val="fr-FR" w:bidi="ar-KW"/>
        </w:rPr>
        <w:t>,</w:t>
      </w:r>
      <w:r w:rsidR="000C6D4A" w:rsidRPr="00F1180D">
        <w:rPr>
          <w:lang w:val="fr-FR" w:bidi="ar-KW"/>
        </w:rPr>
        <w:t xml:space="preserve"> notamment les employés domestiques ayant porté plainte contre leurs employeurs. Placé sous la responsabilité conjointe de la Direction générale de la main d</w:t>
      </w:r>
      <w:r w:rsidR="00680ADA" w:rsidRPr="00F1180D">
        <w:rPr>
          <w:lang w:val="fr-FR" w:bidi="ar-KW"/>
        </w:rPr>
        <w:t>’</w:t>
      </w:r>
      <w:r w:rsidR="00823836" w:rsidRPr="00F1180D">
        <w:rPr>
          <w:lang w:val="fr-FR" w:bidi="ar-KW"/>
        </w:rPr>
        <w:t>œuvre</w:t>
      </w:r>
      <w:r w:rsidR="000C6D4A" w:rsidRPr="00F1180D">
        <w:rPr>
          <w:lang w:val="fr-FR" w:bidi="ar-KW"/>
        </w:rPr>
        <w:t xml:space="preserve"> et du Ministère des affaires sociales</w:t>
      </w:r>
      <w:r w:rsidR="00680ADA" w:rsidRPr="00F1180D">
        <w:rPr>
          <w:lang w:val="fr-FR" w:bidi="ar-KW"/>
        </w:rPr>
        <w:t>,</w:t>
      </w:r>
      <w:r w:rsidR="000C6D4A" w:rsidRPr="00F1180D">
        <w:rPr>
          <w:lang w:val="fr-FR" w:bidi="ar-KW"/>
        </w:rPr>
        <w:t xml:space="preserve"> le centre accueille les employés domestiques et leur propose différents services (soins de santé</w:t>
      </w:r>
      <w:r w:rsidR="00680ADA" w:rsidRPr="00F1180D">
        <w:rPr>
          <w:lang w:val="fr-FR" w:bidi="ar-KW"/>
        </w:rPr>
        <w:t>,</w:t>
      </w:r>
      <w:r w:rsidR="000C6D4A" w:rsidRPr="00F1180D">
        <w:rPr>
          <w:lang w:val="fr-FR" w:bidi="ar-KW"/>
        </w:rPr>
        <w:t xml:space="preserve"> réalisation d</w:t>
      </w:r>
      <w:r w:rsidR="00680ADA" w:rsidRPr="00F1180D">
        <w:rPr>
          <w:lang w:val="fr-FR" w:bidi="ar-KW"/>
        </w:rPr>
        <w:t>’</w:t>
      </w:r>
      <w:r w:rsidR="000C6D4A" w:rsidRPr="00F1180D">
        <w:rPr>
          <w:lang w:val="fr-FR" w:bidi="ar-KW"/>
        </w:rPr>
        <w:t>enquêtes</w:t>
      </w:r>
      <w:r w:rsidR="00680ADA" w:rsidRPr="00F1180D">
        <w:rPr>
          <w:lang w:val="fr-FR" w:bidi="ar-KW"/>
        </w:rPr>
        <w:t>,</w:t>
      </w:r>
      <w:r w:rsidR="000C6D4A" w:rsidRPr="00F1180D">
        <w:rPr>
          <w:lang w:val="fr-FR" w:bidi="ar-KW"/>
        </w:rPr>
        <w:t xml:space="preserve"> services de travailleurs sociaux et accès à des bureaux ouverts par des ambassades)</w:t>
      </w:r>
      <w:r w:rsidR="00680ADA" w:rsidRPr="00F1180D">
        <w:rPr>
          <w:lang w:val="fr-FR" w:bidi="ar-KW"/>
        </w:rPr>
        <w:t>,</w:t>
      </w:r>
      <w:r w:rsidR="000C6D4A" w:rsidRPr="00F1180D">
        <w:rPr>
          <w:lang w:val="fr-FR" w:bidi="ar-KW"/>
        </w:rPr>
        <w:t xml:space="preserve"> étant précisé qu</w:t>
      </w:r>
      <w:r w:rsidR="00680ADA" w:rsidRPr="00F1180D">
        <w:rPr>
          <w:lang w:val="fr-FR" w:bidi="ar-KW"/>
        </w:rPr>
        <w:t>’</w:t>
      </w:r>
      <w:r w:rsidR="000C6D4A" w:rsidRPr="00F1180D">
        <w:rPr>
          <w:lang w:val="fr-FR" w:bidi="ar-KW"/>
        </w:rPr>
        <w:t>il est doté de toutes les installations nécessaires</w:t>
      </w:r>
      <w:r w:rsidR="00680ADA" w:rsidRPr="00F1180D">
        <w:rPr>
          <w:lang w:val="fr-FR" w:bidi="ar-KW"/>
        </w:rPr>
        <w:t>,</w:t>
      </w:r>
      <w:r w:rsidR="000C6D4A" w:rsidRPr="00F1180D">
        <w:rPr>
          <w:lang w:val="fr-FR" w:bidi="ar-KW"/>
        </w:rPr>
        <w:t xml:space="preserve"> notamment de salles d</w:t>
      </w:r>
      <w:r w:rsidR="00680ADA" w:rsidRPr="00F1180D">
        <w:rPr>
          <w:lang w:val="fr-FR" w:bidi="ar-KW"/>
        </w:rPr>
        <w:t>’</w:t>
      </w:r>
      <w:r w:rsidR="000C6D4A" w:rsidRPr="00F1180D">
        <w:rPr>
          <w:lang w:val="fr-FR" w:bidi="ar-KW"/>
        </w:rPr>
        <w:t>hébergement</w:t>
      </w:r>
      <w:r w:rsidR="00680ADA" w:rsidRPr="00F1180D">
        <w:rPr>
          <w:lang w:val="fr-FR" w:bidi="ar-KW"/>
        </w:rPr>
        <w:t>,</w:t>
      </w:r>
      <w:r w:rsidR="000C6D4A" w:rsidRPr="00F1180D">
        <w:rPr>
          <w:lang w:val="fr-FR" w:bidi="ar-KW"/>
        </w:rPr>
        <w:t xml:space="preserve"> de restaurants</w:t>
      </w:r>
      <w:r w:rsidR="00680ADA" w:rsidRPr="00F1180D">
        <w:rPr>
          <w:lang w:val="fr-FR" w:bidi="ar-KW"/>
        </w:rPr>
        <w:t>,</w:t>
      </w:r>
      <w:r w:rsidR="000C6D4A" w:rsidRPr="00F1180D">
        <w:rPr>
          <w:lang w:val="fr-FR" w:bidi="ar-KW"/>
        </w:rPr>
        <w:t xml:space="preserve"> de salles de repos</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 dispensaire et d</w:t>
      </w:r>
      <w:r w:rsidR="00680ADA" w:rsidRPr="00F1180D">
        <w:rPr>
          <w:lang w:val="fr-FR" w:bidi="ar-KW"/>
        </w:rPr>
        <w:t>’</w:t>
      </w:r>
      <w:r w:rsidR="000C6D4A" w:rsidRPr="00F1180D">
        <w:rPr>
          <w:lang w:val="fr-FR" w:bidi="ar-KW"/>
        </w:rPr>
        <w:t>un service de suivi psychologique et médical.</w:t>
      </w:r>
    </w:p>
    <w:p w:rsidR="000C6D4A" w:rsidRPr="00F1180D" w:rsidRDefault="00C13D1B" w:rsidP="00680ADA">
      <w:pPr>
        <w:pStyle w:val="SingleTxtG"/>
        <w:rPr>
          <w:lang w:val="fr-FR" w:bidi="fr-FR"/>
        </w:rPr>
      </w:pPr>
      <w:r w:rsidRPr="00C13D1B">
        <w:rPr>
          <w:lang w:val="fr-FR" w:bidi="fr-FR"/>
        </w:rPr>
        <w:t>199.</w:t>
      </w:r>
      <w:r w:rsidRPr="00C13D1B">
        <w:rPr>
          <w:lang w:val="fr-FR" w:bidi="fr-FR"/>
        </w:rPr>
        <w:tab/>
      </w:r>
      <w:r w:rsidR="000C6D4A" w:rsidRPr="00F1180D">
        <w:rPr>
          <w:lang w:val="fr-FR" w:bidi="ar-KW"/>
        </w:rPr>
        <w:t>Le règlement intérieur du centre d</w:t>
      </w:r>
      <w:r w:rsidR="00680ADA" w:rsidRPr="00F1180D">
        <w:rPr>
          <w:lang w:val="fr-FR" w:bidi="ar-KW"/>
        </w:rPr>
        <w:t>’</w:t>
      </w:r>
      <w:r w:rsidR="000C6D4A" w:rsidRPr="00F1180D">
        <w:rPr>
          <w:lang w:val="fr-FR" w:bidi="ar-KW"/>
        </w:rPr>
        <w:t>hébergement des employés domestiques garantit à ces derniers des droits spécifiques</w:t>
      </w:r>
      <w:r w:rsidR="00680ADA" w:rsidRPr="00F1180D">
        <w:rPr>
          <w:lang w:val="fr-FR" w:bidi="ar-KW"/>
        </w:rPr>
        <w:t>,</w:t>
      </w:r>
      <w:r w:rsidR="000C6D4A" w:rsidRPr="00F1180D">
        <w:rPr>
          <w:lang w:val="fr-FR" w:bidi="ar-KW"/>
        </w:rPr>
        <w:t xml:space="preserve"> tels que le droit à un traitement correct</w:t>
      </w:r>
      <w:r w:rsidR="00680ADA" w:rsidRPr="00F1180D">
        <w:rPr>
          <w:lang w:val="fr-FR" w:bidi="ar-KW"/>
        </w:rPr>
        <w:t>,</w:t>
      </w:r>
      <w:r w:rsidR="000C6D4A" w:rsidRPr="00F1180D">
        <w:rPr>
          <w:lang w:val="fr-FR" w:bidi="ar-KW"/>
        </w:rPr>
        <w:t xml:space="preserve"> de façon à ce que leur dignité soit préservée et qu</w:t>
      </w:r>
      <w:r w:rsidR="00680ADA" w:rsidRPr="00F1180D">
        <w:rPr>
          <w:lang w:val="fr-FR" w:bidi="ar-KW"/>
        </w:rPr>
        <w:t>’</w:t>
      </w:r>
      <w:r w:rsidR="000C6D4A" w:rsidRPr="00F1180D">
        <w:rPr>
          <w:lang w:val="fr-FR" w:bidi="ar-KW"/>
        </w:rPr>
        <w:t>ils ne soient pas soumis à un quelconque préjudice moral ou physique</w:t>
      </w:r>
      <w:r w:rsidR="00680ADA" w:rsidRPr="00F1180D">
        <w:rPr>
          <w:lang w:val="fr-FR" w:bidi="ar-KW"/>
        </w:rPr>
        <w:t>,</w:t>
      </w:r>
      <w:r w:rsidR="000C6D4A" w:rsidRPr="00F1180D">
        <w:rPr>
          <w:lang w:val="fr-FR" w:bidi="ar-KW"/>
        </w:rPr>
        <w:t xml:space="preserve"> ainsi que le droit d</w:t>
      </w:r>
      <w:r w:rsidR="00680ADA" w:rsidRPr="00F1180D">
        <w:rPr>
          <w:lang w:val="fr-FR" w:bidi="ar-KW"/>
        </w:rPr>
        <w:t>’</w:t>
      </w:r>
      <w:r w:rsidR="000C6D4A" w:rsidRPr="00F1180D">
        <w:rPr>
          <w:lang w:val="fr-FR" w:bidi="ar-KW"/>
        </w:rPr>
        <w:t>accès à tout un éventail de services</w:t>
      </w:r>
      <w:r w:rsidR="00680ADA" w:rsidRPr="00F1180D">
        <w:rPr>
          <w:lang w:val="fr-FR" w:bidi="ar-KW"/>
        </w:rPr>
        <w:t>,</w:t>
      </w:r>
      <w:r w:rsidR="000C6D4A" w:rsidRPr="00F1180D">
        <w:rPr>
          <w:lang w:val="fr-FR" w:bidi="ar-KW"/>
        </w:rPr>
        <w:t xml:space="preserve"> sans distinction fondée sur la nationalité</w:t>
      </w:r>
      <w:r w:rsidR="00680ADA" w:rsidRPr="00F1180D">
        <w:rPr>
          <w:lang w:val="fr-FR" w:bidi="ar-KW"/>
        </w:rPr>
        <w:t>,</w:t>
      </w:r>
      <w:r w:rsidR="000C6D4A" w:rsidRPr="00F1180D">
        <w:rPr>
          <w:lang w:val="fr-FR" w:bidi="ar-KW"/>
        </w:rPr>
        <w:t xml:space="preserve"> la religion ou la confession. En outre</w:t>
      </w:r>
      <w:r w:rsidR="00680ADA" w:rsidRPr="00F1180D">
        <w:rPr>
          <w:lang w:val="fr-FR" w:bidi="ar-KW"/>
        </w:rPr>
        <w:t>,</w:t>
      </w:r>
      <w:r w:rsidR="000C6D4A" w:rsidRPr="00F1180D">
        <w:rPr>
          <w:lang w:val="fr-FR" w:bidi="ar-KW"/>
        </w:rPr>
        <w:t xml:space="preserve"> les résidents du Centre ne peuvent être privés de visites tant à l</w:t>
      </w:r>
      <w:r w:rsidR="00680ADA" w:rsidRPr="00F1180D">
        <w:rPr>
          <w:lang w:val="fr-FR" w:bidi="ar-KW"/>
        </w:rPr>
        <w:t>’</w:t>
      </w:r>
      <w:r w:rsidR="000C6D4A" w:rsidRPr="00F1180D">
        <w:rPr>
          <w:lang w:val="fr-FR" w:bidi="ar-KW"/>
        </w:rPr>
        <w:t>intérieur qu</w:t>
      </w:r>
      <w:r w:rsidR="00680ADA" w:rsidRPr="00F1180D">
        <w:rPr>
          <w:lang w:val="fr-FR" w:bidi="ar-KW"/>
        </w:rPr>
        <w:t>’</w:t>
      </w:r>
      <w:r w:rsidR="000C6D4A" w:rsidRPr="00F1180D">
        <w:rPr>
          <w:lang w:val="fr-FR" w:bidi="ar-KW"/>
        </w:rPr>
        <w:t>à l</w:t>
      </w:r>
      <w:r w:rsidR="00680ADA" w:rsidRPr="00F1180D">
        <w:rPr>
          <w:lang w:val="fr-FR" w:bidi="ar-KW"/>
        </w:rPr>
        <w:t>’</w:t>
      </w:r>
      <w:r w:rsidR="000C6D4A" w:rsidRPr="00F1180D">
        <w:rPr>
          <w:lang w:val="fr-FR" w:bidi="ar-KW"/>
        </w:rPr>
        <w:t>extérieur du Centre. Le règlement intérieur leur garantit enfin l</w:t>
      </w:r>
      <w:r w:rsidR="00680ADA" w:rsidRPr="00F1180D">
        <w:rPr>
          <w:lang w:val="fr-FR" w:bidi="ar-KW"/>
        </w:rPr>
        <w:t>’</w:t>
      </w:r>
      <w:r w:rsidR="000C6D4A" w:rsidRPr="00F1180D">
        <w:rPr>
          <w:lang w:val="fr-FR" w:bidi="ar-KW"/>
        </w:rPr>
        <w:t>ensemble des droits consacrés par la Constitution</w:t>
      </w:r>
      <w:r w:rsidR="00680ADA" w:rsidRPr="00F1180D">
        <w:rPr>
          <w:lang w:val="fr-FR" w:bidi="ar-KW"/>
        </w:rPr>
        <w:t>,</w:t>
      </w:r>
      <w:r w:rsidR="000C6D4A" w:rsidRPr="00F1180D">
        <w:rPr>
          <w:lang w:val="fr-FR" w:bidi="ar-KW"/>
        </w:rPr>
        <w:t xml:space="preserve"> les lois et les instruments internationaux en vigueur dans le pays. </w:t>
      </w:r>
    </w:p>
    <w:p w:rsidR="000C6D4A" w:rsidRPr="00F1180D" w:rsidRDefault="000C6D4A" w:rsidP="00E501D8">
      <w:pPr>
        <w:pStyle w:val="H23G"/>
        <w:keepNext w:val="0"/>
        <w:keepLines w:val="0"/>
        <w:rPr>
          <w:lang w:val="fr-FR" w:bidi="ar-KW"/>
        </w:rPr>
      </w:pPr>
      <w:r w:rsidRPr="00F1180D">
        <w:rPr>
          <w:lang w:val="fr-FR" w:bidi="ar-KW"/>
        </w:rPr>
        <w:tab/>
        <w:t>3</w:t>
      </w:r>
      <w:r w:rsidR="00EF1173" w:rsidRPr="00F1180D">
        <w:rPr>
          <w:lang w:val="fr-FR" w:bidi="ar-KW"/>
        </w:rPr>
        <w:t>.</w:t>
      </w:r>
      <w:r w:rsidR="00EF1173" w:rsidRPr="00F1180D">
        <w:rPr>
          <w:lang w:val="fr-FR" w:bidi="ar-KW"/>
        </w:rPr>
        <w:tab/>
      </w:r>
      <w:r w:rsidRPr="00F1180D">
        <w:rPr>
          <w:lang w:val="fr-FR" w:bidi="ar-KW"/>
        </w:rPr>
        <w:t>L</w:t>
      </w:r>
      <w:r w:rsidR="00680ADA" w:rsidRPr="00F1180D">
        <w:rPr>
          <w:lang w:val="fr-FR" w:bidi="ar-KW"/>
        </w:rPr>
        <w:t>’</w:t>
      </w:r>
      <w:r w:rsidRPr="00F1180D">
        <w:rPr>
          <w:lang w:val="fr-FR" w:bidi="ar-KW"/>
        </w:rPr>
        <w:t>État veille à organiser des sessions de formation aux droits de l</w:t>
      </w:r>
      <w:r w:rsidR="00680ADA" w:rsidRPr="00F1180D">
        <w:rPr>
          <w:lang w:val="fr-FR" w:bidi="ar-KW"/>
        </w:rPr>
        <w:t>’</w:t>
      </w:r>
      <w:r w:rsidRPr="00F1180D">
        <w:rPr>
          <w:lang w:val="fr-FR" w:bidi="ar-KW"/>
        </w:rPr>
        <w:t>homme à l</w:t>
      </w:r>
      <w:r w:rsidR="00680ADA" w:rsidRPr="00F1180D">
        <w:rPr>
          <w:lang w:val="fr-FR" w:bidi="ar-KW"/>
        </w:rPr>
        <w:t>’</w:t>
      </w:r>
      <w:r w:rsidRPr="00F1180D">
        <w:rPr>
          <w:lang w:val="fr-FR" w:bidi="ar-KW"/>
        </w:rPr>
        <w:t>intention de ses fonctionnaires en vue de les sensibiliser aux questions relatives aux droits et libertés de l</w:t>
      </w:r>
      <w:r w:rsidR="00680ADA" w:rsidRPr="00F1180D">
        <w:rPr>
          <w:lang w:val="fr-FR" w:bidi="ar-KW"/>
        </w:rPr>
        <w:t>’</w:t>
      </w:r>
      <w:r w:rsidRPr="00F1180D">
        <w:rPr>
          <w:lang w:val="fr-FR" w:bidi="ar-KW"/>
        </w:rPr>
        <w:t>homme et à la garantie de ceux-ci</w:t>
      </w:r>
      <w:r w:rsidR="00680ADA" w:rsidRPr="00F1180D">
        <w:rPr>
          <w:lang w:val="fr-FR" w:bidi="ar-KW"/>
        </w:rPr>
        <w:t>,</w:t>
      </w:r>
      <w:r w:rsidRPr="00F1180D">
        <w:rPr>
          <w:lang w:val="fr-FR" w:bidi="ar-KW"/>
        </w:rPr>
        <w:t xml:space="preserve"> ainsi que pour leur faire prendre conscience des conséquences découlant de la violation et/ou des atteintes dont ils pourraient faire l</w:t>
      </w:r>
      <w:r w:rsidR="00680ADA" w:rsidRPr="00F1180D">
        <w:rPr>
          <w:lang w:val="fr-FR" w:bidi="ar-KW"/>
        </w:rPr>
        <w:t>’</w:t>
      </w:r>
      <w:r w:rsidRPr="00F1180D">
        <w:rPr>
          <w:lang w:val="fr-FR" w:bidi="ar-KW"/>
        </w:rPr>
        <w:t>objet. En outre</w:t>
      </w:r>
      <w:r w:rsidR="00680ADA" w:rsidRPr="00F1180D">
        <w:rPr>
          <w:lang w:val="fr-FR" w:bidi="ar-KW"/>
        </w:rPr>
        <w:t>,</w:t>
      </w:r>
      <w:r w:rsidRPr="00F1180D">
        <w:rPr>
          <w:lang w:val="fr-FR" w:bidi="ar-KW"/>
        </w:rPr>
        <w:t xml:space="preserve"> le plan de formation du Ministère prévoit chaque année de nombreuses sessions de formation</w:t>
      </w:r>
      <w:r w:rsidR="00680ADA" w:rsidRPr="00F1180D">
        <w:rPr>
          <w:lang w:val="fr-FR" w:bidi="ar-KW"/>
        </w:rPr>
        <w:t>,</w:t>
      </w:r>
      <w:r w:rsidRPr="00F1180D">
        <w:rPr>
          <w:lang w:val="fr-FR" w:bidi="ar-KW"/>
        </w:rPr>
        <w:t xml:space="preserve"> parmi lesquelles une session sur les droits de l</w:t>
      </w:r>
      <w:r w:rsidR="00680ADA" w:rsidRPr="00F1180D">
        <w:rPr>
          <w:lang w:val="fr-FR" w:bidi="ar-KW"/>
        </w:rPr>
        <w:t>’</w:t>
      </w:r>
      <w:r w:rsidRPr="00F1180D">
        <w:rPr>
          <w:lang w:val="fr-FR" w:bidi="ar-KW"/>
        </w:rPr>
        <w:t>homme à l</w:t>
      </w:r>
      <w:r w:rsidR="00680ADA" w:rsidRPr="00F1180D">
        <w:rPr>
          <w:lang w:val="fr-FR" w:bidi="ar-KW"/>
        </w:rPr>
        <w:t>’</w:t>
      </w:r>
      <w:r w:rsidRPr="00F1180D">
        <w:rPr>
          <w:lang w:val="fr-FR" w:bidi="ar-KW"/>
        </w:rPr>
        <w:t>intention des services de police</w:t>
      </w:r>
      <w:r w:rsidR="00680ADA" w:rsidRPr="00F1180D">
        <w:rPr>
          <w:lang w:val="fr-FR" w:bidi="ar-KW"/>
        </w:rPr>
        <w:t>,</w:t>
      </w:r>
      <w:r w:rsidRPr="00F1180D">
        <w:rPr>
          <w:lang w:val="fr-FR" w:bidi="ar-KW"/>
        </w:rPr>
        <w:t xml:space="preserve"> une session sur la protection internationale des droits de l</w:t>
      </w:r>
      <w:r w:rsidR="00680ADA" w:rsidRPr="00F1180D">
        <w:rPr>
          <w:lang w:val="fr-FR" w:bidi="ar-KW"/>
        </w:rPr>
        <w:t>’</w:t>
      </w:r>
      <w:r w:rsidRPr="00F1180D">
        <w:rPr>
          <w:lang w:val="fr-FR" w:bidi="ar-KW"/>
        </w:rPr>
        <w:t>homme</w:t>
      </w:r>
      <w:r w:rsidR="00680ADA" w:rsidRPr="00F1180D">
        <w:rPr>
          <w:lang w:val="fr-FR" w:bidi="ar-KW"/>
        </w:rPr>
        <w:t>,</w:t>
      </w:r>
      <w:r w:rsidRPr="00F1180D">
        <w:rPr>
          <w:lang w:val="fr-FR" w:bidi="ar-KW"/>
        </w:rPr>
        <w:t xml:space="preserve"> une table ronde sur le thème les droits de l</w:t>
      </w:r>
      <w:r w:rsidR="00680ADA" w:rsidRPr="00F1180D">
        <w:rPr>
          <w:lang w:val="fr-FR" w:bidi="ar-KW"/>
        </w:rPr>
        <w:t>’</w:t>
      </w:r>
      <w:r w:rsidRPr="00F1180D">
        <w:rPr>
          <w:lang w:val="fr-FR" w:bidi="ar-KW"/>
        </w:rPr>
        <w:t xml:space="preserve">homme et leur mise en </w:t>
      </w:r>
      <w:r w:rsidR="00823836" w:rsidRPr="00F1180D">
        <w:rPr>
          <w:lang w:val="fr-FR" w:bidi="ar-KW"/>
        </w:rPr>
        <w:t>œuvre</w:t>
      </w:r>
      <w:r w:rsidRPr="00F1180D">
        <w:rPr>
          <w:lang w:val="fr-FR" w:bidi="ar-KW"/>
        </w:rPr>
        <w:t xml:space="preserve"> par le Ministère de l</w:t>
      </w:r>
      <w:r w:rsidR="00680ADA" w:rsidRPr="00F1180D">
        <w:rPr>
          <w:lang w:val="fr-FR" w:bidi="ar-KW"/>
        </w:rPr>
        <w:t>’</w:t>
      </w:r>
      <w:r w:rsidRPr="00F1180D">
        <w:rPr>
          <w:lang w:val="fr-FR" w:bidi="ar-KW"/>
        </w:rPr>
        <w:t>intérieur</w:t>
      </w:r>
      <w:r w:rsidR="00680ADA" w:rsidRPr="00F1180D">
        <w:rPr>
          <w:lang w:val="fr-FR" w:bidi="ar-KW"/>
        </w:rPr>
        <w:t>,</w:t>
      </w:r>
      <w:r w:rsidRPr="00F1180D">
        <w:rPr>
          <w:lang w:val="fr-FR" w:bidi="ar-KW"/>
        </w:rPr>
        <w:t xml:space="preserve"> etc.</w:t>
      </w:r>
      <w:r w:rsidR="009B1350" w:rsidRPr="00F1180D">
        <w:rPr>
          <w:lang w:val="fr-FR" w:bidi="ar-KW"/>
        </w:rPr>
        <w:t xml:space="preserve"> </w:t>
      </w:r>
    </w:p>
    <w:p w:rsidR="000C6D4A" w:rsidRPr="00F1180D" w:rsidRDefault="00EF1173" w:rsidP="00EF1173">
      <w:pPr>
        <w:pStyle w:val="H23G"/>
        <w:rPr>
          <w:lang w:val="fr-FR" w:bidi="ar-KW"/>
        </w:rPr>
      </w:pPr>
      <w:r w:rsidRPr="00F1180D">
        <w:rPr>
          <w:lang w:val="fr-FR" w:bidi="ar-KW"/>
        </w:rPr>
        <w:tab/>
      </w:r>
      <w:r w:rsidR="000C6D4A" w:rsidRPr="00F1180D">
        <w:rPr>
          <w:lang w:val="fr-FR" w:bidi="ar-KW"/>
        </w:rPr>
        <w:t>4</w:t>
      </w:r>
      <w:r w:rsidR="000C6D4A" w:rsidRPr="00F1180D">
        <w:rPr>
          <w:lang w:val="fr-FR" w:bidi="ar-KW"/>
        </w:rPr>
        <w:tab/>
        <w:t>Concernant l</w:t>
      </w:r>
      <w:r w:rsidR="00680ADA" w:rsidRPr="00F1180D">
        <w:rPr>
          <w:lang w:val="fr-FR" w:bidi="ar-KW"/>
        </w:rPr>
        <w:t>’</w:t>
      </w:r>
      <w:r w:rsidR="000C6D4A" w:rsidRPr="00F1180D">
        <w:rPr>
          <w:lang w:val="fr-FR" w:bidi="ar-KW"/>
        </w:rPr>
        <w:t>obligation faite aux travailleurs de demeurer à leur poste pendant trois</w:t>
      </w:r>
      <w:r w:rsidR="00524736" w:rsidRPr="00F1180D">
        <w:rPr>
          <w:lang w:val="fr-FR" w:bidi="ar-KW"/>
        </w:rPr>
        <w:t> ans</w:t>
      </w:r>
      <w:r w:rsidR="000C6D4A" w:rsidRPr="00F1180D">
        <w:rPr>
          <w:lang w:val="fr-FR" w:bidi="ar-KW"/>
        </w:rPr>
        <w:t xml:space="preserve"> </w:t>
      </w:r>
    </w:p>
    <w:p w:rsidR="000C6D4A" w:rsidRPr="00F1180D" w:rsidRDefault="00C13D1B" w:rsidP="00680ADA">
      <w:pPr>
        <w:pStyle w:val="SingleTxtG"/>
        <w:rPr>
          <w:lang w:val="fr-FR" w:bidi="ar-KW"/>
        </w:rPr>
      </w:pPr>
      <w:r w:rsidRPr="00C13D1B">
        <w:rPr>
          <w:lang w:val="fr-FR" w:bidi="ar-KW"/>
        </w:rPr>
        <w:t>200.</w:t>
      </w:r>
      <w:r w:rsidRPr="00C13D1B">
        <w:rPr>
          <w:lang w:val="fr-FR" w:bidi="ar-KW"/>
        </w:rPr>
        <w:tab/>
      </w:r>
      <w:r w:rsidR="000C6D4A" w:rsidRPr="00F1180D">
        <w:rPr>
          <w:lang w:val="fr-FR" w:bidi="ar-KW"/>
        </w:rPr>
        <w:t>Cette obligation ne s</w:t>
      </w:r>
      <w:r w:rsidR="00680ADA" w:rsidRPr="00F1180D">
        <w:rPr>
          <w:lang w:val="fr-FR" w:bidi="ar-KW"/>
        </w:rPr>
        <w:t>’</w:t>
      </w:r>
      <w:r w:rsidR="000C6D4A" w:rsidRPr="00F1180D">
        <w:rPr>
          <w:lang w:val="fr-FR" w:bidi="ar-KW"/>
        </w:rPr>
        <w:t>applique pas aux employés domestiques</w:t>
      </w:r>
      <w:r w:rsidR="00680ADA" w:rsidRPr="00F1180D">
        <w:rPr>
          <w:lang w:val="fr-FR" w:bidi="ar-KW"/>
        </w:rPr>
        <w:t>,</w:t>
      </w:r>
      <w:r w:rsidR="000C6D4A" w:rsidRPr="00F1180D">
        <w:rPr>
          <w:lang w:val="fr-FR" w:bidi="ar-KW"/>
        </w:rPr>
        <w:t xml:space="preserve"> lesquels ne sont pas concernés par les dispositions de l</w:t>
      </w:r>
      <w:r w:rsidR="00680ADA" w:rsidRPr="00F1180D">
        <w:rPr>
          <w:lang w:val="fr-FR" w:bidi="ar-KW"/>
        </w:rPr>
        <w:t>’</w:t>
      </w:r>
      <w:r w:rsidR="00163207" w:rsidRPr="00F1180D">
        <w:rPr>
          <w:lang w:val="fr-FR" w:bidi="ar-KW"/>
        </w:rPr>
        <w:t>article </w:t>
      </w:r>
      <w:r w:rsidR="000C6D4A" w:rsidRPr="00F1180D">
        <w:rPr>
          <w:lang w:val="fr-FR" w:bidi="ar-KW"/>
        </w:rPr>
        <w:t xml:space="preserve">5 de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6/2010 sur l</w:t>
      </w:r>
      <w:r w:rsidR="00680ADA" w:rsidRPr="00F1180D">
        <w:rPr>
          <w:lang w:val="fr-FR" w:bidi="ar-KW"/>
        </w:rPr>
        <w:t>’</w:t>
      </w:r>
      <w:r w:rsidR="000C6D4A" w:rsidRPr="00F1180D">
        <w:rPr>
          <w:lang w:val="fr-FR" w:bidi="ar-KW"/>
        </w:rPr>
        <w:t xml:space="preserve">emploi dans le secteur privé. </w:t>
      </w:r>
    </w:p>
    <w:p w:rsidR="000C6D4A" w:rsidRPr="00F1180D" w:rsidRDefault="00C13D1B" w:rsidP="00680ADA">
      <w:pPr>
        <w:pStyle w:val="SingleTxtG"/>
        <w:rPr>
          <w:lang w:val="fr-FR" w:bidi="ar-KW"/>
        </w:rPr>
      </w:pPr>
      <w:r w:rsidRPr="00C13D1B">
        <w:rPr>
          <w:lang w:val="fr-FR" w:bidi="ar-KW"/>
        </w:rPr>
        <w:t>201.</w:t>
      </w:r>
      <w:r w:rsidRPr="00C13D1B">
        <w:rPr>
          <w:lang w:val="fr-FR" w:bidi="ar-KW"/>
        </w:rPr>
        <w:tab/>
      </w:r>
      <w:r w:rsidR="000C6D4A" w:rsidRPr="00F1180D">
        <w:rPr>
          <w:lang w:val="fr-FR" w:bidi="ar-KW"/>
        </w:rPr>
        <w:t>De même</w:t>
      </w:r>
      <w:r w:rsidR="00680ADA" w:rsidRPr="00F1180D">
        <w:rPr>
          <w:lang w:val="fr-FR" w:bidi="ar-KW"/>
        </w:rPr>
        <w:t>,</w:t>
      </w:r>
      <w:r w:rsidR="000C6D4A" w:rsidRPr="00F1180D">
        <w:rPr>
          <w:lang w:val="fr-FR" w:bidi="ar-KW"/>
        </w:rPr>
        <w:t xml:space="preserve"> selon l</w:t>
      </w:r>
      <w:r w:rsidR="00680ADA" w:rsidRPr="00F1180D">
        <w:rPr>
          <w:lang w:val="fr-FR" w:bidi="ar-KW"/>
        </w:rPr>
        <w:t>’</w:t>
      </w:r>
      <w:r w:rsidR="00163207" w:rsidRPr="00F1180D">
        <w:rPr>
          <w:lang w:val="fr-FR" w:bidi="ar-KW"/>
        </w:rPr>
        <w:t>article </w:t>
      </w:r>
      <w:r w:rsidR="000C6D4A" w:rsidRPr="00F1180D">
        <w:rPr>
          <w:lang w:val="fr-FR" w:bidi="ar-KW"/>
        </w:rPr>
        <w:t xml:space="preserve">16 de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68 /2015 sur les employés domestiques</w:t>
      </w:r>
      <w:r w:rsidR="00680ADA" w:rsidRPr="00F1180D">
        <w:rPr>
          <w:lang w:val="fr-FR" w:bidi="ar-KW"/>
        </w:rPr>
        <w:t>,</w:t>
      </w:r>
      <w:r w:rsidR="000C6D4A" w:rsidRPr="00F1180D">
        <w:rPr>
          <w:lang w:val="fr-FR" w:bidi="ar-KW"/>
        </w:rPr>
        <w:t xml:space="preserve"> le travailleur domestique ou l</w:t>
      </w:r>
      <w:r w:rsidR="00680ADA" w:rsidRPr="00F1180D">
        <w:rPr>
          <w:lang w:val="fr-FR" w:bidi="ar-KW"/>
        </w:rPr>
        <w:t>’</w:t>
      </w:r>
      <w:r w:rsidR="000C6D4A" w:rsidRPr="00F1180D">
        <w:rPr>
          <w:lang w:val="fr-FR" w:bidi="ar-KW"/>
        </w:rPr>
        <w:t>employeur qui ne souhaite pas renouveler le contrat de travail doit le notifier à l</w:t>
      </w:r>
      <w:r w:rsidR="00680ADA" w:rsidRPr="00F1180D">
        <w:rPr>
          <w:lang w:val="fr-FR" w:bidi="ar-KW"/>
        </w:rPr>
        <w:t>’</w:t>
      </w:r>
      <w:r w:rsidR="000C6D4A" w:rsidRPr="00F1180D">
        <w:rPr>
          <w:lang w:val="fr-FR" w:bidi="ar-KW"/>
        </w:rPr>
        <w:t>autre partie deux mois avant l</w:t>
      </w:r>
      <w:r w:rsidR="00680ADA" w:rsidRPr="00F1180D">
        <w:rPr>
          <w:lang w:val="fr-FR" w:bidi="ar-KW"/>
        </w:rPr>
        <w:t>’</w:t>
      </w:r>
      <w:r w:rsidR="000C6D4A" w:rsidRPr="00F1180D">
        <w:rPr>
          <w:lang w:val="fr-FR" w:bidi="ar-KW"/>
        </w:rPr>
        <w:t xml:space="preserve">échéance du terme prévu. </w:t>
      </w:r>
    </w:p>
    <w:p w:rsidR="000C6D4A" w:rsidRPr="00F1180D" w:rsidRDefault="00C13D1B" w:rsidP="00680ADA">
      <w:pPr>
        <w:pStyle w:val="SingleTxtG"/>
        <w:rPr>
          <w:lang w:val="fr-FR" w:bidi="fr-FR"/>
        </w:rPr>
      </w:pPr>
      <w:r w:rsidRPr="00C13D1B">
        <w:rPr>
          <w:lang w:val="fr-FR" w:bidi="fr-FR"/>
        </w:rPr>
        <w:t>202.</w:t>
      </w:r>
      <w:r w:rsidRPr="00C13D1B">
        <w:rPr>
          <w:lang w:val="fr-FR" w:bidi="fr-FR"/>
        </w:rPr>
        <w:tab/>
      </w:r>
      <w:r w:rsidR="000C6D4A" w:rsidRPr="00F1180D">
        <w:rPr>
          <w:lang w:val="fr-FR" w:bidi="ar-KW"/>
        </w:rPr>
        <w:t>S</w:t>
      </w:r>
      <w:r w:rsidR="00680ADA" w:rsidRPr="00F1180D">
        <w:rPr>
          <w:lang w:val="fr-FR" w:bidi="ar-KW"/>
        </w:rPr>
        <w:t>’</w:t>
      </w:r>
      <w:r w:rsidR="000C6D4A" w:rsidRPr="00F1180D">
        <w:rPr>
          <w:lang w:val="fr-FR" w:bidi="ar-KW"/>
        </w:rPr>
        <w:t>il estime que ses conditions de travail ne sont pas satisfaisantes et qu</w:t>
      </w:r>
      <w:r w:rsidR="00680ADA" w:rsidRPr="00F1180D">
        <w:rPr>
          <w:lang w:val="fr-FR" w:bidi="ar-KW"/>
        </w:rPr>
        <w:t>’</w:t>
      </w:r>
      <w:r w:rsidR="000C6D4A" w:rsidRPr="00F1180D">
        <w:rPr>
          <w:lang w:val="fr-FR" w:bidi="ar-KW"/>
        </w:rPr>
        <w:t>il n</w:t>
      </w:r>
      <w:r w:rsidR="00680ADA" w:rsidRPr="00F1180D">
        <w:rPr>
          <w:lang w:val="fr-FR" w:bidi="ar-KW"/>
        </w:rPr>
        <w:t>’</w:t>
      </w:r>
      <w:r w:rsidR="000C6D4A" w:rsidRPr="00F1180D">
        <w:rPr>
          <w:lang w:val="fr-FR" w:bidi="ar-KW"/>
        </w:rPr>
        <w:t>est pas correctement rémunéré</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employé domestique peut notifier à son employeur son intention de ne pas renouveler le contrat de travail.</w:t>
      </w:r>
    </w:p>
    <w:p w:rsidR="000C6D4A" w:rsidRPr="00F1180D" w:rsidRDefault="00EF1173" w:rsidP="00EF1173">
      <w:pPr>
        <w:pStyle w:val="H1G"/>
        <w:rPr>
          <w:bCs/>
          <w:sz w:val="20"/>
          <w:rtl/>
          <w:lang w:val="fr-FR" w:bidi="fr-FR"/>
        </w:rPr>
      </w:pPr>
      <w:r w:rsidRPr="00F1180D">
        <w:rPr>
          <w:lang w:val="fr-FR" w:bidi="ar-KW"/>
        </w:rPr>
        <w:lastRenderedPageBreak/>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24</w:t>
      </w:r>
    </w:p>
    <w:p w:rsidR="000C6D4A" w:rsidRPr="00F1180D" w:rsidRDefault="00C13D1B" w:rsidP="00680ADA">
      <w:pPr>
        <w:pStyle w:val="SingleTxtG"/>
        <w:rPr>
          <w:rtl/>
          <w:lang w:val="fr-FR" w:bidi="fr-FR"/>
        </w:rPr>
      </w:pPr>
      <w:r>
        <w:rPr>
          <w:lang w:val="fr-FR" w:bidi="ar-KW"/>
        </w:rPr>
        <w:t>203.</w:t>
      </w:r>
      <w:r>
        <w:rPr>
          <w:lang w:val="fr-FR" w:bidi="ar-KW"/>
        </w:rPr>
        <w:tab/>
      </w:r>
      <w:r w:rsidR="000C6D4A" w:rsidRPr="00F1180D">
        <w:rPr>
          <w:lang w:val="fr-FR" w:bidi="ar-KW"/>
        </w:rPr>
        <w:t>Conscient de la nécessité de promouvoir les droits de l</w:t>
      </w:r>
      <w:r w:rsidR="00680ADA" w:rsidRPr="00F1180D">
        <w:rPr>
          <w:lang w:val="fr-FR" w:bidi="ar-KW"/>
        </w:rPr>
        <w:t>’</w:t>
      </w:r>
      <w:r w:rsidR="000C6D4A" w:rsidRPr="00F1180D">
        <w:rPr>
          <w:lang w:val="fr-FR" w:bidi="ar-KW"/>
        </w:rPr>
        <w:t>homme</w:t>
      </w:r>
      <w:r w:rsidR="00680ADA" w:rsidRPr="00F1180D">
        <w:rPr>
          <w:lang w:val="fr-FR" w:bidi="ar-KW"/>
        </w:rPr>
        <w:t>,</w:t>
      </w:r>
      <w:r w:rsidR="000C6D4A" w:rsidRPr="00F1180D">
        <w:rPr>
          <w:lang w:val="fr-FR" w:bidi="ar-KW"/>
        </w:rPr>
        <w:t xml:space="preserve"> la justice et les valeurs humanitaires</w:t>
      </w:r>
      <w:r w:rsidR="00680ADA" w:rsidRPr="00F1180D">
        <w:rPr>
          <w:lang w:val="fr-FR" w:bidi="ar-KW"/>
        </w:rPr>
        <w:t>,</w:t>
      </w:r>
      <w:r w:rsidR="000C6D4A" w:rsidRPr="00F1180D">
        <w:rPr>
          <w:lang w:val="fr-FR" w:bidi="ar-KW"/>
        </w:rPr>
        <w:t xml:space="preserve"> le Koweït a examiné les dispositions de la Convention internationale sur la protection des droits de tous les travailleurs migrants et des membres de leur famille</w:t>
      </w:r>
      <w:r w:rsidR="00680ADA" w:rsidRPr="00F1180D">
        <w:rPr>
          <w:lang w:val="fr-FR" w:bidi="ar-KW"/>
        </w:rPr>
        <w:t>,</w:t>
      </w:r>
      <w:r w:rsidR="000C6D4A" w:rsidRPr="00F1180D">
        <w:rPr>
          <w:lang w:val="fr-FR" w:bidi="ar-KW"/>
        </w:rPr>
        <w:t xml:space="preserve"> mais préfère prendre un temps de réflexion avant d</w:t>
      </w:r>
      <w:r w:rsidR="00680ADA" w:rsidRPr="00F1180D">
        <w:rPr>
          <w:lang w:val="fr-FR" w:bidi="ar-KW"/>
        </w:rPr>
        <w:t>’</w:t>
      </w:r>
      <w:r w:rsidR="000C6D4A" w:rsidRPr="00F1180D">
        <w:rPr>
          <w:lang w:val="fr-FR" w:bidi="ar-KW"/>
        </w:rPr>
        <w:t xml:space="preserve">y adhérer. </w:t>
      </w:r>
    </w:p>
    <w:p w:rsidR="000C6D4A" w:rsidRPr="00F1180D" w:rsidRDefault="00C13D1B" w:rsidP="00680ADA">
      <w:pPr>
        <w:pStyle w:val="SingleTxtG"/>
        <w:rPr>
          <w:rtl/>
          <w:lang w:val="fr-FR" w:bidi="fr-FR"/>
        </w:rPr>
      </w:pPr>
      <w:r>
        <w:rPr>
          <w:lang w:val="fr-FR" w:bidi="ar-KW"/>
        </w:rPr>
        <w:t>204.</w:t>
      </w:r>
      <w:r>
        <w:rPr>
          <w:lang w:val="fr-FR" w:bidi="ar-KW"/>
        </w:rPr>
        <w:tab/>
      </w:r>
      <w:r w:rsidR="000C6D4A" w:rsidRPr="00F1180D">
        <w:rPr>
          <w:lang w:val="fr-FR" w:bidi="ar-KW"/>
        </w:rPr>
        <w:t>Il convient de noter qu</w:t>
      </w:r>
      <w:r w:rsidR="00680ADA" w:rsidRPr="00F1180D">
        <w:rPr>
          <w:lang w:val="fr-FR" w:bidi="ar-KW"/>
        </w:rPr>
        <w:t>’</w:t>
      </w:r>
      <w:r w:rsidR="000C6D4A" w:rsidRPr="00F1180D">
        <w:rPr>
          <w:lang w:val="fr-FR" w:bidi="ar-KW"/>
        </w:rPr>
        <w:t>à travers son système juridique et constitutionnel</w:t>
      </w:r>
      <w:r w:rsidR="00680ADA" w:rsidRPr="00F1180D">
        <w:rPr>
          <w:lang w:val="fr-FR" w:bidi="ar-KW"/>
        </w:rPr>
        <w:t>,</w:t>
      </w:r>
      <w:r w:rsidR="000C6D4A" w:rsidRPr="00F1180D">
        <w:rPr>
          <w:lang w:val="fr-FR" w:bidi="ar-KW"/>
        </w:rPr>
        <w:t xml:space="preserve"> le législateur koweïtien veille à promulguer des textes protégeant les travailleurs</w:t>
      </w:r>
      <w:r w:rsidR="00680ADA" w:rsidRPr="00F1180D">
        <w:rPr>
          <w:lang w:val="fr-FR" w:bidi="ar-KW"/>
        </w:rPr>
        <w:t>,</w:t>
      </w:r>
      <w:r w:rsidR="000C6D4A" w:rsidRPr="00F1180D">
        <w:rPr>
          <w:lang w:val="fr-FR" w:bidi="ar-KW"/>
        </w:rPr>
        <w:t xml:space="preserve"> étant précisé que le pays a ratifié plusieurs </w:t>
      </w:r>
      <w:r w:rsidR="000C6D4A" w:rsidRPr="00F1180D">
        <w:rPr>
          <w:lang w:val="fr-FR"/>
        </w:rPr>
        <w:t>Conventions de l</w:t>
      </w:r>
      <w:r w:rsidR="00680ADA" w:rsidRPr="00F1180D">
        <w:rPr>
          <w:lang w:val="fr-FR"/>
        </w:rPr>
        <w:t>’</w:t>
      </w:r>
      <w:r w:rsidR="000C6D4A" w:rsidRPr="00F1180D">
        <w:rPr>
          <w:lang w:val="fr-FR"/>
        </w:rPr>
        <w:t>Organisation internationale du Travail relatives aux droits de l</w:t>
      </w:r>
      <w:r w:rsidR="00680ADA" w:rsidRPr="00F1180D">
        <w:rPr>
          <w:lang w:val="fr-FR"/>
        </w:rPr>
        <w:t>’</w:t>
      </w:r>
      <w:r w:rsidR="000C6D4A" w:rsidRPr="00F1180D">
        <w:rPr>
          <w:lang w:val="fr-FR"/>
        </w:rPr>
        <w:t xml:space="preserve">homme. </w:t>
      </w:r>
    </w:p>
    <w:p w:rsidR="000C6D4A" w:rsidRPr="00F1180D" w:rsidRDefault="00EF1173" w:rsidP="00EF1173">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25</w:t>
      </w:r>
    </w:p>
    <w:p w:rsidR="000C6D4A" w:rsidRPr="00F1180D" w:rsidRDefault="00C13D1B" w:rsidP="00C13D1B">
      <w:pPr>
        <w:pStyle w:val="SingleTxtG"/>
        <w:rPr>
          <w:rtl/>
          <w:lang w:val="fr-FR" w:bidi="fr-FR"/>
        </w:rPr>
      </w:pPr>
      <w:r>
        <w:rPr>
          <w:lang w:val="fr-FR" w:bidi="ar-KW"/>
        </w:rPr>
        <w:t>205.</w:t>
      </w:r>
      <w:r>
        <w:rPr>
          <w:lang w:val="fr-FR" w:bidi="ar-KW"/>
        </w:rPr>
        <w:tab/>
      </w:r>
      <w:r w:rsidR="000C6D4A" w:rsidRPr="00F1180D">
        <w:rPr>
          <w:lang w:val="fr-FR" w:bidi="ar-KW"/>
        </w:rPr>
        <w:t xml:space="preserve">Il est </w:t>
      </w:r>
      <w:r w:rsidR="000C6D4A" w:rsidRPr="00C13D1B">
        <w:t>bien</w:t>
      </w:r>
      <w:r w:rsidR="000C6D4A" w:rsidRPr="00F1180D">
        <w:rPr>
          <w:lang w:val="fr-FR" w:bidi="ar-KW"/>
        </w:rPr>
        <w:t xml:space="preserve"> établi que les dispositions de la Constitution koweïtienne interdisent et érigent en infraction pénale la discrimination raciale. En outre</w:t>
      </w:r>
      <w:r w:rsidR="00680ADA" w:rsidRPr="00F1180D">
        <w:rPr>
          <w:lang w:val="fr-FR" w:bidi="ar-KW"/>
        </w:rPr>
        <w:t>,</w:t>
      </w:r>
      <w:r w:rsidR="000C6D4A" w:rsidRPr="00F1180D">
        <w:rPr>
          <w:lang w:val="fr-FR" w:bidi="ar-KW"/>
        </w:rPr>
        <w:t xml:space="preserve"> le Koweït a ratifié la majorité des instruments énumérés au </w:t>
      </w:r>
      <w:r w:rsidR="00410CA5" w:rsidRPr="00F1180D">
        <w:rPr>
          <w:lang w:val="fr-FR" w:bidi="ar-KW"/>
        </w:rPr>
        <w:t>paragraphe </w:t>
      </w:r>
      <w:r w:rsidR="000C6D4A" w:rsidRPr="00F1180D">
        <w:rPr>
          <w:lang w:val="fr-FR" w:bidi="ar-KW"/>
        </w:rPr>
        <w:t>78 du Programme d</w:t>
      </w:r>
      <w:r w:rsidR="00680ADA" w:rsidRPr="00F1180D">
        <w:rPr>
          <w:lang w:val="fr-FR" w:bidi="ar-KW"/>
        </w:rPr>
        <w:t>’</w:t>
      </w:r>
      <w:r w:rsidR="000C6D4A" w:rsidRPr="00F1180D">
        <w:rPr>
          <w:lang w:val="fr-FR" w:bidi="ar-KW"/>
        </w:rPr>
        <w:t>action de Durban</w:t>
      </w:r>
      <w:r w:rsidR="00680ADA" w:rsidRPr="00F1180D">
        <w:rPr>
          <w:lang w:val="fr-FR" w:bidi="ar-KW"/>
        </w:rPr>
        <w:t>,</w:t>
      </w:r>
      <w:r w:rsidR="000C6D4A" w:rsidRPr="00F1180D">
        <w:rPr>
          <w:lang w:val="fr-FR" w:bidi="ar-KW"/>
        </w:rPr>
        <w:t xml:space="preserve"> notamment les suivants</w:t>
      </w:r>
      <w:r w:rsidR="00680ADA" w:rsidRPr="00F1180D">
        <w:rPr>
          <w:lang w:val="fr-FR" w:bidi="ar-KW"/>
        </w:rPr>
        <w:t>:</w:t>
      </w:r>
      <w:r w:rsidR="000C6D4A" w:rsidRPr="00F1180D">
        <w:rPr>
          <w:lang w:val="fr-FR" w:bidi="ar-KW"/>
        </w:rPr>
        <w:t xml:space="preserve"> </w:t>
      </w:r>
    </w:p>
    <w:p w:rsidR="000C6D4A" w:rsidRPr="00F1180D" w:rsidRDefault="000C6D4A" w:rsidP="0014164B">
      <w:pPr>
        <w:pStyle w:val="Bullet1G"/>
        <w:rPr>
          <w:rtl/>
          <w:lang w:val="fr-FR" w:bidi="fr-FR"/>
        </w:rPr>
      </w:pPr>
      <w:r w:rsidRPr="00F1180D">
        <w:rPr>
          <w:lang w:val="fr-FR" w:bidi="ar-KW"/>
        </w:rPr>
        <w:t>La Convention pour la prévention et la répression du crime de génocide (1984).</w:t>
      </w:r>
    </w:p>
    <w:p w:rsidR="000C6D4A" w:rsidRPr="00F1180D" w:rsidRDefault="000C6D4A" w:rsidP="0014164B">
      <w:pPr>
        <w:pStyle w:val="Bullet1G"/>
        <w:rPr>
          <w:rtl/>
          <w:lang w:val="fr-FR" w:bidi="fr-FR"/>
        </w:rPr>
      </w:pPr>
      <w:r w:rsidRPr="00F1180D">
        <w:rPr>
          <w:lang w:val="fr-FR" w:bidi="ar-KW"/>
        </w:rPr>
        <w:t>La Convention pour la répression de la traite des êtres humains et de l</w:t>
      </w:r>
      <w:r w:rsidR="00680ADA" w:rsidRPr="00F1180D">
        <w:rPr>
          <w:lang w:val="fr-FR" w:bidi="ar-KW"/>
        </w:rPr>
        <w:t>’</w:t>
      </w:r>
      <w:r w:rsidRPr="00F1180D">
        <w:rPr>
          <w:lang w:val="fr-FR" w:bidi="ar-KW"/>
        </w:rPr>
        <w:t>exploitation de la prostitution d</w:t>
      </w:r>
      <w:r w:rsidR="00680ADA" w:rsidRPr="00F1180D">
        <w:rPr>
          <w:lang w:val="fr-FR" w:bidi="ar-KW"/>
        </w:rPr>
        <w:t>’</w:t>
      </w:r>
      <w:r w:rsidRPr="00F1180D">
        <w:rPr>
          <w:lang w:val="fr-FR" w:bidi="ar-KW"/>
        </w:rPr>
        <w:t xml:space="preserve">autrui (1949). </w:t>
      </w:r>
    </w:p>
    <w:p w:rsidR="000C6D4A" w:rsidRPr="00F1180D" w:rsidRDefault="000C6D4A" w:rsidP="0014164B">
      <w:pPr>
        <w:pStyle w:val="Bullet1G"/>
        <w:rPr>
          <w:rtl/>
          <w:lang w:val="fr-FR" w:bidi="fr-FR"/>
        </w:rPr>
      </w:pPr>
      <w:r w:rsidRPr="00F1180D">
        <w:rPr>
          <w:lang w:val="fr-FR" w:bidi="ar-KW"/>
        </w:rPr>
        <w:t>La Convention de l</w:t>
      </w:r>
      <w:r w:rsidR="00680ADA" w:rsidRPr="00F1180D">
        <w:rPr>
          <w:lang w:val="fr-FR" w:bidi="ar-KW"/>
        </w:rPr>
        <w:t>’</w:t>
      </w:r>
      <w:r w:rsidRPr="00F1180D">
        <w:rPr>
          <w:lang w:val="fr-FR" w:bidi="ar-KW"/>
        </w:rPr>
        <w:t>O.I.T concernant la discrimination en matière d</w:t>
      </w:r>
      <w:r w:rsidR="00680ADA" w:rsidRPr="00F1180D">
        <w:rPr>
          <w:lang w:val="fr-FR" w:bidi="ar-KW"/>
        </w:rPr>
        <w:t>’</w:t>
      </w:r>
      <w:r w:rsidRPr="00F1180D">
        <w:rPr>
          <w:lang w:val="fr-FR" w:bidi="ar-KW"/>
        </w:rPr>
        <w:t>emploi et de profession (1949).</w:t>
      </w:r>
    </w:p>
    <w:p w:rsidR="000C6D4A" w:rsidRPr="00F1180D" w:rsidRDefault="000C6D4A" w:rsidP="0014164B">
      <w:pPr>
        <w:pStyle w:val="Bullet1G"/>
        <w:rPr>
          <w:rtl/>
          <w:lang w:val="fr-FR" w:bidi="fr-FR"/>
        </w:rPr>
      </w:pPr>
      <w:r w:rsidRPr="00F1180D">
        <w:rPr>
          <w:lang w:val="fr-FR" w:bidi="ar-KW"/>
        </w:rPr>
        <w:t>La Convention relative aux droits de l</w:t>
      </w:r>
      <w:r w:rsidR="00680ADA" w:rsidRPr="00F1180D">
        <w:rPr>
          <w:lang w:val="fr-FR" w:bidi="ar-KW"/>
        </w:rPr>
        <w:t>’</w:t>
      </w:r>
      <w:r w:rsidRPr="00F1180D">
        <w:rPr>
          <w:lang w:val="fr-FR" w:bidi="ar-KW"/>
        </w:rPr>
        <w:t xml:space="preserve">enfant (1989) et ses deux Protocoles facultatifs (2000). </w:t>
      </w:r>
    </w:p>
    <w:p w:rsidR="000C6D4A" w:rsidRPr="00F1180D" w:rsidRDefault="000C6D4A" w:rsidP="0014164B">
      <w:pPr>
        <w:pStyle w:val="Bullet1G"/>
        <w:rPr>
          <w:rtl/>
          <w:lang w:val="fr-FR" w:bidi="fr-FR"/>
        </w:rPr>
      </w:pPr>
      <w:r w:rsidRPr="00F1180D">
        <w:rPr>
          <w:lang w:val="fr-FR" w:bidi="ar-KW"/>
        </w:rPr>
        <w:t xml:space="preserve">La Convention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Pr="00F1180D">
        <w:rPr>
          <w:lang w:val="fr-FR" w:bidi="ar-KW"/>
        </w:rPr>
        <w:t>182 de l</w:t>
      </w:r>
      <w:r w:rsidR="00680ADA" w:rsidRPr="00F1180D">
        <w:rPr>
          <w:lang w:val="fr-FR" w:bidi="ar-KW"/>
        </w:rPr>
        <w:t>’</w:t>
      </w:r>
      <w:r w:rsidRPr="00F1180D">
        <w:rPr>
          <w:lang w:val="fr-FR" w:bidi="ar-KW"/>
        </w:rPr>
        <w:t>O.I.T (1999) sur l</w:t>
      </w:r>
      <w:r w:rsidR="00680ADA" w:rsidRPr="00F1180D">
        <w:rPr>
          <w:lang w:val="fr-FR" w:bidi="ar-KW"/>
        </w:rPr>
        <w:t>’</w:t>
      </w:r>
      <w:r w:rsidRPr="00F1180D">
        <w:rPr>
          <w:lang w:val="fr-FR" w:bidi="ar-KW"/>
        </w:rPr>
        <w:t>interdiction des pires formes de travail des enfants.</w:t>
      </w:r>
    </w:p>
    <w:p w:rsidR="000C6D4A" w:rsidRPr="00F1180D" w:rsidRDefault="00C13D1B" w:rsidP="00C13D1B">
      <w:pPr>
        <w:pStyle w:val="SingleTxtG"/>
        <w:rPr>
          <w:rtl/>
          <w:lang w:val="fr-FR" w:bidi="fr-FR"/>
        </w:rPr>
      </w:pPr>
      <w:r>
        <w:rPr>
          <w:lang w:val="fr-FR" w:bidi="ar-KW"/>
        </w:rPr>
        <w:t>206.</w:t>
      </w:r>
      <w:r>
        <w:rPr>
          <w:lang w:val="fr-FR" w:bidi="ar-KW"/>
        </w:rPr>
        <w:tab/>
      </w:r>
      <w:r w:rsidR="000C6D4A" w:rsidRPr="00F1180D">
        <w:rPr>
          <w:lang w:val="fr-FR" w:bidi="ar-KW"/>
        </w:rPr>
        <w:t>Depuis leur ratification par le Koweït</w:t>
      </w:r>
      <w:r w:rsidR="00680ADA" w:rsidRPr="00F1180D">
        <w:rPr>
          <w:lang w:val="fr-FR" w:bidi="ar-KW"/>
        </w:rPr>
        <w:t>,</w:t>
      </w:r>
      <w:r w:rsidR="000C6D4A" w:rsidRPr="00F1180D">
        <w:rPr>
          <w:lang w:val="fr-FR" w:bidi="ar-KW"/>
        </w:rPr>
        <w:t xml:space="preserve"> ces textes font partie intégrante de l</w:t>
      </w:r>
      <w:r w:rsidR="00680ADA" w:rsidRPr="00F1180D">
        <w:rPr>
          <w:lang w:val="fr-FR" w:bidi="ar-KW"/>
        </w:rPr>
        <w:t>’</w:t>
      </w:r>
      <w:r w:rsidR="000C6D4A" w:rsidRPr="00F1180D">
        <w:rPr>
          <w:lang w:val="fr-FR" w:bidi="ar-KW"/>
        </w:rPr>
        <w:t>ordre juridique interne et leur application est obligatoire</w:t>
      </w:r>
      <w:r w:rsidR="00680ADA" w:rsidRPr="00F1180D">
        <w:rPr>
          <w:lang w:val="fr-FR" w:bidi="ar-KW"/>
        </w:rPr>
        <w:t>,</w:t>
      </w:r>
      <w:r w:rsidR="000C6D4A" w:rsidRPr="00F1180D">
        <w:rPr>
          <w:lang w:val="fr-FR" w:bidi="ar-KW"/>
        </w:rPr>
        <w:t xml:space="preserve"> conformément à l</w:t>
      </w:r>
      <w:r w:rsidR="00680ADA" w:rsidRPr="00F1180D">
        <w:rPr>
          <w:lang w:val="fr-FR" w:bidi="ar-KW"/>
        </w:rPr>
        <w:t>’</w:t>
      </w:r>
      <w:r w:rsidR="00163207" w:rsidRPr="00F1180D">
        <w:rPr>
          <w:lang w:val="fr-FR" w:bidi="ar-KW"/>
        </w:rPr>
        <w:t>article </w:t>
      </w:r>
      <w:r w:rsidR="000C6D4A" w:rsidRPr="00F1180D">
        <w:rPr>
          <w:lang w:val="fr-FR" w:bidi="ar-KW"/>
        </w:rPr>
        <w:t>70 de la Constitution.</w:t>
      </w:r>
    </w:p>
    <w:p w:rsidR="006416CD" w:rsidRPr="00F1180D" w:rsidRDefault="00C13D1B" w:rsidP="006416CD">
      <w:pPr>
        <w:pStyle w:val="SingleTxtG"/>
        <w:keepNext/>
        <w:rPr>
          <w:lang w:val="fr-FR" w:bidi="ar-KW"/>
        </w:rPr>
      </w:pPr>
      <w:r>
        <w:rPr>
          <w:lang w:val="fr-FR" w:bidi="ar-KW"/>
        </w:rPr>
        <w:t>207.</w:t>
      </w:r>
      <w:r>
        <w:rPr>
          <w:lang w:val="fr-FR" w:bidi="ar-KW"/>
        </w:rPr>
        <w:tab/>
      </w:r>
      <w:r w:rsidR="000C6D4A" w:rsidRPr="00F1180D">
        <w:rPr>
          <w:lang w:val="fr-FR" w:bidi="ar-KW"/>
        </w:rPr>
        <w:t>Les autres lois nationales sont en harmonie avec le Programme d</w:t>
      </w:r>
      <w:r w:rsidR="00680ADA" w:rsidRPr="00F1180D">
        <w:rPr>
          <w:lang w:val="fr-FR" w:bidi="ar-KW"/>
        </w:rPr>
        <w:t>’</w:t>
      </w:r>
      <w:r w:rsidR="000C6D4A" w:rsidRPr="00F1180D">
        <w:rPr>
          <w:lang w:val="fr-FR" w:bidi="ar-KW"/>
        </w:rPr>
        <w:t>action de Durban et visent à promouvoir les droits de l</w:t>
      </w:r>
      <w:r w:rsidR="00680ADA" w:rsidRPr="00F1180D">
        <w:rPr>
          <w:lang w:val="fr-FR" w:bidi="ar-KW"/>
        </w:rPr>
        <w:t>’</w:t>
      </w:r>
      <w:r w:rsidR="000C6D4A" w:rsidRPr="00F1180D">
        <w:rPr>
          <w:lang w:val="fr-FR" w:bidi="ar-KW"/>
        </w:rPr>
        <w:t>homme et les libertés fondamentales</w:t>
      </w:r>
      <w:r w:rsidR="00680ADA" w:rsidRPr="00F1180D">
        <w:rPr>
          <w:lang w:val="fr-FR" w:bidi="ar-KW"/>
        </w:rPr>
        <w:t>,</w:t>
      </w:r>
      <w:r w:rsidR="000C6D4A" w:rsidRPr="00F1180D">
        <w:rPr>
          <w:lang w:val="fr-FR" w:bidi="ar-KW"/>
        </w:rPr>
        <w:t xml:space="preserve"> ainsi qu</w:t>
      </w:r>
      <w:r w:rsidR="00680ADA" w:rsidRPr="00F1180D">
        <w:rPr>
          <w:lang w:val="fr-FR" w:bidi="ar-KW"/>
        </w:rPr>
        <w:t>’</w:t>
      </w:r>
      <w:r w:rsidR="000C6D4A" w:rsidRPr="00F1180D">
        <w:rPr>
          <w:lang w:val="fr-FR" w:bidi="ar-KW"/>
        </w:rPr>
        <w:t>à lutter contre toutes les formes de discrimination raciale. Parmi ces textes</w:t>
      </w:r>
      <w:r w:rsidR="00680ADA" w:rsidRPr="00F1180D">
        <w:rPr>
          <w:lang w:val="fr-FR" w:bidi="ar-KW"/>
        </w:rPr>
        <w:t>,</w:t>
      </w:r>
      <w:r w:rsidR="000C6D4A" w:rsidRPr="00F1180D">
        <w:rPr>
          <w:lang w:val="fr-FR" w:bidi="ar-KW"/>
        </w:rPr>
        <w:t xml:space="preserve"> nous pouvons notamment citer les suivants</w:t>
      </w:r>
      <w:r w:rsidR="00680ADA" w:rsidRPr="00F1180D">
        <w:rPr>
          <w:lang w:val="fr-FR" w:bidi="ar-KW"/>
        </w:rPr>
        <w:t>:</w:t>
      </w:r>
      <w:r w:rsidR="000C6D4A" w:rsidRPr="00F1180D">
        <w:rPr>
          <w:lang w:val="fr-FR" w:bidi="ar-KW"/>
        </w:rPr>
        <w:t xml:space="preserve"> La législation koweïtienne selon laquelle</w:t>
      </w:r>
      <w:r w:rsidR="00680ADA" w:rsidRPr="00F1180D">
        <w:rPr>
          <w:lang w:val="fr-FR" w:bidi="ar-KW"/>
        </w:rPr>
        <w:t>:</w:t>
      </w:r>
      <w:r w:rsidR="000C6D4A" w:rsidRPr="00F1180D">
        <w:rPr>
          <w:lang w:val="fr-FR" w:bidi="ar-KW"/>
        </w:rPr>
        <w:t xml:space="preserve"> </w:t>
      </w:r>
    </w:p>
    <w:p w:rsidR="000C6D4A" w:rsidRPr="00F1180D" w:rsidRDefault="00680ADA" w:rsidP="006416CD">
      <w:pPr>
        <w:pStyle w:val="Bullet1G"/>
        <w:rPr>
          <w:rtl/>
          <w:lang w:val="fr-FR" w:bidi="fr-FR"/>
        </w:rPr>
      </w:pPr>
      <w:r w:rsidRPr="00F1180D">
        <w:rPr>
          <w:lang w:val="fr-FR" w:bidi="ar-KW"/>
        </w:rPr>
        <w:t>«</w:t>
      </w:r>
      <w:r w:rsidR="000C6D4A" w:rsidRPr="00F1180D">
        <w:rPr>
          <w:lang w:val="fr-FR" w:bidi="ar-KW"/>
        </w:rPr>
        <w:t>Il est interdit aux clubs et associations de poursuivre des buts contraires à la loi .... d</w:t>
      </w:r>
      <w:r w:rsidRPr="00F1180D">
        <w:rPr>
          <w:lang w:val="fr-FR" w:bidi="ar-KW"/>
        </w:rPr>
        <w:t>’</w:t>
      </w:r>
      <w:r w:rsidR="000C6D4A" w:rsidRPr="00F1180D">
        <w:rPr>
          <w:lang w:val="fr-FR" w:bidi="ar-KW"/>
        </w:rPr>
        <w:t>intervenir dans les conflits politiques ou religieux ou de susciter des dissensions ethniques</w:t>
      </w:r>
      <w:r w:rsidRPr="00F1180D">
        <w:rPr>
          <w:lang w:val="fr-FR" w:bidi="ar-KW"/>
        </w:rPr>
        <w:t>,</w:t>
      </w:r>
      <w:r w:rsidR="000C6D4A" w:rsidRPr="00F1180D">
        <w:rPr>
          <w:lang w:val="fr-FR" w:bidi="ar-KW"/>
        </w:rPr>
        <w:t xml:space="preserve"> raciales ou confessionnelles</w:t>
      </w:r>
      <w:r w:rsidRPr="00F1180D">
        <w:rPr>
          <w:lang w:val="fr-FR" w:bidi="ar-KW"/>
        </w:rPr>
        <w:t>»</w:t>
      </w:r>
      <w:r w:rsidR="000C6D4A" w:rsidRPr="00F1180D">
        <w:rPr>
          <w:lang w:val="fr-FR" w:bidi="ar-KW"/>
        </w:rPr>
        <w:t xml:space="preserve">. </w:t>
      </w:r>
    </w:p>
    <w:p w:rsidR="006416CD" w:rsidRPr="00F1180D" w:rsidRDefault="000C6D4A" w:rsidP="006416CD">
      <w:pPr>
        <w:pStyle w:val="Bullet1G"/>
        <w:rPr>
          <w:lang w:val="fr-FR" w:bidi="ar-KW"/>
        </w:rPr>
      </w:pPr>
      <w:r w:rsidRPr="00F1180D">
        <w:rPr>
          <w:lang w:val="fr-FR" w:bidi="ar-KW"/>
        </w:rPr>
        <w:t>Les nombreuses dispositions pénales qui incriminent les actes susceptibles d</w:t>
      </w:r>
      <w:r w:rsidR="00680ADA" w:rsidRPr="00F1180D">
        <w:rPr>
          <w:lang w:val="fr-FR" w:bidi="ar-KW"/>
        </w:rPr>
        <w:t>’</w:t>
      </w:r>
      <w:r w:rsidRPr="00F1180D">
        <w:rPr>
          <w:lang w:val="fr-FR" w:bidi="ar-KW"/>
        </w:rPr>
        <w:t>engendrer le racisme</w:t>
      </w:r>
      <w:r w:rsidR="00680ADA" w:rsidRPr="00F1180D">
        <w:rPr>
          <w:lang w:val="fr-FR" w:bidi="ar-KW"/>
        </w:rPr>
        <w:t>,</w:t>
      </w:r>
      <w:r w:rsidR="006416CD" w:rsidRPr="00F1180D">
        <w:rPr>
          <w:lang w:val="fr-FR" w:bidi="ar-KW"/>
        </w:rPr>
        <w:t xml:space="preserve"> parmi lesquelles:</w:t>
      </w:r>
    </w:p>
    <w:p w:rsidR="000C6D4A" w:rsidRPr="00F1180D" w:rsidRDefault="006416CD" w:rsidP="006416CD">
      <w:pPr>
        <w:pStyle w:val="Bullet2G"/>
        <w:rPr>
          <w:lang w:val="fr-FR" w:bidi="ar-KW"/>
        </w:rPr>
      </w:pPr>
      <w:r w:rsidRPr="00F1180D">
        <w:rPr>
          <w:lang w:val="fr-FR" w:bidi="ar-KW"/>
        </w:rPr>
        <w:t>L’article </w:t>
      </w:r>
      <w:r w:rsidR="000C6D4A" w:rsidRPr="00F1180D">
        <w:rPr>
          <w:lang w:val="fr-FR" w:bidi="ar-KW"/>
        </w:rPr>
        <w:t>111 du Code pénal koweïtien</w:t>
      </w:r>
      <w:r w:rsidR="00680ADA" w:rsidRPr="00F1180D">
        <w:rPr>
          <w:lang w:val="fr-FR" w:bidi="ar-KW"/>
        </w:rPr>
        <w:t>,</w:t>
      </w:r>
      <w:r w:rsidR="000C6D4A" w:rsidRPr="00F1180D">
        <w:rPr>
          <w:lang w:val="fr-FR" w:bidi="ar-KW"/>
        </w:rPr>
        <w:t xml:space="preserve"> promulgué par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16 de 1960</w:t>
      </w:r>
      <w:r w:rsidR="00680ADA" w:rsidRPr="00F1180D">
        <w:rPr>
          <w:lang w:val="fr-FR" w:bidi="ar-KW"/>
        </w:rPr>
        <w:t>,</w:t>
      </w:r>
      <w:r w:rsidR="000C6D4A" w:rsidRPr="00F1180D">
        <w:rPr>
          <w:lang w:val="fr-FR" w:bidi="ar-KW"/>
        </w:rPr>
        <w:t xml:space="preserve"> qui incrimine toute manifestation de sectarisme religieux et dispose ce qui suit</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Quiconque diffuse</w:t>
      </w:r>
      <w:r w:rsidR="00680ADA" w:rsidRPr="00F1180D">
        <w:rPr>
          <w:lang w:val="fr-FR" w:bidi="ar-KW"/>
        </w:rPr>
        <w:t>,</w:t>
      </w:r>
      <w:r w:rsidR="000C6D4A" w:rsidRPr="00F1180D">
        <w:rPr>
          <w:lang w:val="fr-FR" w:bidi="ar-KW"/>
        </w:rPr>
        <w:t xml:space="preserve"> par le biais de l</w:t>
      </w:r>
      <w:r w:rsidR="00680ADA" w:rsidRPr="00F1180D">
        <w:rPr>
          <w:lang w:val="fr-FR" w:bidi="ar-KW"/>
        </w:rPr>
        <w:t>’</w:t>
      </w:r>
      <w:r w:rsidR="000C6D4A" w:rsidRPr="00F1180D">
        <w:rPr>
          <w:lang w:val="fr-FR" w:bidi="ar-KW"/>
        </w:rPr>
        <w:t>un des médias visés à l</w:t>
      </w:r>
      <w:r w:rsidR="00680ADA" w:rsidRPr="00F1180D">
        <w:rPr>
          <w:lang w:val="fr-FR" w:bidi="ar-KW"/>
        </w:rPr>
        <w:t>’</w:t>
      </w:r>
      <w:r w:rsidR="00163207" w:rsidRPr="00F1180D">
        <w:rPr>
          <w:lang w:val="fr-FR" w:bidi="ar-KW"/>
        </w:rPr>
        <w:t>article </w:t>
      </w:r>
      <w:r w:rsidR="000C6D4A" w:rsidRPr="00F1180D">
        <w:rPr>
          <w:lang w:val="fr-FR" w:bidi="ar-KW"/>
        </w:rPr>
        <w:t>101 des opinions dénigrant</w:t>
      </w:r>
      <w:r w:rsidR="00680ADA" w:rsidRPr="00F1180D">
        <w:rPr>
          <w:lang w:val="fr-FR" w:bidi="ar-KW"/>
        </w:rPr>
        <w:t>,</w:t>
      </w:r>
      <w:r w:rsidR="000C6D4A" w:rsidRPr="00F1180D">
        <w:rPr>
          <w:lang w:val="fr-FR" w:bidi="ar-KW"/>
        </w:rPr>
        <w:t xml:space="preserve"> méprisant ou rabaissant une religion ou une confession en s</w:t>
      </w:r>
      <w:r w:rsidR="00680ADA" w:rsidRPr="00F1180D">
        <w:rPr>
          <w:lang w:val="fr-FR" w:bidi="ar-KW"/>
        </w:rPr>
        <w:t>’</w:t>
      </w:r>
      <w:r w:rsidR="000C6D4A" w:rsidRPr="00F1180D">
        <w:rPr>
          <w:lang w:val="fr-FR" w:bidi="ar-KW"/>
        </w:rPr>
        <w:t>attaquant à ses croyances</w:t>
      </w:r>
      <w:r w:rsidR="00680ADA" w:rsidRPr="00F1180D">
        <w:rPr>
          <w:lang w:val="fr-FR" w:bidi="ar-KW"/>
        </w:rPr>
        <w:t>,</w:t>
      </w:r>
      <w:r w:rsidR="000C6D4A" w:rsidRPr="00F1180D">
        <w:rPr>
          <w:lang w:val="fr-FR" w:bidi="ar-KW"/>
        </w:rPr>
        <w:t xml:space="preserve"> cultes</w:t>
      </w:r>
      <w:r w:rsidR="00680ADA" w:rsidRPr="00F1180D">
        <w:rPr>
          <w:lang w:val="fr-FR" w:bidi="ar-KW"/>
        </w:rPr>
        <w:t>,</w:t>
      </w:r>
      <w:r w:rsidR="000C6D4A" w:rsidRPr="00F1180D">
        <w:rPr>
          <w:lang w:val="fr-FR" w:bidi="ar-KW"/>
        </w:rPr>
        <w:t xml:space="preserve"> rites ou enseignements</w:t>
      </w:r>
      <w:r w:rsidR="00680ADA" w:rsidRPr="00F1180D">
        <w:rPr>
          <w:lang w:val="fr-FR" w:bidi="ar-KW"/>
        </w:rPr>
        <w:t>,</w:t>
      </w:r>
      <w:r w:rsidR="000C6D4A" w:rsidRPr="00F1180D">
        <w:rPr>
          <w:lang w:val="fr-FR" w:bidi="ar-KW"/>
        </w:rPr>
        <w:t xml:space="preserve"> est passible d</w:t>
      </w:r>
      <w:r w:rsidR="00680ADA" w:rsidRPr="00F1180D">
        <w:rPr>
          <w:lang w:val="fr-FR" w:bidi="ar-KW"/>
        </w:rPr>
        <w:t>’</w:t>
      </w:r>
      <w:r w:rsidR="000C6D4A" w:rsidRPr="00F1180D">
        <w:rPr>
          <w:lang w:val="fr-FR" w:bidi="ar-KW"/>
        </w:rPr>
        <w:t>une peine de prison pouvant aller jusqu</w:t>
      </w:r>
      <w:r w:rsidR="00680ADA" w:rsidRPr="00F1180D">
        <w:rPr>
          <w:lang w:val="fr-FR" w:bidi="ar-KW"/>
        </w:rPr>
        <w:t>’</w:t>
      </w:r>
      <w:r w:rsidR="000C6D4A" w:rsidRPr="00F1180D">
        <w:rPr>
          <w:lang w:val="fr-FR" w:bidi="ar-KW"/>
        </w:rPr>
        <w:t>à une année et/ou d</w:t>
      </w:r>
      <w:r w:rsidR="00680ADA" w:rsidRPr="00F1180D">
        <w:rPr>
          <w:lang w:val="fr-FR" w:bidi="ar-KW"/>
        </w:rPr>
        <w:t>’</w:t>
      </w:r>
      <w:r w:rsidR="000C6D4A" w:rsidRPr="00F1180D">
        <w:rPr>
          <w:lang w:val="fr-FR" w:bidi="ar-KW"/>
        </w:rPr>
        <w:t>une amende pouvant aller</w:t>
      </w:r>
      <w:r w:rsidR="009B1350" w:rsidRPr="00F1180D">
        <w:rPr>
          <w:lang w:val="fr-FR" w:bidi="ar-KW"/>
        </w:rPr>
        <w:t xml:space="preserve"> </w:t>
      </w:r>
      <w:r w:rsidR="000C6D4A" w:rsidRPr="00F1180D">
        <w:rPr>
          <w:lang w:val="fr-FR" w:bidi="ar-KW"/>
        </w:rPr>
        <w:t>jusqu</w:t>
      </w:r>
      <w:r w:rsidR="00680ADA" w:rsidRPr="00F1180D">
        <w:rPr>
          <w:lang w:val="fr-FR" w:bidi="ar-KW"/>
        </w:rPr>
        <w:t>’</w:t>
      </w:r>
      <w:r w:rsidR="000C6D4A" w:rsidRPr="00F1180D">
        <w:rPr>
          <w:lang w:val="fr-FR" w:bidi="ar-KW"/>
        </w:rPr>
        <w:t>à 1 000 roupies</w:t>
      </w:r>
      <w:r w:rsidR="00680ADA" w:rsidRPr="00F1180D">
        <w:rPr>
          <w:lang w:val="fr-FR" w:bidi="ar-KW"/>
        </w:rPr>
        <w:t>»</w:t>
      </w:r>
      <w:r w:rsidR="000C6D4A" w:rsidRPr="00F1180D">
        <w:rPr>
          <w:lang w:val="fr-FR" w:bidi="ar-KW"/>
        </w:rPr>
        <w:t>.</w:t>
      </w:r>
    </w:p>
    <w:p w:rsidR="000C6D4A" w:rsidRPr="00F1180D" w:rsidRDefault="00C13D1B" w:rsidP="00680ADA">
      <w:pPr>
        <w:pStyle w:val="SingleTxtG"/>
        <w:rPr>
          <w:b/>
          <w:bCs/>
          <w:rtl/>
          <w:lang w:val="fr-FR" w:bidi="fr-FR"/>
        </w:rPr>
      </w:pPr>
      <w:r>
        <w:rPr>
          <w:lang w:val="fr-FR" w:bidi="ar-KW"/>
        </w:rPr>
        <w:lastRenderedPageBreak/>
        <w:t>208.</w:t>
      </w:r>
      <w:r>
        <w:rPr>
          <w:lang w:val="fr-FR" w:bidi="ar-KW"/>
        </w:rPr>
        <w:tab/>
      </w:r>
      <w:r w:rsidR="000C6D4A" w:rsidRPr="00F1180D">
        <w:rPr>
          <w:lang w:val="fr-FR" w:bidi="ar-KW"/>
        </w:rPr>
        <w:t>Il convient de signaler l</w:t>
      </w:r>
      <w:r w:rsidR="00680ADA" w:rsidRPr="00F1180D">
        <w:rPr>
          <w:lang w:val="fr-FR" w:bidi="ar-KW"/>
        </w:rPr>
        <w:t>’</w:t>
      </w:r>
      <w:r w:rsidR="000C6D4A" w:rsidRPr="00F1180D">
        <w:rPr>
          <w:lang w:val="fr-FR" w:bidi="ar-KW"/>
        </w:rPr>
        <w:t xml:space="preserve">adoption de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19 de 2012 relative à l</w:t>
      </w:r>
      <w:r w:rsidR="00680ADA" w:rsidRPr="00F1180D">
        <w:rPr>
          <w:lang w:val="fr-FR" w:bidi="ar-KW"/>
        </w:rPr>
        <w:t>’</w:t>
      </w:r>
      <w:r w:rsidR="000C6D4A" w:rsidRPr="00F1180D">
        <w:rPr>
          <w:lang w:val="fr-FR" w:bidi="ar-KW"/>
        </w:rPr>
        <w:t>unité nationale</w:t>
      </w:r>
      <w:r w:rsidR="00680ADA" w:rsidRPr="00F1180D">
        <w:rPr>
          <w:lang w:val="fr-FR" w:bidi="ar-KW"/>
        </w:rPr>
        <w:t>,</w:t>
      </w:r>
      <w:r w:rsidR="000C6D4A" w:rsidRPr="00F1180D">
        <w:rPr>
          <w:lang w:val="fr-FR" w:bidi="ar-KW"/>
        </w:rPr>
        <w:t xml:space="preserve"> dont l</w:t>
      </w:r>
      <w:r w:rsidR="00680ADA" w:rsidRPr="00F1180D">
        <w:rPr>
          <w:lang w:val="fr-FR" w:bidi="ar-KW"/>
        </w:rPr>
        <w:t>’</w:t>
      </w:r>
      <w:r w:rsidR="00163207" w:rsidRPr="00F1180D">
        <w:rPr>
          <w:lang w:val="fr-FR" w:bidi="ar-KW"/>
        </w:rPr>
        <w:t>article </w:t>
      </w:r>
      <w:r w:rsidR="000C6D4A" w:rsidRPr="00F1180D">
        <w:rPr>
          <w:lang w:val="fr-FR" w:bidi="ar-KW"/>
        </w:rPr>
        <w:t>1</w:t>
      </w:r>
      <w:r w:rsidR="000C6D4A" w:rsidRPr="00F1180D">
        <w:rPr>
          <w:vertAlign w:val="superscript"/>
          <w:lang w:val="fr-FR" w:bidi="ar-KW"/>
        </w:rPr>
        <w:t>er</w:t>
      </w:r>
      <w:r w:rsidR="000C6D4A" w:rsidRPr="00F1180D">
        <w:rPr>
          <w:lang w:val="fr-FR" w:bidi="ar-KW"/>
        </w:rPr>
        <w:t xml:space="preserve"> interdit</w:t>
      </w:r>
      <w:r w:rsidR="00591F2E" w:rsidRPr="00F1180D">
        <w:rPr>
          <w:lang w:val="fr-FR" w:bidi="ar-KW"/>
        </w:rPr>
        <w:t>:</w:t>
      </w:r>
    </w:p>
    <w:p w:rsidR="000C6D4A" w:rsidRPr="00F1180D" w:rsidRDefault="00591F2E" w:rsidP="00C13D1B">
      <w:pPr>
        <w:pStyle w:val="SingleTxtG"/>
        <w:ind w:left="1701" w:firstLine="567"/>
        <w:rPr>
          <w:lang w:val="fr-FR" w:bidi="ar-KW"/>
        </w:rPr>
      </w:pPr>
      <w:r w:rsidRPr="00F1180D">
        <w:rPr>
          <w:lang w:val="fr-FR" w:bidi="ar-KW"/>
        </w:rPr>
        <w:tab/>
        <w:t xml:space="preserve">Tout </w:t>
      </w:r>
      <w:r w:rsidR="000C6D4A" w:rsidRPr="00F1180D">
        <w:rPr>
          <w:lang w:val="fr-FR" w:bidi="ar-KW"/>
        </w:rPr>
        <w:t>acte ou appel</w:t>
      </w:r>
      <w:r w:rsidR="00680ADA" w:rsidRPr="00F1180D">
        <w:rPr>
          <w:lang w:val="fr-FR" w:bidi="ar-KW"/>
        </w:rPr>
        <w:t>,</w:t>
      </w:r>
      <w:r w:rsidR="000C6D4A" w:rsidRPr="00F1180D">
        <w:rPr>
          <w:lang w:val="fr-FR" w:bidi="ar-KW"/>
        </w:rPr>
        <w:t xml:space="preserve"> par quelque moyen d</w:t>
      </w:r>
      <w:r w:rsidR="00680ADA" w:rsidRPr="00F1180D">
        <w:rPr>
          <w:lang w:val="fr-FR" w:bidi="ar-KW"/>
        </w:rPr>
        <w:t>’</w:t>
      </w:r>
      <w:r w:rsidR="000C6D4A" w:rsidRPr="00F1180D">
        <w:rPr>
          <w:lang w:val="fr-FR" w:bidi="ar-KW"/>
        </w:rPr>
        <w:t>expression que ce soit</w:t>
      </w:r>
      <w:r w:rsidR="00680ADA" w:rsidRPr="00F1180D">
        <w:rPr>
          <w:lang w:val="fr-FR" w:bidi="ar-KW"/>
        </w:rPr>
        <w:t>,</w:t>
      </w:r>
      <w:r w:rsidR="000C6D4A" w:rsidRPr="00F1180D">
        <w:rPr>
          <w:lang w:val="fr-FR" w:bidi="ar-KW"/>
        </w:rPr>
        <w:t xml:space="preserve"> qui constitue une incitation à la haine</w:t>
      </w:r>
      <w:r w:rsidR="00680ADA" w:rsidRPr="00F1180D">
        <w:rPr>
          <w:lang w:val="fr-FR" w:bidi="ar-KW"/>
        </w:rPr>
        <w:t>,</w:t>
      </w:r>
      <w:r w:rsidR="000C6D4A" w:rsidRPr="00F1180D">
        <w:rPr>
          <w:lang w:val="fr-FR" w:bidi="ar-KW"/>
        </w:rPr>
        <w:t xml:space="preserve"> au dénigrement d</w:t>
      </w:r>
      <w:r w:rsidR="00680ADA" w:rsidRPr="00F1180D">
        <w:rPr>
          <w:lang w:val="fr-FR" w:bidi="ar-KW"/>
        </w:rPr>
        <w:t>’</w:t>
      </w:r>
      <w:r w:rsidR="000C6D4A" w:rsidRPr="00F1180D">
        <w:rPr>
          <w:lang w:val="fr-FR" w:bidi="ar-KW"/>
        </w:rPr>
        <w:t>un groupe social</w:t>
      </w:r>
      <w:r w:rsidR="00680ADA" w:rsidRPr="00F1180D">
        <w:rPr>
          <w:lang w:val="fr-FR" w:bidi="ar-KW"/>
        </w:rPr>
        <w:t>,</w:t>
      </w:r>
      <w:r w:rsidR="000C6D4A" w:rsidRPr="00F1180D">
        <w:rPr>
          <w:lang w:val="fr-FR" w:bidi="ar-KW"/>
        </w:rPr>
        <w:t xml:space="preserve"> aux conflits confessionnels ou tribaux</w:t>
      </w:r>
      <w:r w:rsidR="00680ADA" w:rsidRPr="00F1180D">
        <w:rPr>
          <w:lang w:val="fr-FR" w:bidi="ar-KW"/>
        </w:rPr>
        <w:t>,</w:t>
      </w:r>
      <w:r w:rsidR="000C6D4A" w:rsidRPr="00F1180D">
        <w:rPr>
          <w:lang w:val="fr-FR" w:bidi="ar-KW"/>
        </w:rPr>
        <w:t xml:space="preserve"> ainsi que la diffusion de toute idéologie prônant la supériorité d</w:t>
      </w:r>
      <w:r w:rsidR="00680ADA" w:rsidRPr="00F1180D">
        <w:rPr>
          <w:lang w:val="fr-FR" w:bidi="ar-KW"/>
        </w:rPr>
        <w:t>’</w:t>
      </w:r>
      <w:r w:rsidR="000C6D4A" w:rsidRPr="00F1180D">
        <w:rPr>
          <w:lang w:val="fr-FR" w:bidi="ar-KW"/>
        </w:rPr>
        <w:t>une race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 groupe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couleur</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origine nationale ou ethnique</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une confession</w:t>
      </w:r>
      <w:r w:rsidR="00680ADA" w:rsidRPr="00F1180D">
        <w:rPr>
          <w:lang w:val="fr-FR" w:bidi="ar-KW"/>
        </w:rPr>
        <w:t>,</w:t>
      </w:r>
      <w:r w:rsidR="000C6D4A" w:rsidRPr="00F1180D">
        <w:rPr>
          <w:lang w:val="fr-FR" w:bidi="ar-KW"/>
        </w:rPr>
        <w:t xml:space="preserve"> d</w:t>
      </w:r>
      <w:r w:rsidR="00680ADA" w:rsidRPr="00F1180D">
        <w:rPr>
          <w:lang w:val="fr-FR" w:bidi="ar-KW"/>
        </w:rPr>
        <w:t>’</w:t>
      </w:r>
      <w:r w:rsidR="000C6D4A" w:rsidRPr="00F1180D">
        <w:rPr>
          <w:lang w:val="fr-FR" w:bidi="ar-KW"/>
        </w:rPr>
        <w:t>un genre ou d</w:t>
      </w:r>
      <w:r w:rsidR="00680ADA" w:rsidRPr="00F1180D">
        <w:rPr>
          <w:lang w:val="fr-FR" w:bidi="ar-KW"/>
        </w:rPr>
        <w:t>’</w:t>
      </w:r>
      <w:r w:rsidR="000C6D4A" w:rsidRPr="00F1180D">
        <w:rPr>
          <w:lang w:val="fr-FR" w:bidi="ar-KW"/>
        </w:rPr>
        <w:t>une filiation et l</w:t>
      </w:r>
      <w:r w:rsidR="00680ADA" w:rsidRPr="00F1180D">
        <w:rPr>
          <w:lang w:val="fr-FR" w:bidi="ar-KW"/>
        </w:rPr>
        <w:t>’</w:t>
      </w:r>
      <w:r w:rsidR="000C6D4A" w:rsidRPr="00F1180D">
        <w:rPr>
          <w:lang w:val="fr-FR" w:bidi="ar-KW"/>
        </w:rPr>
        <w:t>incitation à la commission de tout acte de violence à cette fin</w:t>
      </w:r>
      <w:r w:rsidR="00680ADA" w:rsidRPr="00F1180D">
        <w:rPr>
          <w:lang w:val="fr-FR" w:bidi="ar-KW"/>
        </w:rPr>
        <w:t>,</w:t>
      </w:r>
      <w:r w:rsidR="000C6D4A" w:rsidRPr="00F1180D">
        <w:rPr>
          <w:lang w:val="fr-FR" w:bidi="ar-KW"/>
        </w:rPr>
        <w:t xml:space="preserve"> de même que la propagation</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édition</w:t>
      </w:r>
      <w:r w:rsidR="00680ADA" w:rsidRPr="00F1180D">
        <w:rPr>
          <w:lang w:val="fr-FR" w:bidi="ar-KW"/>
        </w:rPr>
        <w:t>,</w:t>
      </w:r>
      <w:r w:rsidR="000C6D4A" w:rsidRPr="00F1180D">
        <w:rPr>
          <w:lang w:val="fr-FR" w:bidi="ar-KW"/>
        </w:rPr>
        <w:t xml:space="preserve"> la publication</w:t>
      </w:r>
      <w:r w:rsidR="00680ADA" w:rsidRPr="00F1180D">
        <w:rPr>
          <w:lang w:val="fr-FR" w:bidi="ar-KW"/>
        </w:rPr>
        <w:t>,</w:t>
      </w:r>
      <w:r w:rsidR="000C6D4A" w:rsidRPr="00F1180D">
        <w:rPr>
          <w:lang w:val="fr-FR" w:bidi="ar-KW"/>
        </w:rPr>
        <w:t xml:space="preserve"> la diffusion</w:t>
      </w:r>
      <w:r w:rsidR="00680ADA" w:rsidRPr="00F1180D">
        <w:rPr>
          <w:lang w:val="fr-FR" w:bidi="ar-KW"/>
        </w:rPr>
        <w:t>,</w:t>
      </w:r>
      <w:r w:rsidR="000C6D4A" w:rsidRPr="00F1180D">
        <w:rPr>
          <w:lang w:val="fr-FR" w:bidi="ar-KW"/>
        </w:rPr>
        <w:t xml:space="preserve"> la retransmission</w:t>
      </w:r>
      <w:r w:rsidR="00680ADA" w:rsidRPr="00F1180D">
        <w:rPr>
          <w:lang w:val="fr-FR" w:bidi="ar-KW"/>
        </w:rPr>
        <w:t>,</w:t>
      </w:r>
      <w:r w:rsidR="000C6D4A" w:rsidRPr="00F1180D">
        <w:rPr>
          <w:lang w:val="fr-FR" w:bidi="ar-KW"/>
        </w:rPr>
        <w:t xml:space="preserve"> la production</w:t>
      </w:r>
      <w:r w:rsidR="00680ADA" w:rsidRPr="00F1180D">
        <w:rPr>
          <w:lang w:val="fr-FR" w:bidi="ar-KW"/>
        </w:rPr>
        <w:t>,</w:t>
      </w:r>
      <w:r w:rsidR="000C6D4A" w:rsidRPr="00F1180D">
        <w:rPr>
          <w:lang w:val="fr-FR" w:bidi="ar-KW"/>
        </w:rPr>
        <w:t xml:space="preserve"> ou la mise en circulation de tout document imprimé ou contenu audiovisuel de nature à provoquer les infractions visées ci-dessus et la diffusion</w:t>
      </w:r>
      <w:r w:rsidR="00680ADA" w:rsidRPr="00F1180D">
        <w:rPr>
          <w:lang w:val="fr-FR" w:bidi="ar-KW"/>
        </w:rPr>
        <w:t>,</w:t>
      </w:r>
      <w:r w:rsidR="000C6D4A" w:rsidRPr="00F1180D">
        <w:rPr>
          <w:lang w:val="fr-FR" w:bidi="ar-KW"/>
        </w:rPr>
        <w:t xml:space="preserve"> la propagation ou la retransmission de fausses rumeurs susceptibles de produire les mêmes effets. </w:t>
      </w:r>
    </w:p>
    <w:p w:rsidR="000C6D4A" w:rsidRPr="00F1180D" w:rsidRDefault="00C13D1B" w:rsidP="00680ADA">
      <w:pPr>
        <w:pStyle w:val="SingleTxtG"/>
        <w:rPr>
          <w:rtl/>
          <w:lang w:val="fr-FR" w:bidi="fr-FR"/>
        </w:rPr>
      </w:pPr>
      <w:r>
        <w:rPr>
          <w:lang w:val="fr-FR" w:bidi="ar-KW"/>
        </w:rPr>
        <w:t>209.</w:t>
      </w:r>
      <w:r>
        <w:rPr>
          <w:lang w:val="fr-FR" w:bidi="ar-KW"/>
        </w:rPr>
        <w:tab/>
      </w:r>
      <w:r w:rsidR="000C6D4A" w:rsidRPr="00F1180D">
        <w:rPr>
          <w:lang w:val="fr-FR" w:bidi="ar-KW"/>
        </w:rPr>
        <w:t>Les dispositions de l</w:t>
      </w:r>
      <w:r w:rsidR="00680ADA" w:rsidRPr="00F1180D">
        <w:rPr>
          <w:lang w:val="fr-FR" w:bidi="ar-KW"/>
        </w:rPr>
        <w:t>’</w:t>
      </w:r>
      <w:r w:rsidR="000C6D4A" w:rsidRPr="00F1180D">
        <w:rPr>
          <w:lang w:val="fr-FR" w:bidi="ar-KW"/>
        </w:rPr>
        <w:t>alinéa précédent s</w:t>
      </w:r>
      <w:r w:rsidR="00680ADA" w:rsidRPr="00F1180D">
        <w:rPr>
          <w:lang w:val="fr-FR" w:bidi="ar-KW"/>
        </w:rPr>
        <w:t>’</w:t>
      </w:r>
      <w:r w:rsidR="000C6D4A" w:rsidRPr="00F1180D">
        <w:rPr>
          <w:lang w:val="fr-FR" w:bidi="ar-KW"/>
        </w:rPr>
        <w:t>appliquent à toute personne qui commet</w:t>
      </w:r>
      <w:r w:rsidR="00680ADA" w:rsidRPr="00F1180D">
        <w:rPr>
          <w:lang w:val="fr-FR" w:bidi="ar-KW"/>
        </w:rPr>
        <w:t>,</w:t>
      </w:r>
      <w:r w:rsidR="000C6D4A" w:rsidRPr="00F1180D">
        <w:rPr>
          <w:lang w:val="fr-FR" w:bidi="ar-KW"/>
        </w:rPr>
        <w:t xml:space="preserve"> à l</w:t>
      </w:r>
      <w:r w:rsidR="00680ADA" w:rsidRPr="00F1180D">
        <w:rPr>
          <w:lang w:val="fr-FR" w:bidi="ar-KW"/>
        </w:rPr>
        <w:t>’</w:t>
      </w:r>
      <w:r w:rsidR="000C6D4A" w:rsidRPr="00F1180D">
        <w:rPr>
          <w:lang w:val="fr-FR" w:bidi="ar-KW"/>
        </w:rPr>
        <w:t>étranger</w:t>
      </w:r>
      <w:r w:rsidR="00680ADA" w:rsidRPr="00F1180D">
        <w:rPr>
          <w:lang w:val="fr-FR" w:bidi="ar-KW"/>
        </w:rPr>
        <w:t>,</w:t>
      </w:r>
      <w:r w:rsidR="000C6D4A" w:rsidRPr="00F1180D">
        <w:rPr>
          <w:lang w:val="fr-FR" w:bidi="ar-KW"/>
        </w:rPr>
        <w:t xml:space="preserve"> un acte le rendant auteur ou complice d</w:t>
      </w:r>
      <w:r w:rsidR="00680ADA" w:rsidRPr="00F1180D">
        <w:rPr>
          <w:lang w:val="fr-FR" w:bidi="ar-KW"/>
        </w:rPr>
        <w:t>’</w:t>
      </w:r>
      <w:r w:rsidR="000C6D4A" w:rsidRPr="00F1180D">
        <w:rPr>
          <w:lang w:val="fr-FR" w:bidi="ar-KW"/>
        </w:rPr>
        <w:t>une infraction qui se produit en totalité ou en partie au Koweït.</w:t>
      </w:r>
    </w:p>
    <w:p w:rsidR="00C13D1B" w:rsidRDefault="00C13D1B" w:rsidP="00680ADA">
      <w:pPr>
        <w:pStyle w:val="SingleTxtG"/>
        <w:rPr>
          <w:lang w:val="fr-FR" w:bidi="ar-KW"/>
        </w:rPr>
      </w:pPr>
      <w:r>
        <w:rPr>
          <w:lang w:val="fr-FR" w:bidi="ar-KW"/>
        </w:rPr>
        <w:t>210.</w:t>
      </w:r>
      <w:r>
        <w:rPr>
          <w:lang w:val="fr-FR" w:bidi="ar-KW"/>
        </w:rPr>
        <w:tab/>
      </w:r>
      <w:r w:rsidR="000C6D4A" w:rsidRPr="00F1180D">
        <w:rPr>
          <w:lang w:val="fr-FR" w:bidi="ar-KW"/>
        </w:rPr>
        <w:t>Il convient de noter que conformément à ses engagements internationaux</w:t>
      </w:r>
      <w:r w:rsidR="00680ADA" w:rsidRPr="00F1180D">
        <w:rPr>
          <w:lang w:val="fr-FR" w:bidi="ar-KW"/>
        </w:rPr>
        <w:t>,</w:t>
      </w:r>
      <w:r w:rsidR="000C6D4A" w:rsidRPr="00F1180D">
        <w:rPr>
          <w:lang w:val="fr-FR" w:bidi="ar-KW"/>
        </w:rPr>
        <w:t xml:space="preserve"> notamment ceux découlant de la Déclaration de Durban</w:t>
      </w:r>
      <w:r w:rsidR="00680ADA" w:rsidRPr="00F1180D">
        <w:rPr>
          <w:lang w:val="fr-FR" w:bidi="ar-KW"/>
        </w:rPr>
        <w:t>,</w:t>
      </w:r>
      <w:r w:rsidR="000C6D4A" w:rsidRPr="00F1180D">
        <w:rPr>
          <w:lang w:val="fr-FR" w:bidi="ar-KW"/>
        </w:rPr>
        <w:t xml:space="preserve"> le Koweït a promulgué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91 de 2013 sur la lutte contre la traite des personnes et le trafic de migrants</w:t>
      </w:r>
      <w:r w:rsidR="00680ADA" w:rsidRPr="00F1180D">
        <w:rPr>
          <w:lang w:val="fr-FR" w:bidi="ar-KW"/>
        </w:rPr>
        <w:t>,</w:t>
      </w:r>
      <w:r w:rsidR="000C6D4A" w:rsidRPr="00F1180D">
        <w:rPr>
          <w:lang w:val="fr-FR" w:bidi="ar-KW"/>
        </w:rPr>
        <w:t xml:space="preserve"> dont l</w:t>
      </w:r>
      <w:r w:rsidR="00680ADA" w:rsidRPr="00F1180D">
        <w:rPr>
          <w:lang w:val="fr-FR" w:bidi="ar-KW"/>
        </w:rPr>
        <w:t>’</w:t>
      </w:r>
      <w:r w:rsidR="00163207" w:rsidRPr="00F1180D">
        <w:rPr>
          <w:lang w:val="fr-FR" w:bidi="ar-KW"/>
        </w:rPr>
        <w:t>article </w:t>
      </w:r>
      <w:r w:rsidR="00E80CD0" w:rsidRPr="00F1180D">
        <w:rPr>
          <w:lang w:val="fr-FR" w:bidi="ar-KW"/>
        </w:rPr>
        <w:t>1</w:t>
      </w:r>
      <w:r w:rsidR="00E80CD0" w:rsidRPr="00F1180D">
        <w:rPr>
          <w:vertAlign w:val="superscript"/>
          <w:lang w:val="fr-FR" w:bidi="ar-KW"/>
        </w:rPr>
        <w:t>er</w:t>
      </w:r>
      <w:r w:rsidR="00E80CD0" w:rsidRPr="00F1180D">
        <w:rPr>
          <w:lang w:val="fr-FR" w:bidi="ar-KW"/>
        </w:rPr>
        <w:t xml:space="preserve"> </w:t>
      </w:r>
      <w:r w:rsidR="000C6D4A" w:rsidRPr="00F1180D">
        <w:rPr>
          <w:lang w:val="fr-FR" w:bidi="ar-KW"/>
        </w:rPr>
        <w:t>définit les notions de criminalité transnationale organisée</w:t>
      </w:r>
      <w:r w:rsidR="00680ADA" w:rsidRPr="00F1180D">
        <w:rPr>
          <w:lang w:val="fr-FR" w:bidi="ar-KW"/>
        </w:rPr>
        <w:t>,</w:t>
      </w:r>
      <w:r w:rsidR="000C6D4A" w:rsidRPr="00F1180D">
        <w:rPr>
          <w:lang w:val="fr-FR" w:bidi="ar-KW"/>
        </w:rPr>
        <w:t xml:space="preserve"> de traite des personnes</w:t>
      </w:r>
      <w:r w:rsidR="00680ADA" w:rsidRPr="00F1180D">
        <w:rPr>
          <w:lang w:val="fr-FR" w:bidi="ar-KW"/>
        </w:rPr>
        <w:t>,</w:t>
      </w:r>
      <w:r w:rsidR="000C6D4A" w:rsidRPr="00F1180D">
        <w:rPr>
          <w:lang w:val="fr-FR" w:bidi="ar-KW"/>
        </w:rPr>
        <w:t xml:space="preserve"> de trafic illicite de migrants et d</w:t>
      </w:r>
      <w:r w:rsidR="00680ADA" w:rsidRPr="00F1180D">
        <w:rPr>
          <w:lang w:val="fr-FR" w:bidi="ar-KW"/>
        </w:rPr>
        <w:t>’</w:t>
      </w:r>
      <w:r w:rsidR="000C6D4A" w:rsidRPr="00F1180D">
        <w:rPr>
          <w:lang w:val="fr-FR" w:bidi="ar-KW"/>
        </w:rPr>
        <w:t>entrée illégale sur le territoire et dont l</w:t>
      </w:r>
      <w:r w:rsidR="00680ADA" w:rsidRPr="00F1180D">
        <w:rPr>
          <w:lang w:val="fr-FR" w:bidi="ar-KW"/>
        </w:rPr>
        <w:t>’</w:t>
      </w:r>
      <w:r w:rsidR="00163207" w:rsidRPr="00F1180D">
        <w:rPr>
          <w:lang w:val="fr-FR" w:bidi="ar-KW"/>
        </w:rPr>
        <w:t>article </w:t>
      </w:r>
      <w:r w:rsidR="000C6D4A" w:rsidRPr="00F1180D">
        <w:rPr>
          <w:lang w:val="fr-FR" w:bidi="ar-KW"/>
        </w:rPr>
        <w:t>2 prévoit les sanctions applicables en cas de traite de personnes</w:t>
      </w:r>
      <w:r w:rsidR="00680ADA" w:rsidRPr="00F1180D">
        <w:rPr>
          <w:lang w:val="fr-FR" w:bidi="ar-KW"/>
        </w:rPr>
        <w:t>,</w:t>
      </w:r>
      <w:r w:rsidR="000C6D4A" w:rsidRPr="00F1180D">
        <w:rPr>
          <w:lang w:val="fr-FR" w:bidi="ar-KW"/>
        </w:rPr>
        <w:t xml:space="preserve"> qui peuvent aller jusqu</w:t>
      </w:r>
      <w:r w:rsidR="00680ADA" w:rsidRPr="00F1180D">
        <w:rPr>
          <w:lang w:val="fr-FR" w:bidi="ar-KW"/>
        </w:rPr>
        <w:t>’</w:t>
      </w:r>
      <w:r w:rsidR="000C6D4A" w:rsidRPr="00F1180D">
        <w:rPr>
          <w:lang w:val="fr-FR" w:bidi="ar-KW"/>
        </w:rPr>
        <w:t>à la peine de mort</w:t>
      </w:r>
      <w:r>
        <w:rPr>
          <w:lang w:val="fr-FR" w:bidi="ar-KW"/>
        </w:rPr>
        <w:t>.</w:t>
      </w:r>
    </w:p>
    <w:p w:rsidR="000C6D4A" w:rsidRPr="00F1180D" w:rsidRDefault="00C13D1B" w:rsidP="00680ADA">
      <w:pPr>
        <w:pStyle w:val="SingleTxtG"/>
        <w:rPr>
          <w:lang w:val="fr-FR" w:bidi="ar-KW"/>
        </w:rPr>
      </w:pPr>
      <w:r>
        <w:rPr>
          <w:lang w:val="fr-FR" w:bidi="ar-KW"/>
        </w:rPr>
        <w:t>211.</w:t>
      </w:r>
      <w:r>
        <w:rPr>
          <w:lang w:val="fr-FR" w:bidi="ar-KW"/>
        </w:rPr>
        <w:tab/>
        <w:t>L</w:t>
      </w:r>
      <w:r w:rsidR="00680ADA" w:rsidRPr="00F1180D">
        <w:rPr>
          <w:lang w:val="fr-FR" w:bidi="ar-KW"/>
        </w:rPr>
        <w:t>’</w:t>
      </w:r>
      <w:r w:rsidR="00163207" w:rsidRPr="00F1180D">
        <w:rPr>
          <w:lang w:val="fr-FR" w:bidi="ar-KW"/>
        </w:rPr>
        <w:t>article </w:t>
      </w:r>
      <w:r w:rsidR="000C6D4A" w:rsidRPr="00F1180D">
        <w:rPr>
          <w:lang w:val="fr-FR" w:bidi="ar-KW"/>
        </w:rPr>
        <w:t>3 fixe les sanctions prévues en cas de trafic de migrants</w:t>
      </w:r>
      <w:r w:rsidR="00680ADA" w:rsidRPr="00F1180D">
        <w:rPr>
          <w:lang w:val="fr-FR" w:bidi="ar-KW"/>
        </w:rPr>
        <w:t>,</w:t>
      </w:r>
      <w:r w:rsidR="000C6D4A" w:rsidRPr="00F1180D">
        <w:rPr>
          <w:lang w:val="fr-FR" w:bidi="ar-KW"/>
        </w:rPr>
        <w:t xml:space="preserve"> à savoir une peine privative de liberté pouvant aller jusqu</w:t>
      </w:r>
      <w:r w:rsidR="00680ADA" w:rsidRPr="00F1180D">
        <w:rPr>
          <w:lang w:val="fr-FR" w:bidi="ar-KW"/>
        </w:rPr>
        <w:t>’</w:t>
      </w:r>
      <w:r w:rsidR="000C6D4A" w:rsidRPr="00F1180D">
        <w:rPr>
          <w:lang w:val="fr-FR" w:bidi="ar-KW"/>
        </w:rPr>
        <w:t>à 15</w:t>
      </w:r>
      <w:r w:rsidR="00524736" w:rsidRPr="00F1180D">
        <w:rPr>
          <w:lang w:val="fr-FR" w:bidi="ar-KW"/>
        </w:rPr>
        <w:t> ans</w:t>
      </w:r>
      <w:r w:rsidR="000C6D4A" w:rsidRPr="00F1180D">
        <w:rPr>
          <w:lang w:val="fr-FR" w:bidi="ar-KW"/>
        </w:rPr>
        <w:t xml:space="preserve"> d</w:t>
      </w:r>
      <w:r w:rsidR="00680ADA" w:rsidRPr="00F1180D">
        <w:rPr>
          <w:lang w:val="fr-FR" w:bidi="ar-KW"/>
        </w:rPr>
        <w:t>’</w:t>
      </w:r>
      <w:r w:rsidR="000C6D4A" w:rsidRPr="00F1180D">
        <w:rPr>
          <w:lang w:val="fr-FR" w:bidi="ar-KW"/>
        </w:rPr>
        <w:t>emprisonnement et/ou une amende de 10 000 à 20 000</w:t>
      </w:r>
      <w:r w:rsidR="009B1350" w:rsidRPr="00F1180D">
        <w:rPr>
          <w:lang w:val="fr-FR" w:bidi="ar-KW"/>
        </w:rPr>
        <w:t> dinars</w:t>
      </w:r>
      <w:r w:rsidR="000C6D4A" w:rsidRPr="00F1180D">
        <w:rPr>
          <w:lang w:val="fr-FR" w:bidi="ar-KW"/>
        </w:rPr>
        <w:t>.</w:t>
      </w:r>
    </w:p>
    <w:p w:rsidR="000C6D4A" w:rsidRPr="00F1180D" w:rsidRDefault="00C13D1B" w:rsidP="00680ADA">
      <w:pPr>
        <w:pStyle w:val="SingleTxtG"/>
        <w:rPr>
          <w:rtl/>
          <w:lang w:val="fr-FR" w:bidi="fr-FR"/>
        </w:rPr>
      </w:pPr>
      <w:r>
        <w:rPr>
          <w:lang w:val="fr-FR" w:bidi="ar-KW"/>
        </w:rPr>
        <w:t>212.</w:t>
      </w:r>
      <w:r>
        <w:rPr>
          <w:lang w:val="fr-FR" w:bidi="ar-KW"/>
        </w:rPr>
        <w:tab/>
      </w:r>
      <w:r w:rsidR="000C6D4A" w:rsidRPr="00F1180D">
        <w:rPr>
          <w:lang w:val="fr-FR" w:bidi="ar-KW"/>
        </w:rPr>
        <w:t>Sur le plan politique</w:t>
      </w:r>
      <w:r w:rsidR="00680ADA" w:rsidRPr="00F1180D">
        <w:rPr>
          <w:lang w:val="fr-FR" w:bidi="ar-KW"/>
        </w:rPr>
        <w:t>,</w:t>
      </w:r>
      <w:r w:rsidR="000C6D4A" w:rsidRPr="00F1180D">
        <w:rPr>
          <w:lang w:val="fr-FR" w:bidi="ar-KW"/>
        </w:rPr>
        <w:t xml:space="preserve"> l</w:t>
      </w:r>
      <w:r w:rsidR="00680ADA" w:rsidRPr="00F1180D">
        <w:rPr>
          <w:lang w:val="fr-FR" w:bidi="ar-KW"/>
        </w:rPr>
        <w:t>’</w:t>
      </w:r>
      <w:r w:rsidR="000C6D4A" w:rsidRPr="00F1180D">
        <w:rPr>
          <w:lang w:val="fr-FR" w:bidi="ar-KW"/>
        </w:rPr>
        <w:t>Assemblée nationale a pris des mesures visant à protéger et à promouvoir les droits de l</w:t>
      </w:r>
      <w:r w:rsidR="00680ADA" w:rsidRPr="00F1180D">
        <w:rPr>
          <w:lang w:val="fr-FR" w:bidi="ar-KW"/>
        </w:rPr>
        <w:t>’</w:t>
      </w:r>
      <w:r w:rsidR="000C6D4A" w:rsidRPr="00F1180D">
        <w:rPr>
          <w:lang w:val="fr-FR" w:bidi="ar-KW"/>
        </w:rPr>
        <w:t>homme</w:t>
      </w:r>
      <w:r w:rsidR="00680ADA" w:rsidRPr="00F1180D">
        <w:rPr>
          <w:lang w:val="fr-FR" w:bidi="ar-KW"/>
        </w:rPr>
        <w:t>,</w:t>
      </w:r>
      <w:r w:rsidR="000C6D4A" w:rsidRPr="00F1180D">
        <w:rPr>
          <w:lang w:val="fr-FR" w:bidi="ar-KW"/>
        </w:rPr>
        <w:t xml:space="preserve"> incluant la lutte contre le racisme</w:t>
      </w:r>
      <w:r w:rsidR="00680ADA" w:rsidRPr="00F1180D">
        <w:rPr>
          <w:lang w:val="fr-FR" w:bidi="ar-KW"/>
        </w:rPr>
        <w:t>,</w:t>
      </w:r>
      <w:r w:rsidR="000C6D4A" w:rsidRPr="00F1180D">
        <w:rPr>
          <w:lang w:val="fr-FR" w:bidi="ar-KW"/>
        </w:rPr>
        <w:t xml:space="preserve"> la discrimination raciale et la xénophobie. Il convient ainsi de signaler à son actif la création d</w:t>
      </w:r>
      <w:r w:rsidR="00680ADA" w:rsidRPr="00F1180D">
        <w:rPr>
          <w:lang w:val="fr-FR" w:bidi="ar-KW"/>
        </w:rPr>
        <w:t>’</w:t>
      </w:r>
      <w:r w:rsidR="000C6D4A" w:rsidRPr="00F1180D">
        <w:rPr>
          <w:lang w:val="fr-FR" w:bidi="ar-KW"/>
        </w:rPr>
        <w:t>une Commission parlementaire permanente chargée de la défense des droits de l</w:t>
      </w:r>
      <w:r w:rsidR="00680ADA" w:rsidRPr="00F1180D">
        <w:rPr>
          <w:lang w:val="fr-FR" w:bidi="ar-KW"/>
        </w:rPr>
        <w:t>’</w:t>
      </w:r>
      <w:r w:rsidR="000C6D4A" w:rsidRPr="00F1180D">
        <w:rPr>
          <w:lang w:val="fr-FR" w:bidi="ar-KW"/>
        </w:rPr>
        <w:t>homme</w:t>
      </w:r>
      <w:r w:rsidR="00680ADA" w:rsidRPr="00F1180D">
        <w:rPr>
          <w:lang w:val="fr-FR" w:bidi="ar-KW"/>
        </w:rPr>
        <w:t>,</w:t>
      </w:r>
      <w:r w:rsidR="000C6D4A" w:rsidRPr="00F1180D">
        <w:rPr>
          <w:lang w:val="fr-FR" w:bidi="ar-KW"/>
        </w:rPr>
        <w:t xml:space="preserve"> qui traduit bien tout le souci et l</w:t>
      </w:r>
      <w:r w:rsidR="00680ADA" w:rsidRPr="00F1180D">
        <w:rPr>
          <w:lang w:val="fr-FR" w:bidi="ar-KW"/>
        </w:rPr>
        <w:t>’</w:t>
      </w:r>
      <w:r w:rsidR="000C6D4A" w:rsidRPr="00F1180D">
        <w:rPr>
          <w:lang w:val="fr-FR" w:bidi="ar-KW"/>
        </w:rPr>
        <w:t>intérêt que le législateur porte à cet aspect humanitaire important et sa volonté de garantir l</w:t>
      </w:r>
      <w:r w:rsidR="00680ADA" w:rsidRPr="00F1180D">
        <w:rPr>
          <w:lang w:val="fr-FR" w:bidi="ar-KW"/>
        </w:rPr>
        <w:t>’</w:t>
      </w:r>
      <w:r w:rsidR="000C6D4A" w:rsidRPr="00F1180D">
        <w:rPr>
          <w:lang w:val="fr-FR" w:bidi="ar-KW"/>
        </w:rPr>
        <w:t>égalité dans l</w:t>
      </w:r>
      <w:r w:rsidR="00680ADA" w:rsidRPr="00F1180D">
        <w:rPr>
          <w:lang w:val="fr-FR" w:bidi="ar-KW"/>
        </w:rPr>
        <w:t>’</w:t>
      </w:r>
      <w:r w:rsidR="000C6D4A" w:rsidRPr="00F1180D">
        <w:rPr>
          <w:lang w:val="fr-FR" w:bidi="ar-KW"/>
        </w:rPr>
        <w:t>exercice des droits</w:t>
      </w:r>
      <w:r w:rsidR="00680ADA" w:rsidRPr="00F1180D">
        <w:rPr>
          <w:lang w:val="fr-FR" w:bidi="ar-KW"/>
        </w:rPr>
        <w:t>,</w:t>
      </w:r>
      <w:r w:rsidR="000C6D4A" w:rsidRPr="00F1180D">
        <w:rPr>
          <w:lang w:val="fr-FR" w:bidi="ar-KW"/>
        </w:rPr>
        <w:t xml:space="preserve"> qui constitue l</w:t>
      </w:r>
      <w:r w:rsidR="00680ADA" w:rsidRPr="00F1180D">
        <w:rPr>
          <w:lang w:val="fr-FR" w:bidi="ar-KW"/>
        </w:rPr>
        <w:t>’</w:t>
      </w:r>
      <w:r w:rsidR="000C6D4A" w:rsidRPr="00F1180D">
        <w:rPr>
          <w:lang w:val="fr-FR" w:bidi="ar-KW"/>
        </w:rPr>
        <w:t>un des piliers de l</w:t>
      </w:r>
      <w:r w:rsidR="00680ADA" w:rsidRPr="00F1180D">
        <w:rPr>
          <w:lang w:val="fr-FR" w:bidi="ar-KW"/>
        </w:rPr>
        <w:t>’</w:t>
      </w:r>
      <w:r w:rsidR="000C6D4A" w:rsidRPr="00F1180D">
        <w:rPr>
          <w:lang w:val="fr-FR" w:bidi="ar-KW"/>
        </w:rPr>
        <w:t>État moderne</w:t>
      </w:r>
      <w:r w:rsidR="00680ADA" w:rsidRPr="00F1180D">
        <w:rPr>
          <w:lang w:val="fr-FR" w:bidi="ar-KW"/>
        </w:rPr>
        <w:t>,</w:t>
      </w:r>
      <w:r w:rsidR="000C6D4A" w:rsidRPr="00F1180D">
        <w:rPr>
          <w:lang w:val="fr-FR" w:bidi="ar-KW"/>
        </w:rPr>
        <w:t xml:space="preserve"> respectueux de la primauté du droit.</w:t>
      </w:r>
    </w:p>
    <w:p w:rsidR="000C6D4A" w:rsidRPr="00F1180D" w:rsidRDefault="00C13D1B" w:rsidP="00680ADA">
      <w:pPr>
        <w:pStyle w:val="SingleTxtG"/>
        <w:rPr>
          <w:lang w:val="fr-FR"/>
        </w:rPr>
      </w:pPr>
      <w:r>
        <w:rPr>
          <w:lang w:val="fr-FR" w:bidi="ar-KW"/>
        </w:rPr>
        <w:t>213.</w:t>
      </w:r>
      <w:r>
        <w:rPr>
          <w:lang w:val="fr-FR" w:bidi="ar-KW"/>
        </w:rPr>
        <w:tab/>
      </w:r>
      <w:r w:rsidR="000C6D4A" w:rsidRPr="00F1180D">
        <w:rPr>
          <w:lang w:val="fr-FR" w:bidi="ar-KW"/>
        </w:rPr>
        <w:t>En outre</w:t>
      </w:r>
      <w:r w:rsidR="00680ADA" w:rsidRPr="00F1180D">
        <w:rPr>
          <w:lang w:val="fr-FR" w:bidi="ar-KW"/>
        </w:rPr>
        <w:t>,</w:t>
      </w:r>
      <w:r w:rsidR="000C6D4A" w:rsidRPr="00F1180D">
        <w:rPr>
          <w:lang w:val="fr-FR" w:bidi="ar-KW"/>
        </w:rPr>
        <w:t xml:space="preserve"> </w:t>
      </w:r>
      <w:r w:rsidR="000C6D4A" w:rsidRPr="00F1180D">
        <w:rPr>
          <w:lang w:val="fr-FR"/>
        </w:rPr>
        <w:t xml:space="preserve">la note explicative de la loi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rPr>
        <w:t>67 de 2015 portant création de l</w:t>
      </w:r>
      <w:r w:rsidR="00680ADA" w:rsidRPr="00F1180D">
        <w:rPr>
          <w:lang w:val="fr-FR"/>
        </w:rPr>
        <w:t>’</w:t>
      </w:r>
      <w:r w:rsidR="000C6D4A" w:rsidRPr="00F1180D">
        <w:rPr>
          <w:lang w:val="fr-FR"/>
        </w:rPr>
        <w:t>Office national des droits de l</w:t>
      </w:r>
      <w:r w:rsidR="00680ADA" w:rsidRPr="00F1180D">
        <w:rPr>
          <w:lang w:val="fr-FR"/>
        </w:rPr>
        <w:t>’</w:t>
      </w:r>
      <w:r w:rsidR="000C6D4A" w:rsidRPr="00F1180D">
        <w:rPr>
          <w:lang w:val="fr-FR"/>
        </w:rPr>
        <w:t>homme indique que cette instance bénéficie d</w:t>
      </w:r>
      <w:r w:rsidR="00680ADA" w:rsidRPr="00F1180D">
        <w:rPr>
          <w:lang w:val="fr-FR"/>
        </w:rPr>
        <w:t>’</w:t>
      </w:r>
      <w:r w:rsidR="000C6D4A" w:rsidRPr="00F1180D">
        <w:rPr>
          <w:lang w:val="fr-FR"/>
        </w:rPr>
        <w:t>un statut juridique particulier en tant qu</w:t>
      </w:r>
      <w:r w:rsidR="00680ADA" w:rsidRPr="00F1180D">
        <w:rPr>
          <w:lang w:val="fr-FR"/>
        </w:rPr>
        <w:t>’</w:t>
      </w:r>
      <w:r w:rsidR="000C6D4A" w:rsidRPr="00F1180D">
        <w:rPr>
          <w:lang w:val="fr-FR"/>
        </w:rPr>
        <w:t>institution nationale</w:t>
      </w:r>
      <w:r w:rsidR="00680ADA" w:rsidRPr="00F1180D">
        <w:rPr>
          <w:lang w:val="fr-FR"/>
        </w:rPr>
        <w:t>,</w:t>
      </w:r>
      <w:r w:rsidR="000C6D4A" w:rsidRPr="00F1180D">
        <w:rPr>
          <w:lang w:val="fr-FR"/>
        </w:rPr>
        <w:t xml:space="preserve"> officielle et indépendante des droits de l</w:t>
      </w:r>
      <w:r w:rsidR="00680ADA" w:rsidRPr="00F1180D">
        <w:rPr>
          <w:lang w:val="fr-FR"/>
        </w:rPr>
        <w:t>’</w:t>
      </w:r>
      <w:r w:rsidR="000C6D4A" w:rsidRPr="00F1180D">
        <w:rPr>
          <w:lang w:val="fr-FR"/>
        </w:rPr>
        <w:t>homme</w:t>
      </w:r>
      <w:r w:rsidR="00680ADA" w:rsidRPr="00F1180D">
        <w:rPr>
          <w:lang w:val="fr-FR"/>
        </w:rPr>
        <w:t>,</w:t>
      </w:r>
      <w:r w:rsidR="000C6D4A" w:rsidRPr="00F1180D">
        <w:rPr>
          <w:lang w:val="fr-FR"/>
        </w:rPr>
        <w:t xml:space="preserve"> ce qui la différencie des organismes administratifs ou gouvernementaux ordinaires. Il s</w:t>
      </w:r>
      <w:r w:rsidR="00680ADA" w:rsidRPr="00F1180D">
        <w:rPr>
          <w:lang w:val="fr-FR"/>
        </w:rPr>
        <w:t>’</w:t>
      </w:r>
      <w:r w:rsidR="000C6D4A" w:rsidRPr="00F1180D">
        <w:rPr>
          <w:lang w:val="fr-FR"/>
        </w:rPr>
        <w:t>agit en effet d</w:t>
      </w:r>
      <w:r w:rsidR="00680ADA" w:rsidRPr="00F1180D">
        <w:rPr>
          <w:lang w:val="fr-FR"/>
        </w:rPr>
        <w:t>’</w:t>
      </w:r>
      <w:r w:rsidR="000C6D4A" w:rsidRPr="00F1180D">
        <w:rPr>
          <w:lang w:val="fr-FR"/>
        </w:rPr>
        <w:t xml:space="preserve">une </w:t>
      </w:r>
      <w:r w:rsidR="00680ADA" w:rsidRPr="00F1180D">
        <w:rPr>
          <w:lang w:val="fr-FR"/>
        </w:rPr>
        <w:t>«</w:t>
      </w:r>
      <w:r w:rsidR="000C6D4A" w:rsidRPr="00F1180D">
        <w:rPr>
          <w:lang w:val="fr-FR"/>
        </w:rPr>
        <w:t>institution nationale permanente chargée de la protection des droits de l</w:t>
      </w:r>
      <w:r w:rsidR="00680ADA" w:rsidRPr="00F1180D">
        <w:rPr>
          <w:lang w:val="fr-FR"/>
        </w:rPr>
        <w:t>’</w:t>
      </w:r>
      <w:r w:rsidR="000C6D4A" w:rsidRPr="00F1180D">
        <w:rPr>
          <w:lang w:val="fr-FR"/>
        </w:rPr>
        <w:t>homme et des libertés</w:t>
      </w:r>
      <w:r w:rsidR="00680ADA" w:rsidRPr="00F1180D">
        <w:rPr>
          <w:lang w:val="fr-FR"/>
        </w:rPr>
        <w:t>»</w:t>
      </w:r>
      <w:r w:rsidR="000C6D4A" w:rsidRPr="00F1180D">
        <w:rPr>
          <w:lang w:val="fr-FR"/>
        </w:rPr>
        <w:t>. Le préambule de la loi de création de l</w:t>
      </w:r>
      <w:r w:rsidR="00680ADA" w:rsidRPr="00F1180D">
        <w:rPr>
          <w:lang w:val="fr-FR"/>
        </w:rPr>
        <w:t>’</w:t>
      </w:r>
      <w:r w:rsidR="000C6D4A" w:rsidRPr="00F1180D">
        <w:rPr>
          <w:lang w:val="fr-FR"/>
        </w:rPr>
        <w:t>Office</w:t>
      </w:r>
      <w:r w:rsidR="00680ADA" w:rsidRPr="00F1180D">
        <w:rPr>
          <w:lang w:val="fr-FR"/>
        </w:rPr>
        <w:t>,</w:t>
      </w:r>
      <w:r w:rsidR="000C6D4A" w:rsidRPr="00F1180D">
        <w:rPr>
          <w:lang w:val="fr-FR"/>
        </w:rPr>
        <w:t xml:space="preserve"> laquelle se compose de 14 articles</w:t>
      </w:r>
      <w:r w:rsidR="00680ADA" w:rsidRPr="00F1180D">
        <w:rPr>
          <w:lang w:val="fr-FR"/>
        </w:rPr>
        <w:t>,</w:t>
      </w:r>
      <w:r w:rsidR="000C6D4A" w:rsidRPr="00F1180D">
        <w:rPr>
          <w:lang w:val="fr-FR"/>
        </w:rPr>
        <w:t xml:space="preserve"> énumère ses fondements constitutionnels</w:t>
      </w:r>
      <w:r w:rsidR="00680ADA" w:rsidRPr="00F1180D">
        <w:rPr>
          <w:lang w:val="fr-FR"/>
        </w:rPr>
        <w:t>,</w:t>
      </w:r>
      <w:r w:rsidR="000C6D4A" w:rsidRPr="00F1180D">
        <w:rPr>
          <w:lang w:val="fr-FR"/>
        </w:rPr>
        <w:t xml:space="preserve"> juridiques et internationaux</w:t>
      </w:r>
      <w:r w:rsidR="00680ADA" w:rsidRPr="00F1180D">
        <w:rPr>
          <w:lang w:val="fr-FR"/>
        </w:rPr>
        <w:t>,</w:t>
      </w:r>
      <w:r w:rsidR="000C6D4A" w:rsidRPr="00F1180D">
        <w:rPr>
          <w:lang w:val="fr-FR"/>
        </w:rPr>
        <w:t xml:space="preserve"> parmi lesquels notamment la résolution 48/134 de l</w:t>
      </w:r>
      <w:r w:rsidR="00680ADA" w:rsidRPr="00F1180D">
        <w:rPr>
          <w:lang w:val="fr-FR"/>
        </w:rPr>
        <w:t>’</w:t>
      </w:r>
      <w:r w:rsidR="000C6D4A" w:rsidRPr="00F1180D">
        <w:rPr>
          <w:lang w:val="fr-FR"/>
        </w:rPr>
        <w:t>Assemblée générale des Nations Unies portant adoption des Principes relatifs au statut des institutions nationales visant à promouvoir et à protéger les droits de l</w:t>
      </w:r>
      <w:r w:rsidR="00680ADA" w:rsidRPr="00F1180D">
        <w:rPr>
          <w:lang w:val="fr-FR"/>
        </w:rPr>
        <w:t>’</w:t>
      </w:r>
      <w:r w:rsidR="000C6D4A" w:rsidRPr="00F1180D">
        <w:rPr>
          <w:lang w:val="fr-FR"/>
        </w:rPr>
        <w:t>homme</w:t>
      </w:r>
      <w:r w:rsidR="00680ADA" w:rsidRPr="00F1180D">
        <w:rPr>
          <w:lang w:val="fr-FR"/>
        </w:rPr>
        <w:t>,</w:t>
      </w:r>
      <w:r w:rsidR="000C6D4A" w:rsidRPr="00F1180D">
        <w:rPr>
          <w:lang w:val="fr-FR"/>
        </w:rPr>
        <w:t xml:space="preserve"> connus sous le nom de </w:t>
      </w:r>
      <w:r w:rsidR="00680ADA" w:rsidRPr="00F1180D">
        <w:rPr>
          <w:lang w:val="fr-FR"/>
        </w:rPr>
        <w:t>«</w:t>
      </w:r>
      <w:r w:rsidR="000C6D4A" w:rsidRPr="00F1180D">
        <w:rPr>
          <w:lang w:val="fr-FR"/>
        </w:rPr>
        <w:t>Principes de Paris</w:t>
      </w:r>
      <w:r w:rsidR="00680ADA" w:rsidRPr="00F1180D">
        <w:rPr>
          <w:lang w:val="fr-FR"/>
        </w:rPr>
        <w:t>»</w:t>
      </w:r>
      <w:r w:rsidR="000C6D4A" w:rsidRPr="00F1180D">
        <w:rPr>
          <w:lang w:val="fr-FR"/>
        </w:rPr>
        <w:t>.</w:t>
      </w:r>
    </w:p>
    <w:p w:rsidR="00591F2E" w:rsidRPr="00F1180D" w:rsidRDefault="00C13D1B" w:rsidP="00680ADA">
      <w:pPr>
        <w:pStyle w:val="SingleTxtG"/>
        <w:rPr>
          <w:lang w:val="fr-FR"/>
        </w:rPr>
      </w:pPr>
      <w:r>
        <w:rPr>
          <w:lang w:val="fr-FR"/>
        </w:rPr>
        <w:t>214.</w:t>
      </w:r>
      <w:r>
        <w:rPr>
          <w:lang w:val="fr-FR"/>
        </w:rPr>
        <w:tab/>
      </w:r>
      <w:r w:rsidR="000C6D4A" w:rsidRPr="00F1180D">
        <w:rPr>
          <w:lang w:val="fr-FR"/>
        </w:rPr>
        <w:t>L</w:t>
      </w:r>
      <w:r w:rsidR="00680ADA" w:rsidRPr="00F1180D">
        <w:rPr>
          <w:lang w:val="fr-FR"/>
        </w:rPr>
        <w:t>’</w:t>
      </w:r>
      <w:r w:rsidR="00163207" w:rsidRPr="00F1180D">
        <w:rPr>
          <w:lang w:val="fr-FR"/>
        </w:rPr>
        <w:t>article </w:t>
      </w:r>
      <w:r w:rsidR="000C6D4A" w:rsidRPr="00F1180D">
        <w:rPr>
          <w:lang w:val="fr-FR"/>
        </w:rPr>
        <w:t>2 de la loi dispose ce qui suit</w:t>
      </w:r>
      <w:r w:rsidR="00680ADA" w:rsidRPr="00F1180D">
        <w:rPr>
          <w:lang w:val="fr-FR"/>
        </w:rPr>
        <w:t>:</w:t>
      </w:r>
      <w:r w:rsidR="000C6D4A" w:rsidRPr="00F1180D">
        <w:rPr>
          <w:lang w:val="fr-FR"/>
        </w:rPr>
        <w:t xml:space="preserve"> </w:t>
      </w:r>
      <w:r w:rsidR="00680ADA" w:rsidRPr="00F1180D">
        <w:rPr>
          <w:lang w:val="fr-FR"/>
        </w:rPr>
        <w:t>«</w:t>
      </w:r>
      <w:r w:rsidR="000C6D4A" w:rsidRPr="00F1180D">
        <w:rPr>
          <w:lang w:val="fr-FR"/>
        </w:rPr>
        <w:t>Il est créé un Office indépendant nommé Office national des droits de l</w:t>
      </w:r>
      <w:r w:rsidR="00680ADA" w:rsidRPr="00F1180D">
        <w:rPr>
          <w:lang w:val="fr-FR"/>
        </w:rPr>
        <w:t>’</w:t>
      </w:r>
      <w:r w:rsidR="000C6D4A" w:rsidRPr="00F1180D">
        <w:rPr>
          <w:lang w:val="fr-FR"/>
        </w:rPr>
        <w:t>homme</w:t>
      </w:r>
      <w:r w:rsidR="00680ADA" w:rsidRPr="00F1180D">
        <w:rPr>
          <w:lang w:val="fr-FR"/>
        </w:rPr>
        <w:t>,</w:t>
      </w:r>
      <w:r w:rsidR="000C6D4A" w:rsidRPr="00F1180D">
        <w:rPr>
          <w:lang w:val="fr-FR"/>
        </w:rPr>
        <w:t xml:space="preserve"> chargé de promouvoir et de protéger les droits de l</w:t>
      </w:r>
      <w:r w:rsidR="00680ADA" w:rsidRPr="00F1180D">
        <w:rPr>
          <w:lang w:val="fr-FR"/>
        </w:rPr>
        <w:t>’</w:t>
      </w:r>
      <w:r w:rsidR="000C6D4A" w:rsidRPr="00F1180D">
        <w:rPr>
          <w:lang w:val="fr-FR"/>
        </w:rPr>
        <w:t>homme</w:t>
      </w:r>
      <w:r w:rsidR="00680ADA" w:rsidRPr="00F1180D">
        <w:rPr>
          <w:lang w:val="fr-FR"/>
        </w:rPr>
        <w:t>,</w:t>
      </w:r>
      <w:r w:rsidR="000C6D4A" w:rsidRPr="00F1180D">
        <w:rPr>
          <w:lang w:val="fr-FR"/>
        </w:rPr>
        <w:t xml:space="preserve"> ainsi que de diffuser et promouvoir le respect des libertés publiques et privées à la lumière des dispositions constitutionnelles</w:t>
      </w:r>
      <w:r w:rsidR="00680ADA" w:rsidRPr="00F1180D">
        <w:rPr>
          <w:lang w:val="fr-FR"/>
        </w:rPr>
        <w:t>,</w:t>
      </w:r>
      <w:r w:rsidR="000C6D4A" w:rsidRPr="00F1180D">
        <w:rPr>
          <w:lang w:val="fr-FR"/>
        </w:rPr>
        <w:t xml:space="preserve"> des instruments internationaux ratifiés par le Koweït et compte dûment tenu de l</w:t>
      </w:r>
      <w:r w:rsidR="00680ADA" w:rsidRPr="00F1180D">
        <w:rPr>
          <w:lang w:val="fr-FR"/>
        </w:rPr>
        <w:t>’</w:t>
      </w:r>
      <w:r w:rsidR="00163207" w:rsidRPr="00F1180D">
        <w:rPr>
          <w:lang w:val="fr-FR"/>
        </w:rPr>
        <w:t>article </w:t>
      </w:r>
      <w:r w:rsidR="000C6D4A" w:rsidRPr="00F1180D">
        <w:rPr>
          <w:lang w:val="fr-FR"/>
        </w:rPr>
        <w:t>2 de la Constitution. L</w:t>
      </w:r>
      <w:r w:rsidR="00680ADA" w:rsidRPr="00F1180D">
        <w:rPr>
          <w:lang w:val="fr-FR"/>
        </w:rPr>
        <w:t>’</w:t>
      </w:r>
      <w:r w:rsidR="000C6D4A" w:rsidRPr="00F1180D">
        <w:rPr>
          <w:lang w:val="fr-FR"/>
        </w:rPr>
        <w:t>Office est doté de la personnalité morale et exerce ses fonctions</w:t>
      </w:r>
      <w:r w:rsidR="00680ADA" w:rsidRPr="00F1180D">
        <w:rPr>
          <w:lang w:val="fr-FR"/>
        </w:rPr>
        <w:t>,</w:t>
      </w:r>
      <w:r w:rsidR="000C6D4A" w:rsidRPr="00F1180D">
        <w:rPr>
          <w:lang w:val="fr-FR"/>
        </w:rPr>
        <w:t xml:space="preserve"> activités et compétences en toute indépendance</w:t>
      </w:r>
      <w:r w:rsidR="00680ADA" w:rsidRPr="00F1180D">
        <w:rPr>
          <w:lang w:val="fr-FR"/>
        </w:rPr>
        <w:t>»</w:t>
      </w:r>
      <w:r w:rsidR="000C6D4A" w:rsidRPr="00F1180D">
        <w:rPr>
          <w:lang w:val="fr-FR"/>
        </w:rPr>
        <w:t>.</w:t>
      </w:r>
    </w:p>
    <w:p w:rsidR="000C6D4A" w:rsidRPr="00F1180D" w:rsidRDefault="00591F2E" w:rsidP="00591F2E">
      <w:pPr>
        <w:pStyle w:val="H1G"/>
        <w:rPr>
          <w:bCs/>
          <w:sz w:val="20"/>
          <w:rtl/>
          <w:lang w:val="fr-FR" w:bidi="fr-FR"/>
        </w:rPr>
      </w:pPr>
      <w:r w:rsidRPr="00F1180D">
        <w:rPr>
          <w:lang w:val="fr-FR" w:bidi="ar-KW"/>
        </w:rPr>
        <w:lastRenderedPageBreak/>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26</w:t>
      </w:r>
    </w:p>
    <w:p w:rsidR="000C6D4A" w:rsidRPr="00F1180D" w:rsidRDefault="00C13D1B" w:rsidP="00591F2E">
      <w:pPr>
        <w:pStyle w:val="SingleTxtG"/>
        <w:keepNext/>
        <w:rPr>
          <w:b/>
          <w:bCs/>
          <w:rtl/>
          <w:lang w:val="fr-FR" w:bidi="fr-FR"/>
        </w:rPr>
      </w:pPr>
      <w:r>
        <w:rPr>
          <w:lang w:val="fr-FR"/>
        </w:rPr>
        <w:t>215.</w:t>
      </w:r>
      <w:r>
        <w:rPr>
          <w:lang w:val="fr-FR"/>
        </w:rPr>
        <w:tab/>
      </w:r>
      <w:r w:rsidR="000C6D4A" w:rsidRPr="00F1180D">
        <w:rPr>
          <w:lang w:val="fr-FR"/>
        </w:rPr>
        <w:t>Il convient de noter que l</w:t>
      </w:r>
      <w:r w:rsidR="00680ADA" w:rsidRPr="00F1180D">
        <w:rPr>
          <w:lang w:val="fr-FR"/>
        </w:rPr>
        <w:t>’</w:t>
      </w:r>
      <w:r w:rsidR="000C6D4A" w:rsidRPr="00F1180D">
        <w:rPr>
          <w:lang w:val="fr-FR"/>
        </w:rPr>
        <w:t>instance chargée de l</w:t>
      </w:r>
      <w:r w:rsidR="00680ADA" w:rsidRPr="00F1180D">
        <w:rPr>
          <w:lang w:val="fr-FR"/>
        </w:rPr>
        <w:t>’</w:t>
      </w:r>
      <w:r w:rsidR="000C6D4A" w:rsidRPr="00F1180D">
        <w:rPr>
          <w:lang w:val="fr-FR"/>
        </w:rPr>
        <w:t>élaboration des rapports périodiques que le Koweït est appelé à soumettre aux organes internationaux de protection des droits de l</w:t>
      </w:r>
      <w:r w:rsidR="00680ADA" w:rsidRPr="00F1180D">
        <w:rPr>
          <w:lang w:val="fr-FR"/>
        </w:rPr>
        <w:t>’</w:t>
      </w:r>
      <w:r w:rsidR="000C6D4A" w:rsidRPr="00F1180D">
        <w:rPr>
          <w:lang w:val="fr-FR"/>
        </w:rPr>
        <w:t>homme en vertu de l</w:t>
      </w:r>
      <w:r w:rsidR="00680ADA" w:rsidRPr="00F1180D">
        <w:rPr>
          <w:lang w:val="fr-FR"/>
        </w:rPr>
        <w:t>’</w:t>
      </w:r>
      <w:r w:rsidR="000C6D4A" w:rsidRPr="00F1180D">
        <w:rPr>
          <w:lang w:val="fr-FR"/>
        </w:rPr>
        <w:t>adhésion du pays aux instruments internationaux relatifs aux droits de l</w:t>
      </w:r>
      <w:r w:rsidR="00680ADA" w:rsidRPr="00F1180D">
        <w:rPr>
          <w:lang w:val="fr-FR"/>
        </w:rPr>
        <w:t>’</w:t>
      </w:r>
      <w:r w:rsidR="000C6D4A" w:rsidRPr="00F1180D">
        <w:rPr>
          <w:lang w:val="fr-FR"/>
        </w:rPr>
        <w:t xml:space="preserve">homme associe étroitement à ses travaux les organisations de la société civile </w:t>
      </w:r>
      <w:r w:rsidR="00591F2E" w:rsidRPr="00F1180D">
        <w:rPr>
          <w:lang w:val="fr-FR"/>
        </w:rPr>
        <w:t>œuvrant</w:t>
      </w:r>
      <w:r w:rsidR="000C6D4A" w:rsidRPr="00F1180D">
        <w:rPr>
          <w:lang w:val="fr-FR"/>
        </w:rPr>
        <w:t xml:space="preserve"> dans ce domaine</w:t>
      </w:r>
      <w:r w:rsidR="00680ADA" w:rsidRPr="00F1180D">
        <w:rPr>
          <w:lang w:val="fr-FR"/>
        </w:rPr>
        <w:t>,</w:t>
      </w:r>
      <w:r w:rsidR="000C6D4A" w:rsidRPr="00F1180D">
        <w:rPr>
          <w:lang w:val="fr-FR"/>
        </w:rPr>
        <w:t xml:space="preserve"> de même qu</w:t>
      </w:r>
      <w:r w:rsidR="00680ADA" w:rsidRPr="00F1180D">
        <w:rPr>
          <w:lang w:val="fr-FR"/>
        </w:rPr>
        <w:t>’</w:t>
      </w:r>
      <w:r w:rsidR="000C6D4A" w:rsidRPr="00F1180D">
        <w:rPr>
          <w:lang w:val="fr-FR"/>
        </w:rPr>
        <w:t>elle organise des activités communes et des visites aux organismes gouvernementaux chargés des questions relatives aux droits de l</w:t>
      </w:r>
      <w:r w:rsidR="00680ADA" w:rsidRPr="00F1180D">
        <w:rPr>
          <w:lang w:val="fr-FR"/>
        </w:rPr>
        <w:t>’</w:t>
      </w:r>
      <w:r w:rsidR="000C6D4A" w:rsidRPr="00F1180D">
        <w:rPr>
          <w:lang w:val="fr-FR"/>
        </w:rPr>
        <w:t>homme</w:t>
      </w:r>
      <w:r w:rsidR="00680ADA" w:rsidRPr="00F1180D">
        <w:rPr>
          <w:lang w:val="fr-FR"/>
        </w:rPr>
        <w:t>,</w:t>
      </w:r>
      <w:r w:rsidR="000C6D4A" w:rsidRPr="00F1180D">
        <w:rPr>
          <w:lang w:val="fr-FR"/>
        </w:rPr>
        <w:t xml:space="preserve"> comme par exemple des visites de la société civile aux établissements pénitentiaires (prison centrale)</w:t>
      </w:r>
      <w:r w:rsidR="00680ADA" w:rsidRPr="00F1180D">
        <w:rPr>
          <w:lang w:val="fr-FR"/>
        </w:rPr>
        <w:t>,</w:t>
      </w:r>
      <w:r w:rsidR="000C6D4A" w:rsidRPr="00F1180D">
        <w:rPr>
          <w:lang w:val="fr-FR"/>
        </w:rPr>
        <w:t xml:space="preserve"> auxquelles ont pris part les organisations de la société civile suivantes</w:t>
      </w:r>
      <w:r w:rsidR="00680ADA" w:rsidRPr="00F1180D">
        <w:rPr>
          <w:lang w:val="fr-FR"/>
        </w:rPr>
        <w:t>:</w:t>
      </w:r>
      <w:r w:rsidR="000C6D4A" w:rsidRPr="00F1180D">
        <w:rPr>
          <w:lang w:val="fr-FR"/>
        </w:rPr>
        <w:t xml:space="preserve"> </w:t>
      </w:r>
    </w:p>
    <w:p w:rsidR="000C6D4A" w:rsidRPr="00F1180D" w:rsidRDefault="000C6D4A" w:rsidP="00591F2E">
      <w:pPr>
        <w:pStyle w:val="Bullet1G"/>
        <w:rPr>
          <w:lang w:val="fr-FR"/>
        </w:rPr>
      </w:pPr>
      <w:r w:rsidRPr="00F1180D">
        <w:rPr>
          <w:lang w:val="fr-FR"/>
        </w:rPr>
        <w:t>L</w:t>
      </w:r>
      <w:r w:rsidR="00680ADA" w:rsidRPr="00F1180D">
        <w:rPr>
          <w:lang w:val="fr-FR"/>
        </w:rPr>
        <w:t>’</w:t>
      </w:r>
      <w:r w:rsidRPr="00F1180D">
        <w:rPr>
          <w:lang w:val="fr-FR"/>
        </w:rPr>
        <w:t xml:space="preserve">Association des travailleurs sociaux koweïtiens. </w:t>
      </w:r>
    </w:p>
    <w:p w:rsidR="000C6D4A" w:rsidRPr="00F1180D" w:rsidRDefault="000C6D4A" w:rsidP="00591F2E">
      <w:pPr>
        <w:pStyle w:val="Bullet1G"/>
        <w:rPr>
          <w:rtl/>
          <w:lang w:val="fr-FR" w:bidi="fr-FR"/>
        </w:rPr>
      </w:pPr>
      <w:r w:rsidRPr="00F1180D">
        <w:rPr>
          <w:lang w:val="fr-FR"/>
        </w:rPr>
        <w:t>L</w:t>
      </w:r>
      <w:r w:rsidR="00680ADA" w:rsidRPr="00F1180D">
        <w:rPr>
          <w:lang w:val="fr-FR"/>
        </w:rPr>
        <w:t>’</w:t>
      </w:r>
      <w:r w:rsidRPr="00F1180D">
        <w:rPr>
          <w:lang w:val="fr-FR"/>
        </w:rPr>
        <w:t xml:space="preserve">Association des diplômés koweïtiens. </w:t>
      </w:r>
    </w:p>
    <w:p w:rsidR="000C6D4A" w:rsidRPr="00F1180D" w:rsidRDefault="000C6D4A" w:rsidP="00591F2E">
      <w:pPr>
        <w:pStyle w:val="Bullet1G"/>
        <w:rPr>
          <w:lang w:val="fr-FR"/>
        </w:rPr>
      </w:pPr>
      <w:r w:rsidRPr="00F1180D">
        <w:rPr>
          <w:lang w:val="fr-FR"/>
        </w:rPr>
        <w:t>L</w:t>
      </w:r>
      <w:r w:rsidR="00680ADA" w:rsidRPr="00F1180D">
        <w:rPr>
          <w:lang w:val="fr-FR"/>
        </w:rPr>
        <w:t>’</w:t>
      </w:r>
      <w:r w:rsidRPr="00F1180D">
        <w:rPr>
          <w:lang w:val="fr-FR"/>
        </w:rPr>
        <w:t>Association nationale pour la protection de l</w:t>
      </w:r>
      <w:r w:rsidR="00680ADA" w:rsidRPr="00F1180D">
        <w:rPr>
          <w:lang w:val="fr-FR"/>
        </w:rPr>
        <w:t>’</w:t>
      </w:r>
      <w:r w:rsidRPr="00F1180D">
        <w:rPr>
          <w:lang w:val="fr-FR"/>
        </w:rPr>
        <w:t>enfant.</w:t>
      </w:r>
    </w:p>
    <w:p w:rsidR="000C6D4A" w:rsidRPr="00F1180D" w:rsidRDefault="000C6D4A" w:rsidP="00591F2E">
      <w:pPr>
        <w:pStyle w:val="Bullet1G"/>
        <w:rPr>
          <w:lang w:val="fr-FR"/>
        </w:rPr>
      </w:pPr>
      <w:r w:rsidRPr="00F1180D">
        <w:rPr>
          <w:lang w:val="fr-FR"/>
        </w:rPr>
        <w:t>L</w:t>
      </w:r>
      <w:r w:rsidR="00680ADA" w:rsidRPr="00F1180D">
        <w:rPr>
          <w:lang w:val="fr-FR"/>
        </w:rPr>
        <w:t>’</w:t>
      </w:r>
      <w:r w:rsidRPr="00F1180D">
        <w:rPr>
          <w:lang w:val="fr-FR"/>
        </w:rPr>
        <w:t>Association koweïtienne du travail social.</w:t>
      </w:r>
    </w:p>
    <w:p w:rsidR="000C6D4A" w:rsidRPr="00F1180D" w:rsidRDefault="000C6D4A" w:rsidP="00591F2E">
      <w:pPr>
        <w:pStyle w:val="Bullet1G"/>
        <w:rPr>
          <w:lang w:val="fr-FR"/>
        </w:rPr>
      </w:pPr>
      <w:r w:rsidRPr="00F1180D">
        <w:rPr>
          <w:lang w:val="fr-FR"/>
        </w:rPr>
        <w:t>L</w:t>
      </w:r>
      <w:r w:rsidR="00680ADA" w:rsidRPr="00F1180D">
        <w:rPr>
          <w:lang w:val="fr-FR"/>
        </w:rPr>
        <w:t>’</w:t>
      </w:r>
      <w:r w:rsidRPr="00F1180D">
        <w:rPr>
          <w:lang w:val="fr-FR"/>
        </w:rPr>
        <w:t>Association koweïtienne des fondements essentiels des droits de l</w:t>
      </w:r>
      <w:r w:rsidR="00680ADA" w:rsidRPr="00F1180D">
        <w:rPr>
          <w:lang w:val="fr-FR"/>
        </w:rPr>
        <w:t>’</w:t>
      </w:r>
      <w:r w:rsidRPr="00F1180D">
        <w:rPr>
          <w:lang w:val="fr-FR"/>
        </w:rPr>
        <w:t>homme.</w:t>
      </w:r>
    </w:p>
    <w:p w:rsidR="000C6D4A" w:rsidRPr="00F1180D" w:rsidRDefault="000C6D4A" w:rsidP="00591F2E">
      <w:pPr>
        <w:pStyle w:val="Bullet1G"/>
        <w:rPr>
          <w:lang w:val="fr-FR"/>
        </w:rPr>
      </w:pPr>
      <w:r w:rsidRPr="00F1180D">
        <w:rPr>
          <w:lang w:val="fr-FR"/>
        </w:rPr>
        <w:t>L</w:t>
      </w:r>
      <w:r w:rsidR="00680ADA" w:rsidRPr="00F1180D">
        <w:rPr>
          <w:lang w:val="fr-FR"/>
        </w:rPr>
        <w:t>’</w:t>
      </w:r>
      <w:r w:rsidRPr="00F1180D">
        <w:rPr>
          <w:lang w:val="fr-FR"/>
        </w:rPr>
        <w:t>Association koweïtienne des droits de l</w:t>
      </w:r>
      <w:r w:rsidR="00680ADA" w:rsidRPr="00F1180D">
        <w:rPr>
          <w:lang w:val="fr-FR"/>
        </w:rPr>
        <w:t>’</w:t>
      </w:r>
      <w:r w:rsidRPr="00F1180D">
        <w:rPr>
          <w:lang w:val="fr-FR"/>
        </w:rPr>
        <w:t>homme.</w:t>
      </w:r>
    </w:p>
    <w:p w:rsidR="000C6D4A" w:rsidRPr="00F1180D" w:rsidRDefault="00C13D1B" w:rsidP="00680ADA">
      <w:pPr>
        <w:pStyle w:val="SingleTxtG"/>
        <w:rPr>
          <w:lang w:val="fr-FR"/>
        </w:rPr>
      </w:pPr>
      <w:r>
        <w:rPr>
          <w:lang w:val="fr-FR"/>
        </w:rPr>
        <w:t>216.</w:t>
      </w:r>
      <w:r>
        <w:rPr>
          <w:lang w:val="fr-FR"/>
        </w:rPr>
        <w:tab/>
      </w:r>
      <w:r w:rsidR="000C6D4A" w:rsidRPr="00F1180D">
        <w:rPr>
          <w:lang w:val="fr-FR"/>
        </w:rPr>
        <w:t>De même</w:t>
      </w:r>
      <w:r w:rsidR="00680ADA" w:rsidRPr="00F1180D">
        <w:rPr>
          <w:lang w:val="fr-FR"/>
        </w:rPr>
        <w:t>,</w:t>
      </w:r>
      <w:r w:rsidR="000C6D4A" w:rsidRPr="00F1180D">
        <w:rPr>
          <w:lang w:val="fr-FR"/>
        </w:rPr>
        <w:t xml:space="preserve"> une visite au foyer de protection des mineurs relevant du Ministère des affaires sociales a été organisée</w:t>
      </w:r>
      <w:r w:rsidR="00680ADA" w:rsidRPr="00F1180D">
        <w:rPr>
          <w:lang w:val="fr-FR"/>
        </w:rPr>
        <w:t>,</w:t>
      </w:r>
      <w:r w:rsidR="000C6D4A" w:rsidRPr="00F1180D">
        <w:rPr>
          <w:lang w:val="fr-FR"/>
        </w:rPr>
        <w:t xml:space="preserve"> à laquelle ont pris part les organisations suivantes</w:t>
      </w:r>
      <w:r w:rsidR="00680ADA" w:rsidRPr="00F1180D">
        <w:rPr>
          <w:lang w:val="fr-FR"/>
        </w:rPr>
        <w:t>:</w:t>
      </w:r>
      <w:r w:rsidR="000C6D4A" w:rsidRPr="00F1180D">
        <w:rPr>
          <w:lang w:val="fr-FR"/>
        </w:rPr>
        <w:t xml:space="preserve"> </w:t>
      </w:r>
    </w:p>
    <w:p w:rsidR="000C6D4A" w:rsidRPr="00F1180D" w:rsidRDefault="000C6D4A" w:rsidP="00591F2E">
      <w:pPr>
        <w:pStyle w:val="Bullet1G"/>
        <w:rPr>
          <w:lang w:val="fr-FR"/>
        </w:rPr>
      </w:pPr>
      <w:r w:rsidRPr="00F1180D">
        <w:rPr>
          <w:lang w:val="fr-FR"/>
        </w:rPr>
        <w:t>L</w:t>
      </w:r>
      <w:r w:rsidR="00680ADA" w:rsidRPr="00F1180D">
        <w:rPr>
          <w:lang w:val="fr-FR"/>
        </w:rPr>
        <w:t>’</w:t>
      </w:r>
      <w:r w:rsidRPr="00F1180D">
        <w:rPr>
          <w:lang w:val="fr-FR"/>
        </w:rPr>
        <w:t>Association des travailleurs sociaux koweïtiens.</w:t>
      </w:r>
    </w:p>
    <w:p w:rsidR="000C6D4A" w:rsidRPr="00F1180D" w:rsidRDefault="000C6D4A" w:rsidP="00591F2E">
      <w:pPr>
        <w:pStyle w:val="Bullet1G"/>
        <w:rPr>
          <w:rtl/>
          <w:lang w:val="fr-FR" w:bidi="fr-FR"/>
        </w:rPr>
      </w:pPr>
      <w:r w:rsidRPr="00F1180D">
        <w:rPr>
          <w:lang w:val="fr-FR"/>
        </w:rPr>
        <w:t>L</w:t>
      </w:r>
      <w:r w:rsidR="00680ADA" w:rsidRPr="00F1180D">
        <w:rPr>
          <w:lang w:val="fr-FR"/>
        </w:rPr>
        <w:t>’</w:t>
      </w:r>
      <w:r w:rsidRPr="00F1180D">
        <w:rPr>
          <w:lang w:val="fr-FR"/>
        </w:rPr>
        <w:t>Association des diplômés koweïtiens.</w:t>
      </w:r>
    </w:p>
    <w:p w:rsidR="000C6D4A" w:rsidRPr="00F1180D" w:rsidRDefault="000C6D4A" w:rsidP="00591F2E">
      <w:pPr>
        <w:pStyle w:val="Bullet1G"/>
        <w:rPr>
          <w:lang w:val="fr-FR"/>
        </w:rPr>
      </w:pPr>
      <w:r w:rsidRPr="00F1180D">
        <w:rPr>
          <w:lang w:val="fr-FR"/>
        </w:rPr>
        <w:t>L</w:t>
      </w:r>
      <w:r w:rsidR="00680ADA" w:rsidRPr="00F1180D">
        <w:rPr>
          <w:lang w:val="fr-FR"/>
        </w:rPr>
        <w:t>’</w:t>
      </w:r>
      <w:r w:rsidRPr="00F1180D">
        <w:rPr>
          <w:lang w:val="fr-FR"/>
        </w:rPr>
        <w:t>Association nationale pour la protection de l</w:t>
      </w:r>
      <w:r w:rsidR="00680ADA" w:rsidRPr="00F1180D">
        <w:rPr>
          <w:lang w:val="fr-FR"/>
        </w:rPr>
        <w:t>’</w:t>
      </w:r>
      <w:r w:rsidRPr="00F1180D">
        <w:rPr>
          <w:lang w:val="fr-FR"/>
        </w:rPr>
        <w:t>enfant.</w:t>
      </w:r>
    </w:p>
    <w:p w:rsidR="000C6D4A" w:rsidRPr="00F1180D" w:rsidRDefault="000C6D4A" w:rsidP="00591F2E">
      <w:pPr>
        <w:pStyle w:val="Bullet1G"/>
        <w:rPr>
          <w:lang w:val="fr-FR"/>
        </w:rPr>
      </w:pPr>
      <w:r w:rsidRPr="00F1180D">
        <w:rPr>
          <w:lang w:val="fr-FR"/>
        </w:rPr>
        <w:t>L</w:t>
      </w:r>
      <w:r w:rsidR="00680ADA" w:rsidRPr="00F1180D">
        <w:rPr>
          <w:lang w:val="fr-FR"/>
        </w:rPr>
        <w:t>’</w:t>
      </w:r>
      <w:r w:rsidRPr="00F1180D">
        <w:rPr>
          <w:lang w:val="fr-FR"/>
        </w:rPr>
        <w:t>Association nationale pour la sécurité au foyer (</w:t>
      </w:r>
      <w:r w:rsidRPr="00F1180D">
        <w:rPr>
          <w:i/>
          <w:lang w:val="fr-FR"/>
        </w:rPr>
        <w:t>Rawasi</w:t>
      </w:r>
      <w:r w:rsidRPr="00F1180D">
        <w:rPr>
          <w:lang w:val="fr-FR"/>
        </w:rPr>
        <w:t xml:space="preserve">). </w:t>
      </w:r>
    </w:p>
    <w:p w:rsidR="000C6D4A" w:rsidRPr="00F1180D" w:rsidRDefault="00C13D1B" w:rsidP="00680ADA">
      <w:pPr>
        <w:pStyle w:val="SingleTxtG"/>
        <w:rPr>
          <w:b/>
          <w:bCs/>
          <w:rtl/>
          <w:lang w:val="fr-FR" w:bidi="fr-FR"/>
        </w:rPr>
      </w:pPr>
      <w:r>
        <w:rPr>
          <w:lang w:val="fr-FR" w:bidi="ar-KW"/>
        </w:rPr>
        <w:t>217.</w:t>
      </w:r>
      <w:r>
        <w:rPr>
          <w:lang w:val="fr-FR" w:bidi="ar-KW"/>
        </w:rPr>
        <w:tab/>
      </w:r>
      <w:r w:rsidR="000C6D4A" w:rsidRPr="00F1180D">
        <w:rPr>
          <w:lang w:val="fr-FR" w:bidi="ar-KW"/>
        </w:rPr>
        <w:t>Le Ministère des affaires étrangères a également invité les organisations de la société civile à participer à une conférence intitulée</w:t>
      </w:r>
      <w:r w:rsidR="00680ADA" w:rsidRPr="00F1180D">
        <w:rPr>
          <w:lang w:val="fr-FR" w:bidi="ar-KW"/>
        </w:rPr>
        <w:t>:</w:t>
      </w:r>
      <w:r w:rsidR="000C6D4A" w:rsidRPr="00F1180D">
        <w:rPr>
          <w:lang w:val="fr-FR" w:bidi="ar-KW"/>
        </w:rPr>
        <w:t xml:space="preserve"> </w:t>
      </w:r>
      <w:r w:rsidR="00680ADA" w:rsidRPr="00F1180D">
        <w:rPr>
          <w:lang w:val="fr-FR" w:bidi="ar-KW"/>
        </w:rPr>
        <w:t>«</w:t>
      </w:r>
      <w:r w:rsidR="000C6D4A" w:rsidRPr="00F1180D">
        <w:rPr>
          <w:lang w:val="fr-FR" w:bidi="ar-KW"/>
        </w:rPr>
        <w:t>Le Koweït face au droit international humanitaire</w:t>
      </w:r>
      <w:r w:rsidR="00680ADA" w:rsidRPr="00F1180D">
        <w:rPr>
          <w:lang w:val="fr-FR" w:bidi="ar-KW"/>
        </w:rPr>
        <w:t>»</w:t>
      </w:r>
      <w:r w:rsidR="000C6D4A" w:rsidRPr="00F1180D">
        <w:rPr>
          <w:lang w:val="fr-FR" w:bidi="ar-KW"/>
        </w:rPr>
        <w:t xml:space="preserve"> qui s</w:t>
      </w:r>
      <w:r w:rsidR="00680ADA" w:rsidRPr="00F1180D">
        <w:rPr>
          <w:lang w:val="fr-FR" w:bidi="ar-KW"/>
        </w:rPr>
        <w:t>’</w:t>
      </w:r>
      <w:r w:rsidR="000C6D4A" w:rsidRPr="00F1180D">
        <w:rPr>
          <w:lang w:val="fr-FR" w:bidi="ar-KW"/>
        </w:rPr>
        <w:t xml:space="preserve">est tenue au mois de décembre. </w:t>
      </w:r>
    </w:p>
    <w:p w:rsidR="000C6D4A" w:rsidRPr="00F1180D" w:rsidRDefault="00591F2E" w:rsidP="00591F2E">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28</w:t>
      </w:r>
    </w:p>
    <w:p w:rsidR="000C6D4A" w:rsidRPr="00F1180D" w:rsidRDefault="00C13D1B" w:rsidP="00680ADA">
      <w:pPr>
        <w:pStyle w:val="SingleTxtG"/>
        <w:rPr>
          <w:rtl/>
          <w:lang w:val="fr-FR" w:bidi="fr-FR"/>
        </w:rPr>
      </w:pPr>
      <w:r>
        <w:rPr>
          <w:lang w:val="fr-FR" w:bidi="ar-KW"/>
        </w:rPr>
        <w:t>218.</w:t>
      </w:r>
      <w:r>
        <w:rPr>
          <w:lang w:val="fr-FR" w:bidi="ar-KW"/>
        </w:rPr>
        <w:tab/>
      </w:r>
      <w:r w:rsidR="000C6D4A" w:rsidRPr="00F1180D">
        <w:rPr>
          <w:lang w:val="fr-FR" w:bidi="ar-KW"/>
        </w:rPr>
        <w:t>En dépit de l</w:t>
      </w:r>
      <w:r w:rsidR="00680ADA" w:rsidRPr="00F1180D">
        <w:rPr>
          <w:lang w:val="fr-FR" w:bidi="ar-KW"/>
        </w:rPr>
        <w:t>’</w:t>
      </w:r>
      <w:r w:rsidR="000C6D4A" w:rsidRPr="00F1180D">
        <w:rPr>
          <w:lang w:val="fr-FR" w:bidi="ar-KW"/>
        </w:rPr>
        <w:t>importance des travaux et du rôle du Comité pour l</w:t>
      </w:r>
      <w:r w:rsidR="00680ADA" w:rsidRPr="00F1180D">
        <w:rPr>
          <w:lang w:val="fr-FR" w:bidi="ar-KW"/>
        </w:rPr>
        <w:t>’</w:t>
      </w:r>
      <w:r w:rsidR="000C6D4A" w:rsidRPr="00F1180D">
        <w:rPr>
          <w:lang w:val="fr-FR" w:bidi="ar-KW"/>
        </w:rPr>
        <w:t>élimination de la discrimination raciale en tant que mécanisme conventionnel de la Convention internationale sur l</w:t>
      </w:r>
      <w:r w:rsidR="00680ADA" w:rsidRPr="00F1180D">
        <w:rPr>
          <w:lang w:val="fr-FR" w:bidi="ar-KW"/>
        </w:rPr>
        <w:t>’</w:t>
      </w:r>
      <w:r w:rsidR="000C6D4A" w:rsidRPr="00F1180D">
        <w:rPr>
          <w:lang w:val="fr-FR" w:bidi="ar-KW"/>
        </w:rPr>
        <w:t>élimination de toutes les formes de discrimination raciale</w:t>
      </w:r>
      <w:r w:rsidR="00680ADA" w:rsidRPr="00F1180D">
        <w:rPr>
          <w:lang w:val="fr-FR" w:bidi="ar-KW"/>
        </w:rPr>
        <w:t>,</w:t>
      </w:r>
      <w:r w:rsidR="000C6D4A" w:rsidRPr="00F1180D">
        <w:rPr>
          <w:lang w:val="fr-FR" w:bidi="ar-KW"/>
        </w:rPr>
        <w:t xml:space="preserve"> le Koweït n</w:t>
      </w:r>
      <w:r w:rsidR="00680ADA" w:rsidRPr="00F1180D">
        <w:rPr>
          <w:lang w:val="fr-FR" w:bidi="ar-KW"/>
        </w:rPr>
        <w:t>’</w:t>
      </w:r>
      <w:r w:rsidR="000C6D4A" w:rsidRPr="00F1180D">
        <w:rPr>
          <w:lang w:val="fr-FR" w:bidi="ar-KW"/>
        </w:rPr>
        <w:t xml:space="preserve">entend pas donner suite aux recommandations figurant aux </w:t>
      </w:r>
      <w:r w:rsidR="00FA4334" w:rsidRPr="00F1180D">
        <w:rPr>
          <w:lang w:val="fr-FR" w:bidi="ar-KW"/>
        </w:rPr>
        <w:t>paragraphes </w:t>
      </w:r>
      <w:r w:rsidR="000C6D4A" w:rsidRPr="00F1180D">
        <w:rPr>
          <w:lang w:val="fr-FR" w:bidi="ar-KW"/>
        </w:rPr>
        <w:t xml:space="preserve">27 et 28 des observations. </w:t>
      </w:r>
    </w:p>
    <w:p w:rsidR="000C6D4A" w:rsidRPr="00F1180D" w:rsidRDefault="00F226C3" w:rsidP="00F226C3">
      <w:pPr>
        <w:pStyle w:val="H1G"/>
        <w:rPr>
          <w:bCs/>
          <w:sz w:val="20"/>
          <w:rtl/>
          <w:lang w:val="fr-FR" w:bidi="fr-FR"/>
        </w:rPr>
      </w:pPr>
      <w:r w:rsidRPr="00F1180D">
        <w:rPr>
          <w:lang w:val="fr-FR" w:bidi="ar-KW"/>
        </w:rPr>
        <w:tab/>
      </w:r>
      <w:r w:rsidRPr="00F1180D">
        <w:rPr>
          <w:lang w:val="fr-FR" w:bidi="ar-KW"/>
        </w:rPr>
        <w:tab/>
      </w:r>
      <w:r w:rsidR="000C6D4A" w:rsidRPr="00F1180D">
        <w:rPr>
          <w:lang w:val="fr-FR" w:bidi="ar-KW"/>
        </w:rPr>
        <w:t xml:space="preserve">Recommandation </w:t>
      </w:r>
      <w:r w:rsidR="001220E2" w:rsidRPr="00F1180D">
        <w:rPr>
          <w:lang w:val="fr-FR" w:bidi="ar-EG"/>
        </w:rPr>
        <w:t>n</w:t>
      </w:r>
      <w:r w:rsidR="001220E2" w:rsidRPr="00F1180D">
        <w:rPr>
          <w:vertAlign w:val="superscript"/>
          <w:lang w:val="fr-FR" w:bidi="ar-EG"/>
        </w:rPr>
        <w:t>o</w:t>
      </w:r>
      <w:r w:rsidR="001220E2" w:rsidRPr="00F1180D">
        <w:rPr>
          <w:lang w:val="fr-FR" w:bidi="ar-EG"/>
        </w:rPr>
        <w:t> </w:t>
      </w:r>
      <w:r w:rsidR="000C6D4A" w:rsidRPr="00F1180D">
        <w:rPr>
          <w:lang w:val="fr-FR" w:bidi="ar-KW"/>
        </w:rPr>
        <w:t>29</w:t>
      </w:r>
    </w:p>
    <w:p w:rsidR="000C6D4A" w:rsidRPr="00F1180D" w:rsidRDefault="00C13D1B" w:rsidP="00F1180D">
      <w:pPr>
        <w:pStyle w:val="SingleTxtG"/>
        <w:rPr>
          <w:lang w:val="fr-FR"/>
        </w:rPr>
      </w:pPr>
      <w:r>
        <w:rPr>
          <w:lang w:val="fr-FR" w:bidi="ar-KW"/>
        </w:rPr>
        <w:t>219.</w:t>
      </w:r>
      <w:r>
        <w:rPr>
          <w:lang w:val="fr-FR" w:bidi="ar-KW"/>
        </w:rPr>
        <w:tab/>
      </w:r>
      <w:r w:rsidR="000C6D4A" w:rsidRPr="00F1180D">
        <w:rPr>
          <w:lang w:val="fr-FR" w:bidi="ar-KW"/>
        </w:rPr>
        <w:t>Tous les rapports présentés par le Koweït aux organes conventionnels</w:t>
      </w:r>
      <w:r w:rsidR="00680ADA" w:rsidRPr="00F1180D">
        <w:rPr>
          <w:lang w:val="fr-FR" w:bidi="ar-KW"/>
        </w:rPr>
        <w:t>,</w:t>
      </w:r>
      <w:r w:rsidR="000C6D4A" w:rsidRPr="00F1180D">
        <w:rPr>
          <w:lang w:val="fr-FR" w:bidi="ar-KW"/>
        </w:rPr>
        <w:t xml:space="preserve"> ainsi que les observations finales formulées par ces instances à l</w:t>
      </w:r>
      <w:r w:rsidR="00680ADA" w:rsidRPr="00F1180D">
        <w:rPr>
          <w:lang w:val="fr-FR" w:bidi="ar-KW"/>
        </w:rPr>
        <w:t>’</w:t>
      </w:r>
      <w:r w:rsidR="000C6D4A" w:rsidRPr="00F1180D">
        <w:rPr>
          <w:lang w:val="fr-FR" w:bidi="ar-KW"/>
        </w:rPr>
        <w:t>issue de l</w:t>
      </w:r>
      <w:r w:rsidR="00680ADA" w:rsidRPr="00F1180D">
        <w:rPr>
          <w:lang w:val="fr-FR" w:bidi="ar-KW"/>
        </w:rPr>
        <w:t>’</w:t>
      </w:r>
      <w:r w:rsidR="000C6D4A" w:rsidRPr="00F1180D">
        <w:rPr>
          <w:lang w:val="fr-FR" w:bidi="ar-KW"/>
        </w:rPr>
        <w:t>examen de ces documents</w:t>
      </w:r>
      <w:r w:rsidR="00680ADA" w:rsidRPr="00F1180D">
        <w:rPr>
          <w:lang w:val="fr-FR" w:bidi="ar-KW"/>
        </w:rPr>
        <w:t>,</w:t>
      </w:r>
      <w:r w:rsidR="000C6D4A" w:rsidRPr="00F1180D">
        <w:rPr>
          <w:lang w:val="fr-FR" w:bidi="ar-KW"/>
        </w:rPr>
        <w:t xml:space="preserve"> sont publiés sur la page d</w:t>
      </w:r>
      <w:r w:rsidR="00680ADA" w:rsidRPr="00F1180D">
        <w:rPr>
          <w:lang w:val="fr-FR" w:bidi="ar-KW"/>
        </w:rPr>
        <w:t>’</w:t>
      </w:r>
      <w:r w:rsidR="000C6D4A" w:rsidRPr="00F1180D">
        <w:rPr>
          <w:lang w:val="fr-FR" w:bidi="ar-KW"/>
        </w:rPr>
        <w:t>accueil du site Web du Ministère</w:t>
      </w:r>
      <w:bookmarkStart w:id="5" w:name="_GoBack"/>
      <w:bookmarkEnd w:id="5"/>
      <w:r w:rsidR="000C6D4A" w:rsidRPr="00F1180D">
        <w:rPr>
          <w:lang w:val="fr-FR" w:bidi="ar-KW"/>
        </w:rPr>
        <w:t xml:space="preserve"> des affaires étrangères pour être portés à la connaissance du public. En outre</w:t>
      </w:r>
      <w:r w:rsidR="00680ADA" w:rsidRPr="00F1180D">
        <w:rPr>
          <w:lang w:val="fr-FR" w:bidi="ar-KW"/>
        </w:rPr>
        <w:t>,</w:t>
      </w:r>
      <w:r w:rsidR="000C6D4A" w:rsidRPr="00F1180D">
        <w:rPr>
          <w:lang w:val="fr-FR" w:bidi="ar-KW"/>
        </w:rPr>
        <w:t xml:space="preserve"> les médias locaux présentent des comptes</w:t>
      </w:r>
      <w:r w:rsidR="00F1180D">
        <w:rPr>
          <w:lang w:val="fr-FR" w:bidi="ar-KW"/>
        </w:rPr>
        <w:noBreakHyphen/>
      </w:r>
      <w:r w:rsidR="000C6D4A" w:rsidRPr="00F1180D">
        <w:rPr>
          <w:lang w:val="fr-FR" w:bidi="ar-KW"/>
        </w:rPr>
        <w:t>rendus des sessions d</w:t>
      </w:r>
      <w:r w:rsidR="00680ADA" w:rsidRPr="00F1180D">
        <w:rPr>
          <w:lang w:val="fr-FR" w:bidi="ar-KW"/>
        </w:rPr>
        <w:t>’</w:t>
      </w:r>
      <w:r w:rsidR="000C6D4A" w:rsidRPr="00F1180D">
        <w:rPr>
          <w:lang w:val="fr-FR" w:bidi="ar-KW"/>
        </w:rPr>
        <w:t>examen des rapports soumis par l</w:t>
      </w:r>
      <w:r w:rsidR="00680ADA" w:rsidRPr="00F1180D">
        <w:rPr>
          <w:lang w:val="fr-FR" w:bidi="ar-KW"/>
        </w:rPr>
        <w:t>’</w:t>
      </w:r>
      <w:r w:rsidR="000C6D4A" w:rsidRPr="00F1180D">
        <w:rPr>
          <w:lang w:val="fr-FR" w:bidi="ar-KW"/>
        </w:rPr>
        <w:t>État aux organes conventionnels.</w:t>
      </w:r>
      <w:r w:rsidR="000C6D4A" w:rsidRPr="00F1180D">
        <w:rPr>
          <w:lang w:val="fr-FR"/>
        </w:rPr>
        <w:t xml:space="preserve"> </w:t>
      </w:r>
    </w:p>
    <w:p w:rsidR="001220E2" w:rsidRPr="00F1180D" w:rsidRDefault="001220E2" w:rsidP="001220E2">
      <w:pPr>
        <w:pStyle w:val="SingleTxtG"/>
        <w:spacing w:before="240" w:after="0"/>
        <w:jc w:val="center"/>
        <w:rPr>
          <w:u w:val="single"/>
          <w:lang w:val="fr-FR"/>
        </w:rPr>
      </w:pPr>
      <w:r w:rsidRPr="00F1180D">
        <w:rPr>
          <w:u w:val="single"/>
          <w:lang w:val="fr-FR"/>
        </w:rPr>
        <w:tab/>
      </w:r>
      <w:r w:rsidRPr="00F1180D">
        <w:rPr>
          <w:u w:val="single"/>
          <w:lang w:val="fr-FR"/>
        </w:rPr>
        <w:tab/>
      </w:r>
      <w:r w:rsidRPr="00F1180D">
        <w:rPr>
          <w:u w:val="single"/>
          <w:lang w:val="fr-FR"/>
        </w:rPr>
        <w:tab/>
      </w:r>
    </w:p>
    <w:sectPr w:rsidR="001220E2" w:rsidRPr="00F1180D" w:rsidSect="00DA3A8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4F" w:rsidRDefault="00D17B4F"/>
  </w:endnote>
  <w:endnote w:type="continuationSeparator" w:id="0">
    <w:p w:rsidR="00D17B4F" w:rsidRDefault="00D17B4F"/>
  </w:endnote>
  <w:endnote w:type="continuationNotice" w:id="1">
    <w:p w:rsidR="00D17B4F" w:rsidRDefault="00D17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4F" w:rsidRPr="00424994" w:rsidRDefault="00D17B4F" w:rsidP="00424994">
    <w:pPr>
      <w:tabs>
        <w:tab w:val="right" w:pos="9598"/>
      </w:tabs>
    </w:pPr>
    <w:r w:rsidRPr="00424994">
      <w:rPr>
        <w:b/>
        <w:sz w:val="18"/>
      </w:rPr>
      <w:fldChar w:fldCharType="begin"/>
    </w:r>
    <w:r w:rsidRPr="00424994">
      <w:rPr>
        <w:b/>
        <w:sz w:val="18"/>
      </w:rPr>
      <w:instrText xml:space="preserve"> PAGE  \* MERGEFORMAT </w:instrText>
    </w:r>
    <w:r w:rsidRPr="00424994">
      <w:rPr>
        <w:b/>
        <w:sz w:val="18"/>
      </w:rPr>
      <w:fldChar w:fldCharType="separate"/>
    </w:r>
    <w:r w:rsidR="00A71634">
      <w:rPr>
        <w:b/>
        <w:noProof/>
        <w:sz w:val="18"/>
      </w:rPr>
      <w:t>54</w:t>
    </w:r>
    <w:r w:rsidRPr="00424994">
      <w:rPr>
        <w:b/>
        <w:sz w:val="18"/>
      </w:rPr>
      <w:fldChar w:fldCharType="end"/>
    </w:r>
    <w:r>
      <w:rPr>
        <w:sz w:val="18"/>
      </w:rPr>
      <w:tab/>
    </w:r>
    <w:r w:rsidRPr="00A9629E">
      <w:rPr>
        <w:sz w:val="16"/>
        <w:szCs w:val="16"/>
      </w:rPr>
      <w:t>GE.16-06283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4F" w:rsidRPr="00424994" w:rsidRDefault="00D17B4F" w:rsidP="00424994">
    <w:pPr>
      <w:tabs>
        <w:tab w:val="right" w:pos="9598"/>
      </w:tabs>
      <w:rPr>
        <w:b/>
        <w:sz w:val="18"/>
      </w:rPr>
    </w:pPr>
    <w:r w:rsidRPr="00A9629E">
      <w:rPr>
        <w:sz w:val="16"/>
        <w:szCs w:val="16"/>
      </w:rPr>
      <w:t>GE.16-06283  (EXT)</w:t>
    </w:r>
    <w:r>
      <w:tab/>
    </w:r>
    <w:r w:rsidRPr="00424994">
      <w:rPr>
        <w:b/>
        <w:sz w:val="18"/>
      </w:rPr>
      <w:fldChar w:fldCharType="begin"/>
    </w:r>
    <w:r w:rsidRPr="00424994">
      <w:rPr>
        <w:b/>
        <w:sz w:val="18"/>
      </w:rPr>
      <w:instrText xml:space="preserve"> PAGE  \* MERGEFORMAT </w:instrText>
    </w:r>
    <w:r w:rsidRPr="00424994">
      <w:rPr>
        <w:b/>
        <w:sz w:val="18"/>
      </w:rPr>
      <w:fldChar w:fldCharType="separate"/>
    </w:r>
    <w:r w:rsidR="00A71634">
      <w:rPr>
        <w:b/>
        <w:noProof/>
        <w:sz w:val="18"/>
      </w:rPr>
      <w:t>55</w:t>
    </w:r>
    <w:r w:rsidRPr="004249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4F" w:rsidRDefault="00C13D1B" w:rsidP="002177BC">
    <w:pPr>
      <w:spacing w:before="240"/>
    </w:pPr>
    <w:r>
      <w:rPr>
        <w:rFonts w:ascii="C39T30Lfz" w:hAnsi="C39T30Lfz"/>
        <w:noProof/>
        <w:sz w:val="56"/>
        <w:lang w:val="fr-CH" w:eastAsia="fr-CH"/>
      </w:rPr>
      <w:drawing>
        <wp:anchor distT="0" distB="0" distL="114300" distR="114300" simplePos="0" relativeHeight="251658752" behindDoc="0" locked="0" layoutInCell="1" allowOverlap="1">
          <wp:simplePos x="0" y="0"/>
          <wp:positionH relativeFrom="margin">
            <wp:posOffset>5456555</wp:posOffset>
          </wp:positionH>
          <wp:positionV relativeFrom="margin">
            <wp:posOffset>8044815</wp:posOffset>
          </wp:positionV>
          <wp:extent cx="638175" cy="638175"/>
          <wp:effectExtent l="0" t="0" r="9525" b="9525"/>
          <wp:wrapNone/>
          <wp:docPr id="1" name="Image 1" descr="21-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4&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00D17B4F" w:rsidRPr="00FA3D13">
      <w:t>GE.1</w:t>
    </w:r>
    <w:r w:rsidR="00D17B4F">
      <w:t>6</w:t>
    </w:r>
    <w:r w:rsidR="00D17B4F" w:rsidRPr="00FA3D13">
      <w:t>-</w:t>
    </w:r>
    <w:r w:rsidR="00D17B4F">
      <w:t>06283</w:t>
    </w:r>
    <w:r w:rsidR="00D17B4F" w:rsidRPr="00FA3D13">
      <w:t xml:space="preserve">  (EXT)</w:t>
    </w:r>
  </w:p>
  <w:p w:rsidR="00D17B4F" w:rsidRPr="002177BC" w:rsidRDefault="00D17B4F" w:rsidP="002177BC">
    <w:pPr>
      <w:rPr>
        <w:rFonts w:ascii="C39T30Lfz" w:hAnsi="C39T30Lfz"/>
        <w:sz w:val="56"/>
        <w:lang w:val="fr-FR" w:eastAsia="fr-FR"/>
      </w:rPr>
    </w:pPr>
    <w:r>
      <w:rPr>
        <w:noProof/>
        <w:lang w:val="fr-CH" w:eastAsia="fr-CH"/>
      </w:rPr>
      <w:drawing>
        <wp:anchor distT="0" distB="0" distL="114300" distR="114300" simplePos="0" relativeHeight="251657728" behindDoc="0" locked="0" layoutInCell="1" allowOverlap="1" wp14:anchorId="5DBCB875" wp14:editId="2BFD53C8">
          <wp:simplePos x="0" y="0"/>
          <wp:positionH relativeFrom="margin">
            <wp:posOffset>4270375</wp:posOffset>
          </wp:positionH>
          <wp:positionV relativeFrom="margin">
            <wp:posOffset>8262620</wp:posOffset>
          </wp:positionV>
          <wp:extent cx="1104900" cy="23495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2"/>
                  <a:srcRect/>
                  <a:stretch>
                    <a:fillRect/>
                  </a:stretch>
                </pic:blipFill>
                <pic:spPr bwMode="auto">
                  <a:xfrm>
                    <a:off x="0" y="0"/>
                    <a:ext cx="1104900" cy="234950"/>
                  </a:xfrm>
                  <a:prstGeom prst="rect">
                    <a:avLst/>
                  </a:prstGeom>
                  <a:noFill/>
                  <a:ln w="9525">
                    <a:noFill/>
                    <a:miter lim="800000"/>
                    <a:headEnd/>
                    <a:tailEnd/>
                  </a:ln>
                </pic:spPr>
              </pic:pic>
            </a:graphicData>
          </a:graphic>
        </wp:anchor>
      </w:drawing>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4F" w:rsidRPr="000B175B" w:rsidRDefault="00D17B4F" w:rsidP="000B175B">
      <w:pPr>
        <w:tabs>
          <w:tab w:val="right" w:pos="2155"/>
        </w:tabs>
        <w:spacing w:after="80"/>
        <w:ind w:left="680"/>
        <w:rPr>
          <w:u w:val="single"/>
        </w:rPr>
      </w:pPr>
      <w:r>
        <w:rPr>
          <w:u w:val="single"/>
        </w:rPr>
        <w:tab/>
      </w:r>
    </w:p>
  </w:footnote>
  <w:footnote w:type="continuationSeparator" w:id="0">
    <w:p w:rsidR="00D17B4F" w:rsidRPr="00FC68B7" w:rsidRDefault="00D17B4F" w:rsidP="00FC68B7">
      <w:pPr>
        <w:tabs>
          <w:tab w:val="left" w:pos="2155"/>
        </w:tabs>
        <w:spacing w:after="80"/>
        <w:ind w:left="680"/>
        <w:rPr>
          <w:u w:val="single"/>
        </w:rPr>
      </w:pPr>
      <w:r>
        <w:rPr>
          <w:u w:val="single"/>
        </w:rPr>
        <w:tab/>
      </w:r>
    </w:p>
  </w:footnote>
  <w:footnote w:type="continuationNotice" w:id="1">
    <w:p w:rsidR="00D17B4F" w:rsidRDefault="00D17B4F"/>
  </w:footnote>
  <w:footnote w:id="2">
    <w:p w:rsidR="00D17B4F" w:rsidRPr="00D17B4F" w:rsidRDefault="00D17B4F">
      <w:pPr>
        <w:pStyle w:val="Notedebasdepage"/>
        <w:rPr>
          <w:szCs w:val="18"/>
          <w:lang w:val="fr-CH"/>
        </w:rPr>
      </w:pPr>
      <w:r>
        <w:rPr>
          <w:rStyle w:val="Appelnotedebasdep"/>
        </w:rPr>
        <w:tab/>
      </w:r>
      <w:r w:rsidRPr="00D17B4F">
        <w:rPr>
          <w:rStyle w:val="Appelnotedebasdep"/>
          <w:sz w:val="20"/>
          <w:vertAlign w:val="baseline"/>
        </w:rPr>
        <w:t>*</w:t>
      </w:r>
      <w:r>
        <w:rPr>
          <w:rStyle w:val="Appelnotedebasdep"/>
          <w:sz w:val="20"/>
          <w:vertAlign w:val="baseline"/>
        </w:rPr>
        <w:tab/>
      </w:r>
      <w:r w:rsidRPr="00D17B4F">
        <w:rPr>
          <w:szCs w:val="18"/>
        </w:rPr>
        <w:t>Nouveau tirage pour raisons techniques (28 décembre 2016).</w:t>
      </w:r>
    </w:p>
  </w:footnote>
  <w:footnote w:id="3">
    <w:p w:rsidR="00D17B4F" w:rsidRPr="00D17B4F" w:rsidRDefault="00D17B4F">
      <w:pPr>
        <w:pStyle w:val="Notedebasdepage"/>
        <w:rPr>
          <w:lang w:val="fr-CH"/>
        </w:rPr>
      </w:pPr>
      <w:r>
        <w:rPr>
          <w:rStyle w:val="Appelnotedebasdep"/>
        </w:rPr>
        <w:tab/>
      </w:r>
      <w:r w:rsidRPr="00D17B4F">
        <w:rPr>
          <w:rStyle w:val="Appelnotedebasdep"/>
          <w:sz w:val="20"/>
          <w:vertAlign w:val="baseline"/>
        </w:rPr>
        <w:t>**</w:t>
      </w:r>
      <w:r>
        <w:rPr>
          <w:rStyle w:val="Appelnotedebasdep"/>
          <w:sz w:val="20"/>
          <w:vertAlign w:val="baseline"/>
        </w:rPr>
        <w:tab/>
      </w:r>
      <w:r>
        <w:t>Le présent document n’a pas fait l’objet d’une relecture sur le fond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4F" w:rsidRPr="000D6AE3" w:rsidRDefault="00D17B4F" w:rsidP="00163207">
    <w:pPr>
      <w:pStyle w:val="En-tte"/>
    </w:pPr>
    <w:r>
      <w:t>CERD/C/KWT/21-24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4F" w:rsidRPr="000D6AE3" w:rsidRDefault="00D17B4F" w:rsidP="00163207">
    <w:pPr>
      <w:pStyle w:val="En-tte"/>
      <w:jc w:val="right"/>
    </w:pPr>
    <w:r>
      <w:t>CERD/C/KWT/21-24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E538407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6AFA82EA">
      <w:start w:val="1"/>
      <w:numFmt w:val="bullet"/>
      <w:lvlText w:val="-"/>
      <w:lvlJc w:val="left"/>
      <w:pPr>
        <w:ind w:left="3336" w:hanging="555"/>
      </w:pPr>
      <w:rPr>
        <w:rFonts w:ascii="Arial" w:eastAsia="Times New Roman" w:hAnsi="Arial" w:cs="Arial" w:hint="default"/>
      </w:rPr>
    </w:lvl>
    <w:lvl w:ilvl="2" w:tplc="1546A646"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CA" w:vendorID="64" w:dllVersion="131078" w:nlCheck="1" w:checkStyle="1"/>
  <w:activeWritingStyle w:appName="MSWord" w:lang="fr-FR"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7A"/>
    <w:rsid w:val="000019F6"/>
    <w:rsid w:val="00002138"/>
    <w:rsid w:val="000038B5"/>
    <w:rsid w:val="00003E90"/>
    <w:rsid w:val="000110B7"/>
    <w:rsid w:val="00020940"/>
    <w:rsid w:val="00023E95"/>
    <w:rsid w:val="0002427F"/>
    <w:rsid w:val="00032FF2"/>
    <w:rsid w:val="00036B26"/>
    <w:rsid w:val="000372BB"/>
    <w:rsid w:val="00042453"/>
    <w:rsid w:val="00042728"/>
    <w:rsid w:val="0004313F"/>
    <w:rsid w:val="000460AB"/>
    <w:rsid w:val="000465D6"/>
    <w:rsid w:val="00050A10"/>
    <w:rsid w:val="00050F6B"/>
    <w:rsid w:val="000548A6"/>
    <w:rsid w:val="000551DC"/>
    <w:rsid w:val="00055A26"/>
    <w:rsid w:val="000565D3"/>
    <w:rsid w:val="00056AA0"/>
    <w:rsid w:val="00056F1B"/>
    <w:rsid w:val="0006564A"/>
    <w:rsid w:val="00070F59"/>
    <w:rsid w:val="000728BA"/>
    <w:rsid w:val="00072C8C"/>
    <w:rsid w:val="000733B5"/>
    <w:rsid w:val="00077485"/>
    <w:rsid w:val="000814F4"/>
    <w:rsid w:val="00081A57"/>
    <w:rsid w:val="0008755B"/>
    <w:rsid w:val="000925C7"/>
    <w:rsid w:val="00093148"/>
    <w:rsid w:val="000931C0"/>
    <w:rsid w:val="00094524"/>
    <w:rsid w:val="00096EEC"/>
    <w:rsid w:val="000A0E9E"/>
    <w:rsid w:val="000A16CC"/>
    <w:rsid w:val="000A55A0"/>
    <w:rsid w:val="000A5D3B"/>
    <w:rsid w:val="000A5E25"/>
    <w:rsid w:val="000A606E"/>
    <w:rsid w:val="000B175B"/>
    <w:rsid w:val="000B3234"/>
    <w:rsid w:val="000B3A0F"/>
    <w:rsid w:val="000B4EF7"/>
    <w:rsid w:val="000B53B7"/>
    <w:rsid w:val="000B6264"/>
    <w:rsid w:val="000B7DC6"/>
    <w:rsid w:val="000C028D"/>
    <w:rsid w:val="000C1462"/>
    <w:rsid w:val="000C2C02"/>
    <w:rsid w:val="000C2D2E"/>
    <w:rsid w:val="000C6D4A"/>
    <w:rsid w:val="000D5B12"/>
    <w:rsid w:val="000D5D03"/>
    <w:rsid w:val="000D78CD"/>
    <w:rsid w:val="000E01B1"/>
    <w:rsid w:val="000E0415"/>
    <w:rsid w:val="000E2CF9"/>
    <w:rsid w:val="000E3544"/>
    <w:rsid w:val="000E5FFE"/>
    <w:rsid w:val="000F0870"/>
    <w:rsid w:val="000F7294"/>
    <w:rsid w:val="00103E42"/>
    <w:rsid w:val="001103AA"/>
    <w:rsid w:val="001151B9"/>
    <w:rsid w:val="00115F1F"/>
    <w:rsid w:val="001220E2"/>
    <w:rsid w:val="00123639"/>
    <w:rsid w:val="00135897"/>
    <w:rsid w:val="00140475"/>
    <w:rsid w:val="0014164B"/>
    <w:rsid w:val="00142991"/>
    <w:rsid w:val="00147F03"/>
    <w:rsid w:val="00155467"/>
    <w:rsid w:val="00156617"/>
    <w:rsid w:val="001619F8"/>
    <w:rsid w:val="00163207"/>
    <w:rsid w:val="001638A3"/>
    <w:rsid w:val="00165C1E"/>
    <w:rsid w:val="0016643D"/>
    <w:rsid w:val="00170E65"/>
    <w:rsid w:val="00172FA2"/>
    <w:rsid w:val="00173A5F"/>
    <w:rsid w:val="0017466E"/>
    <w:rsid w:val="00175B2D"/>
    <w:rsid w:val="00180D95"/>
    <w:rsid w:val="001812D5"/>
    <w:rsid w:val="00185BF7"/>
    <w:rsid w:val="0018711F"/>
    <w:rsid w:val="00192EEF"/>
    <w:rsid w:val="00194512"/>
    <w:rsid w:val="0019679E"/>
    <w:rsid w:val="001A7D14"/>
    <w:rsid w:val="001B4B04"/>
    <w:rsid w:val="001B6DF8"/>
    <w:rsid w:val="001B7D72"/>
    <w:rsid w:val="001C2769"/>
    <w:rsid w:val="001C6663"/>
    <w:rsid w:val="001C785A"/>
    <w:rsid w:val="001C7895"/>
    <w:rsid w:val="001D26DF"/>
    <w:rsid w:val="001D4E79"/>
    <w:rsid w:val="001E070D"/>
    <w:rsid w:val="001E214A"/>
    <w:rsid w:val="001E2693"/>
    <w:rsid w:val="001E5AA0"/>
    <w:rsid w:val="001F08CF"/>
    <w:rsid w:val="001F564B"/>
    <w:rsid w:val="00202DA8"/>
    <w:rsid w:val="00206627"/>
    <w:rsid w:val="00211E0B"/>
    <w:rsid w:val="002177BC"/>
    <w:rsid w:val="00220233"/>
    <w:rsid w:val="0023096A"/>
    <w:rsid w:val="0023362D"/>
    <w:rsid w:val="00234D2B"/>
    <w:rsid w:val="00236FA7"/>
    <w:rsid w:val="002407AA"/>
    <w:rsid w:val="0024215C"/>
    <w:rsid w:val="002509E0"/>
    <w:rsid w:val="00252432"/>
    <w:rsid w:val="002563EA"/>
    <w:rsid w:val="00256E57"/>
    <w:rsid w:val="00257451"/>
    <w:rsid w:val="00267BF1"/>
    <w:rsid w:val="00280277"/>
    <w:rsid w:val="00286D7E"/>
    <w:rsid w:val="002870E5"/>
    <w:rsid w:val="002911E4"/>
    <w:rsid w:val="0029170D"/>
    <w:rsid w:val="00291725"/>
    <w:rsid w:val="00292273"/>
    <w:rsid w:val="002970EE"/>
    <w:rsid w:val="00297866"/>
    <w:rsid w:val="002A0AED"/>
    <w:rsid w:val="002A0E26"/>
    <w:rsid w:val="002A18FB"/>
    <w:rsid w:val="002A665D"/>
    <w:rsid w:val="002A70B3"/>
    <w:rsid w:val="002B0464"/>
    <w:rsid w:val="002B1D14"/>
    <w:rsid w:val="002B6CE3"/>
    <w:rsid w:val="002B6F66"/>
    <w:rsid w:val="002C11FC"/>
    <w:rsid w:val="002C7BC5"/>
    <w:rsid w:val="002E0D48"/>
    <w:rsid w:val="002E47B0"/>
    <w:rsid w:val="002F03C5"/>
    <w:rsid w:val="002F175C"/>
    <w:rsid w:val="002F4AD2"/>
    <w:rsid w:val="002F7030"/>
    <w:rsid w:val="0030029A"/>
    <w:rsid w:val="0030399D"/>
    <w:rsid w:val="00303CD3"/>
    <w:rsid w:val="00306711"/>
    <w:rsid w:val="00306970"/>
    <w:rsid w:val="00307BF3"/>
    <w:rsid w:val="00311039"/>
    <w:rsid w:val="003229D8"/>
    <w:rsid w:val="0032404F"/>
    <w:rsid w:val="00325AAF"/>
    <w:rsid w:val="00325EA7"/>
    <w:rsid w:val="00327FC7"/>
    <w:rsid w:val="003305AB"/>
    <w:rsid w:val="00330837"/>
    <w:rsid w:val="003335DC"/>
    <w:rsid w:val="00333C0B"/>
    <w:rsid w:val="003360B8"/>
    <w:rsid w:val="00340CF6"/>
    <w:rsid w:val="00341C5B"/>
    <w:rsid w:val="00350EA6"/>
    <w:rsid w:val="00352709"/>
    <w:rsid w:val="00352800"/>
    <w:rsid w:val="003559A1"/>
    <w:rsid w:val="00371178"/>
    <w:rsid w:val="00382089"/>
    <w:rsid w:val="00387C6F"/>
    <w:rsid w:val="0039110D"/>
    <w:rsid w:val="0039456E"/>
    <w:rsid w:val="003957CD"/>
    <w:rsid w:val="003977D0"/>
    <w:rsid w:val="003A204C"/>
    <w:rsid w:val="003A4810"/>
    <w:rsid w:val="003A6810"/>
    <w:rsid w:val="003B5AC1"/>
    <w:rsid w:val="003C0212"/>
    <w:rsid w:val="003C1A31"/>
    <w:rsid w:val="003C248E"/>
    <w:rsid w:val="003C2CC4"/>
    <w:rsid w:val="003C46A1"/>
    <w:rsid w:val="003D332B"/>
    <w:rsid w:val="003D4B23"/>
    <w:rsid w:val="003E6BEA"/>
    <w:rsid w:val="003F12BD"/>
    <w:rsid w:val="003F6D50"/>
    <w:rsid w:val="0040077D"/>
    <w:rsid w:val="00400B42"/>
    <w:rsid w:val="0040165A"/>
    <w:rsid w:val="0040287F"/>
    <w:rsid w:val="00402D0D"/>
    <w:rsid w:val="00405DDC"/>
    <w:rsid w:val="00406505"/>
    <w:rsid w:val="00410C89"/>
    <w:rsid w:val="00410CA5"/>
    <w:rsid w:val="00410EDC"/>
    <w:rsid w:val="0042066E"/>
    <w:rsid w:val="00420699"/>
    <w:rsid w:val="00424994"/>
    <w:rsid w:val="004325CB"/>
    <w:rsid w:val="0043448D"/>
    <w:rsid w:val="004401A2"/>
    <w:rsid w:val="00451456"/>
    <w:rsid w:val="00453B34"/>
    <w:rsid w:val="0045495B"/>
    <w:rsid w:val="004553AD"/>
    <w:rsid w:val="00460336"/>
    <w:rsid w:val="004674C7"/>
    <w:rsid w:val="0047225F"/>
    <w:rsid w:val="004738C5"/>
    <w:rsid w:val="004762BB"/>
    <w:rsid w:val="004841DB"/>
    <w:rsid w:val="00486F68"/>
    <w:rsid w:val="00490365"/>
    <w:rsid w:val="00492522"/>
    <w:rsid w:val="004978B8"/>
    <w:rsid w:val="00497F27"/>
    <w:rsid w:val="004A009D"/>
    <w:rsid w:val="004A4A02"/>
    <w:rsid w:val="004A592F"/>
    <w:rsid w:val="004A6910"/>
    <w:rsid w:val="004B4476"/>
    <w:rsid w:val="004B7DF6"/>
    <w:rsid w:val="004C1D3C"/>
    <w:rsid w:val="004C4E04"/>
    <w:rsid w:val="004C5138"/>
    <w:rsid w:val="004C66ED"/>
    <w:rsid w:val="004D25E4"/>
    <w:rsid w:val="004D2AE2"/>
    <w:rsid w:val="004D4188"/>
    <w:rsid w:val="004D60F7"/>
    <w:rsid w:val="004D635A"/>
    <w:rsid w:val="004E2B1B"/>
    <w:rsid w:val="004F2055"/>
    <w:rsid w:val="004F377A"/>
    <w:rsid w:val="00506751"/>
    <w:rsid w:val="00511597"/>
    <w:rsid w:val="00517B36"/>
    <w:rsid w:val="00524736"/>
    <w:rsid w:val="00524AAC"/>
    <w:rsid w:val="00540FA8"/>
    <w:rsid w:val="00541295"/>
    <w:rsid w:val="00542008"/>
    <w:rsid w:val="005420F2"/>
    <w:rsid w:val="00547AF6"/>
    <w:rsid w:val="00551140"/>
    <w:rsid w:val="00563441"/>
    <w:rsid w:val="0057273D"/>
    <w:rsid w:val="00572D14"/>
    <w:rsid w:val="00574DF8"/>
    <w:rsid w:val="00580277"/>
    <w:rsid w:val="00580287"/>
    <w:rsid w:val="00583E61"/>
    <w:rsid w:val="0058640C"/>
    <w:rsid w:val="00590670"/>
    <w:rsid w:val="00591F2E"/>
    <w:rsid w:val="0059294E"/>
    <w:rsid w:val="005938A1"/>
    <w:rsid w:val="00593CF4"/>
    <w:rsid w:val="005B3DB3"/>
    <w:rsid w:val="005B7CAC"/>
    <w:rsid w:val="005C2109"/>
    <w:rsid w:val="005C48B8"/>
    <w:rsid w:val="005C6A79"/>
    <w:rsid w:val="005C7C6D"/>
    <w:rsid w:val="005D4A94"/>
    <w:rsid w:val="005D6CF2"/>
    <w:rsid w:val="005E29BF"/>
    <w:rsid w:val="005E5813"/>
    <w:rsid w:val="005E5FA4"/>
    <w:rsid w:val="005E64A4"/>
    <w:rsid w:val="005F1D3F"/>
    <w:rsid w:val="005F36CE"/>
    <w:rsid w:val="006001EE"/>
    <w:rsid w:val="006028BF"/>
    <w:rsid w:val="0060357C"/>
    <w:rsid w:val="00604372"/>
    <w:rsid w:val="006050D0"/>
    <w:rsid w:val="006066AF"/>
    <w:rsid w:val="00611FC4"/>
    <w:rsid w:val="006135F6"/>
    <w:rsid w:val="00613712"/>
    <w:rsid w:val="00613D7C"/>
    <w:rsid w:val="00615886"/>
    <w:rsid w:val="006176FB"/>
    <w:rsid w:val="00622E00"/>
    <w:rsid w:val="00623072"/>
    <w:rsid w:val="00631344"/>
    <w:rsid w:val="00640B26"/>
    <w:rsid w:val="0064139B"/>
    <w:rsid w:val="006416CD"/>
    <w:rsid w:val="00644665"/>
    <w:rsid w:val="00647CF0"/>
    <w:rsid w:val="00656D8C"/>
    <w:rsid w:val="00665A2A"/>
    <w:rsid w:val="006666BD"/>
    <w:rsid w:val="00680ADA"/>
    <w:rsid w:val="0068270A"/>
    <w:rsid w:val="00696944"/>
    <w:rsid w:val="00697674"/>
    <w:rsid w:val="0069782C"/>
    <w:rsid w:val="006A0583"/>
    <w:rsid w:val="006A0D6F"/>
    <w:rsid w:val="006A18D1"/>
    <w:rsid w:val="006B05BC"/>
    <w:rsid w:val="006B2E70"/>
    <w:rsid w:val="006B41A3"/>
    <w:rsid w:val="006B6647"/>
    <w:rsid w:val="006C0931"/>
    <w:rsid w:val="006C3CF5"/>
    <w:rsid w:val="006C4AD3"/>
    <w:rsid w:val="006C5723"/>
    <w:rsid w:val="006D3903"/>
    <w:rsid w:val="006D5347"/>
    <w:rsid w:val="006E5532"/>
    <w:rsid w:val="006E564B"/>
    <w:rsid w:val="006E6DA7"/>
    <w:rsid w:val="006F3519"/>
    <w:rsid w:val="006F41BD"/>
    <w:rsid w:val="00700BB7"/>
    <w:rsid w:val="007034A6"/>
    <w:rsid w:val="007062BF"/>
    <w:rsid w:val="0072632A"/>
    <w:rsid w:val="00727FA9"/>
    <w:rsid w:val="007337A2"/>
    <w:rsid w:val="00744BF0"/>
    <w:rsid w:val="00764D7B"/>
    <w:rsid w:val="00766AC3"/>
    <w:rsid w:val="007754C5"/>
    <w:rsid w:val="00776917"/>
    <w:rsid w:val="00776D88"/>
    <w:rsid w:val="007800EC"/>
    <w:rsid w:val="0078123A"/>
    <w:rsid w:val="00783165"/>
    <w:rsid w:val="00787014"/>
    <w:rsid w:val="00792516"/>
    <w:rsid w:val="007B112D"/>
    <w:rsid w:val="007B3057"/>
    <w:rsid w:val="007B6BA5"/>
    <w:rsid w:val="007B73A2"/>
    <w:rsid w:val="007C3390"/>
    <w:rsid w:val="007C4F4B"/>
    <w:rsid w:val="007C569E"/>
    <w:rsid w:val="007D15C7"/>
    <w:rsid w:val="007D3ED4"/>
    <w:rsid w:val="007D416F"/>
    <w:rsid w:val="007F327C"/>
    <w:rsid w:val="007F6462"/>
    <w:rsid w:val="007F6611"/>
    <w:rsid w:val="007F6B6A"/>
    <w:rsid w:val="00810838"/>
    <w:rsid w:val="008145D2"/>
    <w:rsid w:val="00820663"/>
    <w:rsid w:val="00823836"/>
    <w:rsid w:val="008242D7"/>
    <w:rsid w:val="00824750"/>
    <w:rsid w:val="00832D01"/>
    <w:rsid w:val="00835448"/>
    <w:rsid w:val="0084364C"/>
    <w:rsid w:val="00844A65"/>
    <w:rsid w:val="00844BBC"/>
    <w:rsid w:val="00844E67"/>
    <w:rsid w:val="0085024E"/>
    <w:rsid w:val="00854B7B"/>
    <w:rsid w:val="008575C8"/>
    <w:rsid w:val="00865684"/>
    <w:rsid w:val="00866704"/>
    <w:rsid w:val="00875250"/>
    <w:rsid w:val="008752E8"/>
    <w:rsid w:val="0089090F"/>
    <w:rsid w:val="00892008"/>
    <w:rsid w:val="008948A9"/>
    <w:rsid w:val="0089733A"/>
    <w:rsid w:val="008979B1"/>
    <w:rsid w:val="008A070C"/>
    <w:rsid w:val="008A3254"/>
    <w:rsid w:val="008A42EC"/>
    <w:rsid w:val="008A6969"/>
    <w:rsid w:val="008A6B25"/>
    <w:rsid w:val="008A6C4F"/>
    <w:rsid w:val="008B1702"/>
    <w:rsid w:val="008B2335"/>
    <w:rsid w:val="008B3553"/>
    <w:rsid w:val="008C5213"/>
    <w:rsid w:val="008C7218"/>
    <w:rsid w:val="008C7BAB"/>
    <w:rsid w:val="008E0DDF"/>
    <w:rsid w:val="008E11CF"/>
    <w:rsid w:val="008E3ACF"/>
    <w:rsid w:val="008E414E"/>
    <w:rsid w:val="008E5082"/>
    <w:rsid w:val="008E71EB"/>
    <w:rsid w:val="008E7456"/>
    <w:rsid w:val="008F3CA8"/>
    <w:rsid w:val="00900A77"/>
    <w:rsid w:val="00901441"/>
    <w:rsid w:val="00902E81"/>
    <w:rsid w:val="00903E0D"/>
    <w:rsid w:val="00907C08"/>
    <w:rsid w:val="00911452"/>
    <w:rsid w:val="0091630C"/>
    <w:rsid w:val="00916443"/>
    <w:rsid w:val="0092115A"/>
    <w:rsid w:val="009223CA"/>
    <w:rsid w:val="00927C00"/>
    <w:rsid w:val="00930AE5"/>
    <w:rsid w:val="00930BD5"/>
    <w:rsid w:val="009352E2"/>
    <w:rsid w:val="00935E7C"/>
    <w:rsid w:val="009369F6"/>
    <w:rsid w:val="00940F93"/>
    <w:rsid w:val="009433AD"/>
    <w:rsid w:val="00953EE8"/>
    <w:rsid w:val="009603EF"/>
    <w:rsid w:val="0096153B"/>
    <w:rsid w:val="00973C09"/>
    <w:rsid w:val="0097714D"/>
    <w:rsid w:val="00977A4D"/>
    <w:rsid w:val="00990C8E"/>
    <w:rsid w:val="0099109C"/>
    <w:rsid w:val="009A3D56"/>
    <w:rsid w:val="009A638B"/>
    <w:rsid w:val="009A7BD9"/>
    <w:rsid w:val="009B0CA0"/>
    <w:rsid w:val="009B10A7"/>
    <w:rsid w:val="009B1350"/>
    <w:rsid w:val="009B4A1B"/>
    <w:rsid w:val="009C0EE8"/>
    <w:rsid w:val="009C14AA"/>
    <w:rsid w:val="009D2812"/>
    <w:rsid w:val="009D4D0C"/>
    <w:rsid w:val="009D66C5"/>
    <w:rsid w:val="009E18CC"/>
    <w:rsid w:val="009E1E23"/>
    <w:rsid w:val="009E4B96"/>
    <w:rsid w:val="009F130B"/>
    <w:rsid w:val="009F3FF0"/>
    <w:rsid w:val="009F5BF7"/>
    <w:rsid w:val="009F65D5"/>
    <w:rsid w:val="00A01489"/>
    <w:rsid w:val="00A022FA"/>
    <w:rsid w:val="00A113B3"/>
    <w:rsid w:val="00A159FD"/>
    <w:rsid w:val="00A17961"/>
    <w:rsid w:val="00A21A0B"/>
    <w:rsid w:val="00A231A0"/>
    <w:rsid w:val="00A243F6"/>
    <w:rsid w:val="00A32E3F"/>
    <w:rsid w:val="00A34727"/>
    <w:rsid w:val="00A37245"/>
    <w:rsid w:val="00A37F4F"/>
    <w:rsid w:val="00A42C20"/>
    <w:rsid w:val="00A47ECB"/>
    <w:rsid w:val="00A527D7"/>
    <w:rsid w:val="00A55D3D"/>
    <w:rsid w:val="00A612AA"/>
    <w:rsid w:val="00A61CCD"/>
    <w:rsid w:val="00A64909"/>
    <w:rsid w:val="00A71634"/>
    <w:rsid w:val="00A72F22"/>
    <w:rsid w:val="00A748A6"/>
    <w:rsid w:val="00A776B4"/>
    <w:rsid w:val="00A83A21"/>
    <w:rsid w:val="00A84ED6"/>
    <w:rsid w:val="00A91D8A"/>
    <w:rsid w:val="00A93421"/>
    <w:rsid w:val="00A94361"/>
    <w:rsid w:val="00A9629E"/>
    <w:rsid w:val="00A970C8"/>
    <w:rsid w:val="00AA1F7A"/>
    <w:rsid w:val="00AA6630"/>
    <w:rsid w:val="00AB06C2"/>
    <w:rsid w:val="00AB253D"/>
    <w:rsid w:val="00AB3AB7"/>
    <w:rsid w:val="00AC0415"/>
    <w:rsid w:val="00AC1552"/>
    <w:rsid w:val="00AC4017"/>
    <w:rsid w:val="00AD0416"/>
    <w:rsid w:val="00AD4F66"/>
    <w:rsid w:val="00AE386B"/>
    <w:rsid w:val="00AF0446"/>
    <w:rsid w:val="00AF0CDD"/>
    <w:rsid w:val="00AF5DD9"/>
    <w:rsid w:val="00B005B2"/>
    <w:rsid w:val="00B0090B"/>
    <w:rsid w:val="00B01CCC"/>
    <w:rsid w:val="00B043FA"/>
    <w:rsid w:val="00B04A28"/>
    <w:rsid w:val="00B06775"/>
    <w:rsid w:val="00B068B9"/>
    <w:rsid w:val="00B10A96"/>
    <w:rsid w:val="00B210B8"/>
    <w:rsid w:val="00B235C4"/>
    <w:rsid w:val="00B2614C"/>
    <w:rsid w:val="00B30179"/>
    <w:rsid w:val="00B306B6"/>
    <w:rsid w:val="00B31DD1"/>
    <w:rsid w:val="00B34A7C"/>
    <w:rsid w:val="00B357F2"/>
    <w:rsid w:val="00B43794"/>
    <w:rsid w:val="00B44396"/>
    <w:rsid w:val="00B44A90"/>
    <w:rsid w:val="00B50C15"/>
    <w:rsid w:val="00B56E9C"/>
    <w:rsid w:val="00B60E7B"/>
    <w:rsid w:val="00B64B1F"/>
    <w:rsid w:val="00B6553F"/>
    <w:rsid w:val="00B73ACE"/>
    <w:rsid w:val="00B81E12"/>
    <w:rsid w:val="00B84D7F"/>
    <w:rsid w:val="00B91C30"/>
    <w:rsid w:val="00B938F1"/>
    <w:rsid w:val="00B940AB"/>
    <w:rsid w:val="00B9474C"/>
    <w:rsid w:val="00B94C51"/>
    <w:rsid w:val="00B94EC9"/>
    <w:rsid w:val="00B97DCA"/>
    <w:rsid w:val="00BA1F15"/>
    <w:rsid w:val="00BA2CF3"/>
    <w:rsid w:val="00BA579F"/>
    <w:rsid w:val="00BB000D"/>
    <w:rsid w:val="00BB02D2"/>
    <w:rsid w:val="00BB069C"/>
    <w:rsid w:val="00BB2EBE"/>
    <w:rsid w:val="00BB4254"/>
    <w:rsid w:val="00BB4BB1"/>
    <w:rsid w:val="00BB6700"/>
    <w:rsid w:val="00BC37A2"/>
    <w:rsid w:val="00BC7066"/>
    <w:rsid w:val="00BC74E9"/>
    <w:rsid w:val="00BD19D8"/>
    <w:rsid w:val="00BD5603"/>
    <w:rsid w:val="00BE0470"/>
    <w:rsid w:val="00BE7662"/>
    <w:rsid w:val="00BF68A8"/>
    <w:rsid w:val="00C03EEA"/>
    <w:rsid w:val="00C06E88"/>
    <w:rsid w:val="00C13D1B"/>
    <w:rsid w:val="00C208C2"/>
    <w:rsid w:val="00C20D7F"/>
    <w:rsid w:val="00C22F6B"/>
    <w:rsid w:val="00C2369C"/>
    <w:rsid w:val="00C26EC0"/>
    <w:rsid w:val="00C3206E"/>
    <w:rsid w:val="00C32AE1"/>
    <w:rsid w:val="00C41E5F"/>
    <w:rsid w:val="00C4630D"/>
    <w:rsid w:val="00C463DD"/>
    <w:rsid w:val="00C4724C"/>
    <w:rsid w:val="00C47504"/>
    <w:rsid w:val="00C475AB"/>
    <w:rsid w:val="00C53A77"/>
    <w:rsid w:val="00C6027B"/>
    <w:rsid w:val="00C61000"/>
    <w:rsid w:val="00C6206B"/>
    <w:rsid w:val="00C629A0"/>
    <w:rsid w:val="00C66520"/>
    <w:rsid w:val="00C66720"/>
    <w:rsid w:val="00C67CD9"/>
    <w:rsid w:val="00C724B1"/>
    <w:rsid w:val="00C745C3"/>
    <w:rsid w:val="00C74BB7"/>
    <w:rsid w:val="00C75687"/>
    <w:rsid w:val="00C75FB9"/>
    <w:rsid w:val="00C8510C"/>
    <w:rsid w:val="00C8739B"/>
    <w:rsid w:val="00C90836"/>
    <w:rsid w:val="00CA175C"/>
    <w:rsid w:val="00CA5948"/>
    <w:rsid w:val="00CA7B8A"/>
    <w:rsid w:val="00CC00AC"/>
    <w:rsid w:val="00CC10D1"/>
    <w:rsid w:val="00CC24D2"/>
    <w:rsid w:val="00CC3F8B"/>
    <w:rsid w:val="00CC6D8C"/>
    <w:rsid w:val="00CD2CEF"/>
    <w:rsid w:val="00CD7673"/>
    <w:rsid w:val="00CE0F63"/>
    <w:rsid w:val="00CE11A7"/>
    <w:rsid w:val="00CE4A8F"/>
    <w:rsid w:val="00CF05C2"/>
    <w:rsid w:val="00CF3538"/>
    <w:rsid w:val="00D0298A"/>
    <w:rsid w:val="00D06422"/>
    <w:rsid w:val="00D14847"/>
    <w:rsid w:val="00D17B4F"/>
    <w:rsid w:val="00D2031B"/>
    <w:rsid w:val="00D20A7B"/>
    <w:rsid w:val="00D218CB"/>
    <w:rsid w:val="00D2268E"/>
    <w:rsid w:val="00D24FB5"/>
    <w:rsid w:val="00D259F0"/>
    <w:rsid w:val="00D25FE2"/>
    <w:rsid w:val="00D3010B"/>
    <w:rsid w:val="00D3645E"/>
    <w:rsid w:val="00D43252"/>
    <w:rsid w:val="00D44879"/>
    <w:rsid w:val="00D465F5"/>
    <w:rsid w:val="00D51E7F"/>
    <w:rsid w:val="00D560E0"/>
    <w:rsid w:val="00D5649D"/>
    <w:rsid w:val="00D56DBF"/>
    <w:rsid w:val="00D57B7F"/>
    <w:rsid w:val="00D57FBA"/>
    <w:rsid w:val="00D64F49"/>
    <w:rsid w:val="00D7113B"/>
    <w:rsid w:val="00D737A7"/>
    <w:rsid w:val="00D7767E"/>
    <w:rsid w:val="00D778F5"/>
    <w:rsid w:val="00D81DC2"/>
    <w:rsid w:val="00D820C0"/>
    <w:rsid w:val="00D83476"/>
    <w:rsid w:val="00D8351B"/>
    <w:rsid w:val="00D85DC6"/>
    <w:rsid w:val="00D90300"/>
    <w:rsid w:val="00D90726"/>
    <w:rsid w:val="00D952BB"/>
    <w:rsid w:val="00D978C6"/>
    <w:rsid w:val="00DA2909"/>
    <w:rsid w:val="00DA3021"/>
    <w:rsid w:val="00DA3A85"/>
    <w:rsid w:val="00DA3C1C"/>
    <w:rsid w:val="00DA3FA6"/>
    <w:rsid w:val="00DA6A02"/>
    <w:rsid w:val="00DA6FDB"/>
    <w:rsid w:val="00DB7FBA"/>
    <w:rsid w:val="00DD1FFF"/>
    <w:rsid w:val="00DE029F"/>
    <w:rsid w:val="00DE0E27"/>
    <w:rsid w:val="00DE0EFF"/>
    <w:rsid w:val="00DE71D2"/>
    <w:rsid w:val="00DE72EA"/>
    <w:rsid w:val="00DF2582"/>
    <w:rsid w:val="00DF46AA"/>
    <w:rsid w:val="00DF535B"/>
    <w:rsid w:val="00E04BBA"/>
    <w:rsid w:val="00E05CF8"/>
    <w:rsid w:val="00E109FB"/>
    <w:rsid w:val="00E118DC"/>
    <w:rsid w:val="00E12120"/>
    <w:rsid w:val="00E15F79"/>
    <w:rsid w:val="00E16CEA"/>
    <w:rsid w:val="00E2242F"/>
    <w:rsid w:val="00E42AC1"/>
    <w:rsid w:val="00E42F52"/>
    <w:rsid w:val="00E44F80"/>
    <w:rsid w:val="00E46737"/>
    <w:rsid w:val="00E4690C"/>
    <w:rsid w:val="00E501D8"/>
    <w:rsid w:val="00E573E5"/>
    <w:rsid w:val="00E610C3"/>
    <w:rsid w:val="00E61B45"/>
    <w:rsid w:val="00E63389"/>
    <w:rsid w:val="00E71BC8"/>
    <w:rsid w:val="00E7260F"/>
    <w:rsid w:val="00E764EE"/>
    <w:rsid w:val="00E76BB7"/>
    <w:rsid w:val="00E76D6A"/>
    <w:rsid w:val="00E8065E"/>
    <w:rsid w:val="00E80CD0"/>
    <w:rsid w:val="00E85E50"/>
    <w:rsid w:val="00E8756D"/>
    <w:rsid w:val="00E91EBB"/>
    <w:rsid w:val="00E939F1"/>
    <w:rsid w:val="00E96630"/>
    <w:rsid w:val="00EA0AC9"/>
    <w:rsid w:val="00EA6133"/>
    <w:rsid w:val="00EB484F"/>
    <w:rsid w:val="00EB55D3"/>
    <w:rsid w:val="00EB7322"/>
    <w:rsid w:val="00EC0654"/>
    <w:rsid w:val="00EC647B"/>
    <w:rsid w:val="00EC7448"/>
    <w:rsid w:val="00ED32A3"/>
    <w:rsid w:val="00ED616A"/>
    <w:rsid w:val="00ED67BC"/>
    <w:rsid w:val="00ED7A2A"/>
    <w:rsid w:val="00EE1554"/>
    <w:rsid w:val="00EF1173"/>
    <w:rsid w:val="00EF13BB"/>
    <w:rsid w:val="00EF1D7F"/>
    <w:rsid w:val="00EF6836"/>
    <w:rsid w:val="00EF796E"/>
    <w:rsid w:val="00F02CB0"/>
    <w:rsid w:val="00F04D0E"/>
    <w:rsid w:val="00F05A65"/>
    <w:rsid w:val="00F1180D"/>
    <w:rsid w:val="00F16433"/>
    <w:rsid w:val="00F17F18"/>
    <w:rsid w:val="00F216E6"/>
    <w:rsid w:val="00F226C3"/>
    <w:rsid w:val="00F32B3C"/>
    <w:rsid w:val="00F34583"/>
    <w:rsid w:val="00F34EE4"/>
    <w:rsid w:val="00F365DB"/>
    <w:rsid w:val="00F37CDA"/>
    <w:rsid w:val="00F40446"/>
    <w:rsid w:val="00F40669"/>
    <w:rsid w:val="00F42829"/>
    <w:rsid w:val="00F442B2"/>
    <w:rsid w:val="00F4595C"/>
    <w:rsid w:val="00F47EC6"/>
    <w:rsid w:val="00F504DF"/>
    <w:rsid w:val="00F54C89"/>
    <w:rsid w:val="00F562AF"/>
    <w:rsid w:val="00F6068C"/>
    <w:rsid w:val="00F709FB"/>
    <w:rsid w:val="00F7106F"/>
    <w:rsid w:val="00F738D3"/>
    <w:rsid w:val="00F76BAE"/>
    <w:rsid w:val="00F80A0E"/>
    <w:rsid w:val="00F82709"/>
    <w:rsid w:val="00F90BFF"/>
    <w:rsid w:val="00F94BF1"/>
    <w:rsid w:val="00FA271C"/>
    <w:rsid w:val="00FA2A63"/>
    <w:rsid w:val="00FA2B70"/>
    <w:rsid w:val="00FA3D13"/>
    <w:rsid w:val="00FA4059"/>
    <w:rsid w:val="00FA4334"/>
    <w:rsid w:val="00FA787A"/>
    <w:rsid w:val="00FA7C20"/>
    <w:rsid w:val="00FB1567"/>
    <w:rsid w:val="00FC326D"/>
    <w:rsid w:val="00FC3842"/>
    <w:rsid w:val="00FC5A0A"/>
    <w:rsid w:val="00FC68B7"/>
    <w:rsid w:val="00FD05BE"/>
    <w:rsid w:val="00FD3812"/>
    <w:rsid w:val="00FD3862"/>
    <w:rsid w:val="00FD6AD8"/>
    <w:rsid w:val="00FE0470"/>
    <w:rsid w:val="00FF2D73"/>
    <w:rsid w:val="00FF7D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caption" w:semiHidden="1" w:uiPriority="35" w:unhideWhenUsed="1" w:qFormat="1"/>
    <w:lsdException w:name="footnote reference" w:qFormat="1"/>
    <w:lsdException w:name="annotation reference"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HTML Acronym"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6AF"/>
    <w:pPr>
      <w:suppressAutoHyphens/>
      <w:spacing w:line="240" w:lineRule="atLeast"/>
    </w:pPr>
    <w:rPr>
      <w:lang w:val="fr-CA" w:eastAsia="en-US"/>
    </w:rPr>
  </w:style>
  <w:style w:type="paragraph" w:styleId="Titre1">
    <w:name w:val="heading 1"/>
    <w:aliases w:val="Table_G"/>
    <w:basedOn w:val="SingleTxtG"/>
    <w:next w:val="SingleTxtG"/>
    <w:link w:val="Titre1Car"/>
    <w:qFormat/>
    <w:rsid w:val="006066AF"/>
    <w:pPr>
      <w:keepNext/>
      <w:keepLines/>
      <w:spacing w:after="0" w:line="240" w:lineRule="auto"/>
      <w:ind w:right="0"/>
      <w:jc w:val="left"/>
      <w:outlineLvl w:val="0"/>
    </w:pPr>
  </w:style>
  <w:style w:type="paragraph" w:styleId="Titre2">
    <w:name w:val="heading 2"/>
    <w:basedOn w:val="Normal"/>
    <w:next w:val="Normal"/>
    <w:link w:val="Titre2Car"/>
    <w:qFormat/>
    <w:rsid w:val="006066AF"/>
    <w:pPr>
      <w:outlineLvl w:val="1"/>
    </w:pPr>
  </w:style>
  <w:style w:type="paragraph" w:styleId="Titre3">
    <w:name w:val="heading 3"/>
    <w:basedOn w:val="Normal"/>
    <w:next w:val="Normal"/>
    <w:link w:val="Titre3Car"/>
    <w:qFormat/>
    <w:rsid w:val="006066AF"/>
    <w:pPr>
      <w:outlineLvl w:val="2"/>
    </w:pPr>
  </w:style>
  <w:style w:type="paragraph" w:styleId="Titre4">
    <w:name w:val="heading 4"/>
    <w:basedOn w:val="Normal"/>
    <w:next w:val="Normal"/>
    <w:link w:val="Titre4Car"/>
    <w:qFormat/>
    <w:rsid w:val="006066AF"/>
    <w:pPr>
      <w:outlineLvl w:val="3"/>
    </w:pPr>
  </w:style>
  <w:style w:type="paragraph" w:styleId="Titre5">
    <w:name w:val="heading 5"/>
    <w:basedOn w:val="Normal"/>
    <w:next w:val="Normal"/>
    <w:link w:val="Titre5Car"/>
    <w:qFormat/>
    <w:rsid w:val="006066AF"/>
    <w:pPr>
      <w:outlineLvl w:val="4"/>
    </w:pPr>
  </w:style>
  <w:style w:type="paragraph" w:styleId="Titre6">
    <w:name w:val="heading 6"/>
    <w:basedOn w:val="Normal"/>
    <w:next w:val="Normal"/>
    <w:link w:val="Titre6Car"/>
    <w:qFormat/>
    <w:rsid w:val="006066AF"/>
    <w:pPr>
      <w:outlineLvl w:val="5"/>
    </w:pPr>
  </w:style>
  <w:style w:type="paragraph" w:styleId="Titre7">
    <w:name w:val="heading 7"/>
    <w:basedOn w:val="Normal"/>
    <w:next w:val="Normal"/>
    <w:link w:val="Titre7Car"/>
    <w:qFormat/>
    <w:rsid w:val="006066AF"/>
    <w:pPr>
      <w:outlineLvl w:val="6"/>
    </w:pPr>
  </w:style>
  <w:style w:type="paragraph" w:styleId="Titre8">
    <w:name w:val="heading 8"/>
    <w:basedOn w:val="Normal"/>
    <w:next w:val="Normal"/>
    <w:link w:val="Titre8Car"/>
    <w:qFormat/>
    <w:rsid w:val="006066AF"/>
    <w:pPr>
      <w:outlineLvl w:val="7"/>
    </w:pPr>
  </w:style>
  <w:style w:type="paragraph" w:styleId="Titre9">
    <w:name w:val="heading 9"/>
    <w:basedOn w:val="Normal"/>
    <w:next w:val="Normal"/>
    <w:link w:val="Titre9Car"/>
    <w:qFormat/>
    <w:rsid w:val="006066A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66AF"/>
    <w:pPr>
      <w:spacing w:after="120"/>
      <w:ind w:left="1134" w:right="1134"/>
      <w:jc w:val="both"/>
    </w:pPr>
  </w:style>
  <w:style w:type="character" w:customStyle="1" w:styleId="Titre1Car">
    <w:name w:val="Titre 1 Car"/>
    <w:aliases w:val="Table_G Car"/>
    <w:link w:val="Titre1"/>
    <w:rsid w:val="004B4476"/>
    <w:rPr>
      <w:lang w:val="fr-CA" w:eastAsia="en-US"/>
    </w:rPr>
  </w:style>
  <w:style w:type="character" w:customStyle="1" w:styleId="Titre2Car">
    <w:name w:val="Titre 2 Car"/>
    <w:link w:val="Titre2"/>
    <w:rsid w:val="004B4476"/>
    <w:rPr>
      <w:lang w:val="fr-CA" w:eastAsia="en-US"/>
    </w:rPr>
  </w:style>
  <w:style w:type="character" w:customStyle="1" w:styleId="Titre3Car">
    <w:name w:val="Titre 3 Car"/>
    <w:link w:val="Titre3"/>
    <w:rsid w:val="004B4476"/>
    <w:rPr>
      <w:lang w:val="fr-CA" w:eastAsia="en-US"/>
    </w:rPr>
  </w:style>
  <w:style w:type="character" w:customStyle="1" w:styleId="Titre4Car">
    <w:name w:val="Titre 4 Car"/>
    <w:link w:val="Titre4"/>
    <w:rsid w:val="004B4476"/>
    <w:rPr>
      <w:lang w:val="fr-CA" w:eastAsia="en-US"/>
    </w:rPr>
  </w:style>
  <w:style w:type="character" w:customStyle="1" w:styleId="Titre5Car">
    <w:name w:val="Titre 5 Car"/>
    <w:link w:val="Titre5"/>
    <w:rsid w:val="004B4476"/>
    <w:rPr>
      <w:lang w:val="fr-CA" w:eastAsia="en-US"/>
    </w:rPr>
  </w:style>
  <w:style w:type="character" w:customStyle="1" w:styleId="Titre6Car">
    <w:name w:val="Titre 6 Car"/>
    <w:link w:val="Titre6"/>
    <w:rsid w:val="004B4476"/>
    <w:rPr>
      <w:lang w:val="fr-CA" w:eastAsia="en-US"/>
    </w:rPr>
  </w:style>
  <w:style w:type="character" w:customStyle="1" w:styleId="Titre7Car">
    <w:name w:val="Titre 7 Car"/>
    <w:link w:val="Titre7"/>
    <w:rsid w:val="004B4476"/>
    <w:rPr>
      <w:lang w:val="fr-CA" w:eastAsia="en-US"/>
    </w:rPr>
  </w:style>
  <w:style w:type="character" w:customStyle="1" w:styleId="Titre8Car">
    <w:name w:val="Titre 8 Car"/>
    <w:link w:val="Titre8"/>
    <w:rsid w:val="004B4476"/>
    <w:rPr>
      <w:lang w:val="fr-CA" w:eastAsia="en-US"/>
    </w:rPr>
  </w:style>
  <w:style w:type="character" w:customStyle="1" w:styleId="Titre9Car">
    <w:name w:val="Titre 9 Car"/>
    <w:link w:val="Titre9"/>
    <w:rsid w:val="004B4476"/>
    <w:rPr>
      <w:lang w:val="fr-CA" w:eastAsia="en-US"/>
    </w:rPr>
  </w:style>
  <w:style w:type="paragraph" w:styleId="Textedebulles">
    <w:name w:val="Balloon Text"/>
    <w:basedOn w:val="Normal"/>
    <w:link w:val="TextedebullesCar"/>
    <w:rsid w:val="00FC326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C326D"/>
    <w:rPr>
      <w:rFonts w:ascii="Tahoma" w:hAnsi="Tahoma" w:cs="Tahoma"/>
      <w:sz w:val="16"/>
      <w:szCs w:val="16"/>
      <w:lang w:val="fr-CA" w:eastAsia="en-US"/>
    </w:rPr>
  </w:style>
  <w:style w:type="paragraph" w:customStyle="1" w:styleId="HMG">
    <w:name w:val="_ H __M_G"/>
    <w:basedOn w:val="Normal"/>
    <w:next w:val="Normal"/>
    <w:autoRedefine/>
    <w:rsid w:val="006066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066A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066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066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066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066AF"/>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6066AF"/>
    <w:pPr>
      <w:keepNext/>
      <w:keepLines/>
      <w:spacing w:before="240" w:after="240" w:line="580" w:lineRule="exact"/>
      <w:ind w:left="1134" w:right="1134"/>
    </w:pPr>
    <w:rPr>
      <w:b/>
      <w:sz w:val="56"/>
    </w:rPr>
  </w:style>
  <w:style w:type="paragraph" w:customStyle="1" w:styleId="SMG">
    <w:name w:val="__S_M_G"/>
    <w:basedOn w:val="Normal"/>
    <w:next w:val="Normal"/>
    <w:rsid w:val="006066AF"/>
    <w:pPr>
      <w:keepNext/>
      <w:keepLines/>
      <w:spacing w:before="240" w:after="240" w:line="420" w:lineRule="exact"/>
      <w:ind w:left="1134" w:right="1134"/>
    </w:pPr>
    <w:rPr>
      <w:b/>
      <w:sz w:val="40"/>
    </w:rPr>
  </w:style>
  <w:style w:type="paragraph" w:customStyle="1" w:styleId="SSG">
    <w:name w:val="__S_S_G"/>
    <w:basedOn w:val="Normal"/>
    <w:next w:val="Normal"/>
    <w:rsid w:val="006066AF"/>
    <w:pPr>
      <w:keepNext/>
      <w:keepLines/>
      <w:spacing w:before="240" w:after="240" w:line="300" w:lineRule="exact"/>
      <w:ind w:left="1134" w:right="1134"/>
    </w:pPr>
    <w:rPr>
      <w:b/>
      <w:sz w:val="28"/>
    </w:rPr>
  </w:style>
  <w:style w:type="paragraph" w:customStyle="1" w:styleId="XLargeG">
    <w:name w:val="__XLarge_G"/>
    <w:basedOn w:val="Normal"/>
    <w:next w:val="Normal"/>
    <w:rsid w:val="006066AF"/>
    <w:pPr>
      <w:keepNext/>
      <w:keepLines/>
      <w:spacing w:before="240" w:after="240" w:line="420" w:lineRule="exact"/>
      <w:ind w:left="1134" w:right="1134"/>
    </w:pPr>
    <w:rPr>
      <w:b/>
      <w:sz w:val="40"/>
    </w:rPr>
  </w:style>
  <w:style w:type="paragraph" w:customStyle="1" w:styleId="Bullet1G">
    <w:name w:val="_Bullet 1_G"/>
    <w:basedOn w:val="Normal"/>
    <w:rsid w:val="006066AF"/>
    <w:pPr>
      <w:numPr>
        <w:numId w:val="1"/>
      </w:numPr>
      <w:spacing w:after="120"/>
      <w:ind w:right="1134"/>
      <w:jc w:val="both"/>
    </w:pPr>
  </w:style>
  <w:style w:type="paragraph" w:customStyle="1" w:styleId="Bullet2G">
    <w:name w:val="_Bullet 2_G"/>
    <w:basedOn w:val="Normal"/>
    <w:rsid w:val="006066AF"/>
    <w:pPr>
      <w:numPr>
        <w:numId w:val="2"/>
      </w:numPr>
      <w:spacing w:after="120"/>
      <w:ind w:right="1134"/>
      <w:jc w:val="both"/>
    </w:pPr>
  </w:style>
  <w:style w:type="character" w:styleId="Appelnotedebasdep">
    <w:name w:val="footnote reference"/>
    <w:aliases w:val="4_G"/>
    <w:basedOn w:val="Policepardfaut"/>
    <w:rsid w:val="006066AF"/>
    <w:rPr>
      <w:rFonts w:ascii="Times New Roman" w:hAnsi="Times New Roman"/>
      <w:sz w:val="18"/>
      <w:vertAlign w:val="superscript"/>
      <w:lang w:val="fr-CA"/>
    </w:rPr>
  </w:style>
  <w:style w:type="character" w:styleId="Appeldenotedefin">
    <w:name w:val="endnote reference"/>
    <w:aliases w:val="1_G"/>
    <w:basedOn w:val="Appelnotedebasdep"/>
    <w:rsid w:val="006066AF"/>
    <w:rPr>
      <w:rFonts w:ascii="Times New Roman" w:hAnsi="Times New Roman"/>
      <w:sz w:val="18"/>
      <w:vertAlign w:val="superscript"/>
      <w:lang w:val="fr-CA"/>
    </w:rPr>
  </w:style>
  <w:style w:type="paragraph" w:styleId="En-tte">
    <w:name w:val="header"/>
    <w:aliases w:val="6_G"/>
    <w:basedOn w:val="Normal"/>
    <w:next w:val="Normal"/>
    <w:link w:val="En-tteCar"/>
    <w:rsid w:val="006066AF"/>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C326D"/>
    <w:rPr>
      <w:b/>
      <w:sz w:val="18"/>
      <w:lang w:val="fr-CA" w:eastAsia="en-US"/>
    </w:rPr>
  </w:style>
  <w:style w:type="table" w:styleId="Grilledetableau1">
    <w:name w:val="Table Grid 1"/>
    <w:basedOn w:val="TableauNormal"/>
    <w:rsid w:val="006066A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6066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rsid w:val="006066AF"/>
    <w:rPr>
      <w:color w:val="auto"/>
      <w:u w:val="none"/>
    </w:rPr>
  </w:style>
  <w:style w:type="character" w:styleId="Lienhypertextesuivivisit">
    <w:name w:val="FollowedHyperlink"/>
    <w:basedOn w:val="Policepardfaut"/>
    <w:rsid w:val="006066AF"/>
    <w:rPr>
      <w:color w:val="auto"/>
      <w:u w:val="none"/>
    </w:rPr>
  </w:style>
  <w:style w:type="paragraph" w:styleId="Notedebasdepage">
    <w:name w:val="footnote text"/>
    <w:aliases w:val="5_G"/>
    <w:basedOn w:val="Normal"/>
    <w:link w:val="NotedebasdepageCar"/>
    <w:rsid w:val="006066A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C326D"/>
    <w:rPr>
      <w:sz w:val="18"/>
      <w:lang w:val="fr-CA" w:eastAsia="en-US"/>
    </w:rPr>
  </w:style>
  <w:style w:type="paragraph" w:styleId="Notedefin">
    <w:name w:val="endnote text"/>
    <w:aliases w:val="2_G"/>
    <w:basedOn w:val="Notedebasdepage"/>
    <w:link w:val="NotedefinCar"/>
    <w:rsid w:val="006066AF"/>
  </w:style>
  <w:style w:type="character" w:customStyle="1" w:styleId="NotedefinCar">
    <w:name w:val="Note de fin Car"/>
    <w:aliases w:val="2_G Car"/>
    <w:basedOn w:val="Policepardfaut"/>
    <w:link w:val="Notedefin"/>
    <w:rsid w:val="00FC326D"/>
    <w:rPr>
      <w:sz w:val="18"/>
      <w:lang w:val="fr-CA" w:eastAsia="en-US"/>
    </w:rPr>
  </w:style>
  <w:style w:type="character" w:styleId="Numrodepage">
    <w:name w:val="page number"/>
    <w:aliases w:val="7_G"/>
    <w:basedOn w:val="Policepardfaut"/>
    <w:rsid w:val="006066AF"/>
    <w:rPr>
      <w:rFonts w:ascii="Times New Roman" w:hAnsi="Times New Roman"/>
      <w:b/>
      <w:sz w:val="18"/>
      <w:lang w:val="fr-CH"/>
    </w:rPr>
  </w:style>
  <w:style w:type="paragraph" w:styleId="Pieddepage">
    <w:name w:val="footer"/>
    <w:aliases w:val="3_G"/>
    <w:basedOn w:val="Normal"/>
    <w:next w:val="Normal"/>
    <w:link w:val="PieddepageCar"/>
    <w:rsid w:val="006066AF"/>
    <w:pPr>
      <w:spacing w:line="240" w:lineRule="auto"/>
    </w:pPr>
    <w:rPr>
      <w:sz w:val="16"/>
    </w:rPr>
  </w:style>
  <w:style w:type="character" w:customStyle="1" w:styleId="PieddepageCar">
    <w:name w:val="Pied de page Car"/>
    <w:aliases w:val="3_G Car"/>
    <w:basedOn w:val="Policepardfaut"/>
    <w:link w:val="Pieddepage"/>
    <w:rsid w:val="00FC326D"/>
    <w:rPr>
      <w:sz w:val="16"/>
      <w:lang w:val="fr-CA" w:eastAsia="en-US"/>
    </w:rPr>
  </w:style>
  <w:style w:type="paragraph" w:customStyle="1" w:styleId="Source">
    <w:name w:val="Source"/>
    <w:basedOn w:val="SingleTxtG"/>
    <w:autoRedefine/>
    <w:qFormat/>
    <w:rsid w:val="006066AF"/>
    <w:pPr>
      <w:suppressAutoHyphens w:val="0"/>
      <w:spacing w:before="120" w:after="240" w:line="240" w:lineRule="auto"/>
      <w:ind w:firstLine="170"/>
      <w:jc w:val="left"/>
    </w:pPr>
    <w:rPr>
      <w:iCs/>
      <w:sz w:val="18"/>
      <w:szCs w:val="18"/>
      <w:lang w:eastAsia="es-ES"/>
    </w:rPr>
  </w:style>
  <w:style w:type="paragraph" w:styleId="Rvision">
    <w:name w:val="Revision"/>
    <w:hidden/>
    <w:uiPriority w:val="99"/>
    <w:semiHidden/>
    <w:rsid w:val="004B4476"/>
    <w:rPr>
      <w:rFonts w:ascii="Arial" w:hAnsi="Arial"/>
      <w:sz w:val="24"/>
      <w:szCs w:val="22"/>
      <w:lang w:val="en-GB" w:eastAsia="en-US"/>
    </w:rPr>
  </w:style>
  <w:style w:type="character" w:customStyle="1" w:styleId="SingleTxtGChar">
    <w:name w:val="_ Single Txt_G Char"/>
    <w:link w:val="SingleTxtG"/>
    <w:rsid w:val="0097714D"/>
    <w:rPr>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caption" w:semiHidden="1" w:uiPriority="35" w:unhideWhenUsed="1" w:qFormat="1"/>
    <w:lsdException w:name="footnote reference" w:qFormat="1"/>
    <w:lsdException w:name="annotation reference"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HTML Acronym"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6AF"/>
    <w:pPr>
      <w:suppressAutoHyphens/>
      <w:spacing w:line="240" w:lineRule="atLeast"/>
    </w:pPr>
    <w:rPr>
      <w:lang w:val="fr-CA" w:eastAsia="en-US"/>
    </w:rPr>
  </w:style>
  <w:style w:type="paragraph" w:styleId="Titre1">
    <w:name w:val="heading 1"/>
    <w:aliases w:val="Table_G"/>
    <w:basedOn w:val="SingleTxtG"/>
    <w:next w:val="SingleTxtG"/>
    <w:link w:val="Titre1Car"/>
    <w:qFormat/>
    <w:rsid w:val="006066AF"/>
    <w:pPr>
      <w:keepNext/>
      <w:keepLines/>
      <w:spacing w:after="0" w:line="240" w:lineRule="auto"/>
      <w:ind w:right="0"/>
      <w:jc w:val="left"/>
      <w:outlineLvl w:val="0"/>
    </w:pPr>
  </w:style>
  <w:style w:type="paragraph" w:styleId="Titre2">
    <w:name w:val="heading 2"/>
    <w:basedOn w:val="Normal"/>
    <w:next w:val="Normal"/>
    <w:link w:val="Titre2Car"/>
    <w:qFormat/>
    <w:rsid w:val="006066AF"/>
    <w:pPr>
      <w:outlineLvl w:val="1"/>
    </w:pPr>
  </w:style>
  <w:style w:type="paragraph" w:styleId="Titre3">
    <w:name w:val="heading 3"/>
    <w:basedOn w:val="Normal"/>
    <w:next w:val="Normal"/>
    <w:link w:val="Titre3Car"/>
    <w:qFormat/>
    <w:rsid w:val="006066AF"/>
    <w:pPr>
      <w:outlineLvl w:val="2"/>
    </w:pPr>
  </w:style>
  <w:style w:type="paragraph" w:styleId="Titre4">
    <w:name w:val="heading 4"/>
    <w:basedOn w:val="Normal"/>
    <w:next w:val="Normal"/>
    <w:link w:val="Titre4Car"/>
    <w:qFormat/>
    <w:rsid w:val="006066AF"/>
    <w:pPr>
      <w:outlineLvl w:val="3"/>
    </w:pPr>
  </w:style>
  <w:style w:type="paragraph" w:styleId="Titre5">
    <w:name w:val="heading 5"/>
    <w:basedOn w:val="Normal"/>
    <w:next w:val="Normal"/>
    <w:link w:val="Titre5Car"/>
    <w:qFormat/>
    <w:rsid w:val="006066AF"/>
    <w:pPr>
      <w:outlineLvl w:val="4"/>
    </w:pPr>
  </w:style>
  <w:style w:type="paragraph" w:styleId="Titre6">
    <w:name w:val="heading 6"/>
    <w:basedOn w:val="Normal"/>
    <w:next w:val="Normal"/>
    <w:link w:val="Titre6Car"/>
    <w:qFormat/>
    <w:rsid w:val="006066AF"/>
    <w:pPr>
      <w:outlineLvl w:val="5"/>
    </w:pPr>
  </w:style>
  <w:style w:type="paragraph" w:styleId="Titre7">
    <w:name w:val="heading 7"/>
    <w:basedOn w:val="Normal"/>
    <w:next w:val="Normal"/>
    <w:link w:val="Titre7Car"/>
    <w:qFormat/>
    <w:rsid w:val="006066AF"/>
    <w:pPr>
      <w:outlineLvl w:val="6"/>
    </w:pPr>
  </w:style>
  <w:style w:type="paragraph" w:styleId="Titre8">
    <w:name w:val="heading 8"/>
    <w:basedOn w:val="Normal"/>
    <w:next w:val="Normal"/>
    <w:link w:val="Titre8Car"/>
    <w:qFormat/>
    <w:rsid w:val="006066AF"/>
    <w:pPr>
      <w:outlineLvl w:val="7"/>
    </w:pPr>
  </w:style>
  <w:style w:type="paragraph" w:styleId="Titre9">
    <w:name w:val="heading 9"/>
    <w:basedOn w:val="Normal"/>
    <w:next w:val="Normal"/>
    <w:link w:val="Titre9Car"/>
    <w:qFormat/>
    <w:rsid w:val="006066A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66AF"/>
    <w:pPr>
      <w:spacing w:after="120"/>
      <w:ind w:left="1134" w:right="1134"/>
      <w:jc w:val="both"/>
    </w:pPr>
  </w:style>
  <w:style w:type="character" w:customStyle="1" w:styleId="Titre1Car">
    <w:name w:val="Titre 1 Car"/>
    <w:aliases w:val="Table_G Car"/>
    <w:link w:val="Titre1"/>
    <w:rsid w:val="004B4476"/>
    <w:rPr>
      <w:lang w:val="fr-CA" w:eastAsia="en-US"/>
    </w:rPr>
  </w:style>
  <w:style w:type="character" w:customStyle="1" w:styleId="Titre2Car">
    <w:name w:val="Titre 2 Car"/>
    <w:link w:val="Titre2"/>
    <w:rsid w:val="004B4476"/>
    <w:rPr>
      <w:lang w:val="fr-CA" w:eastAsia="en-US"/>
    </w:rPr>
  </w:style>
  <w:style w:type="character" w:customStyle="1" w:styleId="Titre3Car">
    <w:name w:val="Titre 3 Car"/>
    <w:link w:val="Titre3"/>
    <w:rsid w:val="004B4476"/>
    <w:rPr>
      <w:lang w:val="fr-CA" w:eastAsia="en-US"/>
    </w:rPr>
  </w:style>
  <w:style w:type="character" w:customStyle="1" w:styleId="Titre4Car">
    <w:name w:val="Titre 4 Car"/>
    <w:link w:val="Titre4"/>
    <w:rsid w:val="004B4476"/>
    <w:rPr>
      <w:lang w:val="fr-CA" w:eastAsia="en-US"/>
    </w:rPr>
  </w:style>
  <w:style w:type="character" w:customStyle="1" w:styleId="Titre5Car">
    <w:name w:val="Titre 5 Car"/>
    <w:link w:val="Titre5"/>
    <w:rsid w:val="004B4476"/>
    <w:rPr>
      <w:lang w:val="fr-CA" w:eastAsia="en-US"/>
    </w:rPr>
  </w:style>
  <w:style w:type="character" w:customStyle="1" w:styleId="Titre6Car">
    <w:name w:val="Titre 6 Car"/>
    <w:link w:val="Titre6"/>
    <w:rsid w:val="004B4476"/>
    <w:rPr>
      <w:lang w:val="fr-CA" w:eastAsia="en-US"/>
    </w:rPr>
  </w:style>
  <w:style w:type="character" w:customStyle="1" w:styleId="Titre7Car">
    <w:name w:val="Titre 7 Car"/>
    <w:link w:val="Titre7"/>
    <w:rsid w:val="004B4476"/>
    <w:rPr>
      <w:lang w:val="fr-CA" w:eastAsia="en-US"/>
    </w:rPr>
  </w:style>
  <w:style w:type="character" w:customStyle="1" w:styleId="Titre8Car">
    <w:name w:val="Titre 8 Car"/>
    <w:link w:val="Titre8"/>
    <w:rsid w:val="004B4476"/>
    <w:rPr>
      <w:lang w:val="fr-CA" w:eastAsia="en-US"/>
    </w:rPr>
  </w:style>
  <w:style w:type="character" w:customStyle="1" w:styleId="Titre9Car">
    <w:name w:val="Titre 9 Car"/>
    <w:link w:val="Titre9"/>
    <w:rsid w:val="004B4476"/>
    <w:rPr>
      <w:lang w:val="fr-CA" w:eastAsia="en-US"/>
    </w:rPr>
  </w:style>
  <w:style w:type="paragraph" w:styleId="Textedebulles">
    <w:name w:val="Balloon Text"/>
    <w:basedOn w:val="Normal"/>
    <w:link w:val="TextedebullesCar"/>
    <w:rsid w:val="00FC326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C326D"/>
    <w:rPr>
      <w:rFonts w:ascii="Tahoma" w:hAnsi="Tahoma" w:cs="Tahoma"/>
      <w:sz w:val="16"/>
      <w:szCs w:val="16"/>
      <w:lang w:val="fr-CA" w:eastAsia="en-US"/>
    </w:rPr>
  </w:style>
  <w:style w:type="paragraph" w:customStyle="1" w:styleId="HMG">
    <w:name w:val="_ H __M_G"/>
    <w:basedOn w:val="Normal"/>
    <w:next w:val="Normal"/>
    <w:autoRedefine/>
    <w:rsid w:val="006066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066A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066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066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066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066AF"/>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6066AF"/>
    <w:pPr>
      <w:keepNext/>
      <w:keepLines/>
      <w:spacing w:before="240" w:after="240" w:line="580" w:lineRule="exact"/>
      <w:ind w:left="1134" w:right="1134"/>
    </w:pPr>
    <w:rPr>
      <w:b/>
      <w:sz w:val="56"/>
    </w:rPr>
  </w:style>
  <w:style w:type="paragraph" w:customStyle="1" w:styleId="SMG">
    <w:name w:val="__S_M_G"/>
    <w:basedOn w:val="Normal"/>
    <w:next w:val="Normal"/>
    <w:rsid w:val="006066AF"/>
    <w:pPr>
      <w:keepNext/>
      <w:keepLines/>
      <w:spacing w:before="240" w:after="240" w:line="420" w:lineRule="exact"/>
      <w:ind w:left="1134" w:right="1134"/>
    </w:pPr>
    <w:rPr>
      <w:b/>
      <w:sz w:val="40"/>
    </w:rPr>
  </w:style>
  <w:style w:type="paragraph" w:customStyle="1" w:styleId="SSG">
    <w:name w:val="__S_S_G"/>
    <w:basedOn w:val="Normal"/>
    <w:next w:val="Normal"/>
    <w:rsid w:val="006066AF"/>
    <w:pPr>
      <w:keepNext/>
      <w:keepLines/>
      <w:spacing w:before="240" w:after="240" w:line="300" w:lineRule="exact"/>
      <w:ind w:left="1134" w:right="1134"/>
    </w:pPr>
    <w:rPr>
      <w:b/>
      <w:sz w:val="28"/>
    </w:rPr>
  </w:style>
  <w:style w:type="paragraph" w:customStyle="1" w:styleId="XLargeG">
    <w:name w:val="__XLarge_G"/>
    <w:basedOn w:val="Normal"/>
    <w:next w:val="Normal"/>
    <w:rsid w:val="006066AF"/>
    <w:pPr>
      <w:keepNext/>
      <w:keepLines/>
      <w:spacing w:before="240" w:after="240" w:line="420" w:lineRule="exact"/>
      <w:ind w:left="1134" w:right="1134"/>
    </w:pPr>
    <w:rPr>
      <w:b/>
      <w:sz w:val="40"/>
    </w:rPr>
  </w:style>
  <w:style w:type="paragraph" w:customStyle="1" w:styleId="Bullet1G">
    <w:name w:val="_Bullet 1_G"/>
    <w:basedOn w:val="Normal"/>
    <w:rsid w:val="006066AF"/>
    <w:pPr>
      <w:numPr>
        <w:numId w:val="1"/>
      </w:numPr>
      <w:spacing w:after="120"/>
      <w:ind w:right="1134"/>
      <w:jc w:val="both"/>
    </w:pPr>
  </w:style>
  <w:style w:type="paragraph" w:customStyle="1" w:styleId="Bullet2G">
    <w:name w:val="_Bullet 2_G"/>
    <w:basedOn w:val="Normal"/>
    <w:rsid w:val="006066AF"/>
    <w:pPr>
      <w:numPr>
        <w:numId w:val="2"/>
      </w:numPr>
      <w:spacing w:after="120"/>
      <w:ind w:right="1134"/>
      <w:jc w:val="both"/>
    </w:pPr>
  </w:style>
  <w:style w:type="character" w:styleId="Appelnotedebasdep">
    <w:name w:val="footnote reference"/>
    <w:aliases w:val="4_G"/>
    <w:basedOn w:val="Policepardfaut"/>
    <w:rsid w:val="006066AF"/>
    <w:rPr>
      <w:rFonts w:ascii="Times New Roman" w:hAnsi="Times New Roman"/>
      <w:sz w:val="18"/>
      <w:vertAlign w:val="superscript"/>
      <w:lang w:val="fr-CA"/>
    </w:rPr>
  </w:style>
  <w:style w:type="character" w:styleId="Appeldenotedefin">
    <w:name w:val="endnote reference"/>
    <w:aliases w:val="1_G"/>
    <w:basedOn w:val="Appelnotedebasdep"/>
    <w:rsid w:val="006066AF"/>
    <w:rPr>
      <w:rFonts w:ascii="Times New Roman" w:hAnsi="Times New Roman"/>
      <w:sz w:val="18"/>
      <w:vertAlign w:val="superscript"/>
      <w:lang w:val="fr-CA"/>
    </w:rPr>
  </w:style>
  <w:style w:type="paragraph" w:styleId="En-tte">
    <w:name w:val="header"/>
    <w:aliases w:val="6_G"/>
    <w:basedOn w:val="Normal"/>
    <w:next w:val="Normal"/>
    <w:link w:val="En-tteCar"/>
    <w:rsid w:val="006066AF"/>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C326D"/>
    <w:rPr>
      <w:b/>
      <w:sz w:val="18"/>
      <w:lang w:val="fr-CA" w:eastAsia="en-US"/>
    </w:rPr>
  </w:style>
  <w:style w:type="table" w:styleId="Grilledetableau1">
    <w:name w:val="Table Grid 1"/>
    <w:basedOn w:val="TableauNormal"/>
    <w:rsid w:val="006066A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6066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rsid w:val="006066AF"/>
    <w:rPr>
      <w:color w:val="auto"/>
      <w:u w:val="none"/>
    </w:rPr>
  </w:style>
  <w:style w:type="character" w:styleId="Lienhypertextesuivivisit">
    <w:name w:val="FollowedHyperlink"/>
    <w:basedOn w:val="Policepardfaut"/>
    <w:rsid w:val="006066AF"/>
    <w:rPr>
      <w:color w:val="auto"/>
      <w:u w:val="none"/>
    </w:rPr>
  </w:style>
  <w:style w:type="paragraph" w:styleId="Notedebasdepage">
    <w:name w:val="footnote text"/>
    <w:aliases w:val="5_G"/>
    <w:basedOn w:val="Normal"/>
    <w:link w:val="NotedebasdepageCar"/>
    <w:rsid w:val="006066A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C326D"/>
    <w:rPr>
      <w:sz w:val="18"/>
      <w:lang w:val="fr-CA" w:eastAsia="en-US"/>
    </w:rPr>
  </w:style>
  <w:style w:type="paragraph" w:styleId="Notedefin">
    <w:name w:val="endnote text"/>
    <w:aliases w:val="2_G"/>
    <w:basedOn w:val="Notedebasdepage"/>
    <w:link w:val="NotedefinCar"/>
    <w:rsid w:val="006066AF"/>
  </w:style>
  <w:style w:type="character" w:customStyle="1" w:styleId="NotedefinCar">
    <w:name w:val="Note de fin Car"/>
    <w:aliases w:val="2_G Car"/>
    <w:basedOn w:val="Policepardfaut"/>
    <w:link w:val="Notedefin"/>
    <w:rsid w:val="00FC326D"/>
    <w:rPr>
      <w:sz w:val="18"/>
      <w:lang w:val="fr-CA" w:eastAsia="en-US"/>
    </w:rPr>
  </w:style>
  <w:style w:type="character" w:styleId="Numrodepage">
    <w:name w:val="page number"/>
    <w:aliases w:val="7_G"/>
    <w:basedOn w:val="Policepardfaut"/>
    <w:rsid w:val="006066AF"/>
    <w:rPr>
      <w:rFonts w:ascii="Times New Roman" w:hAnsi="Times New Roman"/>
      <w:b/>
      <w:sz w:val="18"/>
      <w:lang w:val="fr-CH"/>
    </w:rPr>
  </w:style>
  <w:style w:type="paragraph" w:styleId="Pieddepage">
    <w:name w:val="footer"/>
    <w:aliases w:val="3_G"/>
    <w:basedOn w:val="Normal"/>
    <w:next w:val="Normal"/>
    <w:link w:val="PieddepageCar"/>
    <w:rsid w:val="006066AF"/>
    <w:pPr>
      <w:spacing w:line="240" w:lineRule="auto"/>
    </w:pPr>
    <w:rPr>
      <w:sz w:val="16"/>
    </w:rPr>
  </w:style>
  <w:style w:type="character" w:customStyle="1" w:styleId="PieddepageCar">
    <w:name w:val="Pied de page Car"/>
    <w:aliases w:val="3_G Car"/>
    <w:basedOn w:val="Policepardfaut"/>
    <w:link w:val="Pieddepage"/>
    <w:rsid w:val="00FC326D"/>
    <w:rPr>
      <w:sz w:val="16"/>
      <w:lang w:val="fr-CA" w:eastAsia="en-US"/>
    </w:rPr>
  </w:style>
  <w:style w:type="paragraph" w:customStyle="1" w:styleId="Source">
    <w:name w:val="Source"/>
    <w:basedOn w:val="SingleTxtG"/>
    <w:autoRedefine/>
    <w:qFormat/>
    <w:rsid w:val="006066AF"/>
    <w:pPr>
      <w:suppressAutoHyphens w:val="0"/>
      <w:spacing w:before="120" w:after="240" w:line="240" w:lineRule="auto"/>
      <w:ind w:firstLine="170"/>
      <w:jc w:val="left"/>
    </w:pPr>
    <w:rPr>
      <w:iCs/>
      <w:sz w:val="18"/>
      <w:szCs w:val="18"/>
      <w:lang w:eastAsia="es-ES"/>
    </w:rPr>
  </w:style>
  <w:style w:type="paragraph" w:styleId="Rvision">
    <w:name w:val="Revision"/>
    <w:hidden/>
    <w:uiPriority w:val="99"/>
    <w:semiHidden/>
    <w:rsid w:val="004B4476"/>
    <w:rPr>
      <w:rFonts w:ascii="Arial" w:hAnsi="Arial"/>
      <w:sz w:val="24"/>
      <w:szCs w:val="22"/>
      <w:lang w:val="en-GB" w:eastAsia="en-US"/>
    </w:rPr>
  </w:style>
  <w:style w:type="character" w:customStyle="1" w:styleId="SingleTxtGChar">
    <w:name w:val="_ Single Txt_G Char"/>
    <w:link w:val="SingleTxtG"/>
    <w:rsid w:val="0097714D"/>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78127">
      <w:bodyDiv w:val="1"/>
      <w:marLeft w:val="0"/>
      <w:marRight w:val="0"/>
      <w:marTop w:val="0"/>
      <w:marBottom w:val="0"/>
      <w:divBdr>
        <w:top w:val="none" w:sz="0" w:space="0" w:color="auto"/>
        <w:left w:val="none" w:sz="0" w:space="0" w:color="auto"/>
        <w:bottom w:val="none" w:sz="0" w:space="0" w:color="auto"/>
        <w:right w:val="none" w:sz="0" w:space="0" w:color="auto"/>
      </w:divBdr>
    </w:div>
    <w:div w:id="21393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7C09-BFC8-49E7-AD99-4B445C46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27691</Words>
  <Characters>152301</Characters>
  <Application>Microsoft Office Word</Application>
  <DocSecurity>0</DocSecurity>
  <Lines>1269</Lines>
  <Paragraphs>359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CERD/C/KWT/21-24</vt:lpstr>
      <vt:lpstr>CERD/C/KWT/21-24</vt:lpstr>
    </vt:vector>
  </TitlesOfParts>
  <LinksUpToDate>false</LinksUpToDate>
  <CharactersWithSpaces>179633</CharactersWithSpaces>
  <SharedDoc>false</SharedDoc>
  <HLinks>
    <vt:vector size="156" baseType="variant">
      <vt:variant>
        <vt:i4>2949231</vt:i4>
      </vt:variant>
      <vt:variant>
        <vt:i4>75</vt:i4>
      </vt:variant>
      <vt:variant>
        <vt:i4>0</vt:i4>
      </vt:variant>
      <vt:variant>
        <vt:i4>5</vt:i4>
      </vt:variant>
      <vt:variant>
        <vt:lpwstr>https://www.gov.uk/government/news/prime-minister-pledges-prominent-holocaust-memorial-for-britain</vt:lpwstr>
      </vt:variant>
      <vt:variant>
        <vt:lpwstr/>
      </vt:variant>
      <vt:variant>
        <vt:i4>4259956</vt:i4>
      </vt:variant>
      <vt:variant>
        <vt:i4>72</vt:i4>
      </vt:variant>
      <vt:variant>
        <vt:i4>0</vt:i4>
      </vt:variant>
      <vt:variant>
        <vt:i4>5</vt:i4>
      </vt:variant>
      <vt:variant>
        <vt:lpwstr>https://www.gov.uk/government/uploads/system/uploads/attachment_data/file/398645/Holocaust_Commission_Report_Britains_promise_to_remember.pdf</vt:lpwstr>
      </vt:variant>
      <vt:variant>
        <vt:lpwstr/>
      </vt:variant>
      <vt:variant>
        <vt:i4>3080319</vt:i4>
      </vt:variant>
      <vt:variant>
        <vt:i4>69</vt:i4>
      </vt:variant>
      <vt:variant>
        <vt:i4>0</vt:i4>
      </vt:variant>
      <vt:variant>
        <vt:i4>5</vt:i4>
      </vt:variant>
      <vt:variant>
        <vt:lpwstr>https://www.gov.uk/government/publications/equality-act-2010-advice-for-schools</vt:lpwstr>
      </vt:variant>
      <vt:variant>
        <vt:lpwstr/>
      </vt:variant>
      <vt:variant>
        <vt:i4>3080245</vt:i4>
      </vt:variant>
      <vt:variant>
        <vt:i4>66</vt:i4>
      </vt:variant>
      <vt:variant>
        <vt:i4>0</vt:i4>
      </vt:variant>
      <vt:variant>
        <vt:i4>5</vt:i4>
      </vt:variant>
      <vt:variant>
        <vt:lpwstr>https://www.gov.uk/government/uploads/system/uploads/attachment_data/file/281250/Closing_the_gap_V2_-_17_Feb_2014.pdf</vt:lpwstr>
      </vt:variant>
      <vt:variant>
        <vt:lpwstr/>
      </vt:variant>
      <vt:variant>
        <vt:i4>5963792</vt:i4>
      </vt:variant>
      <vt:variant>
        <vt:i4>63</vt:i4>
      </vt:variant>
      <vt:variant>
        <vt:i4>0</vt:i4>
      </vt:variant>
      <vt:variant>
        <vt:i4>5</vt:i4>
      </vt:variant>
      <vt:variant>
        <vt:lpwstr>http://www.cqc.org.uk/content/mental-health-act-annual-report-201213</vt:lpwstr>
      </vt:variant>
      <vt:variant>
        <vt:lpwstr/>
      </vt:variant>
      <vt:variant>
        <vt:i4>3276901</vt:i4>
      </vt:variant>
      <vt:variant>
        <vt:i4>60</vt:i4>
      </vt:variant>
      <vt:variant>
        <vt:i4>0</vt:i4>
      </vt:variant>
      <vt:variant>
        <vt:i4>5</vt:i4>
      </vt:variant>
      <vt:variant>
        <vt:lpwstr>http://wales.gov.uk/consultations/healthsocialcare/travelling/?lang=en</vt:lpwstr>
      </vt:variant>
      <vt:variant>
        <vt:lpwstr/>
      </vt:variant>
      <vt:variant>
        <vt:i4>7209074</vt:i4>
      </vt:variant>
      <vt:variant>
        <vt:i4>57</vt:i4>
      </vt:variant>
      <vt:variant>
        <vt:i4>0</vt:i4>
      </vt:variant>
      <vt:variant>
        <vt:i4>5</vt:i4>
      </vt:variant>
      <vt:variant>
        <vt:lpwstr>https://www.gov.uk/government/statistics/traveller-caravan-count-july-2014</vt:lpwstr>
      </vt:variant>
      <vt:variant>
        <vt:lpwstr/>
      </vt:variant>
      <vt:variant>
        <vt:i4>8126589</vt:i4>
      </vt:variant>
      <vt:variant>
        <vt:i4>54</vt:i4>
      </vt:variant>
      <vt:variant>
        <vt:i4>0</vt:i4>
      </vt:variant>
      <vt:variant>
        <vt:i4>5</vt:i4>
      </vt:variant>
      <vt:variant>
        <vt:lpwstr>http://www.ons.gov.uk/ons/rel/census/2011-census-analysis/what-does-the-2011-census-tell-us-about-the-characteristics-of-gypsy-or-irish-travellers-in-england-and-wales-/rpt-characteristics-of-gypsy-or-irish-travellers.html</vt:lpwstr>
      </vt:variant>
      <vt:variant>
        <vt:lpwstr/>
      </vt:variant>
      <vt:variant>
        <vt:i4>1900612</vt:i4>
      </vt:variant>
      <vt:variant>
        <vt:i4>51</vt:i4>
      </vt:variant>
      <vt:variant>
        <vt:i4>0</vt:i4>
      </vt:variant>
      <vt:variant>
        <vt:i4>5</vt:i4>
      </vt:variant>
      <vt:variant>
        <vt:lpwstr>http://discover.ukdataservice.ac.uk/catalogue/?sn=7252&amp;type=Data%20catalogue</vt:lpwstr>
      </vt:variant>
      <vt:variant>
        <vt:lpwstr/>
      </vt:variant>
      <vt:variant>
        <vt:i4>3473415</vt:i4>
      </vt:variant>
      <vt:variant>
        <vt:i4>48</vt:i4>
      </vt:variant>
      <vt:variant>
        <vt:i4>0</vt:i4>
      </vt:variant>
      <vt:variant>
        <vt:i4>5</vt:i4>
      </vt:variant>
      <vt:variant>
        <vt:lpwstr>http://www.ipcc.gov.uk/sites/default/files/Documents/research_stats/complaints_statistics_11-12.pdf</vt:lpwstr>
      </vt:variant>
      <vt:variant>
        <vt:lpwstr/>
      </vt:variant>
      <vt:variant>
        <vt:i4>3473415</vt:i4>
      </vt:variant>
      <vt:variant>
        <vt:i4>45</vt:i4>
      </vt:variant>
      <vt:variant>
        <vt:i4>0</vt:i4>
      </vt:variant>
      <vt:variant>
        <vt:i4>5</vt:i4>
      </vt:variant>
      <vt:variant>
        <vt:lpwstr>http://www.ipcc.gov.uk/sites/default/files/Documents/research_stats/complaints_statistics_11-12.pdf</vt:lpwstr>
      </vt:variant>
      <vt:variant>
        <vt:lpwstr/>
      </vt:variant>
      <vt:variant>
        <vt:i4>3473415</vt:i4>
      </vt:variant>
      <vt:variant>
        <vt:i4>42</vt:i4>
      </vt:variant>
      <vt:variant>
        <vt:i4>0</vt:i4>
      </vt:variant>
      <vt:variant>
        <vt:i4>5</vt:i4>
      </vt:variant>
      <vt:variant>
        <vt:lpwstr>http://www.ipcc.gov.uk/sites/default/files/Documents/research_stats/complaints_statistics_11-12.pdf</vt:lpwstr>
      </vt:variant>
      <vt:variant>
        <vt:lpwstr/>
      </vt:variant>
      <vt:variant>
        <vt:i4>3473415</vt:i4>
      </vt:variant>
      <vt:variant>
        <vt:i4>39</vt:i4>
      </vt:variant>
      <vt:variant>
        <vt:i4>0</vt:i4>
      </vt:variant>
      <vt:variant>
        <vt:i4>5</vt:i4>
      </vt:variant>
      <vt:variant>
        <vt:lpwstr>http://www.ipcc.gov.uk/sites/default/files/Documents/research_stats/complaints_statistics_11-12.pdf</vt:lpwstr>
      </vt:variant>
      <vt:variant>
        <vt:lpwstr/>
      </vt:variant>
      <vt:variant>
        <vt:i4>4259869</vt:i4>
      </vt:variant>
      <vt:variant>
        <vt:i4>36</vt:i4>
      </vt:variant>
      <vt:variant>
        <vt:i4>0</vt:i4>
      </vt:variant>
      <vt:variant>
        <vt:i4>5</vt:i4>
      </vt:variant>
      <vt:variant>
        <vt:lpwstr>https://www.gov.uk/government/publications/police-workforce-england-and-wales-31-march-2014/police-workforce-england-and-wales-31-march-2014</vt:lpwstr>
      </vt:variant>
      <vt:variant>
        <vt:lpwstr/>
      </vt:variant>
      <vt:variant>
        <vt:i4>5963788</vt:i4>
      </vt:variant>
      <vt:variant>
        <vt:i4>33</vt:i4>
      </vt:variant>
      <vt:variant>
        <vt:i4>0</vt:i4>
      </vt:variant>
      <vt:variant>
        <vt:i4>5</vt:i4>
      </vt:variant>
      <vt:variant>
        <vt:lpwstr>https://www.gov.uk/government/publications/government-action-on-antisemitism</vt:lpwstr>
      </vt:variant>
      <vt:variant>
        <vt:lpwstr/>
      </vt:variant>
      <vt:variant>
        <vt:i4>7864368</vt:i4>
      </vt:variant>
      <vt:variant>
        <vt:i4>30</vt:i4>
      </vt:variant>
      <vt:variant>
        <vt:i4>0</vt:i4>
      </vt:variant>
      <vt:variant>
        <vt:i4>5</vt:i4>
      </vt:variant>
      <vt:variant>
        <vt:lpwstr>http://wales.gov.uk/topics/equality/rightsequality/hate-crime/?lang=en</vt:lpwstr>
      </vt:variant>
      <vt:variant>
        <vt:lpwstr/>
      </vt:variant>
      <vt:variant>
        <vt:i4>3211322</vt:i4>
      </vt:variant>
      <vt:variant>
        <vt:i4>27</vt:i4>
      </vt:variant>
      <vt:variant>
        <vt:i4>0</vt:i4>
      </vt:variant>
      <vt:variant>
        <vt:i4>5</vt:i4>
      </vt:variant>
      <vt:variant>
        <vt:lpwstr>https://www.gov.uk/government/statistics/hate-crimes-england-and-wales-2013-to-2014</vt:lpwstr>
      </vt:variant>
      <vt:variant>
        <vt:lpwstr/>
      </vt:variant>
      <vt:variant>
        <vt:i4>3211371</vt:i4>
      </vt:variant>
      <vt:variant>
        <vt:i4>24</vt:i4>
      </vt:variant>
      <vt:variant>
        <vt:i4>0</vt:i4>
      </vt:variant>
      <vt:variant>
        <vt:i4>5</vt:i4>
      </vt:variant>
      <vt:variant>
        <vt:lpwstr>https://www.gov.uk//government/publications/an-overview-of-hate-crime-in-england-and-wales</vt:lpwstr>
      </vt:variant>
      <vt:variant>
        <vt:lpwstr/>
      </vt:variant>
      <vt:variant>
        <vt:i4>5242973</vt:i4>
      </vt:variant>
      <vt:variant>
        <vt:i4>21</vt:i4>
      </vt:variant>
      <vt:variant>
        <vt:i4>0</vt:i4>
      </vt:variant>
      <vt:variant>
        <vt:i4>5</vt:i4>
      </vt:variant>
      <vt:variant>
        <vt:lpwstr>http://www.report-it.org.uk/strategy_and_guidance</vt:lpwstr>
      </vt:variant>
      <vt:variant>
        <vt:lpwstr/>
      </vt:variant>
      <vt:variant>
        <vt:i4>5963829</vt:i4>
      </vt:variant>
      <vt:variant>
        <vt:i4>18</vt:i4>
      </vt:variant>
      <vt:variant>
        <vt:i4>0</vt:i4>
      </vt:variant>
      <vt:variant>
        <vt:i4>5</vt:i4>
      </vt:variant>
      <vt:variant>
        <vt:lpwstr>https://www.gov.uk/government/uploads/system/uploads/attachment_data/file/307624/ HateCrimeActionPlanProgressReport.pdf</vt:lpwstr>
      </vt:variant>
      <vt:variant>
        <vt:lpwstr/>
      </vt:variant>
      <vt:variant>
        <vt:i4>7077922</vt:i4>
      </vt:variant>
      <vt:variant>
        <vt:i4>15</vt:i4>
      </vt:variant>
      <vt:variant>
        <vt:i4>0</vt:i4>
      </vt:variant>
      <vt:variant>
        <vt:i4>5</vt:i4>
      </vt:variant>
      <vt:variant>
        <vt:lpwstr>http://diversity.pact.co.uk/resources/document-library/c4-cumberbatch-pilot-study/</vt:lpwstr>
      </vt:variant>
      <vt:variant>
        <vt:lpwstr/>
      </vt:variant>
      <vt:variant>
        <vt:i4>1703945</vt:i4>
      </vt:variant>
      <vt:variant>
        <vt:i4>12</vt:i4>
      </vt:variant>
      <vt:variant>
        <vt:i4>0</vt:i4>
      </vt:variant>
      <vt:variant>
        <vt:i4>5</vt:i4>
      </vt:variant>
      <vt:variant>
        <vt:lpwstr>http://www.scotland.gov.uk/Publications/2013/12/4581</vt:lpwstr>
      </vt:variant>
      <vt:variant>
        <vt:lpwstr/>
      </vt:variant>
      <vt:variant>
        <vt:i4>589839</vt:i4>
      </vt:variant>
      <vt:variant>
        <vt:i4>9</vt:i4>
      </vt:variant>
      <vt:variant>
        <vt:i4>0</vt:i4>
      </vt:variant>
      <vt:variant>
        <vt:i4>5</vt:i4>
      </vt:variant>
      <vt:variant>
        <vt:lpwstr>http://www.scotland.gov.uk/Topics/People</vt:lpwstr>
      </vt:variant>
      <vt:variant>
        <vt:lpwstr/>
      </vt:variant>
      <vt:variant>
        <vt:i4>7143531</vt:i4>
      </vt:variant>
      <vt:variant>
        <vt:i4>6</vt:i4>
      </vt:variant>
      <vt:variant>
        <vt:i4>0</vt:i4>
      </vt:variant>
      <vt:variant>
        <vt:i4>5</vt:i4>
      </vt:variant>
      <vt:variant>
        <vt:lpwstr>https://www.gov.uk/government/publications/government-response-to-the-riots-communities-and-victims-panels-final-report</vt:lpwstr>
      </vt:variant>
      <vt:variant>
        <vt:lpwstr/>
      </vt:variant>
      <vt:variant>
        <vt:i4>7209000</vt:i4>
      </vt:variant>
      <vt:variant>
        <vt:i4>3</vt:i4>
      </vt:variant>
      <vt:variant>
        <vt:i4>0</vt:i4>
      </vt:variant>
      <vt:variant>
        <vt:i4>5</vt:i4>
      </vt:variant>
      <vt:variant>
        <vt:lpwstr>http://webarchive.nationalarchives.gov.uk/20121003195935/http://riotspanel.independent.gov.uk/wp-content/uploads/2012/03/Riots-Panel-Final-Report1.pdf</vt:lpwstr>
      </vt:variant>
      <vt:variant>
        <vt:lpwstr/>
      </vt:variant>
      <vt:variant>
        <vt:i4>3211360</vt:i4>
      </vt:variant>
      <vt:variant>
        <vt:i4>0</vt:i4>
      </vt:variant>
      <vt:variant>
        <vt:i4>0</vt:i4>
      </vt:variant>
      <vt:variant>
        <vt:i4>5</vt:i4>
      </vt:variant>
      <vt:variant>
        <vt:lpwstr>http://www.parliament.uk/documents/commons-vote-office/December 2014/18 December/5.DCLG-Integration-update.pdf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CERD/C/KWT/21-24</dc:title>
  <dc:creator/>
  <cp:lastModifiedBy/>
  <cp:revision>1</cp:revision>
  <dcterms:created xsi:type="dcterms:W3CDTF">2016-12-28T14:45:00Z</dcterms:created>
  <dcterms:modified xsi:type="dcterms:W3CDTF">2016-12-28T14:45:00Z</dcterms:modified>
</cp:coreProperties>
</file>