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87B2A" w:rsidRPr="00952166">
        <w:trPr>
          <w:cantSplit/>
          <w:trHeight w:hRule="exact" w:val="851"/>
        </w:trPr>
        <w:tc>
          <w:tcPr>
            <w:tcW w:w="1276" w:type="dxa"/>
            <w:tcBorders>
              <w:bottom w:val="single" w:sz="4" w:space="0" w:color="auto"/>
            </w:tcBorders>
            <w:vAlign w:val="bottom"/>
          </w:tcPr>
          <w:p w:rsidR="00087B2A" w:rsidRPr="00952166" w:rsidRDefault="00087B2A" w:rsidP="00087B2A">
            <w:pPr>
              <w:pStyle w:val="SingleTxtG"/>
              <w:jc w:val="left"/>
              <w:rPr>
                <w:lang w:val="en-GB"/>
              </w:rPr>
            </w:pPr>
          </w:p>
        </w:tc>
        <w:tc>
          <w:tcPr>
            <w:tcW w:w="2268" w:type="dxa"/>
            <w:tcBorders>
              <w:bottom w:val="single" w:sz="4" w:space="0" w:color="auto"/>
            </w:tcBorders>
            <w:vAlign w:val="bottom"/>
          </w:tcPr>
          <w:p w:rsidR="00087B2A" w:rsidRPr="00952166" w:rsidRDefault="00442D64" w:rsidP="00087B2A">
            <w:pPr>
              <w:spacing w:after="80" w:line="300" w:lineRule="exact"/>
              <w:rPr>
                <w:b/>
                <w:sz w:val="24"/>
                <w:szCs w:val="24"/>
              </w:rPr>
            </w:pPr>
            <w:r w:rsidRPr="00952166">
              <w:rPr>
                <w:sz w:val="28"/>
                <w:szCs w:val="28"/>
              </w:rPr>
              <w:t>United Nations</w:t>
            </w:r>
          </w:p>
        </w:tc>
        <w:tc>
          <w:tcPr>
            <w:tcW w:w="6095" w:type="dxa"/>
            <w:gridSpan w:val="2"/>
            <w:tcBorders>
              <w:bottom w:val="single" w:sz="4" w:space="0" w:color="auto"/>
            </w:tcBorders>
            <w:vAlign w:val="bottom"/>
          </w:tcPr>
          <w:p w:rsidR="00087B2A" w:rsidRPr="00952166" w:rsidRDefault="00087B2A" w:rsidP="002829AF">
            <w:pPr>
              <w:jc w:val="right"/>
            </w:pPr>
            <w:r w:rsidRPr="00952166">
              <w:rPr>
                <w:sz w:val="40"/>
              </w:rPr>
              <w:t>CERD</w:t>
            </w:r>
            <w:r w:rsidRPr="00952166">
              <w:t>/C/SWE/CO/</w:t>
            </w:r>
            <w:r w:rsidR="002829AF" w:rsidRPr="00952166">
              <w:t>1</w:t>
            </w:r>
            <w:r w:rsidRPr="00952166">
              <w:t xml:space="preserve">9-21 </w:t>
            </w:r>
          </w:p>
        </w:tc>
      </w:tr>
      <w:tr w:rsidR="00087B2A" w:rsidRPr="00762F1E">
        <w:trPr>
          <w:cantSplit/>
          <w:trHeight w:hRule="exact" w:val="2835"/>
        </w:trPr>
        <w:tc>
          <w:tcPr>
            <w:tcW w:w="1276" w:type="dxa"/>
            <w:tcBorders>
              <w:top w:val="single" w:sz="4" w:space="0" w:color="auto"/>
              <w:bottom w:val="single" w:sz="12" w:space="0" w:color="auto"/>
            </w:tcBorders>
          </w:tcPr>
          <w:p w:rsidR="00087B2A" w:rsidRPr="00952166" w:rsidRDefault="00442D64" w:rsidP="00087B2A">
            <w:pPr>
              <w:spacing w:before="120"/>
              <w:jc w:val="center"/>
            </w:pPr>
            <w:r w:rsidRPr="009521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42D64" w:rsidRPr="00952166" w:rsidRDefault="00442D64" w:rsidP="00442D64">
            <w:pPr>
              <w:spacing w:before="120" w:line="380" w:lineRule="exact"/>
              <w:rPr>
                <w:rFonts w:cs="Angsana New"/>
                <w:b/>
                <w:sz w:val="34"/>
                <w:szCs w:val="40"/>
              </w:rPr>
            </w:pPr>
            <w:r w:rsidRPr="00952166">
              <w:rPr>
                <w:rFonts w:cs="Angsana New"/>
                <w:b/>
                <w:sz w:val="34"/>
                <w:szCs w:val="40"/>
              </w:rPr>
              <w:t>International Convention on</w:t>
            </w:r>
            <w:r w:rsidRPr="00952166">
              <w:rPr>
                <w:rFonts w:cs="Angsana New"/>
                <w:b/>
                <w:sz w:val="34"/>
                <w:szCs w:val="40"/>
              </w:rPr>
              <w:br/>
              <w:t>the Elimination of All Forms</w:t>
            </w:r>
            <w:r w:rsidRPr="00952166">
              <w:rPr>
                <w:rFonts w:cs="Angsana New"/>
                <w:b/>
                <w:sz w:val="34"/>
                <w:szCs w:val="40"/>
              </w:rPr>
              <w:br/>
              <w:t>of Racial Discrimination</w:t>
            </w:r>
          </w:p>
          <w:p w:rsidR="00087B2A" w:rsidRPr="00952166" w:rsidRDefault="00087B2A" w:rsidP="003C5F42">
            <w:pPr>
              <w:spacing w:before="120" w:line="380" w:lineRule="exact"/>
            </w:pPr>
          </w:p>
        </w:tc>
        <w:tc>
          <w:tcPr>
            <w:tcW w:w="2835" w:type="dxa"/>
            <w:tcBorders>
              <w:top w:val="single" w:sz="4" w:space="0" w:color="auto"/>
              <w:bottom w:val="single" w:sz="12" w:space="0" w:color="auto"/>
            </w:tcBorders>
          </w:tcPr>
          <w:p w:rsidR="00087B2A" w:rsidRPr="00952166" w:rsidRDefault="00087B2A" w:rsidP="00087B2A">
            <w:pPr>
              <w:spacing w:before="240" w:line="240" w:lineRule="exact"/>
            </w:pPr>
            <w:r w:rsidRPr="00952166">
              <w:t xml:space="preserve">Distr.: </w:t>
            </w:r>
            <w:r w:rsidR="002829AF" w:rsidRPr="00952166">
              <w:t>General</w:t>
            </w:r>
          </w:p>
          <w:p w:rsidR="00087B2A" w:rsidRPr="00762F1E" w:rsidRDefault="000A1A84" w:rsidP="00087B2A">
            <w:pPr>
              <w:spacing w:line="240" w:lineRule="exact"/>
            </w:pPr>
            <w:r>
              <w:t>23</w:t>
            </w:r>
            <w:r w:rsidR="00BC15C1" w:rsidRPr="00762F1E">
              <w:t xml:space="preserve"> September </w:t>
            </w:r>
            <w:r w:rsidR="00087B2A" w:rsidRPr="00762F1E">
              <w:t>2013</w:t>
            </w:r>
          </w:p>
          <w:p w:rsidR="00087B2A" w:rsidRPr="00762F1E" w:rsidRDefault="00087B2A" w:rsidP="00087B2A">
            <w:pPr>
              <w:spacing w:line="240" w:lineRule="exact"/>
            </w:pPr>
          </w:p>
          <w:p w:rsidR="00087B2A" w:rsidRPr="00762F1E" w:rsidRDefault="00087B2A" w:rsidP="00087B2A">
            <w:pPr>
              <w:spacing w:line="240" w:lineRule="exact"/>
            </w:pPr>
            <w:r w:rsidRPr="00762F1E">
              <w:t>Original: English</w:t>
            </w:r>
          </w:p>
        </w:tc>
      </w:tr>
    </w:tbl>
    <w:p w:rsidR="00087B2A" w:rsidRPr="00762F1E" w:rsidRDefault="00087B2A" w:rsidP="00087B2A">
      <w:pPr>
        <w:spacing w:before="120"/>
        <w:rPr>
          <w:b/>
          <w:bCs/>
          <w:sz w:val="24"/>
          <w:szCs w:val="24"/>
        </w:rPr>
      </w:pPr>
      <w:r w:rsidRPr="00762F1E">
        <w:rPr>
          <w:b/>
          <w:bCs/>
          <w:sz w:val="24"/>
          <w:szCs w:val="24"/>
        </w:rPr>
        <w:t>Committee on the Elimination of Racial Discrimination</w:t>
      </w:r>
    </w:p>
    <w:p w:rsidR="00CA07DB" w:rsidRPr="00762F1E" w:rsidRDefault="00087B2A" w:rsidP="002829AF">
      <w:pPr>
        <w:pStyle w:val="HChG"/>
      </w:pPr>
      <w:r w:rsidRPr="00762F1E">
        <w:tab/>
      </w:r>
      <w:r w:rsidRPr="00762F1E">
        <w:tab/>
        <w:t xml:space="preserve">Concluding observations on the </w:t>
      </w:r>
      <w:r w:rsidR="00CA07DB" w:rsidRPr="00762F1E">
        <w:t xml:space="preserve">combined </w:t>
      </w:r>
      <w:r w:rsidRPr="00762F1E">
        <w:t xml:space="preserve">nineteenth </w:t>
      </w:r>
      <w:r w:rsidR="000531EA" w:rsidRPr="00762F1E">
        <w:t xml:space="preserve">to </w:t>
      </w:r>
      <w:r w:rsidRPr="00762F1E">
        <w:t xml:space="preserve">twenty-first periodic reports of </w:t>
      </w:r>
      <w:smartTag w:uri="urn:schemas-microsoft-com:office:smarttags" w:element="country-region">
        <w:smartTag w:uri="urn:schemas-microsoft-com:office:smarttags" w:element="place">
          <w:r w:rsidRPr="00762F1E">
            <w:t>S</w:t>
          </w:r>
          <w:r w:rsidR="002829AF" w:rsidRPr="00762F1E">
            <w:t>weden</w:t>
          </w:r>
        </w:smartTag>
      </w:smartTag>
      <w:r w:rsidR="002829AF" w:rsidRPr="00762F1E">
        <w:t xml:space="preserve">, adopted by the Committee at its eighty-third session </w:t>
      </w:r>
      <w:r w:rsidR="003C5F42" w:rsidRPr="00762F1E">
        <w:t>(12</w:t>
      </w:r>
      <w:r w:rsidR="00496924" w:rsidRPr="00762F1E">
        <w:t>–</w:t>
      </w:r>
      <w:r w:rsidR="003C5F42" w:rsidRPr="00762F1E">
        <w:t>30 August 2013)</w:t>
      </w:r>
    </w:p>
    <w:p w:rsidR="00087B2A" w:rsidRPr="00762F1E" w:rsidRDefault="00087B2A" w:rsidP="00087B2A">
      <w:pPr>
        <w:pStyle w:val="SingleTxtG"/>
        <w:rPr>
          <w:lang w:val="en-GB"/>
        </w:rPr>
      </w:pPr>
      <w:r w:rsidRPr="00762F1E">
        <w:rPr>
          <w:lang w:val="en-GB"/>
        </w:rPr>
        <w:t>1.</w:t>
      </w:r>
      <w:r w:rsidRPr="00762F1E">
        <w:rPr>
          <w:lang w:val="en-GB"/>
        </w:rPr>
        <w:tab/>
        <w:t xml:space="preserve">The Committee considered the nineteenth to twenty-first periodic reports of </w:t>
      </w:r>
      <w:smartTag w:uri="urn:schemas-microsoft-com:office:smarttags" w:element="country-region">
        <w:smartTag w:uri="urn:schemas-microsoft-com:office:smarttags" w:element="place">
          <w:r w:rsidRPr="00762F1E">
            <w:rPr>
              <w:lang w:val="en-GB"/>
            </w:rPr>
            <w:t>Sweden</w:t>
          </w:r>
        </w:smartTag>
      </w:smartTag>
      <w:r w:rsidRPr="00762F1E">
        <w:rPr>
          <w:lang w:val="en-GB"/>
        </w:rPr>
        <w:t xml:space="preserve"> (CERD/C/SWE/19-21), submitted in one document, at its 2251</w:t>
      </w:r>
      <w:r w:rsidR="00496924" w:rsidRPr="00762F1E">
        <w:rPr>
          <w:lang w:val="en-GB"/>
        </w:rPr>
        <w:t>st</w:t>
      </w:r>
      <w:r w:rsidRPr="00762F1E">
        <w:rPr>
          <w:lang w:val="en-GB"/>
        </w:rPr>
        <w:t xml:space="preserve"> and 2252</w:t>
      </w:r>
      <w:r w:rsidR="00496924" w:rsidRPr="00762F1E">
        <w:rPr>
          <w:lang w:val="en-GB"/>
        </w:rPr>
        <w:t>nd</w:t>
      </w:r>
      <w:r w:rsidRPr="00762F1E">
        <w:rPr>
          <w:lang w:val="en-GB"/>
        </w:rPr>
        <w:t xml:space="preserve"> meetings (CERD/C/SR.2251 and 2252), held on 22 and 23 August 2013. At its 22</w:t>
      </w:r>
      <w:r w:rsidR="000531EA" w:rsidRPr="00762F1E">
        <w:rPr>
          <w:lang w:val="en-GB"/>
        </w:rPr>
        <w:t>6</w:t>
      </w:r>
      <w:r w:rsidR="00317BEE" w:rsidRPr="00762F1E">
        <w:rPr>
          <w:lang w:val="en-GB"/>
        </w:rPr>
        <w:t>1st</w:t>
      </w:r>
      <w:r w:rsidR="000531EA" w:rsidRPr="00762F1E">
        <w:rPr>
          <w:lang w:val="en-GB"/>
        </w:rPr>
        <w:t xml:space="preserve"> </w:t>
      </w:r>
      <w:r w:rsidRPr="00762F1E">
        <w:rPr>
          <w:lang w:val="en-GB"/>
        </w:rPr>
        <w:t>meeting (CERD/C/SR.22</w:t>
      </w:r>
      <w:r w:rsidR="000531EA" w:rsidRPr="00762F1E">
        <w:rPr>
          <w:lang w:val="en-GB"/>
        </w:rPr>
        <w:t>6</w:t>
      </w:r>
      <w:r w:rsidR="00317BEE" w:rsidRPr="00762F1E">
        <w:rPr>
          <w:lang w:val="en-GB"/>
        </w:rPr>
        <w:t>1</w:t>
      </w:r>
      <w:r w:rsidRPr="00762F1E">
        <w:rPr>
          <w:lang w:val="en-GB"/>
        </w:rPr>
        <w:t xml:space="preserve">), held on </w:t>
      </w:r>
      <w:r w:rsidR="000531EA" w:rsidRPr="00762F1E">
        <w:rPr>
          <w:lang w:val="en-GB"/>
        </w:rPr>
        <w:t xml:space="preserve">29 </w:t>
      </w:r>
      <w:r w:rsidRPr="00762F1E">
        <w:rPr>
          <w:lang w:val="en-GB"/>
        </w:rPr>
        <w:t>August 2013, it adopted the following concluding observations.</w:t>
      </w:r>
    </w:p>
    <w:p w:rsidR="00087B2A" w:rsidRPr="00762F1E" w:rsidRDefault="00087B2A" w:rsidP="00087B2A">
      <w:pPr>
        <w:pStyle w:val="H1G"/>
        <w:rPr>
          <w:szCs w:val="24"/>
        </w:rPr>
      </w:pPr>
      <w:r w:rsidRPr="00762F1E">
        <w:rPr>
          <w:szCs w:val="24"/>
        </w:rPr>
        <w:tab/>
        <w:t>A.</w:t>
      </w:r>
      <w:r w:rsidRPr="00762F1E">
        <w:rPr>
          <w:szCs w:val="24"/>
        </w:rPr>
        <w:tab/>
        <w:t>Introduction</w:t>
      </w:r>
    </w:p>
    <w:p w:rsidR="003E4BD9" w:rsidRPr="00762F1E" w:rsidRDefault="00087B2A" w:rsidP="003E4BD9">
      <w:pPr>
        <w:pStyle w:val="SingleTxtG"/>
        <w:rPr>
          <w:lang w:val="en-GB"/>
        </w:rPr>
      </w:pPr>
      <w:r w:rsidRPr="00762F1E">
        <w:rPr>
          <w:lang w:val="en-GB"/>
        </w:rPr>
        <w:t>2.</w:t>
      </w:r>
      <w:r w:rsidRPr="00762F1E">
        <w:rPr>
          <w:lang w:val="en-GB"/>
        </w:rPr>
        <w:tab/>
        <w:t>The Committee welcomes the combined nineteenth to twenty-first periodic reports of the State party drafted in conformity with the Committee’s reporting guidelines and addressing its previous concluding observations. The Committee also welcomes the State party’s punctuality and regularity in submitting its periodic reports</w:t>
      </w:r>
      <w:r w:rsidR="0003465F" w:rsidRPr="00762F1E">
        <w:rPr>
          <w:lang w:val="en-GB"/>
        </w:rPr>
        <w:t>.</w:t>
      </w:r>
    </w:p>
    <w:p w:rsidR="00087B2A" w:rsidRPr="00762F1E" w:rsidRDefault="00393168" w:rsidP="003E4BD9">
      <w:pPr>
        <w:pStyle w:val="SingleTxtG"/>
        <w:rPr>
          <w:lang w:val="en-GB"/>
        </w:rPr>
      </w:pPr>
      <w:r w:rsidRPr="00762F1E">
        <w:rPr>
          <w:lang w:val="en-GB"/>
        </w:rPr>
        <w:t>3.</w:t>
      </w:r>
      <w:r w:rsidRPr="00762F1E">
        <w:rPr>
          <w:lang w:val="en-GB"/>
        </w:rPr>
        <w:tab/>
      </w:r>
      <w:r w:rsidR="009F2641" w:rsidRPr="00762F1E">
        <w:rPr>
          <w:lang w:val="en-GB"/>
        </w:rPr>
        <w:t xml:space="preserve">The Committee </w:t>
      </w:r>
      <w:r w:rsidR="006417E3" w:rsidRPr="00762F1E">
        <w:rPr>
          <w:lang w:val="en-GB"/>
        </w:rPr>
        <w:t xml:space="preserve">thanks </w:t>
      </w:r>
      <w:r w:rsidR="009F2641" w:rsidRPr="00762F1E">
        <w:rPr>
          <w:lang w:val="en-GB"/>
        </w:rPr>
        <w:t xml:space="preserve">the </w:t>
      </w:r>
      <w:r w:rsidR="00087B2A" w:rsidRPr="00762F1E">
        <w:rPr>
          <w:lang w:val="en-GB"/>
        </w:rPr>
        <w:t>large delegation of the State party for its oral presentation and responses to the Committee’s questions and comments</w:t>
      </w:r>
      <w:r w:rsidR="0003465F" w:rsidRPr="00762F1E">
        <w:rPr>
          <w:lang w:val="en-GB"/>
        </w:rPr>
        <w:t xml:space="preserve"> and the opportunity thus provided to engage in a constructive and continuing dialogue.</w:t>
      </w:r>
    </w:p>
    <w:p w:rsidR="00087B2A" w:rsidRPr="00762F1E" w:rsidRDefault="00087B2A" w:rsidP="00087B2A">
      <w:pPr>
        <w:pStyle w:val="H1G"/>
        <w:rPr>
          <w:szCs w:val="24"/>
        </w:rPr>
      </w:pPr>
      <w:r w:rsidRPr="00762F1E">
        <w:rPr>
          <w:szCs w:val="24"/>
        </w:rPr>
        <w:tab/>
        <w:t>B.</w:t>
      </w:r>
      <w:r w:rsidRPr="00762F1E">
        <w:rPr>
          <w:szCs w:val="24"/>
        </w:rPr>
        <w:tab/>
        <w:t>Positive aspects</w:t>
      </w:r>
    </w:p>
    <w:p w:rsidR="00087B2A" w:rsidRPr="00762F1E" w:rsidRDefault="00393168" w:rsidP="00087B2A">
      <w:pPr>
        <w:pStyle w:val="SingleTxtG"/>
        <w:rPr>
          <w:lang w:val="en-GB"/>
        </w:rPr>
      </w:pPr>
      <w:r w:rsidRPr="00762F1E">
        <w:rPr>
          <w:lang w:val="en-GB"/>
        </w:rPr>
        <w:t>4</w:t>
      </w:r>
      <w:r w:rsidR="00087B2A" w:rsidRPr="00762F1E">
        <w:rPr>
          <w:lang w:val="en-GB"/>
        </w:rPr>
        <w:t>.</w:t>
      </w:r>
      <w:r w:rsidR="00087B2A" w:rsidRPr="00762F1E">
        <w:rPr>
          <w:lang w:val="en-GB"/>
        </w:rPr>
        <w:tab/>
        <w:t xml:space="preserve">The Committee notes with appreciation a number of legislative and policy developments </w:t>
      </w:r>
      <w:r w:rsidR="00201723" w:rsidRPr="00762F1E">
        <w:rPr>
          <w:lang w:val="en-GB"/>
        </w:rPr>
        <w:t xml:space="preserve">regarding </w:t>
      </w:r>
      <w:r w:rsidR="00087B2A" w:rsidRPr="00762F1E">
        <w:rPr>
          <w:lang w:val="en-GB"/>
        </w:rPr>
        <w:t>the elimination of racial discrimination, including:</w:t>
      </w:r>
    </w:p>
    <w:p w:rsidR="00087B2A" w:rsidRPr="00762F1E" w:rsidRDefault="00087B2A" w:rsidP="00A84EEB">
      <w:pPr>
        <w:pStyle w:val="SingleTxtG"/>
        <w:ind w:firstLine="567"/>
        <w:rPr>
          <w:lang w:val="en-GB"/>
        </w:rPr>
      </w:pPr>
      <w:r w:rsidRPr="00762F1E">
        <w:rPr>
          <w:lang w:val="en-GB"/>
        </w:rPr>
        <w:t>(a)</w:t>
      </w:r>
      <w:r w:rsidRPr="00762F1E">
        <w:rPr>
          <w:lang w:val="en-GB"/>
        </w:rPr>
        <w:tab/>
      </w:r>
      <w:r w:rsidR="00C87FDC" w:rsidRPr="00762F1E">
        <w:rPr>
          <w:lang w:val="en-GB"/>
        </w:rPr>
        <w:t>The e</w:t>
      </w:r>
      <w:r w:rsidRPr="00762F1E">
        <w:rPr>
          <w:lang w:val="en-GB"/>
        </w:rPr>
        <w:t>ntry into force of the new Anti-Discrimination Act (2008:567) on 1 January 2009, prohibiting discrimination associated</w:t>
      </w:r>
      <w:r w:rsidR="00D37E8D" w:rsidRPr="00762F1E">
        <w:rPr>
          <w:lang w:val="en-GB"/>
        </w:rPr>
        <w:t xml:space="preserve"> with</w:t>
      </w:r>
      <w:r w:rsidRPr="00762F1E">
        <w:rPr>
          <w:lang w:val="en-GB"/>
        </w:rPr>
        <w:t>, inter alia, ethnicity, religion or other belief and offering protection against racial discrimination;</w:t>
      </w:r>
    </w:p>
    <w:p w:rsidR="00087B2A" w:rsidRPr="00762F1E" w:rsidRDefault="00087B2A" w:rsidP="00087B2A">
      <w:pPr>
        <w:pStyle w:val="SingleTxtG"/>
        <w:ind w:firstLine="567"/>
        <w:rPr>
          <w:lang w:val="en-GB"/>
        </w:rPr>
      </w:pPr>
      <w:r w:rsidRPr="00762F1E">
        <w:rPr>
          <w:lang w:val="en-GB"/>
        </w:rPr>
        <w:t>(b)</w:t>
      </w:r>
      <w:r w:rsidRPr="00762F1E">
        <w:rPr>
          <w:lang w:val="en-GB"/>
        </w:rPr>
        <w:tab/>
        <w:t xml:space="preserve">The establishment of the Equality Ombudsman (2008:568) on 1 January 2009, </w:t>
      </w:r>
      <w:r w:rsidR="00D37E8D" w:rsidRPr="00762F1E">
        <w:rPr>
          <w:lang w:val="en-GB"/>
        </w:rPr>
        <w:t xml:space="preserve">with the mandate </w:t>
      </w:r>
      <w:r w:rsidRPr="00762F1E">
        <w:rPr>
          <w:lang w:val="en-GB"/>
        </w:rPr>
        <w:t>to monitor compliance with the Anti-Discrimination Act and promote equal rights</w:t>
      </w:r>
      <w:r w:rsidR="00D37E8D" w:rsidRPr="00762F1E">
        <w:rPr>
          <w:lang w:val="en-GB"/>
        </w:rPr>
        <w:t xml:space="preserve"> by</w:t>
      </w:r>
      <w:r w:rsidRPr="00762F1E">
        <w:rPr>
          <w:lang w:val="en-GB"/>
        </w:rPr>
        <w:t>, inter alia, investigating complaints of discrimination</w:t>
      </w:r>
      <w:r w:rsidR="00D556AE" w:rsidRPr="00762F1E">
        <w:rPr>
          <w:lang w:val="en-GB"/>
        </w:rPr>
        <w:t xml:space="preserve"> and </w:t>
      </w:r>
      <w:r w:rsidRPr="00762F1E">
        <w:rPr>
          <w:lang w:val="en-GB"/>
        </w:rPr>
        <w:t>representing complainants in settlements or court</w:t>
      </w:r>
      <w:r w:rsidR="00D826F6" w:rsidRPr="00762F1E">
        <w:rPr>
          <w:lang w:val="en-GB"/>
        </w:rPr>
        <w:t>s</w:t>
      </w:r>
      <w:r w:rsidRPr="00762F1E">
        <w:rPr>
          <w:lang w:val="en-GB"/>
        </w:rPr>
        <w:t>;</w:t>
      </w:r>
    </w:p>
    <w:p w:rsidR="00087B2A" w:rsidRPr="00762F1E" w:rsidRDefault="00087B2A" w:rsidP="00087B2A">
      <w:pPr>
        <w:pStyle w:val="SingleTxtG"/>
        <w:ind w:firstLine="567"/>
        <w:rPr>
          <w:lang w:val="en-GB"/>
        </w:rPr>
      </w:pPr>
      <w:r w:rsidRPr="00762F1E">
        <w:rPr>
          <w:lang w:val="en-GB"/>
        </w:rPr>
        <w:t>(c)</w:t>
      </w:r>
      <w:r w:rsidRPr="00762F1E">
        <w:rPr>
          <w:lang w:val="en-GB"/>
        </w:rPr>
        <w:tab/>
        <w:t xml:space="preserve">The adoption of the Introduction </w:t>
      </w:r>
      <w:r w:rsidR="00393168" w:rsidRPr="00762F1E">
        <w:rPr>
          <w:lang w:val="en-GB"/>
        </w:rPr>
        <w:t>Act</w:t>
      </w:r>
      <w:r w:rsidR="00496924" w:rsidRPr="00762F1E">
        <w:rPr>
          <w:lang w:val="en-GB"/>
        </w:rPr>
        <w:t>,</w:t>
      </w:r>
      <w:r w:rsidR="00393168" w:rsidRPr="00762F1E">
        <w:rPr>
          <w:lang w:val="en-GB"/>
        </w:rPr>
        <w:t xml:space="preserve"> </w:t>
      </w:r>
      <w:r w:rsidRPr="00762F1E">
        <w:rPr>
          <w:lang w:val="en-GB"/>
        </w:rPr>
        <w:t>which entered into force in 2010</w:t>
      </w:r>
      <w:r w:rsidR="00496924" w:rsidRPr="00762F1E">
        <w:rPr>
          <w:lang w:val="en-GB"/>
        </w:rPr>
        <w:t>,</w:t>
      </w:r>
      <w:r w:rsidRPr="00762F1E">
        <w:rPr>
          <w:lang w:val="en-GB"/>
        </w:rPr>
        <w:t xml:space="preserve"> and of the subsequent Integration Policy</w:t>
      </w:r>
      <w:r w:rsidR="00E639B9" w:rsidRPr="00762F1E">
        <w:rPr>
          <w:lang w:val="en-GB"/>
        </w:rPr>
        <w:t>,</w:t>
      </w:r>
      <w:r w:rsidRPr="00762F1E">
        <w:rPr>
          <w:lang w:val="en-GB"/>
        </w:rPr>
        <w:t xml:space="preserve"> with the objective of increasing newly arrived migrants’ access to the labour market, </w:t>
      </w:r>
      <w:r w:rsidR="00496924" w:rsidRPr="00762F1E">
        <w:rPr>
          <w:lang w:val="en-GB"/>
        </w:rPr>
        <w:t xml:space="preserve">promoting </w:t>
      </w:r>
      <w:r w:rsidRPr="00762F1E">
        <w:rPr>
          <w:lang w:val="en-GB"/>
        </w:rPr>
        <w:t xml:space="preserve">more effective language acquisition, </w:t>
      </w:r>
      <w:r w:rsidR="00496924" w:rsidRPr="00762F1E">
        <w:rPr>
          <w:lang w:val="en-GB"/>
        </w:rPr>
        <w:t xml:space="preserve">improving </w:t>
      </w:r>
      <w:r w:rsidRPr="00762F1E">
        <w:rPr>
          <w:lang w:val="en-GB"/>
        </w:rPr>
        <w:t xml:space="preserve">results in schools and creating </w:t>
      </w:r>
      <w:r w:rsidR="00C87FDC" w:rsidRPr="00762F1E">
        <w:rPr>
          <w:lang w:val="en-GB"/>
        </w:rPr>
        <w:t xml:space="preserve">a </w:t>
      </w:r>
      <w:r w:rsidRPr="00762F1E">
        <w:rPr>
          <w:lang w:val="en-GB"/>
        </w:rPr>
        <w:t>society in which everyone feels a sense of belonging;</w:t>
      </w:r>
    </w:p>
    <w:p w:rsidR="00087B2A" w:rsidRPr="00762F1E" w:rsidRDefault="00087B2A" w:rsidP="00087B2A">
      <w:pPr>
        <w:pStyle w:val="SingleTxtG"/>
        <w:ind w:firstLine="567"/>
        <w:rPr>
          <w:lang w:val="en-GB"/>
        </w:rPr>
      </w:pPr>
      <w:r w:rsidRPr="00762F1E">
        <w:rPr>
          <w:lang w:val="en-GB"/>
        </w:rPr>
        <w:t>(d)</w:t>
      </w:r>
      <w:r w:rsidRPr="00762F1E">
        <w:rPr>
          <w:lang w:val="en-GB"/>
        </w:rPr>
        <w:tab/>
        <w:t xml:space="preserve">The adoption of the Act on National Minorities and National Minority Languages </w:t>
      </w:r>
      <w:r w:rsidR="00B42BCC" w:rsidRPr="00762F1E">
        <w:rPr>
          <w:lang w:val="en-GB"/>
        </w:rPr>
        <w:t>(2009:724)</w:t>
      </w:r>
      <w:r w:rsidR="00393168" w:rsidRPr="00762F1E">
        <w:rPr>
          <w:lang w:val="en-GB"/>
        </w:rPr>
        <w:t>,</w:t>
      </w:r>
      <w:r w:rsidR="00B42BCC" w:rsidRPr="00762F1E">
        <w:rPr>
          <w:lang w:val="en-GB"/>
        </w:rPr>
        <w:t xml:space="preserve"> </w:t>
      </w:r>
      <w:r w:rsidRPr="00762F1E">
        <w:rPr>
          <w:lang w:val="en-GB"/>
        </w:rPr>
        <w:t>providing for measures to promote and revitali</w:t>
      </w:r>
      <w:r w:rsidR="00496924" w:rsidRPr="00762F1E">
        <w:rPr>
          <w:lang w:val="en-GB"/>
        </w:rPr>
        <w:t>z</w:t>
      </w:r>
      <w:r w:rsidRPr="00762F1E">
        <w:rPr>
          <w:lang w:val="en-GB"/>
        </w:rPr>
        <w:t>e national minority languages and improve the availability of mother-tongue teaching;</w:t>
      </w:r>
    </w:p>
    <w:p w:rsidR="00B42BCC" w:rsidRPr="00762F1E" w:rsidRDefault="00B42BCC" w:rsidP="00087B2A">
      <w:pPr>
        <w:pStyle w:val="SingleTxtG"/>
        <w:ind w:firstLine="567"/>
        <w:rPr>
          <w:lang w:val="en-GB"/>
        </w:rPr>
      </w:pPr>
      <w:r w:rsidRPr="00762F1E">
        <w:rPr>
          <w:lang w:val="en-GB"/>
        </w:rPr>
        <w:t>(e)</w:t>
      </w:r>
      <w:r w:rsidRPr="00762F1E">
        <w:rPr>
          <w:lang w:val="en-GB"/>
        </w:rPr>
        <w:tab/>
        <w:t>The enactment of the new Education Act (2010:800)</w:t>
      </w:r>
      <w:r w:rsidR="00496924" w:rsidRPr="00762F1E">
        <w:rPr>
          <w:lang w:val="en-GB"/>
        </w:rPr>
        <w:t>,</w:t>
      </w:r>
      <w:r w:rsidRPr="00762F1E">
        <w:rPr>
          <w:lang w:val="en-GB"/>
        </w:rPr>
        <w:t xml:space="preserve"> </w:t>
      </w:r>
      <w:r w:rsidR="00D556AE" w:rsidRPr="00762F1E">
        <w:rPr>
          <w:lang w:val="en-GB"/>
        </w:rPr>
        <w:t>which entered into force on 1 July 2011</w:t>
      </w:r>
      <w:r w:rsidR="00393168" w:rsidRPr="00762F1E">
        <w:rPr>
          <w:lang w:val="en-GB"/>
        </w:rPr>
        <w:t>,</w:t>
      </w:r>
      <w:r w:rsidR="00D556AE" w:rsidRPr="00762F1E">
        <w:rPr>
          <w:lang w:val="en-GB"/>
        </w:rPr>
        <w:t xml:space="preserve"> </w:t>
      </w:r>
      <w:r w:rsidRPr="00762F1E">
        <w:rPr>
          <w:lang w:val="en-GB"/>
        </w:rPr>
        <w:t>stipulating the right to mother</w:t>
      </w:r>
      <w:r w:rsidR="00496924" w:rsidRPr="00762F1E">
        <w:rPr>
          <w:lang w:val="en-GB"/>
        </w:rPr>
        <w:t>-</w:t>
      </w:r>
      <w:r w:rsidRPr="00762F1E">
        <w:rPr>
          <w:lang w:val="en-GB"/>
        </w:rPr>
        <w:t>tongue tuition in the minority languages;</w:t>
      </w:r>
    </w:p>
    <w:p w:rsidR="00087B2A" w:rsidRPr="00762F1E" w:rsidRDefault="00087B2A" w:rsidP="00087B2A">
      <w:pPr>
        <w:pStyle w:val="SingleTxtG"/>
        <w:ind w:firstLine="567"/>
        <w:rPr>
          <w:lang w:val="en-GB"/>
        </w:rPr>
      </w:pPr>
      <w:r w:rsidRPr="00762F1E">
        <w:rPr>
          <w:lang w:val="en-GB"/>
        </w:rPr>
        <w:t>(</w:t>
      </w:r>
      <w:r w:rsidR="00B42BCC" w:rsidRPr="00762F1E">
        <w:rPr>
          <w:lang w:val="en-GB"/>
        </w:rPr>
        <w:t>f</w:t>
      </w:r>
      <w:r w:rsidRPr="00762F1E">
        <w:rPr>
          <w:lang w:val="en-GB"/>
        </w:rPr>
        <w:t>)</w:t>
      </w:r>
      <w:r w:rsidRPr="00762F1E">
        <w:rPr>
          <w:lang w:val="en-GB"/>
        </w:rPr>
        <w:tab/>
        <w:t xml:space="preserve">The amendment to the Swedish Constitution </w:t>
      </w:r>
      <w:r w:rsidR="00206649" w:rsidRPr="00762F1E">
        <w:rPr>
          <w:lang w:val="en-GB"/>
        </w:rPr>
        <w:t>(art. 2)</w:t>
      </w:r>
      <w:r w:rsidR="00DF1254" w:rsidRPr="00762F1E">
        <w:rPr>
          <w:lang w:val="en-GB"/>
        </w:rPr>
        <w:t xml:space="preserve"> </w:t>
      </w:r>
      <w:r w:rsidRPr="00762F1E">
        <w:rPr>
          <w:lang w:val="en-GB"/>
        </w:rPr>
        <w:t>confirming the status of the Sami as a people and providing for the right to self-determination;</w:t>
      </w:r>
    </w:p>
    <w:p w:rsidR="00087B2A" w:rsidRPr="00762F1E" w:rsidRDefault="00087B2A" w:rsidP="00087B2A">
      <w:pPr>
        <w:pStyle w:val="SingleTxtG"/>
        <w:ind w:firstLine="567"/>
        <w:rPr>
          <w:lang w:val="en-GB"/>
        </w:rPr>
      </w:pPr>
      <w:r w:rsidRPr="00762F1E">
        <w:rPr>
          <w:lang w:val="en-GB"/>
        </w:rPr>
        <w:t>(</w:t>
      </w:r>
      <w:r w:rsidR="00B42BCC" w:rsidRPr="00762F1E">
        <w:rPr>
          <w:lang w:val="en-GB"/>
        </w:rPr>
        <w:t>g</w:t>
      </w:r>
      <w:r w:rsidRPr="00762F1E">
        <w:rPr>
          <w:lang w:val="en-GB"/>
        </w:rPr>
        <w:t>)</w:t>
      </w:r>
      <w:r w:rsidRPr="00762F1E">
        <w:rPr>
          <w:lang w:val="en-GB"/>
        </w:rPr>
        <w:tab/>
        <w:t>The adoption in 2012 of the Strategy for Roma Inclusion 2012</w:t>
      </w:r>
      <w:r w:rsidR="00496924" w:rsidRPr="00762F1E">
        <w:rPr>
          <w:lang w:val="en-GB"/>
        </w:rPr>
        <w:t>–</w:t>
      </w:r>
      <w:r w:rsidRPr="00762F1E">
        <w:rPr>
          <w:lang w:val="en-GB"/>
        </w:rPr>
        <w:t>2032 with the overall goal of promoting equal opportunities in life for Roma, including enhance</w:t>
      </w:r>
      <w:r w:rsidR="005E3F99" w:rsidRPr="00762F1E">
        <w:rPr>
          <w:lang w:val="en-GB"/>
        </w:rPr>
        <w:t xml:space="preserve">d </w:t>
      </w:r>
      <w:r w:rsidRPr="00762F1E">
        <w:rPr>
          <w:lang w:val="en-GB"/>
        </w:rPr>
        <w:t>participation in a public life;</w:t>
      </w:r>
    </w:p>
    <w:p w:rsidR="00087B2A" w:rsidRPr="00762F1E" w:rsidRDefault="00087B2A" w:rsidP="00087B2A">
      <w:pPr>
        <w:pStyle w:val="SingleTxtG"/>
        <w:ind w:firstLine="567"/>
        <w:rPr>
          <w:lang w:val="en-GB"/>
        </w:rPr>
      </w:pPr>
      <w:r w:rsidRPr="00762F1E">
        <w:rPr>
          <w:lang w:val="en-GB"/>
        </w:rPr>
        <w:t>(</w:t>
      </w:r>
      <w:r w:rsidR="00B42BCC" w:rsidRPr="00762F1E">
        <w:rPr>
          <w:lang w:val="en-GB"/>
        </w:rPr>
        <w:t>h</w:t>
      </w:r>
      <w:r w:rsidRPr="00762F1E">
        <w:rPr>
          <w:lang w:val="en-GB"/>
        </w:rPr>
        <w:t>)</w:t>
      </w:r>
      <w:r w:rsidRPr="00762F1E">
        <w:rPr>
          <w:lang w:val="en-GB"/>
        </w:rPr>
        <w:tab/>
        <w:t xml:space="preserve">The adoption in 2011 of the </w:t>
      </w:r>
      <w:r w:rsidR="002345E8" w:rsidRPr="00762F1E">
        <w:rPr>
          <w:lang w:val="en-GB"/>
        </w:rPr>
        <w:t>national action plan to safeguard democracy against extremism</w:t>
      </w:r>
      <w:r w:rsidRPr="00762F1E">
        <w:rPr>
          <w:lang w:val="en-GB"/>
        </w:rPr>
        <w:t xml:space="preserve"> 2012</w:t>
      </w:r>
      <w:r w:rsidR="002345E8" w:rsidRPr="00762F1E">
        <w:rPr>
          <w:lang w:val="en-GB"/>
        </w:rPr>
        <w:t>–</w:t>
      </w:r>
      <w:r w:rsidRPr="00762F1E">
        <w:rPr>
          <w:lang w:val="en-GB"/>
        </w:rPr>
        <w:t>2014</w:t>
      </w:r>
      <w:r w:rsidR="00393168" w:rsidRPr="00762F1E">
        <w:rPr>
          <w:lang w:val="en-GB"/>
        </w:rPr>
        <w:t xml:space="preserve">, </w:t>
      </w:r>
      <w:r w:rsidR="00E970B4" w:rsidRPr="00762F1E">
        <w:rPr>
          <w:lang w:val="en-GB"/>
        </w:rPr>
        <w:t>aim</w:t>
      </w:r>
      <w:r w:rsidR="00393168" w:rsidRPr="00762F1E">
        <w:rPr>
          <w:lang w:val="en-GB"/>
        </w:rPr>
        <w:t xml:space="preserve">ing </w:t>
      </w:r>
      <w:r w:rsidR="00E970B4" w:rsidRPr="00762F1E">
        <w:rPr>
          <w:lang w:val="en-GB"/>
        </w:rPr>
        <w:t xml:space="preserve">to counter </w:t>
      </w:r>
      <w:r w:rsidR="0016572E" w:rsidRPr="00762F1E">
        <w:rPr>
          <w:lang w:val="en-GB"/>
        </w:rPr>
        <w:t xml:space="preserve">extremism </w:t>
      </w:r>
      <w:r w:rsidRPr="00762F1E">
        <w:rPr>
          <w:lang w:val="en-GB"/>
        </w:rPr>
        <w:t>by, inter alia, distributing funds for activities that seek to prevent individuals f</w:t>
      </w:r>
      <w:r w:rsidR="0016572E" w:rsidRPr="00762F1E">
        <w:rPr>
          <w:lang w:val="en-GB"/>
        </w:rPr>
        <w:t xml:space="preserve">rom </w:t>
      </w:r>
      <w:r w:rsidRPr="00762F1E">
        <w:rPr>
          <w:lang w:val="en-GB"/>
        </w:rPr>
        <w:t>joining violent extremist environments or that support individuals wishing to leave such environments.</w:t>
      </w:r>
    </w:p>
    <w:p w:rsidR="00087B2A" w:rsidRPr="00762F1E" w:rsidRDefault="00393168" w:rsidP="00393168">
      <w:pPr>
        <w:pStyle w:val="SingleTxtG"/>
        <w:rPr>
          <w:lang w:val="en-GB"/>
        </w:rPr>
      </w:pPr>
      <w:r w:rsidRPr="00762F1E">
        <w:rPr>
          <w:lang w:val="en-GB"/>
        </w:rPr>
        <w:t>5</w:t>
      </w:r>
      <w:r w:rsidR="00087B2A" w:rsidRPr="00762F1E">
        <w:rPr>
          <w:lang w:val="en-GB"/>
        </w:rPr>
        <w:t>.</w:t>
      </w:r>
      <w:r w:rsidR="00087B2A" w:rsidRPr="00762F1E">
        <w:rPr>
          <w:lang w:val="en-GB"/>
        </w:rPr>
        <w:tab/>
        <w:t>The Committee welcomes the ratification</w:t>
      </w:r>
      <w:r w:rsidR="00681875" w:rsidRPr="00762F1E">
        <w:rPr>
          <w:lang w:val="en-GB"/>
        </w:rPr>
        <w:t xml:space="preserve">, during the period under consideration, </w:t>
      </w:r>
      <w:r w:rsidR="00087B2A" w:rsidRPr="00762F1E">
        <w:rPr>
          <w:lang w:val="en-GB"/>
        </w:rPr>
        <w:t>of the Convention on the Rights of Persons with Disabilities</w:t>
      </w:r>
      <w:r w:rsidR="00E970B4" w:rsidRPr="00762F1E">
        <w:rPr>
          <w:lang w:val="en-GB"/>
        </w:rPr>
        <w:t xml:space="preserve"> </w:t>
      </w:r>
      <w:r w:rsidR="00087B2A" w:rsidRPr="00762F1E">
        <w:rPr>
          <w:lang w:val="en-GB"/>
        </w:rPr>
        <w:t>and its Optional Protocol, on 15 December 2008.</w:t>
      </w:r>
    </w:p>
    <w:p w:rsidR="00087B2A" w:rsidRPr="00762F1E" w:rsidRDefault="00087B2A" w:rsidP="00087B2A">
      <w:pPr>
        <w:pStyle w:val="H1G"/>
        <w:rPr>
          <w:szCs w:val="24"/>
        </w:rPr>
      </w:pPr>
      <w:r w:rsidRPr="00762F1E">
        <w:rPr>
          <w:szCs w:val="24"/>
        </w:rPr>
        <w:tab/>
        <w:t>C.</w:t>
      </w:r>
      <w:r w:rsidRPr="00762F1E">
        <w:rPr>
          <w:szCs w:val="24"/>
        </w:rPr>
        <w:tab/>
        <w:t>Concerns and recommendations</w:t>
      </w:r>
    </w:p>
    <w:p w:rsidR="00087B2A" w:rsidRPr="00762F1E" w:rsidRDefault="00087B2A" w:rsidP="00087B2A">
      <w:pPr>
        <w:pStyle w:val="H23G"/>
      </w:pPr>
      <w:r w:rsidRPr="00762F1E">
        <w:tab/>
      </w:r>
      <w:r w:rsidRPr="00762F1E">
        <w:tab/>
        <w:t>Anti-Discrimination</w:t>
      </w:r>
      <w:r w:rsidR="005E3F99" w:rsidRPr="00762F1E">
        <w:t xml:space="preserve"> </w:t>
      </w:r>
      <w:r w:rsidRPr="00762F1E">
        <w:t>Act and its enforcement</w:t>
      </w:r>
    </w:p>
    <w:p w:rsidR="00087B2A" w:rsidRPr="00762F1E" w:rsidRDefault="00102A36" w:rsidP="00087B2A">
      <w:pPr>
        <w:pStyle w:val="SingleTxtG"/>
        <w:rPr>
          <w:lang w:val="en-GB"/>
        </w:rPr>
      </w:pPr>
      <w:r w:rsidRPr="00762F1E">
        <w:rPr>
          <w:lang w:val="en-GB"/>
        </w:rPr>
        <w:t>6</w:t>
      </w:r>
      <w:r w:rsidR="00087B2A" w:rsidRPr="00762F1E">
        <w:rPr>
          <w:lang w:val="en-GB"/>
        </w:rPr>
        <w:t>.</w:t>
      </w:r>
      <w:r w:rsidR="00087B2A" w:rsidRPr="00762F1E">
        <w:rPr>
          <w:lang w:val="en-GB"/>
        </w:rPr>
        <w:tab/>
        <w:t>The Committee welcomes that the protection against ethnic discrimination in the Constitution and the Anti-Discrimination Act extend</w:t>
      </w:r>
      <w:r w:rsidR="006C1767" w:rsidRPr="00762F1E">
        <w:rPr>
          <w:lang w:val="en-GB"/>
        </w:rPr>
        <w:t>s</w:t>
      </w:r>
      <w:r w:rsidR="00087B2A" w:rsidRPr="00762F1E">
        <w:rPr>
          <w:lang w:val="en-GB"/>
        </w:rPr>
        <w:t xml:space="preserve"> to both Swedish citizens and others present in the </w:t>
      </w:r>
      <w:r w:rsidR="005E3F99" w:rsidRPr="00762F1E">
        <w:rPr>
          <w:lang w:val="en-GB"/>
        </w:rPr>
        <w:t xml:space="preserve">country; </w:t>
      </w:r>
      <w:r w:rsidR="00087B2A" w:rsidRPr="00762F1E">
        <w:rPr>
          <w:lang w:val="en-GB"/>
        </w:rPr>
        <w:t xml:space="preserve">however, it notes that the term </w:t>
      </w:r>
      <w:r w:rsidR="002345E8" w:rsidRPr="00762F1E">
        <w:rPr>
          <w:lang w:val="en-GB"/>
        </w:rPr>
        <w:t>“</w:t>
      </w:r>
      <w:r w:rsidR="00087B2A" w:rsidRPr="00762F1E">
        <w:rPr>
          <w:lang w:val="en-GB"/>
        </w:rPr>
        <w:t>race</w:t>
      </w:r>
      <w:r w:rsidR="002345E8" w:rsidRPr="00762F1E">
        <w:rPr>
          <w:lang w:val="en-GB"/>
        </w:rPr>
        <w:t>”</w:t>
      </w:r>
      <w:r w:rsidR="00087B2A" w:rsidRPr="00762F1E">
        <w:rPr>
          <w:lang w:val="en-GB"/>
        </w:rPr>
        <w:t xml:space="preserve"> was deleted in the new Anti-Discrimination Act and the In</w:t>
      </w:r>
      <w:r w:rsidR="005C6CCF" w:rsidRPr="00762F1E">
        <w:rPr>
          <w:lang w:val="en-GB"/>
        </w:rPr>
        <w:t>s</w:t>
      </w:r>
      <w:r w:rsidR="00087B2A" w:rsidRPr="00762F1E">
        <w:rPr>
          <w:lang w:val="en-GB"/>
        </w:rPr>
        <w:t>trument of Government</w:t>
      </w:r>
      <w:r w:rsidR="005E3F99" w:rsidRPr="00762F1E">
        <w:rPr>
          <w:lang w:val="en-GB"/>
        </w:rPr>
        <w:t xml:space="preserve">, </w:t>
      </w:r>
      <w:r w:rsidR="00087B2A" w:rsidRPr="00762F1E">
        <w:rPr>
          <w:lang w:val="en-GB"/>
        </w:rPr>
        <w:t xml:space="preserve">which may lead to difficulties with </w:t>
      </w:r>
      <w:r w:rsidR="002345E8" w:rsidRPr="00762F1E">
        <w:rPr>
          <w:lang w:val="en-GB"/>
        </w:rPr>
        <w:t xml:space="preserve">the </w:t>
      </w:r>
      <w:r w:rsidR="00087B2A" w:rsidRPr="00762F1E">
        <w:rPr>
          <w:lang w:val="en-GB"/>
        </w:rPr>
        <w:t xml:space="preserve">qualification and processing of complaints of racial discrimination </w:t>
      </w:r>
      <w:r w:rsidR="005E3F99" w:rsidRPr="00762F1E">
        <w:rPr>
          <w:lang w:val="en-GB"/>
        </w:rPr>
        <w:t xml:space="preserve">thus </w:t>
      </w:r>
      <w:r w:rsidR="00087B2A" w:rsidRPr="00762F1E">
        <w:rPr>
          <w:lang w:val="en-GB"/>
        </w:rPr>
        <w:t>hinder</w:t>
      </w:r>
      <w:r w:rsidR="005E3F99" w:rsidRPr="00762F1E">
        <w:rPr>
          <w:lang w:val="en-GB"/>
        </w:rPr>
        <w:t xml:space="preserve">ing </w:t>
      </w:r>
      <w:r w:rsidR="00087B2A" w:rsidRPr="00762F1E">
        <w:rPr>
          <w:lang w:val="en-GB"/>
        </w:rPr>
        <w:t>the access to justice for victims</w:t>
      </w:r>
      <w:r w:rsidR="005E3F99" w:rsidRPr="00762F1E">
        <w:rPr>
          <w:lang w:val="en-GB"/>
        </w:rPr>
        <w:t xml:space="preserve"> </w:t>
      </w:r>
      <w:r w:rsidR="00087B2A" w:rsidRPr="00762F1E">
        <w:rPr>
          <w:lang w:val="en-GB"/>
        </w:rPr>
        <w:t>(arts. 1</w:t>
      </w:r>
      <w:r w:rsidR="002345E8" w:rsidRPr="00762F1E">
        <w:rPr>
          <w:lang w:val="en-GB"/>
        </w:rPr>
        <w:t xml:space="preserve">, para. </w:t>
      </w:r>
      <w:r w:rsidR="00087B2A" w:rsidRPr="00762F1E">
        <w:rPr>
          <w:lang w:val="en-GB"/>
        </w:rPr>
        <w:t>1</w:t>
      </w:r>
      <w:r w:rsidR="002345E8" w:rsidRPr="00762F1E">
        <w:rPr>
          <w:lang w:val="en-GB"/>
        </w:rPr>
        <w:t>;</w:t>
      </w:r>
      <w:r w:rsidR="00087B2A" w:rsidRPr="00762F1E">
        <w:rPr>
          <w:lang w:val="en-GB"/>
        </w:rPr>
        <w:t xml:space="preserve"> 2</w:t>
      </w:r>
      <w:r w:rsidR="002345E8" w:rsidRPr="00762F1E">
        <w:rPr>
          <w:lang w:val="en-GB"/>
        </w:rPr>
        <w:t xml:space="preserve">, para. </w:t>
      </w:r>
      <w:r w:rsidR="00087B2A" w:rsidRPr="00762F1E">
        <w:rPr>
          <w:lang w:val="en-GB"/>
        </w:rPr>
        <w:t>1</w:t>
      </w:r>
      <w:r w:rsidR="002345E8" w:rsidRPr="00762F1E">
        <w:rPr>
          <w:lang w:val="en-GB"/>
        </w:rPr>
        <w:t xml:space="preserve"> </w:t>
      </w:r>
      <w:r w:rsidR="00087B2A" w:rsidRPr="00762F1E">
        <w:rPr>
          <w:lang w:val="en-GB"/>
        </w:rPr>
        <w:t>(d)</w:t>
      </w:r>
      <w:r w:rsidR="002345E8" w:rsidRPr="00762F1E">
        <w:rPr>
          <w:lang w:val="en-GB"/>
        </w:rPr>
        <w:t>;</w:t>
      </w:r>
      <w:r w:rsidR="005B12C4" w:rsidRPr="00762F1E">
        <w:rPr>
          <w:lang w:val="en-GB"/>
        </w:rPr>
        <w:t xml:space="preserve"> </w:t>
      </w:r>
      <w:r w:rsidR="005E3F99" w:rsidRPr="00762F1E">
        <w:rPr>
          <w:lang w:val="en-GB"/>
        </w:rPr>
        <w:t>and 7</w:t>
      </w:r>
      <w:r w:rsidR="00087B2A" w:rsidRPr="00762F1E">
        <w:rPr>
          <w:lang w:val="en-GB"/>
        </w:rPr>
        <w:t>).</w:t>
      </w:r>
    </w:p>
    <w:p w:rsidR="00087B2A" w:rsidRPr="00762F1E" w:rsidRDefault="00087B2A" w:rsidP="00087B2A">
      <w:pPr>
        <w:pStyle w:val="SingleTxtG"/>
        <w:rPr>
          <w:b/>
          <w:lang w:val="en-GB"/>
        </w:rPr>
      </w:pPr>
      <w:r w:rsidRPr="00762F1E">
        <w:rPr>
          <w:b/>
          <w:lang w:val="en-GB"/>
        </w:rPr>
        <w:t xml:space="preserve">The Committee recommends that the State party enforce the prohibition of discrimination </w:t>
      </w:r>
      <w:r w:rsidR="00BF419E" w:rsidRPr="00762F1E">
        <w:rPr>
          <w:b/>
          <w:lang w:val="en-GB"/>
        </w:rPr>
        <w:t>associated</w:t>
      </w:r>
      <w:r w:rsidR="00102A36" w:rsidRPr="00762F1E">
        <w:rPr>
          <w:b/>
          <w:lang w:val="en-GB"/>
        </w:rPr>
        <w:t xml:space="preserve">, </w:t>
      </w:r>
      <w:r w:rsidR="00BF419E" w:rsidRPr="00762F1E">
        <w:rPr>
          <w:b/>
          <w:lang w:val="en-GB"/>
        </w:rPr>
        <w:t>inter alia</w:t>
      </w:r>
      <w:r w:rsidR="00102A36" w:rsidRPr="00762F1E">
        <w:rPr>
          <w:b/>
          <w:lang w:val="en-GB"/>
        </w:rPr>
        <w:t xml:space="preserve">, </w:t>
      </w:r>
      <w:r w:rsidR="00BF419E" w:rsidRPr="00762F1E">
        <w:rPr>
          <w:b/>
          <w:lang w:val="en-GB"/>
        </w:rPr>
        <w:t xml:space="preserve">with </w:t>
      </w:r>
      <w:r w:rsidRPr="00762F1E">
        <w:rPr>
          <w:b/>
          <w:lang w:val="en-GB"/>
        </w:rPr>
        <w:t>ethnicity</w:t>
      </w:r>
      <w:r w:rsidR="00102A36" w:rsidRPr="00762F1E">
        <w:rPr>
          <w:b/>
          <w:lang w:val="en-GB"/>
        </w:rPr>
        <w:t xml:space="preserve"> </w:t>
      </w:r>
      <w:r w:rsidR="00317BEE" w:rsidRPr="00762F1E">
        <w:rPr>
          <w:b/>
          <w:lang w:val="en-GB"/>
        </w:rPr>
        <w:t xml:space="preserve">as set forth </w:t>
      </w:r>
      <w:r w:rsidRPr="00762F1E">
        <w:rPr>
          <w:b/>
          <w:lang w:val="en-GB"/>
        </w:rPr>
        <w:t>in the Constitution and the Anti-Discrimination Act, ensuring that the new formulation of the prohibition of discrimination</w:t>
      </w:r>
      <w:r w:rsidR="00F212CF" w:rsidRPr="00762F1E">
        <w:rPr>
          <w:b/>
          <w:lang w:val="en-GB"/>
        </w:rPr>
        <w:t>,</w:t>
      </w:r>
      <w:r w:rsidR="005E3F99" w:rsidRPr="00762F1E">
        <w:rPr>
          <w:b/>
          <w:lang w:val="en-GB"/>
        </w:rPr>
        <w:t xml:space="preserve"> which </w:t>
      </w:r>
      <w:r w:rsidR="001B74B7" w:rsidRPr="00762F1E">
        <w:rPr>
          <w:b/>
          <w:lang w:val="en-GB"/>
        </w:rPr>
        <w:t xml:space="preserve">covers </w:t>
      </w:r>
      <w:r w:rsidRPr="00762F1E">
        <w:rPr>
          <w:b/>
          <w:lang w:val="en-GB"/>
        </w:rPr>
        <w:t>racial perceptions only indirectly</w:t>
      </w:r>
      <w:r w:rsidR="00BF419E" w:rsidRPr="00762F1E">
        <w:rPr>
          <w:b/>
          <w:lang w:val="en-GB"/>
        </w:rPr>
        <w:t xml:space="preserve"> </w:t>
      </w:r>
      <w:r w:rsidR="001B74B7" w:rsidRPr="00762F1E">
        <w:rPr>
          <w:b/>
          <w:lang w:val="en-GB"/>
        </w:rPr>
        <w:t xml:space="preserve">under the term </w:t>
      </w:r>
      <w:r w:rsidR="002345E8" w:rsidRPr="00762F1E">
        <w:rPr>
          <w:b/>
          <w:lang w:val="en-GB"/>
        </w:rPr>
        <w:t>“</w:t>
      </w:r>
      <w:r w:rsidR="001B74B7" w:rsidRPr="00762F1E">
        <w:rPr>
          <w:b/>
          <w:lang w:val="en-GB"/>
        </w:rPr>
        <w:t>other similar circumstances”</w:t>
      </w:r>
      <w:r w:rsidR="00F212CF" w:rsidRPr="00762F1E">
        <w:rPr>
          <w:b/>
          <w:lang w:val="en-GB"/>
        </w:rPr>
        <w:t>,</w:t>
      </w:r>
      <w:r w:rsidRPr="00762F1E">
        <w:rPr>
          <w:b/>
          <w:lang w:val="en-GB"/>
        </w:rPr>
        <w:t xml:space="preserve"> does not diminish the protection of victims of racial discrimination</w:t>
      </w:r>
      <w:r w:rsidR="00F212CF" w:rsidRPr="00762F1E">
        <w:rPr>
          <w:b/>
          <w:lang w:val="en-GB"/>
        </w:rPr>
        <w:t>, as requested by the Convention</w:t>
      </w:r>
      <w:r w:rsidRPr="00762F1E">
        <w:rPr>
          <w:b/>
          <w:lang w:val="en-GB"/>
        </w:rPr>
        <w:t xml:space="preserve">. The Committee also requests the State party to disseminate relevant information to the public, in particular to minorities, informing complainants about what constitutes discrimination and </w:t>
      </w:r>
      <w:r w:rsidR="006C1767" w:rsidRPr="00762F1E">
        <w:rPr>
          <w:b/>
          <w:lang w:val="en-GB"/>
        </w:rPr>
        <w:t xml:space="preserve">the </w:t>
      </w:r>
      <w:r w:rsidRPr="00762F1E">
        <w:rPr>
          <w:b/>
          <w:lang w:val="en-GB"/>
        </w:rPr>
        <w:t xml:space="preserve">legal remedies </w:t>
      </w:r>
      <w:r w:rsidR="006C1767" w:rsidRPr="00762F1E">
        <w:rPr>
          <w:b/>
          <w:lang w:val="en-GB"/>
        </w:rPr>
        <w:t xml:space="preserve">available to those </w:t>
      </w:r>
      <w:r w:rsidRPr="00762F1E">
        <w:rPr>
          <w:b/>
          <w:lang w:val="en-GB"/>
        </w:rPr>
        <w:t>facing racial discrimination.</w:t>
      </w:r>
    </w:p>
    <w:p w:rsidR="00087B2A" w:rsidRPr="00762F1E" w:rsidRDefault="00087B2A" w:rsidP="00087B2A">
      <w:pPr>
        <w:pStyle w:val="H23G"/>
      </w:pPr>
      <w:r w:rsidRPr="00762F1E">
        <w:tab/>
      </w:r>
      <w:r w:rsidRPr="00762F1E">
        <w:tab/>
        <w:t>Relevant statistical data</w:t>
      </w:r>
    </w:p>
    <w:p w:rsidR="00087B2A" w:rsidRPr="00762F1E" w:rsidRDefault="00102A36" w:rsidP="00087B2A">
      <w:pPr>
        <w:pStyle w:val="SingleTxtG"/>
        <w:rPr>
          <w:lang w:val="en-GB"/>
        </w:rPr>
      </w:pPr>
      <w:r w:rsidRPr="00762F1E">
        <w:rPr>
          <w:lang w:val="en-GB"/>
        </w:rPr>
        <w:t>7</w:t>
      </w:r>
      <w:r w:rsidR="00087B2A" w:rsidRPr="00762F1E">
        <w:rPr>
          <w:lang w:val="en-GB"/>
        </w:rPr>
        <w:t>.</w:t>
      </w:r>
      <w:r w:rsidR="00087B2A" w:rsidRPr="00762F1E">
        <w:rPr>
          <w:lang w:val="en-GB"/>
        </w:rPr>
        <w:tab/>
      </w:r>
      <w:r w:rsidR="00B713ED" w:rsidRPr="00762F1E">
        <w:rPr>
          <w:lang w:val="en-GB"/>
        </w:rPr>
        <w:t xml:space="preserve">The Committee welcomes detailed statistics provided by the State party </w:t>
      </w:r>
      <w:r w:rsidR="00087B2A" w:rsidRPr="00762F1E">
        <w:rPr>
          <w:lang w:val="en-GB"/>
        </w:rPr>
        <w:t>on citizenship, country of birth and mother</w:t>
      </w:r>
      <w:r w:rsidR="00BD7640" w:rsidRPr="00762F1E">
        <w:rPr>
          <w:lang w:val="en-GB"/>
        </w:rPr>
        <w:t>-</w:t>
      </w:r>
      <w:r w:rsidR="00087B2A" w:rsidRPr="00762F1E">
        <w:rPr>
          <w:lang w:val="en-GB"/>
        </w:rPr>
        <w:t xml:space="preserve">tongue tuition, </w:t>
      </w:r>
      <w:r w:rsidR="00B713ED" w:rsidRPr="00762F1E">
        <w:rPr>
          <w:lang w:val="en-GB"/>
        </w:rPr>
        <w:t xml:space="preserve">etc., </w:t>
      </w:r>
      <w:r w:rsidR="00087B2A" w:rsidRPr="00762F1E">
        <w:rPr>
          <w:lang w:val="en-GB"/>
        </w:rPr>
        <w:t xml:space="preserve">and </w:t>
      </w:r>
      <w:r w:rsidR="00B713ED" w:rsidRPr="00762F1E">
        <w:rPr>
          <w:lang w:val="en-GB"/>
        </w:rPr>
        <w:t xml:space="preserve">notes that the </w:t>
      </w:r>
      <w:r w:rsidR="00087B2A" w:rsidRPr="00762F1E">
        <w:rPr>
          <w:lang w:val="en-GB"/>
        </w:rPr>
        <w:t>State party</w:t>
      </w:r>
      <w:r w:rsidR="005E3F99" w:rsidRPr="00762F1E">
        <w:rPr>
          <w:lang w:val="en-GB"/>
        </w:rPr>
        <w:t xml:space="preserve"> </w:t>
      </w:r>
      <w:r w:rsidR="00087B2A" w:rsidRPr="00762F1E">
        <w:rPr>
          <w:lang w:val="en-GB"/>
        </w:rPr>
        <w:t>does not compile official s</w:t>
      </w:r>
      <w:r w:rsidR="002B64D7" w:rsidRPr="00762F1E">
        <w:rPr>
          <w:lang w:val="en-GB"/>
        </w:rPr>
        <w:t>tatistics on ethnic</w:t>
      </w:r>
      <w:r w:rsidRPr="00762F1E">
        <w:rPr>
          <w:lang w:val="en-GB"/>
        </w:rPr>
        <w:t xml:space="preserve"> origin, colour or </w:t>
      </w:r>
      <w:r w:rsidR="002B64D7" w:rsidRPr="00762F1E">
        <w:rPr>
          <w:lang w:val="en-GB"/>
        </w:rPr>
        <w:t xml:space="preserve">other indicators of diversity </w:t>
      </w:r>
      <w:r w:rsidR="00B713ED" w:rsidRPr="00762F1E">
        <w:rPr>
          <w:lang w:val="en-GB"/>
        </w:rPr>
        <w:t>as</w:t>
      </w:r>
      <w:r w:rsidR="00317BEE" w:rsidRPr="00762F1E">
        <w:rPr>
          <w:lang w:val="en-GB"/>
        </w:rPr>
        <w:t xml:space="preserve"> the Committee</w:t>
      </w:r>
      <w:r w:rsidR="00B713ED" w:rsidRPr="00762F1E">
        <w:rPr>
          <w:lang w:val="en-GB"/>
        </w:rPr>
        <w:t xml:space="preserve"> </w:t>
      </w:r>
      <w:r w:rsidR="00317BEE" w:rsidRPr="00762F1E">
        <w:rPr>
          <w:lang w:val="en-GB"/>
        </w:rPr>
        <w:t xml:space="preserve">had </w:t>
      </w:r>
      <w:r w:rsidR="00B713ED" w:rsidRPr="00762F1E">
        <w:rPr>
          <w:lang w:val="en-GB"/>
        </w:rPr>
        <w:t>previously requested</w:t>
      </w:r>
      <w:r w:rsidR="00087B2A" w:rsidRPr="00762F1E">
        <w:rPr>
          <w:lang w:val="en-GB"/>
        </w:rPr>
        <w:t xml:space="preserve"> </w:t>
      </w:r>
      <w:r w:rsidR="00A361B0" w:rsidRPr="00762F1E">
        <w:rPr>
          <w:lang w:val="en-GB"/>
        </w:rPr>
        <w:t xml:space="preserve">it </w:t>
      </w:r>
      <w:r w:rsidR="008221F3" w:rsidRPr="00762F1E">
        <w:rPr>
          <w:lang w:val="en-GB"/>
        </w:rPr>
        <w:t xml:space="preserve">to </w:t>
      </w:r>
      <w:r w:rsidR="00A361B0" w:rsidRPr="00762F1E">
        <w:rPr>
          <w:lang w:val="en-GB"/>
        </w:rPr>
        <w:t xml:space="preserve">do </w:t>
      </w:r>
      <w:r w:rsidR="00087B2A" w:rsidRPr="00762F1E">
        <w:rPr>
          <w:lang w:val="en-GB"/>
        </w:rPr>
        <w:t>(art. 2).</w:t>
      </w:r>
    </w:p>
    <w:p w:rsidR="00087B2A" w:rsidRPr="00762F1E" w:rsidRDefault="00087B2A" w:rsidP="00087B2A">
      <w:pPr>
        <w:pStyle w:val="SingleTxtG"/>
        <w:rPr>
          <w:b/>
          <w:lang w:val="en-GB"/>
        </w:rPr>
      </w:pPr>
      <w:r w:rsidRPr="00762F1E">
        <w:rPr>
          <w:b/>
          <w:lang w:val="en-GB"/>
        </w:rPr>
        <w:t xml:space="preserve">Recalling its revised reporting guidelines (CERD/C/2007/1, paras. 10 and 12), the Committee recommends that the State party diversify its data collection activities, using various indicators of ethnic diversity on the basis of anonymity and self-identification of persons and groups, </w:t>
      </w:r>
      <w:r w:rsidR="00CE7539" w:rsidRPr="00762F1E">
        <w:rPr>
          <w:b/>
          <w:lang w:val="en-GB"/>
        </w:rPr>
        <w:t xml:space="preserve">to provide an </w:t>
      </w:r>
      <w:r w:rsidR="00566FA7" w:rsidRPr="00762F1E">
        <w:rPr>
          <w:b/>
          <w:lang w:val="en-GB"/>
        </w:rPr>
        <w:t xml:space="preserve">adequate </w:t>
      </w:r>
      <w:r w:rsidR="00CE7539" w:rsidRPr="00762F1E">
        <w:rPr>
          <w:b/>
          <w:lang w:val="en-GB"/>
        </w:rPr>
        <w:t xml:space="preserve">empirical basis for policies </w:t>
      </w:r>
      <w:r w:rsidRPr="00762F1E">
        <w:rPr>
          <w:b/>
          <w:lang w:val="en-GB"/>
        </w:rPr>
        <w:t>to enhance the equal enjoyment by all of the rights enshrined in the Convention and facilitate the monitoring thereof</w:t>
      </w:r>
      <w:r w:rsidR="00566FA7" w:rsidRPr="00762F1E">
        <w:rPr>
          <w:b/>
          <w:lang w:val="en-GB"/>
        </w:rPr>
        <w:t xml:space="preserve">. </w:t>
      </w:r>
      <w:r w:rsidRPr="00762F1E">
        <w:rPr>
          <w:b/>
          <w:lang w:val="en-GB"/>
        </w:rPr>
        <w:t xml:space="preserve">In this regard, the Committee recommends that the State party seek guidance from the study by the Equality Ombudsman on methods for determining the composition </w:t>
      </w:r>
      <w:r w:rsidR="00CE7539" w:rsidRPr="00762F1E">
        <w:rPr>
          <w:b/>
          <w:lang w:val="en-GB"/>
        </w:rPr>
        <w:t xml:space="preserve">of the population in terms of relevant discrimination indicators, </w:t>
      </w:r>
      <w:r w:rsidRPr="00762F1E">
        <w:rPr>
          <w:b/>
          <w:lang w:val="en-GB"/>
        </w:rPr>
        <w:t>and living conditions of all components of society, including immigrants, foreign-born citizens and members of indigenous and minority groups, with particular reference to the fields of employment, housing, education and health.</w:t>
      </w:r>
    </w:p>
    <w:p w:rsidR="00087B2A" w:rsidRPr="00762F1E" w:rsidRDefault="00087B2A" w:rsidP="00087B2A">
      <w:pPr>
        <w:pStyle w:val="H23G"/>
      </w:pPr>
      <w:r w:rsidRPr="00762F1E">
        <w:tab/>
      </w:r>
      <w:r w:rsidRPr="00762F1E">
        <w:tab/>
        <w:t>Special measures</w:t>
      </w:r>
    </w:p>
    <w:p w:rsidR="00087B2A" w:rsidRPr="00762F1E" w:rsidRDefault="00E0642F" w:rsidP="00CA07DB">
      <w:pPr>
        <w:spacing w:before="120" w:after="120"/>
        <w:ind w:left="1134" w:right="1134"/>
        <w:jc w:val="both"/>
      </w:pPr>
      <w:r w:rsidRPr="00762F1E">
        <w:t>8</w:t>
      </w:r>
      <w:r w:rsidR="00087B2A" w:rsidRPr="00762F1E">
        <w:t>.</w:t>
      </w:r>
      <w:r w:rsidR="00087B2A" w:rsidRPr="00762F1E">
        <w:tab/>
        <w:t xml:space="preserve">While noting that the State party has taken steps to facilitate, inter alia, access </w:t>
      </w:r>
      <w:r w:rsidR="0049582B" w:rsidRPr="00762F1E">
        <w:t xml:space="preserve">by </w:t>
      </w:r>
      <w:r w:rsidR="00087B2A" w:rsidRPr="00762F1E">
        <w:t>newly arrived immigrants to employment</w:t>
      </w:r>
      <w:r w:rsidR="00941255" w:rsidRPr="00762F1E">
        <w:t>,</w:t>
      </w:r>
      <w:r w:rsidR="00087B2A" w:rsidRPr="00762F1E">
        <w:t xml:space="preserve"> </w:t>
      </w:r>
      <w:r w:rsidR="0049582B" w:rsidRPr="00762F1E">
        <w:t>and</w:t>
      </w:r>
      <w:r w:rsidR="002D173A" w:rsidRPr="00762F1E">
        <w:t xml:space="preserve"> </w:t>
      </w:r>
      <w:r w:rsidR="00087B2A" w:rsidRPr="00762F1E">
        <w:t xml:space="preserve">education and equal opportunities for members of national minorities, the Committee expresses concern at the State party’s position that </w:t>
      </w:r>
      <w:r w:rsidR="00BD7640" w:rsidRPr="00762F1E">
        <w:t>“</w:t>
      </w:r>
      <w:r w:rsidR="00087B2A" w:rsidRPr="00762F1E">
        <w:t xml:space="preserve">special measures is a controversial concept </w:t>
      </w:r>
      <w:r w:rsidR="00BD7640" w:rsidRPr="00762F1E">
        <w:t xml:space="preserve">and </w:t>
      </w:r>
      <w:r w:rsidR="00087B2A" w:rsidRPr="00762F1E">
        <w:t>is not defined in Swedish law</w:t>
      </w:r>
      <w:r w:rsidR="00BD7640" w:rsidRPr="00762F1E">
        <w:t>”</w:t>
      </w:r>
      <w:r w:rsidR="00087B2A" w:rsidRPr="00762F1E">
        <w:t xml:space="preserve"> </w:t>
      </w:r>
      <w:r w:rsidR="00CE7539" w:rsidRPr="00762F1E">
        <w:t>and that there is not an</w:t>
      </w:r>
      <w:r w:rsidR="00087B2A" w:rsidRPr="00762F1E">
        <w:t xml:space="preserve"> accepted definition of the concept of special measures</w:t>
      </w:r>
      <w:r w:rsidR="002D173A" w:rsidRPr="00762F1E">
        <w:t xml:space="preserve"> (CERD/C/SWE/19-21, para. 62)</w:t>
      </w:r>
      <w:r w:rsidRPr="00762F1E">
        <w:t>. The C</w:t>
      </w:r>
      <w:r w:rsidR="00087B2A" w:rsidRPr="00762F1E">
        <w:t>ommittee recalls its previous concluding observations (CERD/C/SWE/CO/18)</w:t>
      </w:r>
      <w:r w:rsidR="00941255" w:rsidRPr="00762F1E">
        <w:t xml:space="preserve"> and</w:t>
      </w:r>
      <w:r w:rsidR="00087B2A" w:rsidRPr="00762F1E">
        <w:t xml:space="preserve"> general recommendation No. 32 (2009) on the meaning and scope of special measures (arts. 1</w:t>
      </w:r>
      <w:r w:rsidR="00BD7640" w:rsidRPr="00762F1E">
        <w:t xml:space="preserve">, para. </w:t>
      </w:r>
      <w:r w:rsidR="00087B2A" w:rsidRPr="00762F1E">
        <w:t>4, and 2</w:t>
      </w:r>
      <w:r w:rsidR="00BD7640" w:rsidRPr="00762F1E">
        <w:t xml:space="preserve">, para. </w:t>
      </w:r>
      <w:r w:rsidR="00087B2A" w:rsidRPr="00762F1E">
        <w:t>2).</w:t>
      </w:r>
    </w:p>
    <w:p w:rsidR="00087B2A" w:rsidRPr="00762F1E" w:rsidRDefault="00087B2A" w:rsidP="00087B2A">
      <w:pPr>
        <w:ind w:left="1134" w:right="1134"/>
        <w:jc w:val="both"/>
        <w:rPr>
          <w:b/>
        </w:rPr>
      </w:pPr>
      <w:r w:rsidRPr="00762F1E">
        <w:rPr>
          <w:b/>
        </w:rPr>
        <w:t>The Committee recommends that the State party amend its legislation (</w:t>
      </w:r>
      <w:r w:rsidR="00BD7640" w:rsidRPr="00762F1E">
        <w:rPr>
          <w:b/>
        </w:rPr>
        <w:t xml:space="preserve">the </w:t>
      </w:r>
      <w:r w:rsidRPr="00762F1E">
        <w:rPr>
          <w:b/>
        </w:rPr>
        <w:t xml:space="preserve">Anti-Discrimination Act and other </w:t>
      </w:r>
      <w:r w:rsidR="00BD7640" w:rsidRPr="00762F1E">
        <w:rPr>
          <w:b/>
        </w:rPr>
        <w:t>regulations</w:t>
      </w:r>
      <w:r w:rsidRPr="00762F1E">
        <w:rPr>
          <w:b/>
        </w:rPr>
        <w:t xml:space="preserve">) to provide for the </w:t>
      </w:r>
      <w:r w:rsidR="00CE7539" w:rsidRPr="00762F1E">
        <w:rPr>
          <w:b/>
        </w:rPr>
        <w:t xml:space="preserve">possibility of </w:t>
      </w:r>
      <w:r w:rsidRPr="00762F1E">
        <w:rPr>
          <w:b/>
        </w:rPr>
        <w:t>adopti</w:t>
      </w:r>
      <w:r w:rsidR="00BD7640" w:rsidRPr="00762F1E">
        <w:rPr>
          <w:b/>
        </w:rPr>
        <w:t>ng</w:t>
      </w:r>
      <w:r w:rsidRPr="00762F1E">
        <w:rPr>
          <w:b/>
        </w:rPr>
        <w:t xml:space="preserve"> special measures to promote equal opportunities</w:t>
      </w:r>
      <w:r w:rsidR="00CE7539" w:rsidRPr="00762F1E">
        <w:rPr>
          <w:b/>
        </w:rPr>
        <w:t>,</w:t>
      </w:r>
      <w:r w:rsidRPr="00762F1E">
        <w:rPr>
          <w:b/>
        </w:rPr>
        <w:t xml:space="preserve"> </w:t>
      </w:r>
      <w:r w:rsidR="00533E25" w:rsidRPr="00762F1E">
        <w:rPr>
          <w:b/>
        </w:rPr>
        <w:t xml:space="preserve">address structural discrimination and </w:t>
      </w:r>
      <w:r w:rsidRPr="00762F1E">
        <w:rPr>
          <w:b/>
        </w:rPr>
        <w:t>enhance strategies against inequality and discrimination faced by immigrants, foreign-born citizens, indigenous and minority groups</w:t>
      </w:r>
      <w:r w:rsidR="00C7554A" w:rsidRPr="00762F1E">
        <w:rPr>
          <w:b/>
        </w:rPr>
        <w:t>,</w:t>
      </w:r>
      <w:r w:rsidRPr="00762F1E">
        <w:rPr>
          <w:b/>
        </w:rPr>
        <w:t xml:space="preserve"> including Afro-Swedes and Muslims, in accordance with article 1, paragraph 4, of the Convention. Such special measures may take various forms</w:t>
      </w:r>
      <w:r w:rsidR="005E3F99" w:rsidRPr="00762F1E">
        <w:rPr>
          <w:b/>
        </w:rPr>
        <w:t xml:space="preserve">, </w:t>
      </w:r>
      <w:r w:rsidRPr="00762F1E">
        <w:rPr>
          <w:b/>
        </w:rPr>
        <w:t>depending on their purpose.</w:t>
      </w:r>
    </w:p>
    <w:p w:rsidR="00087B2A" w:rsidRPr="00762F1E" w:rsidRDefault="00087B2A" w:rsidP="005E3F99">
      <w:pPr>
        <w:pStyle w:val="H23G"/>
      </w:pPr>
      <w:r w:rsidRPr="00762F1E">
        <w:tab/>
      </w:r>
      <w:r w:rsidRPr="00762F1E">
        <w:tab/>
        <w:t>Equality Ombudsman</w:t>
      </w:r>
    </w:p>
    <w:p w:rsidR="00087B2A" w:rsidRPr="00762F1E" w:rsidRDefault="00E0642F" w:rsidP="00CA07DB">
      <w:pPr>
        <w:spacing w:before="120" w:after="120"/>
        <w:ind w:left="1134" w:right="1134"/>
        <w:jc w:val="both"/>
      </w:pPr>
      <w:r w:rsidRPr="00762F1E">
        <w:t>9</w:t>
      </w:r>
      <w:r w:rsidR="00087B2A" w:rsidRPr="00762F1E">
        <w:t>.</w:t>
      </w:r>
      <w:r w:rsidR="00087B2A" w:rsidRPr="00762F1E">
        <w:tab/>
        <w:t xml:space="preserve">While welcoming the establishment of the Equality Ombudsman on 1 January 2009, consolidating the four </w:t>
      </w:r>
      <w:r w:rsidR="00CE7539" w:rsidRPr="00762F1E">
        <w:t>different</w:t>
      </w:r>
      <w:r w:rsidR="00087B2A" w:rsidRPr="00762F1E">
        <w:t xml:space="preserve"> ombudsmen</w:t>
      </w:r>
      <w:r w:rsidR="006F13C5" w:rsidRPr="00762F1E">
        <w:t xml:space="preserve"> offices</w:t>
      </w:r>
      <w:r w:rsidR="00087B2A" w:rsidRPr="00762F1E">
        <w:t xml:space="preserve">, the Committee notes with concern the lack of a broad mandate </w:t>
      </w:r>
      <w:r w:rsidR="002B3D7A" w:rsidRPr="00762F1E">
        <w:t xml:space="preserve">for </w:t>
      </w:r>
      <w:r w:rsidR="00087B2A" w:rsidRPr="00762F1E">
        <w:t>the Ombudsman</w:t>
      </w:r>
      <w:r w:rsidR="002B3D7A" w:rsidRPr="00762F1E">
        <w:t xml:space="preserve"> </w:t>
      </w:r>
      <w:r w:rsidR="00F44E59" w:rsidRPr="00762F1E">
        <w:t>that goes</w:t>
      </w:r>
      <w:r w:rsidR="00087B2A" w:rsidRPr="00762F1E">
        <w:t xml:space="preserve"> </w:t>
      </w:r>
      <w:r w:rsidR="00BC5579" w:rsidRPr="00762F1E">
        <w:t xml:space="preserve">beyond </w:t>
      </w:r>
      <w:r w:rsidR="00087B2A" w:rsidRPr="00762F1E">
        <w:t xml:space="preserve">the </w:t>
      </w:r>
      <w:r w:rsidR="006F13C5" w:rsidRPr="00762F1E">
        <w:t>limits of the Anti-Discrimination Act</w:t>
      </w:r>
      <w:r w:rsidR="00C7554A" w:rsidRPr="00762F1E">
        <w:t>,</w:t>
      </w:r>
      <w:r w:rsidR="00403396" w:rsidRPr="00762F1E">
        <w:t xml:space="preserve"> </w:t>
      </w:r>
      <w:r w:rsidR="00FE5BAE" w:rsidRPr="00762F1E">
        <w:t>which</w:t>
      </w:r>
      <w:r w:rsidR="00952166">
        <w:t xml:space="preserve"> does not include</w:t>
      </w:r>
      <w:r w:rsidR="00FE5BAE" w:rsidRPr="00762F1E">
        <w:t>, for example,</w:t>
      </w:r>
      <w:r w:rsidR="00FB059C" w:rsidRPr="00762F1E">
        <w:t xml:space="preserve"> </w:t>
      </w:r>
      <w:r w:rsidR="00590992" w:rsidRPr="00762F1E">
        <w:t xml:space="preserve">protection </w:t>
      </w:r>
      <w:r w:rsidR="009D19BF" w:rsidRPr="00762F1E">
        <w:t xml:space="preserve">from the </w:t>
      </w:r>
      <w:r w:rsidR="007301AD" w:rsidRPr="00762F1E">
        <w:t xml:space="preserve">wrongful acts of </w:t>
      </w:r>
      <w:r w:rsidR="00590992" w:rsidRPr="00762F1E">
        <w:t>private individual</w:t>
      </w:r>
      <w:r w:rsidR="007301AD" w:rsidRPr="00762F1E">
        <w:t>s</w:t>
      </w:r>
      <w:r w:rsidR="00590992" w:rsidRPr="00762F1E">
        <w:t xml:space="preserve"> or public official</w:t>
      </w:r>
      <w:r w:rsidR="007301AD" w:rsidRPr="00762F1E">
        <w:t>s</w:t>
      </w:r>
      <w:r w:rsidR="00087B2A" w:rsidRPr="00762F1E">
        <w:t>, the Ombudsman</w:t>
      </w:r>
      <w:r w:rsidRPr="00762F1E">
        <w:t xml:space="preserve"> Office</w:t>
      </w:r>
      <w:r w:rsidR="00087B2A" w:rsidRPr="00762F1E">
        <w:t xml:space="preserve">’s accountability towards the Government and the </w:t>
      </w:r>
      <w:r w:rsidRPr="00762F1E">
        <w:t xml:space="preserve">limitations </w:t>
      </w:r>
      <w:r w:rsidR="00087B2A" w:rsidRPr="00762F1E">
        <w:t xml:space="preserve">of its independence </w:t>
      </w:r>
      <w:r w:rsidR="00E81C0D" w:rsidRPr="00762F1E">
        <w:t xml:space="preserve">owing </w:t>
      </w:r>
      <w:r w:rsidR="00087B2A" w:rsidRPr="00762F1E">
        <w:t>to the appointment and dismissal procedures</w:t>
      </w:r>
      <w:r w:rsidRPr="00762F1E">
        <w:t xml:space="preserve">. </w:t>
      </w:r>
      <w:r w:rsidR="00087B2A" w:rsidRPr="00762F1E">
        <w:t xml:space="preserve">The Committee is also concerned at the very low number of cases </w:t>
      </w:r>
      <w:r w:rsidR="00FB059C" w:rsidRPr="00762F1E">
        <w:t xml:space="preserve">in which </w:t>
      </w:r>
      <w:r w:rsidR="00087B2A" w:rsidRPr="00762F1E">
        <w:t>discrimination</w:t>
      </w:r>
      <w:r w:rsidR="00FB059C" w:rsidRPr="00762F1E">
        <w:t xml:space="preserve"> was established</w:t>
      </w:r>
      <w:r w:rsidR="00087B2A" w:rsidRPr="00762F1E">
        <w:t xml:space="preserve">, despite the reported prevalence of ethnic discrimination </w:t>
      </w:r>
      <w:r w:rsidR="00FE5BAE" w:rsidRPr="00762F1E">
        <w:t xml:space="preserve">in </w:t>
      </w:r>
      <w:r w:rsidR="00087B2A" w:rsidRPr="00762F1E">
        <w:t xml:space="preserve">the workplace, </w:t>
      </w:r>
      <w:r w:rsidR="006F13C5" w:rsidRPr="00762F1E">
        <w:t>housing, access to</w:t>
      </w:r>
      <w:r w:rsidR="00087B2A" w:rsidRPr="00762F1E">
        <w:t xml:space="preserve"> goods and services and education (CERD/C/SWE/19-21, paras. 46</w:t>
      </w:r>
      <w:r w:rsidR="00E81C0D" w:rsidRPr="00762F1E">
        <w:t>–</w:t>
      </w:r>
      <w:r w:rsidR="00087B2A" w:rsidRPr="00762F1E">
        <w:t>47) (art. 2</w:t>
      </w:r>
      <w:r w:rsidR="00E81C0D" w:rsidRPr="00762F1E">
        <w:t xml:space="preserve">, para. </w:t>
      </w:r>
      <w:r w:rsidR="00087B2A" w:rsidRPr="00762F1E">
        <w:t>2).</w:t>
      </w:r>
    </w:p>
    <w:p w:rsidR="00087B2A" w:rsidRPr="00762F1E" w:rsidRDefault="00087B2A" w:rsidP="00087B2A">
      <w:pPr>
        <w:pStyle w:val="SingleTxtG"/>
        <w:rPr>
          <w:b/>
          <w:lang w:val="en-GB"/>
        </w:rPr>
      </w:pPr>
      <w:r w:rsidRPr="00762F1E">
        <w:rPr>
          <w:b/>
          <w:lang w:val="en-GB"/>
        </w:rPr>
        <w:t xml:space="preserve">The Committee recommends that the State party strengthen the Equality Ombudsman by broadening its mandate to </w:t>
      </w:r>
      <w:r w:rsidR="006F13C5" w:rsidRPr="00762F1E">
        <w:rPr>
          <w:b/>
          <w:lang w:val="en-GB"/>
        </w:rPr>
        <w:t xml:space="preserve">effectively </w:t>
      </w:r>
      <w:r w:rsidRPr="00762F1E">
        <w:rPr>
          <w:b/>
          <w:lang w:val="en-GB"/>
        </w:rPr>
        <w:t xml:space="preserve">protect </w:t>
      </w:r>
      <w:r w:rsidR="006F13C5" w:rsidRPr="00762F1E">
        <w:rPr>
          <w:b/>
          <w:lang w:val="en-GB"/>
        </w:rPr>
        <w:t xml:space="preserve">the members of vulnerable groups </w:t>
      </w:r>
      <w:r w:rsidR="009D19BF" w:rsidRPr="00762F1E">
        <w:rPr>
          <w:b/>
          <w:lang w:val="en-GB"/>
        </w:rPr>
        <w:t xml:space="preserve">from </w:t>
      </w:r>
      <w:r w:rsidR="00902184" w:rsidRPr="00762F1E">
        <w:rPr>
          <w:b/>
          <w:lang w:val="en-GB"/>
        </w:rPr>
        <w:t xml:space="preserve">all forms of </w:t>
      </w:r>
      <w:r w:rsidR="006F13C5" w:rsidRPr="00762F1E">
        <w:rPr>
          <w:b/>
          <w:lang w:val="en-GB"/>
        </w:rPr>
        <w:t>discrimination</w:t>
      </w:r>
      <w:r w:rsidRPr="00762F1E">
        <w:rPr>
          <w:b/>
          <w:lang w:val="en-GB"/>
        </w:rPr>
        <w:t>, providing it with adequate financial and human resources, and ensuring</w:t>
      </w:r>
      <w:r w:rsidR="00E0642F" w:rsidRPr="00762F1E">
        <w:rPr>
          <w:b/>
          <w:lang w:val="en-GB"/>
        </w:rPr>
        <w:t xml:space="preserve"> </w:t>
      </w:r>
      <w:r w:rsidRPr="00762F1E">
        <w:rPr>
          <w:b/>
          <w:lang w:val="en-GB"/>
        </w:rPr>
        <w:t xml:space="preserve">the operational and perceived independence of the Ombudsman by establishing proper appointment and dismissal procedures. The Committee requests that the State party undertake a thorough analysis of the </w:t>
      </w:r>
      <w:r w:rsidR="006F13C5" w:rsidRPr="00762F1E">
        <w:rPr>
          <w:b/>
          <w:lang w:val="en-GB"/>
        </w:rPr>
        <w:t xml:space="preserve">reasons for the </w:t>
      </w:r>
      <w:r w:rsidRPr="00762F1E">
        <w:rPr>
          <w:b/>
          <w:lang w:val="en-GB"/>
        </w:rPr>
        <w:t xml:space="preserve">low number of </w:t>
      </w:r>
      <w:r w:rsidR="00BC5579" w:rsidRPr="00762F1E">
        <w:rPr>
          <w:b/>
          <w:lang w:val="en-GB"/>
        </w:rPr>
        <w:t xml:space="preserve">cases </w:t>
      </w:r>
      <w:r w:rsidR="00FB059C" w:rsidRPr="00762F1E">
        <w:rPr>
          <w:b/>
          <w:lang w:val="en-GB"/>
        </w:rPr>
        <w:t xml:space="preserve">in which </w:t>
      </w:r>
      <w:r w:rsidR="00BC5579" w:rsidRPr="00762F1E">
        <w:rPr>
          <w:b/>
          <w:lang w:val="en-GB"/>
        </w:rPr>
        <w:t xml:space="preserve">discrimination </w:t>
      </w:r>
      <w:r w:rsidR="00FB059C" w:rsidRPr="00762F1E">
        <w:rPr>
          <w:b/>
          <w:lang w:val="en-GB"/>
        </w:rPr>
        <w:t xml:space="preserve">was established </w:t>
      </w:r>
      <w:r w:rsidRPr="00762F1E">
        <w:rPr>
          <w:b/>
          <w:lang w:val="en-GB"/>
        </w:rPr>
        <w:t xml:space="preserve">by </w:t>
      </w:r>
      <w:r w:rsidR="00BC5579" w:rsidRPr="00762F1E">
        <w:rPr>
          <w:b/>
          <w:lang w:val="en-GB"/>
        </w:rPr>
        <w:t xml:space="preserve">the </w:t>
      </w:r>
      <w:r w:rsidRPr="00762F1E">
        <w:rPr>
          <w:b/>
          <w:lang w:val="en-GB"/>
        </w:rPr>
        <w:t>Ombudsman and take</w:t>
      </w:r>
      <w:r w:rsidR="00BC5579" w:rsidRPr="00762F1E">
        <w:rPr>
          <w:b/>
          <w:lang w:val="en-GB"/>
        </w:rPr>
        <w:t xml:space="preserve"> steps </w:t>
      </w:r>
      <w:r w:rsidRPr="00762F1E">
        <w:rPr>
          <w:b/>
          <w:lang w:val="en-GB"/>
        </w:rPr>
        <w:t>to address this problem</w:t>
      </w:r>
      <w:r w:rsidR="00FB059C" w:rsidRPr="00762F1E">
        <w:rPr>
          <w:b/>
          <w:lang w:val="en-GB"/>
        </w:rPr>
        <w:t xml:space="preserve">. </w:t>
      </w:r>
      <w:r w:rsidRPr="00762F1E">
        <w:rPr>
          <w:b/>
          <w:lang w:val="en-GB"/>
        </w:rPr>
        <w:t>Finally, the State party should assess</w:t>
      </w:r>
      <w:r w:rsidR="00BC5579" w:rsidRPr="00762F1E">
        <w:rPr>
          <w:b/>
          <w:lang w:val="en-GB"/>
        </w:rPr>
        <w:t xml:space="preserve"> the </w:t>
      </w:r>
      <w:r w:rsidRPr="00762F1E">
        <w:rPr>
          <w:b/>
          <w:lang w:val="en-GB"/>
        </w:rPr>
        <w:t xml:space="preserve">effects of </w:t>
      </w:r>
      <w:r w:rsidR="00FE5BAE" w:rsidRPr="00762F1E">
        <w:rPr>
          <w:b/>
          <w:lang w:val="en-GB"/>
        </w:rPr>
        <w:t xml:space="preserve">the </w:t>
      </w:r>
      <w:r w:rsidRPr="00762F1E">
        <w:rPr>
          <w:b/>
          <w:lang w:val="en-GB"/>
        </w:rPr>
        <w:t>consolidation of the Ombudsman’s mandate on combating discrimination.</w:t>
      </w:r>
    </w:p>
    <w:p w:rsidR="00044B97" w:rsidRPr="00762F1E" w:rsidRDefault="00087B2A" w:rsidP="00044B97">
      <w:pPr>
        <w:pStyle w:val="H23G"/>
      </w:pPr>
      <w:r w:rsidRPr="00762F1E">
        <w:tab/>
      </w:r>
      <w:r w:rsidRPr="00762F1E">
        <w:tab/>
      </w:r>
      <w:r w:rsidR="00044B97" w:rsidRPr="00762F1E">
        <w:t xml:space="preserve">National </w:t>
      </w:r>
      <w:r w:rsidR="00FE5BAE" w:rsidRPr="00762F1E">
        <w:t>h</w:t>
      </w:r>
      <w:r w:rsidR="00044B97" w:rsidRPr="00762F1E">
        <w:t xml:space="preserve">uman </w:t>
      </w:r>
      <w:r w:rsidR="00FE5BAE" w:rsidRPr="00762F1E">
        <w:t>r</w:t>
      </w:r>
      <w:r w:rsidR="00044B97" w:rsidRPr="00762F1E">
        <w:t xml:space="preserve">ights </w:t>
      </w:r>
      <w:r w:rsidR="00FE5BAE" w:rsidRPr="00762F1E">
        <w:t>i</w:t>
      </w:r>
      <w:r w:rsidR="00044B97" w:rsidRPr="00762F1E">
        <w:t>nstitution</w:t>
      </w:r>
    </w:p>
    <w:p w:rsidR="00044B97" w:rsidRPr="00762F1E" w:rsidRDefault="000A1A84" w:rsidP="00044B97">
      <w:pPr>
        <w:spacing w:after="120"/>
        <w:ind w:left="1134" w:right="1134"/>
        <w:jc w:val="both"/>
      </w:pPr>
      <w:r>
        <w:t>10.</w:t>
      </w:r>
      <w:r w:rsidR="00044B97" w:rsidRPr="00762F1E">
        <w:tab/>
        <w:t xml:space="preserve">The Committee welcomes the functioning of the Ombudsman’s Office, </w:t>
      </w:r>
      <w:r w:rsidR="00920ED0" w:rsidRPr="00762F1E">
        <w:t xml:space="preserve">but is </w:t>
      </w:r>
      <w:r w:rsidR="00044B97" w:rsidRPr="00762F1E">
        <w:t xml:space="preserve">nevertheless concerned about the absence of an independent </w:t>
      </w:r>
      <w:r w:rsidR="00920ED0" w:rsidRPr="00762F1E">
        <w:t>n</w:t>
      </w:r>
      <w:r w:rsidR="00044B97" w:rsidRPr="00762F1E">
        <w:t xml:space="preserve">ational </w:t>
      </w:r>
      <w:r w:rsidR="00920ED0" w:rsidRPr="00762F1E">
        <w:t>h</w:t>
      </w:r>
      <w:r w:rsidR="00044B97" w:rsidRPr="00762F1E">
        <w:t xml:space="preserve">uman </w:t>
      </w:r>
      <w:r w:rsidR="00920ED0" w:rsidRPr="00762F1E">
        <w:t>r</w:t>
      </w:r>
      <w:r w:rsidR="00044B97" w:rsidRPr="00762F1E">
        <w:t xml:space="preserve">ights </w:t>
      </w:r>
      <w:r w:rsidR="00920ED0" w:rsidRPr="00762F1E">
        <w:t>i</w:t>
      </w:r>
      <w:r w:rsidR="00044B97" w:rsidRPr="00762F1E">
        <w:t>nstitution in conformity with the principles relating to the status of national institutions for the promotion and protection of human rights (Paris Principles) (art. 2).</w:t>
      </w:r>
    </w:p>
    <w:p w:rsidR="00044B97" w:rsidRPr="00762F1E" w:rsidRDefault="00044B97" w:rsidP="00044B97">
      <w:pPr>
        <w:spacing w:after="120"/>
        <w:ind w:left="1134" w:right="1134"/>
        <w:jc w:val="both"/>
      </w:pPr>
      <w:r w:rsidRPr="00762F1E">
        <w:rPr>
          <w:b/>
        </w:rPr>
        <w:t>Recalling its general recommendation No. 17 (1993) on the establishment of national institutions to facilitate the implementation of the Convention, the Committee recommends that the State party also consider establishing an independent national human rights institution for the protection and promotion of human rights in conformity with the Paris Principles, and provided with adequate financial and human resources in order to efficiently fight against discrimination.</w:t>
      </w:r>
    </w:p>
    <w:p w:rsidR="00087B2A" w:rsidRPr="00762F1E" w:rsidRDefault="00044B97" w:rsidP="00724AD2">
      <w:pPr>
        <w:pStyle w:val="H23G"/>
      </w:pPr>
      <w:r w:rsidRPr="00762F1E">
        <w:tab/>
      </w:r>
      <w:r w:rsidRPr="00762F1E">
        <w:tab/>
      </w:r>
      <w:r w:rsidR="00087B2A" w:rsidRPr="00762F1E">
        <w:t>Racially motivated hate crimes</w:t>
      </w:r>
    </w:p>
    <w:p w:rsidR="00087B2A" w:rsidRPr="00762F1E" w:rsidRDefault="00E0642F" w:rsidP="00087B2A">
      <w:pPr>
        <w:pStyle w:val="SingleTxtG"/>
        <w:rPr>
          <w:lang w:val="en-GB"/>
        </w:rPr>
      </w:pPr>
      <w:r w:rsidRPr="00762F1E">
        <w:rPr>
          <w:lang w:val="en-GB"/>
        </w:rPr>
        <w:t>11</w:t>
      </w:r>
      <w:r w:rsidR="00087B2A" w:rsidRPr="00762F1E">
        <w:rPr>
          <w:lang w:val="en-GB"/>
        </w:rPr>
        <w:t>.</w:t>
      </w:r>
      <w:r w:rsidR="00087B2A" w:rsidRPr="00762F1E">
        <w:rPr>
          <w:lang w:val="en-GB"/>
        </w:rPr>
        <w:tab/>
        <w:t xml:space="preserve">The Committee takes note of the </w:t>
      </w:r>
      <w:r w:rsidR="00C90EC6" w:rsidRPr="00762F1E">
        <w:rPr>
          <w:lang w:val="en-GB"/>
        </w:rPr>
        <w:t xml:space="preserve">enhanced </w:t>
      </w:r>
      <w:r w:rsidR="00087B2A" w:rsidRPr="00762F1E">
        <w:rPr>
          <w:lang w:val="en-GB"/>
        </w:rPr>
        <w:t>data on xenophobic and racially motivated hate crimes and welcomes the State party’s efforts at the police, prosecution and justice</w:t>
      </w:r>
      <w:r w:rsidR="009A1002" w:rsidRPr="00762F1E">
        <w:rPr>
          <w:lang w:val="en-GB"/>
        </w:rPr>
        <w:t xml:space="preserve"> levels</w:t>
      </w:r>
      <w:r w:rsidR="00087B2A" w:rsidRPr="00762F1E">
        <w:rPr>
          <w:lang w:val="en-GB"/>
        </w:rPr>
        <w:t xml:space="preserve"> to fight hate crimes by introducing, inter alia, the special hate crime investigators and on-call hate crime units. However, the Committee is concerned about the limited effectiveness of the measures against hate crimes</w:t>
      </w:r>
      <w:r w:rsidR="00285ABF" w:rsidRPr="00762F1E">
        <w:rPr>
          <w:lang w:val="en-GB"/>
        </w:rPr>
        <w:t>,</w:t>
      </w:r>
      <w:r w:rsidR="00087B2A" w:rsidRPr="00762F1E">
        <w:rPr>
          <w:lang w:val="en-GB"/>
        </w:rPr>
        <w:t xml:space="preserve"> which </w:t>
      </w:r>
      <w:r w:rsidRPr="00762F1E">
        <w:rPr>
          <w:lang w:val="en-GB"/>
        </w:rPr>
        <w:t xml:space="preserve">are </w:t>
      </w:r>
      <w:r w:rsidR="00087B2A" w:rsidRPr="00762F1E">
        <w:rPr>
          <w:lang w:val="en-GB"/>
        </w:rPr>
        <w:t>appl</w:t>
      </w:r>
      <w:r w:rsidRPr="00762F1E">
        <w:rPr>
          <w:lang w:val="en-GB"/>
        </w:rPr>
        <w:t xml:space="preserve">ied </w:t>
      </w:r>
      <w:r w:rsidR="00087B2A" w:rsidRPr="00762F1E">
        <w:rPr>
          <w:lang w:val="en-GB"/>
        </w:rPr>
        <w:t>only i</w:t>
      </w:r>
      <w:r w:rsidR="00C90EC6" w:rsidRPr="00762F1E">
        <w:rPr>
          <w:lang w:val="en-GB"/>
        </w:rPr>
        <w:t>n</w:t>
      </w:r>
      <w:r w:rsidR="00087B2A" w:rsidRPr="00762F1E">
        <w:rPr>
          <w:lang w:val="en-GB"/>
        </w:rPr>
        <w:t xml:space="preserve"> some parts of the country. It is also concerned at the </w:t>
      </w:r>
      <w:r w:rsidR="00C92AA7" w:rsidRPr="00762F1E">
        <w:rPr>
          <w:lang w:val="en-GB"/>
        </w:rPr>
        <w:t xml:space="preserve">reported </w:t>
      </w:r>
      <w:r w:rsidR="00087B2A" w:rsidRPr="00762F1E">
        <w:rPr>
          <w:lang w:val="en-GB"/>
        </w:rPr>
        <w:t>discrepancy between increased reports to the police of hate crimes and the decrease in</w:t>
      </w:r>
      <w:r w:rsidR="00285ABF" w:rsidRPr="00762F1E">
        <w:rPr>
          <w:lang w:val="en-GB"/>
        </w:rPr>
        <w:t xml:space="preserve"> the</w:t>
      </w:r>
      <w:r w:rsidR="00087B2A" w:rsidRPr="00762F1E">
        <w:rPr>
          <w:lang w:val="en-GB"/>
        </w:rPr>
        <w:t xml:space="preserve"> number of preliminary investigations and convictions</w:t>
      </w:r>
      <w:r w:rsidR="00C92AA7" w:rsidRPr="00762F1E">
        <w:rPr>
          <w:lang w:val="en-GB"/>
        </w:rPr>
        <w:t xml:space="preserve">, in particular as regards </w:t>
      </w:r>
      <w:r w:rsidR="00A361B0" w:rsidRPr="00762F1E">
        <w:rPr>
          <w:lang w:val="en-GB"/>
        </w:rPr>
        <w:t>“</w:t>
      </w:r>
      <w:r w:rsidR="00087B2A" w:rsidRPr="00762F1E">
        <w:rPr>
          <w:lang w:val="en-GB"/>
        </w:rPr>
        <w:t>agitation</w:t>
      </w:r>
      <w:r w:rsidR="00A361B0" w:rsidRPr="00762F1E">
        <w:rPr>
          <w:lang w:val="en-GB"/>
        </w:rPr>
        <w:t>”</w:t>
      </w:r>
      <w:r w:rsidR="00087B2A" w:rsidRPr="00762F1E">
        <w:rPr>
          <w:lang w:val="en-GB"/>
        </w:rPr>
        <w:t xml:space="preserve"> against a national or ethnic group. The Committee expresses further concern about </w:t>
      </w:r>
      <w:r w:rsidR="00C90EC6" w:rsidRPr="00762F1E">
        <w:rPr>
          <w:lang w:val="en-GB"/>
        </w:rPr>
        <w:t>the consideration of forms of hate speech under “agitation”</w:t>
      </w:r>
      <w:r w:rsidR="00285ABF" w:rsidRPr="00762F1E">
        <w:rPr>
          <w:lang w:val="en-GB"/>
        </w:rPr>
        <w:t>,</w:t>
      </w:r>
      <w:r w:rsidR="00C90EC6" w:rsidRPr="00762F1E">
        <w:rPr>
          <w:lang w:val="en-GB"/>
        </w:rPr>
        <w:t xml:space="preserve"> which may result in a restrictive interpretation</w:t>
      </w:r>
      <w:r w:rsidR="005A5714" w:rsidRPr="00762F1E">
        <w:rPr>
          <w:lang w:val="en-GB"/>
        </w:rPr>
        <w:t xml:space="preserve"> and</w:t>
      </w:r>
      <w:r w:rsidR="00C90EC6" w:rsidRPr="00762F1E">
        <w:rPr>
          <w:lang w:val="en-GB"/>
        </w:rPr>
        <w:t xml:space="preserve"> </w:t>
      </w:r>
      <w:r w:rsidR="00087B2A" w:rsidRPr="00762F1E">
        <w:rPr>
          <w:lang w:val="en-GB"/>
        </w:rPr>
        <w:t>the use of differ</w:t>
      </w:r>
      <w:r w:rsidR="00FB059C" w:rsidRPr="00762F1E">
        <w:rPr>
          <w:lang w:val="en-GB"/>
        </w:rPr>
        <w:t xml:space="preserve">ing </w:t>
      </w:r>
      <w:r w:rsidR="00087B2A" w:rsidRPr="00762F1E">
        <w:rPr>
          <w:lang w:val="en-GB"/>
        </w:rPr>
        <w:t>definition</w:t>
      </w:r>
      <w:r w:rsidR="00FB059C" w:rsidRPr="00762F1E">
        <w:rPr>
          <w:lang w:val="en-GB"/>
        </w:rPr>
        <w:t>s</w:t>
      </w:r>
      <w:r w:rsidR="00087B2A" w:rsidRPr="00762F1E">
        <w:rPr>
          <w:lang w:val="en-GB"/>
        </w:rPr>
        <w:t xml:space="preserve"> of hate crime by individual law enforcement agencies</w:t>
      </w:r>
      <w:r w:rsidR="00285ABF" w:rsidRPr="00762F1E">
        <w:rPr>
          <w:lang w:val="en-GB"/>
        </w:rPr>
        <w:t>,</w:t>
      </w:r>
      <w:r w:rsidR="00087B2A" w:rsidRPr="00762F1E">
        <w:rPr>
          <w:lang w:val="en-GB"/>
        </w:rPr>
        <w:t xml:space="preserve"> and the State party’s information that it is not possible to track all reported hate crimes through</w:t>
      </w:r>
      <w:r w:rsidR="00BC5579" w:rsidRPr="00762F1E">
        <w:rPr>
          <w:lang w:val="en-GB"/>
        </w:rPr>
        <w:t xml:space="preserve"> </w:t>
      </w:r>
      <w:r w:rsidR="00087B2A" w:rsidRPr="00762F1E">
        <w:rPr>
          <w:lang w:val="en-GB"/>
        </w:rPr>
        <w:t xml:space="preserve">the justice </w:t>
      </w:r>
      <w:r w:rsidR="00BC5579" w:rsidRPr="00762F1E">
        <w:rPr>
          <w:lang w:val="en-GB"/>
        </w:rPr>
        <w:t xml:space="preserve">system </w:t>
      </w:r>
      <w:r w:rsidR="00087B2A" w:rsidRPr="00762F1E">
        <w:rPr>
          <w:lang w:val="en-GB"/>
        </w:rPr>
        <w:t>(arts. 2</w:t>
      </w:r>
      <w:r w:rsidR="00A32F62" w:rsidRPr="00762F1E">
        <w:rPr>
          <w:lang w:val="en-GB"/>
        </w:rPr>
        <w:t xml:space="preserve">, para. </w:t>
      </w:r>
      <w:r w:rsidRPr="00762F1E">
        <w:rPr>
          <w:lang w:val="en-GB"/>
        </w:rPr>
        <w:t>1</w:t>
      </w:r>
      <w:r w:rsidR="00A32F62" w:rsidRPr="00762F1E">
        <w:rPr>
          <w:lang w:val="en-GB"/>
        </w:rPr>
        <w:t xml:space="preserve"> </w:t>
      </w:r>
      <w:r w:rsidRPr="00762F1E">
        <w:rPr>
          <w:lang w:val="en-GB"/>
        </w:rPr>
        <w:t>(c) and (d)</w:t>
      </w:r>
      <w:r w:rsidR="00285ABF" w:rsidRPr="00762F1E">
        <w:rPr>
          <w:lang w:val="en-GB"/>
        </w:rPr>
        <w:t>;</w:t>
      </w:r>
      <w:r w:rsidR="00087B2A" w:rsidRPr="00762F1E">
        <w:rPr>
          <w:lang w:val="en-GB"/>
        </w:rPr>
        <w:t xml:space="preserve"> 4</w:t>
      </w:r>
      <w:r w:rsidR="00FE2DFA" w:rsidRPr="00762F1E">
        <w:rPr>
          <w:lang w:val="en-GB"/>
        </w:rPr>
        <w:t xml:space="preserve"> </w:t>
      </w:r>
      <w:r w:rsidRPr="00762F1E">
        <w:rPr>
          <w:lang w:val="en-GB"/>
        </w:rPr>
        <w:t>(a)</w:t>
      </w:r>
      <w:r w:rsidR="00285ABF" w:rsidRPr="00762F1E">
        <w:rPr>
          <w:lang w:val="en-GB"/>
        </w:rPr>
        <w:t>;</w:t>
      </w:r>
      <w:r w:rsidR="005B12C4" w:rsidRPr="00762F1E">
        <w:rPr>
          <w:lang w:val="en-GB"/>
        </w:rPr>
        <w:t xml:space="preserve"> and</w:t>
      </w:r>
      <w:r w:rsidR="00087B2A" w:rsidRPr="00762F1E">
        <w:rPr>
          <w:lang w:val="en-GB"/>
        </w:rPr>
        <w:t xml:space="preserve"> 6).</w:t>
      </w:r>
    </w:p>
    <w:p w:rsidR="00087B2A" w:rsidRPr="00762F1E" w:rsidRDefault="00087B2A" w:rsidP="00087B2A">
      <w:pPr>
        <w:pStyle w:val="SingleTxtG"/>
        <w:rPr>
          <w:b/>
          <w:lang w:val="en-GB"/>
        </w:rPr>
      </w:pPr>
      <w:r w:rsidRPr="00762F1E">
        <w:rPr>
          <w:b/>
          <w:lang w:val="en-GB"/>
        </w:rPr>
        <w:t>The Committee recommends that the State party develop a clear strategy to ensure scrutiny of the way police and prosecutors deal with hate crimes and that it replicate measures such as hate crime units and special investigators in all parts of the country</w:t>
      </w:r>
      <w:r w:rsidR="00AA25DF" w:rsidRPr="00762F1E">
        <w:rPr>
          <w:b/>
          <w:lang w:val="en-GB"/>
        </w:rPr>
        <w:t xml:space="preserve">. </w:t>
      </w:r>
      <w:r w:rsidRPr="00762F1E">
        <w:rPr>
          <w:b/>
          <w:lang w:val="en-GB"/>
        </w:rPr>
        <w:t xml:space="preserve">The State party should </w:t>
      </w:r>
      <w:r w:rsidR="00FB059C" w:rsidRPr="00762F1E">
        <w:rPr>
          <w:b/>
          <w:lang w:val="en-GB"/>
        </w:rPr>
        <w:t xml:space="preserve">extend </w:t>
      </w:r>
      <w:r w:rsidR="00614C98" w:rsidRPr="00762F1E">
        <w:rPr>
          <w:b/>
          <w:lang w:val="en-GB"/>
        </w:rPr>
        <w:t xml:space="preserve">to all parts of the country </w:t>
      </w:r>
      <w:r w:rsidR="00FB059C" w:rsidRPr="00762F1E">
        <w:rPr>
          <w:b/>
          <w:lang w:val="en-GB"/>
        </w:rPr>
        <w:t>the training</w:t>
      </w:r>
      <w:r w:rsidR="005A5714" w:rsidRPr="00762F1E">
        <w:rPr>
          <w:b/>
          <w:lang w:val="en-GB"/>
        </w:rPr>
        <w:t xml:space="preserve"> given</w:t>
      </w:r>
      <w:r w:rsidR="00FB059C" w:rsidRPr="00762F1E">
        <w:rPr>
          <w:b/>
          <w:lang w:val="en-GB"/>
        </w:rPr>
        <w:t xml:space="preserve"> to </w:t>
      </w:r>
      <w:r w:rsidRPr="00762F1E">
        <w:rPr>
          <w:b/>
          <w:lang w:val="en-GB"/>
        </w:rPr>
        <w:t xml:space="preserve">the police, prosecutors and judges to </w:t>
      </w:r>
      <w:r w:rsidR="00FB059C" w:rsidRPr="00762F1E">
        <w:rPr>
          <w:b/>
          <w:lang w:val="en-GB"/>
        </w:rPr>
        <w:t xml:space="preserve">effectively </w:t>
      </w:r>
      <w:r w:rsidRPr="00762F1E">
        <w:rPr>
          <w:b/>
          <w:lang w:val="en-GB"/>
        </w:rPr>
        <w:t>investigate, prosecute and punish hate crimes,</w:t>
      </w:r>
      <w:r w:rsidR="00AA25DF" w:rsidRPr="00762F1E">
        <w:rPr>
          <w:b/>
          <w:lang w:val="en-GB"/>
        </w:rPr>
        <w:t xml:space="preserve"> </w:t>
      </w:r>
      <w:r w:rsidR="00DB74E1" w:rsidRPr="00762F1E">
        <w:rPr>
          <w:b/>
          <w:lang w:val="en-GB"/>
        </w:rPr>
        <w:t>in order to</w:t>
      </w:r>
      <w:r w:rsidRPr="00762F1E">
        <w:rPr>
          <w:b/>
          <w:lang w:val="en-GB"/>
        </w:rPr>
        <w:t xml:space="preserve"> clos</w:t>
      </w:r>
      <w:r w:rsidR="00DB74E1" w:rsidRPr="00762F1E">
        <w:rPr>
          <w:b/>
          <w:lang w:val="en-GB"/>
        </w:rPr>
        <w:t>e</w:t>
      </w:r>
      <w:r w:rsidRPr="00762F1E">
        <w:rPr>
          <w:b/>
          <w:lang w:val="en-GB"/>
        </w:rPr>
        <w:t xml:space="preserve"> the gap between reported incidents and convictions. The Committee reiterates its request that the State party introduce a common </w:t>
      </w:r>
      <w:r w:rsidR="001E1852" w:rsidRPr="00762F1E">
        <w:rPr>
          <w:b/>
          <w:lang w:val="en-GB"/>
        </w:rPr>
        <w:t xml:space="preserve">and clear </w:t>
      </w:r>
      <w:r w:rsidRPr="00762F1E">
        <w:rPr>
          <w:b/>
          <w:lang w:val="en-GB"/>
        </w:rPr>
        <w:t xml:space="preserve">definition of hate crime so that it is possible to track all such reported crimes through the justice system. The State party should also follow up on the report of </w:t>
      </w:r>
      <w:r w:rsidR="0085561C" w:rsidRPr="00762F1E">
        <w:rPr>
          <w:b/>
          <w:lang w:val="en-GB"/>
        </w:rPr>
        <w:t>its</w:t>
      </w:r>
      <w:r w:rsidR="005A38D9" w:rsidRPr="00762F1E">
        <w:rPr>
          <w:b/>
          <w:lang w:val="en-GB"/>
        </w:rPr>
        <w:t xml:space="preserve"> </w:t>
      </w:r>
      <w:r w:rsidR="00B006C5" w:rsidRPr="00762F1E">
        <w:rPr>
          <w:b/>
          <w:lang w:val="en-GB"/>
        </w:rPr>
        <w:t xml:space="preserve">special </w:t>
      </w:r>
      <w:r w:rsidRPr="00762F1E">
        <w:rPr>
          <w:b/>
          <w:lang w:val="en-GB"/>
        </w:rPr>
        <w:t>investigator on further measures to combat xenophobia and similar</w:t>
      </w:r>
      <w:r w:rsidR="00BC5579" w:rsidRPr="00762F1E">
        <w:rPr>
          <w:b/>
          <w:lang w:val="en-GB"/>
        </w:rPr>
        <w:t xml:space="preserve"> </w:t>
      </w:r>
      <w:r w:rsidRPr="00762F1E">
        <w:rPr>
          <w:b/>
          <w:lang w:val="en-GB"/>
        </w:rPr>
        <w:t>forms of intolerance.</w:t>
      </w:r>
    </w:p>
    <w:p w:rsidR="00087B2A" w:rsidRPr="00762F1E" w:rsidRDefault="00CA07DB" w:rsidP="00CA07DB">
      <w:pPr>
        <w:pStyle w:val="H23G"/>
      </w:pPr>
      <w:r w:rsidRPr="00762F1E">
        <w:tab/>
      </w:r>
      <w:r w:rsidRPr="00762F1E">
        <w:tab/>
      </w:r>
      <w:r w:rsidR="00087B2A" w:rsidRPr="00762F1E">
        <w:t xml:space="preserve">Accountability for hate </w:t>
      </w:r>
      <w:r w:rsidR="003957AB" w:rsidRPr="00762F1E">
        <w:t>speech</w:t>
      </w:r>
      <w:r w:rsidR="00087B2A" w:rsidRPr="00762F1E">
        <w:t xml:space="preserve"> including racis</w:t>
      </w:r>
      <w:r w:rsidR="003957AB" w:rsidRPr="00762F1E">
        <w:t>m in political</w:t>
      </w:r>
      <w:r w:rsidR="00087B2A" w:rsidRPr="00762F1E">
        <w:t xml:space="preserve"> discourse</w:t>
      </w:r>
    </w:p>
    <w:p w:rsidR="00087B2A" w:rsidRPr="00762F1E" w:rsidRDefault="00087B2A" w:rsidP="00087B2A">
      <w:pPr>
        <w:pStyle w:val="SingleTxtG"/>
        <w:rPr>
          <w:rStyle w:val="SingleTxtGCar"/>
          <w:lang w:val="en-GB"/>
        </w:rPr>
      </w:pPr>
      <w:r w:rsidRPr="00762F1E">
        <w:rPr>
          <w:lang w:val="en-GB"/>
        </w:rPr>
        <w:t>1</w:t>
      </w:r>
      <w:r w:rsidR="00044B97" w:rsidRPr="00762F1E">
        <w:rPr>
          <w:lang w:val="en-GB"/>
        </w:rPr>
        <w:t>2</w:t>
      </w:r>
      <w:r w:rsidRPr="00762F1E">
        <w:rPr>
          <w:lang w:val="en-GB"/>
        </w:rPr>
        <w:t>.</w:t>
      </w:r>
      <w:r w:rsidRPr="00762F1E">
        <w:rPr>
          <w:lang w:val="en-GB"/>
        </w:rPr>
        <w:tab/>
        <w:t>The Committee expresses its concern about the increase in report</w:t>
      </w:r>
      <w:r w:rsidR="00675800" w:rsidRPr="00762F1E">
        <w:rPr>
          <w:lang w:val="en-GB"/>
        </w:rPr>
        <w:t>s of</w:t>
      </w:r>
      <w:r w:rsidRPr="00762F1E">
        <w:rPr>
          <w:lang w:val="en-GB"/>
        </w:rPr>
        <w:t xml:space="preserve"> racially motivated hate </w:t>
      </w:r>
      <w:r w:rsidR="00DB74E1" w:rsidRPr="00762F1E">
        <w:rPr>
          <w:lang w:val="en-GB"/>
        </w:rPr>
        <w:t xml:space="preserve">speech </w:t>
      </w:r>
      <w:r w:rsidRPr="00762F1E">
        <w:rPr>
          <w:lang w:val="en-GB"/>
        </w:rPr>
        <w:t xml:space="preserve">against visible minorities, including Muslims, Afro-Swedes, Roma and Jews, </w:t>
      </w:r>
      <w:r w:rsidR="005054F1" w:rsidRPr="00762F1E">
        <w:rPr>
          <w:lang w:val="en-GB"/>
        </w:rPr>
        <w:t xml:space="preserve">in particular </w:t>
      </w:r>
      <w:r w:rsidRPr="00762F1E">
        <w:rPr>
          <w:lang w:val="en-GB"/>
        </w:rPr>
        <w:t xml:space="preserve">by </w:t>
      </w:r>
      <w:r w:rsidR="00DB74E1" w:rsidRPr="00762F1E">
        <w:rPr>
          <w:lang w:val="en-GB"/>
        </w:rPr>
        <w:t>some</w:t>
      </w:r>
      <w:r w:rsidRPr="00762F1E">
        <w:rPr>
          <w:lang w:val="en-GB"/>
        </w:rPr>
        <w:t xml:space="preserve"> far-right politicians. </w:t>
      </w:r>
      <w:r w:rsidRPr="00762F1E">
        <w:rPr>
          <w:rStyle w:val="SingleTxtGCar"/>
          <w:lang w:val="en-GB"/>
        </w:rPr>
        <w:t xml:space="preserve">The Committee is also concerned about the reported increase of hate speech in the media and on the Internet, including by </w:t>
      </w:r>
      <w:r w:rsidR="00DB74E1" w:rsidRPr="00762F1E">
        <w:rPr>
          <w:rStyle w:val="SingleTxtGCar"/>
          <w:lang w:val="en-GB"/>
        </w:rPr>
        <w:t xml:space="preserve">certain </w:t>
      </w:r>
      <w:r w:rsidRPr="00762F1E">
        <w:rPr>
          <w:rStyle w:val="SingleTxtGCar"/>
          <w:lang w:val="en-GB"/>
        </w:rPr>
        <w:t xml:space="preserve">media professionals. </w:t>
      </w:r>
      <w:r w:rsidR="004B4A9C" w:rsidRPr="00762F1E">
        <w:rPr>
          <w:rStyle w:val="SingleTxtGCar"/>
          <w:lang w:val="en-GB"/>
        </w:rPr>
        <w:t>T</w:t>
      </w:r>
      <w:r w:rsidRPr="00762F1E">
        <w:rPr>
          <w:lang w:val="en-GB"/>
        </w:rPr>
        <w:t xml:space="preserve">he Committee believes that additional measures need to be taken to </w:t>
      </w:r>
      <w:r w:rsidR="004B4A9C" w:rsidRPr="00762F1E">
        <w:rPr>
          <w:lang w:val="en-GB"/>
        </w:rPr>
        <w:t xml:space="preserve">address the issue of </w:t>
      </w:r>
      <w:r w:rsidRPr="00762F1E">
        <w:rPr>
          <w:lang w:val="en-GB"/>
        </w:rPr>
        <w:t xml:space="preserve">hate speech in the media </w:t>
      </w:r>
      <w:r w:rsidRPr="00762F1E">
        <w:rPr>
          <w:rFonts w:eastAsia="SimSun"/>
          <w:lang w:val="en-GB" w:eastAsia="zh-CN"/>
        </w:rPr>
        <w:t xml:space="preserve">(arts. </w:t>
      </w:r>
      <w:r w:rsidR="005B12C4" w:rsidRPr="00762F1E">
        <w:rPr>
          <w:rFonts w:eastAsia="SimSun"/>
          <w:lang w:val="en-GB" w:eastAsia="zh-CN"/>
        </w:rPr>
        <w:t>2</w:t>
      </w:r>
      <w:r w:rsidR="005A5714" w:rsidRPr="00762F1E">
        <w:rPr>
          <w:rFonts w:eastAsia="SimSun"/>
          <w:lang w:val="en-GB" w:eastAsia="zh-CN"/>
        </w:rPr>
        <w:t xml:space="preserve">, para. </w:t>
      </w:r>
      <w:r w:rsidR="005B12C4" w:rsidRPr="00762F1E">
        <w:rPr>
          <w:rFonts w:eastAsia="SimSun"/>
          <w:lang w:val="en-GB" w:eastAsia="zh-CN"/>
        </w:rPr>
        <w:t>1</w:t>
      </w:r>
      <w:r w:rsidR="005A5714" w:rsidRPr="00762F1E">
        <w:rPr>
          <w:rFonts w:eastAsia="SimSun"/>
          <w:lang w:val="en-GB" w:eastAsia="zh-CN"/>
        </w:rPr>
        <w:t xml:space="preserve"> </w:t>
      </w:r>
      <w:r w:rsidR="005B12C4" w:rsidRPr="00762F1E">
        <w:rPr>
          <w:rFonts w:eastAsia="SimSun"/>
          <w:lang w:val="en-GB" w:eastAsia="zh-CN"/>
        </w:rPr>
        <w:t>(a)</w:t>
      </w:r>
      <w:r w:rsidR="00675800" w:rsidRPr="00762F1E">
        <w:rPr>
          <w:rFonts w:eastAsia="SimSun"/>
          <w:lang w:val="en-GB" w:eastAsia="zh-CN"/>
        </w:rPr>
        <w:t>;</w:t>
      </w:r>
      <w:r w:rsidR="005B12C4" w:rsidRPr="00762F1E">
        <w:rPr>
          <w:rFonts w:eastAsia="SimSun"/>
          <w:lang w:val="en-GB" w:eastAsia="zh-CN"/>
        </w:rPr>
        <w:t xml:space="preserve"> </w:t>
      </w:r>
      <w:r w:rsidRPr="00762F1E">
        <w:rPr>
          <w:rFonts w:eastAsia="SimSun"/>
          <w:lang w:val="en-GB" w:eastAsia="zh-CN"/>
        </w:rPr>
        <w:t>4</w:t>
      </w:r>
      <w:r w:rsidR="003A6515" w:rsidRPr="00762F1E">
        <w:rPr>
          <w:rFonts w:eastAsia="SimSun"/>
          <w:lang w:val="en-GB" w:eastAsia="zh-CN"/>
        </w:rPr>
        <w:t xml:space="preserve"> </w:t>
      </w:r>
      <w:r w:rsidR="005B12C4" w:rsidRPr="00762F1E">
        <w:rPr>
          <w:rFonts w:eastAsia="SimSun"/>
          <w:lang w:val="en-GB" w:eastAsia="zh-CN"/>
        </w:rPr>
        <w:t>(a),</w:t>
      </w:r>
      <w:r w:rsidR="005A5714" w:rsidRPr="00762F1E">
        <w:rPr>
          <w:rFonts w:eastAsia="SimSun"/>
          <w:lang w:val="en-GB" w:eastAsia="zh-CN"/>
        </w:rPr>
        <w:t xml:space="preserve"> </w:t>
      </w:r>
      <w:r w:rsidR="005B12C4" w:rsidRPr="00762F1E">
        <w:rPr>
          <w:rFonts w:eastAsia="SimSun"/>
          <w:lang w:val="en-GB" w:eastAsia="zh-CN"/>
        </w:rPr>
        <w:t>(b) and (c)</w:t>
      </w:r>
      <w:r w:rsidR="00675800" w:rsidRPr="00762F1E">
        <w:rPr>
          <w:rFonts w:eastAsia="SimSun"/>
          <w:lang w:val="en-GB" w:eastAsia="zh-CN"/>
        </w:rPr>
        <w:t>;</w:t>
      </w:r>
      <w:r w:rsidRPr="00762F1E">
        <w:rPr>
          <w:rFonts w:eastAsia="SimSun"/>
          <w:lang w:val="en-GB" w:eastAsia="zh-CN"/>
        </w:rPr>
        <w:t xml:space="preserve"> and 7).</w:t>
      </w:r>
    </w:p>
    <w:p w:rsidR="00087B2A" w:rsidRPr="00762F1E" w:rsidRDefault="00087B2A" w:rsidP="00087B2A">
      <w:pPr>
        <w:spacing w:after="120"/>
        <w:ind w:left="1134" w:right="1134"/>
        <w:jc w:val="both"/>
        <w:rPr>
          <w:b/>
        </w:rPr>
      </w:pPr>
      <w:r w:rsidRPr="00762F1E">
        <w:rPr>
          <w:b/>
        </w:rPr>
        <w:t>Recalling its general recommendation</w:t>
      </w:r>
      <w:r w:rsidR="00675800" w:rsidRPr="00762F1E">
        <w:rPr>
          <w:b/>
        </w:rPr>
        <w:t>s</w:t>
      </w:r>
      <w:r w:rsidRPr="00762F1E">
        <w:rPr>
          <w:b/>
        </w:rPr>
        <w:t xml:space="preserve"> No. 7 (1985) on legislation to eradicate racial discrimination and </w:t>
      </w:r>
      <w:r w:rsidRPr="00762F1E">
        <w:rPr>
          <w:rStyle w:val="SingleTxtGCar"/>
          <w:b/>
        </w:rPr>
        <w:t>No. 30 (2004) on discrimination against</w:t>
      </w:r>
      <w:r w:rsidR="005B12C4" w:rsidRPr="00762F1E">
        <w:rPr>
          <w:rStyle w:val="SingleTxtGCar"/>
          <w:b/>
        </w:rPr>
        <w:t xml:space="preserve"> </w:t>
      </w:r>
      <w:r w:rsidRPr="00762F1E">
        <w:rPr>
          <w:rStyle w:val="SingleTxtGCar"/>
          <w:b/>
        </w:rPr>
        <w:t>non</w:t>
      </w:r>
      <w:r w:rsidR="005B12C4" w:rsidRPr="00762F1E">
        <w:rPr>
          <w:rStyle w:val="SingleTxtGCar"/>
          <w:b/>
        </w:rPr>
        <w:t>-</w:t>
      </w:r>
      <w:r w:rsidRPr="00762F1E">
        <w:rPr>
          <w:rStyle w:val="SingleTxtGCar"/>
          <w:b/>
        </w:rPr>
        <w:t xml:space="preserve">citizens, </w:t>
      </w:r>
      <w:r w:rsidRPr="00762F1E">
        <w:rPr>
          <w:b/>
        </w:rPr>
        <w:t xml:space="preserve">the Committee recommends that the State party effectively investigate, prosecute and punish all hate crimes </w:t>
      </w:r>
      <w:r w:rsidR="001E1852" w:rsidRPr="00762F1E">
        <w:rPr>
          <w:b/>
        </w:rPr>
        <w:t xml:space="preserve">and take effective measures to combat </w:t>
      </w:r>
      <w:r w:rsidRPr="00762F1E">
        <w:rPr>
          <w:b/>
        </w:rPr>
        <w:t xml:space="preserve">hate speech in the media and on the </w:t>
      </w:r>
      <w:r w:rsidR="00C34C94" w:rsidRPr="00762F1E">
        <w:rPr>
          <w:b/>
        </w:rPr>
        <w:t>I</w:t>
      </w:r>
      <w:r w:rsidRPr="00762F1E">
        <w:rPr>
          <w:b/>
        </w:rPr>
        <w:t>nternet</w:t>
      </w:r>
      <w:r w:rsidR="001E1852" w:rsidRPr="00762F1E">
        <w:rPr>
          <w:b/>
        </w:rPr>
        <w:t xml:space="preserve">, including by prosecuting the </w:t>
      </w:r>
      <w:r w:rsidRPr="00762F1E">
        <w:rPr>
          <w:b/>
        </w:rPr>
        <w:t>perpetrators</w:t>
      </w:r>
      <w:r w:rsidR="001E1852" w:rsidRPr="00762F1E">
        <w:rPr>
          <w:b/>
        </w:rPr>
        <w:t xml:space="preserve">, where appropriate, </w:t>
      </w:r>
      <w:r w:rsidRPr="00762F1E">
        <w:rPr>
          <w:b/>
        </w:rPr>
        <w:t>regardless of their official status</w:t>
      </w:r>
      <w:r w:rsidR="00BC5579" w:rsidRPr="00762F1E">
        <w:rPr>
          <w:b/>
        </w:rPr>
        <w:t xml:space="preserve">. </w:t>
      </w:r>
      <w:r w:rsidRPr="00762F1E">
        <w:rPr>
          <w:rStyle w:val="SingleTxtGCar"/>
          <w:b/>
        </w:rPr>
        <w:t>The Committee urges the State party to take</w:t>
      </w:r>
      <w:r w:rsidR="005C5A7C" w:rsidRPr="00762F1E">
        <w:rPr>
          <w:rStyle w:val="SingleTxtGCar"/>
          <w:b/>
        </w:rPr>
        <w:t xml:space="preserve"> the</w:t>
      </w:r>
      <w:r w:rsidRPr="00762F1E">
        <w:rPr>
          <w:rStyle w:val="SingleTxtGCar"/>
          <w:b/>
        </w:rPr>
        <w:t xml:space="preserve"> necessary measures to promote tolerance, intercultural dialogue and respect for diversity, aim</w:t>
      </w:r>
      <w:r w:rsidR="005C5A7C" w:rsidRPr="00762F1E">
        <w:rPr>
          <w:rStyle w:val="SingleTxtGCar"/>
          <w:b/>
        </w:rPr>
        <w:t>ing</w:t>
      </w:r>
      <w:r w:rsidRPr="00762F1E">
        <w:rPr>
          <w:rStyle w:val="SingleTxtGCar"/>
          <w:b/>
        </w:rPr>
        <w:t xml:space="preserve"> </w:t>
      </w:r>
      <w:r w:rsidR="00675800" w:rsidRPr="00762F1E">
        <w:rPr>
          <w:rStyle w:val="SingleTxtGCar"/>
          <w:b/>
        </w:rPr>
        <w:t>those measures</w:t>
      </w:r>
      <w:r w:rsidRPr="00762F1E">
        <w:rPr>
          <w:rStyle w:val="SingleTxtGCar"/>
          <w:b/>
        </w:rPr>
        <w:t xml:space="preserve"> at journalists</w:t>
      </w:r>
      <w:r w:rsidR="00675800" w:rsidRPr="00762F1E">
        <w:rPr>
          <w:rStyle w:val="SingleTxtGCar"/>
          <w:b/>
        </w:rPr>
        <w:t>, inter alios</w:t>
      </w:r>
      <w:r w:rsidRPr="00762F1E">
        <w:rPr>
          <w:rStyle w:val="SingleTxtGCar"/>
          <w:b/>
        </w:rPr>
        <w:t>.</w:t>
      </w:r>
    </w:p>
    <w:p w:rsidR="00087B2A" w:rsidRPr="00762F1E" w:rsidRDefault="00CA07DB" w:rsidP="00CA07DB">
      <w:pPr>
        <w:pStyle w:val="H23G"/>
      </w:pPr>
      <w:r w:rsidRPr="00762F1E">
        <w:tab/>
      </w:r>
      <w:r w:rsidRPr="00762F1E">
        <w:tab/>
      </w:r>
      <w:r w:rsidR="00087B2A" w:rsidRPr="00762F1E">
        <w:t>Racist and extremist organizations</w:t>
      </w:r>
    </w:p>
    <w:p w:rsidR="00087B2A" w:rsidRPr="00762F1E" w:rsidRDefault="00087B2A" w:rsidP="00087B2A">
      <w:pPr>
        <w:pStyle w:val="SingleTxtG"/>
        <w:rPr>
          <w:lang w:val="en-GB"/>
        </w:rPr>
      </w:pPr>
      <w:r w:rsidRPr="00762F1E">
        <w:rPr>
          <w:lang w:val="en-GB"/>
        </w:rPr>
        <w:t>1</w:t>
      </w:r>
      <w:r w:rsidR="005B12C4" w:rsidRPr="00762F1E">
        <w:rPr>
          <w:lang w:val="en-GB"/>
        </w:rPr>
        <w:t>3</w:t>
      </w:r>
      <w:r w:rsidRPr="00762F1E">
        <w:rPr>
          <w:lang w:val="en-GB"/>
        </w:rPr>
        <w:t>.</w:t>
      </w:r>
      <w:r w:rsidRPr="00762F1E">
        <w:rPr>
          <w:lang w:val="en-GB"/>
        </w:rPr>
        <w:tab/>
        <w:t>The Committee notes with concern reports that racist and extremist organizations continue to function despite the State party’s position that its legislation effectively prohibits all forms of racist expression</w:t>
      </w:r>
      <w:r w:rsidR="00E065CE" w:rsidRPr="00762F1E">
        <w:rPr>
          <w:lang w:val="en-GB"/>
        </w:rPr>
        <w:t>,</w:t>
      </w:r>
      <w:r w:rsidRPr="00762F1E">
        <w:rPr>
          <w:lang w:val="en-GB"/>
        </w:rPr>
        <w:t xml:space="preserve"> </w:t>
      </w:r>
      <w:r w:rsidR="00BC5579" w:rsidRPr="00762F1E">
        <w:rPr>
          <w:lang w:val="en-GB"/>
        </w:rPr>
        <w:t>including the operation of</w:t>
      </w:r>
      <w:r w:rsidRPr="00762F1E">
        <w:rPr>
          <w:lang w:val="en-GB"/>
        </w:rPr>
        <w:t xml:space="preserve"> groups advocati</w:t>
      </w:r>
      <w:r w:rsidR="00BC5579" w:rsidRPr="00762F1E">
        <w:rPr>
          <w:lang w:val="en-GB"/>
        </w:rPr>
        <w:t xml:space="preserve">ng </w:t>
      </w:r>
      <w:r w:rsidRPr="00762F1E">
        <w:rPr>
          <w:lang w:val="en-GB"/>
        </w:rPr>
        <w:t xml:space="preserve">racial discrimination (CERD/C/SWE/19-21, para. 120). In this regard, the Committee is concerned that the State party’s legislation does not fully respond to the requirements of article 4 of the Convention, </w:t>
      </w:r>
      <w:r w:rsidR="00AF0A4B" w:rsidRPr="00762F1E">
        <w:rPr>
          <w:lang w:val="en-GB"/>
        </w:rPr>
        <w:t xml:space="preserve">taking into account </w:t>
      </w:r>
      <w:r w:rsidRPr="00762F1E">
        <w:rPr>
          <w:lang w:val="en-GB"/>
        </w:rPr>
        <w:t>the absence of any explicit l</w:t>
      </w:r>
      <w:r w:rsidR="005B12C4" w:rsidRPr="00762F1E">
        <w:rPr>
          <w:lang w:val="en-GB"/>
        </w:rPr>
        <w:t xml:space="preserve">egal </w:t>
      </w:r>
      <w:r w:rsidRPr="00762F1E">
        <w:rPr>
          <w:lang w:val="en-GB"/>
        </w:rPr>
        <w:t>provisions declaring illegal and prohibiting organizations promoting and inciting racial hatred (arts. 2</w:t>
      </w:r>
      <w:r w:rsidR="00395AFC" w:rsidRPr="00762F1E">
        <w:rPr>
          <w:lang w:val="en-GB"/>
        </w:rPr>
        <w:t xml:space="preserve">, para. </w:t>
      </w:r>
      <w:r w:rsidR="005B12C4" w:rsidRPr="00762F1E">
        <w:rPr>
          <w:lang w:val="en-GB"/>
        </w:rPr>
        <w:t>1</w:t>
      </w:r>
      <w:r w:rsidR="00395AFC" w:rsidRPr="00762F1E">
        <w:rPr>
          <w:lang w:val="en-GB"/>
        </w:rPr>
        <w:t xml:space="preserve"> </w:t>
      </w:r>
      <w:r w:rsidR="005B12C4" w:rsidRPr="00762F1E">
        <w:rPr>
          <w:lang w:val="en-GB"/>
        </w:rPr>
        <w:t>(a) and (d)</w:t>
      </w:r>
      <w:r w:rsidR="00675800" w:rsidRPr="00762F1E">
        <w:rPr>
          <w:lang w:val="en-GB"/>
        </w:rPr>
        <w:t>;</w:t>
      </w:r>
      <w:r w:rsidR="005B12C4" w:rsidRPr="00762F1E">
        <w:rPr>
          <w:lang w:val="en-GB"/>
        </w:rPr>
        <w:t xml:space="preserve"> and 4</w:t>
      </w:r>
      <w:r w:rsidR="00675800" w:rsidRPr="00762F1E">
        <w:rPr>
          <w:lang w:val="en-GB"/>
        </w:rPr>
        <w:t xml:space="preserve"> </w:t>
      </w:r>
      <w:r w:rsidRPr="00762F1E">
        <w:rPr>
          <w:lang w:val="en-GB"/>
        </w:rPr>
        <w:t>(a),</w:t>
      </w:r>
      <w:r w:rsidR="00395AFC" w:rsidRPr="00762F1E">
        <w:rPr>
          <w:lang w:val="en-GB"/>
        </w:rPr>
        <w:t xml:space="preserve"> </w:t>
      </w:r>
      <w:r w:rsidRPr="00762F1E">
        <w:rPr>
          <w:lang w:val="en-GB"/>
        </w:rPr>
        <w:t>(b) and (c))</w:t>
      </w:r>
      <w:r w:rsidR="0040740B" w:rsidRPr="00762F1E">
        <w:rPr>
          <w:lang w:val="en-GB"/>
        </w:rPr>
        <w:t>.</w:t>
      </w:r>
    </w:p>
    <w:p w:rsidR="00087B2A" w:rsidRPr="00762F1E" w:rsidRDefault="00087B2A" w:rsidP="00087B2A">
      <w:pPr>
        <w:pStyle w:val="SingleTxtG"/>
        <w:rPr>
          <w:lang w:val="en-GB"/>
        </w:rPr>
      </w:pPr>
      <w:r w:rsidRPr="00762F1E">
        <w:rPr>
          <w:b/>
          <w:lang w:val="en-GB"/>
        </w:rPr>
        <w:t xml:space="preserve">Drawing attention to general recommendation No. 15 (1993) on </w:t>
      </w:r>
      <w:r w:rsidR="00395AFC" w:rsidRPr="00762F1E">
        <w:rPr>
          <w:b/>
          <w:lang w:val="en-GB"/>
        </w:rPr>
        <w:t>a</w:t>
      </w:r>
      <w:r w:rsidRPr="00762F1E">
        <w:rPr>
          <w:b/>
          <w:lang w:val="en-GB"/>
        </w:rPr>
        <w:t xml:space="preserve">rticle 4 of the Convention, the Committee reiterates its previous recommendation that the State party </w:t>
      </w:r>
      <w:r w:rsidRPr="00762F1E">
        <w:rPr>
          <w:b/>
          <w:bCs/>
          <w:lang w:val="en-GB"/>
        </w:rPr>
        <w:t xml:space="preserve">amend its legislation to </w:t>
      </w:r>
      <w:r w:rsidRPr="00762F1E">
        <w:rPr>
          <w:b/>
          <w:lang w:val="en-GB"/>
        </w:rPr>
        <w:t>declare illegal and prohibit organizations promoting and inciting racial hatred, in line with article 4 (b) of the Convention.</w:t>
      </w:r>
    </w:p>
    <w:p w:rsidR="00DA621C" w:rsidRPr="00762F1E" w:rsidRDefault="00CA07DB" w:rsidP="00CA07DB">
      <w:pPr>
        <w:pStyle w:val="H23G"/>
      </w:pPr>
      <w:r w:rsidRPr="00762F1E">
        <w:tab/>
      </w:r>
      <w:r w:rsidRPr="00762F1E">
        <w:tab/>
      </w:r>
      <w:r w:rsidR="00DA621C" w:rsidRPr="00762F1E">
        <w:t>Economic segregation</w:t>
      </w:r>
    </w:p>
    <w:p w:rsidR="00DA621C" w:rsidRPr="00762F1E" w:rsidRDefault="00DA621C" w:rsidP="00DA621C">
      <w:pPr>
        <w:spacing w:before="120" w:after="120"/>
        <w:ind w:left="1134" w:right="1134"/>
        <w:jc w:val="both"/>
      </w:pPr>
      <w:r w:rsidRPr="00762F1E">
        <w:t>1</w:t>
      </w:r>
      <w:r w:rsidR="005B12C4" w:rsidRPr="00762F1E">
        <w:t>4</w:t>
      </w:r>
      <w:r w:rsidR="000A1A84">
        <w:t>.</w:t>
      </w:r>
      <w:r w:rsidRPr="00762F1E">
        <w:tab/>
        <w:t xml:space="preserve">The Committee is concerned by reports that several metropolitan areas show a stark division </w:t>
      </w:r>
      <w:r w:rsidR="00675800" w:rsidRPr="00762F1E">
        <w:t xml:space="preserve">in </w:t>
      </w:r>
      <w:r w:rsidRPr="00762F1E">
        <w:t xml:space="preserve">the type and areas of residence along ethnic </w:t>
      </w:r>
      <w:r w:rsidR="00815CDB" w:rsidRPr="00762F1E">
        <w:t xml:space="preserve">and socioeconomic </w:t>
      </w:r>
      <w:r w:rsidRPr="00762F1E">
        <w:t xml:space="preserve">lines, </w:t>
      </w:r>
      <w:r w:rsidR="00675800" w:rsidRPr="00762F1E">
        <w:t xml:space="preserve">which division </w:t>
      </w:r>
      <w:r w:rsidRPr="00762F1E">
        <w:t>impact</w:t>
      </w:r>
      <w:r w:rsidR="00675800" w:rsidRPr="00762F1E">
        <w:t>s</w:t>
      </w:r>
      <w:r w:rsidRPr="00762F1E">
        <w:t xml:space="preserve"> </w:t>
      </w:r>
      <w:r w:rsidR="001E1852" w:rsidRPr="00762F1E">
        <w:t xml:space="preserve">mostly </w:t>
      </w:r>
      <w:r w:rsidRPr="00762F1E">
        <w:t>on foreign-born persons</w:t>
      </w:r>
      <w:r w:rsidR="001E1852" w:rsidRPr="00762F1E">
        <w:t xml:space="preserve">, and </w:t>
      </w:r>
      <w:r w:rsidRPr="00762F1E">
        <w:t>in particular Afro-Swedes and Muslims. It is also concerned by similarly stark discrepanc</w:t>
      </w:r>
      <w:r w:rsidR="000B6A25" w:rsidRPr="00762F1E">
        <w:t xml:space="preserve">ies </w:t>
      </w:r>
      <w:r w:rsidRPr="00762F1E">
        <w:t xml:space="preserve">along ethnic </w:t>
      </w:r>
      <w:r w:rsidR="00815CDB" w:rsidRPr="00762F1E">
        <w:t xml:space="preserve">and socioeconomic </w:t>
      </w:r>
      <w:r w:rsidRPr="00762F1E">
        <w:t>lines in access to employment between native Swedes and foreign-born persons, which prevails even after a long stay</w:t>
      </w:r>
      <w:r w:rsidR="00675800" w:rsidRPr="00762F1E">
        <w:t xml:space="preserve"> by the latter</w:t>
      </w:r>
      <w:r w:rsidRPr="00762F1E">
        <w:t xml:space="preserve"> in </w:t>
      </w:r>
      <w:smartTag w:uri="urn:schemas-microsoft-com:office:smarttags" w:element="country-region">
        <w:smartTag w:uri="urn:schemas-microsoft-com:office:smarttags" w:element="place">
          <w:r w:rsidRPr="00762F1E">
            <w:t>Sweden</w:t>
          </w:r>
        </w:smartTag>
      </w:smartTag>
      <w:r w:rsidR="00675800" w:rsidRPr="00762F1E">
        <w:t xml:space="preserve"> and</w:t>
      </w:r>
      <w:r w:rsidRPr="00762F1E">
        <w:t xml:space="preserve"> disproportionately affect</w:t>
      </w:r>
      <w:r w:rsidR="00675800" w:rsidRPr="00762F1E">
        <w:t>s</w:t>
      </w:r>
      <w:r w:rsidRPr="00762F1E">
        <w:t xml:space="preserve"> the </w:t>
      </w:r>
      <w:r w:rsidR="00675800" w:rsidRPr="00762F1E">
        <w:t xml:space="preserve">next </w:t>
      </w:r>
      <w:r w:rsidRPr="00762F1E">
        <w:t>generation</w:t>
      </w:r>
      <w:r w:rsidR="0026063C" w:rsidRPr="00762F1E">
        <w:t xml:space="preserve">. </w:t>
      </w:r>
      <w:r w:rsidRPr="00762F1E">
        <w:t xml:space="preserve">The Committee is particularly concerned by the </w:t>
      </w:r>
      <w:r w:rsidR="00675800" w:rsidRPr="00762F1E">
        <w:t xml:space="preserve">increased </w:t>
      </w:r>
      <w:r w:rsidRPr="00762F1E">
        <w:t xml:space="preserve">likelihood </w:t>
      </w:r>
      <w:r w:rsidR="00612E92" w:rsidRPr="00762F1E">
        <w:t xml:space="preserve">that </w:t>
      </w:r>
      <w:r w:rsidRPr="00762F1E">
        <w:t xml:space="preserve">foreign born-persons </w:t>
      </w:r>
      <w:r w:rsidR="00612E92" w:rsidRPr="00762F1E">
        <w:t xml:space="preserve">will </w:t>
      </w:r>
      <w:r w:rsidRPr="00762F1E">
        <w:t xml:space="preserve">be unemployed, </w:t>
      </w:r>
      <w:r w:rsidR="000B6A25" w:rsidRPr="00762F1E">
        <w:t>occupy unskilled, low</w:t>
      </w:r>
      <w:r w:rsidR="00F97CE5" w:rsidRPr="00762F1E">
        <w:t>-</w:t>
      </w:r>
      <w:r w:rsidR="000B6A25" w:rsidRPr="00762F1E">
        <w:t xml:space="preserve">paying jobs, </w:t>
      </w:r>
      <w:r w:rsidRPr="00762F1E">
        <w:t xml:space="preserve">or live in a </w:t>
      </w:r>
      <w:r w:rsidR="00FF3DC5" w:rsidRPr="00762F1E">
        <w:t xml:space="preserve">de facto </w:t>
      </w:r>
      <w:r w:rsidRPr="00762F1E">
        <w:t xml:space="preserve">segregated area, </w:t>
      </w:r>
      <w:r w:rsidR="00612E92" w:rsidRPr="00762F1E">
        <w:t xml:space="preserve">the </w:t>
      </w:r>
      <w:r w:rsidRPr="00762F1E">
        <w:t xml:space="preserve">consequences of which surfaced during the May 2013 riots </w:t>
      </w:r>
      <w:r w:rsidR="005A38D9" w:rsidRPr="00762F1E">
        <w:t xml:space="preserve">which started </w:t>
      </w:r>
      <w:r w:rsidRPr="00762F1E">
        <w:t xml:space="preserve">in </w:t>
      </w:r>
      <w:r w:rsidR="00BD2338" w:rsidRPr="00762F1E">
        <w:t xml:space="preserve">the </w:t>
      </w:r>
      <w:r w:rsidRPr="00762F1E">
        <w:t>Stockholm suburb of Husby (art</w:t>
      </w:r>
      <w:r w:rsidR="00FF3DC5" w:rsidRPr="00762F1E">
        <w:t>s. 3</w:t>
      </w:r>
      <w:r w:rsidR="006105CB" w:rsidRPr="00762F1E">
        <w:t xml:space="preserve"> </w:t>
      </w:r>
      <w:r w:rsidR="00FF3DC5" w:rsidRPr="00762F1E">
        <w:t>and 5</w:t>
      </w:r>
      <w:r w:rsidR="00BD2338" w:rsidRPr="00762F1E">
        <w:t xml:space="preserve"> </w:t>
      </w:r>
      <w:r w:rsidRPr="00762F1E">
        <w:t>(e)</w:t>
      </w:r>
      <w:r w:rsidR="00BD2338" w:rsidRPr="00762F1E">
        <w:t xml:space="preserve"> </w:t>
      </w:r>
      <w:r w:rsidRPr="00762F1E">
        <w:t>(i)</w:t>
      </w:r>
      <w:r w:rsidR="00FF3DC5" w:rsidRPr="00762F1E">
        <w:t xml:space="preserve"> and (iii))</w:t>
      </w:r>
      <w:r w:rsidR="00AA7AEC" w:rsidRPr="00762F1E">
        <w:t>.</w:t>
      </w:r>
    </w:p>
    <w:p w:rsidR="00DA621C" w:rsidRPr="00762F1E" w:rsidRDefault="00DA621C" w:rsidP="00DA621C">
      <w:pPr>
        <w:ind w:left="1134" w:right="1134"/>
        <w:jc w:val="both"/>
        <w:rPr>
          <w:b/>
        </w:rPr>
      </w:pPr>
      <w:r w:rsidRPr="00762F1E">
        <w:rPr>
          <w:b/>
        </w:rPr>
        <w:t xml:space="preserve">The Committee recommends that the State party study the </w:t>
      </w:r>
      <w:r w:rsidR="00612E92" w:rsidRPr="00762F1E">
        <w:rPr>
          <w:b/>
        </w:rPr>
        <w:t>cause</w:t>
      </w:r>
      <w:r w:rsidRPr="00762F1E">
        <w:rPr>
          <w:b/>
        </w:rPr>
        <w:t xml:space="preserve">s of the 2013 riots with a view to assessing the effectiveness of its strategies against prevailing </w:t>
      </w:r>
      <w:r w:rsidR="00CA38CE" w:rsidRPr="00762F1E">
        <w:rPr>
          <w:b/>
        </w:rPr>
        <w:t xml:space="preserve">de facto </w:t>
      </w:r>
      <w:r w:rsidRPr="00762F1E">
        <w:rPr>
          <w:b/>
        </w:rPr>
        <w:t xml:space="preserve">segregation in Sweden along ethnic </w:t>
      </w:r>
      <w:r w:rsidR="00815CDB" w:rsidRPr="00762F1E">
        <w:rPr>
          <w:b/>
        </w:rPr>
        <w:t xml:space="preserve">and socioeconomic </w:t>
      </w:r>
      <w:r w:rsidRPr="00762F1E">
        <w:rPr>
          <w:b/>
        </w:rPr>
        <w:t>lines</w:t>
      </w:r>
      <w:r w:rsidR="00675800" w:rsidRPr="00762F1E">
        <w:rPr>
          <w:b/>
        </w:rPr>
        <w:t>,</w:t>
      </w:r>
      <w:r w:rsidRPr="00762F1E">
        <w:rPr>
          <w:b/>
        </w:rPr>
        <w:t xml:space="preserve"> and the need for </w:t>
      </w:r>
      <w:r w:rsidR="00201723" w:rsidRPr="00762F1E">
        <w:rPr>
          <w:b/>
        </w:rPr>
        <w:t>those strategies to be adjusted</w:t>
      </w:r>
      <w:r w:rsidRPr="00762F1E">
        <w:rPr>
          <w:b/>
        </w:rPr>
        <w:t xml:space="preserve">. </w:t>
      </w:r>
      <w:r w:rsidR="00A11F42" w:rsidRPr="00762F1E">
        <w:rPr>
          <w:b/>
        </w:rPr>
        <w:t>T</w:t>
      </w:r>
      <w:r w:rsidRPr="00762F1E">
        <w:rPr>
          <w:b/>
        </w:rPr>
        <w:t xml:space="preserve">he Committee </w:t>
      </w:r>
      <w:r w:rsidR="00097A8D" w:rsidRPr="00762F1E">
        <w:rPr>
          <w:b/>
        </w:rPr>
        <w:t xml:space="preserve">also </w:t>
      </w:r>
      <w:r w:rsidRPr="00762F1E">
        <w:rPr>
          <w:b/>
        </w:rPr>
        <w:t>recommends th</w:t>
      </w:r>
      <w:r w:rsidR="0026063C" w:rsidRPr="00762F1E">
        <w:rPr>
          <w:b/>
        </w:rPr>
        <w:t xml:space="preserve">at the State party take further </w:t>
      </w:r>
      <w:r w:rsidRPr="00762F1E">
        <w:rPr>
          <w:b/>
        </w:rPr>
        <w:t>leg</w:t>
      </w:r>
      <w:r w:rsidR="0026063C" w:rsidRPr="00762F1E">
        <w:rPr>
          <w:b/>
        </w:rPr>
        <w:t xml:space="preserve">al </w:t>
      </w:r>
      <w:r w:rsidRPr="00762F1E">
        <w:rPr>
          <w:b/>
        </w:rPr>
        <w:t>and policy measures to address the problem of social exclusion and segregation along ethnic lines.</w:t>
      </w:r>
    </w:p>
    <w:p w:rsidR="00DA621C" w:rsidRPr="00762F1E" w:rsidRDefault="00DA621C" w:rsidP="00CA07DB">
      <w:pPr>
        <w:pStyle w:val="H23G"/>
      </w:pPr>
      <w:r w:rsidRPr="00762F1E">
        <w:tab/>
      </w:r>
      <w:r w:rsidRPr="00762F1E">
        <w:tab/>
        <w:t>Integration policy</w:t>
      </w:r>
    </w:p>
    <w:p w:rsidR="00DA621C" w:rsidRPr="00762F1E" w:rsidRDefault="00E02F23" w:rsidP="003B5F50">
      <w:pPr>
        <w:spacing w:before="120" w:after="120"/>
        <w:ind w:left="1134" w:right="1134"/>
        <w:jc w:val="both"/>
      </w:pPr>
      <w:r w:rsidRPr="00762F1E">
        <w:t>1</w:t>
      </w:r>
      <w:r w:rsidR="00AA7AEC" w:rsidRPr="00762F1E">
        <w:t>5</w:t>
      </w:r>
      <w:r w:rsidR="000A1A84">
        <w:t>.</w:t>
      </w:r>
      <w:r w:rsidRPr="00762F1E">
        <w:tab/>
      </w:r>
      <w:r w:rsidR="00DA621C" w:rsidRPr="00762F1E">
        <w:t>The Committee welcomes the steps taken by the State party as part of its Comprehensive National Strategy for Integration 2008</w:t>
      </w:r>
      <w:r w:rsidR="003B6230" w:rsidRPr="00762F1E">
        <w:t>–</w:t>
      </w:r>
      <w:r w:rsidR="00DA621C" w:rsidRPr="00762F1E">
        <w:t>2011 to increase newly arrived migrants’ access to the labour market, facilitate effective language acquisition</w:t>
      </w:r>
      <w:r w:rsidR="003B6230" w:rsidRPr="00762F1E">
        <w:t xml:space="preserve"> by</w:t>
      </w:r>
      <w:r w:rsidR="00DA621C" w:rsidRPr="00762F1E">
        <w:t xml:space="preserve"> and </w:t>
      </w:r>
      <w:r w:rsidR="003B6230" w:rsidRPr="00762F1E">
        <w:t xml:space="preserve">improve </w:t>
      </w:r>
      <w:r w:rsidR="00DA621C" w:rsidRPr="00762F1E">
        <w:t xml:space="preserve">results in schools </w:t>
      </w:r>
      <w:r w:rsidR="003B6230" w:rsidRPr="00762F1E">
        <w:t xml:space="preserve">of </w:t>
      </w:r>
      <w:r w:rsidR="00DA621C" w:rsidRPr="00762F1E">
        <w:t>persons of foreign origin and enhance their sense of identity with</w:t>
      </w:r>
      <w:r w:rsidR="00320FFD" w:rsidRPr="00762F1E">
        <w:t xml:space="preserve">in the </w:t>
      </w:r>
      <w:r w:rsidR="00DA621C" w:rsidRPr="00762F1E">
        <w:t>Swedish society. However, it remains concerned that persons of foreign origin continue to suffer from de</w:t>
      </w:r>
      <w:r w:rsidR="00457AF5" w:rsidRPr="00762F1E">
        <w:t xml:space="preserve"> </w:t>
      </w:r>
      <w:r w:rsidR="00DA621C" w:rsidRPr="00762F1E">
        <w:t xml:space="preserve">facto discrimination in employment, demonstrated by </w:t>
      </w:r>
      <w:r w:rsidR="00355AD4" w:rsidRPr="00762F1E">
        <w:t>them occupying more</w:t>
      </w:r>
      <w:r w:rsidR="00DA621C" w:rsidRPr="00762F1E">
        <w:t xml:space="preserve"> low-income jobs and </w:t>
      </w:r>
      <w:r w:rsidR="00355AD4" w:rsidRPr="00762F1E">
        <w:t xml:space="preserve">having </w:t>
      </w:r>
      <w:r w:rsidR="00DA621C" w:rsidRPr="00762F1E">
        <w:t>lower employment rates. The Committee is also concerned by the limited access of immigrants to higher education and skills</w:t>
      </w:r>
      <w:r w:rsidR="0040740B" w:rsidRPr="00762F1E">
        <w:t xml:space="preserve"> and </w:t>
      </w:r>
      <w:r w:rsidR="00A43376" w:rsidRPr="00762F1E">
        <w:t xml:space="preserve">their </w:t>
      </w:r>
      <w:r w:rsidR="0040740B" w:rsidRPr="00762F1E">
        <w:t xml:space="preserve">higher dropout rates from </w:t>
      </w:r>
      <w:r w:rsidR="00DA621C" w:rsidRPr="00762F1E">
        <w:t>school</w:t>
      </w:r>
      <w:r w:rsidR="00145A42" w:rsidRPr="00762F1E">
        <w:t>s</w:t>
      </w:r>
      <w:r w:rsidR="005F3D37" w:rsidRPr="00762F1E">
        <w:t xml:space="preserve"> (arts. 2</w:t>
      </w:r>
      <w:r w:rsidR="00A43376" w:rsidRPr="00762F1E">
        <w:t xml:space="preserve">, para. </w:t>
      </w:r>
      <w:r w:rsidR="00AA7AEC" w:rsidRPr="00762F1E">
        <w:t>1</w:t>
      </w:r>
      <w:r w:rsidR="00A43376" w:rsidRPr="00762F1E">
        <w:t xml:space="preserve"> </w:t>
      </w:r>
      <w:r w:rsidR="00AA7AEC" w:rsidRPr="00762F1E">
        <w:t>(c)</w:t>
      </w:r>
      <w:r w:rsidR="00355AD4" w:rsidRPr="00762F1E">
        <w:t>;</w:t>
      </w:r>
      <w:r w:rsidR="006105CB" w:rsidRPr="00762F1E">
        <w:t xml:space="preserve"> </w:t>
      </w:r>
      <w:r w:rsidR="005F3D37" w:rsidRPr="00762F1E">
        <w:t>and 5</w:t>
      </w:r>
      <w:r w:rsidR="00A43376" w:rsidRPr="00762F1E">
        <w:t xml:space="preserve"> </w:t>
      </w:r>
      <w:r w:rsidR="00AA7AEC" w:rsidRPr="00762F1E">
        <w:t>(e)</w:t>
      </w:r>
      <w:r w:rsidR="00A43376" w:rsidRPr="00762F1E">
        <w:t xml:space="preserve"> </w:t>
      </w:r>
      <w:r w:rsidR="00AA7AEC" w:rsidRPr="00762F1E">
        <w:t>(i) and (v)</w:t>
      </w:r>
      <w:r w:rsidR="005F3D37" w:rsidRPr="00762F1E">
        <w:t>)</w:t>
      </w:r>
      <w:r w:rsidR="00AA7AEC" w:rsidRPr="00762F1E">
        <w:t>.</w:t>
      </w:r>
    </w:p>
    <w:p w:rsidR="00DA621C" w:rsidRPr="00762F1E" w:rsidRDefault="00DA621C" w:rsidP="00145A42">
      <w:pPr>
        <w:spacing w:before="240" w:after="120"/>
        <w:ind w:left="1134" w:right="1134"/>
        <w:jc w:val="both"/>
      </w:pPr>
      <w:r w:rsidRPr="00762F1E">
        <w:rPr>
          <w:b/>
        </w:rPr>
        <w:t xml:space="preserve">The Committee recommends that the State party evaluate the results of the Comprehensive National Strategy for Integration with a view to </w:t>
      </w:r>
      <w:r w:rsidR="00145A42" w:rsidRPr="00762F1E">
        <w:rPr>
          <w:b/>
        </w:rPr>
        <w:t xml:space="preserve">addressing </w:t>
      </w:r>
      <w:r w:rsidRPr="00762F1E">
        <w:rPr>
          <w:b/>
        </w:rPr>
        <w:t>prevailing discrimination against persons of foreign origin</w:t>
      </w:r>
      <w:r w:rsidR="005F3D37" w:rsidRPr="00762F1E">
        <w:rPr>
          <w:b/>
        </w:rPr>
        <w:t xml:space="preserve"> throughout the country</w:t>
      </w:r>
      <w:r w:rsidRPr="00762F1E">
        <w:rPr>
          <w:b/>
        </w:rPr>
        <w:t xml:space="preserve">. The State party should in particular take further effective measures to increase access to </w:t>
      </w:r>
      <w:r w:rsidR="00145A42" w:rsidRPr="00762F1E">
        <w:rPr>
          <w:b/>
        </w:rPr>
        <w:t xml:space="preserve">education and </w:t>
      </w:r>
      <w:r w:rsidRPr="00762F1E">
        <w:rPr>
          <w:b/>
        </w:rPr>
        <w:t>employment by persons of foreign origin</w:t>
      </w:r>
      <w:r w:rsidR="00145A42" w:rsidRPr="00762F1E">
        <w:rPr>
          <w:b/>
        </w:rPr>
        <w:t>.</w:t>
      </w:r>
    </w:p>
    <w:p w:rsidR="00087B2A" w:rsidRPr="00762F1E" w:rsidRDefault="00CA07DB" w:rsidP="00CA07DB">
      <w:pPr>
        <w:pStyle w:val="H23G"/>
      </w:pPr>
      <w:r w:rsidRPr="00762F1E">
        <w:tab/>
      </w:r>
      <w:r w:rsidRPr="00762F1E">
        <w:tab/>
      </w:r>
      <w:r w:rsidR="00AF0A4B" w:rsidRPr="00762F1E">
        <w:t>Racial profiling</w:t>
      </w:r>
    </w:p>
    <w:p w:rsidR="0025059C" w:rsidRPr="00762F1E" w:rsidRDefault="00AF0A4B" w:rsidP="0025059C">
      <w:pPr>
        <w:spacing w:before="120" w:after="120"/>
        <w:ind w:left="1134" w:right="1134"/>
        <w:jc w:val="both"/>
      </w:pPr>
      <w:r w:rsidRPr="00762F1E">
        <w:t>1</w:t>
      </w:r>
      <w:r w:rsidR="00AA7AEC" w:rsidRPr="00762F1E">
        <w:t>6</w:t>
      </w:r>
      <w:r w:rsidR="000A1A84">
        <w:t>.</w:t>
      </w:r>
      <w:r w:rsidRPr="00762F1E">
        <w:tab/>
      </w:r>
      <w:r w:rsidR="00D82019" w:rsidRPr="00762F1E">
        <w:t xml:space="preserve">While noting that the State party’s legal system requires a high level of proof in cases of </w:t>
      </w:r>
      <w:r w:rsidR="00A43376" w:rsidRPr="00762F1E">
        <w:t xml:space="preserve">the </w:t>
      </w:r>
      <w:r w:rsidR="00D82019" w:rsidRPr="00762F1E">
        <w:t xml:space="preserve">arrest and detention of </w:t>
      </w:r>
      <w:r w:rsidR="0025059C" w:rsidRPr="00762F1E">
        <w:t xml:space="preserve">a </w:t>
      </w:r>
      <w:r w:rsidR="00D82019" w:rsidRPr="00762F1E">
        <w:t xml:space="preserve">suspect, the Committee is concerned about </w:t>
      </w:r>
      <w:r w:rsidR="0025059C" w:rsidRPr="00762F1E">
        <w:t xml:space="preserve">the </w:t>
      </w:r>
      <w:r w:rsidR="00D82019" w:rsidRPr="00762F1E">
        <w:t>report</w:t>
      </w:r>
      <w:r w:rsidR="0025059C" w:rsidRPr="00762F1E">
        <w:t xml:space="preserve">ed </w:t>
      </w:r>
      <w:r w:rsidR="00D350A2" w:rsidRPr="00762F1E">
        <w:t>discrepancy between the number of arrests and</w:t>
      </w:r>
      <w:r w:rsidR="00355AD4" w:rsidRPr="00762F1E">
        <w:t xml:space="preserve"> the</w:t>
      </w:r>
      <w:r w:rsidR="00D350A2" w:rsidRPr="00762F1E">
        <w:t xml:space="preserve"> number of</w:t>
      </w:r>
      <w:r w:rsidR="00AA4943" w:rsidRPr="00762F1E">
        <w:t xml:space="preserve"> </w:t>
      </w:r>
      <w:r w:rsidR="00D350A2" w:rsidRPr="00762F1E">
        <w:t xml:space="preserve">convictions </w:t>
      </w:r>
      <w:r w:rsidR="00D82019" w:rsidRPr="00762F1E">
        <w:t>under the Swedish Terrorism Act, which gives rise to concerns as regards unwarranted arrests</w:t>
      </w:r>
      <w:r w:rsidR="0025059C" w:rsidRPr="00762F1E">
        <w:t xml:space="preserve"> </w:t>
      </w:r>
      <w:r w:rsidR="00C30DA3" w:rsidRPr="00762F1E">
        <w:t>due</w:t>
      </w:r>
      <w:r w:rsidR="00355AD4" w:rsidRPr="00762F1E">
        <w:t xml:space="preserve"> to racial profiling </w:t>
      </w:r>
      <w:r w:rsidR="0025059C" w:rsidRPr="00762F1E">
        <w:t>(arts. 2</w:t>
      </w:r>
      <w:r w:rsidR="00A43376" w:rsidRPr="00762F1E">
        <w:t xml:space="preserve">, para. </w:t>
      </w:r>
      <w:r w:rsidR="00AA7AEC" w:rsidRPr="00762F1E">
        <w:t>1</w:t>
      </w:r>
      <w:r w:rsidR="00A43376" w:rsidRPr="00762F1E">
        <w:t xml:space="preserve"> </w:t>
      </w:r>
      <w:r w:rsidR="00AA7AEC" w:rsidRPr="00762F1E">
        <w:t>(a) and (c)</w:t>
      </w:r>
      <w:r w:rsidR="00355AD4" w:rsidRPr="00762F1E">
        <w:t>;</w:t>
      </w:r>
      <w:r w:rsidR="0025059C" w:rsidRPr="00762F1E">
        <w:t xml:space="preserve"> 4</w:t>
      </w:r>
      <w:r w:rsidR="00A43376" w:rsidRPr="00762F1E">
        <w:t xml:space="preserve"> </w:t>
      </w:r>
      <w:r w:rsidR="00AA7AEC" w:rsidRPr="00762F1E">
        <w:t>(c)</w:t>
      </w:r>
      <w:r w:rsidR="00355AD4" w:rsidRPr="00762F1E">
        <w:t>;</w:t>
      </w:r>
      <w:r w:rsidR="00AA7AEC" w:rsidRPr="00762F1E">
        <w:t xml:space="preserve"> and </w:t>
      </w:r>
      <w:r w:rsidR="0025059C" w:rsidRPr="00762F1E">
        <w:t>6)</w:t>
      </w:r>
      <w:r w:rsidR="00AA7AEC" w:rsidRPr="00762F1E">
        <w:t>.</w:t>
      </w:r>
    </w:p>
    <w:p w:rsidR="008C2F33" w:rsidRPr="00762F1E" w:rsidRDefault="004C6FDC" w:rsidP="0025059C">
      <w:pPr>
        <w:ind w:left="1134" w:right="1134"/>
        <w:jc w:val="both"/>
        <w:rPr>
          <w:b/>
        </w:rPr>
      </w:pPr>
      <w:r w:rsidRPr="00762F1E">
        <w:rPr>
          <w:b/>
        </w:rPr>
        <w:t xml:space="preserve">Recalling its general recommendation No. 31 (2005) on the prevention </w:t>
      </w:r>
      <w:r w:rsidR="00C12EAB" w:rsidRPr="00762F1E">
        <w:rPr>
          <w:b/>
        </w:rPr>
        <w:t>of racial discrimination in the administration and functioning of the criminal justice system</w:t>
      </w:r>
      <w:r w:rsidRPr="00762F1E">
        <w:rPr>
          <w:b/>
        </w:rPr>
        <w:t>, t</w:t>
      </w:r>
      <w:r w:rsidR="0025059C" w:rsidRPr="00762F1E">
        <w:rPr>
          <w:b/>
        </w:rPr>
        <w:t xml:space="preserve">he Committee recommends that the State party take measures to evaluate the effects of </w:t>
      </w:r>
      <w:r w:rsidR="000F0226" w:rsidRPr="00762F1E">
        <w:rPr>
          <w:b/>
        </w:rPr>
        <w:t xml:space="preserve">the </w:t>
      </w:r>
      <w:r w:rsidR="0025059C" w:rsidRPr="00762F1E">
        <w:rPr>
          <w:b/>
        </w:rPr>
        <w:t xml:space="preserve">application of the Terrorism Act, including on minority communities, and ensure the application of relevant guarantees to </w:t>
      </w:r>
      <w:r w:rsidR="00AF0A4B" w:rsidRPr="00762F1E">
        <w:rPr>
          <w:b/>
        </w:rPr>
        <w:t xml:space="preserve">prevent </w:t>
      </w:r>
      <w:r w:rsidR="003957AB" w:rsidRPr="00762F1E">
        <w:rPr>
          <w:b/>
        </w:rPr>
        <w:t xml:space="preserve">possible police profiling and </w:t>
      </w:r>
      <w:r w:rsidR="00AF0A4B" w:rsidRPr="00762F1E">
        <w:rPr>
          <w:b/>
        </w:rPr>
        <w:t xml:space="preserve">any discrimination in </w:t>
      </w:r>
      <w:r w:rsidR="0025059C" w:rsidRPr="00762F1E">
        <w:rPr>
          <w:b/>
        </w:rPr>
        <w:t xml:space="preserve">the </w:t>
      </w:r>
      <w:r w:rsidR="00AF0A4B" w:rsidRPr="00762F1E">
        <w:rPr>
          <w:b/>
        </w:rPr>
        <w:t xml:space="preserve">administration </w:t>
      </w:r>
      <w:r w:rsidR="0025059C" w:rsidRPr="00762F1E">
        <w:rPr>
          <w:b/>
        </w:rPr>
        <w:t>of justice</w:t>
      </w:r>
      <w:r w:rsidR="00AF0A4B" w:rsidRPr="00762F1E">
        <w:rPr>
          <w:b/>
        </w:rPr>
        <w:t>.</w:t>
      </w:r>
    </w:p>
    <w:p w:rsidR="00087B2A" w:rsidRPr="00762F1E" w:rsidRDefault="00087B2A" w:rsidP="00724AD2">
      <w:pPr>
        <w:pStyle w:val="H23G"/>
        <w:jc w:val="both"/>
      </w:pPr>
      <w:r w:rsidRPr="00762F1E">
        <w:tab/>
      </w:r>
      <w:r w:rsidRPr="00762F1E">
        <w:tab/>
      </w:r>
      <w:r w:rsidR="00AF0A4B" w:rsidRPr="00762F1E">
        <w:t xml:space="preserve">Indigenous </w:t>
      </w:r>
      <w:r w:rsidRPr="00762F1E">
        <w:t>Sami</w:t>
      </w:r>
    </w:p>
    <w:p w:rsidR="003957AB" w:rsidRPr="00762F1E" w:rsidRDefault="00AF0A4B" w:rsidP="00CA07DB">
      <w:pPr>
        <w:pStyle w:val="SingleTxtG"/>
        <w:rPr>
          <w:lang w:val="en-GB"/>
        </w:rPr>
      </w:pPr>
      <w:r w:rsidRPr="00762F1E">
        <w:rPr>
          <w:lang w:val="en-GB"/>
        </w:rPr>
        <w:t>1</w:t>
      </w:r>
      <w:r w:rsidR="0040740B" w:rsidRPr="00762F1E">
        <w:rPr>
          <w:lang w:val="en-GB"/>
        </w:rPr>
        <w:t>7</w:t>
      </w:r>
      <w:r w:rsidRPr="00762F1E">
        <w:rPr>
          <w:lang w:val="en-GB"/>
        </w:rPr>
        <w:t>.</w:t>
      </w:r>
      <w:r w:rsidRPr="00762F1E">
        <w:rPr>
          <w:lang w:val="en-GB"/>
        </w:rPr>
        <w:tab/>
      </w:r>
      <w:r w:rsidR="003957AB" w:rsidRPr="00762F1E">
        <w:rPr>
          <w:lang w:val="en-GB"/>
        </w:rPr>
        <w:t>The Committee notes</w:t>
      </w:r>
      <w:r w:rsidR="00087B2A" w:rsidRPr="00762F1E">
        <w:rPr>
          <w:lang w:val="en-GB"/>
        </w:rPr>
        <w:t xml:space="preserve"> </w:t>
      </w:r>
      <w:r w:rsidR="00E02F23" w:rsidRPr="00762F1E">
        <w:rPr>
          <w:lang w:val="en-GB"/>
        </w:rPr>
        <w:t xml:space="preserve">with concern </w:t>
      </w:r>
      <w:r w:rsidR="00087B2A" w:rsidRPr="00762F1E">
        <w:rPr>
          <w:lang w:val="en-GB"/>
        </w:rPr>
        <w:t xml:space="preserve">that </w:t>
      </w:r>
      <w:r w:rsidR="0018112B" w:rsidRPr="00762F1E">
        <w:rPr>
          <w:lang w:val="en-GB"/>
        </w:rPr>
        <w:t xml:space="preserve">a </w:t>
      </w:r>
      <w:r w:rsidR="00087B2A" w:rsidRPr="00762F1E">
        <w:rPr>
          <w:lang w:val="en-GB"/>
        </w:rPr>
        <w:t xml:space="preserve">bill </w:t>
      </w:r>
      <w:r w:rsidR="0018112B" w:rsidRPr="00762F1E">
        <w:rPr>
          <w:lang w:val="en-GB"/>
        </w:rPr>
        <w:t xml:space="preserve">on Sami rights was to be </w:t>
      </w:r>
      <w:r w:rsidR="00087B2A" w:rsidRPr="00762F1E">
        <w:rPr>
          <w:lang w:val="en-GB"/>
        </w:rPr>
        <w:t>submitted t</w:t>
      </w:r>
      <w:r w:rsidRPr="00762F1E">
        <w:rPr>
          <w:lang w:val="en-GB"/>
        </w:rPr>
        <w:t>o the Parliament in March 2010</w:t>
      </w:r>
      <w:r w:rsidR="00320FFD" w:rsidRPr="00762F1E">
        <w:rPr>
          <w:lang w:val="en-GB"/>
        </w:rPr>
        <w:t xml:space="preserve"> </w:t>
      </w:r>
      <w:r w:rsidR="00087B2A" w:rsidRPr="00762F1E">
        <w:rPr>
          <w:lang w:val="en-GB"/>
        </w:rPr>
        <w:t>reflect</w:t>
      </w:r>
      <w:r w:rsidR="00145A42" w:rsidRPr="00762F1E">
        <w:rPr>
          <w:lang w:val="en-GB"/>
        </w:rPr>
        <w:t xml:space="preserve">ing </w:t>
      </w:r>
      <w:r w:rsidR="00087B2A" w:rsidRPr="00762F1E">
        <w:rPr>
          <w:lang w:val="en-GB"/>
        </w:rPr>
        <w:t xml:space="preserve">on the outcomes of various inquiries </w:t>
      </w:r>
      <w:r w:rsidR="000F0226" w:rsidRPr="00762F1E">
        <w:rPr>
          <w:lang w:val="en-GB"/>
        </w:rPr>
        <w:t>in</w:t>
      </w:r>
      <w:r w:rsidR="00087B2A" w:rsidRPr="00762F1E">
        <w:rPr>
          <w:lang w:val="en-GB"/>
        </w:rPr>
        <w:t xml:space="preserve">to Sami </w:t>
      </w:r>
      <w:r w:rsidR="0018112B" w:rsidRPr="00762F1E">
        <w:rPr>
          <w:lang w:val="en-GB"/>
        </w:rPr>
        <w:t>l</w:t>
      </w:r>
      <w:r w:rsidR="00FF3205" w:rsidRPr="00762F1E">
        <w:rPr>
          <w:lang w:val="en-GB"/>
        </w:rPr>
        <w:t xml:space="preserve">and </w:t>
      </w:r>
      <w:r w:rsidR="00087B2A" w:rsidRPr="00762F1E">
        <w:rPr>
          <w:lang w:val="en-GB"/>
        </w:rPr>
        <w:t>a</w:t>
      </w:r>
      <w:r w:rsidR="00FF3205" w:rsidRPr="00762F1E">
        <w:rPr>
          <w:lang w:val="en-GB"/>
        </w:rPr>
        <w:t xml:space="preserve">s well as </w:t>
      </w:r>
      <w:r w:rsidR="00087B2A" w:rsidRPr="00762F1E">
        <w:rPr>
          <w:lang w:val="en-GB"/>
        </w:rPr>
        <w:t xml:space="preserve">resources rights, </w:t>
      </w:r>
      <w:r w:rsidR="00FF3205" w:rsidRPr="00762F1E">
        <w:rPr>
          <w:lang w:val="en-GB"/>
        </w:rPr>
        <w:t xml:space="preserve">but the draft bill </w:t>
      </w:r>
      <w:r w:rsidR="00087B2A" w:rsidRPr="00762F1E">
        <w:rPr>
          <w:lang w:val="en-GB"/>
        </w:rPr>
        <w:t xml:space="preserve">was rejected by the Sami Parliament and other interest groups during the </w:t>
      </w:r>
      <w:r w:rsidR="00B6771C" w:rsidRPr="00762F1E">
        <w:rPr>
          <w:lang w:val="en-GB"/>
        </w:rPr>
        <w:t>preparatory</w:t>
      </w:r>
      <w:r w:rsidR="000F0226" w:rsidRPr="00762F1E">
        <w:rPr>
          <w:lang w:val="en-GB"/>
        </w:rPr>
        <w:t xml:space="preserve"> </w:t>
      </w:r>
      <w:r w:rsidR="00087B2A" w:rsidRPr="00762F1E">
        <w:rPr>
          <w:lang w:val="en-GB"/>
        </w:rPr>
        <w:t>process</w:t>
      </w:r>
      <w:r w:rsidR="003957AB" w:rsidRPr="00762F1E">
        <w:rPr>
          <w:lang w:val="en-GB"/>
        </w:rPr>
        <w:t xml:space="preserve">. The Committee also expresses its concern that the State party allows major industrial and other activities affecting Sami, including under the Swedish Mining Act, to proceed in the Sami territories without Sami communities offering their </w:t>
      </w:r>
      <w:r w:rsidR="00B742C5" w:rsidRPr="00762F1E">
        <w:rPr>
          <w:lang w:val="en-GB"/>
        </w:rPr>
        <w:t xml:space="preserve">free, </w:t>
      </w:r>
      <w:r w:rsidR="003957AB" w:rsidRPr="00762F1E">
        <w:rPr>
          <w:lang w:val="en-GB"/>
        </w:rPr>
        <w:t>prior</w:t>
      </w:r>
      <w:r w:rsidR="00B742C5" w:rsidRPr="00762F1E">
        <w:rPr>
          <w:lang w:val="en-GB"/>
        </w:rPr>
        <w:t xml:space="preserve"> </w:t>
      </w:r>
      <w:r w:rsidR="003957AB" w:rsidRPr="00762F1E">
        <w:rPr>
          <w:lang w:val="en-GB"/>
        </w:rPr>
        <w:t>and informed consent (arts. 5 (d)</w:t>
      </w:r>
      <w:r w:rsidR="00E56588" w:rsidRPr="00762F1E">
        <w:rPr>
          <w:lang w:val="en-GB"/>
        </w:rPr>
        <w:t xml:space="preserve"> </w:t>
      </w:r>
      <w:r w:rsidR="003957AB" w:rsidRPr="00762F1E">
        <w:rPr>
          <w:lang w:val="en-GB"/>
        </w:rPr>
        <w:t>(v)).</w:t>
      </w:r>
    </w:p>
    <w:p w:rsidR="003957AB" w:rsidRPr="00762F1E" w:rsidRDefault="00724AD2" w:rsidP="00E02F23">
      <w:pPr>
        <w:pStyle w:val="H23G"/>
        <w:spacing w:before="120"/>
        <w:jc w:val="both"/>
      </w:pPr>
      <w:r w:rsidRPr="00762F1E">
        <w:rPr>
          <w:b w:val="0"/>
        </w:rPr>
        <w:tab/>
      </w:r>
      <w:r w:rsidRPr="00762F1E">
        <w:rPr>
          <w:b w:val="0"/>
        </w:rPr>
        <w:tab/>
      </w:r>
      <w:r w:rsidR="00087B2A" w:rsidRPr="00762F1E">
        <w:t>Recalling its general recommendation No. 23 (</w:t>
      </w:r>
      <w:r w:rsidR="00D606A6" w:rsidRPr="00762F1E">
        <w:t>1997</w:t>
      </w:r>
      <w:r w:rsidR="00087B2A" w:rsidRPr="00762F1E">
        <w:t xml:space="preserve">) on </w:t>
      </w:r>
      <w:r w:rsidR="00D606A6" w:rsidRPr="00762F1E">
        <w:t xml:space="preserve">indigenous peoples </w:t>
      </w:r>
      <w:r w:rsidR="00087B2A" w:rsidRPr="00762F1E">
        <w:t>and previous concluding observations, the Committee recommends that the State party take further measures to facilitate the adoption of the new l</w:t>
      </w:r>
      <w:r w:rsidR="00B454A5" w:rsidRPr="00762F1E">
        <w:t xml:space="preserve">egislation </w:t>
      </w:r>
      <w:r w:rsidR="00087B2A" w:rsidRPr="00762F1E">
        <w:t>on Sami rights, in consultation with the concerned communities, building on the studies undertaken into Sami land and resource rights which are considered mutually acceptable</w:t>
      </w:r>
      <w:r w:rsidR="00087B2A" w:rsidRPr="00762F1E">
        <w:rPr>
          <w:b w:val="0"/>
        </w:rPr>
        <w:t>.</w:t>
      </w:r>
      <w:r w:rsidR="00E02F23" w:rsidRPr="00762F1E">
        <w:rPr>
          <w:b w:val="0"/>
        </w:rPr>
        <w:t xml:space="preserve"> </w:t>
      </w:r>
      <w:r w:rsidR="00087B2A" w:rsidRPr="00762F1E">
        <w:t xml:space="preserve">The Committee </w:t>
      </w:r>
      <w:r w:rsidR="003957AB" w:rsidRPr="00762F1E">
        <w:t xml:space="preserve">also </w:t>
      </w:r>
      <w:r w:rsidR="00087B2A" w:rsidRPr="00762F1E">
        <w:t xml:space="preserve">recommends that the State party adopt legislation and take other measures to ensure respect for the right of Sami communities to offer </w:t>
      </w:r>
      <w:r w:rsidR="00B742C5" w:rsidRPr="00762F1E">
        <w:t>free, p</w:t>
      </w:r>
      <w:r w:rsidR="00087B2A" w:rsidRPr="00762F1E">
        <w:t>rior</w:t>
      </w:r>
      <w:r w:rsidR="00B742C5" w:rsidRPr="00762F1E">
        <w:t xml:space="preserve"> </w:t>
      </w:r>
      <w:r w:rsidR="00087B2A" w:rsidRPr="00762F1E">
        <w:t xml:space="preserve">and informed consent whenever their rights may be affected by projects, including </w:t>
      </w:r>
      <w:r w:rsidR="00E56588" w:rsidRPr="00762F1E">
        <w:t xml:space="preserve">to </w:t>
      </w:r>
      <w:r w:rsidR="00087B2A" w:rsidRPr="00762F1E">
        <w:t xml:space="preserve">extract natural resources, carried out </w:t>
      </w:r>
      <w:r w:rsidR="00B6771C" w:rsidRPr="00762F1E">
        <w:t>i</w:t>
      </w:r>
      <w:r w:rsidR="00087B2A" w:rsidRPr="00762F1E">
        <w:t>n their traditional territories.</w:t>
      </w:r>
    </w:p>
    <w:p w:rsidR="00087B2A" w:rsidRPr="00762F1E" w:rsidRDefault="002A63E2" w:rsidP="00724AD2">
      <w:pPr>
        <w:spacing w:before="120" w:after="120"/>
        <w:ind w:left="1134" w:right="1134"/>
        <w:jc w:val="both"/>
      </w:pPr>
      <w:r w:rsidRPr="00762F1E">
        <w:t>1</w:t>
      </w:r>
      <w:r w:rsidR="0040740B" w:rsidRPr="00762F1E">
        <w:t>8</w:t>
      </w:r>
      <w:r w:rsidRPr="00762F1E">
        <w:t>.</w:t>
      </w:r>
      <w:r w:rsidRPr="00762F1E">
        <w:tab/>
      </w:r>
      <w:r w:rsidR="00087B2A" w:rsidRPr="00762F1E">
        <w:t xml:space="preserve">The Committee </w:t>
      </w:r>
      <w:r w:rsidR="001D3118" w:rsidRPr="00762F1E">
        <w:t>notes the problem of</w:t>
      </w:r>
      <w:r w:rsidR="00087B2A" w:rsidRPr="00762F1E">
        <w:t xml:space="preserve"> inadequate compensation by the State party for damages due to </w:t>
      </w:r>
      <w:r w:rsidR="00E56588" w:rsidRPr="00762F1E">
        <w:t xml:space="preserve">the </w:t>
      </w:r>
      <w:r w:rsidR="00087B2A" w:rsidRPr="00762F1E">
        <w:t xml:space="preserve">killing of </w:t>
      </w:r>
      <w:r w:rsidR="00E56588" w:rsidRPr="00762F1E">
        <w:t xml:space="preserve">Sami herders’ </w:t>
      </w:r>
      <w:r w:rsidR="00087B2A" w:rsidRPr="00762F1E">
        <w:t xml:space="preserve">reindeer by predators protected </w:t>
      </w:r>
      <w:r w:rsidRPr="00762F1E">
        <w:t xml:space="preserve">under </w:t>
      </w:r>
      <w:r w:rsidR="00087B2A" w:rsidRPr="00762F1E">
        <w:t>the S</w:t>
      </w:r>
      <w:r w:rsidR="0040740B" w:rsidRPr="00762F1E">
        <w:t xml:space="preserve">wedish </w:t>
      </w:r>
      <w:r w:rsidR="00087B2A" w:rsidRPr="00762F1E">
        <w:t>wildlife policy (art. 5 (d)</w:t>
      </w:r>
      <w:r w:rsidR="00E56588" w:rsidRPr="00762F1E">
        <w:t xml:space="preserve"> </w:t>
      </w:r>
      <w:r w:rsidR="00087B2A" w:rsidRPr="00762F1E">
        <w:t>(v) and 6).</w:t>
      </w:r>
    </w:p>
    <w:p w:rsidR="00087B2A" w:rsidRPr="00762F1E" w:rsidRDefault="00087B2A" w:rsidP="00724AD2">
      <w:pPr>
        <w:spacing w:before="120" w:after="120"/>
        <w:ind w:left="1134" w:right="1134" w:firstLine="6"/>
        <w:jc w:val="both"/>
      </w:pPr>
      <w:r w:rsidRPr="00762F1E">
        <w:rPr>
          <w:b/>
        </w:rPr>
        <w:t xml:space="preserve">The Committee recommends </w:t>
      </w:r>
      <w:r w:rsidR="00E56588" w:rsidRPr="00762F1E">
        <w:rPr>
          <w:b/>
        </w:rPr>
        <w:t xml:space="preserve">that </w:t>
      </w:r>
      <w:r w:rsidRPr="00762F1E">
        <w:rPr>
          <w:b/>
        </w:rPr>
        <w:t xml:space="preserve">the State party </w:t>
      </w:r>
      <w:r w:rsidR="001D3118" w:rsidRPr="00762F1E">
        <w:rPr>
          <w:b/>
        </w:rPr>
        <w:t xml:space="preserve">continue its efforts to find ways to </w:t>
      </w:r>
      <w:r w:rsidRPr="00762F1E">
        <w:rPr>
          <w:b/>
        </w:rPr>
        <w:t>compensate the Sami reindeer</w:t>
      </w:r>
      <w:r w:rsidR="00E56588" w:rsidRPr="00762F1E">
        <w:rPr>
          <w:b/>
        </w:rPr>
        <w:t>-</w:t>
      </w:r>
      <w:r w:rsidRPr="00762F1E">
        <w:rPr>
          <w:b/>
        </w:rPr>
        <w:t xml:space="preserve">herding communities for damages caused to them by predators, </w:t>
      </w:r>
      <w:r w:rsidR="002A63E2" w:rsidRPr="00762F1E">
        <w:rPr>
          <w:b/>
        </w:rPr>
        <w:t xml:space="preserve">based on </w:t>
      </w:r>
      <w:r w:rsidRPr="00762F1E">
        <w:rPr>
          <w:b/>
        </w:rPr>
        <w:t>a negotiated settlement.</w:t>
      </w:r>
    </w:p>
    <w:p w:rsidR="00087B2A" w:rsidRPr="00762F1E" w:rsidRDefault="002A63E2" w:rsidP="00724AD2">
      <w:pPr>
        <w:spacing w:before="120" w:after="120"/>
        <w:ind w:left="1134" w:right="1134" w:firstLine="6"/>
        <w:jc w:val="both"/>
      </w:pPr>
      <w:r w:rsidRPr="00762F1E">
        <w:t>1</w:t>
      </w:r>
      <w:r w:rsidR="0040740B" w:rsidRPr="00762F1E">
        <w:t>9</w:t>
      </w:r>
      <w:r w:rsidRPr="00762F1E">
        <w:t>.</w:t>
      </w:r>
      <w:r w:rsidRPr="00762F1E">
        <w:tab/>
      </w:r>
      <w:r w:rsidR="00087B2A" w:rsidRPr="00762F1E">
        <w:t xml:space="preserve">The Committee is concerned at the lack of </w:t>
      </w:r>
      <w:r w:rsidR="00027796" w:rsidRPr="00762F1E">
        <w:t xml:space="preserve">progress </w:t>
      </w:r>
      <w:r w:rsidR="005A77FE" w:rsidRPr="00762F1E">
        <w:t>on</w:t>
      </w:r>
      <w:r w:rsidR="00027796" w:rsidRPr="00762F1E">
        <w:t xml:space="preserve"> </w:t>
      </w:r>
      <w:r w:rsidR="00087B2A" w:rsidRPr="00762F1E">
        <w:t>develop</w:t>
      </w:r>
      <w:r w:rsidR="00B6771C" w:rsidRPr="00762F1E">
        <w:t>ing</w:t>
      </w:r>
      <w:r w:rsidR="00087B2A" w:rsidRPr="00762F1E">
        <w:t xml:space="preserve"> a Nordic Sami Convention </w:t>
      </w:r>
      <w:r w:rsidR="005A77FE" w:rsidRPr="00762F1E">
        <w:t>and</w:t>
      </w:r>
      <w:r w:rsidR="00B6771C" w:rsidRPr="00762F1E">
        <w:t xml:space="preserve"> at</w:t>
      </w:r>
      <w:r w:rsidR="00087B2A" w:rsidRPr="00762F1E">
        <w:t xml:space="preserve"> </w:t>
      </w:r>
      <w:r w:rsidR="00022296" w:rsidRPr="00762F1E">
        <w:t xml:space="preserve">the </w:t>
      </w:r>
      <w:r w:rsidR="005A77FE" w:rsidRPr="00762F1E">
        <w:t xml:space="preserve">State party </w:t>
      </w:r>
      <w:r w:rsidR="00087B2A" w:rsidRPr="00762F1E">
        <w:t>postpon</w:t>
      </w:r>
      <w:r w:rsidR="005A77FE" w:rsidRPr="00762F1E">
        <w:t>ing</w:t>
      </w:r>
      <w:r w:rsidR="00087B2A" w:rsidRPr="00762F1E">
        <w:t xml:space="preserve"> ratification of International Labour Organization (ILO) Convention No. 169 (1989) on Indigenous and Tribal Peoples in Independent Countries (art. 5</w:t>
      </w:r>
      <w:r w:rsidR="005A77FE" w:rsidRPr="00762F1E">
        <w:t xml:space="preserve"> </w:t>
      </w:r>
      <w:r w:rsidR="00087B2A" w:rsidRPr="00762F1E">
        <w:t>(e)</w:t>
      </w:r>
      <w:r w:rsidR="005A77FE" w:rsidRPr="00762F1E">
        <w:t xml:space="preserve"> </w:t>
      </w:r>
      <w:r w:rsidR="00087B2A" w:rsidRPr="00762F1E">
        <w:t>(vi)).</w:t>
      </w:r>
    </w:p>
    <w:p w:rsidR="00087B2A" w:rsidRPr="00762F1E" w:rsidRDefault="00087B2A" w:rsidP="00087B2A">
      <w:pPr>
        <w:ind w:left="1134" w:right="1134" w:firstLine="6"/>
        <w:jc w:val="both"/>
        <w:rPr>
          <w:b/>
        </w:rPr>
      </w:pPr>
      <w:r w:rsidRPr="00762F1E">
        <w:rPr>
          <w:b/>
        </w:rPr>
        <w:t xml:space="preserve">The Committee reiterates its previous encouragement to the State party to contribute to the timely negotiation and adoption of a Nordic Sami Convention and </w:t>
      </w:r>
      <w:r w:rsidR="0040740B" w:rsidRPr="00762F1E">
        <w:rPr>
          <w:b/>
        </w:rPr>
        <w:t xml:space="preserve">to </w:t>
      </w:r>
      <w:r w:rsidRPr="00762F1E">
        <w:rPr>
          <w:b/>
        </w:rPr>
        <w:t xml:space="preserve">ratify ILO Convention No. 169. </w:t>
      </w:r>
    </w:p>
    <w:p w:rsidR="00087B2A" w:rsidRPr="00762F1E" w:rsidRDefault="00087B2A" w:rsidP="004B426A">
      <w:pPr>
        <w:pStyle w:val="H23G"/>
      </w:pPr>
      <w:r w:rsidRPr="00762F1E">
        <w:tab/>
      </w:r>
      <w:r w:rsidRPr="00762F1E">
        <w:tab/>
      </w:r>
      <w:r w:rsidR="002A63E2" w:rsidRPr="00762F1E">
        <w:t xml:space="preserve">Stigmatization </w:t>
      </w:r>
      <w:r w:rsidR="00554151" w:rsidRPr="00762F1E">
        <w:t xml:space="preserve">and discrimination against </w:t>
      </w:r>
      <w:r w:rsidR="005603A1" w:rsidRPr="00762F1E">
        <w:t>Roma</w:t>
      </w:r>
    </w:p>
    <w:p w:rsidR="004910C7" w:rsidRPr="00762F1E" w:rsidRDefault="00616BEB" w:rsidP="00087B2A">
      <w:pPr>
        <w:pStyle w:val="SingleTxtG"/>
        <w:rPr>
          <w:lang w:val="en-GB"/>
        </w:rPr>
      </w:pPr>
      <w:r w:rsidRPr="00762F1E">
        <w:rPr>
          <w:lang w:val="en-GB"/>
        </w:rPr>
        <w:t>20</w:t>
      </w:r>
      <w:r w:rsidR="00087B2A" w:rsidRPr="00762F1E">
        <w:rPr>
          <w:lang w:val="en-GB"/>
        </w:rPr>
        <w:t>.</w:t>
      </w:r>
      <w:r w:rsidR="00087B2A" w:rsidRPr="00762F1E">
        <w:rPr>
          <w:lang w:val="en-GB"/>
        </w:rPr>
        <w:tab/>
      </w:r>
      <w:r w:rsidR="00554151" w:rsidRPr="00762F1E">
        <w:rPr>
          <w:lang w:val="en-GB"/>
        </w:rPr>
        <w:t xml:space="preserve">While welcoming the steps taken by the State party to prevent discrimination against Roma, including the </w:t>
      </w:r>
      <w:r w:rsidR="001D3118" w:rsidRPr="00762F1E">
        <w:rPr>
          <w:lang w:val="en-GB"/>
        </w:rPr>
        <w:t>efforts of</w:t>
      </w:r>
      <w:r w:rsidR="00554151" w:rsidRPr="00762F1E">
        <w:rPr>
          <w:lang w:val="en-GB"/>
        </w:rPr>
        <w:t xml:space="preserve"> the Ombudsman and the adoption </w:t>
      </w:r>
      <w:r w:rsidR="00B742C5" w:rsidRPr="00762F1E">
        <w:rPr>
          <w:lang w:val="en-GB"/>
        </w:rPr>
        <w:t xml:space="preserve">of the </w:t>
      </w:r>
      <w:r w:rsidR="00A9165B" w:rsidRPr="00762F1E">
        <w:rPr>
          <w:lang w:val="en-GB"/>
        </w:rPr>
        <w:t>Strategy for Roma Inclusion 2012</w:t>
      </w:r>
      <w:r w:rsidR="00A5403C" w:rsidRPr="00762F1E">
        <w:rPr>
          <w:lang w:val="en-GB"/>
        </w:rPr>
        <w:t>–</w:t>
      </w:r>
      <w:r w:rsidR="00A9165B" w:rsidRPr="00762F1E">
        <w:rPr>
          <w:lang w:val="en-GB"/>
        </w:rPr>
        <w:t>2032, the Committee is concerned about the lack of progress in the equal enjoyment of rights by Roma, in particular about the continued stigmatization of and discrimination against Roma in access to services, the</w:t>
      </w:r>
      <w:r w:rsidR="00F34986" w:rsidRPr="00762F1E">
        <w:rPr>
          <w:lang w:val="en-GB"/>
        </w:rPr>
        <w:t>ir</w:t>
      </w:r>
      <w:r w:rsidR="00A9165B" w:rsidRPr="00762F1E">
        <w:rPr>
          <w:lang w:val="en-GB"/>
        </w:rPr>
        <w:t xml:space="preserve"> ongoing precarious socioeconomic situation due to low levels of employment, </w:t>
      </w:r>
      <w:r w:rsidR="00B742C5" w:rsidRPr="00762F1E">
        <w:rPr>
          <w:lang w:val="en-GB"/>
        </w:rPr>
        <w:t xml:space="preserve">inadequate </w:t>
      </w:r>
      <w:r w:rsidR="00A9165B" w:rsidRPr="00762F1E">
        <w:rPr>
          <w:lang w:val="en-GB"/>
        </w:rPr>
        <w:t>enforcement of the Education Act and the Anti-Discrimination Act regarding discrimination in education</w:t>
      </w:r>
      <w:r w:rsidR="00D941C8" w:rsidRPr="00762F1E">
        <w:rPr>
          <w:lang w:val="en-GB"/>
        </w:rPr>
        <w:t>,</w:t>
      </w:r>
      <w:r w:rsidR="00A9165B" w:rsidRPr="00762F1E">
        <w:rPr>
          <w:lang w:val="en-GB"/>
        </w:rPr>
        <w:t xml:space="preserve"> and the prevailing lack of access of Roma to adequate housing </w:t>
      </w:r>
      <w:r w:rsidR="002A63E2" w:rsidRPr="00762F1E">
        <w:rPr>
          <w:lang w:val="en-GB"/>
        </w:rPr>
        <w:t>(arts. 2</w:t>
      </w:r>
      <w:r w:rsidR="00F34986" w:rsidRPr="00762F1E">
        <w:rPr>
          <w:lang w:val="en-GB"/>
        </w:rPr>
        <w:t xml:space="preserve">, paras. </w:t>
      </w:r>
      <w:r w:rsidR="003B6E4B" w:rsidRPr="00762F1E">
        <w:rPr>
          <w:lang w:val="en-GB"/>
        </w:rPr>
        <w:t>1</w:t>
      </w:r>
      <w:r w:rsidR="00F34986" w:rsidRPr="00762F1E">
        <w:rPr>
          <w:lang w:val="en-GB"/>
        </w:rPr>
        <w:t xml:space="preserve"> </w:t>
      </w:r>
      <w:r w:rsidR="003B6E4B" w:rsidRPr="00762F1E">
        <w:rPr>
          <w:lang w:val="en-GB"/>
        </w:rPr>
        <w:t>(c) and 2</w:t>
      </w:r>
      <w:r w:rsidR="00F34986" w:rsidRPr="00762F1E">
        <w:rPr>
          <w:lang w:val="en-GB"/>
        </w:rPr>
        <w:t>;</w:t>
      </w:r>
      <w:r w:rsidR="006105CB" w:rsidRPr="00762F1E">
        <w:rPr>
          <w:lang w:val="en-GB"/>
        </w:rPr>
        <w:t xml:space="preserve"> </w:t>
      </w:r>
      <w:r w:rsidR="002A63E2" w:rsidRPr="00762F1E">
        <w:rPr>
          <w:lang w:val="en-GB"/>
        </w:rPr>
        <w:t>3</w:t>
      </w:r>
      <w:r w:rsidR="00F34986" w:rsidRPr="00762F1E">
        <w:rPr>
          <w:lang w:val="en-GB"/>
        </w:rPr>
        <w:t>;</w:t>
      </w:r>
      <w:r w:rsidR="006105CB" w:rsidRPr="00762F1E">
        <w:rPr>
          <w:lang w:val="en-GB"/>
        </w:rPr>
        <w:t xml:space="preserve"> </w:t>
      </w:r>
      <w:r w:rsidR="002A63E2" w:rsidRPr="00762F1E">
        <w:rPr>
          <w:lang w:val="en-GB"/>
        </w:rPr>
        <w:t>and 5</w:t>
      </w:r>
      <w:r w:rsidR="006105CB" w:rsidRPr="00762F1E">
        <w:rPr>
          <w:lang w:val="en-GB"/>
        </w:rPr>
        <w:t xml:space="preserve"> (e)</w:t>
      </w:r>
      <w:r w:rsidR="00F34986" w:rsidRPr="00762F1E">
        <w:rPr>
          <w:lang w:val="en-GB"/>
        </w:rPr>
        <w:t xml:space="preserve"> </w:t>
      </w:r>
      <w:r w:rsidR="006105CB" w:rsidRPr="00762F1E">
        <w:rPr>
          <w:lang w:val="en-GB"/>
        </w:rPr>
        <w:t>(i),(iii) and (v)</w:t>
      </w:r>
      <w:r w:rsidR="002A63E2" w:rsidRPr="00762F1E">
        <w:rPr>
          <w:lang w:val="en-GB"/>
        </w:rPr>
        <w:t>)</w:t>
      </w:r>
      <w:r w:rsidR="006105CB" w:rsidRPr="00762F1E">
        <w:rPr>
          <w:lang w:val="en-GB"/>
        </w:rPr>
        <w:t>.</w:t>
      </w:r>
    </w:p>
    <w:p w:rsidR="004910C7" w:rsidRPr="00762F1E" w:rsidRDefault="004910C7" w:rsidP="00CA07DB">
      <w:pPr>
        <w:pStyle w:val="SingleTxtG"/>
        <w:rPr>
          <w:b/>
          <w:lang w:val="en-GB"/>
        </w:rPr>
      </w:pPr>
      <w:r w:rsidRPr="00762F1E">
        <w:rPr>
          <w:b/>
          <w:lang w:val="en-GB"/>
        </w:rPr>
        <w:t xml:space="preserve">In </w:t>
      </w:r>
      <w:r w:rsidR="00F34986" w:rsidRPr="00762F1E">
        <w:rPr>
          <w:b/>
          <w:lang w:val="en-GB"/>
        </w:rPr>
        <w:t xml:space="preserve">the </w:t>
      </w:r>
      <w:r w:rsidRPr="00762F1E">
        <w:rPr>
          <w:b/>
          <w:lang w:val="en-GB"/>
        </w:rPr>
        <w:t>light of its general recommendation No. 27 (2000)</w:t>
      </w:r>
      <w:r w:rsidR="00097A8D" w:rsidRPr="00762F1E">
        <w:rPr>
          <w:b/>
          <w:lang w:val="en-GB"/>
        </w:rPr>
        <w:t xml:space="preserve"> </w:t>
      </w:r>
      <w:r w:rsidR="00201723" w:rsidRPr="00762F1E">
        <w:rPr>
          <w:b/>
          <w:lang w:val="en-GB"/>
        </w:rPr>
        <w:t xml:space="preserve">on </w:t>
      </w:r>
      <w:r w:rsidR="00097A8D" w:rsidRPr="00762F1E">
        <w:rPr>
          <w:b/>
          <w:lang w:val="en-GB"/>
        </w:rPr>
        <w:t>discrimination against Roma</w:t>
      </w:r>
      <w:r w:rsidRPr="00762F1E">
        <w:rPr>
          <w:b/>
          <w:lang w:val="en-GB"/>
        </w:rPr>
        <w:t>, the Committee recommends that the State party:</w:t>
      </w:r>
    </w:p>
    <w:p w:rsidR="00FD0129" w:rsidRPr="00762F1E" w:rsidRDefault="005603A1" w:rsidP="00E578D1">
      <w:pPr>
        <w:pStyle w:val="SingleTxtG"/>
        <w:numPr>
          <w:ilvl w:val="0"/>
          <w:numId w:val="3"/>
        </w:numPr>
        <w:ind w:left="1134" w:firstLine="567"/>
        <w:rPr>
          <w:b/>
          <w:lang w:val="en-GB"/>
        </w:rPr>
      </w:pPr>
      <w:r w:rsidRPr="00762F1E">
        <w:rPr>
          <w:b/>
          <w:lang w:val="en-GB"/>
        </w:rPr>
        <w:t xml:space="preserve">Enhance its efforts </w:t>
      </w:r>
      <w:r w:rsidR="00F34986" w:rsidRPr="00762F1E">
        <w:rPr>
          <w:b/>
          <w:lang w:val="en-GB"/>
        </w:rPr>
        <w:t>to</w:t>
      </w:r>
      <w:r w:rsidRPr="00762F1E">
        <w:rPr>
          <w:b/>
          <w:lang w:val="en-GB"/>
        </w:rPr>
        <w:t xml:space="preserve"> combat discrimination against Roma</w:t>
      </w:r>
      <w:r w:rsidR="00F34986" w:rsidRPr="00762F1E">
        <w:rPr>
          <w:b/>
          <w:lang w:val="en-GB"/>
        </w:rPr>
        <w:t>,</w:t>
      </w:r>
      <w:r w:rsidRPr="00762F1E">
        <w:rPr>
          <w:b/>
          <w:lang w:val="en-GB"/>
        </w:rPr>
        <w:t xml:space="preserve"> including by implementing temporary</w:t>
      </w:r>
      <w:r w:rsidR="001877B1" w:rsidRPr="00762F1E">
        <w:rPr>
          <w:b/>
          <w:lang w:val="en-GB"/>
        </w:rPr>
        <w:t xml:space="preserve"> special measures in accordance with general recommendation No. 32 (2009) on the meaning and scope of special measures, to improve the </w:t>
      </w:r>
      <w:r w:rsidR="00FD0129" w:rsidRPr="00762F1E">
        <w:rPr>
          <w:b/>
          <w:lang w:val="en-GB"/>
        </w:rPr>
        <w:t>enjoyment of e</w:t>
      </w:r>
      <w:r w:rsidR="001877B1" w:rsidRPr="00762F1E">
        <w:rPr>
          <w:b/>
          <w:lang w:val="en-GB"/>
        </w:rPr>
        <w:t>conomic, social and cultural rights by</w:t>
      </w:r>
      <w:r w:rsidR="00FD0129" w:rsidRPr="00762F1E">
        <w:rPr>
          <w:b/>
          <w:lang w:val="en-GB"/>
        </w:rPr>
        <w:t xml:space="preserve"> Roma</w:t>
      </w:r>
      <w:r w:rsidR="00CA07DB" w:rsidRPr="00762F1E">
        <w:rPr>
          <w:b/>
          <w:lang w:val="en-GB"/>
        </w:rPr>
        <w:t>;</w:t>
      </w:r>
    </w:p>
    <w:p w:rsidR="00FD0129" w:rsidRPr="00762F1E" w:rsidRDefault="00FD0129" w:rsidP="00CA07DB">
      <w:pPr>
        <w:pStyle w:val="SingleTxtG"/>
        <w:numPr>
          <w:ilvl w:val="0"/>
          <w:numId w:val="3"/>
        </w:numPr>
        <w:ind w:left="1134" w:firstLine="567"/>
        <w:rPr>
          <w:b/>
          <w:lang w:val="en-GB"/>
        </w:rPr>
      </w:pPr>
      <w:r w:rsidRPr="00762F1E">
        <w:rPr>
          <w:b/>
          <w:lang w:val="en-GB"/>
        </w:rPr>
        <w:t>C</w:t>
      </w:r>
      <w:r w:rsidR="00A9165B" w:rsidRPr="00762F1E">
        <w:rPr>
          <w:b/>
          <w:lang w:val="en-GB"/>
        </w:rPr>
        <w:t>o</w:t>
      </w:r>
      <w:r w:rsidR="001877B1" w:rsidRPr="00762F1E">
        <w:rPr>
          <w:b/>
          <w:lang w:val="en-GB"/>
        </w:rPr>
        <w:t xml:space="preserve">mbat prejudice and </w:t>
      </w:r>
      <w:r w:rsidR="00A9165B" w:rsidRPr="00762F1E">
        <w:rPr>
          <w:b/>
          <w:lang w:val="en-GB"/>
        </w:rPr>
        <w:t>stereotypes</w:t>
      </w:r>
      <w:r w:rsidR="001877B1" w:rsidRPr="00762F1E">
        <w:rPr>
          <w:b/>
          <w:lang w:val="en-GB"/>
        </w:rPr>
        <w:t xml:space="preserve"> and provide redress to individuals </w:t>
      </w:r>
      <w:r w:rsidR="0062671B" w:rsidRPr="00762F1E">
        <w:rPr>
          <w:b/>
          <w:lang w:val="en-GB"/>
        </w:rPr>
        <w:t>on the basis of</w:t>
      </w:r>
      <w:r w:rsidR="001877B1" w:rsidRPr="00762F1E">
        <w:rPr>
          <w:b/>
          <w:lang w:val="en-GB"/>
        </w:rPr>
        <w:t xml:space="preserve"> the Anti-Discrimination Act;</w:t>
      </w:r>
    </w:p>
    <w:p w:rsidR="005603A1" w:rsidRPr="00762F1E" w:rsidRDefault="001877B1" w:rsidP="00CA07DB">
      <w:pPr>
        <w:pStyle w:val="SingleTxtG"/>
        <w:numPr>
          <w:ilvl w:val="0"/>
          <w:numId w:val="3"/>
        </w:numPr>
        <w:ind w:left="1134" w:firstLine="567"/>
        <w:rPr>
          <w:b/>
          <w:lang w:val="en-GB"/>
        </w:rPr>
      </w:pPr>
      <w:r w:rsidRPr="00762F1E">
        <w:rPr>
          <w:b/>
          <w:lang w:val="en-GB"/>
        </w:rPr>
        <w:t>Take further steps to alleviate the precarious socioeconomic situation of Roma</w:t>
      </w:r>
      <w:r w:rsidR="00F34986" w:rsidRPr="00762F1E">
        <w:rPr>
          <w:b/>
          <w:lang w:val="en-GB"/>
        </w:rPr>
        <w:t>,</w:t>
      </w:r>
      <w:r w:rsidRPr="00762F1E">
        <w:rPr>
          <w:b/>
          <w:lang w:val="en-GB"/>
        </w:rPr>
        <w:t xml:space="preserve"> including by </w:t>
      </w:r>
      <w:r w:rsidR="00FD0129" w:rsidRPr="00762F1E">
        <w:rPr>
          <w:b/>
          <w:lang w:val="en-GB"/>
        </w:rPr>
        <w:t>increasing their access to public and private employment through training, requalification and counselling;</w:t>
      </w:r>
    </w:p>
    <w:p w:rsidR="004910C7" w:rsidRPr="00762F1E" w:rsidRDefault="004910C7" w:rsidP="00CA07DB">
      <w:pPr>
        <w:pStyle w:val="SingleTxtG"/>
        <w:ind w:firstLine="567"/>
        <w:rPr>
          <w:b/>
          <w:lang w:val="en-GB"/>
        </w:rPr>
      </w:pPr>
      <w:r w:rsidRPr="00762F1E">
        <w:rPr>
          <w:b/>
          <w:lang w:val="en-GB"/>
        </w:rPr>
        <w:t>(</w:t>
      </w:r>
      <w:r w:rsidR="00FD0129" w:rsidRPr="00762F1E">
        <w:rPr>
          <w:b/>
          <w:lang w:val="en-GB"/>
        </w:rPr>
        <w:t>d</w:t>
      </w:r>
      <w:r w:rsidRPr="00762F1E">
        <w:rPr>
          <w:b/>
          <w:lang w:val="en-GB"/>
        </w:rPr>
        <w:t>)</w:t>
      </w:r>
      <w:r w:rsidRPr="00762F1E">
        <w:rPr>
          <w:b/>
          <w:lang w:val="en-GB"/>
        </w:rPr>
        <w:tab/>
      </w:r>
      <w:r w:rsidR="00FD0129" w:rsidRPr="00762F1E">
        <w:rPr>
          <w:b/>
          <w:lang w:val="en-GB"/>
        </w:rPr>
        <w:t>E</w:t>
      </w:r>
      <w:r w:rsidRPr="00762F1E">
        <w:rPr>
          <w:b/>
          <w:lang w:val="en-GB"/>
        </w:rPr>
        <w:t xml:space="preserve">nsure the effective </w:t>
      </w:r>
      <w:r w:rsidR="00A67D3B" w:rsidRPr="00762F1E">
        <w:rPr>
          <w:b/>
          <w:lang w:val="en-GB"/>
        </w:rPr>
        <w:t xml:space="preserve">and systematic enforcement of </w:t>
      </w:r>
      <w:r w:rsidRPr="00762F1E">
        <w:rPr>
          <w:b/>
          <w:lang w:val="en-GB"/>
        </w:rPr>
        <w:t xml:space="preserve">the </w:t>
      </w:r>
      <w:r w:rsidR="00FD0129" w:rsidRPr="00762F1E">
        <w:rPr>
          <w:b/>
          <w:lang w:val="en-GB"/>
        </w:rPr>
        <w:t xml:space="preserve">Education </w:t>
      </w:r>
      <w:r w:rsidRPr="00762F1E">
        <w:rPr>
          <w:b/>
          <w:lang w:val="en-GB"/>
        </w:rPr>
        <w:t>Act</w:t>
      </w:r>
      <w:r w:rsidR="001D3118" w:rsidRPr="00762F1E">
        <w:rPr>
          <w:b/>
          <w:lang w:val="en-GB"/>
        </w:rPr>
        <w:t>:</w:t>
      </w:r>
    </w:p>
    <w:p w:rsidR="002A63E2" w:rsidRPr="00762F1E" w:rsidRDefault="00087B2A" w:rsidP="00CA07DB">
      <w:pPr>
        <w:pStyle w:val="SingleTxtG"/>
        <w:ind w:firstLine="567"/>
        <w:rPr>
          <w:b/>
          <w:bCs/>
          <w:lang w:val="en-GB"/>
        </w:rPr>
      </w:pPr>
      <w:r w:rsidRPr="00762F1E">
        <w:rPr>
          <w:b/>
          <w:lang w:val="en-GB"/>
        </w:rPr>
        <w:t>(</w:t>
      </w:r>
      <w:r w:rsidR="00A67D3B" w:rsidRPr="00762F1E">
        <w:rPr>
          <w:b/>
          <w:lang w:val="en-GB"/>
        </w:rPr>
        <w:t>e</w:t>
      </w:r>
      <w:r w:rsidRPr="00762F1E">
        <w:rPr>
          <w:b/>
          <w:lang w:val="en-GB"/>
        </w:rPr>
        <w:t>)</w:t>
      </w:r>
      <w:r w:rsidRPr="00762F1E">
        <w:rPr>
          <w:lang w:val="en-GB"/>
        </w:rPr>
        <w:tab/>
      </w:r>
      <w:r w:rsidR="00A67D3B" w:rsidRPr="00762F1E">
        <w:rPr>
          <w:b/>
          <w:lang w:val="en-GB"/>
        </w:rPr>
        <w:t>Increase access to adequate</w:t>
      </w:r>
      <w:r w:rsidR="00A67D3B" w:rsidRPr="00762F1E">
        <w:rPr>
          <w:lang w:val="en-GB"/>
        </w:rPr>
        <w:t xml:space="preserve"> </w:t>
      </w:r>
      <w:r w:rsidRPr="00762F1E">
        <w:rPr>
          <w:b/>
          <w:bCs/>
          <w:lang w:val="en-GB"/>
        </w:rPr>
        <w:t xml:space="preserve">housing for Roma without discrimination and segregation, </w:t>
      </w:r>
      <w:r w:rsidR="00A67D3B" w:rsidRPr="00762F1E">
        <w:rPr>
          <w:b/>
          <w:bCs/>
          <w:lang w:val="en-GB"/>
        </w:rPr>
        <w:t xml:space="preserve">including by facilitating access to public and low-cost housing </w:t>
      </w:r>
      <w:r w:rsidR="00B425D8" w:rsidRPr="00762F1E">
        <w:rPr>
          <w:b/>
          <w:bCs/>
          <w:lang w:val="en-GB"/>
        </w:rPr>
        <w:t xml:space="preserve">and </w:t>
      </w:r>
      <w:r w:rsidRPr="00762F1E">
        <w:rPr>
          <w:b/>
          <w:bCs/>
          <w:lang w:val="en-GB"/>
        </w:rPr>
        <w:t>improving</w:t>
      </w:r>
      <w:r w:rsidR="00F34986" w:rsidRPr="00762F1E">
        <w:rPr>
          <w:b/>
          <w:bCs/>
          <w:lang w:val="en-GB"/>
        </w:rPr>
        <w:t xml:space="preserve"> the</w:t>
      </w:r>
      <w:r w:rsidRPr="00762F1E">
        <w:rPr>
          <w:b/>
          <w:bCs/>
          <w:lang w:val="en-GB"/>
        </w:rPr>
        <w:t xml:space="preserve"> living conditions of Roma</w:t>
      </w:r>
      <w:r w:rsidR="001D3118" w:rsidRPr="00762F1E">
        <w:rPr>
          <w:b/>
          <w:bCs/>
          <w:lang w:val="en-GB"/>
        </w:rPr>
        <w:t>.</w:t>
      </w:r>
    </w:p>
    <w:p w:rsidR="00CB7785" w:rsidRPr="00762F1E" w:rsidRDefault="00CA07DB" w:rsidP="00CA07DB">
      <w:pPr>
        <w:pStyle w:val="H23G"/>
      </w:pPr>
      <w:r w:rsidRPr="00762F1E">
        <w:tab/>
      </w:r>
      <w:r w:rsidRPr="00762F1E">
        <w:tab/>
      </w:r>
      <w:r w:rsidR="00CB7785" w:rsidRPr="00762F1E">
        <w:t>Access to remedies</w:t>
      </w:r>
    </w:p>
    <w:p w:rsidR="004B426A" w:rsidRPr="00762F1E" w:rsidRDefault="00097A8D" w:rsidP="004B426A">
      <w:pPr>
        <w:ind w:left="1134" w:right="1134"/>
        <w:jc w:val="both"/>
      </w:pPr>
      <w:r w:rsidRPr="00762F1E">
        <w:t>2</w:t>
      </w:r>
      <w:r w:rsidR="000A1A84">
        <w:t>1.</w:t>
      </w:r>
      <w:r w:rsidR="002A63E2" w:rsidRPr="00762F1E">
        <w:tab/>
      </w:r>
      <w:r w:rsidR="004B426A" w:rsidRPr="00762F1E">
        <w:t xml:space="preserve">The Committee is concerned at reports that the compensation in discrimination cases </w:t>
      </w:r>
      <w:r w:rsidR="00F34986" w:rsidRPr="00762F1E">
        <w:t xml:space="preserve">is </w:t>
      </w:r>
      <w:r w:rsidR="004B426A" w:rsidRPr="00762F1E">
        <w:t>relatively low</w:t>
      </w:r>
      <w:r w:rsidR="00F34986" w:rsidRPr="00762F1E">
        <w:t>,</w:t>
      </w:r>
      <w:r w:rsidR="004B426A" w:rsidRPr="00762F1E">
        <w:t xml:space="preserve"> which may deter victims of discrimination from claiming </w:t>
      </w:r>
      <w:r w:rsidR="00B742C5" w:rsidRPr="00762F1E">
        <w:t xml:space="preserve">their </w:t>
      </w:r>
      <w:r w:rsidR="0099284C" w:rsidRPr="00762F1E">
        <w:t xml:space="preserve">rights </w:t>
      </w:r>
      <w:r w:rsidR="004B426A" w:rsidRPr="00762F1E">
        <w:t xml:space="preserve">instead of deterring discrimination. The Committee also notes with concern </w:t>
      </w:r>
      <w:r w:rsidR="0099284C" w:rsidRPr="00762F1E">
        <w:t xml:space="preserve">a </w:t>
      </w:r>
      <w:r w:rsidR="004B426A" w:rsidRPr="00762F1E">
        <w:t xml:space="preserve">report by </w:t>
      </w:r>
      <w:r w:rsidR="0099284C" w:rsidRPr="00762F1E">
        <w:t xml:space="preserve">the </w:t>
      </w:r>
      <w:r w:rsidR="004B426A" w:rsidRPr="00762F1E">
        <w:t>Ombudsman stating a lack of measures to encourage actors to litigate in discrimination cases</w:t>
      </w:r>
      <w:r w:rsidR="008C2F33" w:rsidRPr="00762F1E">
        <w:t xml:space="preserve"> (art. 6)</w:t>
      </w:r>
      <w:r w:rsidR="004B426A" w:rsidRPr="00762F1E">
        <w:t>.</w:t>
      </w:r>
    </w:p>
    <w:p w:rsidR="00901ED8" w:rsidRPr="00762F1E" w:rsidRDefault="008C2F33" w:rsidP="00044B97">
      <w:pPr>
        <w:spacing w:before="120" w:after="120"/>
        <w:ind w:left="1134" w:right="1134"/>
        <w:jc w:val="both"/>
        <w:rPr>
          <w:b/>
        </w:rPr>
      </w:pPr>
      <w:r w:rsidRPr="00762F1E">
        <w:rPr>
          <w:b/>
        </w:rPr>
        <w:t>The Committee recommends that the State party guarantee remedies</w:t>
      </w:r>
      <w:r w:rsidR="00F34986" w:rsidRPr="00762F1E">
        <w:rPr>
          <w:b/>
        </w:rPr>
        <w:t xml:space="preserve"> –</w:t>
      </w:r>
      <w:r w:rsidRPr="00762F1E">
        <w:rPr>
          <w:b/>
        </w:rPr>
        <w:t xml:space="preserve"> including compensation</w:t>
      </w:r>
      <w:r w:rsidR="00F34986" w:rsidRPr="00762F1E">
        <w:rPr>
          <w:b/>
        </w:rPr>
        <w:t xml:space="preserve"> –</w:t>
      </w:r>
      <w:r w:rsidRPr="00762F1E">
        <w:rPr>
          <w:b/>
        </w:rPr>
        <w:t xml:space="preserve"> to the victims of discrimination, by making </w:t>
      </w:r>
      <w:r w:rsidR="00B742C5" w:rsidRPr="00762F1E">
        <w:rPr>
          <w:b/>
        </w:rPr>
        <w:t>app</w:t>
      </w:r>
      <w:r w:rsidRPr="00762F1E">
        <w:rPr>
          <w:b/>
        </w:rPr>
        <w:t>rop</w:t>
      </w:r>
      <w:r w:rsidR="00B742C5" w:rsidRPr="00762F1E">
        <w:rPr>
          <w:b/>
        </w:rPr>
        <w:t xml:space="preserve">riate </w:t>
      </w:r>
      <w:r w:rsidRPr="00762F1E">
        <w:rPr>
          <w:b/>
        </w:rPr>
        <w:t xml:space="preserve">use of the Anti-Discrimination Act. To that end, the Committee encourages the State party to </w:t>
      </w:r>
      <w:r w:rsidR="00042BF5" w:rsidRPr="00762F1E">
        <w:rPr>
          <w:b/>
        </w:rPr>
        <w:t xml:space="preserve">consider </w:t>
      </w:r>
      <w:r w:rsidR="00F34986" w:rsidRPr="00762F1E">
        <w:rPr>
          <w:b/>
        </w:rPr>
        <w:t>increasing</w:t>
      </w:r>
      <w:r w:rsidR="0062671B" w:rsidRPr="00762F1E">
        <w:rPr>
          <w:b/>
        </w:rPr>
        <w:t xml:space="preserve"> the</w:t>
      </w:r>
      <w:r w:rsidR="00042BF5" w:rsidRPr="00762F1E">
        <w:rPr>
          <w:b/>
        </w:rPr>
        <w:t xml:space="preserve"> compensation </w:t>
      </w:r>
      <w:r w:rsidR="00B742C5" w:rsidRPr="00762F1E">
        <w:rPr>
          <w:b/>
        </w:rPr>
        <w:t xml:space="preserve">available to victims of discrimination </w:t>
      </w:r>
      <w:r w:rsidR="00042BF5" w:rsidRPr="00762F1E">
        <w:rPr>
          <w:b/>
        </w:rPr>
        <w:t xml:space="preserve">and </w:t>
      </w:r>
      <w:r w:rsidR="0062671B" w:rsidRPr="00762F1E">
        <w:rPr>
          <w:b/>
        </w:rPr>
        <w:t xml:space="preserve">to </w:t>
      </w:r>
      <w:r w:rsidRPr="00762F1E">
        <w:rPr>
          <w:b/>
        </w:rPr>
        <w:t xml:space="preserve">implement the measures </w:t>
      </w:r>
      <w:r w:rsidR="00F34986" w:rsidRPr="00762F1E">
        <w:rPr>
          <w:b/>
        </w:rPr>
        <w:t xml:space="preserve">proposed </w:t>
      </w:r>
      <w:r w:rsidRPr="00762F1E">
        <w:rPr>
          <w:b/>
        </w:rPr>
        <w:t>by the Ombudsman in order to provide financial assistance to individuals and associations to facilitate litigation in discrimination cases, increase resources for the local and regional anti-discrimination offices and strengthen</w:t>
      </w:r>
      <w:r w:rsidR="00F34986" w:rsidRPr="00762F1E">
        <w:rPr>
          <w:b/>
        </w:rPr>
        <w:t xml:space="preserve"> the</w:t>
      </w:r>
      <w:r w:rsidRPr="00762F1E">
        <w:rPr>
          <w:b/>
        </w:rPr>
        <w:t xml:space="preserve"> legal aid system.</w:t>
      </w:r>
    </w:p>
    <w:p w:rsidR="00087B2A" w:rsidRPr="00762F1E" w:rsidRDefault="00087B2A" w:rsidP="00901ED8">
      <w:pPr>
        <w:pStyle w:val="H1G"/>
      </w:pPr>
      <w:r w:rsidRPr="00762F1E">
        <w:tab/>
        <w:t>D.</w:t>
      </w:r>
      <w:r w:rsidRPr="00762F1E">
        <w:tab/>
        <w:t>Other recommendations</w:t>
      </w:r>
    </w:p>
    <w:p w:rsidR="00087B2A" w:rsidRPr="00762F1E" w:rsidRDefault="00087B2A" w:rsidP="00087B2A">
      <w:pPr>
        <w:pStyle w:val="H23G"/>
      </w:pPr>
      <w:r w:rsidRPr="00762F1E">
        <w:tab/>
      </w:r>
      <w:r w:rsidRPr="00762F1E">
        <w:tab/>
        <w:t>Ratification of other treaties</w:t>
      </w:r>
    </w:p>
    <w:p w:rsidR="00087B2A" w:rsidRPr="00762F1E" w:rsidRDefault="002A63E2" w:rsidP="004F42F1">
      <w:pPr>
        <w:pStyle w:val="SingleTxtG"/>
        <w:spacing w:after="0" w:line="240" w:lineRule="auto"/>
        <w:ind w:firstLine="6"/>
        <w:rPr>
          <w:sz w:val="24"/>
          <w:szCs w:val="24"/>
          <w:lang w:val="en-GB"/>
        </w:rPr>
      </w:pPr>
      <w:r w:rsidRPr="00762F1E">
        <w:rPr>
          <w:lang w:val="en-GB"/>
        </w:rPr>
        <w:t>2</w:t>
      </w:r>
      <w:r w:rsidR="00097A8D" w:rsidRPr="00762F1E">
        <w:rPr>
          <w:lang w:val="en-GB"/>
        </w:rPr>
        <w:t>2</w:t>
      </w:r>
      <w:r w:rsidR="00087B2A" w:rsidRPr="00762F1E">
        <w:rPr>
          <w:lang w:val="en-GB"/>
        </w:rPr>
        <w:t>.</w:t>
      </w:r>
      <w:r w:rsidR="00087B2A" w:rsidRPr="00762F1E">
        <w:rPr>
          <w:lang w:val="en-GB"/>
        </w:rPr>
        <w:tab/>
        <w:t xml:space="preserve">Bearing in mind the indivisibility of all human rights, the Committee encourages the State party to consider ratifying international human rights treaties which it has not yet ratified, in particular treaties with provisions that have a direct relevance to communities that may be the subject of racial discrimination, such as the International Convention for the Protection of All Persons from Enforced Disappearance and the </w:t>
      </w:r>
      <w:r w:rsidR="00097A8D" w:rsidRPr="00762F1E">
        <w:rPr>
          <w:lang w:val="en-GB"/>
        </w:rPr>
        <w:t xml:space="preserve">International Convention on </w:t>
      </w:r>
      <w:r w:rsidR="00087B2A" w:rsidRPr="00762F1E">
        <w:rPr>
          <w:lang w:val="en-GB"/>
        </w:rPr>
        <w:t>the Protection of the Rights of All Migrant Workers and Members of Their Families.</w:t>
      </w:r>
    </w:p>
    <w:p w:rsidR="00087B2A" w:rsidRPr="00762F1E" w:rsidRDefault="00087B2A" w:rsidP="00087B2A">
      <w:pPr>
        <w:pStyle w:val="H23G"/>
      </w:pPr>
      <w:r w:rsidRPr="00762F1E">
        <w:tab/>
      </w:r>
      <w:r w:rsidRPr="00762F1E">
        <w:tab/>
        <w:t xml:space="preserve">Follow-up to </w:t>
      </w:r>
      <w:smartTag w:uri="urn:schemas-microsoft-com:office:smarttags" w:element="City">
        <w:smartTag w:uri="urn:schemas-microsoft-com:office:smarttags" w:element="place">
          <w:r w:rsidRPr="00762F1E">
            <w:t>Durban</w:t>
          </w:r>
        </w:smartTag>
      </w:smartTag>
      <w:r w:rsidRPr="00762F1E">
        <w:t xml:space="preserve"> Declaration and Programme of Action</w:t>
      </w:r>
    </w:p>
    <w:p w:rsidR="00087B2A" w:rsidRPr="00762F1E" w:rsidRDefault="002A63E2" w:rsidP="00087B2A">
      <w:pPr>
        <w:pStyle w:val="Default"/>
        <w:spacing w:after="120"/>
        <w:ind w:left="1134" w:right="1134"/>
        <w:jc w:val="both"/>
        <w:rPr>
          <w:rFonts w:eastAsia="Times New Roman"/>
          <w:color w:val="auto"/>
          <w:sz w:val="20"/>
          <w:szCs w:val="20"/>
          <w:lang w:val="en-GB" w:eastAsia="en-US"/>
        </w:rPr>
      </w:pPr>
      <w:r w:rsidRPr="00762F1E">
        <w:rPr>
          <w:color w:val="auto"/>
          <w:sz w:val="20"/>
          <w:szCs w:val="20"/>
          <w:lang w:val="en-GB"/>
        </w:rPr>
        <w:t>2</w:t>
      </w:r>
      <w:r w:rsidR="00097A8D" w:rsidRPr="00762F1E">
        <w:rPr>
          <w:color w:val="auto"/>
          <w:sz w:val="20"/>
          <w:szCs w:val="20"/>
          <w:lang w:val="en-GB"/>
        </w:rPr>
        <w:t>3</w:t>
      </w:r>
      <w:r w:rsidR="00087B2A" w:rsidRPr="00762F1E">
        <w:rPr>
          <w:color w:val="auto"/>
          <w:sz w:val="20"/>
          <w:szCs w:val="20"/>
          <w:lang w:val="en-GB"/>
        </w:rPr>
        <w:t>.</w:t>
      </w:r>
      <w:r w:rsidR="00087B2A" w:rsidRPr="00762F1E">
        <w:rPr>
          <w:color w:val="auto"/>
          <w:sz w:val="20"/>
          <w:szCs w:val="20"/>
          <w:lang w:val="en-GB"/>
        </w:rPr>
        <w:tab/>
      </w:r>
      <w:r w:rsidR="00087B2A" w:rsidRPr="00762F1E">
        <w:rPr>
          <w:rStyle w:val="SingleTxtGCar"/>
          <w:sz w:val="20"/>
          <w:szCs w:val="20"/>
          <w:lang w:val="en-GB"/>
        </w:rPr>
        <w:t>In</w:t>
      </w:r>
      <w:r w:rsidR="003B6230" w:rsidRPr="00762F1E">
        <w:rPr>
          <w:rStyle w:val="SingleTxtGCar"/>
          <w:sz w:val="20"/>
          <w:szCs w:val="20"/>
          <w:lang w:val="en-GB"/>
        </w:rPr>
        <w:t xml:space="preserve"> the</w:t>
      </w:r>
      <w:r w:rsidR="00087B2A" w:rsidRPr="00762F1E">
        <w:rPr>
          <w:rStyle w:val="SingleTxtGCar"/>
          <w:sz w:val="20"/>
          <w:szCs w:val="20"/>
          <w:lang w:val="en-GB"/>
        </w:rPr>
        <w:t xml:space="preserv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087B2A" w:rsidRPr="00762F1E" w:rsidRDefault="00087B2A" w:rsidP="00087B2A">
      <w:pPr>
        <w:pStyle w:val="H23G"/>
      </w:pPr>
      <w:r w:rsidRPr="00762F1E">
        <w:tab/>
      </w:r>
      <w:r w:rsidRPr="00762F1E">
        <w:tab/>
        <w:t>Consultations with organizations of civil society</w:t>
      </w:r>
    </w:p>
    <w:p w:rsidR="00087B2A" w:rsidRPr="00762F1E" w:rsidRDefault="002A63E2" w:rsidP="00087B2A">
      <w:pPr>
        <w:ind w:left="1134" w:right="1134"/>
        <w:jc w:val="both"/>
      </w:pPr>
      <w:r w:rsidRPr="00762F1E">
        <w:t>2</w:t>
      </w:r>
      <w:r w:rsidR="00097A8D" w:rsidRPr="00762F1E">
        <w:t>4</w:t>
      </w:r>
      <w:r w:rsidR="00087B2A" w:rsidRPr="00762F1E">
        <w:t>.</w:t>
      </w:r>
      <w:r w:rsidR="00087B2A" w:rsidRPr="00762F1E">
        <w:tab/>
        <w:t>Welcoming the broad consultations with the civil society undertaken by the State party in the context of preparation of the present report, 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and the follow-up to these concluding observations.</w:t>
      </w:r>
    </w:p>
    <w:p w:rsidR="00087B2A" w:rsidRPr="00762F1E" w:rsidRDefault="00087B2A" w:rsidP="00087B2A">
      <w:pPr>
        <w:pStyle w:val="H23G"/>
      </w:pPr>
      <w:r w:rsidRPr="00762F1E">
        <w:tab/>
      </w:r>
      <w:r w:rsidRPr="00762F1E">
        <w:tab/>
        <w:t>Dissemination</w:t>
      </w:r>
    </w:p>
    <w:p w:rsidR="00087B2A" w:rsidRPr="00762F1E" w:rsidRDefault="00087B2A" w:rsidP="00B42BCC">
      <w:pPr>
        <w:pStyle w:val="SingleTxtG"/>
        <w:rPr>
          <w:sz w:val="24"/>
          <w:szCs w:val="24"/>
          <w:lang w:val="en-GB"/>
        </w:rPr>
      </w:pPr>
      <w:r w:rsidRPr="00762F1E">
        <w:rPr>
          <w:lang w:val="en-GB"/>
        </w:rPr>
        <w:t>2</w:t>
      </w:r>
      <w:r w:rsidR="00080FD9" w:rsidRPr="00762F1E">
        <w:rPr>
          <w:lang w:val="en-GB"/>
        </w:rPr>
        <w:t>5</w:t>
      </w:r>
      <w:r w:rsidRPr="00762F1E">
        <w:rPr>
          <w:lang w:val="en-GB"/>
        </w:rPr>
        <w:t>.</w:t>
      </w:r>
      <w:r w:rsidRPr="00762F1E">
        <w:rPr>
          <w:lang w:val="en-GB"/>
        </w:rP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r w:rsidR="00B42BCC" w:rsidRPr="00762F1E">
        <w:rPr>
          <w:sz w:val="24"/>
          <w:szCs w:val="24"/>
          <w:lang w:val="en-GB"/>
        </w:rPr>
        <w:t>.</w:t>
      </w:r>
    </w:p>
    <w:p w:rsidR="00087B2A" w:rsidRPr="00762F1E" w:rsidRDefault="00087B2A" w:rsidP="00087B2A">
      <w:pPr>
        <w:pStyle w:val="H23G"/>
      </w:pPr>
      <w:r w:rsidRPr="00762F1E">
        <w:tab/>
      </w:r>
      <w:r w:rsidRPr="00762F1E">
        <w:tab/>
        <w:t>Follow-up to concluding observations</w:t>
      </w:r>
    </w:p>
    <w:p w:rsidR="00087B2A" w:rsidRPr="00762F1E" w:rsidRDefault="002A63E2" w:rsidP="00087B2A">
      <w:pPr>
        <w:pStyle w:val="SingleTxtG"/>
        <w:rPr>
          <w:lang w:val="en-GB"/>
        </w:rPr>
      </w:pPr>
      <w:r w:rsidRPr="00762F1E">
        <w:rPr>
          <w:lang w:val="en-GB"/>
        </w:rPr>
        <w:t>2</w:t>
      </w:r>
      <w:r w:rsidR="00080FD9" w:rsidRPr="00762F1E">
        <w:rPr>
          <w:lang w:val="en-GB"/>
        </w:rPr>
        <w:t>6</w:t>
      </w:r>
      <w:r w:rsidR="00087B2A" w:rsidRPr="00762F1E">
        <w:rPr>
          <w:lang w:val="en-GB"/>
        </w:rPr>
        <w:t>.</w:t>
      </w:r>
      <w:r w:rsidR="00087B2A" w:rsidRPr="00762F1E">
        <w:rPr>
          <w:lang w:val="en-GB"/>
        </w:rP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w:t>
      </w:r>
      <w:r w:rsidR="0099284C" w:rsidRPr="00762F1E">
        <w:rPr>
          <w:lang w:val="en-GB"/>
        </w:rPr>
        <w:t>1</w:t>
      </w:r>
      <w:r w:rsidR="004F42F1" w:rsidRPr="00762F1E">
        <w:rPr>
          <w:lang w:val="en-GB"/>
        </w:rPr>
        <w:t>2</w:t>
      </w:r>
      <w:r w:rsidR="00087B2A" w:rsidRPr="00762F1E">
        <w:rPr>
          <w:lang w:val="en-GB"/>
        </w:rPr>
        <w:t>,</w:t>
      </w:r>
      <w:r w:rsidR="0099284C" w:rsidRPr="00762F1E">
        <w:rPr>
          <w:lang w:val="en-GB"/>
        </w:rPr>
        <w:t xml:space="preserve"> 1</w:t>
      </w:r>
      <w:r w:rsidR="004F42F1" w:rsidRPr="00762F1E">
        <w:rPr>
          <w:lang w:val="en-GB"/>
        </w:rPr>
        <w:t>4</w:t>
      </w:r>
      <w:r w:rsidR="000F432A" w:rsidRPr="00762F1E">
        <w:rPr>
          <w:lang w:val="en-GB"/>
        </w:rPr>
        <w:t xml:space="preserve"> and </w:t>
      </w:r>
      <w:r w:rsidR="0099284C" w:rsidRPr="00762F1E">
        <w:rPr>
          <w:lang w:val="en-GB"/>
        </w:rPr>
        <w:t>1</w:t>
      </w:r>
      <w:r w:rsidR="004F42F1" w:rsidRPr="00762F1E">
        <w:rPr>
          <w:lang w:val="en-GB"/>
        </w:rPr>
        <w:t>6</w:t>
      </w:r>
      <w:r w:rsidR="00087B2A" w:rsidRPr="00762F1E">
        <w:rPr>
          <w:lang w:val="en-GB"/>
        </w:rPr>
        <w:t xml:space="preserve"> above.</w:t>
      </w:r>
    </w:p>
    <w:p w:rsidR="00087B2A" w:rsidRPr="00762F1E" w:rsidRDefault="00087B2A" w:rsidP="00087B2A">
      <w:pPr>
        <w:pStyle w:val="H23G"/>
      </w:pPr>
      <w:r w:rsidRPr="00762F1E">
        <w:tab/>
      </w:r>
      <w:r w:rsidRPr="00762F1E">
        <w:tab/>
        <w:t>Paragraphs of particular importance</w:t>
      </w:r>
    </w:p>
    <w:p w:rsidR="00087B2A" w:rsidRPr="00762F1E" w:rsidRDefault="00B42BCC" w:rsidP="00087B2A">
      <w:pPr>
        <w:pStyle w:val="SingleTxtG"/>
        <w:rPr>
          <w:sz w:val="24"/>
          <w:szCs w:val="24"/>
          <w:lang w:val="en-GB"/>
        </w:rPr>
      </w:pPr>
      <w:r w:rsidRPr="00762F1E">
        <w:rPr>
          <w:lang w:val="en-GB"/>
        </w:rPr>
        <w:t>2</w:t>
      </w:r>
      <w:r w:rsidR="00080FD9" w:rsidRPr="00762F1E">
        <w:rPr>
          <w:lang w:val="en-GB"/>
        </w:rPr>
        <w:t>7</w:t>
      </w:r>
      <w:r w:rsidR="00087B2A" w:rsidRPr="00762F1E">
        <w:rPr>
          <w:lang w:val="en-GB"/>
        </w:rPr>
        <w:t>.</w:t>
      </w:r>
      <w:r w:rsidR="00087B2A" w:rsidRPr="00762F1E">
        <w:rPr>
          <w:lang w:val="en-GB"/>
        </w:rPr>
        <w:tab/>
        <w:t xml:space="preserve">The Committee also wishes to draw the attention of the State party to the particular importance of the recommendations in paragraphs </w:t>
      </w:r>
      <w:r w:rsidR="004F42F1" w:rsidRPr="00762F1E">
        <w:rPr>
          <w:lang w:val="en-GB"/>
        </w:rPr>
        <w:t>6</w:t>
      </w:r>
      <w:r w:rsidR="0099284C" w:rsidRPr="00762F1E">
        <w:rPr>
          <w:lang w:val="en-GB"/>
        </w:rPr>
        <w:t xml:space="preserve">, </w:t>
      </w:r>
      <w:r w:rsidR="004F42F1" w:rsidRPr="00762F1E">
        <w:rPr>
          <w:lang w:val="en-GB"/>
        </w:rPr>
        <w:t>9</w:t>
      </w:r>
      <w:r w:rsidR="002F3A17" w:rsidRPr="00762F1E">
        <w:rPr>
          <w:lang w:val="en-GB"/>
        </w:rPr>
        <w:t xml:space="preserve"> </w:t>
      </w:r>
      <w:r w:rsidR="00087B2A" w:rsidRPr="00762F1E">
        <w:rPr>
          <w:lang w:val="en-GB"/>
        </w:rPr>
        <w:t xml:space="preserve">and </w:t>
      </w:r>
      <w:r w:rsidR="004F42F1" w:rsidRPr="00762F1E">
        <w:rPr>
          <w:lang w:val="en-GB"/>
        </w:rPr>
        <w:t>11</w:t>
      </w:r>
      <w:r w:rsidR="00087B2A" w:rsidRPr="00762F1E">
        <w:rPr>
          <w:lang w:val="en-GB"/>
        </w:rPr>
        <w:t xml:space="preserve"> above and requests the State party to provide detailed information in its next periodic report on concrete measures taken to implement these recommendations</w:t>
      </w:r>
      <w:r w:rsidR="00087B2A" w:rsidRPr="00762F1E">
        <w:rPr>
          <w:sz w:val="24"/>
          <w:szCs w:val="24"/>
          <w:lang w:val="en-GB"/>
        </w:rPr>
        <w:t>.</w:t>
      </w:r>
    </w:p>
    <w:p w:rsidR="00087B2A" w:rsidRPr="00762F1E" w:rsidRDefault="00087B2A" w:rsidP="00087B2A">
      <w:pPr>
        <w:pStyle w:val="H23G"/>
      </w:pPr>
      <w:r w:rsidRPr="00762F1E">
        <w:tab/>
      </w:r>
      <w:r w:rsidRPr="00762F1E">
        <w:tab/>
        <w:t>Preparation of the next periodic report</w:t>
      </w:r>
    </w:p>
    <w:p w:rsidR="00CA07DB" w:rsidRPr="00762F1E" w:rsidRDefault="00B42BCC" w:rsidP="00B425D8">
      <w:pPr>
        <w:pStyle w:val="SingleTxtG"/>
        <w:rPr>
          <w:lang w:val="en-GB"/>
        </w:rPr>
      </w:pPr>
      <w:r w:rsidRPr="00762F1E">
        <w:rPr>
          <w:lang w:val="en-GB"/>
        </w:rPr>
        <w:t>2</w:t>
      </w:r>
      <w:r w:rsidR="00080FD9" w:rsidRPr="00762F1E">
        <w:rPr>
          <w:lang w:val="en-GB"/>
        </w:rPr>
        <w:t>8</w:t>
      </w:r>
      <w:r w:rsidR="00087B2A" w:rsidRPr="00762F1E">
        <w:rPr>
          <w:lang w:val="en-GB"/>
        </w:rPr>
        <w:t>.</w:t>
      </w:r>
      <w:r w:rsidR="00087B2A" w:rsidRPr="00762F1E">
        <w:rPr>
          <w:lang w:val="en-GB"/>
        </w:rPr>
        <w:tab/>
        <w:t xml:space="preserve">The Committee recommends that the State party submit its twenty-second and twenty-third periodic reports in a single document by </w:t>
      </w:r>
      <w:r w:rsidR="000F432A" w:rsidRPr="00762F1E">
        <w:rPr>
          <w:lang w:val="en-GB"/>
        </w:rPr>
        <w:t>5 January 2017</w:t>
      </w:r>
      <w:r w:rsidR="00087B2A" w:rsidRPr="00762F1E">
        <w:rPr>
          <w:lang w:val="en-GB"/>
        </w:rPr>
        <w:t xml:space="preserve">, taking into account the </w:t>
      </w:r>
      <w:r w:rsidR="00087B2A" w:rsidRPr="00762F1E">
        <w:rPr>
          <w:rStyle w:val="SingleTxtGCar"/>
          <w:lang w:val="en-GB"/>
        </w:rPr>
        <w:t>specific reporting</w:t>
      </w:r>
      <w:r w:rsidR="00087B2A" w:rsidRPr="00762F1E">
        <w:rPr>
          <w:lang w:val="en-GB"/>
        </w:rPr>
        <w:t xml:space="preserve"> guidelines adopted by the Committee during its seventy-first session (CERD/C/2007/1), and addressing all the points raised in the present concluding observations. The Committee also urges the State party to observe the page limit of 40 pages for treaty-specific reports and 60</w:t>
      </w:r>
      <w:r w:rsidR="003B6230" w:rsidRPr="00762F1E">
        <w:rPr>
          <w:lang w:val="en-GB"/>
        </w:rPr>
        <w:t>–</w:t>
      </w:r>
      <w:r w:rsidR="00087B2A" w:rsidRPr="00762F1E">
        <w:rPr>
          <w:lang w:val="en-GB"/>
        </w:rPr>
        <w:t>80 pages for the common core document (HRI/GEN.2/Rev.6, chap. I, para. 19).</w:t>
      </w:r>
    </w:p>
    <w:p w:rsidR="00CA07DB" w:rsidRPr="00762F1E" w:rsidRDefault="00CA07DB" w:rsidP="00CA07DB">
      <w:pPr>
        <w:pStyle w:val="SingleTxtG"/>
        <w:spacing w:before="240" w:after="0"/>
        <w:jc w:val="center"/>
        <w:rPr>
          <w:u w:val="single"/>
          <w:lang w:val="en-GB"/>
        </w:rPr>
      </w:pPr>
      <w:r w:rsidRPr="00762F1E">
        <w:rPr>
          <w:u w:val="single"/>
          <w:lang w:val="en-GB"/>
        </w:rPr>
        <w:tab/>
      </w:r>
      <w:r w:rsidRPr="00762F1E">
        <w:rPr>
          <w:u w:val="single"/>
          <w:lang w:val="en-GB"/>
        </w:rPr>
        <w:tab/>
      </w:r>
      <w:r w:rsidRPr="00762F1E">
        <w:rPr>
          <w:u w:val="single"/>
          <w:lang w:val="en-GB"/>
        </w:rPr>
        <w:tab/>
      </w:r>
    </w:p>
    <w:sectPr w:rsidR="00CA07DB" w:rsidRPr="00762F1E" w:rsidSect="00087B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30" w:rsidRDefault="00270130"/>
  </w:endnote>
  <w:endnote w:type="continuationSeparator" w:id="0">
    <w:p w:rsidR="00270130" w:rsidRDefault="00270130"/>
  </w:endnote>
  <w:endnote w:type="continuationNotice" w:id="1">
    <w:p w:rsidR="00270130" w:rsidRDefault="00270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E5" w:rsidRPr="003E0860" w:rsidRDefault="00F97CE5" w:rsidP="00087B2A">
    <w:pPr>
      <w:pStyle w:val="Footer"/>
      <w:tabs>
        <w:tab w:val="right" w:pos="9638"/>
      </w:tabs>
    </w:pPr>
    <w:r w:rsidRPr="003E0860">
      <w:rPr>
        <w:b/>
        <w:sz w:val="18"/>
      </w:rPr>
      <w:fldChar w:fldCharType="begin"/>
    </w:r>
    <w:r w:rsidRPr="003E0860">
      <w:rPr>
        <w:b/>
        <w:sz w:val="18"/>
      </w:rPr>
      <w:instrText xml:space="preserve"> </w:instrText>
    </w:r>
    <w:r>
      <w:rPr>
        <w:b/>
        <w:sz w:val="18"/>
      </w:rPr>
      <w:instrText>PAGE</w:instrText>
    </w:r>
    <w:r w:rsidRPr="003E0860">
      <w:rPr>
        <w:b/>
        <w:sz w:val="18"/>
      </w:rPr>
      <w:instrText xml:space="preserve">  \* MERGEFORMAT </w:instrText>
    </w:r>
    <w:r w:rsidRPr="003E0860">
      <w:rPr>
        <w:b/>
        <w:sz w:val="18"/>
      </w:rPr>
      <w:fldChar w:fldCharType="separate"/>
    </w:r>
    <w:r w:rsidR="00445CD1">
      <w:rPr>
        <w:b/>
        <w:noProof/>
        <w:sz w:val="18"/>
      </w:rPr>
      <w:t>8</w:t>
    </w:r>
    <w:r w:rsidRPr="003E086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E5" w:rsidRPr="003E0860" w:rsidRDefault="00F97CE5" w:rsidP="00087B2A">
    <w:pPr>
      <w:pStyle w:val="Footer"/>
      <w:tabs>
        <w:tab w:val="right" w:pos="9638"/>
      </w:tabs>
      <w:rPr>
        <w:b/>
        <w:sz w:val="18"/>
      </w:rPr>
    </w:pPr>
    <w:r>
      <w:tab/>
    </w:r>
    <w:r w:rsidRPr="003E0860">
      <w:rPr>
        <w:b/>
        <w:sz w:val="18"/>
      </w:rPr>
      <w:fldChar w:fldCharType="begin"/>
    </w:r>
    <w:r w:rsidRPr="003E0860">
      <w:rPr>
        <w:b/>
        <w:sz w:val="18"/>
      </w:rPr>
      <w:instrText xml:space="preserve"> </w:instrText>
    </w:r>
    <w:r>
      <w:rPr>
        <w:b/>
        <w:sz w:val="18"/>
      </w:rPr>
      <w:instrText>PAGE</w:instrText>
    </w:r>
    <w:r w:rsidRPr="003E0860">
      <w:rPr>
        <w:b/>
        <w:sz w:val="18"/>
      </w:rPr>
      <w:instrText xml:space="preserve">  \* MERGEFORMAT </w:instrText>
    </w:r>
    <w:r w:rsidRPr="003E0860">
      <w:rPr>
        <w:b/>
        <w:sz w:val="18"/>
      </w:rPr>
      <w:fldChar w:fldCharType="separate"/>
    </w:r>
    <w:r w:rsidR="00445CD1">
      <w:rPr>
        <w:b/>
        <w:noProof/>
        <w:sz w:val="18"/>
      </w:rPr>
      <w:t>7</w:t>
    </w:r>
    <w:r w:rsidRPr="003E08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E5" w:rsidRPr="003E0860" w:rsidRDefault="00F97CE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445CD1">
      <w:rPr>
        <w:sz w:val="20"/>
      </w:rPr>
      <w:t>47021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30" w:rsidRPr="000B175B" w:rsidRDefault="00270130" w:rsidP="00087B2A">
      <w:pPr>
        <w:tabs>
          <w:tab w:val="right" w:pos="2155"/>
        </w:tabs>
        <w:spacing w:after="80"/>
        <w:ind w:left="680"/>
        <w:rPr>
          <w:u w:val="single"/>
        </w:rPr>
      </w:pPr>
      <w:r>
        <w:rPr>
          <w:u w:val="single"/>
        </w:rPr>
        <w:tab/>
      </w:r>
    </w:p>
  </w:footnote>
  <w:footnote w:type="continuationSeparator" w:id="0">
    <w:p w:rsidR="00270130" w:rsidRPr="00FC68B7" w:rsidRDefault="00270130" w:rsidP="00087B2A">
      <w:pPr>
        <w:tabs>
          <w:tab w:val="left" w:pos="2155"/>
        </w:tabs>
        <w:spacing w:after="80"/>
        <w:ind w:left="680"/>
        <w:rPr>
          <w:u w:val="single"/>
        </w:rPr>
      </w:pPr>
      <w:r>
        <w:rPr>
          <w:u w:val="single"/>
        </w:rPr>
        <w:tab/>
      </w:r>
    </w:p>
  </w:footnote>
  <w:footnote w:type="continuationNotice" w:id="1">
    <w:p w:rsidR="00270130" w:rsidRDefault="002701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E5" w:rsidRPr="003E0860" w:rsidRDefault="00F97CE5">
    <w:pPr>
      <w:pStyle w:val="Header"/>
    </w:pPr>
    <w:r>
      <w:t>CERD/C/SWE/CO/19-21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E5" w:rsidRPr="003E0860" w:rsidRDefault="00F97CE5" w:rsidP="00087B2A">
    <w:pPr>
      <w:pStyle w:val="Header"/>
      <w:jc w:val="right"/>
    </w:pPr>
    <w:r>
      <w:t>CERD/C/SWE/CO/19-21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66B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0061E58"/>
    <w:multiLevelType w:val="hybridMultilevel"/>
    <w:tmpl w:val="1632D678"/>
    <w:lvl w:ilvl="0" w:tplc="F2F8CF2A">
      <w:start w:val="1"/>
      <w:numFmt w:val="lowerLetter"/>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860"/>
    <w:rsid w:val="00003C8C"/>
    <w:rsid w:val="00022296"/>
    <w:rsid w:val="00027796"/>
    <w:rsid w:val="000343DE"/>
    <w:rsid w:val="0003465F"/>
    <w:rsid w:val="00042BF5"/>
    <w:rsid w:val="00044B97"/>
    <w:rsid w:val="000531EA"/>
    <w:rsid w:val="00080FD9"/>
    <w:rsid w:val="00087B2A"/>
    <w:rsid w:val="00092C3D"/>
    <w:rsid w:val="00097A8D"/>
    <w:rsid w:val="000A1A84"/>
    <w:rsid w:val="000B6A25"/>
    <w:rsid w:val="000C2B5A"/>
    <w:rsid w:val="000C7B76"/>
    <w:rsid w:val="000F0226"/>
    <w:rsid w:val="000F432A"/>
    <w:rsid w:val="00100F8A"/>
    <w:rsid w:val="0010186D"/>
    <w:rsid w:val="00102A36"/>
    <w:rsid w:val="00107255"/>
    <w:rsid w:val="00142B2C"/>
    <w:rsid w:val="00145602"/>
    <w:rsid w:val="00145A42"/>
    <w:rsid w:val="0016572E"/>
    <w:rsid w:val="0018112B"/>
    <w:rsid w:val="001877B1"/>
    <w:rsid w:val="00194365"/>
    <w:rsid w:val="001B74B7"/>
    <w:rsid w:val="001D24B0"/>
    <w:rsid w:val="001D3118"/>
    <w:rsid w:val="001E1852"/>
    <w:rsid w:val="00201723"/>
    <w:rsid w:val="00206649"/>
    <w:rsid w:val="00215BE4"/>
    <w:rsid w:val="00222345"/>
    <w:rsid w:val="002345E8"/>
    <w:rsid w:val="002408AD"/>
    <w:rsid w:val="0025059C"/>
    <w:rsid w:val="0026063C"/>
    <w:rsid w:val="00265052"/>
    <w:rsid w:val="00270130"/>
    <w:rsid w:val="002829AF"/>
    <w:rsid w:val="00285ABF"/>
    <w:rsid w:val="002A63E2"/>
    <w:rsid w:val="002B3D7A"/>
    <w:rsid w:val="002B64D7"/>
    <w:rsid w:val="002C0450"/>
    <w:rsid w:val="002C1F8A"/>
    <w:rsid w:val="002C37A2"/>
    <w:rsid w:val="002D173A"/>
    <w:rsid w:val="002F3A17"/>
    <w:rsid w:val="00304990"/>
    <w:rsid w:val="00317BEE"/>
    <w:rsid w:val="00320FFD"/>
    <w:rsid w:val="00322E30"/>
    <w:rsid w:val="00325B2E"/>
    <w:rsid w:val="00332E66"/>
    <w:rsid w:val="00355AD4"/>
    <w:rsid w:val="0037486E"/>
    <w:rsid w:val="00386DC8"/>
    <w:rsid w:val="00393168"/>
    <w:rsid w:val="003957AB"/>
    <w:rsid w:val="00395AFC"/>
    <w:rsid w:val="003A6515"/>
    <w:rsid w:val="003B5F50"/>
    <w:rsid w:val="003B6230"/>
    <w:rsid w:val="003B6E4B"/>
    <w:rsid w:val="003C5F42"/>
    <w:rsid w:val="003E4BD9"/>
    <w:rsid w:val="004019DF"/>
    <w:rsid w:val="00403396"/>
    <w:rsid w:val="0040740B"/>
    <w:rsid w:val="00423EC0"/>
    <w:rsid w:val="0043665F"/>
    <w:rsid w:val="00442D64"/>
    <w:rsid w:val="00445CD1"/>
    <w:rsid w:val="00457AF5"/>
    <w:rsid w:val="004910C7"/>
    <w:rsid w:val="0049582B"/>
    <w:rsid w:val="00495C0A"/>
    <w:rsid w:val="00496924"/>
    <w:rsid w:val="004B426A"/>
    <w:rsid w:val="004B4A9C"/>
    <w:rsid w:val="004C6FDC"/>
    <w:rsid w:val="004D1B58"/>
    <w:rsid w:val="004F42F1"/>
    <w:rsid w:val="005054F1"/>
    <w:rsid w:val="00522761"/>
    <w:rsid w:val="00533E25"/>
    <w:rsid w:val="00554151"/>
    <w:rsid w:val="005603A1"/>
    <w:rsid w:val="005659F4"/>
    <w:rsid w:val="00566FA7"/>
    <w:rsid w:val="00590992"/>
    <w:rsid w:val="005A089C"/>
    <w:rsid w:val="005A38D9"/>
    <w:rsid w:val="005A5714"/>
    <w:rsid w:val="005A77FE"/>
    <w:rsid w:val="005B12C4"/>
    <w:rsid w:val="005C5A7C"/>
    <w:rsid w:val="005C6CCF"/>
    <w:rsid w:val="005E14C4"/>
    <w:rsid w:val="005E3F99"/>
    <w:rsid w:val="005F3D37"/>
    <w:rsid w:val="006105CB"/>
    <w:rsid w:val="00612E92"/>
    <w:rsid w:val="00614C98"/>
    <w:rsid w:val="00616AF8"/>
    <w:rsid w:val="00616BEB"/>
    <w:rsid w:val="0062671B"/>
    <w:rsid w:val="006279FA"/>
    <w:rsid w:val="0063594A"/>
    <w:rsid w:val="006417E3"/>
    <w:rsid w:val="00666287"/>
    <w:rsid w:val="00675800"/>
    <w:rsid w:val="00681875"/>
    <w:rsid w:val="006B7E06"/>
    <w:rsid w:val="006C1767"/>
    <w:rsid w:val="006E31DE"/>
    <w:rsid w:val="006E4594"/>
    <w:rsid w:val="006F13C5"/>
    <w:rsid w:val="006F744D"/>
    <w:rsid w:val="00713713"/>
    <w:rsid w:val="00724AD2"/>
    <w:rsid w:val="007301AD"/>
    <w:rsid w:val="007445D6"/>
    <w:rsid w:val="0074501E"/>
    <w:rsid w:val="00762F1E"/>
    <w:rsid w:val="00795397"/>
    <w:rsid w:val="007A308F"/>
    <w:rsid w:val="007B4D5A"/>
    <w:rsid w:val="007F65CC"/>
    <w:rsid w:val="0081286E"/>
    <w:rsid w:val="00815CDB"/>
    <w:rsid w:val="008221F3"/>
    <w:rsid w:val="0084230E"/>
    <w:rsid w:val="0085561C"/>
    <w:rsid w:val="00894B5A"/>
    <w:rsid w:val="008A6E18"/>
    <w:rsid w:val="008C2F33"/>
    <w:rsid w:val="00901ED8"/>
    <w:rsid w:val="00902184"/>
    <w:rsid w:val="00914340"/>
    <w:rsid w:val="00920ED0"/>
    <w:rsid w:val="00941255"/>
    <w:rsid w:val="00952166"/>
    <w:rsid w:val="009719AE"/>
    <w:rsid w:val="0099284C"/>
    <w:rsid w:val="00994AE8"/>
    <w:rsid w:val="009A1002"/>
    <w:rsid w:val="009D19BF"/>
    <w:rsid w:val="009E4B5D"/>
    <w:rsid w:val="009F2641"/>
    <w:rsid w:val="009F7C5D"/>
    <w:rsid w:val="00A11F42"/>
    <w:rsid w:val="00A32F62"/>
    <w:rsid w:val="00A361B0"/>
    <w:rsid w:val="00A4328E"/>
    <w:rsid w:val="00A43376"/>
    <w:rsid w:val="00A5403C"/>
    <w:rsid w:val="00A67D3B"/>
    <w:rsid w:val="00A84EEB"/>
    <w:rsid w:val="00A9165B"/>
    <w:rsid w:val="00AA1063"/>
    <w:rsid w:val="00AA25DF"/>
    <w:rsid w:val="00AA4943"/>
    <w:rsid w:val="00AA7AEC"/>
    <w:rsid w:val="00AB0163"/>
    <w:rsid w:val="00AF0A4B"/>
    <w:rsid w:val="00B006C5"/>
    <w:rsid w:val="00B425D8"/>
    <w:rsid w:val="00B42BCC"/>
    <w:rsid w:val="00B454A5"/>
    <w:rsid w:val="00B555BB"/>
    <w:rsid w:val="00B57DEE"/>
    <w:rsid w:val="00B62DAE"/>
    <w:rsid w:val="00B6771C"/>
    <w:rsid w:val="00B713ED"/>
    <w:rsid w:val="00B742C5"/>
    <w:rsid w:val="00B7785C"/>
    <w:rsid w:val="00B84239"/>
    <w:rsid w:val="00BA1B03"/>
    <w:rsid w:val="00BC15C1"/>
    <w:rsid w:val="00BC5579"/>
    <w:rsid w:val="00BD2338"/>
    <w:rsid w:val="00BD7640"/>
    <w:rsid w:val="00BF419E"/>
    <w:rsid w:val="00C12EAB"/>
    <w:rsid w:val="00C30DA3"/>
    <w:rsid w:val="00C34C94"/>
    <w:rsid w:val="00C37748"/>
    <w:rsid w:val="00C7554A"/>
    <w:rsid w:val="00C87FDC"/>
    <w:rsid w:val="00C90EC6"/>
    <w:rsid w:val="00C92AA7"/>
    <w:rsid w:val="00CA07DB"/>
    <w:rsid w:val="00CA38CE"/>
    <w:rsid w:val="00CA5D2C"/>
    <w:rsid w:val="00CB73C4"/>
    <w:rsid w:val="00CB7785"/>
    <w:rsid w:val="00CE3106"/>
    <w:rsid w:val="00CE7539"/>
    <w:rsid w:val="00D350A2"/>
    <w:rsid w:val="00D37E8D"/>
    <w:rsid w:val="00D511F7"/>
    <w:rsid w:val="00D556AE"/>
    <w:rsid w:val="00D606A6"/>
    <w:rsid w:val="00D6276C"/>
    <w:rsid w:val="00D82019"/>
    <w:rsid w:val="00D826F6"/>
    <w:rsid w:val="00D941C8"/>
    <w:rsid w:val="00DA621C"/>
    <w:rsid w:val="00DB74E1"/>
    <w:rsid w:val="00DE5E38"/>
    <w:rsid w:val="00DF1254"/>
    <w:rsid w:val="00E02F23"/>
    <w:rsid w:val="00E0340E"/>
    <w:rsid w:val="00E03E09"/>
    <w:rsid w:val="00E043E5"/>
    <w:rsid w:val="00E0642F"/>
    <w:rsid w:val="00E065CE"/>
    <w:rsid w:val="00E405F0"/>
    <w:rsid w:val="00E56588"/>
    <w:rsid w:val="00E578D1"/>
    <w:rsid w:val="00E639B9"/>
    <w:rsid w:val="00E81C0D"/>
    <w:rsid w:val="00E970B4"/>
    <w:rsid w:val="00EB0FB6"/>
    <w:rsid w:val="00EE20AC"/>
    <w:rsid w:val="00EE6EE4"/>
    <w:rsid w:val="00F04985"/>
    <w:rsid w:val="00F14B81"/>
    <w:rsid w:val="00F212CF"/>
    <w:rsid w:val="00F34986"/>
    <w:rsid w:val="00F44E59"/>
    <w:rsid w:val="00F478D5"/>
    <w:rsid w:val="00F722BF"/>
    <w:rsid w:val="00F97CE5"/>
    <w:rsid w:val="00FB059C"/>
    <w:rsid w:val="00FB0F5B"/>
    <w:rsid w:val="00FD0129"/>
    <w:rsid w:val="00FD193A"/>
    <w:rsid w:val="00FE2DFA"/>
    <w:rsid w:val="00FE5BAE"/>
    <w:rsid w:val="00FF3205"/>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rPr>
      <w:lang w:val="x-none"/>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3E0860"/>
    <w:pPr>
      <w:autoSpaceDE w:val="0"/>
      <w:autoSpaceDN w:val="0"/>
      <w:adjustRightInd w:val="0"/>
    </w:pPr>
    <w:rPr>
      <w:rFonts w:eastAsia="SimSun"/>
      <w:color w:val="000000"/>
      <w:sz w:val="24"/>
      <w:szCs w:val="24"/>
      <w:lang w:eastAsia="zh-CN"/>
    </w:rPr>
  </w:style>
  <w:style w:type="paragraph" w:styleId="BalloonText">
    <w:name w:val="Balloon Text"/>
    <w:basedOn w:val="Normal"/>
    <w:semiHidden/>
    <w:rsid w:val="00136E78"/>
    <w:rPr>
      <w:rFonts w:ascii="Tahoma" w:hAnsi="Tahoma" w:cs="Tahoma"/>
      <w:sz w:val="16"/>
      <w:szCs w:val="16"/>
    </w:rPr>
  </w:style>
  <w:style w:type="character" w:styleId="CommentReference">
    <w:name w:val="annotation reference"/>
    <w:semiHidden/>
    <w:rsid w:val="00C30D9B"/>
    <w:rPr>
      <w:sz w:val="16"/>
      <w:szCs w:val="16"/>
    </w:rPr>
  </w:style>
  <w:style w:type="paragraph" w:styleId="CommentText">
    <w:name w:val="annotation text"/>
    <w:basedOn w:val="Normal"/>
    <w:semiHidden/>
    <w:rsid w:val="00C30D9B"/>
  </w:style>
  <w:style w:type="paragraph" w:styleId="CommentSubject">
    <w:name w:val="annotation subject"/>
    <w:basedOn w:val="CommentText"/>
    <w:next w:val="CommentText"/>
    <w:semiHidden/>
    <w:rsid w:val="00C30D9B"/>
    <w:rPr>
      <w:b/>
      <w:bCs/>
    </w:rPr>
  </w:style>
  <w:style w:type="character" w:customStyle="1" w:styleId="SingleTxtGCar">
    <w:name w:val="_ Single Txt_G Car"/>
    <w:link w:val="SingleTxtG"/>
    <w:locked/>
    <w:rsid w:val="00813C8E"/>
    <w:rPr>
      <w:lang w:eastAsia="en-US"/>
    </w:rPr>
  </w:style>
  <w:style w:type="character" w:customStyle="1" w:styleId="SingleTxtGChar">
    <w:name w:val="_ Single Txt_G Char"/>
    <w:rsid w:val="00813C8E"/>
    <w:rPr>
      <w:lang w:val="en-GB" w:eastAsia="en-US" w:bidi="ar-SA"/>
    </w:rPr>
  </w:style>
  <w:style w:type="paragraph" w:customStyle="1" w:styleId="ColorfulShading-Accent11">
    <w:name w:val="Colorful Shading - Accent 11"/>
    <w:hidden/>
    <w:uiPriority w:val="71"/>
    <w:rsid w:val="000346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2873">
      <w:bodyDiv w:val="1"/>
      <w:marLeft w:val="0"/>
      <w:marRight w:val="0"/>
      <w:marTop w:val="0"/>
      <w:marBottom w:val="0"/>
      <w:divBdr>
        <w:top w:val="none" w:sz="0" w:space="0" w:color="auto"/>
        <w:left w:val="none" w:sz="0" w:space="0" w:color="auto"/>
        <w:bottom w:val="none" w:sz="0" w:space="0" w:color="auto"/>
        <w:right w:val="none" w:sz="0" w:space="0" w:color="auto"/>
      </w:divBdr>
    </w:div>
    <w:div w:id="758869466">
      <w:bodyDiv w:val="1"/>
      <w:marLeft w:val="0"/>
      <w:marRight w:val="0"/>
      <w:marTop w:val="0"/>
      <w:marBottom w:val="0"/>
      <w:divBdr>
        <w:top w:val="none" w:sz="0" w:space="0" w:color="auto"/>
        <w:left w:val="none" w:sz="0" w:space="0" w:color="auto"/>
        <w:bottom w:val="none" w:sz="0" w:space="0" w:color="auto"/>
        <w:right w:val="none" w:sz="0" w:space="0" w:color="auto"/>
      </w:divBdr>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1593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Template>
  <TotalTime>2</TotalTime>
  <Pages>1</Pages>
  <Words>3900</Words>
  <Characters>22271</Characters>
  <Application>Microsoft Office Word</Application>
  <DocSecurity>4</DocSecurity>
  <Lines>365</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Nair Remadevi</dc:creator>
  <cp:keywords/>
  <cp:lastModifiedBy>DCM</cp:lastModifiedBy>
  <cp:revision>2</cp:revision>
  <cp:lastPrinted>2013-09-23T11:06:00Z</cp:lastPrinted>
  <dcterms:created xsi:type="dcterms:W3CDTF">2013-09-25T18:17:00Z</dcterms:created>
  <dcterms:modified xsi:type="dcterms:W3CDTF">2013-09-25T18:17:00Z</dcterms:modified>
</cp:coreProperties>
</file>