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CB24E4"/>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CB24E4" w:rsidP="00CB24E4">
            <w:pPr>
              <w:jc w:val="right"/>
            </w:pPr>
            <w:r w:rsidRPr="00CB24E4">
              <w:rPr>
                <w:sz w:val="40"/>
              </w:rPr>
              <w:t>CERD</w:t>
            </w:r>
            <w:r>
              <w:t>/C/MNG/23-24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CB24E4" w:rsidP="009D5F1A">
            <w:pPr>
              <w:spacing w:before="240"/>
            </w:pPr>
            <w:r>
              <w:t>Distr. générale</w:t>
            </w:r>
          </w:p>
          <w:p w:rsidR="00CB24E4" w:rsidRDefault="002C2E0B" w:rsidP="00CB24E4">
            <w:pPr>
              <w:spacing w:line="240" w:lineRule="exact"/>
            </w:pPr>
            <w:r>
              <w:t>12</w:t>
            </w:r>
            <w:r w:rsidR="00CB24E4">
              <w:t xml:space="preserve"> novembre 2018</w:t>
            </w:r>
          </w:p>
          <w:p w:rsidR="00CB24E4" w:rsidRDefault="00CB24E4" w:rsidP="00CB24E4">
            <w:pPr>
              <w:spacing w:line="240" w:lineRule="exact"/>
            </w:pPr>
            <w:r>
              <w:t>Français</w:t>
            </w:r>
          </w:p>
          <w:p w:rsidR="00CB24E4" w:rsidRDefault="00CB24E4" w:rsidP="00CB24E4">
            <w:pPr>
              <w:spacing w:line="240" w:lineRule="exact"/>
            </w:pPr>
            <w:r>
              <w:t>Original : anglais</w:t>
            </w:r>
          </w:p>
          <w:p w:rsidR="004E4535" w:rsidRPr="00DB58B5" w:rsidRDefault="004E4535" w:rsidP="00CB24E4">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CB24E4" w:rsidRDefault="00CB24E4" w:rsidP="00CB24E4">
      <w:pPr>
        <w:pStyle w:val="HMG"/>
        <w:rPr>
          <w:b w:val="0"/>
          <w:bCs/>
          <w:sz w:val="20"/>
          <w:szCs w:val="10"/>
        </w:rPr>
      </w:pPr>
      <w:r w:rsidRPr="00AF1A22">
        <w:rPr>
          <w:lang w:val="fr-FR"/>
        </w:rPr>
        <w:tab/>
      </w:r>
      <w:r w:rsidRPr="00AF1A22">
        <w:rPr>
          <w:lang w:val="fr-FR"/>
        </w:rPr>
        <w:tab/>
      </w:r>
      <w:r w:rsidRPr="002C2E0B">
        <w:rPr>
          <w:spacing w:val="-2"/>
          <w:lang w:val="fr-FR"/>
        </w:rPr>
        <w:t>Rapport valant vingt-troisième et vingt-quatrième</w:t>
      </w:r>
      <w:r>
        <w:rPr>
          <w:lang w:val="fr-FR"/>
        </w:rPr>
        <w:t xml:space="preserve"> </w:t>
      </w:r>
      <w:r w:rsidRPr="002C2E0B">
        <w:rPr>
          <w:spacing w:val="2"/>
          <w:lang w:val="fr-FR"/>
        </w:rPr>
        <w:t>rapports périodiques soumis par la Mongolie</w:t>
      </w:r>
      <w:r>
        <w:rPr>
          <w:lang w:val="fr-FR"/>
        </w:rPr>
        <w:t xml:space="preserve"> </w:t>
      </w:r>
      <w:r w:rsidR="002C2E0B">
        <w:rPr>
          <w:lang w:val="fr-FR"/>
        </w:rPr>
        <w:br/>
      </w:r>
      <w:r>
        <w:rPr>
          <w:lang w:val="fr-FR"/>
        </w:rPr>
        <w:t xml:space="preserve">en application de l’article 9 </w:t>
      </w:r>
      <w:r w:rsidRPr="00EF203D">
        <w:rPr>
          <w:lang w:val="fr-FR"/>
        </w:rPr>
        <w:t>de la Convention, attendu en 201</w:t>
      </w:r>
      <w:r>
        <w:rPr>
          <w:lang w:val="fr-FR"/>
        </w:rPr>
        <w:t>8</w:t>
      </w:r>
      <w:r w:rsidRPr="00CB24E4">
        <w:rPr>
          <w:rStyle w:val="Appelnotedebasdep"/>
          <w:b w:val="0"/>
          <w:sz w:val="20"/>
          <w:vertAlign w:val="baseline"/>
        </w:rPr>
        <w:footnoteReference w:customMarkFollows="1" w:id="2"/>
        <w:t>*</w:t>
      </w:r>
    </w:p>
    <w:p w:rsidR="00CB24E4" w:rsidRDefault="00CB24E4" w:rsidP="00CB24E4">
      <w:pPr>
        <w:pStyle w:val="SingleTxtG"/>
        <w:jc w:val="right"/>
        <w:rPr>
          <w:lang w:val="fr-FR"/>
        </w:rPr>
      </w:pPr>
      <w:r w:rsidRPr="009F6CC9">
        <w:rPr>
          <w:lang w:val="fr-FR"/>
        </w:rPr>
        <w:t xml:space="preserve">[Date </w:t>
      </w:r>
      <w:r>
        <w:rPr>
          <w:lang w:val="fr-FR"/>
        </w:rPr>
        <w:t>de réception :</w:t>
      </w:r>
      <w:r w:rsidR="00747348">
        <w:rPr>
          <w:lang w:val="fr-FR"/>
        </w:rPr>
        <w:t xml:space="preserve"> 2 </w:t>
      </w:r>
      <w:r w:rsidRPr="009F6CC9">
        <w:rPr>
          <w:lang w:val="fr-FR"/>
        </w:rPr>
        <w:t>octobre 2018]</w:t>
      </w:r>
    </w:p>
    <w:p w:rsidR="00C57CC5" w:rsidRPr="009F6CC9" w:rsidRDefault="00CB24E4" w:rsidP="00747348">
      <w:pPr>
        <w:pStyle w:val="HChG"/>
        <w:spacing w:before="0"/>
        <w:rPr>
          <w:lang w:val="fr-FR"/>
        </w:rPr>
      </w:pPr>
      <w:r>
        <w:rPr>
          <w:lang w:val="fr-FR"/>
        </w:rPr>
        <w:br w:type="page"/>
      </w:r>
      <w:r w:rsidR="00C57CC5" w:rsidRPr="009F6CC9">
        <w:rPr>
          <w:lang w:val="fr-FR"/>
        </w:rPr>
        <w:lastRenderedPageBreak/>
        <w:tab/>
        <w:t>I.</w:t>
      </w:r>
      <w:r w:rsidR="00C57CC5" w:rsidRPr="009F6CC9">
        <w:rPr>
          <w:lang w:val="fr-FR"/>
        </w:rPr>
        <w:tab/>
        <w:t>Introduction</w:t>
      </w:r>
    </w:p>
    <w:p w:rsidR="00C57CC5" w:rsidRPr="00D504FD" w:rsidRDefault="00C57CC5" w:rsidP="00C57CC5">
      <w:pPr>
        <w:pStyle w:val="SingleTxtG"/>
        <w:rPr>
          <w:lang w:val="fr-FR"/>
        </w:rPr>
      </w:pPr>
      <w:r w:rsidRPr="00BD3FB6">
        <w:rPr>
          <w:lang w:val="fr-FR"/>
        </w:rPr>
        <w:t>1.</w:t>
      </w:r>
      <w:r w:rsidRPr="00BD3FB6">
        <w:rPr>
          <w:lang w:val="fr-FR"/>
        </w:rPr>
        <w:tab/>
      </w:r>
      <w:r w:rsidRPr="0055122E">
        <w:rPr>
          <w:lang w:val="fr-FR"/>
        </w:rPr>
        <w:t>La Mongoli</w:t>
      </w:r>
      <w:r>
        <w:rPr>
          <w:lang w:val="fr-FR"/>
        </w:rPr>
        <w:t>e</w:t>
      </w:r>
      <w:r w:rsidRPr="0055122E">
        <w:rPr>
          <w:lang w:val="fr-FR"/>
        </w:rPr>
        <w:t xml:space="preserve"> soumet ci-après</w:t>
      </w:r>
      <w:r>
        <w:rPr>
          <w:lang w:val="fr-FR"/>
        </w:rPr>
        <w:t xml:space="preserve"> en un seul document ses vingt-trois</w:t>
      </w:r>
      <w:r w:rsidRPr="0055122E">
        <w:rPr>
          <w:lang w:val="fr-FR"/>
        </w:rPr>
        <w:t>ième et vingt</w:t>
      </w:r>
      <w:r w:rsidR="00605685">
        <w:rPr>
          <w:lang w:val="fr-FR"/>
        </w:rPr>
        <w:noBreakHyphen/>
      </w:r>
      <w:r>
        <w:rPr>
          <w:lang w:val="fr-FR"/>
        </w:rPr>
        <w:t xml:space="preserve">quatrième </w:t>
      </w:r>
      <w:r w:rsidRPr="00655B4C">
        <w:rPr>
          <w:lang w:val="fr-FR"/>
        </w:rPr>
        <w:t>rapports périodiques,</w:t>
      </w:r>
      <w:r>
        <w:rPr>
          <w:lang w:val="fr-FR"/>
        </w:rPr>
        <w:t xml:space="preserve"> conformément au paragraphe 37 des o</w:t>
      </w:r>
      <w:r w:rsidRPr="008813A3">
        <w:rPr>
          <w:lang w:val="fr-FR"/>
        </w:rPr>
        <w:t>bservations finales</w:t>
      </w:r>
      <w:r w:rsidRPr="00747348">
        <w:rPr>
          <w:rStyle w:val="Appelnotedebasdep"/>
        </w:rPr>
        <w:footnoteReference w:id="3"/>
      </w:r>
      <w:r>
        <w:rPr>
          <w:lang w:val="fr-FR"/>
        </w:rPr>
        <w:t xml:space="preserve"> </w:t>
      </w:r>
      <w:r w:rsidRPr="008813A3">
        <w:rPr>
          <w:lang w:val="fr-FR"/>
        </w:rPr>
        <w:t>concernant les dix-neuvième à vingt-deuxième rapports périodiques</w:t>
      </w:r>
      <w:r>
        <w:rPr>
          <w:lang w:val="fr-FR"/>
        </w:rPr>
        <w:t xml:space="preserve">, adoptées par le </w:t>
      </w:r>
      <w:r w:rsidRPr="008813A3">
        <w:rPr>
          <w:lang w:val="fr-FR"/>
        </w:rPr>
        <w:t>Comité pour l’élimination de la discrimination raciale</w:t>
      </w:r>
      <w:r>
        <w:rPr>
          <w:lang w:val="fr-FR"/>
        </w:rPr>
        <w:t>.</w:t>
      </w:r>
    </w:p>
    <w:p w:rsidR="00C57CC5" w:rsidRPr="00456EEB" w:rsidRDefault="00C57CC5" w:rsidP="00C57CC5">
      <w:pPr>
        <w:pStyle w:val="SingleTxtG"/>
        <w:rPr>
          <w:lang w:val="fr-FR"/>
        </w:rPr>
      </w:pPr>
      <w:r w:rsidRPr="001901B4">
        <w:rPr>
          <w:lang w:val="fr-FR"/>
        </w:rPr>
        <w:t>2.</w:t>
      </w:r>
      <w:r w:rsidRPr="001901B4">
        <w:rPr>
          <w:lang w:val="fr-FR"/>
        </w:rPr>
        <w:tab/>
      </w:r>
      <w:r w:rsidRPr="00456EEB">
        <w:rPr>
          <w:lang w:val="fr-FR"/>
        </w:rPr>
        <w:t xml:space="preserve">Le présent rapport </w:t>
      </w:r>
      <w:r>
        <w:rPr>
          <w:lang w:val="fr-FR"/>
        </w:rPr>
        <w:t>comprend</w:t>
      </w:r>
      <w:r w:rsidRPr="00456EEB">
        <w:rPr>
          <w:lang w:val="fr-FR"/>
        </w:rPr>
        <w:t xml:space="preserve"> deux chapitres. Le premier </w:t>
      </w:r>
      <w:r>
        <w:rPr>
          <w:lang w:val="fr-FR"/>
        </w:rPr>
        <w:t>passe en revue</w:t>
      </w:r>
      <w:r w:rsidRPr="00456EEB">
        <w:rPr>
          <w:lang w:val="fr-FR"/>
        </w:rPr>
        <w:t xml:space="preserve"> l’ensemble des points soulevés </w:t>
      </w:r>
      <w:r>
        <w:rPr>
          <w:lang w:val="fr-FR"/>
        </w:rPr>
        <w:t>dans</w:t>
      </w:r>
      <w:r w:rsidRPr="00456EEB">
        <w:rPr>
          <w:lang w:val="fr-FR"/>
        </w:rPr>
        <w:t xml:space="preserve"> les observations finales du </w:t>
      </w:r>
      <w:r>
        <w:rPr>
          <w:lang w:val="fr-FR"/>
        </w:rPr>
        <w:t xml:space="preserve">Comité ; le second rend compte des mesures prises pour donner effet à la Convention internationale sur </w:t>
      </w:r>
      <w:r w:rsidRPr="004D7961">
        <w:rPr>
          <w:lang w:val="fr-FR"/>
        </w:rPr>
        <w:t>l’é</w:t>
      </w:r>
      <w:r>
        <w:rPr>
          <w:lang w:val="fr-FR"/>
        </w:rPr>
        <w:t xml:space="preserve">limination de toutes les formes </w:t>
      </w:r>
      <w:r w:rsidRPr="004D7961">
        <w:rPr>
          <w:lang w:val="fr-FR"/>
        </w:rPr>
        <w:t>de discrimination raciale</w:t>
      </w:r>
      <w:r>
        <w:rPr>
          <w:lang w:val="fr-FR"/>
        </w:rPr>
        <w:t>, conformément à son article 9. Le rapport fournit notamment des données concernant le premier semestre 2018.</w:t>
      </w:r>
    </w:p>
    <w:p w:rsidR="00C57CC5" w:rsidRPr="0058156F" w:rsidRDefault="00C57CC5" w:rsidP="00C57CC5">
      <w:pPr>
        <w:pStyle w:val="SingleTxtG"/>
        <w:rPr>
          <w:lang w:val="fr-FR"/>
        </w:rPr>
      </w:pPr>
      <w:r w:rsidRPr="00276ADA">
        <w:rPr>
          <w:lang w:val="fr-FR"/>
        </w:rPr>
        <w:t>3.</w:t>
      </w:r>
      <w:r w:rsidRPr="00276ADA">
        <w:rPr>
          <w:lang w:val="fr-FR"/>
        </w:rPr>
        <w:tab/>
      </w:r>
      <w:r>
        <w:rPr>
          <w:lang w:val="fr-FR"/>
        </w:rPr>
        <w:t>C</w:t>
      </w:r>
      <w:r w:rsidRPr="0058156F">
        <w:rPr>
          <w:lang w:val="fr-FR"/>
        </w:rPr>
        <w:t xml:space="preserve">e rapport a été </w:t>
      </w:r>
      <w:r>
        <w:rPr>
          <w:lang w:val="fr-FR"/>
        </w:rPr>
        <w:t>publié</w:t>
      </w:r>
      <w:r w:rsidRPr="0058156F">
        <w:rPr>
          <w:lang w:val="fr-FR"/>
        </w:rPr>
        <w:t xml:space="preserve"> sur les sites Web officiels</w:t>
      </w:r>
      <w:r>
        <w:rPr>
          <w:lang w:val="fr-FR"/>
        </w:rPr>
        <w:t xml:space="preserve"> des institutions de l’État</w:t>
      </w:r>
      <w:r w:rsidRPr="00706B92">
        <w:rPr>
          <w:rStyle w:val="Appelnotedebasdep"/>
        </w:rPr>
        <w:footnoteReference w:id="4"/>
      </w:r>
      <w:r>
        <w:rPr>
          <w:lang w:val="fr-FR"/>
        </w:rPr>
        <w:t xml:space="preserve"> chargées de donner effet à la Convention.</w:t>
      </w:r>
    </w:p>
    <w:p w:rsidR="00C57CC5" w:rsidRPr="00276ADA" w:rsidRDefault="00C57CC5" w:rsidP="00706B92">
      <w:pPr>
        <w:pStyle w:val="HChG"/>
        <w:rPr>
          <w:lang w:val="fr-FR"/>
        </w:rPr>
      </w:pPr>
      <w:r w:rsidRPr="0058156F">
        <w:rPr>
          <w:lang w:val="fr-FR"/>
        </w:rPr>
        <w:tab/>
      </w:r>
      <w:r w:rsidRPr="00276ADA">
        <w:rPr>
          <w:lang w:val="fr-FR"/>
        </w:rPr>
        <w:t>II.</w:t>
      </w:r>
      <w:r w:rsidRPr="00276ADA">
        <w:rPr>
          <w:lang w:val="fr-FR"/>
        </w:rPr>
        <w:tab/>
      </w:r>
      <w:r>
        <w:rPr>
          <w:lang w:val="fr-FR"/>
        </w:rPr>
        <w:t>S</w:t>
      </w:r>
      <w:r w:rsidRPr="00276ADA">
        <w:rPr>
          <w:lang w:val="fr-FR"/>
        </w:rPr>
        <w:t>ui</w:t>
      </w:r>
      <w:r>
        <w:rPr>
          <w:lang w:val="fr-FR"/>
        </w:rPr>
        <w:t>vi</w:t>
      </w:r>
      <w:r w:rsidRPr="00276ADA">
        <w:rPr>
          <w:lang w:val="fr-FR"/>
        </w:rPr>
        <w:t xml:space="preserve"> </w:t>
      </w:r>
      <w:r>
        <w:rPr>
          <w:lang w:val="fr-FR"/>
        </w:rPr>
        <w:t>des</w:t>
      </w:r>
      <w:r w:rsidRPr="00276ADA">
        <w:rPr>
          <w:lang w:val="fr-FR"/>
        </w:rPr>
        <w:t xml:space="preserve"> observations finales du </w:t>
      </w:r>
      <w:r>
        <w:rPr>
          <w:lang w:val="fr-FR"/>
        </w:rPr>
        <w:t>Comité</w:t>
      </w:r>
    </w:p>
    <w:p w:rsidR="00C57CC5" w:rsidRPr="001751EF" w:rsidRDefault="00C57CC5" w:rsidP="00C57CC5">
      <w:pPr>
        <w:pStyle w:val="SingleTxtG"/>
        <w:rPr>
          <w:lang w:val="fr-FR"/>
        </w:rPr>
      </w:pPr>
      <w:r w:rsidRPr="00CC64BC">
        <w:rPr>
          <w:lang w:val="fr-FR"/>
        </w:rPr>
        <w:t>4.</w:t>
      </w:r>
      <w:r w:rsidRPr="00CC64BC">
        <w:rPr>
          <w:lang w:val="fr-FR"/>
        </w:rPr>
        <w:tab/>
      </w:r>
      <w:r w:rsidRPr="001751EF">
        <w:rPr>
          <w:lang w:val="fr-FR"/>
        </w:rPr>
        <w:t xml:space="preserve">Conformément </w:t>
      </w:r>
      <w:r>
        <w:rPr>
          <w:lang w:val="fr-FR"/>
        </w:rPr>
        <w:t>au</w:t>
      </w:r>
      <w:r w:rsidRPr="001751EF">
        <w:rPr>
          <w:lang w:val="fr-FR"/>
        </w:rPr>
        <w:t xml:space="preserve"> </w:t>
      </w:r>
      <w:r>
        <w:rPr>
          <w:lang w:val="fr-FR"/>
        </w:rPr>
        <w:t>paragraphe</w:t>
      </w:r>
      <w:r w:rsidRPr="001751EF">
        <w:rPr>
          <w:lang w:val="fr-FR"/>
        </w:rPr>
        <w:t xml:space="preserve"> 36 des observations finales du Comité, la présente partie du rapport traite </w:t>
      </w:r>
      <w:r>
        <w:rPr>
          <w:lang w:val="fr-FR"/>
        </w:rPr>
        <w:t xml:space="preserve">de manière </w:t>
      </w:r>
      <w:r w:rsidRPr="00456ACE">
        <w:rPr>
          <w:lang w:val="fr-FR"/>
        </w:rPr>
        <w:t>exhaustive</w:t>
      </w:r>
      <w:r>
        <w:rPr>
          <w:lang w:val="fr-FR"/>
        </w:rPr>
        <w:t xml:space="preserve"> d</w:t>
      </w:r>
      <w:r w:rsidRPr="001751EF">
        <w:rPr>
          <w:lang w:val="fr-FR"/>
        </w:rPr>
        <w:t>es points soulev</w:t>
      </w:r>
      <w:r>
        <w:rPr>
          <w:lang w:val="fr-FR"/>
        </w:rPr>
        <w:t>és dans les paragraphes 7, 16 et 27.</w:t>
      </w:r>
    </w:p>
    <w:p w:rsidR="00C57CC5" w:rsidRPr="001A6FFB" w:rsidRDefault="00C57CC5" w:rsidP="00754474">
      <w:pPr>
        <w:pStyle w:val="H1G"/>
        <w:rPr>
          <w:lang w:val="fr-FR"/>
        </w:rPr>
      </w:pPr>
      <w:r w:rsidRPr="001751EF">
        <w:rPr>
          <w:lang w:val="fr-FR"/>
        </w:rPr>
        <w:tab/>
      </w:r>
      <w:r w:rsidRPr="001751EF">
        <w:rPr>
          <w:lang w:val="fr-FR"/>
        </w:rPr>
        <w:tab/>
      </w:r>
      <w:r w:rsidRPr="001A6FFB">
        <w:rPr>
          <w:lang w:val="fr-FR"/>
        </w:rPr>
        <w:t xml:space="preserve">Article </w:t>
      </w:r>
      <w:r w:rsidRPr="00D8160B">
        <w:rPr>
          <w:lang w:val="fr-FR"/>
        </w:rPr>
        <w:t>premier</w:t>
      </w:r>
      <w:r w:rsidRPr="001A6FFB">
        <w:rPr>
          <w:lang w:val="fr-FR"/>
        </w:rPr>
        <w:t xml:space="preserve"> </w:t>
      </w:r>
    </w:p>
    <w:p w:rsidR="00C57CC5" w:rsidRPr="001A6FFB" w:rsidRDefault="00C57CC5" w:rsidP="00754474">
      <w:pPr>
        <w:pStyle w:val="H23G"/>
        <w:rPr>
          <w:lang w:val="fr-FR"/>
        </w:rPr>
      </w:pPr>
      <w:r w:rsidRPr="001A6FFB">
        <w:rPr>
          <w:lang w:val="fr-FR"/>
        </w:rPr>
        <w:tab/>
      </w:r>
      <w:r w:rsidRPr="001A6FFB">
        <w:rPr>
          <w:lang w:val="fr-FR"/>
        </w:rPr>
        <w:tab/>
        <w:t>Législation antidiscrimination</w:t>
      </w:r>
    </w:p>
    <w:p w:rsidR="00C57CC5" w:rsidRPr="001A6FFB" w:rsidRDefault="00C57CC5" w:rsidP="00754474">
      <w:pPr>
        <w:pStyle w:val="H23G"/>
        <w:rPr>
          <w:lang w:val="fr-FR"/>
        </w:rPr>
      </w:pPr>
      <w:r w:rsidRPr="001A6FFB">
        <w:rPr>
          <w:lang w:val="fr-FR"/>
        </w:rPr>
        <w:tab/>
      </w:r>
      <w:r w:rsidRPr="001A6FFB">
        <w:rPr>
          <w:lang w:val="fr-FR"/>
        </w:rPr>
        <w:tab/>
      </w:r>
      <w:r w:rsidRPr="00AD72AB">
        <w:rPr>
          <w:lang w:val="fr-FR"/>
        </w:rPr>
        <w:t>Adopt</w:t>
      </w:r>
      <w:r>
        <w:rPr>
          <w:lang w:val="fr-FR"/>
        </w:rPr>
        <w:t>er</w:t>
      </w:r>
      <w:r w:rsidRPr="001A6FFB">
        <w:rPr>
          <w:lang w:val="fr-FR"/>
        </w:rPr>
        <w:t xml:space="preserve"> une législation spécifique et complète qui comprenne une définition </w:t>
      </w:r>
      <w:r w:rsidR="00754474">
        <w:rPr>
          <w:lang w:val="fr-FR"/>
        </w:rPr>
        <w:br/>
      </w:r>
      <w:r w:rsidRPr="001A6FFB">
        <w:rPr>
          <w:lang w:val="fr-FR"/>
        </w:rPr>
        <w:t xml:space="preserve">de la discrimination raciale conforme à l’article premier de la Convention </w:t>
      </w:r>
      <w:r w:rsidR="00754474">
        <w:rPr>
          <w:lang w:val="fr-FR"/>
        </w:rPr>
        <w:br/>
      </w:r>
      <w:r w:rsidRPr="001A6FFB">
        <w:rPr>
          <w:lang w:val="fr-FR"/>
        </w:rPr>
        <w:t>et interdise toutes les formes de discrimination raciale</w:t>
      </w:r>
    </w:p>
    <w:p w:rsidR="00C57CC5" w:rsidRPr="009F6CC9" w:rsidRDefault="00C57CC5" w:rsidP="00C57CC5">
      <w:pPr>
        <w:pStyle w:val="SingleTxtG"/>
        <w:rPr>
          <w:lang w:val="fr-FR"/>
        </w:rPr>
      </w:pPr>
      <w:r w:rsidRPr="00280F94">
        <w:rPr>
          <w:lang w:val="fr-FR"/>
        </w:rPr>
        <w:t>5.</w:t>
      </w:r>
      <w:r w:rsidRPr="00280F94">
        <w:rPr>
          <w:lang w:val="fr-FR"/>
        </w:rPr>
        <w:tab/>
      </w:r>
      <w:r w:rsidRPr="009F6CC9">
        <w:rPr>
          <w:lang w:val="fr-FR"/>
        </w:rPr>
        <w:t>La Mongolie a intégré l’interdiction de la discrimination dans sa constitution de 1992</w:t>
      </w:r>
      <w:r w:rsidR="009F011D" w:rsidRPr="002A3EE0">
        <w:rPr>
          <w:rStyle w:val="Appelnotedebasdep"/>
        </w:rPr>
        <w:footnoteReference w:id="5"/>
      </w:r>
      <w:r w:rsidR="009F011D" w:rsidRPr="009F6CC9">
        <w:rPr>
          <w:lang w:val="fr-FR"/>
        </w:rPr>
        <w:t>,</w:t>
      </w:r>
      <w:r w:rsidRPr="009F6CC9">
        <w:rPr>
          <w:lang w:val="fr-FR"/>
        </w:rPr>
        <w:t xml:space="preserve"> en </w:t>
      </w:r>
      <w:r>
        <w:rPr>
          <w:lang w:val="fr-FR"/>
        </w:rPr>
        <w:t xml:space="preserve">en </w:t>
      </w:r>
      <w:r w:rsidRPr="009F6CC9">
        <w:rPr>
          <w:lang w:val="fr-FR"/>
        </w:rPr>
        <w:t>faisant un principe fondamental</w:t>
      </w:r>
      <w:r w:rsidR="009F011D">
        <w:rPr>
          <w:rStyle w:val="Appelnotedebasdep"/>
          <w:lang w:val="fr-FR"/>
        </w:rPr>
        <w:footnoteReference w:id="6"/>
      </w:r>
      <w:r w:rsidR="009F011D" w:rsidRPr="009F6CC9">
        <w:rPr>
          <w:lang w:val="fr-FR"/>
        </w:rPr>
        <w:t>.</w:t>
      </w:r>
      <w:r>
        <w:rPr>
          <w:lang w:val="fr-FR"/>
        </w:rPr>
        <w:t xml:space="preserve"> </w:t>
      </w:r>
      <w:r w:rsidRPr="00845BBD">
        <w:rPr>
          <w:lang w:val="fr-FR"/>
        </w:rPr>
        <w:t xml:space="preserve">Ce principe constitutionnel est </w:t>
      </w:r>
      <w:r>
        <w:rPr>
          <w:lang w:val="fr-FR"/>
        </w:rPr>
        <w:t>repris</w:t>
      </w:r>
      <w:r w:rsidRPr="00845BBD">
        <w:rPr>
          <w:lang w:val="fr-FR"/>
        </w:rPr>
        <w:t xml:space="preserve"> par toutes les grandes lois qui encadrent les relations sociales. Par exemple, la loi sur les tribunaux de 2012, le Code pénal de 20</w:t>
      </w:r>
      <w:r>
        <w:rPr>
          <w:lang w:val="fr-FR"/>
        </w:rPr>
        <w:t>15</w:t>
      </w:r>
      <w:r w:rsidRPr="00845BBD">
        <w:rPr>
          <w:lang w:val="fr-FR"/>
        </w:rPr>
        <w:t>, la loi sur la famille de 1999, la loi sur la procédure civile de 2002 et la loi de 1999 sur l’application de l’ordonnance relative à l’arrestation ou la détention du suspect ou de l’accusé comprennent des dispositions qui interdisent la discrimination fondée sur l’origine nationale ou ethnique, la langue, la race et la religion.</w:t>
      </w:r>
      <w:r>
        <w:rPr>
          <w:lang w:val="fr-FR"/>
        </w:rPr>
        <w:t xml:space="preserve"> En d’autres termes, la législation en vigueur constitue une réglementation complète qui vise à interdire la discrimination.</w:t>
      </w:r>
    </w:p>
    <w:p w:rsidR="00C57CC5" w:rsidRPr="00E6569D" w:rsidRDefault="00C57CC5" w:rsidP="00C57CC5">
      <w:pPr>
        <w:pStyle w:val="SingleTxtG"/>
        <w:rPr>
          <w:lang w:val="fr-FR"/>
        </w:rPr>
      </w:pPr>
      <w:r w:rsidRPr="00C74D44">
        <w:rPr>
          <w:lang w:val="fr-FR"/>
        </w:rPr>
        <w:t>6.</w:t>
      </w:r>
      <w:r w:rsidRPr="00C74D44">
        <w:rPr>
          <w:lang w:val="fr-FR"/>
        </w:rPr>
        <w:tab/>
      </w:r>
      <w:r w:rsidRPr="00950E87">
        <w:rPr>
          <w:lang w:val="fr-FR"/>
        </w:rPr>
        <w:t xml:space="preserve">Bien que le cadre juridique mis en place soit considéré comme approprié, le </w:t>
      </w:r>
      <w:r>
        <w:rPr>
          <w:lang w:val="fr-FR"/>
        </w:rPr>
        <w:t>Ministère de la justice et</w:t>
      </w:r>
      <w:r w:rsidRPr="00DB0F36">
        <w:rPr>
          <w:lang w:val="fr-FR"/>
        </w:rPr>
        <w:t xml:space="preserve"> de l’intérieur</w:t>
      </w:r>
      <w:r>
        <w:rPr>
          <w:lang w:val="fr-FR"/>
        </w:rPr>
        <w:t xml:space="preserve"> a prié </w:t>
      </w:r>
      <w:r w:rsidRPr="00E6569D">
        <w:rPr>
          <w:color w:val="000000"/>
          <w:lang w:val="fr-FR"/>
        </w:rPr>
        <w:t xml:space="preserve">l’Institut </w:t>
      </w:r>
      <w:r>
        <w:rPr>
          <w:color w:val="000000"/>
          <w:lang w:val="fr-FR"/>
        </w:rPr>
        <w:t xml:space="preserve">national des </w:t>
      </w:r>
      <w:r w:rsidRPr="00E6569D">
        <w:rPr>
          <w:color w:val="000000"/>
          <w:lang w:val="fr-FR"/>
        </w:rPr>
        <w:t>études juridiques</w:t>
      </w:r>
      <w:r>
        <w:rPr>
          <w:color w:val="000000"/>
          <w:lang w:val="fr-FR"/>
        </w:rPr>
        <w:t xml:space="preserve"> de mener une recherche pour déterminer si les autres pays disposent d’une législation antidiscrimination complète. La conclusion de l’étude devrait mettre en évidence les possibilités d’appliquer une législation complète en l’adaptant au contexte particulier de la Mongolie.</w:t>
      </w:r>
    </w:p>
    <w:p w:rsidR="00C57CC5" w:rsidRPr="002F347C" w:rsidRDefault="00C57CC5" w:rsidP="009F011D">
      <w:pPr>
        <w:pStyle w:val="H1G"/>
        <w:rPr>
          <w:lang w:val="fr-FR"/>
        </w:rPr>
      </w:pPr>
      <w:r w:rsidRPr="00950E87">
        <w:rPr>
          <w:lang w:val="fr-FR"/>
        </w:rPr>
        <w:lastRenderedPageBreak/>
        <w:tab/>
      </w:r>
      <w:r w:rsidRPr="00950E87">
        <w:rPr>
          <w:lang w:val="fr-FR"/>
        </w:rPr>
        <w:tab/>
      </w:r>
      <w:r w:rsidR="009F011D">
        <w:rPr>
          <w:lang w:val="fr-FR"/>
        </w:rPr>
        <w:t>Article 2</w:t>
      </w:r>
    </w:p>
    <w:p w:rsidR="00C57CC5" w:rsidRPr="00F85A03" w:rsidRDefault="00C57CC5" w:rsidP="009F011D">
      <w:pPr>
        <w:pStyle w:val="H23G"/>
        <w:rPr>
          <w:lang w:val="fr-FR"/>
        </w:rPr>
      </w:pPr>
      <w:r w:rsidRPr="002F347C">
        <w:rPr>
          <w:lang w:val="fr-FR"/>
        </w:rPr>
        <w:tab/>
      </w:r>
      <w:r w:rsidRPr="002F347C">
        <w:rPr>
          <w:lang w:val="fr-FR"/>
        </w:rPr>
        <w:tab/>
      </w:r>
      <w:r w:rsidRPr="00F85A03">
        <w:rPr>
          <w:lang w:val="fr-FR"/>
        </w:rPr>
        <w:t>Absence de données ventilées</w:t>
      </w:r>
      <w:r>
        <w:rPr>
          <w:lang w:val="fr-FR"/>
        </w:rPr>
        <w:t xml:space="preserve"> sur :</w:t>
      </w:r>
      <w:r w:rsidRPr="00F85A03">
        <w:rPr>
          <w:lang w:val="fr-FR"/>
        </w:rPr>
        <w:t xml:space="preserve"> a) la situation socioéconomique des minorit</w:t>
      </w:r>
      <w:r>
        <w:rPr>
          <w:lang w:val="fr-FR"/>
        </w:rPr>
        <w:t>é</w:t>
      </w:r>
      <w:r w:rsidRPr="00F85A03">
        <w:rPr>
          <w:lang w:val="fr-FR"/>
        </w:rPr>
        <w:t>s ethniques tel</w:t>
      </w:r>
      <w:r>
        <w:rPr>
          <w:lang w:val="fr-FR"/>
        </w:rPr>
        <w:t>le</w:t>
      </w:r>
      <w:r w:rsidRPr="00F85A03">
        <w:rPr>
          <w:lang w:val="fr-FR"/>
        </w:rPr>
        <w:t xml:space="preserve">s que les populations </w:t>
      </w:r>
      <w:r w:rsidRPr="000C7564">
        <w:rPr>
          <w:lang w:val="fr-FR"/>
        </w:rPr>
        <w:t>kazakhe</w:t>
      </w:r>
      <w:r w:rsidRPr="00F85A03">
        <w:rPr>
          <w:lang w:val="fr-FR"/>
        </w:rPr>
        <w:t xml:space="preserve"> et ts</w:t>
      </w:r>
      <w:r>
        <w:rPr>
          <w:lang w:val="fr-FR"/>
        </w:rPr>
        <w:t>a</w:t>
      </w:r>
      <w:r w:rsidRPr="00F85A03">
        <w:rPr>
          <w:lang w:val="fr-FR"/>
        </w:rPr>
        <w:t>atan (Dukha), et la représentation des femmes issues de ces groupes à des postes de responsabilité</w:t>
      </w:r>
      <w:r>
        <w:rPr>
          <w:lang w:val="fr-FR"/>
        </w:rPr>
        <w:t> ;</w:t>
      </w:r>
      <w:r w:rsidRPr="00F85A03">
        <w:rPr>
          <w:lang w:val="fr-FR"/>
        </w:rPr>
        <w:t xml:space="preserve"> et b) la situation socioéconomique des non-ressortissants, notamment des demandeurs d’asile, des réfugiés, </w:t>
      </w:r>
      <w:r w:rsidR="00AA2543">
        <w:rPr>
          <w:lang w:val="fr-FR"/>
        </w:rPr>
        <w:t>des migrants et des apatrides</w:t>
      </w:r>
    </w:p>
    <w:p w:rsidR="00C57CC5" w:rsidRPr="00314879" w:rsidRDefault="00C57CC5" w:rsidP="00AA2543">
      <w:pPr>
        <w:pStyle w:val="H23G"/>
        <w:rPr>
          <w:lang w:val="fr-FR"/>
        </w:rPr>
      </w:pPr>
      <w:r w:rsidRPr="00F85A03">
        <w:rPr>
          <w:lang w:val="fr-FR"/>
        </w:rPr>
        <w:tab/>
      </w:r>
      <w:r w:rsidRPr="00314879">
        <w:rPr>
          <w:lang w:val="fr-FR"/>
        </w:rPr>
        <w:t>a)</w:t>
      </w:r>
      <w:r w:rsidRPr="00314879">
        <w:rPr>
          <w:lang w:val="fr-FR"/>
        </w:rPr>
        <w:tab/>
      </w:r>
      <w:r>
        <w:rPr>
          <w:lang w:val="fr-FR"/>
        </w:rPr>
        <w:t>S</w:t>
      </w:r>
      <w:r w:rsidRPr="00314879">
        <w:rPr>
          <w:lang w:val="fr-FR"/>
        </w:rPr>
        <w:t xml:space="preserve">ituation socioéconomique </w:t>
      </w:r>
      <w:r w:rsidRPr="00F85A03">
        <w:rPr>
          <w:lang w:val="fr-FR"/>
        </w:rPr>
        <w:t>des minorit</w:t>
      </w:r>
      <w:r>
        <w:rPr>
          <w:lang w:val="fr-FR"/>
        </w:rPr>
        <w:t>é</w:t>
      </w:r>
      <w:r w:rsidRPr="00F85A03">
        <w:rPr>
          <w:lang w:val="fr-FR"/>
        </w:rPr>
        <w:t>s ethniques tel</w:t>
      </w:r>
      <w:r>
        <w:rPr>
          <w:lang w:val="fr-FR"/>
        </w:rPr>
        <w:t>le</w:t>
      </w:r>
      <w:r w:rsidRPr="00F85A03">
        <w:rPr>
          <w:lang w:val="fr-FR"/>
        </w:rPr>
        <w:t>s que</w:t>
      </w:r>
      <w:r w:rsidRPr="00314879">
        <w:rPr>
          <w:lang w:val="fr-FR"/>
        </w:rPr>
        <w:t xml:space="preserve"> les populations </w:t>
      </w:r>
      <w:r w:rsidRPr="000C7564">
        <w:rPr>
          <w:lang w:val="fr-FR"/>
        </w:rPr>
        <w:t>kazakhe</w:t>
      </w:r>
      <w:r>
        <w:rPr>
          <w:lang w:val="fr-FR"/>
        </w:rPr>
        <w:t xml:space="preserve"> et tsaatan (Dukha), et</w:t>
      </w:r>
      <w:r w:rsidRPr="00314879">
        <w:rPr>
          <w:lang w:val="fr-FR"/>
        </w:rPr>
        <w:t xml:space="preserve"> représentation des femmes issues de ces groupes à des postes </w:t>
      </w:r>
      <w:r w:rsidR="00AA2543">
        <w:rPr>
          <w:lang w:val="fr-FR"/>
        </w:rPr>
        <w:br/>
      </w:r>
      <w:r w:rsidRPr="00314879">
        <w:rPr>
          <w:lang w:val="fr-FR"/>
        </w:rPr>
        <w:t>de responsabilité</w:t>
      </w:r>
    </w:p>
    <w:p w:rsidR="00C57CC5" w:rsidRPr="00922B89" w:rsidRDefault="00C57CC5" w:rsidP="00C57CC5">
      <w:pPr>
        <w:pStyle w:val="SingleTxtG"/>
        <w:rPr>
          <w:lang w:val="fr-FR"/>
        </w:rPr>
      </w:pPr>
      <w:r w:rsidRPr="00B61BC2">
        <w:rPr>
          <w:lang w:val="fr-FR"/>
        </w:rPr>
        <w:t>7.</w:t>
      </w:r>
      <w:r w:rsidRPr="00922B89">
        <w:rPr>
          <w:lang w:val="fr-FR"/>
        </w:rPr>
        <w:tab/>
        <w:t xml:space="preserve">Conformément </w:t>
      </w:r>
      <w:r>
        <w:rPr>
          <w:lang w:val="fr-FR"/>
        </w:rPr>
        <w:t xml:space="preserve">au </w:t>
      </w:r>
      <w:r w:rsidRPr="009C2A34">
        <w:rPr>
          <w:lang w:val="fr-FR"/>
        </w:rPr>
        <w:t>paragraphe 1 de l’article 8</w:t>
      </w:r>
      <w:r w:rsidRPr="00922B89">
        <w:rPr>
          <w:lang w:val="fr-FR"/>
        </w:rPr>
        <w:t xml:space="preserve"> de la loi relative au recensement de la population et des logements</w:t>
      </w:r>
      <w:r w:rsidR="009F011D" w:rsidRPr="00922B89">
        <w:rPr>
          <w:rStyle w:val="Appelnotedebasdep"/>
          <w:lang w:val="fr-FR"/>
        </w:rPr>
        <w:footnoteReference w:id="7"/>
      </w:r>
      <w:r w:rsidR="009F011D" w:rsidRPr="00922B89">
        <w:rPr>
          <w:lang w:val="fr-FR"/>
        </w:rPr>
        <w:t>,</w:t>
      </w:r>
      <w:r w:rsidRPr="00922B89">
        <w:rPr>
          <w:lang w:val="fr-FR"/>
        </w:rPr>
        <w:t xml:space="preserve"> la Mongolie effectue un recensement national tous les </w:t>
      </w:r>
      <w:r w:rsidR="00C73A2F">
        <w:rPr>
          <w:lang w:val="fr-FR"/>
        </w:rPr>
        <w:t>dix</w:t>
      </w:r>
      <w:r w:rsidRPr="00922B89">
        <w:rPr>
          <w:lang w:val="fr-FR"/>
        </w:rPr>
        <w:t xml:space="preserve"> ans. De plus, en vertu de </w:t>
      </w:r>
      <w:r>
        <w:rPr>
          <w:lang w:val="fr-FR"/>
        </w:rPr>
        <w:t xml:space="preserve">l’alinéa 2 du paragraphe 1 de </w:t>
      </w:r>
      <w:r w:rsidRPr="00922B89">
        <w:rPr>
          <w:lang w:val="fr-FR"/>
        </w:rPr>
        <w:t xml:space="preserve">l’article </w:t>
      </w:r>
      <w:r w:rsidRPr="00222329">
        <w:rPr>
          <w:lang w:val="fr-FR"/>
        </w:rPr>
        <w:t>7</w:t>
      </w:r>
      <w:r>
        <w:rPr>
          <w:lang w:val="fr-FR"/>
        </w:rPr>
        <w:t xml:space="preserve"> </w:t>
      </w:r>
      <w:r w:rsidRPr="00922B89">
        <w:rPr>
          <w:lang w:val="fr-FR"/>
        </w:rPr>
        <w:t xml:space="preserve">de cette loi, la Mongolie réalise une enquête intercensitaire tous les </w:t>
      </w:r>
      <w:r>
        <w:rPr>
          <w:lang w:val="fr-FR"/>
        </w:rPr>
        <w:t>cinq</w:t>
      </w:r>
      <w:r w:rsidRPr="00922B89">
        <w:rPr>
          <w:lang w:val="fr-FR"/>
        </w:rPr>
        <w:t xml:space="preserve"> ans, entre les recensements décennaux. Les informations figurant dans la présente partie se fondent sur les données issues de l’enquête intercensitaire de 2015.</w:t>
      </w:r>
      <w:r>
        <w:rPr>
          <w:lang w:val="fr-FR"/>
        </w:rPr>
        <w:t xml:space="preserve"> </w:t>
      </w:r>
    </w:p>
    <w:p w:rsidR="00C57CC5" w:rsidRPr="00922B89" w:rsidRDefault="00C57CC5" w:rsidP="00C57CC5">
      <w:pPr>
        <w:pStyle w:val="SingleTxtG"/>
        <w:rPr>
          <w:lang w:val="fr-FR"/>
        </w:rPr>
      </w:pPr>
      <w:r w:rsidRPr="00922B89">
        <w:rPr>
          <w:lang w:val="fr-FR"/>
        </w:rPr>
        <w:t>8.</w:t>
      </w:r>
      <w:r w:rsidRPr="00922B89">
        <w:rPr>
          <w:lang w:val="fr-FR"/>
        </w:rPr>
        <w:tab/>
        <w:t xml:space="preserve">En 2017, la Mongolie comptait </w:t>
      </w:r>
      <w:r w:rsidRPr="004D7CF9">
        <w:rPr>
          <w:lang w:val="fr-FR"/>
        </w:rPr>
        <w:t>3</w:t>
      </w:r>
      <w:r w:rsidR="00AA2543">
        <w:rPr>
          <w:lang w:val="fr-FR"/>
        </w:rPr>
        <w:t> </w:t>
      </w:r>
      <w:r w:rsidRPr="004D7CF9">
        <w:rPr>
          <w:lang w:val="fr-FR"/>
        </w:rPr>
        <w:t>178</w:t>
      </w:r>
      <w:r w:rsidR="00AA2543">
        <w:rPr>
          <w:lang w:val="fr-FR"/>
        </w:rPr>
        <w:t> </w:t>
      </w:r>
      <w:r w:rsidRPr="004D7CF9">
        <w:rPr>
          <w:lang w:val="fr-FR"/>
        </w:rPr>
        <w:t>000</w:t>
      </w:r>
      <w:r w:rsidRPr="00922B89">
        <w:rPr>
          <w:lang w:val="fr-FR"/>
        </w:rPr>
        <w:t xml:space="preserve"> habitants, dont 49,2</w:t>
      </w:r>
      <w:r w:rsidR="007E4DA3">
        <w:rPr>
          <w:lang w:val="fr-FR"/>
        </w:rPr>
        <w:t> </w:t>
      </w:r>
      <w:r w:rsidRPr="00922B89">
        <w:rPr>
          <w:lang w:val="fr-FR"/>
        </w:rPr>
        <w:t>% d’hommes et 50,8</w:t>
      </w:r>
      <w:r w:rsidR="007E4DA3">
        <w:rPr>
          <w:lang w:val="fr-FR"/>
        </w:rPr>
        <w:t> </w:t>
      </w:r>
      <w:r w:rsidRPr="00922B89">
        <w:rPr>
          <w:lang w:val="fr-FR"/>
        </w:rPr>
        <w:t>% de femmes, soit un</w:t>
      </w:r>
      <w:r w:rsidR="007E4DA3">
        <w:rPr>
          <w:lang w:val="fr-FR"/>
        </w:rPr>
        <w:t xml:space="preserve"> rapport de masculinité de 96,7 </w:t>
      </w:r>
      <w:r w:rsidRPr="00922B89">
        <w:rPr>
          <w:lang w:val="fr-FR"/>
        </w:rPr>
        <w:t>%. La population totale comprend 30,4</w:t>
      </w:r>
      <w:r w:rsidR="007E4DA3">
        <w:rPr>
          <w:lang w:val="fr-FR"/>
        </w:rPr>
        <w:t> % de personnes âgées de 0 à 14 </w:t>
      </w:r>
      <w:r w:rsidRPr="00922B89">
        <w:rPr>
          <w:lang w:val="fr-FR"/>
        </w:rPr>
        <w:t>ans,</w:t>
      </w:r>
      <w:r w:rsidR="007E4DA3">
        <w:rPr>
          <w:lang w:val="fr-FR"/>
        </w:rPr>
        <w:t xml:space="preserve"> 65,7 </w:t>
      </w:r>
      <w:r w:rsidRPr="00922B89">
        <w:rPr>
          <w:lang w:val="fr-FR"/>
        </w:rPr>
        <w:t>% de personnes âgées de 15 à 64</w:t>
      </w:r>
      <w:r w:rsidR="007E4DA3">
        <w:rPr>
          <w:lang w:val="fr-FR"/>
        </w:rPr>
        <w:t> </w:t>
      </w:r>
      <w:r w:rsidRPr="00922B89">
        <w:rPr>
          <w:lang w:val="fr-FR"/>
        </w:rPr>
        <w:t>ans et 3,9</w:t>
      </w:r>
      <w:r w:rsidR="007E4DA3">
        <w:rPr>
          <w:lang w:val="fr-FR"/>
        </w:rPr>
        <w:t> </w:t>
      </w:r>
      <w:r w:rsidRPr="00922B89">
        <w:rPr>
          <w:lang w:val="fr-FR"/>
        </w:rPr>
        <w:t xml:space="preserve">% de personnes âgées </w:t>
      </w:r>
      <w:r w:rsidR="007E4DA3">
        <w:rPr>
          <w:lang w:val="fr-FR"/>
        </w:rPr>
        <w:t>de 65 </w:t>
      </w:r>
      <w:r w:rsidRPr="009C1B59">
        <w:rPr>
          <w:lang w:val="fr-FR"/>
        </w:rPr>
        <w:t>ans</w:t>
      </w:r>
      <w:r w:rsidRPr="009C3D1B">
        <w:rPr>
          <w:lang w:val="fr-FR"/>
        </w:rPr>
        <w:t xml:space="preserve"> </w:t>
      </w:r>
      <w:r>
        <w:rPr>
          <w:lang w:val="fr-FR"/>
        </w:rPr>
        <w:t>ou plus</w:t>
      </w:r>
      <w:r w:rsidRPr="00922B89">
        <w:rPr>
          <w:lang w:val="fr-FR"/>
        </w:rPr>
        <w:t xml:space="preserve">. </w:t>
      </w:r>
      <w:r>
        <w:rPr>
          <w:lang w:val="fr-FR"/>
        </w:rPr>
        <w:t>Fin 2017, l</w:t>
      </w:r>
      <w:r w:rsidRPr="00922B89">
        <w:rPr>
          <w:lang w:val="fr-FR"/>
        </w:rPr>
        <w:t>’espérance de vie moyen</w:t>
      </w:r>
      <w:r>
        <w:rPr>
          <w:lang w:val="fr-FR"/>
        </w:rPr>
        <w:t>ne</w:t>
      </w:r>
      <w:r w:rsidRPr="00922B89">
        <w:rPr>
          <w:lang w:val="fr-FR"/>
        </w:rPr>
        <w:t xml:space="preserve"> était de 69,9</w:t>
      </w:r>
      <w:r w:rsidR="007E4DA3">
        <w:rPr>
          <w:lang w:val="fr-FR"/>
        </w:rPr>
        <w:t> </w:t>
      </w:r>
      <w:r w:rsidR="00B32703">
        <w:rPr>
          <w:lang w:val="fr-FR"/>
        </w:rPr>
        <w:t>ans (65,9 </w:t>
      </w:r>
      <w:r w:rsidRPr="00922B89">
        <w:rPr>
          <w:lang w:val="fr-FR"/>
        </w:rPr>
        <w:t>ans pour les hommes et 75,4</w:t>
      </w:r>
      <w:r w:rsidR="00B32703">
        <w:rPr>
          <w:lang w:val="fr-FR"/>
        </w:rPr>
        <w:t> </w:t>
      </w:r>
      <w:r w:rsidRPr="00922B89">
        <w:rPr>
          <w:lang w:val="fr-FR"/>
        </w:rPr>
        <w:t>ans pour les femmes). L’espérance de vie</w:t>
      </w:r>
      <w:r>
        <w:rPr>
          <w:lang w:val="fr-FR"/>
        </w:rPr>
        <w:t xml:space="preserve"> moyenne</w:t>
      </w:r>
      <w:r w:rsidRPr="00922B89">
        <w:rPr>
          <w:lang w:val="fr-FR"/>
        </w:rPr>
        <w:t xml:space="preserve"> a augmenté de 3,4</w:t>
      </w:r>
      <w:r w:rsidR="00B32703">
        <w:rPr>
          <w:lang w:val="fr-FR"/>
        </w:rPr>
        <w:t> </w:t>
      </w:r>
      <w:r w:rsidRPr="00922B89">
        <w:rPr>
          <w:lang w:val="fr-FR"/>
        </w:rPr>
        <w:t>ans par rapport à 2007</w:t>
      </w:r>
      <w:r>
        <w:rPr>
          <w:lang w:val="fr-FR"/>
        </w:rPr>
        <w:t>,</w:t>
      </w:r>
      <w:r w:rsidRPr="00922B89">
        <w:rPr>
          <w:lang w:val="fr-FR"/>
        </w:rPr>
        <w:t xml:space="preserve"> et de 1,2</w:t>
      </w:r>
      <w:r w:rsidR="00B32703">
        <w:rPr>
          <w:lang w:val="fr-FR"/>
        </w:rPr>
        <w:t> </w:t>
      </w:r>
      <w:r w:rsidRPr="00922B89">
        <w:rPr>
          <w:lang w:val="fr-FR"/>
        </w:rPr>
        <w:t>an par rapport à 2012.</w:t>
      </w:r>
      <w:r>
        <w:rPr>
          <w:lang w:val="fr-FR"/>
        </w:rPr>
        <w:t xml:space="preserve"> </w:t>
      </w:r>
    </w:p>
    <w:p w:rsidR="00C57CC5" w:rsidRPr="00922B89" w:rsidRDefault="00C57CC5" w:rsidP="00C57CC5">
      <w:pPr>
        <w:pStyle w:val="SingleTxtG"/>
        <w:rPr>
          <w:lang w:val="fr-FR"/>
        </w:rPr>
      </w:pPr>
      <w:r w:rsidRPr="00922B89">
        <w:rPr>
          <w:lang w:val="fr-FR"/>
        </w:rPr>
        <w:t>9.</w:t>
      </w:r>
      <w:r w:rsidRPr="00922B89">
        <w:rPr>
          <w:lang w:val="fr-FR"/>
        </w:rPr>
        <w:tab/>
        <w:t>Les Kazakhs représentent 3,9</w:t>
      </w:r>
      <w:r w:rsidR="00B32703">
        <w:rPr>
          <w:lang w:val="fr-FR"/>
        </w:rPr>
        <w:t> </w:t>
      </w:r>
      <w:r w:rsidRPr="00922B89">
        <w:rPr>
          <w:lang w:val="fr-FR"/>
        </w:rPr>
        <w:t>% de la population totale de la Mongolie, les Tuvas (Turegs), 0,1</w:t>
      </w:r>
      <w:r w:rsidR="00B32703">
        <w:rPr>
          <w:lang w:val="fr-FR"/>
        </w:rPr>
        <w:t> </w:t>
      </w:r>
      <w:r w:rsidRPr="00922B89">
        <w:rPr>
          <w:lang w:val="fr-FR"/>
        </w:rPr>
        <w:t>% et les Tsaatans, 0,02</w:t>
      </w:r>
      <w:r w:rsidR="00B32703">
        <w:rPr>
          <w:lang w:val="fr-FR"/>
        </w:rPr>
        <w:t> </w:t>
      </w:r>
      <w:r w:rsidRPr="00922B89">
        <w:rPr>
          <w:lang w:val="fr-FR"/>
        </w:rPr>
        <w:t>%, ces groupes étant considérés comme des minorités ethniques. D’après les données de 2015, 28 groupes ethniques di</w:t>
      </w:r>
      <w:r>
        <w:rPr>
          <w:lang w:val="fr-FR"/>
        </w:rPr>
        <w:t>stinc</w:t>
      </w:r>
      <w:r w:rsidRPr="00922B89">
        <w:rPr>
          <w:lang w:val="fr-FR"/>
        </w:rPr>
        <w:t>ts résidaient dans la seule province de Bayan-Ulgii, dont la population était composée à 89,8</w:t>
      </w:r>
      <w:r w:rsidR="00B32703">
        <w:rPr>
          <w:lang w:val="fr-FR"/>
        </w:rPr>
        <w:t> </w:t>
      </w:r>
      <w:r>
        <w:rPr>
          <w:lang w:val="fr-FR"/>
        </w:rPr>
        <w:t>% de Kazakhs</w:t>
      </w:r>
      <w:r w:rsidRPr="00922B89">
        <w:rPr>
          <w:lang w:val="fr-FR"/>
        </w:rPr>
        <w:t xml:space="preserve"> </w:t>
      </w:r>
      <w:r>
        <w:rPr>
          <w:lang w:val="fr-FR"/>
        </w:rPr>
        <w:t xml:space="preserve">et à </w:t>
      </w:r>
      <w:r w:rsidR="00B32703">
        <w:rPr>
          <w:lang w:val="fr-FR"/>
        </w:rPr>
        <w:t>5,7 </w:t>
      </w:r>
      <w:r w:rsidRPr="00922B89">
        <w:rPr>
          <w:lang w:val="fr-FR"/>
        </w:rPr>
        <w:t xml:space="preserve">% d’Uriankhais et, pour le reste, de Tuvas, de Khalkhas, de Durveds, de </w:t>
      </w:r>
      <w:r w:rsidRPr="00E27BC5">
        <w:rPr>
          <w:color w:val="000000"/>
          <w:lang w:val="fr-FR"/>
        </w:rPr>
        <w:t>Buryats</w:t>
      </w:r>
      <w:r w:rsidRPr="00922B89">
        <w:rPr>
          <w:lang w:val="fr-FR"/>
        </w:rPr>
        <w:t xml:space="preserve">, de Bayads, d’Uulds, de Zakhchins, </w:t>
      </w:r>
      <w:r w:rsidR="0091369C" w:rsidRPr="00922B89">
        <w:rPr>
          <w:lang w:val="fr-FR"/>
        </w:rPr>
        <w:t>etc.</w:t>
      </w:r>
      <w:r w:rsidR="009F011D" w:rsidRPr="00922B89">
        <w:rPr>
          <w:rStyle w:val="Appelnotedebasdep"/>
          <w:lang w:val="fr-FR"/>
        </w:rPr>
        <w:footnoteReference w:id="8"/>
      </w:r>
      <w:r w:rsidR="009F011D" w:rsidRPr="00922B89">
        <w:rPr>
          <w:lang w:val="fr-FR"/>
        </w:rPr>
        <w:t>.</w:t>
      </w:r>
      <w:r w:rsidRPr="00922B89">
        <w:rPr>
          <w:lang w:val="fr-FR"/>
        </w:rPr>
        <w:t xml:space="preserve"> En 2015, sur une population totale de 9</w:t>
      </w:r>
      <w:r w:rsidR="00B32703">
        <w:rPr>
          <w:lang w:val="fr-FR"/>
        </w:rPr>
        <w:t> </w:t>
      </w:r>
      <w:r w:rsidRPr="00922B89">
        <w:rPr>
          <w:lang w:val="fr-FR"/>
        </w:rPr>
        <w:t>155</w:t>
      </w:r>
      <w:r w:rsidR="00B32703">
        <w:rPr>
          <w:lang w:val="fr-FR"/>
        </w:rPr>
        <w:t> </w:t>
      </w:r>
      <w:r w:rsidRPr="00922B89">
        <w:rPr>
          <w:lang w:val="fr-FR"/>
        </w:rPr>
        <w:t xml:space="preserve">personnes, le </w:t>
      </w:r>
      <w:r w:rsidRPr="00922B89">
        <w:rPr>
          <w:i/>
          <w:lang w:val="fr-FR"/>
        </w:rPr>
        <w:t>soum</w:t>
      </w:r>
      <w:r>
        <w:rPr>
          <w:lang w:val="fr-FR"/>
        </w:rPr>
        <w:t xml:space="preserve"> de Tsengel</w:t>
      </w:r>
      <w:r w:rsidRPr="00922B89">
        <w:rPr>
          <w:lang w:val="fr-FR"/>
        </w:rPr>
        <w:t xml:space="preserve"> </w:t>
      </w:r>
      <w:r>
        <w:rPr>
          <w:lang w:val="fr-FR"/>
        </w:rPr>
        <w:t>(</w:t>
      </w:r>
      <w:r w:rsidRPr="001F7055">
        <w:rPr>
          <w:lang w:val="fr-FR"/>
        </w:rPr>
        <w:t>province</w:t>
      </w:r>
      <w:r>
        <w:rPr>
          <w:lang w:val="fr-FR"/>
        </w:rPr>
        <w:t xml:space="preserve"> de </w:t>
      </w:r>
      <w:r w:rsidRPr="001F7055">
        <w:rPr>
          <w:lang w:val="fr-FR"/>
        </w:rPr>
        <w:t>Bayan-Ulgii</w:t>
      </w:r>
      <w:r>
        <w:rPr>
          <w:lang w:val="fr-FR"/>
        </w:rPr>
        <w:t>)</w:t>
      </w:r>
      <w:r w:rsidRPr="00922B89">
        <w:rPr>
          <w:lang w:val="fr-FR"/>
        </w:rPr>
        <w:t>, comptait 83,1</w:t>
      </w:r>
      <w:r w:rsidR="00B32703">
        <w:rPr>
          <w:lang w:val="fr-FR"/>
        </w:rPr>
        <w:t> </w:t>
      </w:r>
      <w:r w:rsidRPr="00922B89">
        <w:rPr>
          <w:lang w:val="fr-FR"/>
        </w:rPr>
        <w:t>% de Kazakhs et 14,1</w:t>
      </w:r>
      <w:r w:rsidR="00B32703">
        <w:rPr>
          <w:lang w:val="fr-FR"/>
        </w:rPr>
        <w:t> </w:t>
      </w:r>
      <w:r w:rsidRPr="00922B89">
        <w:rPr>
          <w:lang w:val="fr-FR"/>
        </w:rPr>
        <w:t>% de Tuvas (1</w:t>
      </w:r>
      <w:r w:rsidR="00B32703">
        <w:rPr>
          <w:lang w:val="fr-FR"/>
        </w:rPr>
        <w:t> </w:t>
      </w:r>
      <w:r w:rsidRPr="00922B89">
        <w:rPr>
          <w:lang w:val="fr-FR"/>
        </w:rPr>
        <w:t>300 personnes).</w:t>
      </w:r>
    </w:p>
    <w:p w:rsidR="00C57CC5" w:rsidRDefault="00C57CC5" w:rsidP="00C57CC5">
      <w:pPr>
        <w:pStyle w:val="SingleTxtG"/>
        <w:rPr>
          <w:lang w:val="fr-FR"/>
        </w:rPr>
      </w:pPr>
      <w:r w:rsidRPr="00922B89">
        <w:rPr>
          <w:lang w:val="fr-FR"/>
        </w:rPr>
        <w:t>10.</w:t>
      </w:r>
      <w:r w:rsidRPr="00922B89">
        <w:rPr>
          <w:lang w:val="fr-FR"/>
        </w:rPr>
        <w:tab/>
        <w:t xml:space="preserve">La Mongolie compte 119 000 Kazakhs dont la majorité vivent dans les provinces de Bayan-Ulgii et de Hovd </w:t>
      </w:r>
      <w:r>
        <w:rPr>
          <w:lang w:val="fr-FR"/>
        </w:rPr>
        <w:t>ainsi qu’</w:t>
      </w:r>
      <w:r w:rsidRPr="00922B89">
        <w:rPr>
          <w:lang w:val="fr-FR"/>
        </w:rPr>
        <w:t xml:space="preserve">à Oulan-Bator. La population </w:t>
      </w:r>
      <w:r w:rsidRPr="00B57E5A">
        <w:rPr>
          <w:lang w:val="fr-FR"/>
        </w:rPr>
        <w:t>des</w:t>
      </w:r>
      <w:r w:rsidRPr="00922B89">
        <w:rPr>
          <w:lang w:val="fr-FR"/>
        </w:rPr>
        <w:t xml:space="preserve"> Kazakhs comprend 34,5</w:t>
      </w:r>
      <w:r w:rsidR="00B32703">
        <w:rPr>
          <w:lang w:val="fr-FR"/>
        </w:rPr>
        <w:t> </w:t>
      </w:r>
      <w:r w:rsidRPr="00922B89">
        <w:rPr>
          <w:lang w:val="fr-FR"/>
        </w:rPr>
        <w:t>% de personnes âgées d</w:t>
      </w:r>
      <w:r>
        <w:rPr>
          <w:lang w:val="fr-FR"/>
        </w:rPr>
        <w:t>e</w:t>
      </w:r>
      <w:r w:rsidR="00B32703">
        <w:rPr>
          <w:lang w:val="fr-FR"/>
        </w:rPr>
        <w:t xml:space="preserve"> 0 à 14 </w:t>
      </w:r>
      <w:r w:rsidRPr="00922B89">
        <w:rPr>
          <w:lang w:val="fr-FR"/>
        </w:rPr>
        <w:t>ans, 62,3</w:t>
      </w:r>
      <w:r w:rsidR="00B32703">
        <w:rPr>
          <w:lang w:val="fr-FR"/>
        </w:rPr>
        <w:t> % de personnes âgées de 15 à 64 </w:t>
      </w:r>
      <w:r w:rsidRPr="00922B89">
        <w:rPr>
          <w:lang w:val="fr-FR"/>
        </w:rPr>
        <w:t>ans et 3,2</w:t>
      </w:r>
      <w:r w:rsidR="00B32703">
        <w:rPr>
          <w:lang w:val="fr-FR"/>
        </w:rPr>
        <w:t> </w:t>
      </w:r>
      <w:r w:rsidRPr="00922B89">
        <w:rPr>
          <w:lang w:val="fr-FR"/>
        </w:rPr>
        <w:t>% de personnes âgées de 65</w:t>
      </w:r>
      <w:r w:rsidR="00B32703">
        <w:rPr>
          <w:lang w:val="fr-FR"/>
        </w:rPr>
        <w:t> </w:t>
      </w:r>
      <w:r w:rsidRPr="00922B89">
        <w:rPr>
          <w:lang w:val="fr-FR"/>
        </w:rPr>
        <w:t xml:space="preserve">ans </w:t>
      </w:r>
      <w:r>
        <w:rPr>
          <w:lang w:val="fr-FR"/>
        </w:rPr>
        <w:t xml:space="preserve">ou </w:t>
      </w:r>
      <w:r w:rsidRPr="00922B89">
        <w:rPr>
          <w:lang w:val="fr-FR"/>
        </w:rPr>
        <w:t>plus. Par statut marital, les Kazakhs âgés de 15</w:t>
      </w:r>
      <w:r w:rsidR="00B32703">
        <w:rPr>
          <w:lang w:val="fr-FR"/>
        </w:rPr>
        <w:t> </w:t>
      </w:r>
      <w:r w:rsidRPr="00922B89">
        <w:rPr>
          <w:lang w:val="fr-FR"/>
        </w:rPr>
        <w:t xml:space="preserve">ans </w:t>
      </w:r>
      <w:r>
        <w:rPr>
          <w:lang w:val="fr-FR"/>
        </w:rPr>
        <w:t>ou</w:t>
      </w:r>
      <w:r w:rsidRPr="00922B89">
        <w:rPr>
          <w:lang w:val="fr-FR"/>
        </w:rPr>
        <w:t xml:space="preserve"> plus se répartissent comme suit : 34,6</w:t>
      </w:r>
      <w:r w:rsidR="00B32703">
        <w:rPr>
          <w:lang w:val="fr-FR"/>
        </w:rPr>
        <w:t> </w:t>
      </w:r>
      <w:r w:rsidRPr="00922B89">
        <w:rPr>
          <w:lang w:val="fr-FR"/>
        </w:rPr>
        <w:t xml:space="preserve">% </w:t>
      </w:r>
      <w:r>
        <w:rPr>
          <w:lang w:val="fr-FR"/>
        </w:rPr>
        <w:t>sont célibataires</w:t>
      </w:r>
      <w:r w:rsidRPr="00922B89">
        <w:rPr>
          <w:lang w:val="fr-FR"/>
        </w:rPr>
        <w:t>, 60,6</w:t>
      </w:r>
      <w:r w:rsidR="00B32703">
        <w:rPr>
          <w:lang w:val="fr-FR"/>
        </w:rPr>
        <w:t> </w:t>
      </w:r>
      <w:r w:rsidRPr="00922B89">
        <w:rPr>
          <w:lang w:val="fr-FR"/>
        </w:rPr>
        <w:t>% sont mariés et 4,8</w:t>
      </w:r>
      <w:r w:rsidR="00B32703">
        <w:rPr>
          <w:lang w:val="fr-FR"/>
        </w:rPr>
        <w:t> </w:t>
      </w:r>
      <w:r w:rsidRPr="00922B89">
        <w:rPr>
          <w:lang w:val="fr-FR"/>
        </w:rPr>
        <w:t xml:space="preserve">% sont veufs, divorcés ou séparés. </w:t>
      </w:r>
      <w:r>
        <w:rPr>
          <w:lang w:val="fr-FR"/>
        </w:rPr>
        <w:t>Selon l</w:t>
      </w:r>
      <w:r w:rsidRPr="00922B89">
        <w:rPr>
          <w:lang w:val="fr-FR"/>
        </w:rPr>
        <w:t xml:space="preserve">es données </w:t>
      </w:r>
      <w:r>
        <w:rPr>
          <w:lang w:val="fr-FR"/>
        </w:rPr>
        <w:t xml:space="preserve">disponibles, on compte </w:t>
      </w:r>
      <w:r w:rsidRPr="00922B89">
        <w:rPr>
          <w:lang w:val="fr-FR"/>
        </w:rPr>
        <w:t>2,9</w:t>
      </w:r>
      <w:r w:rsidR="00B32703">
        <w:rPr>
          <w:lang w:val="fr-FR"/>
        </w:rPr>
        <w:t> </w:t>
      </w:r>
      <w:r w:rsidRPr="00922B89">
        <w:rPr>
          <w:lang w:val="fr-FR"/>
        </w:rPr>
        <w:t>%</w:t>
      </w:r>
      <w:r>
        <w:rPr>
          <w:lang w:val="fr-FR"/>
        </w:rPr>
        <w:t xml:space="preserve"> de personnes handicapées parmi les Kazakhs.</w:t>
      </w:r>
    </w:p>
    <w:p w:rsidR="00C57CC5" w:rsidRPr="0075010B" w:rsidRDefault="00C57CC5" w:rsidP="00C57CC5">
      <w:pPr>
        <w:pStyle w:val="SingleTxtG"/>
        <w:rPr>
          <w:lang w:val="fr-FR"/>
        </w:rPr>
      </w:pPr>
      <w:r w:rsidRPr="00823E23">
        <w:rPr>
          <w:lang w:val="fr-FR"/>
        </w:rPr>
        <w:t>11.</w:t>
      </w:r>
      <w:r w:rsidRPr="00823E23">
        <w:rPr>
          <w:lang w:val="fr-FR"/>
        </w:rPr>
        <w:tab/>
      </w:r>
      <w:r w:rsidRPr="0075010B">
        <w:rPr>
          <w:lang w:val="fr-FR"/>
        </w:rPr>
        <w:t xml:space="preserve">S’agissant du niveau d’instruction des </w:t>
      </w:r>
      <w:r>
        <w:rPr>
          <w:lang w:val="fr-FR"/>
        </w:rPr>
        <w:t>Kazakhs âgés de 6 ans ou plus, 77,4</w:t>
      </w:r>
      <w:r w:rsidR="00B32703">
        <w:rPr>
          <w:lang w:val="fr-FR"/>
        </w:rPr>
        <w:t> %</w:t>
      </w:r>
      <w:r>
        <w:rPr>
          <w:lang w:val="fr-FR"/>
        </w:rPr>
        <w:t xml:space="preserve"> ont reçu une instruction. 11,6</w:t>
      </w:r>
      <w:r w:rsidR="00B32703">
        <w:rPr>
          <w:lang w:val="fr-FR"/>
        </w:rPr>
        <w:t> %</w:t>
      </w:r>
      <w:r>
        <w:rPr>
          <w:lang w:val="fr-FR"/>
        </w:rPr>
        <w:t xml:space="preserve"> d’entre eux ont suivi des études supérieures, 3,9</w:t>
      </w:r>
      <w:r w:rsidR="00B32703">
        <w:rPr>
          <w:lang w:val="fr-FR"/>
        </w:rPr>
        <w:t> %</w:t>
      </w:r>
      <w:r>
        <w:rPr>
          <w:lang w:val="fr-FR"/>
        </w:rPr>
        <w:t xml:space="preserve"> ont reçu un enseignement spécialisé et 3,8</w:t>
      </w:r>
      <w:r w:rsidR="00B32703">
        <w:rPr>
          <w:lang w:val="fr-FR"/>
        </w:rPr>
        <w:t> %</w:t>
      </w:r>
      <w:r>
        <w:rPr>
          <w:lang w:val="fr-FR"/>
        </w:rPr>
        <w:t xml:space="preserve"> une éducation technique et professionnelle, 21,5</w:t>
      </w:r>
      <w:r w:rsidR="00B32703">
        <w:rPr>
          <w:lang w:val="fr-FR"/>
        </w:rPr>
        <w:t> %</w:t>
      </w:r>
      <w:r>
        <w:rPr>
          <w:lang w:val="fr-FR"/>
        </w:rPr>
        <w:t xml:space="preserve"> ont achevé le deuxième cycle du secondaire, 19,3</w:t>
      </w:r>
      <w:r w:rsidR="00B32703">
        <w:rPr>
          <w:lang w:val="fr-FR"/>
        </w:rPr>
        <w:t> %</w:t>
      </w:r>
      <w:r>
        <w:rPr>
          <w:lang w:val="fr-FR"/>
        </w:rPr>
        <w:t xml:space="preserve"> ont suivi des études secondaires générales et 17,3</w:t>
      </w:r>
      <w:r w:rsidR="00B32703">
        <w:rPr>
          <w:lang w:val="fr-FR"/>
        </w:rPr>
        <w:t> %</w:t>
      </w:r>
      <w:r>
        <w:rPr>
          <w:lang w:val="fr-FR"/>
        </w:rPr>
        <w:t xml:space="preserve"> ont achevé le cycle du primaire. </w:t>
      </w:r>
      <w:r w:rsidRPr="00AE32CB">
        <w:rPr>
          <w:lang w:val="fr-FR"/>
        </w:rPr>
        <w:t>22,6</w:t>
      </w:r>
      <w:r w:rsidR="00B32703">
        <w:rPr>
          <w:lang w:val="fr-FR"/>
        </w:rPr>
        <w:t> %</w:t>
      </w:r>
      <w:r>
        <w:rPr>
          <w:lang w:val="fr-FR"/>
        </w:rPr>
        <w:t xml:space="preserve"> des Kazakhs n’ont reçu aucune instruction.</w:t>
      </w:r>
    </w:p>
    <w:p w:rsidR="00C57CC5" w:rsidRPr="00823E23" w:rsidRDefault="00C57CC5" w:rsidP="00C57CC5">
      <w:pPr>
        <w:pStyle w:val="SingleTxtG"/>
        <w:rPr>
          <w:lang w:val="fr-FR"/>
        </w:rPr>
      </w:pPr>
      <w:r w:rsidRPr="00313612">
        <w:rPr>
          <w:lang w:val="fr-FR"/>
        </w:rPr>
        <w:t>12.</w:t>
      </w:r>
      <w:r w:rsidRPr="00313612">
        <w:rPr>
          <w:lang w:val="fr-FR"/>
        </w:rPr>
        <w:tab/>
      </w:r>
      <w:r w:rsidRPr="00823E23">
        <w:rPr>
          <w:lang w:val="fr-FR"/>
        </w:rPr>
        <w:t>En termes d’emploi, 32,5</w:t>
      </w:r>
      <w:r w:rsidR="00B32703">
        <w:rPr>
          <w:lang w:val="fr-FR"/>
        </w:rPr>
        <w:t> %</w:t>
      </w:r>
      <w:r w:rsidRPr="00823E23">
        <w:rPr>
          <w:lang w:val="fr-FR"/>
        </w:rPr>
        <w:t xml:space="preserve"> des Kazakhs </w:t>
      </w:r>
      <w:r>
        <w:rPr>
          <w:lang w:val="fr-FR"/>
        </w:rPr>
        <w:t>travaillent</w:t>
      </w:r>
      <w:r w:rsidRPr="00823E23">
        <w:rPr>
          <w:lang w:val="fr-FR"/>
        </w:rPr>
        <w:t xml:space="preserve"> et 67,5</w:t>
      </w:r>
      <w:r w:rsidR="00B32703">
        <w:rPr>
          <w:lang w:val="fr-FR"/>
        </w:rPr>
        <w:t> %</w:t>
      </w:r>
      <w:r>
        <w:rPr>
          <w:lang w:val="fr-FR"/>
        </w:rPr>
        <w:t xml:space="preserve"> </w:t>
      </w:r>
      <w:r w:rsidRPr="00823E23">
        <w:rPr>
          <w:lang w:val="fr-FR"/>
        </w:rPr>
        <w:t>sont sans emploi.</w:t>
      </w:r>
      <w:r>
        <w:rPr>
          <w:lang w:val="fr-FR"/>
        </w:rPr>
        <w:t xml:space="preserve"> Sur l’ensemble des Kazakhs</w:t>
      </w:r>
      <w:r w:rsidRPr="00AE32CB">
        <w:rPr>
          <w:lang w:val="fr-FR"/>
        </w:rPr>
        <w:t xml:space="preserve"> </w:t>
      </w:r>
      <w:r>
        <w:rPr>
          <w:lang w:val="fr-FR"/>
        </w:rPr>
        <w:t>qui travaillent, 53,8</w:t>
      </w:r>
      <w:r w:rsidR="00B32703">
        <w:rPr>
          <w:lang w:val="fr-FR"/>
        </w:rPr>
        <w:t> %</w:t>
      </w:r>
      <w:r>
        <w:rPr>
          <w:lang w:val="fr-FR"/>
        </w:rPr>
        <w:t xml:space="preserve"> sont indépendants et 35,5</w:t>
      </w:r>
      <w:r w:rsidR="00B32703">
        <w:rPr>
          <w:lang w:val="fr-FR"/>
        </w:rPr>
        <w:t> %</w:t>
      </w:r>
      <w:r>
        <w:rPr>
          <w:lang w:val="fr-FR"/>
        </w:rPr>
        <w:t xml:space="preserve"> sont salariés. 47,3</w:t>
      </w:r>
      <w:r w:rsidR="00B32703">
        <w:rPr>
          <w:lang w:val="fr-FR"/>
        </w:rPr>
        <w:t> %</w:t>
      </w:r>
      <w:r>
        <w:rPr>
          <w:lang w:val="fr-FR"/>
        </w:rPr>
        <w:t xml:space="preserve"> des personnes sans emploi suivent une formation, 12,9</w:t>
      </w:r>
      <w:r w:rsidR="00B32703">
        <w:rPr>
          <w:lang w:val="fr-FR"/>
        </w:rPr>
        <w:t> %</w:t>
      </w:r>
      <w:r>
        <w:rPr>
          <w:lang w:val="fr-FR"/>
        </w:rPr>
        <w:t xml:space="preserve"> sont à la retraite, 13,9</w:t>
      </w:r>
      <w:r w:rsidR="00B32703">
        <w:rPr>
          <w:lang w:val="fr-FR"/>
        </w:rPr>
        <w:t> %</w:t>
      </w:r>
      <w:r>
        <w:rPr>
          <w:lang w:val="fr-FR"/>
        </w:rPr>
        <w:t xml:space="preserve"> cherchent du travail et 9,2</w:t>
      </w:r>
      <w:r w:rsidR="00B32703">
        <w:rPr>
          <w:lang w:val="fr-FR"/>
        </w:rPr>
        <w:t> %</w:t>
      </w:r>
      <w:r>
        <w:rPr>
          <w:lang w:val="fr-FR"/>
        </w:rPr>
        <w:t xml:space="preserve"> ne peuvent pas trouver d’emploi adapté.</w:t>
      </w:r>
    </w:p>
    <w:p w:rsidR="00C57CC5" w:rsidRPr="00983CF9" w:rsidRDefault="00C57CC5" w:rsidP="00C57CC5">
      <w:pPr>
        <w:pStyle w:val="SingleTxtG"/>
        <w:rPr>
          <w:lang w:val="fr-FR"/>
        </w:rPr>
      </w:pPr>
      <w:r w:rsidRPr="00F96449">
        <w:rPr>
          <w:lang w:val="fr-FR"/>
        </w:rPr>
        <w:t>13.</w:t>
      </w:r>
      <w:r w:rsidRPr="00F96449">
        <w:rPr>
          <w:lang w:val="fr-FR"/>
        </w:rPr>
        <w:tab/>
      </w:r>
      <w:r>
        <w:rPr>
          <w:lang w:val="fr-FR"/>
        </w:rPr>
        <w:t>E</w:t>
      </w:r>
      <w:r w:rsidRPr="00F96449">
        <w:rPr>
          <w:lang w:val="fr-FR"/>
        </w:rPr>
        <w:t>n 2015</w:t>
      </w:r>
      <w:r>
        <w:rPr>
          <w:lang w:val="fr-FR"/>
        </w:rPr>
        <w:t>,</w:t>
      </w:r>
      <w:r w:rsidRPr="00F96449">
        <w:rPr>
          <w:lang w:val="fr-FR"/>
        </w:rPr>
        <w:t xml:space="preserve"> </w:t>
      </w:r>
      <w:r>
        <w:rPr>
          <w:lang w:val="fr-FR"/>
        </w:rPr>
        <w:t>l</w:t>
      </w:r>
      <w:r w:rsidRPr="00F96449">
        <w:rPr>
          <w:lang w:val="fr-FR"/>
        </w:rPr>
        <w:t xml:space="preserve">e nombre de femmes ayant suivi </w:t>
      </w:r>
      <w:r>
        <w:rPr>
          <w:lang w:val="fr-FR"/>
        </w:rPr>
        <w:t>des</w:t>
      </w:r>
      <w:r w:rsidRPr="00F96449">
        <w:rPr>
          <w:lang w:val="fr-FR"/>
        </w:rPr>
        <w:t xml:space="preserve"> </w:t>
      </w:r>
      <w:r>
        <w:rPr>
          <w:lang w:val="fr-FR"/>
        </w:rPr>
        <w:t>études</w:t>
      </w:r>
      <w:r w:rsidRPr="00F96449">
        <w:rPr>
          <w:lang w:val="fr-FR"/>
        </w:rPr>
        <w:t xml:space="preserve"> supérieur</w:t>
      </w:r>
      <w:r>
        <w:rPr>
          <w:lang w:val="fr-FR"/>
        </w:rPr>
        <w:t>es</w:t>
      </w:r>
      <w:r w:rsidRPr="00F96449">
        <w:rPr>
          <w:lang w:val="fr-FR"/>
        </w:rPr>
        <w:t xml:space="preserve"> avait augmenté de 4,3</w:t>
      </w:r>
      <w:r w:rsidR="00B32703">
        <w:rPr>
          <w:lang w:val="fr-FR"/>
        </w:rPr>
        <w:t> %</w:t>
      </w:r>
      <w:r w:rsidRPr="00F96449">
        <w:rPr>
          <w:lang w:val="fr-FR"/>
        </w:rPr>
        <w:t xml:space="preserve"> par rapport à 2000, année du recensement de la population et des logements, et de 1,2</w:t>
      </w:r>
      <w:r w:rsidR="00B32703">
        <w:rPr>
          <w:lang w:val="fr-FR"/>
        </w:rPr>
        <w:t> %</w:t>
      </w:r>
      <w:r w:rsidRPr="00F96449">
        <w:rPr>
          <w:lang w:val="fr-FR"/>
        </w:rPr>
        <w:t xml:space="preserve"> par rapport à 2010. </w:t>
      </w:r>
      <w:r w:rsidRPr="00983CF9">
        <w:rPr>
          <w:lang w:val="fr-FR"/>
        </w:rPr>
        <w:t>En 2000, la propor</w:t>
      </w:r>
      <w:r>
        <w:rPr>
          <w:lang w:val="fr-FR"/>
        </w:rPr>
        <w:t xml:space="preserve">tion de femmes ayant obtenu un certificat </w:t>
      </w:r>
      <w:r>
        <w:rPr>
          <w:lang w:val="fr-FR"/>
        </w:rPr>
        <w:lastRenderedPageBreak/>
        <w:t>d’étud</w:t>
      </w:r>
      <w:r w:rsidRPr="00983CF9">
        <w:rPr>
          <w:lang w:val="fr-FR"/>
        </w:rPr>
        <w:t>e</w:t>
      </w:r>
      <w:r>
        <w:rPr>
          <w:lang w:val="fr-FR"/>
        </w:rPr>
        <w:t>s supérieures</w:t>
      </w:r>
      <w:r w:rsidRPr="00983CF9">
        <w:rPr>
          <w:lang w:val="fr-FR"/>
        </w:rPr>
        <w:t xml:space="preserve"> ou une licence, ou </w:t>
      </w:r>
      <w:r w:rsidRPr="004B27A8">
        <w:rPr>
          <w:lang w:val="fr-FR"/>
        </w:rPr>
        <w:t>suivi des études supérieures</w:t>
      </w:r>
      <w:r>
        <w:rPr>
          <w:lang w:val="fr-FR"/>
        </w:rPr>
        <w:t>,</w:t>
      </w:r>
      <w:r w:rsidRPr="00983CF9">
        <w:rPr>
          <w:lang w:val="fr-FR"/>
        </w:rPr>
        <w:t xml:space="preserve"> était inféri</w:t>
      </w:r>
      <w:r>
        <w:rPr>
          <w:lang w:val="fr-FR"/>
        </w:rPr>
        <w:t>eure de 2</w:t>
      </w:r>
      <w:r w:rsidR="00B32703">
        <w:rPr>
          <w:lang w:val="fr-FR"/>
        </w:rPr>
        <w:t> %</w:t>
      </w:r>
      <w:r>
        <w:rPr>
          <w:lang w:val="fr-FR"/>
        </w:rPr>
        <w:t xml:space="preserve"> à celle des hommes ; en 2015, elle était passée à 1,9</w:t>
      </w:r>
      <w:r w:rsidR="00B32703">
        <w:rPr>
          <w:lang w:val="fr-FR"/>
        </w:rPr>
        <w:t> %</w:t>
      </w:r>
      <w:r>
        <w:rPr>
          <w:lang w:val="fr-FR"/>
        </w:rPr>
        <w:t>. En d’autres termes, l’augmentation du nombre de femmes instruites au sein de cette minorité montre que les femmes sont davantage représentées aux postes de responsabilité et que leur statut social s’élève.</w:t>
      </w:r>
    </w:p>
    <w:p w:rsidR="00C57CC5" w:rsidRPr="00C73A2F" w:rsidRDefault="00C73A2F" w:rsidP="00C73A2F">
      <w:pPr>
        <w:pStyle w:val="Titre1"/>
        <w:rPr>
          <w:b/>
          <w:lang w:val="fr-FR"/>
        </w:rPr>
      </w:pPr>
      <w:r>
        <w:rPr>
          <w:lang w:val="fr-FR"/>
        </w:rPr>
        <w:t>Figure 1</w:t>
      </w:r>
      <w:r>
        <w:rPr>
          <w:lang w:val="fr-FR"/>
        </w:rPr>
        <w:br/>
      </w:r>
      <w:r w:rsidR="00C57CC5" w:rsidRPr="00C73A2F">
        <w:rPr>
          <w:b/>
          <w:lang w:val="fr-FR"/>
        </w:rPr>
        <w:t>Proportion de Kazakhs ayant suivi des études supérieures</w:t>
      </w:r>
      <w:r w:rsidR="00C57CC5" w:rsidRPr="00C73A2F">
        <w:rPr>
          <w:rFonts w:eastAsiaTheme="minorEastAsia"/>
          <w:b/>
          <w:bCs/>
          <w:color w:val="000000" w:themeColor="text1"/>
          <w:lang w:val="fr-FR"/>
        </w:rPr>
        <w:t xml:space="preserve"> </w:t>
      </w:r>
    </w:p>
    <w:p w:rsidR="00C57CC5" w:rsidRPr="00FE46E4" w:rsidRDefault="00F543E7" w:rsidP="00C73A2F">
      <w:pPr>
        <w:pStyle w:val="Titre1"/>
        <w:rPr>
          <w:b/>
          <w:bCs/>
        </w:rPr>
      </w:pPr>
      <w:r>
        <w:rPr>
          <w:noProof/>
          <w:lang w:eastAsia="fr-CH"/>
        </w:rPr>
        <mc:AlternateContent>
          <mc:Choice Requires="wps">
            <w:drawing>
              <wp:anchor distT="0" distB="0" distL="114300" distR="114300" simplePos="0" relativeHeight="251637760" behindDoc="0" locked="0" layoutInCell="1" allowOverlap="1" wp14:anchorId="2415A9C5" wp14:editId="6E1EAA07">
                <wp:simplePos x="0" y="0"/>
                <wp:positionH relativeFrom="column">
                  <wp:posOffset>1956435</wp:posOffset>
                </wp:positionH>
                <wp:positionV relativeFrom="paragraph">
                  <wp:posOffset>1611365</wp:posOffset>
                </wp:positionV>
                <wp:extent cx="647742" cy="238125"/>
                <wp:effectExtent l="0" t="0" r="0" b="9525"/>
                <wp:wrapNone/>
                <wp:docPr id="6" name="TextBox 3"/>
                <wp:cNvGraphicFramePr/>
                <a:graphic xmlns:a="http://schemas.openxmlformats.org/drawingml/2006/main">
                  <a:graphicData uri="http://schemas.microsoft.com/office/word/2010/wordprocessingShape">
                    <wps:wsp>
                      <wps:cNvSpPr txBox="1"/>
                      <wps:spPr>
                        <a:xfrm>
                          <a:off x="0" y="0"/>
                          <a:ext cx="647742" cy="238125"/>
                        </a:xfrm>
                        <a:prstGeom prst="rect">
                          <a:avLst/>
                        </a:prstGeom>
                        <a:solidFill>
                          <a:sysClr val="window" lastClr="FFFFFF"/>
                        </a:solidFill>
                      </wps:spPr>
                      <wps:txbx>
                        <w:txbxContent>
                          <w:p w:rsidR="00C73A2F" w:rsidRDefault="00F543E7" w:rsidP="00C73A2F">
                            <w:pPr>
                              <w:pStyle w:val="NormalWeb"/>
                              <w:spacing w:before="0" w:beforeAutospacing="0" w:after="0" w:afterAutospacing="0"/>
                            </w:pPr>
                            <w:r>
                              <w:rPr>
                                <w:rFonts w:asciiTheme="minorHAnsi" w:hAnsi="Calibri" w:cstheme="minorBidi"/>
                                <w:color w:val="17365D" w:themeColor="text2" w:themeShade="BF"/>
                                <w:sz w:val="20"/>
                                <w:szCs w:val="20"/>
                                <w:lang w:val="fr-FR"/>
                              </w:rPr>
                              <w:t>Homme</w:t>
                            </w:r>
                            <w:r w:rsidR="00C73A2F">
                              <w:rPr>
                                <w:rFonts w:asciiTheme="minorHAnsi" w:hAnsi="Calibri" w:cstheme="minorBidi"/>
                                <w:color w:val="17365D" w:themeColor="text2" w:themeShade="BF"/>
                                <w:sz w:val="20"/>
                                <w:szCs w:val="20"/>
                                <w:lang w:val="fr-FR"/>
                              </w:rPr>
                              <w:t>s</w:t>
                            </w:r>
                          </w:p>
                        </w:txbxContent>
                      </wps:txbx>
                      <wps:bodyPr wrap="square" rtlCol="0">
                        <a:noAutofit/>
                      </wps:bodyPr>
                    </wps:wsp>
                  </a:graphicData>
                </a:graphic>
                <wp14:sizeRelV relativeFrom="margin">
                  <wp14:pctHeight>0</wp14:pctHeight>
                </wp14:sizeRelV>
              </wp:anchor>
            </w:drawing>
          </mc:Choice>
          <mc:Fallback>
            <w:pict>
              <v:shapetype w14:anchorId="2415A9C5" id="_x0000_t202" coordsize="21600,21600" o:spt="202" path="m,l,21600r21600,l21600,xe">
                <v:stroke joinstyle="miter"/>
                <v:path gradientshapeok="t" o:connecttype="rect"/>
              </v:shapetype>
              <v:shape id="TextBox 3" o:spid="_x0000_s1026" type="#_x0000_t202" style="position:absolute;left:0;text-align:left;margin-left:154.05pt;margin-top:126.9pt;width:51pt;height:18.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" fillcolor="window" stroked="f">
                <v:textbox>
                  <w:txbxContent>
                    <w:p w:rsidR="00C73A2F" w:rsidRDefault="00F543E7" w:rsidP="00C73A2F">
                      <w:pPr>
                        <w:pStyle w:val="NormalWeb"/>
                        <w:spacing w:before="0" w:beforeAutospacing="0" w:after="0" w:afterAutospacing="0"/>
                      </w:pPr>
                      <w:r>
                        <w:rPr>
                          <w:rFonts w:asciiTheme="minorHAnsi" w:hAnsi="Calibri" w:cstheme="minorBidi"/>
                          <w:color w:val="17365D" w:themeColor="text2" w:themeShade="BF"/>
                          <w:sz w:val="20"/>
                          <w:szCs w:val="20"/>
                          <w:lang w:val="fr-FR"/>
                        </w:rPr>
                        <w:t>Homme</w:t>
                      </w:r>
                      <w:r w:rsidR="00C73A2F">
                        <w:rPr>
                          <w:rFonts w:asciiTheme="minorHAnsi" w:hAnsi="Calibri" w:cstheme="minorBidi"/>
                          <w:color w:val="17365D" w:themeColor="text2" w:themeShade="BF"/>
                          <w:sz w:val="20"/>
                          <w:szCs w:val="20"/>
                          <w:lang w:val="fr-FR"/>
                        </w:rPr>
                        <w:t>s</w:t>
                      </w:r>
                    </w:p>
                  </w:txbxContent>
                </v:textbox>
              </v:shape>
            </w:pict>
          </mc:Fallback>
        </mc:AlternateContent>
      </w:r>
      <w:r w:rsidR="00C57CC5" w:rsidRPr="002A3EE0">
        <w:rPr>
          <w:noProof/>
          <w:lang w:eastAsia="fr-CH"/>
        </w:rPr>
        <w:drawing>
          <wp:inline distT="0" distB="0" distL="0" distR="0" wp14:anchorId="3E9B09E6" wp14:editId="5CD79365">
            <wp:extent cx="5295900" cy="1916430"/>
            <wp:effectExtent l="0" t="0" r="0" b="7620"/>
            <wp:docPr id="4" name="Chart 4">
              <a:extLst xmlns:a="http://schemas.openxmlformats.org/drawingml/2006/main">
                <a:ext uri="{FF2B5EF4-FFF2-40B4-BE49-F238E27FC236}">
                  <a16:creationId xmlns:a16="http://schemas.microsoft.com/office/drawing/2014/main" id="{719445BC-1669-4E1C-88F0-FDBA45E23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7CC5" w:rsidRPr="0004341B" w:rsidRDefault="00C57CC5" w:rsidP="00C57CC5">
      <w:pPr>
        <w:spacing w:before="120" w:after="120"/>
        <w:ind w:left="1134" w:right="1134" w:firstLine="170"/>
        <w:rPr>
          <w:sz w:val="18"/>
          <w:lang w:val="fr-FR"/>
        </w:rPr>
      </w:pPr>
      <w:r w:rsidRPr="0004341B">
        <w:rPr>
          <w:i/>
          <w:iCs/>
          <w:sz w:val="18"/>
          <w:lang w:val="fr-FR"/>
        </w:rPr>
        <w:t>Source</w:t>
      </w:r>
      <w:r>
        <w:rPr>
          <w:i/>
          <w:iCs/>
          <w:sz w:val="18"/>
          <w:lang w:val="fr-FR"/>
        </w:rPr>
        <w:t> </w:t>
      </w:r>
      <w:r>
        <w:rPr>
          <w:sz w:val="18"/>
          <w:lang w:val="fr-FR"/>
        </w:rPr>
        <w:t>:</w:t>
      </w:r>
      <w:r w:rsidRPr="0004341B">
        <w:rPr>
          <w:sz w:val="18"/>
          <w:lang w:val="fr-FR"/>
        </w:rPr>
        <w:t xml:space="preserve"> Office national de la statistique.</w:t>
      </w:r>
    </w:p>
    <w:p w:rsidR="00C57CC5" w:rsidRPr="0031568D" w:rsidRDefault="00C57CC5" w:rsidP="00C57CC5">
      <w:pPr>
        <w:pStyle w:val="SingleTxtG"/>
        <w:rPr>
          <w:lang w:val="fr-FR"/>
        </w:rPr>
      </w:pPr>
      <w:r w:rsidRPr="00C37F86">
        <w:rPr>
          <w:lang w:val="fr-FR"/>
        </w:rPr>
        <w:t>14.</w:t>
      </w:r>
      <w:r w:rsidRPr="00C37F86">
        <w:rPr>
          <w:lang w:val="fr-FR"/>
        </w:rPr>
        <w:tab/>
      </w:r>
      <w:r w:rsidRPr="0031568D">
        <w:rPr>
          <w:lang w:val="fr-FR"/>
        </w:rPr>
        <w:t xml:space="preserve">La Mongolie compte 545 Tsaatans </w:t>
      </w:r>
      <w:r>
        <w:rPr>
          <w:lang w:val="fr-FR"/>
        </w:rPr>
        <w:t>don</w:t>
      </w:r>
      <w:r w:rsidRPr="0031568D">
        <w:rPr>
          <w:lang w:val="fr-FR"/>
        </w:rPr>
        <w:t>t la majorité résident dans la province de Huvsgul</w:t>
      </w:r>
      <w:r>
        <w:rPr>
          <w:lang w:val="fr-FR"/>
        </w:rPr>
        <w:t xml:space="preserve">. En 2015, </w:t>
      </w:r>
      <w:r w:rsidRPr="004B3747">
        <w:rPr>
          <w:lang w:val="fr-FR"/>
        </w:rPr>
        <w:t>466</w:t>
      </w:r>
      <w:r>
        <w:rPr>
          <w:lang w:val="fr-FR"/>
        </w:rPr>
        <w:t xml:space="preserve"> </w:t>
      </w:r>
      <w:r w:rsidRPr="004B3747">
        <w:rPr>
          <w:lang w:val="fr-FR"/>
        </w:rPr>
        <w:t>Tsaatans appartenant au groupe minoritaire des Tuvas résid</w:t>
      </w:r>
      <w:r>
        <w:rPr>
          <w:lang w:val="fr-FR"/>
        </w:rPr>
        <w:t>ai</w:t>
      </w:r>
      <w:r w:rsidRPr="004B3747">
        <w:rPr>
          <w:lang w:val="fr-FR"/>
        </w:rPr>
        <w:t xml:space="preserve">ent dans le </w:t>
      </w:r>
      <w:r w:rsidRPr="00D16D1B">
        <w:rPr>
          <w:i/>
          <w:lang w:val="fr-FR"/>
        </w:rPr>
        <w:t>soum</w:t>
      </w:r>
      <w:r w:rsidRPr="004B3747">
        <w:rPr>
          <w:lang w:val="fr-FR"/>
        </w:rPr>
        <w:t xml:space="preserve"> de Tsagaan nuur</w:t>
      </w:r>
      <w:r w:rsidR="009F011D" w:rsidRPr="002A3EE0">
        <w:rPr>
          <w:rStyle w:val="Appelnotedebasdep"/>
        </w:rPr>
        <w:footnoteReference w:id="9"/>
      </w:r>
      <w:r w:rsidR="009F011D">
        <w:rPr>
          <w:lang w:val="fr-FR"/>
        </w:rPr>
        <w:t>.</w:t>
      </w:r>
      <w:r>
        <w:rPr>
          <w:lang w:val="fr-FR"/>
        </w:rPr>
        <w:t xml:space="preserve"> </w:t>
      </w:r>
      <w:r w:rsidRPr="00922B89">
        <w:rPr>
          <w:lang w:val="fr-FR"/>
        </w:rPr>
        <w:t>La population de</w:t>
      </w:r>
      <w:r>
        <w:rPr>
          <w:lang w:val="fr-FR"/>
        </w:rPr>
        <w:t>s</w:t>
      </w:r>
      <w:r w:rsidRPr="00922B89">
        <w:rPr>
          <w:lang w:val="fr-FR"/>
        </w:rPr>
        <w:t xml:space="preserve"> </w:t>
      </w:r>
      <w:r w:rsidRPr="00253B24">
        <w:rPr>
          <w:lang w:val="fr-FR"/>
        </w:rPr>
        <w:t>Tsaatans</w:t>
      </w:r>
      <w:r w:rsidRPr="00922B89">
        <w:rPr>
          <w:lang w:val="fr-FR"/>
        </w:rPr>
        <w:t xml:space="preserve"> comprend </w:t>
      </w:r>
      <w:r w:rsidRPr="00253B24">
        <w:rPr>
          <w:lang w:val="fr-FR"/>
        </w:rPr>
        <w:t>30,3</w:t>
      </w:r>
      <w:r w:rsidR="00B32703">
        <w:rPr>
          <w:lang w:val="fr-FR"/>
        </w:rPr>
        <w:t> %</w:t>
      </w:r>
      <w:r w:rsidRPr="00922B89">
        <w:rPr>
          <w:lang w:val="fr-FR"/>
        </w:rPr>
        <w:t xml:space="preserve"> de personnes âgées d</w:t>
      </w:r>
      <w:r>
        <w:rPr>
          <w:lang w:val="fr-FR"/>
        </w:rPr>
        <w:t>e</w:t>
      </w:r>
      <w:r w:rsidRPr="00922B89">
        <w:rPr>
          <w:lang w:val="fr-FR"/>
        </w:rPr>
        <w:t xml:space="preserve"> 0 à 14 ans, </w:t>
      </w:r>
      <w:r w:rsidRPr="00253B24">
        <w:rPr>
          <w:lang w:val="fr-FR"/>
        </w:rPr>
        <w:t>65,3</w:t>
      </w:r>
      <w:r w:rsidR="00B32703">
        <w:rPr>
          <w:lang w:val="fr-FR"/>
        </w:rPr>
        <w:t> %</w:t>
      </w:r>
      <w:r w:rsidRPr="00922B89">
        <w:rPr>
          <w:lang w:val="fr-FR"/>
        </w:rPr>
        <w:t xml:space="preserve"> de personnes âgées de 15 à 64 ans et </w:t>
      </w:r>
      <w:r>
        <w:rPr>
          <w:lang w:val="fr-FR"/>
        </w:rPr>
        <w:t>4,</w:t>
      </w:r>
      <w:r w:rsidRPr="00253B24">
        <w:rPr>
          <w:lang w:val="fr-FR"/>
        </w:rPr>
        <w:t>4</w:t>
      </w:r>
      <w:r w:rsidR="00B32703">
        <w:rPr>
          <w:lang w:val="fr-FR"/>
        </w:rPr>
        <w:t> %</w:t>
      </w:r>
      <w:r>
        <w:rPr>
          <w:lang w:val="fr-FR"/>
        </w:rPr>
        <w:t xml:space="preserve"> de personnes âgées de </w:t>
      </w:r>
      <w:r w:rsidRPr="00922B89">
        <w:rPr>
          <w:lang w:val="fr-FR"/>
        </w:rPr>
        <w:t xml:space="preserve">65 </w:t>
      </w:r>
      <w:r w:rsidRPr="00C5625C">
        <w:rPr>
          <w:lang w:val="fr-FR"/>
        </w:rPr>
        <w:t>ans</w:t>
      </w:r>
      <w:r w:rsidRPr="004C4E90">
        <w:rPr>
          <w:lang w:val="fr-FR"/>
        </w:rPr>
        <w:t xml:space="preserve"> </w:t>
      </w:r>
      <w:r>
        <w:rPr>
          <w:lang w:val="fr-FR"/>
        </w:rPr>
        <w:t>ou</w:t>
      </w:r>
      <w:r w:rsidRPr="00922B89">
        <w:rPr>
          <w:lang w:val="fr-FR"/>
        </w:rPr>
        <w:t xml:space="preserve"> </w:t>
      </w:r>
      <w:r>
        <w:rPr>
          <w:lang w:val="fr-FR"/>
        </w:rPr>
        <w:t>plus</w:t>
      </w:r>
      <w:r w:rsidRPr="00922B89">
        <w:rPr>
          <w:lang w:val="fr-FR"/>
        </w:rPr>
        <w:t xml:space="preserve">. Par statut marital, les </w:t>
      </w:r>
      <w:r w:rsidRPr="00253B24">
        <w:rPr>
          <w:lang w:val="fr-FR"/>
        </w:rPr>
        <w:t>Tsaatans</w:t>
      </w:r>
      <w:r w:rsidRPr="00922B89">
        <w:rPr>
          <w:lang w:val="fr-FR"/>
        </w:rPr>
        <w:t xml:space="preserve"> âgés de </w:t>
      </w:r>
      <w:r w:rsidR="0091369C">
        <w:rPr>
          <w:lang w:val="fr-FR"/>
        </w:rPr>
        <w:t>15 </w:t>
      </w:r>
      <w:r w:rsidRPr="00B72C95">
        <w:rPr>
          <w:lang w:val="fr-FR"/>
        </w:rPr>
        <w:t>ans ou plus</w:t>
      </w:r>
      <w:r>
        <w:rPr>
          <w:lang w:val="fr-FR"/>
        </w:rPr>
        <w:t xml:space="preserve"> </w:t>
      </w:r>
      <w:r w:rsidRPr="00922B89">
        <w:rPr>
          <w:lang w:val="fr-FR"/>
        </w:rPr>
        <w:t xml:space="preserve">se répartissent comme suit : </w:t>
      </w:r>
      <w:r w:rsidRPr="00253B24">
        <w:rPr>
          <w:lang w:val="fr-FR"/>
        </w:rPr>
        <w:t>42,8</w:t>
      </w:r>
      <w:r w:rsidR="00B32703">
        <w:rPr>
          <w:lang w:val="fr-FR"/>
        </w:rPr>
        <w:t> %</w:t>
      </w:r>
      <w:r w:rsidRPr="00922B89">
        <w:rPr>
          <w:lang w:val="fr-FR"/>
        </w:rPr>
        <w:t xml:space="preserve"> </w:t>
      </w:r>
      <w:r>
        <w:rPr>
          <w:lang w:val="fr-FR"/>
        </w:rPr>
        <w:t>sont célibataires</w:t>
      </w:r>
      <w:r w:rsidRPr="00922B89">
        <w:rPr>
          <w:lang w:val="fr-FR"/>
        </w:rPr>
        <w:t xml:space="preserve">, </w:t>
      </w:r>
      <w:r w:rsidRPr="00253B24">
        <w:rPr>
          <w:lang w:val="fr-FR"/>
        </w:rPr>
        <w:t>53,5</w:t>
      </w:r>
      <w:r w:rsidR="00B32703">
        <w:rPr>
          <w:lang w:val="fr-FR"/>
        </w:rPr>
        <w:t> %</w:t>
      </w:r>
      <w:r w:rsidRPr="00922B89">
        <w:rPr>
          <w:lang w:val="fr-FR"/>
        </w:rPr>
        <w:t xml:space="preserve"> sont mariés et </w:t>
      </w:r>
      <w:r w:rsidRPr="00A7668E">
        <w:rPr>
          <w:lang w:val="fr-FR"/>
        </w:rPr>
        <w:t>3,7</w:t>
      </w:r>
      <w:r w:rsidR="00B32703">
        <w:rPr>
          <w:lang w:val="fr-FR"/>
        </w:rPr>
        <w:t> %</w:t>
      </w:r>
      <w:r w:rsidRPr="00922B89">
        <w:rPr>
          <w:lang w:val="fr-FR"/>
        </w:rPr>
        <w:t xml:space="preserve"> sont veufs, divorcés ou séparés.</w:t>
      </w:r>
      <w:r>
        <w:rPr>
          <w:lang w:val="fr-FR"/>
        </w:rPr>
        <w:t xml:space="preserve"> Selon les données disponibles, on compte </w:t>
      </w:r>
      <w:r w:rsidRPr="00AA4CD9">
        <w:rPr>
          <w:lang w:val="fr-FR"/>
        </w:rPr>
        <w:t>6,3</w:t>
      </w:r>
      <w:r w:rsidR="00B32703">
        <w:rPr>
          <w:lang w:val="fr-FR"/>
        </w:rPr>
        <w:t> %</w:t>
      </w:r>
      <w:r>
        <w:rPr>
          <w:lang w:val="fr-FR"/>
        </w:rPr>
        <w:t xml:space="preserve"> de personnes handicapées parmi les Tsaatans.</w:t>
      </w:r>
    </w:p>
    <w:p w:rsidR="00C57CC5" w:rsidRPr="00547B30" w:rsidRDefault="00C57CC5" w:rsidP="00C57CC5">
      <w:pPr>
        <w:pStyle w:val="SingleTxtG"/>
        <w:rPr>
          <w:lang w:val="fr-FR"/>
        </w:rPr>
      </w:pPr>
      <w:r w:rsidRPr="003342AA">
        <w:rPr>
          <w:lang w:val="fr-FR"/>
        </w:rPr>
        <w:t>15.</w:t>
      </w:r>
      <w:r w:rsidRPr="003342AA">
        <w:rPr>
          <w:lang w:val="fr-FR"/>
        </w:rPr>
        <w:tab/>
      </w:r>
      <w:r w:rsidRPr="00547B30">
        <w:rPr>
          <w:lang w:val="fr-FR"/>
        </w:rPr>
        <w:t>S’agissant du niveau d’ins</w:t>
      </w:r>
      <w:r w:rsidR="0091369C">
        <w:rPr>
          <w:lang w:val="fr-FR"/>
        </w:rPr>
        <w:t>truction des Tsaatans âgés de 6 </w:t>
      </w:r>
      <w:r w:rsidRPr="00547B30">
        <w:rPr>
          <w:lang w:val="fr-FR"/>
        </w:rPr>
        <w:t xml:space="preserve">ans </w:t>
      </w:r>
      <w:r>
        <w:rPr>
          <w:lang w:val="fr-FR"/>
        </w:rPr>
        <w:t>ou</w:t>
      </w:r>
      <w:r w:rsidRPr="00547B30">
        <w:rPr>
          <w:lang w:val="fr-FR"/>
        </w:rPr>
        <w:t xml:space="preserve"> plus, 82,8</w:t>
      </w:r>
      <w:r w:rsidR="00B32703">
        <w:rPr>
          <w:lang w:val="fr-FR"/>
        </w:rPr>
        <w:t> %</w:t>
      </w:r>
      <w:r>
        <w:rPr>
          <w:lang w:val="fr-FR"/>
        </w:rPr>
        <w:t xml:space="preserve"> ont reçu une instruction. </w:t>
      </w:r>
      <w:r w:rsidR="00375A56">
        <w:rPr>
          <w:lang w:val="fr-FR"/>
        </w:rPr>
        <w:t>6 %</w:t>
      </w:r>
      <w:r w:rsidRPr="00547B30">
        <w:rPr>
          <w:lang w:val="fr-FR"/>
        </w:rPr>
        <w:t xml:space="preserve"> d’entre eux ont </w:t>
      </w:r>
      <w:r>
        <w:rPr>
          <w:lang w:val="fr-FR"/>
        </w:rPr>
        <w:t>suivi des</w:t>
      </w:r>
      <w:r w:rsidRPr="00547B30">
        <w:rPr>
          <w:lang w:val="fr-FR"/>
        </w:rPr>
        <w:t xml:space="preserve"> </w:t>
      </w:r>
      <w:r>
        <w:rPr>
          <w:lang w:val="fr-FR"/>
        </w:rPr>
        <w:t>études</w:t>
      </w:r>
      <w:r w:rsidRPr="00547B30">
        <w:rPr>
          <w:lang w:val="fr-FR"/>
        </w:rPr>
        <w:t xml:space="preserve"> supérieur</w:t>
      </w:r>
      <w:r>
        <w:rPr>
          <w:lang w:val="fr-FR"/>
        </w:rPr>
        <w:t>es, 2,6</w:t>
      </w:r>
      <w:r w:rsidR="00B32703">
        <w:rPr>
          <w:lang w:val="fr-FR"/>
        </w:rPr>
        <w:t> %</w:t>
      </w:r>
      <w:r>
        <w:rPr>
          <w:lang w:val="fr-FR"/>
        </w:rPr>
        <w:t xml:space="preserve">, ont reçu </w:t>
      </w:r>
      <w:r w:rsidRPr="00547B30">
        <w:rPr>
          <w:lang w:val="fr-FR"/>
        </w:rPr>
        <w:t xml:space="preserve">un enseignement </w:t>
      </w:r>
      <w:r>
        <w:rPr>
          <w:lang w:val="fr-FR"/>
        </w:rPr>
        <w:t>spécialisé et 2,8</w:t>
      </w:r>
      <w:r w:rsidR="00B32703">
        <w:rPr>
          <w:lang w:val="fr-FR"/>
        </w:rPr>
        <w:t> %</w:t>
      </w:r>
      <w:r>
        <w:rPr>
          <w:lang w:val="fr-FR"/>
        </w:rPr>
        <w:t xml:space="preserve"> </w:t>
      </w:r>
      <w:r w:rsidRPr="00547B30">
        <w:rPr>
          <w:lang w:val="fr-FR"/>
        </w:rPr>
        <w:t>une éducation technique</w:t>
      </w:r>
      <w:r w:rsidRPr="002F64AA">
        <w:rPr>
          <w:lang w:val="fr-FR"/>
        </w:rPr>
        <w:t xml:space="preserve"> </w:t>
      </w:r>
      <w:r w:rsidRPr="00547B30">
        <w:rPr>
          <w:lang w:val="fr-FR"/>
        </w:rPr>
        <w:t>et professionnelle, 12,8</w:t>
      </w:r>
      <w:r w:rsidR="00B32703">
        <w:rPr>
          <w:lang w:val="fr-FR"/>
        </w:rPr>
        <w:t> %</w:t>
      </w:r>
      <w:r w:rsidRPr="00547B30">
        <w:rPr>
          <w:lang w:val="fr-FR"/>
        </w:rPr>
        <w:t xml:space="preserve"> ont achevé le deuxième cycle du secondaire, </w:t>
      </w:r>
      <w:r w:rsidRPr="00EA4E3D">
        <w:rPr>
          <w:lang w:val="fr-FR"/>
        </w:rPr>
        <w:t>25,9</w:t>
      </w:r>
      <w:r w:rsidR="00B32703">
        <w:rPr>
          <w:lang w:val="fr-FR"/>
        </w:rPr>
        <w:t> %</w:t>
      </w:r>
      <w:r w:rsidRPr="00547B30">
        <w:rPr>
          <w:lang w:val="fr-FR"/>
        </w:rPr>
        <w:t xml:space="preserve"> ont suivi des études secondaires générales et </w:t>
      </w:r>
      <w:r w:rsidRPr="00DD4705">
        <w:rPr>
          <w:lang w:val="fr-FR"/>
        </w:rPr>
        <w:t>32,7</w:t>
      </w:r>
      <w:r w:rsidR="00B32703">
        <w:rPr>
          <w:lang w:val="fr-FR"/>
        </w:rPr>
        <w:t> %</w:t>
      </w:r>
      <w:r w:rsidRPr="00547B30">
        <w:rPr>
          <w:lang w:val="fr-FR"/>
        </w:rPr>
        <w:t xml:space="preserve"> ont achevé le cycle du primaire. </w:t>
      </w:r>
      <w:r>
        <w:rPr>
          <w:lang w:val="fr-FR"/>
        </w:rPr>
        <w:t>17,</w:t>
      </w:r>
      <w:r w:rsidRPr="00547B30">
        <w:rPr>
          <w:lang w:val="fr-FR"/>
        </w:rPr>
        <w:t>2</w:t>
      </w:r>
      <w:r w:rsidR="00B32703">
        <w:rPr>
          <w:lang w:val="fr-FR"/>
        </w:rPr>
        <w:t> %</w:t>
      </w:r>
      <w:r w:rsidRPr="00547B30">
        <w:rPr>
          <w:lang w:val="fr-FR"/>
        </w:rPr>
        <w:t xml:space="preserve"> des Tsaatans n’ont reçu </w:t>
      </w:r>
      <w:r>
        <w:rPr>
          <w:lang w:val="fr-FR"/>
        </w:rPr>
        <w:t xml:space="preserve">aucune </w:t>
      </w:r>
      <w:r w:rsidRPr="00547B30">
        <w:rPr>
          <w:lang w:val="fr-FR"/>
        </w:rPr>
        <w:t>instruction.</w:t>
      </w:r>
    </w:p>
    <w:p w:rsidR="00C57CC5" w:rsidRPr="0004341B" w:rsidRDefault="00C57CC5" w:rsidP="00C57CC5">
      <w:pPr>
        <w:pStyle w:val="SingleTxtG"/>
        <w:rPr>
          <w:lang w:val="fr-FR"/>
        </w:rPr>
      </w:pPr>
      <w:r w:rsidRPr="00920F01">
        <w:rPr>
          <w:lang w:val="fr-FR"/>
        </w:rPr>
        <w:t>16.</w:t>
      </w:r>
      <w:r w:rsidRPr="00920F01">
        <w:rPr>
          <w:lang w:val="fr-FR"/>
        </w:rPr>
        <w:tab/>
      </w:r>
      <w:r w:rsidRPr="003342AA">
        <w:rPr>
          <w:lang w:val="fr-FR"/>
        </w:rPr>
        <w:t xml:space="preserve">En termes d’emploi, </w:t>
      </w:r>
      <w:r>
        <w:rPr>
          <w:lang w:val="fr-FR"/>
        </w:rPr>
        <w:t>44,</w:t>
      </w:r>
      <w:r w:rsidRPr="009233B4">
        <w:rPr>
          <w:lang w:val="fr-FR"/>
        </w:rPr>
        <w:t>6</w:t>
      </w:r>
      <w:r w:rsidR="00B32703">
        <w:rPr>
          <w:lang w:val="fr-FR"/>
        </w:rPr>
        <w:t> %</w:t>
      </w:r>
      <w:r w:rsidRPr="003342AA">
        <w:rPr>
          <w:lang w:val="fr-FR"/>
        </w:rPr>
        <w:t xml:space="preserve"> des </w:t>
      </w:r>
      <w:r w:rsidRPr="009233B4">
        <w:rPr>
          <w:lang w:val="fr-FR"/>
        </w:rPr>
        <w:t>Tsaatans</w:t>
      </w:r>
      <w:r w:rsidRPr="003342AA">
        <w:rPr>
          <w:lang w:val="fr-FR"/>
        </w:rPr>
        <w:t xml:space="preserve"> </w:t>
      </w:r>
      <w:r>
        <w:rPr>
          <w:lang w:val="fr-FR"/>
        </w:rPr>
        <w:t>travaillent</w:t>
      </w:r>
      <w:r w:rsidRPr="003342AA">
        <w:rPr>
          <w:lang w:val="fr-FR"/>
        </w:rPr>
        <w:t xml:space="preserve"> et </w:t>
      </w:r>
      <w:r>
        <w:rPr>
          <w:lang w:val="fr-FR"/>
        </w:rPr>
        <w:t>55,</w:t>
      </w:r>
      <w:r w:rsidRPr="009233B4">
        <w:rPr>
          <w:lang w:val="fr-FR"/>
        </w:rPr>
        <w:t>4</w:t>
      </w:r>
      <w:r w:rsidR="00B32703">
        <w:rPr>
          <w:lang w:val="fr-FR"/>
        </w:rPr>
        <w:t> %</w:t>
      </w:r>
      <w:r w:rsidRPr="003342AA">
        <w:rPr>
          <w:lang w:val="fr-FR"/>
        </w:rPr>
        <w:t xml:space="preserve"> sont sans emploi. Sur l’ensemble des </w:t>
      </w:r>
      <w:r w:rsidRPr="009233B4">
        <w:rPr>
          <w:lang w:val="fr-FR"/>
        </w:rPr>
        <w:t>Tsaatans</w:t>
      </w:r>
      <w:r w:rsidRPr="002F64AA">
        <w:rPr>
          <w:lang w:val="fr-FR"/>
        </w:rPr>
        <w:t xml:space="preserve"> </w:t>
      </w:r>
      <w:r>
        <w:rPr>
          <w:lang w:val="fr-FR"/>
        </w:rPr>
        <w:t>qui travaillent</w:t>
      </w:r>
      <w:r w:rsidRPr="003342AA">
        <w:rPr>
          <w:lang w:val="fr-FR"/>
        </w:rPr>
        <w:t xml:space="preserve">, </w:t>
      </w:r>
      <w:r>
        <w:rPr>
          <w:lang w:val="fr-FR"/>
        </w:rPr>
        <w:t>50,</w:t>
      </w:r>
      <w:r w:rsidRPr="009233B4">
        <w:rPr>
          <w:lang w:val="fr-FR"/>
        </w:rPr>
        <w:t>9</w:t>
      </w:r>
      <w:r w:rsidR="00B32703">
        <w:rPr>
          <w:lang w:val="fr-FR"/>
        </w:rPr>
        <w:t> %</w:t>
      </w:r>
      <w:r w:rsidRPr="003342AA">
        <w:rPr>
          <w:lang w:val="fr-FR"/>
        </w:rPr>
        <w:t xml:space="preserve"> sont indépendants</w:t>
      </w:r>
      <w:r>
        <w:rPr>
          <w:lang w:val="fr-FR"/>
        </w:rPr>
        <w:t>, 25,</w:t>
      </w:r>
      <w:r w:rsidRPr="009233B4">
        <w:rPr>
          <w:lang w:val="fr-FR"/>
        </w:rPr>
        <w:t>5</w:t>
      </w:r>
      <w:r w:rsidR="00B32703">
        <w:rPr>
          <w:lang w:val="fr-FR"/>
        </w:rPr>
        <w:t> %</w:t>
      </w:r>
      <w:r>
        <w:rPr>
          <w:lang w:val="fr-FR"/>
        </w:rPr>
        <w:t xml:space="preserve"> ont un travail non rémunéré dans une entreprise familiale et dans la production </w:t>
      </w:r>
      <w:r w:rsidRPr="003342AA">
        <w:rPr>
          <w:lang w:val="fr-FR"/>
        </w:rPr>
        <w:t xml:space="preserve">et </w:t>
      </w:r>
      <w:r>
        <w:rPr>
          <w:lang w:val="fr-FR"/>
        </w:rPr>
        <w:t>16,</w:t>
      </w:r>
      <w:r w:rsidRPr="00957A74">
        <w:rPr>
          <w:lang w:val="fr-FR"/>
        </w:rPr>
        <w:t>8</w:t>
      </w:r>
      <w:r w:rsidR="00B32703">
        <w:rPr>
          <w:lang w:val="fr-FR"/>
        </w:rPr>
        <w:t> %</w:t>
      </w:r>
      <w:r w:rsidRPr="003342AA">
        <w:rPr>
          <w:lang w:val="fr-FR"/>
        </w:rPr>
        <w:t xml:space="preserve"> </w:t>
      </w:r>
      <w:r>
        <w:rPr>
          <w:lang w:val="fr-FR"/>
        </w:rPr>
        <w:t xml:space="preserve">sont </w:t>
      </w:r>
      <w:r w:rsidRPr="003342AA">
        <w:rPr>
          <w:lang w:val="fr-FR"/>
        </w:rPr>
        <w:t xml:space="preserve">salariés. </w:t>
      </w:r>
      <w:r w:rsidRPr="00727FDF">
        <w:rPr>
          <w:lang w:val="fr-FR"/>
        </w:rPr>
        <w:t>38,7</w:t>
      </w:r>
      <w:r w:rsidR="00B32703">
        <w:rPr>
          <w:lang w:val="fr-FR"/>
        </w:rPr>
        <w:t> %</w:t>
      </w:r>
      <w:r w:rsidRPr="003342AA">
        <w:rPr>
          <w:lang w:val="fr-FR"/>
        </w:rPr>
        <w:t xml:space="preserve"> des </w:t>
      </w:r>
      <w:r>
        <w:rPr>
          <w:lang w:val="fr-FR"/>
        </w:rPr>
        <w:t>personnes</w:t>
      </w:r>
      <w:r w:rsidRPr="003342AA">
        <w:rPr>
          <w:lang w:val="fr-FR"/>
        </w:rPr>
        <w:t xml:space="preserve"> sans emploi suivent une formation, </w:t>
      </w:r>
      <w:r w:rsidRPr="00CC5BD9">
        <w:rPr>
          <w:lang w:val="fr-FR"/>
        </w:rPr>
        <w:t>22</w:t>
      </w:r>
      <w:r w:rsidR="00B32703">
        <w:rPr>
          <w:lang w:val="fr-FR"/>
        </w:rPr>
        <w:t> %</w:t>
      </w:r>
      <w:r w:rsidRPr="003342AA">
        <w:rPr>
          <w:lang w:val="fr-FR"/>
        </w:rPr>
        <w:t xml:space="preserve"> sont à la retraite, </w:t>
      </w:r>
      <w:r>
        <w:rPr>
          <w:lang w:val="fr-FR"/>
        </w:rPr>
        <w:t>17,</w:t>
      </w:r>
      <w:r w:rsidRPr="00CC5BD9">
        <w:rPr>
          <w:lang w:val="fr-FR"/>
        </w:rPr>
        <w:t>7</w:t>
      </w:r>
      <w:r w:rsidR="00B32703">
        <w:rPr>
          <w:lang w:val="fr-FR"/>
        </w:rPr>
        <w:t> %</w:t>
      </w:r>
      <w:r w:rsidRPr="003342AA">
        <w:rPr>
          <w:lang w:val="fr-FR"/>
        </w:rPr>
        <w:t xml:space="preserve"> ne peuvent pas trouver d’emploi adapté et </w:t>
      </w:r>
      <w:r>
        <w:rPr>
          <w:lang w:val="fr-FR"/>
        </w:rPr>
        <w:t>5,</w:t>
      </w:r>
      <w:r w:rsidRPr="00CC5BD9">
        <w:rPr>
          <w:lang w:val="fr-FR"/>
        </w:rPr>
        <w:t>4</w:t>
      </w:r>
      <w:r w:rsidR="00B32703">
        <w:rPr>
          <w:lang w:val="fr-FR"/>
        </w:rPr>
        <w:t> %</w:t>
      </w:r>
      <w:r>
        <w:rPr>
          <w:lang w:val="fr-FR"/>
        </w:rPr>
        <w:t xml:space="preserve"> sont des demandeurs d’emploi.</w:t>
      </w:r>
      <w:r w:rsidRPr="003342AA">
        <w:rPr>
          <w:lang w:val="fr-FR"/>
        </w:rPr>
        <w:t xml:space="preserve"> </w:t>
      </w:r>
    </w:p>
    <w:p w:rsidR="00C57CC5" w:rsidRPr="00524E75" w:rsidRDefault="00C57CC5" w:rsidP="00C57CC5">
      <w:pPr>
        <w:pStyle w:val="SingleTxtG"/>
        <w:rPr>
          <w:lang w:val="fr-FR"/>
        </w:rPr>
      </w:pPr>
      <w:r w:rsidRPr="003D352C">
        <w:rPr>
          <w:lang w:val="fr-FR"/>
        </w:rPr>
        <w:t>17.</w:t>
      </w:r>
      <w:r w:rsidRPr="003D352C">
        <w:rPr>
          <w:lang w:val="fr-FR"/>
        </w:rPr>
        <w:tab/>
      </w:r>
      <w:r w:rsidRPr="002D5803">
        <w:rPr>
          <w:lang w:val="fr-FR"/>
        </w:rPr>
        <w:t>En ce qui concerne le groupe ethnique des Tuvas, la majorité des 4</w:t>
      </w:r>
      <w:r w:rsidR="00E405E6">
        <w:rPr>
          <w:lang w:val="fr-FR"/>
        </w:rPr>
        <w:t> </w:t>
      </w:r>
      <w:r w:rsidRPr="002D5803">
        <w:rPr>
          <w:lang w:val="fr-FR"/>
        </w:rPr>
        <w:t>063 Tuvas</w:t>
      </w:r>
      <w:r>
        <w:rPr>
          <w:lang w:val="fr-FR"/>
        </w:rPr>
        <w:t xml:space="preserve"> qui vivent en Mongolie résident dans la province de </w:t>
      </w:r>
      <w:r w:rsidRPr="002D5803">
        <w:rPr>
          <w:lang w:val="fr-FR"/>
        </w:rPr>
        <w:t>Huvsgul</w:t>
      </w:r>
      <w:r>
        <w:rPr>
          <w:lang w:val="fr-FR"/>
        </w:rPr>
        <w:t xml:space="preserve">, les autres étant dispersés dans les provinces de </w:t>
      </w:r>
      <w:r w:rsidRPr="00524E75">
        <w:rPr>
          <w:lang w:val="fr-FR"/>
        </w:rPr>
        <w:t xml:space="preserve">Bayan-Ulgii, </w:t>
      </w:r>
      <w:r>
        <w:rPr>
          <w:lang w:val="fr-FR"/>
        </w:rPr>
        <w:t xml:space="preserve">de </w:t>
      </w:r>
      <w:r w:rsidRPr="00524E75">
        <w:rPr>
          <w:lang w:val="fr-FR"/>
        </w:rPr>
        <w:t xml:space="preserve">Selenge, </w:t>
      </w:r>
      <w:r>
        <w:rPr>
          <w:lang w:val="fr-FR"/>
        </w:rPr>
        <w:t xml:space="preserve">de </w:t>
      </w:r>
      <w:r w:rsidRPr="00524E75">
        <w:rPr>
          <w:lang w:val="fr-FR"/>
        </w:rPr>
        <w:t xml:space="preserve">Hovd, </w:t>
      </w:r>
      <w:r>
        <w:rPr>
          <w:lang w:val="fr-FR"/>
        </w:rPr>
        <w:t xml:space="preserve">de </w:t>
      </w:r>
      <w:r w:rsidRPr="00524E75">
        <w:rPr>
          <w:lang w:val="fr-FR"/>
        </w:rPr>
        <w:t xml:space="preserve">Darkhan-Uul </w:t>
      </w:r>
      <w:r>
        <w:rPr>
          <w:lang w:val="fr-FR"/>
        </w:rPr>
        <w:t>et de</w:t>
      </w:r>
      <w:r w:rsidRPr="00524E75">
        <w:rPr>
          <w:lang w:val="fr-FR"/>
        </w:rPr>
        <w:t xml:space="preserve"> Tuv</w:t>
      </w:r>
      <w:r>
        <w:rPr>
          <w:lang w:val="fr-FR"/>
        </w:rPr>
        <w:t>.</w:t>
      </w:r>
    </w:p>
    <w:p w:rsidR="00C57CC5" w:rsidRPr="0004341B" w:rsidRDefault="00C57CC5" w:rsidP="00C57CC5">
      <w:pPr>
        <w:pStyle w:val="SingleTxtG"/>
        <w:rPr>
          <w:lang w:val="fr-FR"/>
        </w:rPr>
      </w:pPr>
      <w:r w:rsidRPr="009C57D9">
        <w:rPr>
          <w:lang w:val="fr-FR"/>
        </w:rPr>
        <w:t>18.</w:t>
      </w:r>
      <w:r w:rsidRPr="009C57D9">
        <w:rPr>
          <w:lang w:val="fr-FR"/>
        </w:rPr>
        <w:tab/>
      </w:r>
      <w:r w:rsidRPr="008A28C2">
        <w:rPr>
          <w:lang w:val="fr-FR"/>
        </w:rPr>
        <w:t>La population des T</w:t>
      </w:r>
      <w:r>
        <w:rPr>
          <w:lang w:val="fr-FR"/>
        </w:rPr>
        <w:t>uva</w:t>
      </w:r>
      <w:r w:rsidRPr="008A28C2">
        <w:rPr>
          <w:lang w:val="fr-FR"/>
        </w:rPr>
        <w:t xml:space="preserve">s comprend </w:t>
      </w:r>
      <w:r>
        <w:rPr>
          <w:lang w:val="fr-FR"/>
        </w:rPr>
        <w:t>32,</w:t>
      </w:r>
      <w:r w:rsidRPr="009A3596">
        <w:rPr>
          <w:lang w:val="fr-FR"/>
        </w:rPr>
        <w:t>8</w:t>
      </w:r>
      <w:r w:rsidR="00B32703">
        <w:rPr>
          <w:lang w:val="fr-FR"/>
        </w:rPr>
        <w:t> %</w:t>
      </w:r>
      <w:r w:rsidRPr="008A28C2">
        <w:rPr>
          <w:lang w:val="fr-FR"/>
        </w:rPr>
        <w:t xml:space="preserve"> de personnes âgées d</w:t>
      </w:r>
      <w:r>
        <w:rPr>
          <w:lang w:val="fr-FR"/>
        </w:rPr>
        <w:t>e</w:t>
      </w:r>
      <w:r w:rsidRPr="008A28C2">
        <w:rPr>
          <w:lang w:val="fr-FR"/>
        </w:rPr>
        <w:t xml:space="preserve"> 0 à 14</w:t>
      </w:r>
      <w:r w:rsidR="00E405E6">
        <w:rPr>
          <w:lang w:val="fr-FR"/>
        </w:rPr>
        <w:t> </w:t>
      </w:r>
      <w:r w:rsidRPr="008A28C2">
        <w:rPr>
          <w:lang w:val="fr-FR"/>
        </w:rPr>
        <w:t xml:space="preserve">ans, </w:t>
      </w:r>
      <w:r>
        <w:rPr>
          <w:lang w:val="fr-FR"/>
        </w:rPr>
        <w:t>63,</w:t>
      </w:r>
      <w:r w:rsidRPr="009A3596">
        <w:rPr>
          <w:lang w:val="fr-FR"/>
        </w:rPr>
        <w:t>6</w:t>
      </w:r>
      <w:r w:rsidR="00B32703">
        <w:rPr>
          <w:lang w:val="fr-FR"/>
        </w:rPr>
        <w:t> %</w:t>
      </w:r>
      <w:r w:rsidR="00E405E6">
        <w:rPr>
          <w:lang w:val="fr-FR"/>
        </w:rPr>
        <w:t xml:space="preserve"> de personnes âgées de 15 à 64 </w:t>
      </w:r>
      <w:r w:rsidRPr="008A28C2">
        <w:rPr>
          <w:lang w:val="fr-FR"/>
        </w:rPr>
        <w:t xml:space="preserve">ans et </w:t>
      </w:r>
      <w:r>
        <w:rPr>
          <w:lang w:val="fr-FR"/>
        </w:rPr>
        <w:t>3,</w:t>
      </w:r>
      <w:r w:rsidRPr="009A3596">
        <w:rPr>
          <w:lang w:val="fr-FR"/>
        </w:rPr>
        <w:t>6</w:t>
      </w:r>
      <w:r w:rsidR="00B32703">
        <w:rPr>
          <w:lang w:val="fr-FR"/>
        </w:rPr>
        <w:t> %</w:t>
      </w:r>
      <w:r w:rsidRPr="008A28C2">
        <w:rPr>
          <w:lang w:val="fr-FR"/>
        </w:rPr>
        <w:t xml:space="preserve"> de personnes âgées </w:t>
      </w:r>
      <w:r w:rsidR="00E405E6">
        <w:rPr>
          <w:lang w:val="fr-FR"/>
        </w:rPr>
        <w:t>de 65 </w:t>
      </w:r>
      <w:r w:rsidRPr="009C1B59">
        <w:rPr>
          <w:lang w:val="fr-FR"/>
        </w:rPr>
        <w:t>ans</w:t>
      </w:r>
      <w:r w:rsidRPr="00801533">
        <w:rPr>
          <w:lang w:val="fr-FR"/>
        </w:rPr>
        <w:t xml:space="preserve"> </w:t>
      </w:r>
      <w:r>
        <w:rPr>
          <w:lang w:val="fr-FR"/>
        </w:rPr>
        <w:t>ou</w:t>
      </w:r>
      <w:r w:rsidRPr="009C1B59">
        <w:rPr>
          <w:lang w:val="fr-FR"/>
        </w:rPr>
        <w:t xml:space="preserve"> plus.</w:t>
      </w:r>
      <w:r w:rsidRPr="008A28C2">
        <w:rPr>
          <w:lang w:val="fr-FR"/>
        </w:rPr>
        <w:t xml:space="preserve"> Par statut marital, les T</w:t>
      </w:r>
      <w:r>
        <w:rPr>
          <w:lang w:val="fr-FR"/>
        </w:rPr>
        <w:t>uva</w:t>
      </w:r>
      <w:r w:rsidRPr="008A28C2">
        <w:rPr>
          <w:lang w:val="fr-FR"/>
        </w:rPr>
        <w:t>s âgés de 15</w:t>
      </w:r>
      <w:r w:rsidR="00E405E6">
        <w:rPr>
          <w:lang w:val="fr-FR"/>
        </w:rPr>
        <w:t> </w:t>
      </w:r>
      <w:r w:rsidRPr="008A28C2">
        <w:rPr>
          <w:lang w:val="fr-FR"/>
        </w:rPr>
        <w:t xml:space="preserve">ans ou </w:t>
      </w:r>
      <w:r>
        <w:rPr>
          <w:lang w:val="fr-FR"/>
        </w:rPr>
        <w:t>plus se répartissent comme suit :</w:t>
      </w:r>
      <w:r w:rsidRPr="008A28C2">
        <w:rPr>
          <w:lang w:val="fr-FR"/>
        </w:rPr>
        <w:t xml:space="preserve"> </w:t>
      </w:r>
      <w:r>
        <w:rPr>
          <w:lang w:val="fr-FR"/>
        </w:rPr>
        <w:t>36,</w:t>
      </w:r>
      <w:r w:rsidRPr="009A3596">
        <w:rPr>
          <w:lang w:val="fr-FR"/>
        </w:rPr>
        <w:t>1</w:t>
      </w:r>
      <w:r w:rsidR="00B32703">
        <w:rPr>
          <w:lang w:val="fr-FR"/>
        </w:rPr>
        <w:t> %</w:t>
      </w:r>
      <w:r w:rsidRPr="008A28C2">
        <w:rPr>
          <w:lang w:val="fr-FR"/>
        </w:rPr>
        <w:t xml:space="preserve"> sont </w:t>
      </w:r>
      <w:r>
        <w:rPr>
          <w:lang w:val="fr-FR"/>
        </w:rPr>
        <w:t>célibataires</w:t>
      </w:r>
      <w:r w:rsidRPr="008A28C2">
        <w:rPr>
          <w:lang w:val="fr-FR"/>
        </w:rPr>
        <w:t xml:space="preserve">, </w:t>
      </w:r>
      <w:r>
        <w:rPr>
          <w:lang w:val="fr-FR"/>
        </w:rPr>
        <w:t>54,</w:t>
      </w:r>
      <w:r w:rsidRPr="009A3596">
        <w:rPr>
          <w:lang w:val="fr-FR"/>
        </w:rPr>
        <w:t>1</w:t>
      </w:r>
      <w:r w:rsidR="00B32703">
        <w:rPr>
          <w:lang w:val="fr-FR"/>
        </w:rPr>
        <w:t> %</w:t>
      </w:r>
      <w:r w:rsidRPr="008A28C2">
        <w:rPr>
          <w:lang w:val="fr-FR"/>
        </w:rPr>
        <w:t xml:space="preserve"> sont mariés et </w:t>
      </w:r>
      <w:r>
        <w:rPr>
          <w:lang w:val="fr-FR"/>
        </w:rPr>
        <w:t>9,</w:t>
      </w:r>
      <w:r w:rsidRPr="00F66938">
        <w:rPr>
          <w:lang w:val="fr-FR"/>
        </w:rPr>
        <w:t>8</w:t>
      </w:r>
      <w:r w:rsidR="00B32703">
        <w:rPr>
          <w:lang w:val="fr-FR"/>
        </w:rPr>
        <w:t> %</w:t>
      </w:r>
      <w:r w:rsidRPr="008A28C2">
        <w:rPr>
          <w:lang w:val="fr-FR"/>
        </w:rPr>
        <w:t xml:space="preserve"> sont veufs, d</w:t>
      </w:r>
      <w:r>
        <w:rPr>
          <w:lang w:val="fr-FR"/>
        </w:rPr>
        <w:t>ivorcés ou séparés</w:t>
      </w:r>
      <w:r w:rsidRPr="00302220">
        <w:rPr>
          <w:lang w:val="fr-FR"/>
        </w:rPr>
        <w:t xml:space="preserve">. </w:t>
      </w:r>
      <w:r>
        <w:rPr>
          <w:lang w:val="fr-FR"/>
        </w:rPr>
        <w:t xml:space="preserve">Selon les données disponibles, on compte </w:t>
      </w:r>
      <w:r w:rsidRPr="00302220">
        <w:rPr>
          <w:lang w:val="fr-FR"/>
        </w:rPr>
        <w:t>3,1</w:t>
      </w:r>
      <w:r w:rsidR="00B32703">
        <w:rPr>
          <w:lang w:val="fr-FR"/>
        </w:rPr>
        <w:t> %</w:t>
      </w:r>
      <w:r w:rsidRPr="00413B26">
        <w:rPr>
          <w:lang w:val="fr-FR"/>
        </w:rPr>
        <w:t xml:space="preserve"> </w:t>
      </w:r>
      <w:r>
        <w:rPr>
          <w:lang w:val="fr-FR"/>
        </w:rPr>
        <w:t>de personnes handicapées parmi les Tuvas</w:t>
      </w:r>
      <w:r w:rsidRPr="00302220">
        <w:rPr>
          <w:lang w:val="fr-FR"/>
        </w:rPr>
        <w:t>.</w:t>
      </w:r>
    </w:p>
    <w:p w:rsidR="00C57CC5" w:rsidRPr="00D36D93" w:rsidRDefault="00C57CC5" w:rsidP="00C57CC5">
      <w:pPr>
        <w:pStyle w:val="SingleTxtG"/>
        <w:rPr>
          <w:lang w:val="fr-FR"/>
        </w:rPr>
      </w:pPr>
      <w:r w:rsidRPr="00A01A7D">
        <w:rPr>
          <w:lang w:val="fr-FR"/>
        </w:rPr>
        <w:t>19.</w:t>
      </w:r>
      <w:r w:rsidRPr="00A01A7D">
        <w:rPr>
          <w:lang w:val="fr-FR"/>
        </w:rPr>
        <w:tab/>
      </w:r>
      <w:r w:rsidRPr="00D36D93">
        <w:rPr>
          <w:lang w:val="fr-FR"/>
        </w:rPr>
        <w:t xml:space="preserve">S’agissant du niveau d’instruction des </w:t>
      </w:r>
      <w:r>
        <w:rPr>
          <w:lang w:val="fr-FR"/>
        </w:rPr>
        <w:t>personne</w:t>
      </w:r>
      <w:r w:rsidRPr="00D36D93">
        <w:rPr>
          <w:lang w:val="fr-FR"/>
        </w:rPr>
        <w:t>s âgé</w:t>
      </w:r>
      <w:r>
        <w:rPr>
          <w:lang w:val="fr-FR"/>
        </w:rPr>
        <w:t>es de 6</w:t>
      </w:r>
      <w:r w:rsidR="00E405E6">
        <w:rPr>
          <w:lang w:val="fr-FR"/>
        </w:rPr>
        <w:t> </w:t>
      </w:r>
      <w:r>
        <w:rPr>
          <w:lang w:val="fr-FR"/>
        </w:rPr>
        <w:t>ans ou</w:t>
      </w:r>
      <w:r w:rsidRPr="00D36D93">
        <w:rPr>
          <w:lang w:val="fr-FR"/>
        </w:rPr>
        <w:t xml:space="preserve"> plus, 83</w:t>
      </w:r>
      <w:r w:rsidR="00B32703">
        <w:rPr>
          <w:lang w:val="fr-FR"/>
        </w:rPr>
        <w:t> %</w:t>
      </w:r>
      <w:r w:rsidRPr="00D36D93">
        <w:rPr>
          <w:lang w:val="fr-FR"/>
        </w:rPr>
        <w:t xml:space="preserve"> ont reçu une instructio</w:t>
      </w:r>
      <w:r>
        <w:rPr>
          <w:lang w:val="fr-FR"/>
        </w:rPr>
        <w:t>n.</w:t>
      </w:r>
      <w:r w:rsidRPr="00D36D93">
        <w:rPr>
          <w:lang w:val="fr-FR"/>
        </w:rPr>
        <w:t xml:space="preserve"> 6</w:t>
      </w:r>
      <w:r>
        <w:rPr>
          <w:lang w:val="fr-FR"/>
        </w:rPr>
        <w:t>,6</w:t>
      </w:r>
      <w:r w:rsidR="00B32703">
        <w:rPr>
          <w:lang w:val="fr-FR"/>
        </w:rPr>
        <w:t> %</w:t>
      </w:r>
      <w:r w:rsidRPr="00D36D93">
        <w:rPr>
          <w:lang w:val="fr-FR"/>
        </w:rPr>
        <w:t xml:space="preserve"> d’entre e</w:t>
      </w:r>
      <w:r>
        <w:rPr>
          <w:lang w:val="fr-FR"/>
        </w:rPr>
        <w:t>lles</w:t>
      </w:r>
      <w:r w:rsidRPr="00D36D93">
        <w:rPr>
          <w:lang w:val="fr-FR"/>
        </w:rPr>
        <w:t xml:space="preserve"> ont </w:t>
      </w:r>
      <w:r>
        <w:rPr>
          <w:lang w:val="fr-FR"/>
        </w:rPr>
        <w:t>suivi des études</w:t>
      </w:r>
      <w:r w:rsidRPr="00D36D93">
        <w:rPr>
          <w:lang w:val="fr-FR"/>
        </w:rPr>
        <w:t xml:space="preserve"> supérieur</w:t>
      </w:r>
      <w:r>
        <w:rPr>
          <w:lang w:val="fr-FR"/>
        </w:rPr>
        <w:t>es, 2,6</w:t>
      </w:r>
      <w:r w:rsidR="00B32703">
        <w:rPr>
          <w:lang w:val="fr-FR"/>
        </w:rPr>
        <w:t> %</w:t>
      </w:r>
      <w:r>
        <w:rPr>
          <w:lang w:val="fr-FR"/>
        </w:rPr>
        <w:t xml:space="preserve"> ont reçu </w:t>
      </w:r>
      <w:r w:rsidRPr="00D36D93">
        <w:rPr>
          <w:lang w:val="fr-FR"/>
        </w:rPr>
        <w:t xml:space="preserve">un enseignement spécialisé et </w:t>
      </w:r>
      <w:r>
        <w:rPr>
          <w:lang w:val="fr-FR"/>
        </w:rPr>
        <w:t>3,3</w:t>
      </w:r>
      <w:r w:rsidR="00B32703">
        <w:rPr>
          <w:lang w:val="fr-FR"/>
        </w:rPr>
        <w:t> %</w:t>
      </w:r>
      <w:r>
        <w:rPr>
          <w:lang w:val="fr-FR"/>
        </w:rPr>
        <w:t xml:space="preserve"> </w:t>
      </w:r>
      <w:r w:rsidRPr="00D36D93">
        <w:rPr>
          <w:lang w:val="fr-FR"/>
        </w:rPr>
        <w:t>une éducation technique</w:t>
      </w:r>
      <w:r w:rsidRPr="007F2072">
        <w:rPr>
          <w:lang w:val="fr-FR"/>
        </w:rPr>
        <w:t xml:space="preserve"> </w:t>
      </w:r>
      <w:r w:rsidRPr="00D36D93">
        <w:rPr>
          <w:lang w:val="fr-FR"/>
        </w:rPr>
        <w:t>et professionnelle, 21</w:t>
      </w:r>
      <w:r>
        <w:rPr>
          <w:lang w:val="fr-FR"/>
        </w:rPr>
        <w:t>,</w:t>
      </w:r>
      <w:r w:rsidRPr="00D36D93">
        <w:rPr>
          <w:lang w:val="fr-FR"/>
        </w:rPr>
        <w:t>7</w:t>
      </w:r>
      <w:r w:rsidR="00B32703">
        <w:rPr>
          <w:lang w:val="fr-FR"/>
        </w:rPr>
        <w:t> %</w:t>
      </w:r>
      <w:r w:rsidRPr="00D36D93">
        <w:rPr>
          <w:lang w:val="fr-FR"/>
        </w:rPr>
        <w:t xml:space="preserve"> ont achevé le deuxième cycle du secondaire, 23</w:t>
      </w:r>
      <w:r>
        <w:rPr>
          <w:lang w:val="fr-FR"/>
        </w:rPr>
        <w:t>,</w:t>
      </w:r>
      <w:r w:rsidRPr="00D36D93">
        <w:rPr>
          <w:lang w:val="fr-FR"/>
        </w:rPr>
        <w:t>8</w:t>
      </w:r>
      <w:r w:rsidR="00B32703">
        <w:rPr>
          <w:lang w:val="fr-FR"/>
        </w:rPr>
        <w:t> %</w:t>
      </w:r>
      <w:r w:rsidRPr="00D36D93">
        <w:rPr>
          <w:lang w:val="fr-FR"/>
        </w:rPr>
        <w:t xml:space="preserve"> ont suivi des études secondaires générales et </w:t>
      </w:r>
      <w:r>
        <w:rPr>
          <w:lang w:val="fr-FR"/>
        </w:rPr>
        <w:t>25</w:t>
      </w:r>
      <w:r w:rsidR="00B32703">
        <w:rPr>
          <w:lang w:val="fr-FR"/>
        </w:rPr>
        <w:t> %</w:t>
      </w:r>
      <w:r w:rsidRPr="00D36D93">
        <w:rPr>
          <w:lang w:val="fr-FR"/>
        </w:rPr>
        <w:t xml:space="preserve"> ont achevé le cycle du primaire. 17,2</w:t>
      </w:r>
      <w:r w:rsidR="00B32703">
        <w:rPr>
          <w:lang w:val="fr-FR"/>
        </w:rPr>
        <w:t> %</w:t>
      </w:r>
      <w:r w:rsidRPr="00D36D93">
        <w:rPr>
          <w:lang w:val="fr-FR"/>
        </w:rPr>
        <w:t xml:space="preserve"> des </w:t>
      </w:r>
      <w:r w:rsidRPr="00A01A7D">
        <w:rPr>
          <w:lang w:val="fr-FR"/>
        </w:rPr>
        <w:t>Tuvas</w:t>
      </w:r>
      <w:r w:rsidRPr="00D36D93">
        <w:rPr>
          <w:lang w:val="fr-FR"/>
        </w:rPr>
        <w:t xml:space="preserve"> n’ont reçu </w:t>
      </w:r>
      <w:r>
        <w:rPr>
          <w:lang w:val="fr-FR"/>
        </w:rPr>
        <w:t xml:space="preserve">aucune </w:t>
      </w:r>
      <w:r w:rsidRPr="00D36D93">
        <w:rPr>
          <w:lang w:val="fr-FR"/>
        </w:rPr>
        <w:t>instruction.</w:t>
      </w:r>
    </w:p>
    <w:p w:rsidR="00C57CC5" w:rsidRPr="00FD0A4A" w:rsidRDefault="00C57CC5" w:rsidP="00C57CC5">
      <w:pPr>
        <w:pStyle w:val="SingleTxtG"/>
        <w:rPr>
          <w:lang w:val="fr-FR"/>
        </w:rPr>
      </w:pPr>
      <w:r w:rsidRPr="00B005F8">
        <w:rPr>
          <w:lang w:val="fr-FR"/>
        </w:rPr>
        <w:lastRenderedPageBreak/>
        <w:t>20.</w:t>
      </w:r>
      <w:r w:rsidRPr="00B005F8">
        <w:rPr>
          <w:lang w:val="fr-FR"/>
        </w:rPr>
        <w:tab/>
      </w:r>
      <w:r w:rsidRPr="007F2072">
        <w:rPr>
          <w:lang w:val="fr-FR"/>
        </w:rPr>
        <w:t>40,6</w:t>
      </w:r>
      <w:r w:rsidR="00B32703">
        <w:rPr>
          <w:lang w:val="fr-FR"/>
        </w:rPr>
        <w:t> %</w:t>
      </w:r>
      <w:r>
        <w:rPr>
          <w:lang w:val="fr-FR"/>
        </w:rPr>
        <w:t xml:space="preserve"> </w:t>
      </w:r>
      <w:r w:rsidRPr="00FD0A4A">
        <w:rPr>
          <w:lang w:val="fr-FR"/>
        </w:rPr>
        <w:t xml:space="preserve">des personnes appartenant au groupe ethnique des Tuvas </w:t>
      </w:r>
      <w:r>
        <w:rPr>
          <w:lang w:val="fr-FR"/>
        </w:rPr>
        <w:t>travaillent</w:t>
      </w:r>
      <w:r w:rsidRPr="00FD0A4A">
        <w:rPr>
          <w:lang w:val="fr-FR"/>
        </w:rPr>
        <w:t xml:space="preserve"> et 59</w:t>
      </w:r>
      <w:r>
        <w:rPr>
          <w:lang w:val="fr-FR"/>
        </w:rPr>
        <w:t>,</w:t>
      </w:r>
      <w:r w:rsidRPr="00FD0A4A">
        <w:rPr>
          <w:lang w:val="fr-FR"/>
        </w:rPr>
        <w:t>4</w:t>
      </w:r>
      <w:r w:rsidR="00E405E6">
        <w:rPr>
          <w:lang w:val="fr-FR"/>
        </w:rPr>
        <w:t> </w:t>
      </w:r>
      <w:r>
        <w:rPr>
          <w:lang w:val="fr-FR"/>
        </w:rPr>
        <w:t xml:space="preserve">sont </w:t>
      </w:r>
      <w:r w:rsidRPr="003342AA">
        <w:rPr>
          <w:lang w:val="fr-FR"/>
        </w:rPr>
        <w:t>sans empl</w:t>
      </w:r>
      <w:r>
        <w:rPr>
          <w:lang w:val="fr-FR"/>
        </w:rPr>
        <w:t>oi. Sur l’ensemble des personnes qui travaillent</w:t>
      </w:r>
      <w:r w:rsidRPr="003342AA">
        <w:rPr>
          <w:lang w:val="fr-FR"/>
        </w:rPr>
        <w:t xml:space="preserve">, </w:t>
      </w:r>
      <w:r w:rsidRPr="0057062D">
        <w:rPr>
          <w:lang w:val="fr-FR"/>
        </w:rPr>
        <w:t>63</w:t>
      </w:r>
      <w:r>
        <w:rPr>
          <w:lang w:val="fr-FR"/>
        </w:rPr>
        <w:t>,</w:t>
      </w:r>
      <w:r w:rsidRPr="0057062D">
        <w:rPr>
          <w:lang w:val="fr-FR"/>
        </w:rPr>
        <w:t>9</w:t>
      </w:r>
      <w:r w:rsidR="00B32703">
        <w:rPr>
          <w:lang w:val="fr-FR"/>
        </w:rPr>
        <w:t> %</w:t>
      </w:r>
      <w:r w:rsidRPr="003342AA">
        <w:rPr>
          <w:lang w:val="fr-FR"/>
        </w:rPr>
        <w:t xml:space="preserve"> sont indépendants</w:t>
      </w:r>
      <w:r>
        <w:rPr>
          <w:lang w:val="fr-FR"/>
        </w:rPr>
        <w:t xml:space="preserve"> </w:t>
      </w:r>
      <w:r w:rsidRPr="003342AA">
        <w:rPr>
          <w:lang w:val="fr-FR"/>
        </w:rPr>
        <w:t xml:space="preserve">et </w:t>
      </w:r>
      <w:r w:rsidRPr="0057062D">
        <w:rPr>
          <w:lang w:val="fr-FR"/>
        </w:rPr>
        <w:t>31</w:t>
      </w:r>
      <w:r>
        <w:rPr>
          <w:lang w:val="fr-FR"/>
        </w:rPr>
        <w:t>,</w:t>
      </w:r>
      <w:r w:rsidRPr="0057062D">
        <w:rPr>
          <w:lang w:val="fr-FR"/>
        </w:rPr>
        <w:t>1</w:t>
      </w:r>
      <w:r w:rsidR="00B32703">
        <w:rPr>
          <w:lang w:val="fr-FR"/>
        </w:rPr>
        <w:t> %</w:t>
      </w:r>
      <w:r w:rsidRPr="003342AA">
        <w:rPr>
          <w:lang w:val="fr-FR"/>
        </w:rPr>
        <w:t xml:space="preserve"> </w:t>
      </w:r>
      <w:r>
        <w:rPr>
          <w:lang w:val="fr-FR"/>
        </w:rPr>
        <w:t xml:space="preserve">sont </w:t>
      </w:r>
      <w:r w:rsidRPr="003342AA">
        <w:rPr>
          <w:lang w:val="fr-FR"/>
        </w:rPr>
        <w:t xml:space="preserve">salariés. </w:t>
      </w:r>
      <w:r w:rsidRPr="00E55438">
        <w:rPr>
          <w:lang w:val="fr-FR"/>
        </w:rPr>
        <w:t>44,9</w:t>
      </w:r>
      <w:r w:rsidR="00B32703">
        <w:rPr>
          <w:lang w:val="fr-FR"/>
        </w:rPr>
        <w:t> %</w:t>
      </w:r>
      <w:r w:rsidRPr="003342AA">
        <w:rPr>
          <w:lang w:val="fr-FR"/>
        </w:rPr>
        <w:t xml:space="preserve"> </w:t>
      </w:r>
      <w:r>
        <w:rPr>
          <w:lang w:val="fr-FR"/>
        </w:rPr>
        <w:t>des personnes</w:t>
      </w:r>
      <w:r w:rsidRPr="003342AA">
        <w:rPr>
          <w:lang w:val="fr-FR"/>
        </w:rPr>
        <w:t xml:space="preserve"> sans emploi suivent une formation, </w:t>
      </w:r>
      <w:r w:rsidRPr="0057062D">
        <w:rPr>
          <w:lang w:val="fr-FR"/>
        </w:rPr>
        <w:t>16</w:t>
      </w:r>
      <w:r>
        <w:rPr>
          <w:lang w:val="fr-FR"/>
        </w:rPr>
        <w:t>,</w:t>
      </w:r>
      <w:r w:rsidRPr="0057062D">
        <w:rPr>
          <w:lang w:val="fr-FR"/>
        </w:rPr>
        <w:t>4</w:t>
      </w:r>
      <w:r w:rsidR="00B32703">
        <w:rPr>
          <w:lang w:val="fr-FR"/>
        </w:rPr>
        <w:t> %</w:t>
      </w:r>
      <w:r w:rsidRPr="003342AA">
        <w:rPr>
          <w:lang w:val="fr-FR"/>
        </w:rPr>
        <w:t xml:space="preserve"> sont à la retraite, </w:t>
      </w:r>
      <w:r>
        <w:rPr>
          <w:lang w:val="fr-FR"/>
        </w:rPr>
        <w:t>12</w:t>
      </w:r>
      <w:r w:rsidR="00B32703">
        <w:rPr>
          <w:lang w:val="fr-FR"/>
        </w:rPr>
        <w:t> %</w:t>
      </w:r>
      <w:r w:rsidRPr="003342AA">
        <w:rPr>
          <w:lang w:val="fr-FR"/>
        </w:rPr>
        <w:t xml:space="preserve"> ne peuvent pas trouver d’emploi adapté et </w:t>
      </w:r>
      <w:r>
        <w:rPr>
          <w:lang w:val="fr-FR"/>
        </w:rPr>
        <w:t>7</w:t>
      </w:r>
      <w:r w:rsidR="00B32703">
        <w:rPr>
          <w:lang w:val="fr-FR"/>
        </w:rPr>
        <w:t> %</w:t>
      </w:r>
      <w:r>
        <w:rPr>
          <w:lang w:val="fr-FR"/>
        </w:rPr>
        <w:t xml:space="preserve"> sont des demandeurs d’emploi.</w:t>
      </w:r>
      <w:r w:rsidRPr="003342AA">
        <w:rPr>
          <w:lang w:val="fr-FR"/>
        </w:rPr>
        <w:t xml:space="preserve"> </w:t>
      </w:r>
    </w:p>
    <w:p w:rsidR="00C57CC5" w:rsidRPr="00CE3571" w:rsidRDefault="00C57CC5" w:rsidP="00E405E6">
      <w:pPr>
        <w:pStyle w:val="H23G"/>
        <w:rPr>
          <w:lang w:val="fr-FR"/>
        </w:rPr>
      </w:pPr>
      <w:r w:rsidRPr="00FD0A4A">
        <w:rPr>
          <w:lang w:val="fr-FR"/>
        </w:rPr>
        <w:tab/>
      </w:r>
      <w:r w:rsidRPr="00CE3571">
        <w:rPr>
          <w:lang w:val="fr-FR"/>
        </w:rPr>
        <w:t>b)</w:t>
      </w:r>
      <w:r w:rsidRPr="00CE3571">
        <w:rPr>
          <w:lang w:val="fr-FR"/>
        </w:rPr>
        <w:tab/>
      </w:r>
      <w:r>
        <w:rPr>
          <w:lang w:val="fr-FR"/>
        </w:rPr>
        <w:t>S</w:t>
      </w:r>
      <w:r w:rsidRPr="00CE3571">
        <w:rPr>
          <w:lang w:val="fr-FR"/>
        </w:rPr>
        <w:t>ituation socioéconomique des non-ressortissants, notamment des demandeurs d’asile, des réfugiés, des migrants et des apatrides</w:t>
      </w:r>
    </w:p>
    <w:p w:rsidR="00C57CC5" w:rsidRPr="00B3711A" w:rsidRDefault="00C57CC5" w:rsidP="00C57CC5">
      <w:pPr>
        <w:pStyle w:val="SingleTxtG"/>
        <w:rPr>
          <w:lang w:val="fr-FR"/>
        </w:rPr>
      </w:pPr>
      <w:r w:rsidRPr="00C053AD">
        <w:rPr>
          <w:lang w:val="fr-FR"/>
        </w:rPr>
        <w:t>21.</w:t>
      </w:r>
      <w:r w:rsidRPr="00C053AD">
        <w:rPr>
          <w:lang w:val="fr-FR"/>
        </w:rPr>
        <w:tab/>
      </w:r>
      <w:r w:rsidRPr="009C2A34">
        <w:rPr>
          <w:lang w:val="fr-FR"/>
        </w:rPr>
        <w:t>L’alinéa 3 du paragraphe 3 de l’article 7</w:t>
      </w:r>
      <w:r w:rsidRPr="00B3711A">
        <w:rPr>
          <w:lang w:val="fr-FR"/>
        </w:rPr>
        <w:t xml:space="preserve"> de la loi sur le statut juridique des ressortissants étrangers</w:t>
      </w:r>
      <w:r>
        <w:rPr>
          <w:rStyle w:val="Appelnotedebasdep"/>
          <w:lang w:val="fr-FR"/>
        </w:rPr>
        <w:footnoteReference w:id="10"/>
      </w:r>
      <w:r w:rsidRPr="00B3711A">
        <w:rPr>
          <w:lang w:val="fr-FR"/>
        </w:rPr>
        <w:t xml:space="preserve"> dispose que les ressortissants étrangers ont le droit de demander l’asile politique</w:t>
      </w:r>
      <w:r>
        <w:rPr>
          <w:lang w:val="fr-FR"/>
        </w:rPr>
        <w:t xml:space="preserve"> en Mongolie. En vertu du paragraphe 1 de l’article 9, </w:t>
      </w:r>
      <w:r w:rsidRPr="0090164C">
        <w:rPr>
          <w:lang w:val="fr-FR"/>
        </w:rPr>
        <w:t>le Président de la Mongolie accorde le droit d’asile à un ressortissant étranger victime de persécution</w:t>
      </w:r>
      <w:r>
        <w:rPr>
          <w:lang w:val="fr-FR"/>
        </w:rPr>
        <w:t>s</w:t>
      </w:r>
      <w:r w:rsidRPr="0090164C">
        <w:rPr>
          <w:lang w:val="fr-FR"/>
        </w:rPr>
        <w:t xml:space="preserve"> </w:t>
      </w:r>
      <w:r>
        <w:rPr>
          <w:lang w:val="fr-FR"/>
        </w:rPr>
        <w:t xml:space="preserve">politiques </w:t>
      </w:r>
      <w:r w:rsidRPr="0090164C">
        <w:rPr>
          <w:lang w:val="fr-FR"/>
        </w:rPr>
        <w:t>en raison de ses convictions.</w:t>
      </w:r>
    </w:p>
    <w:p w:rsidR="00C57CC5" w:rsidRPr="001658E5" w:rsidRDefault="00C57CC5" w:rsidP="00C57CC5">
      <w:pPr>
        <w:pStyle w:val="SingleTxtG"/>
        <w:rPr>
          <w:lang w:val="fr-FR"/>
        </w:rPr>
      </w:pPr>
      <w:r w:rsidRPr="0078610B">
        <w:rPr>
          <w:lang w:val="fr-FR"/>
        </w:rPr>
        <w:t>22.</w:t>
      </w:r>
      <w:r w:rsidRPr="0078610B">
        <w:rPr>
          <w:lang w:val="fr-FR"/>
        </w:rPr>
        <w:tab/>
      </w:r>
      <w:r>
        <w:rPr>
          <w:lang w:val="fr-FR"/>
        </w:rPr>
        <w:t xml:space="preserve">Le paragraphe 2 de l’article 7 </w:t>
      </w:r>
      <w:r w:rsidRPr="00B3711A">
        <w:rPr>
          <w:lang w:val="fr-FR"/>
        </w:rPr>
        <w:t>de la loi sur le statut juridique des ressortissants étrangers</w:t>
      </w:r>
      <w:r w:rsidRPr="00C053AD">
        <w:rPr>
          <w:lang w:val="fr-FR"/>
        </w:rPr>
        <w:t xml:space="preserve"> définit le</w:t>
      </w:r>
      <w:r>
        <w:rPr>
          <w:lang w:val="fr-FR"/>
        </w:rPr>
        <w:t>ur</w:t>
      </w:r>
      <w:r w:rsidRPr="00C053AD">
        <w:rPr>
          <w:lang w:val="fr-FR"/>
        </w:rPr>
        <w:t xml:space="preserve">s droits et obligations </w:t>
      </w:r>
      <w:r>
        <w:rPr>
          <w:lang w:val="fr-FR"/>
        </w:rPr>
        <w:t xml:space="preserve">et </w:t>
      </w:r>
      <w:r w:rsidRPr="000D18FE">
        <w:rPr>
          <w:lang w:val="fr-FR"/>
        </w:rPr>
        <w:t xml:space="preserve">prévoit </w:t>
      </w:r>
      <w:r>
        <w:rPr>
          <w:lang w:val="fr-FR"/>
        </w:rPr>
        <w:t>qu’ils</w:t>
      </w:r>
      <w:r w:rsidRPr="000D18FE">
        <w:rPr>
          <w:lang w:val="fr-FR"/>
        </w:rPr>
        <w:t xml:space="preserve"> ont les mêmes droits et libertés et les mêmes obligations que les </w:t>
      </w:r>
      <w:r>
        <w:rPr>
          <w:lang w:val="fr-FR"/>
        </w:rPr>
        <w:t>citoyens mongols</w:t>
      </w:r>
      <w:r w:rsidRPr="000D18FE">
        <w:rPr>
          <w:lang w:val="fr-FR"/>
        </w:rPr>
        <w:t>, sauf dans les circonstances visées</w:t>
      </w:r>
      <w:r>
        <w:rPr>
          <w:lang w:val="fr-FR"/>
        </w:rPr>
        <w:t xml:space="preserve"> par cette loi.</w:t>
      </w:r>
      <w:r w:rsidRPr="005713FB">
        <w:rPr>
          <w:lang w:val="fr-FR"/>
        </w:rPr>
        <w:t xml:space="preserve"> </w:t>
      </w:r>
      <w:r>
        <w:rPr>
          <w:lang w:val="fr-FR"/>
        </w:rPr>
        <w:t>C</w:t>
      </w:r>
      <w:r w:rsidRPr="005713FB">
        <w:rPr>
          <w:lang w:val="fr-FR"/>
        </w:rPr>
        <w:t xml:space="preserve">onformément </w:t>
      </w:r>
      <w:r>
        <w:rPr>
          <w:lang w:val="fr-FR"/>
        </w:rPr>
        <w:t>à</w:t>
      </w:r>
      <w:r w:rsidRPr="005713FB">
        <w:rPr>
          <w:lang w:val="fr-FR"/>
        </w:rPr>
        <w:t xml:space="preserve"> la Constitution</w:t>
      </w:r>
      <w:r>
        <w:rPr>
          <w:lang w:val="fr-FR"/>
        </w:rPr>
        <w:t xml:space="preserve"> de la Mongolie</w:t>
      </w:r>
      <w:r w:rsidRPr="005713FB">
        <w:rPr>
          <w:lang w:val="fr-FR"/>
        </w:rPr>
        <w:t>, les instruments internationaux auxquels la Mongolie est partie prennent effet en droit interne dès l’entrée en vigueur des lois relatives à leur ratification ou à leur signature</w:t>
      </w:r>
      <w:r w:rsidR="009F011D" w:rsidRPr="002A3EE0">
        <w:rPr>
          <w:rStyle w:val="Appelnotedebasdep"/>
        </w:rPr>
        <w:footnoteReference w:id="11"/>
      </w:r>
      <w:r w:rsidR="009F011D">
        <w:rPr>
          <w:lang w:val="fr-FR"/>
        </w:rPr>
        <w:t>.</w:t>
      </w:r>
      <w:r>
        <w:rPr>
          <w:lang w:val="fr-FR"/>
        </w:rPr>
        <w:t xml:space="preserve"> </w:t>
      </w:r>
      <w:r w:rsidRPr="001155F0">
        <w:rPr>
          <w:lang w:val="fr-FR"/>
        </w:rPr>
        <w:t xml:space="preserve">De surcroît, </w:t>
      </w:r>
      <w:r>
        <w:rPr>
          <w:lang w:val="fr-FR"/>
        </w:rPr>
        <w:t xml:space="preserve">aux termes du paragraphe 2 de </w:t>
      </w:r>
      <w:r w:rsidRPr="001155F0">
        <w:rPr>
          <w:lang w:val="fr-FR"/>
        </w:rPr>
        <w:t xml:space="preserve">l’article 2 de la loi </w:t>
      </w:r>
      <w:r>
        <w:rPr>
          <w:lang w:val="fr-FR"/>
        </w:rPr>
        <w:t>mentionnée,</w:t>
      </w:r>
      <w:r w:rsidRPr="001155F0">
        <w:rPr>
          <w:lang w:val="fr-FR"/>
        </w:rPr>
        <w:t xml:space="preserve"> </w:t>
      </w:r>
      <w:r>
        <w:rPr>
          <w:lang w:val="fr-FR"/>
        </w:rPr>
        <w:t>si un instrument international auquel</w:t>
      </w:r>
      <w:r w:rsidRPr="005713FB">
        <w:rPr>
          <w:lang w:val="fr-FR"/>
        </w:rPr>
        <w:t xml:space="preserve"> la Mongolie est partie</w:t>
      </w:r>
      <w:r>
        <w:rPr>
          <w:lang w:val="fr-FR"/>
        </w:rPr>
        <w:t xml:space="preserve"> entre en conflit avec cette loi,</w:t>
      </w:r>
      <w:r w:rsidRPr="001658E5">
        <w:rPr>
          <w:lang w:val="fr-FR"/>
        </w:rPr>
        <w:t xml:space="preserve"> </w:t>
      </w:r>
      <w:r w:rsidRPr="001155F0">
        <w:rPr>
          <w:lang w:val="fr-FR"/>
        </w:rPr>
        <w:t xml:space="preserve">les </w:t>
      </w:r>
      <w:r>
        <w:rPr>
          <w:lang w:val="fr-FR"/>
        </w:rPr>
        <w:t>dispositions de l’instrument</w:t>
      </w:r>
      <w:r w:rsidRPr="001155F0">
        <w:rPr>
          <w:lang w:val="fr-FR"/>
        </w:rPr>
        <w:t xml:space="preserve"> internationa</w:t>
      </w:r>
      <w:r>
        <w:rPr>
          <w:lang w:val="fr-FR"/>
        </w:rPr>
        <w:t>l</w:t>
      </w:r>
      <w:r w:rsidRPr="001155F0">
        <w:rPr>
          <w:lang w:val="fr-FR"/>
        </w:rPr>
        <w:t xml:space="preserve"> </w:t>
      </w:r>
      <w:r>
        <w:rPr>
          <w:lang w:val="fr-FR"/>
        </w:rPr>
        <w:t>l’emportent.</w:t>
      </w:r>
    </w:p>
    <w:p w:rsidR="00C57CC5" w:rsidRPr="00010F94" w:rsidRDefault="00C57CC5" w:rsidP="00C57CC5">
      <w:pPr>
        <w:pStyle w:val="SingleTxtG"/>
        <w:rPr>
          <w:lang w:val="fr-FR"/>
        </w:rPr>
      </w:pPr>
      <w:r w:rsidRPr="0037126C">
        <w:rPr>
          <w:lang w:val="fr-FR"/>
        </w:rPr>
        <w:t>23.</w:t>
      </w:r>
      <w:r w:rsidRPr="0037126C">
        <w:rPr>
          <w:lang w:val="fr-FR"/>
        </w:rPr>
        <w:tab/>
      </w:r>
      <w:r w:rsidRPr="002F760A">
        <w:rPr>
          <w:lang w:val="fr-FR"/>
        </w:rPr>
        <w:t xml:space="preserve">Les </w:t>
      </w:r>
      <w:r w:rsidRPr="00C053AD">
        <w:rPr>
          <w:lang w:val="fr-FR"/>
        </w:rPr>
        <w:t>ressortissants étrangers</w:t>
      </w:r>
      <w:r>
        <w:rPr>
          <w:lang w:val="fr-FR"/>
        </w:rPr>
        <w:t xml:space="preserve"> ont le droit de travailler ou d’exercer une activité économique qui n’est pas proscrite par la loi. Le paragraphe 1 de l’article 30</w:t>
      </w:r>
      <w:r w:rsidRPr="002A3EE0">
        <w:rPr>
          <w:rStyle w:val="Appelnotedebasdep"/>
        </w:rPr>
        <w:footnoteReference w:id="12"/>
      </w:r>
      <w:r w:rsidRPr="0006320A">
        <w:rPr>
          <w:lang w:val="fr-FR"/>
        </w:rPr>
        <w:t xml:space="preserve"> </w:t>
      </w:r>
      <w:r>
        <w:rPr>
          <w:lang w:val="fr-FR"/>
        </w:rPr>
        <w:t>de la loi sur</w:t>
      </w:r>
      <w:r w:rsidRPr="00B3711A">
        <w:rPr>
          <w:lang w:val="fr-FR"/>
        </w:rPr>
        <w:t xml:space="preserve"> le statut juridique des ressortissants étrangers</w:t>
      </w:r>
      <w:r>
        <w:rPr>
          <w:lang w:val="fr-FR"/>
        </w:rPr>
        <w:t xml:space="preserve"> dispose que </w:t>
      </w:r>
      <w:r w:rsidRPr="0006320A">
        <w:rPr>
          <w:lang w:val="fr-FR"/>
        </w:rPr>
        <w:t>l’organe administratif compétent</w:t>
      </w:r>
      <w:r>
        <w:rPr>
          <w:lang w:val="fr-FR"/>
        </w:rPr>
        <w:t xml:space="preserve"> pour les </w:t>
      </w:r>
      <w:r w:rsidRPr="00B3711A">
        <w:rPr>
          <w:lang w:val="fr-FR"/>
        </w:rPr>
        <w:t>ressortissants étrangers</w:t>
      </w:r>
      <w:r>
        <w:rPr>
          <w:lang w:val="fr-FR"/>
        </w:rPr>
        <w:t xml:space="preserve"> octroie un </w:t>
      </w:r>
      <w:r w:rsidRPr="002F760A">
        <w:rPr>
          <w:lang w:val="fr-FR"/>
        </w:rPr>
        <w:t xml:space="preserve">permis </w:t>
      </w:r>
      <w:r w:rsidRPr="001F4EDA">
        <w:rPr>
          <w:lang w:val="fr-FR"/>
        </w:rPr>
        <w:t xml:space="preserve">de </w:t>
      </w:r>
      <w:r>
        <w:rPr>
          <w:lang w:val="fr-FR"/>
        </w:rPr>
        <w:t xml:space="preserve">résidence aux </w:t>
      </w:r>
      <w:r w:rsidRPr="00B3711A">
        <w:rPr>
          <w:lang w:val="fr-FR"/>
        </w:rPr>
        <w:t>ressortissants étrangers</w:t>
      </w:r>
      <w:r>
        <w:rPr>
          <w:lang w:val="fr-FR"/>
        </w:rPr>
        <w:t xml:space="preserve"> venus en Mongolie afin de travailler, d’investir, d’étudier, de se former et de mener des activités scientifiques et de recherche, en examinant les demandes qui émanent des </w:t>
      </w:r>
      <w:r w:rsidRPr="0006320A">
        <w:rPr>
          <w:lang w:val="fr-FR"/>
        </w:rPr>
        <w:t>organe</w:t>
      </w:r>
      <w:r>
        <w:rPr>
          <w:lang w:val="fr-FR"/>
        </w:rPr>
        <w:t>s</w:t>
      </w:r>
      <w:r w:rsidRPr="0006320A">
        <w:rPr>
          <w:lang w:val="fr-FR"/>
        </w:rPr>
        <w:t xml:space="preserve"> administratif</w:t>
      </w:r>
      <w:r>
        <w:rPr>
          <w:lang w:val="fr-FR"/>
        </w:rPr>
        <w:t>s</w:t>
      </w:r>
      <w:r w:rsidRPr="0006320A">
        <w:rPr>
          <w:lang w:val="fr-FR"/>
        </w:rPr>
        <w:t xml:space="preserve"> compétent</w:t>
      </w:r>
      <w:r>
        <w:rPr>
          <w:lang w:val="fr-FR"/>
        </w:rPr>
        <w:t>s en matière d’investissement, de travail et d’éducation et de leurs services. Ce permis peut être également octroyé</w:t>
      </w:r>
      <w:r w:rsidRPr="002F760A">
        <w:rPr>
          <w:lang w:val="fr-FR"/>
        </w:rPr>
        <w:t xml:space="preserve"> aux membres de </w:t>
      </w:r>
      <w:r>
        <w:rPr>
          <w:lang w:val="fr-FR"/>
        </w:rPr>
        <w:t>la</w:t>
      </w:r>
      <w:r w:rsidRPr="002F760A">
        <w:rPr>
          <w:lang w:val="fr-FR"/>
        </w:rPr>
        <w:t xml:space="preserve"> famille</w:t>
      </w:r>
      <w:r>
        <w:rPr>
          <w:lang w:val="fr-FR"/>
        </w:rPr>
        <w:t xml:space="preserve"> du ressortissant étranger qui vient travailler dans le pays</w:t>
      </w:r>
      <w:r w:rsidRPr="002F760A">
        <w:rPr>
          <w:lang w:val="fr-FR"/>
        </w:rPr>
        <w:t>.</w:t>
      </w:r>
      <w:r>
        <w:rPr>
          <w:lang w:val="fr-FR"/>
        </w:rPr>
        <w:t xml:space="preserve"> </w:t>
      </w:r>
    </w:p>
    <w:p w:rsidR="00C57CC5" w:rsidRPr="00CC5C2C" w:rsidRDefault="00C57CC5" w:rsidP="00C57CC5">
      <w:pPr>
        <w:pStyle w:val="SingleTxtG"/>
        <w:rPr>
          <w:lang w:val="fr-FR"/>
        </w:rPr>
      </w:pPr>
      <w:r w:rsidRPr="00791CA0">
        <w:rPr>
          <w:lang w:val="fr-FR"/>
        </w:rPr>
        <w:t>24.</w:t>
      </w:r>
      <w:r w:rsidRPr="00791CA0">
        <w:rPr>
          <w:lang w:val="fr-FR"/>
        </w:rPr>
        <w:tab/>
      </w:r>
      <w:r w:rsidRPr="00BA218B">
        <w:rPr>
          <w:lang w:val="fr-FR"/>
        </w:rPr>
        <w:t>S’agissant des permis de résidence sur la période 2015-2018, la situatio</w:t>
      </w:r>
      <w:r>
        <w:rPr>
          <w:lang w:val="fr-FR"/>
        </w:rPr>
        <w:t>n est la suivante. En 2015, sur 20</w:t>
      </w:r>
      <w:r w:rsidR="00E405E6">
        <w:rPr>
          <w:lang w:val="fr-FR"/>
        </w:rPr>
        <w:t> </w:t>
      </w:r>
      <w:r w:rsidRPr="00BA218B">
        <w:rPr>
          <w:lang w:val="fr-FR"/>
        </w:rPr>
        <w:t>635 permis de résidence</w:t>
      </w:r>
      <w:r>
        <w:rPr>
          <w:lang w:val="fr-FR"/>
        </w:rPr>
        <w:t xml:space="preserve"> au total, 16</w:t>
      </w:r>
      <w:r w:rsidR="00E405E6">
        <w:rPr>
          <w:lang w:val="fr-FR"/>
        </w:rPr>
        <w:t> </w:t>
      </w:r>
      <w:r w:rsidRPr="00BA218B">
        <w:rPr>
          <w:lang w:val="fr-FR"/>
        </w:rPr>
        <w:t>181 étaient des visas HG</w:t>
      </w:r>
      <w:r>
        <w:rPr>
          <w:lang w:val="fr-FR"/>
        </w:rPr>
        <w:t>, octroyés aux ressortissants étrangers qui viennent dans le pays pour y travailler au bénéfice d’un contrat de travail. En 2016, sur 14</w:t>
      </w:r>
      <w:r w:rsidR="00E405E6">
        <w:rPr>
          <w:lang w:val="fr-FR"/>
        </w:rPr>
        <w:t> </w:t>
      </w:r>
      <w:r w:rsidRPr="00CC5C2C">
        <w:rPr>
          <w:lang w:val="fr-FR"/>
        </w:rPr>
        <w:t xml:space="preserve">852 </w:t>
      </w:r>
      <w:r w:rsidRPr="00BA218B">
        <w:rPr>
          <w:lang w:val="fr-FR"/>
        </w:rPr>
        <w:t>permis de résidence</w:t>
      </w:r>
      <w:r w:rsidR="00E405E6">
        <w:rPr>
          <w:lang w:val="fr-FR"/>
        </w:rPr>
        <w:t xml:space="preserve"> octroyés, 10 </w:t>
      </w:r>
      <w:r w:rsidRPr="00CC5C2C">
        <w:rPr>
          <w:lang w:val="fr-FR"/>
        </w:rPr>
        <w:t>778 étaient des visas HG</w:t>
      </w:r>
      <w:r>
        <w:rPr>
          <w:lang w:val="fr-FR"/>
        </w:rPr>
        <w:t> ;</w:t>
      </w:r>
      <w:r w:rsidRPr="00CC5C2C">
        <w:rPr>
          <w:lang w:val="fr-FR"/>
        </w:rPr>
        <w:t xml:space="preserve"> en 2017, le nombre </w:t>
      </w:r>
      <w:r>
        <w:rPr>
          <w:lang w:val="fr-FR"/>
        </w:rPr>
        <w:t xml:space="preserve">de visas HG était de </w:t>
      </w:r>
      <w:r w:rsidRPr="00CC5C2C">
        <w:rPr>
          <w:lang w:val="fr-FR"/>
        </w:rPr>
        <w:t>10</w:t>
      </w:r>
      <w:r w:rsidR="00E405E6">
        <w:rPr>
          <w:lang w:val="fr-FR"/>
        </w:rPr>
        <w:t> </w:t>
      </w:r>
      <w:r w:rsidRPr="00CC5C2C">
        <w:rPr>
          <w:lang w:val="fr-FR"/>
        </w:rPr>
        <w:t>320</w:t>
      </w:r>
      <w:r>
        <w:rPr>
          <w:lang w:val="fr-FR"/>
        </w:rPr>
        <w:t xml:space="preserve"> pour </w:t>
      </w:r>
      <w:r w:rsidRPr="00CC5C2C">
        <w:rPr>
          <w:lang w:val="fr-FR"/>
        </w:rPr>
        <w:t>14</w:t>
      </w:r>
      <w:r w:rsidR="00E405E6">
        <w:rPr>
          <w:lang w:val="fr-FR"/>
        </w:rPr>
        <w:t> </w:t>
      </w:r>
      <w:r w:rsidRPr="00CC5C2C">
        <w:rPr>
          <w:lang w:val="fr-FR"/>
        </w:rPr>
        <w:t>846</w:t>
      </w:r>
      <w:r>
        <w:rPr>
          <w:lang w:val="fr-FR"/>
        </w:rPr>
        <w:t xml:space="preserve"> </w:t>
      </w:r>
      <w:r w:rsidRPr="00BA218B">
        <w:rPr>
          <w:lang w:val="fr-FR"/>
        </w:rPr>
        <w:t>permis de résidence</w:t>
      </w:r>
      <w:r>
        <w:rPr>
          <w:lang w:val="fr-FR"/>
        </w:rPr>
        <w:t xml:space="preserve"> et en 2018</w:t>
      </w:r>
      <w:r w:rsidR="009F011D" w:rsidRPr="00E405E6">
        <w:rPr>
          <w:rStyle w:val="Appelnotedebasdep"/>
        </w:rPr>
        <w:footnoteReference w:id="13"/>
      </w:r>
      <w:r w:rsidR="009F011D">
        <w:rPr>
          <w:lang w:val="fr-FR"/>
        </w:rPr>
        <w:t>,</w:t>
      </w:r>
      <w:r>
        <w:rPr>
          <w:lang w:val="fr-FR"/>
        </w:rPr>
        <w:t xml:space="preserve"> de </w:t>
      </w:r>
      <w:r w:rsidRPr="00CC5C2C">
        <w:rPr>
          <w:lang w:val="fr-FR"/>
        </w:rPr>
        <w:t>2</w:t>
      </w:r>
      <w:r w:rsidR="00E405E6">
        <w:rPr>
          <w:lang w:val="fr-FR"/>
        </w:rPr>
        <w:t> </w:t>
      </w:r>
      <w:r w:rsidRPr="00CC5C2C">
        <w:rPr>
          <w:lang w:val="fr-FR"/>
        </w:rPr>
        <w:t>497</w:t>
      </w:r>
      <w:r w:rsidR="00E405E6">
        <w:rPr>
          <w:lang w:val="fr-FR"/>
        </w:rPr>
        <w:t xml:space="preserve"> pour 3 </w:t>
      </w:r>
      <w:r>
        <w:rPr>
          <w:lang w:val="fr-FR"/>
        </w:rPr>
        <w:t>764 permi</w:t>
      </w:r>
      <w:r w:rsidRPr="00CC5C2C">
        <w:rPr>
          <w:lang w:val="fr-FR"/>
        </w:rPr>
        <w:t>s</w:t>
      </w:r>
      <w:r>
        <w:rPr>
          <w:lang w:val="fr-FR"/>
        </w:rPr>
        <w:t xml:space="preserve">. </w:t>
      </w:r>
    </w:p>
    <w:p w:rsidR="00C57CC5" w:rsidRPr="006074F7" w:rsidRDefault="00C57CC5" w:rsidP="00C57CC5">
      <w:pPr>
        <w:pStyle w:val="SingleTxtG"/>
        <w:rPr>
          <w:lang w:val="fr-FR"/>
        </w:rPr>
      </w:pPr>
      <w:r w:rsidRPr="00C37B54">
        <w:rPr>
          <w:lang w:val="fr-FR"/>
        </w:rPr>
        <w:t>25.</w:t>
      </w:r>
      <w:r w:rsidRPr="00C37B54">
        <w:rPr>
          <w:lang w:val="fr-FR"/>
        </w:rPr>
        <w:tab/>
      </w:r>
      <w:r w:rsidRPr="006074F7">
        <w:rPr>
          <w:lang w:val="fr-FR"/>
        </w:rPr>
        <w:t>En ce qui concerne les services de soins de santé, 2</w:t>
      </w:r>
      <w:r w:rsidR="00E405E6">
        <w:rPr>
          <w:lang w:val="fr-FR"/>
        </w:rPr>
        <w:t> </w:t>
      </w:r>
      <w:r w:rsidRPr="006074F7">
        <w:rPr>
          <w:lang w:val="fr-FR"/>
        </w:rPr>
        <w:t>362</w:t>
      </w:r>
      <w:r>
        <w:rPr>
          <w:lang w:val="fr-FR"/>
        </w:rPr>
        <w:t xml:space="preserve"> ressortissants étrangers ont passé des examens médicaux préventifs dans les centres de santé de la capitale et des provinces en 2015. Ce chiffre était de </w:t>
      </w:r>
      <w:r w:rsidRPr="006074F7">
        <w:rPr>
          <w:lang w:val="fr-FR"/>
        </w:rPr>
        <w:t>1</w:t>
      </w:r>
      <w:r w:rsidR="00E405E6">
        <w:rPr>
          <w:lang w:val="fr-FR"/>
        </w:rPr>
        <w:t> </w:t>
      </w:r>
      <w:r w:rsidRPr="006074F7">
        <w:rPr>
          <w:lang w:val="fr-FR"/>
        </w:rPr>
        <w:t xml:space="preserve">544 </w:t>
      </w:r>
      <w:r>
        <w:rPr>
          <w:lang w:val="fr-FR"/>
        </w:rPr>
        <w:t>e</w:t>
      </w:r>
      <w:r w:rsidRPr="006074F7">
        <w:rPr>
          <w:lang w:val="fr-FR"/>
        </w:rPr>
        <w:t xml:space="preserve">n 2016 </w:t>
      </w:r>
      <w:r>
        <w:rPr>
          <w:lang w:val="fr-FR"/>
        </w:rPr>
        <w:t xml:space="preserve">et de </w:t>
      </w:r>
      <w:r w:rsidRPr="006074F7">
        <w:rPr>
          <w:lang w:val="fr-FR"/>
        </w:rPr>
        <w:t>3</w:t>
      </w:r>
      <w:r w:rsidR="00E405E6">
        <w:rPr>
          <w:lang w:val="fr-FR"/>
        </w:rPr>
        <w:t> </w:t>
      </w:r>
      <w:r w:rsidRPr="006074F7">
        <w:rPr>
          <w:lang w:val="fr-FR"/>
        </w:rPr>
        <w:t xml:space="preserve">017 </w:t>
      </w:r>
      <w:r>
        <w:rPr>
          <w:lang w:val="fr-FR"/>
        </w:rPr>
        <w:t>e</w:t>
      </w:r>
      <w:r w:rsidRPr="006074F7">
        <w:rPr>
          <w:lang w:val="fr-FR"/>
        </w:rPr>
        <w:t>n 2017.</w:t>
      </w:r>
    </w:p>
    <w:p w:rsidR="00C57CC5" w:rsidRPr="00A54CB8" w:rsidRDefault="00C57CC5" w:rsidP="00C57CC5">
      <w:pPr>
        <w:pStyle w:val="SingleTxtG"/>
        <w:rPr>
          <w:lang w:val="fr-FR"/>
        </w:rPr>
      </w:pPr>
      <w:r w:rsidRPr="007E5C91">
        <w:rPr>
          <w:lang w:val="fr-FR"/>
        </w:rPr>
        <w:t>26.</w:t>
      </w:r>
      <w:r w:rsidRPr="007E5C91">
        <w:rPr>
          <w:lang w:val="fr-FR"/>
        </w:rPr>
        <w:tab/>
      </w:r>
      <w:r w:rsidRPr="00A54CB8">
        <w:rPr>
          <w:lang w:val="fr-FR"/>
        </w:rPr>
        <w:t>Le retrait de la nationalité</w:t>
      </w:r>
      <w:r w:rsidRPr="003D24BD">
        <w:rPr>
          <w:lang w:val="fr-FR"/>
        </w:rPr>
        <w:t xml:space="preserve"> </w:t>
      </w:r>
      <w:r w:rsidRPr="005E638D">
        <w:rPr>
          <w:lang w:val="fr-FR"/>
        </w:rPr>
        <w:t>mongole</w:t>
      </w:r>
      <w:r w:rsidRPr="00A54CB8">
        <w:rPr>
          <w:lang w:val="fr-FR"/>
        </w:rPr>
        <w:t>, l’exil et l’extradition des citoyens</w:t>
      </w:r>
      <w:r>
        <w:rPr>
          <w:lang w:val="fr-FR"/>
        </w:rPr>
        <w:t xml:space="preserve"> sont proscrits par la</w:t>
      </w:r>
      <w:r w:rsidRPr="00A54CB8">
        <w:rPr>
          <w:lang w:val="fr-FR"/>
        </w:rPr>
        <w:t xml:space="preserve"> </w:t>
      </w:r>
      <w:r w:rsidRPr="00CB7B65">
        <w:rPr>
          <w:lang w:val="fr-FR"/>
        </w:rPr>
        <w:t>Constitution de la Mongoli</w:t>
      </w:r>
      <w:r>
        <w:rPr>
          <w:lang w:val="fr-FR"/>
        </w:rPr>
        <w:t xml:space="preserve">e. </w:t>
      </w:r>
      <w:r w:rsidRPr="00DD4D60">
        <w:rPr>
          <w:lang w:val="fr-FR"/>
        </w:rPr>
        <w:t>Les conditions et les procédures relatives à l’acquisition</w:t>
      </w:r>
      <w:r>
        <w:rPr>
          <w:lang w:val="fr-FR"/>
        </w:rPr>
        <w:t xml:space="preserve"> ou la perte de la nationalité ne peuve</w:t>
      </w:r>
      <w:r w:rsidRPr="00DD4D60">
        <w:rPr>
          <w:lang w:val="fr-FR"/>
        </w:rPr>
        <w:t xml:space="preserve">nt </w:t>
      </w:r>
      <w:r>
        <w:rPr>
          <w:lang w:val="fr-FR"/>
        </w:rPr>
        <w:t xml:space="preserve">être </w:t>
      </w:r>
      <w:r w:rsidRPr="00DD4D60">
        <w:rPr>
          <w:lang w:val="fr-FR"/>
        </w:rPr>
        <w:t xml:space="preserve">définies </w:t>
      </w:r>
      <w:r>
        <w:rPr>
          <w:lang w:val="fr-FR"/>
        </w:rPr>
        <w:t xml:space="preserve">que </w:t>
      </w:r>
      <w:r w:rsidRPr="00DD4D60">
        <w:rPr>
          <w:lang w:val="fr-FR"/>
        </w:rPr>
        <w:t>par la loi</w:t>
      </w:r>
      <w:r>
        <w:rPr>
          <w:lang w:val="fr-FR"/>
        </w:rPr>
        <w:t xml:space="preserve">. </w:t>
      </w:r>
      <w:r w:rsidRPr="00591E0B">
        <w:rPr>
          <w:lang w:val="fr-FR"/>
        </w:rPr>
        <w:t xml:space="preserve">En outre, la Constitution dispose que le Président </w:t>
      </w:r>
      <w:r w:rsidRPr="00CB7B65">
        <w:rPr>
          <w:lang w:val="fr-FR"/>
        </w:rPr>
        <w:t>de la Mongoli</w:t>
      </w:r>
      <w:r>
        <w:rPr>
          <w:lang w:val="fr-FR"/>
        </w:rPr>
        <w:t>e rend</w:t>
      </w:r>
      <w:r w:rsidRPr="00591E0B">
        <w:rPr>
          <w:lang w:val="fr-FR"/>
        </w:rPr>
        <w:t xml:space="preserve"> des décisions en matière d’octroi et de retrait de la nationalité</w:t>
      </w:r>
      <w:r>
        <w:rPr>
          <w:lang w:val="fr-FR"/>
        </w:rPr>
        <w:t>.</w:t>
      </w:r>
      <w:r w:rsidRPr="005E638D">
        <w:rPr>
          <w:lang w:val="fr-FR"/>
        </w:rPr>
        <w:t xml:space="preserve"> </w:t>
      </w:r>
      <w:r>
        <w:rPr>
          <w:lang w:val="fr-FR"/>
        </w:rPr>
        <w:t>L</w:t>
      </w:r>
      <w:r w:rsidRPr="005E638D">
        <w:rPr>
          <w:lang w:val="fr-FR"/>
        </w:rPr>
        <w:t xml:space="preserve">es modalités d’acquisition, de réintégration et de </w:t>
      </w:r>
      <w:r>
        <w:rPr>
          <w:lang w:val="fr-FR"/>
        </w:rPr>
        <w:t>retrait</w:t>
      </w:r>
      <w:r w:rsidRPr="005E638D">
        <w:rPr>
          <w:lang w:val="fr-FR"/>
        </w:rPr>
        <w:t xml:space="preserve"> de la nationalité </w:t>
      </w:r>
      <w:r>
        <w:rPr>
          <w:lang w:val="fr-FR"/>
        </w:rPr>
        <w:t>sont réglementées par l</w:t>
      </w:r>
      <w:r w:rsidRPr="005E638D">
        <w:rPr>
          <w:lang w:val="fr-FR"/>
        </w:rPr>
        <w:t>a loi relative à la nationalité</w:t>
      </w:r>
      <w:r w:rsidR="009F011D" w:rsidRPr="002A3EE0">
        <w:rPr>
          <w:rStyle w:val="Appelnotedebasdep"/>
        </w:rPr>
        <w:footnoteReference w:id="14"/>
      </w:r>
      <w:r w:rsidR="009F011D" w:rsidRPr="005E638D">
        <w:rPr>
          <w:lang w:val="fr-FR"/>
        </w:rPr>
        <w:t>.</w:t>
      </w:r>
    </w:p>
    <w:p w:rsidR="00C57CC5" w:rsidRPr="00120FB2" w:rsidRDefault="00C57CC5" w:rsidP="00C57CC5">
      <w:pPr>
        <w:pStyle w:val="SingleTxtG"/>
        <w:rPr>
          <w:lang w:val="fr-FR"/>
        </w:rPr>
      </w:pPr>
      <w:r w:rsidRPr="00431A75">
        <w:rPr>
          <w:lang w:val="fr-FR"/>
        </w:rPr>
        <w:t>27.</w:t>
      </w:r>
      <w:r w:rsidRPr="00431A75">
        <w:rPr>
          <w:lang w:val="fr-FR"/>
        </w:rPr>
        <w:tab/>
      </w:r>
      <w:r>
        <w:rPr>
          <w:lang w:val="fr-FR"/>
        </w:rPr>
        <w:t>Entre 1994 et 2018, 60</w:t>
      </w:r>
      <w:r w:rsidR="00E405E6">
        <w:rPr>
          <w:lang w:val="fr-FR"/>
        </w:rPr>
        <w:t> </w:t>
      </w:r>
      <w:r w:rsidRPr="00120FB2">
        <w:rPr>
          <w:lang w:val="fr-FR"/>
        </w:rPr>
        <w:t xml:space="preserve">099 personnes appartenant à la minorité kazakhe au total ont renoncé à leur nationalité mongole pour acquérir la nationalité kazakhe. </w:t>
      </w:r>
      <w:r>
        <w:rPr>
          <w:lang w:val="fr-FR"/>
        </w:rPr>
        <w:t xml:space="preserve">Sur </w:t>
      </w:r>
      <w:r w:rsidRPr="00120FB2">
        <w:rPr>
          <w:lang w:val="fr-FR"/>
        </w:rPr>
        <w:t>la période 200</w:t>
      </w:r>
      <w:r>
        <w:rPr>
          <w:lang w:val="fr-FR"/>
        </w:rPr>
        <w:t>1</w:t>
      </w:r>
      <w:r w:rsidRPr="00120FB2">
        <w:rPr>
          <w:lang w:val="fr-FR"/>
        </w:rPr>
        <w:t>-201</w:t>
      </w:r>
      <w:r>
        <w:rPr>
          <w:lang w:val="fr-FR"/>
        </w:rPr>
        <w:t>7</w:t>
      </w:r>
      <w:r w:rsidRPr="00120FB2">
        <w:rPr>
          <w:lang w:val="fr-FR"/>
        </w:rPr>
        <w:t>, 1</w:t>
      </w:r>
      <w:r w:rsidR="00E405E6">
        <w:rPr>
          <w:lang w:val="fr-FR"/>
        </w:rPr>
        <w:t> </w:t>
      </w:r>
      <w:r w:rsidRPr="00120FB2">
        <w:rPr>
          <w:lang w:val="fr-FR"/>
        </w:rPr>
        <w:t xml:space="preserve">799 Kazakhs ont obtenu leur réintégration dans la nationalité mongole. </w:t>
      </w:r>
      <w:r>
        <w:rPr>
          <w:lang w:val="fr-FR"/>
        </w:rPr>
        <w:t xml:space="preserve">La migration </w:t>
      </w:r>
      <w:r w:rsidRPr="007C7D2D">
        <w:rPr>
          <w:lang w:val="fr-FR"/>
        </w:rPr>
        <w:t>de p</w:t>
      </w:r>
      <w:r>
        <w:rPr>
          <w:lang w:val="fr-FR"/>
        </w:rPr>
        <w:t>ersonne</w:t>
      </w:r>
      <w:r w:rsidRPr="007C7D2D">
        <w:rPr>
          <w:lang w:val="fr-FR"/>
        </w:rPr>
        <w:t>s appartenant à la minorité kazakhe</w:t>
      </w:r>
      <w:r>
        <w:rPr>
          <w:lang w:val="fr-FR"/>
        </w:rPr>
        <w:t xml:space="preserve"> s’explique</w:t>
      </w:r>
      <w:r w:rsidRPr="00120FB2">
        <w:rPr>
          <w:lang w:val="fr-FR"/>
        </w:rPr>
        <w:t xml:space="preserve"> principalement par le </w:t>
      </w:r>
      <w:r w:rsidRPr="00120FB2">
        <w:rPr>
          <w:lang w:val="fr-FR"/>
        </w:rPr>
        <w:lastRenderedPageBreak/>
        <w:t xml:space="preserve">fait que la République du Kazakhstan </w:t>
      </w:r>
      <w:r>
        <w:rPr>
          <w:lang w:val="fr-FR"/>
        </w:rPr>
        <w:t>mène</w:t>
      </w:r>
      <w:r w:rsidRPr="00120FB2">
        <w:rPr>
          <w:lang w:val="fr-FR"/>
        </w:rPr>
        <w:t xml:space="preserve"> une politique d’ouverture en acceptant de naturaliser les personnes d’origine kazakhe </w:t>
      </w:r>
      <w:r>
        <w:rPr>
          <w:lang w:val="fr-FR"/>
        </w:rPr>
        <w:t>d’autres pays. En outre, elle</w:t>
      </w:r>
      <w:r w:rsidRPr="00120FB2">
        <w:rPr>
          <w:lang w:val="fr-FR"/>
        </w:rPr>
        <w:t xml:space="preserve"> accord</w:t>
      </w:r>
      <w:r>
        <w:rPr>
          <w:lang w:val="fr-FR"/>
        </w:rPr>
        <w:t xml:space="preserve">e </w:t>
      </w:r>
      <w:r w:rsidRPr="00120FB2">
        <w:rPr>
          <w:lang w:val="fr-FR"/>
        </w:rPr>
        <w:t>des aides financières</w:t>
      </w:r>
      <w:r>
        <w:rPr>
          <w:lang w:val="fr-FR"/>
        </w:rPr>
        <w:t>, une assistance</w:t>
      </w:r>
      <w:r w:rsidRPr="00120FB2">
        <w:rPr>
          <w:lang w:val="fr-FR"/>
        </w:rPr>
        <w:t xml:space="preserve"> et des prestations</w:t>
      </w:r>
      <w:r>
        <w:rPr>
          <w:lang w:val="fr-FR"/>
        </w:rPr>
        <w:t xml:space="preserve"> aux personnes qui ont acquis la nationalité</w:t>
      </w:r>
      <w:r w:rsidRPr="00BC65B1">
        <w:rPr>
          <w:lang w:val="fr-FR"/>
        </w:rPr>
        <w:t xml:space="preserve"> </w:t>
      </w:r>
      <w:r w:rsidRPr="00120FB2">
        <w:rPr>
          <w:lang w:val="fr-FR"/>
        </w:rPr>
        <w:t>kazakhe.</w:t>
      </w:r>
    </w:p>
    <w:p w:rsidR="00C57CC5" w:rsidRPr="00431A75" w:rsidRDefault="00C57CC5" w:rsidP="00C57CC5">
      <w:pPr>
        <w:pStyle w:val="SingleTxtG"/>
        <w:rPr>
          <w:lang w:val="fr-FR"/>
        </w:rPr>
      </w:pPr>
      <w:r w:rsidRPr="003A51E2">
        <w:rPr>
          <w:lang w:val="fr-FR"/>
        </w:rPr>
        <w:t>28.</w:t>
      </w:r>
      <w:r w:rsidRPr="003A51E2">
        <w:rPr>
          <w:lang w:val="fr-FR"/>
        </w:rPr>
        <w:tab/>
      </w:r>
      <w:r w:rsidRPr="00431A75">
        <w:rPr>
          <w:lang w:val="fr-FR"/>
        </w:rPr>
        <w:t xml:space="preserve">La Mongolie et le Kazakhstan élaborent </w:t>
      </w:r>
      <w:r w:rsidRPr="003F6129">
        <w:rPr>
          <w:lang w:val="fr-FR"/>
        </w:rPr>
        <w:t>actuellement</w:t>
      </w:r>
      <w:r w:rsidRPr="00431A75">
        <w:rPr>
          <w:lang w:val="fr-FR"/>
        </w:rPr>
        <w:t xml:space="preserve"> un accord </w:t>
      </w:r>
      <w:r>
        <w:rPr>
          <w:lang w:val="fr-FR"/>
        </w:rPr>
        <w:t>permettant de</w:t>
      </w:r>
      <w:r w:rsidRPr="00431A75">
        <w:rPr>
          <w:lang w:val="fr-FR"/>
        </w:rPr>
        <w:t xml:space="preserve"> </w:t>
      </w:r>
      <w:r>
        <w:rPr>
          <w:lang w:val="fr-FR"/>
        </w:rPr>
        <w:t xml:space="preserve">simplifier les procédures </w:t>
      </w:r>
      <w:r w:rsidRPr="00431A75">
        <w:rPr>
          <w:lang w:val="fr-FR"/>
        </w:rPr>
        <w:t>d’acquisition de la nationalité</w:t>
      </w:r>
      <w:r>
        <w:rPr>
          <w:lang w:val="fr-FR"/>
        </w:rPr>
        <w:t xml:space="preserve"> pour les citoyens mongols qui </w:t>
      </w:r>
      <w:r w:rsidRPr="00963F1E">
        <w:rPr>
          <w:lang w:val="fr-FR"/>
        </w:rPr>
        <w:t>réside</w:t>
      </w:r>
      <w:r>
        <w:rPr>
          <w:lang w:val="fr-FR"/>
        </w:rPr>
        <w:t>nt</w:t>
      </w:r>
      <w:r w:rsidRPr="00963F1E">
        <w:rPr>
          <w:lang w:val="fr-FR"/>
        </w:rPr>
        <w:t xml:space="preserve"> de manière permanente</w:t>
      </w:r>
      <w:r>
        <w:rPr>
          <w:lang w:val="fr-FR"/>
        </w:rPr>
        <w:t xml:space="preserve"> en République du </w:t>
      </w:r>
      <w:r w:rsidRPr="00431A75">
        <w:rPr>
          <w:lang w:val="fr-FR"/>
        </w:rPr>
        <w:t>Kazakhstan</w:t>
      </w:r>
      <w:r>
        <w:rPr>
          <w:lang w:val="fr-FR"/>
        </w:rPr>
        <w:t xml:space="preserve">, et pour les citoyens kazakhs qui </w:t>
      </w:r>
      <w:r w:rsidRPr="00963F1E">
        <w:rPr>
          <w:lang w:val="fr-FR"/>
        </w:rPr>
        <w:t>réside</w:t>
      </w:r>
      <w:r>
        <w:rPr>
          <w:lang w:val="fr-FR"/>
        </w:rPr>
        <w:t>nt</w:t>
      </w:r>
      <w:r w:rsidRPr="00963F1E">
        <w:rPr>
          <w:lang w:val="fr-FR"/>
        </w:rPr>
        <w:t xml:space="preserve"> de manière permanente</w:t>
      </w:r>
      <w:r>
        <w:rPr>
          <w:lang w:val="fr-FR"/>
        </w:rPr>
        <w:t xml:space="preserve"> en Mongolie. Cet accord vise aussi à empêcher la perte de la nationalité, la double nationalité et l’apatridie.</w:t>
      </w:r>
    </w:p>
    <w:p w:rsidR="00C57CC5" w:rsidRPr="00431A75" w:rsidRDefault="00694819" w:rsidP="00570BA6">
      <w:pPr>
        <w:pStyle w:val="H1G"/>
        <w:rPr>
          <w:lang w:val="fr-FR"/>
        </w:rPr>
      </w:pPr>
      <w:r>
        <w:rPr>
          <w:lang w:val="fr-FR"/>
        </w:rPr>
        <w:tab/>
      </w:r>
      <w:r>
        <w:rPr>
          <w:lang w:val="fr-FR"/>
        </w:rPr>
        <w:tab/>
        <w:t>Article 3</w:t>
      </w:r>
    </w:p>
    <w:p w:rsidR="00C57CC5" w:rsidRPr="00431A75" w:rsidRDefault="00C57CC5" w:rsidP="00570BA6">
      <w:pPr>
        <w:pStyle w:val="H23G"/>
        <w:rPr>
          <w:lang w:val="fr-FR"/>
        </w:rPr>
      </w:pPr>
      <w:r w:rsidRPr="00431A75">
        <w:rPr>
          <w:lang w:val="fr-FR"/>
        </w:rPr>
        <w:tab/>
      </w:r>
      <w:r w:rsidRPr="00431A75">
        <w:rPr>
          <w:lang w:val="fr-FR"/>
        </w:rPr>
        <w:tab/>
      </w:r>
      <w:r w:rsidRPr="00325552">
        <w:rPr>
          <w:lang w:val="fr-FR"/>
        </w:rPr>
        <w:t>Discours de haine raciale</w:t>
      </w:r>
    </w:p>
    <w:p w:rsidR="00C57CC5" w:rsidRPr="00CE41E7" w:rsidRDefault="00C57CC5" w:rsidP="00570BA6">
      <w:pPr>
        <w:pStyle w:val="H23G"/>
        <w:rPr>
          <w:lang w:val="fr-FR"/>
        </w:rPr>
      </w:pPr>
      <w:r w:rsidRPr="00431A75">
        <w:rPr>
          <w:lang w:val="fr-FR"/>
        </w:rPr>
        <w:tab/>
      </w:r>
      <w:r w:rsidRPr="00431A75">
        <w:rPr>
          <w:lang w:val="fr-FR"/>
        </w:rPr>
        <w:tab/>
      </w:r>
      <w:r w:rsidRPr="00CE41E7">
        <w:rPr>
          <w:lang w:val="fr-FR"/>
        </w:rPr>
        <w:t>Tout en constatant que le Code pénal révisé a</w:t>
      </w:r>
      <w:r>
        <w:rPr>
          <w:lang w:val="fr-FR"/>
        </w:rPr>
        <w:t>vait</w:t>
      </w:r>
      <w:r w:rsidRPr="00CE41E7">
        <w:rPr>
          <w:lang w:val="fr-FR"/>
        </w:rPr>
        <w:t xml:space="preserve"> été adopté par le Parlement le 4</w:t>
      </w:r>
      <w:r w:rsidR="00570BA6">
        <w:rPr>
          <w:lang w:val="fr-FR"/>
        </w:rPr>
        <w:t> </w:t>
      </w:r>
      <w:r w:rsidRPr="00CE41E7">
        <w:rPr>
          <w:lang w:val="fr-FR"/>
        </w:rPr>
        <w:t xml:space="preserve">décembre 2015, le Comité </w:t>
      </w:r>
      <w:r>
        <w:rPr>
          <w:lang w:val="fr-FR"/>
        </w:rPr>
        <w:t xml:space="preserve">a </w:t>
      </w:r>
      <w:r w:rsidRPr="00CE41E7">
        <w:rPr>
          <w:lang w:val="fr-FR"/>
        </w:rPr>
        <w:t>recommand</w:t>
      </w:r>
      <w:r>
        <w:rPr>
          <w:lang w:val="fr-FR"/>
        </w:rPr>
        <w:t>é</w:t>
      </w:r>
      <w:r w:rsidRPr="00CE41E7">
        <w:rPr>
          <w:lang w:val="fr-FR"/>
        </w:rPr>
        <w:t xml:space="preserve"> à l’État partie de veiller à ce que les </w:t>
      </w:r>
      <w:r w:rsidRPr="00570BA6">
        <w:rPr>
          <w:spacing w:val="-2"/>
          <w:lang w:val="fr-FR"/>
        </w:rPr>
        <w:t xml:space="preserve">dispositions interdisant les discours de haine raciale soient conformes à l’article 4 </w:t>
      </w:r>
      <w:r w:rsidR="00570BA6">
        <w:rPr>
          <w:lang w:val="fr-FR"/>
        </w:rPr>
        <w:br/>
      </w:r>
      <w:r w:rsidRPr="00570BA6">
        <w:rPr>
          <w:spacing w:val="-2"/>
          <w:lang w:val="fr-FR"/>
        </w:rPr>
        <w:t>de la Convention et érigent expressément en infractions : a) toute diffusion d’idées</w:t>
      </w:r>
      <w:r w:rsidRPr="00CE41E7">
        <w:rPr>
          <w:lang w:val="fr-FR"/>
        </w:rPr>
        <w:t xml:space="preserve"> fondées sur la haine ou la supériorité raciale</w:t>
      </w:r>
      <w:r>
        <w:rPr>
          <w:lang w:val="fr-FR"/>
        </w:rPr>
        <w:t> ;</w:t>
      </w:r>
      <w:r w:rsidRPr="00CE41E7">
        <w:rPr>
          <w:lang w:val="fr-FR"/>
        </w:rPr>
        <w:t xml:space="preserve"> b) l’incitation à la discrimination raciale</w:t>
      </w:r>
      <w:r>
        <w:rPr>
          <w:lang w:val="fr-FR"/>
        </w:rPr>
        <w:t> ;</w:t>
      </w:r>
      <w:r w:rsidRPr="00CE41E7">
        <w:rPr>
          <w:lang w:val="fr-FR"/>
        </w:rPr>
        <w:t xml:space="preserve"> et c) l’incitation à commettre des actes de violence contre toute race ou </w:t>
      </w:r>
      <w:r w:rsidR="00570BA6">
        <w:rPr>
          <w:lang w:val="fr-FR"/>
        </w:rPr>
        <w:br/>
      </w:r>
      <w:r w:rsidRPr="00CE41E7">
        <w:rPr>
          <w:lang w:val="fr-FR"/>
        </w:rPr>
        <w:t xml:space="preserve">tout groupe de personnes d’une autre couleur </w:t>
      </w:r>
      <w:r w:rsidR="00694819">
        <w:rPr>
          <w:lang w:val="fr-FR"/>
        </w:rPr>
        <w:t>ou d’une autre origine ethnique</w:t>
      </w:r>
    </w:p>
    <w:p w:rsidR="00C57CC5" w:rsidRPr="000D39AF" w:rsidRDefault="00C57CC5" w:rsidP="00C57CC5">
      <w:pPr>
        <w:pStyle w:val="SingleTxtG"/>
        <w:rPr>
          <w:lang w:val="fr-FR"/>
        </w:rPr>
      </w:pPr>
      <w:r w:rsidRPr="00CB7D04">
        <w:rPr>
          <w:lang w:val="fr-FR"/>
        </w:rPr>
        <w:t>29.</w:t>
      </w:r>
      <w:r w:rsidRPr="00CB7D04">
        <w:rPr>
          <w:lang w:val="fr-FR"/>
        </w:rPr>
        <w:tab/>
      </w:r>
      <w:r w:rsidRPr="007B421B">
        <w:rPr>
          <w:lang w:val="fr-FR"/>
        </w:rPr>
        <w:t>Le Code pénal adopté en 2015 est entré en vigueur le</w:t>
      </w:r>
      <w:r>
        <w:rPr>
          <w:lang w:val="fr-FR"/>
        </w:rPr>
        <w:t xml:space="preserve"> 1</w:t>
      </w:r>
      <w:r w:rsidRPr="007B421B">
        <w:rPr>
          <w:vertAlign w:val="superscript"/>
          <w:lang w:val="fr-FR"/>
        </w:rPr>
        <w:t>er</w:t>
      </w:r>
      <w:r w:rsidR="00570BA6">
        <w:rPr>
          <w:lang w:val="fr-FR"/>
        </w:rPr>
        <w:t> </w:t>
      </w:r>
      <w:r w:rsidRPr="007B421B">
        <w:rPr>
          <w:lang w:val="fr-FR"/>
        </w:rPr>
        <w:t xml:space="preserve">juillet 2017. </w:t>
      </w:r>
      <w:r>
        <w:rPr>
          <w:lang w:val="fr-FR"/>
        </w:rPr>
        <w:t>En vertu de l’ordonnance A/58 du Ministr</w:t>
      </w:r>
      <w:r w:rsidRPr="000D39AF">
        <w:rPr>
          <w:lang w:val="fr-FR"/>
        </w:rPr>
        <w:t xml:space="preserve">e de la justice et de l’intérieur, </w:t>
      </w:r>
      <w:r>
        <w:rPr>
          <w:lang w:val="fr-FR"/>
        </w:rPr>
        <w:t xml:space="preserve">un groupe de travail a été créé pour modifier le </w:t>
      </w:r>
      <w:r w:rsidRPr="007B421B">
        <w:rPr>
          <w:lang w:val="fr-FR"/>
        </w:rPr>
        <w:t xml:space="preserve">Code pénal </w:t>
      </w:r>
      <w:r>
        <w:rPr>
          <w:lang w:val="fr-FR"/>
        </w:rPr>
        <w:t>conformément aux recommandations du Comité</w:t>
      </w:r>
      <w:r w:rsidR="009F011D" w:rsidRPr="00570BA6">
        <w:rPr>
          <w:rStyle w:val="Appelnotedebasdep"/>
        </w:rPr>
        <w:footnoteReference w:id="15"/>
      </w:r>
      <w:r w:rsidR="009F011D">
        <w:rPr>
          <w:lang w:val="fr-FR"/>
        </w:rPr>
        <w:t>.</w:t>
      </w:r>
      <w:r w:rsidRPr="002A7C2F">
        <w:rPr>
          <w:lang w:val="fr-FR"/>
        </w:rPr>
        <w:t xml:space="preserve"> </w:t>
      </w:r>
      <w:r>
        <w:rPr>
          <w:lang w:val="fr-FR"/>
        </w:rPr>
        <w:t xml:space="preserve">Le </w:t>
      </w:r>
      <w:r w:rsidRPr="007B421B">
        <w:rPr>
          <w:lang w:val="fr-FR"/>
        </w:rPr>
        <w:t>Code pénal</w:t>
      </w:r>
      <w:r>
        <w:rPr>
          <w:lang w:val="fr-FR"/>
        </w:rPr>
        <w:t xml:space="preserve"> modifié est entré en vigueur le 1</w:t>
      </w:r>
      <w:r w:rsidRPr="007B421B">
        <w:rPr>
          <w:vertAlign w:val="superscript"/>
          <w:lang w:val="fr-FR"/>
        </w:rPr>
        <w:t>er</w:t>
      </w:r>
      <w:r w:rsidR="00570BA6">
        <w:rPr>
          <w:lang w:val="fr-FR"/>
        </w:rPr>
        <w:t> </w:t>
      </w:r>
      <w:r w:rsidRPr="007B421B">
        <w:rPr>
          <w:lang w:val="fr-FR"/>
        </w:rPr>
        <w:t>juillet 2017.</w:t>
      </w:r>
    </w:p>
    <w:p w:rsidR="00C57CC5" w:rsidRPr="007326DD" w:rsidRDefault="00C57CC5" w:rsidP="00C57CC5">
      <w:pPr>
        <w:pStyle w:val="SingleTxtG"/>
        <w:rPr>
          <w:lang w:val="fr-FR"/>
        </w:rPr>
      </w:pPr>
      <w:r w:rsidRPr="00F069AF">
        <w:rPr>
          <w:lang w:val="fr-FR"/>
        </w:rPr>
        <w:t>30.</w:t>
      </w:r>
      <w:r w:rsidRPr="00F069AF">
        <w:rPr>
          <w:lang w:val="fr-FR"/>
        </w:rPr>
        <w:tab/>
      </w:r>
      <w:r>
        <w:rPr>
          <w:lang w:val="fr-FR"/>
        </w:rPr>
        <w:t xml:space="preserve">Au </w:t>
      </w:r>
      <w:r w:rsidRPr="007326DD">
        <w:rPr>
          <w:lang w:val="fr-FR"/>
        </w:rPr>
        <w:t>chapitre 14</w:t>
      </w:r>
      <w:r>
        <w:rPr>
          <w:lang w:val="fr-FR"/>
        </w:rPr>
        <w:t xml:space="preserve"> </w:t>
      </w:r>
      <w:r w:rsidRPr="007326DD">
        <w:rPr>
          <w:lang w:val="fr-FR"/>
        </w:rPr>
        <w:t>(</w:t>
      </w:r>
      <w:r>
        <w:rPr>
          <w:lang w:val="fr-FR"/>
        </w:rPr>
        <w:t xml:space="preserve">Atteinte aux </w:t>
      </w:r>
      <w:r w:rsidRPr="007326DD">
        <w:rPr>
          <w:lang w:val="fr-FR"/>
        </w:rPr>
        <w:t>droits et libertés politiques et individuels</w:t>
      </w:r>
      <w:r>
        <w:rPr>
          <w:lang w:val="fr-FR"/>
        </w:rPr>
        <w:t>), le</w:t>
      </w:r>
      <w:r w:rsidRPr="007326DD">
        <w:rPr>
          <w:lang w:val="fr-FR"/>
        </w:rPr>
        <w:t xml:space="preserve"> Code pénal révisé </w:t>
      </w:r>
      <w:r>
        <w:rPr>
          <w:lang w:val="fr-FR"/>
        </w:rPr>
        <w:t>comprend les modifications sui</w:t>
      </w:r>
      <w:r w:rsidRPr="004D3DEF">
        <w:rPr>
          <w:lang w:val="fr-FR"/>
        </w:rPr>
        <w:t>vantes</w:t>
      </w:r>
      <w:r>
        <w:rPr>
          <w:lang w:val="fr-FR"/>
        </w:rPr>
        <w:t> : paragraphe 1 de l’article 14 (Discrimination), paragraphe 2 (Entrave au droit de demander et d’obtenir</w:t>
      </w:r>
      <w:r w:rsidRPr="006D172C">
        <w:rPr>
          <w:lang w:val="fr-FR"/>
        </w:rPr>
        <w:t xml:space="preserve"> des</w:t>
      </w:r>
      <w:r>
        <w:rPr>
          <w:lang w:val="fr-FR"/>
        </w:rPr>
        <w:t xml:space="preserve"> </w:t>
      </w:r>
      <w:r w:rsidRPr="009A129C">
        <w:rPr>
          <w:lang w:val="fr-FR"/>
        </w:rPr>
        <w:t>informations</w:t>
      </w:r>
      <w:r>
        <w:rPr>
          <w:lang w:val="fr-FR"/>
        </w:rPr>
        <w:t>), paragraphe 3 (Violation du droit à la liberté d’expression et à la liberté de la presse) et paragraphe 4 (Entrave au d</w:t>
      </w:r>
      <w:r w:rsidRPr="00590379">
        <w:rPr>
          <w:lang w:val="fr-FR"/>
        </w:rPr>
        <w:t>roit à la liberté de conscience et de religion</w:t>
      </w:r>
      <w:r>
        <w:rPr>
          <w:lang w:val="fr-FR"/>
        </w:rPr>
        <w:t xml:space="preserve">). </w:t>
      </w:r>
    </w:p>
    <w:p w:rsidR="00C57CC5" w:rsidRPr="003C17C4" w:rsidRDefault="00C57CC5" w:rsidP="00C57CC5">
      <w:pPr>
        <w:pStyle w:val="SingleTxtG"/>
        <w:rPr>
          <w:lang w:val="fr-FR"/>
        </w:rPr>
      </w:pPr>
      <w:r w:rsidRPr="00B82AEE">
        <w:rPr>
          <w:lang w:val="fr-FR"/>
        </w:rPr>
        <w:t>31.</w:t>
      </w:r>
      <w:r w:rsidRPr="00B82AEE">
        <w:rPr>
          <w:lang w:val="fr-FR"/>
        </w:rPr>
        <w:tab/>
      </w:r>
      <w:r w:rsidRPr="003C17C4">
        <w:rPr>
          <w:lang w:val="fr-FR"/>
        </w:rPr>
        <w:t xml:space="preserve">Le paragraphe 1 de l’article 14 dispose que la discrimination et la restriction des droits et libertés fondées </w:t>
      </w:r>
      <w:r>
        <w:rPr>
          <w:lang w:val="fr-FR"/>
        </w:rPr>
        <w:t xml:space="preserve">sur </w:t>
      </w:r>
      <w:r w:rsidRPr="003C17C4">
        <w:rPr>
          <w:lang w:val="fr-FR"/>
        </w:rPr>
        <w:t xml:space="preserve">la nationalité, l’origine ethnique, la langue, la race, </w:t>
      </w:r>
      <w:r>
        <w:rPr>
          <w:lang w:val="fr-FR"/>
        </w:rPr>
        <w:t xml:space="preserve">l’âge, </w:t>
      </w:r>
      <w:r w:rsidRPr="003C17C4">
        <w:rPr>
          <w:lang w:val="fr-FR"/>
        </w:rPr>
        <w:t>le sexe, l’</w:t>
      </w:r>
      <w:r w:rsidRPr="00664E54">
        <w:rPr>
          <w:lang w:val="fr-FR"/>
        </w:rPr>
        <w:t>origine</w:t>
      </w:r>
      <w:r w:rsidRPr="003C17C4">
        <w:rPr>
          <w:lang w:val="fr-FR"/>
        </w:rPr>
        <w:t xml:space="preserve"> ou le statut social, la fortune, la profession ou le </w:t>
      </w:r>
      <w:r w:rsidRPr="00C614C8">
        <w:rPr>
          <w:lang w:val="fr-FR"/>
        </w:rPr>
        <w:t>métier,</w:t>
      </w:r>
      <w:r>
        <w:rPr>
          <w:lang w:val="fr-FR"/>
        </w:rPr>
        <w:t xml:space="preserve"> la religion, l’opinion,</w:t>
      </w:r>
      <w:r w:rsidRPr="003C17C4">
        <w:rPr>
          <w:lang w:val="fr-FR"/>
        </w:rPr>
        <w:t xml:space="preserve"> l’éducation</w:t>
      </w:r>
      <w:r>
        <w:rPr>
          <w:lang w:val="fr-FR"/>
        </w:rPr>
        <w:t xml:space="preserve">, l’orientation sexuelle et </w:t>
      </w:r>
      <w:r w:rsidRPr="00664E54">
        <w:rPr>
          <w:lang w:val="fr-FR"/>
        </w:rPr>
        <w:t>l’état de santé</w:t>
      </w:r>
      <w:r>
        <w:rPr>
          <w:lang w:val="fr-FR"/>
        </w:rPr>
        <w:t xml:space="preserve"> sont passibl</w:t>
      </w:r>
      <w:r w:rsidR="00570BA6">
        <w:rPr>
          <w:lang w:val="fr-FR"/>
        </w:rPr>
        <w:t>es d’une amende égale à 450 à 5 </w:t>
      </w:r>
      <w:r>
        <w:rPr>
          <w:lang w:val="fr-FR"/>
        </w:rPr>
        <w:t xml:space="preserve">400 unités </w:t>
      </w:r>
      <w:r w:rsidRPr="001867CA">
        <w:rPr>
          <w:lang w:val="fr-FR"/>
        </w:rPr>
        <w:t>de règlement</w:t>
      </w:r>
      <w:r>
        <w:rPr>
          <w:lang w:val="fr-FR"/>
        </w:rPr>
        <w:t>, de 240 à 720 heures de travail d’intérêt général ou d’une interdiction de voyager d’une durée d’un mois à un an.</w:t>
      </w:r>
    </w:p>
    <w:p w:rsidR="00C57CC5" w:rsidRPr="00AF03E6" w:rsidRDefault="00C57CC5" w:rsidP="00C57CC5">
      <w:pPr>
        <w:pStyle w:val="SingleTxtG"/>
        <w:rPr>
          <w:lang w:val="fr-FR"/>
        </w:rPr>
      </w:pPr>
      <w:r w:rsidRPr="00B32B1F">
        <w:rPr>
          <w:lang w:val="fr-FR"/>
        </w:rPr>
        <w:t>32.</w:t>
      </w:r>
      <w:r w:rsidRPr="00B32B1F">
        <w:rPr>
          <w:lang w:val="fr-FR"/>
        </w:rPr>
        <w:tab/>
      </w:r>
      <w:r w:rsidRPr="00AF03E6">
        <w:rPr>
          <w:lang w:val="fr-FR"/>
        </w:rPr>
        <w:t>Aux termes du paragraphe 9 de l’article 19 du Code pénal</w:t>
      </w:r>
      <w:r>
        <w:rPr>
          <w:lang w:val="fr-FR"/>
        </w:rPr>
        <w:t>,</w:t>
      </w:r>
      <w:r w:rsidRPr="00AF03E6">
        <w:rPr>
          <w:lang w:val="fr-FR"/>
        </w:rPr>
        <w:t xml:space="preserve"> </w:t>
      </w:r>
      <w:r>
        <w:rPr>
          <w:lang w:val="fr-FR"/>
        </w:rPr>
        <w:t>l’a</w:t>
      </w:r>
      <w:r w:rsidRPr="00AF03E6">
        <w:rPr>
          <w:lang w:val="fr-FR"/>
        </w:rPr>
        <w:t>tteinte à l’</w:t>
      </w:r>
      <w:r>
        <w:rPr>
          <w:lang w:val="fr-FR"/>
        </w:rPr>
        <w:t>unité nationale est considérée comme une infraction. Cet article dispose que</w:t>
      </w:r>
      <w:r w:rsidRPr="00C36A9F">
        <w:rPr>
          <w:lang w:val="fr-FR"/>
        </w:rPr>
        <w:t xml:space="preserve"> la propagande visant à susciter </w:t>
      </w:r>
      <w:r>
        <w:rPr>
          <w:lang w:val="fr-FR"/>
        </w:rPr>
        <w:t xml:space="preserve">l’hostilité ou </w:t>
      </w:r>
      <w:r w:rsidRPr="00C36A9F">
        <w:rPr>
          <w:lang w:val="fr-FR"/>
        </w:rPr>
        <w:t>la haine nationale,</w:t>
      </w:r>
      <w:r>
        <w:rPr>
          <w:lang w:val="fr-FR"/>
        </w:rPr>
        <w:t xml:space="preserve"> ethnique, linguistique,</w:t>
      </w:r>
      <w:r w:rsidRPr="00C36A9F">
        <w:rPr>
          <w:lang w:val="fr-FR"/>
        </w:rPr>
        <w:t xml:space="preserve"> raciale ou religieuse entre les peuple</w:t>
      </w:r>
      <w:r>
        <w:rPr>
          <w:lang w:val="fr-FR"/>
        </w:rPr>
        <w:t>s, et l’organisation d’activités qui promeuvent le séparatisme, qui créent des discriminations, font subir de mauvais traitements,</w:t>
      </w:r>
      <w:r w:rsidRPr="00B2121B">
        <w:rPr>
          <w:lang w:val="fr-FR"/>
        </w:rPr>
        <w:t xml:space="preserve"> restreig</w:t>
      </w:r>
      <w:r>
        <w:rPr>
          <w:lang w:val="fr-FR"/>
        </w:rPr>
        <w:t>nent les droits ou établissent</w:t>
      </w:r>
      <w:r w:rsidRPr="00B2121B">
        <w:rPr>
          <w:lang w:val="fr-FR"/>
        </w:rPr>
        <w:t xml:space="preserve"> des préférences</w:t>
      </w:r>
      <w:r w:rsidRPr="001867CA">
        <w:rPr>
          <w:lang w:val="fr-FR"/>
        </w:rPr>
        <w:t xml:space="preserve"> </w:t>
      </w:r>
      <w:r>
        <w:rPr>
          <w:lang w:val="fr-FR"/>
        </w:rPr>
        <w:t>sont</w:t>
      </w:r>
      <w:r w:rsidRPr="001867CA">
        <w:rPr>
          <w:lang w:val="fr-FR"/>
        </w:rPr>
        <w:t xml:space="preserve"> passible</w:t>
      </w:r>
      <w:r>
        <w:rPr>
          <w:lang w:val="fr-FR"/>
        </w:rPr>
        <w:t>s</w:t>
      </w:r>
      <w:r w:rsidRPr="001867CA">
        <w:rPr>
          <w:lang w:val="fr-FR"/>
        </w:rPr>
        <w:t xml:space="preserve"> d’une peine d’emp</w:t>
      </w:r>
      <w:r w:rsidR="00570BA6">
        <w:rPr>
          <w:lang w:val="fr-FR"/>
        </w:rPr>
        <w:t>risonnement de cinq</w:t>
      </w:r>
      <w:r>
        <w:rPr>
          <w:lang w:val="fr-FR"/>
        </w:rPr>
        <w:t xml:space="preserve"> à </w:t>
      </w:r>
      <w:r w:rsidR="00570BA6">
        <w:rPr>
          <w:lang w:val="fr-FR"/>
        </w:rPr>
        <w:t>douze</w:t>
      </w:r>
      <w:r>
        <w:rPr>
          <w:lang w:val="fr-FR"/>
        </w:rPr>
        <w:t xml:space="preserve"> ans.</w:t>
      </w:r>
    </w:p>
    <w:p w:rsidR="00C57CC5" w:rsidRPr="00B32B1F" w:rsidRDefault="00C57CC5" w:rsidP="00582CB1">
      <w:pPr>
        <w:pStyle w:val="SingleTxtG"/>
        <w:ind w:left="1701"/>
        <w:rPr>
          <w:lang w:val="fr-FR"/>
        </w:rPr>
      </w:pPr>
      <w:r w:rsidRPr="00B94807">
        <w:rPr>
          <w:lang w:val="fr-FR"/>
        </w:rPr>
        <w:t xml:space="preserve">[Le Comité a appelé l’attention </w:t>
      </w:r>
      <w:r w:rsidR="00570BA6">
        <w:rPr>
          <w:lang w:val="fr-FR"/>
        </w:rPr>
        <w:t xml:space="preserve">sur sa recommandation générale </w:t>
      </w:r>
      <w:r w:rsidR="00570BA6" w:rsidRPr="00570BA6">
        <w:rPr>
          <w:rFonts w:eastAsia="MS Mincho"/>
          <w:szCs w:val="22"/>
          <w:lang w:val="fr-FR"/>
        </w:rPr>
        <w:t>n</w:t>
      </w:r>
      <w:r w:rsidR="00570BA6" w:rsidRPr="00570BA6">
        <w:rPr>
          <w:rFonts w:eastAsia="MS Mincho"/>
          <w:szCs w:val="22"/>
          <w:vertAlign w:val="superscript"/>
          <w:lang w:val="fr-FR"/>
        </w:rPr>
        <w:t>o</w:t>
      </w:r>
      <w:r w:rsidR="00570BA6">
        <w:rPr>
          <w:lang w:val="fr-FR"/>
        </w:rPr>
        <w:t> </w:t>
      </w:r>
      <w:r w:rsidRPr="00B94807">
        <w:rPr>
          <w:lang w:val="fr-FR"/>
        </w:rPr>
        <w:t>35 (2013) sur la]</w:t>
      </w:r>
      <w:r w:rsidRPr="00B32B1F">
        <w:rPr>
          <w:lang w:val="fr-FR"/>
        </w:rPr>
        <w:t xml:space="preserve"> lutte contre les discours de haine raciale, dans laquelle il souligne notamment que seules les formes graves de discours racistes devraient être considérées comme des infractions pénales</w:t>
      </w:r>
      <w:r>
        <w:rPr>
          <w:lang w:val="fr-FR"/>
        </w:rPr>
        <w:t>,</w:t>
      </w:r>
      <w:r w:rsidRPr="00B32B1F">
        <w:rPr>
          <w:lang w:val="fr-FR"/>
        </w:rPr>
        <w:t xml:space="preserve"> et que les formes moins graves devraient être traitées par d’au</w:t>
      </w:r>
      <w:r w:rsidR="00582CB1">
        <w:rPr>
          <w:lang w:val="fr-FR"/>
        </w:rPr>
        <w:t>tres moyens que le droit pénal.</w:t>
      </w:r>
    </w:p>
    <w:p w:rsidR="00C57CC5" w:rsidRPr="00A83248" w:rsidRDefault="00C57CC5" w:rsidP="00C57CC5">
      <w:pPr>
        <w:pStyle w:val="SingleTxtG"/>
        <w:rPr>
          <w:lang w:val="fr-FR"/>
        </w:rPr>
      </w:pPr>
      <w:r w:rsidRPr="00A83248">
        <w:rPr>
          <w:lang w:val="fr-FR"/>
        </w:rPr>
        <w:t>33.</w:t>
      </w:r>
      <w:r w:rsidRPr="00A83248">
        <w:rPr>
          <w:lang w:val="fr-FR"/>
        </w:rPr>
        <w:tab/>
      </w:r>
      <w:r>
        <w:rPr>
          <w:lang w:val="fr-FR"/>
        </w:rPr>
        <w:t xml:space="preserve">Un groupe de travail permanent a été créé en vertu de l’ordonnance A/243 du Ministre de la </w:t>
      </w:r>
      <w:r w:rsidR="00570BA6">
        <w:rPr>
          <w:lang w:val="fr-FR"/>
        </w:rPr>
        <w:t>justice et de l’intérieur le 25 </w:t>
      </w:r>
      <w:r>
        <w:rPr>
          <w:lang w:val="fr-FR"/>
        </w:rPr>
        <w:t xml:space="preserve">septembre 2017, et chargé d’assurer l’application effective du </w:t>
      </w:r>
      <w:r w:rsidRPr="00A83248">
        <w:rPr>
          <w:lang w:val="fr-FR"/>
        </w:rPr>
        <w:t xml:space="preserve">Code pénal révisé, </w:t>
      </w:r>
      <w:r>
        <w:rPr>
          <w:lang w:val="fr-FR"/>
        </w:rPr>
        <w:t>du</w:t>
      </w:r>
      <w:r w:rsidRPr="00A83248">
        <w:rPr>
          <w:lang w:val="fr-FR"/>
        </w:rPr>
        <w:t xml:space="preserve"> Code de procédure pénale, </w:t>
      </w:r>
      <w:r>
        <w:rPr>
          <w:lang w:val="fr-FR"/>
        </w:rPr>
        <w:t xml:space="preserve">de </w:t>
      </w:r>
      <w:r w:rsidRPr="00A83248">
        <w:rPr>
          <w:lang w:val="fr-FR"/>
        </w:rPr>
        <w:t xml:space="preserve">la loi sur les infractions, </w:t>
      </w:r>
      <w:r>
        <w:rPr>
          <w:lang w:val="fr-FR"/>
        </w:rPr>
        <w:t xml:space="preserve">de </w:t>
      </w:r>
      <w:r w:rsidRPr="00A83248">
        <w:rPr>
          <w:lang w:val="fr-FR"/>
        </w:rPr>
        <w:t>la loi sur la procédure relative aux infractions,</w:t>
      </w:r>
      <w:r>
        <w:rPr>
          <w:lang w:val="fr-FR"/>
        </w:rPr>
        <w:t xml:space="preserve"> de la</w:t>
      </w:r>
      <w:r w:rsidRPr="00A83248">
        <w:rPr>
          <w:lang w:val="fr-FR"/>
        </w:rPr>
        <w:t xml:space="preserve"> </w:t>
      </w:r>
      <w:r>
        <w:rPr>
          <w:lang w:val="fr-FR"/>
        </w:rPr>
        <w:t>loi sur les poursuites et</w:t>
      </w:r>
      <w:r w:rsidRPr="00A83248">
        <w:rPr>
          <w:lang w:val="fr-FR"/>
        </w:rPr>
        <w:t xml:space="preserve"> </w:t>
      </w:r>
      <w:r>
        <w:rPr>
          <w:lang w:val="fr-FR"/>
        </w:rPr>
        <w:t xml:space="preserve">de </w:t>
      </w:r>
      <w:r w:rsidRPr="00A83248">
        <w:rPr>
          <w:lang w:val="fr-FR"/>
        </w:rPr>
        <w:t>la loi sur l’exécution des décisions de justice</w:t>
      </w:r>
      <w:r>
        <w:rPr>
          <w:lang w:val="fr-FR"/>
        </w:rPr>
        <w:t xml:space="preserve">, en les harmonisant davantage compte tenu </w:t>
      </w:r>
      <w:r>
        <w:rPr>
          <w:lang w:val="fr-FR"/>
        </w:rPr>
        <w:lastRenderedPageBreak/>
        <w:t>des autres dispositions législatives pertinentes, et en prenant les mesures appropriées si nécessaire.</w:t>
      </w:r>
    </w:p>
    <w:p w:rsidR="00C57CC5" w:rsidRPr="00A83248" w:rsidRDefault="00C57CC5" w:rsidP="00582CB1">
      <w:pPr>
        <w:pStyle w:val="H1G"/>
        <w:rPr>
          <w:lang w:val="fr-FR"/>
        </w:rPr>
      </w:pPr>
      <w:r w:rsidRPr="00A83248">
        <w:rPr>
          <w:lang w:val="fr-FR"/>
        </w:rPr>
        <w:tab/>
      </w:r>
      <w:r w:rsidRPr="00A83248">
        <w:rPr>
          <w:lang w:val="fr-FR"/>
        </w:rPr>
        <w:tab/>
        <w:t xml:space="preserve">Article 4 </w:t>
      </w:r>
    </w:p>
    <w:p w:rsidR="00C57CC5" w:rsidRPr="00764B35" w:rsidRDefault="00C57CC5" w:rsidP="00570BA6">
      <w:pPr>
        <w:pStyle w:val="H23G"/>
        <w:rPr>
          <w:lang w:val="fr-FR"/>
        </w:rPr>
      </w:pPr>
      <w:r w:rsidRPr="00A83248">
        <w:rPr>
          <w:lang w:val="fr-FR"/>
        </w:rPr>
        <w:tab/>
      </w:r>
      <w:r w:rsidRPr="00A83248">
        <w:rPr>
          <w:lang w:val="fr-FR"/>
        </w:rPr>
        <w:tab/>
      </w:r>
      <w:r w:rsidRPr="00764B35">
        <w:rPr>
          <w:lang w:val="fr-FR"/>
        </w:rPr>
        <w:t>Organisations racistes et crimes de haine</w:t>
      </w:r>
    </w:p>
    <w:p w:rsidR="00C57CC5" w:rsidRPr="00817830" w:rsidRDefault="00C57CC5" w:rsidP="00570BA6">
      <w:pPr>
        <w:pStyle w:val="H23G"/>
        <w:rPr>
          <w:lang w:val="fr-FR"/>
        </w:rPr>
      </w:pPr>
      <w:r w:rsidRPr="00764B35">
        <w:rPr>
          <w:lang w:val="fr-FR"/>
        </w:rPr>
        <w:tab/>
      </w:r>
      <w:r w:rsidRPr="00764B35">
        <w:rPr>
          <w:lang w:val="fr-FR"/>
        </w:rPr>
        <w:tab/>
      </w:r>
      <w:r w:rsidRPr="00FC2235">
        <w:rPr>
          <w:spacing w:val="2"/>
          <w:lang w:val="fr-FR"/>
        </w:rPr>
        <w:t xml:space="preserve">Le Comité a demandé des renseignements complémentaires sur l’issue des cas </w:t>
      </w:r>
      <w:r w:rsidR="00570BA6" w:rsidRPr="00FC2235">
        <w:rPr>
          <w:spacing w:val="2"/>
          <w:lang w:val="fr-FR"/>
        </w:rPr>
        <w:br/>
      </w:r>
      <w:r w:rsidRPr="00817830">
        <w:rPr>
          <w:lang w:val="fr-FR"/>
        </w:rPr>
        <w:t xml:space="preserve">de violence raciale qui ont fait l’objet d’enquêtes, et sur le processus de dissolution </w:t>
      </w:r>
      <w:r w:rsidR="00570BA6">
        <w:rPr>
          <w:lang w:val="fr-FR"/>
        </w:rPr>
        <w:br/>
      </w:r>
      <w:r w:rsidRPr="00FC2235">
        <w:rPr>
          <w:spacing w:val="-2"/>
          <w:lang w:val="fr-FR"/>
        </w:rPr>
        <w:t>de l’organisation Dayar Mongol ; il a recommandé de déclarer illégales et d’interdire</w:t>
      </w:r>
      <w:r w:rsidRPr="00817830">
        <w:rPr>
          <w:lang w:val="fr-FR"/>
        </w:rPr>
        <w:t xml:space="preserve"> </w:t>
      </w:r>
      <w:r w:rsidR="00FC2235">
        <w:rPr>
          <w:lang w:val="fr-FR"/>
        </w:rPr>
        <w:br/>
      </w:r>
      <w:r w:rsidRPr="00817830">
        <w:rPr>
          <w:lang w:val="fr-FR"/>
        </w:rPr>
        <w:t xml:space="preserve">les organisations qui promeuvent la discrimination raciale et incitent à cette forme </w:t>
      </w:r>
      <w:r w:rsidR="00570BA6">
        <w:rPr>
          <w:lang w:val="fr-FR"/>
        </w:rPr>
        <w:br/>
      </w:r>
      <w:r w:rsidRPr="00817830">
        <w:rPr>
          <w:lang w:val="fr-FR"/>
        </w:rPr>
        <w:t>de discrimination, ainsi que d’ériger en in</w:t>
      </w:r>
      <w:r>
        <w:rPr>
          <w:lang w:val="fr-FR"/>
        </w:rPr>
        <w:t xml:space="preserve">fraction punie par la loi </w:t>
      </w:r>
      <w:r w:rsidRPr="00817830">
        <w:rPr>
          <w:lang w:val="fr-FR"/>
        </w:rPr>
        <w:t xml:space="preserve">la participation </w:t>
      </w:r>
      <w:r w:rsidR="00570BA6">
        <w:rPr>
          <w:lang w:val="fr-FR"/>
        </w:rPr>
        <w:br/>
      </w:r>
      <w:r w:rsidRPr="00817830">
        <w:rPr>
          <w:lang w:val="fr-FR"/>
        </w:rPr>
        <w:t>de personnes à ces organisations ou activités.</w:t>
      </w:r>
      <w:r>
        <w:rPr>
          <w:lang w:val="fr-FR"/>
        </w:rPr>
        <w:t xml:space="preserve"> </w:t>
      </w:r>
      <w:r w:rsidRPr="00396154">
        <w:rPr>
          <w:lang w:val="fr-FR"/>
        </w:rPr>
        <w:t xml:space="preserve">Le Comité </w:t>
      </w:r>
      <w:r>
        <w:rPr>
          <w:lang w:val="fr-FR"/>
        </w:rPr>
        <w:t xml:space="preserve">a </w:t>
      </w:r>
      <w:r w:rsidRPr="00396154">
        <w:rPr>
          <w:lang w:val="fr-FR"/>
        </w:rPr>
        <w:t>recommand</w:t>
      </w:r>
      <w:r>
        <w:rPr>
          <w:lang w:val="fr-FR"/>
        </w:rPr>
        <w:t>é</w:t>
      </w:r>
      <w:r w:rsidRPr="00396154">
        <w:rPr>
          <w:lang w:val="fr-FR"/>
        </w:rPr>
        <w:t xml:space="preserve"> </w:t>
      </w:r>
      <w:r w:rsidRPr="00817830">
        <w:rPr>
          <w:lang w:val="fr-FR"/>
        </w:rPr>
        <w:t xml:space="preserve">à l’État </w:t>
      </w:r>
      <w:r w:rsidR="00FC2235">
        <w:rPr>
          <w:lang w:val="fr-FR"/>
        </w:rPr>
        <w:br/>
      </w:r>
      <w:r w:rsidRPr="00FC2235">
        <w:rPr>
          <w:spacing w:val="-2"/>
          <w:lang w:val="fr-FR"/>
        </w:rPr>
        <w:t>partie de veiller à ce que tous les cas de violence raciale fassent rapidement l’objet</w:t>
      </w:r>
      <w:r w:rsidRPr="00396154">
        <w:rPr>
          <w:lang w:val="fr-FR"/>
        </w:rPr>
        <w:t xml:space="preserve"> d’enquêtes efficaces et que leurs auteurs soient poursuivis.</w:t>
      </w:r>
      <w:r>
        <w:rPr>
          <w:lang w:val="fr-FR"/>
        </w:rPr>
        <w:t xml:space="preserve"> </w:t>
      </w:r>
      <w:r w:rsidRPr="002F1E04">
        <w:rPr>
          <w:lang w:val="fr-FR"/>
        </w:rPr>
        <w:t xml:space="preserve">Il </w:t>
      </w:r>
      <w:r>
        <w:rPr>
          <w:lang w:val="fr-FR"/>
        </w:rPr>
        <w:t xml:space="preserve">lui a </w:t>
      </w:r>
      <w:r w:rsidRPr="002F1E04">
        <w:rPr>
          <w:lang w:val="fr-FR"/>
        </w:rPr>
        <w:t xml:space="preserve">en outre </w:t>
      </w:r>
      <w:r>
        <w:rPr>
          <w:lang w:val="fr-FR"/>
        </w:rPr>
        <w:t>recommandé</w:t>
      </w:r>
      <w:r w:rsidRPr="002F1E04">
        <w:rPr>
          <w:lang w:val="fr-FR"/>
        </w:rPr>
        <w:t xml:space="preserve"> d’adopter des mesures appropriées dans les domaines de </w:t>
      </w:r>
      <w:r w:rsidR="00FC2235">
        <w:rPr>
          <w:lang w:val="fr-FR"/>
        </w:rPr>
        <w:br/>
      </w:r>
      <w:r w:rsidRPr="002F1E04">
        <w:rPr>
          <w:lang w:val="fr-FR"/>
        </w:rPr>
        <w:t xml:space="preserve">l’enseignement, de l’éducation, de la culture et de </w:t>
      </w:r>
      <w:r>
        <w:rPr>
          <w:lang w:val="fr-FR"/>
        </w:rPr>
        <w:t>l’in</w:t>
      </w:r>
      <w:r w:rsidRPr="002F1E04">
        <w:rPr>
          <w:lang w:val="fr-FR"/>
        </w:rPr>
        <w:t xml:space="preserve">formation pour </w:t>
      </w:r>
      <w:r w:rsidR="00FC2235">
        <w:rPr>
          <w:lang w:val="fr-FR"/>
        </w:rPr>
        <w:br/>
      </w:r>
      <w:r w:rsidRPr="002F1E04">
        <w:rPr>
          <w:lang w:val="fr-FR"/>
        </w:rPr>
        <w:t xml:space="preserve">combattre les préjugés et les autres causes profondes qui expliquent </w:t>
      </w:r>
      <w:r w:rsidR="00FC2235">
        <w:rPr>
          <w:lang w:val="fr-FR"/>
        </w:rPr>
        <w:br/>
      </w:r>
      <w:r w:rsidRPr="002F1E04">
        <w:rPr>
          <w:lang w:val="fr-FR"/>
        </w:rPr>
        <w:t xml:space="preserve">l’existence d’organisations </w:t>
      </w:r>
      <w:r w:rsidR="00582CB1">
        <w:rPr>
          <w:lang w:val="fr-FR"/>
        </w:rPr>
        <w:t>ultranationalistes et néonazies</w:t>
      </w:r>
    </w:p>
    <w:p w:rsidR="00C57CC5" w:rsidRPr="00DB24C6" w:rsidRDefault="00C57CC5" w:rsidP="00C57CC5">
      <w:pPr>
        <w:pStyle w:val="SingleTxtG"/>
        <w:rPr>
          <w:lang w:val="fr-FR"/>
        </w:rPr>
      </w:pPr>
      <w:r w:rsidRPr="00CD646F">
        <w:rPr>
          <w:lang w:val="fr-FR"/>
        </w:rPr>
        <w:t>34.</w:t>
      </w:r>
      <w:r w:rsidRPr="00CD646F">
        <w:rPr>
          <w:lang w:val="fr-FR"/>
        </w:rPr>
        <w:tab/>
      </w:r>
      <w:r w:rsidRPr="00DB24C6">
        <w:rPr>
          <w:lang w:val="fr-FR"/>
        </w:rPr>
        <w:t xml:space="preserve">Il n’a été enregistré en Mongolie aucune infraction à caractère raciste liée aux </w:t>
      </w:r>
      <w:r>
        <w:rPr>
          <w:lang w:val="fr-FR"/>
        </w:rPr>
        <w:t>restrictions de la liberté d’expression, à des points de vue séparatistes ayant pour origine des conflits entre groupes ethniques et à des persécutions.</w:t>
      </w:r>
    </w:p>
    <w:p w:rsidR="00C57CC5" w:rsidRPr="00D319A9" w:rsidRDefault="00C57CC5" w:rsidP="00C57CC5">
      <w:pPr>
        <w:pStyle w:val="SingleTxtG"/>
        <w:rPr>
          <w:lang w:val="fr-FR"/>
        </w:rPr>
      </w:pPr>
      <w:r w:rsidRPr="004F2CBA">
        <w:rPr>
          <w:lang w:val="fr-FR"/>
        </w:rPr>
        <w:t>35.</w:t>
      </w:r>
      <w:r w:rsidRPr="004F2CBA">
        <w:rPr>
          <w:lang w:val="fr-FR"/>
        </w:rPr>
        <w:tab/>
      </w:r>
      <w:r w:rsidRPr="00684794">
        <w:rPr>
          <w:lang w:val="fr-FR"/>
        </w:rPr>
        <w:t xml:space="preserve">Il n’a été </w:t>
      </w:r>
      <w:r>
        <w:rPr>
          <w:lang w:val="fr-FR"/>
        </w:rPr>
        <w:t>enregistré</w:t>
      </w:r>
      <w:r w:rsidRPr="00684794">
        <w:rPr>
          <w:lang w:val="fr-FR"/>
        </w:rPr>
        <w:t xml:space="preserve"> </w:t>
      </w:r>
      <w:r>
        <w:rPr>
          <w:lang w:val="fr-FR"/>
        </w:rPr>
        <w:t>a</w:t>
      </w:r>
      <w:r w:rsidRPr="00D319A9">
        <w:rPr>
          <w:lang w:val="fr-FR"/>
        </w:rPr>
        <w:t>ucun</w:t>
      </w:r>
      <w:r>
        <w:rPr>
          <w:lang w:val="fr-FR"/>
        </w:rPr>
        <w:t>e</w:t>
      </w:r>
      <w:r w:rsidRPr="00D319A9">
        <w:rPr>
          <w:lang w:val="fr-FR"/>
        </w:rPr>
        <w:t xml:space="preserve"> </w:t>
      </w:r>
      <w:r>
        <w:rPr>
          <w:lang w:val="fr-FR"/>
        </w:rPr>
        <w:t>affaire</w:t>
      </w:r>
      <w:r w:rsidRPr="00D319A9">
        <w:rPr>
          <w:lang w:val="fr-FR"/>
        </w:rPr>
        <w:t xml:space="preserve"> </w:t>
      </w:r>
      <w:r>
        <w:rPr>
          <w:lang w:val="fr-FR"/>
        </w:rPr>
        <w:t>d’atteinte</w:t>
      </w:r>
      <w:r w:rsidRPr="00D319A9">
        <w:rPr>
          <w:lang w:val="fr-FR"/>
        </w:rPr>
        <w:t xml:space="preserve"> à l’unité nationale. </w:t>
      </w:r>
      <w:r>
        <w:rPr>
          <w:lang w:val="fr-FR"/>
        </w:rPr>
        <w:t>Malgré quelques signes de conflits mineurs entre certaines nationalités et certains groupes ethniques, aucun problème important n’a entraîné de conflit ethnique.</w:t>
      </w:r>
    </w:p>
    <w:p w:rsidR="00C57CC5" w:rsidRPr="00AB3261" w:rsidRDefault="00C57CC5" w:rsidP="00C57CC5">
      <w:pPr>
        <w:pStyle w:val="SingleTxtG"/>
        <w:rPr>
          <w:lang w:val="fr-FR"/>
        </w:rPr>
      </w:pPr>
      <w:r w:rsidRPr="008426A8">
        <w:rPr>
          <w:lang w:val="fr-FR"/>
        </w:rPr>
        <w:t>36.</w:t>
      </w:r>
      <w:r w:rsidRPr="008426A8">
        <w:rPr>
          <w:lang w:val="fr-FR"/>
        </w:rPr>
        <w:tab/>
      </w:r>
      <w:r w:rsidRPr="004F2CBA">
        <w:rPr>
          <w:lang w:val="fr-FR"/>
        </w:rPr>
        <w:t xml:space="preserve">Dix-huit organisations </w:t>
      </w:r>
      <w:r>
        <w:rPr>
          <w:lang w:val="fr-FR"/>
        </w:rPr>
        <w:t xml:space="preserve">non </w:t>
      </w:r>
      <w:r w:rsidRPr="004F2CBA">
        <w:rPr>
          <w:lang w:val="fr-FR"/>
        </w:rPr>
        <w:t>gouvernementales, group</w:t>
      </w:r>
      <w:r>
        <w:rPr>
          <w:lang w:val="fr-FR"/>
        </w:rPr>
        <w:t>e</w:t>
      </w:r>
      <w:r w:rsidRPr="004F2CBA">
        <w:rPr>
          <w:lang w:val="fr-FR"/>
        </w:rPr>
        <w:t>s et mouvements aux opinions nationalistes sont officiellement enregistrés</w:t>
      </w:r>
      <w:r w:rsidRPr="002A3EE0">
        <w:rPr>
          <w:rStyle w:val="Appelnotedebasdep"/>
        </w:rPr>
        <w:footnoteReference w:id="16"/>
      </w:r>
      <w:r w:rsidRPr="004F2CBA">
        <w:rPr>
          <w:lang w:val="fr-FR"/>
        </w:rPr>
        <w:t xml:space="preserve"> en </w:t>
      </w:r>
      <w:r>
        <w:rPr>
          <w:lang w:val="fr-FR"/>
        </w:rPr>
        <w:t xml:space="preserve">Mongolie. </w:t>
      </w:r>
      <w:r w:rsidRPr="00AB3261">
        <w:rPr>
          <w:lang w:val="fr-FR"/>
        </w:rPr>
        <w:t>Huit d’entre e</w:t>
      </w:r>
      <w:r>
        <w:rPr>
          <w:lang w:val="fr-FR"/>
        </w:rPr>
        <w:t>ux</w:t>
      </w:r>
      <w:r w:rsidRPr="00AB3261">
        <w:rPr>
          <w:lang w:val="fr-FR"/>
        </w:rPr>
        <w:t>, à savoir, Dayar Mongol, Tsagaan khas, Talyn tsuuvur chono, Khas Mongol, Nogoon khas, K</w:t>
      </w:r>
      <w:r>
        <w:rPr>
          <w:lang w:val="fr-FR"/>
        </w:rPr>
        <w:t>hukh Mongol, Bosoo khukh Mongol</w:t>
      </w:r>
      <w:r w:rsidRPr="00AB3261">
        <w:rPr>
          <w:lang w:val="fr-FR"/>
        </w:rPr>
        <w:t xml:space="preserve"> et </w:t>
      </w:r>
      <w:r w:rsidRPr="00E223E2">
        <w:rPr>
          <w:lang w:val="fr-FR"/>
        </w:rPr>
        <w:t>Mongols of the world green union</w:t>
      </w:r>
      <w:r>
        <w:rPr>
          <w:lang w:val="fr-FR"/>
        </w:rPr>
        <w:t xml:space="preserve"> </w:t>
      </w:r>
      <w:r w:rsidRPr="00AB3261">
        <w:rPr>
          <w:lang w:val="fr-FR"/>
        </w:rPr>
        <w:t>mènent des activités et comptent près de 200 partisans et adeptes actifs.</w:t>
      </w:r>
      <w:r>
        <w:rPr>
          <w:lang w:val="fr-FR"/>
        </w:rPr>
        <w:t xml:space="preserve"> </w:t>
      </w:r>
    </w:p>
    <w:p w:rsidR="00C57CC5" w:rsidRPr="0052263B" w:rsidRDefault="00C57CC5" w:rsidP="00C57CC5">
      <w:pPr>
        <w:pStyle w:val="SingleTxtG"/>
        <w:rPr>
          <w:lang w:val="fr-FR"/>
        </w:rPr>
      </w:pPr>
      <w:r w:rsidRPr="00884655">
        <w:rPr>
          <w:lang w:val="fr-FR"/>
        </w:rPr>
        <w:t>37.</w:t>
      </w:r>
      <w:r w:rsidRPr="00884655">
        <w:rPr>
          <w:lang w:val="fr-FR"/>
        </w:rPr>
        <w:tab/>
      </w:r>
      <w:r w:rsidRPr="00FC1CC0">
        <w:rPr>
          <w:lang w:val="fr-FR"/>
        </w:rPr>
        <w:t xml:space="preserve">Si une organisation non gouvernementale est enregistrée conformément à l’article 6 de la </w:t>
      </w:r>
      <w:r>
        <w:rPr>
          <w:lang w:val="fr-FR"/>
        </w:rPr>
        <w:t xml:space="preserve">loi sur les organisations </w:t>
      </w:r>
      <w:r w:rsidRPr="00FC1CC0">
        <w:rPr>
          <w:lang w:val="fr-FR"/>
        </w:rPr>
        <w:t>non gouvernementales</w:t>
      </w:r>
      <w:r>
        <w:rPr>
          <w:lang w:val="fr-FR"/>
        </w:rPr>
        <w:t xml:space="preserve">, les tribunaux peuvent la dissoudre pour les motifs suivants : </w:t>
      </w:r>
      <w:r w:rsidRPr="0052263B">
        <w:rPr>
          <w:lang w:val="fr-FR"/>
        </w:rPr>
        <w:t>1</w:t>
      </w:r>
      <w:r w:rsidR="00582CB1">
        <w:rPr>
          <w:lang w:val="fr-FR"/>
        </w:rPr>
        <w:t>)</w:t>
      </w:r>
      <w:r>
        <w:rPr>
          <w:lang w:val="fr-FR"/>
        </w:rPr>
        <w:t xml:space="preserve"> l’organisation non gouvernementale a mené des activités qui ne sont pas conformes à son objet ; 2</w:t>
      </w:r>
      <w:r w:rsidR="00582CB1">
        <w:rPr>
          <w:lang w:val="fr-FR"/>
        </w:rPr>
        <w:t>)</w:t>
      </w:r>
      <w:r>
        <w:rPr>
          <w:lang w:val="fr-FR"/>
        </w:rPr>
        <w:t xml:space="preserve"> l’organisation non gouvernementale a mené des activités qui constituent des actes graves et a violé la loi à plusieurs reprises. Il appartient notamment au pouvoir judiciaire de dissoudre une organisation qui mène des activités non conformes à son objet</w:t>
      </w:r>
      <w:r w:rsidR="009F011D" w:rsidRPr="002A3EE0">
        <w:rPr>
          <w:rStyle w:val="Appelnotedebasdep"/>
        </w:rPr>
        <w:footnoteReference w:id="17"/>
      </w:r>
      <w:r w:rsidR="009F011D">
        <w:rPr>
          <w:lang w:val="fr-FR"/>
        </w:rPr>
        <w:t>.</w:t>
      </w:r>
    </w:p>
    <w:p w:rsidR="00C57CC5" w:rsidRPr="006D66E6" w:rsidRDefault="00C57CC5" w:rsidP="00C57CC5">
      <w:pPr>
        <w:pStyle w:val="SingleTxtG"/>
        <w:rPr>
          <w:lang w:val="fr-FR"/>
        </w:rPr>
      </w:pPr>
      <w:r w:rsidRPr="00594F46">
        <w:rPr>
          <w:lang w:val="fr-FR"/>
        </w:rPr>
        <w:t>38.</w:t>
      </w:r>
      <w:r w:rsidRPr="00594F46">
        <w:rPr>
          <w:lang w:val="fr-FR"/>
        </w:rPr>
        <w:tab/>
      </w:r>
      <w:r w:rsidRPr="006D66E6">
        <w:rPr>
          <w:lang w:val="fr-FR"/>
        </w:rPr>
        <w:t xml:space="preserve">De plus, le paragraphe 2 de l’article 9 du Code </w:t>
      </w:r>
      <w:r>
        <w:rPr>
          <w:lang w:val="fr-FR"/>
        </w:rPr>
        <w:t>pénal énonce les obligations des personnes morales. Un tribunal peut appliquer des mesures coercitives telles que</w:t>
      </w:r>
      <w:r w:rsidR="00FC2235">
        <w:rPr>
          <w:lang w:val="fr-FR"/>
        </w:rPr>
        <w:t> :</w:t>
      </w:r>
      <w:r w:rsidR="003412E9">
        <w:rPr>
          <w:lang w:val="fr-FR"/>
        </w:rPr>
        <w:t xml:space="preserve"> 1) la suspension des droits ;</w:t>
      </w:r>
      <w:r>
        <w:rPr>
          <w:lang w:val="fr-FR"/>
        </w:rPr>
        <w:t xml:space="preserve"> 2</w:t>
      </w:r>
      <w:r w:rsidR="003412E9">
        <w:rPr>
          <w:lang w:val="fr-FR"/>
        </w:rPr>
        <w:t>)</w:t>
      </w:r>
      <w:r>
        <w:rPr>
          <w:lang w:val="fr-FR"/>
        </w:rPr>
        <w:t xml:space="preserve"> la dissolution</w:t>
      </w:r>
      <w:r w:rsidR="003412E9">
        <w:rPr>
          <w:lang w:val="fr-FR"/>
        </w:rPr>
        <w:t> ;</w:t>
      </w:r>
      <w:r>
        <w:rPr>
          <w:lang w:val="fr-FR"/>
        </w:rPr>
        <w:t xml:space="preserve"> et 3</w:t>
      </w:r>
      <w:r w:rsidR="003412E9">
        <w:rPr>
          <w:lang w:val="fr-FR"/>
        </w:rPr>
        <w:t>)</w:t>
      </w:r>
      <w:r>
        <w:rPr>
          <w:lang w:val="fr-FR"/>
        </w:rPr>
        <w:t xml:space="preserve"> la confiscation des biens et des revenus, qui vient s’ajouter aux sanctions principales</w:t>
      </w:r>
      <w:r w:rsidR="009F011D" w:rsidRPr="002A3EE0">
        <w:rPr>
          <w:rStyle w:val="Appelnotedebasdep"/>
        </w:rPr>
        <w:footnoteReference w:id="18"/>
      </w:r>
      <w:r w:rsidR="009F011D">
        <w:rPr>
          <w:lang w:val="fr-FR"/>
        </w:rPr>
        <w:t>.</w:t>
      </w:r>
      <w:r>
        <w:rPr>
          <w:lang w:val="fr-FR"/>
        </w:rPr>
        <w:t xml:space="preserve"> En d’autres termes, la loi permet de recourir à des mesures coercitives et de dissoudre une organisation non gouvernementale enregistrée conformément à la loi, mais qui a commis une infraction avérée, et d’engager sa responsabilité pénale.</w:t>
      </w:r>
    </w:p>
    <w:p w:rsidR="00C57CC5" w:rsidRPr="00AF2C43" w:rsidRDefault="00C57CC5" w:rsidP="00C57CC5">
      <w:pPr>
        <w:pStyle w:val="SingleTxtG"/>
        <w:rPr>
          <w:lang w:val="fr-FR"/>
        </w:rPr>
      </w:pPr>
      <w:r w:rsidRPr="00AF2C43">
        <w:rPr>
          <w:lang w:val="fr-FR"/>
        </w:rPr>
        <w:t>39.</w:t>
      </w:r>
      <w:r w:rsidRPr="00AF2C43">
        <w:rPr>
          <w:lang w:val="fr-FR"/>
        </w:rPr>
        <w:tab/>
        <w:t>Le pouvoir exécutif n’a pas dissout l’organisation Dayar Mongol, enregistrée en tant qu’organisation non gouvernementale.</w:t>
      </w:r>
    </w:p>
    <w:p w:rsidR="00C57CC5" w:rsidRPr="00AF2C43" w:rsidRDefault="00C57CC5" w:rsidP="00C57CC5">
      <w:pPr>
        <w:pStyle w:val="SingleTxtG"/>
        <w:rPr>
          <w:lang w:val="fr-FR"/>
        </w:rPr>
      </w:pPr>
      <w:r w:rsidRPr="00430A65">
        <w:rPr>
          <w:lang w:val="fr-FR"/>
        </w:rPr>
        <w:t>40.</w:t>
      </w:r>
      <w:r w:rsidRPr="00430A65">
        <w:rPr>
          <w:lang w:val="fr-FR"/>
        </w:rPr>
        <w:tab/>
      </w:r>
      <w:r w:rsidRPr="00AF2C43">
        <w:rPr>
          <w:lang w:val="fr-FR"/>
        </w:rPr>
        <w:t xml:space="preserve">Un groupe de travail a été créé </w:t>
      </w:r>
      <w:r>
        <w:rPr>
          <w:lang w:val="fr-FR"/>
        </w:rPr>
        <w:t>le 12</w:t>
      </w:r>
      <w:r w:rsidR="00950A8D">
        <w:rPr>
          <w:lang w:val="fr-FR"/>
        </w:rPr>
        <w:t> </w:t>
      </w:r>
      <w:r>
        <w:rPr>
          <w:lang w:val="fr-FR"/>
        </w:rPr>
        <w:t xml:space="preserve">octobre 2017 </w:t>
      </w:r>
      <w:r w:rsidRPr="00AF2C43">
        <w:rPr>
          <w:lang w:val="fr-FR"/>
        </w:rPr>
        <w:t>en vertu de l’ordonnance A/257</w:t>
      </w:r>
      <w:r>
        <w:rPr>
          <w:lang w:val="fr-FR"/>
        </w:rPr>
        <w:t xml:space="preserve"> du Ministre de la justice et de l’intérieur, et chargé d’élaborer un projet de révision de la loi </w:t>
      </w:r>
      <w:r>
        <w:rPr>
          <w:lang w:val="fr-FR"/>
        </w:rPr>
        <w:lastRenderedPageBreak/>
        <w:t>sur les organisations non gouvernementales. Conformément à la loi révisée, l’enregistrement et le contrôle de leurs activités seront réglementés.</w:t>
      </w:r>
    </w:p>
    <w:p w:rsidR="00C57CC5" w:rsidRPr="005E0792" w:rsidRDefault="00C57CC5" w:rsidP="00C57CC5">
      <w:pPr>
        <w:pStyle w:val="SingleTxtG"/>
        <w:rPr>
          <w:lang w:val="fr-FR"/>
        </w:rPr>
      </w:pPr>
      <w:r w:rsidRPr="003C7C94">
        <w:rPr>
          <w:lang w:val="fr-FR"/>
        </w:rPr>
        <w:t>41.</w:t>
      </w:r>
      <w:r w:rsidRPr="003C7C94">
        <w:rPr>
          <w:lang w:val="fr-FR"/>
        </w:rPr>
        <w:tab/>
      </w:r>
      <w:r w:rsidRPr="00274A5A">
        <w:rPr>
          <w:lang w:val="fr-FR"/>
        </w:rPr>
        <w:t xml:space="preserve">La </w:t>
      </w:r>
      <w:r>
        <w:rPr>
          <w:lang w:val="fr-FR"/>
        </w:rPr>
        <w:t xml:space="preserve">Mongolie est membre du </w:t>
      </w:r>
      <w:r w:rsidRPr="00274A5A">
        <w:rPr>
          <w:lang w:val="fr-FR"/>
        </w:rPr>
        <w:t xml:space="preserve">Conseil des droits de l’homme </w:t>
      </w:r>
      <w:r>
        <w:rPr>
          <w:lang w:val="fr-FR"/>
        </w:rPr>
        <w:t>depuis le 1</w:t>
      </w:r>
      <w:r w:rsidRPr="00274A5A">
        <w:rPr>
          <w:vertAlign w:val="superscript"/>
          <w:lang w:val="fr-FR"/>
        </w:rPr>
        <w:t>er</w:t>
      </w:r>
      <w:r w:rsidR="004F4F6C">
        <w:rPr>
          <w:lang w:val="fr-FR"/>
        </w:rPr>
        <w:t> </w:t>
      </w:r>
      <w:r>
        <w:rPr>
          <w:lang w:val="fr-FR"/>
        </w:rPr>
        <w:t>janvier 2016. Elle a voté en faveur de la résolution intitulée « De la rhétorique à la réalité :</w:t>
      </w:r>
      <w:r w:rsidRPr="005E0792">
        <w:rPr>
          <w:lang w:val="fr-FR"/>
        </w:rPr>
        <w:t xml:space="preserve"> appel mondial pour une ac</w:t>
      </w:r>
      <w:r>
        <w:rPr>
          <w:lang w:val="fr-FR"/>
        </w:rPr>
        <w:t xml:space="preserve">tion </w:t>
      </w:r>
      <w:r w:rsidRPr="005E0792">
        <w:rPr>
          <w:lang w:val="fr-FR"/>
        </w:rPr>
        <w:t>concrète contre le racisme, la discrimination raciale,</w:t>
      </w:r>
      <w:r>
        <w:rPr>
          <w:lang w:val="fr-FR"/>
        </w:rPr>
        <w:t xml:space="preserve"> </w:t>
      </w:r>
      <w:r w:rsidRPr="005E0792">
        <w:rPr>
          <w:lang w:val="fr-FR"/>
        </w:rPr>
        <w:t>la xénophobie et l’intolérance qui y est associée</w:t>
      </w:r>
      <w:r>
        <w:rPr>
          <w:lang w:val="fr-FR"/>
        </w:rPr>
        <w:t xml:space="preserve"> », présentée par le Groupe des États d’Afrique ; elle a également voté en faveur de la résolution </w:t>
      </w:r>
      <w:r w:rsidRPr="009F3553">
        <w:rPr>
          <w:lang w:val="fr-FR"/>
        </w:rPr>
        <w:t>34/35</w:t>
      </w:r>
      <w:r>
        <w:rPr>
          <w:lang w:val="fr-FR"/>
        </w:rPr>
        <w:t xml:space="preserve"> du Conseil des droits de l’homme</w:t>
      </w:r>
      <w:r w:rsidR="009F011D" w:rsidRPr="002A3EE0">
        <w:rPr>
          <w:rStyle w:val="Appelnotedebasdep"/>
        </w:rPr>
        <w:footnoteReference w:id="19"/>
      </w:r>
      <w:r w:rsidR="009F011D">
        <w:rPr>
          <w:lang w:val="fr-FR"/>
        </w:rPr>
        <w:t>,</w:t>
      </w:r>
      <w:r>
        <w:rPr>
          <w:lang w:val="fr-FR"/>
        </w:rPr>
        <w:t xml:space="preserve"> qui prévoit la prorogation du mandat du </w:t>
      </w:r>
      <w:r w:rsidRPr="00A12829">
        <w:rPr>
          <w:lang w:val="fr-FR"/>
        </w:rPr>
        <w:t>Rapporteur spécial sur les forme</w:t>
      </w:r>
      <w:r>
        <w:rPr>
          <w:lang w:val="fr-FR"/>
        </w:rPr>
        <w:t xml:space="preserve">s contemporaines de racisme, de </w:t>
      </w:r>
      <w:r w:rsidRPr="00A12829">
        <w:rPr>
          <w:lang w:val="fr-FR"/>
        </w:rPr>
        <w:t>discrimination raciale, de xénophobie et de l’intolérance qui y est associée</w:t>
      </w:r>
      <w:r>
        <w:rPr>
          <w:lang w:val="fr-FR"/>
        </w:rPr>
        <w:t>, et de la résolution 34/36</w:t>
      </w:r>
      <w:r w:rsidR="009F011D" w:rsidRPr="002A3EE0">
        <w:rPr>
          <w:rStyle w:val="Appelnotedebasdep"/>
        </w:rPr>
        <w:footnoteReference w:id="20"/>
      </w:r>
      <w:r w:rsidR="009F011D">
        <w:rPr>
          <w:lang w:val="fr-FR"/>
        </w:rPr>
        <w:t>.</w:t>
      </w:r>
      <w:r w:rsidRPr="00FB5605">
        <w:rPr>
          <w:lang w:val="fr-FR"/>
        </w:rPr>
        <w:t xml:space="preserve"> </w:t>
      </w:r>
      <w:r w:rsidRPr="00F50B67">
        <w:rPr>
          <w:lang w:val="fr-FR"/>
        </w:rPr>
        <w:t>La Mongolie</w:t>
      </w:r>
      <w:r>
        <w:rPr>
          <w:lang w:val="fr-FR"/>
        </w:rPr>
        <w:t xml:space="preserve"> s’est également jointe au consensus concernant la résolution 32/17</w:t>
      </w:r>
      <w:r w:rsidR="009F011D">
        <w:rPr>
          <w:rStyle w:val="Appelnotedebasdep"/>
          <w:lang w:val="fr-FR"/>
        </w:rPr>
        <w:footnoteReference w:id="21"/>
      </w:r>
      <w:r w:rsidR="009F011D">
        <w:rPr>
          <w:lang w:val="fr-FR"/>
        </w:rPr>
        <w:t>,</w:t>
      </w:r>
      <w:r>
        <w:rPr>
          <w:lang w:val="fr-FR"/>
        </w:rPr>
        <w:t xml:space="preserve"> présentée par l’Argentine, le Brésil, la Colombie, le Paraguay et l’Uruguay.</w:t>
      </w:r>
    </w:p>
    <w:p w:rsidR="00C57CC5" w:rsidRPr="0095305C" w:rsidRDefault="00C57CC5" w:rsidP="00C57CC5">
      <w:pPr>
        <w:pStyle w:val="SingleTxtG"/>
        <w:rPr>
          <w:lang w:val="fr-FR"/>
        </w:rPr>
      </w:pPr>
      <w:r w:rsidRPr="00B16F83">
        <w:rPr>
          <w:lang w:val="fr-FR"/>
        </w:rPr>
        <w:t>42.</w:t>
      </w:r>
      <w:r w:rsidRPr="00B16F83">
        <w:rPr>
          <w:lang w:val="fr-FR"/>
        </w:rPr>
        <w:tab/>
      </w:r>
      <w:r w:rsidRPr="0095305C">
        <w:rPr>
          <w:lang w:val="fr-FR"/>
        </w:rPr>
        <w:t xml:space="preserve">Depuis 1997, l’Assemblée générale </w:t>
      </w:r>
      <w:r>
        <w:rPr>
          <w:lang w:val="fr-FR"/>
        </w:rPr>
        <w:t xml:space="preserve">des Nations Unies </w:t>
      </w:r>
      <w:r w:rsidRPr="0095305C">
        <w:rPr>
          <w:lang w:val="fr-FR"/>
        </w:rPr>
        <w:t xml:space="preserve">a adopté la Déclaration et </w:t>
      </w:r>
      <w:r>
        <w:rPr>
          <w:lang w:val="fr-FR"/>
        </w:rPr>
        <w:t xml:space="preserve">le </w:t>
      </w:r>
      <w:r w:rsidRPr="0095305C">
        <w:rPr>
          <w:lang w:val="fr-FR"/>
        </w:rPr>
        <w:t>Programme d’action de Durban</w:t>
      </w:r>
      <w:r>
        <w:rPr>
          <w:lang w:val="fr-FR"/>
        </w:rPr>
        <w:t xml:space="preserve"> destinés à </w:t>
      </w:r>
      <w:r w:rsidRPr="004619DB">
        <w:rPr>
          <w:lang w:val="fr-FR"/>
        </w:rPr>
        <w:t>lutter contre le racisme, la discriminat</w:t>
      </w:r>
      <w:r>
        <w:rPr>
          <w:lang w:val="fr-FR"/>
        </w:rPr>
        <w:t>ion raciale, la xénophobie et l’</w:t>
      </w:r>
      <w:r w:rsidRPr="004619DB">
        <w:rPr>
          <w:lang w:val="fr-FR"/>
        </w:rPr>
        <w:t>intolérance qui y est associée</w:t>
      </w:r>
      <w:r>
        <w:rPr>
          <w:lang w:val="fr-FR"/>
        </w:rPr>
        <w:t>. La Mongolie en est l’un des coauteurs</w:t>
      </w:r>
      <w:r w:rsidR="004F4F6C">
        <w:rPr>
          <w:lang w:val="fr-FR"/>
        </w:rPr>
        <w:t>.</w:t>
      </w:r>
    </w:p>
    <w:p w:rsidR="00C57CC5" w:rsidRPr="00776D45" w:rsidRDefault="00C57CC5" w:rsidP="00C57CC5">
      <w:pPr>
        <w:pStyle w:val="SingleTxtG"/>
        <w:rPr>
          <w:lang w:val="fr-FR"/>
        </w:rPr>
      </w:pPr>
      <w:r w:rsidRPr="00DA32C0">
        <w:rPr>
          <w:lang w:val="fr-FR"/>
        </w:rPr>
        <w:t>43.</w:t>
      </w:r>
      <w:r w:rsidRPr="00DA32C0">
        <w:rPr>
          <w:lang w:val="fr-FR"/>
        </w:rPr>
        <w:tab/>
      </w:r>
      <w:r w:rsidRPr="00776D45">
        <w:rPr>
          <w:lang w:val="fr-FR"/>
        </w:rPr>
        <w:t xml:space="preserve">La Mongolie a voté en faveur de la résolution </w:t>
      </w:r>
      <w:r>
        <w:rPr>
          <w:lang w:val="fr-FR"/>
        </w:rPr>
        <w:t>intitulée « </w:t>
      </w:r>
      <w:r w:rsidRPr="00776D45">
        <w:rPr>
          <w:lang w:val="fr-FR"/>
        </w:rPr>
        <w:t>Lutte contre la glorific</w:t>
      </w:r>
      <w:r>
        <w:rPr>
          <w:lang w:val="fr-FR"/>
        </w:rPr>
        <w:t xml:space="preserve">ation du nazisme, du néonazisme </w:t>
      </w:r>
      <w:r w:rsidRPr="00776D45">
        <w:rPr>
          <w:lang w:val="fr-FR"/>
        </w:rPr>
        <w:t>et d’autres pratiq</w:t>
      </w:r>
      <w:r>
        <w:rPr>
          <w:lang w:val="fr-FR"/>
        </w:rPr>
        <w:t xml:space="preserve">ues qui contribuent à alimenter </w:t>
      </w:r>
      <w:r w:rsidRPr="00776D45">
        <w:rPr>
          <w:lang w:val="fr-FR"/>
        </w:rPr>
        <w:t>les formes contemporaine</w:t>
      </w:r>
      <w:r>
        <w:rPr>
          <w:lang w:val="fr-FR"/>
        </w:rPr>
        <w:t xml:space="preserve">s de racisme, de discrimination </w:t>
      </w:r>
      <w:r w:rsidRPr="00776D45">
        <w:rPr>
          <w:lang w:val="fr-FR"/>
        </w:rPr>
        <w:t>raciale, de xénophobie et de l’intolérance qui y est associée</w:t>
      </w:r>
      <w:r>
        <w:rPr>
          <w:lang w:val="fr-FR"/>
        </w:rPr>
        <w:t> », présentée par la Russie et adoptée par l’Assemblée générale des Nations</w:t>
      </w:r>
      <w:r w:rsidR="004F4F6C">
        <w:rPr>
          <w:lang w:val="fr-FR"/>
        </w:rPr>
        <w:t> </w:t>
      </w:r>
      <w:r>
        <w:rPr>
          <w:lang w:val="fr-FR"/>
        </w:rPr>
        <w:t>Unies.</w:t>
      </w:r>
    </w:p>
    <w:p w:rsidR="00C57CC5" w:rsidRPr="00791C4B" w:rsidRDefault="00C57CC5" w:rsidP="004F4F6C">
      <w:pPr>
        <w:pStyle w:val="H1G"/>
        <w:rPr>
          <w:lang w:val="fr-FR"/>
        </w:rPr>
      </w:pPr>
      <w:r w:rsidRPr="00776D45">
        <w:rPr>
          <w:lang w:val="fr-FR"/>
        </w:rPr>
        <w:tab/>
      </w:r>
      <w:r w:rsidRPr="00776D45">
        <w:rPr>
          <w:lang w:val="fr-FR"/>
        </w:rPr>
        <w:tab/>
      </w:r>
      <w:r w:rsidRPr="00791C4B">
        <w:rPr>
          <w:lang w:val="fr-FR"/>
        </w:rPr>
        <w:t>Article 5</w:t>
      </w:r>
    </w:p>
    <w:p w:rsidR="00C57CC5" w:rsidRPr="00BD5470" w:rsidRDefault="00C57CC5" w:rsidP="004F4F6C">
      <w:pPr>
        <w:pStyle w:val="H23G"/>
        <w:rPr>
          <w:lang w:val="fr-FR"/>
        </w:rPr>
      </w:pPr>
      <w:r w:rsidRPr="00791C4B">
        <w:rPr>
          <w:lang w:val="fr-FR"/>
        </w:rPr>
        <w:tab/>
      </w:r>
      <w:r w:rsidRPr="00791C4B">
        <w:rPr>
          <w:lang w:val="fr-FR"/>
        </w:rPr>
        <w:tab/>
      </w:r>
      <w:r w:rsidRPr="00BD5470">
        <w:rPr>
          <w:lang w:val="fr-FR"/>
        </w:rPr>
        <w:t>Demandeurs d’asile, réfugiés et apatrides</w:t>
      </w:r>
    </w:p>
    <w:p w:rsidR="00C57CC5" w:rsidRPr="00BD5470" w:rsidRDefault="00C57CC5" w:rsidP="004F4F6C">
      <w:pPr>
        <w:pStyle w:val="H23G"/>
        <w:rPr>
          <w:lang w:val="fr-FR"/>
        </w:rPr>
      </w:pPr>
      <w:r w:rsidRPr="00BD5470">
        <w:rPr>
          <w:lang w:val="fr-FR"/>
        </w:rPr>
        <w:tab/>
      </w:r>
      <w:r w:rsidRPr="00BD5470">
        <w:rPr>
          <w:lang w:val="fr-FR"/>
        </w:rPr>
        <w:tab/>
      </w:r>
      <w:r>
        <w:rPr>
          <w:lang w:val="fr-FR"/>
        </w:rPr>
        <w:t>P</w:t>
      </w:r>
      <w:r w:rsidRPr="00BD5470">
        <w:rPr>
          <w:lang w:val="fr-FR"/>
        </w:rPr>
        <w:t>rendre des mesures efficaces pour garantir pleinement les droits des demandeurs d’asile</w:t>
      </w:r>
      <w:r>
        <w:rPr>
          <w:lang w:val="fr-FR"/>
        </w:rPr>
        <w:t>, des réfugiés et des apatrides</w:t>
      </w:r>
    </w:p>
    <w:p w:rsidR="00C57CC5" w:rsidRPr="000E4AD4" w:rsidRDefault="00C57CC5" w:rsidP="00C57CC5">
      <w:pPr>
        <w:pStyle w:val="SingleTxtG"/>
        <w:rPr>
          <w:lang w:val="fr-FR"/>
        </w:rPr>
      </w:pPr>
      <w:r w:rsidRPr="00E6324D">
        <w:rPr>
          <w:lang w:val="fr-FR"/>
        </w:rPr>
        <w:t>44.</w:t>
      </w:r>
      <w:r w:rsidRPr="00E6324D">
        <w:rPr>
          <w:lang w:val="fr-FR"/>
        </w:rPr>
        <w:tab/>
      </w:r>
      <w:r>
        <w:rPr>
          <w:lang w:val="fr-FR"/>
        </w:rPr>
        <w:t>Conformément à l’alinéa 9 du paragraphe 1 de l’article 33 de la Constitution,</w:t>
      </w:r>
      <w:r w:rsidRPr="000E4AD4">
        <w:rPr>
          <w:lang w:val="fr-FR"/>
        </w:rPr>
        <w:t xml:space="preserve"> le Président </w:t>
      </w:r>
      <w:r>
        <w:rPr>
          <w:lang w:val="fr-FR"/>
        </w:rPr>
        <w:t xml:space="preserve">de la Mongolie </w:t>
      </w:r>
      <w:r w:rsidRPr="000E4AD4">
        <w:rPr>
          <w:lang w:val="fr-FR"/>
        </w:rPr>
        <w:t>exerce le droit qui lui est dévolu de rendre des décisions en matière d’octroi et de retrait de la nationalité</w:t>
      </w:r>
      <w:r>
        <w:rPr>
          <w:lang w:val="fr-FR"/>
        </w:rPr>
        <w:t xml:space="preserve"> mongole et de garantie du droit d’asile.</w:t>
      </w:r>
    </w:p>
    <w:p w:rsidR="00C57CC5" w:rsidRPr="00E6324D" w:rsidRDefault="00C57CC5" w:rsidP="00C57CC5">
      <w:pPr>
        <w:pStyle w:val="SingleTxtG"/>
        <w:rPr>
          <w:lang w:val="fr-FR"/>
        </w:rPr>
      </w:pPr>
      <w:r w:rsidRPr="00083E2E">
        <w:rPr>
          <w:lang w:val="fr-FR"/>
        </w:rPr>
        <w:t>45.</w:t>
      </w:r>
      <w:r w:rsidRPr="00083E2E">
        <w:rPr>
          <w:lang w:val="fr-FR"/>
        </w:rPr>
        <w:tab/>
      </w:r>
      <w:r w:rsidRPr="00E6324D">
        <w:rPr>
          <w:lang w:val="fr-FR"/>
        </w:rPr>
        <w:t>La Mo</w:t>
      </w:r>
      <w:r>
        <w:rPr>
          <w:lang w:val="fr-FR"/>
        </w:rPr>
        <w:t>ngolie coopère avec le</w:t>
      </w:r>
      <w:r w:rsidRPr="00E6324D">
        <w:rPr>
          <w:lang w:val="fr-FR"/>
        </w:rPr>
        <w:t xml:space="preserve"> </w:t>
      </w:r>
      <w:r w:rsidRPr="00FC7608">
        <w:rPr>
          <w:lang w:val="fr-FR"/>
        </w:rPr>
        <w:t xml:space="preserve">Haut-Commissariat des Nations Unies pour les réfugiés </w:t>
      </w:r>
      <w:r w:rsidRPr="00E6324D">
        <w:rPr>
          <w:lang w:val="fr-FR"/>
        </w:rPr>
        <w:t xml:space="preserve">sur la base des lois et dispositions réglementaires pertinentes. </w:t>
      </w:r>
      <w:r>
        <w:rPr>
          <w:lang w:val="fr-FR"/>
        </w:rPr>
        <w:t xml:space="preserve">Les statistiques de janvier 2018 indiquent que, suite aux demandes reçues par l’Agence d’immigration de Mongolie, les cas de cinq réfugiés ont été réglés conformément aux </w:t>
      </w:r>
      <w:r w:rsidRPr="00E6324D">
        <w:rPr>
          <w:lang w:val="fr-FR"/>
        </w:rPr>
        <w:t>lois et dispositions réglementaires</w:t>
      </w:r>
      <w:r>
        <w:rPr>
          <w:lang w:val="fr-FR"/>
        </w:rPr>
        <w:t>.</w:t>
      </w:r>
    </w:p>
    <w:p w:rsidR="00C57CC5" w:rsidRPr="00083E2E" w:rsidRDefault="00C57CC5" w:rsidP="00C57CC5">
      <w:pPr>
        <w:pStyle w:val="SingleTxtG"/>
        <w:rPr>
          <w:lang w:val="fr-FR"/>
        </w:rPr>
      </w:pPr>
      <w:r w:rsidRPr="00803948">
        <w:rPr>
          <w:lang w:val="fr-FR"/>
        </w:rPr>
        <w:t>46.</w:t>
      </w:r>
      <w:r w:rsidRPr="00803948">
        <w:rPr>
          <w:lang w:val="fr-FR"/>
        </w:rPr>
        <w:tab/>
      </w:r>
      <w:r w:rsidRPr="00083E2E">
        <w:rPr>
          <w:lang w:val="fr-FR"/>
        </w:rPr>
        <w:t xml:space="preserve">Au premier semestre 2018, aucune demande officielle d’asile politique n’avait été </w:t>
      </w:r>
      <w:r>
        <w:rPr>
          <w:lang w:val="fr-FR"/>
        </w:rPr>
        <w:t>pré</w:t>
      </w:r>
      <w:r w:rsidRPr="00083E2E">
        <w:rPr>
          <w:lang w:val="fr-FR"/>
        </w:rPr>
        <w:t>s</w:t>
      </w:r>
      <w:r>
        <w:rPr>
          <w:lang w:val="fr-FR"/>
        </w:rPr>
        <w:t>ent</w:t>
      </w:r>
      <w:r w:rsidRPr="00083E2E">
        <w:rPr>
          <w:lang w:val="fr-FR"/>
        </w:rPr>
        <w:t xml:space="preserve">ée en </w:t>
      </w:r>
      <w:r>
        <w:rPr>
          <w:lang w:val="fr-FR"/>
        </w:rPr>
        <w:t>Mongolie.</w:t>
      </w:r>
    </w:p>
    <w:p w:rsidR="00C57CC5" w:rsidRPr="00A320B3" w:rsidRDefault="00C57CC5" w:rsidP="00C57CC5">
      <w:pPr>
        <w:pStyle w:val="SingleTxtG"/>
        <w:rPr>
          <w:lang w:val="fr-FR"/>
        </w:rPr>
      </w:pPr>
      <w:r w:rsidRPr="00331E08">
        <w:rPr>
          <w:lang w:val="fr-FR"/>
        </w:rPr>
        <w:t>47.</w:t>
      </w:r>
      <w:r w:rsidRPr="00331E08">
        <w:rPr>
          <w:lang w:val="fr-FR"/>
        </w:rPr>
        <w:tab/>
      </w:r>
      <w:r w:rsidRPr="00A320B3">
        <w:rPr>
          <w:lang w:val="fr-FR"/>
        </w:rPr>
        <w:t xml:space="preserve">Les questions relatives à l’acquisition et à la perte de la nationalité sont </w:t>
      </w:r>
      <w:r>
        <w:rPr>
          <w:lang w:val="fr-FR"/>
        </w:rPr>
        <w:t xml:space="preserve">réglementées </w:t>
      </w:r>
      <w:r w:rsidRPr="00A320B3">
        <w:rPr>
          <w:lang w:val="fr-FR"/>
        </w:rPr>
        <w:t>par la loi relative à la nati</w:t>
      </w:r>
      <w:r>
        <w:rPr>
          <w:lang w:val="fr-FR"/>
        </w:rPr>
        <w:t>onalité,</w:t>
      </w:r>
      <w:r w:rsidRPr="00A320B3">
        <w:rPr>
          <w:lang w:val="fr-FR"/>
        </w:rPr>
        <w:t xml:space="preserve"> la loi sur le statut juridique des ressortissants étranger</w:t>
      </w:r>
      <w:r>
        <w:rPr>
          <w:lang w:val="fr-FR"/>
        </w:rPr>
        <w:t xml:space="preserve">s et les procédures de définition de critères d’admission pour les </w:t>
      </w:r>
      <w:r w:rsidRPr="00A320B3">
        <w:rPr>
          <w:lang w:val="fr-FR"/>
        </w:rPr>
        <w:t>ressortissants</w:t>
      </w:r>
      <w:r>
        <w:rPr>
          <w:lang w:val="fr-FR"/>
        </w:rPr>
        <w:t xml:space="preserve"> étrangers et les apatrides qui demandent la naturalisation, adoptées via la décision gouvernementale 62 de 2003. La loi relative à la nationalité</w:t>
      </w:r>
      <w:r w:rsidRPr="00E41422">
        <w:rPr>
          <w:rStyle w:val="Appelnotedebasdep"/>
        </w:rPr>
        <w:footnoteReference w:id="22"/>
      </w:r>
      <w:r>
        <w:rPr>
          <w:lang w:val="fr-FR"/>
        </w:rPr>
        <w:t xml:space="preserve"> réglemente aussi les procédures de demandes de naturalisation, et apporte des modifications concernant les demandes et la prise de décisions.</w:t>
      </w:r>
    </w:p>
    <w:p w:rsidR="00C57CC5" w:rsidRPr="003457CF" w:rsidRDefault="00C57CC5" w:rsidP="00C57CC5">
      <w:pPr>
        <w:pStyle w:val="SingleTxtG"/>
        <w:rPr>
          <w:lang w:val="fr-FR"/>
        </w:rPr>
      </w:pPr>
      <w:r w:rsidRPr="00685F9D">
        <w:rPr>
          <w:lang w:val="fr-FR"/>
        </w:rPr>
        <w:t>48.</w:t>
      </w:r>
      <w:r w:rsidRPr="00685F9D">
        <w:rPr>
          <w:lang w:val="fr-FR"/>
        </w:rPr>
        <w:tab/>
      </w:r>
      <w:r>
        <w:rPr>
          <w:lang w:val="fr-FR"/>
        </w:rPr>
        <w:t>L</w:t>
      </w:r>
      <w:r w:rsidRPr="003457CF">
        <w:rPr>
          <w:lang w:val="fr-FR"/>
        </w:rPr>
        <w:t xml:space="preserve">a loi sur le statut juridique des ressortissants étrangers ne comporte aucune disposition qui rende le statut juridique des apatrides moins favorable que celui des autres </w:t>
      </w:r>
      <w:r w:rsidRPr="003457CF">
        <w:rPr>
          <w:lang w:val="fr-FR"/>
        </w:rPr>
        <w:lastRenderedPageBreak/>
        <w:t xml:space="preserve">étrangers. </w:t>
      </w:r>
      <w:r>
        <w:rPr>
          <w:lang w:val="fr-FR"/>
        </w:rPr>
        <w:t xml:space="preserve">En conséquence, les apatrides ont les mêmes droits et obligations que les ressortissants étrangers. Sur l’ensemble des 664 textes de loi en vigueur dans le pays, plus de 50 lois définissent les droits et obligations des </w:t>
      </w:r>
      <w:r w:rsidRPr="00A320B3">
        <w:rPr>
          <w:lang w:val="fr-FR"/>
        </w:rPr>
        <w:t>ressortissants</w:t>
      </w:r>
      <w:r>
        <w:rPr>
          <w:lang w:val="fr-FR"/>
        </w:rPr>
        <w:t xml:space="preserve"> étrangers, ainsi que les restrictions les concernant.</w:t>
      </w:r>
    </w:p>
    <w:p w:rsidR="00C57CC5" w:rsidRPr="0079711E" w:rsidRDefault="00C57CC5" w:rsidP="00C57CC5">
      <w:pPr>
        <w:pStyle w:val="SingleTxtG"/>
        <w:rPr>
          <w:lang w:val="fr-FR"/>
        </w:rPr>
      </w:pPr>
      <w:r w:rsidRPr="005707B9">
        <w:rPr>
          <w:lang w:val="fr-FR"/>
        </w:rPr>
        <w:t>49.</w:t>
      </w:r>
      <w:r w:rsidRPr="005707B9">
        <w:rPr>
          <w:lang w:val="fr-FR"/>
        </w:rPr>
        <w:tab/>
      </w:r>
      <w:r w:rsidRPr="0079711E">
        <w:rPr>
          <w:lang w:val="fr-FR"/>
        </w:rPr>
        <w:t xml:space="preserve">Les </w:t>
      </w:r>
      <w:r>
        <w:rPr>
          <w:lang w:val="fr-FR"/>
        </w:rPr>
        <w:t xml:space="preserve">ressortissants </w:t>
      </w:r>
      <w:r w:rsidRPr="0079711E">
        <w:rPr>
          <w:lang w:val="fr-FR"/>
        </w:rPr>
        <w:t xml:space="preserve">étrangers peuvent exercer les </w:t>
      </w:r>
      <w:r w:rsidR="008E3A54">
        <w:rPr>
          <w:lang w:val="fr-FR"/>
        </w:rPr>
        <w:t>22</w:t>
      </w:r>
      <w:r>
        <w:rPr>
          <w:lang w:val="fr-FR"/>
        </w:rPr>
        <w:t xml:space="preserve"> droits ci-après :</w:t>
      </w:r>
      <w:r w:rsidRPr="0079711E">
        <w:rPr>
          <w:lang w:val="fr-FR"/>
        </w:rPr>
        <w:t xml:space="preserve"> </w:t>
      </w:r>
      <w:r>
        <w:rPr>
          <w:lang w:val="fr-FR"/>
        </w:rPr>
        <w:t>se faire naturaliser, utiliser un terrain pendant un certain temps en payant des taxes, exploiter des ressources naturelles moyennant une redevance, percevoir des aides</w:t>
      </w:r>
      <w:r w:rsidRPr="00550634">
        <w:rPr>
          <w:lang w:val="fr-FR"/>
        </w:rPr>
        <w:t xml:space="preserve"> </w:t>
      </w:r>
      <w:r>
        <w:rPr>
          <w:lang w:val="fr-FR"/>
        </w:rPr>
        <w:t>et une retraite, adopter un enfant de nationalité mongole, assurer ses biens comme tout autre citoyen mongol, participer à des manifestations et à des réunions, conduire un véhicule avec un permis de conduire international valide, bénéficier du droit à la propriété intellectuelle, s’adresser formellement à des organismes publics et à des fonctionnaires, créer une entreprise et être actionnaire, percevoir des prestations sociales, participer à des appels d’offres sous réserve de certaines restrictions, être employé, négocier en bourse, travailler comme juriste, travailler comme garde du corps, se rendre dans les zones franches</w:t>
      </w:r>
      <w:r w:rsidRPr="00BD071A">
        <w:rPr>
          <w:lang w:val="fr-FR"/>
        </w:rPr>
        <w:t xml:space="preserve"> </w:t>
      </w:r>
      <w:r>
        <w:rPr>
          <w:lang w:val="fr-FR"/>
        </w:rPr>
        <w:t>sans visa, travailler au sein d’organisations sanitaires, exercer des activités professionnelles, utiliser l’eau et pêcher.</w:t>
      </w:r>
    </w:p>
    <w:p w:rsidR="00C57CC5" w:rsidRPr="00791C4B" w:rsidRDefault="00C57CC5" w:rsidP="00C57CC5">
      <w:pPr>
        <w:pStyle w:val="SingleTxtG"/>
        <w:rPr>
          <w:lang w:val="fr-FR"/>
        </w:rPr>
      </w:pPr>
      <w:r w:rsidRPr="00B71E88">
        <w:rPr>
          <w:lang w:val="fr-FR"/>
        </w:rPr>
        <w:t>50.</w:t>
      </w:r>
      <w:r w:rsidRPr="00B71E88">
        <w:rPr>
          <w:lang w:val="fr-FR"/>
        </w:rPr>
        <w:tab/>
      </w:r>
      <w:r w:rsidRPr="00791C4B">
        <w:rPr>
          <w:lang w:val="fr-FR"/>
        </w:rPr>
        <w:t xml:space="preserve">Les </w:t>
      </w:r>
      <w:r>
        <w:rPr>
          <w:lang w:val="fr-FR"/>
        </w:rPr>
        <w:t xml:space="preserve">ressortissants </w:t>
      </w:r>
      <w:r w:rsidRPr="00791C4B">
        <w:rPr>
          <w:lang w:val="fr-FR"/>
        </w:rPr>
        <w:t xml:space="preserve">étrangers doivent </w:t>
      </w:r>
      <w:r>
        <w:rPr>
          <w:lang w:val="fr-FR"/>
        </w:rPr>
        <w:t>remplir l</w:t>
      </w:r>
      <w:r w:rsidRPr="00791C4B">
        <w:rPr>
          <w:lang w:val="fr-FR"/>
        </w:rPr>
        <w:t>e</w:t>
      </w:r>
      <w:r>
        <w:rPr>
          <w:lang w:val="fr-FR"/>
        </w:rPr>
        <w:t>s sept obligations ci-après :</w:t>
      </w:r>
      <w:r w:rsidRPr="00791C4B">
        <w:rPr>
          <w:lang w:val="fr-FR"/>
        </w:rPr>
        <w:t xml:space="preserve"> </w:t>
      </w:r>
      <w:r>
        <w:rPr>
          <w:lang w:val="fr-FR"/>
        </w:rPr>
        <w:t>donner</w:t>
      </w:r>
      <w:r w:rsidRPr="00791C4B">
        <w:rPr>
          <w:lang w:val="fr-FR"/>
        </w:rPr>
        <w:t xml:space="preserve"> </w:t>
      </w:r>
      <w:r>
        <w:rPr>
          <w:lang w:val="fr-FR"/>
        </w:rPr>
        <w:t>immédiatement l’alerte en cas d’incendie, participer à la lutte contre l’incendie, se faire vacciner, communiquer aux autorités compétentes des informations sur les salaires et les revenus des employés, payer des impôts, s’inscrire à l’assurance santé obligatoire et rédiger les courriers officiels en langue mongole.</w:t>
      </w:r>
    </w:p>
    <w:p w:rsidR="00C57CC5" w:rsidRPr="00196E74" w:rsidRDefault="00C57CC5" w:rsidP="00C57CC5">
      <w:pPr>
        <w:pStyle w:val="SingleTxtG"/>
        <w:rPr>
          <w:lang w:val="fr-FR"/>
        </w:rPr>
      </w:pPr>
      <w:r w:rsidRPr="00932C56">
        <w:rPr>
          <w:lang w:val="fr-FR"/>
        </w:rPr>
        <w:t>51.</w:t>
      </w:r>
      <w:r w:rsidRPr="00932C56">
        <w:rPr>
          <w:lang w:val="fr-FR"/>
        </w:rPr>
        <w:tab/>
      </w:r>
      <w:r w:rsidRPr="009F4D69">
        <w:rPr>
          <w:lang w:val="fr-FR"/>
        </w:rPr>
        <w:t xml:space="preserve">Lorsqu’un apatride se voit octroyer un permis de résidence, il peut exercer les droits et doit </w:t>
      </w:r>
      <w:r>
        <w:rPr>
          <w:lang w:val="fr-FR"/>
        </w:rPr>
        <w:t>remplir les</w:t>
      </w:r>
      <w:r w:rsidRPr="009F4D69">
        <w:rPr>
          <w:lang w:val="fr-FR"/>
        </w:rPr>
        <w:t xml:space="preserve"> obligations prévus par la loi. </w:t>
      </w:r>
      <w:r>
        <w:rPr>
          <w:lang w:val="fr-FR"/>
        </w:rPr>
        <w:t>En outre, il a la possibilité de demander la nationalité mongole ou d’être réintégré dans sa précédente nationalité. L’Agence d’immigration de Mongolie est chargée d’appliquer les politiques relatives à l’enregistrement des apatrides, à l’obtention d’informations les concernant et à l’octroi de permis de résidence. Ci-après sont indiqués le nombre</w:t>
      </w:r>
      <w:r w:rsidRPr="00196E74">
        <w:rPr>
          <w:lang w:val="fr-FR"/>
        </w:rPr>
        <w:t xml:space="preserve"> </w:t>
      </w:r>
      <w:r>
        <w:rPr>
          <w:lang w:val="fr-FR"/>
        </w:rPr>
        <w:t>d’apatrides résida</w:t>
      </w:r>
      <w:r w:rsidRPr="00196E74">
        <w:rPr>
          <w:lang w:val="fr-FR"/>
        </w:rPr>
        <w:t>nt en Mongolie au cours des trois dernières années</w:t>
      </w:r>
      <w:r w:rsidRPr="002A3EE0">
        <w:rPr>
          <w:rStyle w:val="Appelnotedebasdep"/>
        </w:rPr>
        <w:footnoteReference w:id="23"/>
      </w:r>
      <w:r w:rsidRPr="00196E74">
        <w:rPr>
          <w:lang w:val="fr-FR"/>
        </w:rPr>
        <w:t xml:space="preserve"> et leur </w:t>
      </w:r>
      <w:r>
        <w:rPr>
          <w:lang w:val="fr-FR"/>
        </w:rPr>
        <w:t>ancienne nationalité :</w:t>
      </w:r>
      <w:r w:rsidRPr="00196E74">
        <w:rPr>
          <w:lang w:val="fr-FR"/>
        </w:rPr>
        <w:t xml:space="preserve"> 12 personnes or</w:t>
      </w:r>
      <w:r>
        <w:rPr>
          <w:lang w:val="fr-FR"/>
        </w:rPr>
        <w:t>iginaires de</w:t>
      </w:r>
      <w:r w:rsidRPr="00196E74">
        <w:rPr>
          <w:lang w:val="fr-FR"/>
        </w:rPr>
        <w:t xml:space="preserve"> </w:t>
      </w:r>
      <w:r w:rsidR="008E3A54">
        <w:rPr>
          <w:lang w:val="fr-FR"/>
        </w:rPr>
        <w:t xml:space="preserve">la </w:t>
      </w:r>
      <w:r w:rsidRPr="00120FB2">
        <w:rPr>
          <w:lang w:val="fr-FR"/>
        </w:rPr>
        <w:t xml:space="preserve">République du Kazakhstan </w:t>
      </w:r>
      <w:r>
        <w:rPr>
          <w:lang w:val="fr-FR"/>
        </w:rPr>
        <w:t>en</w:t>
      </w:r>
      <w:r w:rsidRPr="00196E74">
        <w:rPr>
          <w:lang w:val="fr-FR"/>
        </w:rPr>
        <w:t xml:space="preserve"> 2016, 13 </w:t>
      </w:r>
      <w:r>
        <w:rPr>
          <w:lang w:val="fr-FR"/>
        </w:rPr>
        <w:t>e</w:t>
      </w:r>
      <w:r w:rsidRPr="00196E74">
        <w:rPr>
          <w:lang w:val="fr-FR"/>
        </w:rPr>
        <w:t xml:space="preserve">n 2017, </w:t>
      </w:r>
      <w:r>
        <w:rPr>
          <w:lang w:val="fr-FR"/>
        </w:rPr>
        <w:t xml:space="preserve">et </w:t>
      </w:r>
      <w:r w:rsidRPr="00196E74">
        <w:rPr>
          <w:lang w:val="fr-FR"/>
        </w:rPr>
        <w:t xml:space="preserve">13 </w:t>
      </w:r>
      <w:r>
        <w:rPr>
          <w:lang w:val="fr-FR"/>
        </w:rPr>
        <w:t>en juin</w:t>
      </w:r>
      <w:r w:rsidRPr="00196E74">
        <w:rPr>
          <w:lang w:val="fr-FR"/>
        </w:rPr>
        <w:t xml:space="preserve"> 2018</w:t>
      </w:r>
      <w:r>
        <w:rPr>
          <w:lang w:val="fr-FR"/>
        </w:rPr>
        <w:t> ;</w:t>
      </w:r>
      <w:r w:rsidRPr="00196E74">
        <w:rPr>
          <w:lang w:val="fr-FR"/>
        </w:rPr>
        <w:t xml:space="preserve"> 5 personnes originaires </w:t>
      </w:r>
      <w:r>
        <w:rPr>
          <w:lang w:val="fr-FR"/>
        </w:rPr>
        <w:t>de</w:t>
      </w:r>
      <w:r w:rsidRPr="00196E74">
        <w:rPr>
          <w:lang w:val="fr-FR"/>
        </w:rPr>
        <w:t xml:space="preserve"> </w:t>
      </w:r>
      <w:r>
        <w:rPr>
          <w:lang w:val="fr-FR"/>
        </w:rPr>
        <w:t>République populaire de Chine</w:t>
      </w:r>
      <w:r w:rsidRPr="00196E74">
        <w:rPr>
          <w:lang w:val="fr-FR"/>
        </w:rPr>
        <w:t xml:space="preserve"> en 2016, 5 en 2017 </w:t>
      </w:r>
      <w:r>
        <w:rPr>
          <w:lang w:val="fr-FR"/>
        </w:rPr>
        <w:t>et</w:t>
      </w:r>
      <w:r w:rsidRPr="00196E74">
        <w:rPr>
          <w:lang w:val="fr-FR"/>
        </w:rPr>
        <w:t xml:space="preserve"> 5 </w:t>
      </w:r>
      <w:r>
        <w:rPr>
          <w:lang w:val="fr-FR"/>
        </w:rPr>
        <w:t>en juin</w:t>
      </w:r>
      <w:r w:rsidRPr="00196E74">
        <w:rPr>
          <w:lang w:val="fr-FR"/>
        </w:rPr>
        <w:t xml:space="preserve"> 2018</w:t>
      </w:r>
      <w:r>
        <w:rPr>
          <w:lang w:val="fr-FR"/>
        </w:rPr>
        <w:t> ;</w:t>
      </w:r>
      <w:r w:rsidRPr="00196E74">
        <w:rPr>
          <w:lang w:val="fr-FR"/>
        </w:rPr>
        <w:t xml:space="preserve"> 21</w:t>
      </w:r>
      <w:r w:rsidR="0013272A">
        <w:rPr>
          <w:lang w:val="fr-FR"/>
        </w:rPr>
        <w:t> </w:t>
      </w:r>
      <w:r w:rsidRPr="00196E74">
        <w:rPr>
          <w:lang w:val="fr-FR"/>
        </w:rPr>
        <w:t>person</w:t>
      </w:r>
      <w:r>
        <w:rPr>
          <w:lang w:val="fr-FR"/>
        </w:rPr>
        <w:t>ne</w:t>
      </w:r>
      <w:r w:rsidRPr="00196E74">
        <w:rPr>
          <w:lang w:val="fr-FR"/>
        </w:rPr>
        <w:t xml:space="preserve">s </w:t>
      </w:r>
      <w:r>
        <w:rPr>
          <w:lang w:val="fr-FR"/>
        </w:rPr>
        <w:t>originaires du</w:t>
      </w:r>
      <w:r w:rsidRPr="00196E74">
        <w:rPr>
          <w:lang w:val="fr-FR"/>
        </w:rPr>
        <w:t xml:space="preserve"> Tibet en 2016, 5 en 2017 </w:t>
      </w:r>
      <w:r>
        <w:rPr>
          <w:lang w:val="fr-FR"/>
        </w:rPr>
        <w:t>et</w:t>
      </w:r>
      <w:r w:rsidRPr="00196E74">
        <w:rPr>
          <w:lang w:val="fr-FR"/>
        </w:rPr>
        <w:t xml:space="preserve"> 6 </w:t>
      </w:r>
      <w:r>
        <w:rPr>
          <w:lang w:val="fr-FR"/>
        </w:rPr>
        <w:t>en juin</w:t>
      </w:r>
      <w:r w:rsidRPr="00196E74">
        <w:rPr>
          <w:lang w:val="fr-FR"/>
        </w:rPr>
        <w:t xml:space="preserve"> 2018</w:t>
      </w:r>
      <w:r>
        <w:rPr>
          <w:lang w:val="fr-FR"/>
        </w:rPr>
        <w:t> ;</w:t>
      </w:r>
      <w:r w:rsidRPr="00196E74">
        <w:rPr>
          <w:lang w:val="fr-FR"/>
        </w:rPr>
        <w:t xml:space="preserve"> 6 perso</w:t>
      </w:r>
      <w:r>
        <w:rPr>
          <w:lang w:val="fr-FR"/>
        </w:rPr>
        <w:t>n</w:t>
      </w:r>
      <w:r w:rsidRPr="00196E74">
        <w:rPr>
          <w:lang w:val="fr-FR"/>
        </w:rPr>
        <w:t>n</w:t>
      </w:r>
      <w:r>
        <w:rPr>
          <w:lang w:val="fr-FR"/>
        </w:rPr>
        <w:t>e</w:t>
      </w:r>
      <w:r w:rsidRPr="00196E74">
        <w:rPr>
          <w:lang w:val="fr-FR"/>
        </w:rPr>
        <w:t>s originaires</w:t>
      </w:r>
      <w:r>
        <w:rPr>
          <w:lang w:val="fr-FR"/>
        </w:rPr>
        <w:t xml:space="preserve"> de Fédération de Russie</w:t>
      </w:r>
      <w:r w:rsidRPr="00196E74">
        <w:rPr>
          <w:lang w:val="fr-FR"/>
        </w:rPr>
        <w:t xml:space="preserve"> en 2016, 5 en 2017 </w:t>
      </w:r>
      <w:r>
        <w:rPr>
          <w:lang w:val="fr-FR"/>
        </w:rPr>
        <w:t>et</w:t>
      </w:r>
      <w:r w:rsidRPr="00196E74">
        <w:rPr>
          <w:lang w:val="fr-FR"/>
        </w:rPr>
        <w:t xml:space="preserve"> 6 </w:t>
      </w:r>
      <w:r>
        <w:rPr>
          <w:lang w:val="fr-FR"/>
        </w:rPr>
        <w:t>en juin</w:t>
      </w:r>
      <w:r w:rsidRPr="00196E74">
        <w:rPr>
          <w:lang w:val="fr-FR"/>
        </w:rPr>
        <w:t xml:space="preserve"> 2018.</w:t>
      </w:r>
      <w:r>
        <w:rPr>
          <w:lang w:val="fr-FR"/>
        </w:rPr>
        <w:t xml:space="preserve"> </w:t>
      </w:r>
    </w:p>
    <w:p w:rsidR="00C57CC5" w:rsidRPr="00CC10B9" w:rsidRDefault="00C57CC5" w:rsidP="0013272A">
      <w:pPr>
        <w:pStyle w:val="H1G"/>
        <w:rPr>
          <w:lang w:val="fr-FR"/>
        </w:rPr>
      </w:pPr>
      <w:r w:rsidRPr="00196E74">
        <w:rPr>
          <w:lang w:val="fr-FR"/>
        </w:rPr>
        <w:tab/>
      </w:r>
      <w:r w:rsidRPr="00196E74">
        <w:rPr>
          <w:lang w:val="fr-FR"/>
        </w:rPr>
        <w:tab/>
      </w:r>
      <w:r w:rsidRPr="00CC10B9">
        <w:rPr>
          <w:lang w:val="fr-FR"/>
        </w:rPr>
        <w:t xml:space="preserve">Politique </w:t>
      </w:r>
      <w:r>
        <w:rPr>
          <w:lang w:val="fr-FR"/>
        </w:rPr>
        <w:t>migratoire</w:t>
      </w:r>
    </w:p>
    <w:p w:rsidR="00C57CC5" w:rsidRPr="00CC10B9" w:rsidRDefault="00C57CC5" w:rsidP="0013272A">
      <w:pPr>
        <w:pStyle w:val="H23G"/>
        <w:rPr>
          <w:lang w:val="fr-FR"/>
        </w:rPr>
      </w:pPr>
      <w:r w:rsidRPr="00CC10B9">
        <w:rPr>
          <w:lang w:val="fr-FR"/>
        </w:rPr>
        <w:tab/>
      </w:r>
      <w:r w:rsidRPr="00CC10B9">
        <w:rPr>
          <w:lang w:val="fr-FR"/>
        </w:rPr>
        <w:tab/>
      </w:r>
      <w:r>
        <w:rPr>
          <w:lang w:val="fr-FR"/>
        </w:rPr>
        <w:t>A</w:t>
      </w:r>
      <w:r w:rsidRPr="00CC10B9">
        <w:rPr>
          <w:lang w:val="fr-FR"/>
        </w:rPr>
        <w:t>bolir les quotas d’entrée et de résidence applicables aux non-ressortissants</w:t>
      </w:r>
      <w:r w:rsidR="0013272A">
        <w:rPr>
          <w:lang w:val="fr-FR"/>
        </w:rPr>
        <w:br/>
      </w:r>
      <w:r>
        <w:rPr>
          <w:lang w:val="fr-FR"/>
        </w:rPr>
        <w:t>en fonction de leur nationalité</w:t>
      </w:r>
    </w:p>
    <w:p w:rsidR="00C57CC5" w:rsidRPr="003D3DB6" w:rsidRDefault="00C57CC5" w:rsidP="00C57CC5">
      <w:pPr>
        <w:pStyle w:val="SingleTxtG"/>
        <w:rPr>
          <w:lang w:val="fr-FR"/>
        </w:rPr>
      </w:pPr>
      <w:r w:rsidRPr="00313B49">
        <w:rPr>
          <w:lang w:val="fr-FR"/>
        </w:rPr>
        <w:t>52.</w:t>
      </w:r>
      <w:r w:rsidRPr="00313B49">
        <w:rPr>
          <w:lang w:val="fr-FR"/>
        </w:rPr>
        <w:tab/>
      </w:r>
      <w:r w:rsidRPr="003D3DB6">
        <w:rPr>
          <w:lang w:val="fr-FR"/>
        </w:rPr>
        <w:t xml:space="preserve">La réglementation </w:t>
      </w:r>
      <w:r>
        <w:rPr>
          <w:lang w:val="fr-FR"/>
        </w:rPr>
        <w:t>sur</w:t>
      </w:r>
      <w:r w:rsidRPr="003D3DB6">
        <w:rPr>
          <w:lang w:val="fr-FR"/>
        </w:rPr>
        <w:t xml:space="preserve"> la résidence des </w:t>
      </w:r>
      <w:r w:rsidRPr="00A320B3">
        <w:rPr>
          <w:lang w:val="fr-FR"/>
        </w:rPr>
        <w:t>ressortissants</w:t>
      </w:r>
      <w:r w:rsidRPr="003D3DB6">
        <w:rPr>
          <w:lang w:val="fr-FR"/>
        </w:rPr>
        <w:t xml:space="preserve"> étrangers en M</w:t>
      </w:r>
      <w:r>
        <w:rPr>
          <w:lang w:val="fr-FR"/>
        </w:rPr>
        <w:t>ongolie et leur enregistrement, adoptée via la décision</w:t>
      </w:r>
      <w:r w:rsidRPr="003D3DB6">
        <w:rPr>
          <w:lang w:val="fr-FR"/>
        </w:rPr>
        <w:t xml:space="preserve"> gouvernemental</w:t>
      </w:r>
      <w:r>
        <w:rPr>
          <w:lang w:val="fr-FR"/>
        </w:rPr>
        <w:t>e</w:t>
      </w:r>
      <w:r w:rsidRPr="003D3DB6">
        <w:rPr>
          <w:lang w:val="fr-FR"/>
        </w:rPr>
        <w:t xml:space="preserve"> 146 </w:t>
      </w:r>
      <w:r>
        <w:rPr>
          <w:lang w:val="fr-FR"/>
        </w:rPr>
        <w:t xml:space="preserve">de 2018, donne des orientations pour les procédures d’enregistrement, de retrait des listes, d’octroi de permis de résidence, de prolongation et de modification du permis des visiteurs étrangers en court séjour qui restent en Mongolie plus de </w:t>
      </w:r>
      <w:r w:rsidR="0013272A">
        <w:rPr>
          <w:lang w:val="fr-FR"/>
        </w:rPr>
        <w:t>trente</w:t>
      </w:r>
      <w:r>
        <w:rPr>
          <w:lang w:val="fr-FR"/>
        </w:rPr>
        <w:t xml:space="preserve"> jours, des ressortissants étrangers qui résident dans le pays à titre privé ou officiel et des apatrides.</w:t>
      </w:r>
    </w:p>
    <w:p w:rsidR="00C57CC5" w:rsidRPr="00C0734A" w:rsidRDefault="00C57CC5" w:rsidP="00C57CC5">
      <w:pPr>
        <w:pStyle w:val="SingleTxtG"/>
        <w:rPr>
          <w:lang w:val="fr-FR"/>
        </w:rPr>
      </w:pPr>
      <w:r w:rsidRPr="000E6517">
        <w:rPr>
          <w:lang w:val="fr-FR"/>
        </w:rPr>
        <w:t>53.</w:t>
      </w:r>
      <w:r w:rsidRPr="000E6517">
        <w:rPr>
          <w:lang w:val="fr-FR"/>
        </w:rPr>
        <w:tab/>
      </w:r>
      <w:r w:rsidRPr="00704655">
        <w:rPr>
          <w:lang w:val="fr-FR"/>
        </w:rPr>
        <w:t>La loi dispose que si l</w:t>
      </w:r>
      <w:r>
        <w:rPr>
          <w:lang w:val="fr-FR"/>
        </w:rPr>
        <w:t xml:space="preserve">a proportion </w:t>
      </w:r>
      <w:r w:rsidRPr="00704655">
        <w:rPr>
          <w:lang w:val="fr-FR"/>
        </w:rPr>
        <w:t xml:space="preserve">de résidents étrangers et d’immigrants qui résident en </w:t>
      </w:r>
      <w:r>
        <w:rPr>
          <w:lang w:val="fr-FR"/>
        </w:rPr>
        <w:t>Mongolie est inférieure à 0,4</w:t>
      </w:r>
      <w:r w:rsidR="00B32703">
        <w:rPr>
          <w:lang w:val="fr-FR"/>
        </w:rPr>
        <w:t> %</w:t>
      </w:r>
      <w:r>
        <w:rPr>
          <w:lang w:val="fr-FR"/>
        </w:rPr>
        <w:t xml:space="preserve"> de la population totale, le Parlement définit, une fois par législature, le nombre et </w:t>
      </w:r>
      <w:r w:rsidRPr="009B0586">
        <w:rPr>
          <w:lang w:val="fr-FR"/>
        </w:rPr>
        <w:t>l’origine</w:t>
      </w:r>
      <w:r>
        <w:rPr>
          <w:lang w:val="fr-FR"/>
        </w:rPr>
        <w:t xml:space="preserve"> des immigrants qui peuvent être admis dans les unités territoriales et administratives du pays, en examinant la proposition présentée par le Gouvernement. Si la proportion dépasse 0,4</w:t>
      </w:r>
      <w:r w:rsidR="00B32703">
        <w:rPr>
          <w:lang w:val="fr-FR"/>
        </w:rPr>
        <w:t> %</w:t>
      </w:r>
      <w:r>
        <w:rPr>
          <w:lang w:val="fr-FR"/>
        </w:rPr>
        <w:t>, le Parlement procède à cette définition une fois par an</w:t>
      </w:r>
      <w:r w:rsidR="009F011D" w:rsidRPr="0013272A">
        <w:rPr>
          <w:rStyle w:val="Appelnotedebasdep"/>
        </w:rPr>
        <w:footnoteReference w:id="24"/>
      </w:r>
      <w:r w:rsidR="009F011D">
        <w:rPr>
          <w:lang w:val="fr-FR"/>
        </w:rPr>
        <w:t>.</w:t>
      </w:r>
      <w:r w:rsidRPr="00C0734A">
        <w:rPr>
          <w:lang w:val="fr-FR"/>
        </w:rPr>
        <w:t xml:space="preserve"> </w:t>
      </w:r>
      <w:r>
        <w:rPr>
          <w:lang w:val="fr-FR"/>
        </w:rPr>
        <w:t>Dans la limite des proportions approuvées par décision parlementaire, les ressortissants étrangers et les apatrides qui satisfont aux critères fixés peuvent formuler une demande d’immigration.</w:t>
      </w:r>
    </w:p>
    <w:p w:rsidR="00C57CC5" w:rsidRPr="00A22093" w:rsidRDefault="00C57CC5" w:rsidP="00C57CC5">
      <w:pPr>
        <w:pStyle w:val="SingleTxtG"/>
        <w:rPr>
          <w:lang w:val="fr-FR"/>
        </w:rPr>
      </w:pPr>
      <w:r w:rsidRPr="001B7636">
        <w:rPr>
          <w:lang w:val="fr-FR"/>
        </w:rPr>
        <w:lastRenderedPageBreak/>
        <w:t>54.</w:t>
      </w:r>
      <w:r w:rsidRPr="001B7636">
        <w:rPr>
          <w:lang w:val="fr-FR"/>
        </w:rPr>
        <w:tab/>
      </w:r>
      <w:r w:rsidRPr="007C64A0">
        <w:rPr>
          <w:spacing w:val="-2"/>
          <w:lang w:val="fr-FR"/>
        </w:rPr>
        <w:t>Le permis d’immigration est octroyé dans la limite du nombre</w:t>
      </w:r>
      <w:r w:rsidRPr="002A3EE0">
        <w:rPr>
          <w:rStyle w:val="Appelnotedebasdep"/>
        </w:rPr>
        <w:footnoteReference w:id="25"/>
      </w:r>
      <w:r w:rsidRPr="00A22093">
        <w:rPr>
          <w:lang w:val="fr-FR"/>
        </w:rPr>
        <w:t xml:space="preserve"> prévu</w:t>
      </w:r>
      <w:r>
        <w:rPr>
          <w:lang w:val="fr-FR"/>
        </w:rPr>
        <w:t xml:space="preserve"> au p</w:t>
      </w:r>
      <w:r w:rsidRPr="007C64A0">
        <w:rPr>
          <w:spacing w:val="-2"/>
          <w:lang w:val="fr-FR"/>
        </w:rPr>
        <w:t xml:space="preserve">aragraphe </w:t>
      </w:r>
      <w:r>
        <w:rPr>
          <w:lang w:val="fr-FR"/>
        </w:rPr>
        <w:t xml:space="preserve">5 de l’article 29 de </w:t>
      </w:r>
      <w:r w:rsidRPr="00E90EC1">
        <w:rPr>
          <w:lang w:val="fr-FR"/>
        </w:rPr>
        <w:t>la loi sur le statut juridique des ressortissants étrangers</w:t>
      </w:r>
      <w:r>
        <w:rPr>
          <w:lang w:val="fr-FR"/>
        </w:rPr>
        <w:t>, après examen de la demande formulée par le ressortissant étranger, de ses qualifications et de son expérience professionnelle, de la situation intérieure et de la capacité économique du pays, ainsi qu’en tenant compte des observations des organismes chargés de faire appliquer la loi. Si le ressortissant étranger décide de prolonger son séjour dans le pays, la durée de son permis de résidence sera prolongée conformément aux conditions et dispositions réglementaires définies par la décision</w:t>
      </w:r>
      <w:r w:rsidRPr="003D3DB6">
        <w:rPr>
          <w:lang w:val="fr-FR"/>
        </w:rPr>
        <w:t xml:space="preserve"> gouvernemental</w:t>
      </w:r>
      <w:r>
        <w:rPr>
          <w:lang w:val="fr-FR"/>
        </w:rPr>
        <w:t>e 219 du 2</w:t>
      </w:r>
      <w:r w:rsidR="007C64A0">
        <w:rPr>
          <w:lang w:val="fr-FR"/>
        </w:rPr>
        <w:t> </w:t>
      </w:r>
      <w:r>
        <w:rPr>
          <w:lang w:val="fr-FR"/>
        </w:rPr>
        <w:t>juin 2015.</w:t>
      </w:r>
    </w:p>
    <w:p w:rsidR="00C57CC5" w:rsidRPr="00E9033A" w:rsidRDefault="00C57CC5" w:rsidP="00C57CC5">
      <w:pPr>
        <w:pStyle w:val="SingleTxtG"/>
        <w:rPr>
          <w:lang w:val="fr-FR"/>
        </w:rPr>
      </w:pPr>
      <w:r w:rsidRPr="00912800">
        <w:rPr>
          <w:lang w:val="fr-FR"/>
        </w:rPr>
        <w:t>55.</w:t>
      </w:r>
      <w:r w:rsidRPr="00912800">
        <w:rPr>
          <w:lang w:val="fr-FR"/>
        </w:rPr>
        <w:tab/>
      </w:r>
      <w:r w:rsidRPr="00E9033A">
        <w:rPr>
          <w:lang w:val="fr-FR"/>
        </w:rPr>
        <w:t>Le 10</w:t>
      </w:r>
      <w:r w:rsidR="007C64A0">
        <w:rPr>
          <w:lang w:val="fr-FR"/>
        </w:rPr>
        <w:t> </w:t>
      </w:r>
      <w:r w:rsidRPr="00E9033A">
        <w:rPr>
          <w:lang w:val="fr-FR"/>
        </w:rPr>
        <w:t>janvier 2018, le Cabinet a décidé de présenter au Parlement un pro</w:t>
      </w:r>
      <w:r>
        <w:rPr>
          <w:lang w:val="fr-FR"/>
        </w:rPr>
        <w:t xml:space="preserve">jet de décret sur le nombre, </w:t>
      </w:r>
      <w:r w:rsidRPr="009B0586">
        <w:rPr>
          <w:lang w:val="fr-FR"/>
        </w:rPr>
        <w:t>l’origine</w:t>
      </w:r>
      <w:r w:rsidRPr="00E9033A">
        <w:rPr>
          <w:lang w:val="fr-FR"/>
        </w:rPr>
        <w:t xml:space="preserve"> et les lieux de résidence des immigra</w:t>
      </w:r>
      <w:r>
        <w:rPr>
          <w:lang w:val="fr-FR"/>
        </w:rPr>
        <w:t>nts pour la période 2018-2020</w:t>
      </w:r>
      <w:r w:rsidR="009F011D" w:rsidRPr="002A3EE0">
        <w:rPr>
          <w:rStyle w:val="Appelnotedebasdep"/>
        </w:rPr>
        <w:footnoteReference w:id="26"/>
      </w:r>
      <w:r w:rsidR="009F011D">
        <w:rPr>
          <w:lang w:val="fr-FR"/>
        </w:rPr>
        <w:t>.</w:t>
      </w:r>
      <w:r>
        <w:rPr>
          <w:lang w:val="fr-FR"/>
        </w:rPr>
        <w:t xml:space="preserve"> En vertu du projet, les permis d’immigration délivrés aux enfants d’immigrants ne sont pas inclus dans les quotas fixés par le décret. Le projet a été examiné à la session parlementaire du printemps, et rejeté sur la base de l’alinéa 7 du paragraphe 3 de l’article 19</w:t>
      </w:r>
      <w:r w:rsidRPr="002A3EE0">
        <w:rPr>
          <w:rStyle w:val="Appelnotedebasdep"/>
        </w:rPr>
        <w:footnoteReference w:id="27"/>
      </w:r>
      <w:r w:rsidRPr="004613B5">
        <w:rPr>
          <w:lang w:val="fr-FR"/>
        </w:rPr>
        <w:t xml:space="preserve"> </w:t>
      </w:r>
      <w:r>
        <w:rPr>
          <w:lang w:val="fr-FR"/>
        </w:rPr>
        <w:t>de la loi sur les procédures des sessions parlementaires</w:t>
      </w:r>
      <w:r w:rsidR="009F011D" w:rsidRPr="002A3EE0">
        <w:rPr>
          <w:rStyle w:val="Appelnotedebasdep"/>
        </w:rPr>
        <w:footnoteReference w:id="28"/>
      </w:r>
      <w:r w:rsidR="009F011D">
        <w:rPr>
          <w:lang w:val="fr-FR"/>
        </w:rPr>
        <w:t>.</w:t>
      </w:r>
    </w:p>
    <w:p w:rsidR="00C57CC5" w:rsidRPr="00967430" w:rsidRDefault="00C57CC5" w:rsidP="00C57CC5">
      <w:pPr>
        <w:pStyle w:val="SingleTxtG"/>
        <w:rPr>
          <w:lang w:val="fr-FR"/>
        </w:rPr>
      </w:pPr>
      <w:r w:rsidRPr="00DC0C02">
        <w:rPr>
          <w:lang w:val="fr-FR"/>
        </w:rPr>
        <w:t>56.</w:t>
      </w:r>
      <w:r w:rsidRPr="00DC0C02">
        <w:rPr>
          <w:lang w:val="fr-FR"/>
        </w:rPr>
        <w:tab/>
      </w:r>
      <w:r w:rsidRPr="00967430">
        <w:rPr>
          <w:lang w:val="fr-FR"/>
        </w:rPr>
        <w:t>Depuis 2018, en coopération avec l’A</w:t>
      </w:r>
      <w:r>
        <w:rPr>
          <w:lang w:val="fr-FR"/>
        </w:rPr>
        <w:t xml:space="preserve">ssociation des avocats de Mongolie, le Gouvernement accorde un conseil juridique dans plusieurs langues étrangères pour améliorer la qualité et l’accessibilité de l’aide judiciaire apportée aux ressortissants étrangers. Conformément aux dispositions de la loi sur l’aide judiciaire, le Centre d’aide judiciaire assure gratuitement un conseil juridique et les services d’un avocat aux personnes aux ressources limitées </w:t>
      </w:r>
      <w:r w:rsidR="007C64A0">
        <w:rPr>
          <w:lang w:val="fr-FR"/>
        </w:rPr>
        <w:t>−</w:t>
      </w:r>
      <w:r>
        <w:rPr>
          <w:lang w:val="fr-FR"/>
        </w:rPr>
        <w:t xml:space="preserve"> suspects, accusés ou défendeurs </w:t>
      </w:r>
      <w:r w:rsidR="007C64A0">
        <w:rPr>
          <w:lang w:val="fr-FR"/>
        </w:rPr>
        <w:t>−</w:t>
      </w:r>
      <w:r w:rsidR="008E3A54">
        <w:rPr>
          <w:lang w:val="fr-FR"/>
        </w:rPr>
        <w:t xml:space="preserve">, </w:t>
      </w:r>
      <w:r>
        <w:rPr>
          <w:lang w:val="fr-FR"/>
        </w:rPr>
        <w:t xml:space="preserve">et ce, pour garantir le droit à l’aide judiciaire prévu par la </w:t>
      </w:r>
      <w:r w:rsidRPr="00967430">
        <w:rPr>
          <w:lang w:val="fr-FR"/>
        </w:rPr>
        <w:t>Constitution de la Mongolie</w:t>
      </w:r>
      <w:r>
        <w:rPr>
          <w:lang w:val="fr-FR"/>
        </w:rPr>
        <w:t xml:space="preserve"> et par les normes et </w:t>
      </w:r>
      <w:r w:rsidRPr="005713FB">
        <w:rPr>
          <w:lang w:val="fr-FR"/>
        </w:rPr>
        <w:t>instruments</w:t>
      </w:r>
      <w:r>
        <w:rPr>
          <w:lang w:val="fr-FR"/>
        </w:rPr>
        <w:t xml:space="preserve"> </w:t>
      </w:r>
      <w:r w:rsidRPr="005713FB">
        <w:rPr>
          <w:lang w:val="fr-FR"/>
        </w:rPr>
        <w:t>internationaux</w:t>
      </w:r>
      <w:r>
        <w:rPr>
          <w:lang w:val="fr-FR"/>
        </w:rPr>
        <w:t>. Le centre accorde la même aide judiciaire aux ressortissants étrangers.</w:t>
      </w:r>
    </w:p>
    <w:p w:rsidR="00C57CC5" w:rsidRPr="00680EB3" w:rsidRDefault="00C57CC5" w:rsidP="00C57CC5">
      <w:pPr>
        <w:pStyle w:val="SingleTxtG"/>
        <w:rPr>
          <w:lang w:val="fr-FR"/>
        </w:rPr>
      </w:pPr>
      <w:r w:rsidRPr="002A2E16">
        <w:rPr>
          <w:lang w:val="fr-FR"/>
        </w:rPr>
        <w:t>57.</w:t>
      </w:r>
      <w:r w:rsidRPr="002A2E16">
        <w:rPr>
          <w:lang w:val="fr-FR"/>
        </w:rPr>
        <w:tab/>
      </w:r>
      <w:r w:rsidRPr="004C3EB8">
        <w:rPr>
          <w:lang w:val="fr-FR"/>
        </w:rPr>
        <w:t xml:space="preserve">Le </w:t>
      </w:r>
      <w:r>
        <w:rPr>
          <w:lang w:val="fr-FR"/>
        </w:rPr>
        <w:t>Département consulaire du Ministère des affaires étrangères et le Centre d’aide judiciaire ont organisé le 1</w:t>
      </w:r>
      <w:r w:rsidRPr="00D315E6">
        <w:rPr>
          <w:vertAlign w:val="superscript"/>
          <w:lang w:val="fr-FR"/>
        </w:rPr>
        <w:t>er</w:t>
      </w:r>
      <w:r w:rsidR="007C64A0">
        <w:rPr>
          <w:lang w:val="fr-FR"/>
        </w:rPr>
        <w:t> </w:t>
      </w:r>
      <w:r>
        <w:rPr>
          <w:lang w:val="fr-FR"/>
        </w:rPr>
        <w:t>mars 2018 une conférence sur les conditions de l’aide judiciaire accordée aux étrangers ; elle a permis de présenter les activités du centre, qui assure gratuitement des services de conseil aux étrangers en anglais, allemand, chinois, coréen et russe. Des agents consulaires de 18 missions diplomatiques d’Oulan-Bator, des</w:t>
      </w:r>
      <w:r w:rsidRPr="00680EB3">
        <w:rPr>
          <w:lang w:val="fr-FR"/>
        </w:rPr>
        <w:t xml:space="preserve"> membres </w:t>
      </w:r>
      <w:r>
        <w:rPr>
          <w:lang w:val="fr-FR"/>
        </w:rPr>
        <w:t xml:space="preserve">du Ministère de la justice et de l’intérieur, </w:t>
      </w:r>
      <w:r w:rsidRPr="00680EB3">
        <w:rPr>
          <w:lang w:val="fr-FR"/>
        </w:rPr>
        <w:t>de la police nationale</w:t>
      </w:r>
      <w:r>
        <w:rPr>
          <w:lang w:val="fr-FR"/>
        </w:rPr>
        <w:t xml:space="preserve"> et de</w:t>
      </w:r>
      <w:r w:rsidRPr="00680EB3">
        <w:rPr>
          <w:lang w:val="fr-FR"/>
        </w:rPr>
        <w:t xml:space="preserve"> </w:t>
      </w:r>
      <w:r>
        <w:rPr>
          <w:lang w:val="fr-FR"/>
        </w:rPr>
        <w:t>l’Agence d’immigration de Mongolie ont participé à cet événement.</w:t>
      </w:r>
    </w:p>
    <w:p w:rsidR="00C57CC5" w:rsidRPr="00623F00" w:rsidRDefault="00C57CC5" w:rsidP="007C64A0">
      <w:pPr>
        <w:pStyle w:val="H1G"/>
        <w:rPr>
          <w:lang w:val="fr-FR"/>
        </w:rPr>
      </w:pPr>
      <w:r w:rsidRPr="00680EB3">
        <w:rPr>
          <w:lang w:val="fr-FR"/>
        </w:rPr>
        <w:tab/>
      </w:r>
      <w:r w:rsidRPr="00680EB3">
        <w:rPr>
          <w:lang w:val="fr-FR"/>
        </w:rPr>
        <w:tab/>
      </w:r>
      <w:r w:rsidRPr="00623F00">
        <w:rPr>
          <w:lang w:val="fr-FR"/>
        </w:rPr>
        <w:t>Travailleurs migrants</w:t>
      </w:r>
    </w:p>
    <w:p w:rsidR="00C57CC5" w:rsidRPr="00BA4061" w:rsidRDefault="00C57CC5" w:rsidP="007C64A0">
      <w:pPr>
        <w:pStyle w:val="H23G"/>
        <w:rPr>
          <w:lang w:val="fr-FR"/>
        </w:rPr>
      </w:pPr>
      <w:r w:rsidRPr="00623F00">
        <w:rPr>
          <w:lang w:val="fr-FR"/>
        </w:rPr>
        <w:tab/>
      </w:r>
      <w:r w:rsidRPr="00623F00">
        <w:rPr>
          <w:lang w:val="fr-FR"/>
        </w:rPr>
        <w:tab/>
      </w:r>
      <w:r w:rsidRPr="00FB7666">
        <w:rPr>
          <w:lang w:val="fr-FR"/>
        </w:rPr>
        <w:t>P</w:t>
      </w:r>
      <w:r w:rsidRPr="00BA4061">
        <w:rPr>
          <w:lang w:val="fr-FR"/>
        </w:rPr>
        <w:t xml:space="preserve">rendre des mesures concrètes pour combattre le travail obligatoire ou forcé </w:t>
      </w:r>
      <w:r w:rsidR="007C64A0">
        <w:rPr>
          <w:lang w:val="fr-FR"/>
        </w:rPr>
        <w:br/>
      </w:r>
      <w:r w:rsidRPr="00BA4061">
        <w:rPr>
          <w:lang w:val="fr-FR"/>
        </w:rPr>
        <w:t>des travailleurs migrants et veiller à ce que leurs conditions de travail soient conformes aux normes internationales</w:t>
      </w:r>
    </w:p>
    <w:p w:rsidR="00C57CC5" w:rsidRPr="00007FA7" w:rsidRDefault="00C57CC5" w:rsidP="00C57CC5">
      <w:pPr>
        <w:pStyle w:val="SingleTxtG"/>
        <w:rPr>
          <w:lang w:val="fr-FR"/>
        </w:rPr>
      </w:pPr>
      <w:r w:rsidRPr="00007FA7">
        <w:rPr>
          <w:lang w:val="fr-FR"/>
        </w:rPr>
        <w:t>58.</w:t>
      </w:r>
      <w:r w:rsidRPr="00007FA7">
        <w:rPr>
          <w:lang w:val="fr-FR"/>
        </w:rPr>
        <w:tab/>
      </w:r>
      <w:r w:rsidRPr="00553E9B">
        <w:rPr>
          <w:lang w:val="fr-FR"/>
        </w:rPr>
        <w:t xml:space="preserve">Conformément au paragraphe 23 des observations finales du Comité concernant les dix-neuvième à vingt-deuxième rapports périodiques </w:t>
      </w:r>
      <w:r>
        <w:rPr>
          <w:lang w:val="fr-FR"/>
        </w:rPr>
        <w:t xml:space="preserve">du pays, des renseignements détaillés sont apportés ci-après sur la lutte contre </w:t>
      </w:r>
      <w:r w:rsidRPr="00A046CE">
        <w:rPr>
          <w:lang w:val="fr-FR"/>
        </w:rPr>
        <w:t>le travail obligatoire ou forcé des travailleurs migrants</w:t>
      </w:r>
      <w:r>
        <w:rPr>
          <w:lang w:val="fr-FR"/>
        </w:rPr>
        <w:t>, et sur leurs conditions de travail.</w:t>
      </w:r>
    </w:p>
    <w:p w:rsidR="00C57CC5" w:rsidRPr="00214FDA" w:rsidRDefault="00C57CC5" w:rsidP="00C57CC5">
      <w:pPr>
        <w:pStyle w:val="SingleTxtG"/>
        <w:rPr>
          <w:lang w:val="fr-FR"/>
        </w:rPr>
      </w:pPr>
      <w:r w:rsidRPr="00E61096">
        <w:rPr>
          <w:lang w:val="fr-FR"/>
        </w:rPr>
        <w:t>59.</w:t>
      </w:r>
      <w:r w:rsidRPr="00E61096">
        <w:rPr>
          <w:lang w:val="fr-FR"/>
        </w:rPr>
        <w:tab/>
      </w:r>
      <w:r w:rsidRPr="00D370BF">
        <w:rPr>
          <w:lang w:val="fr-FR"/>
        </w:rPr>
        <w:t>Adoptée le 1</w:t>
      </w:r>
      <w:r w:rsidR="007C64A0">
        <w:rPr>
          <w:lang w:val="fr-FR"/>
        </w:rPr>
        <w:t>2 </w:t>
      </w:r>
      <w:r>
        <w:rPr>
          <w:lang w:val="fr-FR"/>
        </w:rPr>
        <w:t>avril 2001, la loi</w:t>
      </w:r>
      <w:r w:rsidRPr="00D370BF">
        <w:rPr>
          <w:lang w:val="fr-FR"/>
        </w:rPr>
        <w:t xml:space="preserve"> relative à l’envoi de main-d’œuvre à l’étranger et à l’accueil de travailleurs et de spécialistes étrangers</w:t>
      </w:r>
      <w:r w:rsidRPr="002A3EE0">
        <w:rPr>
          <w:rStyle w:val="Appelnotedebasdep"/>
        </w:rPr>
        <w:footnoteReference w:id="29"/>
      </w:r>
      <w:r w:rsidRPr="003F5537">
        <w:rPr>
          <w:lang w:val="fr-FR"/>
        </w:rPr>
        <w:t xml:space="preserve"> </w:t>
      </w:r>
      <w:r w:rsidRPr="00152457">
        <w:rPr>
          <w:lang w:val="fr-FR"/>
        </w:rPr>
        <w:t xml:space="preserve">établit des prescriptions </w:t>
      </w:r>
      <w:r>
        <w:rPr>
          <w:lang w:val="fr-FR"/>
        </w:rPr>
        <w:t>en la matière. Pour répondre aux nécessités qui découlent des évolutions et des pratiques</w:t>
      </w:r>
      <w:r w:rsidRPr="006A3BA3">
        <w:rPr>
          <w:lang w:val="fr-FR"/>
        </w:rPr>
        <w:t xml:space="preserve"> </w:t>
      </w:r>
      <w:r>
        <w:rPr>
          <w:lang w:val="fr-FR"/>
        </w:rPr>
        <w:t>sociales, la loi a été modifiée</w:t>
      </w:r>
      <w:r w:rsidRPr="002A3EE0">
        <w:rPr>
          <w:rStyle w:val="Appelnotedebasdep"/>
        </w:rPr>
        <w:footnoteReference w:id="30"/>
      </w:r>
      <w:r>
        <w:rPr>
          <w:lang w:val="fr-FR"/>
        </w:rPr>
        <w:t xml:space="preserve"> à sept reprises.</w:t>
      </w:r>
      <w:r w:rsidRPr="00696B9B">
        <w:rPr>
          <w:rStyle w:val="Appelnotedebasdep"/>
          <w:lang w:val="fr-FR"/>
        </w:rPr>
        <w:t xml:space="preserve"> </w:t>
      </w:r>
      <w:r w:rsidRPr="00696B9B">
        <w:rPr>
          <w:lang w:val="fr-FR"/>
        </w:rPr>
        <w:t>En vertu de la modification de 2017, lorsque la main</w:t>
      </w:r>
      <w:r w:rsidR="00BB232B">
        <w:rPr>
          <w:lang w:val="fr-FR"/>
        </w:rPr>
        <w:t>-</w:t>
      </w:r>
      <w:r w:rsidRPr="00696B9B">
        <w:rPr>
          <w:lang w:val="fr-FR"/>
        </w:rPr>
        <w:t xml:space="preserve">d’œuvre </w:t>
      </w:r>
      <w:r>
        <w:rPr>
          <w:lang w:val="fr-FR"/>
        </w:rPr>
        <w:t>du pays</w:t>
      </w:r>
      <w:r w:rsidRPr="00696B9B">
        <w:rPr>
          <w:lang w:val="fr-FR"/>
        </w:rPr>
        <w:t xml:space="preserve"> est insuffisante pour exécuter de grands programmes</w:t>
      </w:r>
      <w:r>
        <w:rPr>
          <w:lang w:val="fr-FR"/>
        </w:rPr>
        <w:t xml:space="preserve">, projets et travaux de </w:t>
      </w:r>
      <w:r>
        <w:rPr>
          <w:lang w:val="fr-FR"/>
        </w:rPr>
        <w:lastRenderedPageBreak/>
        <w:t>construction</w:t>
      </w:r>
      <w:r w:rsidRPr="00696B9B">
        <w:rPr>
          <w:lang w:val="fr-FR"/>
        </w:rPr>
        <w:t xml:space="preserve"> nationaux</w:t>
      </w:r>
      <w:r>
        <w:rPr>
          <w:lang w:val="fr-FR"/>
        </w:rPr>
        <w:t>, ou pour faire face aux conséquences de catastrophes naturelles, il est possible de recourir à des travailleurs étrangers au titre d’une décision du Gouvernement</w:t>
      </w:r>
      <w:r w:rsidR="009F011D" w:rsidRPr="002A3EE0">
        <w:rPr>
          <w:rStyle w:val="Appelnotedebasdep"/>
        </w:rPr>
        <w:footnoteReference w:id="31"/>
      </w:r>
      <w:r w:rsidR="009F011D">
        <w:rPr>
          <w:lang w:val="fr-FR"/>
        </w:rPr>
        <w:t>.</w:t>
      </w:r>
      <w:r>
        <w:rPr>
          <w:lang w:val="fr-FR"/>
        </w:rPr>
        <w:t xml:space="preserve"> </w:t>
      </w:r>
      <w:r w:rsidRPr="00554797">
        <w:rPr>
          <w:lang w:val="fr-FR"/>
        </w:rPr>
        <w:t xml:space="preserve">La loi modifiée dispose </w:t>
      </w:r>
      <w:r>
        <w:rPr>
          <w:lang w:val="fr-FR"/>
        </w:rPr>
        <w:t>également</w:t>
      </w:r>
      <w:r w:rsidRPr="00554797">
        <w:rPr>
          <w:lang w:val="fr-FR"/>
        </w:rPr>
        <w:t xml:space="preserve"> que le Gouvernement </w:t>
      </w:r>
      <w:r>
        <w:rPr>
          <w:lang w:val="fr-FR"/>
        </w:rPr>
        <w:t xml:space="preserve">prête une assistance similaire à celle accordée aux </w:t>
      </w:r>
      <w:r w:rsidRPr="008A3818">
        <w:rPr>
          <w:lang w:val="fr-FR"/>
        </w:rPr>
        <w:t>citoyens mongols</w:t>
      </w:r>
      <w:r>
        <w:rPr>
          <w:lang w:val="fr-FR"/>
        </w:rPr>
        <w:t xml:space="preserve"> lorsqu’un ressortissant étranger perd la vie dans une catastrophe naturelle, un incendie ou une inondation</w:t>
      </w:r>
      <w:r w:rsidR="009F011D">
        <w:rPr>
          <w:rStyle w:val="Appelnotedebasdep"/>
          <w:lang w:val="fr-FR"/>
        </w:rPr>
        <w:footnoteReference w:id="32"/>
      </w:r>
      <w:r w:rsidR="009F011D">
        <w:rPr>
          <w:lang w:val="fr-FR"/>
        </w:rPr>
        <w:t>.</w:t>
      </w:r>
      <w:r w:rsidRPr="00214FDA">
        <w:rPr>
          <w:rStyle w:val="Appelnotedebasdep"/>
          <w:lang w:val="fr-FR"/>
        </w:rPr>
        <w:t xml:space="preserve"> </w:t>
      </w:r>
      <w:r>
        <w:rPr>
          <w:lang w:val="fr-FR"/>
        </w:rPr>
        <w:t>L</w:t>
      </w:r>
      <w:r w:rsidRPr="00214FDA">
        <w:rPr>
          <w:lang w:val="fr-FR"/>
        </w:rPr>
        <w:t xml:space="preserve">es modifications </w:t>
      </w:r>
      <w:r>
        <w:rPr>
          <w:lang w:val="fr-FR"/>
        </w:rPr>
        <w:t>s’</w:t>
      </w:r>
      <w:r w:rsidRPr="00214FDA">
        <w:rPr>
          <w:lang w:val="fr-FR"/>
        </w:rPr>
        <w:t>av</w:t>
      </w:r>
      <w:r>
        <w:rPr>
          <w:lang w:val="fr-FR"/>
        </w:rPr>
        <w:t>èrent</w:t>
      </w:r>
      <w:r w:rsidRPr="00214FDA">
        <w:rPr>
          <w:lang w:val="fr-FR"/>
        </w:rPr>
        <w:t xml:space="preserve"> </w:t>
      </w:r>
      <w:r>
        <w:rPr>
          <w:lang w:val="fr-FR"/>
        </w:rPr>
        <w:t>utiles</w:t>
      </w:r>
      <w:r w:rsidRPr="00214FDA">
        <w:rPr>
          <w:lang w:val="fr-FR"/>
        </w:rPr>
        <w:t xml:space="preserve"> pour protéger les droits des travailleurs étrangers du pays.</w:t>
      </w:r>
      <w:r>
        <w:rPr>
          <w:lang w:val="fr-FR"/>
        </w:rPr>
        <w:t xml:space="preserve"> La loi prévoit que le Gouvernement approuve la proportion de travailleurs et de spécialistes</w:t>
      </w:r>
      <w:r w:rsidRPr="00214FDA">
        <w:rPr>
          <w:lang w:val="fr-FR"/>
        </w:rPr>
        <w:t xml:space="preserve"> </w:t>
      </w:r>
      <w:r>
        <w:rPr>
          <w:lang w:val="fr-FR"/>
        </w:rPr>
        <w:t>étrangers par voie de décision. En juin 2018, des ressortissants originaires de 82 pays travaillaient en Mongolie</w:t>
      </w:r>
      <w:r w:rsidR="009F011D">
        <w:rPr>
          <w:rStyle w:val="Appelnotedebasdep"/>
          <w:lang w:val="fr-FR"/>
        </w:rPr>
        <w:footnoteReference w:id="33"/>
      </w:r>
      <w:r w:rsidR="009F011D">
        <w:rPr>
          <w:lang w:val="fr-FR"/>
        </w:rPr>
        <w:t>.</w:t>
      </w:r>
      <w:r>
        <w:rPr>
          <w:lang w:val="fr-FR"/>
        </w:rPr>
        <w:t xml:space="preserve"> </w:t>
      </w:r>
      <w:r w:rsidR="00097510">
        <w:rPr>
          <w:lang w:val="fr-FR"/>
        </w:rPr>
        <w:t>5 938</w:t>
      </w:r>
      <w:r>
        <w:rPr>
          <w:lang w:val="fr-FR"/>
        </w:rPr>
        <w:t xml:space="preserve"> étrangers étaient employés au titre d’un permis de travail au 31</w:t>
      </w:r>
      <w:r w:rsidR="00F00AF9">
        <w:rPr>
          <w:lang w:val="fr-FR"/>
        </w:rPr>
        <w:t> </w:t>
      </w:r>
      <w:r>
        <w:rPr>
          <w:lang w:val="fr-FR"/>
        </w:rPr>
        <w:t>décembre 2016, 7</w:t>
      </w:r>
      <w:r w:rsidR="00F00AF9">
        <w:rPr>
          <w:lang w:val="fr-FR"/>
        </w:rPr>
        <w:t> </w:t>
      </w:r>
      <w:r>
        <w:rPr>
          <w:lang w:val="fr-FR"/>
        </w:rPr>
        <w:t>892 fin 2017 et 9</w:t>
      </w:r>
      <w:r w:rsidR="00F00AF9">
        <w:rPr>
          <w:lang w:val="fr-FR"/>
        </w:rPr>
        <w:t> </w:t>
      </w:r>
      <w:r>
        <w:rPr>
          <w:lang w:val="fr-FR"/>
        </w:rPr>
        <w:t>619 au 30</w:t>
      </w:r>
      <w:r w:rsidR="00B96C85">
        <w:rPr>
          <w:lang w:val="fr-FR"/>
        </w:rPr>
        <w:t> </w:t>
      </w:r>
      <w:r>
        <w:rPr>
          <w:lang w:val="fr-FR"/>
        </w:rPr>
        <w:t>juin 2018</w:t>
      </w:r>
      <w:r w:rsidR="009F011D" w:rsidRPr="002A3EE0">
        <w:rPr>
          <w:rStyle w:val="Appelnotedebasdep"/>
        </w:rPr>
        <w:footnoteReference w:id="34"/>
      </w:r>
      <w:r w:rsidR="009F011D">
        <w:rPr>
          <w:lang w:val="fr-FR"/>
        </w:rPr>
        <w:t>.</w:t>
      </w:r>
    </w:p>
    <w:p w:rsidR="00C57CC5" w:rsidRPr="00014A0C" w:rsidRDefault="00C57CC5" w:rsidP="00C57CC5">
      <w:pPr>
        <w:pStyle w:val="SingleTxtG"/>
        <w:rPr>
          <w:lang w:val="fr-FR"/>
        </w:rPr>
      </w:pPr>
      <w:r w:rsidRPr="00222E53">
        <w:rPr>
          <w:lang w:val="fr-FR"/>
        </w:rPr>
        <w:t>60.</w:t>
      </w:r>
      <w:r w:rsidRPr="00222E53">
        <w:rPr>
          <w:lang w:val="fr-FR"/>
        </w:rPr>
        <w:tab/>
      </w:r>
      <w:r w:rsidRPr="00014A0C">
        <w:rPr>
          <w:lang w:val="fr-FR"/>
        </w:rPr>
        <w:t xml:space="preserve">La Mongolie a dû réviser ses textes de loi pour assurer leur conformité aux concepts et principes des conventions fondamentales de </w:t>
      </w:r>
      <w:r>
        <w:rPr>
          <w:lang w:val="fr-FR"/>
        </w:rPr>
        <w:t xml:space="preserve">l’Organisation internationale du Travail, de la </w:t>
      </w:r>
      <w:r w:rsidRPr="00633698">
        <w:rPr>
          <w:lang w:val="fr-FR"/>
        </w:rPr>
        <w:t xml:space="preserve">Convention </w:t>
      </w:r>
      <w:r>
        <w:rPr>
          <w:lang w:val="fr-FR"/>
        </w:rPr>
        <w:t>sur le service de l’</w:t>
      </w:r>
      <w:r w:rsidRPr="00633698">
        <w:rPr>
          <w:lang w:val="fr-FR"/>
        </w:rPr>
        <w:t>emploi (n</w:t>
      </w:r>
      <w:r w:rsidRPr="00633698">
        <w:rPr>
          <w:vertAlign w:val="superscript"/>
          <w:lang w:val="fr-FR"/>
        </w:rPr>
        <w:t>o</w:t>
      </w:r>
      <w:r w:rsidR="00F00AF9">
        <w:rPr>
          <w:lang w:val="fr-FR"/>
        </w:rPr>
        <w:t> </w:t>
      </w:r>
      <w:r w:rsidRPr="00633698">
        <w:rPr>
          <w:lang w:val="fr-FR"/>
        </w:rPr>
        <w:t>88)</w:t>
      </w:r>
      <w:r>
        <w:rPr>
          <w:lang w:val="fr-FR"/>
        </w:rPr>
        <w:t xml:space="preserve"> (à laquelle la Mongolie a adhéré en 2016), et de la Convention sur les agences d’</w:t>
      </w:r>
      <w:r w:rsidRPr="00420964">
        <w:rPr>
          <w:lang w:val="fr-FR"/>
        </w:rPr>
        <w:t>emploi privées</w:t>
      </w:r>
      <w:r>
        <w:rPr>
          <w:lang w:val="fr-FR"/>
        </w:rPr>
        <w:t xml:space="preserve"> </w:t>
      </w:r>
      <w:r w:rsidR="00F00AF9">
        <w:rPr>
          <w:lang w:val="fr-FR"/>
        </w:rPr>
        <w:t>(</w:t>
      </w:r>
      <w:r w:rsidR="00F00AF9" w:rsidRPr="00F00AF9">
        <w:rPr>
          <w:rFonts w:eastAsia="MS Mincho"/>
          <w:szCs w:val="22"/>
          <w:lang w:val="fr-FR"/>
        </w:rPr>
        <w:t>n</w:t>
      </w:r>
      <w:r w:rsidR="00F00AF9" w:rsidRPr="00F00AF9">
        <w:rPr>
          <w:rFonts w:eastAsia="MS Mincho"/>
          <w:szCs w:val="22"/>
          <w:vertAlign w:val="superscript"/>
          <w:lang w:val="fr-FR"/>
        </w:rPr>
        <w:t>o</w:t>
      </w:r>
      <w:r w:rsidR="00F00AF9">
        <w:rPr>
          <w:lang w:val="fr-FR"/>
        </w:rPr>
        <w:t> </w:t>
      </w:r>
      <w:r w:rsidRPr="00420964">
        <w:rPr>
          <w:lang w:val="fr-FR"/>
        </w:rPr>
        <w:t>181)</w:t>
      </w:r>
      <w:r>
        <w:rPr>
          <w:lang w:val="fr-FR"/>
        </w:rPr>
        <w:t xml:space="preserve">, à laquelle la Mongolie est partie. La Mongolie examine en outre la possibilité d’adhérer au Protocole de 2014 relatif à la Convention sur le travail forcé </w:t>
      </w:r>
      <w:r w:rsidRPr="00420964">
        <w:rPr>
          <w:lang w:val="fr-FR"/>
        </w:rPr>
        <w:t>(</w:t>
      </w:r>
      <w:r w:rsidR="00F00AF9" w:rsidRPr="00F00AF9">
        <w:rPr>
          <w:rFonts w:eastAsia="MS Mincho"/>
          <w:szCs w:val="22"/>
          <w:lang w:val="fr-FR"/>
        </w:rPr>
        <w:t>n</w:t>
      </w:r>
      <w:r w:rsidR="00F00AF9" w:rsidRPr="00F00AF9">
        <w:rPr>
          <w:rFonts w:eastAsia="MS Mincho"/>
          <w:szCs w:val="22"/>
          <w:vertAlign w:val="superscript"/>
          <w:lang w:val="fr-FR"/>
        </w:rPr>
        <w:t>o</w:t>
      </w:r>
      <w:r w:rsidR="00F00AF9">
        <w:rPr>
          <w:lang w:val="fr-FR"/>
        </w:rPr>
        <w:t> </w:t>
      </w:r>
      <w:r>
        <w:rPr>
          <w:lang w:val="fr-FR"/>
        </w:rPr>
        <w:t>29</w:t>
      </w:r>
      <w:r w:rsidRPr="00420964">
        <w:rPr>
          <w:lang w:val="fr-FR"/>
        </w:rPr>
        <w:t>)</w:t>
      </w:r>
      <w:r>
        <w:rPr>
          <w:lang w:val="fr-FR"/>
        </w:rPr>
        <w:t xml:space="preserve">, ainsi qu’aux conventions sur l’inspection du travail </w:t>
      </w:r>
      <w:r w:rsidR="00162BAF">
        <w:rPr>
          <w:lang w:val="fr-FR"/>
        </w:rPr>
        <w:t>(</w:t>
      </w:r>
      <w:r w:rsidR="00162BAF" w:rsidRPr="00162BAF">
        <w:rPr>
          <w:rFonts w:eastAsia="MS Mincho"/>
          <w:szCs w:val="22"/>
          <w:lang w:val="fr-FR"/>
        </w:rPr>
        <w:t>n</w:t>
      </w:r>
      <w:r w:rsidR="00162BAF" w:rsidRPr="00162BAF">
        <w:rPr>
          <w:rFonts w:eastAsia="MS Mincho"/>
          <w:szCs w:val="22"/>
          <w:vertAlign w:val="superscript"/>
          <w:lang w:val="fr-FR"/>
        </w:rPr>
        <w:t>o</w:t>
      </w:r>
      <w:r w:rsidR="00162BAF">
        <w:rPr>
          <w:lang w:val="fr-FR"/>
        </w:rPr>
        <w:t> </w:t>
      </w:r>
      <w:r>
        <w:rPr>
          <w:lang w:val="fr-FR"/>
        </w:rPr>
        <w:t>81 et</w:t>
      </w:r>
      <w:r w:rsidRPr="004C6E1C">
        <w:rPr>
          <w:lang w:val="fr-FR"/>
        </w:rPr>
        <w:t xml:space="preserve"> </w:t>
      </w:r>
      <w:r w:rsidR="00162BAF" w:rsidRPr="00162BAF">
        <w:rPr>
          <w:rFonts w:eastAsia="MS Mincho"/>
          <w:szCs w:val="22"/>
          <w:lang w:val="fr-FR"/>
        </w:rPr>
        <w:t>n</w:t>
      </w:r>
      <w:r w:rsidR="00162BAF" w:rsidRPr="00162BAF">
        <w:rPr>
          <w:rFonts w:eastAsia="MS Mincho"/>
          <w:szCs w:val="22"/>
          <w:vertAlign w:val="superscript"/>
          <w:lang w:val="fr-FR"/>
        </w:rPr>
        <w:t>o</w:t>
      </w:r>
      <w:r w:rsidR="00162BAF">
        <w:rPr>
          <w:lang w:val="fr-FR"/>
        </w:rPr>
        <w:t> </w:t>
      </w:r>
      <w:r>
        <w:rPr>
          <w:lang w:val="fr-FR"/>
        </w:rPr>
        <w:t>129</w:t>
      </w:r>
      <w:r w:rsidRPr="00420964">
        <w:rPr>
          <w:lang w:val="fr-FR"/>
        </w:rPr>
        <w:t>)</w:t>
      </w:r>
      <w:r>
        <w:rPr>
          <w:lang w:val="fr-FR"/>
        </w:rPr>
        <w:t>.</w:t>
      </w:r>
    </w:p>
    <w:p w:rsidR="00C57CC5" w:rsidRPr="000B1CB2" w:rsidRDefault="00C57CC5" w:rsidP="00C57CC5">
      <w:pPr>
        <w:pStyle w:val="SingleTxtG"/>
        <w:rPr>
          <w:lang w:val="fr-FR"/>
        </w:rPr>
      </w:pPr>
      <w:r w:rsidRPr="00D76F39">
        <w:rPr>
          <w:lang w:val="fr-FR"/>
        </w:rPr>
        <w:t>61.</w:t>
      </w:r>
      <w:r w:rsidRPr="00D76F39">
        <w:rPr>
          <w:lang w:val="fr-FR"/>
        </w:rPr>
        <w:tab/>
      </w:r>
      <w:r w:rsidRPr="000B1CB2">
        <w:rPr>
          <w:lang w:val="fr-FR"/>
        </w:rPr>
        <w:t xml:space="preserve">Pour </w:t>
      </w:r>
      <w:r w:rsidRPr="004C65D5">
        <w:rPr>
          <w:lang w:val="fr-FR"/>
        </w:rPr>
        <w:t>appliquer</w:t>
      </w:r>
      <w:r w:rsidRPr="000B1CB2">
        <w:rPr>
          <w:lang w:val="fr-FR"/>
        </w:rPr>
        <w:t xml:space="preserve"> la résolution 2573 du Conseil de sécurité de l’ONU sur le renforcement des sanctions </w:t>
      </w:r>
      <w:r>
        <w:rPr>
          <w:lang w:val="fr-FR"/>
        </w:rPr>
        <w:t xml:space="preserve">contre la République populaire démocratique de Corée, le Comité permanent sur les questions de sécurité et de politique étrangère du Grand Khoural d’État </w:t>
      </w:r>
      <w:r w:rsidR="00097510">
        <w:rPr>
          <w:lang w:val="fr-FR"/>
        </w:rPr>
        <w:t xml:space="preserve">a adopté la décision </w:t>
      </w:r>
      <w:r w:rsidR="00097510" w:rsidRPr="00097510">
        <w:rPr>
          <w:rFonts w:eastAsia="MS Mincho"/>
          <w:szCs w:val="22"/>
          <w:lang w:val="fr-FR"/>
        </w:rPr>
        <w:t>n</w:t>
      </w:r>
      <w:r w:rsidR="00097510" w:rsidRPr="00097510">
        <w:rPr>
          <w:rFonts w:eastAsia="MS Mincho"/>
          <w:szCs w:val="22"/>
          <w:vertAlign w:val="superscript"/>
          <w:lang w:val="fr-FR"/>
        </w:rPr>
        <w:t>o</w:t>
      </w:r>
      <w:r w:rsidR="00097510">
        <w:rPr>
          <w:lang w:val="fr-FR"/>
        </w:rPr>
        <w:t> </w:t>
      </w:r>
      <w:r w:rsidR="00162BAF">
        <w:rPr>
          <w:lang w:val="fr-FR"/>
        </w:rPr>
        <w:t>8 le 13 </w:t>
      </w:r>
      <w:r>
        <w:rPr>
          <w:lang w:val="fr-FR"/>
        </w:rPr>
        <w:t xml:space="preserve">novembre 2017. En vertu de cette décision, à partir de 2018, l’octroi de permis de travail aux travailleurs de </w:t>
      </w:r>
      <w:r w:rsidR="00097510">
        <w:rPr>
          <w:lang w:val="fr-FR"/>
        </w:rPr>
        <w:t xml:space="preserve">la </w:t>
      </w:r>
      <w:r>
        <w:rPr>
          <w:lang w:val="fr-FR"/>
        </w:rPr>
        <w:t>République populaire démocratique de Corée sous contrat et leur prolongation seront suspendus. Il a également été décidé qu’à l’expiration de l’accord intergouvernemental</w:t>
      </w:r>
      <w:r w:rsidR="00097510">
        <w:rPr>
          <w:lang w:val="fr-FR"/>
        </w:rPr>
        <w:t xml:space="preserve"> sur le travail en vigueur ces dix</w:t>
      </w:r>
      <w:r>
        <w:rPr>
          <w:lang w:val="fr-FR"/>
        </w:rPr>
        <w:t xml:space="preserve"> dernières années, ces travailleurs seraient renvoyés dans leur pays. </w:t>
      </w:r>
    </w:p>
    <w:p w:rsidR="00C57CC5" w:rsidRPr="003D3126" w:rsidRDefault="00C57CC5" w:rsidP="00162BAF">
      <w:pPr>
        <w:pStyle w:val="H1G"/>
        <w:rPr>
          <w:lang w:val="fr-FR"/>
        </w:rPr>
      </w:pPr>
      <w:r w:rsidRPr="000B1CB2">
        <w:rPr>
          <w:lang w:val="fr-FR"/>
        </w:rPr>
        <w:tab/>
      </w:r>
      <w:r w:rsidRPr="000B1CB2">
        <w:rPr>
          <w:lang w:val="fr-FR"/>
        </w:rPr>
        <w:tab/>
      </w:r>
      <w:r w:rsidRPr="003D3126">
        <w:rPr>
          <w:lang w:val="fr-FR"/>
        </w:rPr>
        <w:t>Article 6</w:t>
      </w:r>
    </w:p>
    <w:p w:rsidR="00C57CC5" w:rsidRPr="00555DAA" w:rsidRDefault="00C57CC5" w:rsidP="00162BAF">
      <w:pPr>
        <w:pStyle w:val="H23G"/>
        <w:rPr>
          <w:lang w:val="fr-FR"/>
        </w:rPr>
      </w:pPr>
      <w:r w:rsidRPr="003D3126">
        <w:rPr>
          <w:lang w:val="fr-FR"/>
        </w:rPr>
        <w:tab/>
      </w:r>
      <w:r w:rsidRPr="003D3126">
        <w:rPr>
          <w:lang w:val="fr-FR"/>
        </w:rPr>
        <w:tab/>
      </w:r>
      <w:r w:rsidRPr="00555DAA">
        <w:rPr>
          <w:lang w:val="fr-FR"/>
        </w:rPr>
        <w:t>Accès à des voies de recours</w:t>
      </w:r>
    </w:p>
    <w:p w:rsidR="00C57CC5" w:rsidRPr="00A02826" w:rsidRDefault="00C57CC5" w:rsidP="00162BAF">
      <w:pPr>
        <w:pStyle w:val="H23G"/>
        <w:rPr>
          <w:lang w:val="fr-FR"/>
        </w:rPr>
      </w:pPr>
      <w:r w:rsidRPr="00555DAA">
        <w:rPr>
          <w:lang w:val="fr-FR"/>
        </w:rPr>
        <w:tab/>
      </w:r>
      <w:r w:rsidRPr="00555DAA">
        <w:rPr>
          <w:lang w:val="fr-FR"/>
        </w:rPr>
        <w:tab/>
      </w:r>
      <w:r>
        <w:rPr>
          <w:lang w:val="fr-FR"/>
        </w:rPr>
        <w:t xml:space="preserve">Les </w:t>
      </w:r>
      <w:r w:rsidRPr="00A02826">
        <w:rPr>
          <w:lang w:val="fr-FR"/>
        </w:rPr>
        <w:t>mesure</w:t>
      </w:r>
      <w:r>
        <w:rPr>
          <w:lang w:val="fr-FR"/>
        </w:rPr>
        <w:t>s</w:t>
      </w:r>
      <w:r w:rsidRPr="00A02826">
        <w:rPr>
          <w:lang w:val="fr-FR"/>
        </w:rPr>
        <w:t xml:space="preserve"> prises par </w:t>
      </w:r>
      <w:r>
        <w:rPr>
          <w:lang w:val="fr-FR"/>
        </w:rPr>
        <w:t>la Mongolie</w:t>
      </w:r>
      <w:r w:rsidRPr="00A02826">
        <w:rPr>
          <w:lang w:val="fr-FR"/>
        </w:rPr>
        <w:t xml:space="preserve"> pour réformer l’appareil judiciaire </w:t>
      </w:r>
      <w:r>
        <w:rPr>
          <w:lang w:val="fr-FR"/>
        </w:rPr>
        <w:t>doivent être</w:t>
      </w:r>
      <w:r w:rsidRPr="00A02826">
        <w:rPr>
          <w:lang w:val="fr-FR"/>
        </w:rPr>
        <w:t xml:space="preserve"> suffisamment globales et vastes pour permettre de s’attaquer aux causes profondes </w:t>
      </w:r>
      <w:r w:rsidR="00162BAF">
        <w:rPr>
          <w:lang w:val="fr-FR"/>
        </w:rPr>
        <w:br/>
      </w:r>
      <w:r w:rsidRPr="00A02826">
        <w:rPr>
          <w:lang w:val="fr-FR"/>
        </w:rPr>
        <w:t>de la corruption et du manque de transparence et garanti</w:t>
      </w:r>
      <w:r>
        <w:rPr>
          <w:lang w:val="fr-FR"/>
        </w:rPr>
        <w:t xml:space="preserve">r </w:t>
      </w:r>
      <w:r w:rsidRPr="00A02826">
        <w:rPr>
          <w:lang w:val="fr-FR"/>
        </w:rPr>
        <w:t xml:space="preserve">l’accès à des voies </w:t>
      </w:r>
      <w:r w:rsidR="00162BAF">
        <w:rPr>
          <w:lang w:val="fr-FR"/>
        </w:rPr>
        <w:br/>
      </w:r>
      <w:r w:rsidRPr="00A02826">
        <w:rPr>
          <w:lang w:val="fr-FR"/>
        </w:rPr>
        <w:t>de recours utiles</w:t>
      </w:r>
      <w:r>
        <w:rPr>
          <w:lang w:val="fr-FR"/>
        </w:rPr>
        <w:t> ; la Mongolie doit veiller à ce que</w:t>
      </w:r>
      <w:r w:rsidRPr="0088561D">
        <w:rPr>
          <w:lang w:val="fr-FR"/>
        </w:rPr>
        <w:t xml:space="preserve"> la formation obligatoire </w:t>
      </w:r>
      <w:r w:rsidR="00162BAF">
        <w:rPr>
          <w:lang w:val="fr-FR"/>
        </w:rPr>
        <w:br/>
      </w:r>
      <w:r w:rsidRPr="0088561D">
        <w:rPr>
          <w:lang w:val="fr-FR"/>
        </w:rPr>
        <w:t>des juges, des procureurs, des auxiliaires de justice, des avo</w:t>
      </w:r>
      <w:r>
        <w:rPr>
          <w:lang w:val="fr-FR"/>
        </w:rPr>
        <w:t>cats et d’autres professionnels</w:t>
      </w:r>
      <w:r w:rsidRPr="0088561D">
        <w:rPr>
          <w:lang w:val="fr-FR"/>
        </w:rPr>
        <w:t xml:space="preserve"> co</w:t>
      </w:r>
      <w:r>
        <w:rPr>
          <w:lang w:val="fr-FR"/>
        </w:rPr>
        <w:t>mpren</w:t>
      </w:r>
      <w:r w:rsidRPr="0088561D">
        <w:rPr>
          <w:lang w:val="fr-FR"/>
        </w:rPr>
        <w:t xml:space="preserve">ne </w:t>
      </w:r>
      <w:r>
        <w:rPr>
          <w:lang w:val="fr-FR"/>
        </w:rPr>
        <w:t xml:space="preserve">une formation relative à </w:t>
      </w:r>
      <w:r w:rsidRPr="0088561D">
        <w:rPr>
          <w:lang w:val="fr-FR"/>
        </w:rPr>
        <w:t>la Convention</w:t>
      </w:r>
    </w:p>
    <w:p w:rsidR="00C57CC5" w:rsidRPr="00250A51" w:rsidRDefault="00C57CC5" w:rsidP="00C57CC5">
      <w:pPr>
        <w:pStyle w:val="SingleTxtG"/>
        <w:rPr>
          <w:lang w:val="fr-FR"/>
        </w:rPr>
      </w:pPr>
      <w:r w:rsidRPr="00ED257C">
        <w:rPr>
          <w:lang w:val="fr-FR"/>
        </w:rPr>
        <w:t>62.</w:t>
      </w:r>
      <w:r w:rsidRPr="00ED257C">
        <w:rPr>
          <w:lang w:val="fr-FR"/>
        </w:rPr>
        <w:tab/>
      </w:r>
      <w:r w:rsidRPr="00250A51">
        <w:rPr>
          <w:lang w:val="fr-FR"/>
        </w:rPr>
        <w:t xml:space="preserve">La Mongolie met en œuvre des mesures globales pour </w:t>
      </w:r>
      <w:r>
        <w:rPr>
          <w:lang w:val="fr-FR"/>
        </w:rPr>
        <w:t>ré</w:t>
      </w:r>
      <w:r w:rsidRPr="00250A51">
        <w:rPr>
          <w:lang w:val="fr-FR"/>
        </w:rPr>
        <w:t>former l’appareil judiciaire afin de s’</w:t>
      </w:r>
      <w:r>
        <w:rPr>
          <w:lang w:val="fr-FR"/>
        </w:rPr>
        <w:t>attaquer aux</w:t>
      </w:r>
      <w:r w:rsidRPr="00250A51">
        <w:rPr>
          <w:lang w:val="fr-FR"/>
        </w:rPr>
        <w:t xml:space="preserve"> causes profondes de la corruption et du manque de transparence et </w:t>
      </w:r>
      <w:r>
        <w:rPr>
          <w:lang w:val="fr-FR"/>
        </w:rPr>
        <w:t xml:space="preserve">de </w:t>
      </w:r>
      <w:r w:rsidRPr="00250A51">
        <w:rPr>
          <w:lang w:val="fr-FR"/>
        </w:rPr>
        <w:t>garantir l’accès à des voies de recours utiles</w:t>
      </w:r>
      <w:r>
        <w:rPr>
          <w:lang w:val="fr-FR"/>
        </w:rPr>
        <w:t>.</w:t>
      </w:r>
    </w:p>
    <w:p w:rsidR="00C57CC5" w:rsidRPr="00FC3C43" w:rsidRDefault="00C57CC5" w:rsidP="00C57CC5">
      <w:pPr>
        <w:pStyle w:val="SingleTxtG"/>
        <w:rPr>
          <w:lang w:val="fr-FR"/>
        </w:rPr>
      </w:pPr>
      <w:r w:rsidRPr="00772A85">
        <w:rPr>
          <w:lang w:val="fr-FR"/>
        </w:rPr>
        <w:t>63.</w:t>
      </w:r>
      <w:r w:rsidRPr="00772A85">
        <w:rPr>
          <w:lang w:val="fr-FR"/>
        </w:rPr>
        <w:tab/>
      </w:r>
      <w:r w:rsidRPr="001863A9">
        <w:rPr>
          <w:lang w:val="fr-FR"/>
        </w:rPr>
        <w:t>Le programme national de lut</w:t>
      </w:r>
      <w:r>
        <w:rPr>
          <w:lang w:val="fr-FR"/>
        </w:rPr>
        <w:t>t</w:t>
      </w:r>
      <w:r w:rsidRPr="001863A9">
        <w:rPr>
          <w:lang w:val="fr-FR"/>
        </w:rPr>
        <w:t xml:space="preserve">e contre la corruption a été </w:t>
      </w:r>
      <w:r>
        <w:rPr>
          <w:lang w:val="fr-FR"/>
        </w:rPr>
        <w:t>adopté via la décision</w:t>
      </w:r>
      <w:r w:rsidRPr="001863A9">
        <w:rPr>
          <w:lang w:val="fr-FR"/>
        </w:rPr>
        <w:t xml:space="preserve"> </w:t>
      </w:r>
      <w:r>
        <w:rPr>
          <w:lang w:val="fr-FR"/>
        </w:rPr>
        <w:t>gouvernementale 114 en 2017</w:t>
      </w:r>
      <w:r w:rsidR="009F011D" w:rsidRPr="002A3EE0">
        <w:rPr>
          <w:rStyle w:val="Appelnotedebasdep"/>
        </w:rPr>
        <w:footnoteReference w:id="35"/>
      </w:r>
      <w:r w:rsidR="009F011D">
        <w:rPr>
          <w:lang w:val="fr-FR"/>
        </w:rPr>
        <w:t>.</w:t>
      </w:r>
      <w:r w:rsidRPr="00FC3C43">
        <w:rPr>
          <w:lang w:val="fr-FR"/>
        </w:rPr>
        <w:t xml:space="preserve"> Il vise à prévenir les risques de corruption à tous les niveaux d</w:t>
      </w:r>
      <w:r>
        <w:rPr>
          <w:lang w:val="fr-FR"/>
        </w:rPr>
        <w:t>ans l</w:t>
      </w:r>
      <w:r w:rsidRPr="00FC3C43">
        <w:rPr>
          <w:lang w:val="fr-FR"/>
        </w:rPr>
        <w:t>es organismes publics</w:t>
      </w:r>
      <w:r w:rsidRPr="000F367E">
        <w:rPr>
          <w:lang w:val="fr-FR"/>
        </w:rPr>
        <w:t xml:space="preserve"> </w:t>
      </w:r>
      <w:r>
        <w:rPr>
          <w:lang w:val="fr-FR"/>
        </w:rPr>
        <w:t xml:space="preserve">et la fonction publique, ainsi qu’au sein du secteur privé, de la société civile et des formations politiques. Ce programme vise aussi à promouvoir des idéaux d’honnêteté dans la population, et à créer une société ouverte, transparente et responsable. La décision gouvernementale fait obligation aux membres du Cabinet, aux responsables des administrations et aux gouverneurs des </w:t>
      </w:r>
      <w:r w:rsidRPr="00DE52D4">
        <w:rPr>
          <w:i/>
          <w:lang w:val="fr-FR"/>
        </w:rPr>
        <w:t>aimags</w:t>
      </w:r>
      <w:r>
        <w:rPr>
          <w:lang w:val="fr-FR"/>
        </w:rPr>
        <w:t xml:space="preserve"> et de la capitale de présenter un rapport annuel sur l’exécution du programme à l’Organisme de lutte contre la corruption.</w:t>
      </w:r>
    </w:p>
    <w:p w:rsidR="00C57CC5" w:rsidRPr="003D3126" w:rsidRDefault="00C57CC5" w:rsidP="00C57CC5">
      <w:pPr>
        <w:pStyle w:val="SingleTxtG"/>
        <w:rPr>
          <w:lang w:val="fr-FR"/>
        </w:rPr>
      </w:pPr>
      <w:r w:rsidRPr="00977D7D">
        <w:rPr>
          <w:lang w:val="fr-FR"/>
        </w:rPr>
        <w:lastRenderedPageBreak/>
        <w:t>64.</w:t>
      </w:r>
      <w:r w:rsidRPr="00977D7D">
        <w:rPr>
          <w:lang w:val="fr-FR"/>
        </w:rPr>
        <w:tab/>
      </w:r>
      <w:r w:rsidRPr="003D3126">
        <w:rPr>
          <w:lang w:val="fr-FR"/>
        </w:rPr>
        <w:t xml:space="preserve">Des juges, des procureurs, des auxiliaires de justice, des avocats et d’autres </w:t>
      </w:r>
      <w:r>
        <w:rPr>
          <w:lang w:val="fr-FR"/>
        </w:rPr>
        <w:t xml:space="preserve">agents intéressés ont participé aux programmes de formation relatifs à la Convention sur l’élimination de toutes les formes de discrimination raciale. Le Ministère de la justice et de l’intérieur, en collaboration avec l’Institut national des études juridiques et </w:t>
      </w:r>
      <w:r w:rsidRPr="00AE4823">
        <w:rPr>
          <w:lang w:val="fr-FR"/>
        </w:rPr>
        <w:t>l’Association des avocats</w:t>
      </w:r>
      <w:r w:rsidR="00F37E9E">
        <w:rPr>
          <w:lang w:val="fr-FR"/>
        </w:rPr>
        <w:t>, a organisé le 3 </w:t>
      </w:r>
      <w:r>
        <w:rPr>
          <w:lang w:val="fr-FR"/>
        </w:rPr>
        <w:t xml:space="preserve">mai 2018 une formation sur les droits des lesbiennes, gays, bisexuels et transgenres (LGBT) à l’intention des forces de l’ordre. La formation a permis d’apporter des connaissances sur les enquêtes menées suite à des infractions concernant les personnes LGBT, sur la manière de protéger leurs droits et sur les normes internationales relatives aux infractions liées à la discrimination. Les représentants de l’ordre qui ont participé à la formation sont des agents chargés de protéger les droits des LGBT et de leur donner accès à des </w:t>
      </w:r>
      <w:r w:rsidRPr="003275F9">
        <w:rPr>
          <w:lang w:val="fr-FR"/>
        </w:rPr>
        <w:t>voies de recours</w:t>
      </w:r>
      <w:r>
        <w:rPr>
          <w:lang w:val="fr-FR"/>
        </w:rPr>
        <w:t xml:space="preserve"> en cas d’atteinte à leurs droits et intérêts.</w:t>
      </w:r>
    </w:p>
    <w:p w:rsidR="00C57CC5" w:rsidRPr="00977D7D" w:rsidRDefault="00C57CC5" w:rsidP="00C57CC5">
      <w:pPr>
        <w:pStyle w:val="SingleTxtG"/>
        <w:rPr>
          <w:lang w:val="fr-FR"/>
        </w:rPr>
      </w:pPr>
      <w:r>
        <w:rPr>
          <w:lang w:val="fr-FR"/>
        </w:rPr>
        <w:t>65.</w:t>
      </w:r>
      <w:r>
        <w:rPr>
          <w:lang w:val="fr-FR"/>
        </w:rPr>
        <w:tab/>
      </w:r>
      <w:r w:rsidRPr="00B746E1">
        <w:rPr>
          <w:lang w:val="fr-FR"/>
        </w:rPr>
        <w:t>Le Département de police a mis en place une permanence téléphonique</w:t>
      </w:r>
      <w:r>
        <w:rPr>
          <w:lang w:val="fr-FR"/>
        </w:rPr>
        <w:t>,</w:t>
      </w:r>
      <w:r w:rsidRPr="00B746E1">
        <w:rPr>
          <w:lang w:val="fr-FR"/>
        </w:rPr>
        <w:t xml:space="preserve"> assurée </w:t>
      </w:r>
      <w:r>
        <w:rPr>
          <w:lang w:val="fr-FR"/>
        </w:rPr>
        <w:t>24</w:t>
      </w:r>
      <w:r w:rsidR="00F37E9E">
        <w:rPr>
          <w:lang w:val="fr-FR"/>
        </w:rPr>
        <w:t> </w:t>
      </w:r>
      <w:r>
        <w:rPr>
          <w:lang w:val="fr-FR"/>
        </w:rPr>
        <w:t>h</w:t>
      </w:r>
      <w:r w:rsidR="00F37E9E">
        <w:rPr>
          <w:lang w:val="fr-FR"/>
        </w:rPr>
        <w:t xml:space="preserve">eures sur </w:t>
      </w:r>
      <w:r>
        <w:rPr>
          <w:lang w:val="fr-FR"/>
        </w:rPr>
        <w:t>24 pour recevoir les plaintes de particuliers en temps utile, et pour recueillir des informations sur l’aptitude des officiers de police à la communication, sur leur déontologie et sur leurs contraintes bureaucratiques.</w:t>
      </w:r>
    </w:p>
    <w:p w:rsidR="00C57CC5" w:rsidRPr="00B006E8" w:rsidRDefault="00C57CC5" w:rsidP="00C57CC5">
      <w:pPr>
        <w:pStyle w:val="SingleTxtG"/>
        <w:rPr>
          <w:lang w:val="fr-FR"/>
        </w:rPr>
      </w:pPr>
      <w:r w:rsidRPr="00B006E8">
        <w:rPr>
          <w:lang w:val="fr-FR"/>
        </w:rPr>
        <w:t>L</w:t>
      </w:r>
      <w:r>
        <w:rPr>
          <w:lang w:val="fr-FR"/>
        </w:rPr>
        <w:t xml:space="preserve">e </w:t>
      </w:r>
      <w:r w:rsidRPr="00B006E8">
        <w:rPr>
          <w:lang w:val="fr-FR"/>
        </w:rPr>
        <w:t>Comité</w:t>
      </w:r>
      <w:r>
        <w:rPr>
          <w:lang w:val="fr-FR"/>
        </w:rPr>
        <w:t xml:space="preserve"> a</w:t>
      </w:r>
      <w:r w:rsidRPr="00B006E8">
        <w:rPr>
          <w:lang w:val="fr-FR"/>
        </w:rPr>
        <w:t xml:space="preserve"> recomma</w:t>
      </w:r>
      <w:r w:rsidRPr="00345C0B">
        <w:rPr>
          <w:lang w:val="fr-FR"/>
        </w:rPr>
        <w:t>nd</w:t>
      </w:r>
      <w:r>
        <w:rPr>
          <w:lang w:val="fr-FR"/>
        </w:rPr>
        <w:t>é</w:t>
      </w:r>
      <w:r w:rsidRPr="00B006E8">
        <w:rPr>
          <w:lang w:val="fr-FR"/>
        </w:rPr>
        <w:t xml:space="preserve"> à l’État partie de redoubler d’efforts pour faire connaître les voies de recours qui s’offrent aux victimes de discrimination raciale.</w:t>
      </w:r>
    </w:p>
    <w:p w:rsidR="00C57CC5" w:rsidRPr="00965739" w:rsidRDefault="00C57CC5" w:rsidP="00C57CC5">
      <w:pPr>
        <w:pStyle w:val="SingleTxtG"/>
        <w:rPr>
          <w:lang w:val="fr-FR"/>
        </w:rPr>
      </w:pPr>
      <w:r w:rsidRPr="00FE36AD">
        <w:rPr>
          <w:lang w:val="fr-FR"/>
        </w:rPr>
        <w:t>66.</w:t>
      </w:r>
      <w:r w:rsidRPr="00FE36AD">
        <w:rPr>
          <w:lang w:val="fr-FR"/>
        </w:rPr>
        <w:tab/>
      </w:r>
      <w:r w:rsidRPr="00965739">
        <w:rPr>
          <w:lang w:val="fr-FR"/>
        </w:rPr>
        <w:t xml:space="preserve">Un programme national destiné à </w:t>
      </w:r>
      <w:r>
        <w:rPr>
          <w:lang w:val="fr-FR"/>
        </w:rPr>
        <w:t>mieux informer le public sur les</w:t>
      </w:r>
      <w:r w:rsidRPr="00965739">
        <w:rPr>
          <w:lang w:val="fr-FR"/>
        </w:rPr>
        <w:t xml:space="preserve"> </w:t>
      </w:r>
      <w:r>
        <w:rPr>
          <w:lang w:val="fr-FR"/>
        </w:rPr>
        <w:t xml:space="preserve">questions </w:t>
      </w:r>
      <w:r w:rsidRPr="00965739">
        <w:rPr>
          <w:lang w:val="fr-FR"/>
        </w:rPr>
        <w:t>juridique</w:t>
      </w:r>
      <w:r>
        <w:rPr>
          <w:lang w:val="fr-FR"/>
        </w:rPr>
        <w:t>s</w:t>
      </w:r>
      <w:r w:rsidRPr="00965739">
        <w:rPr>
          <w:lang w:val="fr-FR"/>
        </w:rPr>
        <w:t xml:space="preserve"> a été adopté </w:t>
      </w:r>
      <w:r>
        <w:rPr>
          <w:lang w:val="fr-FR"/>
        </w:rPr>
        <w:t>via</w:t>
      </w:r>
      <w:r w:rsidRPr="00965739">
        <w:rPr>
          <w:lang w:val="fr-FR"/>
        </w:rPr>
        <w:t xml:space="preserve"> </w:t>
      </w:r>
      <w:r>
        <w:rPr>
          <w:lang w:val="fr-FR"/>
        </w:rPr>
        <w:t xml:space="preserve">la </w:t>
      </w:r>
      <w:r w:rsidRPr="00965739">
        <w:rPr>
          <w:lang w:val="fr-FR"/>
        </w:rPr>
        <w:t xml:space="preserve">décision gouvernementale 50 </w:t>
      </w:r>
      <w:r>
        <w:rPr>
          <w:lang w:val="fr-FR"/>
        </w:rPr>
        <w:t xml:space="preserve">de </w:t>
      </w:r>
      <w:r w:rsidRPr="00965739">
        <w:rPr>
          <w:lang w:val="fr-FR"/>
        </w:rPr>
        <w:t>2018</w:t>
      </w:r>
      <w:r>
        <w:rPr>
          <w:lang w:val="fr-FR"/>
        </w:rPr>
        <w:t>. Il vise à créer un système qui permette d’améliorer constamment l’information du public en apportant des connaissances et des informations d’ordre juridique répondant aux besoins des citoyens, et en le faisant de manière ouverte, accessible et simplifiée, notamment en ligne.</w:t>
      </w:r>
    </w:p>
    <w:p w:rsidR="00C57CC5" w:rsidRPr="00FE36AD" w:rsidRDefault="00C57CC5" w:rsidP="00C57CC5">
      <w:pPr>
        <w:pStyle w:val="SingleTxtG"/>
        <w:rPr>
          <w:lang w:val="fr-FR"/>
        </w:rPr>
      </w:pPr>
      <w:r w:rsidRPr="00022095">
        <w:rPr>
          <w:lang w:val="fr-FR"/>
        </w:rPr>
        <w:t>67.</w:t>
      </w:r>
      <w:r w:rsidRPr="00022095">
        <w:rPr>
          <w:lang w:val="fr-FR"/>
        </w:rPr>
        <w:tab/>
      </w:r>
      <w:r w:rsidRPr="00FE36AD">
        <w:rPr>
          <w:lang w:val="fr-FR"/>
        </w:rPr>
        <w:t xml:space="preserve">Ce programme sera exécuté en deux phases sur une période de cinq ans. </w:t>
      </w:r>
      <w:r>
        <w:rPr>
          <w:lang w:val="fr-FR"/>
        </w:rPr>
        <w:t>Lors de la première phase (2018-2020), il est prévu de créer un système qui permette d’améliorer constamment l’information du public sur les questions juridiques. Au cours de la deuxième phase (2021-2022), les activités de la phase précédente seront évaluées, et des mesures seront prises pour mettre en œuvre le système. L’exécution du programme sera menée par le Ministère de la justice et de l’intérieur.</w:t>
      </w:r>
    </w:p>
    <w:p w:rsidR="00C57CC5" w:rsidRPr="00DC1F37" w:rsidRDefault="00C57CC5" w:rsidP="008B58C5">
      <w:pPr>
        <w:pStyle w:val="H23G"/>
        <w:rPr>
          <w:lang w:val="fr-FR"/>
        </w:rPr>
      </w:pPr>
      <w:r w:rsidRPr="00FE36AD">
        <w:rPr>
          <w:lang w:val="fr-FR"/>
        </w:rPr>
        <w:tab/>
      </w:r>
      <w:r w:rsidRPr="00FE36AD">
        <w:rPr>
          <w:lang w:val="fr-FR"/>
        </w:rPr>
        <w:tab/>
      </w:r>
      <w:r w:rsidRPr="00DC1F37">
        <w:rPr>
          <w:lang w:val="fr-FR"/>
        </w:rPr>
        <w:t>Institution nationale des droits de l’homme</w:t>
      </w:r>
    </w:p>
    <w:p w:rsidR="00C57CC5" w:rsidRPr="00777C18" w:rsidRDefault="00C57CC5" w:rsidP="008B58C5">
      <w:pPr>
        <w:pStyle w:val="H23G"/>
        <w:rPr>
          <w:lang w:val="fr-FR"/>
        </w:rPr>
      </w:pPr>
      <w:r w:rsidRPr="00DC1F37">
        <w:rPr>
          <w:lang w:val="fr-FR"/>
        </w:rPr>
        <w:tab/>
      </w:r>
      <w:r w:rsidRPr="00DC1F37">
        <w:rPr>
          <w:lang w:val="fr-FR"/>
        </w:rPr>
        <w:tab/>
      </w:r>
      <w:r w:rsidRPr="008B58C5">
        <w:rPr>
          <w:spacing w:val="2"/>
          <w:lang w:val="fr-FR"/>
        </w:rPr>
        <w:t>S’assurer que la Commission nationale des droits de l’homme reçoive des crédits</w:t>
      </w:r>
      <w:r>
        <w:rPr>
          <w:lang w:val="fr-FR"/>
        </w:rPr>
        <w:t xml:space="preserve"> </w:t>
      </w:r>
      <w:r w:rsidRPr="008B58C5">
        <w:rPr>
          <w:spacing w:val="-2"/>
          <w:lang w:val="fr-FR"/>
        </w:rPr>
        <w:t>suffisants pour garantir sa pleine efficacité et sa totale indépendance conformément</w:t>
      </w:r>
      <w:r w:rsidRPr="00777C18">
        <w:rPr>
          <w:lang w:val="fr-FR"/>
        </w:rPr>
        <w:t xml:space="preserve"> </w:t>
      </w:r>
      <w:r w:rsidR="008B58C5">
        <w:rPr>
          <w:lang w:val="fr-FR"/>
        </w:rPr>
        <w:br/>
      </w:r>
      <w:r w:rsidRPr="00777C18">
        <w:rPr>
          <w:lang w:val="fr-FR"/>
        </w:rPr>
        <w:t xml:space="preserve">aux Principes concernant le statut des institutions nationales pour la protection </w:t>
      </w:r>
      <w:r w:rsidR="008B58C5">
        <w:rPr>
          <w:lang w:val="fr-FR"/>
        </w:rPr>
        <w:br/>
      </w:r>
      <w:r w:rsidRPr="00777C18">
        <w:rPr>
          <w:lang w:val="fr-FR"/>
        </w:rPr>
        <w:t xml:space="preserve">et la promotion des droits </w:t>
      </w:r>
      <w:r>
        <w:rPr>
          <w:lang w:val="fr-FR"/>
        </w:rPr>
        <w:t>de l’homme (Principes de Paris)</w:t>
      </w:r>
    </w:p>
    <w:p w:rsidR="00C57CC5" w:rsidRPr="00315E71" w:rsidRDefault="00C57CC5" w:rsidP="008B58C5">
      <w:pPr>
        <w:pStyle w:val="SingleTxtG"/>
        <w:rPr>
          <w:lang w:val="fr-FR"/>
        </w:rPr>
      </w:pPr>
      <w:r w:rsidRPr="005C444A">
        <w:rPr>
          <w:lang w:val="fr-FR"/>
        </w:rPr>
        <w:t>68.</w:t>
      </w:r>
      <w:r w:rsidRPr="005C444A">
        <w:rPr>
          <w:lang w:val="fr-FR"/>
        </w:rPr>
        <w:tab/>
      </w:r>
      <w:r w:rsidRPr="00315E71">
        <w:rPr>
          <w:lang w:val="fr-FR"/>
        </w:rPr>
        <w:t>L</w:t>
      </w:r>
      <w:r>
        <w:rPr>
          <w:lang w:val="fr-FR"/>
        </w:rPr>
        <w:t>es</w:t>
      </w:r>
      <w:r w:rsidRPr="00315E71">
        <w:rPr>
          <w:lang w:val="fr-FR"/>
        </w:rPr>
        <w:t xml:space="preserve"> </w:t>
      </w:r>
      <w:r>
        <w:rPr>
          <w:lang w:val="fr-FR"/>
        </w:rPr>
        <w:t>crédits</w:t>
      </w:r>
      <w:r w:rsidRPr="00315E71">
        <w:rPr>
          <w:lang w:val="fr-FR"/>
        </w:rPr>
        <w:t xml:space="preserve"> budgét</w:t>
      </w:r>
      <w:r>
        <w:rPr>
          <w:lang w:val="fr-FR"/>
        </w:rPr>
        <w:t>aires de l’É</w:t>
      </w:r>
      <w:r w:rsidRPr="00315E71">
        <w:rPr>
          <w:lang w:val="fr-FR"/>
        </w:rPr>
        <w:t>tat alloué</w:t>
      </w:r>
      <w:r>
        <w:rPr>
          <w:lang w:val="fr-FR"/>
        </w:rPr>
        <w:t>s</w:t>
      </w:r>
      <w:r w:rsidRPr="00315E71">
        <w:rPr>
          <w:lang w:val="fr-FR"/>
        </w:rPr>
        <w:t xml:space="preserve"> à la Commission nationale des droits de l’homme </w:t>
      </w:r>
      <w:r>
        <w:rPr>
          <w:lang w:val="fr-FR"/>
        </w:rPr>
        <w:t>visent à développer les activités et les ressources humaines</w:t>
      </w:r>
      <w:r w:rsidRPr="00315E71">
        <w:rPr>
          <w:lang w:val="fr-FR"/>
        </w:rPr>
        <w:t xml:space="preserve"> </w:t>
      </w:r>
      <w:r>
        <w:rPr>
          <w:lang w:val="fr-FR"/>
        </w:rPr>
        <w:t xml:space="preserve">de cette commission. Le tableau ci-après montre </w:t>
      </w:r>
      <w:r w:rsidRPr="00465887">
        <w:rPr>
          <w:lang w:val="fr-FR"/>
        </w:rPr>
        <w:t>l’importance</w:t>
      </w:r>
      <w:r>
        <w:rPr>
          <w:lang w:val="fr-FR"/>
        </w:rPr>
        <w:t xml:space="preserve"> du budget et des ressources </w:t>
      </w:r>
      <w:r w:rsidR="008B58C5">
        <w:rPr>
          <w:lang w:val="fr-FR"/>
        </w:rPr>
        <w:t>humaines qui ont été approuvés.</w:t>
      </w:r>
    </w:p>
    <w:p w:rsidR="00C57CC5" w:rsidRPr="001511F1" w:rsidRDefault="008B58C5" w:rsidP="001511F1">
      <w:pPr>
        <w:pStyle w:val="Titre1"/>
        <w:spacing w:after="120"/>
        <w:rPr>
          <w:b/>
          <w:lang w:val="fr-FR"/>
        </w:rPr>
      </w:pPr>
      <w:r>
        <w:rPr>
          <w:lang w:val="fr-FR"/>
        </w:rPr>
        <w:t>Figure 2</w:t>
      </w:r>
      <w:r>
        <w:rPr>
          <w:lang w:val="fr-FR"/>
        </w:rPr>
        <w:br/>
      </w:r>
      <w:r w:rsidR="00C57CC5" w:rsidRPr="001511F1">
        <w:rPr>
          <w:b/>
          <w:lang w:val="fr-FR"/>
        </w:rPr>
        <w:t>Budget et postes vacants de la Commission des droits de l’homme</w:t>
      </w:r>
    </w:p>
    <w:tbl>
      <w:tblPr>
        <w:tblW w:w="8504" w:type="dxa"/>
        <w:tblInd w:w="1134" w:type="dxa"/>
        <w:tblLayout w:type="fixed"/>
        <w:tblCellMar>
          <w:left w:w="0" w:type="dxa"/>
          <w:right w:w="0" w:type="dxa"/>
        </w:tblCellMar>
        <w:tblLook w:val="04A0" w:firstRow="1" w:lastRow="0" w:firstColumn="1" w:lastColumn="0" w:noHBand="0" w:noVBand="1"/>
      </w:tblPr>
      <w:tblGrid>
        <w:gridCol w:w="2410"/>
        <w:gridCol w:w="851"/>
        <w:gridCol w:w="850"/>
        <w:gridCol w:w="851"/>
        <w:gridCol w:w="850"/>
        <w:gridCol w:w="921"/>
        <w:gridCol w:w="922"/>
        <w:gridCol w:w="849"/>
      </w:tblGrid>
      <w:tr w:rsidR="00ED45FE" w:rsidRPr="001511F1" w:rsidTr="000C57EC">
        <w:trPr>
          <w:tblHeader/>
        </w:trPr>
        <w:tc>
          <w:tcPr>
            <w:tcW w:w="2410"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rPr>
                <w:i/>
                <w:sz w:val="16"/>
                <w:lang w:val="fr-FR"/>
              </w:rPr>
            </w:pPr>
            <w:r w:rsidRPr="001511F1">
              <w:rPr>
                <w:i/>
                <w:sz w:val="16"/>
                <w:lang w:val="fr-FR"/>
              </w:rPr>
              <w:t>Année</w:t>
            </w:r>
          </w:p>
        </w:tc>
        <w:tc>
          <w:tcPr>
            <w:tcW w:w="851"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jc w:val="right"/>
              <w:rPr>
                <w:i/>
                <w:sz w:val="16"/>
                <w:lang w:val="fr-FR"/>
              </w:rPr>
            </w:pPr>
            <w:r w:rsidRPr="001511F1">
              <w:rPr>
                <w:i/>
                <w:sz w:val="16"/>
                <w:lang w:val="fr-FR"/>
              </w:rPr>
              <w:t>2011</w:t>
            </w:r>
          </w:p>
        </w:tc>
        <w:tc>
          <w:tcPr>
            <w:tcW w:w="850"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jc w:val="right"/>
              <w:rPr>
                <w:i/>
                <w:sz w:val="16"/>
                <w:lang w:val="fr-FR"/>
              </w:rPr>
            </w:pPr>
            <w:r w:rsidRPr="001511F1">
              <w:rPr>
                <w:i/>
                <w:sz w:val="16"/>
                <w:lang w:val="fr-FR"/>
              </w:rPr>
              <w:t>2012</w:t>
            </w:r>
          </w:p>
        </w:tc>
        <w:tc>
          <w:tcPr>
            <w:tcW w:w="851"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jc w:val="right"/>
              <w:rPr>
                <w:i/>
                <w:sz w:val="16"/>
                <w:lang w:val="fr-FR"/>
              </w:rPr>
            </w:pPr>
            <w:r w:rsidRPr="001511F1">
              <w:rPr>
                <w:i/>
                <w:sz w:val="16"/>
                <w:lang w:val="fr-FR"/>
              </w:rPr>
              <w:t>2013</w:t>
            </w:r>
          </w:p>
        </w:tc>
        <w:tc>
          <w:tcPr>
            <w:tcW w:w="850"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jc w:val="right"/>
              <w:rPr>
                <w:i/>
                <w:sz w:val="16"/>
                <w:lang w:val="fr-FR"/>
              </w:rPr>
            </w:pPr>
            <w:r w:rsidRPr="001511F1">
              <w:rPr>
                <w:i/>
                <w:sz w:val="16"/>
                <w:lang w:val="fr-FR"/>
              </w:rPr>
              <w:t>2014</w:t>
            </w:r>
          </w:p>
        </w:tc>
        <w:tc>
          <w:tcPr>
            <w:tcW w:w="921"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jc w:val="right"/>
              <w:rPr>
                <w:i/>
                <w:sz w:val="16"/>
                <w:lang w:val="fr-FR"/>
              </w:rPr>
            </w:pPr>
            <w:r w:rsidRPr="001511F1">
              <w:rPr>
                <w:i/>
                <w:sz w:val="16"/>
                <w:lang w:val="fr-FR"/>
              </w:rPr>
              <w:t>2015</w:t>
            </w:r>
          </w:p>
        </w:tc>
        <w:tc>
          <w:tcPr>
            <w:tcW w:w="922"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jc w:val="right"/>
              <w:rPr>
                <w:i/>
                <w:sz w:val="16"/>
                <w:lang w:val="fr-FR"/>
              </w:rPr>
            </w:pPr>
            <w:r w:rsidRPr="001511F1">
              <w:rPr>
                <w:i/>
                <w:sz w:val="16"/>
                <w:lang w:val="fr-FR"/>
              </w:rPr>
              <w:t>2016</w:t>
            </w:r>
          </w:p>
        </w:tc>
        <w:tc>
          <w:tcPr>
            <w:tcW w:w="849" w:type="dxa"/>
            <w:tcBorders>
              <w:top w:val="single" w:sz="4" w:space="0" w:color="auto"/>
              <w:bottom w:val="single" w:sz="12" w:space="0" w:color="auto"/>
            </w:tcBorders>
            <w:shd w:val="clear" w:color="auto" w:fill="auto"/>
            <w:vAlign w:val="bottom"/>
            <w:hideMark/>
          </w:tcPr>
          <w:p w:rsidR="00C57CC5" w:rsidRPr="001511F1" w:rsidRDefault="00C57CC5" w:rsidP="001511F1">
            <w:pPr>
              <w:suppressAutoHyphens w:val="0"/>
              <w:spacing w:before="80" w:after="80" w:line="200" w:lineRule="exact"/>
              <w:jc w:val="right"/>
              <w:rPr>
                <w:i/>
                <w:sz w:val="16"/>
                <w:lang w:val="fr-FR"/>
              </w:rPr>
            </w:pPr>
            <w:r w:rsidRPr="001511F1">
              <w:rPr>
                <w:i/>
                <w:sz w:val="16"/>
                <w:lang w:val="fr-FR"/>
              </w:rPr>
              <w:t>2017</w:t>
            </w:r>
          </w:p>
        </w:tc>
      </w:tr>
      <w:tr w:rsidR="00ED45FE" w:rsidRPr="001511F1" w:rsidTr="000C57EC">
        <w:tc>
          <w:tcPr>
            <w:tcW w:w="2410" w:type="dxa"/>
            <w:tcBorders>
              <w:top w:val="single" w:sz="12" w:space="0" w:color="auto"/>
            </w:tcBorders>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 xml:space="preserve">Budget approuvé (en milliers </w:t>
            </w:r>
            <w:r w:rsidR="00131928">
              <w:rPr>
                <w:sz w:val="18"/>
                <w:lang w:val="fr-FR"/>
              </w:rPr>
              <w:br/>
            </w:r>
            <w:r w:rsidRPr="001511F1">
              <w:rPr>
                <w:sz w:val="18"/>
                <w:lang w:val="fr-FR"/>
              </w:rPr>
              <w:t>de tugriks)</w:t>
            </w:r>
          </w:p>
        </w:tc>
        <w:tc>
          <w:tcPr>
            <w:tcW w:w="851" w:type="dxa"/>
            <w:tcBorders>
              <w:top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r w:rsidRPr="001511F1">
              <w:rPr>
                <w:sz w:val="18"/>
                <w:lang w:val="fr-FR"/>
              </w:rPr>
              <w:t>312 972,9</w:t>
            </w:r>
          </w:p>
        </w:tc>
        <w:tc>
          <w:tcPr>
            <w:tcW w:w="850" w:type="dxa"/>
            <w:tcBorders>
              <w:top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r w:rsidRPr="001511F1">
              <w:rPr>
                <w:sz w:val="18"/>
                <w:lang w:val="fr-FR"/>
              </w:rPr>
              <w:t>437 714,8</w:t>
            </w:r>
          </w:p>
        </w:tc>
        <w:tc>
          <w:tcPr>
            <w:tcW w:w="851" w:type="dxa"/>
            <w:tcBorders>
              <w:top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r w:rsidRPr="001511F1">
              <w:rPr>
                <w:sz w:val="18"/>
                <w:lang w:val="fr-FR"/>
              </w:rPr>
              <w:t>546 636,0</w:t>
            </w:r>
          </w:p>
        </w:tc>
        <w:tc>
          <w:tcPr>
            <w:tcW w:w="850" w:type="dxa"/>
            <w:tcBorders>
              <w:top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r w:rsidRPr="001511F1">
              <w:rPr>
                <w:sz w:val="18"/>
                <w:lang w:val="fr-FR"/>
              </w:rPr>
              <w:t>830 328,0</w:t>
            </w:r>
          </w:p>
        </w:tc>
        <w:tc>
          <w:tcPr>
            <w:tcW w:w="921" w:type="dxa"/>
            <w:tcBorders>
              <w:top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lang w:val="fr-FR"/>
              </w:rPr>
              <w:t xml:space="preserve">831 </w:t>
            </w:r>
            <w:r w:rsidRPr="001511F1">
              <w:rPr>
                <w:sz w:val="18"/>
              </w:rPr>
              <w:t xml:space="preserve">463,9 </w:t>
            </w:r>
          </w:p>
        </w:tc>
        <w:tc>
          <w:tcPr>
            <w:tcW w:w="922" w:type="dxa"/>
            <w:tcBorders>
              <w:top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731 634,8</w:t>
            </w:r>
          </w:p>
        </w:tc>
        <w:tc>
          <w:tcPr>
            <w:tcW w:w="849" w:type="dxa"/>
            <w:tcBorders>
              <w:top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791 825,2</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Progression par rapport à l’année précédente (en chiffres)</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124 741,9</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108 921,2</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283 692,1</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1 135,9</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(99 829,1)</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60 190,4</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Progression par rapport à l’année précédente (en pourcentage)</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40</w:t>
            </w:r>
            <w:r w:rsidR="00C73A2F" w:rsidRPr="001511F1">
              <w:rPr>
                <w:sz w:val="18"/>
              </w:rPr>
              <w:t> %</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25</w:t>
            </w:r>
            <w:r w:rsidR="00C73A2F" w:rsidRPr="001511F1">
              <w:rPr>
                <w:sz w:val="18"/>
              </w:rPr>
              <w:t> %</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52</w:t>
            </w:r>
            <w:r w:rsidR="00C73A2F" w:rsidRPr="001511F1">
              <w:rPr>
                <w:sz w:val="18"/>
              </w:rPr>
              <w:t> %</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0</w:t>
            </w:r>
            <w:r w:rsidR="00C73A2F" w:rsidRPr="001511F1">
              <w:rPr>
                <w:sz w:val="18"/>
              </w:rPr>
              <w:t> %</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-12</w:t>
            </w:r>
            <w:r w:rsidR="00C73A2F" w:rsidRPr="001511F1">
              <w:rPr>
                <w:sz w:val="18"/>
              </w:rPr>
              <w:t> %</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8</w:t>
            </w:r>
            <w:r w:rsidR="00C73A2F" w:rsidRPr="001511F1">
              <w:rPr>
                <w:sz w:val="18"/>
              </w:rPr>
              <w:t> %</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Progression par rapport à 2011 (en chiffres)</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124 741,9</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233 663,1</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517 355,1</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518 491,0</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418 661,9</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478 852,3</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Progression par rapport à 2011 (en pourcentage)</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40</w:t>
            </w:r>
            <w:r w:rsidR="00C73A2F" w:rsidRPr="001511F1">
              <w:rPr>
                <w:sz w:val="18"/>
              </w:rPr>
              <w:t> %</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75</w:t>
            </w:r>
            <w:r w:rsidR="00C73A2F" w:rsidRPr="001511F1">
              <w:rPr>
                <w:sz w:val="18"/>
              </w:rPr>
              <w:t> %</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165</w:t>
            </w:r>
            <w:r w:rsidR="00C73A2F" w:rsidRPr="001511F1">
              <w:rPr>
                <w:sz w:val="18"/>
              </w:rPr>
              <w:t> %</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166</w:t>
            </w:r>
            <w:r w:rsidR="00C73A2F" w:rsidRPr="001511F1">
              <w:rPr>
                <w:sz w:val="18"/>
              </w:rPr>
              <w:t> %</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134</w:t>
            </w:r>
            <w:r w:rsidR="00C73A2F" w:rsidRPr="001511F1">
              <w:rPr>
                <w:sz w:val="18"/>
              </w:rPr>
              <w:t> %</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153</w:t>
            </w:r>
            <w:r w:rsidR="00C73A2F" w:rsidRPr="001511F1">
              <w:rPr>
                <w:sz w:val="18"/>
              </w:rPr>
              <w:t> %</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rPr>
            </w:pPr>
            <w:r w:rsidRPr="001511F1">
              <w:rPr>
                <w:sz w:val="18"/>
              </w:rPr>
              <w:t>Postes vacants approuvés</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20</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26</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28</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49</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49</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49</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49</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 xml:space="preserve">Progression par rapport à l’année </w:t>
            </w:r>
            <w:r w:rsidRPr="001511F1">
              <w:rPr>
                <w:sz w:val="18"/>
                <w:lang w:val="fr-FR"/>
              </w:rPr>
              <w:lastRenderedPageBreak/>
              <w:t>précédente (en chiffres)</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6</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21</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0</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0</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0</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Progression par rapport à l’année précédente (en pourcentage)</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30</w:t>
            </w:r>
            <w:r w:rsidR="00C73A2F" w:rsidRPr="001511F1">
              <w:rPr>
                <w:sz w:val="18"/>
              </w:rPr>
              <w:t> %</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8</w:t>
            </w:r>
            <w:r w:rsidR="00C73A2F" w:rsidRPr="001511F1">
              <w:rPr>
                <w:sz w:val="18"/>
              </w:rPr>
              <w:t> %</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75</w:t>
            </w:r>
            <w:r w:rsidR="00C73A2F" w:rsidRPr="001511F1">
              <w:rPr>
                <w:sz w:val="18"/>
              </w:rPr>
              <w:t> %</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0</w:t>
            </w:r>
            <w:r w:rsidR="00C73A2F" w:rsidRPr="001511F1">
              <w:rPr>
                <w:sz w:val="18"/>
              </w:rPr>
              <w:t> %</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0</w:t>
            </w:r>
            <w:r w:rsidR="00C73A2F" w:rsidRPr="001511F1">
              <w:rPr>
                <w:sz w:val="18"/>
              </w:rPr>
              <w:t> %</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0</w:t>
            </w:r>
            <w:r w:rsidR="00C73A2F" w:rsidRPr="001511F1">
              <w:rPr>
                <w:sz w:val="18"/>
              </w:rPr>
              <w:t> %</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Progression par rapport à 2011 (en chiffres)</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6</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8</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29</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29</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29</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29</w:t>
            </w:r>
          </w:p>
        </w:tc>
      </w:tr>
      <w:tr w:rsidR="00ED45FE" w:rsidRPr="001511F1" w:rsidTr="000C57EC">
        <w:tc>
          <w:tcPr>
            <w:tcW w:w="2410" w:type="dxa"/>
            <w:shd w:val="clear" w:color="auto" w:fill="auto"/>
            <w:hideMark/>
          </w:tcPr>
          <w:p w:rsidR="00C57CC5" w:rsidRPr="001511F1" w:rsidRDefault="00C57CC5" w:rsidP="001511F1">
            <w:pPr>
              <w:suppressAutoHyphens w:val="0"/>
              <w:spacing w:before="40" w:after="40" w:line="220" w:lineRule="exact"/>
              <w:rPr>
                <w:sz w:val="18"/>
                <w:lang w:val="fr-FR"/>
              </w:rPr>
            </w:pPr>
            <w:r w:rsidRPr="001511F1">
              <w:rPr>
                <w:sz w:val="18"/>
                <w:lang w:val="fr-FR"/>
              </w:rPr>
              <w:t>Progression par rapport à 2011 (en pourcentage)</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lang w:val="fr-FR"/>
              </w:rPr>
            </w:pP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30</w:t>
            </w:r>
            <w:r w:rsidR="00C73A2F" w:rsidRPr="001511F1">
              <w:rPr>
                <w:sz w:val="18"/>
              </w:rPr>
              <w:t> %</w:t>
            </w:r>
          </w:p>
        </w:tc>
        <w:tc>
          <w:tcPr>
            <w:tcW w:w="85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40</w:t>
            </w:r>
            <w:r w:rsidR="00C73A2F" w:rsidRPr="001511F1">
              <w:rPr>
                <w:sz w:val="18"/>
              </w:rPr>
              <w:t> %</w:t>
            </w:r>
          </w:p>
        </w:tc>
        <w:tc>
          <w:tcPr>
            <w:tcW w:w="850"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145</w:t>
            </w:r>
            <w:r w:rsidR="00C73A2F" w:rsidRPr="001511F1">
              <w:rPr>
                <w:sz w:val="18"/>
              </w:rPr>
              <w:t> %</w:t>
            </w:r>
          </w:p>
        </w:tc>
        <w:tc>
          <w:tcPr>
            <w:tcW w:w="921"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145</w:t>
            </w:r>
            <w:r w:rsidR="00C73A2F" w:rsidRPr="001511F1">
              <w:rPr>
                <w:sz w:val="18"/>
              </w:rPr>
              <w:t> %</w:t>
            </w:r>
          </w:p>
        </w:tc>
        <w:tc>
          <w:tcPr>
            <w:tcW w:w="922"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145</w:t>
            </w:r>
            <w:r w:rsidR="00C73A2F" w:rsidRPr="001511F1">
              <w:rPr>
                <w:sz w:val="18"/>
              </w:rPr>
              <w:t> %</w:t>
            </w:r>
          </w:p>
        </w:tc>
        <w:tc>
          <w:tcPr>
            <w:tcW w:w="849" w:type="dxa"/>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145</w:t>
            </w:r>
            <w:r w:rsidR="00C73A2F" w:rsidRPr="001511F1">
              <w:rPr>
                <w:sz w:val="18"/>
              </w:rPr>
              <w:t> %</w:t>
            </w:r>
          </w:p>
        </w:tc>
      </w:tr>
      <w:tr w:rsidR="00ED45FE" w:rsidRPr="001511F1" w:rsidTr="000C57EC">
        <w:tc>
          <w:tcPr>
            <w:tcW w:w="2410" w:type="dxa"/>
            <w:tcBorders>
              <w:bottom w:val="single" w:sz="12" w:space="0" w:color="auto"/>
            </w:tcBorders>
            <w:shd w:val="clear" w:color="auto" w:fill="auto"/>
            <w:hideMark/>
          </w:tcPr>
          <w:p w:rsidR="00C57CC5" w:rsidRPr="001511F1" w:rsidRDefault="00C57CC5" w:rsidP="001511F1">
            <w:pPr>
              <w:suppressAutoHyphens w:val="0"/>
              <w:spacing w:before="40" w:after="40" w:line="220" w:lineRule="exact"/>
              <w:rPr>
                <w:sz w:val="18"/>
              </w:rPr>
            </w:pPr>
            <w:r w:rsidRPr="001511F1">
              <w:rPr>
                <w:rFonts w:eastAsia="SimSun"/>
                <w:sz w:val="18"/>
                <w:lang w:val="fr-FR"/>
              </w:rPr>
              <w:t xml:space="preserve">Crédits </w:t>
            </w:r>
            <w:r w:rsidR="00131928">
              <w:rPr>
                <w:rFonts w:eastAsia="SimSun"/>
                <w:sz w:val="18"/>
                <w:lang w:val="fr-FR"/>
              </w:rPr>
              <w:br/>
            </w:r>
            <w:r w:rsidRPr="001511F1">
              <w:rPr>
                <w:rFonts w:eastAsia="SimSun"/>
                <w:sz w:val="18"/>
                <w:lang w:val="fr-FR"/>
              </w:rPr>
              <w:t>supplémentaires</w:t>
            </w:r>
          </w:p>
        </w:tc>
        <w:tc>
          <w:tcPr>
            <w:tcW w:w="851" w:type="dxa"/>
            <w:tcBorders>
              <w:bottom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p>
        </w:tc>
        <w:tc>
          <w:tcPr>
            <w:tcW w:w="850" w:type="dxa"/>
            <w:tcBorders>
              <w:bottom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p>
        </w:tc>
        <w:tc>
          <w:tcPr>
            <w:tcW w:w="851" w:type="dxa"/>
            <w:tcBorders>
              <w:bottom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p>
        </w:tc>
        <w:tc>
          <w:tcPr>
            <w:tcW w:w="850" w:type="dxa"/>
            <w:tcBorders>
              <w:bottom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39 873,20</w:t>
            </w:r>
          </w:p>
        </w:tc>
        <w:tc>
          <w:tcPr>
            <w:tcW w:w="921" w:type="dxa"/>
            <w:tcBorders>
              <w:bottom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153 287,66</w:t>
            </w:r>
          </w:p>
        </w:tc>
        <w:tc>
          <w:tcPr>
            <w:tcW w:w="922" w:type="dxa"/>
            <w:tcBorders>
              <w:bottom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170 074,48</w:t>
            </w:r>
          </w:p>
        </w:tc>
        <w:tc>
          <w:tcPr>
            <w:tcW w:w="849" w:type="dxa"/>
            <w:tcBorders>
              <w:bottom w:val="single" w:sz="12" w:space="0" w:color="auto"/>
            </w:tcBorders>
            <w:shd w:val="clear" w:color="auto" w:fill="auto"/>
            <w:noWrap/>
            <w:vAlign w:val="bottom"/>
            <w:hideMark/>
          </w:tcPr>
          <w:p w:rsidR="00C57CC5" w:rsidRPr="001511F1" w:rsidRDefault="00C57CC5" w:rsidP="001511F1">
            <w:pPr>
              <w:suppressAutoHyphens w:val="0"/>
              <w:spacing w:before="40" w:after="40" w:line="220" w:lineRule="exact"/>
              <w:jc w:val="right"/>
              <w:rPr>
                <w:sz w:val="18"/>
              </w:rPr>
            </w:pPr>
            <w:r w:rsidRPr="001511F1">
              <w:rPr>
                <w:sz w:val="18"/>
              </w:rPr>
              <w:t>40 000,00</w:t>
            </w:r>
          </w:p>
        </w:tc>
      </w:tr>
    </w:tbl>
    <w:p w:rsidR="00C57CC5" w:rsidRDefault="00C57CC5" w:rsidP="00892DEE">
      <w:pPr>
        <w:pStyle w:val="SingleTxtG"/>
        <w:spacing w:before="120" w:after="240"/>
        <w:ind w:firstLine="170"/>
        <w:jc w:val="left"/>
        <w:rPr>
          <w:sz w:val="18"/>
          <w:lang w:val="fr-FR"/>
        </w:rPr>
      </w:pPr>
      <w:r w:rsidRPr="004557E7">
        <w:rPr>
          <w:i/>
          <w:iCs/>
          <w:sz w:val="18"/>
          <w:lang w:val="fr-FR"/>
        </w:rPr>
        <w:t>Source</w:t>
      </w:r>
      <w:r>
        <w:rPr>
          <w:i/>
          <w:iCs/>
          <w:sz w:val="18"/>
          <w:lang w:val="fr-FR"/>
        </w:rPr>
        <w:t> </w:t>
      </w:r>
      <w:r>
        <w:rPr>
          <w:sz w:val="18"/>
          <w:lang w:val="fr-FR"/>
        </w:rPr>
        <w:t>:</w:t>
      </w:r>
      <w:r w:rsidRPr="004557E7">
        <w:rPr>
          <w:sz w:val="18"/>
          <w:lang w:val="fr-FR"/>
        </w:rPr>
        <w:t xml:space="preserve"> </w:t>
      </w:r>
      <w:r w:rsidRPr="00567085">
        <w:rPr>
          <w:sz w:val="18"/>
          <w:lang w:val="fr-FR"/>
        </w:rPr>
        <w:t xml:space="preserve">Rapport de recherche sur l’efficacité de la mise en œuvre de la loi sur la </w:t>
      </w:r>
      <w:r>
        <w:rPr>
          <w:sz w:val="18"/>
          <w:lang w:val="fr-FR"/>
        </w:rPr>
        <w:t>Commission nationale des droits de l’homme, Ministère de la justice et de l’intérieur.</w:t>
      </w:r>
    </w:p>
    <w:p w:rsidR="00C57CC5" w:rsidRPr="00BF5B7A" w:rsidRDefault="00C57CC5" w:rsidP="00C57CC5">
      <w:pPr>
        <w:pStyle w:val="SingleTxtG"/>
        <w:rPr>
          <w:lang w:val="fr-FR"/>
        </w:rPr>
      </w:pPr>
      <w:r w:rsidRPr="009D42C8">
        <w:rPr>
          <w:lang w:val="fr-FR"/>
        </w:rPr>
        <w:t>69.</w:t>
      </w:r>
      <w:r w:rsidRPr="009D42C8">
        <w:rPr>
          <w:lang w:val="fr-FR"/>
        </w:rPr>
        <w:tab/>
      </w:r>
      <w:r w:rsidRPr="00BF5B7A">
        <w:rPr>
          <w:lang w:val="fr-FR"/>
        </w:rPr>
        <w:t xml:space="preserve">Un groupe de travail a été créé en vertu </w:t>
      </w:r>
      <w:r>
        <w:rPr>
          <w:lang w:val="fr-FR"/>
        </w:rPr>
        <w:t>de l’ordonnance</w:t>
      </w:r>
      <w:r w:rsidRPr="00BF5B7A">
        <w:rPr>
          <w:lang w:val="fr-FR"/>
        </w:rPr>
        <w:t xml:space="preserve"> </w:t>
      </w:r>
      <w:r>
        <w:rPr>
          <w:lang w:val="fr-FR"/>
        </w:rPr>
        <w:t>A/66 du Ministre de la justice et de l’intérieur pour présenter un projet de loi révisé sur la Commission nationale des droits de l’homme. Le président du groupe de travail a adopté le projet révisé. Le groupe de travail étudie la possibilité d’instaurer un mécanisme national de prévention.</w:t>
      </w:r>
    </w:p>
    <w:p w:rsidR="00C57CC5" w:rsidRPr="00223FB9" w:rsidRDefault="00C57CC5" w:rsidP="00892DEE">
      <w:pPr>
        <w:pStyle w:val="H1G"/>
        <w:rPr>
          <w:lang w:val="fr-FR"/>
        </w:rPr>
      </w:pPr>
      <w:r w:rsidRPr="00BF5B7A">
        <w:rPr>
          <w:lang w:val="fr-FR"/>
        </w:rPr>
        <w:tab/>
      </w:r>
      <w:r w:rsidRPr="00BF5B7A">
        <w:rPr>
          <w:lang w:val="fr-FR"/>
        </w:rPr>
        <w:tab/>
      </w:r>
      <w:r w:rsidRPr="00223FB9">
        <w:rPr>
          <w:lang w:val="fr-FR"/>
        </w:rPr>
        <w:t>Article 7</w:t>
      </w:r>
    </w:p>
    <w:p w:rsidR="00C57CC5" w:rsidRPr="003922AF" w:rsidRDefault="00C57CC5" w:rsidP="00892DEE">
      <w:pPr>
        <w:pStyle w:val="H23G"/>
        <w:rPr>
          <w:lang w:val="fr-FR"/>
        </w:rPr>
      </w:pPr>
      <w:r w:rsidRPr="00223FB9">
        <w:rPr>
          <w:lang w:val="fr-FR"/>
        </w:rPr>
        <w:tab/>
      </w:r>
      <w:r w:rsidRPr="00223FB9">
        <w:rPr>
          <w:lang w:val="fr-FR"/>
        </w:rPr>
        <w:tab/>
      </w:r>
      <w:r w:rsidRPr="003922AF">
        <w:rPr>
          <w:lang w:val="fr-FR"/>
        </w:rPr>
        <w:t>Minorités ethniques</w:t>
      </w:r>
    </w:p>
    <w:p w:rsidR="00C57CC5" w:rsidRPr="003922AF" w:rsidRDefault="00C57CC5" w:rsidP="00892DEE">
      <w:pPr>
        <w:pStyle w:val="H23G"/>
        <w:rPr>
          <w:lang w:val="fr-FR"/>
        </w:rPr>
      </w:pPr>
      <w:r w:rsidRPr="00AC5CB6">
        <w:rPr>
          <w:spacing w:val="2"/>
          <w:lang w:val="fr-FR"/>
        </w:rPr>
        <w:tab/>
      </w:r>
      <w:r w:rsidRPr="00AC5CB6">
        <w:rPr>
          <w:spacing w:val="2"/>
          <w:lang w:val="fr-FR"/>
        </w:rPr>
        <w:tab/>
        <w:t>Réaliser régulièrement des études approfondies sur la situation des minorités</w:t>
      </w:r>
      <w:r w:rsidRPr="003922AF">
        <w:rPr>
          <w:lang w:val="fr-FR"/>
        </w:rPr>
        <w:t xml:space="preserve"> ethniques du point de vue des droits de l’homme afin d’élaborer des politiques </w:t>
      </w:r>
      <w:r w:rsidRPr="00AC5CB6">
        <w:rPr>
          <w:spacing w:val="2"/>
          <w:lang w:val="fr-FR"/>
        </w:rPr>
        <w:t xml:space="preserve">appropriées et de s’assurer que ces politiques contribuent effectivement </w:t>
      </w:r>
      <w:r w:rsidR="00892DEE" w:rsidRPr="00AC5CB6">
        <w:rPr>
          <w:lang w:val="fr-FR"/>
        </w:rPr>
        <w:br/>
      </w:r>
      <w:r w:rsidRPr="003922AF">
        <w:rPr>
          <w:lang w:val="fr-FR"/>
        </w:rPr>
        <w:t xml:space="preserve">à supprimer tous les obstacles que rencontrent les minorités pour exercer </w:t>
      </w:r>
      <w:r w:rsidR="00892DEE">
        <w:rPr>
          <w:lang w:val="fr-FR"/>
        </w:rPr>
        <w:br/>
      </w:r>
      <w:r w:rsidRPr="003922AF">
        <w:rPr>
          <w:lang w:val="fr-FR"/>
        </w:rPr>
        <w:t xml:space="preserve">leurs droits, en particulier en ce qui concerne la pauvreté, le chômage </w:t>
      </w:r>
      <w:r w:rsidR="00892DEE">
        <w:rPr>
          <w:lang w:val="fr-FR"/>
        </w:rPr>
        <w:br/>
      </w:r>
      <w:r w:rsidRPr="003922AF">
        <w:rPr>
          <w:lang w:val="fr-FR"/>
        </w:rPr>
        <w:t>et l’accès à l’éducation dans des langues minoritaires</w:t>
      </w:r>
    </w:p>
    <w:p w:rsidR="00C57CC5" w:rsidRPr="00D20283" w:rsidRDefault="00C57CC5" w:rsidP="00C57CC5">
      <w:pPr>
        <w:pStyle w:val="SingleTxtG"/>
        <w:rPr>
          <w:lang w:val="fr-FR"/>
        </w:rPr>
      </w:pPr>
      <w:r w:rsidRPr="00094E93">
        <w:rPr>
          <w:lang w:val="fr-FR"/>
        </w:rPr>
        <w:t>70.</w:t>
      </w:r>
      <w:r w:rsidRPr="00094E93">
        <w:rPr>
          <w:lang w:val="fr-FR"/>
        </w:rPr>
        <w:tab/>
      </w:r>
      <w:r w:rsidRPr="00D20283">
        <w:rPr>
          <w:lang w:val="fr-FR"/>
        </w:rPr>
        <w:t xml:space="preserve">La Constitution de la Mongolie, la loi sur l’éducation, la loi sur l’enseignement primaire et secondaire et la loi </w:t>
      </w:r>
      <w:r>
        <w:rPr>
          <w:lang w:val="fr-FR"/>
        </w:rPr>
        <w:t>sur la langue mongole garantissent le droit des minorités ethniques à l’éducation. Ces lois reconnaissent leur droit à un apprentissage et à une éducation dans leur langue maternelle, et définissent les obligations qui incombent à l’État pour les rendre possibles.</w:t>
      </w:r>
    </w:p>
    <w:p w:rsidR="00C57CC5" w:rsidRPr="004A742F" w:rsidRDefault="00C57CC5" w:rsidP="00C57CC5">
      <w:pPr>
        <w:pStyle w:val="SingleTxtG"/>
        <w:rPr>
          <w:lang w:val="fr-FR"/>
        </w:rPr>
      </w:pPr>
      <w:r w:rsidRPr="000F7AD9">
        <w:rPr>
          <w:lang w:val="fr-FR"/>
        </w:rPr>
        <w:t>71.</w:t>
      </w:r>
      <w:r w:rsidRPr="000F7AD9">
        <w:rPr>
          <w:lang w:val="fr-FR"/>
        </w:rPr>
        <w:tab/>
      </w:r>
      <w:r w:rsidRPr="004A742F">
        <w:rPr>
          <w:lang w:val="fr-FR"/>
        </w:rPr>
        <w:t xml:space="preserve">Le paragraphe 1 de l’article 8 de la Constitution de la Mongolie dispose que la langue </w:t>
      </w:r>
      <w:r w:rsidRPr="00AC5CB6">
        <w:rPr>
          <w:spacing w:val="-2"/>
          <w:lang w:val="fr-FR"/>
        </w:rPr>
        <w:t>mongole est la langue officielle de l’État ; le paragraphe 2 précise</w:t>
      </w:r>
      <w:r>
        <w:rPr>
          <w:lang w:val="fr-FR"/>
        </w:rPr>
        <w:t xml:space="preserve"> que le paragraphe 1 </w:t>
      </w:r>
      <w:r w:rsidRPr="001E5AF5">
        <w:rPr>
          <w:lang w:val="fr-FR"/>
        </w:rPr>
        <w:t>n’a pas d’incidence sur le droit des minorités d’utiliser leur langue dans l’enseignement, dans les médias et dans le cadre des activités culturelles, artistiques et scientifiques</w:t>
      </w:r>
      <w:r>
        <w:rPr>
          <w:lang w:val="fr-FR"/>
        </w:rPr>
        <w:t>.</w:t>
      </w:r>
    </w:p>
    <w:p w:rsidR="00C57CC5" w:rsidRPr="000F7AD9" w:rsidRDefault="00C57CC5" w:rsidP="00C57CC5">
      <w:pPr>
        <w:pStyle w:val="SingleTxtG"/>
        <w:rPr>
          <w:lang w:val="fr-FR"/>
        </w:rPr>
      </w:pPr>
      <w:r w:rsidRPr="00111817">
        <w:rPr>
          <w:lang w:val="fr-FR"/>
        </w:rPr>
        <w:t>72.</w:t>
      </w:r>
      <w:r w:rsidRPr="00111817">
        <w:rPr>
          <w:lang w:val="fr-FR"/>
        </w:rPr>
        <w:tab/>
      </w:r>
      <w:r w:rsidRPr="000F7AD9">
        <w:rPr>
          <w:lang w:val="fr-FR"/>
        </w:rPr>
        <w:t>L’alinéa 4 du paragraphe 1 de l’article 5</w:t>
      </w:r>
      <w:r>
        <w:rPr>
          <w:lang w:val="fr-FR"/>
        </w:rPr>
        <w:t xml:space="preserve"> de</w:t>
      </w:r>
      <w:r w:rsidRPr="000F7AD9">
        <w:rPr>
          <w:lang w:val="fr-FR"/>
        </w:rPr>
        <w:t xml:space="preserve"> </w:t>
      </w:r>
      <w:r w:rsidRPr="00D20283">
        <w:rPr>
          <w:lang w:val="fr-FR"/>
        </w:rPr>
        <w:t>la loi sur l’éducation</w:t>
      </w:r>
      <w:r w:rsidRPr="000F7AD9">
        <w:rPr>
          <w:lang w:val="fr-FR"/>
        </w:rPr>
        <w:t xml:space="preserve"> dispose en outre qu’il faut accorder à tous les m</w:t>
      </w:r>
      <w:r>
        <w:rPr>
          <w:lang w:val="fr-FR"/>
        </w:rPr>
        <w:t>êmes possibilités de recevoir une éducation dans sa langue maternelle, et l</w:t>
      </w:r>
      <w:r w:rsidRPr="000F7AD9">
        <w:rPr>
          <w:lang w:val="fr-FR"/>
        </w:rPr>
        <w:t xml:space="preserve">’alinéa </w:t>
      </w:r>
      <w:r>
        <w:rPr>
          <w:lang w:val="fr-FR"/>
        </w:rPr>
        <w:t>12</w:t>
      </w:r>
      <w:r w:rsidRPr="000F7AD9">
        <w:rPr>
          <w:lang w:val="fr-FR"/>
        </w:rPr>
        <w:t xml:space="preserve"> du paragraphe 1 de l’article </w:t>
      </w:r>
      <w:r>
        <w:rPr>
          <w:lang w:val="fr-FR"/>
        </w:rPr>
        <w:t xml:space="preserve">30 prévoit l’organisation, à l’intention des minorités, d’activités d’apprentissage, de transmission de la culture et des traditions et de communication dans leur langue maternelle à l’école. L’alinéa 1 du paragraphe 1 de l’article 4 de la </w:t>
      </w:r>
      <w:r w:rsidRPr="00D20283">
        <w:rPr>
          <w:lang w:val="fr-FR"/>
        </w:rPr>
        <w:t>loi sur l’enseignement primaire et secondaire</w:t>
      </w:r>
      <w:r>
        <w:rPr>
          <w:lang w:val="fr-FR"/>
        </w:rPr>
        <w:t xml:space="preserve"> dispose que l’enseignement primaire a pour objet la maîtrise orale de la langue maternelle et la capacité à exprimer des idées, à lire et à écrire.</w:t>
      </w:r>
    </w:p>
    <w:p w:rsidR="00C57CC5" w:rsidRPr="00A84A01" w:rsidRDefault="00C57CC5" w:rsidP="00C57CC5">
      <w:pPr>
        <w:pStyle w:val="SingleTxtG"/>
        <w:rPr>
          <w:lang w:val="fr-FR"/>
        </w:rPr>
      </w:pPr>
      <w:r w:rsidRPr="00761A7D">
        <w:rPr>
          <w:lang w:val="fr-FR"/>
        </w:rPr>
        <w:t>73.</w:t>
      </w:r>
      <w:r w:rsidRPr="00761A7D">
        <w:rPr>
          <w:lang w:val="fr-FR"/>
        </w:rPr>
        <w:tab/>
      </w:r>
      <w:r>
        <w:rPr>
          <w:lang w:val="fr-FR"/>
        </w:rPr>
        <w:t xml:space="preserve">L’alinéa 4 du paragraphe 1 de l’article 13 de </w:t>
      </w:r>
      <w:r w:rsidRPr="00A84A01">
        <w:rPr>
          <w:lang w:val="fr-FR"/>
        </w:rPr>
        <w:t>la loi sur la langue mongole</w:t>
      </w:r>
      <w:r>
        <w:rPr>
          <w:lang w:val="fr-FR"/>
        </w:rPr>
        <w:t xml:space="preserve"> définit les obligations de l’administration publique chargée de l’éducation et des sciences, qui doit assurer une scolarisation bilingue si la majorité des élèves appartiennent à une minorité ethnique </w:t>
      </w:r>
      <w:r w:rsidRPr="00A02BA5">
        <w:rPr>
          <w:spacing w:val="-2"/>
          <w:lang w:val="fr-FR"/>
        </w:rPr>
        <w:t>ayant sa propre langue, et approuver le concept de programmes bilingues</w:t>
      </w:r>
      <w:r>
        <w:rPr>
          <w:lang w:val="fr-FR"/>
        </w:rPr>
        <w:t> ; l’alinéa 5 du paragraphe 1 de l’article 13 prévoit l’organisation d’activités qui permettent aux minorités ethniques d’avoir une formation, d’hériter de leur culture et de leurs traditions et de mener des activités scientifiques en langue mongole et dans leur langue maternelle.</w:t>
      </w:r>
    </w:p>
    <w:p w:rsidR="00C57CC5" w:rsidRPr="00094CE4" w:rsidRDefault="00C57CC5" w:rsidP="00C57CC5">
      <w:pPr>
        <w:pStyle w:val="SingleTxtG"/>
        <w:rPr>
          <w:lang w:val="fr-FR"/>
        </w:rPr>
      </w:pPr>
      <w:r w:rsidRPr="004F3DCA">
        <w:rPr>
          <w:lang w:val="fr-FR"/>
        </w:rPr>
        <w:lastRenderedPageBreak/>
        <w:t>74.</w:t>
      </w:r>
      <w:r w:rsidRPr="004F3DCA">
        <w:rPr>
          <w:lang w:val="fr-FR"/>
        </w:rPr>
        <w:tab/>
      </w:r>
      <w:r w:rsidRPr="008C3D27">
        <w:rPr>
          <w:lang w:val="fr-FR"/>
        </w:rPr>
        <w:t>Le groupe de travail</w:t>
      </w:r>
      <w:r w:rsidRPr="002A3EE0">
        <w:rPr>
          <w:rStyle w:val="Appelnotedebasdep"/>
        </w:rPr>
        <w:footnoteReference w:id="36"/>
      </w:r>
      <w:r w:rsidRPr="008C3D27">
        <w:rPr>
          <w:lang w:val="fr-FR"/>
        </w:rPr>
        <w:t xml:space="preserve"> du Ministère de l’éducation, de la culture</w:t>
      </w:r>
      <w:r>
        <w:rPr>
          <w:lang w:val="fr-FR"/>
        </w:rPr>
        <w:t>,</w:t>
      </w:r>
      <w:r w:rsidRPr="008C3D27">
        <w:rPr>
          <w:lang w:val="fr-FR"/>
        </w:rPr>
        <w:t xml:space="preserve"> des sciences</w:t>
      </w:r>
      <w:r>
        <w:rPr>
          <w:lang w:val="fr-FR"/>
        </w:rPr>
        <w:t xml:space="preserve"> </w:t>
      </w:r>
      <w:r w:rsidRPr="008C3D27">
        <w:rPr>
          <w:lang w:val="fr-FR"/>
        </w:rPr>
        <w:t>et</w:t>
      </w:r>
      <w:r>
        <w:rPr>
          <w:lang w:val="fr-FR"/>
        </w:rPr>
        <w:t xml:space="preserve"> des sports a effectué une mission dans la province de </w:t>
      </w:r>
      <w:r w:rsidRPr="00094CE4">
        <w:rPr>
          <w:lang w:val="fr-FR"/>
        </w:rPr>
        <w:t>Bayan-Ulgii</w:t>
      </w:r>
      <w:r>
        <w:rPr>
          <w:lang w:val="fr-FR"/>
        </w:rPr>
        <w:t xml:space="preserve"> du 28 au 31</w:t>
      </w:r>
      <w:r w:rsidR="00A02BA5">
        <w:rPr>
          <w:lang w:val="fr-FR"/>
        </w:rPr>
        <w:t> </w:t>
      </w:r>
      <w:r>
        <w:rPr>
          <w:lang w:val="fr-FR"/>
        </w:rPr>
        <w:t>juin 2018 pour examiner les fonctions et la méthodologie du Département de l’éducation et de la culture de cette province, les qualifications professionnelles des directeurs et des enseignants des écoles et leur capacité à faire la classe en langue mongole. Ce groupe de travail est également chargé de formuler des conclusions et des recommandations sur les activités de suivi destinées à améliorer la qualité de l’enseignement.</w:t>
      </w:r>
    </w:p>
    <w:p w:rsidR="00C57CC5" w:rsidRPr="004F3DCA" w:rsidRDefault="00C57CC5" w:rsidP="00C57CC5">
      <w:pPr>
        <w:pStyle w:val="SingleTxtG"/>
        <w:rPr>
          <w:lang w:val="fr-FR"/>
        </w:rPr>
      </w:pPr>
      <w:r w:rsidRPr="00842746">
        <w:rPr>
          <w:lang w:val="fr-FR"/>
        </w:rPr>
        <w:t>75.</w:t>
      </w:r>
      <w:r w:rsidRPr="00842746">
        <w:rPr>
          <w:lang w:val="fr-FR"/>
        </w:rPr>
        <w:tab/>
      </w:r>
      <w:r>
        <w:rPr>
          <w:lang w:val="fr-FR"/>
        </w:rPr>
        <w:t xml:space="preserve">Une </w:t>
      </w:r>
      <w:r w:rsidRPr="004F3DCA">
        <w:rPr>
          <w:lang w:val="fr-FR"/>
        </w:rPr>
        <w:t>section de recherch</w:t>
      </w:r>
      <w:r>
        <w:rPr>
          <w:lang w:val="fr-FR"/>
        </w:rPr>
        <w:t>e</w:t>
      </w:r>
      <w:r w:rsidRPr="004F3DCA">
        <w:rPr>
          <w:lang w:val="fr-FR"/>
        </w:rPr>
        <w:t xml:space="preserve"> sur l’éducation dispensée aux minorités ethniques et aux enfants mongols à l’</w:t>
      </w:r>
      <w:r>
        <w:rPr>
          <w:lang w:val="fr-FR"/>
        </w:rPr>
        <w:t xml:space="preserve">étranger a été créée au sein de l’Institut de l’éducation. Elle a pour fonction d’évaluer les conditions de la scolarisation et de l’enseignement assurés aux enfants qui appartiennent à des minorités ethniques, de concevoir des programmes d’enseignement, de mettre au point des manuels scolaires et des outils didactiques, de promouvoir le développement des compétences des enseignants et de leur apporter un soutien méthodologique. </w:t>
      </w:r>
    </w:p>
    <w:p w:rsidR="00C57CC5" w:rsidRPr="00DF0670" w:rsidRDefault="00C57CC5" w:rsidP="00C57CC5">
      <w:pPr>
        <w:pStyle w:val="SingleTxtG"/>
        <w:rPr>
          <w:lang w:val="fr-FR"/>
        </w:rPr>
      </w:pPr>
      <w:r w:rsidRPr="009A1C80">
        <w:rPr>
          <w:lang w:val="fr-FR"/>
        </w:rPr>
        <w:t>76.</w:t>
      </w:r>
      <w:r w:rsidRPr="009A1C80">
        <w:rPr>
          <w:lang w:val="fr-FR"/>
        </w:rPr>
        <w:tab/>
      </w:r>
      <w:r>
        <w:rPr>
          <w:lang w:val="fr-FR"/>
        </w:rPr>
        <w:t xml:space="preserve">La </w:t>
      </w:r>
      <w:r w:rsidRPr="003324FE">
        <w:rPr>
          <w:lang w:val="fr-FR"/>
        </w:rPr>
        <w:t xml:space="preserve">politique du </w:t>
      </w:r>
      <w:r>
        <w:rPr>
          <w:lang w:val="fr-FR"/>
        </w:rPr>
        <w:t>Gouvernement vise à mettre à la disposition des</w:t>
      </w:r>
      <w:r w:rsidRPr="00E76379">
        <w:rPr>
          <w:lang w:val="fr-FR"/>
        </w:rPr>
        <w:t xml:space="preserve"> </w:t>
      </w:r>
      <w:r>
        <w:rPr>
          <w:lang w:val="fr-FR"/>
        </w:rPr>
        <w:t xml:space="preserve">enfants qui appartiennent à des minorités ethniques des manuels dans leur langue maternelle au primaire. La province de </w:t>
      </w:r>
      <w:r w:rsidRPr="00DF0670">
        <w:rPr>
          <w:lang w:val="fr-FR"/>
        </w:rPr>
        <w:t>Bayan-Ulgii compte 43</w:t>
      </w:r>
      <w:r w:rsidRPr="002A3EE0">
        <w:rPr>
          <w:rStyle w:val="Appelnotedebasdep"/>
        </w:rPr>
        <w:footnoteReference w:id="37"/>
      </w:r>
      <w:r w:rsidRPr="00DF0670">
        <w:rPr>
          <w:lang w:val="fr-FR"/>
        </w:rPr>
        <w:t xml:space="preserve"> é</w:t>
      </w:r>
      <w:r>
        <w:rPr>
          <w:lang w:val="fr-FR"/>
        </w:rPr>
        <w:t>tablissement</w:t>
      </w:r>
      <w:r w:rsidRPr="00DF0670">
        <w:rPr>
          <w:lang w:val="fr-FR"/>
        </w:rPr>
        <w:t xml:space="preserve">s </w:t>
      </w:r>
      <w:r>
        <w:rPr>
          <w:lang w:val="fr-FR"/>
        </w:rPr>
        <w:t>secondaires (</w:t>
      </w:r>
      <w:r w:rsidRPr="00DF0670">
        <w:rPr>
          <w:lang w:val="fr-FR"/>
        </w:rPr>
        <w:t>publi</w:t>
      </w:r>
      <w:r>
        <w:rPr>
          <w:lang w:val="fr-FR"/>
        </w:rPr>
        <w:t>cs</w:t>
      </w:r>
      <w:r w:rsidRPr="00DF0670">
        <w:rPr>
          <w:lang w:val="fr-FR"/>
        </w:rPr>
        <w:t xml:space="preserve"> et privé</w:t>
      </w:r>
      <w:r>
        <w:rPr>
          <w:lang w:val="fr-FR"/>
        </w:rPr>
        <w:t>s)</w:t>
      </w:r>
      <w:r w:rsidRPr="00DF0670">
        <w:rPr>
          <w:lang w:val="fr-FR"/>
        </w:rPr>
        <w:t xml:space="preserve"> </w:t>
      </w:r>
      <w:r>
        <w:rPr>
          <w:lang w:val="fr-FR"/>
        </w:rPr>
        <w:t xml:space="preserve">où sont scolarisés des enfants appartenant à la minorité kazakhe ; le </w:t>
      </w:r>
      <w:r w:rsidRPr="00EB6FFE">
        <w:rPr>
          <w:i/>
          <w:lang w:val="fr-FR"/>
        </w:rPr>
        <w:t>soum</w:t>
      </w:r>
      <w:r>
        <w:rPr>
          <w:lang w:val="fr-FR"/>
        </w:rPr>
        <w:t xml:space="preserve"> de Hovd (</w:t>
      </w:r>
      <w:r w:rsidRPr="00DF0670">
        <w:rPr>
          <w:lang w:val="fr-FR"/>
        </w:rPr>
        <w:t xml:space="preserve">province de </w:t>
      </w:r>
      <w:r>
        <w:rPr>
          <w:lang w:val="fr-FR"/>
        </w:rPr>
        <w:t>Hovd) en compte un. Dans ces écoles, les programmes du primaire sont assurés dans la langue maternelle</w:t>
      </w:r>
      <w:r w:rsidRPr="002D7CE0">
        <w:rPr>
          <w:lang w:val="fr-FR"/>
        </w:rPr>
        <w:t xml:space="preserve"> </w:t>
      </w:r>
      <w:r w:rsidRPr="00177046">
        <w:rPr>
          <w:lang w:val="fr-FR"/>
        </w:rPr>
        <w:t>des élèves</w:t>
      </w:r>
      <w:r w:rsidR="009F011D" w:rsidRPr="002A3EE0">
        <w:rPr>
          <w:rStyle w:val="Appelnotedebasdep"/>
        </w:rPr>
        <w:footnoteReference w:id="38"/>
      </w:r>
      <w:r w:rsidR="009F011D">
        <w:rPr>
          <w:lang w:val="fr-FR"/>
        </w:rPr>
        <w:t>.</w:t>
      </w:r>
      <w:r>
        <w:rPr>
          <w:lang w:val="fr-FR"/>
        </w:rPr>
        <w:t xml:space="preserve"> Le Gouvernement a financé la traduction et la publication de tous les manuels utilisés dans les écoles primaires des autres régions du pays. Un nombre suffisant de manuels ont été publiés et mis à la disposition des bibliothèques scolaires.</w:t>
      </w:r>
      <w:r w:rsidRPr="008D2D89">
        <w:rPr>
          <w:highlight w:val="yellow"/>
          <w:lang w:val="fr-FR"/>
        </w:rPr>
        <w:t xml:space="preserve"> </w:t>
      </w:r>
    </w:p>
    <w:p w:rsidR="00C57CC5" w:rsidRPr="00BA55E0" w:rsidRDefault="00C57CC5" w:rsidP="00C57CC5">
      <w:pPr>
        <w:pStyle w:val="SingleTxtG"/>
        <w:rPr>
          <w:lang w:val="fr-FR"/>
        </w:rPr>
      </w:pPr>
      <w:r w:rsidRPr="0057775D">
        <w:rPr>
          <w:lang w:val="fr-FR"/>
        </w:rPr>
        <w:t>77.</w:t>
      </w:r>
      <w:r w:rsidRPr="0057775D">
        <w:rPr>
          <w:lang w:val="fr-FR"/>
        </w:rPr>
        <w:tab/>
      </w:r>
      <w:r w:rsidRPr="00177046">
        <w:rPr>
          <w:lang w:val="fr-FR"/>
        </w:rPr>
        <w:t xml:space="preserve">Le </w:t>
      </w:r>
      <w:r>
        <w:rPr>
          <w:lang w:val="fr-FR"/>
        </w:rPr>
        <w:t>Gouvernement</w:t>
      </w:r>
      <w:r w:rsidRPr="00177046">
        <w:rPr>
          <w:lang w:val="fr-FR"/>
        </w:rPr>
        <w:t xml:space="preserve"> est déterminé à mener sa politique prévoyant la mise à disposition de manuels dans la langue maternelle des élèves. </w:t>
      </w:r>
      <w:r w:rsidRPr="00982295">
        <w:rPr>
          <w:lang w:val="fr-FR"/>
        </w:rPr>
        <w:t xml:space="preserve">Des manuels en langue kazakhe ont été </w:t>
      </w:r>
      <w:r w:rsidRPr="00DA6ED1">
        <w:rPr>
          <w:spacing w:val="-2"/>
          <w:lang w:val="fr-FR"/>
        </w:rPr>
        <w:t>rédigés et publiés pour les années I, II, III, IV, V, VI et VII. Un nombre suffisant</w:t>
      </w:r>
      <w:r w:rsidRPr="001F68E8">
        <w:rPr>
          <w:lang w:val="fr-FR"/>
        </w:rPr>
        <w:t xml:space="preserve"> de manuel</w:t>
      </w:r>
      <w:r>
        <w:rPr>
          <w:lang w:val="fr-FR"/>
        </w:rPr>
        <w:t>s</w:t>
      </w:r>
      <w:r w:rsidRPr="001F68E8">
        <w:rPr>
          <w:lang w:val="fr-FR"/>
        </w:rPr>
        <w:t xml:space="preserve"> ont été mis à la disposition des écoles kazakhes</w:t>
      </w:r>
      <w:r>
        <w:rPr>
          <w:lang w:val="fr-FR"/>
        </w:rPr>
        <w:t>. Il est prévu de publier et de diffuser des manuels en kazakh pour l’année VIII, notamment des manuels de littérature, en 2018. Comme le prévoit le programme relatif à la langue tuva, approuvé via l’ordonnance 387 de</w:t>
      </w:r>
      <w:r w:rsidR="00DA6ED1">
        <w:rPr>
          <w:lang w:val="fr-FR"/>
        </w:rPr>
        <w:t> </w:t>
      </w:r>
      <w:r>
        <w:rPr>
          <w:lang w:val="fr-FR"/>
        </w:rPr>
        <w:t xml:space="preserve">2005 du Ministre de l’éducation, de la culture, des sciences et des sports, des manuels en tuva pour les années I, II et III ont été rédigés et diffusés dans les écoles du </w:t>
      </w:r>
      <w:r w:rsidRPr="00EB6FFE">
        <w:rPr>
          <w:i/>
          <w:lang w:val="fr-FR"/>
        </w:rPr>
        <w:t>soum</w:t>
      </w:r>
      <w:r>
        <w:rPr>
          <w:lang w:val="fr-FR"/>
        </w:rPr>
        <w:t xml:space="preserve"> de Tsengel (province de </w:t>
      </w:r>
      <w:r w:rsidRPr="00BA55E0">
        <w:rPr>
          <w:lang w:val="fr-FR"/>
        </w:rPr>
        <w:t>Bayan-Ulgii</w:t>
      </w:r>
      <w:r>
        <w:rPr>
          <w:lang w:val="fr-FR"/>
        </w:rPr>
        <w:t xml:space="preserve">) et du </w:t>
      </w:r>
      <w:r w:rsidRPr="00EB6FFE">
        <w:rPr>
          <w:i/>
          <w:lang w:val="fr-FR"/>
        </w:rPr>
        <w:t>soum</w:t>
      </w:r>
      <w:r>
        <w:rPr>
          <w:lang w:val="fr-FR"/>
        </w:rPr>
        <w:t xml:space="preserve"> de </w:t>
      </w:r>
      <w:r w:rsidRPr="00BA55E0">
        <w:rPr>
          <w:lang w:val="fr-FR"/>
        </w:rPr>
        <w:t>Tsagaan nuur</w:t>
      </w:r>
      <w:r>
        <w:rPr>
          <w:lang w:val="fr-FR"/>
        </w:rPr>
        <w:t xml:space="preserve"> (province de </w:t>
      </w:r>
      <w:r w:rsidRPr="00BA55E0">
        <w:rPr>
          <w:lang w:val="fr-FR"/>
        </w:rPr>
        <w:t>Khuvsgul</w:t>
      </w:r>
      <w:r>
        <w:rPr>
          <w:lang w:val="fr-FR"/>
        </w:rPr>
        <w:t>). Un manuel en tuva pour l’année IV est en cours de rédaction.</w:t>
      </w:r>
    </w:p>
    <w:p w:rsidR="00C57CC5" w:rsidRPr="0077633E" w:rsidRDefault="00C57CC5" w:rsidP="00C57CC5">
      <w:pPr>
        <w:pStyle w:val="SingleTxtG"/>
        <w:rPr>
          <w:lang w:val="fr-FR"/>
        </w:rPr>
      </w:pPr>
      <w:r w:rsidRPr="003B090F">
        <w:rPr>
          <w:lang w:val="fr-FR"/>
        </w:rPr>
        <w:t>78.</w:t>
      </w:r>
      <w:r w:rsidRPr="003B090F">
        <w:rPr>
          <w:lang w:val="fr-FR"/>
        </w:rPr>
        <w:tab/>
      </w:r>
      <w:r w:rsidRPr="00133C88">
        <w:rPr>
          <w:lang w:val="fr-FR"/>
        </w:rPr>
        <w:t xml:space="preserve">Pour donner une idée </w:t>
      </w:r>
      <w:r>
        <w:rPr>
          <w:lang w:val="fr-FR"/>
        </w:rPr>
        <w:t>précise</w:t>
      </w:r>
      <w:r w:rsidRPr="00133C88">
        <w:rPr>
          <w:lang w:val="fr-FR"/>
        </w:rPr>
        <w:t xml:space="preserve"> de la situation des minorités de </w:t>
      </w:r>
      <w:r>
        <w:rPr>
          <w:lang w:val="fr-FR"/>
        </w:rPr>
        <w:t>Mongolie, il faut examiner les problèmes des minorités au sein des minorités. D’après les statistiques de l’</w:t>
      </w:r>
      <w:r w:rsidRPr="00922B89">
        <w:rPr>
          <w:lang w:val="fr-FR"/>
        </w:rPr>
        <w:t>enquête intercensitaire</w:t>
      </w:r>
      <w:r>
        <w:rPr>
          <w:lang w:val="fr-FR"/>
        </w:rPr>
        <w:t xml:space="preserve"> de 2015, </w:t>
      </w:r>
      <w:r w:rsidRPr="00B91F29">
        <w:rPr>
          <w:lang w:val="fr-FR"/>
        </w:rPr>
        <w:t>le pays compte 3,9</w:t>
      </w:r>
      <w:r w:rsidR="00C73A2F">
        <w:rPr>
          <w:lang w:val="fr-FR"/>
        </w:rPr>
        <w:t> %</w:t>
      </w:r>
      <w:r w:rsidRPr="00B91F29">
        <w:rPr>
          <w:lang w:val="fr-FR"/>
        </w:rPr>
        <w:t xml:space="preserve"> de Kazakhs</w:t>
      </w:r>
      <w:r>
        <w:rPr>
          <w:lang w:val="fr-FR"/>
        </w:rPr>
        <w:t>, et 75,6</w:t>
      </w:r>
      <w:r w:rsidR="00C73A2F">
        <w:rPr>
          <w:lang w:val="fr-FR"/>
        </w:rPr>
        <w:t> %</w:t>
      </w:r>
      <w:r>
        <w:rPr>
          <w:lang w:val="fr-FR"/>
        </w:rPr>
        <w:t xml:space="preserve"> d’entre eux vivent dans la seule province de </w:t>
      </w:r>
      <w:r w:rsidRPr="00322D90">
        <w:rPr>
          <w:lang w:val="fr-FR"/>
        </w:rPr>
        <w:t>Bayan-Ulgii</w:t>
      </w:r>
      <w:r>
        <w:rPr>
          <w:lang w:val="fr-FR"/>
        </w:rPr>
        <w:t xml:space="preserve">. Les </w:t>
      </w:r>
      <w:r w:rsidRPr="00770848">
        <w:rPr>
          <w:lang w:val="fr-FR"/>
        </w:rPr>
        <w:t>Kazakhs</w:t>
      </w:r>
      <w:r>
        <w:rPr>
          <w:lang w:val="fr-FR"/>
        </w:rPr>
        <w:t xml:space="preserve"> représentent 89,</w:t>
      </w:r>
      <w:r w:rsidRPr="00770848">
        <w:rPr>
          <w:lang w:val="fr-FR"/>
        </w:rPr>
        <w:t>8</w:t>
      </w:r>
      <w:r w:rsidR="00C73A2F">
        <w:rPr>
          <w:lang w:val="fr-FR"/>
        </w:rPr>
        <w:t> %</w:t>
      </w:r>
      <w:r>
        <w:rPr>
          <w:lang w:val="fr-FR"/>
        </w:rPr>
        <w:t xml:space="preserve"> de la population de cette province, les </w:t>
      </w:r>
      <w:r w:rsidRPr="00770848">
        <w:rPr>
          <w:lang w:val="fr-FR"/>
        </w:rPr>
        <w:t>Uriankhais,</w:t>
      </w:r>
      <w:r>
        <w:rPr>
          <w:lang w:val="fr-FR"/>
        </w:rPr>
        <w:t xml:space="preserve"> 5,</w:t>
      </w:r>
      <w:r w:rsidRPr="00770848">
        <w:rPr>
          <w:lang w:val="fr-FR"/>
        </w:rPr>
        <w:t>7</w:t>
      </w:r>
      <w:r w:rsidR="00C73A2F">
        <w:rPr>
          <w:lang w:val="fr-FR"/>
        </w:rPr>
        <w:t> %</w:t>
      </w:r>
      <w:r>
        <w:rPr>
          <w:lang w:val="fr-FR"/>
        </w:rPr>
        <w:t>,</w:t>
      </w:r>
      <w:r w:rsidRPr="00770848">
        <w:rPr>
          <w:lang w:val="fr-FR"/>
        </w:rPr>
        <w:t xml:space="preserve"> </w:t>
      </w:r>
      <w:r>
        <w:rPr>
          <w:lang w:val="fr-FR"/>
        </w:rPr>
        <w:t xml:space="preserve">les </w:t>
      </w:r>
      <w:r w:rsidRPr="00770848">
        <w:rPr>
          <w:lang w:val="fr-FR"/>
        </w:rPr>
        <w:t>Tuvas,</w:t>
      </w:r>
      <w:r>
        <w:rPr>
          <w:lang w:val="fr-FR"/>
        </w:rPr>
        <w:t xml:space="preserve"> 1,</w:t>
      </w:r>
      <w:r w:rsidRPr="00770848">
        <w:rPr>
          <w:lang w:val="fr-FR"/>
        </w:rPr>
        <w:t>4</w:t>
      </w:r>
      <w:r w:rsidR="00C73A2F">
        <w:rPr>
          <w:lang w:val="fr-FR"/>
        </w:rPr>
        <w:t> %</w:t>
      </w:r>
      <w:r>
        <w:rPr>
          <w:lang w:val="fr-FR"/>
        </w:rPr>
        <w:t xml:space="preserve">, les </w:t>
      </w:r>
      <w:r w:rsidRPr="00770848">
        <w:rPr>
          <w:lang w:val="fr-FR"/>
        </w:rPr>
        <w:t>Khalkh</w:t>
      </w:r>
      <w:r>
        <w:rPr>
          <w:lang w:val="fr-FR"/>
        </w:rPr>
        <w:t>as</w:t>
      </w:r>
      <w:r w:rsidRPr="00770848">
        <w:rPr>
          <w:lang w:val="fr-FR"/>
        </w:rPr>
        <w:t>,</w:t>
      </w:r>
      <w:r>
        <w:rPr>
          <w:lang w:val="fr-FR"/>
        </w:rPr>
        <w:t xml:space="preserve"> 1,</w:t>
      </w:r>
      <w:r w:rsidRPr="00770848">
        <w:rPr>
          <w:lang w:val="fr-FR"/>
        </w:rPr>
        <w:t>2</w:t>
      </w:r>
      <w:r w:rsidR="00C73A2F">
        <w:rPr>
          <w:lang w:val="fr-FR"/>
        </w:rPr>
        <w:t> %</w:t>
      </w:r>
      <w:r>
        <w:rPr>
          <w:lang w:val="fr-FR"/>
        </w:rPr>
        <w:t>,</w:t>
      </w:r>
      <w:r w:rsidRPr="00770848">
        <w:rPr>
          <w:lang w:val="fr-FR"/>
        </w:rPr>
        <w:t xml:space="preserve"> </w:t>
      </w:r>
      <w:r>
        <w:rPr>
          <w:lang w:val="fr-FR"/>
        </w:rPr>
        <w:t>les Bury</w:t>
      </w:r>
      <w:r w:rsidRPr="00770848">
        <w:rPr>
          <w:lang w:val="fr-FR"/>
        </w:rPr>
        <w:t xml:space="preserve">ats, </w:t>
      </w:r>
      <w:r>
        <w:rPr>
          <w:lang w:val="fr-FR"/>
        </w:rPr>
        <w:t>0,</w:t>
      </w:r>
      <w:r w:rsidRPr="00770848">
        <w:rPr>
          <w:lang w:val="fr-FR"/>
        </w:rPr>
        <w:t>7</w:t>
      </w:r>
      <w:r w:rsidR="00C73A2F">
        <w:rPr>
          <w:lang w:val="fr-FR"/>
        </w:rPr>
        <w:t> %</w:t>
      </w:r>
      <w:r w:rsidRPr="00770848">
        <w:rPr>
          <w:lang w:val="fr-FR"/>
        </w:rPr>
        <w:t xml:space="preserve"> </w:t>
      </w:r>
      <w:r>
        <w:rPr>
          <w:lang w:val="fr-FR"/>
        </w:rPr>
        <w:t>et les autres minorités, 0,</w:t>
      </w:r>
      <w:r w:rsidRPr="00770848">
        <w:rPr>
          <w:lang w:val="fr-FR"/>
        </w:rPr>
        <w:t>2</w:t>
      </w:r>
      <w:r w:rsidR="00C73A2F">
        <w:rPr>
          <w:lang w:val="fr-FR"/>
        </w:rPr>
        <w:t> %</w:t>
      </w:r>
      <w:r w:rsidRPr="00770848">
        <w:rPr>
          <w:lang w:val="fr-FR"/>
        </w:rPr>
        <w:t>.</w:t>
      </w:r>
      <w:r>
        <w:rPr>
          <w:lang w:val="fr-FR"/>
        </w:rPr>
        <w:t xml:space="preserve"> La minorité kazakhe reçoit une instruction et prend des décisions dans sa langue sur le territoire où elle réside, mais les enfants appartenant aux autres minorités ethniques qui résident dans cette province n’acquièrent pas une connaissance suffisante des deux langues, notamment de la langue mongole. En raison d’obstacles d’ordre linguistique, les </w:t>
      </w:r>
      <w:r w:rsidRPr="0077633E">
        <w:rPr>
          <w:lang w:val="fr-FR"/>
        </w:rPr>
        <w:t>Khalkh</w:t>
      </w:r>
      <w:r>
        <w:rPr>
          <w:lang w:val="fr-FR"/>
        </w:rPr>
        <w:t>as</w:t>
      </w:r>
      <w:r w:rsidRPr="0077633E">
        <w:rPr>
          <w:lang w:val="fr-FR"/>
        </w:rPr>
        <w:t xml:space="preserve">, </w:t>
      </w:r>
      <w:r>
        <w:rPr>
          <w:lang w:val="fr-FR"/>
        </w:rPr>
        <w:t xml:space="preserve">les </w:t>
      </w:r>
      <w:r w:rsidRPr="0077633E">
        <w:rPr>
          <w:lang w:val="fr-FR"/>
        </w:rPr>
        <w:t>Uriankhai</w:t>
      </w:r>
      <w:r>
        <w:rPr>
          <w:lang w:val="fr-FR"/>
        </w:rPr>
        <w:t>s</w:t>
      </w:r>
      <w:r w:rsidRPr="0077633E">
        <w:rPr>
          <w:lang w:val="fr-FR"/>
        </w:rPr>
        <w:t xml:space="preserve">, </w:t>
      </w:r>
      <w:r>
        <w:rPr>
          <w:lang w:val="fr-FR"/>
        </w:rPr>
        <w:t xml:space="preserve">les </w:t>
      </w:r>
      <w:r w:rsidRPr="0077633E">
        <w:rPr>
          <w:lang w:val="fr-FR"/>
        </w:rPr>
        <w:t>Tuva</w:t>
      </w:r>
      <w:r>
        <w:rPr>
          <w:lang w:val="fr-FR"/>
        </w:rPr>
        <w:t>s</w:t>
      </w:r>
      <w:r w:rsidRPr="0077633E">
        <w:rPr>
          <w:lang w:val="fr-FR"/>
        </w:rPr>
        <w:t xml:space="preserve">, </w:t>
      </w:r>
      <w:r>
        <w:rPr>
          <w:lang w:val="fr-FR"/>
        </w:rPr>
        <w:t xml:space="preserve">les </w:t>
      </w:r>
      <w:r w:rsidRPr="0077633E">
        <w:rPr>
          <w:lang w:val="fr-FR"/>
        </w:rPr>
        <w:t>Durv</w:t>
      </w:r>
      <w:r>
        <w:rPr>
          <w:lang w:val="fr-FR"/>
        </w:rPr>
        <w:t>e</w:t>
      </w:r>
      <w:r w:rsidRPr="0077633E">
        <w:rPr>
          <w:lang w:val="fr-FR"/>
        </w:rPr>
        <w:t>d</w:t>
      </w:r>
      <w:r>
        <w:rPr>
          <w:lang w:val="fr-FR"/>
        </w:rPr>
        <w:t>s</w:t>
      </w:r>
      <w:r w:rsidRPr="0077633E">
        <w:rPr>
          <w:lang w:val="fr-FR"/>
        </w:rPr>
        <w:t xml:space="preserve">, </w:t>
      </w:r>
      <w:r>
        <w:rPr>
          <w:lang w:val="fr-FR"/>
        </w:rPr>
        <w:t>les Bury</w:t>
      </w:r>
      <w:r w:rsidRPr="0077633E">
        <w:rPr>
          <w:lang w:val="fr-FR"/>
        </w:rPr>
        <w:t>a</w:t>
      </w:r>
      <w:r>
        <w:rPr>
          <w:lang w:val="fr-FR"/>
        </w:rPr>
        <w:t>ts</w:t>
      </w:r>
      <w:r w:rsidRPr="0077633E">
        <w:rPr>
          <w:lang w:val="fr-FR"/>
        </w:rPr>
        <w:t xml:space="preserve"> </w:t>
      </w:r>
      <w:r>
        <w:rPr>
          <w:lang w:val="fr-FR"/>
        </w:rPr>
        <w:t>et les citoyens appartenant à d’autres minorités ont des possibilités limitées de participer à la prise de décisions, et sont expos</w:t>
      </w:r>
      <w:r w:rsidR="008A7175">
        <w:rPr>
          <w:lang w:val="fr-FR"/>
        </w:rPr>
        <w:t>és au chômage et à la pauvreté.</w:t>
      </w:r>
    </w:p>
    <w:p w:rsidR="00C57CC5" w:rsidRPr="00F22663" w:rsidRDefault="00C57CC5" w:rsidP="00C57CC5">
      <w:pPr>
        <w:pStyle w:val="SingleTxtG"/>
        <w:rPr>
          <w:lang w:val="fr-FR"/>
        </w:rPr>
      </w:pPr>
      <w:r w:rsidRPr="00632053">
        <w:rPr>
          <w:lang w:val="fr-FR"/>
        </w:rPr>
        <w:t>79.</w:t>
      </w:r>
      <w:r w:rsidRPr="00632053">
        <w:rPr>
          <w:lang w:val="fr-FR"/>
        </w:rPr>
        <w:tab/>
      </w:r>
      <w:r w:rsidRPr="0046172A">
        <w:rPr>
          <w:lang w:val="fr-FR"/>
        </w:rPr>
        <w:t xml:space="preserve">Comme l’indique le rapport du groupe de travail </w:t>
      </w:r>
      <w:r>
        <w:rPr>
          <w:lang w:val="fr-FR"/>
        </w:rPr>
        <w:t xml:space="preserve">créé en vertu de l’ordonnance </w:t>
      </w:r>
      <w:r w:rsidRPr="000654CE">
        <w:rPr>
          <w:lang w:val="fr-FR"/>
        </w:rPr>
        <w:t>A/110</w:t>
      </w:r>
      <w:r>
        <w:rPr>
          <w:lang w:val="fr-FR"/>
        </w:rPr>
        <w:t xml:space="preserve"> du Minist</w:t>
      </w:r>
      <w:r w:rsidRPr="0046172A">
        <w:rPr>
          <w:lang w:val="fr-FR"/>
        </w:rPr>
        <w:t>re de l’éducation, de la culture</w:t>
      </w:r>
      <w:r>
        <w:rPr>
          <w:lang w:val="fr-FR"/>
        </w:rPr>
        <w:t>,</w:t>
      </w:r>
      <w:r w:rsidRPr="0046172A">
        <w:rPr>
          <w:lang w:val="fr-FR"/>
        </w:rPr>
        <w:t xml:space="preserve"> des sciences et des sports</w:t>
      </w:r>
      <w:r>
        <w:rPr>
          <w:lang w:val="fr-FR"/>
        </w:rPr>
        <w:t xml:space="preserve">, qui a effectué une mission dans la province de </w:t>
      </w:r>
      <w:r w:rsidRPr="003E4962">
        <w:rPr>
          <w:lang w:val="fr-FR"/>
        </w:rPr>
        <w:t>Bayan-Ulgii</w:t>
      </w:r>
      <w:r>
        <w:rPr>
          <w:lang w:val="fr-FR"/>
        </w:rPr>
        <w:t xml:space="preserve"> du 28 au 31</w:t>
      </w:r>
      <w:r w:rsidR="008A7175">
        <w:rPr>
          <w:lang w:val="fr-FR"/>
        </w:rPr>
        <w:t> </w:t>
      </w:r>
      <w:r>
        <w:rPr>
          <w:lang w:val="fr-FR"/>
        </w:rPr>
        <w:t>juin 2018, il faut en priorité préparer la mise en place de cours en langue mongole à compter de la deuxième année et améliorer les compétences des enseignants bilingues. Le groupe a demandé si les c</w:t>
      </w:r>
      <w:r w:rsidRPr="006673AF">
        <w:rPr>
          <w:lang w:val="fr-FR"/>
        </w:rPr>
        <w:t>rédits supplémentaires de l’État</w:t>
      </w:r>
      <w:r>
        <w:rPr>
          <w:lang w:val="fr-FR"/>
        </w:rPr>
        <w:t xml:space="preserve">, censés être alloués à cette province en raison de la spécificité du </w:t>
      </w:r>
      <w:r>
        <w:rPr>
          <w:lang w:val="fr-FR"/>
        </w:rPr>
        <w:lastRenderedPageBreak/>
        <w:t>plan et du programme éducatifs de la région, avaient été employés efficacement comme indiqué. Il s’est vu répondre que ces c</w:t>
      </w:r>
      <w:r w:rsidRPr="006673AF">
        <w:rPr>
          <w:lang w:val="fr-FR"/>
        </w:rPr>
        <w:t>rédits</w:t>
      </w:r>
      <w:r>
        <w:rPr>
          <w:lang w:val="fr-FR"/>
        </w:rPr>
        <w:t xml:space="preserve"> n’apparaissaient pas dans le budget. Correctement alloués, ils permettraient d’améliorer les programmes bilingues, et de préparer les enseignants et les instructeurs qui parlent mongol et comprennent la langue et la culture des différents groupes ethniques. </w:t>
      </w:r>
    </w:p>
    <w:p w:rsidR="00C57CC5" w:rsidRPr="00632053" w:rsidRDefault="00C57CC5" w:rsidP="00C57CC5">
      <w:pPr>
        <w:pStyle w:val="SingleTxtG"/>
        <w:rPr>
          <w:lang w:val="fr-FR"/>
        </w:rPr>
      </w:pPr>
      <w:r w:rsidRPr="001A0CD8">
        <w:rPr>
          <w:lang w:val="fr-FR"/>
        </w:rPr>
        <w:t>80.</w:t>
      </w:r>
      <w:r w:rsidRPr="001A0CD8">
        <w:rPr>
          <w:lang w:val="fr-FR"/>
        </w:rPr>
        <w:tab/>
      </w:r>
      <w:r w:rsidRPr="00632053">
        <w:rPr>
          <w:lang w:val="fr-FR"/>
        </w:rPr>
        <w:t xml:space="preserve">Le </w:t>
      </w:r>
      <w:r>
        <w:rPr>
          <w:lang w:val="fr-FR"/>
        </w:rPr>
        <w:t>Gouvernement</w:t>
      </w:r>
      <w:r w:rsidRPr="00632053">
        <w:rPr>
          <w:lang w:val="fr-FR"/>
        </w:rPr>
        <w:t xml:space="preserve"> a instauré un quota pour les </w:t>
      </w:r>
      <w:r>
        <w:rPr>
          <w:lang w:val="fr-FR"/>
        </w:rPr>
        <w:t xml:space="preserve">Tsaatans afin de leur permettre de s’inscrire à l’université. En 2017, cinq enfants d’origine tsaatan diplômés de l’école du </w:t>
      </w:r>
      <w:r w:rsidRPr="00EB6FFE">
        <w:rPr>
          <w:i/>
          <w:lang w:val="fr-FR"/>
        </w:rPr>
        <w:t>soum</w:t>
      </w:r>
      <w:r w:rsidRPr="00632053">
        <w:rPr>
          <w:lang w:val="fr-FR"/>
        </w:rPr>
        <w:t xml:space="preserve"> de Tsagaan nuur (province de Khuvsgul)</w:t>
      </w:r>
      <w:r>
        <w:rPr>
          <w:lang w:val="fr-FR"/>
        </w:rPr>
        <w:t xml:space="preserve"> se sont inscrits à l’université. Onze enfants tsaatans ont bénéficié d’une bourse d’études financée par le budget de </w:t>
      </w:r>
      <w:r w:rsidRPr="00C665EA">
        <w:rPr>
          <w:lang w:val="fr-FR"/>
        </w:rPr>
        <w:t>l’État.</w:t>
      </w:r>
      <w:r>
        <w:rPr>
          <w:lang w:val="fr-FR"/>
        </w:rPr>
        <w:t xml:space="preserve"> </w:t>
      </w:r>
    </w:p>
    <w:p w:rsidR="00C57CC5" w:rsidRPr="00690D0B" w:rsidRDefault="00C57CC5" w:rsidP="00C57CC5">
      <w:pPr>
        <w:pStyle w:val="SingleTxtG"/>
        <w:rPr>
          <w:lang w:val="fr-FR"/>
        </w:rPr>
      </w:pPr>
      <w:r w:rsidRPr="0035439E">
        <w:rPr>
          <w:lang w:val="fr-FR"/>
        </w:rPr>
        <w:t>81.</w:t>
      </w:r>
      <w:r w:rsidRPr="0035439E">
        <w:rPr>
          <w:lang w:val="fr-FR"/>
        </w:rPr>
        <w:tab/>
      </w:r>
      <w:r w:rsidRPr="00690D0B">
        <w:rPr>
          <w:lang w:val="fr-FR"/>
        </w:rPr>
        <w:t xml:space="preserve">Un cadre juridique est mis en place pour que le </w:t>
      </w:r>
      <w:r>
        <w:rPr>
          <w:lang w:val="fr-FR"/>
        </w:rPr>
        <w:t>Gouvernement prenne en charge</w:t>
      </w:r>
      <w:r w:rsidRPr="00690D0B">
        <w:rPr>
          <w:lang w:val="fr-FR"/>
        </w:rPr>
        <w:t xml:space="preserve"> le co</w:t>
      </w:r>
      <w:r>
        <w:rPr>
          <w:lang w:val="fr-FR"/>
        </w:rPr>
        <w:t>ût des formations professionnelles (formations en pédagogie, en médecine) assurées aux Tsaatans qui en font la demande.</w:t>
      </w:r>
    </w:p>
    <w:p w:rsidR="00C57CC5" w:rsidRPr="00987BF5" w:rsidRDefault="00C57CC5" w:rsidP="00C57CC5">
      <w:pPr>
        <w:pStyle w:val="SingleTxtG"/>
        <w:rPr>
          <w:lang w:val="fr-FR"/>
        </w:rPr>
      </w:pPr>
      <w:r w:rsidRPr="006573C5">
        <w:rPr>
          <w:lang w:val="fr-FR"/>
        </w:rPr>
        <w:t>82.</w:t>
      </w:r>
      <w:r w:rsidRPr="006573C5">
        <w:rPr>
          <w:lang w:val="fr-FR"/>
        </w:rPr>
        <w:tab/>
      </w:r>
      <w:r w:rsidRPr="0035439E">
        <w:rPr>
          <w:lang w:val="fr-FR"/>
        </w:rPr>
        <w:t xml:space="preserve">Le décret présidentiel </w:t>
      </w:r>
      <w:r w:rsidR="008A7175" w:rsidRPr="008A7175">
        <w:rPr>
          <w:rFonts w:eastAsia="MS Mincho"/>
          <w:szCs w:val="22"/>
          <w:lang w:val="fr-FR"/>
        </w:rPr>
        <w:t>n</w:t>
      </w:r>
      <w:r w:rsidR="008A7175" w:rsidRPr="008A7175">
        <w:rPr>
          <w:rFonts w:eastAsia="MS Mincho"/>
          <w:szCs w:val="22"/>
          <w:vertAlign w:val="superscript"/>
          <w:lang w:val="fr-FR"/>
        </w:rPr>
        <w:t>o</w:t>
      </w:r>
      <w:r w:rsidR="008A7175">
        <w:rPr>
          <w:lang w:val="fr-FR"/>
        </w:rPr>
        <w:t> </w:t>
      </w:r>
      <w:r w:rsidRPr="0035439E">
        <w:rPr>
          <w:lang w:val="fr-FR"/>
        </w:rPr>
        <w:t xml:space="preserve">42 </w:t>
      </w:r>
      <w:r>
        <w:rPr>
          <w:lang w:val="fr-FR"/>
        </w:rPr>
        <w:t>du</w:t>
      </w:r>
      <w:r w:rsidRPr="0035439E">
        <w:rPr>
          <w:lang w:val="fr-FR"/>
        </w:rPr>
        <w:t xml:space="preserve"> 29</w:t>
      </w:r>
      <w:r w:rsidR="008A7175">
        <w:rPr>
          <w:lang w:val="fr-FR"/>
        </w:rPr>
        <w:t> </w:t>
      </w:r>
      <w:r>
        <w:rPr>
          <w:lang w:val="fr-FR"/>
        </w:rPr>
        <w:t>m</w:t>
      </w:r>
      <w:r w:rsidRPr="0035439E">
        <w:rPr>
          <w:lang w:val="fr-FR"/>
        </w:rPr>
        <w:t>ar</w:t>
      </w:r>
      <w:r>
        <w:rPr>
          <w:lang w:val="fr-FR"/>
        </w:rPr>
        <w:t>s</w:t>
      </w:r>
      <w:r w:rsidRPr="0035439E">
        <w:rPr>
          <w:lang w:val="fr-FR"/>
        </w:rPr>
        <w:t xml:space="preserve"> 2013</w:t>
      </w:r>
      <w:r>
        <w:rPr>
          <w:lang w:val="fr-FR"/>
        </w:rPr>
        <w:t xml:space="preserve"> a été pris pour accroître le niveau de vie des Tsaatans qui résident dans le </w:t>
      </w:r>
      <w:r w:rsidRPr="00EB6FFE">
        <w:rPr>
          <w:i/>
          <w:lang w:val="fr-FR"/>
        </w:rPr>
        <w:t>soum</w:t>
      </w:r>
      <w:r>
        <w:rPr>
          <w:lang w:val="fr-FR"/>
        </w:rPr>
        <w:t xml:space="preserve"> </w:t>
      </w:r>
      <w:r w:rsidRPr="00632053">
        <w:rPr>
          <w:lang w:val="fr-FR"/>
        </w:rPr>
        <w:t>de Tsagaan nuur (province de Khuvsgul)</w:t>
      </w:r>
      <w:r>
        <w:rPr>
          <w:lang w:val="fr-FR"/>
        </w:rPr>
        <w:t xml:space="preserve"> et qui élèvent des rennes dans la taïga, ainsi que pour améliorer leur éducation, leur santé et leur bien-être. En application du décret, plusieurs mesures ont été adoptées. Par exemple, deux médecins, une sage-femme et deux médecins assistants, qui travaillent dans le centre de santé du </w:t>
      </w:r>
      <w:r w:rsidRPr="007315B1">
        <w:rPr>
          <w:i/>
          <w:lang w:val="fr-FR"/>
        </w:rPr>
        <w:t>soum</w:t>
      </w:r>
      <w:r>
        <w:rPr>
          <w:lang w:val="fr-FR"/>
        </w:rPr>
        <w:t xml:space="preserve"> </w:t>
      </w:r>
      <w:r w:rsidRPr="00632053">
        <w:rPr>
          <w:lang w:val="fr-FR"/>
        </w:rPr>
        <w:t>de Tsagaan nuur</w:t>
      </w:r>
      <w:r>
        <w:rPr>
          <w:lang w:val="fr-FR"/>
        </w:rPr>
        <w:t xml:space="preserve"> au service de la communauté tsaatan, perçoivent chaque année une majoration de 40</w:t>
      </w:r>
      <w:r w:rsidR="00C73A2F">
        <w:rPr>
          <w:lang w:val="fr-FR"/>
        </w:rPr>
        <w:t> %</w:t>
      </w:r>
      <w:r>
        <w:rPr>
          <w:lang w:val="fr-FR"/>
        </w:rPr>
        <w:t xml:space="preserve"> de leur salaire de base depuis 2004. Au total, la majoration perçue est de </w:t>
      </w:r>
      <w:r w:rsidR="004F33AA">
        <w:rPr>
          <w:lang w:val="fr-FR"/>
        </w:rPr>
        <w:t>60 </w:t>
      </w:r>
      <w:r w:rsidRPr="006C237E">
        <w:rPr>
          <w:lang w:val="fr-FR"/>
        </w:rPr>
        <w:t>172</w:t>
      </w:r>
      <w:r w:rsidR="004F33AA">
        <w:rPr>
          <w:lang w:val="fr-FR"/>
        </w:rPr>
        <w:t> </w:t>
      </w:r>
      <w:r w:rsidRPr="006C237E">
        <w:rPr>
          <w:lang w:val="fr-FR"/>
        </w:rPr>
        <w:t xml:space="preserve">010 </w:t>
      </w:r>
      <w:r>
        <w:rPr>
          <w:lang w:val="fr-FR"/>
        </w:rPr>
        <w:t>tugriks ; par année, elle était de 13</w:t>
      </w:r>
      <w:r w:rsidR="004F33AA">
        <w:rPr>
          <w:lang w:val="fr-FR"/>
        </w:rPr>
        <w:t> </w:t>
      </w:r>
      <w:r>
        <w:rPr>
          <w:lang w:val="fr-FR"/>
        </w:rPr>
        <w:t>361</w:t>
      </w:r>
      <w:r w:rsidR="004F33AA">
        <w:rPr>
          <w:lang w:val="fr-FR"/>
        </w:rPr>
        <w:t> </w:t>
      </w:r>
      <w:r w:rsidRPr="006C237E">
        <w:rPr>
          <w:lang w:val="fr-FR"/>
        </w:rPr>
        <w:t xml:space="preserve">692 </w:t>
      </w:r>
      <w:r>
        <w:rPr>
          <w:lang w:val="fr-FR"/>
        </w:rPr>
        <w:t>tugriks e</w:t>
      </w:r>
      <w:r w:rsidRPr="006C237E">
        <w:rPr>
          <w:lang w:val="fr-FR"/>
        </w:rPr>
        <w:t xml:space="preserve">n 2014, </w:t>
      </w:r>
      <w:r>
        <w:rPr>
          <w:lang w:val="fr-FR"/>
        </w:rPr>
        <w:t>de 13</w:t>
      </w:r>
      <w:r w:rsidR="004F33AA">
        <w:rPr>
          <w:lang w:val="fr-FR"/>
        </w:rPr>
        <w:t> </w:t>
      </w:r>
      <w:r>
        <w:rPr>
          <w:lang w:val="fr-FR"/>
        </w:rPr>
        <w:t>714</w:t>
      </w:r>
      <w:r w:rsidR="004F33AA">
        <w:rPr>
          <w:lang w:val="fr-FR"/>
        </w:rPr>
        <w:t> </w:t>
      </w:r>
      <w:r w:rsidRPr="006C237E">
        <w:rPr>
          <w:lang w:val="fr-FR"/>
        </w:rPr>
        <w:t>992</w:t>
      </w:r>
      <w:r>
        <w:rPr>
          <w:lang w:val="fr-FR"/>
        </w:rPr>
        <w:t xml:space="preserve"> tugriks e</w:t>
      </w:r>
      <w:r w:rsidRPr="006C237E">
        <w:rPr>
          <w:lang w:val="fr-FR"/>
        </w:rPr>
        <w:t xml:space="preserve">n 2015, </w:t>
      </w:r>
      <w:r>
        <w:rPr>
          <w:lang w:val="fr-FR"/>
        </w:rPr>
        <w:t>de 14</w:t>
      </w:r>
      <w:r w:rsidR="004F33AA">
        <w:rPr>
          <w:lang w:val="fr-FR"/>
        </w:rPr>
        <w:t> </w:t>
      </w:r>
      <w:r>
        <w:rPr>
          <w:lang w:val="fr-FR"/>
        </w:rPr>
        <w:t>042</w:t>
      </w:r>
      <w:r w:rsidR="004F33AA">
        <w:rPr>
          <w:lang w:val="fr-FR"/>
        </w:rPr>
        <w:t> </w:t>
      </w:r>
      <w:r w:rsidRPr="006C237E">
        <w:rPr>
          <w:lang w:val="fr-FR"/>
        </w:rPr>
        <w:t>096</w:t>
      </w:r>
      <w:r>
        <w:rPr>
          <w:lang w:val="fr-FR"/>
        </w:rPr>
        <w:t xml:space="preserve"> tugriks e</w:t>
      </w:r>
      <w:r w:rsidRPr="006C237E">
        <w:rPr>
          <w:lang w:val="fr-FR"/>
        </w:rPr>
        <w:t xml:space="preserve">n 2016, </w:t>
      </w:r>
      <w:r>
        <w:rPr>
          <w:lang w:val="fr-FR"/>
        </w:rPr>
        <w:t>de 13</w:t>
      </w:r>
      <w:r w:rsidR="004F33AA">
        <w:rPr>
          <w:lang w:val="fr-FR"/>
        </w:rPr>
        <w:t> </w:t>
      </w:r>
      <w:r>
        <w:rPr>
          <w:lang w:val="fr-FR"/>
        </w:rPr>
        <w:t>074</w:t>
      </w:r>
      <w:r w:rsidR="004F33AA">
        <w:rPr>
          <w:lang w:val="fr-FR"/>
        </w:rPr>
        <w:t> </w:t>
      </w:r>
      <w:r w:rsidRPr="006C237E">
        <w:rPr>
          <w:lang w:val="fr-FR"/>
        </w:rPr>
        <w:t>586</w:t>
      </w:r>
      <w:r>
        <w:rPr>
          <w:lang w:val="fr-FR"/>
        </w:rPr>
        <w:t xml:space="preserve"> tugriks</w:t>
      </w:r>
      <w:r w:rsidRPr="006C237E">
        <w:rPr>
          <w:lang w:val="fr-FR"/>
        </w:rPr>
        <w:t xml:space="preserve"> </w:t>
      </w:r>
      <w:r>
        <w:rPr>
          <w:lang w:val="fr-FR"/>
        </w:rPr>
        <w:t>e</w:t>
      </w:r>
      <w:r w:rsidRPr="006C237E">
        <w:rPr>
          <w:lang w:val="fr-FR"/>
        </w:rPr>
        <w:t xml:space="preserve">n 2017, </w:t>
      </w:r>
      <w:r>
        <w:rPr>
          <w:lang w:val="fr-FR"/>
        </w:rPr>
        <w:t>et</w:t>
      </w:r>
      <w:r w:rsidRPr="006C237E">
        <w:rPr>
          <w:lang w:val="fr-FR"/>
        </w:rPr>
        <w:t xml:space="preserve"> </w:t>
      </w:r>
      <w:r w:rsidR="004F33AA">
        <w:rPr>
          <w:lang w:val="fr-FR"/>
        </w:rPr>
        <w:t>de 5 978 </w:t>
      </w:r>
      <w:r w:rsidRPr="006C237E">
        <w:rPr>
          <w:lang w:val="fr-FR"/>
        </w:rPr>
        <w:t>644</w:t>
      </w:r>
      <w:r>
        <w:rPr>
          <w:lang w:val="fr-FR"/>
        </w:rPr>
        <w:t xml:space="preserve"> tugriks en</w:t>
      </w:r>
      <w:r w:rsidRPr="006C237E">
        <w:rPr>
          <w:lang w:val="fr-FR"/>
        </w:rPr>
        <w:t xml:space="preserve"> </w:t>
      </w:r>
      <w:r>
        <w:rPr>
          <w:lang w:val="fr-FR"/>
        </w:rPr>
        <w:t>mai</w:t>
      </w:r>
      <w:r w:rsidRPr="006C237E">
        <w:rPr>
          <w:lang w:val="fr-FR"/>
        </w:rPr>
        <w:t xml:space="preserve"> 2018.</w:t>
      </w:r>
      <w:r>
        <w:rPr>
          <w:lang w:val="fr-FR"/>
        </w:rPr>
        <w:t xml:space="preserve"> </w:t>
      </w:r>
      <w:r w:rsidRPr="006415FD">
        <w:rPr>
          <w:lang w:val="fr-FR"/>
        </w:rPr>
        <w:t xml:space="preserve">Au titre de l’initiative destinée à </w:t>
      </w:r>
      <w:r>
        <w:rPr>
          <w:lang w:val="fr-FR"/>
        </w:rPr>
        <w:t>assurer</w:t>
      </w:r>
      <w:r w:rsidRPr="006415FD">
        <w:rPr>
          <w:lang w:val="fr-FR"/>
        </w:rPr>
        <w:t xml:space="preserve"> des moyens de transport aux médecins des </w:t>
      </w:r>
      <w:r w:rsidRPr="00EB4592">
        <w:rPr>
          <w:i/>
          <w:lang w:val="fr-FR"/>
        </w:rPr>
        <w:t>baghs</w:t>
      </w:r>
      <w:r w:rsidRPr="006415FD">
        <w:rPr>
          <w:lang w:val="fr-FR"/>
        </w:rPr>
        <w:t xml:space="preserve">, </w:t>
      </w:r>
      <w:r>
        <w:rPr>
          <w:lang w:val="fr-FR"/>
        </w:rPr>
        <w:t xml:space="preserve">deux mobylettes d’une valeur de 1,5 million de tugriks ont été fournies à des médecins </w:t>
      </w:r>
      <w:r w:rsidRPr="006415FD">
        <w:rPr>
          <w:lang w:val="fr-FR"/>
        </w:rPr>
        <w:t xml:space="preserve">des </w:t>
      </w:r>
      <w:r w:rsidRPr="00EB4592">
        <w:rPr>
          <w:i/>
          <w:lang w:val="fr-FR"/>
        </w:rPr>
        <w:t>baghs</w:t>
      </w:r>
      <w:r>
        <w:rPr>
          <w:lang w:val="fr-FR"/>
        </w:rPr>
        <w:t xml:space="preserve"> de l’ouest et de l’est, la première en 2016 et la deuxième en 2017, </w:t>
      </w:r>
      <w:r w:rsidRPr="00A743A0">
        <w:rPr>
          <w:lang w:val="fr-FR"/>
        </w:rPr>
        <w:t>grâce aux crédits alloués au développement local</w:t>
      </w:r>
      <w:r>
        <w:rPr>
          <w:lang w:val="fr-FR"/>
        </w:rPr>
        <w:t xml:space="preserve">. </w:t>
      </w:r>
      <w:r w:rsidRPr="00A743A0">
        <w:rPr>
          <w:lang w:val="fr-FR"/>
        </w:rPr>
        <w:t>En 2017, les crédits de l’État</w:t>
      </w:r>
      <w:r>
        <w:rPr>
          <w:lang w:val="fr-FR"/>
        </w:rPr>
        <w:t xml:space="preserve"> ont permis de mettre à disposition une ambulance. Dans le cadre du développement des compétences des agents de santé, des formations ont été assurées à l’hôpital du </w:t>
      </w:r>
      <w:r w:rsidRPr="007315B1">
        <w:rPr>
          <w:i/>
          <w:lang w:val="fr-FR"/>
        </w:rPr>
        <w:t>soum</w:t>
      </w:r>
      <w:r>
        <w:rPr>
          <w:lang w:val="fr-FR"/>
        </w:rPr>
        <w:t xml:space="preserve"> de </w:t>
      </w:r>
      <w:r w:rsidRPr="00987BF5">
        <w:rPr>
          <w:lang w:val="fr-FR"/>
        </w:rPr>
        <w:t>Tsagaan nuur</w:t>
      </w:r>
      <w:r>
        <w:rPr>
          <w:lang w:val="fr-FR"/>
        </w:rPr>
        <w:t>. Un gynécologue a été formé en 2014 et deux infirmiers ont été formés aux soins pédiatriques, le premier en 2005, et le deuxième, en 2017 ; un troisième infirmier a été formé aux soins gériatriques en 2018. En conséquence, il est désormais possible de fournir des services de soins de santé spécialisés au niveau local et la quali</w:t>
      </w:r>
      <w:r w:rsidR="004F33AA">
        <w:rPr>
          <w:lang w:val="fr-FR"/>
        </w:rPr>
        <w:t>té des soins s’est améliorée.</w:t>
      </w:r>
    </w:p>
    <w:p w:rsidR="00C57CC5" w:rsidRPr="00FA3897" w:rsidRDefault="00C57CC5" w:rsidP="004F33AA">
      <w:pPr>
        <w:pStyle w:val="H23G"/>
        <w:rPr>
          <w:lang w:val="fr-FR"/>
        </w:rPr>
      </w:pPr>
      <w:r w:rsidRPr="006415FD">
        <w:rPr>
          <w:lang w:val="fr-FR"/>
        </w:rPr>
        <w:tab/>
      </w:r>
      <w:r w:rsidRPr="009B624C">
        <w:rPr>
          <w:lang w:val="fr-FR"/>
        </w:rPr>
        <w:tab/>
      </w:r>
      <w:r w:rsidRPr="00FA3897">
        <w:rPr>
          <w:lang w:val="fr-FR"/>
        </w:rPr>
        <w:t>Peuples autochtones</w:t>
      </w:r>
      <w:r>
        <w:rPr>
          <w:lang w:val="fr-FR"/>
        </w:rPr>
        <w:t xml:space="preserve"> </w:t>
      </w:r>
    </w:p>
    <w:p w:rsidR="00C57CC5" w:rsidRPr="00B0282A" w:rsidRDefault="00C57CC5" w:rsidP="004F33AA">
      <w:pPr>
        <w:pStyle w:val="H23G"/>
        <w:rPr>
          <w:lang w:val="fr-FR"/>
        </w:rPr>
      </w:pPr>
      <w:r w:rsidRPr="00FA3897">
        <w:rPr>
          <w:lang w:val="fr-FR"/>
        </w:rPr>
        <w:tab/>
      </w:r>
      <w:r w:rsidRPr="00FA3897">
        <w:rPr>
          <w:lang w:val="fr-FR"/>
        </w:rPr>
        <w:tab/>
      </w:r>
      <w:r w:rsidRPr="00BA2E04">
        <w:rPr>
          <w:spacing w:val="2"/>
          <w:lang w:val="fr-FR"/>
        </w:rPr>
        <w:t xml:space="preserve">À la lumière de la recommandation générale </w:t>
      </w:r>
      <w:r w:rsidR="004F33AA" w:rsidRPr="00BA2E04">
        <w:rPr>
          <w:rFonts w:eastAsia="MS Mincho"/>
          <w:spacing w:val="2"/>
          <w:szCs w:val="22"/>
          <w:lang w:val="fr-FR"/>
        </w:rPr>
        <w:t>n</w:t>
      </w:r>
      <w:r w:rsidR="004F33AA" w:rsidRPr="00BA2E04">
        <w:rPr>
          <w:rFonts w:eastAsia="MS Mincho"/>
          <w:spacing w:val="2"/>
          <w:szCs w:val="22"/>
          <w:vertAlign w:val="superscript"/>
          <w:lang w:val="fr-FR"/>
        </w:rPr>
        <w:t>o</w:t>
      </w:r>
      <w:r w:rsidR="004F33AA" w:rsidRPr="00BA2E04">
        <w:rPr>
          <w:spacing w:val="2"/>
          <w:lang w:val="fr-FR"/>
        </w:rPr>
        <w:t> </w:t>
      </w:r>
      <w:r w:rsidRPr="00BA2E04">
        <w:rPr>
          <w:spacing w:val="2"/>
          <w:lang w:val="fr-FR"/>
        </w:rPr>
        <w:t>23 sur les droits des populations</w:t>
      </w:r>
      <w:r w:rsidRPr="00B0282A">
        <w:rPr>
          <w:lang w:val="fr-FR"/>
        </w:rPr>
        <w:t xml:space="preserve"> autochtones</w:t>
      </w:r>
      <w:r>
        <w:rPr>
          <w:lang w:val="fr-FR"/>
        </w:rPr>
        <w:t>, adoptée par le</w:t>
      </w:r>
      <w:r w:rsidRPr="00B0282A">
        <w:rPr>
          <w:lang w:val="fr-FR"/>
        </w:rPr>
        <w:t xml:space="preserve"> </w:t>
      </w:r>
      <w:r>
        <w:rPr>
          <w:lang w:val="fr-FR"/>
        </w:rPr>
        <w:t xml:space="preserve">Comité en </w:t>
      </w:r>
      <w:r w:rsidRPr="00B0282A">
        <w:rPr>
          <w:lang w:val="fr-FR"/>
        </w:rPr>
        <w:t>1997</w:t>
      </w:r>
      <w:r>
        <w:rPr>
          <w:lang w:val="fr-FR"/>
        </w:rPr>
        <w:t xml:space="preserve">, </w:t>
      </w:r>
      <w:r w:rsidRPr="00B0282A">
        <w:rPr>
          <w:lang w:val="fr-FR"/>
        </w:rPr>
        <w:t xml:space="preserve">et de la Déclaration des Nations Unies </w:t>
      </w:r>
      <w:r w:rsidR="00BA2E04">
        <w:rPr>
          <w:lang w:val="fr-FR"/>
        </w:rPr>
        <w:br/>
      </w:r>
      <w:r w:rsidRPr="00B0282A">
        <w:rPr>
          <w:lang w:val="fr-FR"/>
        </w:rPr>
        <w:t>sur les droits des peuples autochtones, veiller à ce que les Tsaatan</w:t>
      </w:r>
      <w:r>
        <w:rPr>
          <w:lang w:val="fr-FR"/>
        </w:rPr>
        <w:t>s</w:t>
      </w:r>
      <w:r w:rsidRPr="00B0282A">
        <w:rPr>
          <w:lang w:val="fr-FR"/>
        </w:rPr>
        <w:t xml:space="preserve"> soient pleinement et effectivement consultés au sujet de toutes décisions les concernant, notamment au sujet de la délivrance de licences d’exploitation minière, des restrictions applicables </w:t>
      </w:r>
      <w:r w:rsidR="00BA2E04">
        <w:rPr>
          <w:lang w:val="fr-FR"/>
        </w:rPr>
        <w:br/>
      </w:r>
      <w:r w:rsidRPr="00B0282A">
        <w:rPr>
          <w:lang w:val="fr-FR"/>
        </w:rPr>
        <w:t xml:space="preserve">à la chasse et des politiques et programmes gouvernementaux visant à améliorer </w:t>
      </w:r>
      <w:r w:rsidR="00BA2E04">
        <w:rPr>
          <w:lang w:val="fr-FR"/>
        </w:rPr>
        <w:br/>
      </w:r>
      <w:r w:rsidRPr="00B0282A">
        <w:rPr>
          <w:lang w:val="fr-FR"/>
        </w:rPr>
        <w:t>leurs conditions de vie</w:t>
      </w:r>
    </w:p>
    <w:p w:rsidR="00C57CC5" w:rsidRPr="00F027F3" w:rsidRDefault="00C57CC5" w:rsidP="00C57CC5">
      <w:pPr>
        <w:pStyle w:val="SingleTxtG"/>
        <w:rPr>
          <w:lang w:val="fr-FR"/>
        </w:rPr>
      </w:pPr>
      <w:r w:rsidRPr="002334EA">
        <w:rPr>
          <w:lang w:val="fr-FR"/>
        </w:rPr>
        <w:t>83.</w:t>
      </w:r>
      <w:r w:rsidRPr="002334EA">
        <w:rPr>
          <w:lang w:val="fr-FR"/>
        </w:rPr>
        <w:tab/>
      </w:r>
      <w:r w:rsidRPr="004B3392">
        <w:rPr>
          <w:lang w:val="fr-FR"/>
        </w:rPr>
        <w:t xml:space="preserve">Le décret présidentiel </w:t>
      </w:r>
      <w:r w:rsidR="00BA2E04" w:rsidRPr="00BA2E04">
        <w:rPr>
          <w:rFonts w:eastAsia="MS Mincho"/>
          <w:szCs w:val="22"/>
          <w:lang w:val="fr-FR"/>
        </w:rPr>
        <w:t>n</w:t>
      </w:r>
      <w:r w:rsidR="00BA2E04" w:rsidRPr="00BA2E04">
        <w:rPr>
          <w:rFonts w:eastAsia="MS Mincho"/>
          <w:szCs w:val="22"/>
          <w:vertAlign w:val="superscript"/>
          <w:lang w:val="fr-FR"/>
        </w:rPr>
        <w:t>o</w:t>
      </w:r>
      <w:r w:rsidR="00BA2E04">
        <w:rPr>
          <w:lang w:val="fr-FR"/>
        </w:rPr>
        <w:t> </w:t>
      </w:r>
      <w:r w:rsidRPr="0035439E">
        <w:rPr>
          <w:lang w:val="fr-FR"/>
        </w:rPr>
        <w:t xml:space="preserve">42 </w:t>
      </w:r>
      <w:r>
        <w:rPr>
          <w:lang w:val="fr-FR"/>
        </w:rPr>
        <w:t>du</w:t>
      </w:r>
      <w:r w:rsidR="00BA2E04">
        <w:rPr>
          <w:lang w:val="fr-FR"/>
        </w:rPr>
        <w:t xml:space="preserve"> 29 </w:t>
      </w:r>
      <w:r>
        <w:rPr>
          <w:lang w:val="fr-FR"/>
        </w:rPr>
        <w:t>m</w:t>
      </w:r>
      <w:r w:rsidRPr="0035439E">
        <w:rPr>
          <w:lang w:val="fr-FR"/>
        </w:rPr>
        <w:t>ar</w:t>
      </w:r>
      <w:r>
        <w:rPr>
          <w:lang w:val="fr-FR"/>
        </w:rPr>
        <w:t>s</w:t>
      </w:r>
      <w:r w:rsidRPr="0035439E">
        <w:rPr>
          <w:lang w:val="fr-FR"/>
        </w:rPr>
        <w:t xml:space="preserve"> 2013</w:t>
      </w:r>
      <w:r>
        <w:rPr>
          <w:lang w:val="fr-FR"/>
        </w:rPr>
        <w:t xml:space="preserve"> a été pris pour promouvoir les mesures d’application du programme sur la réhabilitation de l’élevage des rennes et l’amélioration des conditions de vie des éleveurs ; il vise à accroître le niveau de vie des Tsaatans qui résident dans le </w:t>
      </w:r>
      <w:r w:rsidRPr="007315B1">
        <w:rPr>
          <w:i/>
          <w:lang w:val="fr-FR"/>
        </w:rPr>
        <w:t>soum</w:t>
      </w:r>
      <w:r>
        <w:rPr>
          <w:lang w:val="fr-FR"/>
        </w:rPr>
        <w:t xml:space="preserve"> </w:t>
      </w:r>
      <w:r w:rsidRPr="00632053">
        <w:rPr>
          <w:lang w:val="fr-FR"/>
        </w:rPr>
        <w:t>de Tsagaan nuur (province de Khuvsgul)</w:t>
      </w:r>
      <w:r>
        <w:rPr>
          <w:lang w:val="fr-FR"/>
        </w:rPr>
        <w:t xml:space="preserve"> et qui élèvent des rennes dans la taïga, à améliorer leur éducation, leur santé et leur bien-être et à réhabiliter l’élevage des rennes. Suite à la décision gouvernementale 168 de 2013, prise en application du décret, </w:t>
      </w:r>
      <w:r w:rsidRPr="00CB5709">
        <w:rPr>
          <w:lang w:val="fr-FR"/>
        </w:rPr>
        <w:t>369</w:t>
      </w:r>
      <w:r w:rsidR="00BA2E04">
        <w:rPr>
          <w:lang w:val="fr-FR"/>
        </w:rPr>
        <w:t> </w:t>
      </w:r>
      <w:r>
        <w:rPr>
          <w:lang w:val="fr-FR"/>
        </w:rPr>
        <w:t xml:space="preserve">personnes avaient reçu une aide pécuniaire au premier trimestre </w:t>
      </w:r>
      <w:r w:rsidRPr="00CB5709">
        <w:rPr>
          <w:lang w:val="fr-FR"/>
        </w:rPr>
        <w:t>2018</w:t>
      </w:r>
      <w:r>
        <w:rPr>
          <w:lang w:val="fr-FR"/>
        </w:rPr>
        <w:t>. En 2015, 334</w:t>
      </w:r>
      <w:r w:rsidR="00BA2E04">
        <w:rPr>
          <w:lang w:val="fr-FR"/>
        </w:rPr>
        <w:t> </w:t>
      </w:r>
      <w:r>
        <w:rPr>
          <w:lang w:val="fr-FR"/>
        </w:rPr>
        <w:t xml:space="preserve">personnes issues de 94 familles en avaient bénéficié </w:t>
      </w:r>
      <w:r w:rsidRPr="00CA5A44">
        <w:rPr>
          <w:lang w:val="fr-FR"/>
        </w:rPr>
        <w:t xml:space="preserve">(128 </w:t>
      </w:r>
      <w:r>
        <w:rPr>
          <w:lang w:val="fr-FR"/>
        </w:rPr>
        <w:t>enfants et</w:t>
      </w:r>
      <w:r w:rsidRPr="00CA5A44">
        <w:rPr>
          <w:lang w:val="fr-FR"/>
        </w:rPr>
        <w:t xml:space="preserve"> 206 adult</w:t>
      </w:r>
      <w:r>
        <w:rPr>
          <w:lang w:val="fr-FR"/>
        </w:rPr>
        <w:t>e</w:t>
      </w:r>
      <w:r w:rsidRPr="00CA5A44">
        <w:rPr>
          <w:lang w:val="fr-FR"/>
        </w:rPr>
        <w:t>s</w:t>
      </w:r>
      <w:r>
        <w:rPr>
          <w:lang w:val="fr-FR"/>
        </w:rPr>
        <w:t xml:space="preserve">). En 2016, le nombre de bénéficiaires était de </w:t>
      </w:r>
      <w:r w:rsidRPr="00F027F3">
        <w:rPr>
          <w:lang w:val="fr-FR"/>
        </w:rPr>
        <w:t>368 personnes pour</w:t>
      </w:r>
      <w:r>
        <w:rPr>
          <w:lang w:val="fr-FR"/>
        </w:rPr>
        <w:t xml:space="preserve"> 95 famille</w:t>
      </w:r>
      <w:r w:rsidRPr="00F027F3">
        <w:rPr>
          <w:lang w:val="fr-FR"/>
        </w:rPr>
        <w:t xml:space="preserve">s (155 </w:t>
      </w:r>
      <w:r>
        <w:rPr>
          <w:lang w:val="fr-FR"/>
        </w:rPr>
        <w:t>enfants et</w:t>
      </w:r>
      <w:r w:rsidRPr="00CA5A44">
        <w:rPr>
          <w:lang w:val="fr-FR"/>
        </w:rPr>
        <w:t xml:space="preserve"> </w:t>
      </w:r>
      <w:r w:rsidRPr="00F027F3">
        <w:rPr>
          <w:lang w:val="fr-FR"/>
        </w:rPr>
        <w:t>213 adult</w:t>
      </w:r>
      <w:r>
        <w:rPr>
          <w:lang w:val="fr-FR"/>
        </w:rPr>
        <w:t>e</w:t>
      </w:r>
      <w:r w:rsidRPr="00F027F3">
        <w:rPr>
          <w:lang w:val="fr-FR"/>
        </w:rPr>
        <w:t>s)</w:t>
      </w:r>
      <w:r>
        <w:rPr>
          <w:lang w:val="fr-FR"/>
        </w:rPr>
        <w:t xml:space="preserve">, et en 2017, de </w:t>
      </w:r>
      <w:r w:rsidRPr="00F027F3">
        <w:rPr>
          <w:lang w:val="fr-FR"/>
        </w:rPr>
        <w:t>382 personnes.</w:t>
      </w:r>
      <w:r>
        <w:rPr>
          <w:lang w:val="fr-FR"/>
        </w:rPr>
        <w:t xml:space="preserve"> En outre, en 2016 et 2017, 164 personnes au total ont participé à une initiative de l’État destinée à prendre en charge les cotisations de sécurité sociale mensuelles des Tsaatans. Enfin, 36 personnes perçoivent une retraite du fonds de sécurité sociale.</w:t>
      </w:r>
    </w:p>
    <w:p w:rsidR="00C57CC5" w:rsidRPr="006C733D" w:rsidRDefault="00C57CC5" w:rsidP="00006FC1">
      <w:pPr>
        <w:pStyle w:val="SingleTxtG"/>
        <w:keepNext/>
        <w:keepLines/>
        <w:rPr>
          <w:lang w:val="fr-FR"/>
        </w:rPr>
      </w:pPr>
      <w:r w:rsidRPr="009353C7">
        <w:rPr>
          <w:lang w:val="fr-FR"/>
        </w:rPr>
        <w:lastRenderedPageBreak/>
        <w:t>84.</w:t>
      </w:r>
      <w:r w:rsidRPr="009353C7">
        <w:rPr>
          <w:lang w:val="fr-FR"/>
        </w:rPr>
        <w:tab/>
      </w:r>
      <w:r w:rsidRPr="006C733D">
        <w:rPr>
          <w:lang w:val="fr-FR"/>
        </w:rPr>
        <w:t>Tous le</w:t>
      </w:r>
      <w:r>
        <w:rPr>
          <w:lang w:val="fr-FR"/>
        </w:rPr>
        <w:t>s enfants de</w:t>
      </w:r>
      <w:r w:rsidRPr="006C733D">
        <w:rPr>
          <w:lang w:val="fr-FR"/>
        </w:rPr>
        <w:t xml:space="preserve"> familles tsaatan</w:t>
      </w:r>
      <w:r>
        <w:rPr>
          <w:lang w:val="fr-FR"/>
        </w:rPr>
        <w:t>s</w:t>
      </w:r>
      <w:r w:rsidRPr="006C733D">
        <w:rPr>
          <w:lang w:val="fr-FR"/>
        </w:rPr>
        <w:t xml:space="preserve"> reçoivent une allocation, et neu</w:t>
      </w:r>
      <w:r w:rsidR="005B32D3">
        <w:rPr>
          <w:lang w:val="fr-FR"/>
        </w:rPr>
        <w:t>f personnes âgées de plus de 65 </w:t>
      </w:r>
      <w:r w:rsidRPr="006C733D">
        <w:rPr>
          <w:lang w:val="fr-FR"/>
        </w:rPr>
        <w:t>ans bénéficient d’une prestation conformément au paragraphe 3 de l’</w:t>
      </w:r>
      <w:r>
        <w:rPr>
          <w:lang w:val="fr-FR"/>
        </w:rPr>
        <w:t>article 12 de la loi relative aux personnes âgées</w:t>
      </w:r>
      <w:r w:rsidR="009F011D" w:rsidRPr="002A3EE0">
        <w:rPr>
          <w:rStyle w:val="Appelnotedebasdep"/>
        </w:rPr>
        <w:footnoteReference w:id="39"/>
      </w:r>
      <w:r w:rsidR="009F011D">
        <w:rPr>
          <w:lang w:val="fr-FR"/>
        </w:rPr>
        <w:t>.</w:t>
      </w:r>
      <w:r>
        <w:rPr>
          <w:lang w:val="fr-FR"/>
        </w:rPr>
        <w:t xml:space="preserve"> Le tableau ci-après indique les prestations versées.</w:t>
      </w:r>
    </w:p>
    <w:p w:rsidR="00C57CC5" w:rsidRPr="00BA2E04" w:rsidRDefault="00BA2E04" w:rsidP="00BA2E04">
      <w:pPr>
        <w:pStyle w:val="Titre1"/>
        <w:spacing w:after="120"/>
        <w:rPr>
          <w:b/>
          <w:lang w:val="fr-FR"/>
        </w:rPr>
      </w:pPr>
      <w:r>
        <w:rPr>
          <w:lang w:val="fr-FR"/>
        </w:rPr>
        <w:t>Figure 3</w:t>
      </w:r>
      <w:r>
        <w:rPr>
          <w:lang w:val="fr-FR"/>
        </w:rPr>
        <w:br/>
      </w:r>
      <w:r w:rsidR="00C57CC5" w:rsidRPr="00BA2E04">
        <w:rPr>
          <w:b/>
          <w:lang w:val="fr-FR"/>
        </w:rPr>
        <w:t xml:space="preserve">Prestations versées aux Tsaatans </w:t>
      </w:r>
    </w:p>
    <w:p w:rsidR="00C57CC5" w:rsidRDefault="009F3C85" w:rsidP="00C57CC5">
      <w:pPr>
        <w:pStyle w:val="SingleTxtG"/>
        <w:rPr>
          <w:b/>
          <w:bCs/>
        </w:rPr>
      </w:pPr>
      <w:r>
        <w:rPr>
          <w:b/>
          <w:bCs/>
          <w:noProof/>
          <w:lang w:eastAsia="fr-CH"/>
        </w:rPr>
        <mc:AlternateContent>
          <mc:Choice Requires="wps">
            <w:drawing>
              <wp:anchor distT="0" distB="0" distL="114300" distR="114300" simplePos="0" relativeHeight="251674624" behindDoc="0" locked="0" layoutInCell="1" allowOverlap="1" wp14:anchorId="5AB4EF3A" wp14:editId="6A4A5870">
                <wp:simplePos x="0" y="0"/>
                <wp:positionH relativeFrom="column">
                  <wp:posOffset>946785</wp:posOffset>
                </wp:positionH>
                <wp:positionV relativeFrom="paragraph">
                  <wp:posOffset>1322705</wp:posOffset>
                </wp:positionV>
                <wp:extent cx="428625" cy="142875"/>
                <wp:effectExtent l="0" t="0" r="9525" b="9525"/>
                <wp:wrapNone/>
                <wp:docPr id="11" name="Zone de texte 11"/>
                <wp:cNvGraphicFramePr/>
                <a:graphic xmlns:a="http://schemas.openxmlformats.org/drawingml/2006/main">
                  <a:graphicData uri="http://schemas.microsoft.com/office/word/2010/wordprocessingShape">
                    <wps:wsp>
                      <wps:cNvSpPr txBox="1"/>
                      <wps:spPr>
                        <a:xfrm>
                          <a:off x="0" y="0"/>
                          <a:ext cx="428625" cy="142875"/>
                        </a:xfrm>
                        <a:prstGeom prst="rect">
                          <a:avLst/>
                        </a:prstGeom>
                        <a:solidFill>
                          <a:schemeClr val="lt1"/>
                        </a:solidFill>
                        <a:ln w="6350">
                          <a:noFill/>
                        </a:ln>
                      </wps:spPr>
                      <wps:txbx>
                        <w:txbxContent>
                          <w:p w:rsidR="000637C3" w:rsidRPr="00C6047F" w:rsidRDefault="000637C3" w:rsidP="000637C3">
                            <w:pPr>
                              <w:spacing w:line="180" w:lineRule="exact"/>
                              <w:rPr>
                                <w:sz w:val="16"/>
                                <w:szCs w:val="16"/>
                              </w:rPr>
                            </w:pPr>
                            <w:r>
                              <w:rPr>
                                <w:sz w:val="16"/>
                                <w:szCs w:val="16"/>
                              </w:rPr>
                              <w:t>Personn</w:t>
                            </w:r>
                            <w:r w:rsidRPr="00C6047F">
                              <w:rPr>
                                <w:sz w:val="16"/>
                                <w:szCs w:val="16"/>
                              </w:rPr>
                              <w: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4EF3A" id="Zone de texte 11" o:spid="_x0000_s1027" type="#_x0000_t202" style="position:absolute;left:0;text-align:left;margin-left:74.55pt;margin-top:104.15pt;width:33.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" fillcolor="white [3201]" stroked="f" strokeweight=".5pt">
                <v:textbox inset="0,0,0,0">
                  <w:txbxContent>
                    <w:p w:rsidR="000637C3" w:rsidRPr="00C6047F" w:rsidRDefault="000637C3" w:rsidP="000637C3">
                      <w:pPr>
                        <w:spacing w:line="180" w:lineRule="exact"/>
                        <w:rPr>
                          <w:sz w:val="16"/>
                          <w:szCs w:val="16"/>
                        </w:rPr>
                      </w:pPr>
                      <w:r>
                        <w:rPr>
                          <w:sz w:val="16"/>
                          <w:szCs w:val="16"/>
                        </w:rPr>
                        <w:t>Personn</w:t>
                      </w:r>
                      <w:r w:rsidRPr="00C6047F">
                        <w:rPr>
                          <w:sz w:val="16"/>
                          <w:szCs w:val="16"/>
                        </w:rPr>
                        <w:t>es</w:t>
                      </w:r>
                    </w:p>
                  </w:txbxContent>
                </v:textbox>
              </v:shape>
            </w:pict>
          </mc:Fallback>
        </mc:AlternateContent>
      </w:r>
      <w:r w:rsidR="000637C3">
        <w:rPr>
          <w:b/>
          <w:bCs/>
          <w:noProof/>
          <w:lang w:eastAsia="fr-CH"/>
        </w:rPr>
        <mc:AlternateContent>
          <mc:Choice Requires="wps">
            <w:drawing>
              <wp:anchor distT="0" distB="0" distL="114300" distR="114300" simplePos="0" relativeHeight="251678720" behindDoc="0" locked="0" layoutInCell="1" allowOverlap="1" wp14:anchorId="6896EB9E" wp14:editId="00D9FC32">
                <wp:simplePos x="0" y="0"/>
                <wp:positionH relativeFrom="column">
                  <wp:posOffset>946785</wp:posOffset>
                </wp:positionH>
                <wp:positionV relativeFrom="paragraph">
                  <wp:posOffset>1494155</wp:posOffset>
                </wp:positionV>
                <wp:extent cx="590550" cy="1333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90550" cy="133350"/>
                        </a:xfrm>
                        <a:prstGeom prst="rect">
                          <a:avLst/>
                        </a:prstGeom>
                        <a:solidFill>
                          <a:schemeClr val="lt1"/>
                        </a:solidFill>
                        <a:ln w="6350">
                          <a:noFill/>
                        </a:ln>
                      </wps:spPr>
                      <wps:txbx>
                        <w:txbxContent>
                          <w:p w:rsidR="000637C3" w:rsidRPr="00C6047F" w:rsidRDefault="000637C3" w:rsidP="000637C3">
                            <w:pPr>
                              <w:spacing w:line="180" w:lineRule="exact"/>
                              <w:rPr>
                                <w:sz w:val="16"/>
                                <w:szCs w:val="16"/>
                              </w:rPr>
                            </w:pPr>
                            <w:r>
                              <w:rPr>
                                <w:sz w:val="16"/>
                                <w:szCs w:val="16"/>
                              </w:rPr>
                              <w:t>Montant 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EB9E" id="Zone de texte 12" o:spid="_x0000_s1028" type="#_x0000_t202" style="position:absolute;left:0;text-align:left;margin-left:74.55pt;margin-top:117.65pt;width:46.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" fillcolor="white [3201]" stroked="f" strokeweight=".5pt">
                <v:textbox inset="0,0,0,0">
                  <w:txbxContent>
                    <w:p w:rsidR="000637C3" w:rsidRPr="00C6047F" w:rsidRDefault="000637C3" w:rsidP="000637C3">
                      <w:pPr>
                        <w:spacing w:line="180" w:lineRule="exact"/>
                        <w:rPr>
                          <w:sz w:val="16"/>
                          <w:szCs w:val="16"/>
                        </w:rPr>
                      </w:pPr>
                      <w:r>
                        <w:rPr>
                          <w:sz w:val="16"/>
                          <w:szCs w:val="16"/>
                        </w:rPr>
                        <w:t>Montant total</w:t>
                      </w:r>
                    </w:p>
                  </w:txbxContent>
                </v:textbox>
              </v:shape>
            </w:pict>
          </mc:Fallback>
        </mc:AlternateContent>
      </w:r>
      <w:r w:rsidR="00C6047F">
        <w:rPr>
          <w:b/>
          <w:bCs/>
          <w:noProof/>
          <w:lang w:eastAsia="fr-CH"/>
        </w:rPr>
        <mc:AlternateContent>
          <mc:Choice Requires="wps">
            <w:drawing>
              <wp:anchor distT="0" distB="0" distL="114300" distR="114300" simplePos="0" relativeHeight="251669504" behindDoc="0" locked="0" layoutInCell="1" allowOverlap="1" wp14:anchorId="2CC2654F" wp14:editId="38B565BC">
                <wp:simplePos x="0" y="0"/>
                <wp:positionH relativeFrom="column">
                  <wp:posOffset>946785</wp:posOffset>
                </wp:positionH>
                <wp:positionV relativeFrom="paragraph">
                  <wp:posOffset>1160780</wp:posOffset>
                </wp:positionV>
                <wp:extent cx="390525" cy="13335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390525" cy="133350"/>
                        </a:xfrm>
                        <a:prstGeom prst="rect">
                          <a:avLst/>
                        </a:prstGeom>
                        <a:solidFill>
                          <a:schemeClr val="lt1"/>
                        </a:solidFill>
                        <a:ln w="6350">
                          <a:noFill/>
                        </a:ln>
                      </wps:spPr>
                      <wps:txbx>
                        <w:txbxContent>
                          <w:p w:rsidR="00C6047F" w:rsidRPr="00C6047F" w:rsidRDefault="00C6047F" w:rsidP="00C6047F">
                            <w:pPr>
                              <w:spacing w:line="180" w:lineRule="exact"/>
                              <w:rPr>
                                <w:sz w:val="16"/>
                                <w:szCs w:val="16"/>
                              </w:rPr>
                            </w:pPr>
                            <w:r w:rsidRPr="00C6047F">
                              <w:rPr>
                                <w:sz w:val="16"/>
                                <w:szCs w:val="16"/>
                              </w:rPr>
                              <w:t>Familles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654F" id="Zone de texte 10" o:spid="_x0000_s1029" type="#_x0000_t202" style="position:absolute;left:0;text-align:left;margin-left:74.55pt;margin-top:91.4pt;width:30.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" fillcolor="white [3201]" stroked="f" strokeweight=".5pt">
                <v:textbox inset="0,0,0,0">
                  <w:txbxContent>
                    <w:p w:rsidR="00C6047F" w:rsidRPr="00C6047F" w:rsidRDefault="00C6047F" w:rsidP="00C6047F">
                      <w:pPr>
                        <w:spacing w:line="180" w:lineRule="exact"/>
                        <w:rPr>
                          <w:sz w:val="16"/>
                          <w:szCs w:val="16"/>
                        </w:rPr>
                      </w:pPr>
                      <w:r w:rsidRPr="00C6047F">
                        <w:rPr>
                          <w:sz w:val="16"/>
                          <w:szCs w:val="16"/>
                        </w:rPr>
                        <w:t>Familles</w:t>
                      </w:r>
                    </w:p>
                  </w:txbxContent>
                </v:textbox>
              </v:shape>
            </w:pict>
          </mc:Fallback>
        </mc:AlternateContent>
      </w:r>
      <w:r w:rsidR="00C02C42">
        <w:rPr>
          <w:b/>
          <w:bCs/>
          <w:noProof/>
          <w:lang w:eastAsia="fr-CH"/>
        </w:rPr>
        <mc:AlternateContent>
          <mc:Choice Requires="wps">
            <w:drawing>
              <wp:anchor distT="0" distB="0" distL="114300" distR="114300" simplePos="0" relativeHeight="251665408" behindDoc="0" locked="0" layoutInCell="1" allowOverlap="1" wp14:anchorId="220CB591" wp14:editId="5C9E2E1A">
                <wp:simplePos x="0" y="0"/>
                <wp:positionH relativeFrom="column">
                  <wp:posOffset>3823335</wp:posOffset>
                </wp:positionH>
                <wp:positionV relativeFrom="paragraph">
                  <wp:posOffset>1713230</wp:posOffset>
                </wp:positionV>
                <wp:extent cx="762000" cy="1714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762000" cy="171450"/>
                        </a:xfrm>
                        <a:prstGeom prst="rect">
                          <a:avLst/>
                        </a:prstGeom>
                        <a:solidFill>
                          <a:schemeClr val="lt1"/>
                        </a:solidFill>
                        <a:ln w="6350">
                          <a:noFill/>
                        </a:ln>
                      </wps:spPr>
                      <wps:txbx>
                        <w:txbxContent>
                          <w:p w:rsidR="00C02C42" w:rsidRDefault="00C02C42" w:rsidP="00C02C42">
                            <w:r>
                              <w:t>Montant 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B591" id="Zone de texte 9" o:spid="_x0000_s1030" type="#_x0000_t202" style="position:absolute;left:0;text-align:left;margin-left:301.05pt;margin-top:134.9pt;width:60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" fillcolor="white [3201]" stroked="f" strokeweight=".5pt">
                <v:textbox inset="0,0,0,0">
                  <w:txbxContent>
                    <w:p w:rsidR="00C02C42" w:rsidRDefault="00C02C42" w:rsidP="00C02C42">
                      <w:r>
                        <w:t>Montant total</w:t>
                      </w:r>
                    </w:p>
                  </w:txbxContent>
                </v:textbox>
              </v:shape>
            </w:pict>
          </mc:Fallback>
        </mc:AlternateContent>
      </w:r>
      <w:r w:rsidR="00C02C42">
        <w:rPr>
          <w:b/>
          <w:bCs/>
          <w:noProof/>
          <w:lang w:eastAsia="fr-CH"/>
        </w:rPr>
        <mc:AlternateContent>
          <mc:Choice Requires="wps">
            <w:drawing>
              <wp:anchor distT="0" distB="0" distL="114300" distR="114300" simplePos="0" relativeHeight="251656192" behindDoc="0" locked="0" layoutInCell="1" allowOverlap="1" wp14:anchorId="3B5B7EA7" wp14:editId="40169307">
                <wp:simplePos x="0" y="0"/>
                <wp:positionH relativeFrom="column">
                  <wp:posOffset>3137535</wp:posOffset>
                </wp:positionH>
                <wp:positionV relativeFrom="paragraph">
                  <wp:posOffset>1712595</wp:posOffset>
                </wp:positionV>
                <wp:extent cx="571500" cy="1619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571500" cy="161925"/>
                        </a:xfrm>
                        <a:prstGeom prst="rect">
                          <a:avLst/>
                        </a:prstGeom>
                        <a:solidFill>
                          <a:schemeClr val="lt1"/>
                        </a:solidFill>
                        <a:ln w="6350">
                          <a:noFill/>
                        </a:ln>
                      </wps:spPr>
                      <wps:txbx>
                        <w:txbxContent>
                          <w:p w:rsidR="00C02C42" w:rsidRDefault="00C02C42" w:rsidP="00C02C42">
                            <w:r>
                              <w:t>Personnes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7EA7" id="Zone de texte 8" o:spid="_x0000_s1031" type="#_x0000_t202" style="position:absolute;left:0;text-align:left;margin-left:247.05pt;margin-top:134.85pt;width:4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" fillcolor="white [3201]" stroked="f" strokeweight=".5pt">
                <v:textbox inset="0,0,0,0">
                  <w:txbxContent>
                    <w:p w:rsidR="00C02C42" w:rsidRDefault="00C02C42" w:rsidP="00C02C42">
                      <w:r>
                        <w:t>Personnes</w:t>
                      </w:r>
                    </w:p>
                  </w:txbxContent>
                </v:textbox>
              </v:shape>
            </w:pict>
          </mc:Fallback>
        </mc:AlternateContent>
      </w:r>
      <w:r w:rsidR="00C02C42">
        <w:rPr>
          <w:b/>
          <w:bCs/>
          <w:noProof/>
          <w:lang w:eastAsia="fr-CH"/>
        </w:rPr>
        <mc:AlternateContent>
          <mc:Choice Requires="wps">
            <w:drawing>
              <wp:anchor distT="0" distB="0" distL="114300" distR="114300" simplePos="0" relativeHeight="251648000" behindDoc="0" locked="0" layoutInCell="1" allowOverlap="1" wp14:anchorId="3D133C86" wp14:editId="2605B760">
                <wp:simplePos x="0" y="0"/>
                <wp:positionH relativeFrom="column">
                  <wp:posOffset>2480310</wp:posOffset>
                </wp:positionH>
                <wp:positionV relativeFrom="paragraph">
                  <wp:posOffset>1712595</wp:posOffset>
                </wp:positionV>
                <wp:extent cx="504825" cy="1619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504825" cy="161925"/>
                        </a:xfrm>
                        <a:prstGeom prst="rect">
                          <a:avLst/>
                        </a:prstGeom>
                        <a:solidFill>
                          <a:schemeClr val="lt1"/>
                        </a:solidFill>
                        <a:ln w="6350">
                          <a:noFill/>
                        </a:ln>
                      </wps:spPr>
                      <wps:txbx>
                        <w:txbxContent>
                          <w:p w:rsidR="00C02C42" w:rsidRDefault="00C02C42">
                            <w:r>
                              <w:t>Familles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33C86" id="Zone de texte 7" o:spid="_x0000_s1032" type="#_x0000_t202" style="position:absolute;left:0;text-align:left;margin-left:195.3pt;margin-top:134.85pt;width:39.7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" fillcolor="white [3201]" stroked="f" strokeweight=".5pt">
                <v:textbox inset="0,0,0,0">
                  <w:txbxContent>
                    <w:p w:rsidR="00C02C42" w:rsidRDefault="00C02C42">
                      <w:r>
                        <w:t>Familles</w:t>
                      </w:r>
                    </w:p>
                  </w:txbxContent>
                </v:textbox>
              </v:shape>
            </w:pict>
          </mc:Fallback>
        </mc:AlternateContent>
      </w:r>
      <w:r w:rsidR="00C57CC5" w:rsidRPr="002A3EE0">
        <w:rPr>
          <w:noProof/>
          <w:lang w:eastAsia="fr-CH"/>
        </w:rPr>
        <w:drawing>
          <wp:inline distT="0" distB="0" distL="0" distR="0" wp14:anchorId="4458976C" wp14:editId="15B5D0E5">
            <wp:extent cx="5328700" cy="2000816"/>
            <wp:effectExtent l="0" t="0" r="24765" b="1905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7CC5" w:rsidRPr="004D315D" w:rsidRDefault="00C57CC5" w:rsidP="00C57CC5">
      <w:pPr>
        <w:spacing w:before="120" w:after="240"/>
        <w:ind w:left="1134" w:right="1134" w:firstLine="170"/>
        <w:rPr>
          <w:sz w:val="18"/>
          <w:lang w:val="fr-FR"/>
        </w:rPr>
      </w:pPr>
      <w:r w:rsidRPr="004D315D">
        <w:rPr>
          <w:i/>
          <w:iCs/>
          <w:sz w:val="18"/>
          <w:lang w:val="fr-FR"/>
        </w:rPr>
        <w:t>Source</w:t>
      </w:r>
      <w:r>
        <w:rPr>
          <w:i/>
          <w:iCs/>
          <w:sz w:val="18"/>
          <w:lang w:val="fr-FR"/>
        </w:rPr>
        <w:t> </w:t>
      </w:r>
      <w:r>
        <w:rPr>
          <w:sz w:val="18"/>
          <w:lang w:val="fr-FR"/>
        </w:rPr>
        <w:t>:</w:t>
      </w:r>
      <w:r w:rsidRPr="004D315D">
        <w:rPr>
          <w:sz w:val="18"/>
          <w:lang w:val="fr-FR"/>
        </w:rPr>
        <w:t xml:space="preserve"> Bureau national de statistique.</w:t>
      </w:r>
      <w:r w:rsidR="00C6047F" w:rsidRPr="00C6047F">
        <w:rPr>
          <w:b/>
          <w:bCs/>
          <w:noProof/>
          <w:lang w:eastAsia="fr-CH"/>
        </w:rPr>
        <w:t xml:space="preserve"> </w:t>
      </w:r>
    </w:p>
    <w:p w:rsidR="00C57CC5" w:rsidRPr="00C77CB6" w:rsidRDefault="00C57CC5" w:rsidP="00C57CC5">
      <w:pPr>
        <w:pStyle w:val="SingleTxtG"/>
        <w:rPr>
          <w:lang w:val="fr-FR"/>
        </w:rPr>
      </w:pPr>
      <w:r w:rsidRPr="00A93F6B">
        <w:rPr>
          <w:lang w:val="fr-FR"/>
        </w:rPr>
        <w:t>85.</w:t>
      </w:r>
      <w:r w:rsidRPr="00A93F6B">
        <w:rPr>
          <w:lang w:val="fr-FR"/>
        </w:rPr>
        <w:tab/>
      </w:r>
      <w:r w:rsidRPr="005D0267">
        <w:rPr>
          <w:lang w:val="fr-FR"/>
        </w:rPr>
        <w:t>On considère</w:t>
      </w:r>
      <w:r w:rsidRPr="00C77CB6">
        <w:rPr>
          <w:lang w:val="fr-FR"/>
        </w:rPr>
        <w:t xml:space="preserve"> que le bien-être des Tsaatan</w:t>
      </w:r>
      <w:r>
        <w:rPr>
          <w:lang w:val="fr-FR"/>
        </w:rPr>
        <w:t>s</w:t>
      </w:r>
      <w:r w:rsidRPr="00C77CB6">
        <w:rPr>
          <w:lang w:val="fr-FR"/>
        </w:rPr>
        <w:t xml:space="preserve"> </w:t>
      </w:r>
      <w:r>
        <w:rPr>
          <w:lang w:val="fr-FR"/>
        </w:rPr>
        <w:t xml:space="preserve">qui vivent dans la taïga </w:t>
      </w:r>
      <w:r w:rsidRPr="00C77CB6">
        <w:rPr>
          <w:lang w:val="fr-FR"/>
        </w:rPr>
        <w:t xml:space="preserve">s’est amélioré de façon spectaculaire depuis que le </w:t>
      </w:r>
      <w:r>
        <w:rPr>
          <w:lang w:val="fr-FR"/>
        </w:rPr>
        <w:t>Gouvernement</w:t>
      </w:r>
      <w:r w:rsidRPr="00C77CB6">
        <w:rPr>
          <w:lang w:val="fr-FR"/>
        </w:rPr>
        <w:t xml:space="preserve"> a commencé à leur </w:t>
      </w:r>
      <w:r>
        <w:rPr>
          <w:lang w:val="fr-FR"/>
        </w:rPr>
        <w:t xml:space="preserve">accorder </w:t>
      </w:r>
      <w:r w:rsidRPr="00C77CB6">
        <w:rPr>
          <w:lang w:val="fr-FR"/>
        </w:rPr>
        <w:t>une a</w:t>
      </w:r>
      <w:r>
        <w:rPr>
          <w:lang w:val="fr-FR"/>
        </w:rPr>
        <w:t xml:space="preserve">ide mensuelle et </w:t>
      </w:r>
      <w:r w:rsidRPr="00C77CB6">
        <w:rPr>
          <w:lang w:val="fr-FR"/>
        </w:rPr>
        <w:t xml:space="preserve">à </w:t>
      </w:r>
      <w:r>
        <w:rPr>
          <w:lang w:val="fr-FR"/>
        </w:rPr>
        <w:t>prendre en charge</w:t>
      </w:r>
      <w:r w:rsidRPr="00C77CB6">
        <w:rPr>
          <w:lang w:val="fr-FR"/>
        </w:rPr>
        <w:t xml:space="preserve"> leurs cotisations de sécurité sociale</w:t>
      </w:r>
      <w:r w:rsidRPr="008D01C9">
        <w:rPr>
          <w:lang w:val="fr-FR"/>
        </w:rPr>
        <w:t xml:space="preserve"> </w:t>
      </w:r>
      <w:r w:rsidRPr="00C77CB6">
        <w:rPr>
          <w:lang w:val="fr-FR"/>
        </w:rPr>
        <w:t>mensuelles</w:t>
      </w:r>
      <w:r>
        <w:rPr>
          <w:lang w:val="fr-FR"/>
        </w:rPr>
        <w:t>, et depuis leur inscription à la sécurité sociale.</w:t>
      </w:r>
      <w:r w:rsidR="000637C3" w:rsidRPr="000637C3">
        <w:rPr>
          <w:b/>
          <w:bCs/>
          <w:noProof/>
          <w:lang w:eastAsia="fr-CH"/>
        </w:rPr>
        <w:t xml:space="preserve"> </w:t>
      </w:r>
    </w:p>
    <w:p w:rsidR="00C57CC5" w:rsidRPr="00F1097B" w:rsidRDefault="00C57CC5" w:rsidP="00C57CC5">
      <w:pPr>
        <w:pStyle w:val="SingleTxtG"/>
        <w:rPr>
          <w:lang w:val="fr-FR"/>
        </w:rPr>
      </w:pPr>
      <w:r w:rsidRPr="00397CC1">
        <w:rPr>
          <w:lang w:val="fr-FR"/>
        </w:rPr>
        <w:t>86.</w:t>
      </w:r>
      <w:r w:rsidRPr="00397CC1">
        <w:rPr>
          <w:lang w:val="fr-FR"/>
        </w:rPr>
        <w:tab/>
      </w:r>
      <w:r w:rsidRPr="00F1097B">
        <w:rPr>
          <w:lang w:val="fr-FR"/>
        </w:rPr>
        <w:t>Suite à l’octroi d’avantages qui ont une incidence sur leurs conditions de vie</w:t>
      </w:r>
      <w:r>
        <w:rPr>
          <w:lang w:val="fr-FR"/>
        </w:rPr>
        <w:t> : 1) les Tsaatans peuvent s’inscrire en bonne et due</w:t>
      </w:r>
      <w:bookmarkStart w:id="0" w:name="_GoBack"/>
      <w:bookmarkEnd w:id="0"/>
      <w:r>
        <w:rPr>
          <w:lang w:val="fr-FR"/>
        </w:rPr>
        <w:t xml:space="preserve"> forme à l’assurance sociale et bénéficier de ses services et de ses prestations pour la retraite, ou encore en cas d’incapacité de travail et de décès ou de naissance d’un enfant ; 2) comme ils peuvent se procurer des denrées alimentaires autres que la viande de renne, le nombre de rennes a augmenté. De</w:t>
      </w:r>
      <w:r w:rsidR="009F3C85">
        <w:rPr>
          <w:lang w:val="fr-FR"/>
        </w:rPr>
        <w:t xml:space="preserve"> 1 </w:t>
      </w:r>
      <w:r w:rsidRPr="00F1097B">
        <w:rPr>
          <w:lang w:val="fr-FR"/>
        </w:rPr>
        <w:t>705 en</w:t>
      </w:r>
      <w:r w:rsidR="009F3C85">
        <w:rPr>
          <w:lang w:val="fr-FR"/>
        </w:rPr>
        <w:t> </w:t>
      </w:r>
      <w:r w:rsidRPr="00F1097B">
        <w:rPr>
          <w:lang w:val="fr-FR"/>
        </w:rPr>
        <w:t xml:space="preserve">2014, </w:t>
      </w:r>
      <w:r w:rsidR="009F3C85">
        <w:rPr>
          <w:lang w:val="fr-FR"/>
        </w:rPr>
        <w:t>il est passé à 1 </w:t>
      </w:r>
      <w:r>
        <w:rPr>
          <w:lang w:val="fr-FR"/>
        </w:rPr>
        <w:t>823 e</w:t>
      </w:r>
      <w:r w:rsidRPr="00F1097B">
        <w:rPr>
          <w:lang w:val="fr-FR"/>
        </w:rPr>
        <w:t xml:space="preserve">n 2015 </w:t>
      </w:r>
      <w:r w:rsidR="009F3C85">
        <w:rPr>
          <w:lang w:val="fr-FR"/>
        </w:rPr>
        <w:t>et à 2 </w:t>
      </w:r>
      <w:r>
        <w:rPr>
          <w:lang w:val="fr-FR"/>
        </w:rPr>
        <w:t>119 e</w:t>
      </w:r>
      <w:r w:rsidRPr="00F1097B">
        <w:rPr>
          <w:lang w:val="fr-FR"/>
        </w:rPr>
        <w:t>n 2016</w:t>
      </w:r>
      <w:r>
        <w:rPr>
          <w:lang w:val="fr-FR"/>
        </w:rPr>
        <w:t> ; 3) le braconnage et la pratique du pâturage ont cessé ; 4) les Tsaatans ont commencé à placer l’argent perçu au titre de l’allocation pour enfants sur des comptes d’épargne au lieu de l’utiliser pour leurs frais de subsistance.</w:t>
      </w:r>
    </w:p>
    <w:p w:rsidR="00C57CC5" w:rsidRPr="0044239F" w:rsidRDefault="00C57CC5" w:rsidP="00C57CC5">
      <w:pPr>
        <w:pStyle w:val="SingleTxtG"/>
        <w:rPr>
          <w:lang w:val="fr-FR"/>
        </w:rPr>
      </w:pPr>
      <w:r w:rsidRPr="00BC73B8">
        <w:rPr>
          <w:lang w:val="fr-FR"/>
        </w:rPr>
        <w:t>87.</w:t>
      </w:r>
      <w:r w:rsidRPr="00BC73B8">
        <w:rPr>
          <w:lang w:val="fr-FR"/>
        </w:rPr>
        <w:tab/>
      </w:r>
      <w:r>
        <w:rPr>
          <w:lang w:val="fr-FR"/>
        </w:rPr>
        <w:t>L</w:t>
      </w:r>
      <w:r w:rsidRPr="0044239F">
        <w:rPr>
          <w:lang w:val="fr-FR"/>
        </w:rPr>
        <w:t xml:space="preserve">’extraction illégale des ressources naturelles des </w:t>
      </w:r>
      <w:r w:rsidRPr="005C06E9">
        <w:rPr>
          <w:i/>
          <w:lang w:val="fr-FR"/>
        </w:rPr>
        <w:t>soums</w:t>
      </w:r>
      <w:r w:rsidRPr="0044239F">
        <w:rPr>
          <w:lang w:val="fr-FR"/>
        </w:rPr>
        <w:t xml:space="preserve"> de la province </w:t>
      </w:r>
      <w:r>
        <w:rPr>
          <w:lang w:val="fr-FR"/>
        </w:rPr>
        <w:t xml:space="preserve">de </w:t>
      </w:r>
      <w:r w:rsidRPr="0044239F">
        <w:rPr>
          <w:lang w:val="fr-FR"/>
        </w:rPr>
        <w:t>Khuvsgul</w:t>
      </w:r>
      <w:r>
        <w:rPr>
          <w:lang w:val="fr-FR"/>
        </w:rPr>
        <w:t>, où vivent les Tsaatans, était un problème en 2012, mais il a été définitivement mis à cette pratique.</w:t>
      </w:r>
    </w:p>
    <w:p w:rsidR="00C57CC5" w:rsidRPr="00182C3C" w:rsidRDefault="00C57CC5" w:rsidP="00C57CC5">
      <w:pPr>
        <w:pStyle w:val="SingleTxtG"/>
        <w:rPr>
          <w:lang w:val="fr-FR"/>
        </w:rPr>
      </w:pPr>
      <w:r w:rsidRPr="00182E55">
        <w:rPr>
          <w:lang w:val="fr-FR"/>
        </w:rPr>
        <w:t>88.</w:t>
      </w:r>
      <w:r w:rsidRPr="00182E55">
        <w:rPr>
          <w:lang w:val="fr-FR"/>
        </w:rPr>
        <w:tab/>
      </w:r>
      <w:r w:rsidRPr="00182C3C">
        <w:rPr>
          <w:lang w:val="fr-FR"/>
        </w:rPr>
        <w:t xml:space="preserve">Une disposition visant à garantir la jouissance </w:t>
      </w:r>
      <w:r>
        <w:rPr>
          <w:lang w:val="fr-FR"/>
        </w:rPr>
        <w:t>et</w:t>
      </w:r>
      <w:r w:rsidRPr="00182C3C">
        <w:rPr>
          <w:lang w:val="fr-FR"/>
        </w:rPr>
        <w:t xml:space="preserve"> l’exercice, dans des conditions d’égalité</w:t>
      </w:r>
      <w:r>
        <w:rPr>
          <w:lang w:val="fr-FR"/>
        </w:rPr>
        <w:t>,</w:t>
      </w:r>
      <w:r w:rsidRPr="003A360B">
        <w:rPr>
          <w:lang w:val="fr-FR"/>
        </w:rPr>
        <w:t xml:space="preserve"> </w:t>
      </w:r>
      <w:r>
        <w:rPr>
          <w:lang w:val="fr-FR"/>
        </w:rPr>
        <w:t>des droits de l’homme et des libertés fondamentales</w:t>
      </w:r>
      <w:r w:rsidRPr="00182C3C">
        <w:rPr>
          <w:lang w:val="fr-FR"/>
        </w:rPr>
        <w:t xml:space="preserve">, </w:t>
      </w:r>
      <w:r>
        <w:rPr>
          <w:lang w:val="fr-FR"/>
        </w:rPr>
        <w:t xml:space="preserve">et à assurer comme il convient le progrès de groupes raciaux et ethniques, de groupes sociaux et de leurs membres, a été incluse dans l’accord de coopération entre le </w:t>
      </w:r>
      <w:r w:rsidRPr="00E4356D">
        <w:rPr>
          <w:lang w:val="fr-FR"/>
        </w:rPr>
        <w:t>Ministère des mines et de l’industrie lourde</w:t>
      </w:r>
      <w:r>
        <w:rPr>
          <w:lang w:val="fr-FR"/>
        </w:rPr>
        <w:t xml:space="preserve"> et le Conseil professionnel des minerais, ainsi que dans l’accord trilatéral sur le travail et la société, passé entre le secteur des ressources géologiques, le secteur des ressources minières et le secteur de l’industrie lourde. Des discussions sont en cours avec les parties intéressées pour appliquer cette disposition à l’échelle de ces secteurs.</w:t>
      </w:r>
    </w:p>
    <w:p w:rsidR="00C57CC5" w:rsidRPr="006159E4" w:rsidRDefault="00C57CC5" w:rsidP="009F3C85">
      <w:pPr>
        <w:pStyle w:val="HChG"/>
        <w:rPr>
          <w:lang w:val="fr-FR"/>
        </w:rPr>
      </w:pPr>
      <w:r w:rsidRPr="00182C3C">
        <w:rPr>
          <w:lang w:val="fr-FR"/>
        </w:rPr>
        <w:tab/>
      </w:r>
      <w:r w:rsidRPr="006159E4">
        <w:rPr>
          <w:lang w:val="fr-FR"/>
        </w:rPr>
        <w:t>III.</w:t>
      </w:r>
      <w:r w:rsidRPr="006159E4">
        <w:rPr>
          <w:lang w:val="fr-FR"/>
        </w:rPr>
        <w:tab/>
        <w:t>Conclusion</w:t>
      </w:r>
    </w:p>
    <w:p w:rsidR="00984B29" w:rsidRDefault="00C57CC5" w:rsidP="00C57CC5">
      <w:pPr>
        <w:pStyle w:val="SingleTxtG"/>
        <w:rPr>
          <w:lang w:val="fr-FR"/>
        </w:rPr>
      </w:pPr>
      <w:r w:rsidRPr="00286425">
        <w:rPr>
          <w:lang w:val="fr-FR"/>
        </w:rPr>
        <w:t>89.</w:t>
      </w:r>
      <w:r w:rsidRPr="00286425">
        <w:rPr>
          <w:lang w:val="fr-FR"/>
        </w:rPr>
        <w:tab/>
      </w:r>
      <w:r>
        <w:rPr>
          <w:lang w:val="fr-FR"/>
        </w:rPr>
        <w:t>Le G</w:t>
      </w:r>
      <w:r w:rsidRPr="00286425">
        <w:rPr>
          <w:lang w:val="fr-FR"/>
        </w:rPr>
        <w:t xml:space="preserve">ouvernement mongol souligne </w:t>
      </w:r>
      <w:r>
        <w:rPr>
          <w:lang w:val="fr-FR"/>
        </w:rPr>
        <w:t>l</w:t>
      </w:r>
      <w:r w:rsidRPr="00286425">
        <w:rPr>
          <w:lang w:val="fr-FR"/>
        </w:rPr>
        <w:t>es efforts considérables qu’il déploie pour appliquer des mesures et organiser des activités tendant à donner effet aux dispositions de la Convention.</w:t>
      </w:r>
    </w:p>
    <w:p w:rsidR="009F3C85" w:rsidRPr="009F3C85" w:rsidRDefault="009F3C85" w:rsidP="009F3C85">
      <w:pPr>
        <w:pStyle w:val="SingleTxtG"/>
        <w:spacing w:before="240" w:after="0"/>
        <w:jc w:val="center"/>
        <w:rPr>
          <w:u w:val="single"/>
        </w:rPr>
      </w:pPr>
      <w:r>
        <w:rPr>
          <w:u w:val="single"/>
        </w:rPr>
        <w:tab/>
      </w:r>
      <w:r>
        <w:rPr>
          <w:u w:val="single"/>
        </w:rPr>
        <w:tab/>
      </w:r>
      <w:r>
        <w:rPr>
          <w:u w:val="single"/>
        </w:rPr>
        <w:tab/>
      </w:r>
    </w:p>
    <w:sectPr w:rsidR="009F3C85" w:rsidRPr="009F3C85" w:rsidSect="00CB24E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03" w:rsidRDefault="00B32703" w:rsidP="00F95C08">
      <w:pPr>
        <w:spacing w:line="240" w:lineRule="auto"/>
      </w:pPr>
    </w:p>
  </w:endnote>
  <w:endnote w:type="continuationSeparator" w:id="0">
    <w:p w:rsidR="00B32703" w:rsidRPr="00AC3823" w:rsidRDefault="00B32703" w:rsidP="00AC3823">
      <w:pPr>
        <w:pStyle w:val="Pieddepage"/>
      </w:pPr>
    </w:p>
  </w:endnote>
  <w:endnote w:type="continuationNotice" w:id="1">
    <w:p w:rsidR="00B32703" w:rsidRDefault="00B327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03" w:rsidRPr="00CB24E4" w:rsidRDefault="00B32703" w:rsidP="00CB24E4">
    <w:pPr>
      <w:pStyle w:val="Pieddepage"/>
      <w:tabs>
        <w:tab w:val="right" w:pos="9638"/>
      </w:tabs>
    </w:pPr>
    <w:r w:rsidRPr="00CB24E4">
      <w:rPr>
        <w:b/>
        <w:sz w:val="18"/>
      </w:rPr>
      <w:fldChar w:fldCharType="begin"/>
    </w:r>
    <w:r w:rsidRPr="00CB24E4">
      <w:rPr>
        <w:b/>
        <w:sz w:val="18"/>
      </w:rPr>
      <w:instrText xml:space="preserve"> PAGE  \* MERGEFORMAT </w:instrText>
    </w:r>
    <w:r w:rsidRPr="00CB24E4">
      <w:rPr>
        <w:b/>
        <w:sz w:val="18"/>
      </w:rPr>
      <w:fldChar w:fldCharType="separate"/>
    </w:r>
    <w:r w:rsidR="00783FDC">
      <w:rPr>
        <w:b/>
        <w:noProof/>
        <w:sz w:val="18"/>
      </w:rPr>
      <w:t>16</w:t>
    </w:r>
    <w:r w:rsidRPr="00CB24E4">
      <w:rPr>
        <w:b/>
        <w:sz w:val="18"/>
      </w:rPr>
      <w:fldChar w:fldCharType="end"/>
    </w:r>
    <w:r>
      <w:rPr>
        <w:b/>
        <w:sz w:val="18"/>
      </w:rPr>
      <w:tab/>
    </w:r>
    <w:r>
      <w:t>GE.18-19021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03" w:rsidRPr="00CB24E4" w:rsidRDefault="00B32703" w:rsidP="00CB24E4">
    <w:pPr>
      <w:pStyle w:val="Pieddepage"/>
      <w:tabs>
        <w:tab w:val="right" w:pos="9638"/>
      </w:tabs>
      <w:rPr>
        <w:b/>
        <w:sz w:val="18"/>
      </w:rPr>
    </w:pPr>
    <w:r>
      <w:t>GE.18-19021</w:t>
    </w:r>
    <w:r>
      <w:tab/>
    </w:r>
    <w:r w:rsidRPr="00CB24E4">
      <w:rPr>
        <w:b/>
        <w:sz w:val="18"/>
      </w:rPr>
      <w:fldChar w:fldCharType="begin"/>
    </w:r>
    <w:r w:rsidRPr="00CB24E4">
      <w:rPr>
        <w:b/>
        <w:sz w:val="18"/>
      </w:rPr>
      <w:instrText xml:space="preserve"> PAGE  \* MERGEFORMAT </w:instrText>
    </w:r>
    <w:r w:rsidRPr="00CB24E4">
      <w:rPr>
        <w:b/>
        <w:sz w:val="18"/>
      </w:rPr>
      <w:fldChar w:fldCharType="separate"/>
    </w:r>
    <w:r w:rsidR="00783FDC">
      <w:rPr>
        <w:b/>
        <w:noProof/>
        <w:sz w:val="18"/>
      </w:rPr>
      <w:t>15</w:t>
    </w:r>
    <w:r w:rsidRPr="00CB24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03" w:rsidRPr="00CB24E4" w:rsidRDefault="00B32703" w:rsidP="00CB24E4">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18-19021  (F)</w:t>
    </w:r>
    <w:r w:rsidR="000A7EA5">
      <w:rPr>
        <w:sz w:val="20"/>
      </w:rPr>
      <w:t xml:space="preserve">    270319    220519</w:t>
    </w:r>
    <w:r>
      <w:rPr>
        <w:sz w:val="20"/>
      </w:rPr>
      <w:br/>
    </w:r>
    <w:r w:rsidRPr="00CB24E4">
      <w:rPr>
        <w:rFonts w:ascii="C39T30Lfz" w:hAnsi="C39T30Lfz"/>
        <w:sz w:val="56"/>
      </w:rPr>
      <w:t></w:t>
    </w:r>
    <w:r w:rsidRPr="00CB24E4">
      <w:rPr>
        <w:rFonts w:ascii="C39T30Lfz" w:hAnsi="C39T30Lfz"/>
        <w:sz w:val="56"/>
      </w:rPr>
      <w:t></w:t>
    </w:r>
    <w:r w:rsidRPr="00CB24E4">
      <w:rPr>
        <w:rFonts w:ascii="C39T30Lfz" w:hAnsi="C39T30Lfz"/>
        <w:sz w:val="56"/>
      </w:rPr>
      <w:t></w:t>
    </w:r>
    <w:r w:rsidRPr="00CB24E4">
      <w:rPr>
        <w:rFonts w:ascii="C39T30Lfz" w:hAnsi="C39T30Lfz"/>
        <w:sz w:val="56"/>
      </w:rPr>
      <w:t></w:t>
    </w:r>
    <w:r w:rsidRPr="00CB24E4">
      <w:rPr>
        <w:rFonts w:ascii="C39T30Lfz" w:hAnsi="C39T30Lfz"/>
        <w:sz w:val="56"/>
      </w:rPr>
      <w:t></w:t>
    </w:r>
    <w:r w:rsidRPr="00CB24E4">
      <w:rPr>
        <w:rFonts w:ascii="C39T30Lfz" w:hAnsi="C39T30Lfz"/>
        <w:sz w:val="56"/>
      </w:rPr>
      <w:t></w:t>
    </w:r>
    <w:r w:rsidRPr="00CB24E4">
      <w:rPr>
        <w:rFonts w:ascii="C39T30Lfz" w:hAnsi="C39T30Lfz"/>
        <w:sz w:val="56"/>
      </w:rPr>
      <w:t></w:t>
    </w:r>
    <w:r w:rsidRPr="00CB24E4">
      <w:rPr>
        <w:rFonts w:ascii="C39T30Lfz" w:hAnsi="C39T30Lfz"/>
        <w:sz w:val="56"/>
      </w:rPr>
      <w:t></w:t>
    </w:r>
    <w:r w:rsidRPr="00CB24E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MNG/2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G/23-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03" w:rsidRPr="00AC3823" w:rsidRDefault="00B32703" w:rsidP="00AC3823">
      <w:pPr>
        <w:pStyle w:val="Pieddepage"/>
        <w:tabs>
          <w:tab w:val="right" w:pos="2155"/>
        </w:tabs>
        <w:spacing w:after="80" w:line="240" w:lineRule="atLeast"/>
        <w:ind w:left="680"/>
        <w:rPr>
          <w:u w:val="single"/>
        </w:rPr>
      </w:pPr>
      <w:r>
        <w:rPr>
          <w:u w:val="single"/>
        </w:rPr>
        <w:tab/>
      </w:r>
    </w:p>
  </w:footnote>
  <w:footnote w:type="continuationSeparator" w:id="0">
    <w:p w:rsidR="00B32703" w:rsidRPr="00AC3823" w:rsidRDefault="00B32703" w:rsidP="00AC3823">
      <w:pPr>
        <w:pStyle w:val="Pieddepage"/>
        <w:tabs>
          <w:tab w:val="right" w:pos="2155"/>
        </w:tabs>
        <w:spacing w:after="80" w:line="240" w:lineRule="atLeast"/>
        <w:ind w:left="680"/>
        <w:rPr>
          <w:u w:val="single"/>
        </w:rPr>
      </w:pPr>
      <w:r>
        <w:rPr>
          <w:u w:val="single"/>
        </w:rPr>
        <w:tab/>
      </w:r>
    </w:p>
  </w:footnote>
  <w:footnote w:type="continuationNotice" w:id="1">
    <w:p w:rsidR="00B32703" w:rsidRPr="00AC3823" w:rsidRDefault="00B32703">
      <w:pPr>
        <w:spacing w:line="240" w:lineRule="auto"/>
        <w:rPr>
          <w:sz w:val="2"/>
          <w:szCs w:val="2"/>
        </w:rPr>
      </w:pPr>
    </w:p>
  </w:footnote>
  <w:footnote w:id="2">
    <w:p w:rsidR="00B32703" w:rsidRPr="00CB24E4" w:rsidRDefault="00B32703">
      <w:pPr>
        <w:pStyle w:val="Notedebasdepage"/>
      </w:pPr>
      <w:r>
        <w:rPr>
          <w:rStyle w:val="Appelnotedebasdep"/>
        </w:rPr>
        <w:tab/>
      </w:r>
      <w:r w:rsidRPr="00CB24E4">
        <w:rPr>
          <w:rStyle w:val="Appelnotedebasdep"/>
          <w:sz w:val="20"/>
          <w:vertAlign w:val="baseline"/>
        </w:rPr>
        <w:t>*</w:t>
      </w:r>
      <w:r>
        <w:rPr>
          <w:rStyle w:val="Appelnotedebasdep"/>
          <w:sz w:val="20"/>
          <w:vertAlign w:val="baseline"/>
        </w:rPr>
        <w:tab/>
      </w:r>
      <w:r w:rsidRPr="00960431">
        <w:rPr>
          <w:lang w:val="fr-FR"/>
        </w:rPr>
        <w:t>La version originale du présent document n’a pas été revue par les services d’édition.</w:t>
      </w:r>
    </w:p>
  </w:footnote>
  <w:footnote w:id="3">
    <w:p w:rsidR="00B32703" w:rsidRPr="00F56E8F" w:rsidRDefault="00B32703" w:rsidP="00C57CC5">
      <w:pPr>
        <w:pStyle w:val="Notedebasdepage"/>
        <w:ind w:left="0" w:firstLine="0"/>
        <w:rPr>
          <w:lang w:val="fr-FR"/>
        </w:rPr>
      </w:pPr>
      <w:r>
        <w:rPr>
          <w:lang w:val="fr-FR"/>
        </w:rPr>
        <w:tab/>
      </w:r>
      <w:r>
        <w:rPr>
          <w:rStyle w:val="Appelnotedebasdep"/>
        </w:rPr>
        <w:footnoteRef/>
      </w:r>
      <w:r>
        <w:rPr>
          <w:lang w:val="fr-FR"/>
        </w:rPr>
        <w:tab/>
      </w:r>
      <w:r w:rsidRPr="00B94DF6">
        <w:rPr>
          <w:lang w:val="fr-FR"/>
        </w:rPr>
        <w:t>CERD/C/MNG/CO/19-22.</w:t>
      </w:r>
    </w:p>
  </w:footnote>
  <w:footnote w:id="4">
    <w:p w:rsidR="00B32703" w:rsidRPr="00CC64BC" w:rsidRDefault="00B32703" w:rsidP="00C57CC5">
      <w:pPr>
        <w:pStyle w:val="Notedebasdepage"/>
        <w:rPr>
          <w:lang w:val="fr-FR"/>
        </w:rPr>
      </w:pPr>
      <w:r w:rsidRPr="009F6CC9">
        <w:rPr>
          <w:lang w:val="fr-FR"/>
        </w:rPr>
        <w:tab/>
      </w:r>
      <w:r w:rsidRPr="00174E19">
        <w:rPr>
          <w:rStyle w:val="Appelnotedebasdep"/>
        </w:rPr>
        <w:footnoteRef/>
      </w:r>
      <w:r w:rsidRPr="00B94DF6">
        <w:rPr>
          <w:lang w:val="fr-FR"/>
        </w:rPr>
        <w:tab/>
      </w:r>
      <w:r w:rsidRPr="00CC64BC">
        <w:rPr>
          <w:lang w:val="fr-FR"/>
        </w:rPr>
        <w:t xml:space="preserve">Le projet de rapport a été </w:t>
      </w:r>
      <w:r>
        <w:rPr>
          <w:lang w:val="fr-FR"/>
        </w:rPr>
        <w:t>publié</w:t>
      </w:r>
      <w:r w:rsidRPr="00CC64BC">
        <w:rPr>
          <w:lang w:val="fr-FR"/>
        </w:rPr>
        <w:t xml:space="preserve"> le 15 juin 2018 sur le site </w:t>
      </w:r>
      <w:r>
        <w:rPr>
          <w:lang w:val="fr-FR"/>
        </w:rPr>
        <w:t xml:space="preserve">Web du </w:t>
      </w:r>
      <w:r w:rsidRPr="00CC64BC">
        <w:rPr>
          <w:lang w:val="fr-FR"/>
        </w:rPr>
        <w:t>Ministère de la justice et de l’intérieur</w:t>
      </w:r>
      <w:r>
        <w:rPr>
          <w:lang w:val="fr-FR"/>
        </w:rPr>
        <w:t xml:space="preserve">, </w:t>
      </w:r>
      <w:hyperlink r:id="rId1" w:history="1">
        <w:r w:rsidRPr="00CC64BC">
          <w:rPr>
            <w:lang w:val="fr-FR"/>
          </w:rPr>
          <w:t>www.mojha.gov.mn</w:t>
        </w:r>
      </w:hyperlink>
      <w:r w:rsidRPr="00CC64BC">
        <w:rPr>
          <w:lang w:val="fr-FR"/>
        </w:rPr>
        <w:t>.</w:t>
      </w:r>
    </w:p>
  </w:footnote>
  <w:footnote w:id="5">
    <w:p w:rsidR="00B32703" w:rsidRPr="00484233" w:rsidRDefault="00B32703" w:rsidP="00C57CC5">
      <w:pPr>
        <w:pStyle w:val="Notedebasdepage"/>
        <w:rPr>
          <w:lang w:val="fr-FR"/>
        </w:rPr>
      </w:pPr>
      <w:r w:rsidRPr="00033DC8">
        <w:rPr>
          <w:lang w:val="fr-FR"/>
        </w:rPr>
        <w:tab/>
      </w:r>
      <w:r w:rsidRPr="00174E19">
        <w:rPr>
          <w:rStyle w:val="Appelnotedebasdep"/>
        </w:rPr>
        <w:footnoteRef/>
      </w:r>
      <w:r w:rsidRPr="00484233">
        <w:rPr>
          <w:lang w:val="fr-FR"/>
        </w:rPr>
        <w:tab/>
        <w:t>V</w:t>
      </w:r>
      <w:r>
        <w:rPr>
          <w:lang w:val="fr-FR"/>
        </w:rPr>
        <w:t>oir</w:t>
      </w:r>
      <w:r w:rsidRPr="00484233">
        <w:rPr>
          <w:lang w:val="fr-FR"/>
        </w:rPr>
        <w:t xml:space="preserve"> </w:t>
      </w:r>
      <w:hyperlink r:id="rId2" w:history="1">
        <w:r w:rsidRPr="00484233">
          <w:rPr>
            <w:lang w:val="fr-FR"/>
          </w:rPr>
          <w:t>http://legalinfo.mn/law/details/367?lawid=367</w:t>
        </w:r>
      </w:hyperlink>
      <w:r w:rsidRPr="00484233">
        <w:rPr>
          <w:lang w:val="fr-FR"/>
        </w:rPr>
        <w:t>.</w:t>
      </w:r>
    </w:p>
  </w:footnote>
  <w:footnote w:id="6">
    <w:p w:rsidR="00B32703" w:rsidRPr="00280F94" w:rsidRDefault="00B32703" w:rsidP="00C57CC5">
      <w:pPr>
        <w:pStyle w:val="Notedebasdepage"/>
        <w:rPr>
          <w:lang w:val="fr-FR"/>
        </w:rPr>
      </w:pPr>
      <w:r w:rsidRPr="00484233">
        <w:rPr>
          <w:lang w:val="fr-FR"/>
        </w:rPr>
        <w:tab/>
      </w:r>
      <w:r>
        <w:rPr>
          <w:rStyle w:val="Appelnotedebasdep"/>
        </w:rPr>
        <w:footnoteRef/>
      </w:r>
      <w:r w:rsidRPr="00280F94">
        <w:rPr>
          <w:lang w:val="fr-FR"/>
        </w:rPr>
        <w:tab/>
        <w:t xml:space="preserve">Le paragraphe 2 de l’article 14 de la Constitution dispose que nul ne peut </w:t>
      </w:r>
      <w:r>
        <w:rPr>
          <w:lang w:val="fr-FR"/>
        </w:rPr>
        <w:t xml:space="preserve">faire l’objet </w:t>
      </w:r>
      <w:r w:rsidRPr="00280F94">
        <w:rPr>
          <w:lang w:val="fr-FR"/>
        </w:rPr>
        <w:t xml:space="preserve">de discrimination </w:t>
      </w:r>
      <w:r>
        <w:rPr>
          <w:lang w:val="fr-FR"/>
        </w:rPr>
        <w:t xml:space="preserve">fondée </w:t>
      </w:r>
      <w:r w:rsidRPr="00280F94">
        <w:rPr>
          <w:lang w:val="fr-FR"/>
        </w:rPr>
        <w:t>sur l’origine nationale ou ethnique, la langue, la race, l’âge, le sexe, l’origine ou le statut social, la fortune, la profession ou le métier, la religion, l’opinion ou l’éducation. Chaque citoyen est une personne aux yeux de la loi.</w:t>
      </w:r>
    </w:p>
  </w:footnote>
  <w:footnote w:id="7">
    <w:p w:rsidR="00B32703" w:rsidRPr="00E057E1" w:rsidRDefault="00B32703" w:rsidP="00C57CC5">
      <w:pPr>
        <w:pStyle w:val="Notedebasdepage"/>
        <w:rPr>
          <w:lang w:val="fr-FR"/>
        </w:rPr>
      </w:pPr>
      <w:r w:rsidRPr="00C2497C">
        <w:rPr>
          <w:lang w:val="fr-FR"/>
        </w:rPr>
        <w:tab/>
      </w:r>
      <w:r>
        <w:rPr>
          <w:rStyle w:val="Appelnotedebasdep"/>
        </w:rPr>
        <w:footnoteRef/>
      </w:r>
      <w:r w:rsidRPr="00E057E1">
        <w:rPr>
          <w:lang w:val="fr-FR"/>
        </w:rPr>
        <w:tab/>
        <w:t xml:space="preserve">http://legalinfo.mn/law/details/552?lawid=552 </w:t>
      </w:r>
      <w:r w:rsidR="00C73A2F">
        <w:rPr>
          <w:lang w:val="fr-FR"/>
        </w:rPr>
        <w:t>−</w:t>
      </w:r>
      <w:r w:rsidRPr="00E057E1">
        <w:rPr>
          <w:lang w:val="fr-FR"/>
        </w:rPr>
        <w:t xml:space="preserve"> consulté le 24</w:t>
      </w:r>
      <w:r w:rsidR="00C73A2F">
        <w:rPr>
          <w:lang w:val="fr-FR"/>
        </w:rPr>
        <w:t> </w:t>
      </w:r>
      <w:r w:rsidRPr="00E057E1">
        <w:rPr>
          <w:lang w:val="fr-FR"/>
        </w:rPr>
        <w:t>mai 2018.</w:t>
      </w:r>
    </w:p>
  </w:footnote>
  <w:footnote w:id="8">
    <w:p w:rsidR="00B32703" w:rsidRPr="007E5C91" w:rsidRDefault="00B32703" w:rsidP="00C57CC5">
      <w:pPr>
        <w:pStyle w:val="Notedebasdepage"/>
        <w:rPr>
          <w:lang w:val="fr-FR"/>
        </w:rPr>
      </w:pPr>
      <w:r w:rsidRPr="00E057E1">
        <w:rPr>
          <w:lang w:val="fr-FR"/>
        </w:rPr>
        <w:tab/>
      </w:r>
      <w:r w:rsidRPr="00174E19">
        <w:rPr>
          <w:rStyle w:val="Appelnotedebasdep"/>
        </w:rPr>
        <w:footnoteRef/>
      </w:r>
      <w:r w:rsidRPr="007E5C91">
        <w:rPr>
          <w:lang w:val="fr-FR"/>
        </w:rPr>
        <w:tab/>
        <w:t>Recensement de la population et des logements</w:t>
      </w:r>
      <w:r>
        <w:rPr>
          <w:lang w:val="fr-FR"/>
        </w:rPr>
        <w:t xml:space="preserve">, </w:t>
      </w:r>
      <w:r w:rsidRPr="000C63E8">
        <w:rPr>
          <w:lang w:val="fr-FR"/>
        </w:rPr>
        <w:t>enquête intercensitaire</w:t>
      </w:r>
      <w:r>
        <w:rPr>
          <w:lang w:val="fr-FR"/>
        </w:rPr>
        <w:t xml:space="preserve"> de 2015,</w:t>
      </w:r>
      <w:r w:rsidRPr="00747D80">
        <w:rPr>
          <w:lang w:val="fr-FR"/>
        </w:rPr>
        <w:t xml:space="preserve"> www.1212.mn.</w:t>
      </w:r>
    </w:p>
  </w:footnote>
  <w:footnote w:id="9">
    <w:p w:rsidR="00B32703" w:rsidRPr="005B4FA5" w:rsidRDefault="00B32703" w:rsidP="00C57CC5">
      <w:pPr>
        <w:pStyle w:val="Notedebasdepage"/>
        <w:rPr>
          <w:lang w:val="fr-FR"/>
        </w:rPr>
      </w:pPr>
      <w:r w:rsidRPr="007E5C91">
        <w:rPr>
          <w:lang w:val="fr-FR"/>
        </w:rPr>
        <w:tab/>
      </w:r>
      <w:r w:rsidRPr="00174E19">
        <w:rPr>
          <w:rStyle w:val="Appelnotedebasdep"/>
        </w:rPr>
        <w:footnoteRef/>
      </w:r>
      <w:r w:rsidRPr="005B4FA5">
        <w:rPr>
          <w:lang w:val="fr-FR"/>
        </w:rPr>
        <w:tab/>
        <w:t xml:space="preserve">Recensement de la population et des logements, enquête intercensitaire </w:t>
      </w:r>
      <w:r>
        <w:rPr>
          <w:lang w:val="fr-FR"/>
        </w:rPr>
        <w:t xml:space="preserve">de </w:t>
      </w:r>
      <w:r w:rsidRPr="005B4FA5">
        <w:rPr>
          <w:lang w:val="fr-FR"/>
        </w:rPr>
        <w:t>2015, www.1212.mn.</w:t>
      </w:r>
    </w:p>
  </w:footnote>
  <w:footnote w:id="10">
    <w:p w:rsidR="00B32703" w:rsidRPr="00CB7B65" w:rsidRDefault="00B32703" w:rsidP="00C57CC5">
      <w:pPr>
        <w:pStyle w:val="Notedebasdepage"/>
        <w:rPr>
          <w:lang w:val="fr-FR"/>
        </w:rPr>
      </w:pPr>
      <w:r w:rsidRPr="005B4FA5">
        <w:rPr>
          <w:lang w:val="fr-FR"/>
        </w:rPr>
        <w:tab/>
      </w:r>
      <w:r>
        <w:rPr>
          <w:rStyle w:val="Appelnotedebasdep"/>
        </w:rPr>
        <w:footnoteRef/>
      </w:r>
      <w:r w:rsidRPr="00CB7B65">
        <w:rPr>
          <w:lang w:val="fr-FR"/>
        </w:rPr>
        <w:tab/>
        <w:t>Voir http://legalinfo.mn/law/details/211?lawid=211</w:t>
      </w:r>
      <w:r>
        <w:rPr>
          <w:lang w:val="fr-FR"/>
        </w:rPr>
        <w:t>.</w:t>
      </w:r>
    </w:p>
  </w:footnote>
  <w:footnote w:id="11">
    <w:p w:rsidR="00B32703" w:rsidRPr="00CB7B65" w:rsidRDefault="00B32703" w:rsidP="00C57CC5">
      <w:pPr>
        <w:pStyle w:val="Notedebasdepage"/>
        <w:rPr>
          <w:lang w:val="fr-FR"/>
        </w:rPr>
      </w:pPr>
      <w:r w:rsidRPr="00CB7B65">
        <w:rPr>
          <w:lang w:val="fr-FR"/>
        </w:rPr>
        <w:tab/>
      </w:r>
      <w:r w:rsidRPr="00174E19">
        <w:rPr>
          <w:rStyle w:val="Appelnotedebasdep"/>
        </w:rPr>
        <w:footnoteRef/>
      </w:r>
      <w:r w:rsidRPr="00CB7B65">
        <w:rPr>
          <w:lang w:val="fr-FR"/>
        </w:rPr>
        <w:tab/>
        <w:t>Constitution de la Mongoli</w:t>
      </w:r>
      <w:r>
        <w:rPr>
          <w:lang w:val="fr-FR"/>
        </w:rPr>
        <w:t>e</w:t>
      </w:r>
      <w:r w:rsidRPr="00CB7B65">
        <w:rPr>
          <w:lang w:val="fr-FR"/>
        </w:rPr>
        <w:t xml:space="preserve">, </w:t>
      </w:r>
      <w:r>
        <w:rPr>
          <w:lang w:val="fr-FR"/>
        </w:rPr>
        <w:t>par</w:t>
      </w:r>
      <w:r w:rsidR="00375A56">
        <w:rPr>
          <w:lang w:val="fr-FR"/>
        </w:rPr>
        <w:t>. </w:t>
      </w:r>
      <w:r>
        <w:rPr>
          <w:lang w:val="fr-FR"/>
        </w:rPr>
        <w:t>3 de l’</w:t>
      </w:r>
      <w:r w:rsidRPr="00133F12">
        <w:rPr>
          <w:lang w:val="fr-FR"/>
        </w:rPr>
        <w:t>article 10.</w:t>
      </w:r>
    </w:p>
  </w:footnote>
  <w:footnote w:id="12">
    <w:p w:rsidR="00B32703" w:rsidRPr="00A92236" w:rsidRDefault="00B32703" w:rsidP="00C57CC5">
      <w:pPr>
        <w:pStyle w:val="Notedebasdepage"/>
        <w:rPr>
          <w:lang w:val="fr-FR"/>
        </w:rPr>
      </w:pPr>
      <w:r w:rsidRPr="00CB7B65">
        <w:rPr>
          <w:lang w:val="fr-FR"/>
        </w:rPr>
        <w:tab/>
      </w:r>
      <w:r w:rsidRPr="00174E19">
        <w:rPr>
          <w:rStyle w:val="Appelnotedebasdep"/>
        </w:rPr>
        <w:footnoteRef/>
      </w:r>
      <w:r w:rsidRPr="00A92236">
        <w:rPr>
          <w:lang w:val="fr-FR"/>
        </w:rPr>
        <w:tab/>
      </w:r>
      <w:r w:rsidRPr="00CB7B65">
        <w:rPr>
          <w:lang w:val="fr-FR"/>
        </w:rPr>
        <w:t>Voir</w:t>
      </w:r>
      <w:r w:rsidRPr="00A92236">
        <w:rPr>
          <w:lang w:val="fr-FR"/>
        </w:rPr>
        <w:t xml:space="preserve"> http://legalinfo.mn/law/details/211?lawid=211.</w:t>
      </w:r>
    </w:p>
  </w:footnote>
  <w:footnote w:id="13">
    <w:p w:rsidR="00B32703" w:rsidRPr="00791CA0" w:rsidRDefault="00B32703" w:rsidP="00C57CC5">
      <w:pPr>
        <w:pStyle w:val="Notedebasdepage"/>
        <w:rPr>
          <w:lang w:val="fr-FR"/>
        </w:rPr>
      </w:pPr>
      <w:r w:rsidRPr="00A92236">
        <w:rPr>
          <w:lang w:val="fr-FR"/>
        </w:rPr>
        <w:tab/>
      </w:r>
      <w:r w:rsidRPr="00174E19">
        <w:rPr>
          <w:rStyle w:val="Appelnotedebasdep"/>
        </w:rPr>
        <w:footnoteRef/>
      </w:r>
      <w:r w:rsidR="00E405E6">
        <w:rPr>
          <w:lang w:val="fr-FR"/>
        </w:rPr>
        <w:tab/>
        <w:t>Informations en date du 20 </w:t>
      </w:r>
      <w:r>
        <w:rPr>
          <w:lang w:val="fr-FR"/>
        </w:rPr>
        <w:t>mai</w:t>
      </w:r>
      <w:r w:rsidR="00E405E6">
        <w:rPr>
          <w:lang w:val="fr-FR"/>
        </w:rPr>
        <w:t xml:space="preserve"> 2018.</w:t>
      </w:r>
    </w:p>
  </w:footnote>
  <w:footnote w:id="14">
    <w:p w:rsidR="00B32703" w:rsidRPr="00D20159" w:rsidRDefault="00B32703" w:rsidP="00C57CC5">
      <w:pPr>
        <w:pStyle w:val="Notedebasdepage"/>
        <w:rPr>
          <w:lang w:val="fr-FR"/>
        </w:rPr>
      </w:pPr>
      <w:r w:rsidRPr="00791CA0">
        <w:rPr>
          <w:lang w:val="fr-FR"/>
        </w:rPr>
        <w:tab/>
      </w:r>
      <w:r w:rsidRPr="00174E19">
        <w:rPr>
          <w:rStyle w:val="Appelnotedebasdep"/>
        </w:rPr>
        <w:footnoteRef/>
      </w:r>
      <w:r w:rsidRPr="00D20159">
        <w:rPr>
          <w:lang w:val="fr-FR"/>
        </w:rPr>
        <w:tab/>
        <w:t>V</w:t>
      </w:r>
      <w:r>
        <w:rPr>
          <w:lang w:val="fr-FR"/>
        </w:rPr>
        <w:t xml:space="preserve">oir </w:t>
      </w:r>
      <w:hyperlink r:id="rId3" w:history="1">
        <w:r w:rsidRPr="00D20159">
          <w:rPr>
            <w:lang w:val="fr-FR"/>
          </w:rPr>
          <w:t>http://legalinfo.mn/law/details/525?lawid=525</w:t>
        </w:r>
      </w:hyperlink>
      <w:r w:rsidRPr="00D20159">
        <w:rPr>
          <w:lang w:val="fr-FR"/>
        </w:rPr>
        <w:t>.</w:t>
      </w:r>
    </w:p>
  </w:footnote>
  <w:footnote w:id="15">
    <w:p w:rsidR="00B32703" w:rsidRPr="00D20159" w:rsidRDefault="00B32703" w:rsidP="00C57CC5">
      <w:pPr>
        <w:pStyle w:val="Notedebasdepage"/>
        <w:rPr>
          <w:lang w:val="fr-FR"/>
        </w:rPr>
      </w:pPr>
      <w:r w:rsidRPr="00D20159">
        <w:rPr>
          <w:lang w:val="fr-FR"/>
        </w:rPr>
        <w:tab/>
      </w:r>
      <w:r w:rsidRPr="00174E19">
        <w:rPr>
          <w:rStyle w:val="Appelnotedebasdep"/>
        </w:rPr>
        <w:footnoteRef/>
      </w:r>
      <w:r>
        <w:rPr>
          <w:lang w:val="fr-FR"/>
        </w:rPr>
        <w:tab/>
      </w:r>
      <w:r w:rsidRPr="00D20159">
        <w:rPr>
          <w:lang w:val="fr-FR"/>
        </w:rPr>
        <w:t>La loi portant modification du Code pénal a été promulguée le 11</w:t>
      </w:r>
      <w:r w:rsidR="00570BA6">
        <w:rPr>
          <w:lang w:val="fr-FR"/>
        </w:rPr>
        <w:t> </w:t>
      </w:r>
      <w:r w:rsidRPr="00D20159">
        <w:rPr>
          <w:lang w:val="fr-FR"/>
        </w:rPr>
        <w:t>mai 2017.</w:t>
      </w:r>
    </w:p>
  </w:footnote>
  <w:footnote w:id="16">
    <w:p w:rsidR="00B32703" w:rsidRPr="00A037C6" w:rsidRDefault="00B32703" w:rsidP="00C57CC5">
      <w:pPr>
        <w:pStyle w:val="Notedebasdepage"/>
        <w:rPr>
          <w:lang w:val="fr-FR"/>
        </w:rPr>
      </w:pPr>
      <w:r w:rsidRPr="00D20159">
        <w:rPr>
          <w:lang w:val="fr-FR"/>
        </w:rPr>
        <w:tab/>
      </w:r>
      <w:r w:rsidRPr="00174E19">
        <w:rPr>
          <w:rStyle w:val="Appelnotedebasdep"/>
        </w:rPr>
        <w:footnoteRef/>
      </w:r>
      <w:r w:rsidRPr="00A037C6">
        <w:rPr>
          <w:lang w:val="fr-FR"/>
        </w:rPr>
        <w:tab/>
        <w:t>Registre de la police nationale.</w:t>
      </w:r>
    </w:p>
  </w:footnote>
  <w:footnote w:id="17">
    <w:p w:rsidR="00B32703" w:rsidRPr="00884655" w:rsidRDefault="00B32703" w:rsidP="00C57CC5">
      <w:pPr>
        <w:pStyle w:val="Notedebasdepage"/>
        <w:rPr>
          <w:lang w:val="fr-FR"/>
        </w:rPr>
      </w:pPr>
      <w:r w:rsidRPr="00A037C6">
        <w:rPr>
          <w:lang w:val="fr-FR"/>
        </w:rPr>
        <w:tab/>
      </w:r>
      <w:r w:rsidRPr="00174E19">
        <w:rPr>
          <w:rStyle w:val="Appelnotedebasdep"/>
        </w:rPr>
        <w:footnoteRef/>
      </w:r>
      <w:r w:rsidR="00950A8D">
        <w:rPr>
          <w:lang w:val="fr-FR"/>
        </w:rPr>
        <w:tab/>
        <w:t>É</w:t>
      </w:r>
      <w:r w:rsidRPr="00884655">
        <w:rPr>
          <w:lang w:val="fr-FR"/>
        </w:rPr>
        <w:t>tude sur la nécessité de réviser la loi sur les organisations non gouvern</w:t>
      </w:r>
      <w:r>
        <w:rPr>
          <w:lang w:val="fr-FR"/>
        </w:rPr>
        <w:t>ementales</w:t>
      </w:r>
      <w:r w:rsidRPr="00884655">
        <w:rPr>
          <w:lang w:val="fr-FR"/>
        </w:rPr>
        <w:t xml:space="preserve">, projet conjoint du Ministère de la justice et de l’intérieur et de l’Agence suisse de développement, </w:t>
      </w:r>
      <w:r>
        <w:rPr>
          <w:lang w:val="fr-FR"/>
        </w:rPr>
        <w:t>Projet II pour la participation des citoyens</w:t>
      </w:r>
      <w:r w:rsidRPr="00E525D6">
        <w:rPr>
          <w:lang w:val="fr-FR"/>
        </w:rPr>
        <w:t xml:space="preserve"> </w:t>
      </w:r>
      <w:r>
        <w:rPr>
          <w:lang w:val="fr-FR"/>
        </w:rPr>
        <w:t>(</w:t>
      </w:r>
      <w:r w:rsidRPr="00E525D6">
        <w:rPr>
          <w:lang w:val="fr-FR"/>
        </w:rPr>
        <w:t>Citizen participation Project II</w:t>
      </w:r>
      <w:r>
        <w:rPr>
          <w:lang w:val="fr-FR"/>
        </w:rPr>
        <w:t>)</w:t>
      </w:r>
      <w:r w:rsidRPr="00884655">
        <w:rPr>
          <w:lang w:val="fr-FR"/>
        </w:rPr>
        <w:t>, Oulan-Bator, 2017, p.</w:t>
      </w:r>
      <w:r w:rsidR="00950A8D">
        <w:rPr>
          <w:lang w:val="fr-FR"/>
        </w:rPr>
        <w:t> </w:t>
      </w:r>
      <w:r w:rsidRPr="00884655">
        <w:rPr>
          <w:lang w:val="fr-FR"/>
        </w:rPr>
        <w:t>22</w:t>
      </w:r>
      <w:r w:rsidR="00950A8D">
        <w:rPr>
          <w:lang w:val="fr-FR"/>
        </w:rPr>
        <w:t xml:space="preserve"> à </w:t>
      </w:r>
      <w:r w:rsidRPr="00884655">
        <w:rPr>
          <w:lang w:val="fr-FR"/>
        </w:rPr>
        <w:t>24.</w:t>
      </w:r>
    </w:p>
  </w:footnote>
  <w:footnote w:id="18">
    <w:p w:rsidR="00B32703" w:rsidRPr="00463ABC" w:rsidRDefault="00B32703" w:rsidP="00C57CC5">
      <w:pPr>
        <w:pStyle w:val="Notedebasdepage"/>
        <w:rPr>
          <w:lang w:val="fr-FR"/>
        </w:rPr>
      </w:pPr>
      <w:r w:rsidRPr="00884655">
        <w:rPr>
          <w:lang w:val="fr-FR"/>
        </w:rPr>
        <w:tab/>
      </w:r>
      <w:r w:rsidRPr="00174E19">
        <w:rPr>
          <w:rStyle w:val="Appelnotedebasdep"/>
        </w:rPr>
        <w:footnoteRef/>
      </w:r>
      <w:r w:rsidRPr="00463ABC">
        <w:rPr>
          <w:lang w:val="fr-FR"/>
        </w:rPr>
        <w:tab/>
      </w:r>
      <w:r w:rsidRPr="00907A47">
        <w:rPr>
          <w:lang w:val="fr-FR"/>
        </w:rPr>
        <w:t>Par</w:t>
      </w:r>
      <w:r w:rsidR="00950A8D">
        <w:rPr>
          <w:lang w:val="fr-FR"/>
        </w:rPr>
        <w:t>. </w:t>
      </w:r>
      <w:r w:rsidRPr="00907A47">
        <w:rPr>
          <w:lang w:val="fr-FR"/>
        </w:rPr>
        <w:t>2 de l’article 9, sect</w:t>
      </w:r>
      <w:r w:rsidR="00950A8D">
        <w:rPr>
          <w:lang w:val="fr-FR"/>
        </w:rPr>
        <w:t>. </w:t>
      </w:r>
      <w:r w:rsidRPr="00907A47">
        <w:rPr>
          <w:lang w:val="fr-FR"/>
        </w:rPr>
        <w:t>2</w:t>
      </w:r>
      <w:r w:rsidRPr="00463ABC">
        <w:rPr>
          <w:lang w:val="fr-FR"/>
        </w:rPr>
        <w:t xml:space="preserve"> du </w:t>
      </w:r>
      <w:r>
        <w:rPr>
          <w:lang w:val="fr-FR"/>
        </w:rPr>
        <w:t>Code pénal.</w:t>
      </w:r>
    </w:p>
  </w:footnote>
  <w:footnote w:id="19">
    <w:p w:rsidR="00B32703" w:rsidRPr="00A26F88" w:rsidRDefault="00B32703" w:rsidP="00C57CC5">
      <w:pPr>
        <w:pStyle w:val="Notedebasdepage"/>
        <w:rPr>
          <w:lang w:val="fr-FR"/>
        </w:rPr>
      </w:pPr>
      <w:r w:rsidRPr="00463ABC">
        <w:rPr>
          <w:lang w:val="fr-FR"/>
        </w:rPr>
        <w:tab/>
      </w:r>
      <w:r w:rsidRPr="00174E19">
        <w:rPr>
          <w:rStyle w:val="Appelnotedebasdep"/>
        </w:rPr>
        <w:footnoteRef/>
      </w:r>
      <w:r w:rsidRPr="00A26F88">
        <w:rPr>
          <w:lang w:val="fr-FR"/>
        </w:rPr>
        <w:tab/>
      </w:r>
      <w:r w:rsidRPr="00BB6AA3">
        <w:rPr>
          <w:lang w:val="fr-FR"/>
        </w:rPr>
        <w:t>Mandat du Rapporteur spécial sur les formes contemporaines de racisme, de discrimination raciale, de</w:t>
      </w:r>
      <w:r w:rsidR="00E41422">
        <w:rPr>
          <w:lang w:val="fr-FR"/>
        </w:rPr>
        <w:t> </w:t>
      </w:r>
      <w:r w:rsidRPr="00BB6AA3">
        <w:rPr>
          <w:lang w:val="fr-FR"/>
        </w:rPr>
        <w:t>xénophobie et de l’intolérance qui y est associée</w:t>
      </w:r>
      <w:r>
        <w:rPr>
          <w:lang w:val="fr-FR"/>
        </w:rPr>
        <w:t>.</w:t>
      </w:r>
    </w:p>
  </w:footnote>
  <w:footnote w:id="20">
    <w:p w:rsidR="00B32703" w:rsidRPr="0030411B" w:rsidRDefault="00B32703" w:rsidP="00C57CC5">
      <w:pPr>
        <w:pStyle w:val="Notedebasdepage"/>
        <w:rPr>
          <w:lang w:val="fr-FR"/>
        </w:rPr>
      </w:pPr>
      <w:r w:rsidRPr="007B4F1C">
        <w:rPr>
          <w:rFonts w:eastAsia="Calibri"/>
          <w:lang w:val="fr-FR"/>
        </w:rPr>
        <w:tab/>
      </w:r>
      <w:r w:rsidRPr="00174E19">
        <w:rPr>
          <w:rStyle w:val="Appelnotedebasdep"/>
        </w:rPr>
        <w:footnoteRef/>
      </w:r>
      <w:r>
        <w:rPr>
          <w:rFonts w:eastAsia="Calibri"/>
          <w:lang w:val="fr-FR"/>
        </w:rPr>
        <w:tab/>
      </w:r>
      <w:r w:rsidRPr="00E64232">
        <w:rPr>
          <w:lang w:val="fr-FR"/>
        </w:rPr>
        <w:t xml:space="preserve">Élaboration de normes </w:t>
      </w:r>
      <w:r>
        <w:rPr>
          <w:lang w:val="fr-FR"/>
        </w:rPr>
        <w:t xml:space="preserve">complémentaires à la Convention </w:t>
      </w:r>
      <w:r w:rsidRPr="00E64232">
        <w:rPr>
          <w:lang w:val="fr-FR"/>
        </w:rPr>
        <w:t>internationale sur l’é</w:t>
      </w:r>
      <w:r>
        <w:rPr>
          <w:lang w:val="fr-FR"/>
        </w:rPr>
        <w:t>limination de toutes les</w:t>
      </w:r>
      <w:r w:rsidR="00E41422">
        <w:rPr>
          <w:lang w:val="fr-FR"/>
        </w:rPr>
        <w:t> </w:t>
      </w:r>
      <w:r>
        <w:rPr>
          <w:lang w:val="fr-FR"/>
        </w:rPr>
        <w:t xml:space="preserve">formes </w:t>
      </w:r>
      <w:r w:rsidRPr="00E64232">
        <w:rPr>
          <w:lang w:val="fr-FR"/>
        </w:rPr>
        <w:t>de discrimination raciale</w:t>
      </w:r>
      <w:r>
        <w:rPr>
          <w:lang w:val="fr-FR"/>
        </w:rPr>
        <w:t>.</w:t>
      </w:r>
    </w:p>
  </w:footnote>
  <w:footnote w:id="21">
    <w:p w:rsidR="00B32703" w:rsidRPr="00111D2A" w:rsidRDefault="00B32703" w:rsidP="00C57CC5">
      <w:pPr>
        <w:pStyle w:val="Notedebasdepage"/>
        <w:rPr>
          <w:lang w:val="fr-FR"/>
        </w:rPr>
      </w:pPr>
      <w:r>
        <w:rPr>
          <w:lang w:val="fr-FR"/>
        </w:rPr>
        <w:tab/>
      </w:r>
      <w:r>
        <w:rPr>
          <w:rStyle w:val="Appelnotedebasdep"/>
        </w:rPr>
        <w:footnoteRef/>
      </w:r>
      <w:r>
        <w:rPr>
          <w:lang w:val="fr-FR"/>
        </w:rPr>
        <w:tab/>
      </w:r>
      <w:r w:rsidRPr="00111D2A">
        <w:rPr>
          <w:lang w:val="fr-FR"/>
        </w:rPr>
        <w:t>Impact des formes multiples et convergentes de discrimination et de violence dans le contexte du racisme, de la discrimination raciale, de la xénophobie et de l’intolérance qui y est associée sur le plein exercice par les femmes et les filles de tous leurs droits fondamentaux.</w:t>
      </w:r>
    </w:p>
  </w:footnote>
  <w:footnote w:id="22">
    <w:p w:rsidR="00B32703" w:rsidRPr="00331E08" w:rsidRDefault="00B32703" w:rsidP="00C57CC5">
      <w:pPr>
        <w:pStyle w:val="Notedebasdepage"/>
        <w:rPr>
          <w:lang w:val="fr-FR"/>
        </w:rPr>
      </w:pPr>
      <w:r w:rsidRPr="0030411B">
        <w:rPr>
          <w:lang w:val="fr-FR"/>
        </w:rPr>
        <w:tab/>
      </w:r>
      <w:r w:rsidRPr="00174E19">
        <w:rPr>
          <w:rStyle w:val="Appelnotedebasdep"/>
        </w:rPr>
        <w:footnoteRef/>
      </w:r>
      <w:r w:rsidRPr="00331E08">
        <w:rPr>
          <w:lang w:val="fr-FR"/>
        </w:rPr>
        <w:tab/>
      </w:r>
      <w:r>
        <w:rPr>
          <w:lang w:val="fr-FR"/>
        </w:rPr>
        <w:t>Voir</w:t>
      </w:r>
      <w:r w:rsidRPr="00331E08">
        <w:rPr>
          <w:lang w:val="fr-FR"/>
        </w:rPr>
        <w:t xml:space="preserve"> </w:t>
      </w:r>
      <w:hyperlink r:id="rId4" w:history="1">
        <w:r w:rsidRPr="00331E08">
          <w:rPr>
            <w:lang w:val="fr-FR"/>
          </w:rPr>
          <w:t>http://legalinfo.mn/law/details/525?lawid=525</w:t>
        </w:r>
      </w:hyperlink>
      <w:r w:rsidRPr="00331E08">
        <w:rPr>
          <w:lang w:val="fr-FR"/>
        </w:rPr>
        <w:t xml:space="preserve">, </w:t>
      </w:r>
      <w:r w:rsidRPr="00821AC9">
        <w:rPr>
          <w:lang w:val="fr-FR"/>
        </w:rPr>
        <w:t>art</w:t>
      </w:r>
      <w:r w:rsidR="00E41422">
        <w:rPr>
          <w:lang w:val="fr-FR"/>
        </w:rPr>
        <w:t>. </w:t>
      </w:r>
      <w:r w:rsidRPr="00821AC9">
        <w:rPr>
          <w:lang w:val="fr-FR"/>
        </w:rPr>
        <w:t>22, sect</w:t>
      </w:r>
      <w:r w:rsidR="00E41422">
        <w:rPr>
          <w:lang w:val="fr-FR"/>
        </w:rPr>
        <w:t>. </w:t>
      </w:r>
      <w:r w:rsidRPr="00821AC9">
        <w:rPr>
          <w:lang w:val="fr-FR"/>
        </w:rPr>
        <w:t>5</w:t>
      </w:r>
      <w:r w:rsidRPr="00331E08">
        <w:rPr>
          <w:lang w:val="fr-FR"/>
        </w:rPr>
        <w:t>.</w:t>
      </w:r>
    </w:p>
  </w:footnote>
  <w:footnote w:id="23">
    <w:p w:rsidR="00B32703" w:rsidRPr="00CF3A94" w:rsidRDefault="00B32703" w:rsidP="00C57CC5">
      <w:pPr>
        <w:pStyle w:val="Notedebasdepage"/>
        <w:rPr>
          <w:lang w:val="fr-FR"/>
        </w:rPr>
      </w:pPr>
      <w:r w:rsidRPr="00331E08">
        <w:rPr>
          <w:lang w:val="fr-FR"/>
        </w:rPr>
        <w:tab/>
      </w:r>
      <w:r w:rsidRPr="00174E19">
        <w:rPr>
          <w:rStyle w:val="Appelnotedebasdep"/>
        </w:rPr>
        <w:footnoteRef/>
      </w:r>
      <w:r w:rsidRPr="00196E74">
        <w:rPr>
          <w:lang w:val="fr-FR"/>
        </w:rPr>
        <w:tab/>
      </w:r>
      <w:r w:rsidR="0013272A">
        <w:rPr>
          <w:lang w:val="fr-FR"/>
        </w:rPr>
        <w:t>Données au 31 </w:t>
      </w:r>
      <w:r w:rsidRPr="00CF3A94">
        <w:rPr>
          <w:lang w:val="fr-FR"/>
        </w:rPr>
        <w:t>décembre 2016, au 31</w:t>
      </w:r>
      <w:r w:rsidR="0013272A">
        <w:rPr>
          <w:lang w:val="fr-FR"/>
        </w:rPr>
        <w:t> </w:t>
      </w:r>
      <w:r w:rsidRPr="00CF3A94">
        <w:rPr>
          <w:lang w:val="fr-FR"/>
        </w:rPr>
        <w:t xml:space="preserve">décembre 2017 et au </w:t>
      </w:r>
      <w:r>
        <w:rPr>
          <w:lang w:val="fr-FR"/>
        </w:rPr>
        <w:t>1</w:t>
      </w:r>
      <w:r w:rsidRPr="00CF3A94">
        <w:rPr>
          <w:vertAlign w:val="superscript"/>
          <w:lang w:val="fr-FR"/>
        </w:rPr>
        <w:t>er</w:t>
      </w:r>
      <w:r w:rsidR="0013272A">
        <w:rPr>
          <w:lang w:val="fr-FR"/>
        </w:rPr>
        <w:t> </w:t>
      </w:r>
      <w:r w:rsidRPr="00CF3A94">
        <w:rPr>
          <w:lang w:val="fr-FR"/>
        </w:rPr>
        <w:t>juin 2018.</w:t>
      </w:r>
      <w:r>
        <w:rPr>
          <w:lang w:val="fr-FR"/>
        </w:rPr>
        <w:t xml:space="preserve"> Informations de l’Agence d’immigration reçues en juin 2018.</w:t>
      </w:r>
    </w:p>
  </w:footnote>
  <w:footnote w:id="24">
    <w:p w:rsidR="00B32703" w:rsidRPr="00E90EC1" w:rsidRDefault="00B32703" w:rsidP="00C57CC5">
      <w:pPr>
        <w:pStyle w:val="Notedebasdepage"/>
        <w:rPr>
          <w:lang w:val="fr-FR"/>
        </w:rPr>
      </w:pPr>
      <w:r w:rsidRPr="00CF3A94">
        <w:rPr>
          <w:lang w:val="fr-FR"/>
        </w:rPr>
        <w:tab/>
      </w:r>
      <w:r w:rsidRPr="00174E19">
        <w:rPr>
          <w:rStyle w:val="Appelnotedebasdep"/>
        </w:rPr>
        <w:footnoteRef/>
      </w:r>
      <w:r w:rsidRPr="00E90EC1">
        <w:rPr>
          <w:lang w:val="fr-FR"/>
        </w:rPr>
        <w:tab/>
        <w:t>Par</w:t>
      </w:r>
      <w:r w:rsidR="0013272A">
        <w:rPr>
          <w:lang w:val="fr-FR"/>
        </w:rPr>
        <w:t>. </w:t>
      </w:r>
      <w:r w:rsidRPr="00E90EC1">
        <w:rPr>
          <w:lang w:val="fr-FR"/>
        </w:rPr>
        <w:t>6 de l’article 29 de la loi sur le statut juridique des ressortissants étrangers</w:t>
      </w:r>
      <w:r w:rsidR="0013272A">
        <w:rPr>
          <w:lang w:val="fr-FR"/>
        </w:rPr>
        <w:t xml:space="preserve"> −</w:t>
      </w:r>
      <w:r>
        <w:rPr>
          <w:lang w:val="fr-FR"/>
        </w:rPr>
        <w:t xml:space="preserve"> Voir </w:t>
      </w:r>
      <w:hyperlink r:id="rId5" w:history="1">
        <w:r w:rsidRPr="00E90EC1">
          <w:rPr>
            <w:lang w:val="fr-FR"/>
          </w:rPr>
          <w:t>http://legalinfo.mn/law/details/211?lawid=211</w:t>
        </w:r>
      </w:hyperlink>
      <w:r w:rsidRPr="00E90EC1">
        <w:rPr>
          <w:lang w:val="fr-FR"/>
        </w:rPr>
        <w:t>.</w:t>
      </w:r>
      <w:r>
        <w:rPr>
          <w:lang w:val="fr-FR"/>
        </w:rPr>
        <w:t xml:space="preserve"> </w:t>
      </w:r>
    </w:p>
  </w:footnote>
  <w:footnote w:id="25">
    <w:p w:rsidR="00B32703" w:rsidRPr="00245993" w:rsidRDefault="00B32703" w:rsidP="00C57CC5">
      <w:pPr>
        <w:pStyle w:val="Notedebasdepage"/>
        <w:rPr>
          <w:lang w:val="fr-FR"/>
        </w:rPr>
      </w:pPr>
      <w:r w:rsidRPr="00E90EC1">
        <w:rPr>
          <w:lang w:val="fr-FR"/>
        </w:rPr>
        <w:tab/>
      </w:r>
      <w:r w:rsidRPr="00174E19">
        <w:rPr>
          <w:rStyle w:val="Appelnotedebasdep"/>
        </w:rPr>
        <w:footnoteRef/>
      </w:r>
      <w:r w:rsidRPr="007D36F2">
        <w:rPr>
          <w:lang w:val="fr-FR"/>
        </w:rPr>
        <w:tab/>
      </w:r>
      <w:r w:rsidRPr="00245993">
        <w:rPr>
          <w:lang w:val="fr-FR"/>
        </w:rPr>
        <w:t xml:space="preserve">Le paragraphe 5 </w:t>
      </w:r>
      <w:r w:rsidRPr="00E90EC1">
        <w:rPr>
          <w:lang w:val="fr-FR"/>
        </w:rPr>
        <w:t>de l’article 29 de la loi sur le statut juridique des ressortissants étrangers</w:t>
      </w:r>
      <w:r w:rsidRPr="00245993">
        <w:rPr>
          <w:lang w:val="fr-FR"/>
        </w:rPr>
        <w:t xml:space="preserve"> dispose que le nombre d’immigrant</w:t>
      </w:r>
      <w:r>
        <w:rPr>
          <w:lang w:val="fr-FR"/>
        </w:rPr>
        <w:t>s</w:t>
      </w:r>
      <w:r w:rsidRPr="00245993">
        <w:rPr>
          <w:lang w:val="fr-FR"/>
        </w:rPr>
        <w:t xml:space="preserve"> </w:t>
      </w:r>
      <w:r>
        <w:rPr>
          <w:lang w:val="fr-FR"/>
        </w:rPr>
        <w:t xml:space="preserve">et de ressortissants étrangers résidant en Mongolie </w:t>
      </w:r>
      <w:r w:rsidRPr="00245993">
        <w:rPr>
          <w:lang w:val="fr-FR"/>
        </w:rPr>
        <w:t>peut représenter jusqu’à 0,5</w:t>
      </w:r>
      <w:r w:rsidR="00C73A2F">
        <w:rPr>
          <w:lang w:val="fr-FR"/>
        </w:rPr>
        <w:t> %</w:t>
      </w:r>
      <w:r w:rsidRPr="00245993">
        <w:rPr>
          <w:lang w:val="fr-FR"/>
        </w:rPr>
        <w:t xml:space="preserve"> de la population</w:t>
      </w:r>
      <w:r>
        <w:rPr>
          <w:lang w:val="fr-FR"/>
        </w:rPr>
        <w:t>, la proportion de ressortissants d’un pays pouvant atteindre 0,17</w:t>
      </w:r>
      <w:r w:rsidR="00C73A2F">
        <w:rPr>
          <w:lang w:val="fr-FR"/>
        </w:rPr>
        <w:t> %</w:t>
      </w:r>
      <w:r>
        <w:rPr>
          <w:lang w:val="fr-FR"/>
        </w:rPr>
        <w:t>.</w:t>
      </w:r>
    </w:p>
  </w:footnote>
  <w:footnote w:id="26">
    <w:p w:rsidR="00B32703" w:rsidRPr="00577E76" w:rsidRDefault="00B32703" w:rsidP="00C57CC5">
      <w:pPr>
        <w:pStyle w:val="Notedebasdepage"/>
        <w:rPr>
          <w:lang w:val="fr-FR"/>
        </w:rPr>
      </w:pPr>
      <w:r w:rsidRPr="00245993">
        <w:rPr>
          <w:lang w:val="fr-FR"/>
        </w:rPr>
        <w:tab/>
      </w:r>
      <w:r w:rsidRPr="00174E19">
        <w:rPr>
          <w:rStyle w:val="Appelnotedebasdep"/>
        </w:rPr>
        <w:footnoteRef/>
      </w:r>
      <w:r w:rsidRPr="00904BD1">
        <w:rPr>
          <w:lang w:val="fr-FR"/>
        </w:rPr>
        <w:tab/>
      </w:r>
      <w:r w:rsidRPr="008D5264">
        <w:rPr>
          <w:lang w:val="fr-FR"/>
        </w:rPr>
        <w:t xml:space="preserve">Un projet de décret sur le nombre, </w:t>
      </w:r>
      <w:r w:rsidRPr="009B0586">
        <w:rPr>
          <w:lang w:val="fr-FR"/>
        </w:rPr>
        <w:t>l’origine</w:t>
      </w:r>
      <w:r w:rsidRPr="008D5264">
        <w:rPr>
          <w:lang w:val="fr-FR"/>
        </w:rPr>
        <w:t xml:space="preserve"> et la résidence géographique des immigr</w:t>
      </w:r>
      <w:r>
        <w:rPr>
          <w:lang w:val="fr-FR"/>
        </w:rPr>
        <w:t>és</w:t>
      </w:r>
      <w:r w:rsidRPr="008D5264">
        <w:rPr>
          <w:lang w:val="fr-FR"/>
        </w:rPr>
        <w:t xml:space="preserve"> pour la période 2018-2020 a été examiné </w:t>
      </w:r>
      <w:r>
        <w:rPr>
          <w:lang w:val="fr-FR"/>
        </w:rPr>
        <w:t>à</w:t>
      </w:r>
      <w:r w:rsidRPr="008D5264">
        <w:rPr>
          <w:lang w:val="fr-FR"/>
        </w:rPr>
        <w:t xml:space="preserve"> la réunion du </w:t>
      </w:r>
      <w:r>
        <w:rPr>
          <w:lang w:val="fr-FR"/>
        </w:rPr>
        <w:t>Cabinet du 10</w:t>
      </w:r>
      <w:r w:rsidR="00CE25F1">
        <w:rPr>
          <w:lang w:val="fr-FR"/>
        </w:rPr>
        <w:t> </w:t>
      </w:r>
      <w:r>
        <w:rPr>
          <w:lang w:val="fr-FR"/>
        </w:rPr>
        <w:t xml:space="preserve">janvier 2018. La décision de le présenter au Parlement apparaît dans le compte rendu de la réunion </w:t>
      </w:r>
      <w:r w:rsidR="00BB232B" w:rsidRPr="00BB232B">
        <w:rPr>
          <w:rFonts w:eastAsia="MS Mincho"/>
          <w:szCs w:val="22"/>
          <w:lang w:val="fr-FR"/>
        </w:rPr>
        <w:t>n</w:t>
      </w:r>
      <w:r w:rsidR="00BB232B" w:rsidRPr="00BB232B">
        <w:rPr>
          <w:rFonts w:eastAsia="MS Mincho"/>
          <w:szCs w:val="22"/>
          <w:vertAlign w:val="superscript"/>
          <w:lang w:val="fr-FR"/>
        </w:rPr>
        <w:t>o</w:t>
      </w:r>
      <w:r w:rsidR="00BB232B">
        <w:rPr>
          <w:lang w:val="fr-FR"/>
        </w:rPr>
        <w:t> </w:t>
      </w:r>
      <w:r w:rsidRPr="00577E76">
        <w:rPr>
          <w:lang w:val="fr-FR"/>
        </w:rPr>
        <w:t>3</w:t>
      </w:r>
      <w:r>
        <w:rPr>
          <w:lang w:val="fr-FR"/>
        </w:rPr>
        <w:t>.</w:t>
      </w:r>
    </w:p>
  </w:footnote>
  <w:footnote w:id="27">
    <w:p w:rsidR="00B32703" w:rsidRPr="00904BD1" w:rsidRDefault="00B32703" w:rsidP="00C57CC5">
      <w:pPr>
        <w:pStyle w:val="Notedebasdepage"/>
        <w:rPr>
          <w:lang w:val="fr-FR"/>
        </w:rPr>
      </w:pPr>
      <w:r w:rsidRPr="00623F00">
        <w:rPr>
          <w:lang w:val="fr-FR"/>
        </w:rPr>
        <w:tab/>
      </w:r>
      <w:r w:rsidRPr="00174E19">
        <w:rPr>
          <w:rStyle w:val="Appelnotedebasdep"/>
        </w:rPr>
        <w:footnoteRef/>
      </w:r>
      <w:r w:rsidRPr="00904BD1">
        <w:rPr>
          <w:lang w:val="fr-FR"/>
        </w:rPr>
        <w:tab/>
        <w:t xml:space="preserve">Voir </w:t>
      </w:r>
      <w:hyperlink r:id="rId6" w:history="1">
        <w:r w:rsidRPr="00904BD1">
          <w:rPr>
            <w:lang w:val="fr-FR"/>
          </w:rPr>
          <w:t>http://legalinfo.mn/law/details/356?lawid=356</w:t>
        </w:r>
      </w:hyperlink>
      <w:r w:rsidRPr="00904BD1">
        <w:rPr>
          <w:lang w:val="fr-FR"/>
        </w:rPr>
        <w:t>.</w:t>
      </w:r>
    </w:p>
  </w:footnote>
  <w:footnote w:id="28">
    <w:p w:rsidR="00B32703" w:rsidRPr="00623F00" w:rsidRDefault="00B32703" w:rsidP="00C57CC5">
      <w:pPr>
        <w:pStyle w:val="Notedebasdepage"/>
        <w:rPr>
          <w:lang w:val="fr-FR"/>
        </w:rPr>
      </w:pPr>
      <w:r w:rsidRPr="00904BD1">
        <w:rPr>
          <w:lang w:val="fr-FR"/>
        </w:rPr>
        <w:tab/>
      </w:r>
      <w:r w:rsidRPr="00174E19">
        <w:rPr>
          <w:rStyle w:val="Appelnotedebasdep"/>
        </w:rPr>
        <w:footnoteRef/>
      </w:r>
      <w:r w:rsidRPr="00E93714">
        <w:rPr>
          <w:lang w:val="fr-FR"/>
        </w:rPr>
        <w:tab/>
        <w:t>Décision 22 du Parlement de Mongolie sur le rejet du projet de décret, 9</w:t>
      </w:r>
      <w:r w:rsidR="00CE25F1">
        <w:rPr>
          <w:lang w:val="fr-FR"/>
        </w:rPr>
        <w:t> </w:t>
      </w:r>
      <w:r>
        <w:rPr>
          <w:lang w:val="fr-FR"/>
        </w:rPr>
        <w:t>février 2018 ; i</w:t>
      </w:r>
      <w:r w:rsidRPr="00E93714">
        <w:rPr>
          <w:lang w:val="fr-FR"/>
        </w:rPr>
        <w:t>nformation</w:t>
      </w:r>
      <w:r>
        <w:rPr>
          <w:lang w:val="fr-FR"/>
        </w:rPr>
        <w:t>s des autorités</w:t>
      </w:r>
      <w:r w:rsidR="00BB232B">
        <w:rPr>
          <w:lang w:val="fr-FR"/>
        </w:rPr>
        <w:t xml:space="preserve"> </w:t>
      </w:r>
      <w:r w:rsidR="00BB232B" w:rsidRPr="00BB232B">
        <w:rPr>
          <w:rFonts w:eastAsia="MS Mincho"/>
          <w:szCs w:val="22"/>
          <w:lang w:val="fr-FR"/>
        </w:rPr>
        <w:t>n</w:t>
      </w:r>
      <w:r w:rsidR="00BB232B" w:rsidRPr="00BB232B">
        <w:rPr>
          <w:rFonts w:eastAsia="MS Mincho"/>
          <w:szCs w:val="22"/>
          <w:vertAlign w:val="superscript"/>
          <w:lang w:val="fr-FR"/>
        </w:rPr>
        <w:t>o</w:t>
      </w:r>
      <w:r w:rsidR="00BB232B">
        <w:rPr>
          <w:lang w:val="fr-FR"/>
        </w:rPr>
        <w:t> </w:t>
      </w:r>
      <w:r w:rsidRPr="00E93714">
        <w:rPr>
          <w:lang w:val="fr-FR"/>
        </w:rPr>
        <w:t xml:space="preserve">8, 2018. </w:t>
      </w:r>
      <w:r w:rsidRPr="00623F00">
        <w:rPr>
          <w:lang w:val="fr-FR"/>
        </w:rPr>
        <w:t xml:space="preserve">Voir également </w:t>
      </w:r>
      <w:hyperlink r:id="rId7" w:history="1">
        <w:r w:rsidRPr="00623F00">
          <w:rPr>
            <w:lang w:val="fr-FR"/>
          </w:rPr>
          <w:t>http://legalinfo.mn/law/details/13187?lawid=13187</w:t>
        </w:r>
      </w:hyperlink>
      <w:r w:rsidRPr="00623F00">
        <w:rPr>
          <w:lang w:val="fr-FR"/>
        </w:rPr>
        <w:t>.</w:t>
      </w:r>
    </w:p>
  </w:footnote>
  <w:footnote w:id="29">
    <w:p w:rsidR="00B32703" w:rsidRPr="00DB20CF" w:rsidRDefault="00B32703" w:rsidP="00C57CC5">
      <w:pPr>
        <w:pStyle w:val="Notedebasdepage"/>
        <w:rPr>
          <w:lang w:val="fr-FR"/>
        </w:rPr>
      </w:pPr>
      <w:r w:rsidRPr="008D5264">
        <w:rPr>
          <w:lang w:val="fr-FR"/>
        </w:rPr>
        <w:tab/>
      </w:r>
      <w:r w:rsidRPr="00174E19">
        <w:rPr>
          <w:rStyle w:val="Appelnotedebasdep"/>
        </w:rPr>
        <w:footnoteRef/>
      </w:r>
      <w:r w:rsidRPr="00DB20CF">
        <w:rPr>
          <w:lang w:val="fr-FR"/>
        </w:rPr>
        <w:tab/>
        <w:t>V</w:t>
      </w:r>
      <w:r>
        <w:rPr>
          <w:lang w:val="fr-FR"/>
        </w:rPr>
        <w:t>oir</w:t>
      </w:r>
      <w:r w:rsidRPr="00DB20CF">
        <w:rPr>
          <w:lang w:val="fr-FR"/>
        </w:rPr>
        <w:t xml:space="preserve"> </w:t>
      </w:r>
      <w:hyperlink r:id="rId8" w:history="1">
        <w:r w:rsidRPr="00DB20CF">
          <w:rPr>
            <w:lang w:val="fr-FR"/>
          </w:rPr>
          <w:t>http://legalinfo.mn/law/details/35?lawid=35</w:t>
        </w:r>
      </w:hyperlink>
      <w:r w:rsidRPr="00DB20CF">
        <w:rPr>
          <w:lang w:val="fr-FR"/>
        </w:rPr>
        <w:t>.</w:t>
      </w:r>
    </w:p>
  </w:footnote>
  <w:footnote w:id="30">
    <w:p w:rsidR="00B32703" w:rsidRPr="00617062" w:rsidRDefault="00B32703" w:rsidP="00C57CC5">
      <w:pPr>
        <w:pStyle w:val="Notedebasdepage"/>
        <w:rPr>
          <w:lang w:val="fr-FR"/>
        </w:rPr>
      </w:pPr>
      <w:r w:rsidRPr="00DB20CF">
        <w:rPr>
          <w:lang w:val="fr-FR"/>
        </w:rPr>
        <w:tab/>
      </w:r>
      <w:r w:rsidRPr="00174E19">
        <w:rPr>
          <w:rStyle w:val="Appelnotedebasdep"/>
        </w:rPr>
        <w:footnoteRef/>
      </w:r>
      <w:r w:rsidRPr="00623F00">
        <w:rPr>
          <w:lang w:val="fr-FR"/>
        </w:rPr>
        <w:tab/>
      </w:r>
      <w:r>
        <w:rPr>
          <w:lang w:val="fr-FR"/>
        </w:rPr>
        <w:t>En</w:t>
      </w:r>
      <w:r w:rsidRPr="00617062">
        <w:rPr>
          <w:lang w:val="fr-FR"/>
        </w:rPr>
        <w:t xml:space="preserve"> 2006, 2008, 2011, 2012, 2013, 2015 et 2017.</w:t>
      </w:r>
      <w:r w:rsidR="00097510">
        <w:rPr>
          <w:lang w:val="fr-FR"/>
        </w:rPr>
        <w:t xml:space="preserve"> Par la suite, d’autres textes de loi ont été modifiés.</w:t>
      </w:r>
    </w:p>
  </w:footnote>
  <w:footnote w:id="31">
    <w:p w:rsidR="00B32703" w:rsidRPr="003D3126" w:rsidRDefault="00B32703" w:rsidP="00C57CC5">
      <w:pPr>
        <w:pStyle w:val="Notedebasdepage"/>
        <w:rPr>
          <w:lang w:val="fr-FR"/>
        </w:rPr>
      </w:pPr>
      <w:r w:rsidRPr="00623F00">
        <w:rPr>
          <w:lang w:val="fr-FR"/>
        </w:rPr>
        <w:tab/>
      </w:r>
      <w:r w:rsidRPr="00174E19">
        <w:rPr>
          <w:rStyle w:val="Appelnotedebasdep"/>
        </w:rPr>
        <w:footnoteRef/>
      </w:r>
      <w:r w:rsidRPr="00E61096">
        <w:rPr>
          <w:lang w:val="fr-FR"/>
        </w:rPr>
        <w:tab/>
        <w:t>M</w:t>
      </w:r>
      <w:r w:rsidR="00F37E9E">
        <w:rPr>
          <w:lang w:val="fr-FR"/>
        </w:rPr>
        <w:t>odifiée par la loi adoptée le 2 </w:t>
      </w:r>
      <w:r w:rsidRPr="00E61096">
        <w:rPr>
          <w:lang w:val="fr-FR"/>
        </w:rPr>
        <w:t xml:space="preserve">février 2017. </w:t>
      </w:r>
      <w:r>
        <w:rPr>
          <w:lang w:val="fr-FR"/>
        </w:rPr>
        <w:t>Par</w:t>
      </w:r>
      <w:r w:rsidR="00F37E9E">
        <w:rPr>
          <w:lang w:val="fr-FR"/>
        </w:rPr>
        <w:t>. </w:t>
      </w:r>
      <w:r>
        <w:rPr>
          <w:lang w:val="fr-FR"/>
        </w:rPr>
        <w:t>3 de l’article 7 de la loi</w:t>
      </w:r>
      <w:r w:rsidRPr="006410F0">
        <w:rPr>
          <w:lang w:val="fr-FR"/>
        </w:rPr>
        <w:t xml:space="preserve"> relative à l’envoi de</w:t>
      </w:r>
      <w:r w:rsidR="00F37E9E">
        <w:rPr>
          <w:lang w:val="fr-FR"/>
        </w:rPr>
        <w:t> </w:t>
      </w:r>
      <w:r w:rsidRPr="006410F0">
        <w:rPr>
          <w:lang w:val="fr-FR"/>
        </w:rPr>
        <w:t>main</w:t>
      </w:r>
      <w:r w:rsidR="00F37E9E">
        <w:rPr>
          <w:lang w:val="fr-FR"/>
        </w:rPr>
        <w:noBreakHyphen/>
      </w:r>
      <w:r w:rsidRPr="006410F0">
        <w:rPr>
          <w:lang w:val="fr-FR"/>
        </w:rPr>
        <w:t xml:space="preserve">d’œuvre à l’étranger et à l’accueil de travailleurs et de spécialistes étrangers. </w:t>
      </w:r>
      <w:r w:rsidRPr="003D3126">
        <w:rPr>
          <w:lang w:val="fr-FR"/>
        </w:rPr>
        <w:t xml:space="preserve">Voir </w:t>
      </w:r>
      <w:hyperlink r:id="rId9" w:history="1">
        <w:r w:rsidRPr="003D3126">
          <w:rPr>
            <w:lang w:val="fr-FR"/>
          </w:rPr>
          <w:t>http://legalinfo.mn/law/details/35?lawid=35</w:t>
        </w:r>
      </w:hyperlink>
      <w:r w:rsidRPr="003D3126">
        <w:rPr>
          <w:lang w:val="fr-FR"/>
        </w:rPr>
        <w:t>.</w:t>
      </w:r>
    </w:p>
  </w:footnote>
  <w:footnote w:id="32">
    <w:p w:rsidR="00B32703" w:rsidRPr="000C5883" w:rsidRDefault="00B32703" w:rsidP="00C57CC5">
      <w:pPr>
        <w:pStyle w:val="Notedebasdepage"/>
        <w:rPr>
          <w:lang w:val="fr-FR"/>
        </w:rPr>
      </w:pPr>
      <w:r w:rsidRPr="003D3126">
        <w:rPr>
          <w:lang w:val="fr-FR"/>
        </w:rPr>
        <w:tab/>
      </w:r>
      <w:r>
        <w:rPr>
          <w:rStyle w:val="Appelnotedebasdep"/>
        </w:rPr>
        <w:footnoteRef/>
      </w:r>
      <w:r w:rsidRPr="00A349AF">
        <w:rPr>
          <w:lang w:val="fr-FR"/>
        </w:rPr>
        <w:tab/>
        <w:t xml:space="preserve">Ibid. </w:t>
      </w:r>
      <w:r>
        <w:rPr>
          <w:lang w:val="fr-FR"/>
        </w:rPr>
        <w:t>Par</w:t>
      </w:r>
      <w:r w:rsidR="00F37E9E">
        <w:rPr>
          <w:lang w:val="fr-FR"/>
        </w:rPr>
        <w:t>. </w:t>
      </w:r>
      <w:r>
        <w:rPr>
          <w:lang w:val="fr-FR"/>
        </w:rPr>
        <w:t>4 de l’article 7 de la loi</w:t>
      </w:r>
      <w:r w:rsidRPr="006410F0">
        <w:rPr>
          <w:lang w:val="fr-FR"/>
        </w:rPr>
        <w:t xml:space="preserve"> relative à l’envoi de main-d’œuvre à l’étranger et à l’accueil de</w:t>
      </w:r>
      <w:r w:rsidR="00F37E9E">
        <w:rPr>
          <w:lang w:val="fr-FR"/>
        </w:rPr>
        <w:t> </w:t>
      </w:r>
      <w:r w:rsidRPr="006410F0">
        <w:rPr>
          <w:lang w:val="fr-FR"/>
        </w:rPr>
        <w:t>travailleurs et de spécialistes étrangers</w:t>
      </w:r>
      <w:r>
        <w:rPr>
          <w:lang w:val="fr-FR"/>
        </w:rPr>
        <w:t>.</w:t>
      </w:r>
    </w:p>
  </w:footnote>
  <w:footnote w:id="33">
    <w:p w:rsidR="00B32703" w:rsidRPr="00A349AF" w:rsidRDefault="00B32703" w:rsidP="00C57CC5">
      <w:pPr>
        <w:pStyle w:val="Notedebasdepage"/>
        <w:rPr>
          <w:lang w:val="fr-FR"/>
        </w:rPr>
      </w:pPr>
      <w:r>
        <w:rPr>
          <w:lang w:val="fr-FR"/>
        </w:rPr>
        <w:tab/>
      </w:r>
      <w:r>
        <w:rPr>
          <w:rStyle w:val="Appelnotedebasdep"/>
        </w:rPr>
        <w:footnoteRef/>
      </w:r>
      <w:r>
        <w:rPr>
          <w:lang w:val="fr-FR"/>
        </w:rPr>
        <w:tab/>
      </w:r>
      <w:r w:rsidRPr="00034C48">
        <w:rPr>
          <w:lang w:val="fr-FR"/>
        </w:rPr>
        <w:t>Ministère du travail et de la protection sociale</w:t>
      </w:r>
      <w:r>
        <w:rPr>
          <w:lang w:val="fr-FR"/>
        </w:rPr>
        <w:t>,</w:t>
      </w:r>
      <w:r w:rsidRPr="00034C48">
        <w:rPr>
          <w:lang w:val="fr-FR"/>
        </w:rPr>
        <w:t xml:space="preserve"> </w:t>
      </w:r>
      <w:r>
        <w:rPr>
          <w:lang w:val="fr-FR"/>
        </w:rPr>
        <w:t>e</w:t>
      </w:r>
      <w:r w:rsidRPr="00034C48">
        <w:rPr>
          <w:lang w:val="fr-FR"/>
        </w:rPr>
        <w:t>nquête 2012-2018.</w:t>
      </w:r>
    </w:p>
  </w:footnote>
  <w:footnote w:id="34">
    <w:p w:rsidR="00B32703" w:rsidRPr="00707525" w:rsidRDefault="00B32703" w:rsidP="00C57CC5">
      <w:pPr>
        <w:pStyle w:val="Notedebasdepage"/>
        <w:rPr>
          <w:lang w:val="fr-FR"/>
        </w:rPr>
      </w:pPr>
      <w:r w:rsidRPr="00464E39">
        <w:rPr>
          <w:lang w:val="fr-FR"/>
        </w:rPr>
        <w:tab/>
      </w:r>
      <w:r w:rsidRPr="00174E19">
        <w:rPr>
          <w:rStyle w:val="Appelnotedebasdep"/>
        </w:rPr>
        <w:footnoteRef/>
      </w:r>
      <w:r w:rsidRPr="00034C48">
        <w:rPr>
          <w:lang w:val="fr-FR"/>
        </w:rPr>
        <w:tab/>
      </w:r>
      <w:r w:rsidRPr="00C224DC">
        <w:rPr>
          <w:lang w:val="fr-FR"/>
        </w:rPr>
        <w:t>Données du Département général du travail et de</w:t>
      </w:r>
      <w:r>
        <w:rPr>
          <w:lang w:val="fr-FR"/>
        </w:rPr>
        <w:t>s</w:t>
      </w:r>
      <w:r w:rsidRPr="00C224DC">
        <w:rPr>
          <w:lang w:val="fr-FR"/>
        </w:rPr>
        <w:t xml:space="preserve"> </w:t>
      </w:r>
      <w:r>
        <w:rPr>
          <w:lang w:val="fr-FR"/>
        </w:rPr>
        <w:t>affaires</w:t>
      </w:r>
      <w:r w:rsidRPr="00C224DC">
        <w:rPr>
          <w:lang w:val="fr-FR"/>
        </w:rPr>
        <w:t xml:space="preserve"> sociale</w:t>
      </w:r>
      <w:r>
        <w:rPr>
          <w:lang w:val="fr-FR"/>
        </w:rPr>
        <w:t>s.</w:t>
      </w:r>
    </w:p>
  </w:footnote>
  <w:footnote w:id="35">
    <w:p w:rsidR="00B32703" w:rsidRPr="00B627AC" w:rsidRDefault="00B32703" w:rsidP="00C57CC5">
      <w:pPr>
        <w:pStyle w:val="Notedebasdepage"/>
        <w:rPr>
          <w:lang w:val="fr-FR"/>
        </w:rPr>
      </w:pPr>
      <w:r w:rsidRPr="00E43D72">
        <w:rPr>
          <w:lang w:val="fr-FR"/>
        </w:rPr>
        <w:tab/>
      </w:r>
      <w:r w:rsidRPr="00174E19">
        <w:rPr>
          <w:rStyle w:val="Appelnotedebasdep"/>
        </w:rPr>
        <w:footnoteRef/>
      </w:r>
      <w:r w:rsidRPr="00B627AC">
        <w:rPr>
          <w:lang w:val="fr-FR"/>
        </w:rPr>
        <w:tab/>
        <w:t xml:space="preserve">Voir </w:t>
      </w:r>
      <w:hyperlink r:id="rId10" w:history="1">
        <w:r w:rsidRPr="00B627AC">
          <w:rPr>
            <w:lang w:val="fr-FR"/>
          </w:rPr>
          <w:t>https://www.iaac.mn/page/90?menu=210</w:t>
        </w:r>
      </w:hyperlink>
      <w:r w:rsidRPr="00B627AC">
        <w:rPr>
          <w:lang w:val="fr-FR"/>
        </w:rPr>
        <w:t>.</w:t>
      </w:r>
    </w:p>
  </w:footnote>
  <w:footnote w:id="36">
    <w:p w:rsidR="00B32703" w:rsidRPr="00E567DA" w:rsidRDefault="00B32703" w:rsidP="00C57CC5">
      <w:pPr>
        <w:pStyle w:val="Notedebasdepage"/>
        <w:rPr>
          <w:lang w:val="fr-FR"/>
        </w:rPr>
      </w:pPr>
      <w:r w:rsidRPr="00D76F39">
        <w:rPr>
          <w:lang w:val="fr-FR"/>
        </w:rPr>
        <w:tab/>
      </w:r>
      <w:r w:rsidRPr="00174E19">
        <w:rPr>
          <w:rStyle w:val="Appelnotedebasdep"/>
        </w:rPr>
        <w:footnoteRef/>
      </w:r>
      <w:r w:rsidRPr="00E567DA">
        <w:rPr>
          <w:lang w:val="fr-FR"/>
        </w:rPr>
        <w:tab/>
        <w:t>Ordonnance</w:t>
      </w:r>
      <w:r>
        <w:rPr>
          <w:lang w:val="fr-FR"/>
        </w:rPr>
        <w:t xml:space="preserve"> A/10 du Minist</w:t>
      </w:r>
      <w:r w:rsidRPr="00E567DA">
        <w:rPr>
          <w:lang w:val="fr-FR"/>
        </w:rPr>
        <w:t xml:space="preserve">re </w:t>
      </w:r>
      <w:r>
        <w:rPr>
          <w:lang w:val="fr-FR"/>
        </w:rPr>
        <w:t>de l’éducation, de la culture,</w:t>
      </w:r>
      <w:r w:rsidRPr="00E567DA">
        <w:rPr>
          <w:lang w:val="fr-FR"/>
        </w:rPr>
        <w:t xml:space="preserve"> des sciences et </w:t>
      </w:r>
      <w:r>
        <w:rPr>
          <w:lang w:val="fr-FR"/>
        </w:rPr>
        <w:t>des</w:t>
      </w:r>
      <w:r w:rsidRPr="00E567DA">
        <w:rPr>
          <w:lang w:val="fr-FR"/>
        </w:rPr>
        <w:t xml:space="preserve"> </w:t>
      </w:r>
      <w:r>
        <w:rPr>
          <w:lang w:val="fr-FR"/>
        </w:rPr>
        <w:t>s</w:t>
      </w:r>
      <w:r w:rsidRPr="00E567DA">
        <w:rPr>
          <w:lang w:val="fr-FR"/>
        </w:rPr>
        <w:t xml:space="preserve">ports </w:t>
      </w:r>
      <w:r>
        <w:rPr>
          <w:lang w:val="fr-FR"/>
        </w:rPr>
        <w:t>portant création d’un groupe de travail.</w:t>
      </w:r>
    </w:p>
  </w:footnote>
  <w:footnote w:id="37">
    <w:p w:rsidR="00B32703" w:rsidRPr="004D321E" w:rsidRDefault="00B32703" w:rsidP="00C57CC5">
      <w:pPr>
        <w:pStyle w:val="Notedebasdepage"/>
        <w:rPr>
          <w:lang w:val="fr-FR"/>
        </w:rPr>
      </w:pPr>
      <w:r w:rsidRPr="00E567DA">
        <w:rPr>
          <w:lang w:val="fr-FR"/>
        </w:rPr>
        <w:tab/>
      </w:r>
      <w:r w:rsidRPr="00174E19">
        <w:rPr>
          <w:rStyle w:val="Appelnotedebasdep"/>
        </w:rPr>
        <w:footnoteRef/>
      </w:r>
      <w:r w:rsidRPr="00D90C38">
        <w:rPr>
          <w:lang w:val="fr-FR"/>
        </w:rPr>
        <w:tab/>
      </w:r>
      <w:r w:rsidRPr="004D321E">
        <w:rPr>
          <w:lang w:val="fr-FR"/>
        </w:rPr>
        <w:t>D’après les données trouvées à l’</w:t>
      </w:r>
      <w:r>
        <w:rPr>
          <w:lang w:val="fr-FR"/>
        </w:rPr>
        <w:t>adresse</w:t>
      </w:r>
      <w:r w:rsidRPr="004D321E">
        <w:rPr>
          <w:lang w:val="fr-FR"/>
        </w:rPr>
        <w:t xml:space="preserve"> </w:t>
      </w:r>
      <w:hyperlink r:id="rId11" w:history="1">
        <w:r w:rsidRPr="004D321E">
          <w:rPr>
            <w:lang w:val="fr-FR"/>
          </w:rPr>
          <w:t>http://edu.bo.gov.mn/ebs.php</w:t>
        </w:r>
      </w:hyperlink>
      <w:r w:rsidRPr="004D321E">
        <w:rPr>
          <w:lang w:val="fr-FR"/>
        </w:rPr>
        <w:t xml:space="preserve"> et les informations reçues du </w:t>
      </w:r>
      <w:r>
        <w:rPr>
          <w:lang w:val="fr-FR"/>
        </w:rPr>
        <w:t>Ministère de l’éducation, de la culture, des sciences et des sports.</w:t>
      </w:r>
    </w:p>
  </w:footnote>
  <w:footnote w:id="38">
    <w:p w:rsidR="00B32703" w:rsidRPr="00F51531" w:rsidRDefault="00B32703" w:rsidP="00C57CC5">
      <w:pPr>
        <w:pStyle w:val="Notedebasdepage"/>
        <w:rPr>
          <w:lang w:val="fr-FR"/>
        </w:rPr>
      </w:pPr>
      <w:r w:rsidRPr="004D321E">
        <w:rPr>
          <w:lang w:val="fr-FR"/>
        </w:rPr>
        <w:tab/>
      </w:r>
      <w:r w:rsidRPr="00174E19">
        <w:rPr>
          <w:rStyle w:val="Appelnotedebasdep"/>
        </w:rPr>
        <w:footnoteRef/>
      </w:r>
      <w:r w:rsidRPr="009F0502">
        <w:rPr>
          <w:lang w:val="fr-FR"/>
        </w:rPr>
        <w:tab/>
      </w:r>
      <w:r w:rsidRPr="00F51531">
        <w:rPr>
          <w:lang w:val="fr-FR"/>
        </w:rPr>
        <w:t xml:space="preserve">L’enseignement élémentaire comprend les années I à </w:t>
      </w:r>
      <w:r>
        <w:rPr>
          <w:lang w:val="fr-FR"/>
        </w:rPr>
        <w:t>V.</w:t>
      </w:r>
    </w:p>
  </w:footnote>
  <w:footnote w:id="39">
    <w:p w:rsidR="00B32703" w:rsidRPr="00567085" w:rsidRDefault="00B32703" w:rsidP="00C57CC5">
      <w:pPr>
        <w:pStyle w:val="Notedebasdepage"/>
        <w:rPr>
          <w:lang w:val="fr-FR"/>
        </w:rPr>
      </w:pPr>
      <w:r w:rsidRPr="00F51531">
        <w:rPr>
          <w:lang w:val="fr-FR"/>
        </w:rPr>
        <w:tab/>
      </w:r>
      <w:r w:rsidRPr="00174E19">
        <w:rPr>
          <w:rStyle w:val="Appelnotedebasdep"/>
        </w:rPr>
        <w:footnoteRef/>
      </w:r>
      <w:r w:rsidRPr="00567085">
        <w:rPr>
          <w:lang w:val="fr-FR"/>
        </w:rPr>
        <w:tab/>
        <w:t xml:space="preserve">Voir </w:t>
      </w:r>
      <w:hyperlink r:id="rId12" w:history="1">
        <w:r w:rsidRPr="00567085">
          <w:rPr>
            <w:lang w:val="fr-FR"/>
          </w:rPr>
          <w:t>http://legalinfo.mn/law/details/12453?lawid=12453</w:t>
        </w:r>
      </w:hyperlink>
      <w:r w:rsidRPr="0056708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03" w:rsidRPr="00CB24E4" w:rsidRDefault="00783FDC">
    <w:pPr>
      <w:pStyle w:val="En-tte"/>
    </w:pPr>
    <w:r>
      <w:fldChar w:fldCharType="begin"/>
    </w:r>
    <w:r>
      <w:instrText xml:space="preserve"> TITLE  \* MERGEFORMAT </w:instrText>
    </w:r>
    <w:r>
      <w:fldChar w:fldCharType="separate"/>
    </w:r>
    <w:r w:rsidR="00C6054B">
      <w:t>CERD/C/MNG/23-24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03" w:rsidRPr="00CB24E4" w:rsidRDefault="00783FDC" w:rsidP="00CB24E4">
    <w:pPr>
      <w:pStyle w:val="En-tte"/>
      <w:jc w:val="right"/>
    </w:pPr>
    <w:r>
      <w:fldChar w:fldCharType="begin"/>
    </w:r>
    <w:r>
      <w:instrText xml:space="preserve"> TITLE  \* MERGEFORMAT </w:instrText>
    </w:r>
    <w:r>
      <w:fldChar w:fldCharType="separate"/>
    </w:r>
    <w:r w:rsidR="00C6054B">
      <w:t>CERD/C/MNG/23-24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2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73"/>
    <w:rsid w:val="00006FC1"/>
    <w:rsid w:val="00017F94"/>
    <w:rsid w:val="00023842"/>
    <w:rsid w:val="000334F9"/>
    <w:rsid w:val="000637C3"/>
    <w:rsid w:val="0007796D"/>
    <w:rsid w:val="00097510"/>
    <w:rsid w:val="000A7EA5"/>
    <w:rsid w:val="000B7790"/>
    <w:rsid w:val="000C57EC"/>
    <w:rsid w:val="00111F2F"/>
    <w:rsid w:val="00131928"/>
    <w:rsid w:val="0013272A"/>
    <w:rsid w:val="0014365E"/>
    <w:rsid w:val="001511F1"/>
    <w:rsid w:val="00162BAF"/>
    <w:rsid w:val="00176178"/>
    <w:rsid w:val="001F525A"/>
    <w:rsid w:val="00215BEC"/>
    <w:rsid w:val="00223272"/>
    <w:rsid w:val="0024779E"/>
    <w:rsid w:val="002C2725"/>
    <w:rsid w:val="002C2E0B"/>
    <w:rsid w:val="002D7088"/>
    <w:rsid w:val="003412E9"/>
    <w:rsid w:val="00375A56"/>
    <w:rsid w:val="0038166B"/>
    <w:rsid w:val="00394A73"/>
    <w:rsid w:val="00446FE5"/>
    <w:rsid w:val="00452396"/>
    <w:rsid w:val="00473646"/>
    <w:rsid w:val="004E4535"/>
    <w:rsid w:val="004F094E"/>
    <w:rsid w:val="004F33AA"/>
    <w:rsid w:val="004F4F6C"/>
    <w:rsid w:val="0050501E"/>
    <w:rsid w:val="005505B7"/>
    <w:rsid w:val="00570BA6"/>
    <w:rsid w:val="00573BE5"/>
    <w:rsid w:val="00582CB1"/>
    <w:rsid w:val="00586ED3"/>
    <w:rsid w:val="00596AA9"/>
    <w:rsid w:val="005B32D3"/>
    <w:rsid w:val="0060441A"/>
    <w:rsid w:val="00605685"/>
    <w:rsid w:val="00623CA8"/>
    <w:rsid w:val="00694819"/>
    <w:rsid w:val="00706B92"/>
    <w:rsid w:val="00712E6E"/>
    <w:rsid w:val="0071601D"/>
    <w:rsid w:val="00747348"/>
    <w:rsid w:val="00754474"/>
    <w:rsid w:val="00780585"/>
    <w:rsid w:val="00783E9F"/>
    <w:rsid w:val="00783FDC"/>
    <w:rsid w:val="007A62E6"/>
    <w:rsid w:val="007C64A0"/>
    <w:rsid w:val="007E4DA3"/>
    <w:rsid w:val="0080684C"/>
    <w:rsid w:val="00871C75"/>
    <w:rsid w:val="008776DC"/>
    <w:rsid w:val="00892DEE"/>
    <w:rsid w:val="008A7175"/>
    <w:rsid w:val="008B58C5"/>
    <w:rsid w:val="008B78DC"/>
    <w:rsid w:val="008E3A54"/>
    <w:rsid w:val="0091369C"/>
    <w:rsid w:val="00950A8D"/>
    <w:rsid w:val="009705C8"/>
    <w:rsid w:val="00984B29"/>
    <w:rsid w:val="009D5F1A"/>
    <w:rsid w:val="009F011D"/>
    <w:rsid w:val="009F3C85"/>
    <w:rsid w:val="00A02BA5"/>
    <w:rsid w:val="00A30353"/>
    <w:rsid w:val="00AA2543"/>
    <w:rsid w:val="00AC3823"/>
    <w:rsid w:val="00AC5CB6"/>
    <w:rsid w:val="00AE323C"/>
    <w:rsid w:val="00B00181"/>
    <w:rsid w:val="00B32703"/>
    <w:rsid w:val="00B765F7"/>
    <w:rsid w:val="00B96C85"/>
    <w:rsid w:val="00BA0CA9"/>
    <w:rsid w:val="00BA2E04"/>
    <w:rsid w:val="00BB0B66"/>
    <w:rsid w:val="00BB232B"/>
    <w:rsid w:val="00C02897"/>
    <w:rsid w:val="00C02C42"/>
    <w:rsid w:val="00C476D0"/>
    <w:rsid w:val="00C57CC5"/>
    <w:rsid w:val="00C6047F"/>
    <w:rsid w:val="00C6054B"/>
    <w:rsid w:val="00C73A2F"/>
    <w:rsid w:val="00CB24E4"/>
    <w:rsid w:val="00CE25F1"/>
    <w:rsid w:val="00D3439C"/>
    <w:rsid w:val="00DA6ED1"/>
    <w:rsid w:val="00DB1831"/>
    <w:rsid w:val="00DC0149"/>
    <w:rsid w:val="00DD3BFD"/>
    <w:rsid w:val="00DF6678"/>
    <w:rsid w:val="00E405E6"/>
    <w:rsid w:val="00E41422"/>
    <w:rsid w:val="00ED45FE"/>
    <w:rsid w:val="00F00AF9"/>
    <w:rsid w:val="00F37E9E"/>
    <w:rsid w:val="00F543E7"/>
    <w:rsid w:val="00F660DF"/>
    <w:rsid w:val="00F95C08"/>
    <w:rsid w:val="00FC22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7E638"/>
  <w15:docId w15:val="{B81DF88B-CB12-4761-9999-0A0D657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C57CC5"/>
    <w:pPr>
      <w:numPr>
        <w:numId w:val="19"/>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C57CC5"/>
    <w:pPr>
      <w:numPr>
        <w:numId w:val="24"/>
      </w:numPr>
    </w:pPr>
  </w:style>
  <w:style w:type="numbering" w:styleId="1ai">
    <w:name w:val="Outline List 1"/>
    <w:basedOn w:val="Aucuneliste"/>
    <w:semiHidden/>
    <w:rsid w:val="00C57CC5"/>
    <w:pPr>
      <w:numPr>
        <w:numId w:val="22"/>
      </w:numPr>
    </w:pPr>
  </w:style>
  <w:style w:type="character" w:styleId="Titredulivre">
    <w:name w:val="Book Title"/>
    <w:basedOn w:val="Policepardfaut"/>
    <w:uiPriority w:val="33"/>
    <w:semiHidden/>
    <w:rsid w:val="00C57CC5"/>
    <w:rPr>
      <w:b/>
      <w:bCs/>
      <w:smallCaps/>
      <w:spacing w:val="5"/>
    </w:rPr>
  </w:style>
  <w:style w:type="character" w:styleId="Accentuation">
    <w:name w:val="Emphasis"/>
    <w:basedOn w:val="Policepardfaut"/>
    <w:uiPriority w:val="20"/>
    <w:qFormat/>
    <w:rsid w:val="00C57CC5"/>
    <w:rPr>
      <w:i/>
      <w:iCs/>
    </w:rPr>
  </w:style>
  <w:style w:type="paragraph" w:styleId="NormalWeb">
    <w:name w:val="Normal (Web)"/>
    <w:basedOn w:val="Normal"/>
    <w:uiPriority w:val="99"/>
    <w:semiHidden/>
    <w:unhideWhenUsed/>
    <w:rsid w:val="00C73A2F"/>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legalinfo.mn/law/details/35?lawid=35" TargetMode="External"/><Relationship Id="rId3" Type="http://schemas.openxmlformats.org/officeDocument/2006/relationships/hyperlink" Target="http://legalinfo.mn/law/details/525?lawid=525" TargetMode="External"/><Relationship Id="rId7" Type="http://schemas.openxmlformats.org/officeDocument/2006/relationships/hyperlink" Target="http://legalinfo.mn/law/details/13187?lawid=13187" TargetMode="External"/><Relationship Id="rId12" Type="http://schemas.openxmlformats.org/officeDocument/2006/relationships/hyperlink" Target="http://legalinfo.mn/law/details/12453?lawid=12453" TargetMode="External"/><Relationship Id="rId2" Type="http://schemas.openxmlformats.org/officeDocument/2006/relationships/hyperlink" Target="http://legalinfo.mn/law/details/367?lawid=367" TargetMode="External"/><Relationship Id="rId1" Type="http://schemas.openxmlformats.org/officeDocument/2006/relationships/hyperlink" Target="http://www.mojha.gov.mn" TargetMode="External"/><Relationship Id="rId6" Type="http://schemas.openxmlformats.org/officeDocument/2006/relationships/hyperlink" Target="http://legalinfo.mn/law/details/356?lawid=356" TargetMode="External"/><Relationship Id="rId11" Type="http://schemas.openxmlformats.org/officeDocument/2006/relationships/hyperlink" Target="http://edu.bo.gov.mn/ebs.php" TargetMode="External"/><Relationship Id="rId5" Type="http://schemas.openxmlformats.org/officeDocument/2006/relationships/hyperlink" Target="http://legalinfo.mn/law/details/211?lawid=211" TargetMode="External"/><Relationship Id="rId10" Type="http://schemas.openxmlformats.org/officeDocument/2006/relationships/hyperlink" Target="https://www.iaac.mn/page/90?menu=210" TargetMode="External"/><Relationship Id="rId4" Type="http://schemas.openxmlformats.org/officeDocument/2006/relationships/hyperlink" Target="http://legalinfo.mn/law/details/525?lawid=525" TargetMode="External"/><Relationship Id="rId9" Type="http://schemas.openxmlformats.org/officeDocument/2006/relationships/hyperlink" Target="http://legalinfo.mn/law/details/35?lawid=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serendulam\Desktop\PHC_00-1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n-US" sz="1200"/>
          </a:p>
        </c:rich>
      </c:tx>
      <c:layout>
        <c:manualLayout>
          <c:xMode val="edge"/>
          <c:yMode val="edge"/>
          <c:x val="1.8535248975954416E-3"/>
          <c:y val="5.9691718455670173E-2"/>
        </c:manualLayout>
      </c:layout>
      <c:overlay val="0"/>
      <c:spPr>
        <a:noFill/>
        <a:ln>
          <a:noFill/>
        </a:ln>
        <a:effectLst/>
      </c:spPr>
    </c:title>
    <c:autoTitleDeleted val="0"/>
    <c:plotArea>
      <c:layout>
        <c:manualLayout>
          <c:layoutTarget val="inner"/>
          <c:xMode val="edge"/>
          <c:yMode val="edge"/>
          <c:x val="9.5336014652844664E-2"/>
          <c:y val="0.34734949880767885"/>
          <c:w val="0.89746974074283881"/>
          <c:h val="0.30235386139646453"/>
        </c:manualLayout>
      </c:layout>
      <c:barChart>
        <c:barDir val="col"/>
        <c:grouping val="clustered"/>
        <c:varyColors val="0"/>
        <c:ser>
          <c:idx val="0"/>
          <c:order val="0"/>
          <c:tx>
            <c:strRef>
              <c:f>Sheet4!$A$28</c:f>
              <c:strCache>
                <c:ptCount val="1"/>
                <c:pt idx="0">
                  <c:v>Эрэгтэй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Sheet4!$B$28:$D$28</c:f>
              <c:numCache>
                <c:formatCode>General</c:formatCode>
                <c:ptCount val="3"/>
                <c:pt idx="0">
                  <c:v>2000</c:v>
                </c:pt>
                <c:pt idx="1">
                  <c:v>2010</c:v>
                </c:pt>
                <c:pt idx="2">
                  <c:v>2015</c:v>
                </c:pt>
              </c:numCache>
            </c:numRef>
          </c:cat>
          <c:val>
            <c:numRef>
              <c:f>Sheet4!$B$35:$D$35</c:f>
              <c:numCache>
                <c:formatCode>0.0</c:formatCode>
                <c:ptCount val="3"/>
                <c:pt idx="0">
                  <c:v>4.8942516268980354</c:v>
                </c:pt>
                <c:pt idx="1">
                  <c:v>9.2766056109436708</c:v>
                </c:pt>
                <c:pt idx="2" formatCode="General">
                  <c:v>10.6</c:v>
                </c:pt>
              </c:numCache>
            </c:numRef>
          </c:val>
          <c:extLst>
            <c:ext xmlns:c16="http://schemas.microsoft.com/office/drawing/2014/chart" uri="{C3380CC4-5D6E-409C-BE32-E72D297353CC}">
              <c16:uniqueId val="{00000000-E395-45A1-8954-3D899BE49581}"/>
            </c:ext>
          </c:extLst>
        </c:ser>
        <c:ser>
          <c:idx val="1"/>
          <c:order val="1"/>
          <c:tx>
            <c:strRef>
              <c:f>Sheet4!$A$18</c:f>
              <c:strCache>
                <c:ptCount val="1"/>
                <c:pt idx="0">
                  <c:v>Эмэгтэй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Sheet4!$B$28:$D$28</c:f>
              <c:numCache>
                <c:formatCode>General</c:formatCode>
                <c:ptCount val="3"/>
                <c:pt idx="0">
                  <c:v>2000</c:v>
                </c:pt>
                <c:pt idx="1">
                  <c:v>2010</c:v>
                </c:pt>
                <c:pt idx="2">
                  <c:v>2015</c:v>
                </c:pt>
              </c:numCache>
            </c:numRef>
          </c:cat>
          <c:val>
            <c:numRef>
              <c:f>Sheet4!$B$36:$D$36</c:f>
              <c:numCache>
                <c:formatCode>0.0</c:formatCode>
                <c:ptCount val="3"/>
                <c:pt idx="0">
                  <c:v>2.8896023709557848</c:v>
                </c:pt>
                <c:pt idx="1">
                  <c:v>10.200672775780069</c:v>
                </c:pt>
                <c:pt idx="2" formatCode="General">
                  <c:v>12.5</c:v>
                </c:pt>
              </c:numCache>
            </c:numRef>
          </c:val>
          <c:extLst>
            <c:ext xmlns:c16="http://schemas.microsoft.com/office/drawing/2014/chart" uri="{C3380CC4-5D6E-409C-BE32-E72D297353CC}">
              <c16:uniqueId val="{00000001-E395-45A1-8954-3D899BE49581}"/>
            </c:ext>
          </c:extLst>
        </c:ser>
        <c:dLbls>
          <c:showLegendKey val="0"/>
          <c:showVal val="0"/>
          <c:showCatName val="0"/>
          <c:showSerName val="0"/>
          <c:showPercent val="0"/>
          <c:showBubbleSize val="0"/>
        </c:dLbls>
        <c:gapWidth val="219"/>
        <c:overlap val="-27"/>
        <c:axId val="217928832"/>
        <c:axId val="217930368"/>
      </c:barChart>
      <c:catAx>
        <c:axId val="2179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fr-FR"/>
          </a:p>
        </c:txPr>
        <c:crossAx val="217930368"/>
        <c:crosses val="autoZero"/>
        <c:auto val="1"/>
        <c:lblAlgn val="ctr"/>
        <c:lblOffset val="100"/>
        <c:noMultiLvlLbl val="0"/>
      </c:catAx>
      <c:valAx>
        <c:axId val="2179303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fr-FR"/>
          </a:p>
        </c:txPr>
        <c:crossAx val="217928832"/>
        <c:crosses val="autoZero"/>
        <c:crossBetween val="between"/>
      </c:valAx>
      <c:spPr>
        <a:noFill/>
        <a:ln>
          <a:noFill/>
        </a:ln>
        <a:effectLst/>
      </c:spPr>
    </c:plotArea>
    <c:legend>
      <c:legendPos val="b"/>
      <c:layout>
        <c:manualLayout>
          <c:xMode val="edge"/>
          <c:yMode val="edge"/>
          <c:x val="0.13723864005018441"/>
          <c:y val="0.85549119978292965"/>
          <c:w val="0.44249910307974094"/>
          <c:h val="0.10569600768094843"/>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rgbClr val="002060"/>
          </a:solidFill>
          <a:latin typeface="Arial" panose="020B0604020202020204" pitchFamily="34" charset="0"/>
          <a:cs typeface="Arial" panose="020B0604020202020204" pitchFamily="34" charset="0"/>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fr-FR" sz="1200" b="1" i="0" u="none" strike="noStrike" baseline="0">
                <a:effectLst/>
              </a:rPr>
              <a:t>Prestations versées aux Tsaatans</a:t>
            </a:r>
            <a:endParaRPr lang="en-US" sz="10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Family</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93</c:v>
                </c:pt>
                <c:pt idx="1">
                  <c:v>93</c:v>
                </c:pt>
                <c:pt idx="2">
                  <c:v>94</c:v>
                </c:pt>
                <c:pt idx="3">
                  <c:v>97</c:v>
                </c:pt>
                <c:pt idx="4">
                  <c:v>94</c:v>
                </c:pt>
              </c:numCache>
            </c:numRef>
          </c:val>
          <c:extLst>
            <c:ext xmlns:c16="http://schemas.microsoft.com/office/drawing/2014/chart" uri="{C3380CC4-5D6E-409C-BE32-E72D297353CC}">
              <c16:uniqueId val="{00000000-5F79-4667-A5FC-20404CB9CAF6}"/>
            </c:ext>
          </c:extLst>
        </c:ser>
        <c:ser>
          <c:idx val="1"/>
          <c:order val="1"/>
          <c:tx>
            <c:strRef>
              <c:f>Sheet1!$C$1</c:f>
              <c:strCache>
                <c:ptCount val="1"/>
                <c:pt idx="0">
                  <c:v>Person</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343</c:v>
                </c:pt>
                <c:pt idx="1">
                  <c:v>345</c:v>
                </c:pt>
                <c:pt idx="2">
                  <c:v>334</c:v>
                </c:pt>
                <c:pt idx="3">
                  <c:v>368</c:v>
                </c:pt>
                <c:pt idx="4">
                  <c:v>382</c:v>
                </c:pt>
              </c:numCache>
            </c:numRef>
          </c:val>
          <c:extLst>
            <c:ext xmlns:c16="http://schemas.microsoft.com/office/drawing/2014/chart" uri="{C3380CC4-5D6E-409C-BE32-E72D297353CC}">
              <c16:uniqueId val="{00000001-5F79-4667-A5FC-20404CB9CAF6}"/>
            </c:ext>
          </c:extLst>
        </c:ser>
        <c:ser>
          <c:idx val="2"/>
          <c:order val="2"/>
          <c:tx>
            <c:strRef>
              <c:f>Sheet1!$D$1</c:f>
              <c:strCache>
                <c:ptCount val="1"/>
                <c:pt idx="0">
                  <c:v>Total amount</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250.6</c:v>
                </c:pt>
                <c:pt idx="1">
                  <c:v>433.9</c:v>
                </c:pt>
                <c:pt idx="2">
                  <c:v>426.6</c:v>
                </c:pt>
                <c:pt idx="3">
                  <c:v>417.8</c:v>
                </c:pt>
                <c:pt idx="4">
                  <c:v>599.9</c:v>
                </c:pt>
              </c:numCache>
            </c:numRef>
          </c:val>
          <c:extLst>
            <c:ext xmlns:c16="http://schemas.microsoft.com/office/drawing/2014/chart" uri="{C3380CC4-5D6E-409C-BE32-E72D297353CC}">
              <c16:uniqueId val="{00000002-5F79-4667-A5FC-20404CB9CAF6}"/>
            </c:ext>
          </c:extLst>
        </c:ser>
        <c:dLbls>
          <c:showLegendKey val="0"/>
          <c:showVal val="0"/>
          <c:showCatName val="0"/>
          <c:showSerName val="0"/>
          <c:showPercent val="0"/>
          <c:showBubbleSize val="0"/>
        </c:dLbls>
        <c:gapWidth val="75"/>
        <c:overlap val="-25"/>
        <c:axId val="217567232"/>
        <c:axId val="217568768"/>
      </c:barChart>
      <c:catAx>
        <c:axId val="217567232"/>
        <c:scaling>
          <c:orientation val="minMax"/>
        </c:scaling>
        <c:delete val="0"/>
        <c:axPos val="b"/>
        <c:numFmt formatCode="General" sourceLinked="1"/>
        <c:majorTickMark val="none"/>
        <c:minorTickMark val="none"/>
        <c:tickLblPos val="nextTo"/>
        <c:crossAx val="217568768"/>
        <c:crosses val="autoZero"/>
        <c:auto val="1"/>
        <c:lblAlgn val="ctr"/>
        <c:lblOffset val="100"/>
        <c:noMultiLvlLbl val="0"/>
      </c:catAx>
      <c:valAx>
        <c:axId val="217568768"/>
        <c:scaling>
          <c:orientation val="minMax"/>
        </c:scaling>
        <c:delete val="0"/>
        <c:axPos val="l"/>
        <c:majorGridlines/>
        <c:numFmt formatCode="General" sourceLinked="1"/>
        <c:majorTickMark val="none"/>
        <c:minorTickMark val="none"/>
        <c:tickLblPos val="nextTo"/>
        <c:spPr>
          <a:ln w="9525">
            <a:noFill/>
          </a:ln>
        </c:spPr>
        <c:txPr>
          <a:bodyPr/>
          <a:lstStyle/>
          <a:p>
            <a:pPr>
              <a:defRPr sz="900" baseline="0">
                <a:latin typeface="+mn-lt"/>
                <a:cs typeface="Arial" panose="020B0604020202020204" pitchFamily="34" charset="0"/>
              </a:defRPr>
            </a:pPr>
            <a:endParaRPr lang="fr-FR"/>
          </a:p>
        </c:txPr>
        <c:crossAx val="217567232"/>
        <c:crosses val="autoZero"/>
        <c:crossBetween val="between"/>
      </c:valAx>
      <c:dTable>
        <c:showHorzBorder val="1"/>
        <c:showVertBorder val="1"/>
        <c:showOutline val="1"/>
        <c:showKeys val="0"/>
        <c:txPr>
          <a:bodyPr/>
          <a:lstStyle/>
          <a:p>
            <a:pPr rtl="0">
              <a:defRPr sz="800" baseline="0">
                <a:latin typeface="+mn-lt"/>
                <a:cs typeface="Arial" panose="020B0604020202020204" pitchFamily="34" charset="0"/>
              </a:defRPr>
            </a:pPr>
            <a:endParaRPr lang="fr-FR"/>
          </a:p>
        </c:txPr>
      </c:dTable>
    </c:plotArea>
    <c:legend>
      <c:legendPos val="b"/>
      <c:layout>
        <c:manualLayout>
          <c:xMode val="edge"/>
          <c:yMode val="edge"/>
          <c:x val="0.26280321529176581"/>
          <c:y val="0.86254763071841245"/>
          <c:w val="0.47651986085471465"/>
          <c:h val="7.6171940771554328E-2"/>
        </c:manualLayout>
      </c:layout>
      <c:overlay val="0"/>
      <c:txPr>
        <a:bodyPr/>
        <a:lstStyle/>
        <a:p>
          <a:pPr>
            <a:defRPr sz="900">
              <a:latin typeface="+mn-lt"/>
              <a:cs typeface="Arial" panose="020B0604020202020204" pitchFamily="34" charset="0"/>
            </a:defRPr>
          </a:pPr>
          <a:endParaRPr lang="fr-FR"/>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0.52668</cdr:x>
      <cdr:y>0.85763</cdr:y>
    </cdr:from>
    <cdr:to>
      <cdr:x>0.61261</cdr:x>
      <cdr:y>0.94981</cdr:y>
    </cdr:to>
    <cdr:sp macro="" textlink="">
      <cdr:nvSpPr>
        <cdr:cNvPr id="2" name="TextBox 1"/>
        <cdr:cNvSpPr txBox="1"/>
      </cdr:nvSpPr>
      <cdr:spPr>
        <a:xfrm xmlns:a="http://schemas.openxmlformats.org/drawingml/2006/main">
          <a:off x="2895600" y="1630680"/>
          <a:ext cx="472440"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mn-MN" sz="1100"/>
        </a:p>
      </cdr:txBody>
    </cdr:sp>
  </cdr:relSizeAnchor>
  <cdr:relSizeAnchor xmlns:cdr="http://schemas.openxmlformats.org/drawingml/2006/chartDrawing">
    <cdr:from>
      <cdr:x>0</cdr:x>
      <cdr:y>0</cdr:y>
    </cdr:from>
    <cdr:to>
      <cdr:x>0.08593</cdr:x>
      <cdr:y>0.09218</cdr:y>
    </cdr:to>
    <cdr:sp macro="" textlink="">
      <cdr:nvSpPr>
        <cdr:cNvPr id="3" name="TextBox 1"/>
        <cdr:cNvSpPr txBox="1"/>
      </cdr:nvSpPr>
      <cdr:spPr>
        <a:xfrm xmlns:a="http://schemas.openxmlformats.org/drawingml/2006/main">
          <a:off x="0" y="0"/>
          <a:ext cx="472440" cy="175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mn-MN" sz="1100"/>
        </a:p>
      </cdr:txBody>
    </cdr:sp>
  </cdr:relSizeAnchor>
  <cdr:relSizeAnchor xmlns:cdr="http://schemas.openxmlformats.org/drawingml/2006/chartDrawing">
    <cdr:from>
      <cdr:x>0.4158</cdr:x>
      <cdr:y>0.8416</cdr:y>
    </cdr:from>
    <cdr:to>
      <cdr:x>0.53811</cdr:x>
      <cdr:y>0.9458</cdr:y>
    </cdr:to>
    <cdr:sp macro="" textlink="">
      <cdr:nvSpPr>
        <cdr:cNvPr id="4" name="TextBox 3"/>
        <cdr:cNvSpPr txBox="1"/>
      </cdr:nvSpPr>
      <cdr:spPr>
        <a:xfrm xmlns:a="http://schemas.openxmlformats.org/drawingml/2006/main">
          <a:off x="2202035" y="1612867"/>
          <a:ext cx="647751" cy="19969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fr-FR" sz="1000">
              <a:solidFill>
                <a:schemeClr val="tx2">
                  <a:lumMod val="75000"/>
                </a:schemeClr>
              </a:solidFill>
            </a:rPr>
            <a:t>Femmes</a:t>
          </a:r>
          <a:endParaRPr lang="mn-MN" sz="1000">
            <a:solidFill>
              <a:schemeClr val="tx2">
                <a:lumMod val="75000"/>
              </a:schemeClr>
            </a:solidFill>
          </a:endParaRPr>
        </a:p>
      </cdr:txBody>
    </cdr:sp>
  </cdr:relSizeAnchor>
  <cdr:relSizeAnchor xmlns:cdr="http://schemas.openxmlformats.org/drawingml/2006/chartDrawing">
    <cdr:from>
      <cdr:x>0.14553</cdr:x>
      <cdr:y>0.59924</cdr:y>
    </cdr:from>
    <cdr:to>
      <cdr:x>0.95634</cdr:x>
      <cdr:y>1</cdr:y>
    </cdr:to>
    <cdr:sp macro="" textlink="">
      <cdr:nvSpPr>
        <cdr:cNvPr id="6" name="TextBox 5"/>
        <cdr:cNvSpPr txBox="1"/>
      </cdr:nvSpPr>
      <cdr:spPr>
        <a:xfrm xmlns:a="http://schemas.openxmlformats.org/drawingml/2006/main">
          <a:off x="800100" y="2171700"/>
          <a:ext cx="4457700" cy="762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mn-MN" sz="1100"/>
        </a:p>
      </cdr:txBody>
    </cdr:sp>
  </cdr:relSizeAnchor>
  <cdr:relSizeAnchor xmlns:cdr="http://schemas.openxmlformats.org/drawingml/2006/chartDrawing">
    <cdr:from>
      <cdr:x>0</cdr:x>
      <cdr:y>5.21804E-7</cdr:y>
    </cdr:from>
    <cdr:to>
      <cdr:x>0.93617</cdr:x>
      <cdr:y>0.23857</cdr:y>
    </cdr:to>
    <cdr:sp macro="" textlink="">
      <cdr:nvSpPr>
        <cdr:cNvPr id="7" name="TextBox 6"/>
        <cdr:cNvSpPr txBox="1"/>
      </cdr:nvSpPr>
      <cdr:spPr>
        <a:xfrm xmlns:a="http://schemas.openxmlformats.org/drawingml/2006/main">
          <a:off x="0" y="1"/>
          <a:ext cx="4957863"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36000" rIns="0" bIns="0" rtlCol="0"/>
        <a:lstStyle xmlns:a="http://schemas.openxmlformats.org/drawingml/2006/main"/>
        <a:p xmlns:a="http://schemas.openxmlformats.org/drawingml/2006/main">
          <a:pPr algn="l" defTabSz="0">
            <a:spcBef>
              <a:spcPts val="600"/>
            </a:spcBef>
          </a:pPr>
          <a:r>
            <a:rPr lang="en-US" sz="1000" b="1" baseline="0">
              <a:solidFill>
                <a:schemeClr val="tx1"/>
              </a:solidFill>
              <a:latin typeface="Times New Roman" panose="02020603050405020304" pitchFamily="18" charset="0"/>
              <a:cs typeface="Times New Roman" panose="02020603050405020304" pitchFamily="18" charset="0"/>
            </a:rPr>
            <a:t>Proportion de Kazakhs ayant obtenu un certificat d’études supérieures ou une licence, ou suivi des études supérieures (par année de recensement)</a:t>
          </a:r>
          <a:endParaRPr lang="mn-MN"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0.42719</cdr:x>
      <cdr:y>0.84326</cdr:y>
    </cdr:from>
    <cdr:to>
      <cdr:x>0.5495</cdr:x>
      <cdr:y>0.94746</cdr:y>
    </cdr:to>
    <cdr:sp macro="" textlink="">
      <cdr:nvSpPr>
        <cdr:cNvPr id="8" name="TextBox 3"/>
        <cdr:cNvSpPr txBox="1"/>
      </cdr:nvSpPr>
      <cdr:spPr>
        <a:xfrm xmlns:a="http://schemas.openxmlformats.org/drawingml/2006/main">
          <a:off x="2262360" y="1616042"/>
          <a:ext cx="647742" cy="19969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00">
              <a:solidFill>
                <a:schemeClr val="tx2">
                  <a:lumMod val="75000"/>
                </a:schemeClr>
              </a:solidFill>
            </a:rPr>
            <a:t>Femmes</a:t>
          </a:r>
          <a:endParaRPr lang="mn-MN" sz="1000">
            <a:solidFill>
              <a:schemeClr val="tx2">
                <a:lumMod val="7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CERD.dotm</Template>
  <TotalTime>9</TotalTime>
  <Pages>16</Pages>
  <Words>8282</Words>
  <Characters>45552</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CERD/C/MNG/23-24</vt:lpstr>
    </vt:vector>
  </TitlesOfParts>
  <Company>DCM</Company>
  <LinksUpToDate>false</LinksUpToDate>
  <CharactersWithSpaces>53727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CERD/C/MNG/23-24</dc:title>
  <dc:subject/>
  <dc:creator>Fabienne CRELIER</dc:creator>
  <cp:keywords/>
  <cp:lastModifiedBy>Fabienne Crelier</cp:lastModifiedBy>
  <cp:revision>3</cp:revision>
  <cp:lastPrinted>2019-05-22T10:08:00Z</cp:lastPrinted>
  <dcterms:created xsi:type="dcterms:W3CDTF">2019-05-22T10:08:00Z</dcterms:created>
  <dcterms:modified xsi:type="dcterms:W3CDTF">2019-05-22T10:17:00Z</dcterms:modified>
</cp:coreProperties>
</file>