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7834C3" w:rsidTr="009D5F1A">
        <w:trPr>
          <w:trHeight w:hRule="exact" w:val="851"/>
        </w:trPr>
        <w:tc>
          <w:tcPr>
            <w:tcW w:w="1276" w:type="dxa"/>
            <w:tcBorders>
              <w:bottom w:val="single" w:sz="4" w:space="0" w:color="auto"/>
            </w:tcBorders>
          </w:tcPr>
          <w:p w:rsidR="00DC0149" w:rsidRPr="00DB58B5" w:rsidRDefault="00DC0149" w:rsidP="00C92B51">
            <w:bookmarkStart w:id="0" w:name="_GoBack"/>
            <w:bookmarkEnd w:id="0"/>
          </w:p>
        </w:tc>
        <w:tc>
          <w:tcPr>
            <w:tcW w:w="2268" w:type="dxa"/>
            <w:tcBorders>
              <w:bottom w:val="single" w:sz="4" w:space="0" w:color="auto"/>
            </w:tcBorders>
            <w:vAlign w:val="bottom"/>
          </w:tcPr>
          <w:p w:rsidR="00DC0149" w:rsidRPr="007834C3" w:rsidRDefault="00DC0149" w:rsidP="009D5F1A">
            <w:pPr>
              <w:spacing w:after="80" w:line="300" w:lineRule="exact"/>
              <w:rPr>
                <w:sz w:val="28"/>
              </w:rPr>
            </w:pPr>
            <w:r w:rsidRPr="007834C3">
              <w:rPr>
                <w:sz w:val="28"/>
              </w:rPr>
              <w:t>Nations Unies</w:t>
            </w:r>
          </w:p>
        </w:tc>
        <w:tc>
          <w:tcPr>
            <w:tcW w:w="6095" w:type="dxa"/>
            <w:gridSpan w:val="2"/>
            <w:tcBorders>
              <w:bottom w:val="single" w:sz="4" w:space="0" w:color="auto"/>
            </w:tcBorders>
            <w:vAlign w:val="bottom"/>
          </w:tcPr>
          <w:p w:rsidR="00DC0149" w:rsidRPr="007834C3" w:rsidRDefault="00C92B51" w:rsidP="00C92B51">
            <w:pPr>
              <w:jc w:val="right"/>
            </w:pPr>
            <w:r w:rsidRPr="007834C3">
              <w:rPr>
                <w:sz w:val="40"/>
              </w:rPr>
              <w:t>CERD</w:t>
            </w:r>
            <w:r w:rsidRPr="007834C3">
              <w:t>/C/URY/CO/21-23/Add.1</w:t>
            </w:r>
          </w:p>
        </w:tc>
      </w:tr>
      <w:tr w:rsidR="00DC0149" w:rsidRPr="007834C3" w:rsidTr="009D5F1A">
        <w:trPr>
          <w:trHeight w:hRule="exact" w:val="2835"/>
        </w:trPr>
        <w:tc>
          <w:tcPr>
            <w:tcW w:w="1276" w:type="dxa"/>
            <w:tcBorders>
              <w:top w:val="single" w:sz="4" w:space="0" w:color="auto"/>
              <w:bottom w:val="single" w:sz="12" w:space="0" w:color="auto"/>
            </w:tcBorders>
          </w:tcPr>
          <w:p w:rsidR="00DC0149" w:rsidRPr="007834C3" w:rsidRDefault="00DC0149" w:rsidP="009D5F1A">
            <w:pPr>
              <w:spacing w:before="120"/>
              <w:jc w:val="center"/>
            </w:pPr>
            <w:r w:rsidRPr="007834C3">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834C3" w:rsidRDefault="00DC0149" w:rsidP="009D5F1A">
            <w:pPr>
              <w:spacing w:before="120" w:line="380" w:lineRule="exact"/>
              <w:rPr>
                <w:b/>
                <w:sz w:val="40"/>
                <w:szCs w:val="40"/>
              </w:rPr>
            </w:pPr>
            <w:r w:rsidRPr="007834C3">
              <w:rPr>
                <w:b/>
                <w:sz w:val="34"/>
                <w:szCs w:val="34"/>
              </w:rPr>
              <w:t>Convention internationale sur</w:t>
            </w:r>
            <w:r w:rsidRPr="007834C3">
              <w:rPr>
                <w:b/>
                <w:sz w:val="34"/>
                <w:szCs w:val="34"/>
              </w:rPr>
              <w:br/>
              <w:t>l’élimination de toutes les formes</w:t>
            </w:r>
            <w:r w:rsidRPr="007834C3">
              <w:rPr>
                <w:b/>
                <w:sz w:val="34"/>
                <w:szCs w:val="34"/>
              </w:rPr>
              <w:br/>
              <w:t>de discrimination raciale</w:t>
            </w:r>
          </w:p>
        </w:tc>
        <w:tc>
          <w:tcPr>
            <w:tcW w:w="2835" w:type="dxa"/>
            <w:tcBorders>
              <w:top w:val="single" w:sz="4" w:space="0" w:color="auto"/>
              <w:bottom w:val="single" w:sz="12" w:space="0" w:color="auto"/>
            </w:tcBorders>
          </w:tcPr>
          <w:p w:rsidR="00DC0149" w:rsidRPr="007834C3" w:rsidRDefault="00C92B51" w:rsidP="009D5F1A">
            <w:pPr>
              <w:spacing w:before="240"/>
            </w:pPr>
            <w:r w:rsidRPr="007834C3">
              <w:t>Distr. générale</w:t>
            </w:r>
          </w:p>
          <w:p w:rsidR="00C92B51" w:rsidRPr="007834C3" w:rsidRDefault="00C92B51" w:rsidP="00C92B51">
            <w:pPr>
              <w:spacing w:line="240" w:lineRule="exact"/>
            </w:pPr>
            <w:r w:rsidRPr="007834C3">
              <w:t>9 mars 2018</w:t>
            </w:r>
          </w:p>
          <w:p w:rsidR="00C92B51" w:rsidRPr="007834C3" w:rsidRDefault="00C92B51" w:rsidP="00C92B51">
            <w:pPr>
              <w:spacing w:line="240" w:lineRule="exact"/>
            </w:pPr>
            <w:r w:rsidRPr="007834C3">
              <w:t>Français</w:t>
            </w:r>
          </w:p>
          <w:p w:rsidR="00C92B51" w:rsidRPr="007834C3" w:rsidRDefault="002D2AA1" w:rsidP="00C92B51">
            <w:pPr>
              <w:spacing w:line="240" w:lineRule="exact"/>
            </w:pPr>
            <w:r w:rsidRPr="007834C3">
              <w:t>Original </w:t>
            </w:r>
            <w:r w:rsidR="00C92B51" w:rsidRPr="007834C3">
              <w:t>: espagnol</w:t>
            </w:r>
          </w:p>
          <w:p w:rsidR="00C92B51" w:rsidRPr="007834C3" w:rsidRDefault="00C92B51" w:rsidP="00C92B51">
            <w:pPr>
              <w:spacing w:line="240" w:lineRule="exact"/>
            </w:pPr>
            <w:r w:rsidRPr="007834C3">
              <w:t>Anglais, espagnol et français seulement</w:t>
            </w:r>
          </w:p>
        </w:tc>
      </w:tr>
    </w:tbl>
    <w:p w:rsidR="00623CA8" w:rsidRPr="007834C3" w:rsidRDefault="00623CA8" w:rsidP="00623CA8">
      <w:pPr>
        <w:spacing w:before="120"/>
        <w:rPr>
          <w:b/>
          <w:sz w:val="24"/>
          <w:szCs w:val="24"/>
        </w:rPr>
      </w:pPr>
      <w:r w:rsidRPr="007834C3">
        <w:rPr>
          <w:b/>
          <w:sz w:val="24"/>
          <w:szCs w:val="24"/>
        </w:rPr>
        <w:t>Comité pour l’élimination de la discrimination raciale</w:t>
      </w:r>
    </w:p>
    <w:p w:rsidR="00B21814" w:rsidRPr="007834C3" w:rsidRDefault="00B21814" w:rsidP="00D47EFD">
      <w:pPr>
        <w:pStyle w:val="HChG"/>
        <w:rPr>
          <w:lang w:val="fr-FR"/>
        </w:rPr>
      </w:pPr>
      <w:r w:rsidRPr="007834C3">
        <w:rPr>
          <w:lang w:val="fr-FR"/>
        </w:rPr>
        <w:tab/>
      </w:r>
      <w:r w:rsidRPr="007834C3">
        <w:rPr>
          <w:lang w:val="fr-FR"/>
        </w:rPr>
        <w:tab/>
        <w:t>Observations finales concernant le rapport de l’</w:t>
      </w:r>
      <w:r w:rsidR="00D0223B" w:rsidRPr="007834C3">
        <w:rPr>
          <w:lang w:val="fr-FR"/>
        </w:rPr>
        <w:t xml:space="preserve">Uruguay valant vingt et </w:t>
      </w:r>
      <w:r w:rsidRPr="007834C3">
        <w:rPr>
          <w:lang w:val="fr-FR"/>
        </w:rPr>
        <w:t>unième à vingt-troisième rapports périodiques</w:t>
      </w:r>
    </w:p>
    <w:p w:rsidR="00B21814" w:rsidRPr="007834C3" w:rsidRDefault="00B21814" w:rsidP="00D47EFD">
      <w:pPr>
        <w:pStyle w:val="H23G"/>
        <w:rPr>
          <w:lang w:val="fr-FR"/>
        </w:rPr>
      </w:pPr>
      <w:r w:rsidRPr="007834C3">
        <w:rPr>
          <w:lang w:val="fr-FR"/>
        </w:rPr>
        <w:tab/>
      </w:r>
      <w:r w:rsidRPr="007834C3">
        <w:rPr>
          <w:lang w:val="fr-FR"/>
        </w:rPr>
        <w:tab/>
        <w:t>Additif</w:t>
      </w:r>
    </w:p>
    <w:p w:rsidR="00D47EFD" w:rsidRPr="007834C3" w:rsidRDefault="00B21814" w:rsidP="00D47EFD">
      <w:pPr>
        <w:pStyle w:val="HChG"/>
        <w:rPr>
          <w:b w:val="0"/>
          <w:sz w:val="20"/>
          <w:lang w:val="fr-FR"/>
        </w:rPr>
      </w:pPr>
      <w:r w:rsidRPr="007834C3">
        <w:rPr>
          <w:lang w:val="fr-FR"/>
        </w:rPr>
        <w:tab/>
      </w:r>
      <w:r w:rsidRPr="007834C3">
        <w:rPr>
          <w:lang w:val="fr-FR"/>
        </w:rPr>
        <w:tab/>
        <w:t>Renseignements reçus de l’Uruguay au sujet de la suite donnée aux observations finales</w:t>
      </w:r>
      <w:r w:rsidRPr="007834C3">
        <w:rPr>
          <w:noProof/>
          <w:sz w:val="20"/>
          <w:lang w:eastAsia="fr-CH"/>
        </w:rPr>
        <w:drawing>
          <wp:anchor distT="0" distB="0" distL="114300" distR="114300" simplePos="0" relativeHeight="251659264" behindDoc="0" locked="1" layoutInCell="1" allowOverlap="1" wp14:anchorId="761F7EF9" wp14:editId="315708A6">
            <wp:simplePos x="0" y="0"/>
            <wp:positionH relativeFrom="margin">
              <wp:posOffset>5039995</wp:posOffset>
            </wp:positionH>
            <wp:positionV relativeFrom="margin">
              <wp:posOffset>10043795</wp:posOffset>
            </wp:positionV>
            <wp:extent cx="1085850" cy="228600"/>
            <wp:effectExtent l="0" t="0" r="0" b="0"/>
            <wp:wrapNone/>
            <wp:docPr id="4"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cycle_Span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D47EFD" w:rsidRPr="007834C3">
        <w:rPr>
          <w:rStyle w:val="Appelnotedebasdep"/>
          <w:b w:val="0"/>
          <w:sz w:val="20"/>
          <w:vertAlign w:val="baseline"/>
          <w:lang w:val="fr-FR"/>
        </w:rPr>
        <w:footnoteReference w:customMarkFollows="1" w:id="2"/>
        <w:t>*</w:t>
      </w:r>
      <w:r w:rsidR="00D47EFD" w:rsidRPr="007834C3">
        <w:rPr>
          <w:b w:val="0"/>
          <w:sz w:val="20"/>
          <w:vertAlign w:val="superscript"/>
          <w:lang w:val="fr-FR"/>
        </w:rPr>
        <w:t xml:space="preserve">, </w:t>
      </w:r>
      <w:r w:rsidR="00D47EFD" w:rsidRPr="007834C3">
        <w:rPr>
          <w:rStyle w:val="Appelnotedebasdep"/>
          <w:b w:val="0"/>
          <w:sz w:val="20"/>
          <w:vertAlign w:val="baseline"/>
        </w:rPr>
        <w:footnoteReference w:customMarkFollows="1" w:id="3"/>
        <w:t>**</w:t>
      </w:r>
    </w:p>
    <w:p w:rsidR="00B21814" w:rsidRPr="007834C3" w:rsidRDefault="00B21814" w:rsidP="00D47EFD">
      <w:pPr>
        <w:pStyle w:val="SingleTxtG"/>
        <w:jc w:val="right"/>
        <w:rPr>
          <w:lang w:val="fr-FR"/>
        </w:rPr>
      </w:pPr>
      <w:r w:rsidRPr="007834C3">
        <w:rPr>
          <w:lang w:val="fr-FR"/>
        </w:rPr>
        <w:t>[Date de réception : 12 février 2018]</w:t>
      </w:r>
    </w:p>
    <w:p w:rsidR="00B21814" w:rsidRPr="007834C3" w:rsidRDefault="00B21814" w:rsidP="00042650">
      <w:pPr>
        <w:pStyle w:val="HChG"/>
        <w:rPr>
          <w:lang w:val="fr-FR"/>
        </w:rPr>
      </w:pPr>
      <w:r w:rsidRPr="007834C3">
        <w:rPr>
          <w:lang w:val="fr-FR"/>
        </w:rPr>
        <w:br w:type="page"/>
      </w:r>
      <w:r w:rsidRPr="007834C3">
        <w:rPr>
          <w:lang w:val="fr-FR"/>
        </w:rPr>
        <w:lastRenderedPageBreak/>
        <w:tab/>
      </w:r>
      <w:r w:rsidRPr="007834C3">
        <w:rPr>
          <w:lang w:val="fr-FR"/>
        </w:rPr>
        <w:tab/>
        <w:t>Introduction</w:t>
      </w:r>
    </w:p>
    <w:p w:rsidR="00B21814" w:rsidRPr="007834C3" w:rsidRDefault="002D2AA1" w:rsidP="002D2AA1">
      <w:pPr>
        <w:pStyle w:val="H4G"/>
        <w:rPr>
          <w:shd w:val="clear" w:color="auto" w:fill="FFFFFF"/>
          <w:lang w:val="fr-FR"/>
        </w:rPr>
      </w:pPr>
      <w:r w:rsidRPr="007834C3">
        <w:rPr>
          <w:shd w:val="clear" w:color="auto" w:fill="FFFFFF"/>
          <w:lang w:val="fr-FR"/>
        </w:rPr>
        <w:tab/>
      </w:r>
      <w:r w:rsidRPr="007834C3">
        <w:rPr>
          <w:shd w:val="clear" w:color="auto" w:fill="FFFFFF"/>
          <w:lang w:val="fr-FR"/>
        </w:rPr>
        <w:tab/>
        <w:t>42.</w:t>
      </w:r>
      <w:r w:rsidR="00B21814" w:rsidRPr="007834C3">
        <w:rPr>
          <w:shd w:val="clear" w:color="auto" w:fill="FFFFFF"/>
          <w:lang w:val="fr-FR"/>
        </w:rPr>
        <w:tab/>
        <w:t>Conformément au paragraphe 1 de l’article 9 de la Convention et à l’article 65 de son règlement intérieur, le Comité demande à l’État partie de fournir, dans un délai d’un an à compter de l’adoption des présentes observations finales, des renseignements sur la suite qu’il aura donnée aux recommandations figurant dans les paragraphes 19 et 21 [</w:t>
      </w:r>
      <w:r w:rsidR="00042650" w:rsidRPr="007834C3">
        <w:rPr>
          <w:shd w:val="clear" w:color="auto" w:fill="FFFFFF"/>
          <w:lang w:val="fr-FR"/>
        </w:rPr>
        <w:t>…</w:t>
      </w:r>
    </w:p>
    <w:p w:rsidR="00B21814" w:rsidRPr="007834C3" w:rsidRDefault="00B21814" w:rsidP="00042650">
      <w:pPr>
        <w:pStyle w:val="SingleTxtG"/>
        <w:rPr>
          <w:lang w:val="fr-FR"/>
        </w:rPr>
      </w:pPr>
      <w:r w:rsidRPr="007834C3">
        <w:rPr>
          <w:lang w:val="fr-FR"/>
        </w:rPr>
        <w:t>1.</w:t>
      </w:r>
      <w:r w:rsidRPr="007834C3">
        <w:rPr>
          <w:lang w:val="fr-FR"/>
        </w:rPr>
        <w:tab/>
        <w:t xml:space="preserve">Conformément à la demande du Comité, l’Uruguay soumet les présentes réponses et appelle l’attention sur le fait qu’il s’agit là du premier document établi et approuvé par la </w:t>
      </w:r>
      <w:r w:rsidRPr="007834C3">
        <w:rPr>
          <w:i/>
          <w:lang w:val="fr-FR"/>
        </w:rPr>
        <w:t>Conférence sur la discrimination</w:t>
      </w:r>
      <w:r w:rsidRPr="007834C3">
        <w:rPr>
          <w:lang w:val="fr-FR"/>
        </w:rPr>
        <w:t xml:space="preserve"> du Mécanisme national d’établissement de rapports et de suivi des recommandations, qui a vu le jour en 2016 a</w:t>
      </w:r>
      <w:r w:rsidR="00F94410">
        <w:rPr>
          <w:lang w:val="fr-FR"/>
        </w:rPr>
        <w:t>vec la création du Réseau inter</w:t>
      </w:r>
      <w:r w:rsidRPr="007834C3">
        <w:rPr>
          <w:lang w:val="fr-FR"/>
        </w:rPr>
        <w:t>institutions d’agents de liaison des organismes de l’administration publique compétents.</w:t>
      </w:r>
    </w:p>
    <w:p w:rsidR="00B21814" w:rsidRPr="007834C3" w:rsidRDefault="00042650" w:rsidP="00042650">
      <w:pPr>
        <w:pStyle w:val="SingleTxtG"/>
        <w:rPr>
          <w:lang w:val="fr-FR"/>
        </w:rPr>
      </w:pPr>
      <w:r w:rsidRPr="007834C3">
        <w:rPr>
          <w:lang w:val="fr-FR"/>
        </w:rPr>
        <w:t>2.</w:t>
      </w:r>
      <w:r w:rsidRPr="007834C3">
        <w:rPr>
          <w:lang w:val="fr-FR"/>
        </w:rPr>
        <w:tab/>
        <w:t>À sa séance du 17 </w:t>
      </w:r>
      <w:r w:rsidR="00B21814" w:rsidRPr="007834C3">
        <w:rPr>
          <w:lang w:val="fr-FR"/>
        </w:rPr>
        <w:t>novembre 2017, comme il ressort du procès-verbal ci-joint, la Conférence sur la discrimination a approuvé le présent document et a en outre décidé de faire appel aux organisations de la société civile par l’entremise du Mécanisme de dialogue et de consultation mis en place par le Ministère des relations extérieures, aux fins de transmission des réponses ci-après de l’Uruguay aux questions du Comité.</w:t>
      </w:r>
    </w:p>
    <w:p w:rsidR="00B21814" w:rsidRPr="007834C3" w:rsidRDefault="00B21814" w:rsidP="00042650">
      <w:pPr>
        <w:pStyle w:val="HChG"/>
        <w:rPr>
          <w:lang w:val="fr-FR"/>
        </w:rPr>
      </w:pPr>
      <w:r w:rsidRPr="007834C3">
        <w:rPr>
          <w:lang w:val="fr-FR"/>
        </w:rPr>
        <w:tab/>
      </w:r>
      <w:r w:rsidRPr="007834C3">
        <w:rPr>
          <w:lang w:val="fr-FR"/>
        </w:rPr>
        <w:tab/>
        <w:t>Droits politiques</w:t>
      </w:r>
    </w:p>
    <w:p w:rsidR="00B21814" w:rsidRPr="007834C3" w:rsidRDefault="00042650" w:rsidP="00042650">
      <w:pPr>
        <w:pStyle w:val="H4G"/>
        <w:rPr>
          <w:lang w:val="fr-FR"/>
        </w:rPr>
      </w:pPr>
      <w:r w:rsidRPr="007834C3">
        <w:rPr>
          <w:shd w:val="clear" w:color="auto" w:fill="FFFFFF"/>
          <w:lang w:val="fr-FR"/>
        </w:rPr>
        <w:tab/>
      </w:r>
      <w:r w:rsidRPr="007834C3">
        <w:rPr>
          <w:shd w:val="clear" w:color="auto" w:fill="FFFFFF"/>
          <w:lang w:val="fr-FR"/>
        </w:rPr>
        <w:tab/>
        <w:t>19.</w:t>
      </w:r>
      <w:r w:rsidR="00B21814" w:rsidRPr="007834C3">
        <w:rPr>
          <w:shd w:val="clear" w:color="auto" w:fill="FFFFFF"/>
          <w:lang w:val="fr-FR"/>
        </w:rPr>
        <w:tab/>
        <w:t>Le Comité recommande à l’État partie de prendre des mesures efficaces pour garantir la pleine participation aux affaires publiques des personnes d’ascendance africaine, aussi bien aux postes de décision que dans les institutions rep</w:t>
      </w:r>
      <w:r w:rsidR="00D51021">
        <w:rPr>
          <w:shd w:val="clear" w:color="auto" w:fill="FFFFFF"/>
          <w:lang w:val="fr-FR"/>
        </w:rPr>
        <w:t>résentatives. Il </w:t>
      </w:r>
      <w:r w:rsidR="00B21814" w:rsidRPr="007834C3">
        <w:rPr>
          <w:shd w:val="clear" w:color="auto" w:fill="FFFFFF"/>
          <w:lang w:val="fr-FR"/>
        </w:rPr>
        <w:t>invite instamment l’État partie à poursuivre ses efforts pour garantir la participation des personnes d’ascendance africaine, dans des conditions d’égalité, à tous les niveaux de l’administration publique centrale et locale, ainsi que pour promouvoir leur représentation aux postes de direction dans le secteur privé. Il recommande en outre à l’État partie de s’employer à sensibiliser les personnes d’ascendance africaine à l’importance de participer activement à la vie publique et politique.</w:t>
      </w:r>
    </w:p>
    <w:p w:rsidR="00B21814" w:rsidRPr="007834C3" w:rsidRDefault="00B21814" w:rsidP="00042650">
      <w:pPr>
        <w:pStyle w:val="SingleTxtG"/>
        <w:rPr>
          <w:lang w:val="fr-FR"/>
        </w:rPr>
      </w:pPr>
      <w:r w:rsidRPr="007834C3">
        <w:rPr>
          <w:lang w:val="fr-FR"/>
        </w:rPr>
        <w:t>3.</w:t>
      </w:r>
      <w:r w:rsidRPr="007834C3">
        <w:rPr>
          <w:lang w:val="fr-FR"/>
        </w:rPr>
        <w:tab/>
        <w:t>En vertu du décret présidentiel DS/181 de mars 2017, a été créé le Groupe de travail sur les politiques d’égalité raciale, qui relève du Ministère du développement social. Ce groupe de travail a vocation à mettre en œuvre les mesures prises dans le cadre de la Décennie internationale des personnes d’ascendance africaine proclamée par la résolution 68/237 de l’Assemblée générale des Nations Unies aux fins de renforcer les stratégies de promotion de ces personnes, et dont le thème est le suivant : « Personnes d’ascendance africaine : considérat</w:t>
      </w:r>
      <w:r w:rsidR="00042650" w:rsidRPr="007834C3">
        <w:rPr>
          <w:lang w:val="fr-FR"/>
        </w:rPr>
        <w:t>ion, justice et développement »</w:t>
      </w:r>
      <w:r w:rsidRPr="007834C3">
        <w:rPr>
          <w:lang w:val="fr-FR"/>
        </w:rPr>
        <w:t>.</w:t>
      </w:r>
    </w:p>
    <w:p w:rsidR="00B21814" w:rsidRPr="007834C3" w:rsidRDefault="00B21814" w:rsidP="00042650">
      <w:pPr>
        <w:pStyle w:val="SingleTxtG"/>
        <w:rPr>
          <w:lang w:val="fr-FR"/>
        </w:rPr>
      </w:pPr>
      <w:r w:rsidRPr="007834C3">
        <w:rPr>
          <w:lang w:val="fr-FR"/>
        </w:rPr>
        <w:t>4.</w:t>
      </w:r>
      <w:r w:rsidRPr="007834C3">
        <w:rPr>
          <w:lang w:val="fr-FR"/>
        </w:rPr>
        <w:tab/>
        <w:t xml:space="preserve">Le Groupe de travail s’attelle à renforcer les politiques publiques et les mesures volontaristes que l’Uruguay met en œuvre depuis 2005 en faveur des personnes d’ascendance africaine. Il travaille actuellement à la création et à la mise en service du Conseil national des politiques d’égalité raciale et à l’élaboration de son règlement. Le Groupe de travail a par ailleurs créé deux sous-commissions de travail, dont la première est chargée des questions territoriales et des frontières, et la seconde, du Système de protection des victimes de racisme ou de discrimination raciale. Chacune des deux sous-commissions s’est dotée d’une stratégie pour 2018-2019, parallèlement à l’élaboration du Plan national relatif à l’égalité raciale. </w:t>
      </w:r>
    </w:p>
    <w:p w:rsidR="00B21814" w:rsidRPr="007834C3" w:rsidRDefault="00B21814" w:rsidP="00042650">
      <w:pPr>
        <w:pStyle w:val="SingleTxtG"/>
        <w:rPr>
          <w:lang w:val="fr-FR"/>
        </w:rPr>
      </w:pPr>
      <w:r w:rsidRPr="007834C3">
        <w:rPr>
          <w:lang w:val="fr-FR"/>
        </w:rPr>
        <w:t>5.</w:t>
      </w:r>
      <w:r w:rsidRPr="007834C3">
        <w:rPr>
          <w:lang w:val="fr-FR"/>
        </w:rPr>
        <w:tab/>
        <w:t xml:space="preserve">Le Groupe de travail se compose d’un délégué de chacun des ministères suivants : Ministères du développement social ; des relations extérieures ; de l’intérieur ; de la défense nationale ; du logement, de l’aménagement du territoire et de l’environnement ; du tourisme et des sports, ainsi que du Secrétariat aux droits de l’homme de la présidence de la République, de la Banque de prévoyance sociale, </w:t>
      </w:r>
      <w:r w:rsidR="00CB4F93">
        <w:rPr>
          <w:lang w:val="fr-FR"/>
        </w:rPr>
        <w:t>de la Poste uruguayenne, de la m</w:t>
      </w:r>
      <w:r w:rsidRPr="007834C3">
        <w:rPr>
          <w:lang w:val="fr-FR"/>
        </w:rPr>
        <w:t>airie de Montevideo, du Congrès national des maires, du Conseil directeur central de l’Administration nationale de l’enseignement public, du Bureau de la planification et du budget et de l’Agence uruguayenne de coopération internationale.</w:t>
      </w:r>
    </w:p>
    <w:p w:rsidR="00B21814" w:rsidRPr="007834C3" w:rsidRDefault="00B21814" w:rsidP="00042650">
      <w:pPr>
        <w:pStyle w:val="SingleTxtG"/>
        <w:keepLines/>
        <w:rPr>
          <w:lang w:val="fr-FR"/>
        </w:rPr>
      </w:pPr>
      <w:r w:rsidRPr="007834C3">
        <w:rPr>
          <w:lang w:val="fr-FR"/>
        </w:rPr>
        <w:lastRenderedPageBreak/>
        <w:t>6.</w:t>
      </w:r>
      <w:r w:rsidRPr="007834C3">
        <w:rPr>
          <w:lang w:val="fr-FR"/>
        </w:rPr>
        <w:tab/>
        <w:t>Parmi les activités de diffusion et de sensibilisation mises en œuvre, on notera en particulier que conformément aux résultats et prévisions, il a été décidé de continuer à célébrer au mois de juillet le Mois de l’ascendance africaine au niveau national, dans le cadre de la Décennie internationale des personnes d’ascendance africaine (2015-2024). En 2017, l’accent a été mis en particulier sur l’obligation redditionnelle des pouvoirs publics et sur certains aspects de la situation de la population afro-uruguayenne, ce qui a donné lieu à des études et à la publication d’informations sur la situation de cette population.</w:t>
      </w:r>
    </w:p>
    <w:p w:rsidR="00B21814" w:rsidRPr="007834C3" w:rsidRDefault="00B21814" w:rsidP="00042650">
      <w:pPr>
        <w:pStyle w:val="SingleTxtG"/>
        <w:rPr>
          <w:lang w:val="fr-FR"/>
        </w:rPr>
      </w:pPr>
      <w:r w:rsidRPr="007834C3">
        <w:rPr>
          <w:lang w:val="fr-FR"/>
        </w:rPr>
        <w:t>7.</w:t>
      </w:r>
      <w:r w:rsidRPr="007834C3">
        <w:rPr>
          <w:lang w:val="fr-FR"/>
        </w:rPr>
        <w:tab/>
        <w:t>Il convient également de mentionner la tenue de la sixième édition, en 2017, du séminaire-débat QUILOMBO et celle de la réunion de travail consacrée aux progrès et difficultés concernant l’application de la loi n</w:t>
      </w:r>
      <w:r w:rsidR="00042650" w:rsidRPr="007834C3">
        <w:rPr>
          <w:vertAlign w:val="superscript"/>
          <w:lang w:val="fr-FR"/>
        </w:rPr>
        <w:t>o</w:t>
      </w:r>
      <w:r w:rsidRPr="007834C3">
        <w:rPr>
          <w:lang w:val="fr-FR"/>
        </w:rPr>
        <w:t> 19122 et de la deuxième journée universitaire sur l’ascendance africaine, ainsi que le financement d’un capital amorçage au profit de projets socioculturels de la communauté d’ascendance africaine dans tout le pays et le lancement d’un ouvrage intitulé « Intégration de la dimension ethnique et raciale et politiques publiques »</w:t>
      </w:r>
      <w:r w:rsidRPr="007834C3">
        <w:rPr>
          <w:rStyle w:val="Appelnotedebasdep"/>
        </w:rPr>
        <w:footnoteReference w:id="4"/>
      </w:r>
      <w:r w:rsidRPr="007834C3">
        <w:rPr>
          <w:lang w:val="fr-FR"/>
        </w:rPr>
        <w:t xml:space="preserve">, réalisé par la Division des droits de l’homme du Ministère du développement social. </w:t>
      </w:r>
    </w:p>
    <w:p w:rsidR="00B21814" w:rsidRPr="007834C3" w:rsidRDefault="00B21814" w:rsidP="00042650">
      <w:pPr>
        <w:pStyle w:val="SingleTxtG"/>
        <w:rPr>
          <w:lang w:val="fr-FR"/>
        </w:rPr>
      </w:pPr>
      <w:r w:rsidRPr="007834C3">
        <w:rPr>
          <w:lang w:val="fr-FR"/>
        </w:rPr>
        <w:t>8.</w:t>
      </w:r>
      <w:r w:rsidRPr="007834C3">
        <w:rPr>
          <w:lang w:val="fr-FR"/>
        </w:rPr>
        <w:tab/>
        <w:t>Enfin, la Journée internationale pour l’élimination de la discrimination raciale a été l’occasion de rendre publiques les recommandations reçues en 2016 du Comité pour l’élimination de la discrimination raciale, puis de présenter le rapport 2016 et le plan d’action 2017 de la Commission honoraire contre le racisme, la xénophobie et toutes les autres formes de discrimination.</w:t>
      </w:r>
    </w:p>
    <w:p w:rsidR="00B21814" w:rsidRPr="007834C3" w:rsidRDefault="00B21814" w:rsidP="00042650">
      <w:pPr>
        <w:pStyle w:val="SingleTxtG"/>
        <w:rPr>
          <w:lang w:val="fr-FR"/>
        </w:rPr>
      </w:pPr>
      <w:r w:rsidRPr="007834C3">
        <w:rPr>
          <w:lang w:val="fr-FR"/>
        </w:rPr>
        <w:t>9.</w:t>
      </w:r>
      <w:r w:rsidRPr="007834C3">
        <w:rPr>
          <w:lang w:val="fr-FR"/>
        </w:rPr>
        <w:tab/>
        <w:t xml:space="preserve">En 2017, des activités ont également été organisées en faveur des femmes d’ascendance africaine, à savoir la Conférence sur la double dimension du genre et de l’ascendance africaine dans les politiques publiques sur l’ensemble du territoire, qui s’adressait aux membres du Conseil national de l’égalité hommes-femmes et aux responsables politiques en général, la onzième édition du </w:t>
      </w:r>
      <w:r w:rsidR="00DF2A75">
        <w:rPr>
          <w:lang w:val="fr-FR"/>
        </w:rPr>
        <w:t>p</w:t>
      </w:r>
      <w:r w:rsidRPr="007834C3">
        <w:rPr>
          <w:lang w:val="fr-FR"/>
        </w:rPr>
        <w:t xml:space="preserve">rix Amanda </w:t>
      </w:r>
      <w:proofErr w:type="spellStart"/>
      <w:r w:rsidRPr="007834C3">
        <w:rPr>
          <w:lang w:val="fr-FR"/>
        </w:rPr>
        <w:t>Rorra</w:t>
      </w:r>
      <w:proofErr w:type="spellEnd"/>
      <w:r w:rsidRPr="007834C3">
        <w:rPr>
          <w:lang w:val="fr-FR"/>
        </w:rPr>
        <w:t>, qui s’est tenue à l’occasion de la Journée internationale des femmes d’ascendance africaine d’Amérique latine et des Caraïbes, et des femmes issues de la diaspora, cette récompense ayant pour objet de donner de la visibilité aux femmes d’ascendance africaine de l’ensemble du pays et de mettre en évidence leurs réalisations, et la table ronde intitulée « Participation des Afro-</w:t>
      </w:r>
      <w:r w:rsidR="00C92AEB" w:rsidRPr="007834C3">
        <w:rPr>
          <w:lang w:val="fr-FR"/>
        </w:rPr>
        <w:t xml:space="preserve">Uruguayennes </w:t>
      </w:r>
      <w:r w:rsidRPr="007834C3">
        <w:rPr>
          <w:lang w:val="fr-FR"/>
        </w:rPr>
        <w:t>à la vie politique : droit de voter et d’être élues ». Cette dernière activité visait trois objectifs principaux : 1. Renforcer la participation des femmes d’ascendance africaine à l’exercice des droits civiques ; 2. Donner les moyens aux femmes d’ascendance africaine de se faire une place dans l’espace politique grâce au développement démocratique de la société ; 3. Donner les moyens aux Afro-</w:t>
      </w:r>
      <w:r w:rsidR="00B54F7E" w:rsidRPr="007834C3">
        <w:rPr>
          <w:lang w:val="fr-FR"/>
        </w:rPr>
        <w:t xml:space="preserve">Uruguayennes </w:t>
      </w:r>
      <w:r w:rsidRPr="007834C3">
        <w:rPr>
          <w:lang w:val="fr-FR"/>
        </w:rPr>
        <w:t>d’influer davantage sur les politiques grâce aux réseaux de participation à la vie locale et nationale et de faire inscrire les questions qui les intéressent à l’agenda politique.</w:t>
      </w:r>
    </w:p>
    <w:p w:rsidR="00B21814" w:rsidRPr="007834C3" w:rsidRDefault="00B21814" w:rsidP="00FB0B84">
      <w:pPr>
        <w:pStyle w:val="H1G"/>
        <w:rPr>
          <w:lang w:val="fr-FR"/>
        </w:rPr>
      </w:pPr>
      <w:r w:rsidRPr="007834C3">
        <w:rPr>
          <w:lang w:val="fr-FR"/>
        </w:rPr>
        <w:tab/>
      </w:r>
      <w:r w:rsidRPr="007834C3">
        <w:rPr>
          <w:lang w:val="fr-FR"/>
        </w:rPr>
        <w:tab/>
        <w:t>Éducation</w:t>
      </w:r>
    </w:p>
    <w:p w:rsidR="00B21814" w:rsidRPr="007834C3" w:rsidRDefault="00B21814" w:rsidP="00FB0B84">
      <w:pPr>
        <w:pStyle w:val="SingleTxtG"/>
        <w:rPr>
          <w:lang w:val="fr-FR"/>
        </w:rPr>
      </w:pPr>
      <w:r w:rsidRPr="007834C3">
        <w:rPr>
          <w:lang w:val="fr-FR"/>
        </w:rPr>
        <w:t>10.</w:t>
      </w:r>
      <w:r w:rsidRPr="007834C3">
        <w:rPr>
          <w:lang w:val="fr-FR"/>
        </w:rPr>
        <w:tab/>
        <w:t>Dans le domaine de l’éducation, la Commission de l’éducation et de l’ascendance africaine a été créée en 2016. Elle se compose de différents acteurs de la société civile et d’institutions publiques et sa coordination est assurée par la Direction de l’éducation du Ministère de l’éducation et de la culture. Depuis sa création, cette commission organise, en collaboration avec le Ministère du développement social, des ateliers de sensibilisation qui s’adressent aux fonctionnaires du Ministère de l’éducation et de la culture.</w:t>
      </w:r>
    </w:p>
    <w:p w:rsidR="00B21814" w:rsidRPr="007834C3" w:rsidRDefault="00B21814" w:rsidP="00FB0B84">
      <w:pPr>
        <w:pStyle w:val="H1G"/>
        <w:rPr>
          <w:lang w:val="fr-FR"/>
        </w:rPr>
      </w:pPr>
      <w:r w:rsidRPr="007834C3">
        <w:rPr>
          <w:shd w:val="clear" w:color="auto" w:fill="FFFFFF"/>
          <w:lang w:val="fr-FR"/>
        </w:rPr>
        <w:tab/>
      </w:r>
      <w:r w:rsidRPr="007834C3">
        <w:rPr>
          <w:shd w:val="clear" w:color="auto" w:fill="FFFFFF"/>
          <w:lang w:val="fr-FR"/>
        </w:rPr>
        <w:tab/>
      </w:r>
      <w:r w:rsidRPr="007834C3">
        <w:rPr>
          <w:lang w:val="fr-FR"/>
        </w:rPr>
        <w:t>Sensibilisation et promotion</w:t>
      </w:r>
    </w:p>
    <w:p w:rsidR="00B21814" w:rsidRPr="007834C3" w:rsidRDefault="00B21814" w:rsidP="00FB0B84">
      <w:pPr>
        <w:pStyle w:val="SingleTxtG"/>
        <w:rPr>
          <w:lang w:val="fr-FR"/>
        </w:rPr>
      </w:pPr>
      <w:r w:rsidRPr="007834C3">
        <w:rPr>
          <w:lang w:val="fr-FR"/>
        </w:rPr>
        <w:t>11.</w:t>
      </w:r>
      <w:r w:rsidRPr="007834C3">
        <w:rPr>
          <w:lang w:val="fr-FR"/>
        </w:rPr>
        <w:tab/>
        <w:t xml:space="preserve">Plusieurs programmes de sensibilisation et de formation ont été proposés aux agents de la fonction publique et à la population d’ascendance africaine, de manière à faire connaître les droits consacrés par la loi </w:t>
      </w:r>
      <w:r w:rsidR="00FB0B84" w:rsidRPr="007834C3">
        <w:rPr>
          <w:rFonts w:eastAsia="MS Mincho"/>
          <w:lang w:val="fr-FR"/>
        </w:rPr>
        <w:t>n</w:t>
      </w:r>
      <w:r w:rsidR="00FB0B84" w:rsidRPr="007834C3">
        <w:rPr>
          <w:rFonts w:eastAsia="MS Mincho"/>
          <w:vertAlign w:val="superscript"/>
          <w:lang w:val="fr-FR"/>
        </w:rPr>
        <w:t>o</w:t>
      </w:r>
      <w:r w:rsidR="00FB0B84" w:rsidRPr="007834C3">
        <w:rPr>
          <w:lang w:val="fr-FR"/>
        </w:rPr>
        <w:t> </w:t>
      </w:r>
      <w:r w:rsidRPr="007834C3">
        <w:rPr>
          <w:lang w:val="fr-FR"/>
        </w:rPr>
        <w:t>19122. Des formations conjointes sont également organisées à l’intention des dirigeants des organismes publics, aux fins de l’</w:t>
      </w:r>
      <w:r w:rsidR="00936A8B" w:rsidRPr="007834C3">
        <w:rPr>
          <w:lang w:val="fr-FR"/>
        </w:rPr>
        <w:t>exécution de la </w:t>
      </w:r>
      <w:r w:rsidRPr="007834C3">
        <w:rPr>
          <w:lang w:val="fr-FR"/>
        </w:rPr>
        <w:t xml:space="preserve">loi. </w:t>
      </w:r>
    </w:p>
    <w:p w:rsidR="00B21814" w:rsidRPr="007834C3" w:rsidRDefault="00B21814" w:rsidP="00B21814">
      <w:pPr>
        <w:spacing w:after="120"/>
        <w:ind w:left="1134" w:right="1134"/>
        <w:jc w:val="both"/>
        <w:rPr>
          <w:rFonts w:eastAsia="DengXian"/>
          <w:lang w:val="fr-FR"/>
        </w:rPr>
      </w:pPr>
      <w:r w:rsidRPr="007834C3">
        <w:rPr>
          <w:rFonts w:eastAsia="DengXian"/>
          <w:lang w:val="fr-FR"/>
        </w:rPr>
        <w:lastRenderedPageBreak/>
        <w:t>12.</w:t>
      </w:r>
      <w:r w:rsidRPr="007834C3">
        <w:rPr>
          <w:rFonts w:eastAsia="DengXian"/>
          <w:lang w:val="fr-FR"/>
        </w:rPr>
        <w:tab/>
        <w:t xml:space="preserve">À titre d’exemple, le Ministère de l’intérieur dispense des cours à la police de Montevideo et à celle d’autres départements en collaboration avec la société civile, le Groupe de travail sur les politiques d’égalité raciale et la Direction nationale de la formation de la police. </w:t>
      </w:r>
    </w:p>
    <w:p w:rsidR="00B21814" w:rsidRPr="007834C3" w:rsidRDefault="00B21814" w:rsidP="00B21814">
      <w:pPr>
        <w:spacing w:after="120"/>
        <w:ind w:left="1134" w:right="1134"/>
        <w:jc w:val="both"/>
        <w:rPr>
          <w:rFonts w:eastAsia="DengXian"/>
          <w:lang w:val="fr-FR"/>
        </w:rPr>
      </w:pPr>
      <w:r w:rsidRPr="007834C3">
        <w:rPr>
          <w:rFonts w:eastAsia="DengXian"/>
          <w:lang w:val="fr-FR"/>
        </w:rPr>
        <w:t>13.</w:t>
      </w:r>
      <w:r w:rsidRPr="007834C3">
        <w:rPr>
          <w:rFonts w:eastAsia="DengXian"/>
          <w:lang w:val="fr-FR"/>
        </w:rPr>
        <w:tab/>
        <w:t xml:space="preserve">Par ailleurs, un groupe de travail a été créé au sein de la Direction nationale de la formation de la police pour définir des programmes portant non seulement sur la formation du personnel de police, mais aussi sur la révision des procédures et protocoles applicables à l’action de la police lorsque des questions d’ordre ethnique sont en jeu. Cet organisme s’est vu remettre le prix Nelson Mandela par la Commission honoraire contre le racisme, la xénophobie et toutes les formes de discrimination pour son travail de promotion de la solidarité et de lutte contre l’intolérance sexiste et religieuse. Enfin, l’Institut universitaire de formation de la police organise, pour ses élèves, des activités hors programme visant à les encourager à lutter contre la discrimination sous toutes ses formes. </w:t>
      </w:r>
    </w:p>
    <w:p w:rsidR="00B21814" w:rsidRPr="007834C3" w:rsidRDefault="00B21814" w:rsidP="00B21814">
      <w:pPr>
        <w:spacing w:after="120"/>
        <w:ind w:left="1134" w:right="1134"/>
        <w:jc w:val="both"/>
        <w:rPr>
          <w:rFonts w:eastAsia="DengXian"/>
          <w:lang w:val="fr-FR"/>
        </w:rPr>
      </w:pPr>
      <w:r w:rsidRPr="007834C3">
        <w:rPr>
          <w:rFonts w:eastAsia="DengXian"/>
          <w:lang w:val="fr-FR"/>
        </w:rPr>
        <w:t>14.</w:t>
      </w:r>
      <w:r w:rsidRPr="007834C3">
        <w:rPr>
          <w:rFonts w:eastAsia="DengXian"/>
          <w:lang w:val="fr-FR"/>
        </w:rPr>
        <w:tab/>
        <w:t>De son côté, la Division des droits de l’homme du Ministère du développement social assure la formation des responsables des ressources humaines de tous les services de l’État dans ce domaine. Il accompagne et conseille également ces personnes sur le plan technique, pour l’élaboration des appels à candidatures et des formulaires correspondants.</w:t>
      </w:r>
    </w:p>
    <w:p w:rsidR="00B21814" w:rsidRPr="007834C3" w:rsidRDefault="00B21814" w:rsidP="00B21814">
      <w:pPr>
        <w:spacing w:after="120"/>
        <w:ind w:left="1134" w:right="1134"/>
        <w:jc w:val="both"/>
        <w:rPr>
          <w:rFonts w:eastAsia="DengXian"/>
          <w:lang w:val="fr-FR"/>
        </w:rPr>
      </w:pPr>
      <w:r w:rsidRPr="007834C3">
        <w:rPr>
          <w:rFonts w:eastAsia="DengXian"/>
          <w:lang w:val="fr-FR"/>
        </w:rPr>
        <w:t>15.</w:t>
      </w:r>
      <w:r w:rsidRPr="007834C3">
        <w:rPr>
          <w:rFonts w:eastAsia="DengXian"/>
          <w:lang w:val="fr-FR"/>
        </w:rPr>
        <w:tab/>
        <w:t xml:space="preserve">De même, l’Institut national de la condition de la femme a organisé en 2017 une formation destinée aux femmes d’ascendance africaine de l’ensemble du territoire national sur le thème « Dialogue politique et femmes d’ascendance africaine », conformément à la demande de la société civile organisée. Cette formation avait pour objet de fournir des outils conceptuels aux intéressées sur les questions d’égalité entre hommes et femmes et la dimension ethnique et raciale. Des femmes de différents territoires et localités y ont pris part. Dans la mesure où toutes ne portaient pas le même intérêt à la question et où les unes et les autres étaient plus ou moins investies tant sur le plan personnel, qu’au titre de l’action sociale organisée et communautaire, le groupe était assez hétérogène. Ont également participé des représentants de la société civile. </w:t>
      </w:r>
    </w:p>
    <w:p w:rsidR="00B21814" w:rsidRPr="007834C3" w:rsidRDefault="00B21814" w:rsidP="00B21814">
      <w:pPr>
        <w:spacing w:after="120"/>
        <w:ind w:left="1134" w:right="1134"/>
        <w:jc w:val="both"/>
        <w:rPr>
          <w:rFonts w:eastAsia="DengXian"/>
          <w:lang w:val="fr-FR"/>
        </w:rPr>
      </w:pPr>
      <w:r w:rsidRPr="007834C3">
        <w:rPr>
          <w:rFonts w:eastAsia="DengXian"/>
          <w:lang w:val="fr-FR"/>
        </w:rPr>
        <w:t>16.</w:t>
      </w:r>
      <w:r w:rsidRPr="007834C3">
        <w:rPr>
          <w:rFonts w:eastAsia="DengXian"/>
          <w:lang w:val="fr-FR"/>
        </w:rPr>
        <w:tab/>
        <w:t>L’Administration postale nationale applique quant à elle une politique philatélique consistant à mettre à l’honneur des personnalités afro-uruguayennes, afin de promouvoir l’œuvre de ces personnes qui occupent une place importante dans le patrimoine national. Des timbres ont ainsi été émis en hommage à La Lancera en décembre</w:t>
      </w:r>
      <w:r w:rsidR="00470B3B" w:rsidRPr="007834C3">
        <w:rPr>
          <w:rFonts w:eastAsia="DengXian"/>
          <w:lang w:val="fr-FR"/>
        </w:rPr>
        <w:t xml:space="preserve"> </w:t>
      </w:r>
      <w:r w:rsidRPr="007834C3">
        <w:rPr>
          <w:rFonts w:eastAsia="DengXian"/>
          <w:lang w:val="fr-FR"/>
        </w:rPr>
        <w:t xml:space="preserve">2011, </w:t>
      </w:r>
      <w:proofErr w:type="spellStart"/>
      <w:r w:rsidRPr="007834C3">
        <w:rPr>
          <w:rFonts w:eastAsia="DengXian"/>
          <w:lang w:val="fr-FR"/>
        </w:rPr>
        <w:t>Lágrima</w:t>
      </w:r>
      <w:proofErr w:type="spellEnd"/>
      <w:r w:rsidRPr="007834C3">
        <w:rPr>
          <w:rFonts w:eastAsia="DengXian"/>
          <w:lang w:val="fr-FR"/>
        </w:rPr>
        <w:t xml:space="preserve"> </w:t>
      </w:r>
      <w:proofErr w:type="spellStart"/>
      <w:r w:rsidRPr="007834C3">
        <w:rPr>
          <w:rFonts w:eastAsia="DengXian"/>
          <w:lang w:val="fr-FR"/>
        </w:rPr>
        <w:t>Ríos</w:t>
      </w:r>
      <w:proofErr w:type="spellEnd"/>
      <w:r w:rsidRPr="007834C3">
        <w:rPr>
          <w:rFonts w:eastAsia="DengXian"/>
          <w:lang w:val="fr-FR"/>
        </w:rPr>
        <w:t xml:space="preserve">, Rosa Luna et Virginia </w:t>
      </w:r>
      <w:proofErr w:type="spellStart"/>
      <w:r w:rsidRPr="007834C3">
        <w:rPr>
          <w:rFonts w:eastAsia="DengXian"/>
          <w:lang w:val="fr-FR"/>
        </w:rPr>
        <w:t>Brindis</w:t>
      </w:r>
      <w:proofErr w:type="spellEnd"/>
      <w:r w:rsidRPr="007834C3">
        <w:rPr>
          <w:rFonts w:eastAsia="DengXian"/>
          <w:lang w:val="fr-FR"/>
        </w:rPr>
        <w:t xml:space="preserve"> de Salas en mars 2012, Amanda </w:t>
      </w:r>
      <w:proofErr w:type="spellStart"/>
      <w:r w:rsidRPr="007834C3">
        <w:rPr>
          <w:rFonts w:eastAsia="DengXian"/>
          <w:lang w:val="fr-FR"/>
        </w:rPr>
        <w:t>Rorra</w:t>
      </w:r>
      <w:proofErr w:type="spellEnd"/>
      <w:r w:rsidRPr="007834C3">
        <w:rPr>
          <w:rFonts w:eastAsia="DengXian"/>
          <w:lang w:val="fr-FR"/>
        </w:rPr>
        <w:t xml:space="preserve"> en juillet 2013</w:t>
      </w:r>
      <w:r w:rsidR="00470B3B" w:rsidRPr="007834C3">
        <w:rPr>
          <w:rFonts w:eastAsia="DengXian"/>
          <w:lang w:val="fr-FR"/>
        </w:rPr>
        <w:t xml:space="preserve">, </w:t>
      </w:r>
      <w:proofErr w:type="spellStart"/>
      <w:r w:rsidR="00470B3B" w:rsidRPr="007834C3">
        <w:rPr>
          <w:rFonts w:eastAsia="DengXian"/>
          <w:lang w:val="fr-FR"/>
        </w:rPr>
        <w:t>Josefa</w:t>
      </w:r>
      <w:proofErr w:type="spellEnd"/>
      <w:r w:rsidR="00470B3B" w:rsidRPr="007834C3">
        <w:rPr>
          <w:rFonts w:eastAsia="DengXian"/>
          <w:lang w:val="fr-FR"/>
        </w:rPr>
        <w:t> </w:t>
      </w:r>
      <w:r w:rsidRPr="007834C3">
        <w:rPr>
          <w:rFonts w:eastAsia="DengXian"/>
          <w:lang w:val="fr-FR"/>
        </w:rPr>
        <w:t>Barbera en décembre</w:t>
      </w:r>
      <w:r w:rsidR="00470B3B" w:rsidRPr="007834C3">
        <w:rPr>
          <w:rFonts w:eastAsia="DengXian"/>
          <w:lang w:val="fr-FR"/>
        </w:rPr>
        <w:t xml:space="preserve"> </w:t>
      </w:r>
      <w:r w:rsidRPr="007834C3">
        <w:rPr>
          <w:rFonts w:eastAsia="DengXian"/>
          <w:lang w:val="fr-FR"/>
        </w:rPr>
        <w:t xml:space="preserve">2014, María </w:t>
      </w:r>
      <w:proofErr w:type="spellStart"/>
      <w:r w:rsidRPr="007834C3">
        <w:rPr>
          <w:rFonts w:eastAsia="DengXian"/>
          <w:lang w:val="fr-FR"/>
        </w:rPr>
        <w:t>del</w:t>
      </w:r>
      <w:proofErr w:type="spellEnd"/>
      <w:r w:rsidRPr="007834C3">
        <w:rPr>
          <w:rFonts w:eastAsia="DengXian"/>
          <w:lang w:val="fr-FR"/>
        </w:rPr>
        <w:t xml:space="preserve"> Pilar en décembre</w:t>
      </w:r>
      <w:r w:rsidR="00470B3B" w:rsidRPr="007834C3">
        <w:rPr>
          <w:rFonts w:eastAsia="DengXian"/>
          <w:lang w:val="fr-FR"/>
        </w:rPr>
        <w:t xml:space="preserve"> </w:t>
      </w:r>
      <w:r w:rsidRPr="007834C3">
        <w:rPr>
          <w:rFonts w:eastAsia="DengXian"/>
          <w:lang w:val="fr-FR"/>
        </w:rPr>
        <w:t xml:space="preserve">2015 et </w:t>
      </w:r>
      <w:proofErr w:type="spellStart"/>
      <w:r w:rsidRPr="007834C3">
        <w:rPr>
          <w:rFonts w:eastAsia="DengXian"/>
          <w:lang w:val="fr-FR"/>
        </w:rPr>
        <w:t>Sayago</w:t>
      </w:r>
      <w:proofErr w:type="spellEnd"/>
      <w:r w:rsidRPr="007834C3">
        <w:rPr>
          <w:rFonts w:eastAsia="DengXian"/>
          <w:lang w:val="fr-FR"/>
        </w:rPr>
        <w:t xml:space="preserve"> en décembre</w:t>
      </w:r>
      <w:r w:rsidR="00470B3B" w:rsidRPr="007834C3">
        <w:rPr>
          <w:rFonts w:eastAsia="DengXian"/>
          <w:lang w:val="fr-FR"/>
        </w:rPr>
        <w:t xml:space="preserve"> </w:t>
      </w:r>
      <w:r w:rsidRPr="007834C3">
        <w:rPr>
          <w:rFonts w:eastAsia="DengXian"/>
          <w:lang w:val="fr-FR"/>
        </w:rPr>
        <w:t>2016</w:t>
      </w:r>
      <w:r w:rsidRPr="007834C3">
        <w:rPr>
          <w:rStyle w:val="Appelnotedebasdep"/>
        </w:rPr>
        <w:footnoteReference w:id="5"/>
      </w:r>
      <w:r w:rsidRPr="007834C3">
        <w:rPr>
          <w:rFonts w:eastAsia="DengXian"/>
          <w:lang w:val="fr-FR"/>
        </w:rPr>
        <w:t>.</w:t>
      </w:r>
    </w:p>
    <w:p w:rsidR="00B21814" w:rsidRPr="007834C3" w:rsidRDefault="00B21814" w:rsidP="00B21814">
      <w:pPr>
        <w:spacing w:after="120"/>
        <w:ind w:left="1134" w:right="1134"/>
        <w:jc w:val="both"/>
        <w:rPr>
          <w:rFonts w:eastAsia="DengXian"/>
          <w:lang w:val="fr-FR"/>
        </w:rPr>
      </w:pPr>
      <w:r w:rsidRPr="007834C3">
        <w:rPr>
          <w:rFonts w:eastAsia="DengXian"/>
          <w:lang w:val="fr-FR"/>
        </w:rPr>
        <w:t>17.</w:t>
      </w:r>
      <w:r w:rsidRPr="007834C3">
        <w:rPr>
          <w:rFonts w:eastAsia="DengXian"/>
          <w:lang w:val="fr-FR"/>
        </w:rPr>
        <w:tab/>
        <w:t xml:space="preserve">La Poste a également progressé dans la réalisation de son site </w:t>
      </w:r>
      <w:r w:rsidR="00014603" w:rsidRPr="007834C3">
        <w:rPr>
          <w:rFonts w:eastAsia="DengXian"/>
          <w:lang w:val="fr-FR"/>
        </w:rPr>
        <w:t xml:space="preserve">Web </w:t>
      </w:r>
      <w:r w:rsidRPr="007834C3">
        <w:rPr>
          <w:rFonts w:eastAsia="DengXian"/>
          <w:lang w:val="fr-FR"/>
        </w:rPr>
        <w:t>inclusif et renforcé sa politique de promotion de la diversité et d’égalité des chances au moyen d’une campagne publicitaire en faveur de l’inclusion qu’elle a lancée en 2013. Cette campagne a été inclusive jusque dans le choix des acteurs, parmi lesquels des Afro-</w:t>
      </w:r>
      <w:r w:rsidR="00330FD7" w:rsidRPr="007834C3">
        <w:rPr>
          <w:rFonts w:eastAsia="DengXian"/>
          <w:lang w:val="fr-FR"/>
        </w:rPr>
        <w:t>U</w:t>
      </w:r>
      <w:r w:rsidRPr="007834C3">
        <w:rPr>
          <w:rFonts w:eastAsia="DengXian"/>
          <w:lang w:val="fr-FR"/>
        </w:rPr>
        <w:t xml:space="preserve">ruguayens, des personnes handicapées et des personnes transsexuelles, qui avaient été retenus pour assurer la promotion des nouveaux produits. </w:t>
      </w:r>
    </w:p>
    <w:p w:rsidR="00B21814" w:rsidRPr="007834C3" w:rsidRDefault="00B21814" w:rsidP="00470B3B">
      <w:pPr>
        <w:pStyle w:val="H1G"/>
        <w:rPr>
          <w:lang w:val="fr-FR"/>
        </w:rPr>
      </w:pPr>
      <w:r w:rsidRPr="007834C3">
        <w:rPr>
          <w:lang w:val="fr-FR"/>
        </w:rPr>
        <w:tab/>
      </w:r>
      <w:r w:rsidRPr="007834C3">
        <w:rPr>
          <w:lang w:val="fr-FR"/>
        </w:rPr>
        <w:tab/>
        <w:t xml:space="preserve">Quota prévu à titre préférentiel par l’article 4 de la loi </w:t>
      </w:r>
      <w:r w:rsidR="00330FD7" w:rsidRPr="007834C3">
        <w:rPr>
          <w:rFonts w:eastAsia="MS Mincho"/>
          <w:lang w:val="fr-FR"/>
        </w:rPr>
        <w:t>n</w:t>
      </w:r>
      <w:r w:rsidR="00330FD7" w:rsidRPr="007834C3">
        <w:rPr>
          <w:rFonts w:eastAsia="MS Mincho"/>
          <w:vertAlign w:val="superscript"/>
          <w:lang w:val="fr-FR"/>
        </w:rPr>
        <w:t>o</w:t>
      </w:r>
      <w:r w:rsidR="00330FD7" w:rsidRPr="007834C3">
        <w:rPr>
          <w:lang w:val="fr-FR"/>
        </w:rPr>
        <w:t> </w:t>
      </w:r>
      <w:r w:rsidRPr="007834C3">
        <w:rPr>
          <w:lang w:val="fr-FR"/>
        </w:rPr>
        <w:t xml:space="preserve">19122 </w:t>
      </w:r>
    </w:p>
    <w:p w:rsidR="00B21814" w:rsidRPr="007834C3" w:rsidRDefault="00B21814" w:rsidP="00B21814">
      <w:pPr>
        <w:spacing w:after="120"/>
        <w:ind w:left="1134" w:right="1134"/>
        <w:jc w:val="both"/>
        <w:rPr>
          <w:rFonts w:eastAsia="DengXian"/>
          <w:lang w:val="fr-FR"/>
        </w:rPr>
      </w:pPr>
      <w:r w:rsidRPr="007834C3">
        <w:rPr>
          <w:rFonts w:eastAsia="DengXian"/>
          <w:lang w:val="fr-FR"/>
        </w:rPr>
        <w:t>18.</w:t>
      </w:r>
      <w:r w:rsidRPr="007834C3">
        <w:rPr>
          <w:rFonts w:eastAsia="DengXian"/>
          <w:lang w:val="fr-FR"/>
        </w:rPr>
        <w:tab/>
        <w:t>En janvier 2016, est entré en vigueur l’</w:t>
      </w:r>
      <w:r w:rsidR="00330FD7" w:rsidRPr="007834C3">
        <w:rPr>
          <w:rFonts w:eastAsia="DengXian"/>
          <w:lang w:val="fr-FR"/>
        </w:rPr>
        <w:t>article 4 de la loi n</w:t>
      </w:r>
      <w:r w:rsidR="00330FD7" w:rsidRPr="007834C3">
        <w:rPr>
          <w:rFonts w:eastAsia="DengXian"/>
          <w:vertAlign w:val="superscript"/>
          <w:lang w:val="fr-FR"/>
        </w:rPr>
        <w:t>o</w:t>
      </w:r>
      <w:r w:rsidRPr="007834C3">
        <w:rPr>
          <w:rFonts w:eastAsia="DengXian"/>
          <w:lang w:val="fr-FR"/>
        </w:rPr>
        <w:t> 19438 qui dispose que pour tout processus de recrutement visant à pourvoir des postes vacants, les organismes étatiques et personnes morales de droit public non étatiques sont tenus d’indiquer expressément le ou les profils recherchés, les fonctions visées et le budget prévu pour remplir le quota établi à titre préférentiel par la loi n</w:t>
      </w:r>
      <w:r w:rsidR="00330FD7" w:rsidRPr="007834C3">
        <w:rPr>
          <w:rFonts w:eastAsia="DengXian"/>
          <w:vertAlign w:val="superscript"/>
          <w:lang w:val="fr-FR"/>
        </w:rPr>
        <w:t>o</w:t>
      </w:r>
      <w:r w:rsidRPr="007834C3">
        <w:rPr>
          <w:rFonts w:eastAsia="DengXian"/>
          <w:lang w:val="fr-FR"/>
        </w:rPr>
        <w:t> 19122.</w:t>
      </w:r>
    </w:p>
    <w:p w:rsidR="00B21814" w:rsidRPr="007834C3" w:rsidRDefault="00B21814" w:rsidP="00B21814">
      <w:pPr>
        <w:spacing w:after="120"/>
        <w:ind w:left="1134" w:right="1134"/>
        <w:jc w:val="both"/>
        <w:rPr>
          <w:rFonts w:eastAsia="DengXian"/>
          <w:lang w:val="fr-FR"/>
        </w:rPr>
      </w:pPr>
      <w:r w:rsidRPr="007834C3">
        <w:rPr>
          <w:rFonts w:eastAsia="DengXian"/>
          <w:lang w:val="fr-FR"/>
        </w:rPr>
        <w:t>19.</w:t>
      </w:r>
      <w:r w:rsidRPr="007834C3">
        <w:rPr>
          <w:rFonts w:eastAsia="DengXian"/>
          <w:lang w:val="fr-FR"/>
        </w:rPr>
        <w:tab/>
        <w:t xml:space="preserve">L’Office national de la fonction publique (ONSC) </w:t>
      </w:r>
      <w:r w:rsidR="00330FD7" w:rsidRPr="007834C3">
        <w:rPr>
          <w:rFonts w:eastAsia="DengXian"/>
          <w:lang w:val="fr-FR"/>
        </w:rPr>
        <w:t>veille au respect du quota de 8 </w:t>
      </w:r>
      <w:r w:rsidRPr="007834C3">
        <w:rPr>
          <w:rFonts w:eastAsia="DengXian"/>
          <w:lang w:val="fr-FR"/>
        </w:rPr>
        <w:t xml:space="preserve">% au moyen d’un système de « comptes courants », qui permet de s’assurer que chaque organisme concerné publie les appels à candidatures voulus pour remplir ce quota dans le cadre des concours administrés par « Uruguay </w:t>
      </w:r>
      <w:proofErr w:type="spellStart"/>
      <w:r w:rsidRPr="007834C3">
        <w:rPr>
          <w:rFonts w:eastAsia="DengXian"/>
          <w:lang w:val="fr-FR"/>
        </w:rPr>
        <w:t>Concursa</w:t>
      </w:r>
      <w:proofErr w:type="spellEnd"/>
      <w:r w:rsidRPr="007834C3">
        <w:rPr>
          <w:rFonts w:eastAsia="DengXian"/>
          <w:lang w:val="fr-FR"/>
        </w:rPr>
        <w:t> ».</w:t>
      </w:r>
    </w:p>
    <w:p w:rsidR="00B21814" w:rsidRPr="007834C3" w:rsidRDefault="00B21814" w:rsidP="00B21814">
      <w:pPr>
        <w:spacing w:after="120"/>
        <w:ind w:left="1134" w:right="1134"/>
        <w:jc w:val="both"/>
        <w:rPr>
          <w:rFonts w:eastAsia="DengXian"/>
          <w:lang w:val="fr-FR"/>
        </w:rPr>
      </w:pPr>
      <w:r w:rsidRPr="007834C3">
        <w:rPr>
          <w:rFonts w:eastAsia="DengXian"/>
          <w:lang w:val="fr-FR"/>
        </w:rPr>
        <w:lastRenderedPageBreak/>
        <w:t>20.</w:t>
      </w:r>
      <w:r w:rsidRPr="007834C3">
        <w:rPr>
          <w:rFonts w:eastAsia="DengXian"/>
          <w:lang w:val="fr-FR"/>
        </w:rPr>
        <w:tab/>
        <w:t>Chaque année, l’ONSC publie un rapport qu’il soumet au Parlement sur les résultats de cette politique publique, conformément à son obligation de redditio</w:t>
      </w:r>
      <w:r w:rsidR="002D2A94" w:rsidRPr="007834C3">
        <w:rPr>
          <w:rFonts w:eastAsia="DengXian"/>
          <w:lang w:val="fr-FR"/>
        </w:rPr>
        <w:t>n de comptes. En 2016, 275 </w:t>
      </w:r>
      <w:r w:rsidRPr="007834C3">
        <w:rPr>
          <w:rFonts w:eastAsia="DengXian"/>
          <w:lang w:val="fr-FR"/>
        </w:rPr>
        <w:t>personnes d’ascendance africaine ont été r</w:t>
      </w:r>
      <w:r w:rsidR="002D2A94" w:rsidRPr="007834C3">
        <w:rPr>
          <w:rFonts w:eastAsia="DengXian"/>
          <w:lang w:val="fr-FR"/>
        </w:rPr>
        <w:t>ecrutées, ce qui représente 1,8 </w:t>
      </w:r>
      <w:r w:rsidRPr="007834C3">
        <w:rPr>
          <w:rFonts w:eastAsia="DengXian"/>
          <w:lang w:val="fr-FR"/>
        </w:rPr>
        <w:t>% des recrutements. Dans l’Exécutif, ce chiffre s’</w:t>
      </w:r>
      <w:r w:rsidR="002D2A94" w:rsidRPr="007834C3">
        <w:rPr>
          <w:rFonts w:eastAsia="DengXian"/>
          <w:lang w:val="fr-FR"/>
        </w:rPr>
        <w:t>élevait à 3,3 </w:t>
      </w:r>
      <w:r w:rsidRPr="007834C3">
        <w:rPr>
          <w:rFonts w:eastAsia="DengXian"/>
          <w:lang w:val="fr-FR"/>
        </w:rPr>
        <w:t>%. Si le quota prévu n’est pas atteint, des progrès ont néanmoins été réalisés. Les organismes qui publient effectivement des appels à candidatures encourageant les personnes d’ascendance africaine à postuler, et engagent des personnes d’ascendance africaine sont en effet en nombre croissant. De même, les femmes d’ascendance africaine sont proportionnellement plus nombreuses que les années précédentes parmi les personnes qui ont été recrutées</w:t>
      </w:r>
      <w:r w:rsidR="0093049B">
        <w:rPr>
          <w:rFonts w:eastAsia="DengXian"/>
          <w:lang w:val="fr-FR"/>
        </w:rPr>
        <w:t>,</w:t>
      </w:r>
      <w:r w:rsidRPr="007834C3">
        <w:rPr>
          <w:rFonts w:eastAsia="DengXian"/>
          <w:lang w:val="fr-FR"/>
        </w:rPr>
        <w:t xml:space="preserve"> et ce, à des postes qui exigent davantage de qualifications</w:t>
      </w:r>
      <w:r w:rsidRPr="007834C3">
        <w:rPr>
          <w:rStyle w:val="Appelnotedebasdep"/>
        </w:rPr>
        <w:footnoteReference w:id="6"/>
      </w:r>
      <w:r w:rsidRPr="007834C3">
        <w:rPr>
          <w:rFonts w:eastAsia="DengXian"/>
          <w:lang w:val="fr-FR"/>
        </w:rPr>
        <w:t xml:space="preserve">. </w:t>
      </w:r>
    </w:p>
    <w:p w:rsidR="00B21814" w:rsidRPr="007834C3" w:rsidRDefault="00B21814" w:rsidP="00B21814">
      <w:pPr>
        <w:keepNext/>
        <w:keepLines/>
        <w:spacing w:after="120"/>
        <w:ind w:left="1134" w:right="1134"/>
        <w:jc w:val="both"/>
        <w:rPr>
          <w:rFonts w:eastAsia="DengXian"/>
          <w:lang w:val="fr-FR"/>
        </w:rPr>
      </w:pPr>
      <w:r w:rsidRPr="007834C3">
        <w:rPr>
          <w:rFonts w:eastAsia="DengXian"/>
          <w:lang w:val="fr-FR"/>
        </w:rPr>
        <w:t>21.</w:t>
      </w:r>
      <w:r w:rsidRPr="007834C3">
        <w:rPr>
          <w:rFonts w:eastAsia="DengXian"/>
          <w:lang w:val="fr-FR"/>
        </w:rPr>
        <w:tab/>
        <w:t>Par ailleurs, un tiers des organismes ont sollicité des services de formation et d’évaluation pour la rédaction des appels à candidatures. Selon le rapport concernant le recrutement de personnes d’ascendance africaine par l’administration publique (ONSC, 2016), le nombre d’orga</w:t>
      </w:r>
      <w:r w:rsidR="007834C3" w:rsidRPr="007834C3">
        <w:rPr>
          <w:rFonts w:eastAsia="DengXian"/>
          <w:lang w:val="fr-FR"/>
        </w:rPr>
        <w:t>nismes respectant le quota de 8 </w:t>
      </w:r>
      <w:r w:rsidRPr="007834C3">
        <w:rPr>
          <w:rFonts w:eastAsia="DengXian"/>
          <w:lang w:val="fr-FR"/>
        </w:rPr>
        <w:t>% e</w:t>
      </w:r>
      <w:r w:rsidR="007834C3" w:rsidRPr="007834C3">
        <w:rPr>
          <w:rFonts w:eastAsia="DengXian"/>
          <w:lang w:val="fr-FR"/>
        </w:rPr>
        <w:t>st passé de 13 en 2015, à 19 en </w:t>
      </w:r>
      <w:r w:rsidRPr="007834C3">
        <w:rPr>
          <w:rFonts w:eastAsia="DengXian"/>
          <w:lang w:val="fr-FR"/>
        </w:rPr>
        <w:t>2016.</w:t>
      </w:r>
    </w:p>
    <w:p w:rsidR="00B21814" w:rsidRPr="007834C3" w:rsidRDefault="00B21814" w:rsidP="007834C3">
      <w:pPr>
        <w:pStyle w:val="HChG"/>
        <w:rPr>
          <w:lang w:val="fr-FR"/>
        </w:rPr>
      </w:pPr>
      <w:r w:rsidRPr="007834C3">
        <w:rPr>
          <w:lang w:val="fr-FR"/>
        </w:rPr>
        <w:tab/>
      </w:r>
      <w:r w:rsidRPr="007834C3">
        <w:rPr>
          <w:lang w:val="fr-FR"/>
        </w:rPr>
        <w:tab/>
        <w:t>Discrimination dans le domaine de l’enseignement</w:t>
      </w:r>
    </w:p>
    <w:p w:rsidR="00B21814" w:rsidRPr="007834C3" w:rsidRDefault="007834C3" w:rsidP="007834C3">
      <w:pPr>
        <w:pStyle w:val="H4G"/>
        <w:rPr>
          <w:spacing w:val="-1"/>
          <w:lang w:val="fr-FR"/>
        </w:rPr>
      </w:pPr>
      <w:r w:rsidRPr="007834C3">
        <w:rPr>
          <w:shd w:val="clear" w:color="auto" w:fill="FFFFFF"/>
          <w:lang w:val="fr-FR"/>
        </w:rPr>
        <w:tab/>
      </w:r>
      <w:r w:rsidRPr="007834C3">
        <w:rPr>
          <w:shd w:val="clear" w:color="auto" w:fill="FFFFFF"/>
          <w:lang w:val="fr-FR"/>
        </w:rPr>
        <w:tab/>
        <w:t>21.</w:t>
      </w:r>
      <w:r w:rsidR="00B21814" w:rsidRPr="007834C3">
        <w:rPr>
          <w:shd w:val="clear" w:color="auto" w:fill="FFFFFF"/>
          <w:lang w:val="fr-FR"/>
        </w:rPr>
        <w:tab/>
      </w:r>
      <w:r w:rsidR="00B21814" w:rsidRPr="007834C3">
        <w:rPr>
          <w:spacing w:val="-1"/>
          <w:shd w:val="clear" w:color="auto" w:fill="FFFFFF"/>
          <w:lang w:val="fr-FR"/>
        </w:rPr>
        <w:t>Le Comité recommande à l’État partie de redoubler d’efforts pour garantir l’exercice du droit à l’éducation, sans discrimination de quelque nature que ce soit, pour la population d’ascendance africaine. En particulier, il recommande à l’État partie de prendre des mesures spéciales en faveur des personnes d’ascendance africaine, en particulier les adolescents, afin de corriger les disparités dans les résultats scolaires, de réduire les taux d’abandon scolaire et de promouvoir l’accès à l’enseignement supérieur. Le Comité demande instamment à l’État partie de prendre les mesures nécessaires pour garantir l’application effective de la loi n</w:t>
      </w:r>
      <w:r w:rsidRPr="007834C3">
        <w:rPr>
          <w:spacing w:val="-1"/>
          <w:shd w:val="clear" w:color="auto" w:fill="FFFFFF"/>
          <w:vertAlign w:val="superscript"/>
          <w:lang w:val="fr-FR"/>
        </w:rPr>
        <w:t>o</w:t>
      </w:r>
      <w:r w:rsidR="00B21814" w:rsidRPr="007834C3">
        <w:rPr>
          <w:spacing w:val="-1"/>
          <w:shd w:val="clear" w:color="auto" w:fill="FFFFFF"/>
          <w:lang w:val="fr-FR"/>
        </w:rPr>
        <w:t> 19122 dans le domaine de l’enseignement.</w:t>
      </w:r>
    </w:p>
    <w:p w:rsidR="00B21814" w:rsidRPr="007834C3" w:rsidRDefault="00B21814" w:rsidP="00B21814">
      <w:pPr>
        <w:spacing w:after="120"/>
        <w:ind w:left="1134" w:right="1134"/>
        <w:jc w:val="both"/>
        <w:rPr>
          <w:rFonts w:eastAsia="DengXian"/>
          <w:lang w:val="fr-FR"/>
        </w:rPr>
      </w:pPr>
      <w:r w:rsidRPr="007834C3">
        <w:rPr>
          <w:rFonts w:eastAsia="DengXian"/>
          <w:lang w:val="fr-FR"/>
        </w:rPr>
        <w:t>22.</w:t>
      </w:r>
      <w:r w:rsidRPr="007834C3">
        <w:rPr>
          <w:rFonts w:eastAsia="DengXian"/>
          <w:lang w:val="fr-FR"/>
        </w:rPr>
        <w:tab/>
        <w:t xml:space="preserve">Le Groupe de travail pour l’inclusion de la dimension ethnique et raciale des personnes d’ascendance africaine dans l’éducation (ANEP/In </w:t>
      </w:r>
      <w:proofErr w:type="spellStart"/>
      <w:r w:rsidRPr="007834C3">
        <w:rPr>
          <w:rFonts w:eastAsia="DengXian"/>
          <w:lang w:val="fr-FR"/>
        </w:rPr>
        <w:t>mujeres</w:t>
      </w:r>
      <w:proofErr w:type="spellEnd"/>
      <w:r w:rsidRPr="007834C3">
        <w:rPr>
          <w:rFonts w:eastAsia="DengXian"/>
          <w:lang w:val="fr-FR"/>
        </w:rPr>
        <w:t>)</w:t>
      </w:r>
      <w:r w:rsidRPr="007834C3">
        <w:rPr>
          <w:rStyle w:val="Appelnotedebasdep"/>
        </w:rPr>
        <w:footnoteReference w:id="7"/>
      </w:r>
      <w:r w:rsidRPr="007834C3">
        <w:rPr>
          <w:rFonts w:eastAsia="DengXian"/>
          <w:lang w:val="fr-FR"/>
        </w:rPr>
        <w:t xml:space="preserve"> oriente, coordonne et renforce tant les politiques relatives aux droits de l’homme dans l’enseignement que les politiques relatives à l’enseignement des droits de l’homme. Son objectif général est de garantir la prise en considération de la dimension ethnique et raciale dans les politiques de lutte contre la discrimination de l’Administration nationale de l’enseignement public (ANEP). </w:t>
      </w:r>
    </w:p>
    <w:p w:rsidR="00B21814" w:rsidRPr="007834C3" w:rsidRDefault="00B21814" w:rsidP="00B21814">
      <w:pPr>
        <w:spacing w:after="120"/>
        <w:ind w:left="1134" w:right="1134"/>
        <w:jc w:val="both"/>
        <w:rPr>
          <w:rFonts w:eastAsia="DengXian"/>
          <w:lang w:val="fr-FR"/>
        </w:rPr>
      </w:pPr>
      <w:r w:rsidRPr="007834C3">
        <w:rPr>
          <w:rFonts w:eastAsia="DengXian"/>
          <w:lang w:val="fr-FR"/>
        </w:rPr>
        <w:t>23.</w:t>
      </w:r>
      <w:r w:rsidRPr="007834C3">
        <w:rPr>
          <w:rFonts w:eastAsia="DengXian"/>
          <w:lang w:val="fr-FR"/>
        </w:rPr>
        <w:tab/>
      </w:r>
      <w:r w:rsidRPr="007834C3">
        <w:rPr>
          <w:rFonts w:eastAsia="DengXian"/>
          <w:spacing w:val="-2"/>
          <w:lang w:val="fr-FR"/>
        </w:rPr>
        <w:t xml:space="preserve">Ces objectifs </w:t>
      </w:r>
      <w:r w:rsidR="007834C3">
        <w:rPr>
          <w:rFonts w:eastAsia="DengXian"/>
          <w:spacing w:val="-2"/>
          <w:lang w:val="fr-FR"/>
        </w:rPr>
        <w:t>particuliers sont, entre autres : i) </w:t>
      </w:r>
      <w:r w:rsidRPr="007834C3">
        <w:rPr>
          <w:rFonts w:eastAsia="DengXian"/>
          <w:spacing w:val="-2"/>
          <w:lang w:val="fr-FR"/>
        </w:rPr>
        <w:t>de créer un groupe de travail pour l’égalité ethnique et raciale dans l’éducation, rattaché à la Direction des droits de l’homme de l’Administration nationale de l’enseignement public ; ii</w:t>
      </w:r>
      <w:r w:rsidR="007834C3">
        <w:rPr>
          <w:rFonts w:eastAsia="DengXian"/>
          <w:spacing w:val="-2"/>
          <w:lang w:val="fr-FR"/>
        </w:rPr>
        <w:t>) </w:t>
      </w:r>
      <w:r w:rsidRPr="007834C3">
        <w:rPr>
          <w:rFonts w:eastAsia="DengXian"/>
          <w:spacing w:val="-2"/>
          <w:lang w:val="fr-FR"/>
        </w:rPr>
        <w:t>d’examiner les situations de discrimination ethnique et raciale et la manière dont elles se conjuguent avec les inégalités entre hommes et femmes dans les institutions relevant de l’Administration nationale de l’enseignement public, dans tous les domaines et à tous les niveaux ; et iii) de mener des actions de nature à favoriser l’égalité ethnique et raciale</w:t>
      </w:r>
      <w:r w:rsidRPr="007834C3">
        <w:rPr>
          <w:rStyle w:val="Appelnotedebasdep"/>
        </w:rPr>
        <w:footnoteReference w:id="8"/>
      </w:r>
      <w:r w:rsidRPr="007834C3">
        <w:rPr>
          <w:rFonts w:eastAsia="DengXian"/>
          <w:spacing w:val="-2"/>
          <w:lang w:val="fr-FR"/>
        </w:rPr>
        <w:t>.</w:t>
      </w:r>
    </w:p>
    <w:p w:rsidR="00B21814" w:rsidRPr="007834C3" w:rsidRDefault="00B21814" w:rsidP="00B21814">
      <w:pPr>
        <w:spacing w:after="120" w:line="240" w:lineRule="auto"/>
        <w:ind w:left="1134" w:right="1134"/>
        <w:jc w:val="both"/>
        <w:rPr>
          <w:rFonts w:eastAsia="DengXian"/>
          <w:lang w:val="fr-FR"/>
        </w:rPr>
      </w:pPr>
      <w:r w:rsidRPr="007834C3">
        <w:rPr>
          <w:rFonts w:eastAsia="DengXian"/>
          <w:lang w:val="fr-FR"/>
        </w:rPr>
        <w:t>24.</w:t>
      </w:r>
      <w:r w:rsidRPr="007834C3">
        <w:rPr>
          <w:rFonts w:eastAsia="DengXian"/>
          <w:lang w:val="fr-FR"/>
        </w:rPr>
        <w:tab/>
        <w:t>Dernièreme</w:t>
      </w:r>
      <w:r w:rsidR="00741712">
        <w:rPr>
          <w:rFonts w:eastAsia="DengXian"/>
          <w:lang w:val="fr-FR"/>
        </w:rPr>
        <w:t xml:space="preserve">nt, le </w:t>
      </w:r>
      <w:r w:rsidR="00ED5E16">
        <w:rPr>
          <w:rFonts w:eastAsia="DengXian"/>
          <w:lang w:val="fr-FR"/>
        </w:rPr>
        <w:t xml:space="preserve">Groupe </w:t>
      </w:r>
      <w:r w:rsidR="00741712">
        <w:rPr>
          <w:rFonts w:eastAsia="DengXian"/>
          <w:lang w:val="fr-FR"/>
        </w:rPr>
        <w:t>de travail a : 1) </w:t>
      </w:r>
      <w:r w:rsidRPr="007834C3">
        <w:rPr>
          <w:rFonts w:eastAsia="DengXian"/>
          <w:lang w:val="fr-FR"/>
        </w:rPr>
        <w:t>diffusé le guide intitulé « Éducation et ascendance africaine » et a dispensé une formation à son utilisation lors de quatre journées de formation organisées dans les dé</w:t>
      </w:r>
      <w:r w:rsidR="00741712">
        <w:rPr>
          <w:rFonts w:eastAsia="DengXian"/>
          <w:lang w:val="fr-FR"/>
        </w:rPr>
        <w:t>partements du Nord du pays ; 2) </w:t>
      </w:r>
      <w:r w:rsidRPr="007834C3">
        <w:rPr>
          <w:rFonts w:eastAsia="DengXian"/>
          <w:lang w:val="fr-FR"/>
        </w:rPr>
        <w:t xml:space="preserve">organisé une journée de sensibilisation du personnel non enseignant du Conseil directeur central (CODICEN) ; 3) mis en place un cours virtuel sur la question de l’éducation et de l’ascendance africaine sur les plateformes du Ministère de l’éducation publique, du Plan </w:t>
      </w:r>
      <w:proofErr w:type="spellStart"/>
      <w:r w:rsidRPr="007834C3">
        <w:rPr>
          <w:rFonts w:eastAsia="DengXian"/>
          <w:lang w:val="fr-FR"/>
        </w:rPr>
        <w:t>Ceibal</w:t>
      </w:r>
      <w:proofErr w:type="spellEnd"/>
      <w:r w:rsidRPr="007834C3">
        <w:rPr>
          <w:rFonts w:eastAsia="DengXian"/>
          <w:lang w:val="fr-FR"/>
        </w:rPr>
        <w:t xml:space="preserve"> et de l’Administration nationale de l’</w:t>
      </w:r>
      <w:r w:rsidR="00741712">
        <w:rPr>
          <w:rFonts w:eastAsia="DengXian"/>
          <w:lang w:val="fr-FR"/>
        </w:rPr>
        <w:t>enseignement public ; 4) </w:t>
      </w:r>
      <w:r w:rsidRPr="007834C3">
        <w:rPr>
          <w:rFonts w:eastAsia="DengXian"/>
          <w:lang w:val="fr-FR"/>
        </w:rPr>
        <w:t>intégré la variable ethnique et raciale dans les registres de l’Administration nationale de l’</w:t>
      </w:r>
      <w:r w:rsidR="00741712">
        <w:rPr>
          <w:rFonts w:eastAsia="DengXian"/>
          <w:lang w:val="fr-FR"/>
        </w:rPr>
        <w:t>enseignement public ; et 5) </w:t>
      </w:r>
      <w:r w:rsidRPr="007834C3">
        <w:rPr>
          <w:rFonts w:eastAsia="DengXian"/>
          <w:lang w:val="fr-FR"/>
        </w:rPr>
        <w:t>siégé à la sous-commission de l’éducation de la Commission d’application de la loi (loi n</w:t>
      </w:r>
      <w:r w:rsidR="00741712" w:rsidRPr="00741712">
        <w:rPr>
          <w:rFonts w:eastAsia="DengXian"/>
          <w:vertAlign w:val="superscript"/>
          <w:lang w:val="fr-FR"/>
        </w:rPr>
        <w:t>o</w:t>
      </w:r>
      <w:r w:rsidRPr="007834C3">
        <w:rPr>
          <w:rFonts w:eastAsia="DengXian"/>
          <w:lang w:val="fr-FR"/>
        </w:rPr>
        <w:t> 19122).</w:t>
      </w:r>
    </w:p>
    <w:p w:rsidR="00B21814" w:rsidRPr="007834C3" w:rsidRDefault="00B21814" w:rsidP="00B21814">
      <w:pPr>
        <w:spacing w:after="120"/>
        <w:ind w:left="1134" w:right="1134"/>
        <w:jc w:val="both"/>
        <w:rPr>
          <w:rFonts w:eastAsia="DengXian"/>
          <w:lang w:val="fr-FR"/>
        </w:rPr>
      </w:pPr>
      <w:r w:rsidRPr="007834C3">
        <w:rPr>
          <w:rFonts w:eastAsia="DengXian"/>
          <w:lang w:val="fr-FR"/>
        </w:rPr>
        <w:lastRenderedPageBreak/>
        <w:t>25.</w:t>
      </w:r>
      <w:r w:rsidRPr="007834C3">
        <w:rPr>
          <w:rFonts w:eastAsia="DengXian"/>
          <w:lang w:val="fr-FR"/>
        </w:rPr>
        <w:tab/>
        <w:t>Conformément à la loi n</w:t>
      </w:r>
      <w:r w:rsidR="00741712" w:rsidRPr="00741712">
        <w:rPr>
          <w:rFonts w:eastAsia="DengXian"/>
          <w:vertAlign w:val="superscript"/>
          <w:lang w:val="fr-FR"/>
        </w:rPr>
        <w:t>o</w:t>
      </w:r>
      <w:r w:rsidRPr="007834C3">
        <w:rPr>
          <w:rFonts w:eastAsia="DengXian"/>
          <w:lang w:val="fr-FR"/>
        </w:rPr>
        <w:t xml:space="preserve"> 19122, le Ministère de l’éducation et de la culture organise chaque année une campagne d’attribution de bourses d’études soit sur critères sociaux, soit dans le cadre du programme de bourses Carlos </w:t>
      </w:r>
      <w:proofErr w:type="spellStart"/>
      <w:r w:rsidRPr="007834C3">
        <w:rPr>
          <w:rFonts w:eastAsia="DengXian"/>
          <w:lang w:val="fr-FR"/>
        </w:rPr>
        <w:t>Quijano</w:t>
      </w:r>
      <w:proofErr w:type="spellEnd"/>
      <w:r w:rsidRPr="007834C3">
        <w:rPr>
          <w:rFonts w:eastAsia="DengXian"/>
          <w:lang w:val="fr-FR"/>
        </w:rPr>
        <w:t>, soit encore dans le cadre du Programme interinstitutions intitulé « Engagement relatif à l’éducation »</w:t>
      </w:r>
      <w:r w:rsidRPr="007834C3">
        <w:rPr>
          <w:rStyle w:val="Appelnotedebasdep"/>
        </w:rPr>
        <w:footnoteReference w:id="9"/>
      </w:r>
      <w:r w:rsidR="00741712">
        <w:rPr>
          <w:rFonts w:eastAsia="DengXian"/>
          <w:lang w:val="fr-FR"/>
        </w:rPr>
        <w:t>. On trouvera ci</w:t>
      </w:r>
      <w:r w:rsidR="00741712">
        <w:rPr>
          <w:rFonts w:eastAsia="DengXian"/>
          <w:lang w:val="fr-FR"/>
        </w:rPr>
        <w:noBreakHyphen/>
      </w:r>
      <w:r w:rsidRPr="007834C3">
        <w:rPr>
          <w:rFonts w:eastAsia="DengXian"/>
          <w:lang w:val="fr-FR"/>
        </w:rPr>
        <w:t>après des tableaux montrant l’évolution du nombre de bourses accordées ces dernières années à des étudiants d’ascendance africaine, par rapport au nombre total de bourses attribuées.</w:t>
      </w:r>
    </w:p>
    <w:p w:rsidR="00B21814" w:rsidRPr="007834C3" w:rsidRDefault="00B21814" w:rsidP="00B21814">
      <w:pPr>
        <w:spacing w:after="120"/>
        <w:ind w:left="1134" w:right="1134"/>
        <w:jc w:val="both"/>
        <w:rPr>
          <w:rFonts w:eastAsia="DengXian"/>
          <w:lang w:val="fr-FR"/>
        </w:rPr>
      </w:pPr>
      <w:r w:rsidRPr="007834C3">
        <w:rPr>
          <w:rFonts w:eastAsia="DengXian"/>
          <w:lang w:val="fr-FR"/>
        </w:rPr>
        <w:t>26.</w:t>
      </w:r>
      <w:r w:rsidRPr="007834C3">
        <w:rPr>
          <w:rFonts w:eastAsia="DengXian"/>
          <w:lang w:val="fr-FR"/>
        </w:rPr>
        <w:tab/>
        <w:t xml:space="preserve">Cela demeure une entreprise difficile que d’intégrer la variable ethnico-raciale dans tous les programmes de bourses d’études aux fins de la mise en œuvre des quotas réservés aux étudiants d’ascendance africaine. </w:t>
      </w:r>
    </w:p>
    <w:p w:rsidR="00B21814" w:rsidRPr="007834C3" w:rsidRDefault="00741712" w:rsidP="00AE0276">
      <w:pPr>
        <w:keepNext/>
        <w:spacing w:after="120"/>
        <w:ind w:left="1134" w:right="1134"/>
        <w:jc w:val="both"/>
        <w:rPr>
          <w:rFonts w:eastAsia="DengXian"/>
          <w:lang w:val="fr-FR"/>
        </w:rPr>
      </w:pPr>
      <w:r>
        <w:rPr>
          <w:rFonts w:eastAsia="DengXian"/>
          <w:lang w:val="fr-FR"/>
        </w:rPr>
        <w:t>27.</w:t>
      </w: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1877"/>
        <w:gridCol w:w="1878"/>
        <w:gridCol w:w="1878"/>
        <w:gridCol w:w="1878"/>
      </w:tblGrid>
      <w:tr w:rsidR="00B21814" w:rsidRPr="00365AD4" w:rsidTr="00D7234A">
        <w:trPr>
          <w:tblHeader/>
        </w:trPr>
        <w:tc>
          <w:tcPr>
            <w:tcW w:w="8504" w:type="dxa"/>
            <w:gridSpan w:val="5"/>
            <w:tcBorders>
              <w:top w:val="single" w:sz="12" w:space="0" w:color="auto"/>
              <w:bottom w:val="single" w:sz="4" w:space="0" w:color="auto"/>
            </w:tcBorders>
            <w:shd w:val="clear" w:color="auto" w:fill="auto"/>
            <w:noWrap/>
            <w:vAlign w:val="bottom"/>
          </w:tcPr>
          <w:p w:rsidR="00B21814" w:rsidRPr="00365AD4" w:rsidRDefault="00B21814" w:rsidP="0072682B">
            <w:pPr>
              <w:suppressAutoHyphens w:val="0"/>
              <w:spacing w:before="80" w:after="80" w:line="200" w:lineRule="exact"/>
              <w:jc w:val="center"/>
              <w:rPr>
                <w:i/>
                <w:sz w:val="16"/>
                <w:lang w:val="fr-FR" w:eastAsia="es-UY"/>
              </w:rPr>
            </w:pPr>
            <w:r w:rsidRPr="00365AD4">
              <w:rPr>
                <w:i/>
                <w:sz w:val="16"/>
                <w:lang w:val="fr-FR" w:eastAsia="es-UY"/>
              </w:rPr>
              <w:t xml:space="preserve">Bourses de troisième cycle « Carlos </w:t>
            </w:r>
            <w:proofErr w:type="spellStart"/>
            <w:r w:rsidRPr="00365AD4">
              <w:rPr>
                <w:i/>
                <w:sz w:val="16"/>
                <w:lang w:val="fr-FR" w:eastAsia="es-UY"/>
              </w:rPr>
              <w:t>Quijano</w:t>
            </w:r>
            <w:proofErr w:type="spellEnd"/>
            <w:r w:rsidRPr="00365AD4">
              <w:rPr>
                <w:i/>
                <w:sz w:val="16"/>
                <w:lang w:val="fr-FR" w:eastAsia="es-UY"/>
              </w:rPr>
              <w:t> »</w:t>
            </w:r>
          </w:p>
        </w:tc>
      </w:tr>
      <w:tr w:rsidR="00365AD4" w:rsidRPr="00365AD4" w:rsidTr="00734763">
        <w:tblPrEx>
          <w:tblBorders>
            <w:top w:val="none" w:sz="0" w:space="0" w:color="auto"/>
            <w:bottom w:val="none" w:sz="0" w:space="0" w:color="auto"/>
          </w:tblBorders>
        </w:tblPrEx>
        <w:trPr>
          <w:tblHeader/>
        </w:trPr>
        <w:tc>
          <w:tcPr>
            <w:tcW w:w="993" w:type="dxa"/>
            <w:tcBorders>
              <w:top w:val="single" w:sz="4" w:space="0" w:color="auto"/>
              <w:bottom w:val="single" w:sz="12" w:space="0" w:color="auto"/>
            </w:tcBorders>
            <w:shd w:val="clear" w:color="auto" w:fill="auto"/>
            <w:vAlign w:val="bottom"/>
          </w:tcPr>
          <w:p w:rsidR="00B21814" w:rsidRPr="00365AD4" w:rsidRDefault="00B21814" w:rsidP="00365AD4">
            <w:pPr>
              <w:suppressAutoHyphens w:val="0"/>
              <w:spacing w:before="80" w:after="80" w:line="200" w:lineRule="exact"/>
              <w:rPr>
                <w:i/>
                <w:sz w:val="16"/>
                <w:lang w:val="fr-FR" w:eastAsia="es-UY"/>
              </w:rPr>
            </w:pPr>
            <w:r w:rsidRPr="00365AD4">
              <w:rPr>
                <w:i/>
                <w:sz w:val="16"/>
                <w:lang w:val="fr-FR" w:eastAsia="es-UY"/>
              </w:rPr>
              <w:t xml:space="preserve">Année </w:t>
            </w:r>
          </w:p>
        </w:tc>
        <w:tc>
          <w:tcPr>
            <w:tcW w:w="1877" w:type="dxa"/>
            <w:tcBorders>
              <w:top w:val="single" w:sz="4" w:space="0" w:color="auto"/>
              <w:bottom w:val="single" w:sz="12" w:space="0" w:color="auto"/>
            </w:tcBorders>
            <w:shd w:val="clear" w:color="auto" w:fill="auto"/>
            <w:vAlign w:val="bottom"/>
          </w:tcPr>
          <w:p w:rsidR="00B21814" w:rsidRPr="00365AD4" w:rsidRDefault="00B21814" w:rsidP="00453503">
            <w:pPr>
              <w:suppressAutoHyphens w:val="0"/>
              <w:spacing w:before="80" w:after="80" w:line="200" w:lineRule="exact"/>
              <w:jc w:val="right"/>
              <w:rPr>
                <w:i/>
                <w:sz w:val="16"/>
                <w:lang w:val="fr-FR" w:eastAsia="es-UY"/>
              </w:rPr>
            </w:pPr>
            <w:r w:rsidRPr="00365AD4">
              <w:rPr>
                <w:i/>
                <w:sz w:val="16"/>
                <w:lang w:val="fr-FR" w:eastAsia="es-UY"/>
              </w:rPr>
              <w:t xml:space="preserve">Nombre total </w:t>
            </w:r>
            <w:r w:rsidR="00453503">
              <w:rPr>
                <w:i/>
                <w:sz w:val="16"/>
                <w:lang w:val="fr-FR" w:eastAsia="es-UY"/>
              </w:rPr>
              <w:t xml:space="preserve">de demandes </w:t>
            </w:r>
            <w:r w:rsidRPr="00365AD4">
              <w:rPr>
                <w:i/>
                <w:sz w:val="16"/>
                <w:lang w:val="fr-FR" w:eastAsia="es-UY"/>
              </w:rPr>
              <w:t>déposées par des personnes d’ascendance africaine</w:t>
            </w:r>
          </w:p>
        </w:tc>
        <w:tc>
          <w:tcPr>
            <w:tcW w:w="1878" w:type="dxa"/>
            <w:tcBorders>
              <w:top w:val="single" w:sz="4" w:space="0" w:color="auto"/>
              <w:bottom w:val="single" w:sz="12" w:space="0" w:color="auto"/>
            </w:tcBorders>
            <w:shd w:val="clear" w:color="auto" w:fill="auto"/>
            <w:vAlign w:val="bottom"/>
          </w:tcPr>
          <w:p w:rsidR="00B21814" w:rsidRPr="00365AD4" w:rsidRDefault="00B21814" w:rsidP="00453503">
            <w:pPr>
              <w:suppressAutoHyphens w:val="0"/>
              <w:spacing w:before="80" w:after="80" w:line="200" w:lineRule="exact"/>
              <w:jc w:val="right"/>
              <w:rPr>
                <w:i/>
                <w:sz w:val="16"/>
                <w:lang w:val="fr-FR" w:eastAsia="es-UY"/>
              </w:rPr>
            </w:pPr>
            <w:r w:rsidRPr="00365AD4">
              <w:rPr>
                <w:i/>
                <w:sz w:val="16"/>
                <w:lang w:val="fr-FR" w:eastAsia="es-UY"/>
              </w:rPr>
              <w:t>No</w:t>
            </w:r>
            <w:r w:rsidR="00453503">
              <w:rPr>
                <w:i/>
                <w:sz w:val="16"/>
                <w:lang w:val="fr-FR" w:eastAsia="es-UY"/>
              </w:rPr>
              <w:t>mbre de bourses accordées à des </w:t>
            </w:r>
            <w:r w:rsidRPr="00365AD4">
              <w:rPr>
                <w:i/>
                <w:sz w:val="16"/>
                <w:lang w:val="fr-FR" w:eastAsia="es-UY"/>
              </w:rPr>
              <w:t>personnes d’ascendance africaine</w:t>
            </w:r>
          </w:p>
        </w:tc>
        <w:tc>
          <w:tcPr>
            <w:tcW w:w="1878" w:type="dxa"/>
            <w:tcBorders>
              <w:top w:val="single" w:sz="4" w:space="0" w:color="auto"/>
              <w:bottom w:val="single" w:sz="12" w:space="0" w:color="auto"/>
            </w:tcBorders>
            <w:shd w:val="clear" w:color="auto" w:fill="auto"/>
            <w:vAlign w:val="bottom"/>
          </w:tcPr>
          <w:p w:rsidR="00B21814" w:rsidRPr="00365AD4" w:rsidRDefault="00B21814" w:rsidP="00365AD4">
            <w:pPr>
              <w:suppressAutoHyphens w:val="0"/>
              <w:spacing w:before="80" w:after="80" w:line="200" w:lineRule="exact"/>
              <w:jc w:val="right"/>
              <w:rPr>
                <w:i/>
                <w:sz w:val="16"/>
                <w:lang w:val="fr-FR" w:eastAsia="es-UY"/>
              </w:rPr>
            </w:pPr>
            <w:r w:rsidRPr="00365AD4">
              <w:rPr>
                <w:i/>
                <w:sz w:val="16"/>
                <w:lang w:val="fr-FR" w:eastAsia="es-UY"/>
              </w:rPr>
              <w:t>Nombre total</w:t>
            </w:r>
            <w:r w:rsidRPr="00365AD4">
              <w:rPr>
                <w:i/>
                <w:sz w:val="16"/>
                <w:lang w:val="fr-FR" w:eastAsia="es-UY"/>
              </w:rPr>
              <w:br/>
              <w:t>de bourses accordées</w:t>
            </w:r>
          </w:p>
        </w:tc>
        <w:tc>
          <w:tcPr>
            <w:tcW w:w="1878" w:type="dxa"/>
            <w:tcBorders>
              <w:top w:val="single" w:sz="4" w:space="0" w:color="auto"/>
              <w:bottom w:val="single" w:sz="12" w:space="0" w:color="auto"/>
            </w:tcBorders>
            <w:shd w:val="clear" w:color="auto" w:fill="auto"/>
            <w:vAlign w:val="bottom"/>
          </w:tcPr>
          <w:p w:rsidR="00B21814" w:rsidRPr="00365AD4" w:rsidRDefault="00B21814" w:rsidP="00365AD4">
            <w:pPr>
              <w:suppressAutoHyphens w:val="0"/>
              <w:spacing w:before="80" w:after="80" w:line="200" w:lineRule="exact"/>
              <w:jc w:val="right"/>
              <w:rPr>
                <w:i/>
                <w:sz w:val="16"/>
                <w:lang w:val="fr-FR" w:eastAsia="es-UY"/>
              </w:rPr>
            </w:pPr>
            <w:r w:rsidRPr="00365AD4">
              <w:rPr>
                <w:i/>
                <w:sz w:val="16"/>
                <w:lang w:val="fr-FR" w:eastAsia="es-UY"/>
              </w:rPr>
              <w:t>Nombre total</w:t>
            </w:r>
            <w:r w:rsidRPr="00365AD4">
              <w:rPr>
                <w:i/>
                <w:sz w:val="16"/>
                <w:lang w:val="fr-FR" w:eastAsia="es-UY"/>
              </w:rPr>
              <w:br/>
              <w:t>de demandes</w:t>
            </w:r>
          </w:p>
        </w:tc>
      </w:tr>
      <w:tr w:rsidR="00365AD4" w:rsidRPr="00365AD4" w:rsidTr="00734763">
        <w:tblPrEx>
          <w:tblBorders>
            <w:top w:val="none" w:sz="0" w:space="0" w:color="auto"/>
            <w:bottom w:val="none" w:sz="0" w:space="0" w:color="auto"/>
          </w:tblBorders>
        </w:tblPrEx>
        <w:tc>
          <w:tcPr>
            <w:tcW w:w="993" w:type="dxa"/>
            <w:tcBorders>
              <w:top w:val="single" w:sz="12" w:space="0" w:color="auto"/>
            </w:tcBorders>
            <w:shd w:val="clear" w:color="auto" w:fill="auto"/>
          </w:tcPr>
          <w:p w:rsidR="00B21814" w:rsidRPr="00365AD4" w:rsidDel="00390A51" w:rsidRDefault="00B21814" w:rsidP="00365AD4">
            <w:pPr>
              <w:suppressAutoHyphens w:val="0"/>
              <w:spacing w:before="40" w:after="40" w:line="220" w:lineRule="exact"/>
              <w:rPr>
                <w:sz w:val="18"/>
                <w:lang w:val="fr-FR" w:eastAsia="es-UY"/>
              </w:rPr>
            </w:pPr>
            <w:r w:rsidRPr="00365AD4">
              <w:rPr>
                <w:sz w:val="18"/>
                <w:lang w:val="fr-FR" w:eastAsia="es-UY"/>
              </w:rPr>
              <w:t>2008</w:t>
            </w:r>
          </w:p>
        </w:tc>
        <w:tc>
          <w:tcPr>
            <w:tcW w:w="1877" w:type="dxa"/>
            <w:tcBorders>
              <w:top w:val="single" w:sz="12" w:space="0" w:color="auto"/>
            </w:tcBorders>
            <w:shd w:val="clear" w:color="auto" w:fill="auto"/>
            <w:vAlign w:val="bottom"/>
          </w:tcPr>
          <w:p w:rsidR="00B21814" w:rsidRPr="00365AD4" w:rsidDel="00390A51" w:rsidRDefault="00B21814" w:rsidP="00365AD4">
            <w:pPr>
              <w:suppressAutoHyphens w:val="0"/>
              <w:spacing w:before="40" w:after="40" w:line="220" w:lineRule="exact"/>
              <w:jc w:val="right"/>
              <w:rPr>
                <w:sz w:val="18"/>
                <w:lang w:val="fr-FR" w:eastAsia="es-UY"/>
              </w:rPr>
            </w:pPr>
            <w:r w:rsidRPr="00365AD4">
              <w:rPr>
                <w:sz w:val="18"/>
                <w:lang w:val="fr-FR" w:eastAsia="es-UY"/>
              </w:rPr>
              <w:t>0</w:t>
            </w:r>
          </w:p>
        </w:tc>
        <w:tc>
          <w:tcPr>
            <w:tcW w:w="1878" w:type="dxa"/>
            <w:tcBorders>
              <w:top w:val="single" w:sz="12" w:space="0" w:color="auto"/>
            </w:tcBorders>
            <w:shd w:val="clear" w:color="auto" w:fill="auto"/>
            <w:vAlign w:val="bottom"/>
          </w:tcPr>
          <w:p w:rsidR="00B21814" w:rsidRPr="00365AD4" w:rsidDel="00390A51" w:rsidRDefault="00B21814" w:rsidP="00365AD4">
            <w:pPr>
              <w:suppressAutoHyphens w:val="0"/>
              <w:spacing w:before="40" w:after="40" w:line="220" w:lineRule="exact"/>
              <w:jc w:val="right"/>
              <w:rPr>
                <w:sz w:val="18"/>
                <w:lang w:val="fr-FR" w:eastAsia="es-UY"/>
              </w:rPr>
            </w:pPr>
            <w:r w:rsidRPr="00365AD4">
              <w:rPr>
                <w:sz w:val="18"/>
                <w:lang w:val="fr-FR" w:eastAsia="es-UY"/>
              </w:rPr>
              <w:t>0</w:t>
            </w:r>
          </w:p>
        </w:tc>
        <w:tc>
          <w:tcPr>
            <w:tcW w:w="1878" w:type="dxa"/>
            <w:tcBorders>
              <w:top w:val="single" w:sz="12" w:space="0" w:color="auto"/>
            </w:tcBorders>
            <w:shd w:val="clear" w:color="auto" w:fill="auto"/>
            <w:vAlign w:val="bottom"/>
          </w:tcPr>
          <w:p w:rsidR="00B21814" w:rsidRPr="00365AD4" w:rsidDel="00390A51" w:rsidRDefault="00B21814" w:rsidP="00365AD4">
            <w:pPr>
              <w:suppressAutoHyphens w:val="0"/>
              <w:spacing w:before="40" w:after="40" w:line="220" w:lineRule="exact"/>
              <w:jc w:val="right"/>
              <w:rPr>
                <w:sz w:val="18"/>
                <w:lang w:val="fr-FR" w:eastAsia="es-UY"/>
              </w:rPr>
            </w:pPr>
            <w:r w:rsidRPr="00365AD4">
              <w:rPr>
                <w:sz w:val="18"/>
                <w:lang w:val="fr-FR" w:eastAsia="es-UY"/>
              </w:rPr>
              <w:t>8</w:t>
            </w:r>
          </w:p>
        </w:tc>
        <w:tc>
          <w:tcPr>
            <w:tcW w:w="1878" w:type="dxa"/>
            <w:tcBorders>
              <w:top w:val="single" w:sz="12" w:space="0" w:color="auto"/>
            </w:tcBorders>
            <w:shd w:val="clear" w:color="auto" w:fill="auto"/>
            <w:vAlign w:val="bottom"/>
          </w:tcPr>
          <w:p w:rsidR="00B21814" w:rsidRPr="00365AD4" w:rsidDel="00390A51" w:rsidRDefault="00B21814" w:rsidP="00365AD4">
            <w:pPr>
              <w:suppressAutoHyphens w:val="0"/>
              <w:spacing w:before="40" w:after="40" w:line="220" w:lineRule="exact"/>
              <w:jc w:val="right"/>
              <w:rPr>
                <w:sz w:val="18"/>
                <w:lang w:val="fr-FR" w:eastAsia="es-UY"/>
              </w:rPr>
            </w:pPr>
            <w:r w:rsidRPr="00365AD4">
              <w:rPr>
                <w:sz w:val="18"/>
                <w:lang w:val="fr-FR" w:eastAsia="es-UY"/>
              </w:rPr>
              <w:t>28</w:t>
            </w:r>
          </w:p>
        </w:tc>
      </w:tr>
      <w:tr w:rsidR="00365AD4" w:rsidRPr="00365AD4" w:rsidTr="00734763">
        <w:tblPrEx>
          <w:tblBorders>
            <w:top w:val="none" w:sz="0" w:space="0" w:color="auto"/>
            <w:bottom w:val="none" w:sz="0" w:space="0" w:color="auto"/>
          </w:tblBorders>
        </w:tblPrEx>
        <w:tc>
          <w:tcPr>
            <w:tcW w:w="993" w:type="dxa"/>
            <w:shd w:val="clear" w:color="auto" w:fill="auto"/>
            <w:noWrap/>
          </w:tcPr>
          <w:p w:rsidR="00B21814" w:rsidRPr="00365AD4" w:rsidRDefault="00B21814" w:rsidP="00365AD4">
            <w:pPr>
              <w:suppressAutoHyphens w:val="0"/>
              <w:spacing w:before="40" w:after="40" w:line="220" w:lineRule="exact"/>
              <w:rPr>
                <w:sz w:val="18"/>
                <w:lang w:val="fr-FR" w:eastAsia="es-UY"/>
              </w:rPr>
            </w:pPr>
            <w:r w:rsidRPr="00365AD4">
              <w:rPr>
                <w:sz w:val="18"/>
                <w:lang w:val="fr-FR" w:eastAsia="es-UY"/>
              </w:rPr>
              <w:t>2009</w:t>
            </w:r>
          </w:p>
        </w:tc>
        <w:tc>
          <w:tcPr>
            <w:tcW w:w="1877"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4</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4</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7</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47</w:t>
            </w:r>
          </w:p>
        </w:tc>
      </w:tr>
      <w:tr w:rsidR="00365AD4" w:rsidRPr="00365AD4" w:rsidTr="00734763">
        <w:tblPrEx>
          <w:tblBorders>
            <w:top w:val="none" w:sz="0" w:space="0" w:color="auto"/>
            <w:bottom w:val="none" w:sz="0" w:space="0" w:color="auto"/>
          </w:tblBorders>
        </w:tblPrEx>
        <w:tc>
          <w:tcPr>
            <w:tcW w:w="993" w:type="dxa"/>
            <w:shd w:val="clear" w:color="auto" w:fill="auto"/>
            <w:noWrap/>
          </w:tcPr>
          <w:p w:rsidR="00B21814" w:rsidRPr="00365AD4" w:rsidRDefault="00B21814" w:rsidP="00365AD4">
            <w:pPr>
              <w:suppressAutoHyphens w:val="0"/>
              <w:spacing w:before="40" w:after="40" w:line="220" w:lineRule="exact"/>
              <w:rPr>
                <w:sz w:val="18"/>
                <w:lang w:val="fr-FR" w:eastAsia="es-UY"/>
              </w:rPr>
            </w:pPr>
            <w:r w:rsidRPr="00365AD4">
              <w:rPr>
                <w:sz w:val="18"/>
                <w:lang w:val="fr-FR" w:eastAsia="es-UY"/>
              </w:rPr>
              <w:t>2010</w:t>
            </w:r>
          </w:p>
        </w:tc>
        <w:tc>
          <w:tcPr>
            <w:tcW w:w="1877"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0</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0</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5</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25</w:t>
            </w:r>
          </w:p>
        </w:tc>
      </w:tr>
      <w:tr w:rsidR="00365AD4" w:rsidRPr="00365AD4" w:rsidTr="00734763">
        <w:tblPrEx>
          <w:tblBorders>
            <w:top w:val="none" w:sz="0" w:space="0" w:color="auto"/>
            <w:bottom w:val="none" w:sz="0" w:space="0" w:color="auto"/>
          </w:tblBorders>
        </w:tblPrEx>
        <w:tc>
          <w:tcPr>
            <w:tcW w:w="993" w:type="dxa"/>
            <w:shd w:val="clear" w:color="auto" w:fill="auto"/>
            <w:noWrap/>
          </w:tcPr>
          <w:p w:rsidR="00B21814" w:rsidRPr="00365AD4" w:rsidRDefault="00B21814" w:rsidP="00365AD4">
            <w:pPr>
              <w:suppressAutoHyphens w:val="0"/>
              <w:spacing w:before="40" w:after="40" w:line="220" w:lineRule="exact"/>
              <w:rPr>
                <w:sz w:val="18"/>
                <w:lang w:val="fr-FR" w:eastAsia="es-UY"/>
              </w:rPr>
            </w:pPr>
            <w:r w:rsidRPr="00365AD4">
              <w:rPr>
                <w:sz w:val="18"/>
                <w:lang w:val="fr-FR" w:eastAsia="es-UY"/>
              </w:rPr>
              <w:t>2011</w:t>
            </w:r>
          </w:p>
        </w:tc>
        <w:tc>
          <w:tcPr>
            <w:tcW w:w="1877"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0</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0</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12</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34</w:t>
            </w:r>
          </w:p>
        </w:tc>
      </w:tr>
      <w:tr w:rsidR="00365AD4" w:rsidRPr="00365AD4" w:rsidTr="00734763">
        <w:tblPrEx>
          <w:tblBorders>
            <w:top w:val="none" w:sz="0" w:space="0" w:color="auto"/>
            <w:bottom w:val="none" w:sz="0" w:space="0" w:color="auto"/>
          </w:tblBorders>
        </w:tblPrEx>
        <w:tc>
          <w:tcPr>
            <w:tcW w:w="993" w:type="dxa"/>
            <w:shd w:val="clear" w:color="auto" w:fill="auto"/>
            <w:noWrap/>
          </w:tcPr>
          <w:p w:rsidR="00B21814" w:rsidRPr="00365AD4" w:rsidRDefault="00B21814" w:rsidP="00365AD4">
            <w:pPr>
              <w:suppressAutoHyphens w:val="0"/>
              <w:spacing w:before="40" w:after="40" w:line="220" w:lineRule="exact"/>
              <w:rPr>
                <w:sz w:val="18"/>
                <w:lang w:val="fr-FR" w:eastAsia="es-UY"/>
              </w:rPr>
            </w:pPr>
            <w:r w:rsidRPr="00365AD4">
              <w:rPr>
                <w:sz w:val="18"/>
                <w:lang w:val="fr-FR" w:eastAsia="es-UY"/>
              </w:rPr>
              <w:t>2012</w:t>
            </w:r>
          </w:p>
        </w:tc>
        <w:tc>
          <w:tcPr>
            <w:tcW w:w="1877"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0</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0</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11</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50</w:t>
            </w:r>
          </w:p>
        </w:tc>
      </w:tr>
      <w:tr w:rsidR="00365AD4" w:rsidRPr="00365AD4" w:rsidTr="00734763">
        <w:tblPrEx>
          <w:tblBorders>
            <w:top w:val="none" w:sz="0" w:space="0" w:color="auto"/>
            <w:bottom w:val="none" w:sz="0" w:space="0" w:color="auto"/>
          </w:tblBorders>
        </w:tblPrEx>
        <w:tc>
          <w:tcPr>
            <w:tcW w:w="993" w:type="dxa"/>
            <w:shd w:val="clear" w:color="auto" w:fill="auto"/>
            <w:noWrap/>
          </w:tcPr>
          <w:p w:rsidR="00B21814" w:rsidRPr="00365AD4" w:rsidRDefault="00B21814" w:rsidP="00365AD4">
            <w:pPr>
              <w:suppressAutoHyphens w:val="0"/>
              <w:spacing w:before="40" w:after="40" w:line="220" w:lineRule="exact"/>
              <w:rPr>
                <w:sz w:val="18"/>
                <w:lang w:val="fr-FR" w:eastAsia="es-UY"/>
              </w:rPr>
            </w:pPr>
            <w:r w:rsidRPr="00365AD4">
              <w:rPr>
                <w:sz w:val="18"/>
                <w:lang w:val="fr-FR" w:eastAsia="es-UY"/>
              </w:rPr>
              <w:t>2013</w:t>
            </w:r>
          </w:p>
        </w:tc>
        <w:tc>
          <w:tcPr>
            <w:tcW w:w="1877"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4</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1</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14</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58</w:t>
            </w:r>
          </w:p>
        </w:tc>
      </w:tr>
      <w:tr w:rsidR="00365AD4" w:rsidRPr="00365AD4" w:rsidTr="00734763">
        <w:tblPrEx>
          <w:tblBorders>
            <w:top w:val="none" w:sz="0" w:space="0" w:color="auto"/>
            <w:bottom w:val="none" w:sz="0" w:space="0" w:color="auto"/>
          </w:tblBorders>
        </w:tblPrEx>
        <w:tc>
          <w:tcPr>
            <w:tcW w:w="993" w:type="dxa"/>
            <w:shd w:val="clear" w:color="auto" w:fill="auto"/>
            <w:noWrap/>
          </w:tcPr>
          <w:p w:rsidR="00B21814" w:rsidRPr="00365AD4" w:rsidRDefault="00B21814" w:rsidP="00365AD4">
            <w:pPr>
              <w:suppressAutoHyphens w:val="0"/>
              <w:spacing w:before="40" w:after="40" w:line="220" w:lineRule="exact"/>
              <w:rPr>
                <w:sz w:val="18"/>
                <w:lang w:val="fr-FR" w:eastAsia="es-UY"/>
              </w:rPr>
            </w:pPr>
            <w:r w:rsidRPr="00365AD4">
              <w:rPr>
                <w:sz w:val="18"/>
                <w:lang w:val="fr-FR" w:eastAsia="es-UY"/>
              </w:rPr>
              <w:t>2014</w:t>
            </w:r>
          </w:p>
        </w:tc>
        <w:tc>
          <w:tcPr>
            <w:tcW w:w="1877"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2</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1</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10</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88</w:t>
            </w:r>
          </w:p>
        </w:tc>
      </w:tr>
      <w:tr w:rsidR="00365AD4" w:rsidRPr="00365AD4" w:rsidTr="00734763">
        <w:tblPrEx>
          <w:tblBorders>
            <w:top w:val="none" w:sz="0" w:space="0" w:color="auto"/>
            <w:bottom w:val="none" w:sz="0" w:space="0" w:color="auto"/>
          </w:tblBorders>
        </w:tblPrEx>
        <w:tc>
          <w:tcPr>
            <w:tcW w:w="993" w:type="dxa"/>
            <w:shd w:val="clear" w:color="auto" w:fill="auto"/>
            <w:noWrap/>
          </w:tcPr>
          <w:p w:rsidR="00B21814" w:rsidRPr="00365AD4" w:rsidRDefault="00B21814" w:rsidP="00365AD4">
            <w:pPr>
              <w:suppressAutoHyphens w:val="0"/>
              <w:spacing w:before="40" w:after="40" w:line="220" w:lineRule="exact"/>
              <w:rPr>
                <w:sz w:val="18"/>
                <w:lang w:val="fr-FR" w:eastAsia="es-UY"/>
              </w:rPr>
            </w:pPr>
            <w:r w:rsidRPr="00365AD4">
              <w:rPr>
                <w:sz w:val="18"/>
                <w:lang w:val="fr-FR" w:eastAsia="es-UY"/>
              </w:rPr>
              <w:t>2015</w:t>
            </w:r>
          </w:p>
        </w:tc>
        <w:tc>
          <w:tcPr>
            <w:tcW w:w="1877"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1</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1</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9</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166</w:t>
            </w:r>
          </w:p>
        </w:tc>
      </w:tr>
      <w:tr w:rsidR="00365AD4" w:rsidRPr="00365AD4" w:rsidTr="00734763">
        <w:tblPrEx>
          <w:tblBorders>
            <w:top w:val="none" w:sz="0" w:space="0" w:color="auto"/>
            <w:bottom w:val="none" w:sz="0" w:space="0" w:color="auto"/>
          </w:tblBorders>
        </w:tblPrEx>
        <w:tc>
          <w:tcPr>
            <w:tcW w:w="993" w:type="dxa"/>
            <w:shd w:val="clear" w:color="auto" w:fill="auto"/>
            <w:noWrap/>
          </w:tcPr>
          <w:p w:rsidR="00B21814" w:rsidRPr="00365AD4" w:rsidRDefault="00B21814" w:rsidP="00365AD4">
            <w:pPr>
              <w:suppressAutoHyphens w:val="0"/>
              <w:spacing w:before="40" w:after="40" w:line="220" w:lineRule="exact"/>
              <w:rPr>
                <w:sz w:val="18"/>
                <w:lang w:val="fr-FR" w:eastAsia="es-UY"/>
              </w:rPr>
            </w:pPr>
            <w:r w:rsidRPr="00365AD4">
              <w:rPr>
                <w:sz w:val="18"/>
                <w:lang w:val="fr-FR" w:eastAsia="es-UY"/>
              </w:rPr>
              <w:t>2016</w:t>
            </w:r>
          </w:p>
        </w:tc>
        <w:tc>
          <w:tcPr>
            <w:tcW w:w="1877"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6</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4</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12</w:t>
            </w:r>
          </w:p>
        </w:tc>
        <w:tc>
          <w:tcPr>
            <w:tcW w:w="1878" w:type="dxa"/>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89</w:t>
            </w:r>
          </w:p>
        </w:tc>
      </w:tr>
      <w:tr w:rsidR="00365AD4" w:rsidRPr="00365AD4" w:rsidTr="00734763">
        <w:tblPrEx>
          <w:tblBorders>
            <w:top w:val="none" w:sz="0" w:space="0" w:color="auto"/>
            <w:bottom w:val="none" w:sz="0" w:space="0" w:color="auto"/>
          </w:tblBorders>
        </w:tblPrEx>
        <w:tc>
          <w:tcPr>
            <w:tcW w:w="993" w:type="dxa"/>
            <w:tcBorders>
              <w:bottom w:val="single" w:sz="4" w:space="0" w:color="auto"/>
            </w:tcBorders>
            <w:shd w:val="clear" w:color="auto" w:fill="auto"/>
            <w:noWrap/>
          </w:tcPr>
          <w:p w:rsidR="00B21814" w:rsidRPr="00365AD4" w:rsidRDefault="00B21814" w:rsidP="00365AD4">
            <w:pPr>
              <w:suppressAutoHyphens w:val="0"/>
              <w:spacing w:before="40" w:after="40" w:line="220" w:lineRule="exact"/>
              <w:rPr>
                <w:sz w:val="18"/>
                <w:lang w:val="fr-FR" w:eastAsia="es-UY"/>
              </w:rPr>
            </w:pPr>
            <w:r w:rsidRPr="00365AD4">
              <w:rPr>
                <w:sz w:val="18"/>
                <w:lang w:val="fr-FR" w:eastAsia="es-UY"/>
              </w:rPr>
              <w:t>2017</w:t>
            </w:r>
          </w:p>
        </w:tc>
        <w:tc>
          <w:tcPr>
            <w:tcW w:w="1877" w:type="dxa"/>
            <w:tcBorders>
              <w:bottom w:val="single" w:sz="4" w:space="0" w:color="auto"/>
            </w:tcBorders>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8</w:t>
            </w:r>
          </w:p>
        </w:tc>
        <w:tc>
          <w:tcPr>
            <w:tcW w:w="1878" w:type="dxa"/>
            <w:tcBorders>
              <w:bottom w:val="single" w:sz="4" w:space="0" w:color="auto"/>
            </w:tcBorders>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3</w:t>
            </w:r>
          </w:p>
        </w:tc>
        <w:tc>
          <w:tcPr>
            <w:tcW w:w="1878" w:type="dxa"/>
            <w:tcBorders>
              <w:bottom w:val="single" w:sz="4" w:space="0" w:color="auto"/>
            </w:tcBorders>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11</w:t>
            </w:r>
          </w:p>
        </w:tc>
        <w:tc>
          <w:tcPr>
            <w:tcW w:w="1878" w:type="dxa"/>
            <w:tcBorders>
              <w:bottom w:val="single" w:sz="4" w:space="0" w:color="auto"/>
            </w:tcBorders>
            <w:shd w:val="clear" w:color="auto" w:fill="auto"/>
            <w:noWrap/>
            <w:vAlign w:val="bottom"/>
          </w:tcPr>
          <w:p w:rsidR="00B21814" w:rsidRPr="00365AD4" w:rsidRDefault="00B21814" w:rsidP="00365AD4">
            <w:pPr>
              <w:suppressAutoHyphens w:val="0"/>
              <w:spacing w:before="40" w:after="40" w:line="220" w:lineRule="exact"/>
              <w:jc w:val="right"/>
              <w:rPr>
                <w:sz w:val="18"/>
                <w:lang w:val="fr-FR" w:eastAsia="es-UY"/>
              </w:rPr>
            </w:pPr>
            <w:r w:rsidRPr="00365AD4">
              <w:rPr>
                <w:sz w:val="18"/>
                <w:lang w:val="fr-FR" w:eastAsia="es-UY"/>
              </w:rPr>
              <w:t>90</w:t>
            </w:r>
          </w:p>
        </w:tc>
      </w:tr>
      <w:tr w:rsidR="00365AD4" w:rsidRPr="006B5CF1" w:rsidTr="00734763">
        <w:tblPrEx>
          <w:tblBorders>
            <w:top w:val="none" w:sz="0" w:space="0" w:color="auto"/>
            <w:bottom w:val="none" w:sz="0" w:space="0" w:color="auto"/>
          </w:tblBorders>
        </w:tblPrEx>
        <w:tc>
          <w:tcPr>
            <w:tcW w:w="993" w:type="dxa"/>
            <w:tcBorders>
              <w:top w:val="single" w:sz="4" w:space="0" w:color="auto"/>
              <w:bottom w:val="single" w:sz="12" w:space="0" w:color="auto"/>
            </w:tcBorders>
            <w:shd w:val="clear" w:color="auto" w:fill="auto"/>
            <w:noWrap/>
          </w:tcPr>
          <w:p w:rsidR="00B21814" w:rsidRPr="006B5CF1" w:rsidRDefault="00B21814" w:rsidP="006B5CF1">
            <w:pPr>
              <w:suppressAutoHyphens w:val="0"/>
              <w:spacing w:before="80" w:after="80" w:line="220" w:lineRule="exact"/>
              <w:ind w:left="283"/>
              <w:rPr>
                <w:b/>
                <w:bCs/>
                <w:sz w:val="18"/>
                <w:lang w:val="fr-FR" w:eastAsia="es-UY"/>
              </w:rPr>
            </w:pPr>
            <w:r w:rsidRPr="006B5CF1">
              <w:rPr>
                <w:b/>
                <w:bCs/>
                <w:sz w:val="18"/>
                <w:lang w:val="fr-FR" w:eastAsia="es-UY"/>
              </w:rPr>
              <w:t>Total</w:t>
            </w:r>
          </w:p>
        </w:tc>
        <w:tc>
          <w:tcPr>
            <w:tcW w:w="1877" w:type="dxa"/>
            <w:tcBorders>
              <w:top w:val="single" w:sz="4" w:space="0" w:color="auto"/>
              <w:bottom w:val="single" w:sz="12" w:space="0" w:color="auto"/>
            </w:tcBorders>
            <w:shd w:val="clear" w:color="auto" w:fill="auto"/>
            <w:noWrap/>
            <w:vAlign w:val="bottom"/>
          </w:tcPr>
          <w:p w:rsidR="00B21814" w:rsidRPr="006B5CF1" w:rsidRDefault="00B21814" w:rsidP="006B5CF1">
            <w:pPr>
              <w:suppressAutoHyphens w:val="0"/>
              <w:spacing w:before="80" w:after="80" w:line="220" w:lineRule="exact"/>
              <w:jc w:val="right"/>
              <w:rPr>
                <w:b/>
                <w:bCs/>
                <w:sz w:val="18"/>
                <w:lang w:val="fr-FR" w:eastAsia="es-UY"/>
              </w:rPr>
            </w:pPr>
            <w:r w:rsidRPr="006B5CF1">
              <w:rPr>
                <w:b/>
                <w:bCs/>
                <w:sz w:val="18"/>
                <w:lang w:val="fr-FR" w:eastAsia="es-UY"/>
              </w:rPr>
              <w:t>25</w:t>
            </w:r>
          </w:p>
        </w:tc>
        <w:tc>
          <w:tcPr>
            <w:tcW w:w="1878" w:type="dxa"/>
            <w:tcBorders>
              <w:top w:val="single" w:sz="4" w:space="0" w:color="auto"/>
              <w:bottom w:val="single" w:sz="12" w:space="0" w:color="auto"/>
            </w:tcBorders>
            <w:shd w:val="clear" w:color="auto" w:fill="auto"/>
            <w:noWrap/>
            <w:vAlign w:val="bottom"/>
          </w:tcPr>
          <w:p w:rsidR="00B21814" w:rsidRPr="006B5CF1" w:rsidRDefault="00B21814" w:rsidP="006B5CF1">
            <w:pPr>
              <w:suppressAutoHyphens w:val="0"/>
              <w:spacing w:before="80" w:after="80" w:line="220" w:lineRule="exact"/>
              <w:jc w:val="right"/>
              <w:rPr>
                <w:b/>
                <w:bCs/>
                <w:sz w:val="18"/>
                <w:lang w:val="fr-FR" w:eastAsia="es-UY"/>
              </w:rPr>
            </w:pPr>
            <w:r w:rsidRPr="006B5CF1">
              <w:rPr>
                <w:b/>
                <w:bCs/>
                <w:sz w:val="18"/>
                <w:lang w:val="fr-FR" w:eastAsia="es-UY"/>
              </w:rPr>
              <w:t>14</w:t>
            </w:r>
          </w:p>
        </w:tc>
        <w:tc>
          <w:tcPr>
            <w:tcW w:w="1878" w:type="dxa"/>
            <w:tcBorders>
              <w:top w:val="single" w:sz="4" w:space="0" w:color="auto"/>
              <w:bottom w:val="single" w:sz="12" w:space="0" w:color="auto"/>
            </w:tcBorders>
            <w:shd w:val="clear" w:color="auto" w:fill="auto"/>
            <w:noWrap/>
            <w:vAlign w:val="bottom"/>
          </w:tcPr>
          <w:p w:rsidR="00B21814" w:rsidRPr="006B5CF1" w:rsidRDefault="00B21814" w:rsidP="006B5CF1">
            <w:pPr>
              <w:suppressAutoHyphens w:val="0"/>
              <w:spacing w:before="80" w:after="80" w:line="220" w:lineRule="exact"/>
              <w:jc w:val="right"/>
              <w:rPr>
                <w:b/>
                <w:bCs/>
                <w:sz w:val="18"/>
                <w:lang w:val="fr-FR" w:eastAsia="es-UY"/>
              </w:rPr>
            </w:pPr>
            <w:r w:rsidRPr="006B5CF1">
              <w:rPr>
                <w:b/>
                <w:bCs/>
                <w:sz w:val="18"/>
                <w:lang w:val="fr-FR" w:eastAsia="es-UY"/>
              </w:rPr>
              <w:t>99</w:t>
            </w:r>
          </w:p>
        </w:tc>
        <w:tc>
          <w:tcPr>
            <w:tcW w:w="1878" w:type="dxa"/>
            <w:tcBorders>
              <w:top w:val="single" w:sz="4" w:space="0" w:color="auto"/>
              <w:bottom w:val="single" w:sz="12" w:space="0" w:color="auto"/>
            </w:tcBorders>
            <w:shd w:val="clear" w:color="auto" w:fill="auto"/>
            <w:noWrap/>
            <w:vAlign w:val="bottom"/>
          </w:tcPr>
          <w:p w:rsidR="00B21814" w:rsidRPr="006B5CF1" w:rsidRDefault="00B21814" w:rsidP="006B5CF1">
            <w:pPr>
              <w:suppressAutoHyphens w:val="0"/>
              <w:spacing w:before="80" w:after="80" w:line="220" w:lineRule="exact"/>
              <w:jc w:val="right"/>
              <w:rPr>
                <w:b/>
                <w:bCs/>
                <w:sz w:val="18"/>
                <w:lang w:val="fr-FR" w:eastAsia="es-UY"/>
              </w:rPr>
            </w:pPr>
            <w:r w:rsidRPr="006B5CF1">
              <w:rPr>
                <w:b/>
                <w:bCs/>
                <w:sz w:val="18"/>
                <w:lang w:val="fr-FR" w:eastAsia="es-UY"/>
              </w:rPr>
              <w:t>675</w:t>
            </w:r>
          </w:p>
        </w:tc>
      </w:tr>
    </w:tbl>
    <w:p w:rsidR="00365AD4" w:rsidRDefault="00365AD4"/>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1877"/>
        <w:gridCol w:w="1878"/>
        <w:gridCol w:w="1878"/>
        <w:gridCol w:w="1878"/>
      </w:tblGrid>
      <w:tr w:rsidR="00B21814" w:rsidRPr="006B5CF1" w:rsidTr="00CC5FE3">
        <w:trPr>
          <w:tblHeader/>
        </w:trPr>
        <w:tc>
          <w:tcPr>
            <w:tcW w:w="8504" w:type="dxa"/>
            <w:gridSpan w:val="5"/>
            <w:tcBorders>
              <w:top w:val="nil"/>
              <w:bottom w:val="single" w:sz="4" w:space="0" w:color="auto"/>
            </w:tcBorders>
            <w:shd w:val="clear" w:color="auto" w:fill="auto"/>
            <w:noWrap/>
            <w:vAlign w:val="bottom"/>
            <w:hideMark/>
          </w:tcPr>
          <w:p w:rsidR="00B21814" w:rsidRPr="006B5CF1" w:rsidRDefault="00B21814" w:rsidP="006B5CF1">
            <w:pPr>
              <w:suppressAutoHyphens w:val="0"/>
              <w:spacing w:before="80" w:after="80" w:line="200" w:lineRule="exact"/>
              <w:jc w:val="center"/>
              <w:rPr>
                <w:i/>
                <w:sz w:val="16"/>
                <w:lang w:val="fr-FR" w:eastAsia="es-UY"/>
              </w:rPr>
            </w:pPr>
            <w:r w:rsidRPr="006B5CF1">
              <w:rPr>
                <w:i/>
                <w:sz w:val="16"/>
                <w:lang w:val="fr-FR" w:eastAsia="es-UY"/>
              </w:rPr>
              <w:t>Bourses accordées à des élèves du secondaire d’ascendance africaine</w:t>
            </w:r>
          </w:p>
        </w:tc>
      </w:tr>
      <w:tr w:rsidR="00734763" w:rsidRPr="006B5CF1" w:rsidTr="00734763">
        <w:trPr>
          <w:tblHeader/>
        </w:trPr>
        <w:tc>
          <w:tcPr>
            <w:tcW w:w="8504" w:type="dxa"/>
            <w:gridSpan w:val="5"/>
            <w:tcBorders>
              <w:top w:val="single" w:sz="4" w:space="0" w:color="auto"/>
            </w:tcBorders>
            <w:shd w:val="clear" w:color="auto" w:fill="auto"/>
            <w:noWrap/>
            <w:vAlign w:val="bottom"/>
            <w:hideMark/>
          </w:tcPr>
          <w:p w:rsidR="00734763" w:rsidRPr="006B5CF1" w:rsidRDefault="00734763" w:rsidP="00734763">
            <w:pPr>
              <w:suppressAutoHyphens w:val="0"/>
              <w:spacing w:before="80" w:after="80" w:line="200" w:lineRule="exact"/>
              <w:jc w:val="center"/>
              <w:rPr>
                <w:i/>
                <w:sz w:val="16"/>
                <w:lang w:val="fr-FR" w:eastAsia="es-UY"/>
              </w:rPr>
            </w:pPr>
            <w:r w:rsidRPr="006B5CF1">
              <w:rPr>
                <w:i/>
                <w:sz w:val="16"/>
                <w:lang w:val="fr-FR" w:eastAsia="es-UY"/>
              </w:rPr>
              <w:t>Bourses sur critères sociaux</w:t>
            </w:r>
          </w:p>
        </w:tc>
      </w:tr>
      <w:tr w:rsidR="006B5CF1" w:rsidRPr="006B5CF1" w:rsidTr="00734763">
        <w:tblPrEx>
          <w:tblBorders>
            <w:top w:val="none" w:sz="0" w:space="0" w:color="auto"/>
            <w:bottom w:val="none" w:sz="0" w:space="0" w:color="auto"/>
          </w:tblBorders>
        </w:tblPrEx>
        <w:trPr>
          <w:tblHeader/>
        </w:trPr>
        <w:tc>
          <w:tcPr>
            <w:tcW w:w="993" w:type="dxa"/>
            <w:tcBorders>
              <w:top w:val="single" w:sz="4" w:space="0" w:color="auto"/>
              <w:bottom w:val="single" w:sz="12" w:space="0" w:color="auto"/>
            </w:tcBorders>
            <w:shd w:val="clear" w:color="auto" w:fill="auto"/>
            <w:vAlign w:val="bottom"/>
            <w:hideMark/>
          </w:tcPr>
          <w:p w:rsidR="00B21814" w:rsidRPr="006B5CF1" w:rsidRDefault="00B21814" w:rsidP="006B5CF1">
            <w:pPr>
              <w:suppressAutoHyphens w:val="0"/>
              <w:spacing w:before="80" w:after="80" w:line="200" w:lineRule="exact"/>
              <w:rPr>
                <w:i/>
                <w:sz w:val="16"/>
                <w:lang w:val="fr-FR" w:eastAsia="es-UY"/>
              </w:rPr>
            </w:pPr>
            <w:r w:rsidRPr="006B5CF1">
              <w:rPr>
                <w:i/>
                <w:sz w:val="16"/>
                <w:lang w:val="fr-FR" w:eastAsia="es-UY"/>
              </w:rPr>
              <w:t>Année</w:t>
            </w:r>
          </w:p>
        </w:tc>
        <w:tc>
          <w:tcPr>
            <w:tcW w:w="1877" w:type="dxa"/>
            <w:tcBorders>
              <w:top w:val="single" w:sz="4" w:space="0" w:color="auto"/>
              <w:bottom w:val="single" w:sz="12" w:space="0" w:color="auto"/>
            </w:tcBorders>
            <w:shd w:val="clear" w:color="auto" w:fill="auto"/>
            <w:vAlign w:val="bottom"/>
            <w:hideMark/>
          </w:tcPr>
          <w:p w:rsidR="00B21814" w:rsidRPr="006B5CF1" w:rsidRDefault="00B21814" w:rsidP="006B5CF1">
            <w:pPr>
              <w:suppressAutoHyphens w:val="0"/>
              <w:spacing w:before="80" w:after="80" w:line="200" w:lineRule="exact"/>
              <w:jc w:val="right"/>
              <w:rPr>
                <w:i/>
                <w:sz w:val="16"/>
                <w:lang w:val="fr-FR" w:eastAsia="es-UY"/>
              </w:rPr>
            </w:pPr>
            <w:r w:rsidRPr="006B5CF1">
              <w:rPr>
                <w:i/>
                <w:sz w:val="16"/>
                <w:lang w:val="fr-FR" w:eastAsia="es-UY"/>
              </w:rPr>
              <w:t>Nombre de demandes déposées par des élèves d’ascendance africaine</w:t>
            </w:r>
          </w:p>
        </w:tc>
        <w:tc>
          <w:tcPr>
            <w:tcW w:w="1878" w:type="dxa"/>
            <w:tcBorders>
              <w:top w:val="single" w:sz="4" w:space="0" w:color="auto"/>
              <w:bottom w:val="single" w:sz="12" w:space="0" w:color="auto"/>
            </w:tcBorders>
            <w:shd w:val="clear" w:color="auto" w:fill="auto"/>
            <w:vAlign w:val="bottom"/>
            <w:hideMark/>
          </w:tcPr>
          <w:p w:rsidR="00B21814" w:rsidRPr="006B5CF1" w:rsidRDefault="00B21814" w:rsidP="006B5CF1">
            <w:pPr>
              <w:suppressAutoHyphens w:val="0"/>
              <w:spacing w:before="80" w:after="80" w:line="200" w:lineRule="exact"/>
              <w:jc w:val="right"/>
              <w:rPr>
                <w:i/>
                <w:sz w:val="16"/>
                <w:lang w:val="fr-FR" w:eastAsia="es-UY"/>
              </w:rPr>
            </w:pPr>
            <w:r w:rsidRPr="006B5CF1">
              <w:rPr>
                <w:i/>
                <w:sz w:val="16"/>
                <w:lang w:val="fr-FR" w:eastAsia="es-UY"/>
              </w:rPr>
              <w:t>Nombre de bourses accordées à des personnes d’ascendance africaine</w:t>
            </w:r>
          </w:p>
        </w:tc>
        <w:tc>
          <w:tcPr>
            <w:tcW w:w="1878" w:type="dxa"/>
            <w:tcBorders>
              <w:top w:val="single" w:sz="4" w:space="0" w:color="auto"/>
              <w:bottom w:val="single" w:sz="12" w:space="0" w:color="auto"/>
            </w:tcBorders>
            <w:shd w:val="clear" w:color="auto" w:fill="auto"/>
            <w:vAlign w:val="bottom"/>
            <w:hideMark/>
          </w:tcPr>
          <w:p w:rsidR="00B21814" w:rsidRPr="006B5CF1" w:rsidRDefault="00B21814" w:rsidP="006B5CF1">
            <w:pPr>
              <w:suppressAutoHyphens w:val="0"/>
              <w:spacing w:before="80" w:after="80" w:line="200" w:lineRule="exact"/>
              <w:jc w:val="right"/>
              <w:rPr>
                <w:i/>
                <w:sz w:val="16"/>
                <w:lang w:val="fr-FR" w:eastAsia="es-UY"/>
              </w:rPr>
            </w:pPr>
            <w:r w:rsidRPr="006B5CF1">
              <w:rPr>
                <w:i/>
                <w:sz w:val="16"/>
                <w:lang w:val="fr-FR" w:eastAsia="es-UY"/>
              </w:rPr>
              <w:t xml:space="preserve">Nombre total </w:t>
            </w:r>
            <w:r w:rsidRPr="006B5CF1">
              <w:rPr>
                <w:i/>
                <w:sz w:val="16"/>
                <w:lang w:val="fr-FR" w:eastAsia="es-UY"/>
              </w:rPr>
              <w:br/>
              <w:t>de bourses accordées</w:t>
            </w:r>
          </w:p>
        </w:tc>
        <w:tc>
          <w:tcPr>
            <w:tcW w:w="1878" w:type="dxa"/>
            <w:tcBorders>
              <w:top w:val="single" w:sz="4" w:space="0" w:color="auto"/>
              <w:bottom w:val="single" w:sz="12" w:space="0" w:color="auto"/>
            </w:tcBorders>
            <w:shd w:val="clear" w:color="auto" w:fill="auto"/>
            <w:vAlign w:val="bottom"/>
            <w:hideMark/>
          </w:tcPr>
          <w:p w:rsidR="00B21814" w:rsidRPr="006B5CF1" w:rsidRDefault="00B21814" w:rsidP="006B5CF1">
            <w:pPr>
              <w:suppressAutoHyphens w:val="0"/>
              <w:spacing w:before="80" w:after="80" w:line="200" w:lineRule="exact"/>
              <w:jc w:val="right"/>
              <w:rPr>
                <w:i/>
                <w:sz w:val="16"/>
                <w:lang w:val="fr-FR" w:eastAsia="es-UY"/>
              </w:rPr>
            </w:pPr>
            <w:r w:rsidRPr="006B5CF1">
              <w:rPr>
                <w:i/>
                <w:sz w:val="16"/>
                <w:lang w:val="fr-FR" w:eastAsia="es-UY"/>
              </w:rPr>
              <w:t>Nombre total</w:t>
            </w:r>
            <w:r w:rsidRPr="006B5CF1">
              <w:rPr>
                <w:i/>
                <w:sz w:val="16"/>
                <w:lang w:val="fr-FR" w:eastAsia="es-UY"/>
              </w:rPr>
              <w:br/>
              <w:t>de demandes</w:t>
            </w:r>
          </w:p>
        </w:tc>
      </w:tr>
      <w:tr w:rsidR="006B5CF1" w:rsidRPr="006B5CF1" w:rsidTr="00734763">
        <w:tblPrEx>
          <w:tblBorders>
            <w:top w:val="none" w:sz="0" w:space="0" w:color="auto"/>
            <w:bottom w:val="none" w:sz="0" w:space="0" w:color="auto"/>
          </w:tblBorders>
        </w:tblPrEx>
        <w:tc>
          <w:tcPr>
            <w:tcW w:w="993" w:type="dxa"/>
            <w:tcBorders>
              <w:top w:val="single" w:sz="12" w:space="0" w:color="auto"/>
            </w:tcBorders>
            <w:shd w:val="clear" w:color="auto" w:fill="auto"/>
            <w:noWrap/>
            <w:hideMark/>
          </w:tcPr>
          <w:p w:rsidR="00B21814" w:rsidRPr="006B5CF1" w:rsidRDefault="00B21814" w:rsidP="006B5CF1">
            <w:pPr>
              <w:suppressAutoHyphens w:val="0"/>
              <w:spacing w:before="40" w:after="40" w:line="220" w:lineRule="exact"/>
              <w:rPr>
                <w:sz w:val="18"/>
                <w:lang w:val="fr-FR" w:eastAsia="es-UY"/>
              </w:rPr>
            </w:pPr>
            <w:r w:rsidRPr="006B5CF1">
              <w:rPr>
                <w:sz w:val="18"/>
                <w:lang w:val="fr-FR" w:eastAsia="es-UY"/>
              </w:rPr>
              <w:t>2011</w:t>
            </w:r>
          </w:p>
        </w:tc>
        <w:tc>
          <w:tcPr>
            <w:tcW w:w="1877" w:type="dxa"/>
            <w:tcBorders>
              <w:top w:val="single" w:sz="12" w:space="0" w:color="auto"/>
            </w:tcBorders>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proofErr w:type="spellStart"/>
            <w:r w:rsidRPr="006B5CF1">
              <w:rPr>
                <w:sz w:val="18"/>
                <w:lang w:val="fr-FR" w:eastAsia="es-UY"/>
              </w:rPr>
              <w:t>n.d</w:t>
            </w:r>
            <w:proofErr w:type="spellEnd"/>
            <w:r w:rsidRPr="006B5CF1">
              <w:rPr>
                <w:sz w:val="18"/>
                <w:lang w:val="fr-FR" w:eastAsia="es-UY"/>
              </w:rPr>
              <w:t>.</w:t>
            </w:r>
          </w:p>
        </w:tc>
        <w:tc>
          <w:tcPr>
            <w:tcW w:w="1878" w:type="dxa"/>
            <w:tcBorders>
              <w:top w:val="single" w:sz="12" w:space="0" w:color="auto"/>
            </w:tcBorders>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20</w:t>
            </w:r>
          </w:p>
        </w:tc>
        <w:tc>
          <w:tcPr>
            <w:tcW w:w="1878" w:type="dxa"/>
            <w:tcBorders>
              <w:top w:val="single" w:sz="12" w:space="0" w:color="auto"/>
            </w:tcBorders>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1 436</w:t>
            </w:r>
          </w:p>
        </w:tc>
        <w:tc>
          <w:tcPr>
            <w:tcW w:w="1878" w:type="dxa"/>
            <w:tcBorders>
              <w:top w:val="single" w:sz="12" w:space="0" w:color="auto"/>
            </w:tcBorders>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5 335</w:t>
            </w:r>
          </w:p>
        </w:tc>
      </w:tr>
      <w:tr w:rsidR="006B5CF1" w:rsidRPr="006B5CF1" w:rsidTr="00734763">
        <w:tblPrEx>
          <w:tblBorders>
            <w:top w:val="none" w:sz="0" w:space="0" w:color="auto"/>
            <w:bottom w:val="none" w:sz="0" w:space="0" w:color="auto"/>
          </w:tblBorders>
        </w:tblPrEx>
        <w:tc>
          <w:tcPr>
            <w:tcW w:w="993" w:type="dxa"/>
            <w:shd w:val="clear" w:color="auto" w:fill="auto"/>
            <w:noWrap/>
            <w:hideMark/>
          </w:tcPr>
          <w:p w:rsidR="00B21814" w:rsidRPr="006B5CF1" w:rsidRDefault="00B21814" w:rsidP="006B5CF1">
            <w:pPr>
              <w:suppressAutoHyphens w:val="0"/>
              <w:spacing w:before="40" w:after="40" w:line="220" w:lineRule="exact"/>
              <w:rPr>
                <w:sz w:val="18"/>
                <w:lang w:val="fr-FR" w:eastAsia="es-UY"/>
              </w:rPr>
            </w:pPr>
            <w:r w:rsidRPr="006B5CF1">
              <w:rPr>
                <w:sz w:val="18"/>
                <w:lang w:val="fr-FR" w:eastAsia="es-UY"/>
              </w:rPr>
              <w:t>2012</w:t>
            </w:r>
          </w:p>
        </w:tc>
        <w:tc>
          <w:tcPr>
            <w:tcW w:w="1877"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proofErr w:type="spellStart"/>
            <w:r w:rsidRPr="006B5CF1">
              <w:rPr>
                <w:sz w:val="18"/>
                <w:lang w:val="fr-FR" w:eastAsia="es-UY"/>
              </w:rPr>
              <w:t>n.d</w:t>
            </w:r>
            <w:proofErr w:type="spellEnd"/>
            <w:r w:rsidRPr="006B5CF1">
              <w:rPr>
                <w:sz w:val="18"/>
                <w:lang w:val="fr-FR" w:eastAsia="es-UY"/>
              </w:rPr>
              <w:t>.</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31</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2 894</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4 800</w:t>
            </w:r>
          </w:p>
        </w:tc>
      </w:tr>
      <w:tr w:rsidR="006B5CF1" w:rsidRPr="006B5CF1" w:rsidTr="00734763">
        <w:tblPrEx>
          <w:tblBorders>
            <w:top w:val="none" w:sz="0" w:space="0" w:color="auto"/>
            <w:bottom w:val="none" w:sz="0" w:space="0" w:color="auto"/>
          </w:tblBorders>
        </w:tblPrEx>
        <w:tc>
          <w:tcPr>
            <w:tcW w:w="993" w:type="dxa"/>
            <w:shd w:val="clear" w:color="auto" w:fill="auto"/>
            <w:noWrap/>
            <w:hideMark/>
          </w:tcPr>
          <w:p w:rsidR="00B21814" w:rsidRPr="006B5CF1" w:rsidRDefault="00B21814" w:rsidP="006B5CF1">
            <w:pPr>
              <w:suppressAutoHyphens w:val="0"/>
              <w:spacing w:before="40" w:after="40" w:line="220" w:lineRule="exact"/>
              <w:rPr>
                <w:sz w:val="18"/>
                <w:lang w:val="fr-FR" w:eastAsia="es-UY"/>
              </w:rPr>
            </w:pPr>
            <w:r w:rsidRPr="006B5CF1">
              <w:rPr>
                <w:sz w:val="18"/>
                <w:lang w:val="fr-FR" w:eastAsia="es-UY"/>
              </w:rPr>
              <w:t>2013</w:t>
            </w:r>
          </w:p>
        </w:tc>
        <w:tc>
          <w:tcPr>
            <w:tcW w:w="1877"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proofErr w:type="spellStart"/>
            <w:r w:rsidRPr="006B5CF1">
              <w:rPr>
                <w:sz w:val="18"/>
                <w:lang w:val="fr-FR" w:eastAsia="es-UY"/>
              </w:rPr>
              <w:t>n.d</w:t>
            </w:r>
            <w:proofErr w:type="spellEnd"/>
            <w:r w:rsidRPr="006B5CF1">
              <w:rPr>
                <w:sz w:val="18"/>
                <w:lang w:val="fr-FR" w:eastAsia="es-UY"/>
              </w:rPr>
              <w:t>.</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180</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3 719</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3 986</w:t>
            </w:r>
          </w:p>
        </w:tc>
      </w:tr>
      <w:tr w:rsidR="006B5CF1" w:rsidRPr="006B5CF1" w:rsidTr="00734763">
        <w:tblPrEx>
          <w:tblBorders>
            <w:top w:val="none" w:sz="0" w:space="0" w:color="auto"/>
            <w:bottom w:val="none" w:sz="0" w:space="0" w:color="auto"/>
          </w:tblBorders>
        </w:tblPrEx>
        <w:tc>
          <w:tcPr>
            <w:tcW w:w="993" w:type="dxa"/>
            <w:shd w:val="clear" w:color="auto" w:fill="auto"/>
            <w:noWrap/>
            <w:hideMark/>
          </w:tcPr>
          <w:p w:rsidR="00B21814" w:rsidRPr="006B5CF1" w:rsidRDefault="00B21814" w:rsidP="006B5CF1">
            <w:pPr>
              <w:suppressAutoHyphens w:val="0"/>
              <w:spacing w:before="40" w:after="40" w:line="220" w:lineRule="exact"/>
              <w:rPr>
                <w:sz w:val="18"/>
                <w:lang w:val="fr-FR" w:eastAsia="es-UY"/>
              </w:rPr>
            </w:pPr>
            <w:r w:rsidRPr="006B5CF1">
              <w:rPr>
                <w:sz w:val="18"/>
                <w:lang w:val="fr-FR" w:eastAsia="es-UY"/>
              </w:rPr>
              <w:t>2014</w:t>
            </w:r>
          </w:p>
        </w:tc>
        <w:tc>
          <w:tcPr>
            <w:tcW w:w="1877"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817</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423</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4 545</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8 155</w:t>
            </w:r>
          </w:p>
        </w:tc>
      </w:tr>
      <w:tr w:rsidR="006B5CF1" w:rsidRPr="006B5CF1" w:rsidTr="00734763">
        <w:tblPrEx>
          <w:tblBorders>
            <w:top w:val="none" w:sz="0" w:space="0" w:color="auto"/>
            <w:bottom w:val="none" w:sz="0" w:space="0" w:color="auto"/>
          </w:tblBorders>
        </w:tblPrEx>
        <w:tc>
          <w:tcPr>
            <w:tcW w:w="993" w:type="dxa"/>
            <w:shd w:val="clear" w:color="auto" w:fill="auto"/>
            <w:noWrap/>
            <w:hideMark/>
          </w:tcPr>
          <w:p w:rsidR="00B21814" w:rsidRPr="006B5CF1" w:rsidRDefault="00B21814" w:rsidP="006B5CF1">
            <w:pPr>
              <w:suppressAutoHyphens w:val="0"/>
              <w:spacing w:before="40" w:after="40" w:line="220" w:lineRule="exact"/>
              <w:rPr>
                <w:sz w:val="18"/>
                <w:lang w:val="fr-FR" w:eastAsia="es-UY"/>
              </w:rPr>
            </w:pPr>
            <w:r w:rsidRPr="006B5CF1">
              <w:rPr>
                <w:sz w:val="18"/>
                <w:lang w:val="fr-FR" w:eastAsia="es-UY"/>
              </w:rPr>
              <w:t>2015</w:t>
            </w:r>
          </w:p>
        </w:tc>
        <w:tc>
          <w:tcPr>
            <w:tcW w:w="1877"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proofErr w:type="spellStart"/>
            <w:r w:rsidRPr="006B5CF1">
              <w:rPr>
                <w:sz w:val="18"/>
                <w:lang w:val="fr-FR" w:eastAsia="es-UY"/>
              </w:rPr>
              <w:t>n.d</w:t>
            </w:r>
            <w:proofErr w:type="spellEnd"/>
            <w:r w:rsidRPr="006B5CF1">
              <w:rPr>
                <w:sz w:val="18"/>
                <w:lang w:val="fr-FR" w:eastAsia="es-UY"/>
              </w:rPr>
              <w:t>.</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752</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4 296</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22 914</w:t>
            </w:r>
          </w:p>
        </w:tc>
      </w:tr>
      <w:tr w:rsidR="006B5CF1" w:rsidRPr="006B5CF1" w:rsidTr="00734763">
        <w:tblPrEx>
          <w:tblBorders>
            <w:top w:val="none" w:sz="0" w:space="0" w:color="auto"/>
            <w:bottom w:val="none" w:sz="0" w:space="0" w:color="auto"/>
          </w:tblBorders>
        </w:tblPrEx>
        <w:tc>
          <w:tcPr>
            <w:tcW w:w="993" w:type="dxa"/>
            <w:shd w:val="clear" w:color="auto" w:fill="auto"/>
            <w:noWrap/>
            <w:hideMark/>
          </w:tcPr>
          <w:p w:rsidR="00B21814" w:rsidRPr="006B5CF1" w:rsidRDefault="00B21814" w:rsidP="006B5CF1">
            <w:pPr>
              <w:suppressAutoHyphens w:val="0"/>
              <w:spacing w:before="40" w:after="40" w:line="220" w:lineRule="exact"/>
              <w:rPr>
                <w:sz w:val="18"/>
                <w:lang w:val="fr-FR" w:eastAsia="es-UY"/>
              </w:rPr>
            </w:pPr>
            <w:r w:rsidRPr="006B5CF1">
              <w:rPr>
                <w:sz w:val="18"/>
                <w:lang w:val="fr-FR" w:eastAsia="es-UY"/>
              </w:rPr>
              <w:t>2016</w:t>
            </w:r>
          </w:p>
        </w:tc>
        <w:tc>
          <w:tcPr>
            <w:tcW w:w="1877"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2 578</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817</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4 296</w:t>
            </w:r>
          </w:p>
        </w:tc>
        <w:tc>
          <w:tcPr>
            <w:tcW w:w="1878" w:type="dxa"/>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34 584</w:t>
            </w:r>
          </w:p>
        </w:tc>
      </w:tr>
      <w:tr w:rsidR="006B5CF1" w:rsidRPr="006B5CF1" w:rsidTr="00734763">
        <w:tblPrEx>
          <w:tblBorders>
            <w:top w:val="none" w:sz="0" w:space="0" w:color="auto"/>
            <w:bottom w:val="none" w:sz="0" w:space="0" w:color="auto"/>
          </w:tblBorders>
        </w:tblPrEx>
        <w:tc>
          <w:tcPr>
            <w:tcW w:w="993" w:type="dxa"/>
            <w:tcBorders>
              <w:bottom w:val="single" w:sz="12" w:space="0" w:color="auto"/>
            </w:tcBorders>
            <w:shd w:val="clear" w:color="auto" w:fill="auto"/>
            <w:noWrap/>
            <w:hideMark/>
          </w:tcPr>
          <w:p w:rsidR="00B21814" w:rsidRPr="006B5CF1" w:rsidRDefault="00B21814" w:rsidP="006B5CF1">
            <w:pPr>
              <w:suppressAutoHyphens w:val="0"/>
              <w:spacing w:before="40" w:after="40" w:line="220" w:lineRule="exact"/>
              <w:rPr>
                <w:sz w:val="18"/>
                <w:lang w:val="fr-FR" w:eastAsia="es-UY"/>
              </w:rPr>
            </w:pPr>
            <w:r w:rsidRPr="006B5CF1">
              <w:rPr>
                <w:sz w:val="18"/>
                <w:lang w:val="fr-FR" w:eastAsia="es-UY"/>
              </w:rPr>
              <w:t>2017</w:t>
            </w:r>
          </w:p>
        </w:tc>
        <w:tc>
          <w:tcPr>
            <w:tcW w:w="1877" w:type="dxa"/>
            <w:tcBorders>
              <w:bottom w:val="single" w:sz="12" w:space="0" w:color="auto"/>
            </w:tcBorders>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4 288</w:t>
            </w:r>
          </w:p>
        </w:tc>
        <w:tc>
          <w:tcPr>
            <w:tcW w:w="1878" w:type="dxa"/>
            <w:tcBorders>
              <w:bottom w:val="single" w:sz="12" w:space="0" w:color="auto"/>
            </w:tcBorders>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846</w:t>
            </w:r>
          </w:p>
        </w:tc>
        <w:tc>
          <w:tcPr>
            <w:tcW w:w="1878" w:type="dxa"/>
            <w:tcBorders>
              <w:bottom w:val="single" w:sz="12" w:space="0" w:color="auto"/>
            </w:tcBorders>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4 296</w:t>
            </w:r>
          </w:p>
        </w:tc>
        <w:tc>
          <w:tcPr>
            <w:tcW w:w="1878" w:type="dxa"/>
            <w:tcBorders>
              <w:bottom w:val="single" w:sz="12" w:space="0" w:color="auto"/>
            </w:tcBorders>
            <w:shd w:val="clear" w:color="auto" w:fill="auto"/>
            <w:noWrap/>
            <w:vAlign w:val="bottom"/>
            <w:hideMark/>
          </w:tcPr>
          <w:p w:rsidR="00B21814" w:rsidRPr="006B5CF1" w:rsidRDefault="00B21814" w:rsidP="006B5CF1">
            <w:pPr>
              <w:suppressAutoHyphens w:val="0"/>
              <w:spacing w:before="40" w:after="40" w:line="220" w:lineRule="exact"/>
              <w:jc w:val="right"/>
              <w:rPr>
                <w:sz w:val="18"/>
                <w:lang w:val="fr-FR" w:eastAsia="es-UY"/>
              </w:rPr>
            </w:pPr>
            <w:r w:rsidRPr="006B5CF1">
              <w:rPr>
                <w:sz w:val="18"/>
                <w:lang w:val="fr-FR" w:eastAsia="es-UY"/>
              </w:rPr>
              <w:t>37 015</w:t>
            </w:r>
          </w:p>
        </w:tc>
      </w:tr>
    </w:tbl>
    <w:p w:rsidR="0072682B" w:rsidRDefault="0072682B" w:rsidP="00B21814">
      <w:pPr>
        <w:rPr>
          <w:lang w:val="fr-FR"/>
        </w:rPr>
      </w:pPr>
    </w:p>
    <w:tbl>
      <w:tblP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60"/>
        <w:gridCol w:w="1836"/>
        <w:gridCol w:w="1836"/>
        <w:gridCol w:w="1836"/>
        <w:gridCol w:w="1836"/>
      </w:tblGrid>
      <w:tr w:rsidR="00734763" w:rsidRPr="0072682B" w:rsidTr="00CC5FE3">
        <w:trPr>
          <w:tblHeader/>
        </w:trPr>
        <w:tc>
          <w:tcPr>
            <w:tcW w:w="8504" w:type="dxa"/>
            <w:gridSpan w:val="5"/>
            <w:tcBorders>
              <w:top w:val="nil"/>
              <w:bottom w:val="single" w:sz="4" w:space="0" w:color="auto"/>
            </w:tcBorders>
            <w:shd w:val="clear" w:color="auto" w:fill="auto"/>
            <w:noWrap/>
            <w:vAlign w:val="bottom"/>
            <w:hideMark/>
          </w:tcPr>
          <w:p w:rsidR="00734763" w:rsidRPr="0072682B" w:rsidRDefault="00734763" w:rsidP="00734763">
            <w:pPr>
              <w:keepNext/>
              <w:suppressAutoHyphens w:val="0"/>
              <w:spacing w:before="80" w:after="80" w:line="200" w:lineRule="exact"/>
              <w:jc w:val="center"/>
              <w:rPr>
                <w:i/>
                <w:sz w:val="16"/>
                <w:lang w:val="fr-FR" w:eastAsia="es-UY"/>
              </w:rPr>
            </w:pPr>
            <w:r w:rsidRPr="0072682B">
              <w:rPr>
                <w:i/>
                <w:sz w:val="16"/>
                <w:lang w:val="fr-FR" w:eastAsia="es-UY"/>
              </w:rPr>
              <w:t>Engagement relatif à l’éducation</w:t>
            </w:r>
          </w:p>
        </w:tc>
      </w:tr>
      <w:tr w:rsidR="00811677" w:rsidRPr="0072682B" w:rsidTr="00CC5FE3">
        <w:tblPrEx>
          <w:tblBorders>
            <w:top w:val="none" w:sz="0" w:space="0" w:color="auto"/>
            <w:bottom w:val="none" w:sz="0" w:space="0" w:color="auto"/>
          </w:tblBorders>
        </w:tblPrEx>
        <w:trPr>
          <w:tblHeader/>
        </w:trPr>
        <w:tc>
          <w:tcPr>
            <w:tcW w:w="1160" w:type="dxa"/>
            <w:tcBorders>
              <w:top w:val="single" w:sz="4" w:space="0" w:color="auto"/>
              <w:bottom w:val="single" w:sz="12" w:space="0" w:color="auto"/>
            </w:tcBorders>
            <w:shd w:val="clear" w:color="auto" w:fill="auto"/>
            <w:vAlign w:val="bottom"/>
            <w:hideMark/>
          </w:tcPr>
          <w:p w:rsidR="00B21814" w:rsidRPr="0072682B" w:rsidRDefault="00B21814" w:rsidP="00811677">
            <w:pPr>
              <w:keepNext/>
              <w:suppressAutoHyphens w:val="0"/>
              <w:spacing w:before="80" w:after="80" w:line="200" w:lineRule="exact"/>
              <w:rPr>
                <w:i/>
                <w:sz w:val="16"/>
                <w:lang w:val="fr-FR" w:eastAsia="es-UY"/>
              </w:rPr>
            </w:pPr>
            <w:r w:rsidRPr="0072682B">
              <w:rPr>
                <w:i/>
                <w:sz w:val="16"/>
                <w:lang w:val="fr-FR" w:eastAsia="es-UY"/>
              </w:rPr>
              <w:t>Année</w:t>
            </w:r>
          </w:p>
        </w:tc>
        <w:tc>
          <w:tcPr>
            <w:tcW w:w="1836" w:type="dxa"/>
            <w:tcBorders>
              <w:top w:val="single" w:sz="4" w:space="0" w:color="auto"/>
              <w:bottom w:val="single" w:sz="12" w:space="0" w:color="auto"/>
            </w:tcBorders>
            <w:shd w:val="clear" w:color="auto" w:fill="auto"/>
            <w:vAlign w:val="bottom"/>
            <w:hideMark/>
          </w:tcPr>
          <w:p w:rsidR="00B21814" w:rsidRPr="0072682B" w:rsidRDefault="00B21814" w:rsidP="00811677">
            <w:pPr>
              <w:keepNext/>
              <w:suppressAutoHyphens w:val="0"/>
              <w:spacing w:before="80" w:after="80" w:line="200" w:lineRule="exact"/>
              <w:jc w:val="right"/>
              <w:rPr>
                <w:i/>
                <w:sz w:val="16"/>
                <w:lang w:val="fr-FR" w:eastAsia="es-UY"/>
              </w:rPr>
            </w:pPr>
            <w:r w:rsidRPr="0072682B">
              <w:rPr>
                <w:i/>
                <w:sz w:val="16"/>
                <w:lang w:val="fr-FR" w:eastAsia="es-UY"/>
              </w:rPr>
              <w:t>Demandes (complètes) déposées par des personnes d’ascendance africaine</w:t>
            </w:r>
          </w:p>
        </w:tc>
        <w:tc>
          <w:tcPr>
            <w:tcW w:w="1836" w:type="dxa"/>
            <w:tcBorders>
              <w:top w:val="single" w:sz="4" w:space="0" w:color="auto"/>
              <w:bottom w:val="single" w:sz="12" w:space="0" w:color="auto"/>
            </w:tcBorders>
            <w:shd w:val="clear" w:color="auto" w:fill="auto"/>
            <w:vAlign w:val="bottom"/>
            <w:hideMark/>
          </w:tcPr>
          <w:p w:rsidR="00B21814" w:rsidRPr="0072682B" w:rsidRDefault="00B21814" w:rsidP="00811677">
            <w:pPr>
              <w:keepNext/>
              <w:suppressAutoHyphens w:val="0"/>
              <w:spacing w:before="80" w:after="80" w:line="200" w:lineRule="exact"/>
              <w:jc w:val="right"/>
              <w:rPr>
                <w:i/>
                <w:sz w:val="16"/>
                <w:lang w:val="fr-FR" w:eastAsia="es-UY"/>
              </w:rPr>
            </w:pPr>
            <w:r w:rsidRPr="0072682B">
              <w:rPr>
                <w:i/>
                <w:sz w:val="16"/>
                <w:lang w:val="fr-FR" w:eastAsia="es-UY"/>
              </w:rPr>
              <w:t>Bourses accordées à des personnes d’ascendance africaine</w:t>
            </w:r>
            <w:r w:rsidRPr="00CC5FE3">
              <w:rPr>
                <w:i/>
                <w:sz w:val="16"/>
                <w:lang w:val="fr-FR" w:eastAsia="es-UY"/>
              </w:rPr>
              <w:t>*</w:t>
            </w:r>
          </w:p>
        </w:tc>
        <w:tc>
          <w:tcPr>
            <w:tcW w:w="1836" w:type="dxa"/>
            <w:tcBorders>
              <w:top w:val="single" w:sz="4" w:space="0" w:color="auto"/>
              <w:bottom w:val="single" w:sz="12" w:space="0" w:color="auto"/>
            </w:tcBorders>
            <w:shd w:val="clear" w:color="auto" w:fill="auto"/>
            <w:vAlign w:val="bottom"/>
            <w:hideMark/>
          </w:tcPr>
          <w:p w:rsidR="00B21814" w:rsidRPr="0072682B" w:rsidRDefault="00B21814" w:rsidP="00811677">
            <w:pPr>
              <w:keepNext/>
              <w:suppressAutoHyphens w:val="0"/>
              <w:spacing w:before="80" w:after="80" w:line="200" w:lineRule="exact"/>
              <w:jc w:val="right"/>
              <w:rPr>
                <w:i/>
                <w:sz w:val="16"/>
                <w:lang w:val="fr-FR" w:eastAsia="es-UY"/>
              </w:rPr>
            </w:pPr>
            <w:r w:rsidRPr="0072682B">
              <w:rPr>
                <w:i/>
                <w:sz w:val="16"/>
                <w:lang w:val="fr-FR" w:eastAsia="es-UY"/>
              </w:rPr>
              <w:t>Nombre de bourses accordées</w:t>
            </w:r>
          </w:p>
        </w:tc>
        <w:tc>
          <w:tcPr>
            <w:tcW w:w="1836" w:type="dxa"/>
            <w:tcBorders>
              <w:top w:val="single" w:sz="4" w:space="0" w:color="auto"/>
              <w:bottom w:val="single" w:sz="12" w:space="0" w:color="auto"/>
            </w:tcBorders>
            <w:shd w:val="clear" w:color="auto" w:fill="auto"/>
            <w:vAlign w:val="bottom"/>
            <w:hideMark/>
          </w:tcPr>
          <w:p w:rsidR="00B21814" w:rsidRPr="0072682B" w:rsidRDefault="00B21814" w:rsidP="00811677">
            <w:pPr>
              <w:keepNext/>
              <w:suppressAutoHyphens w:val="0"/>
              <w:spacing w:before="80" w:after="80" w:line="200" w:lineRule="exact"/>
              <w:jc w:val="right"/>
              <w:rPr>
                <w:i/>
                <w:sz w:val="16"/>
                <w:lang w:val="fr-FR" w:eastAsia="es-UY"/>
              </w:rPr>
            </w:pPr>
            <w:r w:rsidRPr="0072682B">
              <w:rPr>
                <w:i/>
                <w:sz w:val="16"/>
                <w:lang w:val="fr-FR" w:eastAsia="es-UY"/>
              </w:rPr>
              <w:t xml:space="preserve">Nombre total </w:t>
            </w:r>
            <w:r w:rsidRPr="0072682B">
              <w:rPr>
                <w:i/>
                <w:sz w:val="16"/>
                <w:lang w:val="fr-FR" w:eastAsia="es-UY"/>
              </w:rPr>
              <w:br/>
              <w:t>de demandes</w:t>
            </w:r>
          </w:p>
        </w:tc>
      </w:tr>
      <w:tr w:rsidR="00734763" w:rsidRPr="0072682B" w:rsidTr="00734763">
        <w:tblPrEx>
          <w:tblBorders>
            <w:top w:val="none" w:sz="0" w:space="0" w:color="auto"/>
            <w:bottom w:val="none" w:sz="0" w:space="0" w:color="auto"/>
          </w:tblBorders>
        </w:tblPrEx>
        <w:tc>
          <w:tcPr>
            <w:tcW w:w="1160" w:type="dxa"/>
            <w:tcBorders>
              <w:top w:val="single" w:sz="12" w:space="0" w:color="auto"/>
            </w:tcBorders>
            <w:shd w:val="clear" w:color="auto" w:fill="auto"/>
            <w:noWrap/>
            <w:hideMark/>
          </w:tcPr>
          <w:p w:rsidR="00B21814" w:rsidRPr="0072682B" w:rsidRDefault="00B21814" w:rsidP="00811677">
            <w:pPr>
              <w:keepNext/>
              <w:suppressAutoHyphens w:val="0"/>
              <w:spacing w:before="40" w:after="40" w:line="220" w:lineRule="exact"/>
              <w:rPr>
                <w:sz w:val="18"/>
                <w:lang w:val="fr-FR" w:eastAsia="es-UY"/>
              </w:rPr>
            </w:pPr>
            <w:r w:rsidRPr="0072682B">
              <w:rPr>
                <w:sz w:val="18"/>
                <w:lang w:val="fr-FR" w:eastAsia="es-UY"/>
              </w:rPr>
              <w:t>2011</w:t>
            </w:r>
          </w:p>
        </w:tc>
        <w:tc>
          <w:tcPr>
            <w:tcW w:w="1836" w:type="dxa"/>
            <w:tcBorders>
              <w:top w:val="single" w:sz="12" w:space="0" w:color="auto"/>
            </w:tcBorders>
            <w:shd w:val="clear" w:color="auto" w:fill="auto"/>
            <w:noWrap/>
            <w:vAlign w:val="bottom"/>
            <w:hideMark/>
          </w:tcPr>
          <w:p w:rsidR="00B21814" w:rsidRPr="0072682B" w:rsidRDefault="00B21814" w:rsidP="00811677">
            <w:pPr>
              <w:keepNext/>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c>
          <w:tcPr>
            <w:tcW w:w="1836" w:type="dxa"/>
            <w:tcBorders>
              <w:top w:val="single" w:sz="12" w:space="0" w:color="auto"/>
            </w:tcBorders>
            <w:shd w:val="clear" w:color="auto" w:fill="auto"/>
            <w:noWrap/>
            <w:vAlign w:val="bottom"/>
            <w:hideMark/>
          </w:tcPr>
          <w:p w:rsidR="00B21814" w:rsidRPr="0072682B" w:rsidRDefault="00B21814" w:rsidP="00811677">
            <w:pPr>
              <w:keepNext/>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c>
          <w:tcPr>
            <w:tcW w:w="1836" w:type="dxa"/>
            <w:tcBorders>
              <w:top w:val="single" w:sz="12" w:space="0" w:color="auto"/>
            </w:tcBorders>
            <w:shd w:val="clear" w:color="auto" w:fill="auto"/>
            <w:noWrap/>
            <w:vAlign w:val="bottom"/>
            <w:hideMark/>
          </w:tcPr>
          <w:p w:rsidR="00B21814" w:rsidRPr="0072682B" w:rsidRDefault="00B21814" w:rsidP="00811677">
            <w:pPr>
              <w:keepNext/>
              <w:suppressAutoHyphens w:val="0"/>
              <w:spacing w:before="40" w:after="40" w:line="220" w:lineRule="exact"/>
              <w:jc w:val="right"/>
              <w:rPr>
                <w:sz w:val="18"/>
                <w:lang w:val="fr-FR" w:eastAsia="es-UY"/>
              </w:rPr>
            </w:pPr>
            <w:r w:rsidRPr="0072682B">
              <w:rPr>
                <w:sz w:val="18"/>
                <w:lang w:val="fr-FR" w:eastAsia="es-UY"/>
              </w:rPr>
              <w:t>1 610</w:t>
            </w:r>
          </w:p>
        </w:tc>
        <w:tc>
          <w:tcPr>
            <w:tcW w:w="1836" w:type="dxa"/>
            <w:tcBorders>
              <w:top w:val="single" w:sz="12" w:space="0" w:color="auto"/>
            </w:tcBorders>
            <w:shd w:val="clear" w:color="auto" w:fill="auto"/>
            <w:noWrap/>
            <w:vAlign w:val="bottom"/>
            <w:hideMark/>
          </w:tcPr>
          <w:p w:rsidR="00B21814" w:rsidRPr="0072682B" w:rsidRDefault="00B21814" w:rsidP="00811677">
            <w:pPr>
              <w:keepNext/>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r>
      <w:tr w:rsidR="00B21814" w:rsidRPr="0072682B" w:rsidTr="00734763">
        <w:tblPrEx>
          <w:tblBorders>
            <w:top w:val="none" w:sz="0" w:space="0" w:color="auto"/>
            <w:bottom w:val="none" w:sz="0" w:space="0" w:color="auto"/>
          </w:tblBorders>
        </w:tblPrEx>
        <w:tc>
          <w:tcPr>
            <w:tcW w:w="1160" w:type="dxa"/>
            <w:shd w:val="clear" w:color="auto" w:fill="auto"/>
            <w:noWrap/>
            <w:hideMark/>
          </w:tcPr>
          <w:p w:rsidR="00B21814" w:rsidRPr="0072682B" w:rsidRDefault="00B21814" w:rsidP="0072682B">
            <w:pPr>
              <w:suppressAutoHyphens w:val="0"/>
              <w:spacing w:before="40" w:after="40" w:line="220" w:lineRule="exact"/>
              <w:rPr>
                <w:sz w:val="18"/>
                <w:lang w:val="fr-FR" w:eastAsia="es-UY"/>
              </w:rPr>
            </w:pPr>
            <w:r w:rsidRPr="0072682B">
              <w:rPr>
                <w:sz w:val="18"/>
                <w:lang w:val="fr-FR" w:eastAsia="es-UY"/>
              </w:rPr>
              <w:t>2012</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r w:rsidRPr="0072682B">
              <w:rPr>
                <w:sz w:val="18"/>
                <w:lang w:val="fr-FR" w:eastAsia="es-UY"/>
              </w:rPr>
              <w:t>4 355</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r>
      <w:tr w:rsidR="00B21814" w:rsidRPr="0072682B" w:rsidTr="00734763">
        <w:tblPrEx>
          <w:tblBorders>
            <w:top w:val="none" w:sz="0" w:space="0" w:color="auto"/>
            <w:bottom w:val="none" w:sz="0" w:space="0" w:color="auto"/>
          </w:tblBorders>
        </w:tblPrEx>
        <w:tc>
          <w:tcPr>
            <w:tcW w:w="1160" w:type="dxa"/>
            <w:shd w:val="clear" w:color="auto" w:fill="auto"/>
            <w:noWrap/>
            <w:hideMark/>
          </w:tcPr>
          <w:p w:rsidR="00B21814" w:rsidRPr="0072682B" w:rsidRDefault="00B21814" w:rsidP="0072682B">
            <w:pPr>
              <w:suppressAutoHyphens w:val="0"/>
              <w:spacing w:before="40" w:after="40" w:line="220" w:lineRule="exact"/>
              <w:rPr>
                <w:sz w:val="18"/>
                <w:lang w:val="fr-FR" w:eastAsia="es-UY"/>
              </w:rPr>
            </w:pPr>
            <w:r w:rsidRPr="0072682B">
              <w:rPr>
                <w:sz w:val="18"/>
                <w:lang w:val="fr-FR" w:eastAsia="es-UY"/>
              </w:rPr>
              <w:lastRenderedPageBreak/>
              <w:t>2013</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r>
      <w:tr w:rsidR="00B21814" w:rsidRPr="0072682B" w:rsidTr="00734763">
        <w:tblPrEx>
          <w:tblBorders>
            <w:top w:val="none" w:sz="0" w:space="0" w:color="auto"/>
            <w:bottom w:val="none" w:sz="0" w:space="0" w:color="auto"/>
          </w:tblBorders>
        </w:tblPrEx>
        <w:tc>
          <w:tcPr>
            <w:tcW w:w="1160" w:type="dxa"/>
            <w:shd w:val="clear" w:color="auto" w:fill="auto"/>
            <w:noWrap/>
            <w:hideMark/>
          </w:tcPr>
          <w:p w:rsidR="00B21814" w:rsidRPr="0072682B" w:rsidRDefault="00B21814" w:rsidP="0072682B">
            <w:pPr>
              <w:suppressAutoHyphens w:val="0"/>
              <w:spacing w:before="40" w:after="40" w:line="220" w:lineRule="exact"/>
              <w:rPr>
                <w:sz w:val="18"/>
                <w:lang w:val="fr-FR" w:eastAsia="es-UY"/>
              </w:rPr>
            </w:pPr>
            <w:r w:rsidRPr="0072682B">
              <w:rPr>
                <w:sz w:val="18"/>
                <w:lang w:val="fr-FR" w:eastAsia="es-UY"/>
              </w:rPr>
              <w:t>2014</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r>
      <w:tr w:rsidR="00B21814" w:rsidRPr="0072682B" w:rsidTr="00734763">
        <w:tblPrEx>
          <w:tblBorders>
            <w:top w:val="none" w:sz="0" w:space="0" w:color="auto"/>
            <w:bottom w:val="none" w:sz="0" w:space="0" w:color="auto"/>
          </w:tblBorders>
        </w:tblPrEx>
        <w:tc>
          <w:tcPr>
            <w:tcW w:w="1160" w:type="dxa"/>
            <w:shd w:val="clear" w:color="auto" w:fill="auto"/>
            <w:noWrap/>
            <w:hideMark/>
          </w:tcPr>
          <w:p w:rsidR="00B21814" w:rsidRPr="0072682B" w:rsidRDefault="00B21814" w:rsidP="0072682B">
            <w:pPr>
              <w:suppressAutoHyphens w:val="0"/>
              <w:spacing w:before="40" w:after="40" w:line="220" w:lineRule="exact"/>
              <w:rPr>
                <w:sz w:val="18"/>
                <w:lang w:val="fr-FR" w:eastAsia="es-UY"/>
              </w:rPr>
            </w:pPr>
            <w:r w:rsidRPr="0072682B">
              <w:rPr>
                <w:sz w:val="18"/>
                <w:lang w:val="fr-FR" w:eastAsia="es-UY"/>
              </w:rPr>
              <w:t>2015</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proofErr w:type="spellStart"/>
            <w:r w:rsidRPr="0072682B">
              <w:rPr>
                <w:sz w:val="18"/>
                <w:lang w:val="fr-FR" w:eastAsia="es-UY"/>
              </w:rPr>
              <w:t>n.d</w:t>
            </w:r>
            <w:proofErr w:type="spellEnd"/>
            <w:r w:rsidRPr="0072682B">
              <w:rPr>
                <w:sz w:val="18"/>
                <w:lang w:val="fr-FR" w:eastAsia="es-UY"/>
              </w:rPr>
              <w:t>.</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r w:rsidRPr="0072682B">
              <w:rPr>
                <w:sz w:val="18"/>
                <w:lang w:val="fr-FR" w:eastAsia="es-UY"/>
              </w:rPr>
              <w:t>18 199</w:t>
            </w:r>
          </w:p>
        </w:tc>
      </w:tr>
      <w:tr w:rsidR="00B21814" w:rsidRPr="0072682B" w:rsidTr="00734763">
        <w:tblPrEx>
          <w:tblBorders>
            <w:top w:val="none" w:sz="0" w:space="0" w:color="auto"/>
            <w:bottom w:val="none" w:sz="0" w:space="0" w:color="auto"/>
          </w:tblBorders>
        </w:tblPrEx>
        <w:tc>
          <w:tcPr>
            <w:tcW w:w="1160" w:type="dxa"/>
            <w:shd w:val="clear" w:color="auto" w:fill="auto"/>
            <w:noWrap/>
            <w:hideMark/>
          </w:tcPr>
          <w:p w:rsidR="00B21814" w:rsidRPr="0072682B" w:rsidRDefault="00B21814" w:rsidP="0072682B">
            <w:pPr>
              <w:suppressAutoHyphens w:val="0"/>
              <w:spacing w:before="40" w:after="40" w:line="220" w:lineRule="exact"/>
              <w:rPr>
                <w:sz w:val="18"/>
                <w:lang w:val="fr-FR" w:eastAsia="es-UY"/>
              </w:rPr>
            </w:pPr>
            <w:r w:rsidRPr="0072682B">
              <w:rPr>
                <w:sz w:val="18"/>
                <w:lang w:val="fr-FR" w:eastAsia="es-UY"/>
              </w:rPr>
              <w:t>2016</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r w:rsidRPr="0072682B">
              <w:rPr>
                <w:sz w:val="18"/>
                <w:lang w:val="fr-FR" w:eastAsia="es-UY"/>
              </w:rPr>
              <w:t xml:space="preserve">1 352 </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r w:rsidRPr="0072682B">
              <w:rPr>
                <w:sz w:val="18"/>
                <w:lang w:val="fr-FR" w:eastAsia="es-UY"/>
              </w:rPr>
              <w:t>942</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r w:rsidRPr="0072682B">
              <w:rPr>
                <w:sz w:val="18"/>
                <w:lang w:val="fr-FR" w:eastAsia="es-UY"/>
              </w:rPr>
              <w:t>7 000</w:t>
            </w:r>
          </w:p>
        </w:tc>
        <w:tc>
          <w:tcPr>
            <w:tcW w:w="1836" w:type="dxa"/>
            <w:shd w:val="clear" w:color="auto" w:fill="auto"/>
            <w:noWrap/>
            <w:vAlign w:val="bottom"/>
            <w:hideMark/>
          </w:tcPr>
          <w:p w:rsidR="00B21814" w:rsidRPr="0072682B" w:rsidRDefault="00B21814" w:rsidP="0072682B">
            <w:pPr>
              <w:suppressAutoHyphens w:val="0"/>
              <w:spacing w:before="40" w:after="40" w:line="220" w:lineRule="exact"/>
              <w:jc w:val="right"/>
              <w:rPr>
                <w:sz w:val="18"/>
                <w:lang w:val="fr-FR" w:eastAsia="es-UY"/>
              </w:rPr>
            </w:pPr>
            <w:r w:rsidRPr="0072682B">
              <w:rPr>
                <w:sz w:val="18"/>
                <w:lang w:val="fr-FR" w:eastAsia="es-UY"/>
              </w:rPr>
              <w:t>23 270</w:t>
            </w:r>
          </w:p>
        </w:tc>
      </w:tr>
      <w:tr w:rsidR="00734763" w:rsidRPr="0072682B" w:rsidTr="00734763">
        <w:tblPrEx>
          <w:tblBorders>
            <w:top w:val="none" w:sz="0" w:space="0" w:color="auto"/>
            <w:bottom w:val="none" w:sz="0" w:space="0" w:color="auto"/>
          </w:tblBorders>
        </w:tblPrEx>
        <w:tc>
          <w:tcPr>
            <w:tcW w:w="1160" w:type="dxa"/>
            <w:tcBorders>
              <w:bottom w:val="single" w:sz="12" w:space="0" w:color="auto"/>
            </w:tcBorders>
            <w:shd w:val="clear" w:color="auto" w:fill="auto"/>
            <w:noWrap/>
          </w:tcPr>
          <w:p w:rsidR="00B21814" w:rsidRPr="0072682B" w:rsidRDefault="00B21814" w:rsidP="0072682B">
            <w:pPr>
              <w:suppressAutoHyphens w:val="0"/>
              <w:spacing w:before="40" w:after="40" w:line="220" w:lineRule="exact"/>
              <w:rPr>
                <w:sz w:val="18"/>
                <w:lang w:val="fr-FR" w:eastAsia="es-UY"/>
              </w:rPr>
            </w:pPr>
            <w:r w:rsidRPr="0072682B">
              <w:rPr>
                <w:sz w:val="18"/>
                <w:lang w:val="fr-FR" w:eastAsia="es-UY"/>
              </w:rPr>
              <w:t>2017</w:t>
            </w:r>
          </w:p>
        </w:tc>
        <w:tc>
          <w:tcPr>
            <w:tcW w:w="1836" w:type="dxa"/>
            <w:tcBorders>
              <w:bottom w:val="single" w:sz="12" w:space="0" w:color="auto"/>
            </w:tcBorders>
            <w:shd w:val="clear" w:color="auto" w:fill="auto"/>
            <w:noWrap/>
            <w:vAlign w:val="bottom"/>
          </w:tcPr>
          <w:p w:rsidR="00B21814" w:rsidRPr="0072682B" w:rsidRDefault="00B21814" w:rsidP="0072682B">
            <w:pPr>
              <w:suppressAutoHyphens w:val="0"/>
              <w:spacing w:before="40" w:after="40" w:line="220" w:lineRule="exact"/>
              <w:jc w:val="right"/>
              <w:rPr>
                <w:sz w:val="18"/>
                <w:lang w:val="fr-FR" w:eastAsia="es-UY"/>
              </w:rPr>
            </w:pPr>
            <w:r w:rsidRPr="0072682B">
              <w:rPr>
                <w:sz w:val="18"/>
                <w:lang w:val="fr-FR" w:eastAsia="es-UY"/>
              </w:rPr>
              <w:t xml:space="preserve">2 687 </w:t>
            </w:r>
          </w:p>
        </w:tc>
        <w:tc>
          <w:tcPr>
            <w:tcW w:w="1836" w:type="dxa"/>
            <w:tcBorders>
              <w:bottom w:val="single" w:sz="12" w:space="0" w:color="auto"/>
            </w:tcBorders>
            <w:shd w:val="clear" w:color="auto" w:fill="auto"/>
            <w:noWrap/>
            <w:vAlign w:val="bottom"/>
          </w:tcPr>
          <w:p w:rsidR="00B21814" w:rsidRPr="0072682B" w:rsidRDefault="00B21814" w:rsidP="0072682B">
            <w:pPr>
              <w:suppressAutoHyphens w:val="0"/>
              <w:spacing w:before="40" w:after="40" w:line="220" w:lineRule="exact"/>
              <w:jc w:val="right"/>
              <w:rPr>
                <w:sz w:val="18"/>
                <w:lang w:val="fr-FR" w:eastAsia="es-UY"/>
              </w:rPr>
            </w:pPr>
            <w:r w:rsidRPr="0072682B">
              <w:rPr>
                <w:sz w:val="18"/>
                <w:lang w:val="fr-FR" w:eastAsia="es-UY"/>
              </w:rPr>
              <w:t>1 231</w:t>
            </w:r>
          </w:p>
        </w:tc>
        <w:tc>
          <w:tcPr>
            <w:tcW w:w="1836" w:type="dxa"/>
            <w:tcBorders>
              <w:bottom w:val="single" w:sz="12" w:space="0" w:color="auto"/>
            </w:tcBorders>
            <w:shd w:val="clear" w:color="auto" w:fill="auto"/>
            <w:noWrap/>
            <w:vAlign w:val="bottom"/>
          </w:tcPr>
          <w:p w:rsidR="00B21814" w:rsidRPr="0072682B" w:rsidRDefault="00B21814" w:rsidP="0072682B">
            <w:pPr>
              <w:suppressAutoHyphens w:val="0"/>
              <w:spacing w:before="40" w:after="40" w:line="220" w:lineRule="exact"/>
              <w:jc w:val="right"/>
              <w:rPr>
                <w:sz w:val="18"/>
                <w:lang w:val="fr-FR" w:eastAsia="es-UY"/>
              </w:rPr>
            </w:pPr>
            <w:r w:rsidRPr="0072682B">
              <w:rPr>
                <w:sz w:val="18"/>
                <w:lang w:val="fr-FR" w:eastAsia="es-UY"/>
              </w:rPr>
              <w:t>7 000</w:t>
            </w:r>
          </w:p>
        </w:tc>
        <w:tc>
          <w:tcPr>
            <w:tcW w:w="1836" w:type="dxa"/>
            <w:tcBorders>
              <w:bottom w:val="single" w:sz="12" w:space="0" w:color="auto"/>
            </w:tcBorders>
            <w:shd w:val="clear" w:color="auto" w:fill="auto"/>
            <w:noWrap/>
            <w:vAlign w:val="bottom"/>
          </w:tcPr>
          <w:p w:rsidR="00B21814" w:rsidRPr="0072682B" w:rsidRDefault="00B21814" w:rsidP="0072682B">
            <w:pPr>
              <w:suppressAutoHyphens w:val="0"/>
              <w:spacing w:before="40" w:after="40" w:line="220" w:lineRule="exact"/>
              <w:jc w:val="right"/>
              <w:rPr>
                <w:sz w:val="18"/>
                <w:lang w:val="fr-FR" w:eastAsia="es-UY"/>
              </w:rPr>
            </w:pPr>
            <w:r w:rsidRPr="0072682B">
              <w:rPr>
                <w:sz w:val="18"/>
                <w:lang w:val="fr-FR" w:eastAsia="es-UY"/>
              </w:rPr>
              <w:t>24 555</w:t>
            </w:r>
          </w:p>
        </w:tc>
      </w:tr>
    </w:tbl>
    <w:p w:rsidR="00B21814" w:rsidRPr="007834C3" w:rsidRDefault="00B21814" w:rsidP="00B21814">
      <w:pPr>
        <w:pStyle w:val="SingleTxtG"/>
        <w:spacing w:line="220" w:lineRule="atLeast"/>
        <w:ind w:firstLine="170"/>
        <w:jc w:val="left"/>
        <w:rPr>
          <w:sz w:val="18"/>
          <w:szCs w:val="18"/>
          <w:lang w:val="fr-FR"/>
        </w:rPr>
      </w:pPr>
      <w:r w:rsidRPr="007834C3">
        <w:rPr>
          <w:sz w:val="18"/>
          <w:szCs w:val="18"/>
          <w:lang w:val="fr-FR"/>
        </w:rPr>
        <w:t>**</w:t>
      </w:r>
      <w:r w:rsidR="003B09DF">
        <w:rPr>
          <w:sz w:val="18"/>
          <w:szCs w:val="18"/>
          <w:lang w:val="fr-FR"/>
        </w:rPr>
        <w:t xml:space="preserve"> </w:t>
      </w:r>
      <w:r w:rsidRPr="007834C3">
        <w:rPr>
          <w:sz w:val="18"/>
          <w:szCs w:val="18"/>
          <w:lang w:val="fr-FR"/>
        </w:rPr>
        <w:t xml:space="preserve"> </w:t>
      </w:r>
      <w:r w:rsidRPr="007834C3">
        <w:rPr>
          <w:sz w:val="18"/>
          <w:szCs w:val="18"/>
          <w:lang w:val="fr-FR" w:eastAsia="es-UY"/>
        </w:rPr>
        <w:t>Demandes complètes et incomplètes confondues.</w:t>
      </w:r>
    </w:p>
    <w:p w:rsidR="00B21814" w:rsidRPr="007834C3" w:rsidRDefault="00B21814" w:rsidP="00B21814">
      <w:pPr>
        <w:pStyle w:val="SingleTxtG"/>
        <w:rPr>
          <w:lang w:val="fr-FR"/>
        </w:rPr>
      </w:pPr>
      <w:r w:rsidRPr="007834C3">
        <w:rPr>
          <w:lang w:val="fr-FR"/>
        </w:rPr>
        <w:t>28.</w:t>
      </w:r>
      <w:r w:rsidRPr="007834C3">
        <w:rPr>
          <w:lang w:val="fr-FR"/>
        </w:rPr>
        <w:tab/>
        <w:t>Il convient également de mentionner la publication du manuel intitulé « Éducation et ascendance africaine » qui constitue une contribution à la réflexion et au travail en cours sur la question de l’égalité et de la non-discrimination pour motifs ethniques et raciaux</w:t>
      </w:r>
      <w:r w:rsidRPr="007834C3">
        <w:rPr>
          <w:rStyle w:val="Appelnotedebasdep"/>
        </w:rPr>
        <w:footnoteReference w:id="10"/>
      </w:r>
      <w:r w:rsidRPr="007834C3">
        <w:rPr>
          <w:lang w:val="fr-FR"/>
        </w:rPr>
        <w:t> ; la tenue d’une réunion-débat sur la question du racisme dans le système éducatif uruguayen, réunion organisée dans une optique de droits de l’homme par la Commission de l’éducation et de l’ascendance africaine et coordonnée par la Direction de l’éducation du Ministère de l’éducation et de la culture</w:t>
      </w:r>
      <w:r w:rsidRPr="007834C3">
        <w:rPr>
          <w:rStyle w:val="Appelnotedebasdep"/>
        </w:rPr>
        <w:footnoteReference w:id="11"/>
      </w:r>
      <w:r w:rsidRPr="007834C3">
        <w:rPr>
          <w:lang w:val="fr-FR"/>
        </w:rPr>
        <w:t> ; et, enfin, l’ouverture de l’appel à propositi</w:t>
      </w:r>
      <w:r w:rsidR="001E4727">
        <w:rPr>
          <w:lang w:val="fr-FR"/>
        </w:rPr>
        <w:t>ons de la troisième édition du p</w:t>
      </w:r>
      <w:r w:rsidRPr="007834C3">
        <w:rPr>
          <w:lang w:val="fr-FR"/>
        </w:rPr>
        <w:t>rix Nelson Mandela organisé par la Commission honoraire contre le racisme, la xénophobie et toutes les autres formes de discrimination, qui vise à mettre l’accent sur la continuité du parcours éducatif, aux fins d’améliorer les taux d’accès à l’enseignement secondaire et d’achèvement du cycle secondaire.</w:t>
      </w:r>
    </w:p>
    <w:p w:rsidR="00B21814" w:rsidRPr="0002612A" w:rsidRDefault="00B21814" w:rsidP="00B21814">
      <w:pPr>
        <w:pStyle w:val="SingleTxtG"/>
        <w:rPr>
          <w:lang w:val="fr-FR"/>
        </w:rPr>
      </w:pPr>
      <w:r w:rsidRPr="007834C3">
        <w:rPr>
          <w:lang w:val="fr-FR"/>
        </w:rPr>
        <w:t>29.</w:t>
      </w:r>
      <w:r w:rsidRPr="007834C3">
        <w:rPr>
          <w:lang w:val="fr-FR"/>
        </w:rPr>
        <w:tab/>
        <w:t>Enfin, en décembre 2016, la Commission de coordination du Système national d’enseignement public a approuvé le Plan national d’enseignement des droits de l’homme</w:t>
      </w:r>
      <w:r w:rsidRPr="007834C3">
        <w:rPr>
          <w:rStyle w:val="Appelnotedebasdep"/>
        </w:rPr>
        <w:footnoteReference w:id="12"/>
      </w:r>
      <w:r w:rsidRPr="007834C3">
        <w:rPr>
          <w:lang w:val="fr-FR"/>
        </w:rPr>
        <w:t xml:space="preserve">, qui a notamment pour objectif de contribuer à la </w:t>
      </w:r>
      <w:r w:rsidRPr="007834C3">
        <w:rPr>
          <w:i/>
          <w:lang w:val="fr-FR"/>
        </w:rPr>
        <w:t xml:space="preserve">reconnaissance des différences et au respect de la diversité, dans une optique de compréhension, de tolérance et de coexistence pacifique entre toutes les personnes et tous les groupes humains </w:t>
      </w:r>
      <w:r w:rsidRPr="007834C3">
        <w:rPr>
          <w:lang w:val="fr-FR"/>
        </w:rPr>
        <w:t>(Objectif spécifique 1.3). À la fin de 2018, la Commission nationale de l’éducation aux droits de l’homme présentera la première évaluation de la mise en œuvre du Plan.</w:t>
      </w:r>
      <w:r w:rsidRPr="0002612A">
        <w:rPr>
          <w:lang w:val="fr-FR"/>
        </w:rPr>
        <w:t xml:space="preserve"> </w:t>
      </w:r>
    </w:p>
    <w:p w:rsidR="00984B29" w:rsidRPr="00B21814" w:rsidRDefault="00B21814" w:rsidP="00B21814">
      <w:pPr>
        <w:pStyle w:val="SingleTxtG"/>
        <w:spacing w:before="240" w:after="0"/>
        <w:jc w:val="center"/>
        <w:rPr>
          <w:u w:val="single"/>
        </w:rPr>
      </w:pPr>
      <w:r>
        <w:rPr>
          <w:u w:val="single"/>
        </w:rPr>
        <w:tab/>
      </w:r>
      <w:r>
        <w:rPr>
          <w:u w:val="single"/>
        </w:rPr>
        <w:tab/>
      </w:r>
      <w:r>
        <w:rPr>
          <w:u w:val="single"/>
        </w:rPr>
        <w:tab/>
      </w:r>
    </w:p>
    <w:sectPr w:rsidR="00984B29" w:rsidRPr="00B21814" w:rsidSect="00C92B5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14" w:rsidRDefault="00B21814" w:rsidP="00F95C08">
      <w:pPr>
        <w:spacing w:line="240" w:lineRule="auto"/>
      </w:pPr>
    </w:p>
  </w:endnote>
  <w:endnote w:type="continuationSeparator" w:id="0">
    <w:p w:rsidR="00B21814" w:rsidRPr="00AC3823" w:rsidRDefault="00B21814" w:rsidP="00AC3823">
      <w:pPr>
        <w:pStyle w:val="Pieddepage"/>
      </w:pPr>
    </w:p>
  </w:endnote>
  <w:endnote w:type="continuationNotice" w:id="1">
    <w:p w:rsidR="00B21814" w:rsidRDefault="00B218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14" w:rsidRPr="00C92B51" w:rsidRDefault="00B21814" w:rsidP="00C92B51">
    <w:pPr>
      <w:pStyle w:val="Pieddepage"/>
      <w:tabs>
        <w:tab w:val="right" w:pos="9638"/>
      </w:tabs>
    </w:pPr>
    <w:r w:rsidRPr="00C92B51">
      <w:rPr>
        <w:b/>
        <w:sz w:val="18"/>
      </w:rPr>
      <w:fldChar w:fldCharType="begin"/>
    </w:r>
    <w:r w:rsidRPr="00C92B51">
      <w:rPr>
        <w:b/>
        <w:sz w:val="18"/>
      </w:rPr>
      <w:instrText xml:space="preserve"> PAGE  \* MERGEFORMAT </w:instrText>
    </w:r>
    <w:r w:rsidRPr="00C92B51">
      <w:rPr>
        <w:b/>
        <w:sz w:val="18"/>
      </w:rPr>
      <w:fldChar w:fldCharType="separate"/>
    </w:r>
    <w:r w:rsidR="00CB3226">
      <w:rPr>
        <w:b/>
        <w:noProof/>
        <w:sz w:val="18"/>
      </w:rPr>
      <w:t>6</w:t>
    </w:r>
    <w:r w:rsidRPr="00C92B51">
      <w:rPr>
        <w:b/>
        <w:sz w:val="18"/>
      </w:rPr>
      <w:fldChar w:fldCharType="end"/>
    </w:r>
    <w:r>
      <w:rPr>
        <w:b/>
        <w:sz w:val="18"/>
      </w:rPr>
      <w:tab/>
    </w:r>
    <w:r>
      <w:t>GE.18-03682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14" w:rsidRPr="00C92B51" w:rsidRDefault="00B21814" w:rsidP="00C92B51">
    <w:pPr>
      <w:pStyle w:val="Pieddepage"/>
      <w:tabs>
        <w:tab w:val="right" w:pos="9638"/>
      </w:tabs>
      <w:rPr>
        <w:b/>
        <w:sz w:val="18"/>
      </w:rPr>
    </w:pPr>
    <w:r>
      <w:t>GE.18-03682</w:t>
    </w:r>
    <w:r>
      <w:tab/>
    </w:r>
    <w:r w:rsidRPr="00C92B51">
      <w:rPr>
        <w:b/>
        <w:sz w:val="18"/>
      </w:rPr>
      <w:fldChar w:fldCharType="begin"/>
    </w:r>
    <w:r w:rsidRPr="00C92B51">
      <w:rPr>
        <w:b/>
        <w:sz w:val="18"/>
      </w:rPr>
      <w:instrText xml:space="preserve"> PAGE  \* MERGEFORMAT </w:instrText>
    </w:r>
    <w:r w:rsidRPr="00C92B51">
      <w:rPr>
        <w:b/>
        <w:sz w:val="18"/>
      </w:rPr>
      <w:fldChar w:fldCharType="separate"/>
    </w:r>
    <w:r w:rsidR="00CB3226">
      <w:rPr>
        <w:b/>
        <w:noProof/>
        <w:sz w:val="18"/>
      </w:rPr>
      <w:t>7</w:t>
    </w:r>
    <w:r w:rsidRPr="00C92B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14" w:rsidRPr="00C92B51" w:rsidRDefault="00B21814" w:rsidP="00C92B5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18-03682  (F)</w:t>
    </w:r>
    <w:r w:rsidR="002D2AA1">
      <w:rPr>
        <w:sz w:val="20"/>
      </w:rPr>
      <w:t xml:space="preserve">    210318    210318</w:t>
    </w:r>
    <w:r>
      <w:rPr>
        <w:sz w:val="20"/>
      </w:rPr>
      <w:br/>
    </w:r>
    <w:r w:rsidRPr="00C92B51">
      <w:rPr>
        <w:rFonts w:ascii="C39T30Lfz" w:hAnsi="C39T30Lfz"/>
        <w:sz w:val="56"/>
      </w:rPr>
      <w:t></w:t>
    </w:r>
    <w:r w:rsidRPr="00C92B51">
      <w:rPr>
        <w:rFonts w:ascii="C39T30Lfz" w:hAnsi="C39T30Lfz"/>
        <w:sz w:val="56"/>
      </w:rPr>
      <w:t></w:t>
    </w:r>
    <w:r w:rsidRPr="00C92B51">
      <w:rPr>
        <w:rFonts w:ascii="C39T30Lfz" w:hAnsi="C39T30Lfz"/>
        <w:sz w:val="56"/>
      </w:rPr>
      <w:t></w:t>
    </w:r>
    <w:r w:rsidRPr="00C92B51">
      <w:rPr>
        <w:rFonts w:ascii="C39T30Lfz" w:hAnsi="C39T30Lfz"/>
        <w:sz w:val="56"/>
      </w:rPr>
      <w:t></w:t>
    </w:r>
    <w:r w:rsidRPr="00C92B51">
      <w:rPr>
        <w:rFonts w:ascii="C39T30Lfz" w:hAnsi="C39T30Lfz"/>
        <w:sz w:val="56"/>
      </w:rPr>
      <w:t></w:t>
    </w:r>
    <w:r w:rsidRPr="00C92B51">
      <w:rPr>
        <w:rFonts w:ascii="C39T30Lfz" w:hAnsi="C39T30Lfz"/>
        <w:sz w:val="56"/>
      </w:rPr>
      <w:t></w:t>
    </w:r>
    <w:r w:rsidRPr="00C92B51">
      <w:rPr>
        <w:rFonts w:ascii="C39T30Lfz" w:hAnsi="C39T30Lfz"/>
        <w:sz w:val="56"/>
      </w:rPr>
      <w:t></w:t>
    </w:r>
    <w:r w:rsidRPr="00C92B51">
      <w:rPr>
        <w:rFonts w:ascii="C39T30Lfz" w:hAnsi="C39T30Lfz"/>
        <w:sz w:val="56"/>
      </w:rPr>
      <w:t></w:t>
    </w:r>
    <w:r w:rsidRPr="00C92B5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URY/CO/21-2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URY/CO/21-2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14" w:rsidRPr="00AC3823" w:rsidRDefault="00B21814" w:rsidP="00AC3823">
      <w:pPr>
        <w:pStyle w:val="Pieddepage"/>
        <w:tabs>
          <w:tab w:val="right" w:pos="2155"/>
        </w:tabs>
        <w:spacing w:after="80" w:line="240" w:lineRule="atLeast"/>
        <w:ind w:left="680"/>
        <w:rPr>
          <w:u w:val="single"/>
        </w:rPr>
      </w:pPr>
      <w:r>
        <w:rPr>
          <w:u w:val="single"/>
        </w:rPr>
        <w:tab/>
      </w:r>
    </w:p>
  </w:footnote>
  <w:footnote w:type="continuationSeparator" w:id="0">
    <w:p w:rsidR="00B21814" w:rsidRPr="00AC3823" w:rsidRDefault="00B21814" w:rsidP="00AC3823">
      <w:pPr>
        <w:pStyle w:val="Pieddepage"/>
        <w:tabs>
          <w:tab w:val="right" w:pos="2155"/>
        </w:tabs>
        <w:spacing w:after="80" w:line="240" w:lineRule="atLeast"/>
        <w:ind w:left="680"/>
        <w:rPr>
          <w:u w:val="single"/>
        </w:rPr>
      </w:pPr>
      <w:r>
        <w:rPr>
          <w:u w:val="single"/>
        </w:rPr>
        <w:tab/>
      </w:r>
    </w:p>
  </w:footnote>
  <w:footnote w:type="continuationNotice" w:id="1">
    <w:p w:rsidR="00B21814" w:rsidRPr="00AC3823" w:rsidRDefault="00B21814">
      <w:pPr>
        <w:spacing w:line="240" w:lineRule="auto"/>
        <w:rPr>
          <w:sz w:val="2"/>
          <w:szCs w:val="2"/>
        </w:rPr>
      </w:pPr>
    </w:p>
  </w:footnote>
  <w:footnote w:id="2">
    <w:p w:rsidR="00D47EFD" w:rsidRPr="002D2AA1" w:rsidRDefault="00D47EFD" w:rsidP="00D47EFD">
      <w:pPr>
        <w:pStyle w:val="Notedebasdepage"/>
        <w:rPr>
          <w:szCs w:val="18"/>
        </w:rPr>
      </w:pPr>
      <w:r w:rsidRPr="002D2AA1">
        <w:rPr>
          <w:szCs w:val="18"/>
        </w:rPr>
        <w:tab/>
      </w:r>
      <w:r w:rsidRPr="002D2AA1">
        <w:rPr>
          <w:rStyle w:val="Appelnotedebasdep"/>
          <w:sz w:val="20"/>
          <w:vertAlign w:val="baseline"/>
        </w:rPr>
        <w:t>*</w:t>
      </w:r>
      <w:r w:rsidRPr="002D2AA1">
        <w:rPr>
          <w:sz w:val="20"/>
        </w:rPr>
        <w:tab/>
      </w:r>
      <w:r w:rsidRPr="002D2AA1">
        <w:rPr>
          <w:szCs w:val="18"/>
        </w:rPr>
        <w:t>La version originale du présent document n’a pas été revue par les services d’édition.</w:t>
      </w:r>
    </w:p>
  </w:footnote>
  <w:footnote w:id="3">
    <w:p w:rsidR="00D47EFD" w:rsidRPr="002D2AA1" w:rsidRDefault="00D47EFD">
      <w:pPr>
        <w:pStyle w:val="Notedebasdepage"/>
        <w:rPr>
          <w:szCs w:val="18"/>
        </w:rPr>
      </w:pPr>
      <w:r w:rsidRPr="002D2AA1">
        <w:rPr>
          <w:rStyle w:val="Appelnotedebasdep"/>
          <w:sz w:val="20"/>
        </w:rPr>
        <w:tab/>
      </w:r>
      <w:r w:rsidRPr="002D2AA1">
        <w:rPr>
          <w:rStyle w:val="Appelnotedebasdep"/>
          <w:sz w:val="20"/>
          <w:vertAlign w:val="baseline"/>
        </w:rPr>
        <w:t>**</w:t>
      </w:r>
      <w:r w:rsidRPr="002D2AA1">
        <w:rPr>
          <w:rStyle w:val="Appelnotedebasdep"/>
          <w:sz w:val="20"/>
          <w:vertAlign w:val="baseline"/>
        </w:rPr>
        <w:tab/>
      </w:r>
      <w:r w:rsidRPr="002D2AA1">
        <w:rPr>
          <w:szCs w:val="18"/>
        </w:rPr>
        <w:t>Les annexes peuvent être consultées dans les archives du secrétariat.</w:t>
      </w:r>
    </w:p>
  </w:footnote>
  <w:footnote w:id="4">
    <w:p w:rsidR="00B21814" w:rsidRPr="00470B3B" w:rsidRDefault="003575FB" w:rsidP="00B21814">
      <w:pPr>
        <w:pStyle w:val="Notedebasdepage"/>
        <w:rPr>
          <w:spacing w:val="-2"/>
          <w:szCs w:val="18"/>
        </w:rPr>
      </w:pPr>
      <w:r w:rsidRPr="002D2AA1">
        <w:rPr>
          <w:szCs w:val="18"/>
        </w:rPr>
        <w:tab/>
      </w:r>
      <w:r w:rsidR="00B21814" w:rsidRPr="002D2AA1">
        <w:rPr>
          <w:rStyle w:val="Appelnotedebasdep"/>
          <w:szCs w:val="18"/>
        </w:rPr>
        <w:footnoteRef/>
      </w:r>
      <w:r w:rsidRPr="002D2AA1">
        <w:rPr>
          <w:szCs w:val="18"/>
        </w:rPr>
        <w:tab/>
      </w:r>
      <w:hyperlink r:id="rId1" w:history="1">
        <w:r w:rsidR="00B21814" w:rsidRPr="00470B3B">
          <w:rPr>
            <w:spacing w:val="-2"/>
            <w:szCs w:val="18"/>
          </w:rPr>
          <w:t>http://www.mides.gub.uy/innovaportal/file/86655/1/perspectiva-etnico-racial-y-politicas-publicas-vf.pdf</w:t>
        </w:r>
      </w:hyperlink>
      <w:r w:rsidR="00B21814" w:rsidRPr="00470B3B">
        <w:rPr>
          <w:spacing w:val="-2"/>
          <w:szCs w:val="18"/>
        </w:rPr>
        <w:t>.</w:t>
      </w:r>
    </w:p>
  </w:footnote>
  <w:footnote w:id="5">
    <w:p w:rsidR="00B21814" w:rsidRPr="002D2AA1" w:rsidRDefault="003575FB" w:rsidP="00B21814">
      <w:pPr>
        <w:pStyle w:val="Notedebasdepage"/>
        <w:rPr>
          <w:szCs w:val="18"/>
        </w:rPr>
      </w:pPr>
      <w:r w:rsidRPr="002D2AA1">
        <w:rPr>
          <w:szCs w:val="18"/>
        </w:rPr>
        <w:tab/>
      </w:r>
      <w:r w:rsidR="00B21814" w:rsidRPr="002D2AA1">
        <w:rPr>
          <w:rStyle w:val="Appelnotedebasdep"/>
          <w:szCs w:val="18"/>
        </w:rPr>
        <w:footnoteRef/>
      </w:r>
      <w:r w:rsidRPr="002D2AA1">
        <w:rPr>
          <w:szCs w:val="18"/>
        </w:rPr>
        <w:tab/>
      </w:r>
      <w:r w:rsidR="00B21814" w:rsidRPr="002D2AA1">
        <w:rPr>
          <w:szCs w:val="18"/>
        </w:rPr>
        <w:t>Pour plus ample in</w:t>
      </w:r>
      <w:r w:rsidR="002D2A94">
        <w:rPr>
          <w:szCs w:val="18"/>
        </w:rPr>
        <w:t>formation sur ces timbres, voir </w:t>
      </w:r>
      <w:r w:rsidR="00B21814" w:rsidRPr="002D2AA1">
        <w:rPr>
          <w:szCs w:val="18"/>
        </w:rPr>
        <w:t xml:space="preserve">: </w:t>
      </w:r>
      <w:hyperlink r:id="rId2" w:history="1">
        <w:r w:rsidR="00B21814" w:rsidRPr="002D2AA1">
          <w:rPr>
            <w:szCs w:val="18"/>
          </w:rPr>
          <w:t>http://www.correo.com.uy/sellos</w:t>
        </w:r>
      </w:hyperlink>
      <w:r w:rsidR="00B21814" w:rsidRPr="002D2AA1">
        <w:rPr>
          <w:szCs w:val="18"/>
        </w:rPr>
        <w:t>.</w:t>
      </w:r>
    </w:p>
  </w:footnote>
  <w:footnote w:id="6">
    <w:p w:rsidR="00B21814" w:rsidRPr="002D2AA1" w:rsidRDefault="003575FB" w:rsidP="00B21814">
      <w:pPr>
        <w:pStyle w:val="Notedebasdepage"/>
        <w:rPr>
          <w:szCs w:val="18"/>
        </w:rPr>
      </w:pPr>
      <w:r w:rsidRPr="002D2AA1">
        <w:rPr>
          <w:szCs w:val="18"/>
        </w:rPr>
        <w:tab/>
      </w:r>
      <w:r w:rsidR="00B21814" w:rsidRPr="002D2AA1">
        <w:rPr>
          <w:rStyle w:val="Appelnotedebasdep"/>
          <w:szCs w:val="18"/>
        </w:rPr>
        <w:footnoteRef/>
      </w:r>
      <w:r w:rsidRPr="002D2AA1">
        <w:rPr>
          <w:szCs w:val="18"/>
        </w:rPr>
        <w:tab/>
      </w:r>
      <w:hyperlink r:id="rId3" w:history="1">
        <w:r w:rsidR="00B21814" w:rsidRPr="002D2AA1">
          <w:rPr>
            <w:szCs w:val="18"/>
          </w:rPr>
          <w:t>https://www.onsc.gub.uy/onsc1/images/Informe_completo_ingreso_Afrodescendientes_2016.pdf</w:t>
        </w:r>
      </w:hyperlink>
      <w:r w:rsidR="00B21814" w:rsidRPr="002D2AA1">
        <w:rPr>
          <w:szCs w:val="18"/>
        </w:rPr>
        <w:t>.</w:t>
      </w:r>
    </w:p>
  </w:footnote>
  <w:footnote w:id="7">
    <w:p w:rsidR="00B21814" w:rsidRPr="002D2AA1" w:rsidRDefault="003575FB" w:rsidP="00B21814">
      <w:pPr>
        <w:pStyle w:val="Notedebasdepage"/>
        <w:rPr>
          <w:szCs w:val="18"/>
        </w:rPr>
      </w:pPr>
      <w:r w:rsidRPr="002D2AA1">
        <w:rPr>
          <w:szCs w:val="18"/>
        </w:rPr>
        <w:tab/>
      </w:r>
      <w:r w:rsidR="00B21814" w:rsidRPr="002D2AA1">
        <w:rPr>
          <w:rStyle w:val="Appelnotedebasdep"/>
          <w:szCs w:val="18"/>
        </w:rPr>
        <w:footnoteRef/>
      </w:r>
      <w:r w:rsidRPr="002D2AA1">
        <w:rPr>
          <w:szCs w:val="18"/>
        </w:rPr>
        <w:tab/>
      </w:r>
      <w:r w:rsidR="00B21814" w:rsidRPr="002D2AA1">
        <w:rPr>
          <w:szCs w:val="18"/>
        </w:rPr>
        <w:t xml:space="preserve">ANEP </w:t>
      </w:r>
      <w:r w:rsidR="00741712">
        <w:rPr>
          <w:szCs w:val="18"/>
        </w:rPr>
        <w:t>−</w:t>
      </w:r>
      <w:r w:rsidR="00B21814" w:rsidRPr="002D2AA1">
        <w:rPr>
          <w:szCs w:val="18"/>
        </w:rPr>
        <w:t xml:space="preserve"> Administration nationale de l’enseignement public. In </w:t>
      </w:r>
      <w:proofErr w:type="spellStart"/>
      <w:r w:rsidR="00B21814" w:rsidRPr="002D2AA1">
        <w:rPr>
          <w:szCs w:val="18"/>
        </w:rPr>
        <w:t>mujeres</w:t>
      </w:r>
      <w:proofErr w:type="spellEnd"/>
      <w:r w:rsidR="00B21814" w:rsidRPr="002D2AA1">
        <w:rPr>
          <w:szCs w:val="18"/>
        </w:rPr>
        <w:t xml:space="preserve"> </w:t>
      </w:r>
      <w:r w:rsidR="00741712">
        <w:rPr>
          <w:szCs w:val="18"/>
        </w:rPr>
        <w:t>−</w:t>
      </w:r>
      <w:r w:rsidR="00B21814" w:rsidRPr="002D2AA1">
        <w:rPr>
          <w:szCs w:val="18"/>
        </w:rPr>
        <w:t xml:space="preserve"> Institut national de la condition de la femme du Ministère du développement social. </w:t>
      </w:r>
    </w:p>
  </w:footnote>
  <w:footnote w:id="8">
    <w:p w:rsidR="00B21814" w:rsidRPr="002D2AA1" w:rsidRDefault="003575FB" w:rsidP="00B21814">
      <w:pPr>
        <w:pStyle w:val="Notedebasdepage"/>
        <w:rPr>
          <w:szCs w:val="18"/>
        </w:rPr>
      </w:pPr>
      <w:r w:rsidRPr="002D2AA1">
        <w:rPr>
          <w:szCs w:val="18"/>
        </w:rPr>
        <w:tab/>
      </w:r>
      <w:r w:rsidR="00B21814" w:rsidRPr="002D2AA1">
        <w:rPr>
          <w:rStyle w:val="Appelnotedebasdep"/>
          <w:szCs w:val="18"/>
        </w:rPr>
        <w:footnoteRef/>
      </w:r>
      <w:r w:rsidRPr="002D2AA1">
        <w:rPr>
          <w:szCs w:val="18"/>
        </w:rPr>
        <w:tab/>
      </w:r>
      <w:hyperlink r:id="rId4" w:history="1">
        <w:r w:rsidR="00B21814" w:rsidRPr="002D2AA1">
          <w:rPr>
            <w:szCs w:val="18"/>
          </w:rPr>
          <w:t>http://www.anep.edu.uy/anep/index.php/grupo-de-trabajo-por-la-equidad-etnico-racial-en-la-anep</w:t>
        </w:r>
      </w:hyperlink>
      <w:r w:rsidR="00B21814" w:rsidRPr="002D2AA1">
        <w:rPr>
          <w:szCs w:val="18"/>
        </w:rPr>
        <w:t>.</w:t>
      </w:r>
    </w:p>
  </w:footnote>
  <w:footnote w:id="9">
    <w:p w:rsidR="00B21814" w:rsidRPr="002D2AA1" w:rsidRDefault="003575FB" w:rsidP="00B21814">
      <w:pPr>
        <w:pStyle w:val="Notedebasdepage"/>
        <w:rPr>
          <w:szCs w:val="18"/>
        </w:rPr>
      </w:pPr>
      <w:r w:rsidRPr="002D2AA1">
        <w:rPr>
          <w:szCs w:val="18"/>
        </w:rPr>
        <w:tab/>
      </w:r>
      <w:r w:rsidR="00B21814" w:rsidRPr="002D2AA1">
        <w:rPr>
          <w:rStyle w:val="Appelnotedebasdep"/>
          <w:szCs w:val="18"/>
        </w:rPr>
        <w:footnoteRef/>
      </w:r>
      <w:r w:rsidRPr="002D2AA1">
        <w:rPr>
          <w:szCs w:val="18"/>
        </w:rPr>
        <w:tab/>
      </w:r>
      <w:hyperlink r:id="rId5" w:history="1">
        <w:r w:rsidR="00B21814" w:rsidRPr="002D2AA1">
          <w:rPr>
            <w:szCs w:val="18"/>
          </w:rPr>
          <w:t>http://www.mec.gub.uy/innovaportal/v/103623/2/mecweb/aplicacion-de-la-ley-19122?search=yes</w:t>
        </w:r>
      </w:hyperlink>
      <w:r w:rsidR="00B21814" w:rsidRPr="002D2AA1">
        <w:rPr>
          <w:szCs w:val="18"/>
        </w:rPr>
        <w:t>.</w:t>
      </w:r>
    </w:p>
  </w:footnote>
  <w:footnote w:id="10">
    <w:p w:rsidR="00B21814" w:rsidRPr="002D2AA1" w:rsidRDefault="001E4727" w:rsidP="00B21814">
      <w:pPr>
        <w:pStyle w:val="Notedebasdepage"/>
        <w:rPr>
          <w:szCs w:val="18"/>
        </w:rPr>
      </w:pPr>
      <w:r>
        <w:rPr>
          <w:szCs w:val="18"/>
        </w:rPr>
        <w:tab/>
      </w:r>
      <w:r w:rsidR="00B21814" w:rsidRPr="002D2AA1">
        <w:rPr>
          <w:rStyle w:val="Appelnotedebasdep"/>
          <w:szCs w:val="18"/>
        </w:rPr>
        <w:footnoteRef/>
      </w:r>
      <w:r>
        <w:rPr>
          <w:szCs w:val="18"/>
        </w:rPr>
        <w:tab/>
      </w:r>
      <w:r w:rsidR="00B21814" w:rsidRPr="002D2AA1">
        <w:rPr>
          <w:szCs w:val="18"/>
        </w:rPr>
        <w:t>http://www.anep.edu.uy/anep/phocadownload/ddhh/publicaciones/GuiaDidacticaEducaciony</w:t>
      </w:r>
      <w:r w:rsidR="00C4547D">
        <w:rPr>
          <w:szCs w:val="18"/>
        </w:rPr>
        <w:t xml:space="preserve"> </w:t>
      </w:r>
      <w:r w:rsidR="00B21814" w:rsidRPr="002D2AA1">
        <w:rPr>
          <w:szCs w:val="18"/>
        </w:rPr>
        <w:t>Afrodescendencia.pdf.</w:t>
      </w:r>
    </w:p>
  </w:footnote>
  <w:footnote w:id="11">
    <w:p w:rsidR="00B21814" w:rsidRPr="002D2AA1" w:rsidRDefault="001E4727" w:rsidP="00B21814">
      <w:pPr>
        <w:pStyle w:val="Notedebasdepage"/>
        <w:rPr>
          <w:szCs w:val="18"/>
        </w:rPr>
      </w:pPr>
      <w:r>
        <w:rPr>
          <w:szCs w:val="18"/>
        </w:rPr>
        <w:tab/>
      </w:r>
      <w:r w:rsidR="00B21814" w:rsidRPr="002D2AA1">
        <w:rPr>
          <w:rStyle w:val="Appelnotedebasdep"/>
          <w:szCs w:val="18"/>
        </w:rPr>
        <w:footnoteRef/>
      </w:r>
      <w:r>
        <w:rPr>
          <w:szCs w:val="18"/>
        </w:rPr>
        <w:tab/>
      </w:r>
      <w:hyperlink r:id="rId6" w:history="1">
        <w:r w:rsidR="00B21814" w:rsidRPr="002D2AA1">
          <w:rPr>
            <w:szCs w:val="18"/>
          </w:rPr>
          <w:t>http://www.mec.gub.uy/innovaportal/v/103793/2/mecweb/educacion-y-afrodescendencia?search=yes</w:t>
        </w:r>
      </w:hyperlink>
      <w:r w:rsidR="00B21814" w:rsidRPr="002D2AA1">
        <w:rPr>
          <w:szCs w:val="18"/>
        </w:rPr>
        <w:t>.</w:t>
      </w:r>
    </w:p>
  </w:footnote>
  <w:footnote w:id="12">
    <w:p w:rsidR="00B21814" w:rsidRPr="002D2AA1" w:rsidRDefault="001E4727" w:rsidP="00B21814">
      <w:pPr>
        <w:pStyle w:val="Notedebasdepage"/>
        <w:rPr>
          <w:szCs w:val="18"/>
        </w:rPr>
      </w:pPr>
      <w:r>
        <w:rPr>
          <w:szCs w:val="18"/>
        </w:rPr>
        <w:tab/>
      </w:r>
      <w:r w:rsidR="00B21814" w:rsidRPr="002D2AA1">
        <w:rPr>
          <w:rStyle w:val="Appelnotedebasdep"/>
          <w:szCs w:val="18"/>
        </w:rPr>
        <w:footnoteRef/>
      </w:r>
      <w:r>
        <w:rPr>
          <w:szCs w:val="18"/>
        </w:rPr>
        <w:tab/>
      </w:r>
      <w:r w:rsidR="00B21814" w:rsidRPr="002D2AA1">
        <w:rPr>
          <w:szCs w:val="18"/>
        </w:rPr>
        <w:t xml:space="preserve">Pour plus ample information sur le Plan national d’éducation aux droits de l’homme, prière de consulter le lien suivant : </w:t>
      </w:r>
      <w:hyperlink r:id="rId7" w:history="1">
        <w:r w:rsidR="00B21814" w:rsidRPr="002D2AA1">
          <w:rPr>
            <w:szCs w:val="18"/>
          </w:rPr>
          <w:t>http://pnedh.snep.edu.uy/</w:t>
        </w:r>
      </w:hyperlink>
      <w:r w:rsidR="00B21814" w:rsidRPr="002D2AA1">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14" w:rsidRPr="00C92B51" w:rsidRDefault="00B21814">
    <w:pPr>
      <w:pStyle w:val="En-tte"/>
    </w:pPr>
    <w:fldSimple w:instr=" TITLE  \* MERGEFORMAT ">
      <w:r w:rsidR="00F94410">
        <w:t>CERD/C/URY/CO/21-23/Add.1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14" w:rsidRPr="00C92B51" w:rsidRDefault="00B21814" w:rsidP="00C92B51">
    <w:pPr>
      <w:pStyle w:val="En-tte"/>
      <w:jc w:val="right"/>
    </w:pPr>
    <w:fldSimple w:instr=" TITLE  \* MERGEFORMAT ">
      <w:r w:rsidR="00F94410">
        <w:t>CERD/C/URY/CO/21-23/Add.1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proofState w:spelling="clean"/>
  <w:attachedTemplate r:id="rId1"/>
  <w:revisionView w:inkAnnotations="0"/>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33"/>
    <w:rsid w:val="00014603"/>
    <w:rsid w:val="00017F94"/>
    <w:rsid w:val="00023842"/>
    <w:rsid w:val="000334F9"/>
    <w:rsid w:val="00042650"/>
    <w:rsid w:val="0007796D"/>
    <w:rsid w:val="000B7790"/>
    <w:rsid w:val="00111F2F"/>
    <w:rsid w:val="00140A3C"/>
    <w:rsid w:val="0014365E"/>
    <w:rsid w:val="00176178"/>
    <w:rsid w:val="001E4727"/>
    <w:rsid w:val="001F525A"/>
    <w:rsid w:val="00215BEC"/>
    <w:rsid w:val="00223272"/>
    <w:rsid w:val="0024779E"/>
    <w:rsid w:val="002865C2"/>
    <w:rsid w:val="002D2A94"/>
    <w:rsid w:val="002D2AA1"/>
    <w:rsid w:val="00330FD7"/>
    <w:rsid w:val="003575FB"/>
    <w:rsid w:val="00365AD4"/>
    <w:rsid w:val="003B09DF"/>
    <w:rsid w:val="00446FE5"/>
    <w:rsid w:val="00452396"/>
    <w:rsid w:val="00453503"/>
    <w:rsid w:val="00470B3B"/>
    <w:rsid w:val="00482485"/>
    <w:rsid w:val="00487433"/>
    <w:rsid w:val="004F094E"/>
    <w:rsid w:val="0051115F"/>
    <w:rsid w:val="005505B7"/>
    <w:rsid w:val="00573BE5"/>
    <w:rsid w:val="00586ED3"/>
    <w:rsid w:val="00596AA9"/>
    <w:rsid w:val="005F3A89"/>
    <w:rsid w:val="00623CA8"/>
    <w:rsid w:val="006B5CF1"/>
    <w:rsid w:val="00712E6E"/>
    <w:rsid w:val="0071601D"/>
    <w:rsid w:val="0072682B"/>
    <w:rsid w:val="00734763"/>
    <w:rsid w:val="00741712"/>
    <w:rsid w:val="00780585"/>
    <w:rsid w:val="007834C3"/>
    <w:rsid w:val="00783E9F"/>
    <w:rsid w:val="007A62E6"/>
    <w:rsid w:val="0080684C"/>
    <w:rsid w:val="00811677"/>
    <w:rsid w:val="00871C75"/>
    <w:rsid w:val="008776DC"/>
    <w:rsid w:val="0093049B"/>
    <w:rsid w:val="00936A8B"/>
    <w:rsid w:val="009705C8"/>
    <w:rsid w:val="00984B29"/>
    <w:rsid w:val="009D51D8"/>
    <w:rsid w:val="009D5F1A"/>
    <w:rsid w:val="00A30353"/>
    <w:rsid w:val="00AC3823"/>
    <w:rsid w:val="00AE0276"/>
    <w:rsid w:val="00AE323C"/>
    <w:rsid w:val="00B00181"/>
    <w:rsid w:val="00B21814"/>
    <w:rsid w:val="00B54F7E"/>
    <w:rsid w:val="00B765F7"/>
    <w:rsid w:val="00BA0CA9"/>
    <w:rsid w:val="00BB0B66"/>
    <w:rsid w:val="00C02897"/>
    <w:rsid w:val="00C4547D"/>
    <w:rsid w:val="00C92AEB"/>
    <w:rsid w:val="00C92B51"/>
    <w:rsid w:val="00CB3226"/>
    <w:rsid w:val="00CB4F93"/>
    <w:rsid w:val="00CC5FE3"/>
    <w:rsid w:val="00D0223B"/>
    <w:rsid w:val="00D3439C"/>
    <w:rsid w:val="00D47EFD"/>
    <w:rsid w:val="00D51021"/>
    <w:rsid w:val="00D7234A"/>
    <w:rsid w:val="00DB1831"/>
    <w:rsid w:val="00DC0149"/>
    <w:rsid w:val="00DD3BFD"/>
    <w:rsid w:val="00DF2A75"/>
    <w:rsid w:val="00DF6678"/>
    <w:rsid w:val="00ED5E16"/>
    <w:rsid w:val="00F660DF"/>
    <w:rsid w:val="00F94410"/>
    <w:rsid w:val="00F95C08"/>
    <w:rsid w:val="00FB0B8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76D23F"/>
  <w15:docId w15:val="{8381B8B8-9CED-4ED8-A629-CACB8D40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onsc.gub.uy/onsc1/images/Informe_completo_ingreso_Afrodescendientes_2016.pdf" TargetMode="External"/><Relationship Id="rId7" Type="http://schemas.openxmlformats.org/officeDocument/2006/relationships/hyperlink" Target="http://pnedh.snep.edu.uy/" TargetMode="External"/><Relationship Id="rId2" Type="http://schemas.openxmlformats.org/officeDocument/2006/relationships/hyperlink" Target="http://www.correo.com.uy/sellos" TargetMode="External"/><Relationship Id="rId1" Type="http://schemas.openxmlformats.org/officeDocument/2006/relationships/hyperlink" Target="http://www.mides.gub.uy/innovaportal/file/86655/1/perspectiva-etnico-racial-y-politicas-publicas-vf.pdf" TargetMode="External"/><Relationship Id="rId6" Type="http://schemas.openxmlformats.org/officeDocument/2006/relationships/hyperlink" Target="http://www.mec.gub.uy/innovaportal/v/103793/2/mecweb/educacion-y-afrodescendencia?search=yes" TargetMode="External"/><Relationship Id="rId5" Type="http://schemas.openxmlformats.org/officeDocument/2006/relationships/hyperlink" Target="http://www.mec.gub.uy/innovaportal/v/103623/2/mecweb/aplicacion-de-la-ley-19122?search=yes" TargetMode="External"/><Relationship Id="rId4" Type="http://schemas.openxmlformats.org/officeDocument/2006/relationships/hyperlink" Target="http://www.anep.edu.uy/anep/index.php/grupo-de-trabajo-por-la-equidad-etnico-racial-en-la-ane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7</Pages>
  <Words>2527</Words>
  <Characters>17694</Characters>
  <Application>Microsoft Office Word</Application>
  <DocSecurity>0</DocSecurity>
  <Lines>1179</Lines>
  <Paragraphs>430</Paragraphs>
  <ScaleCrop>false</ScaleCrop>
  <HeadingPairs>
    <vt:vector size="2" baseType="variant">
      <vt:variant>
        <vt:lpstr>Titre</vt:lpstr>
      </vt:variant>
      <vt:variant>
        <vt:i4>1</vt:i4>
      </vt:variant>
    </vt:vector>
  </HeadingPairs>
  <TitlesOfParts>
    <vt:vector size="1" baseType="lpstr">
      <vt:lpstr>CERD/C/URY/CO/21-23/Add.1</vt:lpstr>
    </vt:vector>
  </TitlesOfParts>
  <Company>DCM</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CERD/C/URY/CO/21-23/Add.1</dc:title>
  <dc:subject/>
  <dc:creator>Nicolas MORIN</dc:creator>
  <cp:keywords/>
  <cp:lastModifiedBy>Nicolas Morin</cp:lastModifiedBy>
  <cp:revision>2</cp:revision>
  <cp:lastPrinted>2018-03-21T11:03:00Z</cp:lastPrinted>
  <dcterms:created xsi:type="dcterms:W3CDTF">2018-03-21T13:29:00Z</dcterms:created>
  <dcterms:modified xsi:type="dcterms:W3CDTF">2018-03-21T13:29:00Z</dcterms:modified>
</cp:coreProperties>
</file>