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4317E8" w:rsidP="004317E8">
            <w:pPr>
              <w:suppressAutoHyphens w:val="0"/>
              <w:spacing w:after="20"/>
              <w:jc w:val="right"/>
            </w:pPr>
            <w:r w:rsidRPr="004317E8">
              <w:rPr>
                <w:sz w:val="40"/>
              </w:rPr>
              <w:t>CERD</w:t>
            </w:r>
            <w:r>
              <w:t>/C/URY/CO/21-23/Add.1</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4317E8" w:rsidP="004317E8">
            <w:pPr>
              <w:spacing w:before="240"/>
            </w:pPr>
            <w:r>
              <w:t>Distr.: General</w:t>
            </w:r>
          </w:p>
          <w:p w:rsidR="004317E8" w:rsidRDefault="004317E8" w:rsidP="004317E8">
            <w:pPr>
              <w:suppressAutoHyphens w:val="0"/>
            </w:pPr>
            <w:r>
              <w:t>9 March 2018</w:t>
            </w:r>
          </w:p>
          <w:p w:rsidR="004317E8" w:rsidRDefault="004317E8" w:rsidP="004317E8">
            <w:pPr>
              <w:suppressAutoHyphens w:val="0"/>
            </w:pPr>
            <w:r>
              <w:t>English</w:t>
            </w:r>
          </w:p>
          <w:p w:rsidR="004317E8" w:rsidRDefault="004317E8" w:rsidP="004317E8">
            <w:pPr>
              <w:suppressAutoHyphens w:val="0"/>
            </w:pPr>
            <w:r>
              <w:t>Original: Spanish</w:t>
            </w:r>
          </w:p>
          <w:p w:rsidR="00E30AEE" w:rsidRDefault="00E30AEE" w:rsidP="004317E8">
            <w:pPr>
              <w:suppressAutoHyphens w:val="0"/>
            </w:pPr>
            <w:r w:rsidRPr="00E30AEE">
              <w:t>English, French and Spanish only</w:t>
            </w:r>
          </w:p>
        </w:tc>
      </w:tr>
    </w:tbl>
    <w:p w:rsidR="004317E8" w:rsidRPr="004317E8" w:rsidRDefault="004317E8" w:rsidP="004317E8">
      <w:pPr>
        <w:spacing w:before="120"/>
        <w:rPr>
          <w:b/>
          <w:bCs/>
          <w:sz w:val="24"/>
          <w:szCs w:val="24"/>
        </w:rPr>
      </w:pPr>
      <w:r w:rsidRPr="004317E8">
        <w:rPr>
          <w:b/>
          <w:bCs/>
          <w:sz w:val="24"/>
          <w:szCs w:val="24"/>
        </w:rPr>
        <w:t>Committee on the Elimination of Racial Discrimination</w:t>
      </w:r>
    </w:p>
    <w:p w:rsidR="004317E8" w:rsidRPr="00A804F9" w:rsidRDefault="004317E8" w:rsidP="00C63386">
      <w:pPr>
        <w:pStyle w:val="HChG"/>
      </w:pPr>
      <w:r w:rsidRPr="00A804F9">
        <w:tab/>
      </w:r>
      <w:r w:rsidRPr="00A804F9">
        <w:tab/>
        <w:t>Concluding observations on the combined twenty-first to twenty-third periodic reports of Uruguay</w:t>
      </w:r>
    </w:p>
    <w:p w:rsidR="004317E8" w:rsidRPr="00A804F9" w:rsidRDefault="004317E8" w:rsidP="00C63386">
      <w:pPr>
        <w:pStyle w:val="H23G"/>
      </w:pPr>
      <w:r w:rsidRPr="00A804F9">
        <w:tab/>
      </w:r>
      <w:r w:rsidRPr="00A804F9">
        <w:tab/>
        <w:t>Addendum</w:t>
      </w:r>
    </w:p>
    <w:p w:rsidR="004317E8" w:rsidRPr="00A804F9" w:rsidRDefault="004317E8" w:rsidP="00452CBC">
      <w:pPr>
        <w:pStyle w:val="HChG"/>
      </w:pPr>
      <w:r w:rsidRPr="00A804F9">
        <w:tab/>
      </w:r>
      <w:r w:rsidRPr="00A804F9">
        <w:tab/>
        <w:t>Information received from Uruguay on follow-up to the concluding observations</w:t>
      </w:r>
      <w:r w:rsidRPr="00C63386">
        <w:rPr>
          <w:rStyle w:val="FootnoteReference"/>
          <w:b w:val="0"/>
          <w:bCs/>
          <w:sz w:val="20"/>
          <w:vertAlign w:val="baseline"/>
        </w:rPr>
        <w:footnoteReference w:customMarkFollows="1" w:id="1"/>
        <w:t>*</w:t>
      </w:r>
      <w:r w:rsidRPr="00CA36A8">
        <w:rPr>
          <w:rStyle w:val="FootnoteReference"/>
          <w:b w:val="0"/>
          <w:bCs/>
          <w:position w:val="8"/>
          <w:sz w:val="20"/>
          <w:vertAlign w:val="baseline"/>
        </w:rPr>
        <w:t>,</w:t>
      </w:r>
      <w:r w:rsidR="00CA36A8">
        <w:rPr>
          <w:b w:val="0"/>
          <w:bCs/>
          <w:position w:val="8"/>
          <w:sz w:val="20"/>
        </w:rPr>
        <w:t xml:space="preserve"> </w:t>
      </w:r>
      <w:r w:rsidR="00CA36A8" w:rsidRPr="00E30AEE">
        <w:rPr>
          <w:rStyle w:val="FootnoteReference"/>
          <w:b w:val="0"/>
          <w:bCs/>
          <w:sz w:val="20"/>
          <w:vertAlign w:val="baseline"/>
        </w:rPr>
        <w:footnoteReference w:customMarkFollows="1" w:id="2"/>
        <w:t>**</w:t>
      </w:r>
      <w:r w:rsidRPr="00A804F9">
        <w:rPr>
          <w:noProof/>
        </w:rPr>
        <w:drawing>
          <wp:anchor distT="0" distB="0" distL="114300" distR="114300" simplePos="0" relativeHeight="251661312" behindDoc="0" locked="1" layoutInCell="1" allowOverlap="1" wp14:anchorId="4A9B966D" wp14:editId="4DE6B0BC">
            <wp:simplePos x="0" y="0"/>
            <wp:positionH relativeFrom="margin">
              <wp:posOffset>5039995</wp:posOffset>
            </wp:positionH>
            <wp:positionV relativeFrom="margin">
              <wp:posOffset>10043795</wp:posOffset>
            </wp:positionV>
            <wp:extent cx="1085850" cy="228600"/>
            <wp:effectExtent l="0" t="0" r="0" b="0"/>
            <wp:wrapNone/>
            <wp:docPr id="4"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cycle_Spani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p>
    <w:p w:rsidR="004317E8" w:rsidRPr="00A804F9" w:rsidRDefault="004317E8" w:rsidP="00C63386">
      <w:pPr>
        <w:pStyle w:val="SingleTxtG"/>
        <w:jc w:val="right"/>
      </w:pPr>
      <w:r w:rsidRPr="00A804F9">
        <w:t>[Date received: 12 February 2018]</w:t>
      </w:r>
    </w:p>
    <w:p w:rsidR="004317E8" w:rsidRPr="00A804F9" w:rsidRDefault="004317E8" w:rsidP="00452CBC">
      <w:pPr>
        <w:pStyle w:val="HChG"/>
      </w:pPr>
      <w:r w:rsidRPr="00A804F9">
        <w:br w:type="page"/>
      </w:r>
      <w:r w:rsidRPr="00A804F9">
        <w:lastRenderedPageBreak/>
        <w:tab/>
      </w:r>
      <w:r w:rsidRPr="00A804F9">
        <w:tab/>
        <w:t>Introduction</w:t>
      </w:r>
    </w:p>
    <w:p w:rsidR="004317E8" w:rsidRPr="00A804F9" w:rsidRDefault="004317E8" w:rsidP="00452CBC">
      <w:pPr>
        <w:pStyle w:val="H4G"/>
      </w:pPr>
      <w:r w:rsidRPr="00A804F9">
        <w:tab/>
      </w:r>
      <w:r w:rsidRPr="00A804F9">
        <w:tab/>
        <w:t>42.</w:t>
      </w:r>
      <w:r w:rsidRPr="00A804F9">
        <w:tab/>
        <w:t>In accordance with article 9 (1) of the Convention and rule 65 of its amended rules of procedure, the Committee requests the State party to provide information, within one year of the adoption of these concluding observations, on its follow-up to the recommendations contained in paragraphs 19 and 21 above.</w:t>
      </w:r>
    </w:p>
    <w:p w:rsidR="004317E8" w:rsidRPr="00A804F9" w:rsidRDefault="004317E8" w:rsidP="00E30AEE">
      <w:pPr>
        <w:pStyle w:val="SingleTxtG"/>
      </w:pPr>
      <w:r w:rsidRPr="00A804F9">
        <w:t>1.</w:t>
      </w:r>
      <w:r w:rsidRPr="00A804F9">
        <w:tab/>
        <w:t>As requested by the Committee, Uruguay hereby submits information on its follow-up to the concluding observations. This is the first document prepared and approved by the Committee on Discrimination of the National Mechanism for the Preparation of Reports and Monitoring of Recommendations. The membership of the Mechanism, which was established in 2016, consists of the inter-agency network focal points for the relevant State institutions.</w:t>
      </w:r>
    </w:p>
    <w:p w:rsidR="004317E8" w:rsidRPr="00A804F9" w:rsidRDefault="004317E8" w:rsidP="00E30AEE">
      <w:pPr>
        <w:pStyle w:val="SingleTxtG"/>
      </w:pPr>
      <w:r w:rsidRPr="00A804F9">
        <w:t>2.</w:t>
      </w:r>
      <w:r w:rsidRPr="00A804F9">
        <w:tab/>
        <w:t>At its meeting on 17 November 2017, and as recorded in the attached minutes, the Committee approved this document and decided to convene a meeting with civil society organizations under the Dialogue and Consultation System of the Ministry of Foreign Affairs to share with them the information which Uruguay is submitting to the Committee.</w:t>
      </w:r>
    </w:p>
    <w:p w:rsidR="004317E8" w:rsidRPr="00A804F9" w:rsidRDefault="00E30AEE" w:rsidP="00E30AEE">
      <w:pPr>
        <w:pStyle w:val="H1G"/>
      </w:pPr>
      <w:r>
        <w:tab/>
      </w:r>
      <w:r>
        <w:tab/>
      </w:r>
      <w:r w:rsidR="004317E8" w:rsidRPr="00A804F9">
        <w:t>Political rights</w:t>
      </w:r>
    </w:p>
    <w:p w:rsidR="004317E8" w:rsidRPr="00A804F9" w:rsidRDefault="004317E8" w:rsidP="00E30AEE">
      <w:pPr>
        <w:pStyle w:val="H4G"/>
      </w:pPr>
      <w:r w:rsidRPr="00A804F9">
        <w:tab/>
      </w:r>
      <w:r w:rsidRPr="00A804F9">
        <w:tab/>
        <w:t>19.</w:t>
      </w:r>
      <w:r w:rsidRPr="00A804F9">
        <w:tab/>
        <w:t>The Committee recommends that the State party adopt effective measures to ensure full participation in public affairs by persons of African descent, both in decision-making positions and in representative institutions. It also urges the State party to continue its efforts to ensure equal opportunities for participation by Afro-Uruguayans at all levels of national and local government, and to promote their participation in decision-making positions in the private sector. The Committee further recommends that the State party promote awareness-raising among persons of African descent with regard to the importance of their active participation in public life and politics.</w:t>
      </w:r>
    </w:p>
    <w:p w:rsidR="004317E8" w:rsidRPr="00A804F9" w:rsidRDefault="004317E8" w:rsidP="00E30AEE">
      <w:pPr>
        <w:pStyle w:val="SingleTxtG"/>
      </w:pPr>
      <w:r w:rsidRPr="00A804F9">
        <w:t>3.</w:t>
      </w:r>
      <w:r w:rsidRPr="00A804F9">
        <w:tab/>
        <w:t>The Working Group on Racial Equity Policies was established pursuant to Presidential Decision DS/181 of March 2017. The Working Group operates under the aegis of the Ministry of Social Development. Its purpose is to implement measures within the framework of the International Decade for People of African Descent, proclaimed in General Assembly resolution 68/237, in order to consolidate affirmative action strategies.</w:t>
      </w:r>
    </w:p>
    <w:p w:rsidR="004317E8" w:rsidRPr="00A804F9" w:rsidRDefault="004317E8" w:rsidP="00E30AEE">
      <w:pPr>
        <w:pStyle w:val="SingleTxtG"/>
      </w:pPr>
      <w:r w:rsidRPr="00A804F9">
        <w:t>4.</w:t>
      </w:r>
      <w:r w:rsidRPr="00A804F9">
        <w:tab/>
        <w:t>The Working Group seeks to consolidate the public policies and affirmative action which Uruguay has implemented since 2005 to support people of African descent. It is currently setting up the National Council on Racial Equity Policies and drawing up the Council’s rules of procedure. In the course of its work, it has established two subcommittees: one to deal with territory and borders, and the other to manage the System for the Protection of Victims of Racism and Racial Discrimination. Both subcommittees have developed their strategic plans for 2018–2019 in the context of the National Plan for Racial Equity.</w:t>
      </w:r>
    </w:p>
    <w:p w:rsidR="004317E8" w:rsidRPr="00A804F9" w:rsidRDefault="004317E8" w:rsidP="00E30AEE">
      <w:pPr>
        <w:pStyle w:val="SingleTxtG"/>
      </w:pPr>
      <w:r w:rsidRPr="00A804F9">
        <w:t>5.</w:t>
      </w:r>
      <w:r w:rsidRPr="00A804F9">
        <w:tab/>
        <w:t>The Working Group is made up of one representative each from the following bodies: the Ministry of Social Development; the Ministry of Foreign Affairs; the Ministry of the Interior; the Ministry of National Defence; the Ministry of Housing, Regional Planning and the Environment; the Ministry of Tourism and Sport; the Secretariat for Human Rights of the Office of the President of the Republic; the Social Insurance Bank; the national postal service; Montevideo City Council; the National Congress of Mayors; the Central Governing Council of the National Public Education Administration; the Planning and Budget Office; and the Uruguayan Agency for International Cooperation.</w:t>
      </w:r>
    </w:p>
    <w:p w:rsidR="004317E8" w:rsidRPr="00A804F9" w:rsidRDefault="004317E8" w:rsidP="00D408EF">
      <w:pPr>
        <w:pStyle w:val="SingleTxtG"/>
      </w:pPr>
      <w:r w:rsidRPr="00A804F9">
        <w:t>6.</w:t>
      </w:r>
      <w:r w:rsidRPr="00A804F9">
        <w:tab/>
        <w:t>Awareness-raising has taken place in a variety of contexts, including National Afrodescendant Month, which is celebrated in July and which focuses on accountability and the future within the framework of the International Decade for People of African Descent (2015</w:t>
      </w:r>
      <w:r w:rsidR="00D408EF">
        <w:t>–</w:t>
      </w:r>
      <w:r w:rsidRPr="00A804F9">
        <w:t xml:space="preserve">2024). Activities carried out in 2017 focused attention on the accountability of the State and on spreading awareness of various aspects of the Afro-Urugayan </w:t>
      </w:r>
      <w:r w:rsidRPr="00A804F9">
        <w:lastRenderedPageBreak/>
        <w:t>community; as a result, a spotlight was shone on the situation of Afro-Uruguayans in the country.</w:t>
      </w:r>
    </w:p>
    <w:p w:rsidR="004317E8" w:rsidRPr="00A804F9" w:rsidRDefault="004317E8" w:rsidP="00E30AEE">
      <w:pPr>
        <w:pStyle w:val="SingleTxtG"/>
      </w:pPr>
      <w:r w:rsidRPr="00A804F9">
        <w:t>7.</w:t>
      </w:r>
      <w:r w:rsidRPr="00A804F9">
        <w:tab/>
        <w:t>Other initiatives include: the sixth edition of the Quilombo Conference (held in 2017); a workshop on progress made and challenges encountered in the implementation of Act No. 19122; countrywide seed-funding for projects centred on Afrodescendent culture and society; the second Academic Conference on Afrodescendants; and the publication of a paper on the ethno-racial perspective and public policy by the Human Rights Department of the Ministry of Social Development.</w:t>
      </w:r>
      <w:r w:rsidRPr="00E30AEE">
        <w:rPr>
          <w:rStyle w:val="FootnoteReference"/>
        </w:rPr>
        <w:footnoteReference w:id="3"/>
      </w:r>
    </w:p>
    <w:p w:rsidR="004317E8" w:rsidRPr="00A804F9" w:rsidRDefault="004317E8" w:rsidP="00E30AEE">
      <w:pPr>
        <w:pStyle w:val="SingleTxtG"/>
      </w:pPr>
      <w:r w:rsidRPr="00A804F9">
        <w:t>8.</w:t>
      </w:r>
      <w:r w:rsidRPr="00A804F9">
        <w:tab/>
        <w:t>The 2016 recommendations of the Committee on the Elimination of Racial Discrimination were presented to the public as part of the International Day for the Elimination of Racial Discrimination. The 2016 report and 2017 action plan of the Honorary Commission against Racism, Xenophobia and All Other Forms of Discrimination were presented later.</w:t>
      </w:r>
    </w:p>
    <w:p w:rsidR="004317E8" w:rsidRPr="00A804F9" w:rsidRDefault="004317E8" w:rsidP="00E30AEE">
      <w:pPr>
        <w:pStyle w:val="SingleTxtG"/>
      </w:pPr>
      <w:r w:rsidRPr="00A804F9">
        <w:t>9.</w:t>
      </w:r>
      <w:r w:rsidRPr="00A804F9">
        <w:tab/>
        <w:t>In 2017, several activities centred on the theme of women of African descent took place, including: a conference which discussed regional perspectives on the intersectionality of gender and African descent in public policy, and which was aimed at advisers from the National Council on Gender and public policymakers in general; the eleventh edition of the Amanda Rorra Award ceremony, held on the International Day of Afro-Latin, Afro-Caribbean and Diaspora Women, which celebrates women of African descent throughout the country; and a round table entitled “Political participation of Afro-Uruguayan women: The right to vote and stand for election”. The round table had three main objectives: (1) to strengthen the political participation of women of African descent as a civil right; (2) to encourage the participation of women of African descent in the political sphere as a means of ensuring the democratic development of society; and (3) to extend the political influence of Afro-Uruguayan women in local and national participation networks so that issues relevant to their communities are included on the political agenda.</w:t>
      </w:r>
    </w:p>
    <w:p w:rsidR="004317E8" w:rsidRPr="00A804F9" w:rsidRDefault="00E30AEE" w:rsidP="00E30AEE">
      <w:pPr>
        <w:pStyle w:val="H1G"/>
      </w:pPr>
      <w:r>
        <w:tab/>
      </w:r>
      <w:r>
        <w:tab/>
      </w:r>
      <w:r w:rsidR="004317E8" w:rsidRPr="00A804F9">
        <w:t>Education</w:t>
      </w:r>
    </w:p>
    <w:p w:rsidR="004317E8" w:rsidRPr="00A804F9" w:rsidRDefault="004317E8" w:rsidP="00E30AEE">
      <w:pPr>
        <w:pStyle w:val="SingleTxtG"/>
      </w:pPr>
      <w:r w:rsidRPr="00A804F9">
        <w:t>10.</w:t>
      </w:r>
      <w:r w:rsidRPr="00A804F9">
        <w:tab/>
        <w:t>In 2016, the Commission on Education and People of African Descent was established. It includes various representatives of civil society organizations and State institutions and is overseen by the Directorate of Education of the Ministry of Education and Culture. Since its founding, the Commission has, in collaboration with the Ministry of Social Development, held awareness-raising workshops for staff of the Ministry of Education and Culture.</w:t>
      </w:r>
    </w:p>
    <w:p w:rsidR="004317E8" w:rsidRPr="00A804F9" w:rsidRDefault="00E30AEE" w:rsidP="00E30AEE">
      <w:pPr>
        <w:pStyle w:val="H1G"/>
      </w:pPr>
      <w:r>
        <w:tab/>
      </w:r>
      <w:r>
        <w:tab/>
      </w:r>
      <w:r w:rsidR="004317E8" w:rsidRPr="00A804F9">
        <w:t>Awareness-raising</w:t>
      </w:r>
    </w:p>
    <w:p w:rsidR="004317E8" w:rsidRPr="00A804F9" w:rsidRDefault="004317E8" w:rsidP="00E30AEE">
      <w:pPr>
        <w:pStyle w:val="SingleTxtG"/>
      </w:pPr>
      <w:r w:rsidRPr="00A804F9">
        <w:t>11.</w:t>
      </w:r>
      <w:r w:rsidRPr="00A804F9">
        <w:tab/>
        <w:t>Various courses have been organized for public officials and people of African descent with a view to involving them in raising awareness of the rights set forth in Act No. 19122. Joint management-training activities are also being organized for various public bodies in order to implement the Act.</w:t>
      </w:r>
    </w:p>
    <w:p w:rsidR="004317E8" w:rsidRPr="00A804F9" w:rsidRDefault="004317E8" w:rsidP="00E30AEE">
      <w:pPr>
        <w:pStyle w:val="SingleTxtG"/>
      </w:pPr>
      <w:r w:rsidRPr="00A804F9">
        <w:t>12.</w:t>
      </w:r>
      <w:r w:rsidRPr="00A804F9">
        <w:tab/>
        <w:t>For example, the Ministry of the Interior,</w:t>
      </w:r>
      <w:r w:rsidRPr="00A804F9" w:rsidDel="00FA6732">
        <w:t xml:space="preserve"> </w:t>
      </w:r>
      <w:r w:rsidRPr="00A804F9">
        <w:t>in collaboration with civil society organizations, the Working Group on Racial Equity Policies and the National Directorate for Police Training, organizes courses for the police in Montevideo and other departments.</w:t>
      </w:r>
    </w:p>
    <w:p w:rsidR="004317E8" w:rsidRPr="00A804F9" w:rsidRDefault="004317E8" w:rsidP="00E30AEE">
      <w:pPr>
        <w:pStyle w:val="SingleTxtG"/>
      </w:pPr>
      <w:r w:rsidRPr="00A804F9">
        <w:t>13.</w:t>
      </w:r>
      <w:r w:rsidRPr="00A804F9">
        <w:tab/>
        <w:t xml:space="preserve">The National Directorate for Police Training established a working group to develop academic material on subjects such as personnel training and the review of police protocols and procedures involving issues of ethnicity. For its work on promoting solidarity and overcoming gender-based discrimination and religious intolerance, the Directorate received the Nelson Mandela Award from the Honorary Commission against Racism, Xenophobia and All Other Forms of Discrimination. The University Institute of Police Studies organizes extracurricular student activities promoting non-discrimination. </w:t>
      </w:r>
    </w:p>
    <w:p w:rsidR="004317E8" w:rsidRPr="00A804F9" w:rsidRDefault="004317E8" w:rsidP="00E30AEE">
      <w:pPr>
        <w:pStyle w:val="SingleTxtG"/>
      </w:pPr>
      <w:r w:rsidRPr="00A804F9">
        <w:lastRenderedPageBreak/>
        <w:t>14.</w:t>
      </w:r>
      <w:r w:rsidRPr="00A804F9">
        <w:tab/>
        <w:t>The Human Rights Division of the Ministry of Social Development has delivered relevant training to the human resources staff of all State bodies. It has also provided technical assistance and guidance with regard to the recruitment process and vacancy announcements.</w:t>
      </w:r>
    </w:p>
    <w:p w:rsidR="004317E8" w:rsidRPr="00A804F9" w:rsidRDefault="004317E8" w:rsidP="00E30AEE">
      <w:pPr>
        <w:pStyle w:val="SingleTxtG"/>
      </w:pPr>
      <w:r w:rsidRPr="00A804F9">
        <w:t>15.</w:t>
      </w:r>
      <w:r w:rsidRPr="00A804F9">
        <w:tab/>
        <w:t>In 2017, the National Women’s Institute organized a training course for Afro-Uruguayan women in response to the Political Dialogue for Women of African Descent organized by civil society. The objective of the course was to provide conceptual tools incorporating a gender and ethno-racial perspective. The diverse group of participants was made up of women from various areas who were involved to varying degrees in organized community-based social action and individual action, and who shared an interest in the subject matter. Representatives from civil society organizations also participated.</w:t>
      </w:r>
    </w:p>
    <w:p w:rsidR="004317E8" w:rsidRPr="00A804F9" w:rsidRDefault="004317E8" w:rsidP="00E30AEE">
      <w:pPr>
        <w:pStyle w:val="SingleTxtG"/>
      </w:pPr>
      <w:r w:rsidRPr="00A804F9">
        <w:t>16.</w:t>
      </w:r>
      <w:r w:rsidRPr="00A804F9">
        <w:tab/>
        <w:t>The National Postal Administration has a policy of printing stamps celebrating notable Uruguayans of African descent, to publicize the importance of the work of these distinguished persons in the country. Commemorative stamps have been issued in honour of La Lancera (December 2011), Lágrima Ríos, Rosa Luna and Virginia Brindis de Salas (March 2012), Amanda Rorra (July 2013), Josefa Barbera (December 2014), María del Pilar (December 2015) and Sayago (December 2016).</w:t>
      </w:r>
      <w:r w:rsidRPr="00E30AEE">
        <w:rPr>
          <w:rStyle w:val="FootnoteReference"/>
        </w:rPr>
        <w:footnoteReference w:id="4"/>
      </w:r>
    </w:p>
    <w:p w:rsidR="004317E8" w:rsidRPr="00A804F9" w:rsidRDefault="004317E8" w:rsidP="00E30AEE">
      <w:pPr>
        <w:pStyle w:val="SingleTxtG"/>
      </w:pPr>
      <w:r w:rsidRPr="00A804F9">
        <w:t>17.</w:t>
      </w:r>
      <w:r w:rsidRPr="00A804F9">
        <w:tab/>
        <w:t>The postal service has made progress with its inclusive website and its policy on diversity and equal opportunity, launching an inclusive publicity campaign in 2013. The campaign featured Uruguayans of African descent, persons with disabilities and transsexual persons as spokespersons for the service’s new products.</w:t>
      </w:r>
    </w:p>
    <w:p w:rsidR="004317E8" w:rsidRPr="00A804F9" w:rsidRDefault="00E30AEE" w:rsidP="00E30AEE">
      <w:pPr>
        <w:pStyle w:val="H1G"/>
      </w:pPr>
      <w:r>
        <w:tab/>
      </w:r>
      <w:r>
        <w:tab/>
      </w:r>
      <w:r w:rsidR="004317E8" w:rsidRPr="00A804F9">
        <w:t>Affirmative action measures under article 4 of Act No. 19122</w:t>
      </w:r>
    </w:p>
    <w:p w:rsidR="004317E8" w:rsidRPr="00A804F9" w:rsidRDefault="004317E8" w:rsidP="00E30AEE">
      <w:pPr>
        <w:pStyle w:val="SingleTxtG"/>
      </w:pPr>
      <w:r w:rsidRPr="00A804F9">
        <w:t>18.</w:t>
      </w:r>
      <w:r w:rsidRPr="00A804F9">
        <w:tab/>
        <w:t>In January 2016, article 4 of Act No. 19438 entered into force. It establishes that wherever a State body or public corporation announces a job vacancy, it must expressly identify the profile or profiles relevant to the posts, duties and budget allocations associated with the affirmative action quota provided for under Act No. 19122.</w:t>
      </w:r>
    </w:p>
    <w:p w:rsidR="004317E8" w:rsidRPr="00A804F9" w:rsidRDefault="004317E8" w:rsidP="00E30AEE">
      <w:pPr>
        <w:pStyle w:val="SingleTxtG"/>
      </w:pPr>
      <w:r w:rsidRPr="00A804F9">
        <w:t>19.</w:t>
      </w:r>
      <w:r w:rsidRPr="00A804F9">
        <w:tab/>
        <w:t>The National Office of the Civil Service oversees compliance with the 8 per cent quota. Under the oversight system, each organization is allocated a sort of “current account” to ensure compliance of the recruitment processes managed through the Uruguay Concursa recruitment platform.</w:t>
      </w:r>
    </w:p>
    <w:p w:rsidR="004317E8" w:rsidRPr="00A804F9" w:rsidRDefault="004317E8" w:rsidP="00E30AEE">
      <w:pPr>
        <w:pStyle w:val="SingleTxtG"/>
      </w:pPr>
      <w:r w:rsidRPr="00A804F9">
        <w:t>20.</w:t>
      </w:r>
      <w:r w:rsidRPr="00A804F9">
        <w:tab/>
        <w:t>The National Office of the Civil Service submits an annual report to Parliament that includes the outcomes of the quota policy. In 2016, there were 275 hires under the quota, which accounted for 1.8 per cent of all hires. The number corresponding to the Executive was 3.3 per cent. Although the quota has not been reached, progress has been made: more organizations have issued compliant vacancy announcements and hired people of African descent. In addition, the percentage of women of African descent hired was higher than in previous years, and recruitment profiles set out higher qualification requirements.</w:t>
      </w:r>
      <w:r w:rsidRPr="00E30AEE">
        <w:rPr>
          <w:rStyle w:val="FootnoteReference"/>
        </w:rPr>
        <w:footnoteReference w:id="5"/>
      </w:r>
    </w:p>
    <w:p w:rsidR="004317E8" w:rsidRPr="00A804F9" w:rsidRDefault="004317E8" w:rsidP="00E30AEE">
      <w:pPr>
        <w:pStyle w:val="SingleTxtG"/>
      </w:pPr>
      <w:r w:rsidRPr="00A804F9">
        <w:t>21.</w:t>
      </w:r>
      <w:r w:rsidRPr="00A804F9">
        <w:tab/>
        <w:t>One third of organizations have requested guidance and training on the preparation of vacancy announcements. According to the report on Government recruitment of persons of African descent (National Office of the Civil Service, 2016), there was an increase in the number of organizations applying the 8 per cent quota, from 13 in 2015 to 19 in 2016.</w:t>
      </w:r>
    </w:p>
    <w:p w:rsidR="004317E8" w:rsidRPr="00A804F9" w:rsidRDefault="00E30AEE" w:rsidP="00E30AEE">
      <w:pPr>
        <w:pStyle w:val="H1G"/>
      </w:pPr>
      <w:r>
        <w:lastRenderedPageBreak/>
        <w:tab/>
      </w:r>
      <w:r>
        <w:tab/>
      </w:r>
      <w:r w:rsidR="004317E8" w:rsidRPr="00A804F9">
        <w:t>Discrimination in the education sector</w:t>
      </w:r>
    </w:p>
    <w:p w:rsidR="004317E8" w:rsidRPr="00A804F9" w:rsidRDefault="004317E8" w:rsidP="00E30AEE">
      <w:pPr>
        <w:pStyle w:val="H4G"/>
      </w:pPr>
      <w:r w:rsidRPr="00A804F9">
        <w:tab/>
      </w:r>
      <w:r w:rsidRPr="00A804F9">
        <w:tab/>
        <w:t>21.</w:t>
      </w:r>
      <w:r w:rsidRPr="00A804F9">
        <w:tab/>
        <w:t>The Committee recommends that the State party redouble its efforts to ensure Afro-Uruguayans’ enjoyment of the right to education without any type of discrimination. In particular, it recommends that the State party adopt special measures for persons of African descent, especially adolescents, to remedy disparities in educational attainment, bring down school dropout rates and facilitate access to tertiary education. The Committee urges the State party to take the necessary steps to ensure effective compliance with Act No. 19122 in the educational sphere.</w:t>
      </w:r>
    </w:p>
    <w:p w:rsidR="004317E8" w:rsidRPr="00A804F9" w:rsidRDefault="004317E8" w:rsidP="00E30AEE">
      <w:pPr>
        <w:pStyle w:val="SingleTxtG"/>
      </w:pPr>
      <w:r w:rsidRPr="00A804F9">
        <w:t>22.</w:t>
      </w:r>
      <w:r w:rsidRPr="00A804F9">
        <w:tab/>
        <w:t>The Working Group on Inclusion of the Ethno-Racial Afrodescendent Perspective in Education (ANEP/Inmujeres</w:t>
      </w:r>
      <w:r w:rsidRPr="00E30AEE">
        <w:rPr>
          <w:rStyle w:val="FootnoteReference"/>
        </w:rPr>
        <w:footnoteReference w:id="6"/>
      </w:r>
      <w:r w:rsidRPr="00A804F9">
        <w:t>) coordinates, consolidates and advises on human rights policies for education and policies on human rights education. The overall objective of the Working Group is to ensure that the non-discrimination policies of the National Public Education Administration take the ethno-racial perspective into account.</w:t>
      </w:r>
    </w:p>
    <w:p w:rsidR="004317E8" w:rsidRPr="00A804F9" w:rsidRDefault="004317E8" w:rsidP="00E30AEE">
      <w:pPr>
        <w:pStyle w:val="SingleTxtG"/>
      </w:pPr>
      <w:r w:rsidRPr="00A804F9">
        <w:t>23.</w:t>
      </w:r>
      <w:r w:rsidRPr="00A804F9">
        <w:tab/>
        <w:t>The specific objectives of the Working Group include: (i) the creation of a working group on ethno-racial equity in education, within the Directorate of Human Rights of the National Public Education Administration; (ii) the identification of cases of ethno-racial discrimination and their overlap with issues of gender inequality in all spheres and at all levels of the Administration’s institutions; and (iii) the promotion of ethno-racial equity.</w:t>
      </w:r>
      <w:r w:rsidRPr="00E30AEE">
        <w:rPr>
          <w:rStyle w:val="FootnoteReference"/>
        </w:rPr>
        <w:footnoteReference w:id="7"/>
      </w:r>
    </w:p>
    <w:p w:rsidR="004317E8" w:rsidRPr="00A804F9" w:rsidRDefault="004317E8" w:rsidP="00E30AEE">
      <w:pPr>
        <w:pStyle w:val="SingleTxtG"/>
      </w:pPr>
      <w:r w:rsidRPr="00A804F9">
        <w:t>24.</w:t>
      </w:r>
      <w:r w:rsidRPr="00A804F9">
        <w:tab/>
        <w:t>Recently, the activities of the Working Group have included: (1) the organization of four workshops in northern departments to introduce and raise awareness of the “Education and the Afrodescendent Community” teaching guide; (2) the organization of an awareness-raising workshop for non-teaching staff on the Central Governing Council of the National Public Education Administration; (3) the delivery of an online course on education and the Afrodescendent community, which was available on the websites of the Ministry of Public Education, the Ceibal Plan and the National Public Education Administration; (4) work to ensure the inclusion of the ethno-racial variable in the records of the National Public Education Administration; and (5) participation in the work of the education subcommittee of the Committee on Implementation of the Law (Act No. 19122).</w:t>
      </w:r>
    </w:p>
    <w:p w:rsidR="004317E8" w:rsidRPr="00A804F9" w:rsidRDefault="003A6161" w:rsidP="00E30AEE">
      <w:pPr>
        <w:pStyle w:val="SingleTxtG"/>
      </w:pPr>
      <w:r>
        <w:t>25.</w:t>
      </w:r>
      <w:r>
        <w:tab/>
        <w:t>In accordance with Act</w:t>
      </w:r>
      <w:r w:rsidR="004317E8" w:rsidRPr="00A804F9">
        <w:t xml:space="preserve"> No. 19122, every year, the Ministry of Education and Culture awards financial assistance grants, the Carlos Quijano Scholarships and the inter-agency “Commitment to Education” programme scholarships.</w:t>
      </w:r>
      <w:r w:rsidR="004317E8" w:rsidRPr="00E30AEE">
        <w:rPr>
          <w:rStyle w:val="FootnoteReference"/>
        </w:rPr>
        <w:footnoteReference w:id="8"/>
      </w:r>
      <w:r w:rsidR="004317E8" w:rsidRPr="00A804F9">
        <w:t xml:space="preserve"> The tables which follow show recent data on financial awards given to students of African descent and the total number of awards given.</w:t>
      </w:r>
    </w:p>
    <w:p w:rsidR="004317E8" w:rsidRPr="00A804F9" w:rsidRDefault="004317E8" w:rsidP="00E30AEE">
      <w:pPr>
        <w:pStyle w:val="SingleTxtG"/>
      </w:pPr>
      <w:r w:rsidRPr="00A804F9">
        <w:t>26.</w:t>
      </w:r>
      <w:r w:rsidRPr="00A804F9">
        <w:tab/>
        <w:t>It remains difficult to ensure that the ethno-racial perspective is included in all scholarship programmes in order to meet the quotas for students of African descent.</w:t>
      </w:r>
    </w:p>
    <w:p w:rsidR="004317E8" w:rsidRPr="00A804F9" w:rsidRDefault="004317E8" w:rsidP="00E30AEE">
      <w:pPr>
        <w:pStyle w:val="SingleTxtG"/>
      </w:pPr>
      <w:r w:rsidRPr="00A804F9">
        <w:t>27.</w:t>
      </w:r>
      <w:r w:rsidRPr="00A804F9">
        <w:tab/>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88"/>
        <w:gridCol w:w="1725"/>
        <w:gridCol w:w="1442"/>
        <w:gridCol w:w="1453"/>
        <w:gridCol w:w="1762"/>
      </w:tblGrid>
      <w:tr w:rsidR="00E30AEE" w:rsidRPr="00E30AEE" w:rsidTr="0066506B">
        <w:trPr>
          <w:trHeight w:val="240"/>
          <w:tblHeader/>
        </w:trPr>
        <w:tc>
          <w:tcPr>
            <w:tcW w:w="7370" w:type="dxa"/>
            <w:gridSpan w:val="5"/>
            <w:tcBorders>
              <w:top w:val="single" w:sz="4" w:space="0" w:color="auto"/>
              <w:bottom w:val="single" w:sz="4" w:space="0" w:color="auto"/>
            </w:tcBorders>
            <w:shd w:val="clear" w:color="auto" w:fill="auto"/>
            <w:noWrap/>
            <w:vAlign w:val="bottom"/>
          </w:tcPr>
          <w:p w:rsidR="004317E8" w:rsidRPr="00E30AEE" w:rsidRDefault="004317E8" w:rsidP="0066506B">
            <w:pPr>
              <w:pStyle w:val="SingleTxtG"/>
              <w:suppressAutoHyphens w:val="0"/>
              <w:spacing w:before="80" w:after="80" w:line="200" w:lineRule="exact"/>
              <w:ind w:left="0" w:right="113"/>
              <w:rPr>
                <w:i/>
                <w:sz w:val="16"/>
              </w:rPr>
            </w:pPr>
            <w:r w:rsidRPr="00E30AEE">
              <w:rPr>
                <w:i/>
                <w:sz w:val="16"/>
              </w:rPr>
              <w:t>Carlos Quijano postgraduate scholarships</w:t>
            </w:r>
          </w:p>
        </w:tc>
      </w:tr>
      <w:tr w:rsidR="00E30AEE" w:rsidRPr="00E30AEE" w:rsidTr="0066506B">
        <w:trPr>
          <w:trHeight w:val="240"/>
          <w:tblHeader/>
        </w:trPr>
        <w:tc>
          <w:tcPr>
            <w:tcW w:w="988" w:type="dxa"/>
            <w:tcBorders>
              <w:top w:val="single" w:sz="4" w:space="0" w:color="auto"/>
              <w:bottom w:val="single" w:sz="12" w:space="0" w:color="auto"/>
            </w:tcBorders>
            <w:shd w:val="clear" w:color="auto" w:fill="auto"/>
          </w:tcPr>
          <w:p w:rsidR="004317E8" w:rsidRPr="00E30AEE" w:rsidRDefault="004317E8" w:rsidP="00E30AEE">
            <w:pPr>
              <w:pStyle w:val="SingleTxtG"/>
              <w:suppressAutoHyphens w:val="0"/>
              <w:spacing w:before="80" w:after="80" w:line="200" w:lineRule="exact"/>
              <w:ind w:left="0" w:right="113"/>
              <w:jc w:val="left"/>
              <w:rPr>
                <w:i/>
                <w:sz w:val="16"/>
              </w:rPr>
            </w:pPr>
            <w:r w:rsidRPr="00E30AEE">
              <w:rPr>
                <w:i/>
                <w:sz w:val="16"/>
              </w:rPr>
              <w:t xml:space="preserve">Year </w:t>
            </w:r>
          </w:p>
        </w:tc>
        <w:tc>
          <w:tcPr>
            <w:tcW w:w="1725" w:type="dxa"/>
            <w:tcBorders>
              <w:top w:val="single" w:sz="4" w:space="0" w:color="auto"/>
              <w:bottom w:val="single" w:sz="12" w:space="0" w:color="auto"/>
            </w:tcBorders>
            <w:shd w:val="clear" w:color="auto" w:fill="auto"/>
          </w:tcPr>
          <w:p w:rsidR="004317E8" w:rsidRPr="00E30AEE" w:rsidRDefault="004317E8" w:rsidP="003A6161">
            <w:pPr>
              <w:pStyle w:val="SingleTxtG"/>
              <w:suppressAutoHyphens w:val="0"/>
              <w:spacing w:before="80" w:after="80" w:line="200" w:lineRule="exact"/>
              <w:ind w:left="0" w:right="113"/>
              <w:jc w:val="right"/>
              <w:rPr>
                <w:i/>
                <w:sz w:val="16"/>
              </w:rPr>
            </w:pPr>
            <w:r w:rsidRPr="00E30AEE">
              <w:rPr>
                <w:i/>
                <w:sz w:val="16"/>
              </w:rPr>
              <w:t>Total applications from students of African descent</w:t>
            </w:r>
          </w:p>
        </w:tc>
        <w:tc>
          <w:tcPr>
            <w:tcW w:w="1442" w:type="dxa"/>
            <w:tcBorders>
              <w:top w:val="single" w:sz="4" w:space="0" w:color="auto"/>
              <w:bottom w:val="single" w:sz="12" w:space="0" w:color="auto"/>
            </w:tcBorders>
            <w:shd w:val="clear" w:color="auto" w:fill="auto"/>
          </w:tcPr>
          <w:p w:rsidR="004317E8" w:rsidRPr="00E30AEE" w:rsidRDefault="004317E8" w:rsidP="003A6161">
            <w:pPr>
              <w:pStyle w:val="SingleTxtG"/>
              <w:suppressAutoHyphens w:val="0"/>
              <w:spacing w:before="80" w:after="80" w:line="200" w:lineRule="exact"/>
              <w:ind w:left="0" w:right="113"/>
              <w:jc w:val="right"/>
              <w:rPr>
                <w:i/>
                <w:sz w:val="16"/>
              </w:rPr>
            </w:pPr>
            <w:r w:rsidRPr="00E30AEE">
              <w:rPr>
                <w:i/>
                <w:sz w:val="16"/>
              </w:rPr>
              <w:t>Awards to students of African descent</w:t>
            </w:r>
          </w:p>
        </w:tc>
        <w:tc>
          <w:tcPr>
            <w:tcW w:w="1453" w:type="dxa"/>
            <w:tcBorders>
              <w:top w:val="single" w:sz="4" w:space="0" w:color="auto"/>
              <w:bottom w:val="single" w:sz="12" w:space="0" w:color="auto"/>
            </w:tcBorders>
            <w:shd w:val="clear" w:color="auto" w:fill="auto"/>
          </w:tcPr>
          <w:p w:rsidR="004317E8" w:rsidRPr="00E30AEE" w:rsidRDefault="004317E8" w:rsidP="003A6161">
            <w:pPr>
              <w:pStyle w:val="SingleTxtG"/>
              <w:suppressAutoHyphens w:val="0"/>
              <w:spacing w:before="80" w:after="80" w:line="200" w:lineRule="exact"/>
              <w:ind w:left="0" w:right="113"/>
              <w:jc w:val="right"/>
              <w:rPr>
                <w:i/>
                <w:sz w:val="16"/>
              </w:rPr>
            </w:pPr>
            <w:r w:rsidRPr="00E30AEE">
              <w:rPr>
                <w:i/>
                <w:sz w:val="16"/>
              </w:rPr>
              <w:t>Total awards</w:t>
            </w:r>
          </w:p>
        </w:tc>
        <w:tc>
          <w:tcPr>
            <w:tcW w:w="1762" w:type="dxa"/>
            <w:tcBorders>
              <w:top w:val="single" w:sz="4" w:space="0" w:color="auto"/>
              <w:bottom w:val="single" w:sz="12" w:space="0" w:color="auto"/>
            </w:tcBorders>
            <w:shd w:val="clear" w:color="auto" w:fill="auto"/>
          </w:tcPr>
          <w:p w:rsidR="004317E8" w:rsidRPr="00E30AEE" w:rsidRDefault="004317E8" w:rsidP="003A6161">
            <w:pPr>
              <w:pStyle w:val="SingleTxtG"/>
              <w:suppressAutoHyphens w:val="0"/>
              <w:spacing w:before="80" w:after="80" w:line="200" w:lineRule="exact"/>
              <w:ind w:left="0" w:right="113"/>
              <w:jc w:val="right"/>
              <w:rPr>
                <w:i/>
                <w:sz w:val="16"/>
              </w:rPr>
            </w:pPr>
            <w:r w:rsidRPr="00E30AEE">
              <w:rPr>
                <w:i/>
                <w:sz w:val="16"/>
              </w:rPr>
              <w:t>Total applications</w:t>
            </w:r>
          </w:p>
        </w:tc>
      </w:tr>
      <w:tr w:rsidR="00E30AEE" w:rsidRPr="00E30AEE" w:rsidTr="0066506B">
        <w:trPr>
          <w:trHeight w:val="240"/>
        </w:trPr>
        <w:tc>
          <w:tcPr>
            <w:tcW w:w="988" w:type="dxa"/>
            <w:tcBorders>
              <w:top w:val="single" w:sz="12" w:space="0" w:color="auto"/>
            </w:tcBorders>
            <w:shd w:val="clear" w:color="auto" w:fill="auto"/>
          </w:tcPr>
          <w:p w:rsidR="004317E8" w:rsidRPr="00E30AEE" w:rsidDel="00390A51" w:rsidRDefault="004317E8" w:rsidP="00E30AEE">
            <w:pPr>
              <w:pStyle w:val="SingleTxtG"/>
              <w:suppressAutoHyphens w:val="0"/>
              <w:spacing w:before="40" w:after="40" w:line="220" w:lineRule="exact"/>
              <w:ind w:left="0" w:right="113"/>
              <w:jc w:val="left"/>
              <w:rPr>
                <w:sz w:val="18"/>
              </w:rPr>
            </w:pPr>
            <w:r w:rsidRPr="00E30AEE">
              <w:rPr>
                <w:sz w:val="18"/>
              </w:rPr>
              <w:t>2008</w:t>
            </w:r>
          </w:p>
        </w:tc>
        <w:tc>
          <w:tcPr>
            <w:tcW w:w="1725" w:type="dxa"/>
            <w:tcBorders>
              <w:top w:val="single" w:sz="12" w:space="0" w:color="auto"/>
            </w:tcBorders>
            <w:shd w:val="clear" w:color="auto" w:fill="auto"/>
          </w:tcPr>
          <w:p w:rsidR="004317E8" w:rsidRPr="00E30AEE" w:rsidDel="00390A51" w:rsidRDefault="004317E8" w:rsidP="00175552">
            <w:pPr>
              <w:pStyle w:val="SingleTxtG"/>
              <w:suppressAutoHyphens w:val="0"/>
              <w:spacing w:before="40" w:after="40" w:line="220" w:lineRule="exact"/>
              <w:ind w:left="0" w:right="113"/>
              <w:jc w:val="right"/>
              <w:rPr>
                <w:sz w:val="18"/>
              </w:rPr>
            </w:pPr>
            <w:r w:rsidRPr="00E30AEE">
              <w:rPr>
                <w:sz w:val="18"/>
              </w:rPr>
              <w:t>0</w:t>
            </w:r>
          </w:p>
        </w:tc>
        <w:tc>
          <w:tcPr>
            <w:tcW w:w="1442" w:type="dxa"/>
            <w:tcBorders>
              <w:top w:val="single" w:sz="12" w:space="0" w:color="auto"/>
            </w:tcBorders>
            <w:shd w:val="clear" w:color="auto" w:fill="auto"/>
          </w:tcPr>
          <w:p w:rsidR="004317E8" w:rsidRPr="00E30AEE" w:rsidDel="00390A51" w:rsidRDefault="004317E8" w:rsidP="00175552">
            <w:pPr>
              <w:pStyle w:val="SingleTxtG"/>
              <w:suppressAutoHyphens w:val="0"/>
              <w:spacing w:before="40" w:after="40" w:line="220" w:lineRule="exact"/>
              <w:ind w:left="0" w:right="113"/>
              <w:jc w:val="right"/>
              <w:rPr>
                <w:sz w:val="18"/>
              </w:rPr>
            </w:pPr>
            <w:r w:rsidRPr="00E30AEE">
              <w:rPr>
                <w:sz w:val="18"/>
              </w:rPr>
              <w:t>0</w:t>
            </w:r>
          </w:p>
        </w:tc>
        <w:tc>
          <w:tcPr>
            <w:tcW w:w="1453" w:type="dxa"/>
            <w:tcBorders>
              <w:top w:val="single" w:sz="12" w:space="0" w:color="auto"/>
            </w:tcBorders>
            <w:shd w:val="clear" w:color="auto" w:fill="auto"/>
          </w:tcPr>
          <w:p w:rsidR="004317E8" w:rsidRPr="00E30AEE" w:rsidDel="00390A51" w:rsidRDefault="004317E8" w:rsidP="00175552">
            <w:pPr>
              <w:pStyle w:val="SingleTxtG"/>
              <w:suppressAutoHyphens w:val="0"/>
              <w:spacing w:before="40" w:after="40" w:line="220" w:lineRule="exact"/>
              <w:ind w:left="0" w:right="113"/>
              <w:jc w:val="right"/>
              <w:rPr>
                <w:sz w:val="18"/>
              </w:rPr>
            </w:pPr>
            <w:r w:rsidRPr="00E30AEE">
              <w:rPr>
                <w:sz w:val="18"/>
              </w:rPr>
              <w:t>8</w:t>
            </w:r>
          </w:p>
        </w:tc>
        <w:tc>
          <w:tcPr>
            <w:tcW w:w="1762" w:type="dxa"/>
            <w:tcBorders>
              <w:top w:val="single" w:sz="12" w:space="0" w:color="auto"/>
            </w:tcBorders>
            <w:shd w:val="clear" w:color="auto" w:fill="auto"/>
          </w:tcPr>
          <w:p w:rsidR="004317E8" w:rsidRPr="00E30AEE" w:rsidDel="00390A51" w:rsidRDefault="004317E8" w:rsidP="00175552">
            <w:pPr>
              <w:pStyle w:val="SingleTxtG"/>
              <w:suppressAutoHyphens w:val="0"/>
              <w:spacing w:before="40" w:after="40" w:line="220" w:lineRule="exact"/>
              <w:ind w:left="0" w:right="113"/>
              <w:jc w:val="right"/>
              <w:rPr>
                <w:sz w:val="18"/>
              </w:rPr>
            </w:pPr>
            <w:r w:rsidRPr="00E30AEE">
              <w:rPr>
                <w:sz w:val="18"/>
              </w:rPr>
              <w:t>28</w:t>
            </w:r>
          </w:p>
        </w:tc>
      </w:tr>
      <w:tr w:rsidR="00E30AEE" w:rsidRPr="00E30AEE" w:rsidTr="0066506B">
        <w:trPr>
          <w:trHeight w:val="240"/>
        </w:trPr>
        <w:tc>
          <w:tcPr>
            <w:tcW w:w="988" w:type="dxa"/>
            <w:shd w:val="clear" w:color="auto" w:fill="auto"/>
            <w:noWrap/>
          </w:tcPr>
          <w:p w:rsidR="004317E8" w:rsidRPr="00E30AEE" w:rsidRDefault="004317E8" w:rsidP="00E30AEE">
            <w:pPr>
              <w:pStyle w:val="SingleTxtG"/>
              <w:suppressAutoHyphens w:val="0"/>
              <w:spacing w:before="40" w:after="40" w:line="220" w:lineRule="exact"/>
              <w:ind w:left="0" w:right="113"/>
              <w:jc w:val="left"/>
              <w:rPr>
                <w:sz w:val="18"/>
              </w:rPr>
            </w:pPr>
            <w:r w:rsidRPr="00E30AEE">
              <w:rPr>
                <w:sz w:val="18"/>
              </w:rPr>
              <w:t>2009</w:t>
            </w:r>
          </w:p>
        </w:tc>
        <w:tc>
          <w:tcPr>
            <w:tcW w:w="1725" w:type="dxa"/>
            <w:shd w:val="clear" w:color="auto" w:fill="auto"/>
            <w:noWrap/>
          </w:tcPr>
          <w:p w:rsidR="004317E8" w:rsidRPr="00E30AEE" w:rsidRDefault="004317E8" w:rsidP="00175552">
            <w:pPr>
              <w:pStyle w:val="SingleTxtG"/>
              <w:suppressAutoHyphens w:val="0"/>
              <w:spacing w:before="40" w:after="40" w:line="220" w:lineRule="exact"/>
              <w:ind w:left="0" w:right="113"/>
              <w:jc w:val="right"/>
              <w:rPr>
                <w:sz w:val="18"/>
              </w:rPr>
            </w:pPr>
            <w:r w:rsidRPr="00E30AEE">
              <w:rPr>
                <w:sz w:val="18"/>
              </w:rPr>
              <w:t>4</w:t>
            </w:r>
          </w:p>
        </w:tc>
        <w:tc>
          <w:tcPr>
            <w:tcW w:w="1442" w:type="dxa"/>
            <w:shd w:val="clear" w:color="auto" w:fill="auto"/>
            <w:noWrap/>
          </w:tcPr>
          <w:p w:rsidR="004317E8" w:rsidRPr="00E30AEE" w:rsidRDefault="004317E8" w:rsidP="00175552">
            <w:pPr>
              <w:pStyle w:val="SingleTxtG"/>
              <w:suppressAutoHyphens w:val="0"/>
              <w:spacing w:before="40" w:after="40" w:line="220" w:lineRule="exact"/>
              <w:ind w:left="0" w:right="113"/>
              <w:jc w:val="right"/>
              <w:rPr>
                <w:sz w:val="18"/>
              </w:rPr>
            </w:pPr>
            <w:r w:rsidRPr="00E30AEE">
              <w:rPr>
                <w:sz w:val="18"/>
              </w:rPr>
              <w:t>4</w:t>
            </w:r>
          </w:p>
        </w:tc>
        <w:tc>
          <w:tcPr>
            <w:tcW w:w="1453" w:type="dxa"/>
            <w:shd w:val="clear" w:color="auto" w:fill="auto"/>
            <w:noWrap/>
          </w:tcPr>
          <w:p w:rsidR="004317E8" w:rsidRPr="00E30AEE" w:rsidRDefault="004317E8" w:rsidP="00175552">
            <w:pPr>
              <w:pStyle w:val="SingleTxtG"/>
              <w:suppressAutoHyphens w:val="0"/>
              <w:spacing w:before="40" w:after="40" w:line="220" w:lineRule="exact"/>
              <w:ind w:left="0" w:right="113"/>
              <w:jc w:val="right"/>
              <w:rPr>
                <w:sz w:val="18"/>
              </w:rPr>
            </w:pPr>
            <w:r w:rsidRPr="00E30AEE">
              <w:rPr>
                <w:sz w:val="18"/>
              </w:rPr>
              <w:t>7</w:t>
            </w:r>
          </w:p>
        </w:tc>
        <w:tc>
          <w:tcPr>
            <w:tcW w:w="1762" w:type="dxa"/>
            <w:shd w:val="clear" w:color="auto" w:fill="auto"/>
            <w:noWrap/>
          </w:tcPr>
          <w:p w:rsidR="004317E8" w:rsidRPr="00E30AEE" w:rsidRDefault="004317E8" w:rsidP="00175552">
            <w:pPr>
              <w:pStyle w:val="SingleTxtG"/>
              <w:suppressAutoHyphens w:val="0"/>
              <w:spacing w:before="40" w:after="40" w:line="220" w:lineRule="exact"/>
              <w:ind w:left="0" w:right="113"/>
              <w:jc w:val="right"/>
              <w:rPr>
                <w:sz w:val="18"/>
              </w:rPr>
            </w:pPr>
            <w:r w:rsidRPr="00E30AEE">
              <w:rPr>
                <w:sz w:val="18"/>
              </w:rPr>
              <w:t>47</w:t>
            </w:r>
          </w:p>
        </w:tc>
      </w:tr>
      <w:tr w:rsidR="00E30AEE" w:rsidRPr="00E30AEE" w:rsidTr="0066506B">
        <w:trPr>
          <w:trHeight w:val="240"/>
        </w:trPr>
        <w:tc>
          <w:tcPr>
            <w:tcW w:w="988" w:type="dxa"/>
            <w:shd w:val="clear" w:color="auto" w:fill="auto"/>
            <w:noWrap/>
          </w:tcPr>
          <w:p w:rsidR="004317E8" w:rsidRPr="00E30AEE" w:rsidRDefault="004317E8" w:rsidP="00E30AEE">
            <w:pPr>
              <w:pStyle w:val="SingleTxtG"/>
              <w:suppressAutoHyphens w:val="0"/>
              <w:spacing w:before="40" w:after="40" w:line="220" w:lineRule="exact"/>
              <w:ind w:left="0" w:right="113"/>
              <w:jc w:val="left"/>
              <w:rPr>
                <w:sz w:val="18"/>
              </w:rPr>
            </w:pPr>
            <w:r w:rsidRPr="00E30AEE">
              <w:rPr>
                <w:sz w:val="18"/>
              </w:rPr>
              <w:t>2010</w:t>
            </w:r>
          </w:p>
        </w:tc>
        <w:tc>
          <w:tcPr>
            <w:tcW w:w="1725" w:type="dxa"/>
            <w:shd w:val="clear" w:color="auto" w:fill="auto"/>
            <w:noWrap/>
          </w:tcPr>
          <w:p w:rsidR="004317E8" w:rsidRPr="00E30AEE" w:rsidRDefault="004317E8" w:rsidP="00175552">
            <w:pPr>
              <w:pStyle w:val="SingleTxtG"/>
              <w:suppressAutoHyphens w:val="0"/>
              <w:spacing w:before="40" w:after="40" w:line="220" w:lineRule="exact"/>
              <w:ind w:left="0" w:right="113"/>
              <w:jc w:val="right"/>
              <w:rPr>
                <w:sz w:val="18"/>
              </w:rPr>
            </w:pPr>
            <w:r w:rsidRPr="00E30AEE">
              <w:rPr>
                <w:sz w:val="18"/>
              </w:rPr>
              <w:t>0</w:t>
            </w:r>
          </w:p>
        </w:tc>
        <w:tc>
          <w:tcPr>
            <w:tcW w:w="1442" w:type="dxa"/>
            <w:shd w:val="clear" w:color="auto" w:fill="auto"/>
            <w:noWrap/>
          </w:tcPr>
          <w:p w:rsidR="004317E8" w:rsidRPr="00E30AEE" w:rsidRDefault="004317E8" w:rsidP="00175552">
            <w:pPr>
              <w:pStyle w:val="SingleTxtG"/>
              <w:suppressAutoHyphens w:val="0"/>
              <w:spacing w:before="40" w:after="40" w:line="220" w:lineRule="exact"/>
              <w:ind w:left="0" w:right="113"/>
              <w:jc w:val="right"/>
              <w:rPr>
                <w:sz w:val="18"/>
              </w:rPr>
            </w:pPr>
            <w:r w:rsidRPr="00E30AEE">
              <w:rPr>
                <w:sz w:val="18"/>
              </w:rPr>
              <w:t>0</w:t>
            </w:r>
          </w:p>
        </w:tc>
        <w:tc>
          <w:tcPr>
            <w:tcW w:w="1453" w:type="dxa"/>
            <w:shd w:val="clear" w:color="auto" w:fill="auto"/>
            <w:noWrap/>
          </w:tcPr>
          <w:p w:rsidR="004317E8" w:rsidRPr="00E30AEE" w:rsidRDefault="004317E8" w:rsidP="00175552">
            <w:pPr>
              <w:pStyle w:val="SingleTxtG"/>
              <w:suppressAutoHyphens w:val="0"/>
              <w:spacing w:before="40" w:after="40" w:line="220" w:lineRule="exact"/>
              <w:ind w:left="0" w:right="113"/>
              <w:jc w:val="right"/>
              <w:rPr>
                <w:sz w:val="18"/>
              </w:rPr>
            </w:pPr>
            <w:r w:rsidRPr="00E30AEE">
              <w:rPr>
                <w:sz w:val="18"/>
              </w:rPr>
              <w:t>5</w:t>
            </w:r>
          </w:p>
        </w:tc>
        <w:tc>
          <w:tcPr>
            <w:tcW w:w="1762" w:type="dxa"/>
            <w:shd w:val="clear" w:color="auto" w:fill="auto"/>
            <w:noWrap/>
          </w:tcPr>
          <w:p w:rsidR="004317E8" w:rsidRPr="00E30AEE" w:rsidRDefault="004317E8" w:rsidP="00175552">
            <w:pPr>
              <w:pStyle w:val="SingleTxtG"/>
              <w:suppressAutoHyphens w:val="0"/>
              <w:spacing w:before="40" w:after="40" w:line="220" w:lineRule="exact"/>
              <w:ind w:left="0" w:right="113"/>
              <w:jc w:val="right"/>
              <w:rPr>
                <w:sz w:val="18"/>
              </w:rPr>
            </w:pPr>
            <w:r w:rsidRPr="00E30AEE">
              <w:rPr>
                <w:sz w:val="18"/>
              </w:rPr>
              <w:t>25</w:t>
            </w:r>
          </w:p>
        </w:tc>
      </w:tr>
      <w:tr w:rsidR="00E30AEE" w:rsidRPr="00E30AEE" w:rsidTr="0066506B">
        <w:trPr>
          <w:trHeight w:val="240"/>
        </w:trPr>
        <w:tc>
          <w:tcPr>
            <w:tcW w:w="988" w:type="dxa"/>
            <w:shd w:val="clear" w:color="auto" w:fill="auto"/>
            <w:noWrap/>
          </w:tcPr>
          <w:p w:rsidR="004317E8" w:rsidRPr="00E30AEE" w:rsidRDefault="004317E8" w:rsidP="00E30AEE">
            <w:pPr>
              <w:pStyle w:val="SingleTxtG"/>
              <w:suppressAutoHyphens w:val="0"/>
              <w:spacing w:before="40" w:after="40" w:line="220" w:lineRule="exact"/>
              <w:ind w:left="0" w:right="113"/>
              <w:jc w:val="left"/>
              <w:rPr>
                <w:sz w:val="18"/>
              </w:rPr>
            </w:pPr>
            <w:r w:rsidRPr="00E30AEE">
              <w:rPr>
                <w:sz w:val="18"/>
              </w:rPr>
              <w:t>2011</w:t>
            </w:r>
          </w:p>
        </w:tc>
        <w:tc>
          <w:tcPr>
            <w:tcW w:w="1725" w:type="dxa"/>
            <w:shd w:val="clear" w:color="auto" w:fill="auto"/>
            <w:noWrap/>
          </w:tcPr>
          <w:p w:rsidR="004317E8" w:rsidRPr="00E30AEE" w:rsidRDefault="004317E8" w:rsidP="00175552">
            <w:pPr>
              <w:pStyle w:val="SingleTxtG"/>
              <w:suppressAutoHyphens w:val="0"/>
              <w:spacing w:before="40" w:after="40" w:line="220" w:lineRule="exact"/>
              <w:ind w:left="0" w:right="113"/>
              <w:jc w:val="right"/>
              <w:rPr>
                <w:sz w:val="18"/>
              </w:rPr>
            </w:pPr>
            <w:r w:rsidRPr="00E30AEE">
              <w:rPr>
                <w:sz w:val="18"/>
              </w:rPr>
              <w:t>0</w:t>
            </w:r>
          </w:p>
        </w:tc>
        <w:tc>
          <w:tcPr>
            <w:tcW w:w="1442" w:type="dxa"/>
            <w:shd w:val="clear" w:color="auto" w:fill="auto"/>
            <w:noWrap/>
          </w:tcPr>
          <w:p w:rsidR="004317E8" w:rsidRPr="00E30AEE" w:rsidRDefault="004317E8" w:rsidP="00175552">
            <w:pPr>
              <w:pStyle w:val="SingleTxtG"/>
              <w:suppressAutoHyphens w:val="0"/>
              <w:spacing w:before="40" w:after="40" w:line="220" w:lineRule="exact"/>
              <w:ind w:left="0" w:right="113"/>
              <w:jc w:val="right"/>
              <w:rPr>
                <w:sz w:val="18"/>
              </w:rPr>
            </w:pPr>
            <w:r w:rsidRPr="00E30AEE">
              <w:rPr>
                <w:sz w:val="18"/>
              </w:rPr>
              <w:t>0</w:t>
            </w:r>
          </w:p>
        </w:tc>
        <w:tc>
          <w:tcPr>
            <w:tcW w:w="1453" w:type="dxa"/>
            <w:shd w:val="clear" w:color="auto" w:fill="auto"/>
            <w:noWrap/>
          </w:tcPr>
          <w:p w:rsidR="004317E8" w:rsidRPr="00E30AEE" w:rsidRDefault="004317E8" w:rsidP="00175552">
            <w:pPr>
              <w:pStyle w:val="SingleTxtG"/>
              <w:suppressAutoHyphens w:val="0"/>
              <w:spacing w:before="40" w:after="40" w:line="220" w:lineRule="exact"/>
              <w:ind w:left="0" w:right="113"/>
              <w:jc w:val="right"/>
              <w:rPr>
                <w:sz w:val="18"/>
              </w:rPr>
            </w:pPr>
            <w:r w:rsidRPr="00E30AEE">
              <w:rPr>
                <w:sz w:val="18"/>
              </w:rPr>
              <w:t>12</w:t>
            </w:r>
          </w:p>
        </w:tc>
        <w:tc>
          <w:tcPr>
            <w:tcW w:w="1762" w:type="dxa"/>
            <w:shd w:val="clear" w:color="auto" w:fill="auto"/>
            <w:noWrap/>
          </w:tcPr>
          <w:p w:rsidR="004317E8" w:rsidRPr="00E30AEE" w:rsidRDefault="004317E8" w:rsidP="00175552">
            <w:pPr>
              <w:pStyle w:val="SingleTxtG"/>
              <w:suppressAutoHyphens w:val="0"/>
              <w:spacing w:before="40" w:after="40" w:line="220" w:lineRule="exact"/>
              <w:ind w:left="0" w:right="113"/>
              <w:jc w:val="right"/>
              <w:rPr>
                <w:sz w:val="18"/>
              </w:rPr>
            </w:pPr>
            <w:r w:rsidRPr="00E30AEE">
              <w:rPr>
                <w:sz w:val="18"/>
              </w:rPr>
              <w:t>34</w:t>
            </w:r>
          </w:p>
        </w:tc>
      </w:tr>
      <w:tr w:rsidR="00E30AEE" w:rsidRPr="00E30AEE" w:rsidTr="0066506B">
        <w:trPr>
          <w:trHeight w:val="240"/>
        </w:trPr>
        <w:tc>
          <w:tcPr>
            <w:tcW w:w="988" w:type="dxa"/>
            <w:shd w:val="clear" w:color="auto" w:fill="auto"/>
            <w:noWrap/>
          </w:tcPr>
          <w:p w:rsidR="004317E8" w:rsidRPr="00E30AEE" w:rsidRDefault="004317E8" w:rsidP="00E30AEE">
            <w:pPr>
              <w:pStyle w:val="SingleTxtG"/>
              <w:suppressAutoHyphens w:val="0"/>
              <w:spacing w:before="40" w:after="40" w:line="220" w:lineRule="exact"/>
              <w:ind w:left="0" w:right="113"/>
              <w:jc w:val="left"/>
              <w:rPr>
                <w:sz w:val="18"/>
              </w:rPr>
            </w:pPr>
            <w:r w:rsidRPr="00E30AEE">
              <w:rPr>
                <w:sz w:val="18"/>
              </w:rPr>
              <w:t>2012</w:t>
            </w:r>
          </w:p>
        </w:tc>
        <w:tc>
          <w:tcPr>
            <w:tcW w:w="1725" w:type="dxa"/>
            <w:shd w:val="clear" w:color="auto" w:fill="auto"/>
            <w:noWrap/>
          </w:tcPr>
          <w:p w:rsidR="004317E8" w:rsidRPr="00E30AEE" w:rsidRDefault="004317E8" w:rsidP="00175552">
            <w:pPr>
              <w:pStyle w:val="SingleTxtG"/>
              <w:suppressAutoHyphens w:val="0"/>
              <w:spacing w:before="40" w:after="40" w:line="220" w:lineRule="exact"/>
              <w:ind w:left="0" w:right="113"/>
              <w:jc w:val="right"/>
              <w:rPr>
                <w:sz w:val="18"/>
              </w:rPr>
            </w:pPr>
            <w:r w:rsidRPr="00E30AEE">
              <w:rPr>
                <w:sz w:val="18"/>
              </w:rPr>
              <w:t>0</w:t>
            </w:r>
          </w:p>
        </w:tc>
        <w:tc>
          <w:tcPr>
            <w:tcW w:w="1442" w:type="dxa"/>
            <w:shd w:val="clear" w:color="auto" w:fill="auto"/>
            <w:noWrap/>
          </w:tcPr>
          <w:p w:rsidR="004317E8" w:rsidRPr="00E30AEE" w:rsidRDefault="004317E8" w:rsidP="00175552">
            <w:pPr>
              <w:pStyle w:val="SingleTxtG"/>
              <w:suppressAutoHyphens w:val="0"/>
              <w:spacing w:before="40" w:after="40" w:line="220" w:lineRule="exact"/>
              <w:ind w:left="0" w:right="113"/>
              <w:jc w:val="right"/>
              <w:rPr>
                <w:sz w:val="18"/>
              </w:rPr>
            </w:pPr>
            <w:r w:rsidRPr="00E30AEE">
              <w:rPr>
                <w:sz w:val="18"/>
              </w:rPr>
              <w:t>0</w:t>
            </w:r>
          </w:p>
        </w:tc>
        <w:tc>
          <w:tcPr>
            <w:tcW w:w="1453" w:type="dxa"/>
            <w:shd w:val="clear" w:color="auto" w:fill="auto"/>
            <w:noWrap/>
          </w:tcPr>
          <w:p w:rsidR="004317E8" w:rsidRPr="00E30AEE" w:rsidRDefault="004317E8" w:rsidP="00175552">
            <w:pPr>
              <w:pStyle w:val="SingleTxtG"/>
              <w:suppressAutoHyphens w:val="0"/>
              <w:spacing w:before="40" w:after="40" w:line="220" w:lineRule="exact"/>
              <w:ind w:left="0" w:right="113"/>
              <w:jc w:val="right"/>
              <w:rPr>
                <w:sz w:val="18"/>
              </w:rPr>
            </w:pPr>
            <w:r w:rsidRPr="00E30AEE">
              <w:rPr>
                <w:sz w:val="18"/>
              </w:rPr>
              <w:t>11</w:t>
            </w:r>
          </w:p>
        </w:tc>
        <w:tc>
          <w:tcPr>
            <w:tcW w:w="1762" w:type="dxa"/>
            <w:shd w:val="clear" w:color="auto" w:fill="auto"/>
            <w:noWrap/>
          </w:tcPr>
          <w:p w:rsidR="004317E8" w:rsidRPr="00E30AEE" w:rsidRDefault="004317E8" w:rsidP="00175552">
            <w:pPr>
              <w:pStyle w:val="SingleTxtG"/>
              <w:suppressAutoHyphens w:val="0"/>
              <w:spacing w:before="40" w:after="40" w:line="220" w:lineRule="exact"/>
              <w:ind w:left="0" w:right="113"/>
              <w:jc w:val="right"/>
              <w:rPr>
                <w:sz w:val="18"/>
              </w:rPr>
            </w:pPr>
            <w:r w:rsidRPr="00E30AEE">
              <w:rPr>
                <w:sz w:val="18"/>
              </w:rPr>
              <w:t>50</w:t>
            </w:r>
          </w:p>
        </w:tc>
      </w:tr>
      <w:tr w:rsidR="00E30AEE" w:rsidRPr="00E30AEE" w:rsidTr="0066506B">
        <w:trPr>
          <w:trHeight w:val="240"/>
        </w:trPr>
        <w:tc>
          <w:tcPr>
            <w:tcW w:w="988" w:type="dxa"/>
            <w:tcBorders>
              <w:bottom w:val="nil"/>
            </w:tcBorders>
            <w:shd w:val="clear" w:color="auto" w:fill="auto"/>
            <w:noWrap/>
          </w:tcPr>
          <w:p w:rsidR="004317E8" w:rsidRPr="00E30AEE" w:rsidRDefault="004317E8" w:rsidP="00E30AEE">
            <w:pPr>
              <w:pStyle w:val="SingleTxtG"/>
              <w:suppressAutoHyphens w:val="0"/>
              <w:spacing w:before="40" w:after="40" w:line="220" w:lineRule="exact"/>
              <w:ind w:left="0" w:right="113"/>
              <w:jc w:val="left"/>
              <w:rPr>
                <w:sz w:val="18"/>
              </w:rPr>
            </w:pPr>
            <w:r w:rsidRPr="00E30AEE">
              <w:rPr>
                <w:sz w:val="18"/>
              </w:rPr>
              <w:t>2013</w:t>
            </w:r>
          </w:p>
        </w:tc>
        <w:tc>
          <w:tcPr>
            <w:tcW w:w="1725" w:type="dxa"/>
            <w:tcBorders>
              <w:bottom w:val="nil"/>
            </w:tcBorders>
            <w:shd w:val="clear" w:color="auto" w:fill="auto"/>
            <w:noWrap/>
          </w:tcPr>
          <w:p w:rsidR="004317E8" w:rsidRPr="00E30AEE" w:rsidRDefault="004317E8" w:rsidP="00175552">
            <w:pPr>
              <w:pStyle w:val="SingleTxtG"/>
              <w:suppressAutoHyphens w:val="0"/>
              <w:spacing w:before="40" w:after="40" w:line="220" w:lineRule="exact"/>
              <w:ind w:left="0" w:right="113"/>
              <w:jc w:val="right"/>
              <w:rPr>
                <w:sz w:val="18"/>
              </w:rPr>
            </w:pPr>
            <w:r w:rsidRPr="00E30AEE">
              <w:rPr>
                <w:sz w:val="18"/>
              </w:rPr>
              <w:t>4</w:t>
            </w:r>
          </w:p>
        </w:tc>
        <w:tc>
          <w:tcPr>
            <w:tcW w:w="1442" w:type="dxa"/>
            <w:tcBorders>
              <w:bottom w:val="nil"/>
            </w:tcBorders>
            <w:shd w:val="clear" w:color="auto" w:fill="auto"/>
            <w:noWrap/>
          </w:tcPr>
          <w:p w:rsidR="004317E8" w:rsidRPr="00E30AEE" w:rsidRDefault="004317E8" w:rsidP="00175552">
            <w:pPr>
              <w:pStyle w:val="SingleTxtG"/>
              <w:suppressAutoHyphens w:val="0"/>
              <w:spacing w:before="40" w:after="40" w:line="220" w:lineRule="exact"/>
              <w:ind w:left="0" w:right="113"/>
              <w:jc w:val="right"/>
              <w:rPr>
                <w:sz w:val="18"/>
              </w:rPr>
            </w:pPr>
            <w:r w:rsidRPr="00E30AEE">
              <w:rPr>
                <w:sz w:val="18"/>
              </w:rPr>
              <w:t>1</w:t>
            </w:r>
          </w:p>
        </w:tc>
        <w:tc>
          <w:tcPr>
            <w:tcW w:w="1453" w:type="dxa"/>
            <w:tcBorders>
              <w:bottom w:val="nil"/>
            </w:tcBorders>
            <w:shd w:val="clear" w:color="auto" w:fill="auto"/>
            <w:noWrap/>
          </w:tcPr>
          <w:p w:rsidR="004317E8" w:rsidRPr="00E30AEE" w:rsidRDefault="004317E8" w:rsidP="00175552">
            <w:pPr>
              <w:pStyle w:val="SingleTxtG"/>
              <w:suppressAutoHyphens w:val="0"/>
              <w:spacing w:before="40" w:after="40" w:line="220" w:lineRule="exact"/>
              <w:ind w:left="0" w:right="113"/>
              <w:jc w:val="right"/>
              <w:rPr>
                <w:sz w:val="18"/>
              </w:rPr>
            </w:pPr>
            <w:r w:rsidRPr="00E30AEE">
              <w:rPr>
                <w:sz w:val="18"/>
              </w:rPr>
              <w:t>14</w:t>
            </w:r>
          </w:p>
        </w:tc>
        <w:tc>
          <w:tcPr>
            <w:tcW w:w="1762" w:type="dxa"/>
            <w:tcBorders>
              <w:bottom w:val="nil"/>
            </w:tcBorders>
            <w:shd w:val="clear" w:color="auto" w:fill="auto"/>
            <w:noWrap/>
          </w:tcPr>
          <w:p w:rsidR="004317E8" w:rsidRPr="00E30AEE" w:rsidRDefault="004317E8" w:rsidP="00175552">
            <w:pPr>
              <w:pStyle w:val="SingleTxtG"/>
              <w:suppressAutoHyphens w:val="0"/>
              <w:spacing w:before="40" w:after="40" w:line="220" w:lineRule="exact"/>
              <w:ind w:left="0" w:right="113"/>
              <w:jc w:val="right"/>
              <w:rPr>
                <w:sz w:val="18"/>
              </w:rPr>
            </w:pPr>
            <w:r w:rsidRPr="00E30AEE">
              <w:rPr>
                <w:sz w:val="18"/>
              </w:rPr>
              <w:t>58</w:t>
            </w:r>
          </w:p>
        </w:tc>
      </w:tr>
      <w:tr w:rsidR="00E30AEE" w:rsidRPr="00E30AEE" w:rsidTr="0066506B">
        <w:trPr>
          <w:trHeight w:val="240"/>
        </w:trPr>
        <w:tc>
          <w:tcPr>
            <w:tcW w:w="988" w:type="dxa"/>
            <w:tcBorders>
              <w:top w:val="nil"/>
              <w:bottom w:val="nil"/>
            </w:tcBorders>
            <w:shd w:val="clear" w:color="auto" w:fill="auto"/>
            <w:noWrap/>
          </w:tcPr>
          <w:p w:rsidR="004317E8" w:rsidRPr="00E30AEE" w:rsidRDefault="004317E8" w:rsidP="00E30AEE">
            <w:pPr>
              <w:pStyle w:val="SingleTxtG"/>
              <w:suppressAutoHyphens w:val="0"/>
              <w:spacing w:before="40" w:after="40" w:line="220" w:lineRule="exact"/>
              <w:ind w:left="0" w:right="113"/>
              <w:jc w:val="left"/>
              <w:rPr>
                <w:sz w:val="18"/>
              </w:rPr>
            </w:pPr>
            <w:r w:rsidRPr="00E30AEE">
              <w:rPr>
                <w:sz w:val="18"/>
              </w:rPr>
              <w:t>2014</w:t>
            </w:r>
          </w:p>
        </w:tc>
        <w:tc>
          <w:tcPr>
            <w:tcW w:w="1725" w:type="dxa"/>
            <w:tcBorders>
              <w:top w:val="nil"/>
              <w:bottom w:val="nil"/>
            </w:tcBorders>
            <w:shd w:val="clear" w:color="auto" w:fill="auto"/>
            <w:noWrap/>
          </w:tcPr>
          <w:p w:rsidR="004317E8" w:rsidRPr="00E30AEE" w:rsidRDefault="004317E8" w:rsidP="00175552">
            <w:pPr>
              <w:pStyle w:val="SingleTxtG"/>
              <w:suppressAutoHyphens w:val="0"/>
              <w:spacing w:before="40" w:after="40" w:line="220" w:lineRule="exact"/>
              <w:ind w:left="0" w:right="113"/>
              <w:jc w:val="right"/>
              <w:rPr>
                <w:sz w:val="18"/>
              </w:rPr>
            </w:pPr>
            <w:r w:rsidRPr="00E30AEE">
              <w:rPr>
                <w:sz w:val="18"/>
              </w:rPr>
              <w:t>2</w:t>
            </w:r>
          </w:p>
        </w:tc>
        <w:tc>
          <w:tcPr>
            <w:tcW w:w="1442" w:type="dxa"/>
            <w:tcBorders>
              <w:top w:val="nil"/>
              <w:bottom w:val="nil"/>
            </w:tcBorders>
            <w:shd w:val="clear" w:color="auto" w:fill="auto"/>
            <w:noWrap/>
          </w:tcPr>
          <w:p w:rsidR="004317E8" w:rsidRPr="00E30AEE" w:rsidRDefault="004317E8" w:rsidP="00175552">
            <w:pPr>
              <w:pStyle w:val="SingleTxtG"/>
              <w:suppressAutoHyphens w:val="0"/>
              <w:spacing w:before="40" w:after="40" w:line="220" w:lineRule="exact"/>
              <w:ind w:left="0" w:right="113"/>
              <w:jc w:val="right"/>
              <w:rPr>
                <w:sz w:val="18"/>
              </w:rPr>
            </w:pPr>
            <w:r w:rsidRPr="00E30AEE">
              <w:rPr>
                <w:sz w:val="18"/>
              </w:rPr>
              <w:t>1</w:t>
            </w:r>
          </w:p>
        </w:tc>
        <w:tc>
          <w:tcPr>
            <w:tcW w:w="1453" w:type="dxa"/>
            <w:tcBorders>
              <w:top w:val="nil"/>
              <w:bottom w:val="nil"/>
            </w:tcBorders>
            <w:shd w:val="clear" w:color="auto" w:fill="auto"/>
            <w:noWrap/>
          </w:tcPr>
          <w:p w:rsidR="004317E8" w:rsidRPr="00E30AEE" w:rsidRDefault="004317E8" w:rsidP="00175552">
            <w:pPr>
              <w:pStyle w:val="SingleTxtG"/>
              <w:suppressAutoHyphens w:val="0"/>
              <w:spacing w:before="40" w:after="40" w:line="220" w:lineRule="exact"/>
              <w:ind w:left="0" w:right="113"/>
              <w:jc w:val="right"/>
              <w:rPr>
                <w:sz w:val="18"/>
              </w:rPr>
            </w:pPr>
            <w:r w:rsidRPr="00E30AEE">
              <w:rPr>
                <w:sz w:val="18"/>
              </w:rPr>
              <w:t>10</w:t>
            </w:r>
          </w:p>
        </w:tc>
        <w:tc>
          <w:tcPr>
            <w:tcW w:w="1762" w:type="dxa"/>
            <w:tcBorders>
              <w:top w:val="nil"/>
              <w:bottom w:val="nil"/>
            </w:tcBorders>
            <w:shd w:val="clear" w:color="auto" w:fill="auto"/>
            <w:noWrap/>
          </w:tcPr>
          <w:p w:rsidR="004317E8" w:rsidRPr="00E30AEE" w:rsidRDefault="004317E8" w:rsidP="00175552">
            <w:pPr>
              <w:pStyle w:val="SingleTxtG"/>
              <w:suppressAutoHyphens w:val="0"/>
              <w:spacing w:before="40" w:after="40" w:line="220" w:lineRule="exact"/>
              <w:ind w:left="0" w:right="113"/>
              <w:jc w:val="right"/>
              <w:rPr>
                <w:sz w:val="18"/>
              </w:rPr>
            </w:pPr>
            <w:r w:rsidRPr="00E30AEE">
              <w:rPr>
                <w:sz w:val="18"/>
              </w:rPr>
              <w:t>88</w:t>
            </w:r>
          </w:p>
        </w:tc>
      </w:tr>
      <w:tr w:rsidR="00E30AEE" w:rsidRPr="00E30AEE" w:rsidTr="0066506B">
        <w:trPr>
          <w:trHeight w:val="240"/>
        </w:trPr>
        <w:tc>
          <w:tcPr>
            <w:tcW w:w="988" w:type="dxa"/>
            <w:tcBorders>
              <w:top w:val="nil"/>
            </w:tcBorders>
            <w:shd w:val="clear" w:color="auto" w:fill="auto"/>
            <w:noWrap/>
          </w:tcPr>
          <w:p w:rsidR="004317E8" w:rsidRPr="00E30AEE" w:rsidRDefault="004317E8" w:rsidP="00E30AEE">
            <w:pPr>
              <w:pStyle w:val="SingleTxtG"/>
              <w:suppressAutoHyphens w:val="0"/>
              <w:spacing w:before="40" w:after="40" w:line="220" w:lineRule="exact"/>
              <w:ind w:left="0" w:right="113"/>
              <w:jc w:val="left"/>
              <w:rPr>
                <w:sz w:val="18"/>
              </w:rPr>
            </w:pPr>
            <w:r w:rsidRPr="00E30AEE">
              <w:rPr>
                <w:sz w:val="18"/>
              </w:rPr>
              <w:lastRenderedPageBreak/>
              <w:t>2015</w:t>
            </w:r>
          </w:p>
        </w:tc>
        <w:tc>
          <w:tcPr>
            <w:tcW w:w="1725" w:type="dxa"/>
            <w:tcBorders>
              <w:top w:val="nil"/>
            </w:tcBorders>
            <w:shd w:val="clear" w:color="auto" w:fill="auto"/>
            <w:noWrap/>
          </w:tcPr>
          <w:p w:rsidR="004317E8" w:rsidRPr="00E30AEE" w:rsidRDefault="004317E8" w:rsidP="00175552">
            <w:pPr>
              <w:pStyle w:val="SingleTxtG"/>
              <w:suppressAutoHyphens w:val="0"/>
              <w:spacing w:before="40" w:after="40" w:line="220" w:lineRule="exact"/>
              <w:ind w:left="0" w:right="113"/>
              <w:jc w:val="right"/>
              <w:rPr>
                <w:sz w:val="18"/>
              </w:rPr>
            </w:pPr>
            <w:r w:rsidRPr="00E30AEE">
              <w:rPr>
                <w:sz w:val="18"/>
              </w:rPr>
              <w:t>1</w:t>
            </w:r>
          </w:p>
        </w:tc>
        <w:tc>
          <w:tcPr>
            <w:tcW w:w="1442" w:type="dxa"/>
            <w:tcBorders>
              <w:top w:val="nil"/>
            </w:tcBorders>
            <w:shd w:val="clear" w:color="auto" w:fill="auto"/>
            <w:noWrap/>
          </w:tcPr>
          <w:p w:rsidR="004317E8" w:rsidRPr="00E30AEE" w:rsidRDefault="004317E8" w:rsidP="00175552">
            <w:pPr>
              <w:pStyle w:val="SingleTxtG"/>
              <w:suppressAutoHyphens w:val="0"/>
              <w:spacing w:before="40" w:after="40" w:line="220" w:lineRule="exact"/>
              <w:ind w:left="0" w:right="113"/>
              <w:jc w:val="right"/>
              <w:rPr>
                <w:sz w:val="18"/>
              </w:rPr>
            </w:pPr>
            <w:r w:rsidRPr="00E30AEE">
              <w:rPr>
                <w:sz w:val="18"/>
              </w:rPr>
              <w:t>1</w:t>
            </w:r>
          </w:p>
        </w:tc>
        <w:tc>
          <w:tcPr>
            <w:tcW w:w="1453" w:type="dxa"/>
            <w:tcBorders>
              <w:top w:val="nil"/>
            </w:tcBorders>
            <w:shd w:val="clear" w:color="auto" w:fill="auto"/>
            <w:noWrap/>
          </w:tcPr>
          <w:p w:rsidR="004317E8" w:rsidRPr="00E30AEE" w:rsidRDefault="004317E8" w:rsidP="00175552">
            <w:pPr>
              <w:pStyle w:val="SingleTxtG"/>
              <w:suppressAutoHyphens w:val="0"/>
              <w:spacing w:before="40" w:after="40" w:line="220" w:lineRule="exact"/>
              <w:ind w:left="0" w:right="113"/>
              <w:jc w:val="right"/>
              <w:rPr>
                <w:sz w:val="18"/>
              </w:rPr>
            </w:pPr>
            <w:r w:rsidRPr="00E30AEE">
              <w:rPr>
                <w:sz w:val="18"/>
              </w:rPr>
              <w:t>9</w:t>
            </w:r>
          </w:p>
        </w:tc>
        <w:tc>
          <w:tcPr>
            <w:tcW w:w="1762" w:type="dxa"/>
            <w:tcBorders>
              <w:top w:val="nil"/>
            </w:tcBorders>
            <w:shd w:val="clear" w:color="auto" w:fill="auto"/>
            <w:noWrap/>
          </w:tcPr>
          <w:p w:rsidR="004317E8" w:rsidRPr="00E30AEE" w:rsidRDefault="004317E8" w:rsidP="00175552">
            <w:pPr>
              <w:pStyle w:val="SingleTxtG"/>
              <w:suppressAutoHyphens w:val="0"/>
              <w:spacing w:before="40" w:after="40" w:line="220" w:lineRule="exact"/>
              <w:ind w:left="0" w:right="113"/>
              <w:jc w:val="right"/>
              <w:rPr>
                <w:sz w:val="18"/>
              </w:rPr>
            </w:pPr>
            <w:r w:rsidRPr="00E30AEE">
              <w:rPr>
                <w:sz w:val="18"/>
              </w:rPr>
              <w:t>166</w:t>
            </w:r>
          </w:p>
        </w:tc>
      </w:tr>
      <w:tr w:rsidR="00E30AEE" w:rsidRPr="00E30AEE" w:rsidTr="0066506B">
        <w:trPr>
          <w:trHeight w:val="240"/>
        </w:trPr>
        <w:tc>
          <w:tcPr>
            <w:tcW w:w="988" w:type="dxa"/>
            <w:shd w:val="clear" w:color="auto" w:fill="auto"/>
            <w:noWrap/>
          </w:tcPr>
          <w:p w:rsidR="004317E8" w:rsidRPr="00E30AEE" w:rsidRDefault="004317E8" w:rsidP="00E30AEE">
            <w:pPr>
              <w:pStyle w:val="SingleTxtG"/>
              <w:suppressAutoHyphens w:val="0"/>
              <w:spacing w:before="40" w:after="40" w:line="220" w:lineRule="exact"/>
              <w:ind w:left="0" w:right="113"/>
              <w:jc w:val="left"/>
              <w:rPr>
                <w:sz w:val="18"/>
              </w:rPr>
            </w:pPr>
            <w:r w:rsidRPr="00E30AEE">
              <w:rPr>
                <w:sz w:val="18"/>
              </w:rPr>
              <w:t>2016</w:t>
            </w:r>
          </w:p>
        </w:tc>
        <w:tc>
          <w:tcPr>
            <w:tcW w:w="1725" w:type="dxa"/>
            <w:shd w:val="clear" w:color="auto" w:fill="auto"/>
            <w:noWrap/>
          </w:tcPr>
          <w:p w:rsidR="004317E8" w:rsidRPr="00E30AEE" w:rsidRDefault="004317E8" w:rsidP="00175552">
            <w:pPr>
              <w:pStyle w:val="SingleTxtG"/>
              <w:suppressAutoHyphens w:val="0"/>
              <w:spacing w:before="40" w:after="40" w:line="220" w:lineRule="exact"/>
              <w:ind w:left="0" w:right="113"/>
              <w:jc w:val="right"/>
              <w:rPr>
                <w:sz w:val="18"/>
              </w:rPr>
            </w:pPr>
            <w:r w:rsidRPr="00E30AEE">
              <w:rPr>
                <w:sz w:val="18"/>
              </w:rPr>
              <w:t>6</w:t>
            </w:r>
          </w:p>
        </w:tc>
        <w:tc>
          <w:tcPr>
            <w:tcW w:w="1442" w:type="dxa"/>
            <w:shd w:val="clear" w:color="auto" w:fill="auto"/>
            <w:noWrap/>
          </w:tcPr>
          <w:p w:rsidR="004317E8" w:rsidRPr="00E30AEE" w:rsidRDefault="004317E8" w:rsidP="00175552">
            <w:pPr>
              <w:pStyle w:val="SingleTxtG"/>
              <w:suppressAutoHyphens w:val="0"/>
              <w:spacing w:before="40" w:after="40" w:line="220" w:lineRule="exact"/>
              <w:ind w:left="0" w:right="113"/>
              <w:jc w:val="right"/>
              <w:rPr>
                <w:sz w:val="18"/>
              </w:rPr>
            </w:pPr>
            <w:r w:rsidRPr="00E30AEE">
              <w:rPr>
                <w:sz w:val="18"/>
              </w:rPr>
              <w:t>4</w:t>
            </w:r>
          </w:p>
        </w:tc>
        <w:tc>
          <w:tcPr>
            <w:tcW w:w="1453" w:type="dxa"/>
            <w:shd w:val="clear" w:color="auto" w:fill="auto"/>
            <w:noWrap/>
          </w:tcPr>
          <w:p w:rsidR="004317E8" w:rsidRPr="00E30AEE" w:rsidRDefault="004317E8" w:rsidP="00175552">
            <w:pPr>
              <w:pStyle w:val="SingleTxtG"/>
              <w:suppressAutoHyphens w:val="0"/>
              <w:spacing w:before="40" w:after="40" w:line="220" w:lineRule="exact"/>
              <w:ind w:left="0" w:right="113"/>
              <w:jc w:val="right"/>
              <w:rPr>
                <w:sz w:val="18"/>
              </w:rPr>
            </w:pPr>
            <w:r w:rsidRPr="00E30AEE">
              <w:rPr>
                <w:sz w:val="18"/>
              </w:rPr>
              <w:t>12</w:t>
            </w:r>
          </w:p>
        </w:tc>
        <w:tc>
          <w:tcPr>
            <w:tcW w:w="1762" w:type="dxa"/>
            <w:shd w:val="clear" w:color="auto" w:fill="auto"/>
            <w:noWrap/>
          </w:tcPr>
          <w:p w:rsidR="004317E8" w:rsidRPr="00E30AEE" w:rsidRDefault="004317E8" w:rsidP="00175552">
            <w:pPr>
              <w:pStyle w:val="SingleTxtG"/>
              <w:suppressAutoHyphens w:val="0"/>
              <w:spacing w:before="40" w:after="40" w:line="220" w:lineRule="exact"/>
              <w:ind w:left="0" w:right="113"/>
              <w:jc w:val="right"/>
              <w:rPr>
                <w:sz w:val="18"/>
              </w:rPr>
            </w:pPr>
            <w:r w:rsidRPr="00E30AEE">
              <w:rPr>
                <w:sz w:val="18"/>
              </w:rPr>
              <w:t>89</w:t>
            </w:r>
          </w:p>
        </w:tc>
      </w:tr>
      <w:tr w:rsidR="00E30AEE" w:rsidRPr="00E30AEE" w:rsidTr="00175552">
        <w:trPr>
          <w:trHeight w:val="240"/>
        </w:trPr>
        <w:tc>
          <w:tcPr>
            <w:tcW w:w="988" w:type="dxa"/>
            <w:tcBorders>
              <w:bottom w:val="single" w:sz="4" w:space="0" w:color="auto"/>
            </w:tcBorders>
            <w:shd w:val="clear" w:color="auto" w:fill="auto"/>
            <w:noWrap/>
          </w:tcPr>
          <w:p w:rsidR="004317E8" w:rsidRPr="00E30AEE" w:rsidRDefault="004317E8" w:rsidP="00E30AEE">
            <w:pPr>
              <w:pStyle w:val="SingleTxtG"/>
              <w:suppressAutoHyphens w:val="0"/>
              <w:spacing w:before="40" w:after="40" w:line="220" w:lineRule="exact"/>
              <w:ind w:left="0" w:right="113"/>
              <w:jc w:val="left"/>
              <w:rPr>
                <w:sz w:val="18"/>
              </w:rPr>
            </w:pPr>
            <w:r w:rsidRPr="00E30AEE">
              <w:rPr>
                <w:sz w:val="18"/>
              </w:rPr>
              <w:t>2017</w:t>
            </w:r>
          </w:p>
        </w:tc>
        <w:tc>
          <w:tcPr>
            <w:tcW w:w="1725" w:type="dxa"/>
            <w:tcBorders>
              <w:bottom w:val="single" w:sz="4" w:space="0" w:color="auto"/>
            </w:tcBorders>
            <w:shd w:val="clear" w:color="auto" w:fill="auto"/>
            <w:noWrap/>
          </w:tcPr>
          <w:p w:rsidR="004317E8" w:rsidRPr="00E30AEE" w:rsidRDefault="004317E8" w:rsidP="00175552">
            <w:pPr>
              <w:pStyle w:val="SingleTxtG"/>
              <w:suppressAutoHyphens w:val="0"/>
              <w:spacing w:before="40" w:after="40" w:line="220" w:lineRule="exact"/>
              <w:ind w:left="0" w:right="113"/>
              <w:jc w:val="right"/>
              <w:rPr>
                <w:sz w:val="18"/>
              </w:rPr>
            </w:pPr>
            <w:r w:rsidRPr="00E30AEE">
              <w:rPr>
                <w:sz w:val="18"/>
              </w:rPr>
              <w:t>8</w:t>
            </w:r>
          </w:p>
        </w:tc>
        <w:tc>
          <w:tcPr>
            <w:tcW w:w="1442" w:type="dxa"/>
            <w:tcBorders>
              <w:bottom w:val="single" w:sz="4" w:space="0" w:color="auto"/>
            </w:tcBorders>
            <w:shd w:val="clear" w:color="auto" w:fill="auto"/>
            <w:noWrap/>
          </w:tcPr>
          <w:p w:rsidR="004317E8" w:rsidRPr="00E30AEE" w:rsidRDefault="004317E8" w:rsidP="00175552">
            <w:pPr>
              <w:pStyle w:val="SingleTxtG"/>
              <w:suppressAutoHyphens w:val="0"/>
              <w:spacing w:before="40" w:after="40" w:line="220" w:lineRule="exact"/>
              <w:ind w:left="0" w:right="113"/>
              <w:jc w:val="right"/>
              <w:rPr>
                <w:sz w:val="18"/>
              </w:rPr>
            </w:pPr>
            <w:r w:rsidRPr="00E30AEE">
              <w:rPr>
                <w:sz w:val="18"/>
              </w:rPr>
              <w:t>3</w:t>
            </w:r>
          </w:p>
        </w:tc>
        <w:tc>
          <w:tcPr>
            <w:tcW w:w="1453" w:type="dxa"/>
            <w:tcBorders>
              <w:bottom w:val="single" w:sz="4" w:space="0" w:color="auto"/>
            </w:tcBorders>
            <w:shd w:val="clear" w:color="auto" w:fill="auto"/>
            <w:noWrap/>
          </w:tcPr>
          <w:p w:rsidR="004317E8" w:rsidRPr="00E30AEE" w:rsidRDefault="004317E8" w:rsidP="00175552">
            <w:pPr>
              <w:pStyle w:val="SingleTxtG"/>
              <w:suppressAutoHyphens w:val="0"/>
              <w:spacing w:before="40" w:after="40" w:line="220" w:lineRule="exact"/>
              <w:ind w:left="0" w:right="113"/>
              <w:jc w:val="right"/>
              <w:rPr>
                <w:sz w:val="18"/>
              </w:rPr>
            </w:pPr>
            <w:r w:rsidRPr="00E30AEE">
              <w:rPr>
                <w:sz w:val="18"/>
              </w:rPr>
              <w:t>11</w:t>
            </w:r>
          </w:p>
        </w:tc>
        <w:tc>
          <w:tcPr>
            <w:tcW w:w="1762" w:type="dxa"/>
            <w:tcBorders>
              <w:bottom w:val="single" w:sz="4" w:space="0" w:color="auto"/>
            </w:tcBorders>
            <w:shd w:val="clear" w:color="auto" w:fill="auto"/>
            <w:noWrap/>
          </w:tcPr>
          <w:p w:rsidR="004317E8" w:rsidRPr="00E30AEE" w:rsidRDefault="004317E8" w:rsidP="00175552">
            <w:pPr>
              <w:pStyle w:val="SingleTxtG"/>
              <w:suppressAutoHyphens w:val="0"/>
              <w:spacing w:before="40" w:after="40" w:line="220" w:lineRule="exact"/>
              <w:ind w:left="0" w:right="113"/>
              <w:jc w:val="right"/>
              <w:rPr>
                <w:sz w:val="18"/>
              </w:rPr>
            </w:pPr>
            <w:r w:rsidRPr="00E30AEE">
              <w:rPr>
                <w:sz w:val="18"/>
              </w:rPr>
              <w:t>90</w:t>
            </w:r>
          </w:p>
        </w:tc>
      </w:tr>
      <w:tr w:rsidR="00E30AEE" w:rsidRPr="00E30AEE" w:rsidTr="00175552">
        <w:trPr>
          <w:trHeight w:val="240"/>
        </w:trPr>
        <w:tc>
          <w:tcPr>
            <w:tcW w:w="988" w:type="dxa"/>
            <w:tcBorders>
              <w:top w:val="single" w:sz="4" w:space="0" w:color="auto"/>
              <w:bottom w:val="single" w:sz="12" w:space="0" w:color="auto"/>
            </w:tcBorders>
            <w:shd w:val="clear" w:color="auto" w:fill="auto"/>
            <w:noWrap/>
          </w:tcPr>
          <w:p w:rsidR="004317E8" w:rsidRPr="00175552" w:rsidRDefault="004317E8" w:rsidP="00175552">
            <w:pPr>
              <w:suppressAutoHyphens w:val="0"/>
              <w:spacing w:before="80" w:after="80" w:line="220" w:lineRule="exact"/>
              <w:ind w:left="283"/>
              <w:rPr>
                <w:b/>
                <w:sz w:val="18"/>
              </w:rPr>
            </w:pPr>
            <w:r w:rsidRPr="00175552">
              <w:rPr>
                <w:b/>
                <w:sz w:val="18"/>
              </w:rPr>
              <w:t>Total</w:t>
            </w:r>
          </w:p>
        </w:tc>
        <w:tc>
          <w:tcPr>
            <w:tcW w:w="1725" w:type="dxa"/>
            <w:tcBorders>
              <w:top w:val="single" w:sz="4" w:space="0" w:color="auto"/>
              <w:bottom w:val="single" w:sz="12" w:space="0" w:color="auto"/>
            </w:tcBorders>
            <w:shd w:val="clear" w:color="auto" w:fill="auto"/>
            <w:noWrap/>
          </w:tcPr>
          <w:p w:rsidR="004317E8" w:rsidRPr="00175552" w:rsidRDefault="004317E8" w:rsidP="00175552">
            <w:pPr>
              <w:pStyle w:val="SingleTxtG"/>
              <w:suppressAutoHyphens w:val="0"/>
              <w:spacing w:before="80" w:after="80" w:line="220" w:lineRule="exact"/>
              <w:ind w:left="0" w:right="113"/>
              <w:jc w:val="right"/>
              <w:rPr>
                <w:b/>
                <w:sz w:val="18"/>
              </w:rPr>
            </w:pPr>
            <w:r w:rsidRPr="00175552">
              <w:rPr>
                <w:b/>
                <w:sz w:val="18"/>
              </w:rPr>
              <w:t>25</w:t>
            </w:r>
          </w:p>
        </w:tc>
        <w:tc>
          <w:tcPr>
            <w:tcW w:w="1442" w:type="dxa"/>
            <w:tcBorders>
              <w:top w:val="single" w:sz="4" w:space="0" w:color="auto"/>
              <w:bottom w:val="single" w:sz="12" w:space="0" w:color="auto"/>
            </w:tcBorders>
            <w:shd w:val="clear" w:color="auto" w:fill="auto"/>
            <w:noWrap/>
          </w:tcPr>
          <w:p w:rsidR="004317E8" w:rsidRPr="00175552" w:rsidRDefault="004317E8" w:rsidP="00175552">
            <w:pPr>
              <w:pStyle w:val="SingleTxtG"/>
              <w:suppressAutoHyphens w:val="0"/>
              <w:spacing w:before="80" w:after="80" w:line="220" w:lineRule="exact"/>
              <w:ind w:left="0" w:right="113"/>
              <w:jc w:val="right"/>
              <w:rPr>
                <w:b/>
                <w:sz w:val="18"/>
              </w:rPr>
            </w:pPr>
            <w:r w:rsidRPr="00175552">
              <w:rPr>
                <w:b/>
                <w:sz w:val="18"/>
              </w:rPr>
              <w:t>14</w:t>
            </w:r>
          </w:p>
        </w:tc>
        <w:tc>
          <w:tcPr>
            <w:tcW w:w="1453" w:type="dxa"/>
            <w:tcBorders>
              <w:top w:val="single" w:sz="4" w:space="0" w:color="auto"/>
              <w:bottom w:val="single" w:sz="12" w:space="0" w:color="auto"/>
            </w:tcBorders>
            <w:shd w:val="clear" w:color="auto" w:fill="auto"/>
            <w:noWrap/>
          </w:tcPr>
          <w:p w:rsidR="004317E8" w:rsidRPr="00175552" w:rsidRDefault="004317E8" w:rsidP="00175552">
            <w:pPr>
              <w:pStyle w:val="SingleTxtG"/>
              <w:suppressAutoHyphens w:val="0"/>
              <w:spacing w:before="80" w:after="80" w:line="220" w:lineRule="exact"/>
              <w:ind w:left="0" w:right="113"/>
              <w:jc w:val="right"/>
              <w:rPr>
                <w:b/>
                <w:sz w:val="18"/>
              </w:rPr>
            </w:pPr>
            <w:r w:rsidRPr="00175552">
              <w:rPr>
                <w:b/>
                <w:sz w:val="18"/>
              </w:rPr>
              <w:t>99</w:t>
            </w:r>
          </w:p>
        </w:tc>
        <w:tc>
          <w:tcPr>
            <w:tcW w:w="1762" w:type="dxa"/>
            <w:tcBorders>
              <w:top w:val="single" w:sz="4" w:space="0" w:color="auto"/>
              <w:bottom w:val="single" w:sz="12" w:space="0" w:color="auto"/>
            </w:tcBorders>
            <w:shd w:val="clear" w:color="auto" w:fill="auto"/>
            <w:noWrap/>
          </w:tcPr>
          <w:p w:rsidR="004317E8" w:rsidRPr="00175552" w:rsidRDefault="004317E8" w:rsidP="00175552">
            <w:pPr>
              <w:pStyle w:val="SingleTxtG"/>
              <w:suppressAutoHyphens w:val="0"/>
              <w:spacing w:before="80" w:after="80" w:line="220" w:lineRule="exact"/>
              <w:ind w:left="0" w:right="113"/>
              <w:jc w:val="right"/>
              <w:rPr>
                <w:b/>
                <w:sz w:val="18"/>
              </w:rPr>
            </w:pPr>
            <w:r w:rsidRPr="00175552">
              <w:rPr>
                <w:b/>
                <w:sz w:val="18"/>
              </w:rPr>
              <w:t>675</w:t>
            </w:r>
          </w:p>
        </w:tc>
      </w:tr>
    </w:tbl>
    <w:p w:rsidR="0066506B" w:rsidRDefault="0066506B"/>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88"/>
        <w:gridCol w:w="1725"/>
        <w:gridCol w:w="1442"/>
        <w:gridCol w:w="1453"/>
        <w:gridCol w:w="1762"/>
      </w:tblGrid>
      <w:tr w:rsidR="00175552" w:rsidRPr="00175552" w:rsidTr="00044F70">
        <w:trPr>
          <w:trHeight w:val="240"/>
          <w:tblHeader/>
        </w:trPr>
        <w:tc>
          <w:tcPr>
            <w:tcW w:w="7370" w:type="dxa"/>
            <w:gridSpan w:val="5"/>
            <w:tcBorders>
              <w:top w:val="single" w:sz="4" w:space="0" w:color="auto"/>
              <w:bottom w:val="single" w:sz="4" w:space="0" w:color="auto"/>
            </w:tcBorders>
            <w:shd w:val="clear" w:color="auto" w:fill="auto"/>
            <w:noWrap/>
            <w:vAlign w:val="bottom"/>
            <w:hideMark/>
          </w:tcPr>
          <w:p w:rsidR="004317E8" w:rsidRPr="00175552" w:rsidRDefault="004317E8" w:rsidP="00044F70">
            <w:pPr>
              <w:pStyle w:val="SingleTxtG"/>
              <w:suppressAutoHyphens w:val="0"/>
              <w:spacing w:before="80" w:after="80" w:line="200" w:lineRule="exact"/>
              <w:ind w:left="0" w:right="113"/>
              <w:jc w:val="left"/>
              <w:rPr>
                <w:i/>
                <w:sz w:val="16"/>
              </w:rPr>
            </w:pPr>
            <w:r w:rsidRPr="00175552">
              <w:rPr>
                <w:i/>
                <w:sz w:val="16"/>
              </w:rPr>
              <w:t>Scholarships awarded to secondary-school students of African descent</w:t>
            </w:r>
          </w:p>
        </w:tc>
      </w:tr>
      <w:tr w:rsidR="00E46BF9" w:rsidRPr="00044F70" w:rsidTr="00044F70">
        <w:trPr>
          <w:trHeight w:val="240"/>
        </w:trPr>
        <w:tc>
          <w:tcPr>
            <w:tcW w:w="7370" w:type="dxa"/>
            <w:gridSpan w:val="5"/>
            <w:tcBorders>
              <w:top w:val="single" w:sz="4" w:space="0" w:color="auto"/>
              <w:bottom w:val="single" w:sz="4" w:space="0" w:color="auto"/>
            </w:tcBorders>
            <w:shd w:val="clear" w:color="auto" w:fill="auto"/>
            <w:noWrap/>
            <w:hideMark/>
          </w:tcPr>
          <w:p w:rsidR="00E46BF9" w:rsidRPr="00044F70" w:rsidRDefault="00E46BF9" w:rsidP="00044F70">
            <w:pPr>
              <w:pStyle w:val="SingleTxtG"/>
              <w:suppressAutoHyphens w:val="0"/>
              <w:spacing w:before="40" w:after="40" w:line="220" w:lineRule="exact"/>
              <w:ind w:left="0" w:right="113"/>
              <w:jc w:val="left"/>
              <w:rPr>
                <w:i/>
                <w:sz w:val="16"/>
              </w:rPr>
            </w:pPr>
            <w:r w:rsidRPr="00044F70">
              <w:rPr>
                <w:i/>
                <w:sz w:val="16"/>
              </w:rPr>
              <w:t>Financial assistance grants</w:t>
            </w:r>
          </w:p>
        </w:tc>
      </w:tr>
      <w:tr w:rsidR="00E30AEE" w:rsidRPr="00044F70" w:rsidTr="00044F70">
        <w:trPr>
          <w:trHeight w:val="240"/>
        </w:trPr>
        <w:tc>
          <w:tcPr>
            <w:tcW w:w="988" w:type="dxa"/>
            <w:tcBorders>
              <w:top w:val="single" w:sz="4" w:space="0" w:color="auto"/>
              <w:bottom w:val="single" w:sz="12" w:space="0" w:color="auto"/>
            </w:tcBorders>
            <w:shd w:val="clear" w:color="auto" w:fill="auto"/>
            <w:hideMark/>
          </w:tcPr>
          <w:p w:rsidR="004317E8" w:rsidRPr="00044F70" w:rsidRDefault="004317E8" w:rsidP="009C40A1">
            <w:pPr>
              <w:pStyle w:val="SingleTxtG"/>
              <w:suppressAutoHyphens w:val="0"/>
              <w:spacing w:before="40" w:after="40" w:line="220" w:lineRule="exact"/>
              <w:ind w:left="0" w:right="113"/>
              <w:jc w:val="left"/>
              <w:rPr>
                <w:i/>
                <w:sz w:val="16"/>
              </w:rPr>
            </w:pPr>
            <w:r w:rsidRPr="00044F70">
              <w:rPr>
                <w:i/>
                <w:sz w:val="16"/>
              </w:rPr>
              <w:t>Year</w:t>
            </w:r>
          </w:p>
        </w:tc>
        <w:tc>
          <w:tcPr>
            <w:tcW w:w="1725" w:type="dxa"/>
            <w:tcBorders>
              <w:top w:val="single" w:sz="4" w:space="0" w:color="auto"/>
              <w:bottom w:val="single" w:sz="12" w:space="0" w:color="auto"/>
            </w:tcBorders>
            <w:shd w:val="clear" w:color="auto" w:fill="auto"/>
            <w:hideMark/>
          </w:tcPr>
          <w:p w:rsidR="004317E8" w:rsidRPr="00044F70" w:rsidRDefault="004317E8" w:rsidP="00044F70">
            <w:pPr>
              <w:pStyle w:val="SingleTxtG"/>
              <w:suppressAutoHyphens w:val="0"/>
              <w:spacing w:before="40" w:after="40" w:line="220" w:lineRule="exact"/>
              <w:ind w:left="0" w:right="113"/>
              <w:jc w:val="right"/>
              <w:rPr>
                <w:i/>
                <w:sz w:val="16"/>
              </w:rPr>
            </w:pPr>
            <w:r w:rsidRPr="00044F70">
              <w:rPr>
                <w:i/>
                <w:sz w:val="16"/>
              </w:rPr>
              <w:t>Applications from students of African descent</w:t>
            </w:r>
          </w:p>
        </w:tc>
        <w:tc>
          <w:tcPr>
            <w:tcW w:w="1442" w:type="dxa"/>
            <w:tcBorders>
              <w:top w:val="single" w:sz="4" w:space="0" w:color="auto"/>
              <w:bottom w:val="single" w:sz="12" w:space="0" w:color="auto"/>
            </w:tcBorders>
            <w:shd w:val="clear" w:color="auto" w:fill="auto"/>
            <w:hideMark/>
          </w:tcPr>
          <w:p w:rsidR="004317E8" w:rsidRPr="00044F70" w:rsidRDefault="004317E8" w:rsidP="00044F70">
            <w:pPr>
              <w:pStyle w:val="SingleTxtG"/>
              <w:suppressAutoHyphens w:val="0"/>
              <w:spacing w:before="40" w:after="40" w:line="220" w:lineRule="exact"/>
              <w:ind w:left="0" w:right="113"/>
              <w:jc w:val="right"/>
              <w:rPr>
                <w:i/>
                <w:sz w:val="16"/>
              </w:rPr>
            </w:pPr>
            <w:r w:rsidRPr="00044F70">
              <w:rPr>
                <w:i/>
                <w:sz w:val="16"/>
              </w:rPr>
              <w:t>Awards to students of African descent</w:t>
            </w:r>
          </w:p>
        </w:tc>
        <w:tc>
          <w:tcPr>
            <w:tcW w:w="1453" w:type="dxa"/>
            <w:tcBorders>
              <w:top w:val="single" w:sz="4" w:space="0" w:color="auto"/>
              <w:bottom w:val="single" w:sz="12" w:space="0" w:color="auto"/>
            </w:tcBorders>
            <w:shd w:val="clear" w:color="auto" w:fill="auto"/>
            <w:hideMark/>
          </w:tcPr>
          <w:p w:rsidR="004317E8" w:rsidRPr="00044F70" w:rsidRDefault="004317E8" w:rsidP="00044F70">
            <w:pPr>
              <w:pStyle w:val="SingleTxtG"/>
              <w:suppressAutoHyphens w:val="0"/>
              <w:spacing w:before="40" w:after="40" w:line="220" w:lineRule="exact"/>
              <w:ind w:left="0" w:right="113"/>
              <w:jc w:val="right"/>
              <w:rPr>
                <w:i/>
                <w:sz w:val="16"/>
              </w:rPr>
            </w:pPr>
            <w:r w:rsidRPr="00044F70">
              <w:rPr>
                <w:i/>
                <w:sz w:val="16"/>
              </w:rPr>
              <w:t>Scholarships awarded</w:t>
            </w:r>
          </w:p>
        </w:tc>
        <w:tc>
          <w:tcPr>
            <w:tcW w:w="1762" w:type="dxa"/>
            <w:tcBorders>
              <w:top w:val="single" w:sz="4" w:space="0" w:color="auto"/>
              <w:bottom w:val="single" w:sz="12" w:space="0" w:color="auto"/>
            </w:tcBorders>
            <w:shd w:val="clear" w:color="auto" w:fill="auto"/>
            <w:hideMark/>
          </w:tcPr>
          <w:p w:rsidR="004317E8" w:rsidRPr="00044F70" w:rsidRDefault="004317E8" w:rsidP="00044F70">
            <w:pPr>
              <w:pStyle w:val="SingleTxtG"/>
              <w:suppressAutoHyphens w:val="0"/>
              <w:spacing w:before="40" w:after="40" w:line="220" w:lineRule="exact"/>
              <w:ind w:left="0" w:right="113"/>
              <w:jc w:val="right"/>
              <w:rPr>
                <w:i/>
                <w:sz w:val="16"/>
              </w:rPr>
            </w:pPr>
            <w:r w:rsidRPr="00044F70">
              <w:rPr>
                <w:i/>
                <w:sz w:val="16"/>
              </w:rPr>
              <w:t>Total applications</w:t>
            </w:r>
          </w:p>
        </w:tc>
      </w:tr>
      <w:tr w:rsidR="00E30AEE" w:rsidRPr="00175552" w:rsidTr="00044F70">
        <w:trPr>
          <w:trHeight w:val="240"/>
        </w:trPr>
        <w:tc>
          <w:tcPr>
            <w:tcW w:w="988" w:type="dxa"/>
            <w:tcBorders>
              <w:top w:val="single" w:sz="12" w:space="0" w:color="auto"/>
            </w:tcBorders>
            <w:shd w:val="clear" w:color="auto" w:fill="auto"/>
            <w:noWrap/>
            <w:hideMark/>
          </w:tcPr>
          <w:p w:rsidR="004317E8" w:rsidRPr="00175552" w:rsidRDefault="004317E8" w:rsidP="00175552">
            <w:pPr>
              <w:pStyle w:val="SingleTxtG"/>
              <w:suppressAutoHyphens w:val="0"/>
              <w:spacing w:before="40" w:after="40" w:line="220" w:lineRule="exact"/>
              <w:ind w:left="0" w:right="113"/>
              <w:jc w:val="left"/>
              <w:rPr>
                <w:sz w:val="18"/>
              </w:rPr>
            </w:pPr>
            <w:r w:rsidRPr="00175552">
              <w:rPr>
                <w:sz w:val="18"/>
              </w:rPr>
              <w:t>2011</w:t>
            </w:r>
          </w:p>
        </w:tc>
        <w:tc>
          <w:tcPr>
            <w:tcW w:w="1725" w:type="dxa"/>
            <w:tcBorders>
              <w:top w:val="single" w:sz="12" w:space="0" w:color="auto"/>
            </w:tcBorders>
            <w:shd w:val="clear" w:color="auto" w:fill="auto"/>
            <w:noWrap/>
            <w:hideMark/>
          </w:tcPr>
          <w:p w:rsidR="004317E8" w:rsidRPr="00175552" w:rsidRDefault="004317E8" w:rsidP="00F4506B">
            <w:pPr>
              <w:pStyle w:val="SingleTxtG"/>
              <w:suppressAutoHyphens w:val="0"/>
              <w:spacing w:before="40" w:after="40" w:line="220" w:lineRule="exact"/>
              <w:ind w:left="0" w:right="113"/>
              <w:jc w:val="right"/>
              <w:rPr>
                <w:sz w:val="18"/>
              </w:rPr>
            </w:pPr>
            <w:r w:rsidRPr="00175552">
              <w:rPr>
                <w:sz w:val="18"/>
              </w:rPr>
              <w:t>N/A</w:t>
            </w:r>
          </w:p>
        </w:tc>
        <w:tc>
          <w:tcPr>
            <w:tcW w:w="1442" w:type="dxa"/>
            <w:tcBorders>
              <w:top w:val="single" w:sz="12" w:space="0" w:color="auto"/>
            </w:tcBorders>
            <w:shd w:val="clear" w:color="auto" w:fill="auto"/>
            <w:noWrap/>
            <w:hideMark/>
          </w:tcPr>
          <w:p w:rsidR="004317E8" w:rsidRPr="00175552" w:rsidRDefault="004317E8" w:rsidP="00F4506B">
            <w:pPr>
              <w:pStyle w:val="SingleTxtG"/>
              <w:suppressAutoHyphens w:val="0"/>
              <w:spacing w:before="40" w:after="40" w:line="220" w:lineRule="exact"/>
              <w:ind w:left="0" w:right="113"/>
              <w:jc w:val="right"/>
              <w:rPr>
                <w:sz w:val="18"/>
              </w:rPr>
            </w:pPr>
            <w:r w:rsidRPr="00175552">
              <w:rPr>
                <w:sz w:val="18"/>
              </w:rPr>
              <w:t>20</w:t>
            </w:r>
          </w:p>
        </w:tc>
        <w:tc>
          <w:tcPr>
            <w:tcW w:w="1453" w:type="dxa"/>
            <w:tcBorders>
              <w:top w:val="single" w:sz="12" w:space="0" w:color="auto"/>
            </w:tcBorders>
            <w:shd w:val="clear" w:color="auto" w:fill="auto"/>
            <w:noWrap/>
            <w:hideMark/>
          </w:tcPr>
          <w:p w:rsidR="004317E8" w:rsidRPr="00175552" w:rsidRDefault="004317E8" w:rsidP="00F4506B">
            <w:pPr>
              <w:pStyle w:val="SingleTxtG"/>
              <w:suppressAutoHyphens w:val="0"/>
              <w:spacing w:before="40" w:after="40" w:line="220" w:lineRule="exact"/>
              <w:ind w:left="0" w:right="113"/>
              <w:jc w:val="right"/>
              <w:rPr>
                <w:sz w:val="18"/>
              </w:rPr>
            </w:pPr>
            <w:r w:rsidRPr="00175552">
              <w:rPr>
                <w:sz w:val="18"/>
              </w:rPr>
              <w:t>1 436</w:t>
            </w:r>
          </w:p>
        </w:tc>
        <w:tc>
          <w:tcPr>
            <w:tcW w:w="1762" w:type="dxa"/>
            <w:tcBorders>
              <w:top w:val="single" w:sz="12" w:space="0" w:color="auto"/>
            </w:tcBorders>
            <w:shd w:val="clear" w:color="auto" w:fill="auto"/>
            <w:noWrap/>
            <w:hideMark/>
          </w:tcPr>
          <w:p w:rsidR="004317E8" w:rsidRPr="00175552" w:rsidRDefault="004317E8" w:rsidP="00F4506B">
            <w:pPr>
              <w:pStyle w:val="SingleTxtG"/>
              <w:suppressAutoHyphens w:val="0"/>
              <w:spacing w:before="40" w:after="40" w:line="220" w:lineRule="exact"/>
              <w:ind w:left="0" w:right="113"/>
              <w:jc w:val="right"/>
              <w:rPr>
                <w:sz w:val="18"/>
              </w:rPr>
            </w:pPr>
            <w:r w:rsidRPr="00175552">
              <w:rPr>
                <w:sz w:val="18"/>
              </w:rPr>
              <w:t>5 335</w:t>
            </w:r>
          </w:p>
        </w:tc>
      </w:tr>
      <w:tr w:rsidR="00E30AEE" w:rsidRPr="00175552" w:rsidTr="00175552">
        <w:trPr>
          <w:trHeight w:val="240"/>
        </w:trPr>
        <w:tc>
          <w:tcPr>
            <w:tcW w:w="988" w:type="dxa"/>
            <w:shd w:val="clear" w:color="auto" w:fill="auto"/>
            <w:noWrap/>
            <w:hideMark/>
          </w:tcPr>
          <w:p w:rsidR="004317E8" w:rsidRPr="00175552" w:rsidRDefault="004317E8" w:rsidP="00175552">
            <w:pPr>
              <w:pStyle w:val="SingleTxtG"/>
              <w:suppressAutoHyphens w:val="0"/>
              <w:spacing w:before="40" w:after="40" w:line="220" w:lineRule="exact"/>
              <w:ind w:left="0" w:right="113"/>
              <w:jc w:val="left"/>
              <w:rPr>
                <w:sz w:val="18"/>
              </w:rPr>
            </w:pPr>
            <w:r w:rsidRPr="00175552">
              <w:rPr>
                <w:sz w:val="18"/>
              </w:rPr>
              <w:t>2012</w:t>
            </w:r>
          </w:p>
        </w:tc>
        <w:tc>
          <w:tcPr>
            <w:tcW w:w="1725" w:type="dxa"/>
            <w:shd w:val="clear" w:color="auto" w:fill="auto"/>
            <w:noWrap/>
            <w:hideMark/>
          </w:tcPr>
          <w:p w:rsidR="004317E8" w:rsidRPr="00175552" w:rsidRDefault="004317E8" w:rsidP="00F4506B">
            <w:pPr>
              <w:pStyle w:val="SingleTxtG"/>
              <w:suppressAutoHyphens w:val="0"/>
              <w:spacing w:before="40" w:after="40" w:line="220" w:lineRule="exact"/>
              <w:ind w:left="0" w:right="113"/>
              <w:jc w:val="right"/>
              <w:rPr>
                <w:sz w:val="18"/>
              </w:rPr>
            </w:pPr>
            <w:r w:rsidRPr="00175552">
              <w:rPr>
                <w:sz w:val="18"/>
              </w:rPr>
              <w:t>N/A</w:t>
            </w:r>
          </w:p>
        </w:tc>
        <w:tc>
          <w:tcPr>
            <w:tcW w:w="1442" w:type="dxa"/>
            <w:shd w:val="clear" w:color="auto" w:fill="auto"/>
            <w:noWrap/>
            <w:hideMark/>
          </w:tcPr>
          <w:p w:rsidR="004317E8" w:rsidRPr="00175552" w:rsidRDefault="004317E8" w:rsidP="00F4506B">
            <w:pPr>
              <w:pStyle w:val="SingleTxtG"/>
              <w:suppressAutoHyphens w:val="0"/>
              <w:spacing w:before="40" w:after="40" w:line="220" w:lineRule="exact"/>
              <w:ind w:left="0" w:right="113"/>
              <w:jc w:val="right"/>
              <w:rPr>
                <w:sz w:val="18"/>
              </w:rPr>
            </w:pPr>
            <w:r w:rsidRPr="00175552">
              <w:rPr>
                <w:sz w:val="18"/>
              </w:rPr>
              <w:t>31</w:t>
            </w:r>
          </w:p>
        </w:tc>
        <w:tc>
          <w:tcPr>
            <w:tcW w:w="1453" w:type="dxa"/>
            <w:shd w:val="clear" w:color="auto" w:fill="auto"/>
            <w:noWrap/>
            <w:hideMark/>
          </w:tcPr>
          <w:p w:rsidR="004317E8" w:rsidRPr="00175552" w:rsidRDefault="004317E8" w:rsidP="00F4506B">
            <w:pPr>
              <w:pStyle w:val="SingleTxtG"/>
              <w:suppressAutoHyphens w:val="0"/>
              <w:spacing w:before="40" w:after="40" w:line="220" w:lineRule="exact"/>
              <w:ind w:left="0" w:right="113"/>
              <w:jc w:val="right"/>
              <w:rPr>
                <w:sz w:val="18"/>
              </w:rPr>
            </w:pPr>
            <w:r w:rsidRPr="00175552">
              <w:rPr>
                <w:sz w:val="18"/>
              </w:rPr>
              <w:t>2 894</w:t>
            </w:r>
          </w:p>
        </w:tc>
        <w:tc>
          <w:tcPr>
            <w:tcW w:w="1762" w:type="dxa"/>
            <w:shd w:val="clear" w:color="auto" w:fill="auto"/>
            <w:noWrap/>
            <w:hideMark/>
          </w:tcPr>
          <w:p w:rsidR="004317E8" w:rsidRPr="00175552" w:rsidRDefault="004317E8" w:rsidP="00F4506B">
            <w:pPr>
              <w:pStyle w:val="SingleTxtG"/>
              <w:suppressAutoHyphens w:val="0"/>
              <w:spacing w:before="40" w:after="40" w:line="220" w:lineRule="exact"/>
              <w:ind w:left="0" w:right="113"/>
              <w:jc w:val="right"/>
              <w:rPr>
                <w:sz w:val="18"/>
              </w:rPr>
            </w:pPr>
            <w:r w:rsidRPr="00175552">
              <w:rPr>
                <w:sz w:val="18"/>
              </w:rPr>
              <w:t>4 800</w:t>
            </w:r>
          </w:p>
        </w:tc>
      </w:tr>
      <w:tr w:rsidR="00E30AEE" w:rsidRPr="00175552" w:rsidTr="00175552">
        <w:trPr>
          <w:trHeight w:val="240"/>
        </w:trPr>
        <w:tc>
          <w:tcPr>
            <w:tcW w:w="988" w:type="dxa"/>
            <w:shd w:val="clear" w:color="auto" w:fill="auto"/>
            <w:noWrap/>
            <w:hideMark/>
          </w:tcPr>
          <w:p w:rsidR="004317E8" w:rsidRPr="00175552" w:rsidRDefault="004317E8" w:rsidP="00175552">
            <w:pPr>
              <w:pStyle w:val="SingleTxtG"/>
              <w:suppressAutoHyphens w:val="0"/>
              <w:spacing w:before="40" w:after="40" w:line="220" w:lineRule="exact"/>
              <w:ind w:left="0" w:right="113"/>
              <w:jc w:val="left"/>
              <w:rPr>
                <w:sz w:val="18"/>
              </w:rPr>
            </w:pPr>
            <w:r w:rsidRPr="00175552">
              <w:rPr>
                <w:sz w:val="18"/>
              </w:rPr>
              <w:t>2013</w:t>
            </w:r>
          </w:p>
        </w:tc>
        <w:tc>
          <w:tcPr>
            <w:tcW w:w="1725" w:type="dxa"/>
            <w:shd w:val="clear" w:color="auto" w:fill="auto"/>
            <w:noWrap/>
            <w:hideMark/>
          </w:tcPr>
          <w:p w:rsidR="004317E8" w:rsidRPr="00175552" w:rsidRDefault="004317E8" w:rsidP="00F4506B">
            <w:pPr>
              <w:pStyle w:val="SingleTxtG"/>
              <w:suppressAutoHyphens w:val="0"/>
              <w:spacing w:before="40" w:after="40" w:line="220" w:lineRule="exact"/>
              <w:ind w:left="0" w:right="113"/>
              <w:jc w:val="right"/>
              <w:rPr>
                <w:sz w:val="18"/>
              </w:rPr>
            </w:pPr>
            <w:r w:rsidRPr="00175552">
              <w:rPr>
                <w:sz w:val="18"/>
              </w:rPr>
              <w:t>N/A</w:t>
            </w:r>
          </w:p>
        </w:tc>
        <w:tc>
          <w:tcPr>
            <w:tcW w:w="1442" w:type="dxa"/>
            <w:shd w:val="clear" w:color="auto" w:fill="auto"/>
            <w:noWrap/>
            <w:hideMark/>
          </w:tcPr>
          <w:p w:rsidR="004317E8" w:rsidRPr="00175552" w:rsidRDefault="004317E8" w:rsidP="00F4506B">
            <w:pPr>
              <w:pStyle w:val="SingleTxtG"/>
              <w:suppressAutoHyphens w:val="0"/>
              <w:spacing w:before="40" w:after="40" w:line="220" w:lineRule="exact"/>
              <w:ind w:left="0" w:right="113"/>
              <w:jc w:val="right"/>
              <w:rPr>
                <w:sz w:val="18"/>
              </w:rPr>
            </w:pPr>
            <w:r w:rsidRPr="00175552">
              <w:rPr>
                <w:sz w:val="18"/>
              </w:rPr>
              <w:t>180</w:t>
            </w:r>
          </w:p>
        </w:tc>
        <w:tc>
          <w:tcPr>
            <w:tcW w:w="1453" w:type="dxa"/>
            <w:shd w:val="clear" w:color="auto" w:fill="auto"/>
            <w:noWrap/>
            <w:hideMark/>
          </w:tcPr>
          <w:p w:rsidR="004317E8" w:rsidRPr="00175552" w:rsidRDefault="004317E8" w:rsidP="00F4506B">
            <w:pPr>
              <w:pStyle w:val="SingleTxtG"/>
              <w:suppressAutoHyphens w:val="0"/>
              <w:spacing w:before="40" w:after="40" w:line="220" w:lineRule="exact"/>
              <w:ind w:left="0" w:right="113"/>
              <w:jc w:val="right"/>
              <w:rPr>
                <w:sz w:val="18"/>
              </w:rPr>
            </w:pPr>
            <w:r w:rsidRPr="00175552">
              <w:rPr>
                <w:sz w:val="18"/>
              </w:rPr>
              <w:t>3 719</w:t>
            </w:r>
          </w:p>
        </w:tc>
        <w:tc>
          <w:tcPr>
            <w:tcW w:w="1762" w:type="dxa"/>
            <w:shd w:val="clear" w:color="auto" w:fill="auto"/>
            <w:noWrap/>
            <w:hideMark/>
          </w:tcPr>
          <w:p w:rsidR="004317E8" w:rsidRPr="00175552" w:rsidRDefault="004317E8" w:rsidP="00F4506B">
            <w:pPr>
              <w:pStyle w:val="SingleTxtG"/>
              <w:suppressAutoHyphens w:val="0"/>
              <w:spacing w:before="40" w:after="40" w:line="220" w:lineRule="exact"/>
              <w:ind w:left="0" w:right="113"/>
              <w:jc w:val="right"/>
              <w:rPr>
                <w:sz w:val="18"/>
              </w:rPr>
            </w:pPr>
            <w:r w:rsidRPr="00175552">
              <w:rPr>
                <w:sz w:val="18"/>
              </w:rPr>
              <w:t>3 986</w:t>
            </w:r>
          </w:p>
        </w:tc>
      </w:tr>
      <w:tr w:rsidR="00E30AEE" w:rsidRPr="00175552" w:rsidTr="00175552">
        <w:trPr>
          <w:trHeight w:val="240"/>
        </w:trPr>
        <w:tc>
          <w:tcPr>
            <w:tcW w:w="988" w:type="dxa"/>
            <w:shd w:val="clear" w:color="auto" w:fill="auto"/>
            <w:noWrap/>
            <w:hideMark/>
          </w:tcPr>
          <w:p w:rsidR="004317E8" w:rsidRPr="00175552" w:rsidRDefault="004317E8" w:rsidP="00175552">
            <w:pPr>
              <w:pStyle w:val="SingleTxtG"/>
              <w:suppressAutoHyphens w:val="0"/>
              <w:spacing w:before="40" w:after="40" w:line="220" w:lineRule="exact"/>
              <w:ind w:left="0" w:right="113"/>
              <w:jc w:val="left"/>
              <w:rPr>
                <w:sz w:val="18"/>
              </w:rPr>
            </w:pPr>
            <w:r w:rsidRPr="00175552">
              <w:rPr>
                <w:sz w:val="18"/>
              </w:rPr>
              <w:t>2014</w:t>
            </w:r>
          </w:p>
        </w:tc>
        <w:tc>
          <w:tcPr>
            <w:tcW w:w="1725" w:type="dxa"/>
            <w:shd w:val="clear" w:color="auto" w:fill="auto"/>
            <w:noWrap/>
            <w:hideMark/>
          </w:tcPr>
          <w:p w:rsidR="004317E8" w:rsidRPr="00175552" w:rsidRDefault="004317E8" w:rsidP="00F4506B">
            <w:pPr>
              <w:pStyle w:val="SingleTxtG"/>
              <w:suppressAutoHyphens w:val="0"/>
              <w:spacing w:before="40" w:after="40" w:line="220" w:lineRule="exact"/>
              <w:ind w:left="0" w:right="113"/>
              <w:jc w:val="right"/>
              <w:rPr>
                <w:sz w:val="18"/>
              </w:rPr>
            </w:pPr>
            <w:r w:rsidRPr="00175552">
              <w:rPr>
                <w:sz w:val="18"/>
              </w:rPr>
              <w:t>817</w:t>
            </w:r>
          </w:p>
        </w:tc>
        <w:tc>
          <w:tcPr>
            <w:tcW w:w="1442" w:type="dxa"/>
            <w:shd w:val="clear" w:color="auto" w:fill="auto"/>
            <w:noWrap/>
            <w:hideMark/>
          </w:tcPr>
          <w:p w:rsidR="004317E8" w:rsidRPr="00175552" w:rsidRDefault="004317E8" w:rsidP="00F4506B">
            <w:pPr>
              <w:pStyle w:val="SingleTxtG"/>
              <w:suppressAutoHyphens w:val="0"/>
              <w:spacing w:before="40" w:after="40" w:line="220" w:lineRule="exact"/>
              <w:ind w:left="0" w:right="113"/>
              <w:jc w:val="right"/>
              <w:rPr>
                <w:sz w:val="18"/>
              </w:rPr>
            </w:pPr>
            <w:r w:rsidRPr="00175552">
              <w:rPr>
                <w:sz w:val="18"/>
              </w:rPr>
              <w:t>423</w:t>
            </w:r>
          </w:p>
        </w:tc>
        <w:tc>
          <w:tcPr>
            <w:tcW w:w="1453" w:type="dxa"/>
            <w:shd w:val="clear" w:color="auto" w:fill="auto"/>
            <w:noWrap/>
            <w:hideMark/>
          </w:tcPr>
          <w:p w:rsidR="004317E8" w:rsidRPr="00175552" w:rsidRDefault="004317E8" w:rsidP="00F4506B">
            <w:pPr>
              <w:pStyle w:val="SingleTxtG"/>
              <w:suppressAutoHyphens w:val="0"/>
              <w:spacing w:before="40" w:after="40" w:line="220" w:lineRule="exact"/>
              <w:ind w:left="0" w:right="113"/>
              <w:jc w:val="right"/>
              <w:rPr>
                <w:sz w:val="18"/>
              </w:rPr>
            </w:pPr>
            <w:r w:rsidRPr="00175552">
              <w:rPr>
                <w:sz w:val="18"/>
              </w:rPr>
              <w:t>4 545</w:t>
            </w:r>
          </w:p>
        </w:tc>
        <w:tc>
          <w:tcPr>
            <w:tcW w:w="1762" w:type="dxa"/>
            <w:shd w:val="clear" w:color="auto" w:fill="auto"/>
            <w:noWrap/>
            <w:hideMark/>
          </w:tcPr>
          <w:p w:rsidR="004317E8" w:rsidRPr="00175552" w:rsidRDefault="004317E8" w:rsidP="00F4506B">
            <w:pPr>
              <w:pStyle w:val="SingleTxtG"/>
              <w:suppressAutoHyphens w:val="0"/>
              <w:spacing w:before="40" w:after="40" w:line="220" w:lineRule="exact"/>
              <w:ind w:left="0" w:right="113"/>
              <w:jc w:val="right"/>
              <w:rPr>
                <w:sz w:val="18"/>
              </w:rPr>
            </w:pPr>
            <w:r w:rsidRPr="00175552">
              <w:rPr>
                <w:sz w:val="18"/>
              </w:rPr>
              <w:t>8 155</w:t>
            </w:r>
          </w:p>
        </w:tc>
      </w:tr>
      <w:tr w:rsidR="00E30AEE" w:rsidRPr="00175552" w:rsidTr="00175552">
        <w:trPr>
          <w:trHeight w:val="240"/>
        </w:trPr>
        <w:tc>
          <w:tcPr>
            <w:tcW w:w="988" w:type="dxa"/>
            <w:shd w:val="clear" w:color="auto" w:fill="auto"/>
            <w:noWrap/>
            <w:hideMark/>
          </w:tcPr>
          <w:p w:rsidR="004317E8" w:rsidRPr="00175552" w:rsidRDefault="004317E8" w:rsidP="00175552">
            <w:pPr>
              <w:pStyle w:val="SingleTxtG"/>
              <w:suppressAutoHyphens w:val="0"/>
              <w:spacing w:before="40" w:after="40" w:line="220" w:lineRule="exact"/>
              <w:ind w:left="0" w:right="113"/>
              <w:jc w:val="left"/>
              <w:rPr>
                <w:sz w:val="18"/>
              </w:rPr>
            </w:pPr>
            <w:r w:rsidRPr="00175552">
              <w:rPr>
                <w:sz w:val="18"/>
              </w:rPr>
              <w:t>2015</w:t>
            </w:r>
          </w:p>
        </w:tc>
        <w:tc>
          <w:tcPr>
            <w:tcW w:w="1725" w:type="dxa"/>
            <w:shd w:val="clear" w:color="auto" w:fill="auto"/>
            <w:noWrap/>
            <w:hideMark/>
          </w:tcPr>
          <w:p w:rsidR="004317E8" w:rsidRPr="00175552" w:rsidRDefault="004317E8" w:rsidP="00F4506B">
            <w:pPr>
              <w:pStyle w:val="SingleTxtG"/>
              <w:suppressAutoHyphens w:val="0"/>
              <w:spacing w:before="40" w:after="40" w:line="220" w:lineRule="exact"/>
              <w:ind w:left="0" w:right="113"/>
              <w:jc w:val="right"/>
              <w:rPr>
                <w:sz w:val="18"/>
              </w:rPr>
            </w:pPr>
            <w:r w:rsidRPr="00175552">
              <w:rPr>
                <w:sz w:val="18"/>
              </w:rPr>
              <w:t>N/A</w:t>
            </w:r>
          </w:p>
        </w:tc>
        <w:tc>
          <w:tcPr>
            <w:tcW w:w="1442" w:type="dxa"/>
            <w:shd w:val="clear" w:color="auto" w:fill="auto"/>
            <w:noWrap/>
            <w:hideMark/>
          </w:tcPr>
          <w:p w:rsidR="004317E8" w:rsidRPr="00175552" w:rsidRDefault="004317E8" w:rsidP="00F4506B">
            <w:pPr>
              <w:pStyle w:val="SingleTxtG"/>
              <w:suppressAutoHyphens w:val="0"/>
              <w:spacing w:before="40" w:after="40" w:line="220" w:lineRule="exact"/>
              <w:ind w:left="0" w:right="113"/>
              <w:jc w:val="right"/>
              <w:rPr>
                <w:sz w:val="18"/>
              </w:rPr>
            </w:pPr>
            <w:r w:rsidRPr="00175552">
              <w:rPr>
                <w:sz w:val="18"/>
              </w:rPr>
              <w:t>752</w:t>
            </w:r>
          </w:p>
        </w:tc>
        <w:tc>
          <w:tcPr>
            <w:tcW w:w="1453" w:type="dxa"/>
            <w:shd w:val="clear" w:color="auto" w:fill="auto"/>
            <w:noWrap/>
            <w:hideMark/>
          </w:tcPr>
          <w:p w:rsidR="004317E8" w:rsidRPr="00175552" w:rsidRDefault="004317E8" w:rsidP="00F4506B">
            <w:pPr>
              <w:pStyle w:val="SingleTxtG"/>
              <w:suppressAutoHyphens w:val="0"/>
              <w:spacing w:before="40" w:after="40" w:line="220" w:lineRule="exact"/>
              <w:ind w:left="0" w:right="113"/>
              <w:jc w:val="right"/>
              <w:rPr>
                <w:sz w:val="18"/>
              </w:rPr>
            </w:pPr>
            <w:r w:rsidRPr="00175552">
              <w:rPr>
                <w:sz w:val="18"/>
              </w:rPr>
              <w:t>4 296</w:t>
            </w:r>
          </w:p>
        </w:tc>
        <w:tc>
          <w:tcPr>
            <w:tcW w:w="1762" w:type="dxa"/>
            <w:shd w:val="clear" w:color="auto" w:fill="auto"/>
            <w:noWrap/>
            <w:hideMark/>
          </w:tcPr>
          <w:p w:rsidR="004317E8" w:rsidRPr="00175552" w:rsidRDefault="004317E8" w:rsidP="00F4506B">
            <w:pPr>
              <w:pStyle w:val="SingleTxtG"/>
              <w:suppressAutoHyphens w:val="0"/>
              <w:spacing w:before="40" w:after="40" w:line="220" w:lineRule="exact"/>
              <w:ind w:left="0" w:right="113"/>
              <w:jc w:val="right"/>
              <w:rPr>
                <w:sz w:val="18"/>
              </w:rPr>
            </w:pPr>
            <w:r w:rsidRPr="00175552">
              <w:rPr>
                <w:sz w:val="18"/>
              </w:rPr>
              <w:t>22 914</w:t>
            </w:r>
          </w:p>
        </w:tc>
      </w:tr>
      <w:tr w:rsidR="00E30AEE" w:rsidRPr="00175552" w:rsidTr="00175552">
        <w:trPr>
          <w:trHeight w:val="240"/>
        </w:trPr>
        <w:tc>
          <w:tcPr>
            <w:tcW w:w="988" w:type="dxa"/>
            <w:shd w:val="clear" w:color="auto" w:fill="auto"/>
            <w:noWrap/>
            <w:hideMark/>
          </w:tcPr>
          <w:p w:rsidR="004317E8" w:rsidRPr="00175552" w:rsidRDefault="004317E8" w:rsidP="00175552">
            <w:pPr>
              <w:pStyle w:val="SingleTxtG"/>
              <w:suppressAutoHyphens w:val="0"/>
              <w:spacing w:before="40" w:after="40" w:line="220" w:lineRule="exact"/>
              <w:ind w:left="0" w:right="113"/>
              <w:jc w:val="left"/>
              <w:rPr>
                <w:sz w:val="18"/>
              </w:rPr>
            </w:pPr>
            <w:r w:rsidRPr="00175552">
              <w:rPr>
                <w:sz w:val="18"/>
              </w:rPr>
              <w:t>2016</w:t>
            </w:r>
          </w:p>
        </w:tc>
        <w:tc>
          <w:tcPr>
            <w:tcW w:w="1725" w:type="dxa"/>
            <w:shd w:val="clear" w:color="auto" w:fill="auto"/>
            <w:noWrap/>
            <w:hideMark/>
          </w:tcPr>
          <w:p w:rsidR="004317E8" w:rsidRPr="00175552" w:rsidRDefault="004317E8" w:rsidP="00F4506B">
            <w:pPr>
              <w:pStyle w:val="SingleTxtG"/>
              <w:suppressAutoHyphens w:val="0"/>
              <w:spacing w:before="40" w:after="40" w:line="220" w:lineRule="exact"/>
              <w:ind w:left="0" w:right="113"/>
              <w:jc w:val="right"/>
              <w:rPr>
                <w:sz w:val="18"/>
              </w:rPr>
            </w:pPr>
            <w:r w:rsidRPr="00175552">
              <w:rPr>
                <w:sz w:val="18"/>
              </w:rPr>
              <w:t>2</w:t>
            </w:r>
            <w:r w:rsidR="00CF4FBB">
              <w:rPr>
                <w:sz w:val="18"/>
              </w:rPr>
              <w:t xml:space="preserve"> </w:t>
            </w:r>
            <w:r w:rsidRPr="00175552">
              <w:rPr>
                <w:sz w:val="18"/>
              </w:rPr>
              <w:t>578</w:t>
            </w:r>
          </w:p>
        </w:tc>
        <w:tc>
          <w:tcPr>
            <w:tcW w:w="1442" w:type="dxa"/>
            <w:shd w:val="clear" w:color="auto" w:fill="auto"/>
            <w:noWrap/>
            <w:hideMark/>
          </w:tcPr>
          <w:p w:rsidR="004317E8" w:rsidRPr="00175552" w:rsidRDefault="004317E8" w:rsidP="00F4506B">
            <w:pPr>
              <w:pStyle w:val="SingleTxtG"/>
              <w:suppressAutoHyphens w:val="0"/>
              <w:spacing w:before="40" w:after="40" w:line="220" w:lineRule="exact"/>
              <w:ind w:left="0" w:right="113"/>
              <w:jc w:val="right"/>
              <w:rPr>
                <w:sz w:val="18"/>
              </w:rPr>
            </w:pPr>
            <w:r w:rsidRPr="00175552">
              <w:rPr>
                <w:sz w:val="18"/>
              </w:rPr>
              <w:t>817</w:t>
            </w:r>
          </w:p>
        </w:tc>
        <w:tc>
          <w:tcPr>
            <w:tcW w:w="1453" w:type="dxa"/>
            <w:shd w:val="clear" w:color="auto" w:fill="auto"/>
            <w:noWrap/>
            <w:hideMark/>
          </w:tcPr>
          <w:p w:rsidR="004317E8" w:rsidRPr="00175552" w:rsidRDefault="004317E8" w:rsidP="00F4506B">
            <w:pPr>
              <w:pStyle w:val="SingleTxtG"/>
              <w:suppressAutoHyphens w:val="0"/>
              <w:spacing w:before="40" w:after="40" w:line="220" w:lineRule="exact"/>
              <w:ind w:left="0" w:right="113"/>
              <w:jc w:val="right"/>
              <w:rPr>
                <w:sz w:val="18"/>
              </w:rPr>
            </w:pPr>
            <w:r w:rsidRPr="00175552">
              <w:rPr>
                <w:sz w:val="18"/>
              </w:rPr>
              <w:t>4 296</w:t>
            </w:r>
          </w:p>
        </w:tc>
        <w:tc>
          <w:tcPr>
            <w:tcW w:w="1762" w:type="dxa"/>
            <w:shd w:val="clear" w:color="auto" w:fill="auto"/>
            <w:noWrap/>
            <w:hideMark/>
          </w:tcPr>
          <w:p w:rsidR="004317E8" w:rsidRPr="00175552" w:rsidRDefault="004317E8" w:rsidP="00F4506B">
            <w:pPr>
              <w:pStyle w:val="SingleTxtG"/>
              <w:suppressAutoHyphens w:val="0"/>
              <w:spacing w:before="40" w:after="40" w:line="220" w:lineRule="exact"/>
              <w:ind w:left="0" w:right="113"/>
              <w:jc w:val="right"/>
              <w:rPr>
                <w:sz w:val="18"/>
              </w:rPr>
            </w:pPr>
            <w:r w:rsidRPr="00175552">
              <w:rPr>
                <w:sz w:val="18"/>
              </w:rPr>
              <w:t>34 584</w:t>
            </w:r>
          </w:p>
        </w:tc>
      </w:tr>
      <w:tr w:rsidR="00E30AEE" w:rsidRPr="00175552" w:rsidTr="00175552">
        <w:trPr>
          <w:trHeight w:val="240"/>
        </w:trPr>
        <w:tc>
          <w:tcPr>
            <w:tcW w:w="988" w:type="dxa"/>
            <w:shd w:val="clear" w:color="auto" w:fill="auto"/>
            <w:noWrap/>
            <w:hideMark/>
          </w:tcPr>
          <w:p w:rsidR="004317E8" w:rsidRPr="00175552" w:rsidRDefault="004317E8" w:rsidP="00175552">
            <w:pPr>
              <w:pStyle w:val="SingleTxtG"/>
              <w:suppressAutoHyphens w:val="0"/>
              <w:spacing w:before="40" w:after="40" w:line="220" w:lineRule="exact"/>
              <w:ind w:left="0" w:right="113"/>
              <w:jc w:val="left"/>
              <w:rPr>
                <w:sz w:val="18"/>
              </w:rPr>
            </w:pPr>
            <w:r w:rsidRPr="00175552">
              <w:rPr>
                <w:sz w:val="18"/>
              </w:rPr>
              <w:t>2017</w:t>
            </w:r>
          </w:p>
        </w:tc>
        <w:tc>
          <w:tcPr>
            <w:tcW w:w="1725" w:type="dxa"/>
            <w:shd w:val="clear" w:color="auto" w:fill="auto"/>
            <w:noWrap/>
            <w:hideMark/>
          </w:tcPr>
          <w:p w:rsidR="004317E8" w:rsidRPr="00175552" w:rsidRDefault="004317E8" w:rsidP="00F4506B">
            <w:pPr>
              <w:pStyle w:val="SingleTxtG"/>
              <w:suppressAutoHyphens w:val="0"/>
              <w:spacing w:before="40" w:after="40" w:line="220" w:lineRule="exact"/>
              <w:ind w:left="0" w:right="113"/>
              <w:jc w:val="right"/>
              <w:rPr>
                <w:sz w:val="18"/>
              </w:rPr>
            </w:pPr>
            <w:r w:rsidRPr="00175552">
              <w:rPr>
                <w:sz w:val="18"/>
              </w:rPr>
              <w:t>4</w:t>
            </w:r>
            <w:r w:rsidR="00CF4FBB">
              <w:rPr>
                <w:sz w:val="18"/>
              </w:rPr>
              <w:t xml:space="preserve"> </w:t>
            </w:r>
            <w:r w:rsidRPr="00175552">
              <w:rPr>
                <w:sz w:val="18"/>
              </w:rPr>
              <w:t>288</w:t>
            </w:r>
          </w:p>
        </w:tc>
        <w:tc>
          <w:tcPr>
            <w:tcW w:w="1442" w:type="dxa"/>
            <w:shd w:val="clear" w:color="auto" w:fill="auto"/>
            <w:noWrap/>
            <w:hideMark/>
          </w:tcPr>
          <w:p w:rsidR="004317E8" w:rsidRPr="00175552" w:rsidRDefault="004317E8" w:rsidP="00F4506B">
            <w:pPr>
              <w:pStyle w:val="SingleTxtG"/>
              <w:suppressAutoHyphens w:val="0"/>
              <w:spacing w:before="40" w:after="40" w:line="220" w:lineRule="exact"/>
              <w:ind w:left="0" w:right="113"/>
              <w:jc w:val="right"/>
              <w:rPr>
                <w:sz w:val="18"/>
              </w:rPr>
            </w:pPr>
            <w:r w:rsidRPr="00175552">
              <w:rPr>
                <w:sz w:val="18"/>
              </w:rPr>
              <w:t>846</w:t>
            </w:r>
          </w:p>
        </w:tc>
        <w:tc>
          <w:tcPr>
            <w:tcW w:w="1453" w:type="dxa"/>
            <w:shd w:val="clear" w:color="auto" w:fill="auto"/>
            <w:noWrap/>
            <w:hideMark/>
          </w:tcPr>
          <w:p w:rsidR="004317E8" w:rsidRPr="00175552" w:rsidRDefault="004317E8" w:rsidP="00F4506B">
            <w:pPr>
              <w:pStyle w:val="SingleTxtG"/>
              <w:suppressAutoHyphens w:val="0"/>
              <w:spacing w:before="40" w:after="40" w:line="220" w:lineRule="exact"/>
              <w:ind w:left="0" w:right="113"/>
              <w:jc w:val="right"/>
              <w:rPr>
                <w:sz w:val="18"/>
              </w:rPr>
            </w:pPr>
            <w:r w:rsidRPr="00175552">
              <w:rPr>
                <w:sz w:val="18"/>
              </w:rPr>
              <w:t>4 296</w:t>
            </w:r>
          </w:p>
        </w:tc>
        <w:tc>
          <w:tcPr>
            <w:tcW w:w="1762" w:type="dxa"/>
            <w:shd w:val="clear" w:color="auto" w:fill="auto"/>
            <w:noWrap/>
            <w:hideMark/>
          </w:tcPr>
          <w:p w:rsidR="004317E8" w:rsidRPr="00175552" w:rsidRDefault="004317E8" w:rsidP="00F4506B">
            <w:pPr>
              <w:pStyle w:val="SingleTxtG"/>
              <w:suppressAutoHyphens w:val="0"/>
              <w:spacing w:before="40" w:after="40" w:line="220" w:lineRule="exact"/>
              <w:ind w:left="0" w:right="113"/>
              <w:jc w:val="right"/>
              <w:rPr>
                <w:sz w:val="18"/>
              </w:rPr>
            </w:pPr>
            <w:r w:rsidRPr="00175552">
              <w:rPr>
                <w:sz w:val="18"/>
              </w:rPr>
              <w:t>37 015</w:t>
            </w:r>
          </w:p>
        </w:tc>
      </w:tr>
    </w:tbl>
    <w:p w:rsidR="0066506B" w:rsidRDefault="0066506B"/>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6"/>
        <w:gridCol w:w="1732"/>
        <w:gridCol w:w="1449"/>
        <w:gridCol w:w="1460"/>
        <w:gridCol w:w="1733"/>
      </w:tblGrid>
      <w:tr w:rsidR="00CF4FBB" w:rsidRPr="00CF4FBB" w:rsidTr="00CF4FBB">
        <w:trPr>
          <w:trHeight w:val="240"/>
          <w:tblHeader/>
        </w:trPr>
        <w:tc>
          <w:tcPr>
            <w:tcW w:w="7370" w:type="dxa"/>
            <w:gridSpan w:val="5"/>
            <w:tcBorders>
              <w:top w:val="single" w:sz="4" w:space="0" w:color="auto"/>
              <w:bottom w:val="single" w:sz="4" w:space="0" w:color="auto"/>
            </w:tcBorders>
            <w:shd w:val="clear" w:color="auto" w:fill="auto"/>
            <w:noWrap/>
            <w:vAlign w:val="bottom"/>
            <w:hideMark/>
          </w:tcPr>
          <w:p w:rsidR="00CF4FBB" w:rsidRPr="00CF4FBB" w:rsidRDefault="00CF4FBB" w:rsidP="00E03F1B">
            <w:pPr>
              <w:pStyle w:val="SingleTxtG"/>
              <w:suppressAutoHyphens w:val="0"/>
              <w:spacing w:before="80" w:after="80" w:line="200" w:lineRule="exact"/>
              <w:ind w:left="0" w:right="113"/>
              <w:jc w:val="left"/>
              <w:rPr>
                <w:i/>
                <w:sz w:val="16"/>
              </w:rPr>
            </w:pPr>
            <w:r w:rsidRPr="00CF4FBB">
              <w:rPr>
                <w:i/>
                <w:sz w:val="16"/>
              </w:rPr>
              <w:t>Commitment to Education</w:t>
            </w:r>
          </w:p>
        </w:tc>
      </w:tr>
      <w:tr w:rsidR="00E30AEE" w:rsidRPr="00CF4FBB" w:rsidTr="00CF4FBB">
        <w:trPr>
          <w:trHeight w:val="240"/>
        </w:trPr>
        <w:tc>
          <w:tcPr>
            <w:tcW w:w="996" w:type="dxa"/>
            <w:tcBorders>
              <w:top w:val="single" w:sz="4" w:space="0" w:color="auto"/>
              <w:bottom w:val="single" w:sz="12" w:space="0" w:color="auto"/>
            </w:tcBorders>
            <w:shd w:val="clear" w:color="auto" w:fill="auto"/>
            <w:hideMark/>
          </w:tcPr>
          <w:p w:rsidR="004317E8" w:rsidRPr="00CF4FBB" w:rsidRDefault="004317E8" w:rsidP="007B7DC6">
            <w:pPr>
              <w:pStyle w:val="SingleTxtG"/>
              <w:suppressAutoHyphens w:val="0"/>
              <w:spacing w:before="80" w:after="80" w:line="200" w:lineRule="exact"/>
              <w:ind w:left="0" w:right="113"/>
              <w:jc w:val="left"/>
              <w:rPr>
                <w:i/>
                <w:sz w:val="16"/>
              </w:rPr>
            </w:pPr>
            <w:bookmarkStart w:id="0" w:name="_GoBack" w:colFirst="1" w:colLast="4"/>
            <w:r w:rsidRPr="00CF4FBB">
              <w:rPr>
                <w:i/>
                <w:sz w:val="16"/>
              </w:rPr>
              <w:t>Year</w:t>
            </w:r>
          </w:p>
        </w:tc>
        <w:tc>
          <w:tcPr>
            <w:tcW w:w="1732" w:type="dxa"/>
            <w:tcBorders>
              <w:top w:val="single" w:sz="4" w:space="0" w:color="auto"/>
              <w:bottom w:val="single" w:sz="12" w:space="0" w:color="auto"/>
            </w:tcBorders>
            <w:shd w:val="clear" w:color="auto" w:fill="auto"/>
            <w:vAlign w:val="bottom"/>
            <w:hideMark/>
          </w:tcPr>
          <w:p w:rsidR="004317E8" w:rsidRPr="00CF4FBB" w:rsidRDefault="004317E8" w:rsidP="007B7DC6">
            <w:pPr>
              <w:pStyle w:val="SingleTxtG"/>
              <w:suppressAutoHyphens w:val="0"/>
              <w:spacing w:before="80" w:after="80" w:line="200" w:lineRule="exact"/>
              <w:ind w:left="0" w:right="113"/>
              <w:jc w:val="right"/>
              <w:rPr>
                <w:i/>
                <w:sz w:val="16"/>
              </w:rPr>
            </w:pPr>
            <w:r w:rsidRPr="00CF4FBB">
              <w:rPr>
                <w:i/>
                <w:sz w:val="16"/>
              </w:rPr>
              <w:t>Applications from students of African descent (completed)</w:t>
            </w:r>
          </w:p>
        </w:tc>
        <w:tc>
          <w:tcPr>
            <w:tcW w:w="1449" w:type="dxa"/>
            <w:tcBorders>
              <w:top w:val="single" w:sz="4" w:space="0" w:color="auto"/>
              <w:bottom w:val="single" w:sz="12" w:space="0" w:color="auto"/>
            </w:tcBorders>
            <w:shd w:val="clear" w:color="auto" w:fill="auto"/>
            <w:vAlign w:val="bottom"/>
            <w:hideMark/>
          </w:tcPr>
          <w:p w:rsidR="004317E8" w:rsidRPr="00CF4FBB" w:rsidRDefault="004317E8" w:rsidP="007B7DC6">
            <w:pPr>
              <w:pStyle w:val="SingleTxtG"/>
              <w:suppressAutoHyphens w:val="0"/>
              <w:spacing w:before="80" w:after="80" w:line="200" w:lineRule="exact"/>
              <w:ind w:left="0" w:right="113"/>
              <w:jc w:val="right"/>
              <w:rPr>
                <w:i/>
                <w:sz w:val="16"/>
              </w:rPr>
            </w:pPr>
            <w:r w:rsidRPr="00CF4FBB">
              <w:rPr>
                <w:i/>
                <w:sz w:val="16"/>
              </w:rPr>
              <w:t>Awards to students of African descent*</w:t>
            </w:r>
          </w:p>
        </w:tc>
        <w:tc>
          <w:tcPr>
            <w:tcW w:w="1460" w:type="dxa"/>
            <w:tcBorders>
              <w:top w:val="single" w:sz="4" w:space="0" w:color="auto"/>
              <w:bottom w:val="single" w:sz="12" w:space="0" w:color="auto"/>
            </w:tcBorders>
            <w:shd w:val="clear" w:color="auto" w:fill="auto"/>
            <w:vAlign w:val="bottom"/>
            <w:hideMark/>
          </w:tcPr>
          <w:p w:rsidR="004317E8" w:rsidRPr="00CF4FBB" w:rsidRDefault="004317E8" w:rsidP="007B7DC6">
            <w:pPr>
              <w:pStyle w:val="SingleTxtG"/>
              <w:suppressAutoHyphens w:val="0"/>
              <w:spacing w:before="80" w:after="80" w:line="200" w:lineRule="exact"/>
              <w:ind w:left="0" w:right="113"/>
              <w:jc w:val="right"/>
              <w:rPr>
                <w:i/>
                <w:sz w:val="16"/>
              </w:rPr>
            </w:pPr>
            <w:r w:rsidRPr="00CF4FBB">
              <w:rPr>
                <w:i/>
                <w:sz w:val="16"/>
              </w:rPr>
              <w:t>Scholarships awarded</w:t>
            </w:r>
          </w:p>
        </w:tc>
        <w:tc>
          <w:tcPr>
            <w:tcW w:w="1733" w:type="dxa"/>
            <w:tcBorders>
              <w:top w:val="single" w:sz="4" w:space="0" w:color="auto"/>
              <w:bottom w:val="single" w:sz="12" w:space="0" w:color="auto"/>
            </w:tcBorders>
            <w:shd w:val="clear" w:color="auto" w:fill="auto"/>
            <w:vAlign w:val="bottom"/>
            <w:hideMark/>
          </w:tcPr>
          <w:p w:rsidR="004317E8" w:rsidRPr="00CF4FBB" w:rsidRDefault="004317E8" w:rsidP="007B7DC6">
            <w:pPr>
              <w:pStyle w:val="SingleTxtG"/>
              <w:suppressAutoHyphens w:val="0"/>
              <w:spacing w:before="80" w:after="80" w:line="200" w:lineRule="exact"/>
              <w:ind w:left="0" w:right="113"/>
              <w:jc w:val="right"/>
              <w:rPr>
                <w:i/>
                <w:sz w:val="16"/>
              </w:rPr>
            </w:pPr>
            <w:r w:rsidRPr="00CF4FBB">
              <w:rPr>
                <w:i/>
                <w:sz w:val="16"/>
              </w:rPr>
              <w:t>Total applications</w:t>
            </w:r>
          </w:p>
        </w:tc>
      </w:tr>
      <w:bookmarkEnd w:id="0"/>
      <w:tr w:rsidR="00E30AEE" w:rsidRPr="00CF4FBB" w:rsidTr="00CF4FBB">
        <w:trPr>
          <w:trHeight w:val="240"/>
        </w:trPr>
        <w:tc>
          <w:tcPr>
            <w:tcW w:w="996" w:type="dxa"/>
            <w:tcBorders>
              <w:top w:val="single" w:sz="12" w:space="0" w:color="auto"/>
            </w:tcBorders>
            <w:shd w:val="clear" w:color="auto" w:fill="auto"/>
            <w:noWrap/>
            <w:hideMark/>
          </w:tcPr>
          <w:p w:rsidR="004317E8" w:rsidRPr="00CF4FBB" w:rsidRDefault="004317E8" w:rsidP="00CF4FBB">
            <w:pPr>
              <w:pStyle w:val="SingleTxtG"/>
              <w:suppressAutoHyphens w:val="0"/>
              <w:spacing w:before="40" w:after="40" w:line="220" w:lineRule="exact"/>
              <w:ind w:left="0" w:right="113"/>
              <w:jc w:val="left"/>
              <w:rPr>
                <w:sz w:val="18"/>
              </w:rPr>
            </w:pPr>
            <w:r w:rsidRPr="00CF4FBB">
              <w:rPr>
                <w:sz w:val="18"/>
              </w:rPr>
              <w:t>2011</w:t>
            </w:r>
          </w:p>
        </w:tc>
        <w:tc>
          <w:tcPr>
            <w:tcW w:w="1732" w:type="dxa"/>
            <w:tcBorders>
              <w:top w:val="single" w:sz="12" w:space="0" w:color="auto"/>
            </w:tcBorders>
            <w:shd w:val="clear" w:color="auto" w:fill="auto"/>
            <w:noWrap/>
            <w:vAlign w:val="bottom"/>
            <w:hideMark/>
          </w:tcPr>
          <w:p w:rsidR="004317E8" w:rsidRPr="00CF4FBB" w:rsidRDefault="004317E8" w:rsidP="00CF4FBB">
            <w:pPr>
              <w:pStyle w:val="SingleTxtG"/>
              <w:suppressAutoHyphens w:val="0"/>
              <w:spacing w:before="40" w:after="40" w:line="220" w:lineRule="exact"/>
              <w:ind w:left="0" w:right="113"/>
              <w:jc w:val="right"/>
              <w:rPr>
                <w:sz w:val="18"/>
              </w:rPr>
            </w:pPr>
            <w:r w:rsidRPr="00CF4FBB">
              <w:rPr>
                <w:sz w:val="18"/>
              </w:rPr>
              <w:t>N/A</w:t>
            </w:r>
          </w:p>
        </w:tc>
        <w:tc>
          <w:tcPr>
            <w:tcW w:w="1449" w:type="dxa"/>
            <w:tcBorders>
              <w:top w:val="single" w:sz="12" w:space="0" w:color="auto"/>
            </w:tcBorders>
            <w:shd w:val="clear" w:color="auto" w:fill="auto"/>
            <w:noWrap/>
            <w:vAlign w:val="bottom"/>
            <w:hideMark/>
          </w:tcPr>
          <w:p w:rsidR="004317E8" w:rsidRPr="00CF4FBB" w:rsidRDefault="004317E8" w:rsidP="00CF4FBB">
            <w:pPr>
              <w:pStyle w:val="SingleTxtG"/>
              <w:suppressAutoHyphens w:val="0"/>
              <w:spacing w:before="40" w:after="40" w:line="220" w:lineRule="exact"/>
              <w:ind w:left="0" w:right="113"/>
              <w:jc w:val="right"/>
              <w:rPr>
                <w:sz w:val="18"/>
              </w:rPr>
            </w:pPr>
            <w:r w:rsidRPr="00CF4FBB">
              <w:rPr>
                <w:sz w:val="18"/>
              </w:rPr>
              <w:t>N/A</w:t>
            </w:r>
          </w:p>
        </w:tc>
        <w:tc>
          <w:tcPr>
            <w:tcW w:w="1460" w:type="dxa"/>
            <w:tcBorders>
              <w:top w:val="single" w:sz="12" w:space="0" w:color="auto"/>
            </w:tcBorders>
            <w:shd w:val="clear" w:color="auto" w:fill="auto"/>
            <w:noWrap/>
            <w:vAlign w:val="bottom"/>
            <w:hideMark/>
          </w:tcPr>
          <w:p w:rsidR="004317E8" w:rsidRPr="00CF4FBB" w:rsidRDefault="004317E8" w:rsidP="00CF4FBB">
            <w:pPr>
              <w:pStyle w:val="SingleTxtG"/>
              <w:suppressAutoHyphens w:val="0"/>
              <w:spacing w:before="40" w:after="40" w:line="220" w:lineRule="exact"/>
              <w:ind w:left="0" w:right="113"/>
              <w:jc w:val="right"/>
              <w:rPr>
                <w:sz w:val="18"/>
              </w:rPr>
            </w:pPr>
            <w:r w:rsidRPr="00CF4FBB">
              <w:rPr>
                <w:sz w:val="18"/>
              </w:rPr>
              <w:t>1 610</w:t>
            </w:r>
          </w:p>
        </w:tc>
        <w:tc>
          <w:tcPr>
            <w:tcW w:w="1733" w:type="dxa"/>
            <w:tcBorders>
              <w:top w:val="single" w:sz="12" w:space="0" w:color="auto"/>
            </w:tcBorders>
            <w:shd w:val="clear" w:color="auto" w:fill="auto"/>
            <w:noWrap/>
            <w:vAlign w:val="bottom"/>
            <w:hideMark/>
          </w:tcPr>
          <w:p w:rsidR="004317E8" w:rsidRPr="00CF4FBB" w:rsidRDefault="004317E8" w:rsidP="00CF4FBB">
            <w:pPr>
              <w:pStyle w:val="SingleTxtG"/>
              <w:suppressAutoHyphens w:val="0"/>
              <w:spacing w:before="40" w:after="40" w:line="220" w:lineRule="exact"/>
              <w:ind w:left="0" w:right="113"/>
              <w:jc w:val="right"/>
              <w:rPr>
                <w:sz w:val="18"/>
              </w:rPr>
            </w:pPr>
            <w:r w:rsidRPr="00CF4FBB">
              <w:rPr>
                <w:sz w:val="18"/>
              </w:rPr>
              <w:t>N/A</w:t>
            </w:r>
          </w:p>
        </w:tc>
      </w:tr>
      <w:tr w:rsidR="00E30AEE" w:rsidRPr="00CF4FBB" w:rsidTr="00CF4FBB">
        <w:trPr>
          <w:trHeight w:val="240"/>
        </w:trPr>
        <w:tc>
          <w:tcPr>
            <w:tcW w:w="996" w:type="dxa"/>
            <w:shd w:val="clear" w:color="auto" w:fill="auto"/>
            <w:noWrap/>
            <w:hideMark/>
          </w:tcPr>
          <w:p w:rsidR="004317E8" w:rsidRPr="00CF4FBB" w:rsidRDefault="004317E8" w:rsidP="00CF4FBB">
            <w:pPr>
              <w:pStyle w:val="SingleTxtG"/>
              <w:suppressAutoHyphens w:val="0"/>
              <w:spacing w:before="40" w:after="40" w:line="220" w:lineRule="exact"/>
              <w:ind w:left="0" w:right="113"/>
              <w:jc w:val="left"/>
              <w:rPr>
                <w:sz w:val="18"/>
              </w:rPr>
            </w:pPr>
            <w:r w:rsidRPr="00CF4FBB">
              <w:rPr>
                <w:sz w:val="18"/>
              </w:rPr>
              <w:t>2012</w:t>
            </w:r>
          </w:p>
        </w:tc>
        <w:tc>
          <w:tcPr>
            <w:tcW w:w="1732" w:type="dxa"/>
            <w:shd w:val="clear" w:color="auto" w:fill="auto"/>
            <w:noWrap/>
            <w:vAlign w:val="bottom"/>
            <w:hideMark/>
          </w:tcPr>
          <w:p w:rsidR="004317E8" w:rsidRPr="00CF4FBB" w:rsidRDefault="004317E8" w:rsidP="00CF4FBB">
            <w:pPr>
              <w:pStyle w:val="SingleTxtG"/>
              <w:suppressAutoHyphens w:val="0"/>
              <w:spacing w:before="40" w:after="40" w:line="220" w:lineRule="exact"/>
              <w:ind w:left="0" w:right="113"/>
              <w:jc w:val="right"/>
              <w:rPr>
                <w:sz w:val="18"/>
              </w:rPr>
            </w:pPr>
            <w:r w:rsidRPr="00CF4FBB">
              <w:rPr>
                <w:sz w:val="18"/>
              </w:rPr>
              <w:t>N/A</w:t>
            </w:r>
          </w:p>
        </w:tc>
        <w:tc>
          <w:tcPr>
            <w:tcW w:w="1449" w:type="dxa"/>
            <w:shd w:val="clear" w:color="auto" w:fill="auto"/>
            <w:noWrap/>
            <w:vAlign w:val="bottom"/>
            <w:hideMark/>
          </w:tcPr>
          <w:p w:rsidR="004317E8" w:rsidRPr="00CF4FBB" w:rsidRDefault="004317E8" w:rsidP="00CF4FBB">
            <w:pPr>
              <w:pStyle w:val="SingleTxtG"/>
              <w:suppressAutoHyphens w:val="0"/>
              <w:spacing w:before="40" w:after="40" w:line="220" w:lineRule="exact"/>
              <w:ind w:left="0" w:right="113"/>
              <w:jc w:val="right"/>
              <w:rPr>
                <w:sz w:val="18"/>
              </w:rPr>
            </w:pPr>
            <w:r w:rsidRPr="00CF4FBB">
              <w:rPr>
                <w:sz w:val="18"/>
              </w:rPr>
              <w:t>N/A</w:t>
            </w:r>
          </w:p>
        </w:tc>
        <w:tc>
          <w:tcPr>
            <w:tcW w:w="1460" w:type="dxa"/>
            <w:shd w:val="clear" w:color="auto" w:fill="auto"/>
            <w:noWrap/>
            <w:vAlign w:val="bottom"/>
            <w:hideMark/>
          </w:tcPr>
          <w:p w:rsidR="004317E8" w:rsidRPr="00CF4FBB" w:rsidRDefault="004317E8" w:rsidP="00CF4FBB">
            <w:pPr>
              <w:pStyle w:val="SingleTxtG"/>
              <w:suppressAutoHyphens w:val="0"/>
              <w:spacing w:before="40" w:after="40" w:line="220" w:lineRule="exact"/>
              <w:ind w:left="0" w:right="113"/>
              <w:jc w:val="right"/>
              <w:rPr>
                <w:sz w:val="18"/>
              </w:rPr>
            </w:pPr>
            <w:r w:rsidRPr="00CF4FBB">
              <w:rPr>
                <w:sz w:val="18"/>
              </w:rPr>
              <w:t>4,355</w:t>
            </w:r>
          </w:p>
        </w:tc>
        <w:tc>
          <w:tcPr>
            <w:tcW w:w="1733" w:type="dxa"/>
            <w:shd w:val="clear" w:color="auto" w:fill="auto"/>
            <w:noWrap/>
            <w:vAlign w:val="bottom"/>
            <w:hideMark/>
          </w:tcPr>
          <w:p w:rsidR="004317E8" w:rsidRPr="00CF4FBB" w:rsidRDefault="004317E8" w:rsidP="00CF4FBB">
            <w:pPr>
              <w:pStyle w:val="SingleTxtG"/>
              <w:suppressAutoHyphens w:val="0"/>
              <w:spacing w:before="40" w:after="40" w:line="220" w:lineRule="exact"/>
              <w:ind w:left="0" w:right="113"/>
              <w:jc w:val="right"/>
              <w:rPr>
                <w:sz w:val="18"/>
              </w:rPr>
            </w:pPr>
            <w:r w:rsidRPr="00CF4FBB">
              <w:rPr>
                <w:sz w:val="18"/>
              </w:rPr>
              <w:t>N/A</w:t>
            </w:r>
          </w:p>
        </w:tc>
      </w:tr>
      <w:tr w:rsidR="00E30AEE" w:rsidRPr="00CF4FBB" w:rsidTr="00CF4FBB">
        <w:trPr>
          <w:trHeight w:val="240"/>
        </w:trPr>
        <w:tc>
          <w:tcPr>
            <w:tcW w:w="996" w:type="dxa"/>
            <w:shd w:val="clear" w:color="auto" w:fill="auto"/>
            <w:noWrap/>
            <w:hideMark/>
          </w:tcPr>
          <w:p w:rsidR="004317E8" w:rsidRPr="00CF4FBB" w:rsidRDefault="004317E8" w:rsidP="00CF4FBB">
            <w:pPr>
              <w:pStyle w:val="SingleTxtG"/>
              <w:suppressAutoHyphens w:val="0"/>
              <w:spacing w:before="40" w:after="40" w:line="220" w:lineRule="exact"/>
              <w:ind w:left="0" w:right="113"/>
              <w:jc w:val="left"/>
              <w:rPr>
                <w:sz w:val="18"/>
              </w:rPr>
            </w:pPr>
            <w:r w:rsidRPr="00CF4FBB">
              <w:rPr>
                <w:sz w:val="18"/>
              </w:rPr>
              <w:t>2013</w:t>
            </w:r>
          </w:p>
        </w:tc>
        <w:tc>
          <w:tcPr>
            <w:tcW w:w="1732" w:type="dxa"/>
            <w:shd w:val="clear" w:color="auto" w:fill="auto"/>
            <w:noWrap/>
            <w:vAlign w:val="bottom"/>
            <w:hideMark/>
          </w:tcPr>
          <w:p w:rsidR="004317E8" w:rsidRPr="00CF4FBB" w:rsidRDefault="004317E8" w:rsidP="00CF4FBB">
            <w:pPr>
              <w:pStyle w:val="SingleTxtG"/>
              <w:suppressAutoHyphens w:val="0"/>
              <w:spacing w:before="40" w:after="40" w:line="220" w:lineRule="exact"/>
              <w:ind w:left="0" w:right="113"/>
              <w:jc w:val="right"/>
              <w:rPr>
                <w:sz w:val="18"/>
              </w:rPr>
            </w:pPr>
            <w:r w:rsidRPr="00CF4FBB">
              <w:rPr>
                <w:sz w:val="18"/>
              </w:rPr>
              <w:t>N/A</w:t>
            </w:r>
          </w:p>
        </w:tc>
        <w:tc>
          <w:tcPr>
            <w:tcW w:w="1449" w:type="dxa"/>
            <w:shd w:val="clear" w:color="auto" w:fill="auto"/>
            <w:noWrap/>
            <w:vAlign w:val="bottom"/>
            <w:hideMark/>
          </w:tcPr>
          <w:p w:rsidR="004317E8" w:rsidRPr="00CF4FBB" w:rsidRDefault="004317E8" w:rsidP="00CF4FBB">
            <w:pPr>
              <w:pStyle w:val="SingleTxtG"/>
              <w:suppressAutoHyphens w:val="0"/>
              <w:spacing w:before="40" w:after="40" w:line="220" w:lineRule="exact"/>
              <w:ind w:left="0" w:right="113"/>
              <w:jc w:val="right"/>
              <w:rPr>
                <w:sz w:val="18"/>
              </w:rPr>
            </w:pPr>
            <w:r w:rsidRPr="00CF4FBB">
              <w:rPr>
                <w:sz w:val="18"/>
              </w:rPr>
              <w:t>N/A</w:t>
            </w:r>
          </w:p>
        </w:tc>
        <w:tc>
          <w:tcPr>
            <w:tcW w:w="1460" w:type="dxa"/>
            <w:shd w:val="clear" w:color="auto" w:fill="auto"/>
            <w:noWrap/>
            <w:vAlign w:val="bottom"/>
            <w:hideMark/>
          </w:tcPr>
          <w:p w:rsidR="004317E8" w:rsidRPr="00CF4FBB" w:rsidRDefault="004317E8" w:rsidP="00CF4FBB">
            <w:pPr>
              <w:pStyle w:val="SingleTxtG"/>
              <w:suppressAutoHyphens w:val="0"/>
              <w:spacing w:before="40" w:after="40" w:line="220" w:lineRule="exact"/>
              <w:ind w:left="0" w:right="113"/>
              <w:jc w:val="right"/>
              <w:rPr>
                <w:sz w:val="18"/>
              </w:rPr>
            </w:pPr>
            <w:r w:rsidRPr="00CF4FBB">
              <w:rPr>
                <w:sz w:val="18"/>
              </w:rPr>
              <w:t>N/A</w:t>
            </w:r>
          </w:p>
        </w:tc>
        <w:tc>
          <w:tcPr>
            <w:tcW w:w="1733" w:type="dxa"/>
            <w:shd w:val="clear" w:color="auto" w:fill="auto"/>
            <w:noWrap/>
            <w:vAlign w:val="bottom"/>
            <w:hideMark/>
          </w:tcPr>
          <w:p w:rsidR="004317E8" w:rsidRPr="00CF4FBB" w:rsidRDefault="004317E8" w:rsidP="00CF4FBB">
            <w:pPr>
              <w:pStyle w:val="SingleTxtG"/>
              <w:suppressAutoHyphens w:val="0"/>
              <w:spacing w:before="40" w:after="40" w:line="220" w:lineRule="exact"/>
              <w:ind w:left="0" w:right="113"/>
              <w:jc w:val="right"/>
              <w:rPr>
                <w:sz w:val="18"/>
              </w:rPr>
            </w:pPr>
            <w:r w:rsidRPr="00CF4FBB">
              <w:rPr>
                <w:sz w:val="18"/>
              </w:rPr>
              <w:t>N/A</w:t>
            </w:r>
          </w:p>
        </w:tc>
      </w:tr>
      <w:tr w:rsidR="00E30AEE" w:rsidRPr="00CF4FBB" w:rsidTr="00CF4FBB">
        <w:trPr>
          <w:trHeight w:val="240"/>
        </w:trPr>
        <w:tc>
          <w:tcPr>
            <w:tcW w:w="996" w:type="dxa"/>
            <w:shd w:val="clear" w:color="auto" w:fill="auto"/>
            <w:noWrap/>
            <w:hideMark/>
          </w:tcPr>
          <w:p w:rsidR="004317E8" w:rsidRPr="00CF4FBB" w:rsidRDefault="004317E8" w:rsidP="00CF4FBB">
            <w:pPr>
              <w:pStyle w:val="SingleTxtG"/>
              <w:suppressAutoHyphens w:val="0"/>
              <w:spacing w:before="40" w:after="40" w:line="220" w:lineRule="exact"/>
              <w:ind w:left="0" w:right="113"/>
              <w:jc w:val="left"/>
              <w:rPr>
                <w:sz w:val="18"/>
              </w:rPr>
            </w:pPr>
            <w:r w:rsidRPr="00CF4FBB">
              <w:rPr>
                <w:sz w:val="18"/>
              </w:rPr>
              <w:t>2014</w:t>
            </w:r>
          </w:p>
        </w:tc>
        <w:tc>
          <w:tcPr>
            <w:tcW w:w="1732" w:type="dxa"/>
            <w:shd w:val="clear" w:color="auto" w:fill="auto"/>
            <w:noWrap/>
            <w:vAlign w:val="bottom"/>
            <w:hideMark/>
          </w:tcPr>
          <w:p w:rsidR="004317E8" w:rsidRPr="00CF4FBB" w:rsidRDefault="004317E8" w:rsidP="00CF4FBB">
            <w:pPr>
              <w:pStyle w:val="SingleTxtG"/>
              <w:suppressAutoHyphens w:val="0"/>
              <w:spacing w:before="40" w:after="40" w:line="220" w:lineRule="exact"/>
              <w:ind w:left="0" w:right="113"/>
              <w:jc w:val="right"/>
              <w:rPr>
                <w:sz w:val="18"/>
              </w:rPr>
            </w:pPr>
            <w:r w:rsidRPr="00CF4FBB">
              <w:rPr>
                <w:sz w:val="18"/>
              </w:rPr>
              <w:t>N/A</w:t>
            </w:r>
          </w:p>
        </w:tc>
        <w:tc>
          <w:tcPr>
            <w:tcW w:w="1449" w:type="dxa"/>
            <w:shd w:val="clear" w:color="auto" w:fill="auto"/>
            <w:noWrap/>
            <w:vAlign w:val="bottom"/>
            <w:hideMark/>
          </w:tcPr>
          <w:p w:rsidR="004317E8" w:rsidRPr="00CF4FBB" w:rsidRDefault="004317E8" w:rsidP="00CF4FBB">
            <w:pPr>
              <w:pStyle w:val="SingleTxtG"/>
              <w:suppressAutoHyphens w:val="0"/>
              <w:spacing w:before="40" w:after="40" w:line="220" w:lineRule="exact"/>
              <w:ind w:left="0" w:right="113"/>
              <w:jc w:val="right"/>
              <w:rPr>
                <w:sz w:val="18"/>
              </w:rPr>
            </w:pPr>
            <w:r w:rsidRPr="00CF4FBB">
              <w:rPr>
                <w:sz w:val="18"/>
              </w:rPr>
              <w:t>N/A</w:t>
            </w:r>
          </w:p>
        </w:tc>
        <w:tc>
          <w:tcPr>
            <w:tcW w:w="1460" w:type="dxa"/>
            <w:shd w:val="clear" w:color="auto" w:fill="auto"/>
            <w:noWrap/>
            <w:vAlign w:val="bottom"/>
            <w:hideMark/>
          </w:tcPr>
          <w:p w:rsidR="004317E8" w:rsidRPr="00CF4FBB" w:rsidRDefault="004317E8" w:rsidP="00CF4FBB">
            <w:pPr>
              <w:pStyle w:val="SingleTxtG"/>
              <w:suppressAutoHyphens w:val="0"/>
              <w:spacing w:before="40" w:after="40" w:line="220" w:lineRule="exact"/>
              <w:ind w:left="0" w:right="113"/>
              <w:jc w:val="right"/>
              <w:rPr>
                <w:sz w:val="18"/>
              </w:rPr>
            </w:pPr>
            <w:r w:rsidRPr="00CF4FBB">
              <w:rPr>
                <w:sz w:val="18"/>
              </w:rPr>
              <w:t>N/A</w:t>
            </w:r>
          </w:p>
        </w:tc>
        <w:tc>
          <w:tcPr>
            <w:tcW w:w="1733" w:type="dxa"/>
            <w:shd w:val="clear" w:color="auto" w:fill="auto"/>
            <w:noWrap/>
            <w:vAlign w:val="bottom"/>
            <w:hideMark/>
          </w:tcPr>
          <w:p w:rsidR="004317E8" w:rsidRPr="00CF4FBB" w:rsidRDefault="004317E8" w:rsidP="00CF4FBB">
            <w:pPr>
              <w:pStyle w:val="SingleTxtG"/>
              <w:suppressAutoHyphens w:val="0"/>
              <w:spacing w:before="40" w:after="40" w:line="220" w:lineRule="exact"/>
              <w:ind w:left="0" w:right="113"/>
              <w:jc w:val="right"/>
              <w:rPr>
                <w:sz w:val="18"/>
              </w:rPr>
            </w:pPr>
            <w:r w:rsidRPr="00CF4FBB">
              <w:rPr>
                <w:sz w:val="18"/>
              </w:rPr>
              <w:t>N/A</w:t>
            </w:r>
          </w:p>
        </w:tc>
      </w:tr>
      <w:tr w:rsidR="00E30AEE" w:rsidRPr="00CF4FBB" w:rsidTr="00CF4FBB">
        <w:trPr>
          <w:trHeight w:val="240"/>
        </w:trPr>
        <w:tc>
          <w:tcPr>
            <w:tcW w:w="996" w:type="dxa"/>
            <w:shd w:val="clear" w:color="auto" w:fill="auto"/>
            <w:noWrap/>
            <w:hideMark/>
          </w:tcPr>
          <w:p w:rsidR="004317E8" w:rsidRPr="00CF4FBB" w:rsidRDefault="004317E8" w:rsidP="00CF4FBB">
            <w:pPr>
              <w:pStyle w:val="SingleTxtG"/>
              <w:suppressAutoHyphens w:val="0"/>
              <w:spacing w:before="40" w:after="40" w:line="220" w:lineRule="exact"/>
              <w:ind w:left="0" w:right="113"/>
              <w:jc w:val="left"/>
              <w:rPr>
                <w:sz w:val="18"/>
              </w:rPr>
            </w:pPr>
            <w:r w:rsidRPr="00CF4FBB">
              <w:rPr>
                <w:sz w:val="18"/>
              </w:rPr>
              <w:t>2015</w:t>
            </w:r>
          </w:p>
        </w:tc>
        <w:tc>
          <w:tcPr>
            <w:tcW w:w="1732" w:type="dxa"/>
            <w:shd w:val="clear" w:color="auto" w:fill="auto"/>
            <w:noWrap/>
            <w:vAlign w:val="bottom"/>
            <w:hideMark/>
          </w:tcPr>
          <w:p w:rsidR="004317E8" w:rsidRPr="00CF4FBB" w:rsidRDefault="004317E8" w:rsidP="00CF4FBB">
            <w:pPr>
              <w:pStyle w:val="SingleTxtG"/>
              <w:suppressAutoHyphens w:val="0"/>
              <w:spacing w:before="40" w:after="40" w:line="220" w:lineRule="exact"/>
              <w:ind w:left="0" w:right="113"/>
              <w:jc w:val="right"/>
              <w:rPr>
                <w:sz w:val="18"/>
              </w:rPr>
            </w:pPr>
            <w:r w:rsidRPr="00CF4FBB">
              <w:rPr>
                <w:sz w:val="18"/>
              </w:rPr>
              <w:t>N/A</w:t>
            </w:r>
          </w:p>
        </w:tc>
        <w:tc>
          <w:tcPr>
            <w:tcW w:w="1449" w:type="dxa"/>
            <w:shd w:val="clear" w:color="auto" w:fill="auto"/>
            <w:noWrap/>
            <w:vAlign w:val="bottom"/>
            <w:hideMark/>
          </w:tcPr>
          <w:p w:rsidR="004317E8" w:rsidRPr="00CF4FBB" w:rsidRDefault="004317E8" w:rsidP="00CF4FBB">
            <w:pPr>
              <w:pStyle w:val="SingleTxtG"/>
              <w:suppressAutoHyphens w:val="0"/>
              <w:spacing w:before="40" w:after="40" w:line="220" w:lineRule="exact"/>
              <w:ind w:left="0" w:right="113"/>
              <w:jc w:val="right"/>
              <w:rPr>
                <w:sz w:val="18"/>
              </w:rPr>
            </w:pPr>
            <w:r w:rsidRPr="00CF4FBB">
              <w:rPr>
                <w:sz w:val="18"/>
              </w:rPr>
              <w:t>N/A</w:t>
            </w:r>
          </w:p>
        </w:tc>
        <w:tc>
          <w:tcPr>
            <w:tcW w:w="1460" w:type="dxa"/>
            <w:shd w:val="clear" w:color="auto" w:fill="auto"/>
            <w:noWrap/>
            <w:vAlign w:val="bottom"/>
            <w:hideMark/>
          </w:tcPr>
          <w:p w:rsidR="004317E8" w:rsidRPr="00CF4FBB" w:rsidRDefault="004317E8" w:rsidP="00CF4FBB">
            <w:pPr>
              <w:pStyle w:val="SingleTxtG"/>
              <w:suppressAutoHyphens w:val="0"/>
              <w:spacing w:before="40" w:after="40" w:line="220" w:lineRule="exact"/>
              <w:ind w:left="0" w:right="113"/>
              <w:jc w:val="right"/>
              <w:rPr>
                <w:sz w:val="18"/>
              </w:rPr>
            </w:pPr>
            <w:r w:rsidRPr="00CF4FBB">
              <w:rPr>
                <w:sz w:val="18"/>
              </w:rPr>
              <w:t>N/A</w:t>
            </w:r>
          </w:p>
        </w:tc>
        <w:tc>
          <w:tcPr>
            <w:tcW w:w="1733" w:type="dxa"/>
            <w:shd w:val="clear" w:color="auto" w:fill="auto"/>
            <w:noWrap/>
            <w:vAlign w:val="bottom"/>
            <w:hideMark/>
          </w:tcPr>
          <w:p w:rsidR="004317E8" w:rsidRPr="00CF4FBB" w:rsidRDefault="004317E8" w:rsidP="00CF4FBB">
            <w:pPr>
              <w:pStyle w:val="SingleTxtG"/>
              <w:suppressAutoHyphens w:val="0"/>
              <w:spacing w:before="40" w:after="40" w:line="220" w:lineRule="exact"/>
              <w:ind w:left="0" w:right="113"/>
              <w:jc w:val="right"/>
              <w:rPr>
                <w:sz w:val="18"/>
              </w:rPr>
            </w:pPr>
            <w:r w:rsidRPr="00CF4FBB">
              <w:rPr>
                <w:sz w:val="18"/>
              </w:rPr>
              <w:t>18 199</w:t>
            </w:r>
          </w:p>
        </w:tc>
      </w:tr>
      <w:tr w:rsidR="00E30AEE" w:rsidRPr="00CF4FBB" w:rsidTr="00CF4FBB">
        <w:trPr>
          <w:trHeight w:val="240"/>
        </w:trPr>
        <w:tc>
          <w:tcPr>
            <w:tcW w:w="996" w:type="dxa"/>
            <w:shd w:val="clear" w:color="auto" w:fill="auto"/>
            <w:noWrap/>
            <w:hideMark/>
          </w:tcPr>
          <w:p w:rsidR="004317E8" w:rsidRPr="00CF4FBB" w:rsidRDefault="004317E8" w:rsidP="00CF4FBB">
            <w:pPr>
              <w:pStyle w:val="SingleTxtG"/>
              <w:suppressAutoHyphens w:val="0"/>
              <w:spacing w:before="40" w:after="40" w:line="220" w:lineRule="exact"/>
              <w:ind w:left="0" w:right="113"/>
              <w:jc w:val="left"/>
              <w:rPr>
                <w:sz w:val="18"/>
              </w:rPr>
            </w:pPr>
            <w:r w:rsidRPr="00CF4FBB">
              <w:rPr>
                <w:sz w:val="18"/>
              </w:rPr>
              <w:t>2016</w:t>
            </w:r>
          </w:p>
        </w:tc>
        <w:tc>
          <w:tcPr>
            <w:tcW w:w="1732" w:type="dxa"/>
            <w:shd w:val="clear" w:color="auto" w:fill="auto"/>
            <w:noWrap/>
            <w:vAlign w:val="bottom"/>
            <w:hideMark/>
          </w:tcPr>
          <w:p w:rsidR="004317E8" w:rsidRPr="00CF4FBB" w:rsidRDefault="00F7382E" w:rsidP="00CF4FBB">
            <w:pPr>
              <w:pStyle w:val="SingleTxtG"/>
              <w:suppressAutoHyphens w:val="0"/>
              <w:spacing w:before="40" w:after="40" w:line="220" w:lineRule="exact"/>
              <w:ind w:left="0" w:right="113"/>
              <w:jc w:val="right"/>
              <w:rPr>
                <w:sz w:val="18"/>
              </w:rPr>
            </w:pPr>
            <w:r>
              <w:rPr>
                <w:sz w:val="18"/>
              </w:rPr>
              <w:t xml:space="preserve">1 </w:t>
            </w:r>
            <w:r w:rsidR="004317E8" w:rsidRPr="00CF4FBB">
              <w:rPr>
                <w:sz w:val="18"/>
              </w:rPr>
              <w:t xml:space="preserve">352 </w:t>
            </w:r>
          </w:p>
        </w:tc>
        <w:tc>
          <w:tcPr>
            <w:tcW w:w="1449" w:type="dxa"/>
            <w:shd w:val="clear" w:color="auto" w:fill="auto"/>
            <w:noWrap/>
            <w:vAlign w:val="bottom"/>
            <w:hideMark/>
          </w:tcPr>
          <w:p w:rsidR="004317E8" w:rsidRPr="00CF4FBB" w:rsidRDefault="004317E8" w:rsidP="00CF4FBB">
            <w:pPr>
              <w:pStyle w:val="SingleTxtG"/>
              <w:suppressAutoHyphens w:val="0"/>
              <w:spacing w:before="40" w:after="40" w:line="220" w:lineRule="exact"/>
              <w:ind w:left="0" w:right="113"/>
              <w:jc w:val="right"/>
              <w:rPr>
                <w:sz w:val="18"/>
              </w:rPr>
            </w:pPr>
            <w:r w:rsidRPr="00CF4FBB">
              <w:rPr>
                <w:sz w:val="18"/>
              </w:rPr>
              <w:t>942</w:t>
            </w:r>
          </w:p>
        </w:tc>
        <w:tc>
          <w:tcPr>
            <w:tcW w:w="1460" w:type="dxa"/>
            <w:shd w:val="clear" w:color="auto" w:fill="auto"/>
            <w:noWrap/>
            <w:vAlign w:val="bottom"/>
            <w:hideMark/>
          </w:tcPr>
          <w:p w:rsidR="004317E8" w:rsidRPr="00CF4FBB" w:rsidRDefault="004317E8" w:rsidP="00CF4FBB">
            <w:pPr>
              <w:pStyle w:val="SingleTxtG"/>
              <w:suppressAutoHyphens w:val="0"/>
              <w:spacing w:before="40" w:after="40" w:line="220" w:lineRule="exact"/>
              <w:ind w:left="0" w:right="113"/>
              <w:jc w:val="right"/>
              <w:rPr>
                <w:sz w:val="18"/>
              </w:rPr>
            </w:pPr>
            <w:r w:rsidRPr="00CF4FBB">
              <w:rPr>
                <w:sz w:val="18"/>
              </w:rPr>
              <w:t>7 000</w:t>
            </w:r>
          </w:p>
        </w:tc>
        <w:tc>
          <w:tcPr>
            <w:tcW w:w="1733" w:type="dxa"/>
            <w:shd w:val="clear" w:color="auto" w:fill="auto"/>
            <w:noWrap/>
            <w:vAlign w:val="bottom"/>
            <w:hideMark/>
          </w:tcPr>
          <w:p w:rsidR="004317E8" w:rsidRPr="00CF4FBB" w:rsidRDefault="004317E8" w:rsidP="00CF4FBB">
            <w:pPr>
              <w:pStyle w:val="SingleTxtG"/>
              <w:suppressAutoHyphens w:val="0"/>
              <w:spacing w:before="40" w:after="40" w:line="220" w:lineRule="exact"/>
              <w:ind w:left="0" w:right="113"/>
              <w:jc w:val="right"/>
              <w:rPr>
                <w:sz w:val="18"/>
              </w:rPr>
            </w:pPr>
            <w:r w:rsidRPr="00CF4FBB">
              <w:rPr>
                <w:sz w:val="18"/>
              </w:rPr>
              <w:t>23 270</w:t>
            </w:r>
          </w:p>
        </w:tc>
      </w:tr>
      <w:tr w:rsidR="00E30AEE" w:rsidRPr="00CF4FBB" w:rsidTr="00CF4FBB">
        <w:trPr>
          <w:trHeight w:val="240"/>
        </w:trPr>
        <w:tc>
          <w:tcPr>
            <w:tcW w:w="996" w:type="dxa"/>
            <w:shd w:val="clear" w:color="auto" w:fill="auto"/>
            <w:noWrap/>
          </w:tcPr>
          <w:p w:rsidR="004317E8" w:rsidRPr="00CF4FBB" w:rsidRDefault="004317E8" w:rsidP="00CF4FBB">
            <w:pPr>
              <w:pStyle w:val="SingleTxtG"/>
              <w:suppressAutoHyphens w:val="0"/>
              <w:spacing w:before="40" w:after="40" w:line="220" w:lineRule="exact"/>
              <w:ind w:left="0" w:right="113"/>
              <w:jc w:val="left"/>
              <w:rPr>
                <w:sz w:val="18"/>
              </w:rPr>
            </w:pPr>
            <w:r w:rsidRPr="00CF4FBB">
              <w:rPr>
                <w:sz w:val="18"/>
              </w:rPr>
              <w:t>2017</w:t>
            </w:r>
          </w:p>
        </w:tc>
        <w:tc>
          <w:tcPr>
            <w:tcW w:w="1732" w:type="dxa"/>
            <w:shd w:val="clear" w:color="auto" w:fill="auto"/>
            <w:noWrap/>
            <w:vAlign w:val="bottom"/>
          </w:tcPr>
          <w:p w:rsidR="004317E8" w:rsidRPr="00CF4FBB" w:rsidRDefault="004317E8" w:rsidP="00CF4FBB">
            <w:pPr>
              <w:pStyle w:val="SingleTxtG"/>
              <w:suppressAutoHyphens w:val="0"/>
              <w:spacing w:before="40" w:after="40" w:line="220" w:lineRule="exact"/>
              <w:ind w:left="0" w:right="113"/>
              <w:jc w:val="right"/>
              <w:rPr>
                <w:sz w:val="18"/>
              </w:rPr>
            </w:pPr>
            <w:r w:rsidRPr="00CF4FBB">
              <w:rPr>
                <w:sz w:val="18"/>
              </w:rPr>
              <w:t>2</w:t>
            </w:r>
            <w:r w:rsidR="00CF4FBB">
              <w:rPr>
                <w:sz w:val="18"/>
              </w:rPr>
              <w:t xml:space="preserve"> </w:t>
            </w:r>
            <w:r w:rsidRPr="00CF4FBB">
              <w:rPr>
                <w:sz w:val="18"/>
              </w:rPr>
              <w:t xml:space="preserve">687 </w:t>
            </w:r>
          </w:p>
        </w:tc>
        <w:tc>
          <w:tcPr>
            <w:tcW w:w="1449" w:type="dxa"/>
            <w:shd w:val="clear" w:color="auto" w:fill="auto"/>
            <w:noWrap/>
            <w:vAlign w:val="bottom"/>
          </w:tcPr>
          <w:p w:rsidR="004317E8" w:rsidRPr="00CF4FBB" w:rsidRDefault="004317E8" w:rsidP="00CF4FBB">
            <w:pPr>
              <w:pStyle w:val="SingleTxtG"/>
              <w:suppressAutoHyphens w:val="0"/>
              <w:spacing w:before="40" w:after="40" w:line="220" w:lineRule="exact"/>
              <w:ind w:left="0" w:right="113"/>
              <w:jc w:val="right"/>
              <w:rPr>
                <w:sz w:val="18"/>
              </w:rPr>
            </w:pPr>
            <w:r w:rsidRPr="00CF4FBB">
              <w:rPr>
                <w:sz w:val="18"/>
              </w:rPr>
              <w:t>1 231</w:t>
            </w:r>
          </w:p>
        </w:tc>
        <w:tc>
          <w:tcPr>
            <w:tcW w:w="1460" w:type="dxa"/>
            <w:shd w:val="clear" w:color="auto" w:fill="auto"/>
            <w:noWrap/>
            <w:vAlign w:val="bottom"/>
          </w:tcPr>
          <w:p w:rsidR="004317E8" w:rsidRPr="00CF4FBB" w:rsidRDefault="004317E8" w:rsidP="00CF4FBB">
            <w:pPr>
              <w:pStyle w:val="SingleTxtG"/>
              <w:suppressAutoHyphens w:val="0"/>
              <w:spacing w:before="40" w:after="40" w:line="220" w:lineRule="exact"/>
              <w:ind w:left="0" w:right="113"/>
              <w:jc w:val="right"/>
              <w:rPr>
                <w:sz w:val="18"/>
              </w:rPr>
            </w:pPr>
            <w:r w:rsidRPr="00CF4FBB">
              <w:rPr>
                <w:sz w:val="18"/>
              </w:rPr>
              <w:t>7 000</w:t>
            </w:r>
          </w:p>
        </w:tc>
        <w:tc>
          <w:tcPr>
            <w:tcW w:w="1733" w:type="dxa"/>
            <w:shd w:val="clear" w:color="auto" w:fill="auto"/>
            <w:noWrap/>
            <w:vAlign w:val="bottom"/>
          </w:tcPr>
          <w:p w:rsidR="004317E8" w:rsidRPr="00CF4FBB" w:rsidRDefault="004317E8" w:rsidP="00CF4FBB">
            <w:pPr>
              <w:pStyle w:val="SingleTxtG"/>
              <w:suppressAutoHyphens w:val="0"/>
              <w:spacing w:before="40" w:after="40" w:line="220" w:lineRule="exact"/>
              <w:ind w:left="0" w:right="113"/>
              <w:jc w:val="right"/>
              <w:rPr>
                <w:sz w:val="18"/>
              </w:rPr>
            </w:pPr>
            <w:r w:rsidRPr="00CF4FBB">
              <w:rPr>
                <w:sz w:val="18"/>
              </w:rPr>
              <w:t>24 555</w:t>
            </w:r>
          </w:p>
        </w:tc>
      </w:tr>
    </w:tbl>
    <w:p w:rsidR="004317E8" w:rsidRPr="00CF4FBB" w:rsidRDefault="004317E8" w:rsidP="00CF4FBB">
      <w:pPr>
        <w:spacing w:before="120"/>
        <w:ind w:left="1134" w:right="1134" w:firstLine="170"/>
        <w:rPr>
          <w:sz w:val="18"/>
        </w:rPr>
      </w:pPr>
      <w:r w:rsidRPr="00CF4FBB">
        <w:rPr>
          <w:sz w:val="18"/>
        </w:rPr>
        <w:t>**</w:t>
      </w:r>
      <w:r w:rsidR="00CF4FBB">
        <w:rPr>
          <w:sz w:val="18"/>
        </w:rPr>
        <w:tab/>
      </w:r>
      <w:r w:rsidRPr="00CF4FBB">
        <w:rPr>
          <w:sz w:val="18"/>
        </w:rPr>
        <w:t>Completed and incomplete applications.</w:t>
      </w:r>
    </w:p>
    <w:p w:rsidR="004317E8" w:rsidRPr="00A804F9" w:rsidRDefault="004317E8" w:rsidP="00CF4FBB">
      <w:pPr>
        <w:pStyle w:val="SingleTxtG"/>
        <w:spacing w:before="240"/>
      </w:pPr>
      <w:r w:rsidRPr="00A804F9">
        <w:t>28.</w:t>
      </w:r>
      <w:r w:rsidRPr="00A804F9">
        <w:tab/>
        <w:t>The publication of the “Education and the Afrodescendent Community” teaching guide contributed significantly to the national conversation on equality and the prevention of ethno-racial discrimination.</w:t>
      </w:r>
      <w:r w:rsidRPr="00E30AEE">
        <w:rPr>
          <w:rStyle w:val="FootnoteReference"/>
        </w:rPr>
        <w:footnoteReference w:id="9"/>
      </w:r>
      <w:r w:rsidRPr="00A804F9">
        <w:t xml:space="preserve"> In addition, the Commission on Education and People of African Descent (Directorate of Education of the Ministry of Education and Culture</w:t>
      </w:r>
      <w:r w:rsidRPr="00E30AEE">
        <w:rPr>
          <w:rStyle w:val="FootnoteReference"/>
        </w:rPr>
        <w:footnoteReference w:id="10"/>
      </w:r>
      <w:r w:rsidRPr="00A804F9">
        <w:t>) organized a noteworthy round-table debate on racism and human rights in Uruguayan education. Another noteworthy event was the announcement of the third edition of the Nelson Mandela Award by the Honorary Commission against Racism, Xenophobia and All Other Forms of Discrimination. The award seeks to raise secondary-school enrolment and completion rates by celebrating academic diligence.</w:t>
      </w:r>
    </w:p>
    <w:p w:rsidR="004317E8" w:rsidRPr="00A804F9" w:rsidRDefault="004317E8" w:rsidP="00E30AEE">
      <w:pPr>
        <w:pStyle w:val="SingleTxtG"/>
      </w:pPr>
      <w:r w:rsidRPr="00A804F9">
        <w:lastRenderedPageBreak/>
        <w:t>29.</w:t>
      </w:r>
      <w:r w:rsidRPr="00A804F9">
        <w:tab/>
        <w:t>In December 2016, the Coordinating Committee for the National Public Education System approved the National Human Rights Education Plan,</w:t>
      </w:r>
      <w:r w:rsidRPr="00E30AEE">
        <w:rPr>
          <w:rStyle w:val="FootnoteReference"/>
        </w:rPr>
        <w:footnoteReference w:id="11"/>
      </w:r>
      <w:r w:rsidRPr="00A804F9">
        <w:t xml:space="preserve"> one of the objectives of which is to encourage the appreciation of differences and respect for diversity in order to foster understanding, tolerance and peaceful coexistence among all people and communities (Specific Objective 1.3). In late 2018, the National Human Rights Education Commission will present its first assessment of the Plan’s implementation.</w:t>
      </w:r>
    </w:p>
    <w:p w:rsidR="00E30AEE" w:rsidRDefault="00E30AEE">
      <w:pPr>
        <w:spacing w:before="240"/>
        <w:jc w:val="center"/>
        <w:rPr>
          <w:u w:val="single"/>
        </w:rPr>
      </w:pPr>
      <w:r>
        <w:rPr>
          <w:u w:val="single"/>
        </w:rPr>
        <w:tab/>
      </w:r>
      <w:r>
        <w:rPr>
          <w:u w:val="single"/>
        </w:rPr>
        <w:tab/>
      </w:r>
      <w:r>
        <w:rPr>
          <w:u w:val="single"/>
        </w:rPr>
        <w:tab/>
      </w:r>
    </w:p>
    <w:sectPr w:rsidR="00E30AEE" w:rsidSect="00CB1FB9">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FE3" w:rsidRPr="00A0297D" w:rsidRDefault="00B27FE3" w:rsidP="00A0297D">
      <w:pPr>
        <w:pStyle w:val="Footer"/>
      </w:pPr>
    </w:p>
  </w:endnote>
  <w:endnote w:type="continuationSeparator" w:id="0">
    <w:p w:rsidR="00B27FE3" w:rsidRPr="00A0297D" w:rsidRDefault="00B27FE3"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7E8" w:rsidRDefault="004317E8" w:rsidP="004317E8">
    <w:pPr>
      <w:pStyle w:val="Footer"/>
      <w:tabs>
        <w:tab w:val="right" w:pos="9638"/>
      </w:tabs>
    </w:pPr>
    <w:r w:rsidRPr="004317E8">
      <w:rPr>
        <w:b/>
        <w:bCs/>
        <w:sz w:val="18"/>
      </w:rPr>
      <w:fldChar w:fldCharType="begin"/>
    </w:r>
    <w:r w:rsidRPr="004317E8">
      <w:rPr>
        <w:b/>
        <w:bCs/>
        <w:sz w:val="18"/>
      </w:rPr>
      <w:instrText xml:space="preserve"> PAGE  \* MERGEFORMAT </w:instrText>
    </w:r>
    <w:r w:rsidRPr="004317E8">
      <w:rPr>
        <w:b/>
        <w:bCs/>
        <w:sz w:val="18"/>
      </w:rPr>
      <w:fldChar w:fldCharType="separate"/>
    </w:r>
    <w:r w:rsidR="00BF47D7">
      <w:rPr>
        <w:b/>
        <w:bCs/>
        <w:noProof/>
        <w:sz w:val="18"/>
      </w:rPr>
      <w:t>4</w:t>
    </w:r>
    <w:r w:rsidRPr="004317E8">
      <w:rPr>
        <w:b/>
        <w:bCs/>
        <w:sz w:val="18"/>
      </w:rPr>
      <w:fldChar w:fldCharType="end"/>
    </w:r>
    <w:r>
      <w:tab/>
      <w:t>GE.18-03682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7E8" w:rsidRDefault="004317E8" w:rsidP="004317E8">
    <w:pPr>
      <w:pStyle w:val="Footer"/>
      <w:tabs>
        <w:tab w:val="right" w:pos="9638"/>
      </w:tabs>
    </w:pPr>
    <w:r>
      <w:t>GE.18-03682</w:t>
    </w:r>
    <w:r>
      <w:tab/>
    </w:r>
    <w:r w:rsidRPr="004317E8">
      <w:rPr>
        <w:b/>
        <w:bCs/>
        <w:sz w:val="18"/>
      </w:rPr>
      <w:fldChar w:fldCharType="begin"/>
    </w:r>
    <w:r w:rsidRPr="004317E8">
      <w:rPr>
        <w:b/>
        <w:bCs/>
        <w:sz w:val="18"/>
      </w:rPr>
      <w:instrText xml:space="preserve"> PAGE  \* MERGEFORMAT </w:instrText>
    </w:r>
    <w:r w:rsidRPr="004317E8">
      <w:rPr>
        <w:b/>
        <w:bCs/>
        <w:sz w:val="18"/>
      </w:rPr>
      <w:fldChar w:fldCharType="separate"/>
    </w:r>
    <w:r w:rsidR="00BF47D7">
      <w:rPr>
        <w:b/>
        <w:bCs/>
        <w:noProof/>
        <w:sz w:val="18"/>
      </w:rPr>
      <w:t>7</w:t>
    </w:r>
    <w:r w:rsidRPr="004317E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22" w:rsidRDefault="004317E8" w:rsidP="00883988">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317E8" w:rsidRDefault="004317E8" w:rsidP="00CA36A8">
    <w:r>
      <w:t>GE.18-</w:t>
    </w:r>
    <w:proofErr w:type="gramStart"/>
    <w:r>
      <w:t>03682  (</w:t>
    </w:r>
    <w:proofErr w:type="gramEnd"/>
    <w:r>
      <w:t>E)</w:t>
    </w:r>
    <w:r w:rsidR="00CA36A8">
      <w:t xml:space="preserve">    280318    280318</w:t>
    </w:r>
  </w:p>
  <w:p w:rsidR="004317E8" w:rsidRPr="004317E8" w:rsidRDefault="004317E8" w:rsidP="004317E8">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URY/CO/21-23/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URY/CO/21-23/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FE3" w:rsidRPr="00A0297D" w:rsidRDefault="00B27FE3" w:rsidP="00A0297D">
      <w:pPr>
        <w:tabs>
          <w:tab w:val="right" w:pos="2155"/>
        </w:tabs>
        <w:spacing w:after="80" w:line="240" w:lineRule="auto"/>
        <w:ind w:left="680"/>
      </w:pPr>
      <w:r>
        <w:rPr>
          <w:u w:val="single"/>
        </w:rPr>
        <w:tab/>
      </w:r>
    </w:p>
  </w:footnote>
  <w:footnote w:type="continuationSeparator" w:id="0">
    <w:p w:rsidR="00B27FE3" w:rsidRPr="00A0297D" w:rsidRDefault="00B27FE3" w:rsidP="00A0297D">
      <w:pPr>
        <w:tabs>
          <w:tab w:val="right" w:pos="2155"/>
        </w:tabs>
        <w:spacing w:after="80" w:line="240" w:lineRule="auto"/>
        <w:ind w:left="680"/>
      </w:pPr>
      <w:r>
        <w:rPr>
          <w:u w:val="single"/>
        </w:rPr>
        <w:tab/>
      </w:r>
    </w:p>
  </w:footnote>
  <w:footnote w:id="1">
    <w:p w:rsidR="004317E8" w:rsidRPr="00AF03B9" w:rsidRDefault="004317E8" w:rsidP="004317E8">
      <w:pPr>
        <w:pStyle w:val="FootnoteText"/>
      </w:pPr>
      <w:r w:rsidRPr="00FB3AD2">
        <w:tab/>
      </w:r>
      <w:r w:rsidRPr="00452CBC">
        <w:rPr>
          <w:rStyle w:val="FootnoteReference"/>
          <w:vertAlign w:val="baseline"/>
        </w:rPr>
        <w:t>*</w:t>
      </w:r>
      <w:r w:rsidRPr="00AF03B9">
        <w:tab/>
        <w:t>The present document is being issued without formal editing.</w:t>
      </w:r>
    </w:p>
  </w:footnote>
  <w:footnote w:id="2">
    <w:p w:rsidR="00CA36A8" w:rsidRPr="00CA36A8" w:rsidRDefault="00CA36A8">
      <w:pPr>
        <w:pStyle w:val="FootnoteText"/>
        <w:rPr>
          <w:sz w:val="20"/>
        </w:rPr>
      </w:pPr>
      <w:r>
        <w:rPr>
          <w:rStyle w:val="FootnoteReference"/>
        </w:rPr>
        <w:tab/>
      </w:r>
      <w:r w:rsidRPr="00CA36A8">
        <w:rPr>
          <w:rStyle w:val="FootnoteReference"/>
          <w:sz w:val="20"/>
          <w:vertAlign w:val="baseline"/>
        </w:rPr>
        <w:t>**</w:t>
      </w:r>
      <w:r w:rsidRPr="00CA36A8">
        <w:rPr>
          <w:sz w:val="20"/>
        </w:rPr>
        <w:t xml:space="preserve"> </w:t>
      </w:r>
      <w:r w:rsidR="00452CBC">
        <w:rPr>
          <w:sz w:val="20"/>
        </w:rPr>
        <w:tab/>
      </w:r>
      <w:r w:rsidR="00452CBC" w:rsidRPr="00452CBC">
        <w:rPr>
          <w:szCs w:val="18"/>
        </w:rPr>
        <w:t>The annexes are available for consultation in the files of the Committee secretariat.</w:t>
      </w:r>
    </w:p>
  </w:footnote>
  <w:footnote w:id="3">
    <w:p w:rsidR="004317E8" w:rsidRPr="0059606E" w:rsidRDefault="004317E8" w:rsidP="004317E8">
      <w:pPr>
        <w:pStyle w:val="FootnoteText"/>
      </w:pPr>
      <w:r w:rsidRPr="002E1A42">
        <w:tab/>
      </w:r>
      <w:r w:rsidRPr="00E30AEE">
        <w:rPr>
          <w:rStyle w:val="FootnoteReference"/>
        </w:rPr>
        <w:footnoteRef/>
      </w:r>
      <w:r w:rsidRPr="0059606E">
        <w:tab/>
      </w:r>
      <w:hyperlink r:id="rId1" w:history="1">
        <w:r w:rsidRPr="0059606E">
          <w:t>http://www.mides.gub.uy/innovaportal/file/86655/1/perspectiva-etnico-racial-y-politicas-publicas-vf.pdf</w:t>
        </w:r>
      </w:hyperlink>
      <w:r w:rsidRPr="0059606E">
        <w:t>.</w:t>
      </w:r>
    </w:p>
  </w:footnote>
  <w:footnote w:id="4">
    <w:p w:rsidR="004317E8" w:rsidRPr="00C804B7" w:rsidRDefault="004317E8" w:rsidP="004317E8">
      <w:pPr>
        <w:pStyle w:val="FootnoteText"/>
      </w:pPr>
      <w:r w:rsidRPr="002E1A42">
        <w:tab/>
      </w:r>
      <w:r w:rsidRPr="00E30AEE">
        <w:rPr>
          <w:rStyle w:val="FootnoteReference"/>
        </w:rPr>
        <w:footnoteRef/>
      </w:r>
      <w:r w:rsidRPr="00C804B7">
        <w:tab/>
      </w:r>
      <w:r>
        <w:t>The description of these stamps can be found at</w:t>
      </w:r>
      <w:r w:rsidRPr="00C804B7">
        <w:t xml:space="preserve"> </w:t>
      </w:r>
      <w:hyperlink r:id="rId2" w:history="1">
        <w:r w:rsidRPr="00C804B7">
          <w:t>http://www.correo.com.uy/sellos</w:t>
        </w:r>
      </w:hyperlink>
      <w:r>
        <w:t>.</w:t>
      </w:r>
    </w:p>
  </w:footnote>
  <w:footnote w:id="5">
    <w:p w:rsidR="004317E8" w:rsidRPr="00C804B7" w:rsidRDefault="004317E8" w:rsidP="004317E8">
      <w:pPr>
        <w:pStyle w:val="FootnoteText"/>
      </w:pPr>
      <w:r w:rsidRPr="00C804B7">
        <w:tab/>
      </w:r>
      <w:r w:rsidRPr="00E30AEE">
        <w:rPr>
          <w:rStyle w:val="FootnoteReference"/>
        </w:rPr>
        <w:footnoteRef/>
      </w:r>
      <w:r w:rsidRPr="00C804B7">
        <w:tab/>
      </w:r>
      <w:hyperlink r:id="rId3" w:history="1">
        <w:r w:rsidRPr="00C804B7">
          <w:t>https://www.onsc.gub.uy/onsc1/images/Informe_completo_ingreso_Afrodescendientes_2016.pdf</w:t>
        </w:r>
      </w:hyperlink>
      <w:r w:rsidRPr="00C804B7">
        <w:t>.</w:t>
      </w:r>
    </w:p>
  </w:footnote>
  <w:footnote w:id="6">
    <w:p w:rsidR="004317E8" w:rsidRPr="00AF7FD8" w:rsidRDefault="004317E8" w:rsidP="001A4ECE">
      <w:pPr>
        <w:pStyle w:val="FootnoteText"/>
      </w:pPr>
      <w:r w:rsidRPr="002E1A42">
        <w:tab/>
      </w:r>
      <w:r w:rsidRPr="00E30AEE">
        <w:rPr>
          <w:rStyle w:val="FootnoteReference"/>
        </w:rPr>
        <w:footnoteRef/>
      </w:r>
      <w:r w:rsidRPr="00AF7FD8">
        <w:tab/>
        <w:t xml:space="preserve">ANEP </w:t>
      </w:r>
      <w:r w:rsidR="001A4ECE">
        <w:t>—</w:t>
      </w:r>
      <w:r w:rsidRPr="00AF7FD8">
        <w:t xml:space="preserve"> National Public Education Administration;</w:t>
      </w:r>
      <w:r>
        <w:t xml:space="preserve"> In</w:t>
      </w:r>
      <w:r w:rsidRPr="00AF7FD8">
        <w:t xml:space="preserve">mujeres </w:t>
      </w:r>
      <w:r w:rsidR="00562380">
        <w:t>—</w:t>
      </w:r>
      <w:r w:rsidRPr="00AF7FD8">
        <w:t xml:space="preserve"> National Women’s Institute of the Ministry of Social Development</w:t>
      </w:r>
      <w:r>
        <w:t>.</w:t>
      </w:r>
    </w:p>
  </w:footnote>
  <w:footnote w:id="7">
    <w:p w:rsidR="004317E8" w:rsidRPr="00AF7FD8" w:rsidRDefault="004317E8" w:rsidP="004317E8">
      <w:pPr>
        <w:pStyle w:val="FootnoteText"/>
      </w:pPr>
      <w:r w:rsidRPr="00AF7FD8">
        <w:tab/>
      </w:r>
      <w:r w:rsidRPr="00E30AEE">
        <w:rPr>
          <w:rStyle w:val="FootnoteReference"/>
        </w:rPr>
        <w:footnoteRef/>
      </w:r>
      <w:r w:rsidRPr="00AF7FD8">
        <w:tab/>
      </w:r>
      <w:hyperlink r:id="rId4" w:history="1">
        <w:r w:rsidRPr="00AF7FD8">
          <w:t>http://www.anep.edu.uy/anep/index.php/grupo-de-trabajo-por-la-equidad-etnico-racial-en-la-anep</w:t>
        </w:r>
      </w:hyperlink>
      <w:r w:rsidRPr="00AF7FD8">
        <w:t>.</w:t>
      </w:r>
    </w:p>
  </w:footnote>
  <w:footnote w:id="8">
    <w:p w:rsidR="004317E8" w:rsidRPr="00D32A20" w:rsidRDefault="004317E8" w:rsidP="004317E8">
      <w:pPr>
        <w:pStyle w:val="FootnoteText"/>
      </w:pPr>
      <w:r w:rsidRPr="00AF7FD8">
        <w:tab/>
      </w:r>
      <w:r w:rsidRPr="00E30AEE">
        <w:rPr>
          <w:rStyle w:val="FootnoteReference"/>
        </w:rPr>
        <w:footnoteRef/>
      </w:r>
      <w:r w:rsidRPr="00AF7FD8">
        <w:tab/>
      </w:r>
      <w:hyperlink r:id="rId5" w:history="1">
        <w:r w:rsidRPr="00AF7FD8">
          <w:t>http://www.mec.gub.uy/innovaportal/v/103623/2/mecweb/aplicacion-de-la-ley-19122?search=yes</w:t>
        </w:r>
      </w:hyperlink>
      <w:r w:rsidRPr="00AF7FD8">
        <w:t>.</w:t>
      </w:r>
    </w:p>
  </w:footnote>
  <w:footnote w:id="9">
    <w:p w:rsidR="004317E8" w:rsidRPr="00AD3032" w:rsidRDefault="004317E8" w:rsidP="004317E8">
      <w:pPr>
        <w:pStyle w:val="FootnoteText"/>
      </w:pPr>
      <w:r w:rsidRPr="002E1A42">
        <w:tab/>
      </w:r>
      <w:r w:rsidRPr="00E30AEE">
        <w:rPr>
          <w:rStyle w:val="FootnoteReference"/>
        </w:rPr>
        <w:footnoteRef/>
      </w:r>
      <w:r w:rsidRPr="00AD3032">
        <w:tab/>
        <w:t>http://www.anep.edu.uy/anep/phocadownload/ddhh/publicaciones/</w:t>
      </w:r>
      <w:r w:rsidRPr="00AD3032">
        <w:br/>
        <w:t>GuiaDidacticaEducacionyAfrodescendencia.pdf.</w:t>
      </w:r>
    </w:p>
  </w:footnote>
  <w:footnote w:id="10">
    <w:p w:rsidR="004317E8" w:rsidRPr="002E1A42" w:rsidRDefault="004317E8" w:rsidP="004317E8">
      <w:pPr>
        <w:pStyle w:val="FootnoteText"/>
      </w:pPr>
      <w:r w:rsidRPr="00AD3032">
        <w:tab/>
      </w:r>
      <w:r w:rsidRPr="00E30AEE">
        <w:rPr>
          <w:rStyle w:val="FootnoteReference"/>
        </w:rPr>
        <w:footnoteRef/>
      </w:r>
      <w:r w:rsidRPr="00AD3032">
        <w:tab/>
      </w:r>
      <w:hyperlink r:id="rId6" w:history="1">
        <w:r w:rsidRPr="00AD3032">
          <w:t>http://www.mec.gub.uy/innovaportal/v/103793/2/mecweb/educacion-y-afrodescendencia?search=yes</w:t>
        </w:r>
      </w:hyperlink>
      <w:r w:rsidRPr="00AD3032">
        <w:t>.</w:t>
      </w:r>
    </w:p>
  </w:footnote>
  <w:footnote w:id="11">
    <w:p w:rsidR="004317E8" w:rsidRPr="002F6917" w:rsidRDefault="004317E8" w:rsidP="004317E8">
      <w:pPr>
        <w:pStyle w:val="FootnoteText"/>
      </w:pPr>
      <w:r w:rsidRPr="002F6917">
        <w:tab/>
      </w:r>
      <w:r w:rsidRPr="00E30AEE">
        <w:rPr>
          <w:rStyle w:val="FootnoteReference"/>
        </w:rPr>
        <w:footnoteRef/>
      </w:r>
      <w:r w:rsidRPr="002F6917">
        <w:tab/>
      </w:r>
      <w:r>
        <w:t xml:space="preserve">Additional information on the National Human Rights Education Plan is available at </w:t>
      </w:r>
      <w:hyperlink r:id="rId7" w:history="1">
        <w:r w:rsidRPr="002F6917">
          <w:t>http://pnedh.snep.edu.uy/</w:t>
        </w:r>
      </w:hyperlink>
      <w:r w:rsidRPr="002F691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7E8" w:rsidRDefault="004317E8" w:rsidP="004317E8">
    <w:pPr>
      <w:pStyle w:val="Header"/>
    </w:pPr>
    <w:r>
      <w:t>CERD/C/URY/CO/21-23/Add.1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7E8" w:rsidRDefault="004317E8" w:rsidP="004317E8">
    <w:pPr>
      <w:pStyle w:val="Header"/>
      <w:jc w:val="right"/>
    </w:pPr>
    <w:r>
      <w:t>CERD/C/URY/CO/21-23/Add.1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27FE3"/>
    <w:rsid w:val="00044F70"/>
    <w:rsid w:val="00046E92"/>
    <w:rsid w:val="00175552"/>
    <w:rsid w:val="001A4ECE"/>
    <w:rsid w:val="00247E2C"/>
    <w:rsid w:val="002D6C53"/>
    <w:rsid w:val="002F5595"/>
    <w:rsid w:val="00307688"/>
    <w:rsid w:val="00334F6A"/>
    <w:rsid w:val="00342AC8"/>
    <w:rsid w:val="003A6161"/>
    <w:rsid w:val="003B4550"/>
    <w:rsid w:val="004317E8"/>
    <w:rsid w:val="00452CBC"/>
    <w:rsid w:val="00461253"/>
    <w:rsid w:val="005042C2"/>
    <w:rsid w:val="00557F19"/>
    <w:rsid w:val="00561A57"/>
    <w:rsid w:val="00562380"/>
    <w:rsid w:val="005B596A"/>
    <w:rsid w:val="0066506B"/>
    <w:rsid w:val="00671529"/>
    <w:rsid w:val="007013C5"/>
    <w:rsid w:val="007268F9"/>
    <w:rsid w:val="00735147"/>
    <w:rsid w:val="007B7DC6"/>
    <w:rsid w:val="007C52B0"/>
    <w:rsid w:val="00883988"/>
    <w:rsid w:val="008A0D6A"/>
    <w:rsid w:val="008E0F96"/>
    <w:rsid w:val="009411B4"/>
    <w:rsid w:val="009C40A1"/>
    <w:rsid w:val="009D0139"/>
    <w:rsid w:val="009F5CDC"/>
    <w:rsid w:val="00A0297D"/>
    <w:rsid w:val="00A775CF"/>
    <w:rsid w:val="00AD382A"/>
    <w:rsid w:val="00B06045"/>
    <w:rsid w:val="00B27FE3"/>
    <w:rsid w:val="00BF47D7"/>
    <w:rsid w:val="00C01462"/>
    <w:rsid w:val="00C35A27"/>
    <w:rsid w:val="00C63386"/>
    <w:rsid w:val="00CA36A8"/>
    <w:rsid w:val="00CB1FB9"/>
    <w:rsid w:val="00CF4FBB"/>
    <w:rsid w:val="00D408EF"/>
    <w:rsid w:val="00DA7116"/>
    <w:rsid w:val="00E02C2B"/>
    <w:rsid w:val="00E03F1B"/>
    <w:rsid w:val="00E30AEE"/>
    <w:rsid w:val="00E46BF9"/>
    <w:rsid w:val="00ED6C48"/>
    <w:rsid w:val="00F4506B"/>
    <w:rsid w:val="00F65F5D"/>
    <w:rsid w:val="00F7382E"/>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E92637"/>
  <w15:docId w15:val="{0A5BA02E-F0C2-40C4-9CBA-FF2A1E2A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onsc.gub.uy/onsc1/images/Informe_completo_ingreso_Afrodescendientes_2016.pdf" TargetMode="External"/><Relationship Id="rId7" Type="http://schemas.openxmlformats.org/officeDocument/2006/relationships/hyperlink" Target="http://pnedh.snep.edu.uy/" TargetMode="External"/><Relationship Id="rId2" Type="http://schemas.openxmlformats.org/officeDocument/2006/relationships/hyperlink" Target="http://www.correo.com.uy/sellos" TargetMode="External"/><Relationship Id="rId1" Type="http://schemas.openxmlformats.org/officeDocument/2006/relationships/hyperlink" Target="http://www.mides.gub.uy/innovaportal/file/86655/1/perspectiva-etnico-racial-y-politicas-publicas-vf.pdf" TargetMode="External"/><Relationship Id="rId6" Type="http://schemas.openxmlformats.org/officeDocument/2006/relationships/hyperlink" Target="http://www.mec.gub.uy/innovaportal/v/103793/2/mecweb/educacion-y-afrodescendencia?search=yes" TargetMode="External"/><Relationship Id="rId5" Type="http://schemas.openxmlformats.org/officeDocument/2006/relationships/hyperlink" Target="http://www.mec.gub.uy/innovaportal/v/103623/2/mecweb/aplicacion-de-la-ley-19122?search=yes" TargetMode="External"/><Relationship Id="rId4" Type="http://schemas.openxmlformats.org/officeDocument/2006/relationships/hyperlink" Target="http://www.anep.edu.uy/anep/index.php/grupo-de-trabajo-por-la-equidad-etnico-racial-en-la-ane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p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69365-FF5B-4A63-8380-281473667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7</Pages>
  <Words>2540</Words>
  <Characters>14165</Characters>
  <Application>Microsoft Office Word</Application>
  <DocSecurity>0</DocSecurity>
  <Lines>370</Lines>
  <Paragraphs>196</Paragraphs>
  <ScaleCrop>false</ScaleCrop>
  <HeadingPairs>
    <vt:vector size="2" baseType="variant">
      <vt:variant>
        <vt:lpstr>Title</vt:lpstr>
      </vt:variant>
      <vt:variant>
        <vt:i4>1</vt:i4>
      </vt:variant>
    </vt:vector>
  </HeadingPairs>
  <TitlesOfParts>
    <vt:vector size="1" baseType="lpstr">
      <vt:lpstr>CERD/C/URY/CO/21-23/Add.1</vt:lpstr>
    </vt:vector>
  </TitlesOfParts>
  <Company>DCM</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CERD/C/URY/CO/21-23/Add.1</dc:title>
  <dc:subject>1803682</dc:subject>
  <dc:creator>Escalante</dc:creator>
  <cp:keywords/>
  <dc:description>Final</dc:description>
  <cp:lastModifiedBy>ESCALANTE</cp:lastModifiedBy>
  <cp:revision>2</cp:revision>
  <cp:lastPrinted>2018-03-28T12:49:00Z</cp:lastPrinted>
  <dcterms:created xsi:type="dcterms:W3CDTF">2018-03-28T13:58:00Z</dcterms:created>
  <dcterms:modified xsi:type="dcterms:W3CDTF">2018-03-28T13:58:00Z</dcterms:modified>
</cp:coreProperties>
</file>