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74115" w:rsidTr="00255076">
        <w:trPr>
          <w:trHeight w:hRule="exact" w:val="851"/>
        </w:trPr>
        <w:tc>
          <w:tcPr>
            <w:tcW w:w="1280" w:type="dxa"/>
            <w:tcBorders>
              <w:bottom w:val="single" w:sz="4" w:space="0" w:color="auto"/>
            </w:tcBorders>
            <w:shd w:val="clear" w:color="auto" w:fill="auto"/>
          </w:tcPr>
          <w:p w:rsidR="002D5AAC" w:rsidRDefault="002D5AAC" w:rsidP="00255076"/>
        </w:tc>
        <w:tc>
          <w:tcPr>
            <w:tcW w:w="2273" w:type="dxa"/>
            <w:tcBorders>
              <w:bottom w:val="single" w:sz="4" w:space="0" w:color="auto"/>
            </w:tcBorders>
            <w:shd w:val="clear" w:color="auto" w:fill="auto"/>
            <w:vAlign w:val="bottom"/>
          </w:tcPr>
          <w:p w:rsidR="002D5AAC" w:rsidRPr="00255076" w:rsidRDefault="00BD33EE" w:rsidP="00255076">
            <w:pPr>
              <w:spacing w:after="80" w:line="300" w:lineRule="exact"/>
              <w:rPr>
                <w:sz w:val="28"/>
              </w:rPr>
            </w:pPr>
            <w:r w:rsidRPr="00255076">
              <w:rPr>
                <w:sz w:val="28"/>
              </w:rPr>
              <w:t>Naciones Unidas</w:t>
            </w:r>
          </w:p>
        </w:tc>
        <w:tc>
          <w:tcPr>
            <w:tcW w:w="6086" w:type="dxa"/>
            <w:gridSpan w:val="2"/>
            <w:tcBorders>
              <w:bottom w:val="single" w:sz="4" w:space="0" w:color="auto"/>
            </w:tcBorders>
            <w:shd w:val="clear" w:color="auto" w:fill="auto"/>
            <w:vAlign w:val="bottom"/>
          </w:tcPr>
          <w:p w:rsidR="002D5AAC" w:rsidRPr="00255076" w:rsidRDefault="005902E0" w:rsidP="00B57CD1">
            <w:pPr>
              <w:jc w:val="right"/>
              <w:rPr>
                <w:lang w:val="en-GB"/>
              </w:rPr>
            </w:pPr>
            <w:r w:rsidRPr="00255076">
              <w:rPr>
                <w:sz w:val="40"/>
                <w:lang w:val="en-GB"/>
              </w:rPr>
              <w:t>CERD</w:t>
            </w:r>
            <w:r w:rsidRPr="00255076">
              <w:rPr>
                <w:lang w:val="en-GB"/>
              </w:rPr>
              <w:t>/C/</w:t>
            </w:r>
            <w:r w:rsidR="00B57CD1">
              <w:rPr>
                <w:lang w:val="en-GB"/>
              </w:rPr>
              <w:t>URY</w:t>
            </w:r>
            <w:r w:rsidRPr="00FF3E32">
              <w:rPr>
                <w:lang w:val="en-GB"/>
              </w:rPr>
              <w:t>/</w:t>
            </w:r>
            <w:r w:rsidRPr="00255076">
              <w:rPr>
                <w:lang w:val="en-GB"/>
              </w:rPr>
              <w:t>CO/</w:t>
            </w:r>
            <w:r w:rsidR="00E92405">
              <w:rPr>
                <w:lang w:val="en-GB"/>
              </w:rPr>
              <w:t>21-23</w:t>
            </w:r>
            <w:r w:rsidRPr="00255076">
              <w:rPr>
                <w:lang w:val="en-GB"/>
              </w:rPr>
              <w:t>/Add.1</w:t>
            </w:r>
          </w:p>
        </w:tc>
      </w:tr>
      <w:tr w:rsidR="002D5AAC" w:rsidTr="00255076">
        <w:trPr>
          <w:trHeight w:hRule="exact" w:val="2835"/>
        </w:trPr>
        <w:tc>
          <w:tcPr>
            <w:tcW w:w="1280" w:type="dxa"/>
            <w:tcBorders>
              <w:top w:val="single" w:sz="4" w:space="0" w:color="auto"/>
              <w:bottom w:val="single" w:sz="12" w:space="0" w:color="auto"/>
            </w:tcBorders>
            <w:shd w:val="clear" w:color="auto" w:fill="auto"/>
          </w:tcPr>
          <w:p w:rsidR="002D5AAC" w:rsidRDefault="008D12E8" w:rsidP="00255076">
            <w:pPr>
              <w:spacing w:before="120"/>
              <w:jc w:val="center"/>
            </w:pPr>
            <w:r>
              <w:rPr>
                <w:noProof/>
              </w:rPr>
              <w:drawing>
                <wp:inline distT="0" distB="0" distL="0" distR="0">
                  <wp:extent cx="714375" cy="60007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55076" w:rsidRDefault="00160FF7" w:rsidP="00487BB3">
            <w:pPr>
              <w:spacing w:before="120" w:line="380" w:lineRule="exact"/>
              <w:rPr>
                <w:b/>
                <w:sz w:val="34"/>
                <w:szCs w:val="34"/>
              </w:rPr>
            </w:pPr>
            <w:r w:rsidRPr="00255076">
              <w:rPr>
                <w:b/>
                <w:sz w:val="34"/>
                <w:szCs w:val="34"/>
              </w:rPr>
              <w:t>Convención Internacional sobre</w:t>
            </w:r>
            <w:r w:rsidR="00CE20A7">
              <w:rPr>
                <w:b/>
                <w:sz w:val="34"/>
                <w:szCs w:val="34"/>
              </w:rPr>
              <w:t xml:space="preserve"> </w:t>
            </w:r>
            <w:r w:rsidRPr="00255076">
              <w:rPr>
                <w:b/>
                <w:sz w:val="34"/>
                <w:szCs w:val="34"/>
              </w:rPr>
              <w:br/>
              <w:t xml:space="preserve">la Eliminación de </w:t>
            </w:r>
            <w:r w:rsidR="00487BB3">
              <w:rPr>
                <w:b/>
                <w:sz w:val="34"/>
                <w:szCs w:val="34"/>
              </w:rPr>
              <w:t>T</w:t>
            </w:r>
            <w:r w:rsidRPr="00255076">
              <w:rPr>
                <w:b/>
                <w:sz w:val="34"/>
                <w:szCs w:val="34"/>
              </w:rPr>
              <w:t>odas las Formas</w:t>
            </w:r>
            <w:r w:rsidR="00CE20A7">
              <w:rPr>
                <w:b/>
                <w:sz w:val="34"/>
                <w:szCs w:val="34"/>
              </w:rPr>
              <w:t xml:space="preserve"> </w:t>
            </w:r>
            <w:r w:rsidRPr="00255076">
              <w:rPr>
                <w:b/>
                <w:sz w:val="34"/>
                <w:szCs w:val="34"/>
              </w:rPr>
              <w:br/>
              <w:t>de Discriminación Racial</w:t>
            </w:r>
          </w:p>
        </w:tc>
        <w:tc>
          <w:tcPr>
            <w:tcW w:w="2819" w:type="dxa"/>
            <w:tcBorders>
              <w:top w:val="single" w:sz="4" w:space="0" w:color="auto"/>
              <w:bottom w:val="single" w:sz="12" w:space="0" w:color="auto"/>
            </w:tcBorders>
            <w:shd w:val="clear" w:color="auto" w:fill="auto"/>
          </w:tcPr>
          <w:p w:rsidR="005902E0" w:rsidRDefault="005902E0" w:rsidP="00255076">
            <w:pPr>
              <w:spacing w:before="240"/>
            </w:pPr>
            <w:r>
              <w:t>Distr. general</w:t>
            </w:r>
          </w:p>
          <w:p w:rsidR="005902E0" w:rsidRPr="00FF3E32" w:rsidRDefault="00074115" w:rsidP="00AC6655">
            <w:pPr>
              <w:spacing w:line="240" w:lineRule="exact"/>
            </w:pPr>
            <w:r>
              <w:t xml:space="preserve">9 </w:t>
            </w:r>
            <w:r w:rsidR="00B57CD1">
              <w:t>de marzo</w:t>
            </w:r>
            <w:r w:rsidR="002B3DA6">
              <w:t xml:space="preserve"> de</w:t>
            </w:r>
            <w:r w:rsidR="00133CE2" w:rsidRPr="00FF3E32">
              <w:t xml:space="preserve"> 201</w:t>
            </w:r>
            <w:r w:rsidR="008F0F2A">
              <w:t>8</w:t>
            </w:r>
          </w:p>
          <w:p w:rsidR="00133CE2" w:rsidRDefault="00133CE2" w:rsidP="00133CE2">
            <w:pPr>
              <w:spacing w:line="240" w:lineRule="exact"/>
            </w:pPr>
          </w:p>
          <w:p w:rsidR="002D5AAC" w:rsidRDefault="005902E0" w:rsidP="006E796A">
            <w:pPr>
              <w:spacing w:line="240" w:lineRule="exact"/>
            </w:pPr>
            <w:r>
              <w:t xml:space="preserve">Original: </w:t>
            </w:r>
            <w:r w:rsidR="00BC211B">
              <w:t>e</w:t>
            </w:r>
            <w:r w:rsidR="00133CE2" w:rsidRPr="00133CE2">
              <w:t>spañol</w:t>
            </w:r>
          </w:p>
          <w:p w:rsidR="00133CE2" w:rsidRDefault="00133CE2" w:rsidP="006E796A">
            <w:pPr>
              <w:spacing w:line="240" w:lineRule="exact"/>
            </w:pPr>
            <w:r>
              <w:t xml:space="preserve">Español, </w:t>
            </w:r>
            <w:r w:rsidR="00BC211B">
              <w:t>f</w:t>
            </w:r>
            <w:r>
              <w:t xml:space="preserve">rancés </w:t>
            </w:r>
            <w:r w:rsidR="008445D3">
              <w:t xml:space="preserve">e </w:t>
            </w:r>
            <w:r w:rsidR="00BC211B">
              <w:t>i</w:t>
            </w:r>
            <w:r w:rsidR="00F35D7D">
              <w:t>nglés</w:t>
            </w:r>
          </w:p>
          <w:p w:rsidR="00F35D7D" w:rsidRDefault="00F35D7D" w:rsidP="00133CE2">
            <w:pPr>
              <w:spacing w:line="240" w:lineRule="exact"/>
            </w:pPr>
            <w:r>
              <w:t>únicamente</w:t>
            </w:r>
          </w:p>
        </w:tc>
      </w:tr>
    </w:tbl>
    <w:p w:rsidR="000277DA" w:rsidRDefault="000277DA" w:rsidP="000277DA">
      <w:pPr>
        <w:autoSpaceDE w:val="0"/>
        <w:autoSpaceDN w:val="0"/>
        <w:adjustRightInd w:val="0"/>
        <w:spacing w:before="120"/>
        <w:rPr>
          <w:b/>
          <w:bCs/>
          <w:sz w:val="24"/>
          <w:szCs w:val="24"/>
        </w:rPr>
      </w:pPr>
      <w:r>
        <w:rPr>
          <w:b/>
          <w:sz w:val="24"/>
        </w:rPr>
        <w:t>Comité para la Eliminación de la Discriminación Racial</w:t>
      </w:r>
    </w:p>
    <w:p w:rsidR="00B57CD1" w:rsidRPr="00B57CD1" w:rsidRDefault="000277DA">
      <w:pPr>
        <w:pStyle w:val="HChG"/>
      </w:pPr>
      <w:r w:rsidRPr="00AC6655">
        <w:tab/>
      </w:r>
      <w:r w:rsidRPr="00811D27">
        <w:tab/>
      </w:r>
      <w:r w:rsidR="00B57CD1" w:rsidRPr="00B57CD1">
        <w:t xml:space="preserve">Observaciones finales sobre </w:t>
      </w:r>
      <w:r w:rsidR="00487BB3">
        <w:t xml:space="preserve">los 21º y 23º </w:t>
      </w:r>
      <w:r w:rsidR="00B57CD1" w:rsidRPr="00B57CD1">
        <w:t>informe</w:t>
      </w:r>
      <w:r w:rsidR="00487BB3">
        <w:t>s</w:t>
      </w:r>
      <w:r w:rsidR="00B57CD1" w:rsidRPr="00B57CD1">
        <w:t xml:space="preserve"> </w:t>
      </w:r>
      <w:r w:rsidR="00390A51">
        <w:br/>
      </w:r>
      <w:r w:rsidR="00B57CD1" w:rsidRPr="00B57CD1">
        <w:t xml:space="preserve">periódicos </w:t>
      </w:r>
      <w:r w:rsidR="00487BB3">
        <w:t xml:space="preserve">combinados </w:t>
      </w:r>
      <w:r w:rsidR="00B57CD1" w:rsidRPr="00B57CD1">
        <w:t>de</w:t>
      </w:r>
      <w:r w:rsidR="00487BB3">
        <w:t>l</w:t>
      </w:r>
      <w:r w:rsidR="00B57CD1" w:rsidRPr="00B57CD1">
        <w:t xml:space="preserve"> Uruguay</w:t>
      </w:r>
    </w:p>
    <w:p w:rsidR="00B57CD1" w:rsidRPr="00B57CD1" w:rsidRDefault="00B57CD1" w:rsidP="00CE20A7">
      <w:pPr>
        <w:pStyle w:val="H23G"/>
      </w:pPr>
      <w:r w:rsidRPr="00B57CD1">
        <w:tab/>
      </w:r>
      <w:r w:rsidRPr="00B57CD1">
        <w:tab/>
        <w:t>Adición</w:t>
      </w:r>
    </w:p>
    <w:p w:rsidR="00B57CD1" w:rsidRPr="00B57CD1" w:rsidRDefault="00B57CD1" w:rsidP="00CE20A7">
      <w:pPr>
        <w:pStyle w:val="HChG"/>
      </w:pPr>
      <w:r w:rsidRPr="00B57CD1">
        <w:tab/>
      </w:r>
      <w:r w:rsidRPr="00B57CD1">
        <w:tab/>
        <w:t>Información recibida de</w:t>
      </w:r>
      <w:r w:rsidR="00487BB3">
        <w:t>l</w:t>
      </w:r>
      <w:r w:rsidRPr="00B57CD1">
        <w:t xml:space="preserve"> Uruguay sobre el seguimiento </w:t>
      </w:r>
      <w:r w:rsidR="00F20BAD">
        <w:br/>
      </w:r>
      <w:r w:rsidRPr="00B57CD1">
        <w:t>de las observaciones finales</w:t>
      </w:r>
      <w:r w:rsidR="00487BB3" w:rsidRPr="00CE20A7">
        <w:rPr>
          <w:rStyle w:val="Refdenotaalpie"/>
          <w:b w:val="0"/>
          <w:sz w:val="20"/>
          <w:vertAlign w:val="baseline"/>
          <w:lang w:val="es-ES_tradnl"/>
        </w:rPr>
        <w:footnoteReference w:customMarkFollows="1" w:id="1"/>
        <w:t>*</w:t>
      </w:r>
      <w:r w:rsidR="00487BB3" w:rsidRPr="00CE20A7">
        <w:rPr>
          <w:b w:val="0"/>
          <w:sz w:val="20"/>
          <w:vertAlign w:val="superscript"/>
          <w:lang w:val="es-ES_tradnl"/>
        </w:rPr>
        <w:t>,</w:t>
      </w:r>
      <w:r w:rsidR="00487BB3" w:rsidRPr="00CE20A7">
        <w:rPr>
          <w:b w:val="0"/>
          <w:sz w:val="20"/>
          <w:lang w:val="es-ES_tradnl"/>
        </w:rPr>
        <w:t xml:space="preserve"> </w:t>
      </w:r>
      <w:r w:rsidR="00487BB3" w:rsidRPr="00CE20A7">
        <w:rPr>
          <w:b w:val="0"/>
          <w:sz w:val="20"/>
        </w:rPr>
        <w:footnoteReference w:customMarkFollows="1" w:id="2"/>
        <w:t>**</w:t>
      </w:r>
      <w:r w:rsidR="008D12E8">
        <w:rPr>
          <w:noProof/>
          <w:sz w:val="20"/>
        </w:rPr>
        <w:drawing>
          <wp:anchor distT="0" distB="0" distL="114300" distR="114300" simplePos="0" relativeHeight="251657728" behindDoc="0" locked="1" layoutInCell="1" allowOverlap="1">
            <wp:simplePos x="0" y="0"/>
            <wp:positionH relativeFrom="margin">
              <wp:posOffset>5039995</wp:posOffset>
            </wp:positionH>
            <wp:positionV relativeFrom="margin">
              <wp:posOffset>10043795</wp:posOffset>
            </wp:positionV>
            <wp:extent cx="1085850" cy="228600"/>
            <wp:effectExtent l="0" t="0" r="0" b="0"/>
            <wp:wrapNone/>
            <wp:docPr id="4"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rsidR="00B57CD1" w:rsidRPr="00377F32" w:rsidRDefault="00B57CD1" w:rsidP="006E2227">
      <w:pPr>
        <w:spacing w:after="120"/>
        <w:ind w:left="1134" w:right="1134"/>
        <w:jc w:val="right"/>
        <w:rPr>
          <w:rFonts w:eastAsia="DengXian"/>
        </w:rPr>
      </w:pPr>
      <w:r w:rsidRPr="00377F32">
        <w:rPr>
          <w:rFonts w:eastAsia="DengXian"/>
        </w:rPr>
        <w:t>[Fecha de recepción</w:t>
      </w:r>
      <w:bookmarkStart w:id="0" w:name="_GoBack"/>
      <w:bookmarkEnd w:id="0"/>
      <w:r w:rsidRPr="00377F32">
        <w:rPr>
          <w:rFonts w:eastAsia="DengXian"/>
        </w:rPr>
        <w:t>: 12 de febrero de 2018]</w:t>
      </w:r>
    </w:p>
    <w:p w:rsidR="00B57CD1" w:rsidRPr="00B57CD1" w:rsidRDefault="00487BB3" w:rsidP="006025D1">
      <w:pPr>
        <w:pStyle w:val="HChG"/>
      </w:pPr>
      <w:r>
        <w:rPr>
          <w:lang w:val="es-PE"/>
        </w:rPr>
        <w:br w:type="page"/>
      </w:r>
      <w:r w:rsidR="00390A51">
        <w:rPr>
          <w:lang w:val="es-PE"/>
        </w:rPr>
        <w:lastRenderedPageBreak/>
        <w:tab/>
      </w:r>
      <w:r w:rsidR="00390A51">
        <w:rPr>
          <w:lang w:val="es-PE"/>
        </w:rPr>
        <w:tab/>
      </w:r>
      <w:r w:rsidR="00B57CD1" w:rsidRPr="00B57CD1">
        <w:t>Introducci</w:t>
      </w:r>
      <w:r w:rsidR="00DE7550">
        <w:t>ó</w:t>
      </w:r>
      <w:r w:rsidR="00B57CD1" w:rsidRPr="00B57CD1">
        <w:t>n</w:t>
      </w:r>
    </w:p>
    <w:p w:rsidR="00B57CD1" w:rsidRPr="00B57CD1" w:rsidRDefault="00B57CD1" w:rsidP="00B57CD1">
      <w:pPr>
        <w:keepNext/>
        <w:keepLines/>
        <w:tabs>
          <w:tab w:val="right" w:pos="851"/>
        </w:tabs>
        <w:suppressAutoHyphens/>
        <w:spacing w:before="240" w:after="120" w:line="240" w:lineRule="exact"/>
        <w:ind w:left="1134" w:right="1134" w:hanging="1134"/>
        <w:rPr>
          <w:i/>
        </w:rPr>
      </w:pPr>
      <w:r w:rsidRPr="00B57CD1">
        <w:rPr>
          <w:i/>
          <w:shd w:val="clear" w:color="auto" w:fill="FFFFFF"/>
          <w:lang w:val="es-AR"/>
        </w:rPr>
        <w:tab/>
      </w:r>
      <w:r w:rsidRPr="00B57CD1">
        <w:rPr>
          <w:i/>
          <w:shd w:val="clear" w:color="auto" w:fill="FFFFFF"/>
          <w:lang w:val="es-AR"/>
        </w:rPr>
        <w:tab/>
        <w:t>42.</w:t>
      </w:r>
      <w:r w:rsidRPr="00B57CD1">
        <w:rPr>
          <w:i/>
          <w:shd w:val="clear" w:color="auto" w:fill="FFFFFF"/>
          <w:lang w:val="es-AR"/>
        </w:rPr>
        <w:tab/>
        <w:t>De conformidad con el artículo 9 (1) de la Convención y del artículo 65 de su reglamento enmendado, el Comité pide al Estado parte que, en el plazo de un año a partir de la aprobación de las presentes observaciones finales, le presente información sobre el curso dado a las recomendaciones que f</w:t>
      </w:r>
      <w:r w:rsidR="00CE20A7">
        <w:rPr>
          <w:i/>
          <w:shd w:val="clear" w:color="auto" w:fill="FFFFFF"/>
          <w:lang w:val="es-AR"/>
        </w:rPr>
        <w:t>iguran en los párrafos 19 y 21.</w:t>
      </w:r>
    </w:p>
    <w:p w:rsidR="00B57CD1" w:rsidRPr="00377F32" w:rsidRDefault="00B57CD1" w:rsidP="00B57CD1">
      <w:pPr>
        <w:numPr>
          <w:ilvl w:val="0"/>
          <w:numId w:val="54"/>
        </w:numPr>
        <w:spacing w:after="120"/>
        <w:ind w:left="1134" w:right="1134" w:firstLine="0"/>
        <w:jc w:val="both"/>
        <w:rPr>
          <w:rFonts w:eastAsia="DengXian" w:cs="Arial"/>
        </w:rPr>
      </w:pPr>
      <w:r w:rsidRPr="00377F32">
        <w:rPr>
          <w:rFonts w:eastAsia="DengXian"/>
        </w:rPr>
        <w:t xml:space="preserve">En cumplimiento de lo solicitado por el Comité, el Estado uruguayo remite las presentes respuestas, destacando especialmente que las mismas son el primer documento elaborado y aprobado </w:t>
      </w:r>
      <w:r w:rsidRPr="00377F32">
        <w:rPr>
          <w:rFonts w:eastAsia="DengXian" w:cs="Arial"/>
        </w:rPr>
        <w:t xml:space="preserve">por la </w:t>
      </w:r>
      <w:r w:rsidRPr="00377F32">
        <w:rPr>
          <w:rFonts w:eastAsia="DengXian" w:cs="Arial"/>
          <w:i/>
        </w:rPr>
        <w:t xml:space="preserve">Mesa de Discriminación </w:t>
      </w:r>
      <w:r w:rsidRPr="00377F32">
        <w:rPr>
          <w:rFonts w:eastAsia="DengXian" w:cs="Arial"/>
        </w:rPr>
        <w:t>del Mecanismo Nacional de Elaboración de Informes y Monitoreo de Recomendaciones, creado en 2016 y compuesto por la Red Interinstitucional de Puntos Focales de instituciones del Estado relevantes en la temática.</w:t>
      </w:r>
    </w:p>
    <w:p w:rsidR="00B57CD1" w:rsidRPr="00377F32" w:rsidRDefault="00B57CD1" w:rsidP="00B57CD1">
      <w:pPr>
        <w:numPr>
          <w:ilvl w:val="0"/>
          <w:numId w:val="54"/>
        </w:numPr>
        <w:spacing w:after="120"/>
        <w:ind w:left="1134" w:right="1134" w:firstLine="0"/>
        <w:jc w:val="both"/>
        <w:rPr>
          <w:rFonts w:eastAsia="DengXian"/>
        </w:rPr>
      </w:pPr>
      <w:r w:rsidRPr="00377F32">
        <w:rPr>
          <w:rFonts w:eastAsia="DengXian"/>
        </w:rPr>
        <w:t>En su sesión del 17 de noviembre de 2017, y tal como surge del Acta que se adjunta, la Mesa de Discriminación aprobó el presente documento, decidiendo además convocar a las organizaciones de la sociedad civil a través del Sistema de Diálogo y Consulta del Ministerio de Relaciones Exteriores, a efectos de entregar las respuestas que el Estado está remitiendo al Comité.</w:t>
      </w:r>
    </w:p>
    <w:p w:rsidR="00B57CD1" w:rsidRPr="00B57CD1" w:rsidRDefault="00390A51" w:rsidP="006025D1">
      <w:pPr>
        <w:pStyle w:val="HChG"/>
      </w:pPr>
      <w:r>
        <w:tab/>
      </w:r>
      <w:r>
        <w:tab/>
      </w:r>
      <w:r w:rsidR="00B57CD1" w:rsidRPr="00B57CD1">
        <w:t>Derechos Políticos</w:t>
      </w:r>
    </w:p>
    <w:p w:rsidR="00B57CD1" w:rsidRPr="00B57CD1" w:rsidRDefault="00B57CD1" w:rsidP="00B57CD1">
      <w:pPr>
        <w:keepNext/>
        <w:keepLines/>
        <w:tabs>
          <w:tab w:val="right" w:pos="851"/>
        </w:tabs>
        <w:suppressAutoHyphens/>
        <w:spacing w:before="240" w:after="120" w:line="240" w:lineRule="exact"/>
        <w:ind w:left="1134" w:right="1134" w:hanging="1134"/>
        <w:rPr>
          <w:i/>
          <w:lang w:val="es-AR"/>
        </w:rPr>
      </w:pPr>
      <w:r w:rsidRPr="00B57CD1">
        <w:rPr>
          <w:i/>
          <w:shd w:val="clear" w:color="auto" w:fill="FFFFFF"/>
          <w:lang w:val="es-AR"/>
        </w:rPr>
        <w:tab/>
      </w:r>
      <w:r w:rsidRPr="00B57CD1">
        <w:rPr>
          <w:i/>
          <w:shd w:val="clear" w:color="auto" w:fill="FFFFFF"/>
          <w:lang w:val="es-AR"/>
        </w:rPr>
        <w:tab/>
        <w:t>19.</w:t>
      </w:r>
      <w:r w:rsidRPr="00B57CD1">
        <w:rPr>
          <w:i/>
          <w:shd w:val="clear" w:color="auto" w:fill="FFFFFF"/>
          <w:lang w:val="es-AR"/>
        </w:rPr>
        <w:tab/>
        <w:t>El Comité recomienda que el Estado parte adopte medidas efectivas para asegurar la plena participación en los asuntos públicos de las y los afrodescendientes tanto en los cargos de toma de decisión como en instituciones representativas. Asimismo, le insta a continuar sus esfuerzos para asegurar la igualdad de oportunidades de participación de las y los afrodescendientes en todos los niveles de la administración pública, tanto a nivel nacional como local</w:t>
      </w:r>
      <w:r w:rsidR="008D12E8">
        <w:rPr>
          <w:i/>
          <w:shd w:val="clear" w:color="auto" w:fill="FFFFFF"/>
          <w:lang w:val="es-AR"/>
        </w:rPr>
        <w:t> </w:t>
      </w:r>
      <w:r w:rsidRPr="00B57CD1">
        <w:rPr>
          <w:i/>
          <w:shd w:val="clear" w:color="auto" w:fill="FFFFFF"/>
          <w:lang w:val="es-AR"/>
        </w:rPr>
        <w:t>; así como para promover su participación en cargos directivos en el sector privado. El Comité también recomienda al Estado parte que promueva la sensibilización de la población afrodescendiente respecto de la importancia de su participación activa</w:t>
      </w:r>
      <w:r w:rsidR="00CE20A7">
        <w:rPr>
          <w:i/>
          <w:shd w:val="clear" w:color="auto" w:fill="FFFFFF"/>
          <w:lang w:val="es-AR"/>
        </w:rPr>
        <w:t xml:space="preserve"> en la vida pública y política.</w:t>
      </w:r>
    </w:p>
    <w:p w:rsidR="00B57CD1" w:rsidRPr="00377F32" w:rsidRDefault="00B57CD1" w:rsidP="006025D1">
      <w:pPr>
        <w:numPr>
          <w:ilvl w:val="0"/>
          <w:numId w:val="54"/>
        </w:numPr>
        <w:spacing w:after="120"/>
        <w:ind w:left="1134" w:right="1134" w:firstLine="0"/>
        <w:jc w:val="both"/>
        <w:rPr>
          <w:rFonts w:eastAsia="DengXian"/>
        </w:rPr>
      </w:pPr>
      <w:r w:rsidRPr="00377F32">
        <w:rPr>
          <w:rFonts w:eastAsia="DengXian"/>
        </w:rPr>
        <w:t>Por Resolución Presidencial DS/181 de marzo de 2017 fue creado el Grupo de Trabajo sobre Políticas de Equidad Racial que funciona en la órbita del Ministerio de Desarrollo Social. Este Grupo tiene la finalidad de implementar acciones en el marco del Decenio Internacional de las Personas Afrodescendientes</w:t>
      </w:r>
      <w:r w:rsidR="00CE20A7">
        <w:rPr>
          <w:rFonts w:eastAsia="DengXian"/>
        </w:rPr>
        <w:t> </w:t>
      </w:r>
      <w:r w:rsidRPr="00377F32">
        <w:rPr>
          <w:rFonts w:eastAsia="DengXian"/>
        </w:rPr>
        <w:t xml:space="preserve">: Reconocimiento, Justicia y Desarrollo, declarado así por </w:t>
      </w:r>
      <w:r w:rsidR="00F20BAD">
        <w:rPr>
          <w:rFonts w:eastAsia="DengXian"/>
        </w:rPr>
        <w:t>r</w:t>
      </w:r>
      <w:r w:rsidRPr="00377F32">
        <w:rPr>
          <w:rFonts w:eastAsia="DengXian"/>
        </w:rPr>
        <w:t>esolución 68/237 de la Asamblea General de la Organización de las Naciones Unidas con el fin de consolidar estrategias afirmativas.</w:t>
      </w:r>
    </w:p>
    <w:p w:rsidR="00B57CD1" w:rsidRPr="00377F32" w:rsidRDefault="00B57CD1" w:rsidP="006025D1">
      <w:pPr>
        <w:numPr>
          <w:ilvl w:val="0"/>
          <w:numId w:val="54"/>
        </w:numPr>
        <w:spacing w:after="120"/>
        <w:ind w:left="1134" w:right="1134" w:firstLine="0"/>
        <w:jc w:val="both"/>
        <w:rPr>
          <w:rFonts w:eastAsia="DengXian"/>
        </w:rPr>
      </w:pPr>
      <w:r w:rsidRPr="00377F32">
        <w:rPr>
          <w:rFonts w:eastAsia="DengXian"/>
        </w:rPr>
        <w:t>El Grupo de Trabajo busca consolidar las políticas públicas y acciones afirmativas que se han implementado por parte del Estado uruguayo desde 2005 a favor de las personas afrodescendientes. Actualmente, el Grupo se encuentra trabajando en la creación y puesta en práctica del Consejo Nacional de Políticas de Equidad Racial y en la elaboración del reglamento por el cual se regirá. Asimismo se destaca dentro de su planificación, la creación de dos subcomisiones de trabajo</w:t>
      </w:r>
      <w:r w:rsidR="008D12E8">
        <w:rPr>
          <w:rFonts w:eastAsia="DengXian"/>
        </w:rPr>
        <w:t> </w:t>
      </w:r>
      <w:r w:rsidRPr="00377F32">
        <w:rPr>
          <w:rFonts w:eastAsia="DengXian"/>
        </w:rPr>
        <w:t>; una sobre Territorio y Frontera y otro denominado Sistema de Protección a las Víctimas de Racismo y Discriminación Racial. Ambas subcomisiones han elaborado su planificación estratégica 2018</w:t>
      </w:r>
      <w:r w:rsidR="00F20BAD">
        <w:rPr>
          <w:rFonts w:eastAsia="DengXian"/>
        </w:rPr>
        <w:t>-</w:t>
      </w:r>
      <w:r w:rsidRPr="00377F32">
        <w:rPr>
          <w:rFonts w:eastAsia="DengXian"/>
        </w:rPr>
        <w:t>2019, de cara al proceso de diseño del Plan Nacional de Equidad Racial.</w:t>
      </w:r>
    </w:p>
    <w:p w:rsidR="00B57CD1" w:rsidRPr="00377F32" w:rsidRDefault="00B57CD1" w:rsidP="00B57CD1">
      <w:pPr>
        <w:numPr>
          <w:ilvl w:val="0"/>
          <w:numId w:val="54"/>
        </w:numPr>
        <w:spacing w:after="120"/>
        <w:ind w:left="1134" w:right="1134" w:firstLine="0"/>
        <w:jc w:val="both"/>
        <w:rPr>
          <w:rFonts w:eastAsia="DengXian"/>
        </w:rPr>
      </w:pPr>
      <w:r w:rsidRPr="00377F32">
        <w:rPr>
          <w:rFonts w:eastAsia="DengXian"/>
        </w:rPr>
        <w:t>El Grupo está integrado por un delegado de los ministerios de Desarrollo Social, Relaciones Exteriores, Interior, Defensa Nacional, Vivienda, Ordenamiento Territorial y Medio Ambiente, Turismo y Deporte, de la Secretaría de Derechos Humanos de Presidencia de la República, del Banco de Previsión Social, del Correo Uruguayo, de la Intendencia de Montevideo, del Congreso Nacional de Intendentes, del Consejo Directivo Central de la Administración Nacional de Educación Pública, de la Oficina de Planeamiento y Presupuesto y de la Agencia Uruguaya de Cooperación Internacional.</w:t>
      </w:r>
    </w:p>
    <w:p w:rsidR="00B57CD1" w:rsidRPr="00377F32" w:rsidRDefault="00B57CD1" w:rsidP="00B57CD1">
      <w:pPr>
        <w:numPr>
          <w:ilvl w:val="0"/>
          <w:numId w:val="54"/>
        </w:numPr>
        <w:spacing w:after="120"/>
        <w:ind w:left="1134" w:right="1134" w:firstLine="0"/>
        <w:jc w:val="both"/>
        <w:rPr>
          <w:rFonts w:eastAsia="DengXian"/>
        </w:rPr>
      </w:pPr>
      <w:r w:rsidRPr="00B57CD1">
        <w:rPr>
          <w:rFonts w:eastAsia="DengXian"/>
          <w:lang w:val="es-UY"/>
        </w:rPr>
        <w:t xml:space="preserve">Entre las actividades de difusión y sensibilización que se han realizado, se destaca especialmente la continuidad del </w:t>
      </w:r>
      <w:r w:rsidRPr="00377F32">
        <w:rPr>
          <w:rFonts w:eastAsia="DengXian"/>
        </w:rPr>
        <w:t xml:space="preserve">mes de julio como Mes de la Afro descendencia a nivel nacional en clave de Rendición de Cuentas y Proyecciones, en el marco del Decenio </w:t>
      </w:r>
      <w:r w:rsidRPr="00377F32">
        <w:rPr>
          <w:rFonts w:eastAsia="DengXian"/>
        </w:rPr>
        <w:lastRenderedPageBreak/>
        <w:t>Internacional de las Personas Afrodescendientes 2015-2024. Durante el año</w:t>
      </w:r>
      <w:r w:rsidR="00F20BAD">
        <w:rPr>
          <w:rFonts w:eastAsia="DengXian"/>
        </w:rPr>
        <w:t xml:space="preserve"> </w:t>
      </w:r>
      <w:r w:rsidRPr="00377F32">
        <w:rPr>
          <w:rFonts w:eastAsia="DengXian"/>
        </w:rPr>
        <w:t>2017, se realizaron actividades dando especial énfasis a la rendición de cuentas del estado uruguayo, divulgación de diferentes aspectos de la comunidad afro uruguaya, teniendo como corolario la disertación e información sobre el estado de esta comunidad en el país.</w:t>
      </w:r>
    </w:p>
    <w:p w:rsidR="00B57CD1" w:rsidRPr="00377F32" w:rsidRDefault="00B57CD1" w:rsidP="006025D1">
      <w:pPr>
        <w:numPr>
          <w:ilvl w:val="0"/>
          <w:numId w:val="54"/>
        </w:numPr>
        <w:spacing w:after="120"/>
        <w:ind w:left="1134" w:right="1134" w:firstLine="0"/>
        <w:jc w:val="both"/>
        <w:rPr>
          <w:rFonts w:eastAsia="DengXian"/>
        </w:rPr>
      </w:pPr>
      <w:r w:rsidRPr="00377F32">
        <w:rPr>
          <w:rFonts w:eastAsia="DengXian"/>
        </w:rPr>
        <w:t>Otras iniciativas incluyen</w:t>
      </w:r>
      <w:r w:rsidR="00CE20A7">
        <w:rPr>
          <w:rFonts w:eastAsia="DengXian"/>
        </w:rPr>
        <w:t> </w:t>
      </w:r>
      <w:r w:rsidRPr="00377F32">
        <w:rPr>
          <w:rFonts w:eastAsia="DengXian"/>
        </w:rPr>
        <w:t xml:space="preserve">: la Sexta edición de QUILOMBO 2017, la Jornada de Trabajo sobre Avances y dificultades de la aplicación de la Ley </w:t>
      </w:r>
      <w:r w:rsidR="00F20BAD">
        <w:rPr>
          <w:rFonts w:eastAsia="DengXian"/>
        </w:rPr>
        <w:t xml:space="preserve">núm. </w:t>
      </w:r>
      <w:r w:rsidRPr="00377F32">
        <w:rPr>
          <w:rFonts w:eastAsia="DengXian"/>
        </w:rPr>
        <w:t xml:space="preserve">19122, el financiamiento de capital semilla a proyectos socioculturales afrodescendientes en todo el país, la Segunda jornada académica sobre Afro descendencia, y la presentación de la publicación </w:t>
      </w:r>
      <w:r w:rsidR="00CE20A7">
        <w:rPr>
          <w:rFonts w:eastAsia="DengXian"/>
        </w:rPr>
        <w:t>« </w:t>
      </w:r>
      <w:r w:rsidRPr="00377F32">
        <w:rPr>
          <w:rFonts w:eastAsia="DengXian"/>
        </w:rPr>
        <w:t>Perspectiva étn</w:t>
      </w:r>
      <w:r w:rsidR="00CE20A7">
        <w:rPr>
          <w:rFonts w:eastAsia="DengXian"/>
        </w:rPr>
        <w:t>ico-racial y políticas públicas »</w:t>
      </w:r>
      <w:r w:rsidRPr="006025D1">
        <w:rPr>
          <w:rFonts w:eastAsia="DengXian"/>
          <w:sz w:val="18"/>
          <w:szCs w:val="18"/>
          <w:vertAlign w:val="superscript"/>
          <w:lang w:val="en-GB"/>
        </w:rPr>
        <w:footnoteReference w:id="3"/>
      </w:r>
      <w:r w:rsidRPr="00377F32">
        <w:rPr>
          <w:rFonts w:eastAsia="DengXian"/>
        </w:rPr>
        <w:t>, elaborada por la División de Derechos Humanos del Ministerio de Desarrollo Social.</w:t>
      </w:r>
    </w:p>
    <w:p w:rsidR="00B57CD1" w:rsidRPr="00377F32" w:rsidRDefault="00B57CD1" w:rsidP="00B57CD1">
      <w:pPr>
        <w:numPr>
          <w:ilvl w:val="0"/>
          <w:numId w:val="54"/>
        </w:numPr>
        <w:spacing w:after="120"/>
        <w:ind w:left="1134" w:right="1134" w:firstLine="0"/>
        <w:jc w:val="both"/>
        <w:rPr>
          <w:rFonts w:eastAsia="DengXian"/>
        </w:rPr>
      </w:pPr>
      <w:r w:rsidRPr="00377F32">
        <w:rPr>
          <w:rFonts w:eastAsia="DengXian"/>
        </w:rPr>
        <w:t>Finalmente debe destacarse que en el marco del Día Internacional para la Eliminación de la Discriminación Racial, se realizó la presentación pública de las recomendaciones recibidas en 2016 del Comité para la Eliminación de la Discriminación Racial, presentándose posteriormente el informe 2016 y el plan de acción 2017 de la Comisión Honoraria de Lucha contra el Racismo, la Xenofobia y toda otra forma de Discriminación.</w:t>
      </w:r>
    </w:p>
    <w:p w:rsidR="00B57CD1" w:rsidRPr="00377F32" w:rsidRDefault="00B57CD1" w:rsidP="00B57CD1">
      <w:pPr>
        <w:numPr>
          <w:ilvl w:val="0"/>
          <w:numId w:val="54"/>
        </w:numPr>
        <w:spacing w:after="120"/>
        <w:ind w:left="1134" w:right="1134" w:firstLine="0"/>
        <w:jc w:val="both"/>
        <w:rPr>
          <w:rFonts w:eastAsia="DengXian"/>
        </w:rPr>
      </w:pPr>
      <w:r w:rsidRPr="00B57CD1">
        <w:rPr>
          <w:rFonts w:eastAsia="DengXian"/>
          <w:lang w:val="es-UY"/>
        </w:rPr>
        <w:t xml:space="preserve">En cuanto a mujeres afrodescendientes, durante 2017 se realizó la </w:t>
      </w:r>
      <w:r w:rsidRPr="00B57CD1">
        <w:rPr>
          <w:rFonts w:eastAsia="DengXian"/>
          <w:bCs/>
          <w:lang w:val="es-UY"/>
        </w:rPr>
        <w:t xml:space="preserve">Conferencia sobre </w:t>
      </w:r>
      <w:r w:rsidR="00CE20A7">
        <w:rPr>
          <w:rFonts w:eastAsia="DengXian"/>
          <w:bCs/>
          <w:lang w:val="es-UY"/>
        </w:rPr>
        <w:t>« </w:t>
      </w:r>
      <w:r w:rsidRPr="00B57CD1">
        <w:rPr>
          <w:rFonts w:eastAsia="DengXian"/>
          <w:bCs/>
          <w:lang w:val="es-UY"/>
        </w:rPr>
        <w:t xml:space="preserve">Interseccionalidad </w:t>
      </w:r>
      <w:r w:rsidRPr="00377F32">
        <w:rPr>
          <w:rFonts w:eastAsia="DengXian"/>
        </w:rPr>
        <w:t>de</w:t>
      </w:r>
      <w:r w:rsidRPr="00B57CD1">
        <w:rPr>
          <w:rFonts w:eastAsia="DengXian"/>
          <w:bCs/>
          <w:lang w:val="es-UY"/>
        </w:rPr>
        <w:t xml:space="preserve"> género y afro descendencia en las Políticas Públicas con una mirada territorial</w:t>
      </w:r>
      <w:r w:rsidR="00CE20A7">
        <w:rPr>
          <w:rFonts w:eastAsia="DengXian"/>
          <w:bCs/>
          <w:lang w:val="es-UY"/>
        </w:rPr>
        <w:t> »</w:t>
      </w:r>
      <w:r w:rsidRPr="00B57CD1">
        <w:rPr>
          <w:rFonts w:eastAsia="DengXian"/>
          <w:lang w:val="es-UY"/>
        </w:rPr>
        <w:t xml:space="preserve"> dirigida a asesores del Consejo Nacional de Género y decisores de política pública en general, la </w:t>
      </w:r>
      <w:r w:rsidRPr="00B57CD1">
        <w:rPr>
          <w:rFonts w:eastAsia="DengXian"/>
          <w:bCs/>
          <w:lang w:val="es-UY"/>
        </w:rPr>
        <w:t xml:space="preserve">XI Premiación Amanda Rorra </w:t>
      </w:r>
      <w:r w:rsidRPr="00B57CD1">
        <w:rPr>
          <w:rFonts w:eastAsia="DengXian"/>
          <w:lang w:val="es-UY"/>
        </w:rPr>
        <w:t xml:space="preserve">en el Día Internacional de las Mujeres Afrolatinas, Afrocaribeñas y de la Diáspora, actividad que promueve el reconocimiento y la visibilidad de las mujeres afrodescendientes de todo el territorio nacional, y </w:t>
      </w:r>
      <w:r w:rsidRPr="00377F32">
        <w:rPr>
          <w:rFonts w:eastAsia="DengXian"/>
        </w:rPr>
        <w:t xml:space="preserve">la mesa redonda </w:t>
      </w:r>
      <w:r w:rsidR="00CE20A7">
        <w:rPr>
          <w:rFonts w:eastAsia="DengXian"/>
          <w:bCs/>
          <w:lang w:val="es-UY"/>
        </w:rPr>
        <w:t>« </w:t>
      </w:r>
      <w:r w:rsidRPr="00377F32">
        <w:rPr>
          <w:rFonts w:eastAsia="DengXian"/>
        </w:rPr>
        <w:t>Participación política de las mujeres afro uruguayas</w:t>
      </w:r>
      <w:r w:rsidR="00CE20A7">
        <w:rPr>
          <w:rFonts w:eastAsia="DengXian"/>
        </w:rPr>
        <w:t> </w:t>
      </w:r>
      <w:r w:rsidRPr="00377F32">
        <w:rPr>
          <w:rFonts w:eastAsia="DengXian"/>
        </w:rPr>
        <w:t>: El derecho a elegir y ser elegidas</w:t>
      </w:r>
      <w:r w:rsidR="00CE20A7">
        <w:rPr>
          <w:rFonts w:eastAsia="DengXian"/>
        </w:rPr>
        <w:t> »</w:t>
      </w:r>
      <w:r w:rsidRPr="00377F32">
        <w:rPr>
          <w:rFonts w:eastAsia="DengXian"/>
        </w:rPr>
        <w:t xml:space="preserve">. </w:t>
      </w:r>
      <w:r w:rsidRPr="00487BB3">
        <w:rPr>
          <w:rFonts w:eastAsia="DengXian"/>
        </w:rPr>
        <w:t>Esta última actividad tuvo tres objetivos principales</w:t>
      </w:r>
      <w:r w:rsidR="00CE20A7">
        <w:rPr>
          <w:rFonts w:eastAsia="DengXian"/>
        </w:rPr>
        <w:t> : 1. </w:t>
      </w:r>
      <w:r w:rsidRPr="00487BB3">
        <w:rPr>
          <w:rFonts w:eastAsia="DengXian"/>
        </w:rPr>
        <w:t>Fortalecer la participación política de las mujeres afrodescendientes en tanto ejercicio de derecho ciudadano</w:t>
      </w:r>
      <w:r w:rsidR="00CE20A7">
        <w:rPr>
          <w:rFonts w:eastAsia="DengXian"/>
        </w:rPr>
        <w:t> ;</w:t>
      </w:r>
      <w:r w:rsidRPr="00487BB3">
        <w:rPr>
          <w:rFonts w:eastAsia="DengXian"/>
        </w:rPr>
        <w:t xml:space="preserve"> 2.</w:t>
      </w:r>
      <w:r w:rsidR="00CE20A7">
        <w:rPr>
          <w:rFonts w:eastAsia="DengXian"/>
        </w:rPr>
        <w:t> </w:t>
      </w:r>
      <w:r w:rsidRPr="00377F32">
        <w:rPr>
          <w:rFonts w:eastAsia="DengXian"/>
        </w:rPr>
        <w:t>Potenciar la participación de mujeres afrodescendientes en espacios políticos apuntando al desarro</w:t>
      </w:r>
      <w:r w:rsidR="00CE20A7">
        <w:rPr>
          <w:rFonts w:eastAsia="DengXian"/>
        </w:rPr>
        <w:t>llo democrático de la sociedad ; 3. </w:t>
      </w:r>
      <w:r w:rsidRPr="00377F32">
        <w:rPr>
          <w:rFonts w:eastAsia="DengXian"/>
        </w:rPr>
        <w:t>Estimular la capacidad de incidencia política de las mujeres afro uruguayas en las redes de participación local y nacional para colocar sus temas de interés en la agenda política.</w:t>
      </w:r>
    </w:p>
    <w:p w:rsidR="00B57CD1" w:rsidRPr="00B57CD1" w:rsidRDefault="00CE20A7" w:rsidP="006025D1">
      <w:pPr>
        <w:pStyle w:val="H1G"/>
        <w:rPr>
          <w:lang w:val="es-AR"/>
        </w:rPr>
      </w:pPr>
      <w:r>
        <w:rPr>
          <w:lang w:val="es-AR"/>
        </w:rPr>
        <w:tab/>
      </w:r>
      <w:r>
        <w:rPr>
          <w:lang w:val="es-AR"/>
        </w:rPr>
        <w:tab/>
        <w:t>Educación</w:t>
      </w:r>
    </w:p>
    <w:p w:rsidR="00B57CD1" w:rsidRPr="00B57CD1" w:rsidRDefault="00B57CD1" w:rsidP="00B57CD1">
      <w:pPr>
        <w:numPr>
          <w:ilvl w:val="0"/>
          <w:numId w:val="54"/>
        </w:numPr>
        <w:spacing w:after="120"/>
        <w:ind w:left="1134" w:right="1134" w:firstLine="0"/>
        <w:jc w:val="both"/>
        <w:rPr>
          <w:rFonts w:eastAsia="DengXian"/>
          <w:lang w:val="es-AR"/>
        </w:rPr>
      </w:pPr>
      <w:r w:rsidRPr="00B57CD1">
        <w:rPr>
          <w:rFonts w:eastAsia="DengXian"/>
          <w:lang w:val="es-AR"/>
        </w:rPr>
        <w:t xml:space="preserve">En el área de la Educación, desde el año 2016 se instaló la Comisión de Educación y </w:t>
      </w:r>
      <w:r w:rsidRPr="00377F32">
        <w:rPr>
          <w:rFonts w:eastAsia="DengXian"/>
        </w:rPr>
        <w:t>Afro descendencia</w:t>
      </w:r>
      <w:r w:rsidRPr="00B57CD1">
        <w:rPr>
          <w:rFonts w:eastAsia="DengXian"/>
          <w:lang w:val="es-AR"/>
        </w:rPr>
        <w:t xml:space="preserve"> que involucra varios actores de la Sociedad Civil como instituciones estatales y es coordinada por la Dirección de Educación del Ministerio de Educación y Cultura (MEC).</w:t>
      </w:r>
      <w:r w:rsidR="00390A51">
        <w:rPr>
          <w:rFonts w:eastAsia="DengXian"/>
          <w:lang w:val="es-AR"/>
        </w:rPr>
        <w:t xml:space="preserve"> </w:t>
      </w:r>
      <w:r w:rsidRPr="00B57CD1">
        <w:rPr>
          <w:rFonts w:eastAsia="DengXian"/>
          <w:lang w:val="es-AR"/>
        </w:rPr>
        <w:t>Desde su instalación, se realizan talleres de sensibilización en la temática para funcionarios del MEC en coordinación con el MIDES.</w:t>
      </w:r>
    </w:p>
    <w:p w:rsidR="00B57CD1" w:rsidRPr="00B57CD1" w:rsidRDefault="00B57CD1" w:rsidP="006025D1">
      <w:pPr>
        <w:pStyle w:val="H1G"/>
      </w:pPr>
      <w:r w:rsidRPr="00B57CD1">
        <w:rPr>
          <w:shd w:val="clear" w:color="auto" w:fill="FFFFFF"/>
          <w:lang w:val="es-AR"/>
        </w:rPr>
        <w:tab/>
      </w:r>
      <w:r w:rsidRPr="00B57CD1">
        <w:rPr>
          <w:shd w:val="clear" w:color="auto" w:fill="FFFFFF"/>
          <w:lang w:val="es-AR"/>
        </w:rPr>
        <w:tab/>
      </w:r>
      <w:r w:rsidRPr="00B57CD1">
        <w:t>Sensibilización y promoción</w:t>
      </w:r>
    </w:p>
    <w:p w:rsidR="00B57CD1" w:rsidRPr="00377F32" w:rsidRDefault="00B57CD1" w:rsidP="006025D1">
      <w:pPr>
        <w:numPr>
          <w:ilvl w:val="0"/>
          <w:numId w:val="54"/>
        </w:numPr>
        <w:spacing w:after="120"/>
        <w:ind w:left="1134" w:right="1134" w:firstLine="0"/>
        <w:jc w:val="both"/>
        <w:rPr>
          <w:rFonts w:eastAsia="DengXian"/>
        </w:rPr>
      </w:pPr>
      <w:r w:rsidRPr="00B57CD1">
        <w:rPr>
          <w:rFonts w:eastAsia="DengXian"/>
          <w:lang w:val="es-AR"/>
        </w:rPr>
        <w:t xml:space="preserve">Se </w:t>
      </w:r>
      <w:r w:rsidRPr="00377F32">
        <w:rPr>
          <w:rFonts w:eastAsia="DengXian"/>
        </w:rPr>
        <w:t xml:space="preserve">han realizado diversos cursos de sensibilización y capacitación a funcionarios públicos y población afrodescendiente para participar y difundir los derechos establecidos por Ley </w:t>
      </w:r>
      <w:r w:rsidR="00F20BAD">
        <w:rPr>
          <w:rFonts w:eastAsia="DengXian"/>
        </w:rPr>
        <w:t xml:space="preserve">núm. </w:t>
      </w:r>
      <w:r w:rsidRPr="00377F32">
        <w:rPr>
          <w:rFonts w:eastAsia="DengXian"/>
        </w:rPr>
        <w:t xml:space="preserve">19122. Asimismo, se realiza capacitación conjunta a nivel gerencial en organismos públicos para instrumentar la </w:t>
      </w:r>
      <w:r w:rsidR="00F20BAD">
        <w:rPr>
          <w:rFonts w:eastAsia="DengXian"/>
        </w:rPr>
        <w:t>L</w:t>
      </w:r>
      <w:r w:rsidRPr="00377F32">
        <w:rPr>
          <w:rFonts w:eastAsia="DengXian"/>
        </w:rPr>
        <w:t>ey.</w:t>
      </w:r>
    </w:p>
    <w:p w:rsidR="00B57CD1" w:rsidRPr="00377F32" w:rsidRDefault="00B57CD1" w:rsidP="00B57CD1">
      <w:pPr>
        <w:numPr>
          <w:ilvl w:val="0"/>
          <w:numId w:val="54"/>
        </w:numPr>
        <w:spacing w:after="120"/>
        <w:ind w:left="1134" w:right="1134" w:firstLine="0"/>
        <w:jc w:val="both"/>
        <w:rPr>
          <w:rFonts w:eastAsia="DengXian"/>
        </w:rPr>
      </w:pPr>
      <w:r w:rsidRPr="00377F32">
        <w:rPr>
          <w:rFonts w:eastAsia="DengXian"/>
        </w:rPr>
        <w:t xml:space="preserve">Por ejemplo, el Ministerio del Interior realiza cursos al cuerpo policial en Montevideo y otros departamentos con participación de sociedad civil, el Grupo de Trabajo de </w:t>
      </w:r>
      <w:r w:rsidRPr="00B57CD1">
        <w:rPr>
          <w:rFonts w:eastAsia="DengXian"/>
          <w:lang w:val="es-AR"/>
        </w:rPr>
        <w:t>Políticas</w:t>
      </w:r>
      <w:r w:rsidRPr="00377F32">
        <w:rPr>
          <w:rFonts w:eastAsia="DengXian"/>
        </w:rPr>
        <w:t xml:space="preserve"> de Equidad Racial y la Dirección Nacional de Educación Policial.</w:t>
      </w:r>
    </w:p>
    <w:p w:rsidR="00B57CD1" w:rsidRPr="00B57CD1" w:rsidRDefault="00B57CD1" w:rsidP="00B57CD1">
      <w:pPr>
        <w:numPr>
          <w:ilvl w:val="0"/>
          <w:numId w:val="54"/>
        </w:numPr>
        <w:spacing w:after="120"/>
        <w:ind w:left="1134" w:right="1134" w:firstLine="0"/>
        <w:jc w:val="both"/>
        <w:rPr>
          <w:rFonts w:eastAsia="DengXian"/>
          <w:lang w:val="es-AR"/>
        </w:rPr>
      </w:pPr>
      <w:r w:rsidRPr="00377F32">
        <w:rPr>
          <w:rFonts w:eastAsia="DengXian"/>
        </w:rPr>
        <w:t>Asimismo, en la Dirección Nacional de Educación Policial fue creado un grupo de trabajo para elaborar contenidos académicos que incluyan la formación del personal así como la revisión de protocolos y procedimientos policiales que involucren temas étnicos. Esta Dirección recibió el Premio Nelson Mandela que entrega la Comisión Honoraria Contra el Racismo</w:t>
      </w:r>
      <w:r w:rsidRPr="00B57CD1">
        <w:rPr>
          <w:rFonts w:eastAsia="DengXian"/>
          <w:lang w:val="es-AR"/>
        </w:rPr>
        <w:t xml:space="preserve">, Xenofobia y Discriminación (CHRXD) por el trabajo realizado en la </w:t>
      </w:r>
      <w:r w:rsidRPr="00B57CD1">
        <w:rPr>
          <w:rFonts w:eastAsia="DengXian"/>
          <w:lang w:val="es-AR"/>
        </w:rPr>
        <w:lastRenderedPageBreak/>
        <w:t xml:space="preserve">promoción de la solidaridad y la superación de la intolerancia de género y creencias religiosas. Vale señalar también que el Instituto Universitario Policial organiza actividades </w:t>
      </w:r>
      <w:r w:rsidRPr="00377F32">
        <w:rPr>
          <w:rFonts w:eastAsia="DengXian"/>
        </w:rPr>
        <w:t>extracurriculares</w:t>
      </w:r>
      <w:r w:rsidRPr="00B57CD1">
        <w:rPr>
          <w:rFonts w:eastAsia="DengXian"/>
          <w:lang w:val="es-AR"/>
        </w:rPr>
        <w:t xml:space="preserve"> para alumnos que promueven la no discriminación en cualquiera de sus manifestaciones. </w:t>
      </w:r>
    </w:p>
    <w:p w:rsidR="00B57CD1" w:rsidRPr="00377F32" w:rsidRDefault="00B57CD1" w:rsidP="00B57CD1">
      <w:pPr>
        <w:numPr>
          <w:ilvl w:val="0"/>
          <w:numId w:val="54"/>
        </w:numPr>
        <w:spacing w:after="120"/>
        <w:ind w:left="1134" w:right="1134" w:firstLine="0"/>
        <w:jc w:val="both"/>
        <w:rPr>
          <w:rFonts w:eastAsia="DengXian"/>
        </w:rPr>
      </w:pPr>
      <w:r w:rsidRPr="00B57CD1">
        <w:rPr>
          <w:rFonts w:eastAsia="DengXian"/>
          <w:lang w:val="es-AR"/>
        </w:rPr>
        <w:t xml:space="preserve">Por su parte, </w:t>
      </w:r>
      <w:r w:rsidRPr="00377F32">
        <w:rPr>
          <w:rFonts w:eastAsia="DengXian"/>
        </w:rPr>
        <w:t>la División de Derechos Humanos del Ministerio de Desarrollo Social (MIDES) ha realizado capacitación al funcionariado de Recursos Humanos de todos los incisos del Estado</w:t>
      </w:r>
      <w:r w:rsidR="008D12E8">
        <w:rPr>
          <w:rFonts w:eastAsia="DengXian"/>
        </w:rPr>
        <w:t> </w:t>
      </w:r>
      <w:r w:rsidRPr="00377F32">
        <w:rPr>
          <w:rFonts w:eastAsia="DengXian"/>
        </w:rPr>
        <w:t>; así como el acompañamiento y asesoramiento técnico en la elaboración de las b</w:t>
      </w:r>
      <w:r w:rsidR="00CE20A7">
        <w:rPr>
          <w:rFonts w:eastAsia="DengXian"/>
        </w:rPr>
        <w:t>ases y formularios de llamados.</w:t>
      </w:r>
    </w:p>
    <w:p w:rsidR="00B57CD1" w:rsidRPr="00B57CD1" w:rsidRDefault="00B57CD1" w:rsidP="00B57CD1">
      <w:pPr>
        <w:numPr>
          <w:ilvl w:val="0"/>
          <w:numId w:val="54"/>
        </w:numPr>
        <w:spacing w:after="120"/>
        <w:ind w:left="1134" w:right="1134" w:firstLine="0"/>
        <w:jc w:val="both"/>
        <w:rPr>
          <w:rFonts w:eastAsia="DengXian"/>
          <w:lang w:val="es-UY"/>
        </w:rPr>
      </w:pPr>
      <w:r w:rsidRPr="00377F32">
        <w:rPr>
          <w:rFonts w:eastAsia="DengXian"/>
        </w:rPr>
        <w:t>De igual modo, el Instituto Nacional de las Mujeres organizó en 2017 un curso de formación dirigido a mujeres afrodescendientes, del territorio nacional</w:t>
      </w:r>
      <w:r w:rsidR="008D12E8">
        <w:rPr>
          <w:rFonts w:eastAsia="DengXian"/>
        </w:rPr>
        <w:t> </w:t>
      </w:r>
      <w:r w:rsidRPr="00377F32">
        <w:rPr>
          <w:rFonts w:eastAsia="DengXian"/>
        </w:rPr>
        <w:t>; acompañando la demanda de la sociedad</w:t>
      </w:r>
      <w:r w:rsidRPr="00B57CD1">
        <w:rPr>
          <w:rFonts w:eastAsia="DengXian"/>
          <w:lang w:val="es-UY"/>
        </w:rPr>
        <w:t xml:space="preserve"> civil organizada </w:t>
      </w:r>
      <w:r w:rsidR="00CE20A7">
        <w:rPr>
          <w:rFonts w:eastAsia="DengXian"/>
          <w:lang w:val="es-UY"/>
        </w:rPr>
        <w:t>« </w:t>
      </w:r>
      <w:r w:rsidRPr="00B57CD1">
        <w:rPr>
          <w:rFonts w:eastAsia="DengXian"/>
          <w:lang w:val="es-UY"/>
        </w:rPr>
        <w:t>Diálogo Político de Mujeres Afrodescendientes</w:t>
      </w:r>
      <w:r w:rsidR="00CE20A7">
        <w:rPr>
          <w:rFonts w:eastAsia="DengXian"/>
          <w:lang w:val="es-UY"/>
        </w:rPr>
        <w:t> »</w:t>
      </w:r>
      <w:r w:rsidRPr="00B57CD1">
        <w:rPr>
          <w:rFonts w:eastAsia="DengXian"/>
          <w:lang w:val="es-UY"/>
        </w:rPr>
        <w:t>. El objetivo del curso fue aportar herramientas conceptuales desde una perspectiva de género y dimensión étnica racial. El público participante consistió en mujeres de varios territorios y localidades, con distintos niveles de participación en la acción social organizada y comunitaria y desde la acción individual e interés por la temática, generando un grupo heterogéneo. También participaron r</w:t>
      </w:r>
      <w:r w:rsidR="00CE20A7">
        <w:rPr>
          <w:rFonts w:eastAsia="DengXian"/>
          <w:lang w:val="es-UY"/>
        </w:rPr>
        <w:t>eferentes de la sociedad civil.</w:t>
      </w:r>
    </w:p>
    <w:p w:rsidR="00B57CD1" w:rsidRPr="00B57CD1" w:rsidRDefault="00B57CD1" w:rsidP="00B57CD1">
      <w:pPr>
        <w:numPr>
          <w:ilvl w:val="0"/>
          <w:numId w:val="54"/>
        </w:numPr>
        <w:spacing w:after="120"/>
        <w:ind w:left="1134" w:right="1134" w:firstLine="0"/>
        <w:jc w:val="both"/>
        <w:rPr>
          <w:rFonts w:eastAsia="DengXian"/>
          <w:lang w:val="en-GB"/>
        </w:rPr>
      </w:pPr>
      <w:r w:rsidRPr="00377F32">
        <w:rPr>
          <w:rFonts w:eastAsia="DengXian"/>
        </w:rPr>
        <w:t>En otro orden, la Administración Nacional de Correo cuenta con una política de reconocimientos a personalidades afro uruguayas a nivel filatélico, con el objetivo de difundir la relevancia y visibilizar el accionar de estas personas destacadas en la realidad nacional. Sellos lanzados en homenaje a</w:t>
      </w:r>
      <w:r w:rsidR="008D12E8">
        <w:rPr>
          <w:rFonts w:eastAsia="DengXian"/>
        </w:rPr>
        <w:t> </w:t>
      </w:r>
      <w:r w:rsidRPr="00377F32">
        <w:rPr>
          <w:rFonts w:eastAsia="DengXian"/>
        </w:rPr>
        <w:t xml:space="preserve">: La Lancera, Diciembre </w:t>
      </w:r>
      <w:r w:rsidR="00F20BAD">
        <w:rPr>
          <w:rFonts w:eastAsia="DengXian"/>
        </w:rPr>
        <w:t xml:space="preserve">de </w:t>
      </w:r>
      <w:r w:rsidRPr="00377F32">
        <w:rPr>
          <w:rFonts w:eastAsia="DengXian"/>
        </w:rPr>
        <w:t xml:space="preserve">2011. Lágrima Ríos, Rosa Luna y Virginia Brindis de Salas, Marzo </w:t>
      </w:r>
      <w:r w:rsidR="00F20BAD">
        <w:rPr>
          <w:rFonts w:eastAsia="DengXian"/>
        </w:rPr>
        <w:t xml:space="preserve">de </w:t>
      </w:r>
      <w:r w:rsidRPr="00377F32">
        <w:rPr>
          <w:rFonts w:eastAsia="DengXian"/>
        </w:rPr>
        <w:t xml:space="preserve">2012. Amanda Rorra, Julio 2013. Josefa Barbera, Diciembre </w:t>
      </w:r>
      <w:r w:rsidR="00F20BAD">
        <w:rPr>
          <w:rFonts w:eastAsia="DengXian"/>
        </w:rPr>
        <w:t xml:space="preserve">de </w:t>
      </w:r>
      <w:r w:rsidRPr="00377F32">
        <w:rPr>
          <w:rFonts w:eastAsia="DengXian"/>
        </w:rPr>
        <w:t xml:space="preserve">2014. María del Pilar, Diciembre </w:t>
      </w:r>
      <w:r w:rsidR="00F20BAD">
        <w:rPr>
          <w:rFonts w:eastAsia="DengXian"/>
        </w:rPr>
        <w:t xml:space="preserve">de </w:t>
      </w:r>
      <w:r w:rsidRPr="00377F32">
        <w:rPr>
          <w:rFonts w:eastAsia="DengXian"/>
        </w:rPr>
        <w:t xml:space="preserve">2015. </w:t>
      </w:r>
      <w:r w:rsidRPr="00B57CD1">
        <w:rPr>
          <w:rFonts w:eastAsia="DengXian"/>
          <w:lang w:val="en-GB"/>
        </w:rPr>
        <w:t xml:space="preserve">Sayago, Diciembre </w:t>
      </w:r>
      <w:r w:rsidR="00F20BAD">
        <w:rPr>
          <w:rFonts w:eastAsia="DengXian"/>
          <w:lang w:val="en-GB"/>
        </w:rPr>
        <w:t>de </w:t>
      </w:r>
      <w:r w:rsidRPr="00B57CD1">
        <w:rPr>
          <w:rFonts w:eastAsia="DengXian"/>
          <w:lang w:val="en-GB"/>
        </w:rPr>
        <w:t>2016</w:t>
      </w:r>
      <w:r w:rsidRPr="006025D1">
        <w:rPr>
          <w:rFonts w:eastAsia="DengXian"/>
          <w:sz w:val="18"/>
          <w:szCs w:val="18"/>
          <w:vertAlign w:val="superscript"/>
          <w:lang w:val="en-GB"/>
        </w:rPr>
        <w:footnoteReference w:id="4"/>
      </w:r>
      <w:r w:rsidRPr="00B57CD1">
        <w:rPr>
          <w:rFonts w:eastAsia="DengXian"/>
          <w:lang w:val="en-GB"/>
        </w:rPr>
        <w:t>.</w:t>
      </w:r>
    </w:p>
    <w:p w:rsidR="00B57CD1" w:rsidRPr="00B57CD1" w:rsidRDefault="00B57CD1" w:rsidP="00B57CD1">
      <w:pPr>
        <w:numPr>
          <w:ilvl w:val="0"/>
          <w:numId w:val="54"/>
        </w:numPr>
        <w:spacing w:after="120"/>
        <w:ind w:left="1134" w:right="1134" w:firstLine="0"/>
        <w:jc w:val="both"/>
        <w:rPr>
          <w:rFonts w:eastAsia="DengXian"/>
          <w:lang w:val="es-AR"/>
        </w:rPr>
      </w:pPr>
      <w:r w:rsidRPr="00377F32">
        <w:rPr>
          <w:rFonts w:eastAsia="DengXian"/>
        </w:rPr>
        <w:t>El Correo ha</w:t>
      </w:r>
      <w:r w:rsidRPr="00B57CD1">
        <w:rPr>
          <w:rFonts w:eastAsia="DengXian"/>
          <w:lang w:val="es-AR"/>
        </w:rPr>
        <w:t xml:space="preserve"> avanzado en su página web inclusiva y en su política de diversidad e igualdad de oportunidades, realizando en 2013 una campaña publicitaria inclusiva. Esta campaña fue inclusiva también respecto a la selección de sus protagonistas, afros </w:t>
      </w:r>
      <w:r w:rsidRPr="00377F32">
        <w:rPr>
          <w:rFonts w:eastAsia="DengXian"/>
        </w:rPr>
        <w:t>uruguayos</w:t>
      </w:r>
      <w:r w:rsidRPr="00B57CD1">
        <w:rPr>
          <w:rFonts w:eastAsia="DengXian"/>
          <w:lang w:val="es-AR"/>
        </w:rPr>
        <w:t>, personas con discapacidad y personas transexuales como presentadores capaces de validar y difundir los nuevos productos.</w:t>
      </w:r>
    </w:p>
    <w:p w:rsidR="00B57CD1" w:rsidRPr="00B57CD1" w:rsidRDefault="00B57CD1" w:rsidP="00CE20A7">
      <w:pPr>
        <w:pStyle w:val="H1G"/>
        <w:rPr>
          <w:lang w:val="es-AR"/>
        </w:rPr>
      </w:pPr>
      <w:r w:rsidRPr="00B57CD1">
        <w:rPr>
          <w:lang w:val="es-AR"/>
        </w:rPr>
        <w:tab/>
      </w:r>
      <w:r w:rsidRPr="00B57CD1">
        <w:rPr>
          <w:lang w:val="es-AR"/>
        </w:rPr>
        <w:tab/>
        <w:t xml:space="preserve">Cuota afirmativa dispuesta por el artículo 4º de la Ley </w:t>
      </w:r>
      <w:r w:rsidR="00390A51">
        <w:rPr>
          <w:lang w:val="es-AR"/>
        </w:rPr>
        <w:t xml:space="preserve">núm. </w:t>
      </w:r>
      <w:r w:rsidRPr="00B57CD1">
        <w:rPr>
          <w:lang w:val="es-AR"/>
        </w:rPr>
        <w:t>19122</w:t>
      </w:r>
    </w:p>
    <w:p w:rsidR="00B57CD1" w:rsidRPr="00B57CD1" w:rsidRDefault="00B57CD1" w:rsidP="006025D1">
      <w:pPr>
        <w:numPr>
          <w:ilvl w:val="0"/>
          <w:numId w:val="54"/>
        </w:numPr>
        <w:spacing w:after="120"/>
        <w:ind w:left="1134" w:right="1134" w:firstLine="0"/>
        <w:jc w:val="both"/>
        <w:rPr>
          <w:rFonts w:eastAsia="DengXian"/>
          <w:lang w:val="es-AR"/>
        </w:rPr>
      </w:pPr>
      <w:r w:rsidRPr="00B57CD1">
        <w:rPr>
          <w:rFonts w:eastAsia="DengXian"/>
          <w:lang w:val="es-AR"/>
        </w:rPr>
        <w:t xml:space="preserve">En enero de 2016 entró en vigor el artículo 4º de la Ley </w:t>
      </w:r>
      <w:r w:rsidR="00F20BAD">
        <w:rPr>
          <w:rFonts w:eastAsia="DengXian"/>
          <w:lang w:val="es-AR"/>
        </w:rPr>
        <w:t xml:space="preserve">núm. </w:t>
      </w:r>
      <w:r w:rsidRPr="00B57CD1">
        <w:rPr>
          <w:rFonts w:eastAsia="DengXian"/>
          <w:lang w:val="es-AR"/>
        </w:rPr>
        <w:t xml:space="preserve">19438 que establece que los </w:t>
      </w:r>
      <w:r w:rsidRPr="00377F32">
        <w:rPr>
          <w:rFonts w:eastAsia="DengXian"/>
        </w:rPr>
        <w:t>organismos</w:t>
      </w:r>
      <w:r w:rsidRPr="00B57CD1">
        <w:rPr>
          <w:rFonts w:eastAsia="DengXian"/>
          <w:lang w:val="es-AR"/>
        </w:rPr>
        <w:t xml:space="preserve"> estatales y personas jurídicas de derecho público no estatal en cada oportunidad de iniciar un proceso de selección de personal para la provisión de vacantes, deberán indicar en forma expresa el o los perfiles que se cubrirán con los cargos, funciones y créditos presupuestales afectados al cumplimiento de la cuota afirmativa dispuesta por la Ley </w:t>
      </w:r>
      <w:r w:rsidR="00390A51">
        <w:rPr>
          <w:rFonts w:eastAsia="DengXian"/>
          <w:lang w:val="es-AR"/>
        </w:rPr>
        <w:t xml:space="preserve">núm. </w:t>
      </w:r>
      <w:r w:rsidR="00CE20A7">
        <w:rPr>
          <w:rFonts w:eastAsia="DengXian"/>
          <w:lang w:val="es-AR"/>
        </w:rPr>
        <w:t>19122.</w:t>
      </w:r>
    </w:p>
    <w:p w:rsidR="00B57CD1" w:rsidRPr="00B57CD1" w:rsidRDefault="00B57CD1" w:rsidP="00B57CD1">
      <w:pPr>
        <w:numPr>
          <w:ilvl w:val="0"/>
          <w:numId w:val="54"/>
        </w:numPr>
        <w:spacing w:after="120"/>
        <w:ind w:left="1134" w:right="1134" w:firstLine="0"/>
        <w:jc w:val="both"/>
        <w:rPr>
          <w:rFonts w:eastAsia="DengXian"/>
          <w:lang w:val="es-AR"/>
        </w:rPr>
      </w:pPr>
      <w:r w:rsidRPr="00B57CD1">
        <w:rPr>
          <w:rFonts w:eastAsia="DengXian"/>
          <w:lang w:val="es-AR"/>
        </w:rPr>
        <w:t xml:space="preserve">La </w:t>
      </w:r>
      <w:r w:rsidRPr="00377F32">
        <w:rPr>
          <w:rFonts w:eastAsia="DengXian"/>
        </w:rPr>
        <w:t>Oficina</w:t>
      </w:r>
      <w:r w:rsidRPr="00B57CD1">
        <w:rPr>
          <w:rFonts w:eastAsia="DengXian"/>
          <w:lang w:val="es-AR"/>
        </w:rPr>
        <w:t xml:space="preserve"> Nacional del Servicio Civil (ONSC) controla el cumplimiento de la cuota del 8</w:t>
      </w:r>
      <w:r w:rsidR="00CE20A7">
        <w:rPr>
          <w:rFonts w:eastAsia="DengXian"/>
          <w:lang w:val="es-AR"/>
        </w:rPr>
        <w:t> % con un sistema de « </w:t>
      </w:r>
      <w:r w:rsidRPr="00B57CD1">
        <w:rPr>
          <w:rFonts w:eastAsia="DengXian"/>
          <w:lang w:val="es-AR"/>
        </w:rPr>
        <w:t>cuenta corriente</w:t>
      </w:r>
      <w:r w:rsidR="00CE20A7">
        <w:rPr>
          <w:rFonts w:eastAsia="DengXian"/>
          <w:lang w:val="es-AR"/>
        </w:rPr>
        <w:t> »</w:t>
      </w:r>
      <w:r w:rsidRPr="00B57CD1">
        <w:rPr>
          <w:rFonts w:eastAsia="DengXian"/>
          <w:lang w:val="es-AR"/>
        </w:rPr>
        <w:t xml:space="preserve"> por organismo, que garantiza que se realicen los llamados para cubrirla e</w:t>
      </w:r>
      <w:r w:rsidR="00CE20A7">
        <w:rPr>
          <w:rFonts w:eastAsia="DengXian"/>
          <w:lang w:val="es-AR"/>
        </w:rPr>
        <w:t>n los concursos que administra « Uruguay Concursa »</w:t>
      </w:r>
      <w:r w:rsidRPr="00B57CD1">
        <w:rPr>
          <w:rFonts w:eastAsia="DengXian"/>
          <w:lang w:val="es-AR"/>
        </w:rPr>
        <w:t>.</w:t>
      </w:r>
    </w:p>
    <w:p w:rsidR="00B57CD1" w:rsidRPr="00B57CD1" w:rsidRDefault="00B57CD1" w:rsidP="00B57CD1">
      <w:pPr>
        <w:numPr>
          <w:ilvl w:val="0"/>
          <w:numId w:val="54"/>
        </w:numPr>
        <w:spacing w:after="120"/>
        <w:ind w:left="1134" w:right="1134" w:firstLine="0"/>
        <w:jc w:val="both"/>
        <w:rPr>
          <w:rFonts w:eastAsia="DengXian"/>
          <w:lang w:val="es-AR"/>
        </w:rPr>
      </w:pPr>
      <w:r w:rsidRPr="00B57CD1">
        <w:rPr>
          <w:rFonts w:eastAsia="DengXian"/>
          <w:lang w:val="es-AR"/>
        </w:rPr>
        <w:t>Anualmente, ONSC realiza un informe anual que eleva al Parlamento en ocasión de la rendición de cuentas con los resultados de esta política pública. Para el año 2016 se registraron 275 ingresos, lo que corresponde a un 1,8</w:t>
      </w:r>
      <w:r w:rsidR="00CE20A7">
        <w:rPr>
          <w:rFonts w:eastAsia="DengXian"/>
          <w:lang w:val="es-AR"/>
        </w:rPr>
        <w:t> </w:t>
      </w:r>
      <w:r w:rsidRPr="00B57CD1">
        <w:rPr>
          <w:rFonts w:eastAsia="DengXian"/>
          <w:lang w:val="es-AR"/>
        </w:rPr>
        <w:t xml:space="preserve">% de los ingresos. En el </w:t>
      </w:r>
      <w:r w:rsidRPr="00487BB3">
        <w:rPr>
          <w:rFonts w:eastAsia="DengXian"/>
        </w:rPr>
        <w:t>Poder</w:t>
      </w:r>
      <w:r w:rsidRPr="00B57CD1">
        <w:rPr>
          <w:rFonts w:eastAsia="DengXian"/>
          <w:lang w:val="es-AR"/>
        </w:rPr>
        <w:t xml:space="preserve"> </w:t>
      </w:r>
      <w:r w:rsidRPr="00487BB3">
        <w:rPr>
          <w:rFonts w:eastAsia="DengXian"/>
        </w:rPr>
        <w:t>Ejecutivo</w:t>
      </w:r>
      <w:r w:rsidRPr="00B57CD1">
        <w:rPr>
          <w:rFonts w:eastAsia="DengXian"/>
          <w:lang w:val="es-AR"/>
        </w:rPr>
        <w:t xml:space="preserve"> fue un 3,3</w:t>
      </w:r>
      <w:r w:rsidR="00CE20A7">
        <w:rPr>
          <w:rFonts w:eastAsia="DengXian"/>
          <w:lang w:val="es-AR"/>
        </w:rPr>
        <w:t> </w:t>
      </w:r>
      <w:r w:rsidRPr="00B57CD1">
        <w:rPr>
          <w:rFonts w:eastAsia="DengXian"/>
          <w:lang w:val="es-AR"/>
        </w:rPr>
        <w:t>%. Si bien no se alcanza al cumplimiento de la cuota, se observan avances</w:t>
      </w:r>
      <w:r w:rsidR="008D12E8">
        <w:rPr>
          <w:rFonts w:eastAsia="DengXian"/>
          <w:lang w:val="es-AR"/>
        </w:rPr>
        <w:t> </w:t>
      </w:r>
      <w:r w:rsidRPr="00B57CD1">
        <w:rPr>
          <w:rFonts w:eastAsia="DengXian"/>
          <w:lang w:val="es-AR"/>
        </w:rPr>
        <w:t>: son más los organismos que cumplieron con realizar llamados e ingresos efectivos de personas afrodescendientes. A su vez la incorporación de mujeres afro es porcentualmente mayor que en años anteriores y se observa perfiles que requieren mayor calificación</w:t>
      </w:r>
      <w:r w:rsidRPr="006025D1">
        <w:rPr>
          <w:rFonts w:eastAsia="DengXian"/>
          <w:sz w:val="18"/>
          <w:szCs w:val="18"/>
          <w:vertAlign w:val="superscript"/>
          <w:lang w:val="es-AR"/>
        </w:rPr>
        <w:footnoteReference w:id="5"/>
      </w:r>
      <w:r w:rsidRPr="00B57CD1">
        <w:rPr>
          <w:rFonts w:eastAsia="DengXian"/>
          <w:lang w:val="es-AR"/>
        </w:rPr>
        <w:t>.</w:t>
      </w:r>
    </w:p>
    <w:p w:rsidR="00B57CD1" w:rsidRPr="00487BB3" w:rsidRDefault="00B57CD1" w:rsidP="00CE20A7">
      <w:pPr>
        <w:keepNext/>
        <w:keepLines/>
        <w:numPr>
          <w:ilvl w:val="0"/>
          <w:numId w:val="54"/>
        </w:numPr>
        <w:spacing w:after="120"/>
        <w:ind w:left="1134" w:right="1134" w:firstLine="0"/>
        <w:jc w:val="both"/>
        <w:rPr>
          <w:rFonts w:eastAsia="DengXian"/>
        </w:rPr>
      </w:pPr>
      <w:r w:rsidRPr="00487BB3">
        <w:rPr>
          <w:rFonts w:eastAsia="DengXian"/>
        </w:rPr>
        <w:lastRenderedPageBreak/>
        <w:t>Por otra parte, 1/3 de los organismos han solicitado asesoramiento y capacitación para la realización de los llamados. Según el informe de ingreso de personas afrodescendientes en el Estado (ONSC, 2016), se constata un incremento en el número de organismos que incluyen la cuota del 8</w:t>
      </w:r>
      <w:r w:rsidR="00CE20A7">
        <w:rPr>
          <w:rFonts w:eastAsia="DengXian"/>
        </w:rPr>
        <w:t> </w:t>
      </w:r>
      <w:r w:rsidRPr="00487BB3">
        <w:rPr>
          <w:rFonts w:eastAsia="DengXian"/>
        </w:rPr>
        <w:t>%</w:t>
      </w:r>
      <w:r w:rsidR="00CE20A7">
        <w:rPr>
          <w:rFonts w:eastAsia="DengXian"/>
        </w:rPr>
        <w:t> </w:t>
      </w:r>
      <w:r w:rsidRPr="00487BB3">
        <w:rPr>
          <w:rFonts w:eastAsia="DengXian"/>
        </w:rPr>
        <w:t>: pasando de 13 en 2015 a 19 organismos en 2016.</w:t>
      </w:r>
    </w:p>
    <w:p w:rsidR="00B57CD1" w:rsidRPr="00B57CD1" w:rsidRDefault="00B57CD1" w:rsidP="00CE20A7">
      <w:pPr>
        <w:pStyle w:val="H1G"/>
      </w:pPr>
      <w:r w:rsidRPr="00B57CD1">
        <w:tab/>
      </w:r>
      <w:r w:rsidRPr="00B57CD1">
        <w:tab/>
        <w:t>Discriminación en el ámbito educativo</w:t>
      </w:r>
    </w:p>
    <w:p w:rsidR="00B57CD1" w:rsidRPr="00B57CD1" w:rsidRDefault="00B57CD1" w:rsidP="00B57CD1">
      <w:pPr>
        <w:keepNext/>
        <w:keepLines/>
        <w:tabs>
          <w:tab w:val="right" w:pos="851"/>
        </w:tabs>
        <w:suppressAutoHyphens/>
        <w:spacing w:before="240" w:after="120" w:line="240" w:lineRule="exact"/>
        <w:ind w:left="1134" w:right="1134" w:hanging="1134"/>
        <w:rPr>
          <w:i/>
        </w:rPr>
      </w:pPr>
      <w:r w:rsidRPr="00B57CD1">
        <w:rPr>
          <w:i/>
          <w:shd w:val="clear" w:color="auto" w:fill="FFFFFF"/>
          <w:lang w:val="es-AR"/>
        </w:rPr>
        <w:tab/>
      </w:r>
      <w:r w:rsidRPr="00B57CD1">
        <w:rPr>
          <w:i/>
          <w:shd w:val="clear" w:color="auto" w:fill="FFFFFF"/>
          <w:lang w:val="es-AR"/>
        </w:rPr>
        <w:tab/>
        <w:t>21.</w:t>
      </w:r>
      <w:r w:rsidRPr="00B57CD1">
        <w:rPr>
          <w:i/>
          <w:shd w:val="clear" w:color="auto" w:fill="FFFFFF"/>
          <w:lang w:val="es-AR"/>
        </w:rPr>
        <w:tab/>
        <w:t>El Comité recomienda al Estado parte que redoble sus esfuerzos para garantizar el disfrute del derecho a la educación sin ningún tipo de discriminación a la población afrodescendiente. En particular, le recomienda que adopte medidas especiales dirigidas a la población afrodescendiente, especialmente a las adolescentes afrodescendientes a fin de corregir las disparidades en los logros educativos</w:t>
      </w:r>
      <w:r w:rsidR="008D12E8">
        <w:rPr>
          <w:i/>
          <w:shd w:val="clear" w:color="auto" w:fill="FFFFFF"/>
          <w:lang w:val="es-AR"/>
        </w:rPr>
        <w:t> </w:t>
      </w:r>
      <w:r w:rsidRPr="00B57CD1">
        <w:rPr>
          <w:i/>
          <w:shd w:val="clear" w:color="auto" w:fill="FFFFFF"/>
          <w:lang w:val="es-AR"/>
        </w:rPr>
        <w:t xml:space="preserve">; reducir los altos índices de deserción escolar, y para promover el acceso a la educación terciaria. El Comité insta al Estado parte a adoptar las medidas necesarias que garanticen el cumplimiento efectivo de la Ley N° 19122 en lo que </w:t>
      </w:r>
      <w:r w:rsidR="00CE20A7">
        <w:rPr>
          <w:i/>
          <w:shd w:val="clear" w:color="auto" w:fill="FFFFFF"/>
          <w:lang w:val="es-AR"/>
        </w:rPr>
        <w:t>se refiere al ámbito educativo.</w:t>
      </w:r>
    </w:p>
    <w:p w:rsidR="00B57CD1" w:rsidRPr="00B57CD1" w:rsidRDefault="00B57CD1" w:rsidP="006025D1">
      <w:pPr>
        <w:numPr>
          <w:ilvl w:val="0"/>
          <w:numId w:val="54"/>
        </w:numPr>
        <w:spacing w:after="120"/>
        <w:ind w:left="1134" w:right="1134" w:firstLine="0"/>
        <w:jc w:val="both"/>
        <w:rPr>
          <w:rFonts w:eastAsia="DengXian"/>
          <w:lang w:val="es-AR"/>
        </w:rPr>
      </w:pPr>
      <w:r w:rsidRPr="00B57CD1">
        <w:rPr>
          <w:rFonts w:eastAsia="DengXian"/>
          <w:lang w:val="es-AR"/>
        </w:rPr>
        <w:t xml:space="preserve">El Grupo de </w:t>
      </w:r>
      <w:r w:rsidRPr="00487BB3">
        <w:rPr>
          <w:rFonts w:eastAsia="DengXian"/>
        </w:rPr>
        <w:t>Trabajo</w:t>
      </w:r>
      <w:r w:rsidRPr="00B57CD1">
        <w:rPr>
          <w:rFonts w:eastAsia="DengXian"/>
          <w:lang w:val="es-AR"/>
        </w:rPr>
        <w:t xml:space="preserve"> para la Inclusión de la Dimensión Étnica Racial Afrodescendiente en la Educación (ANEP/In mujeres)</w:t>
      </w:r>
      <w:r w:rsidRPr="006025D1">
        <w:rPr>
          <w:rFonts w:eastAsia="DengXian"/>
          <w:sz w:val="18"/>
          <w:szCs w:val="18"/>
          <w:vertAlign w:val="superscript"/>
          <w:lang w:val="es-AR"/>
        </w:rPr>
        <w:footnoteReference w:id="6"/>
      </w:r>
      <w:r w:rsidRPr="00B57CD1">
        <w:rPr>
          <w:rFonts w:eastAsia="DengXian"/>
          <w:lang w:val="es-AR"/>
        </w:rPr>
        <w:t xml:space="preserve"> asesora, coordina y </w:t>
      </w:r>
      <w:r w:rsidRPr="00487BB3">
        <w:rPr>
          <w:rFonts w:eastAsia="DengXian"/>
        </w:rPr>
        <w:t>fortalece</w:t>
      </w:r>
      <w:r w:rsidRPr="00B57CD1">
        <w:rPr>
          <w:rFonts w:eastAsia="DengXian"/>
          <w:lang w:val="es-AR"/>
        </w:rPr>
        <w:t xml:space="preserve"> las políticas de derechos humanos para la educación y de educación en derechos humanos. Este GT se plantea como objetivo general el garantizar, en el marco de las políticas de no discriminación de la Administración Nacional de Educación Pública (ANEP), la incorporación de la dimensión étnico</w:t>
      </w:r>
      <w:r w:rsidR="00F20BAD">
        <w:rPr>
          <w:rFonts w:eastAsia="DengXian"/>
          <w:lang w:val="es-AR"/>
        </w:rPr>
        <w:t>-</w:t>
      </w:r>
      <w:r w:rsidR="00CE20A7">
        <w:rPr>
          <w:rFonts w:eastAsia="DengXian"/>
          <w:lang w:val="es-AR"/>
        </w:rPr>
        <w:t>racial.</w:t>
      </w:r>
    </w:p>
    <w:p w:rsidR="00B57CD1" w:rsidRPr="00B57CD1" w:rsidRDefault="00B57CD1" w:rsidP="006025D1">
      <w:pPr>
        <w:numPr>
          <w:ilvl w:val="0"/>
          <w:numId w:val="54"/>
        </w:numPr>
        <w:spacing w:after="120"/>
        <w:ind w:left="1134" w:right="1134" w:firstLine="0"/>
        <w:jc w:val="both"/>
        <w:rPr>
          <w:rFonts w:eastAsia="DengXian"/>
          <w:lang w:val="es-AR"/>
        </w:rPr>
      </w:pPr>
      <w:r w:rsidRPr="00B57CD1">
        <w:rPr>
          <w:rFonts w:eastAsia="DengXian"/>
          <w:lang w:val="es-AR"/>
        </w:rPr>
        <w:t>Por otra parte, entre sus objetivos específicos se encuentran</w:t>
      </w:r>
      <w:r w:rsidR="00CE20A7">
        <w:rPr>
          <w:rFonts w:eastAsia="DengXian"/>
          <w:lang w:val="es-AR"/>
        </w:rPr>
        <w:t> : i) </w:t>
      </w:r>
      <w:r w:rsidRPr="00B57CD1">
        <w:rPr>
          <w:rFonts w:eastAsia="DengXian"/>
          <w:lang w:val="es-AR"/>
        </w:rPr>
        <w:t xml:space="preserve">crear un Grupo de Trabajo por la </w:t>
      </w:r>
      <w:r w:rsidRPr="00487BB3">
        <w:rPr>
          <w:rFonts w:eastAsia="DengXian"/>
        </w:rPr>
        <w:t>equidad</w:t>
      </w:r>
      <w:r w:rsidRPr="00B57CD1">
        <w:rPr>
          <w:rFonts w:eastAsia="DengXian"/>
          <w:lang w:val="es-AR"/>
        </w:rPr>
        <w:t xml:space="preserve"> étnico-racial en la educación, en el marco de la Dirección de Derechos Humanos de ANEP</w:t>
      </w:r>
      <w:r w:rsidR="00CE20A7">
        <w:rPr>
          <w:rFonts w:eastAsia="DengXian"/>
          <w:lang w:val="es-AR"/>
        </w:rPr>
        <w:t> </w:t>
      </w:r>
      <w:r w:rsidR="00390A51">
        <w:rPr>
          <w:rFonts w:eastAsia="DengXian"/>
          <w:lang w:val="es-AR"/>
        </w:rPr>
        <w:t>;</w:t>
      </w:r>
      <w:r w:rsidR="00CE20A7">
        <w:rPr>
          <w:rFonts w:eastAsia="DengXian"/>
          <w:lang w:val="es-AR"/>
        </w:rPr>
        <w:t xml:space="preserve"> ii) </w:t>
      </w:r>
      <w:r w:rsidRPr="00B57CD1">
        <w:rPr>
          <w:rFonts w:eastAsia="DengXian"/>
          <w:lang w:val="es-AR"/>
        </w:rPr>
        <w:t xml:space="preserve">tomar conocimiento de las situaciones de </w:t>
      </w:r>
      <w:r w:rsidRPr="00487BB3">
        <w:rPr>
          <w:rFonts w:eastAsia="DengXian"/>
        </w:rPr>
        <w:t>discriminación</w:t>
      </w:r>
      <w:r w:rsidRPr="00B57CD1">
        <w:rPr>
          <w:rFonts w:eastAsia="DengXian"/>
          <w:lang w:val="es-AR"/>
        </w:rPr>
        <w:t xml:space="preserve"> étnico-racial y su cruce con la desigualdad de género en las instituciones de la ANEP en </w:t>
      </w:r>
      <w:r w:rsidRPr="00CE20A7">
        <w:rPr>
          <w:rFonts w:eastAsia="DengXian"/>
          <w:spacing w:val="-2"/>
          <w:lang w:val="es-AR"/>
        </w:rPr>
        <w:t>todos sus ámbitos y niveles</w:t>
      </w:r>
      <w:r w:rsidR="00CE20A7" w:rsidRPr="00CE20A7">
        <w:rPr>
          <w:rFonts w:eastAsia="DengXian"/>
          <w:spacing w:val="-2"/>
          <w:lang w:val="es-AR"/>
        </w:rPr>
        <w:t> ; y iii) </w:t>
      </w:r>
      <w:r w:rsidRPr="00CE20A7">
        <w:rPr>
          <w:rFonts w:eastAsia="DengXian"/>
          <w:spacing w:val="-2"/>
          <w:lang w:val="es-AR"/>
        </w:rPr>
        <w:t>realizar acciones que promuevan la equidad étnico-racial</w:t>
      </w:r>
      <w:r w:rsidRPr="00CE20A7">
        <w:rPr>
          <w:rFonts w:eastAsia="DengXian"/>
          <w:spacing w:val="-2"/>
          <w:sz w:val="18"/>
          <w:szCs w:val="18"/>
          <w:vertAlign w:val="superscript"/>
          <w:lang w:val="es-AR"/>
        </w:rPr>
        <w:footnoteReference w:id="7"/>
      </w:r>
      <w:r w:rsidR="00390A51" w:rsidRPr="00CE20A7">
        <w:rPr>
          <w:rFonts w:eastAsia="DengXian"/>
          <w:spacing w:val="-2"/>
          <w:lang w:val="es-AR"/>
        </w:rPr>
        <w:t>.</w:t>
      </w:r>
    </w:p>
    <w:p w:rsidR="00B57CD1" w:rsidRPr="00487BB3" w:rsidRDefault="00B57CD1" w:rsidP="006025D1">
      <w:pPr>
        <w:numPr>
          <w:ilvl w:val="0"/>
          <w:numId w:val="54"/>
        </w:numPr>
        <w:spacing w:after="120"/>
        <w:ind w:left="1134" w:right="1134" w:firstLine="0"/>
        <w:jc w:val="both"/>
        <w:rPr>
          <w:rFonts w:eastAsia="DengXian"/>
        </w:rPr>
      </w:pPr>
      <w:r w:rsidRPr="00B57CD1">
        <w:rPr>
          <w:rFonts w:eastAsia="DengXian"/>
          <w:lang w:val="es-AR"/>
        </w:rPr>
        <w:t xml:space="preserve">Recientemente, el Grupo de Trabajo </w:t>
      </w:r>
      <w:r w:rsidRPr="00B57CD1">
        <w:rPr>
          <w:rFonts w:eastAsia="DengXian"/>
          <w:lang w:val="es-UY"/>
        </w:rPr>
        <w:t>desarrolló las siguientes acciones</w:t>
      </w:r>
      <w:r w:rsidR="00CE20A7">
        <w:rPr>
          <w:rFonts w:eastAsia="DengXian"/>
          <w:lang w:val="es-UY"/>
        </w:rPr>
        <w:t> </w:t>
      </w:r>
      <w:r w:rsidRPr="00B57CD1">
        <w:rPr>
          <w:rFonts w:eastAsia="DengXian"/>
          <w:lang w:val="es-UY"/>
        </w:rPr>
        <w:t>: 1)</w:t>
      </w:r>
      <w:r w:rsidR="00CE20A7">
        <w:rPr>
          <w:rFonts w:eastAsia="DengXian"/>
          <w:lang w:val="es-UY"/>
        </w:rPr>
        <w:t> </w:t>
      </w:r>
      <w:r w:rsidRPr="00B57CD1">
        <w:rPr>
          <w:rFonts w:eastAsia="DengXian"/>
          <w:lang w:val="es-UY"/>
        </w:rPr>
        <w:t xml:space="preserve">Difusión y capacitación en el uso de la Guía Educación y Afro descendencia, realizando </w:t>
      </w:r>
      <w:r w:rsidRPr="00487BB3">
        <w:rPr>
          <w:rFonts w:eastAsia="DengXian"/>
        </w:rPr>
        <w:t>4 Jornadas en Departamentos del Norte del país</w:t>
      </w:r>
      <w:r w:rsidR="00CE20A7">
        <w:rPr>
          <w:rFonts w:eastAsia="DengXian"/>
        </w:rPr>
        <w:t> </w:t>
      </w:r>
      <w:r w:rsidR="00F20BAD">
        <w:rPr>
          <w:rFonts w:eastAsia="DengXian"/>
        </w:rPr>
        <w:t>;</w:t>
      </w:r>
      <w:r w:rsidR="00CE20A7">
        <w:rPr>
          <w:rFonts w:eastAsia="DengXian"/>
        </w:rPr>
        <w:t xml:space="preserve"> 2) </w:t>
      </w:r>
      <w:r w:rsidRPr="00487BB3">
        <w:rPr>
          <w:rFonts w:eastAsia="DengXian"/>
        </w:rPr>
        <w:t>Jornada de sensibilización a funcionarios no docentes del Consejo Directivo Central (CODICEN)</w:t>
      </w:r>
      <w:r w:rsidR="00CE20A7">
        <w:rPr>
          <w:rFonts w:eastAsia="DengXian"/>
        </w:rPr>
        <w:t> </w:t>
      </w:r>
      <w:r w:rsidR="00F20BAD">
        <w:rPr>
          <w:rFonts w:eastAsia="DengXian"/>
        </w:rPr>
        <w:t>;</w:t>
      </w:r>
      <w:r w:rsidR="00CE20A7">
        <w:rPr>
          <w:rFonts w:eastAsia="DengXian"/>
        </w:rPr>
        <w:t xml:space="preserve"> 3) </w:t>
      </w:r>
      <w:r w:rsidRPr="00487BB3">
        <w:rPr>
          <w:rFonts w:eastAsia="DengXian"/>
        </w:rPr>
        <w:t>Curso virtual sobre educación y Afro descendencia en las plataformas del Ministerio de Educación Pública, Plan Ceibal y ANEP</w:t>
      </w:r>
      <w:r w:rsidR="00CE20A7">
        <w:rPr>
          <w:rFonts w:eastAsia="DengXian"/>
        </w:rPr>
        <w:t> </w:t>
      </w:r>
      <w:r w:rsidR="00F20BAD">
        <w:rPr>
          <w:rFonts w:eastAsia="DengXian"/>
        </w:rPr>
        <w:t>;</w:t>
      </w:r>
      <w:r w:rsidR="00CE20A7">
        <w:rPr>
          <w:rFonts w:eastAsia="DengXian"/>
        </w:rPr>
        <w:t xml:space="preserve"> 4) </w:t>
      </w:r>
      <w:r w:rsidRPr="00487BB3">
        <w:rPr>
          <w:rFonts w:eastAsia="DengXian"/>
        </w:rPr>
        <w:t>Inclusión de la variable étnica racial en los registros de la ANEP</w:t>
      </w:r>
      <w:r w:rsidR="00CE20A7">
        <w:rPr>
          <w:rFonts w:eastAsia="DengXian"/>
        </w:rPr>
        <w:t> </w:t>
      </w:r>
      <w:r w:rsidR="00F20BAD">
        <w:rPr>
          <w:rFonts w:eastAsia="DengXian"/>
        </w:rPr>
        <w:t>;</w:t>
      </w:r>
      <w:r w:rsidR="00CE20A7">
        <w:rPr>
          <w:rFonts w:eastAsia="DengXian"/>
        </w:rPr>
        <w:t xml:space="preserve"> 5) </w:t>
      </w:r>
      <w:r w:rsidRPr="00487BB3">
        <w:rPr>
          <w:rFonts w:eastAsia="DengXian"/>
        </w:rPr>
        <w:t xml:space="preserve">Participación en la subcomisión de educación de la Comisión Implementadora de la Ley (CIL, Ley </w:t>
      </w:r>
      <w:r w:rsidR="00F20BAD">
        <w:rPr>
          <w:rFonts w:eastAsia="DengXian"/>
        </w:rPr>
        <w:t>núm. </w:t>
      </w:r>
      <w:r w:rsidRPr="00487BB3">
        <w:rPr>
          <w:rFonts w:eastAsia="DengXian"/>
        </w:rPr>
        <w:t>19122).</w:t>
      </w:r>
    </w:p>
    <w:p w:rsidR="00B57CD1" w:rsidRPr="00B57CD1" w:rsidRDefault="00B57CD1" w:rsidP="006025D1">
      <w:pPr>
        <w:numPr>
          <w:ilvl w:val="0"/>
          <w:numId w:val="54"/>
        </w:numPr>
        <w:spacing w:after="120"/>
        <w:ind w:left="1134" w:right="1134" w:firstLine="0"/>
        <w:jc w:val="both"/>
        <w:rPr>
          <w:rFonts w:eastAsia="DengXian"/>
          <w:lang w:val="es-AR"/>
        </w:rPr>
      </w:pPr>
      <w:r w:rsidRPr="00B57CD1">
        <w:rPr>
          <w:rFonts w:eastAsia="DengXian"/>
          <w:lang w:val="es-AR"/>
        </w:rPr>
        <w:t xml:space="preserve">En aplicación de la Ley </w:t>
      </w:r>
      <w:r w:rsidR="00F20BAD">
        <w:rPr>
          <w:rFonts w:eastAsia="DengXian"/>
          <w:lang w:val="es-AR"/>
        </w:rPr>
        <w:t xml:space="preserve">núm. </w:t>
      </w:r>
      <w:r w:rsidRPr="00B57CD1">
        <w:rPr>
          <w:rFonts w:eastAsia="DengXian"/>
          <w:lang w:val="es-AR"/>
        </w:rPr>
        <w:t xml:space="preserve">19122, el Ministerio de Educación y Cultura realiza la </w:t>
      </w:r>
      <w:r w:rsidRPr="00487BB3">
        <w:rPr>
          <w:rFonts w:eastAsia="DengXian"/>
        </w:rPr>
        <w:t>convocatoria</w:t>
      </w:r>
      <w:r w:rsidRPr="00B57CD1">
        <w:rPr>
          <w:rFonts w:eastAsia="DengXian"/>
          <w:lang w:val="es-AR"/>
        </w:rPr>
        <w:t xml:space="preserve"> anual a las Becas de Apoyo Económico (BAE), las Becas Carlos Quijano y las del Programa interinstitucional Compromiso Educativo, atendiendo a la </w:t>
      </w:r>
      <w:r w:rsidRPr="00487BB3">
        <w:rPr>
          <w:rFonts w:eastAsia="DengXian"/>
        </w:rPr>
        <w:t>normativa</w:t>
      </w:r>
      <w:r w:rsidRPr="00B57CD1">
        <w:rPr>
          <w:rFonts w:eastAsia="DengXian"/>
          <w:lang w:val="es-AR"/>
        </w:rPr>
        <w:t xml:space="preserve"> de la Ley</w:t>
      </w:r>
      <w:r w:rsidRPr="006025D1">
        <w:rPr>
          <w:rFonts w:eastAsia="DengXian"/>
          <w:sz w:val="18"/>
          <w:szCs w:val="18"/>
          <w:vertAlign w:val="superscript"/>
          <w:lang w:val="es-AR"/>
        </w:rPr>
        <w:footnoteReference w:id="8"/>
      </w:r>
      <w:r w:rsidRPr="00B57CD1">
        <w:rPr>
          <w:rFonts w:eastAsia="DengXian"/>
          <w:lang w:val="es-AR"/>
        </w:rPr>
        <w:t>. Se anexan a continuación las tablas con datos que muestran la evolución de los últimos años en cuanto a la cantidad de becas otorgadas a estudiantes afrodescendientes y el dat</w:t>
      </w:r>
      <w:r w:rsidR="00CE20A7">
        <w:rPr>
          <w:rFonts w:eastAsia="DengXian"/>
          <w:lang w:val="es-AR"/>
        </w:rPr>
        <w:t>o total de las becas otorgadas.</w:t>
      </w:r>
    </w:p>
    <w:p w:rsidR="00390A51" w:rsidRDefault="00B57CD1" w:rsidP="00B57CD1">
      <w:pPr>
        <w:numPr>
          <w:ilvl w:val="0"/>
          <w:numId w:val="54"/>
        </w:numPr>
        <w:spacing w:after="120"/>
        <w:ind w:left="1134" w:right="1134" w:firstLine="0"/>
        <w:jc w:val="both"/>
        <w:rPr>
          <w:rFonts w:eastAsia="DengXian"/>
          <w:lang w:val="es-AR"/>
        </w:rPr>
      </w:pPr>
      <w:r w:rsidRPr="00487BB3">
        <w:rPr>
          <w:rFonts w:eastAsia="DengXian"/>
        </w:rPr>
        <w:t>Continúa</w:t>
      </w:r>
      <w:r w:rsidRPr="00B57CD1">
        <w:rPr>
          <w:rFonts w:eastAsia="DengXian"/>
          <w:lang w:val="es-AR"/>
        </w:rPr>
        <w:t xml:space="preserve"> siendo un desafío incorporar la variable étnico-racial en todos los programas de becas de </w:t>
      </w:r>
      <w:r w:rsidRPr="00487BB3">
        <w:rPr>
          <w:rFonts w:eastAsia="DengXian"/>
        </w:rPr>
        <w:t>estudio</w:t>
      </w:r>
      <w:r w:rsidRPr="00B57CD1">
        <w:rPr>
          <w:rFonts w:eastAsia="DengXian"/>
          <w:lang w:val="es-AR"/>
        </w:rPr>
        <w:t xml:space="preserve"> para promover la implementación de los cupos para estudiantes afrodescendient</w:t>
      </w:r>
      <w:r w:rsidR="00CE20A7">
        <w:rPr>
          <w:rFonts w:eastAsia="DengXian"/>
          <w:lang w:val="es-AR"/>
        </w:rPr>
        <w:t>es.</w:t>
      </w:r>
    </w:p>
    <w:p w:rsidR="00B57CD1" w:rsidRPr="00B57CD1" w:rsidRDefault="00B57CD1" w:rsidP="00B57CD1">
      <w:pPr>
        <w:numPr>
          <w:ilvl w:val="0"/>
          <w:numId w:val="54"/>
        </w:numPr>
        <w:spacing w:after="120"/>
        <w:ind w:left="1134" w:right="1134" w:firstLine="0"/>
        <w:jc w:val="both"/>
        <w:rPr>
          <w:rFonts w:eastAsia="DengXian"/>
          <w:lang w:val="es-AR"/>
        </w:rPr>
      </w:pPr>
    </w:p>
    <w:tbl>
      <w:tblPr>
        <w:tblW w:w="8178" w:type="dxa"/>
        <w:tblInd w:w="1134" w:type="dxa"/>
        <w:tblBorders>
          <w:top w:val="single" w:sz="4" w:space="0" w:color="auto"/>
        </w:tblBorders>
        <w:tblCellMar>
          <w:left w:w="0" w:type="dxa"/>
          <w:right w:w="0" w:type="dxa"/>
        </w:tblCellMar>
        <w:tblLook w:val="04A0" w:firstRow="1" w:lastRow="0" w:firstColumn="1" w:lastColumn="0" w:noHBand="0" w:noVBand="1"/>
      </w:tblPr>
      <w:tblGrid>
        <w:gridCol w:w="1113"/>
        <w:gridCol w:w="8"/>
        <w:gridCol w:w="1922"/>
        <w:gridCol w:w="16"/>
        <w:gridCol w:w="1600"/>
        <w:gridCol w:w="24"/>
        <w:gridCol w:w="1604"/>
        <w:gridCol w:w="32"/>
        <w:gridCol w:w="1899"/>
        <w:gridCol w:w="40"/>
      </w:tblGrid>
      <w:tr w:rsidR="001435D5" w:rsidRPr="00390A51" w:rsidTr="006025D1">
        <w:trPr>
          <w:gridAfter w:val="1"/>
          <w:wAfter w:w="40" w:type="dxa"/>
          <w:trHeight w:val="240"/>
          <w:tblHeader/>
        </w:trPr>
        <w:tc>
          <w:tcPr>
            <w:tcW w:w="8138" w:type="dxa"/>
            <w:gridSpan w:val="9"/>
            <w:tcBorders>
              <w:top w:val="single" w:sz="12" w:space="0" w:color="auto"/>
              <w:bottom w:val="single" w:sz="4" w:space="0" w:color="auto"/>
            </w:tcBorders>
            <w:shd w:val="clear" w:color="auto" w:fill="auto"/>
            <w:noWrap/>
          </w:tcPr>
          <w:p w:rsidR="00B57CD1" w:rsidRPr="006025D1" w:rsidRDefault="00390A51" w:rsidP="00CE20A7">
            <w:pPr>
              <w:spacing w:before="80" w:after="80" w:line="200" w:lineRule="exact"/>
              <w:jc w:val="center"/>
              <w:rPr>
                <w:i/>
                <w:sz w:val="16"/>
                <w:lang w:eastAsia="es-UY"/>
              </w:rPr>
            </w:pPr>
            <w:r w:rsidRPr="00867FAE">
              <w:rPr>
                <w:i/>
                <w:sz w:val="16"/>
                <w:lang w:eastAsia="es-UY"/>
              </w:rPr>
              <w:t xml:space="preserve">Becas De Post Grado </w:t>
            </w:r>
            <w:r w:rsidR="00CE20A7">
              <w:rPr>
                <w:i/>
                <w:sz w:val="16"/>
                <w:lang w:eastAsia="es-UY"/>
              </w:rPr>
              <w:t>« </w:t>
            </w:r>
            <w:r>
              <w:rPr>
                <w:i/>
                <w:sz w:val="16"/>
                <w:lang w:eastAsia="es-UY"/>
              </w:rPr>
              <w:t>Carlos Quijano</w:t>
            </w:r>
            <w:r w:rsidR="00CE20A7">
              <w:rPr>
                <w:i/>
                <w:sz w:val="16"/>
                <w:lang w:eastAsia="es-UY"/>
              </w:rPr>
              <w:t> »</w:t>
            </w:r>
          </w:p>
        </w:tc>
      </w:tr>
      <w:tr w:rsidR="001435D5" w:rsidRPr="00390A51" w:rsidTr="006025D1">
        <w:trPr>
          <w:gridAfter w:val="1"/>
          <w:wAfter w:w="40" w:type="dxa"/>
          <w:trHeight w:val="240"/>
          <w:tblHeader/>
        </w:trPr>
        <w:tc>
          <w:tcPr>
            <w:tcW w:w="1097" w:type="dxa"/>
            <w:tcBorders>
              <w:top w:val="single" w:sz="4" w:space="0" w:color="auto"/>
              <w:bottom w:val="single" w:sz="12" w:space="0" w:color="auto"/>
            </w:tcBorders>
            <w:shd w:val="clear" w:color="auto" w:fill="auto"/>
          </w:tcPr>
          <w:p w:rsidR="00390A51" w:rsidRPr="006025D1" w:rsidRDefault="00390A51" w:rsidP="006025D1">
            <w:pPr>
              <w:spacing w:before="80" w:after="80" w:line="200" w:lineRule="exact"/>
              <w:rPr>
                <w:i/>
                <w:sz w:val="16"/>
                <w:lang w:eastAsia="es-UY"/>
              </w:rPr>
            </w:pPr>
            <w:r w:rsidRPr="00867FAE">
              <w:rPr>
                <w:i/>
                <w:sz w:val="16"/>
                <w:lang w:eastAsia="es-UY"/>
              </w:rPr>
              <w:t xml:space="preserve">Año </w:t>
            </w:r>
          </w:p>
        </w:tc>
        <w:tc>
          <w:tcPr>
            <w:tcW w:w="1914" w:type="dxa"/>
            <w:gridSpan w:val="2"/>
            <w:tcBorders>
              <w:top w:val="single" w:sz="4" w:space="0" w:color="auto"/>
              <w:bottom w:val="single" w:sz="12" w:space="0" w:color="auto"/>
            </w:tcBorders>
            <w:shd w:val="clear" w:color="auto" w:fill="auto"/>
          </w:tcPr>
          <w:p w:rsidR="00390A51" w:rsidRPr="006025D1" w:rsidRDefault="00390A51" w:rsidP="006025D1">
            <w:pPr>
              <w:spacing w:before="80" w:after="80" w:line="200" w:lineRule="exact"/>
              <w:jc w:val="right"/>
              <w:rPr>
                <w:i/>
                <w:sz w:val="16"/>
                <w:lang w:eastAsia="es-UY"/>
              </w:rPr>
            </w:pPr>
            <w:r w:rsidRPr="00867FAE">
              <w:rPr>
                <w:i/>
                <w:sz w:val="16"/>
                <w:lang w:eastAsia="es-UY"/>
              </w:rPr>
              <w:t>Total Solicitudes Afro</w:t>
            </w:r>
          </w:p>
        </w:tc>
        <w:tc>
          <w:tcPr>
            <w:tcW w:w="1600" w:type="dxa"/>
            <w:gridSpan w:val="2"/>
            <w:tcBorders>
              <w:top w:val="single" w:sz="4" w:space="0" w:color="auto"/>
              <w:bottom w:val="single" w:sz="12" w:space="0" w:color="auto"/>
            </w:tcBorders>
            <w:shd w:val="clear" w:color="auto" w:fill="auto"/>
          </w:tcPr>
          <w:p w:rsidR="00390A51" w:rsidRPr="006025D1" w:rsidRDefault="00390A51" w:rsidP="006025D1">
            <w:pPr>
              <w:spacing w:before="80" w:after="80" w:line="200" w:lineRule="exact"/>
              <w:jc w:val="right"/>
              <w:rPr>
                <w:i/>
                <w:sz w:val="16"/>
                <w:lang w:eastAsia="es-UY"/>
              </w:rPr>
            </w:pPr>
            <w:r w:rsidRPr="00867FAE">
              <w:rPr>
                <w:i/>
                <w:sz w:val="16"/>
                <w:lang w:eastAsia="es-UY"/>
              </w:rPr>
              <w:t>Afro Otorgadas</w:t>
            </w:r>
          </w:p>
        </w:tc>
        <w:tc>
          <w:tcPr>
            <w:tcW w:w="1612" w:type="dxa"/>
            <w:gridSpan w:val="2"/>
            <w:tcBorders>
              <w:top w:val="single" w:sz="4" w:space="0" w:color="auto"/>
              <w:bottom w:val="single" w:sz="12" w:space="0" w:color="auto"/>
            </w:tcBorders>
            <w:shd w:val="clear" w:color="auto" w:fill="auto"/>
          </w:tcPr>
          <w:p w:rsidR="00390A51" w:rsidRPr="006025D1" w:rsidRDefault="00390A51" w:rsidP="006025D1">
            <w:pPr>
              <w:spacing w:before="80" w:after="80" w:line="200" w:lineRule="exact"/>
              <w:jc w:val="right"/>
              <w:rPr>
                <w:i/>
                <w:sz w:val="16"/>
                <w:lang w:eastAsia="es-UY"/>
              </w:rPr>
            </w:pPr>
            <w:r w:rsidRPr="00867FAE">
              <w:rPr>
                <w:i/>
                <w:sz w:val="16"/>
                <w:lang w:eastAsia="es-UY"/>
              </w:rPr>
              <w:t>Total Otorgadas</w:t>
            </w:r>
          </w:p>
        </w:tc>
        <w:tc>
          <w:tcPr>
            <w:tcW w:w="1915" w:type="dxa"/>
            <w:gridSpan w:val="2"/>
            <w:tcBorders>
              <w:top w:val="single" w:sz="4" w:space="0" w:color="auto"/>
              <w:bottom w:val="single" w:sz="12" w:space="0" w:color="auto"/>
            </w:tcBorders>
            <w:shd w:val="clear" w:color="auto" w:fill="auto"/>
          </w:tcPr>
          <w:p w:rsidR="00390A51" w:rsidRPr="006025D1" w:rsidRDefault="00390A51" w:rsidP="006025D1">
            <w:pPr>
              <w:spacing w:before="80" w:after="80" w:line="200" w:lineRule="exact"/>
              <w:jc w:val="right"/>
              <w:rPr>
                <w:i/>
                <w:sz w:val="16"/>
                <w:lang w:eastAsia="es-UY"/>
              </w:rPr>
            </w:pPr>
            <w:r w:rsidRPr="00867FAE">
              <w:rPr>
                <w:i/>
                <w:sz w:val="16"/>
                <w:lang w:eastAsia="es-UY"/>
              </w:rPr>
              <w:t>Total Solicitudes</w:t>
            </w:r>
          </w:p>
        </w:tc>
      </w:tr>
      <w:tr w:rsidR="001435D5" w:rsidRPr="00390A51" w:rsidTr="006025D1">
        <w:trPr>
          <w:gridAfter w:val="1"/>
          <w:wAfter w:w="40" w:type="dxa"/>
          <w:trHeight w:val="240"/>
        </w:trPr>
        <w:tc>
          <w:tcPr>
            <w:tcW w:w="1097" w:type="dxa"/>
            <w:tcBorders>
              <w:top w:val="single" w:sz="12" w:space="0" w:color="auto"/>
            </w:tcBorders>
            <w:shd w:val="clear" w:color="auto" w:fill="auto"/>
          </w:tcPr>
          <w:p w:rsidR="001435D5" w:rsidRPr="006025D1" w:rsidDel="00390A51" w:rsidRDefault="001435D5" w:rsidP="006025D1">
            <w:pPr>
              <w:spacing w:before="40" w:after="40" w:line="220" w:lineRule="exact"/>
              <w:rPr>
                <w:sz w:val="18"/>
                <w:lang w:eastAsia="es-UY"/>
              </w:rPr>
            </w:pPr>
            <w:r w:rsidRPr="00867FAE">
              <w:rPr>
                <w:sz w:val="18"/>
                <w:lang w:eastAsia="es-UY"/>
              </w:rPr>
              <w:t>2008</w:t>
            </w:r>
          </w:p>
        </w:tc>
        <w:tc>
          <w:tcPr>
            <w:tcW w:w="1914" w:type="dxa"/>
            <w:gridSpan w:val="2"/>
            <w:tcBorders>
              <w:top w:val="single" w:sz="12" w:space="0" w:color="auto"/>
            </w:tcBorders>
            <w:shd w:val="clear" w:color="auto" w:fill="auto"/>
          </w:tcPr>
          <w:p w:rsidR="001435D5" w:rsidRPr="006025D1" w:rsidDel="00390A51" w:rsidRDefault="001435D5" w:rsidP="006025D1">
            <w:pPr>
              <w:spacing w:before="40" w:after="40" w:line="220" w:lineRule="exact"/>
              <w:jc w:val="right"/>
              <w:rPr>
                <w:sz w:val="18"/>
                <w:lang w:eastAsia="es-UY"/>
              </w:rPr>
            </w:pPr>
            <w:r w:rsidRPr="00867FAE">
              <w:rPr>
                <w:sz w:val="18"/>
                <w:lang w:eastAsia="es-UY"/>
              </w:rPr>
              <w:t>0</w:t>
            </w:r>
          </w:p>
        </w:tc>
        <w:tc>
          <w:tcPr>
            <w:tcW w:w="1600" w:type="dxa"/>
            <w:gridSpan w:val="2"/>
            <w:tcBorders>
              <w:top w:val="single" w:sz="12" w:space="0" w:color="auto"/>
            </w:tcBorders>
            <w:shd w:val="clear" w:color="auto" w:fill="auto"/>
          </w:tcPr>
          <w:p w:rsidR="001435D5" w:rsidRPr="006025D1" w:rsidDel="00390A51" w:rsidRDefault="001435D5" w:rsidP="006025D1">
            <w:pPr>
              <w:spacing w:before="40" w:after="40" w:line="220" w:lineRule="exact"/>
              <w:jc w:val="right"/>
              <w:rPr>
                <w:sz w:val="18"/>
                <w:lang w:eastAsia="es-UY"/>
              </w:rPr>
            </w:pPr>
            <w:r w:rsidRPr="00867FAE">
              <w:rPr>
                <w:sz w:val="18"/>
                <w:lang w:eastAsia="es-UY"/>
              </w:rPr>
              <w:t>0</w:t>
            </w:r>
          </w:p>
        </w:tc>
        <w:tc>
          <w:tcPr>
            <w:tcW w:w="1612" w:type="dxa"/>
            <w:gridSpan w:val="2"/>
            <w:tcBorders>
              <w:top w:val="single" w:sz="12" w:space="0" w:color="auto"/>
            </w:tcBorders>
            <w:shd w:val="clear" w:color="auto" w:fill="auto"/>
          </w:tcPr>
          <w:p w:rsidR="001435D5" w:rsidRPr="006025D1" w:rsidDel="00390A51" w:rsidRDefault="001435D5" w:rsidP="006025D1">
            <w:pPr>
              <w:spacing w:before="40" w:after="40" w:line="220" w:lineRule="exact"/>
              <w:jc w:val="right"/>
              <w:rPr>
                <w:sz w:val="18"/>
                <w:lang w:eastAsia="es-UY"/>
              </w:rPr>
            </w:pPr>
            <w:r w:rsidRPr="00867FAE">
              <w:rPr>
                <w:sz w:val="18"/>
                <w:lang w:eastAsia="es-UY"/>
              </w:rPr>
              <w:t>8</w:t>
            </w:r>
          </w:p>
        </w:tc>
        <w:tc>
          <w:tcPr>
            <w:tcW w:w="1915" w:type="dxa"/>
            <w:gridSpan w:val="2"/>
            <w:tcBorders>
              <w:top w:val="single" w:sz="12" w:space="0" w:color="auto"/>
            </w:tcBorders>
            <w:shd w:val="clear" w:color="auto" w:fill="auto"/>
          </w:tcPr>
          <w:p w:rsidR="001435D5" w:rsidRPr="006025D1" w:rsidDel="00390A51" w:rsidRDefault="001435D5" w:rsidP="006025D1">
            <w:pPr>
              <w:spacing w:before="40" w:after="40" w:line="220" w:lineRule="exact"/>
              <w:jc w:val="right"/>
              <w:rPr>
                <w:sz w:val="18"/>
                <w:lang w:eastAsia="es-UY"/>
              </w:rPr>
            </w:pPr>
            <w:r w:rsidRPr="00867FAE">
              <w:rPr>
                <w:sz w:val="18"/>
                <w:lang w:eastAsia="es-UY"/>
              </w:rPr>
              <w:t>28</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lastRenderedPageBreak/>
              <w:t>2009</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4</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4</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7</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47</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2010</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5</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25</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2011</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12</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34</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2012</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0</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11</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50</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2013</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4</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14</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58</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2014</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2</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10</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88</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2015</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9</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166</w:t>
            </w:r>
          </w:p>
        </w:tc>
      </w:tr>
      <w:tr w:rsidR="001435D5" w:rsidRPr="00390A51" w:rsidTr="006025D1">
        <w:trPr>
          <w:gridAfter w:val="1"/>
          <w:wAfter w:w="40" w:type="dxa"/>
          <w:trHeight w:val="240"/>
        </w:trPr>
        <w:tc>
          <w:tcPr>
            <w:tcW w:w="1097" w:type="dxa"/>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2016</w:t>
            </w:r>
          </w:p>
        </w:tc>
        <w:tc>
          <w:tcPr>
            <w:tcW w:w="1914"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6</w:t>
            </w:r>
          </w:p>
        </w:tc>
        <w:tc>
          <w:tcPr>
            <w:tcW w:w="1600"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4</w:t>
            </w:r>
          </w:p>
        </w:tc>
        <w:tc>
          <w:tcPr>
            <w:tcW w:w="1612"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12</w:t>
            </w:r>
          </w:p>
        </w:tc>
        <w:tc>
          <w:tcPr>
            <w:tcW w:w="1915" w:type="dxa"/>
            <w:gridSpan w:val="2"/>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89</w:t>
            </w:r>
          </w:p>
        </w:tc>
      </w:tr>
      <w:tr w:rsidR="001435D5" w:rsidRPr="00390A51" w:rsidTr="006025D1">
        <w:trPr>
          <w:gridAfter w:val="1"/>
          <w:wAfter w:w="40" w:type="dxa"/>
          <w:trHeight w:val="240"/>
        </w:trPr>
        <w:tc>
          <w:tcPr>
            <w:tcW w:w="1097" w:type="dxa"/>
            <w:tcBorders>
              <w:bottom w:val="single" w:sz="4" w:space="0" w:color="auto"/>
            </w:tcBorders>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2017</w:t>
            </w:r>
          </w:p>
        </w:tc>
        <w:tc>
          <w:tcPr>
            <w:tcW w:w="1914" w:type="dxa"/>
            <w:gridSpan w:val="2"/>
            <w:tcBorders>
              <w:bottom w:val="single" w:sz="4"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8</w:t>
            </w:r>
          </w:p>
        </w:tc>
        <w:tc>
          <w:tcPr>
            <w:tcW w:w="1600" w:type="dxa"/>
            <w:gridSpan w:val="2"/>
            <w:tcBorders>
              <w:bottom w:val="single" w:sz="4"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3</w:t>
            </w:r>
          </w:p>
        </w:tc>
        <w:tc>
          <w:tcPr>
            <w:tcW w:w="1612" w:type="dxa"/>
            <w:gridSpan w:val="2"/>
            <w:tcBorders>
              <w:bottom w:val="single" w:sz="4"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11</w:t>
            </w:r>
          </w:p>
        </w:tc>
        <w:tc>
          <w:tcPr>
            <w:tcW w:w="1915" w:type="dxa"/>
            <w:gridSpan w:val="2"/>
            <w:tcBorders>
              <w:bottom w:val="single" w:sz="4"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90</w:t>
            </w:r>
          </w:p>
        </w:tc>
      </w:tr>
      <w:tr w:rsidR="001435D5" w:rsidRPr="001435D5" w:rsidTr="006025D1">
        <w:trPr>
          <w:gridAfter w:val="1"/>
          <w:wAfter w:w="40" w:type="dxa"/>
          <w:trHeight w:val="240"/>
        </w:trPr>
        <w:tc>
          <w:tcPr>
            <w:tcW w:w="1097" w:type="dxa"/>
            <w:tcBorders>
              <w:top w:val="single" w:sz="4" w:space="0" w:color="auto"/>
              <w:bottom w:val="nil"/>
            </w:tcBorders>
            <w:shd w:val="clear" w:color="auto" w:fill="auto"/>
            <w:noWrap/>
          </w:tcPr>
          <w:p w:rsidR="001435D5" w:rsidRPr="006025D1" w:rsidRDefault="001435D5" w:rsidP="006025D1">
            <w:pPr>
              <w:spacing w:before="80" w:after="80" w:line="220" w:lineRule="exact"/>
              <w:ind w:left="284"/>
              <w:rPr>
                <w:b/>
                <w:bCs/>
                <w:sz w:val="18"/>
                <w:lang w:eastAsia="es-UY"/>
              </w:rPr>
            </w:pPr>
            <w:r w:rsidRPr="006025D1">
              <w:rPr>
                <w:b/>
                <w:bCs/>
                <w:sz w:val="18"/>
                <w:lang w:eastAsia="es-UY"/>
              </w:rPr>
              <w:t>Total</w:t>
            </w:r>
          </w:p>
        </w:tc>
        <w:tc>
          <w:tcPr>
            <w:tcW w:w="1914" w:type="dxa"/>
            <w:gridSpan w:val="2"/>
            <w:tcBorders>
              <w:top w:val="single" w:sz="4" w:space="0" w:color="auto"/>
              <w:bottom w:val="nil"/>
            </w:tcBorders>
            <w:shd w:val="clear" w:color="auto" w:fill="auto"/>
            <w:noWrap/>
          </w:tcPr>
          <w:p w:rsidR="001435D5" w:rsidRPr="006025D1" w:rsidRDefault="001435D5" w:rsidP="006025D1">
            <w:pPr>
              <w:spacing w:before="80" w:after="80" w:line="220" w:lineRule="exact"/>
              <w:jc w:val="right"/>
              <w:rPr>
                <w:b/>
                <w:bCs/>
                <w:sz w:val="18"/>
                <w:lang w:eastAsia="es-UY"/>
              </w:rPr>
            </w:pPr>
            <w:r w:rsidRPr="006025D1">
              <w:rPr>
                <w:b/>
                <w:bCs/>
                <w:sz w:val="18"/>
                <w:lang w:eastAsia="es-UY"/>
              </w:rPr>
              <w:t>25</w:t>
            </w:r>
          </w:p>
        </w:tc>
        <w:tc>
          <w:tcPr>
            <w:tcW w:w="1600" w:type="dxa"/>
            <w:gridSpan w:val="2"/>
            <w:tcBorders>
              <w:top w:val="single" w:sz="4" w:space="0" w:color="auto"/>
              <w:bottom w:val="nil"/>
            </w:tcBorders>
            <w:shd w:val="clear" w:color="auto" w:fill="auto"/>
            <w:noWrap/>
          </w:tcPr>
          <w:p w:rsidR="001435D5" w:rsidRPr="006025D1" w:rsidRDefault="001435D5" w:rsidP="006025D1">
            <w:pPr>
              <w:spacing w:before="80" w:after="80" w:line="220" w:lineRule="exact"/>
              <w:jc w:val="right"/>
              <w:rPr>
                <w:b/>
                <w:bCs/>
                <w:sz w:val="18"/>
                <w:lang w:eastAsia="es-UY"/>
              </w:rPr>
            </w:pPr>
            <w:r w:rsidRPr="006025D1">
              <w:rPr>
                <w:b/>
                <w:bCs/>
                <w:sz w:val="18"/>
                <w:lang w:eastAsia="es-UY"/>
              </w:rPr>
              <w:t>14</w:t>
            </w:r>
          </w:p>
        </w:tc>
        <w:tc>
          <w:tcPr>
            <w:tcW w:w="1612" w:type="dxa"/>
            <w:gridSpan w:val="2"/>
            <w:tcBorders>
              <w:top w:val="single" w:sz="4" w:space="0" w:color="auto"/>
              <w:bottom w:val="nil"/>
            </w:tcBorders>
            <w:shd w:val="clear" w:color="auto" w:fill="auto"/>
            <w:noWrap/>
          </w:tcPr>
          <w:p w:rsidR="001435D5" w:rsidRPr="006025D1" w:rsidRDefault="001435D5" w:rsidP="006025D1">
            <w:pPr>
              <w:spacing w:before="80" w:after="80" w:line="220" w:lineRule="exact"/>
              <w:jc w:val="right"/>
              <w:rPr>
                <w:b/>
                <w:bCs/>
                <w:sz w:val="18"/>
                <w:lang w:eastAsia="es-UY"/>
              </w:rPr>
            </w:pPr>
            <w:r w:rsidRPr="006025D1">
              <w:rPr>
                <w:b/>
                <w:bCs/>
                <w:sz w:val="18"/>
                <w:lang w:eastAsia="es-UY"/>
              </w:rPr>
              <w:t>99</w:t>
            </w:r>
          </w:p>
        </w:tc>
        <w:tc>
          <w:tcPr>
            <w:tcW w:w="1915" w:type="dxa"/>
            <w:gridSpan w:val="2"/>
            <w:tcBorders>
              <w:top w:val="single" w:sz="4" w:space="0" w:color="auto"/>
              <w:bottom w:val="nil"/>
            </w:tcBorders>
            <w:shd w:val="clear" w:color="auto" w:fill="auto"/>
            <w:noWrap/>
          </w:tcPr>
          <w:p w:rsidR="001435D5" w:rsidRPr="006025D1" w:rsidRDefault="001435D5" w:rsidP="006025D1">
            <w:pPr>
              <w:spacing w:before="80" w:after="80" w:line="220" w:lineRule="exact"/>
              <w:jc w:val="right"/>
              <w:rPr>
                <w:b/>
                <w:bCs/>
                <w:sz w:val="18"/>
                <w:lang w:eastAsia="es-UY"/>
              </w:rPr>
            </w:pPr>
            <w:r w:rsidRPr="006025D1">
              <w:rPr>
                <w:b/>
                <w:bCs/>
                <w:sz w:val="18"/>
                <w:lang w:eastAsia="es-UY"/>
              </w:rPr>
              <w:t>675</w:t>
            </w:r>
          </w:p>
        </w:tc>
      </w:tr>
      <w:tr w:rsidR="00F20BAD" w:rsidRPr="00390A51" w:rsidTr="006025D1">
        <w:trPr>
          <w:gridAfter w:val="1"/>
          <w:wAfter w:w="40" w:type="dxa"/>
          <w:trHeight w:val="240"/>
        </w:trPr>
        <w:tc>
          <w:tcPr>
            <w:tcW w:w="8138" w:type="dxa"/>
            <w:gridSpan w:val="9"/>
            <w:tcBorders>
              <w:top w:val="single" w:sz="12" w:space="0" w:color="auto"/>
              <w:bottom w:val="single" w:sz="4" w:space="0" w:color="auto"/>
            </w:tcBorders>
            <w:shd w:val="clear" w:color="auto" w:fill="auto"/>
            <w:noWrap/>
            <w:hideMark/>
          </w:tcPr>
          <w:p w:rsidR="00B57CD1" w:rsidRPr="006025D1" w:rsidRDefault="00B57CD1" w:rsidP="006025D1">
            <w:pPr>
              <w:spacing w:before="240" w:after="120" w:line="200" w:lineRule="exact"/>
              <w:jc w:val="center"/>
              <w:rPr>
                <w:i/>
                <w:sz w:val="16"/>
                <w:lang w:eastAsia="es-UY"/>
              </w:rPr>
            </w:pPr>
            <w:r w:rsidRPr="006025D1">
              <w:rPr>
                <w:i/>
                <w:sz w:val="16"/>
                <w:lang w:eastAsia="es-UY"/>
              </w:rPr>
              <w:t>Becas Otorgadas Estudiantes AFRO De Educación Media</w:t>
            </w:r>
          </w:p>
        </w:tc>
      </w:tr>
      <w:tr w:rsidR="001435D5" w:rsidRPr="00390A51" w:rsidTr="006025D1">
        <w:trPr>
          <w:gridAfter w:val="1"/>
          <w:wAfter w:w="40" w:type="dxa"/>
          <w:trHeight w:val="240"/>
        </w:trPr>
        <w:tc>
          <w:tcPr>
            <w:tcW w:w="3011" w:type="dxa"/>
            <w:gridSpan w:val="3"/>
            <w:tcBorders>
              <w:top w:val="single" w:sz="4" w:space="0" w:color="auto"/>
              <w:bottom w:val="single" w:sz="4" w:space="0" w:color="auto"/>
            </w:tcBorders>
            <w:shd w:val="clear" w:color="auto" w:fill="auto"/>
            <w:noWrap/>
            <w:hideMark/>
          </w:tcPr>
          <w:p w:rsidR="001435D5" w:rsidRPr="006025D1" w:rsidRDefault="001435D5" w:rsidP="006025D1">
            <w:pPr>
              <w:spacing w:before="40" w:after="40" w:line="220" w:lineRule="exact"/>
              <w:rPr>
                <w:sz w:val="18"/>
                <w:lang w:eastAsia="es-UY"/>
              </w:rPr>
            </w:pPr>
          </w:p>
        </w:tc>
        <w:tc>
          <w:tcPr>
            <w:tcW w:w="3212" w:type="dxa"/>
            <w:gridSpan w:val="4"/>
            <w:tcBorders>
              <w:top w:val="single" w:sz="4" w:space="0" w:color="auto"/>
              <w:bottom w:val="single" w:sz="4" w:space="0" w:color="auto"/>
            </w:tcBorders>
            <w:shd w:val="clear" w:color="auto" w:fill="auto"/>
            <w:noWrap/>
            <w:hideMark/>
          </w:tcPr>
          <w:p w:rsidR="001435D5" w:rsidRPr="006025D1" w:rsidRDefault="001435D5" w:rsidP="006025D1">
            <w:pPr>
              <w:spacing w:before="80" w:after="80" w:line="200" w:lineRule="exact"/>
              <w:jc w:val="center"/>
              <w:rPr>
                <w:sz w:val="18"/>
                <w:lang w:eastAsia="es-UY"/>
              </w:rPr>
            </w:pPr>
            <w:r w:rsidRPr="006025D1">
              <w:rPr>
                <w:i/>
                <w:sz w:val="16"/>
                <w:lang w:eastAsia="es-UY"/>
              </w:rPr>
              <w:t>Beca de Apoyo Económico</w:t>
            </w:r>
          </w:p>
        </w:tc>
        <w:tc>
          <w:tcPr>
            <w:tcW w:w="1915" w:type="dxa"/>
            <w:gridSpan w:val="2"/>
            <w:tcBorders>
              <w:top w:val="single" w:sz="4" w:space="0" w:color="auto"/>
              <w:bottom w:val="single" w:sz="4" w:space="0" w:color="auto"/>
            </w:tcBorders>
            <w:shd w:val="clear" w:color="auto" w:fill="auto"/>
            <w:noWrap/>
            <w:hideMark/>
          </w:tcPr>
          <w:p w:rsidR="001435D5" w:rsidRPr="006025D1" w:rsidRDefault="001435D5" w:rsidP="006025D1">
            <w:pPr>
              <w:spacing w:before="40" w:after="40" w:line="220" w:lineRule="exact"/>
              <w:rPr>
                <w:sz w:val="18"/>
                <w:lang w:eastAsia="es-UY"/>
              </w:rPr>
            </w:pPr>
          </w:p>
        </w:tc>
      </w:tr>
      <w:tr w:rsidR="001435D5" w:rsidRPr="00390A51" w:rsidTr="006025D1">
        <w:trPr>
          <w:gridAfter w:val="1"/>
          <w:wAfter w:w="40" w:type="dxa"/>
          <w:trHeight w:val="240"/>
        </w:trPr>
        <w:tc>
          <w:tcPr>
            <w:tcW w:w="1097" w:type="dxa"/>
            <w:tcBorders>
              <w:top w:val="single" w:sz="4" w:space="0" w:color="auto"/>
              <w:bottom w:val="single" w:sz="12" w:space="0" w:color="auto"/>
            </w:tcBorders>
            <w:shd w:val="clear" w:color="auto" w:fill="auto"/>
            <w:hideMark/>
          </w:tcPr>
          <w:p w:rsidR="00B57CD1" w:rsidRPr="006025D1" w:rsidRDefault="00B57CD1" w:rsidP="006025D1">
            <w:pPr>
              <w:spacing w:before="80" w:after="80" w:line="200" w:lineRule="exact"/>
              <w:rPr>
                <w:sz w:val="18"/>
                <w:lang w:eastAsia="es-UY"/>
              </w:rPr>
            </w:pPr>
            <w:r w:rsidRPr="006025D1">
              <w:rPr>
                <w:i/>
                <w:sz w:val="16"/>
                <w:lang w:eastAsia="es-UY"/>
              </w:rPr>
              <w:t>Año</w:t>
            </w:r>
          </w:p>
        </w:tc>
        <w:tc>
          <w:tcPr>
            <w:tcW w:w="1914" w:type="dxa"/>
            <w:gridSpan w:val="2"/>
            <w:tcBorders>
              <w:top w:val="single" w:sz="4" w:space="0" w:color="auto"/>
              <w:bottom w:val="single" w:sz="12" w:space="0" w:color="auto"/>
            </w:tcBorders>
            <w:shd w:val="clear" w:color="auto" w:fill="auto"/>
            <w:hideMark/>
          </w:tcPr>
          <w:p w:rsidR="00B57CD1" w:rsidRPr="006025D1" w:rsidRDefault="00B57CD1" w:rsidP="006025D1">
            <w:pPr>
              <w:spacing w:before="80" w:after="80" w:line="200" w:lineRule="exact"/>
              <w:jc w:val="right"/>
              <w:rPr>
                <w:i/>
                <w:sz w:val="16"/>
                <w:lang w:eastAsia="es-UY"/>
              </w:rPr>
            </w:pPr>
            <w:r w:rsidRPr="006025D1">
              <w:rPr>
                <w:i/>
                <w:sz w:val="16"/>
                <w:lang w:eastAsia="es-UY"/>
              </w:rPr>
              <w:t>Becas Solicitadas Afro</w:t>
            </w:r>
          </w:p>
        </w:tc>
        <w:tc>
          <w:tcPr>
            <w:tcW w:w="1600" w:type="dxa"/>
            <w:gridSpan w:val="2"/>
            <w:tcBorders>
              <w:top w:val="single" w:sz="4" w:space="0" w:color="auto"/>
              <w:bottom w:val="single" w:sz="12" w:space="0" w:color="auto"/>
            </w:tcBorders>
            <w:shd w:val="clear" w:color="auto" w:fill="auto"/>
            <w:hideMark/>
          </w:tcPr>
          <w:p w:rsidR="00B57CD1" w:rsidRPr="006025D1" w:rsidRDefault="00B57CD1" w:rsidP="006025D1">
            <w:pPr>
              <w:spacing w:before="80" w:after="80" w:line="200" w:lineRule="exact"/>
              <w:jc w:val="right"/>
              <w:rPr>
                <w:i/>
                <w:sz w:val="16"/>
                <w:lang w:eastAsia="es-UY"/>
              </w:rPr>
            </w:pPr>
            <w:r w:rsidRPr="006025D1">
              <w:rPr>
                <w:i/>
                <w:sz w:val="16"/>
                <w:lang w:eastAsia="es-UY"/>
              </w:rPr>
              <w:t>Afro</w:t>
            </w:r>
          </w:p>
        </w:tc>
        <w:tc>
          <w:tcPr>
            <w:tcW w:w="1612" w:type="dxa"/>
            <w:gridSpan w:val="2"/>
            <w:tcBorders>
              <w:top w:val="single" w:sz="4" w:space="0" w:color="auto"/>
              <w:bottom w:val="single" w:sz="12" w:space="0" w:color="auto"/>
            </w:tcBorders>
            <w:shd w:val="clear" w:color="auto" w:fill="auto"/>
            <w:hideMark/>
          </w:tcPr>
          <w:p w:rsidR="00B57CD1" w:rsidRPr="006025D1" w:rsidRDefault="00B57CD1" w:rsidP="006025D1">
            <w:pPr>
              <w:spacing w:before="80" w:after="80" w:line="200" w:lineRule="exact"/>
              <w:jc w:val="right"/>
              <w:rPr>
                <w:i/>
                <w:sz w:val="16"/>
                <w:lang w:eastAsia="es-UY"/>
              </w:rPr>
            </w:pPr>
            <w:r w:rsidRPr="006025D1">
              <w:rPr>
                <w:i/>
                <w:sz w:val="16"/>
                <w:lang w:eastAsia="es-UY"/>
              </w:rPr>
              <w:t>Becas Otorgadas</w:t>
            </w:r>
          </w:p>
        </w:tc>
        <w:tc>
          <w:tcPr>
            <w:tcW w:w="1915" w:type="dxa"/>
            <w:gridSpan w:val="2"/>
            <w:tcBorders>
              <w:top w:val="single" w:sz="4" w:space="0" w:color="auto"/>
              <w:bottom w:val="single" w:sz="12" w:space="0" w:color="auto"/>
            </w:tcBorders>
            <w:shd w:val="clear" w:color="auto" w:fill="auto"/>
            <w:hideMark/>
          </w:tcPr>
          <w:p w:rsidR="00B57CD1" w:rsidRPr="006025D1" w:rsidRDefault="00B57CD1" w:rsidP="006025D1">
            <w:pPr>
              <w:spacing w:before="80" w:after="80" w:line="200" w:lineRule="exact"/>
              <w:jc w:val="right"/>
              <w:rPr>
                <w:i/>
                <w:sz w:val="16"/>
                <w:lang w:eastAsia="es-UY"/>
              </w:rPr>
            </w:pPr>
            <w:r w:rsidRPr="006025D1">
              <w:rPr>
                <w:i/>
                <w:sz w:val="16"/>
                <w:lang w:eastAsia="es-UY"/>
              </w:rPr>
              <w:t>Total Solicitudes</w:t>
            </w:r>
          </w:p>
        </w:tc>
      </w:tr>
      <w:tr w:rsidR="001435D5" w:rsidRPr="00390A51" w:rsidTr="006025D1">
        <w:trPr>
          <w:gridAfter w:val="1"/>
          <w:wAfter w:w="40" w:type="dxa"/>
          <w:trHeight w:val="240"/>
        </w:trPr>
        <w:tc>
          <w:tcPr>
            <w:tcW w:w="1097" w:type="dxa"/>
            <w:tcBorders>
              <w:top w:val="single" w:sz="12" w:space="0" w:color="auto"/>
            </w:tcBorders>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2011</w:t>
            </w:r>
          </w:p>
        </w:tc>
        <w:tc>
          <w:tcPr>
            <w:tcW w:w="1914"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0"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20</w:t>
            </w:r>
          </w:p>
        </w:tc>
        <w:tc>
          <w:tcPr>
            <w:tcW w:w="1612"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1</w:t>
            </w:r>
            <w:r w:rsidR="001435D5">
              <w:rPr>
                <w:sz w:val="18"/>
                <w:lang w:eastAsia="es-UY"/>
              </w:rPr>
              <w:t xml:space="preserve"> </w:t>
            </w:r>
            <w:r w:rsidRPr="006025D1">
              <w:rPr>
                <w:sz w:val="18"/>
                <w:lang w:eastAsia="es-UY"/>
              </w:rPr>
              <w:t>436</w:t>
            </w:r>
          </w:p>
        </w:tc>
        <w:tc>
          <w:tcPr>
            <w:tcW w:w="1915"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5</w:t>
            </w:r>
            <w:r w:rsidR="001435D5">
              <w:rPr>
                <w:sz w:val="18"/>
                <w:lang w:eastAsia="es-UY"/>
              </w:rPr>
              <w:t xml:space="preserve"> </w:t>
            </w:r>
            <w:r w:rsidRPr="006025D1">
              <w:rPr>
                <w:sz w:val="18"/>
                <w:lang w:eastAsia="es-UY"/>
              </w:rPr>
              <w:t>335</w:t>
            </w:r>
          </w:p>
        </w:tc>
      </w:tr>
      <w:tr w:rsidR="001435D5" w:rsidRPr="00390A51" w:rsidTr="006025D1">
        <w:trPr>
          <w:gridAfter w:val="1"/>
          <w:wAfter w:w="40" w:type="dxa"/>
          <w:trHeight w:val="240"/>
        </w:trPr>
        <w:tc>
          <w:tcPr>
            <w:tcW w:w="1097" w:type="dxa"/>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2012</w:t>
            </w:r>
          </w:p>
        </w:tc>
        <w:tc>
          <w:tcPr>
            <w:tcW w:w="1914"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31</w:t>
            </w:r>
          </w:p>
        </w:tc>
        <w:tc>
          <w:tcPr>
            <w:tcW w:w="161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2</w:t>
            </w:r>
            <w:r w:rsidR="001435D5">
              <w:rPr>
                <w:sz w:val="18"/>
                <w:lang w:eastAsia="es-UY"/>
              </w:rPr>
              <w:t xml:space="preserve"> </w:t>
            </w:r>
            <w:r w:rsidRPr="006025D1">
              <w:rPr>
                <w:sz w:val="18"/>
                <w:lang w:eastAsia="es-UY"/>
              </w:rPr>
              <w:t>894</w:t>
            </w:r>
          </w:p>
        </w:tc>
        <w:tc>
          <w:tcPr>
            <w:tcW w:w="1915"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800</w:t>
            </w:r>
          </w:p>
        </w:tc>
      </w:tr>
      <w:tr w:rsidR="001435D5" w:rsidRPr="00390A51" w:rsidTr="006025D1">
        <w:trPr>
          <w:gridAfter w:val="1"/>
          <w:wAfter w:w="40" w:type="dxa"/>
          <w:trHeight w:val="240"/>
        </w:trPr>
        <w:tc>
          <w:tcPr>
            <w:tcW w:w="1097" w:type="dxa"/>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2013</w:t>
            </w:r>
          </w:p>
        </w:tc>
        <w:tc>
          <w:tcPr>
            <w:tcW w:w="1914"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180</w:t>
            </w:r>
          </w:p>
        </w:tc>
        <w:tc>
          <w:tcPr>
            <w:tcW w:w="161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3</w:t>
            </w:r>
            <w:r w:rsidR="001435D5">
              <w:rPr>
                <w:sz w:val="18"/>
                <w:lang w:eastAsia="es-UY"/>
              </w:rPr>
              <w:t xml:space="preserve"> </w:t>
            </w:r>
            <w:r w:rsidRPr="006025D1">
              <w:rPr>
                <w:sz w:val="18"/>
                <w:lang w:eastAsia="es-UY"/>
              </w:rPr>
              <w:t>719</w:t>
            </w:r>
          </w:p>
        </w:tc>
        <w:tc>
          <w:tcPr>
            <w:tcW w:w="1915"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3</w:t>
            </w:r>
            <w:r w:rsidR="001435D5">
              <w:rPr>
                <w:sz w:val="18"/>
                <w:lang w:eastAsia="es-UY"/>
              </w:rPr>
              <w:t xml:space="preserve"> </w:t>
            </w:r>
            <w:r w:rsidRPr="006025D1">
              <w:rPr>
                <w:sz w:val="18"/>
                <w:lang w:eastAsia="es-UY"/>
              </w:rPr>
              <w:t>986</w:t>
            </w:r>
          </w:p>
        </w:tc>
      </w:tr>
      <w:tr w:rsidR="001435D5" w:rsidRPr="00390A51" w:rsidTr="006025D1">
        <w:trPr>
          <w:gridAfter w:val="1"/>
          <w:wAfter w:w="40" w:type="dxa"/>
          <w:trHeight w:val="240"/>
        </w:trPr>
        <w:tc>
          <w:tcPr>
            <w:tcW w:w="1097" w:type="dxa"/>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2014</w:t>
            </w:r>
          </w:p>
        </w:tc>
        <w:tc>
          <w:tcPr>
            <w:tcW w:w="1914"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817</w:t>
            </w:r>
          </w:p>
        </w:tc>
        <w:tc>
          <w:tcPr>
            <w:tcW w:w="160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423</w:t>
            </w:r>
          </w:p>
        </w:tc>
        <w:tc>
          <w:tcPr>
            <w:tcW w:w="161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545</w:t>
            </w:r>
          </w:p>
        </w:tc>
        <w:tc>
          <w:tcPr>
            <w:tcW w:w="1915"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8</w:t>
            </w:r>
            <w:r w:rsidR="001435D5">
              <w:rPr>
                <w:sz w:val="18"/>
                <w:lang w:eastAsia="es-UY"/>
              </w:rPr>
              <w:t xml:space="preserve"> </w:t>
            </w:r>
            <w:r w:rsidRPr="006025D1">
              <w:rPr>
                <w:sz w:val="18"/>
                <w:lang w:eastAsia="es-UY"/>
              </w:rPr>
              <w:t>155</w:t>
            </w:r>
          </w:p>
        </w:tc>
      </w:tr>
      <w:tr w:rsidR="001435D5" w:rsidRPr="00390A51" w:rsidTr="006025D1">
        <w:trPr>
          <w:gridAfter w:val="1"/>
          <w:wAfter w:w="40" w:type="dxa"/>
          <w:trHeight w:val="240"/>
        </w:trPr>
        <w:tc>
          <w:tcPr>
            <w:tcW w:w="1097" w:type="dxa"/>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2015</w:t>
            </w:r>
          </w:p>
        </w:tc>
        <w:tc>
          <w:tcPr>
            <w:tcW w:w="1914"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752</w:t>
            </w:r>
          </w:p>
        </w:tc>
        <w:tc>
          <w:tcPr>
            <w:tcW w:w="161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296</w:t>
            </w:r>
          </w:p>
        </w:tc>
        <w:tc>
          <w:tcPr>
            <w:tcW w:w="1915"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22</w:t>
            </w:r>
            <w:r w:rsidR="001435D5">
              <w:rPr>
                <w:sz w:val="18"/>
                <w:lang w:eastAsia="es-UY"/>
              </w:rPr>
              <w:t xml:space="preserve"> </w:t>
            </w:r>
            <w:r w:rsidRPr="006025D1">
              <w:rPr>
                <w:sz w:val="18"/>
                <w:lang w:eastAsia="es-UY"/>
              </w:rPr>
              <w:t>914</w:t>
            </w:r>
          </w:p>
        </w:tc>
      </w:tr>
      <w:tr w:rsidR="001435D5" w:rsidRPr="00390A51" w:rsidTr="006025D1">
        <w:trPr>
          <w:gridAfter w:val="1"/>
          <w:wAfter w:w="40" w:type="dxa"/>
          <w:trHeight w:val="240"/>
        </w:trPr>
        <w:tc>
          <w:tcPr>
            <w:tcW w:w="1097" w:type="dxa"/>
            <w:tcBorders>
              <w:bottom w:val="nil"/>
            </w:tcBorders>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2016</w:t>
            </w:r>
          </w:p>
        </w:tc>
        <w:tc>
          <w:tcPr>
            <w:tcW w:w="1914" w:type="dxa"/>
            <w:gridSpan w:val="2"/>
            <w:tcBorders>
              <w:bottom w:val="nil"/>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2</w:t>
            </w:r>
            <w:r w:rsidR="001435D5">
              <w:rPr>
                <w:sz w:val="18"/>
                <w:lang w:eastAsia="es-UY"/>
              </w:rPr>
              <w:t xml:space="preserve"> </w:t>
            </w:r>
            <w:r w:rsidRPr="006025D1">
              <w:rPr>
                <w:sz w:val="18"/>
                <w:lang w:eastAsia="es-UY"/>
              </w:rPr>
              <w:t>578</w:t>
            </w:r>
          </w:p>
        </w:tc>
        <w:tc>
          <w:tcPr>
            <w:tcW w:w="1600" w:type="dxa"/>
            <w:gridSpan w:val="2"/>
            <w:tcBorders>
              <w:bottom w:val="nil"/>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817</w:t>
            </w:r>
          </w:p>
        </w:tc>
        <w:tc>
          <w:tcPr>
            <w:tcW w:w="1612" w:type="dxa"/>
            <w:gridSpan w:val="2"/>
            <w:tcBorders>
              <w:bottom w:val="nil"/>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296</w:t>
            </w:r>
          </w:p>
        </w:tc>
        <w:tc>
          <w:tcPr>
            <w:tcW w:w="1915" w:type="dxa"/>
            <w:gridSpan w:val="2"/>
            <w:tcBorders>
              <w:bottom w:val="nil"/>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34</w:t>
            </w:r>
            <w:r w:rsidR="001435D5">
              <w:rPr>
                <w:sz w:val="18"/>
                <w:lang w:eastAsia="es-UY"/>
              </w:rPr>
              <w:t xml:space="preserve"> </w:t>
            </w:r>
            <w:r w:rsidRPr="006025D1">
              <w:rPr>
                <w:sz w:val="18"/>
                <w:lang w:eastAsia="es-UY"/>
              </w:rPr>
              <w:t>584</w:t>
            </w:r>
          </w:p>
        </w:tc>
      </w:tr>
      <w:tr w:rsidR="001435D5" w:rsidRPr="00390A51" w:rsidTr="006025D1">
        <w:trPr>
          <w:gridAfter w:val="1"/>
          <w:wAfter w:w="40" w:type="dxa"/>
          <w:trHeight w:val="240"/>
        </w:trPr>
        <w:tc>
          <w:tcPr>
            <w:tcW w:w="1097" w:type="dxa"/>
            <w:tcBorders>
              <w:top w:val="nil"/>
              <w:bottom w:val="single" w:sz="12" w:space="0" w:color="auto"/>
            </w:tcBorders>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2017</w:t>
            </w:r>
          </w:p>
        </w:tc>
        <w:tc>
          <w:tcPr>
            <w:tcW w:w="1914" w:type="dxa"/>
            <w:gridSpan w:val="2"/>
            <w:tcBorders>
              <w:top w:val="nil"/>
              <w:bottom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288</w:t>
            </w:r>
          </w:p>
        </w:tc>
        <w:tc>
          <w:tcPr>
            <w:tcW w:w="1600" w:type="dxa"/>
            <w:gridSpan w:val="2"/>
            <w:tcBorders>
              <w:top w:val="nil"/>
              <w:bottom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846</w:t>
            </w:r>
          </w:p>
        </w:tc>
        <w:tc>
          <w:tcPr>
            <w:tcW w:w="1612" w:type="dxa"/>
            <w:gridSpan w:val="2"/>
            <w:tcBorders>
              <w:top w:val="nil"/>
              <w:bottom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296</w:t>
            </w:r>
          </w:p>
        </w:tc>
        <w:tc>
          <w:tcPr>
            <w:tcW w:w="1915" w:type="dxa"/>
            <w:gridSpan w:val="2"/>
            <w:tcBorders>
              <w:top w:val="nil"/>
              <w:bottom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37</w:t>
            </w:r>
            <w:r w:rsidR="001435D5">
              <w:rPr>
                <w:sz w:val="18"/>
                <w:lang w:eastAsia="es-UY"/>
              </w:rPr>
              <w:t xml:space="preserve"> </w:t>
            </w:r>
            <w:r w:rsidRPr="006025D1">
              <w:rPr>
                <w:sz w:val="18"/>
                <w:lang w:eastAsia="es-UY"/>
              </w:rPr>
              <w:t>015</w:t>
            </w:r>
          </w:p>
        </w:tc>
      </w:tr>
      <w:tr w:rsidR="001435D5" w:rsidRPr="00390A51" w:rsidTr="006025D1">
        <w:trPr>
          <w:trHeight w:val="240"/>
        </w:trPr>
        <w:tc>
          <w:tcPr>
            <w:tcW w:w="1105" w:type="dxa"/>
            <w:gridSpan w:val="2"/>
            <w:tcBorders>
              <w:top w:val="single" w:sz="4" w:space="0" w:color="auto"/>
              <w:bottom w:val="single" w:sz="4" w:space="0" w:color="auto"/>
            </w:tcBorders>
            <w:shd w:val="clear" w:color="auto" w:fill="auto"/>
            <w:noWrap/>
            <w:hideMark/>
          </w:tcPr>
          <w:p w:rsidR="00B57CD1" w:rsidRPr="006025D1" w:rsidRDefault="00B57CD1" w:rsidP="006025D1">
            <w:pPr>
              <w:spacing w:before="240" w:after="40" w:line="220" w:lineRule="exact"/>
              <w:rPr>
                <w:sz w:val="18"/>
                <w:lang w:eastAsia="es-UY"/>
              </w:rPr>
            </w:pPr>
          </w:p>
        </w:tc>
        <w:tc>
          <w:tcPr>
            <w:tcW w:w="1922" w:type="dxa"/>
            <w:gridSpan w:val="2"/>
            <w:tcBorders>
              <w:top w:val="single" w:sz="4" w:space="0" w:color="auto"/>
              <w:bottom w:val="single" w:sz="4" w:space="0" w:color="auto"/>
            </w:tcBorders>
            <w:shd w:val="clear" w:color="auto" w:fill="auto"/>
            <w:noWrap/>
            <w:hideMark/>
          </w:tcPr>
          <w:p w:rsidR="00B57CD1" w:rsidRPr="006025D1" w:rsidRDefault="00B57CD1" w:rsidP="006025D1">
            <w:pPr>
              <w:spacing w:before="240" w:after="40" w:line="220" w:lineRule="exact"/>
              <w:rPr>
                <w:sz w:val="18"/>
                <w:lang w:eastAsia="es-UY"/>
              </w:rPr>
            </w:pPr>
          </w:p>
        </w:tc>
        <w:tc>
          <w:tcPr>
            <w:tcW w:w="3228" w:type="dxa"/>
            <w:gridSpan w:val="4"/>
            <w:tcBorders>
              <w:top w:val="single" w:sz="4" w:space="0" w:color="auto"/>
              <w:bottom w:val="single" w:sz="4" w:space="0" w:color="auto"/>
            </w:tcBorders>
            <w:shd w:val="clear" w:color="auto" w:fill="auto"/>
            <w:noWrap/>
            <w:hideMark/>
          </w:tcPr>
          <w:p w:rsidR="00B57CD1" w:rsidRPr="006025D1" w:rsidRDefault="00B57CD1" w:rsidP="006025D1">
            <w:pPr>
              <w:spacing w:before="240" w:after="80" w:line="200" w:lineRule="exact"/>
              <w:jc w:val="center"/>
              <w:rPr>
                <w:sz w:val="18"/>
                <w:lang w:eastAsia="es-UY"/>
              </w:rPr>
            </w:pPr>
            <w:r w:rsidRPr="006025D1">
              <w:rPr>
                <w:i/>
                <w:sz w:val="16"/>
                <w:lang w:eastAsia="es-UY"/>
              </w:rPr>
              <w:t>Compromiso Educativo</w:t>
            </w:r>
          </w:p>
        </w:tc>
        <w:tc>
          <w:tcPr>
            <w:tcW w:w="1923" w:type="dxa"/>
            <w:gridSpan w:val="2"/>
            <w:tcBorders>
              <w:top w:val="single" w:sz="4" w:space="0" w:color="auto"/>
              <w:bottom w:val="single" w:sz="4" w:space="0" w:color="auto"/>
            </w:tcBorders>
            <w:shd w:val="clear" w:color="auto" w:fill="auto"/>
            <w:noWrap/>
            <w:hideMark/>
          </w:tcPr>
          <w:p w:rsidR="00B57CD1" w:rsidRPr="006025D1" w:rsidRDefault="00B57CD1" w:rsidP="006025D1">
            <w:pPr>
              <w:spacing w:before="240" w:after="40" w:line="220" w:lineRule="exact"/>
              <w:rPr>
                <w:sz w:val="18"/>
                <w:lang w:eastAsia="es-UY"/>
              </w:rPr>
            </w:pPr>
          </w:p>
        </w:tc>
      </w:tr>
      <w:tr w:rsidR="001435D5" w:rsidRPr="00390A51" w:rsidTr="006025D1">
        <w:trPr>
          <w:trHeight w:val="240"/>
        </w:trPr>
        <w:tc>
          <w:tcPr>
            <w:tcW w:w="1105" w:type="dxa"/>
            <w:gridSpan w:val="2"/>
            <w:tcBorders>
              <w:top w:val="single" w:sz="4" w:space="0" w:color="auto"/>
              <w:bottom w:val="single" w:sz="12" w:space="0" w:color="auto"/>
            </w:tcBorders>
            <w:shd w:val="clear" w:color="auto" w:fill="auto"/>
            <w:vAlign w:val="bottom"/>
            <w:hideMark/>
          </w:tcPr>
          <w:p w:rsidR="00B57CD1" w:rsidRPr="006025D1" w:rsidRDefault="00B57CD1" w:rsidP="006025D1">
            <w:pPr>
              <w:spacing w:before="80" w:after="80" w:line="200" w:lineRule="exact"/>
              <w:rPr>
                <w:sz w:val="18"/>
                <w:lang w:eastAsia="es-UY"/>
              </w:rPr>
            </w:pPr>
            <w:r w:rsidRPr="006025D1">
              <w:rPr>
                <w:i/>
                <w:sz w:val="16"/>
                <w:lang w:eastAsia="es-UY"/>
              </w:rPr>
              <w:t>Año</w:t>
            </w:r>
          </w:p>
        </w:tc>
        <w:tc>
          <w:tcPr>
            <w:tcW w:w="1922" w:type="dxa"/>
            <w:gridSpan w:val="2"/>
            <w:tcBorders>
              <w:top w:val="single" w:sz="4" w:space="0" w:color="auto"/>
              <w:bottom w:val="single" w:sz="12" w:space="0" w:color="auto"/>
            </w:tcBorders>
            <w:shd w:val="clear" w:color="auto" w:fill="auto"/>
            <w:vAlign w:val="bottom"/>
            <w:hideMark/>
          </w:tcPr>
          <w:p w:rsidR="00B57CD1" w:rsidRPr="006025D1" w:rsidRDefault="00B57CD1" w:rsidP="006025D1">
            <w:pPr>
              <w:spacing w:before="80" w:after="80" w:line="200" w:lineRule="exact"/>
              <w:jc w:val="right"/>
              <w:rPr>
                <w:i/>
                <w:sz w:val="16"/>
                <w:lang w:eastAsia="es-UY"/>
              </w:rPr>
            </w:pPr>
            <w:r w:rsidRPr="006025D1">
              <w:rPr>
                <w:i/>
                <w:sz w:val="16"/>
                <w:lang w:eastAsia="es-UY"/>
              </w:rPr>
              <w:t>Becas Solicitadas Afro (finalizadas)</w:t>
            </w:r>
          </w:p>
        </w:tc>
        <w:tc>
          <w:tcPr>
            <w:tcW w:w="1608" w:type="dxa"/>
            <w:gridSpan w:val="2"/>
            <w:tcBorders>
              <w:top w:val="single" w:sz="4" w:space="0" w:color="auto"/>
              <w:bottom w:val="single" w:sz="12" w:space="0" w:color="auto"/>
            </w:tcBorders>
            <w:shd w:val="clear" w:color="auto" w:fill="auto"/>
            <w:vAlign w:val="bottom"/>
            <w:hideMark/>
          </w:tcPr>
          <w:p w:rsidR="00B57CD1" w:rsidRPr="006025D1" w:rsidRDefault="00B57CD1" w:rsidP="006025D1">
            <w:pPr>
              <w:spacing w:before="80" w:after="80" w:line="200" w:lineRule="exact"/>
              <w:jc w:val="right"/>
              <w:rPr>
                <w:i/>
                <w:sz w:val="16"/>
                <w:lang w:eastAsia="es-UY"/>
              </w:rPr>
            </w:pPr>
            <w:r w:rsidRPr="006025D1">
              <w:rPr>
                <w:i/>
                <w:sz w:val="16"/>
                <w:lang w:eastAsia="es-UY"/>
              </w:rPr>
              <w:t>Becas Otorgadas Afro*</w:t>
            </w:r>
          </w:p>
        </w:tc>
        <w:tc>
          <w:tcPr>
            <w:tcW w:w="1620" w:type="dxa"/>
            <w:gridSpan w:val="2"/>
            <w:tcBorders>
              <w:top w:val="single" w:sz="4" w:space="0" w:color="auto"/>
              <w:bottom w:val="single" w:sz="12" w:space="0" w:color="auto"/>
            </w:tcBorders>
            <w:shd w:val="clear" w:color="auto" w:fill="auto"/>
            <w:vAlign w:val="bottom"/>
            <w:hideMark/>
          </w:tcPr>
          <w:p w:rsidR="00B57CD1" w:rsidRPr="006025D1" w:rsidRDefault="00B57CD1" w:rsidP="006025D1">
            <w:pPr>
              <w:spacing w:before="80" w:after="80" w:line="200" w:lineRule="exact"/>
              <w:jc w:val="right"/>
              <w:rPr>
                <w:i/>
                <w:sz w:val="16"/>
                <w:lang w:eastAsia="es-UY"/>
              </w:rPr>
            </w:pPr>
            <w:r w:rsidRPr="006025D1">
              <w:rPr>
                <w:i/>
                <w:sz w:val="16"/>
                <w:lang w:eastAsia="es-UY"/>
              </w:rPr>
              <w:t>Becas Otorgadas</w:t>
            </w:r>
          </w:p>
        </w:tc>
        <w:tc>
          <w:tcPr>
            <w:tcW w:w="1923" w:type="dxa"/>
            <w:gridSpan w:val="2"/>
            <w:tcBorders>
              <w:top w:val="single" w:sz="4" w:space="0" w:color="auto"/>
              <w:bottom w:val="single" w:sz="12" w:space="0" w:color="auto"/>
            </w:tcBorders>
            <w:shd w:val="clear" w:color="auto" w:fill="auto"/>
            <w:vAlign w:val="bottom"/>
            <w:hideMark/>
          </w:tcPr>
          <w:p w:rsidR="00B57CD1" w:rsidRPr="006025D1" w:rsidRDefault="00B57CD1" w:rsidP="006025D1">
            <w:pPr>
              <w:spacing w:before="80" w:after="80" w:line="200" w:lineRule="exact"/>
              <w:jc w:val="right"/>
              <w:rPr>
                <w:i/>
                <w:sz w:val="16"/>
                <w:lang w:eastAsia="es-UY"/>
              </w:rPr>
            </w:pPr>
            <w:r w:rsidRPr="006025D1">
              <w:rPr>
                <w:i/>
                <w:sz w:val="16"/>
                <w:lang w:eastAsia="es-UY"/>
              </w:rPr>
              <w:t xml:space="preserve">Total Solicitudes </w:t>
            </w:r>
          </w:p>
        </w:tc>
      </w:tr>
      <w:tr w:rsidR="001435D5" w:rsidRPr="00390A51" w:rsidTr="006025D1">
        <w:trPr>
          <w:trHeight w:val="240"/>
        </w:trPr>
        <w:tc>
          <w:tcPr>
            <w:tcW w:w="1105" w:type="dxa"/>
            <w:gridSpan w:val="2"/>
            <w:tcBorders>
              <w:top w:val="single" w:sz="12" w:space="0" w:color="auto"/>
            </w:tcBorders>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2011</w:t>
            </w:r>
          </w:p>
        </w:tc>
        <w:tc>
          <w:tcPr>
            <w:tcW w:w="1922"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8"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20"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1</w:t>
            </w:r>
            <w:r w:rsidR="001435D5">
              <w:rPr>
                <w:sz w:val="18"/>
                <w:lang w:eastAsia="es-UY"/>
              </w:rPr>
              <w:t xml:space="preserve"> </w:t>
            </w:r>
            <w:r w:rsidRPr="006025D1">
              <w:rPr>
                <w:sz w:val="18"/>
                <w:lang w:eastAsia="es-UY"/>
              </w:rPr>
              <w:t>610</w:t>
            </w:r>
          </w:p>
        </w:tc>
        <w:tc>
          <w:tcPr>
            <w:tcW w:w="1923" w:type="dxa"/>
            <w:gridSpan w:val="2"/>
            <w:tcBorders>
              <w:top w:val="single" w:sz="12" w:space="0" w:color="auto"/>
            </w:tcBorders>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r>
      <w:tr w:rsidR="001435D5" w:rsidRPr="00390A51" w:rsidTr="006025D1">
        <w:trPr>
          <w:trHeight w:val="240"/>
        </w:trPr>
        <w:tc>
          <w:tcPr>
            <w:tcW w:w="1105" w:type="dxa"/>
            <w:gridSpan w:val="2"/>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2012</w:t>
            </w:r>
          </w:p>
        </w:tc>
        <w:tc>
          <w:tcPr>
            <w:tcW w:w="192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8"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2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4</w:t>
            </w:r>
            <w:r w:rsidR="001435D5">
              <w:rPr>
                <w:sz w:val="18"/>
                <w:lang w:eastAsia="es-UY"/>
              </w:rPr>
              <w:t xml:space="preserve"> </w:t>
            </w:r>
            <w:r w:rsidRPr="006025D1">
              <w:rPr>
                <w:sz w:val="18"/>
                <w:lang w:eastAsia="es-UY"/>
              </w:rPr>
              <w:t>355</w:t>
            </w:r>
          </w:p>
        </w:tc>
        <w:tc>
          <w:tcPr>
            <w:tcW w:w="1923"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r>
      <w:tr w:rsidR="001435D5" w:rsidRPr="00390A51" w:rsidTr="006025D1">
        <w:trPr>
          <w:trHeight w:val="240"/>
        </w:trPr>
        <w:tc>
          <w:tcPr>
            <w:tcW w:w="1105" w:type="dxa"/>
            <w:gridSpan w:val="2"/>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2013</w:t>
            </w:r>
          </w:p>
        </w:tc>
        <w:tc>
          <w:tcPr>
            <w:tcW w:w="192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8"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2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923"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r>
      <w:tr w:rsidR="001435D5" w:rsidRPr="00390A51" w:rsidTr="006025D1">
        <w:trPr>
          <w:trHeight w:val="240"/>
        </w:trPr>
        <w:tc>
          <w:tcPr>
            <w:tcW w:w="1105" w:type="dxa"/>
            <w:gridSpan w:val="2"/>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2014</w:t>
            </w:r>
          </w:p>
        </w:tc>
        <w:tc>
          <w:tcPr>
            <w:tcW w:w="192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8"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2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923"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r>
      <w:tr w:rsidR="001435D5" w:rsidRPr="00390A51" w:rsidTr="006025D1">
        <w:trPr>
          <w:trHeight w:val="240"/>
        </w:trPr>
        <w:tc>
          <w:tcPr>
            <w:tcW w:w="1105" w:type="dxa"/>
            <w:gridSpan w:val="2"/>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2015</w:t>
            </w:r>
          </w:p>
        </w:tc>
        <w:tc>
          <w:tcPr>
            <w:tcW w:w="192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08"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62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sin dato</w:t>
            </w:r>
          </w:p>
        </w:tc>
        <w:tc>
          <w:tcPr>
            <w:tcW w:w="1923"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18</w:t>
            </w:r>
            <w:r w:rsidR="001435D5">
              <w:rPr>
                <w:sz w:val="18"/>
                <w:lang w:eastAsia="es-UY"/>
              </w:rPr>
              <w:t xml:space="preserve"> </w:t>
            </w:r>
            <w:r w:rsidRPr="006025D1">
              <w:rPr>
                <w:sz w:val="18"/>
                <w:lang w:eastAsia="es-UY"/>
              </w:rPr>
              <w:t>199</w:t>
            </w:r>
          </w:p>
        </w:tc>
      </w:tr>
      <w:tr w:rsidR="001435D5" w:rsidRPr="00390A51" w:rsidTr="006025D1">
        <w:trPr>
          <w:trHeight w:val="240"/>
        </w:trPr>
        <w:tc>
          <w:tcPr>
            <w:tcW w:w="1105" w:type="dxa"/>
            <w:gridSpan w:val="2"/>
            <w:shd w:val="clear" w:color="auto" w:fill="auto"/>
            <w:noWrap/>
            <w:hideMark/>
          </w:tcPr>
          <w:p w:rsidR="00B57CD1" w:rsidRPr="006025D1" w:rsidRDefault="00B57CD1" w:rsidP="006025D1">
            <w:pPr>
              <w:spacing w:before="40" w:after="40" w:line="220" w:lineRule="exact"/>
              <w:rPr>
                <w:sz w:val="18"/>
                <w:lang w:eastAsia="es-UY"/>
              </w:rPr>
            </w:pPr>
            <w:r w:rsidRPr="006025D1">
              <w:rPr>
                <w:sz w:val="18"/>
                <w:lang w:eastAsia="es-UY"/>
              </w:rPr>
              <w:t>2016</w:t>
            </w:r>
          </w:p>
        </w:tc>
        <w:tc>
          <w:tcPr>
            <w:tcW w:w="1922"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1</w:t>
            </w:r>
            <w:r w:rsidR="001435D5">
              <w:rPr>
                <w:sz w:val="18"/>
                <w:lang w:eastAsia="es-UY"/>
              </w:rPr>
              <w:t xml:space="preserve"> </w:t>
            </w:r>
            <w:r w:rsidRPr="006025D1">
              <w:rPr>
                <w:sz w:val="18"/>
                <w:lang w:eastAsia="es-UY"/>
              </w:rPr>
              <w:t xml:space="preserve">352 </w:t>
            </w:r>
          </w:p>
        </w:tc>
        <w:tc>
          <w:tcPr>
            <w:tcW w:w="1608"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942</w:t>
            </w:r>
          </w:p>
        </w:tc>
        <w:tc>
          <w:tcPr>
            <w:tcW w:w="1620"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7</w:t>
            </w:r>
            <w:r w:rsidR="001435D5">
              <w:rPr>
                <w:sz w:val="18"/>
                <w:lang w:eastAsia="es-UY"/>
              </w:rPr>
              <w:t xml:space="preserve"> </w:t>
            </w:r>
            <w:r w:rsidRPr="006025D1">
              <w:rPr>
                <w:sz w:val="18"/>
                <w:lang w:eastAsia="es-UY"/>
              </w:rPr>
              <w:t>000</w:t>
            </w:r>
          </w:p>
        </w:tc>
        <w:tc>
          <w:tcPr>
            <w:tcW w:w="1923" w:type="dxa"/>
            <w:gridSpan w:val="2"/>
            <w:shd w:val="clear" w:color="auto" w:fill="auto"/>
            <w:noWrap/>
            <w:hideMark/>
          </w:tcPr>
          <w:p w:rsidR="00B57CD1" w:rsidRPr="006025D1" w:rsidRDefault="00B57CD1" w:rsidP="006025D1">
            <w:pPr>
              <w:spacing w:before="40" w:after="40" w:line="220" w:lineRule="exact"/>
              <w:jc w:val="right"/>
              <w:rPr>
                <w:sz w:val="18"/>
                <w:lang w:eastAsia="es-UY"/>
              </w:rPr>
            </w:pPr>
            <w:r w:rsidRPr="006025D1">
              <w:rPr>
                <w:sz w:val="18"/>
                <w:lang w:eastAsia="es-UY"/>
              </w:rPr>
              <w:t>23</w:t>
            </w:r>
            <w:r w:rsidR="001435D5">
              <w:rPr>
                <w:sz w:val="18"/>
                <w:lang w:eastAsia="es-UY"/>
              </w:rPr>
              <w:t xml:space="preserve"> </w:t>
            </w:r>
            <w:r w:rsidRPr="006025D1">
              <w:rPr>
                <w:sz w:val="18"/>
                <w:lang w:eastAsia="es-UY"/>
              </w:rPr>
              <w:t>270</w:t>
            </w:r>
          </w:p>
        </w:tc>
      </w:tr>
      <w:tr w:rsidR="001435D5" w:rsidRPr="00390A51" w:rsidTr="006025D1">
        <w:trPr>
          <w:trHeight w:val="240"/>
        </w:trPr>
        <w:tc>
          <w:tcPr>
            <w:tcW w:w="1105" w:type="dxa"/>
            <w:gridSpan w:val="2"/>
            <w:tcBorders>
              <w:bottom w:val="single" w:sz="12" w:space="0" w:color="auto"/>
            </w:tcBorders>
            <w:shd w:val="clear" w:color="auto" w:fill="auto"/>
            <w:noWrap/>
          </w:tcPr>
          <w:p w:rsidR="001435D5" w:rsidRPr="006025D1" w:rsidRDefault="001435D5" w:rsidP="006025D1">
            <w:pPr>
              <w:spacing w:before="40" w:after="40" w:line="220" w:lineRule="exact"/>
              <w:rPr>
                <w:sz w:val="18"/>
                <w:lang w:eastAsia="es-UY"/>
              </w:rPr>
            </w:pPr>
            <w:r w:rsidRPr="00867FAE">
              <w:rPr>
                <w:sz w:val="18"/>
                <w:lang w:eastAsia="es-UY"/>
              </w:rPr>
              <w:t>2017</w:t>
            </w:r>
          </w:p>
        </w:tc>
        <w:tc>
          <w:tcPr>
            <w:tcW w:w="1922" w:type="dxa"/>
            <w:gridSpan w:val="2"/>
            <w:tcBorders>
              <w:bottom w:val="single" w:sz="12"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2</w:t>
            </w:r>
            <w:r>
              <w:rPr>
                <w:sz w:val="18"/>
                <w:lang w:eastAsia="es-UY"/>
              </w:rPr>
              <w:t xml:space="preserve"> </w:t>
            </w:r>
            <w:r w:rsidRPr="00867FAE">
              <w:rPr>
                <w:sz w:val="18"/>
                <w:lang w:eastAsia="es-UY"/>
              </w:rPr>
              <w:t xml:space="preserve">687 </w:t>
            </w:r>
          </w:p>
        </w:tc>
        <w:tc>
          <w:tcPr>
            <w:tcW w:w="1608" w:type="dxa"/>
            <w:gridSpan w:val="2"/>
            <w:tcBorders>
              <w:bottom w:val="single" w:sz="12"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1</w:t>
            </w:r>
            <w:r>
              <w:rPr>
                <w:sz w:val="18"/>
                <w:lang w:eastAsia="es-UY"/>
              </w:rPr>
              <w:t xml:space="preserve"> </w:t>
            </w:r>
            <w:r w:rsidRPr="00867FAE">
              <w:rPr>
                <w:sz w:val="18"/>
                <w:lang w:eastAsia="es-UY"/>
              </w:rPr>
              <w:t>231</w:t>
            </w:r>
          </w:p>
        </w:tc>
        <w:tc>
          <w:tcPr>
            <w:tcW w:w="1620" w:type="dxa"/>
            <w:gridSpan w:val="2"/>
            <w:tcBorders>
              <w:bottom w:val="single" w:sz="12"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7</w:t>
            </w:r>
            <w:r>
              <w:rPr>
                <w:sz w:val="18"/>
                <w:lang w:eastAsia="es-UY"/>
              </w:rPr>
              <w:t xml:space="preserve"> </w:t>
            </w:r>
            <w:r w:rsidRPr="00867FAE">
              <w:rPr>
                <w:sz w:val="18"/>
                <w:lang w:eastAsia="es-UY"/>
              </w:rPr>
              <w:t>000</w:t>
            </w:r>
          </w:p>
        </w:tc>
        <w:tc>
          <w:tcPr>
            <w:tcW w:w="1923" w:type="dxa"/>
            <w:gridSpan w:val="2"/>
            <w:tcBorders>
              <w:bottom w:val="single" w:sz="12" w:space="0" w:color="auto"/>
            </w:tcBorders>
            <w:shd w:val="clear" w:color="auto" w:fill="auto"/>
            <w:noWrap/>
          </w:tcPr>
          <w:p w:rsidR="001435D5" w:rsidRPr="006025D1" w:rsidRDefault="001435D5" w:rsidP="006025D1">
            <w:pPr>
              <w:spacing w:before="40" w:after="40" w:line="220" w:lineRule="exact"/>
              <w:jc w:val="right"/>
              <w:rPr>
                <w:sz w:val="18"/>
                <w:lang w:eastAsia="es-UY"/>
              </w:rPr>
            </w:pPr>
            <w:r w:rsidRPr="00867FAE">
              <w:rPr>
                <w:sz w:val="18"/>
                <w:lang w:eastAsia="es-UY"/>
              </w:rPr>
              <w:t>24</w:t>
            </w:r>
            <w:r>
              <w:rPr>
                <w:sz w:val="18"/>
                <w:lang w:eastAsia="es-UY"/>
              </w:rPr>
              <w:t xml:space="preserve"> </w:t>
            </w:r>
            <w:r w:rsidRPr="00867FAE">
              <w:rPr>
                <w:sz w:val="18"/>
                <w:lang w:eastAsia="es-UY"/>
              </w:rPr>
              <w:t>555</w:t>
            </w:r>
          </w:p>
        </w:tc>
      </w:tr>
    </w:tbl>
    <w:p w:rsidR="00B57CD1" w:rsidRPr="00B57CD1" w:rsidRDefault="00B57CD1" w:rsidP="00CE20A7">
      <w:pPr>
        <w:spacing w:before="120" w:after="240"/>
        <w:ind w:left="1134" w:right="1134" w:firstLine="170"/>
        <w:jc w:val="both"/>
        <w:rPr>
          <w:rFonts w:eastAsia="DengXian"/>
          <w:lang w:val="es-AR"/>
        </w:rPr>
      </w:pPr>
      <w:r w:rsidRPr="00B57CD1">
        <w:rPr>
          <w:rFonts w:eastAsia="DengXian"/>
          <w:lang w:val="es-AR"/>
        </w:rPr>
        <w:t xml:space="preserve">** </w:t>
      </w:r>
      <w:r w:rsidR="001435D5">
        <w:rPr>
          <w:rFonts w:eastAsia="DengXian"/>
          <w:lang w:val="es-AR"/>
        </w:rPr>
        <w:t xml:space="preserve"> </w:t>
      </w:r>
      <w:r w:rsidR="001435D5">
        <w:rPr>
          <w:rFonts w:eastAsia="DengXian"/>
          <w:bCs/>
          <w:i/>
          <w:sz w:val="18"/>
          <w:szCs w:val="18"/>
          <w:lang w:val="en-GB" w:eastAsia="es-UY"/>
        </w:rPr>
        <w:t>S</w:t>
      </w:r>
      <w:r w:rsidRPr="00B57CD1">
        <w:rPr>
          <w:rFonts w:eastAsia="DengXian"/>
          <w:bCs/>
          <w:i/>
          <w:sz w:val="18"/>
          <w:szCs w:val="18"/>
          <w:lang w:val="en-GB" w:eastAsia="es-UY"/>
        </w:rPr>
        <w:t>olicitudesfinalizadas y no finalizadas</w:t>
      </w:r>
      <w:r w:rsidR="001435D5">
        <w:rPr>
          <w:rFonts w:eastAsia="DengXian"/>
          <w:bCs/>
          <w:i/>
          <w:sz w:val="18"/>
          <w:szCs w:val="18"/>
          <w:lang w:val="en-GB" w:eastAsia="es-UY"/>
        </w:rPr>
        <w:t>.</w:t>
      </w:r>
    </w:p>
    <w:p w:rsidR="00B57CD1" w:rsidRPr="00B57CD1" w:rsidRDefault="00B57CD1" w:rsidP="006025D1">
      <w:pPr>
        <w:numPr>
          <w:ilvl w:val="0"/>
          <w:numId w:val="54"/>
        </w:numPr>
        <w:spacing w:after="120"/>
        <w:ind w:left="1134" w:right="1134" w:firstLine="0"/>
        <w:jc w:val="both"/>
        <w:rPr>
          <w:rFonts w:eastAsia="DengXian"/>
          <w:lang w:val="es-PE"/>
        </w:rPr>
      </w:pPr>
      <w:r w:rsidRPr="00487BB3">
        <w:rPr>
          <w:rFonts w:eastAsia="DengXian"/>
        </w:rPr>
        <w:t>Vale destacar también, la publicación de la Guía didáctica</w:t>
      </w:r>
      <w:r w:rsidR="00CE20A7">
        <w:rPr>
          <w:rFonts w:eastAsia="DengXian"/>
        </w:rPr>
        <w:t> </w:t>
      </w:r>
      <w:r w:rsidRPr="00487BB3">
        <w:rPr>
          <w:rFonts w:eastAsia="DengXian"/>
        </w:rPr>
        <w:t xml:space="preserve">: </w:t>
      </w:r>
      <w:r w:rsidR="00CE20A7">
        <w:rPr>
          <w:rFonts w:eastAsia="DengXian"/>
        </w:rPr>
        <w:t>« </w:t>
      </w:r>
      <w:r w:rsidRPr="00487BB3">
        <w:rPr>
          <w:rFonts w:eastAsia="DengXian"/>
        </w:rPr>
        <w:t>Educación y Afrodescendencia</w:t>
      </w:r>
      <w:r w:rsidR="00CE20A7">
        <w:rPr>
          <w:rFonts w:eastAsia="DengXian"/>
        </w:rPr>
        <w:t> »</w:t>
      </w:r>
      <w:r w:rsidRPr="00487BB3">
        <w:rPr>
          <w:rFonts w:eastAsia="DengXian"/>
        </w:rPr>
        <w:t>, que representa un aporte a la reflexión y al trabajo en torno al tema de igualdad y no discriminación por razones étnico-raciales</w:t>
      </w:r>
      <w:r w:rsidRPr="006025D1">
        <w:rPr>
          <w:rFonts w:eastAsia="DengXian"/>
          <w:sz w:val="18"/>
          <w:szCs w:val="18"/>
          <w:vertAlign w:val="superscript"/>
          <w:lang w:val="en-GB"/>
        </w:rPr>
        <w:footnoteReference w:id="9"/>
      </w:r>
      <w:r w:rsidR="00CE20A7">
        <w:rPr>
          <w:rFonts w:eastAsia="DengXian"/>
        </w:rPr>
        <w:t> </w:t>
      </w:r>
      <w:r w:rsidRPr="00487BB3">
        <w:rPr>
          <w:rFonts w:eastAsia="DengXian"/>
        </w:rPr>
        <w:t>; la realización de la mesa-debate con el fin de abordar el tema del racismo en el sistema educativo uruguayo con un enfoque en derechos humanos, organizado por la Comisión de Educación y Afrodescendencia coordinada por la Dirección de Educación del Ministerio de Educación y Cultura</w:t>
      </w:r>
      <w:r w:rsidRPr="006025D1">
        <w:rPr>
          <w:rFonts w:eastAsia="DengXian"/>
          <w:sz w:val="18"/>
          <w:szCs w:val="18"/>
          <w:vertAlign w:val="superscript"/>
          <w:lang w:val="en-GB"/>
        </w:rPr>
        <w:footnoteReference w:id="10"/>
      </w:r>
      <w:r w:rsidRPr="00487BB3">
        <w:rPr>
          <w:rFonts w:eastAsia="DengXian"/>
        </w:rPr>
        <w:t>, y finalmente, el lanzamiento de las bases a la convocatoria de la 3</w:t>
      </w:r>
      <w:r w:rsidR="00F20BAD">
        <w:rPr>
          <w:rFonts w:eastAsia="DengXian"/>
        </w:rPr>
        <w:t>ª</w:t>
      </w:r>
      <w:r w:rsidRPr="00487BB3">
        <w:rPr>
          <w:rFonts w:eastAsia="DengXian"/>
        </w:rPr>
        <w:t xml:space="preserve"> edición del Premio Nelson Mandela realizado por la Comisión Honoraria contra el Racismo, la Xenofobia y toda otra </w:t>
      </w:r>
      <w:r w:rsidRPr="00487BB3">
        <w:rPr>
          <w:rFonts w:eastAsia="DengXian"/>
        </w:rPr>
        <w:lastRenderedPageBreak/>
        <w:t>forma de Discriminación (CHRXD), que busca resaltar la continuidad de las trayectorias educativas, a fin de mejorar los índices de acceso y egreso de la educación media</w:t>
      </w:r>
      <w:r w:rsidRPr="00B57CD1">
        <w:rPr>
          <w:rFonts w:eastAsia="DengXian"/>
          <w:lang w:val="es-AR"/>
        </w:rPr>
        <w:t>.</w:t>
      </w:r>
    </w:p>
    <w:p w:rsidR="00B57CD1" w:rsidRPr="00B57CD1" w:rsidRDefault="00B57CD1" w:rsidP="008D12E8">
      <w:pPr>
        <w:numPr>
          <w:ilvl w:val="0"/>
          <w:numId w:val="54"/>
        </w:numPr>
        <w:spacing w:after="120"/>
        <w:ind w:left="1134" w:right="1134" w:firstLine="0"/>
        <w:jc w:val="both"/>
      </w:pPr>
      <w:r w:rsidRPr="00B57CD1">
        <w:rPr>
          <w:rFonts w:eastAsia="DengXian"/>
          <w:lang w:val="es-AR"/>
        </w:rPr>
        <w:t xml:space="preserve">En otro orden, en diciembre de 2016 la Comisión Coordinadora del Sistema Nacional de </w:t>
      </w:r>
      <w:r w:rsidRPr="00487BB3">
        <w:rPr>
          <w:rFonts w:eastAsia="DengXian"/>
        </w:rPr>
        <w:t>Educación</w:t>
      </w:r>
      <w:r w:rsidRPr="00B57CD1">
        <w:rPr>
          <w:rFonts w:eastAsia="DengXian"/>
          <w:lang w:val="es-AR"/>
        </w:rPr>
        <w:t xml:space="preserve"> Pública (CCSNEP) aprobó el Plan Nacional de Educación en Derechos Humanos</w:t>
      </w:r>
      <w:r w:rsidRPr="006025D1">
        <w:rPr>
          <w:rFonts w:eastAsia="DengXian"/>
          <w:sz w:val="18"/>
          <w:szCs w:val="18"/>
          <w:vertAlign w:val="superscript"/>
          <w:lang w:val="es-AR"/>
        </w:rPr>
        <w:footnoteReference w:id="11"/>
      </w:r>
      <w:r w:rsidRPr="00B57CD1">
        <w:rPr>
          <w:rFonts w:eastAsia="DengXian"/>
          <w:lang w:val="es-AR"/>
        </w:rPr>
        <w:t xml:space="preserve"> (PNEDH), el cual tiene como uno de sus objetivos el </w:t>
      </w:r>
      <w:r w:rsidR="00922925" w:rsidRPr="00487BB3">
        <w:rPr>
          <w:rFonts w:eastAsia="DengXian"/>
        </w:rPr>
        <w:t>contribu</w:t>
      </w:r>
      <w:r w:rsidR="00F20BAD">
        <w:rPr>
          <w:rFonts w:eastAsia="DengXian"/>
        </w:rPr>
        <w:t>ir</w:t>
      </w:r>
      <w:r w:rsidR="00922925" w:rsidRPr="00487BB3">
        <w:rPr>
          <w:rFonts w:eastAsia="DengXian"/>
        </w:rPr>
        <w:t xml:space="preserve"> </w:t>
      </w:r>
      <w:r w:rsidRPr="00487BB3">
        <w:rPr>
          <w:rFonts w:eastAsia="DengXian"/>
        </w:rPr>
        <w:t>al</w:t>
      </w:r>
      <w:r w:rsidRPr="00B57CD1">
        <w:rPr>
          <w:rFonts w:eastAsia="DengXian"/>
          <w:i/>
          <w:lang w:val="es-AR"/>
        </w:rPr>
        <w:t xml:space="preserve"> reconocimiento de las diferencias y el respeto de la diversidad favoreciendo la comprensión, la tolerancia y la convivencia pacífica entre todas las personas y los colectivos humanos</w:t>
      </w:r>
      <w:r w:rsidRPr="00B57CD1">
        <w:rPr>
          <w:rFonts w:eastAsia="DengXian"/>
          <w:lang w:val="es-AR"/>
        </w:rPr>
        <w:t xml:space="preserve"> (Objetivo Específico 1.3). Afines de 2018 la Comisión Nacional de Educación en Derechos Humanos (CNEDH) presentará la primera evaluación de implementación del Plan.</w:t>
      </w:r>
    </w:p>
    <w:p w:rsidR="00B57CD1" w:rsidRPr="00B57CD1" w:rsidRDefault="00B57CD1" w:rsidP="00B57CD1">
      <w:pPr>
        <w:suppressAutoHyphens/>
        <w:spacing w:before="240"/>
        <w:ind w:left="1134" w:right="1134"/>
        <w:jc w:val="center"/>
        <w:rPr>
          <w:u w:val="single"/>
        </w:rPr>
      </w:pPr>
      <w:r>
        <w:rPr>
          <w:rFonts w:eastAsia="DengXian"/>
          <w:u w:val="single"/>
          <w:lang w:val="es-AR"/>
        </w:rPr>
        <w:tab/>
      </w:r>
      <w:r>
        <w:rPr>
          <w:rFonts w:eastAsia="DengXian"/>
          <w:u w:val="single"/>
          <w:lang w:val="es-AR"/>
        </w:rPr>
        <w:tab/>
      </w:r>
      <w:r>
        <w:rPr>
          <w:rFonts w:eastAsia="DengXian"/>
          <w:u w:val="single"/>
          <w:lang w:val="es-AR"/>
        </w:rPr>
        <w:tab/>
      </w:r>
    </w:p>
    <w:sectPr w:rsidR="00B57CD1" w:rsidRPr="00B57CD1" w:rsidSect="00390A51">
      <w:headerReference w:type="even" r:id="rId10"/>
      <w:headerReference w:type="default" r:id="rId11"/>
      <w:footerReference w:type="even" r:id="rId12"/>
      <w:footerReference w:type="defaul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AC" w:rsidRDefault="00CB57AC">
      <w:r>
        <w:separator/>
      </w:r>
    </w:p>
  </w:endnote>
  <w:endnote w:type="continuationSeparator" w:id="0">
    <w:p w:rsidR="00CB57AC" w:rsidRDefault="00CB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Piedepgina"/>
      <w:tabs>
        <w:tab w:val="right" w:pos="9638"/>
      </w:tabs>
    </w:pPr>
    <w:r w:rsidRPr="005902E0">
      <w:rPr>
        <w:b/>
        <w:sz w:val="18"/>
      </w:rPr>
      <w:fldChar w:fldCharType="begin"/>
    </w:r>
    <w:r w:rsidRPr="005902E0">
      <w:rPr>
        <w:b/>
        <w:sz w:val="18"/>
      </w:rPr>
      <w:instrText xml:space="preserve"> PAGE  \* MERGEFORMAT </w:instrText>
    </w:r>
    <w:r w:rsidRPr="005902E0">
      <w:rPr>
        <w:b/>
        <w:sz w:val="18"/>
      </w:rPr>
      <w:fldChar w:fldCharType="separate"/>
    </w:r>
    <w:r w:rsidR="000119D2">
      <w:rPr>
        <w:b/>
        <w:noProof/>
        <w:sz w:val="18"/>
      </w:rPr>
      <w:t>2</w:t>
    </w:r>
    <w:r w:rsidRPr="005902E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Piedepgina"/>
      <w:tabs>
        <w:tab w:val="right" w:pos="9638"/>
      </w:tabs>
      <w:rPr>
        <w:b/>
        <w:sz w:val="18"/>
      </w:rPr>
    </w:pPr>
    <w:r>
      <w:tab/>
    </w:r>
    <w:r w:rsidRPr="005902E0">
      <w:rPr>
        <w:b/>
        <w:sz w:val="18"/>
      </w:rPr>
      <w:fldChar w:fldCharType="begin"/>
    </w:r>
    <w:r w:rsidRPr="005902E0">
      <w:rPr>
        <w:b/>
        <w:sz w:val="18"/>
      </w:rPr>
      <w:instrText xml:space="preserve"> PAGE  \* MERGEFORMAT </w:instrText>
    </w:r>
    <w:r w:rsidRPr="005902E0">
      <w:rPr>
        <w:b/>
        <w:sz w:val="18"/>
      </w:rPr>
      <w:fldChar w:fldCharType="separate"/>
    </w:r>
    <w:r w:rsidR="006E2227">
      <w:rPr>
        <w:b/>
        <w:noProof/>
        <w:sz w:val="18"/>
      </w:rPr>
      <w:t>3</w:t>
    </w:r>
    <w:r w:rsidRPr="005902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51" w:rsidRPr="006E2227" w:rsidRDefault="006E2227" w:rsidP="006E2227">
    <w:pPr>
      <w:pStyle w:val="Piedepgina"/>
      <w:spacing w:before="120" w:line="240" w:lineRule="auto"/>
      <w:rPr>
        <w:sz w:val="20"/>
      </w:rPr>
    </w:pPr>
    <w:r>
      <w:rPr>
        <w:sz w:val="20"/>
      </w:rPr>
      <w:t>GE.18-03682  (S)</w:t>
    </w:r>
    <w:r>
      <w:rPr>
        <w:sz w:val="20"/>
      </w:rPr>
      <w:br/>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sz w:val="56"/>
      </w:rPr>
      <w:t></w:t>
    </w:r>
    <w:r w:rsidRPr="006E2227">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ERD/C/URY/CO/21-2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RY/CO/21-2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AC" w:rsidRPr="001075E9" w:rsidRDefault="00CB57AC" w:rsidP="001075E9">
      <w:pPr>
        <w:tabs>
          <w:tab w:val="right" w:pos="2155"/>
        </w:tabs>
        <w:spacing w:after="80" w:line="240" w:lineRule="auto"/>
        <w:ind w:left="680"/>
        <w:rPr>
          <w:u w:val="single"/>
        </w:rPr>
      </w:pPr>
      <w:r>
        <w:rPr>
          <w:u w:val="single"/>
        </w:rPr>
        <w:tab/>
      </w:r>
    </w:p>
  </w:footnote>
  <w:footnote w:type="continuationSeparator" w:id="0">
    <w:p w:rsidR="00CB57AC" w:rsidRDefault="00CB57AC">
      <w:r>
        <w:continuationSeparator/>
      </w:r>
    </w:p>
  </w:footnote>
  <w:footnote w:id="1">
    <w:p w:rsidR="00487BB3" w:rsidRPr="00FD4A47" w:rsidRDefault="00487BB3" w:rsidP="00487BB3">
      <w:pPr>
        <w:pStyle w:val="Textonotapie"/>
      </w:pPr>
      <w:r w:rsidRPr="00280292">
        <w:tab/>
      </w:r>
      <w:r w:rsidRPr="00BC1AAE">
        <w:rPr>
          <w:rStyle w:val="Refdenotaalpie"/>
          <w:sz w:val="20"/>
          <w:vertAlign w:val="baseline"/>
        </w:rPr>
        <w:t>*</w:t>
      </w:r>
      <w:r w:rsidRPr="00BC1AAE">
        <w:tab/>
      </w:r>
      <w:r w:rsidRPr="00FD4A47">
        <w:t>El presente documento se publica sin haber sido objeto de revisión editorial oficial.</w:t>
      </w:r>
    </w:p>
  </w:footnote>
  <w:footnote w:id="2">
    <w:p w:rsidR="00487BB3" w:rsidRPr="00487BB3" w:rsidRDefault="00487BB3">
      <w:pPr>
        <w:pStyle w:val="Textonotapie"/>
      </w:pPr>
      <w:r>
        <w:rPr>
          <w:rStyle w:val="Refdenotaalpie"/>
        </w:rPr>
        <w:tab/>
      </w:r>
      <w:r w:rsidRPr="00145B06">
        <w:rPr>
          <w:rStyle w:val="Refdenotaalpie"/>
          <w:sz w:val="20"/>
          <w:vertAlign w:val="baseline"/>
        </w:rPr>
        <w:t>*</w:t>
      </w:r>
      <w:r>
        <w:rPr>
          <w:sz w:val="20"/>
        </w:rPr>
        <w:t>*</w:t>
      </w:r>
      <w:r>
        <w:rPr>
          <w:rStyle w:val="Refdenotaalpie"/>
          <w:sz w:val="20"/>
          <w:vertAlign w:val="baseline"/>
        </w:rPr>
        <w:tab/>
      </w:r>
      <w:r w:rsidRPr="00CF5023">
        <w:t xml:space="preserve">Los anexos pueden consultarse en los archivos de la </w:t>
      </w:r>
      <w:r w:rsidR="00D14852">
        <w:t>S</w:t>
      </w:r>
      <w:r w:rsidRPr="00CF5023">
        <w:t>ecretaría.</w:t>
      </w:r>
    </w:p>
  </w:footnote>
  <w:footnote w:id="3">
    <w:p w:rsidR="00B57CD1" w:rsidRPr="00390A51" w:rsidRDefault="00B57CD1">
      <w:pPr>
        <w:pStyle w:val="Textonotapie"/>
      </w:pPr>
      <w:r>
        <w:tab/>
      </w:r>
      <w:r w:rsidRPr="00390A51">
        <w:rPr>
          <w:rStyle w:val="Refdenotaalpie"/>
        </w:rPr>
        <w:footnoteRef/>
      </w:r>
      <w:r w:rsidRPr="00390A51">
        <w:tab/>
      </w:r>
      <w:hyperlink r:id="rId1" w:history="1">
        <w:r w:rsidRPr="006025D1">
          <w:rPr>
            <w:rStyle w:val="Hipervnculo"/>
            <w:color w:val="auto"/>
          </w:rPr>
          <w:t>http://www.mides.gub.uy/innovaportal/file/86655/1/perspectiva-etnico-racial-y-politicas-publicas-vf.pdf</w:t>
        </w:r>
      </w:hyperlink>
      <w:r w:rsidRPr="006025D1">
        <w:rPr>
          <w:rStyle w:val="Hipervnculo"/>
          <w:color w:val="auto"/>
        </w:rPr>
        <w:t>.</w:t>
      </w:r>
    </w:p>
  </w:footnote>
  <w:footnote w:id="4">
    <w:p w:rsidR="00B57CD1" w:rsidRPr="00390A51" w:rsidRDefault="00B57CD1">
      <w:pPr>
        <w:pStyle w:val="Textonotapie"/>
      </w:pPr>
      <w:r w:rsidRPr="00390A51">
        <w:tab/>
      </w:r>
      <w:r w:rsidRPr="00390A51">
        <w:rPr>
          <w:rStyle w:val="Refdenotaalpie"/>
        </w:rPr>
        <w:footnoteRef/>
      </w:r>
      <w:r w:rsidRPr="00390A51">
        <w:tab/>
      </w:r>
      <w:r w:rsidRPr="006025D1">
        <w:t xml:space="preserve">Las reseñas de estos sellos se encuentran publicadas en: </w:t>
      </w:r>
      <w:hyperlink r:id="rId2" w:history="1">
        <w:r w:rsidRPr="006025D1">
          <w:rPr>
            <w:rStyle w:val="Hipervnculo"/>
            <w:color w:val="auto"/>
          </w:rPr>
          <w:t>http://www.correo.com.uy/sellos</w:t>
        </w:r>
      </w:hyperlink>
      <w:r w:rsidRPr="006025D1">
        <w:rPr>
          <w:rStyle w:val="Hipervnculo"/>
          <w:color w:val="auto"/>
        </w:rPr>
        <w:t>.</w:t>
      </w:r>
    </w:p>
  </w:footnote>
  <w:footnote w:id="5">
    <w:p w:rsidR="00B57CD1" w:rsidRPr="00390A51" w:rsidRDefault="00B57CD1">
      <w:pPr>
        <w:pStyle w:val="Textonotapie"/>
      </w:pPr>
      <w:r w:rsidRPr="00390A51">
        <w:tab/>
      </w:r>
      <w:r w:rsidRPr="00390A51">
        <w:rPr>
          <w:rStyle w:val="Refdenotaalpie"/>
        </w:rPr>
        <w:footnoteRef/>
      </w:r>
      <w:r w:rsidRPr="00390A51">
        <w:tab/>
      </w:r>
      <w:hyperlink r:id="rId3" w:history="1">
        <w:r w:rsidRPr="006025D1">
          <w:rPr>
            <w:rStyle w:val="Hipervnculo"/>
            <w:color w:val="auto"/>
          </w:rPr>
          <w:t>https://www.onsc.gub.uy/onsc1/images/Informe_completo_ingreso_Afrodescendientes_2016.pdf</w:t>
        </w:r>
      </w:hyperlink>
      <w:r w:rsidRPr="006025D1">
        <w:rPr>
          <w:rStyle w:val="Hipervnculo"/>
          <w:color w:val="auto"/>
        </w:rPr>
        <w:t>.</w:t>
      </w:r>
    </w:p>
  </w:footnote>
  <w:footnote w:id="6">
    <w:p w:rsidR="00B57CD1" w:rsidRPr="00390A51" w:rsidRDefault="00B57CD1">
      <w:pPr>
        <w:pStyle w:val="Textonotapie"/>
      </w:pPr>
      <w:r w:rsidRPr="00390A51">
        <w:tab/>
      </w:r>
      <w:r w:rsidRPr="00390A51">
        <w:rPr>
          <w:rStyle w:val="Refdenotaalpie"/>
        </w:rPr>
        <w:footnoteRef/>
      </w:r>
      <w:r w:rsidRPr="00390A51">
        <w:tab/>
      </w:r>
      <w:r w:rsidRPr="006025D1">
        <w:t>ANEP – Administración Nacional de Educación Pública. In mujeres – Instituto Nacional de las Mujeres del Ministerio de Desarrollo Social.</w:t>
      </w:r>
    </w:p>
  </w:footnote>
  <w:footnote w:id="7">
    <w:p w:rsidR="00B57CD1" w:rsidRPr="00390A51" w:rsidRDefault="00B57CD1">
      <w:pPr>
        <w:pStyle w:val="Textonotapie"/>
      </w:pPr>
      <w:r w:rsidRPr="00390A51">
        <w:tab/>
      </w:r>
      <w:r w:rsidRPr="00390A51">
        <w:rPr>
          <w:rStyle w:val="Refdenotaalpie"/>
        </w:rPr>
        <w:footnoteRef/>
      </w:r>
      <w:r w:rsidRPr="00390A51">
        <w:tab/>
      </w:r>
      <w:hyperlink r:id="rId4" w:history="1">
        <w:r w:rsidRPr="006025D1">
          <w:rPr>
            <w:rStyle w:val="Hipervnculo"/>
            <w:color w:val="auto"/>
          </w:rPr>
          <w:t>http://www.anep.edu.uy/anep/index.php/grupo-de-trabajo-por-la-equidad-etnico-racial-en-la-anep</w:t>
        </w:r>
      </w:hyperlink>
      <w:r w:rsidRPr="006025D1">
        <w:rPr>
          <w:rStyle w:val="Hipervnculo"/>
          <w:color w:val="auto"/>
        </w:rPr>
        <w:t>.</w:t>
      </w:r>
    </w:p>
  </w:footnote>
  <w:footnote w:id="8">
    <w:p w:rsidR="00B57CD1" w:rsidRPr="00390A51" w:rsidRDefault="00B57CD1">
      <w:pPr>
        <w:pStyle w:val="Textonotapie"/>
      </w:pPr>
      <w:r w:rsidRPr="00390A51">
        <w:tab/>
      </w:r>
      <w:r w:rsidRPr="00390A51">
        <w:rPr>
          <w:rStyle w:val="Refdenotaalpie"/>
        </w:rPr>
        <w:footnoteRef/>
      </w:r>
      <w:r w:rsidRPr="00390A51">
        <w:tab/>
      </w:r>
      <w:hyperlink r:id="rId5" w:history="1">
        <w:r w:rsidRPr="006025D1">
          <w:rPr>
            <w:rStyle w:val="Hipervnculo"/>
            <w:color w:val="auto"/>
          </w:rPr>
          <w:t>http://www.mec.gub.uy/innovaportal/v/103623/2/mecweb/aplicacion-de-la-ley-19122?search=yes</w:t>
        </w:r>
      </w:hyperlink>
      <w:r w:rsidRPr="006025D1">
        <w:rPr>
          <w:rStyle w:val="Hipervnculo"/>
          <w:color w:val="auto"/>
        </w:rPr>
        <w:t>.</w:t>
      </w:r>
    </w:p>
  </w:footnote>
  <w:footnote w:id="9">
    <w:p w:rsidR="00B57CD1" w:rsidRPr="00390A51" w:rsidRDefault="00B57CD1">
      <w:pPr>
        <w:pStyle w:val="Textonotapie"/>
      </w:pPr>
      <w:r w:rsidRPr="00390A51">
        <w:tab/>
      </w:r>
      <w:r w:rsidRPr="00390A51">
        <w:rPr>
          <w:rStyle w:val="Refdenotaalpie"/>
        </w:rPr>
        <w:footnoteRef/>
      </w:r>
      <w:r w:rsidRPr="00390A51">
        <w:tab/>
      </w:r>
      <w:r w:rsidR="00CE20A7" w:rsidRPr="00CE20A7">
        <w:t>http://www.anep.edu.uy/anep/phocadownload/ddhh/publicaciones/</w:t>
      </w:r>
      <w:r w:rsidR="00CE20A7" w:rsidRPr="00CE20A7">
        <w:br/>
        <w:t>GuiaDidacticaEducacionyAfrodescendencia.pdf</w:t>
      </w:r>
      <w:r w:rsidRPr="006025D1">
        <w:rPr>
          <w:rStyle w:val="Hipervnculo"/>
          <w:color w:val="auto"/>
        </w:rPr>
        <w:t>.</w:t>
      </w:r>
    </w:p>
  </w:footnote>
  <w:footnote w:id="10">
    <w:p w:rsidR="00B57CD1" w:rsidRPr="00390A51" w:rsidRDefault="00B57CD1">
      <w:pPr>
        <w:pStyle w:val="Textonotapie"/>
      </w:pPr>
      <w:r w:rsidRPr="00390A51">
        <w:tab/>
      </w:r>
      <w:r w:rsidRPr="00390A51">
        <w:rPr>
          <w:rStyle w:val="Refdenotaalpie"/>
        </w:rPr>
        <w:footnoteRef/>
      </w:r>
      <w:r w:rsidRPr="00390A51">
        <w:tab/>
      </w:r>
      <w:hyperlink r:id="rId6" w:history="1">
        <w:r w:rsidRPr="006025D1">
          <w:rPr>
            <w:rStyle w:val="Hipervnculo"/>
            <w:color w:val="auto"/>
          </w:rPr>
          <w:t>http://www.mec.gub.uy/innovaportal/v/103793/2/mecweb/educacion-y-afrodescendencia?search=yes</w:t>
        </w:r>
      </w:hyperlink>
      <w:r w:rsidRPr="006025D1">
        <w:rPr>
          <w:rStyle w:val="Hipervnculo"/>
          <w:color w:val="auto"/>
        </w:rPr>
        <w:t>.</w:t>
      </w:r>
    </w:p>
  </w:footnote>
  <w:footnote w:id="11">
    <w:p w:rsidR="00B57CD1" w:rsidRPr="00390A51" w:rsidRDefault="00B57CD1">
      <w:pPr>
        <w:pStyle w:val="Textonotapie"/>
      </w:pPr>
      <w:r w:rsidRPr="00390A51">
        <w:tab/>
      </w:r>
      <w:r w:rsidRPr="00390A51">
        <w:rPr>
          <w:rStyle w:val="Refdenotaalpie"/>
        </w:rPr>
        <w:footnoteRef/>
      </w:r>
      <w:r w:rsidRPr="00390A51">
        <w:tab/>
      </w:r>
      <w:r w:rsidRPr="006025D1">
        <w:t xml:space="preserve">Por más información sobre el PNEDH </w:t>
      </w:r>
      <w:hyperlink r:id="rId7" w:history="1">
        <w:r w:rsidRPr="006025D1">
          <w:rPr>
            <w:rStyle w:val="Hipervnculo"/>
            <w:color w:val="auto"/>
          </w:rPr>
          <w:t>http://pnedh.snep.edu.uy/</w:t>
        </w:r>
      </w:hyperlink>
      <w:r w:rsidRPr="006025D1">
        <w:rPr>
          <w:rStyle w:val="Hipervnculo"/>
          <w:color w:val="auto"/>
        </w:rPr>
        <w:t>.</w:t>
      </w:r>
      <w:r w:rsidRPr="00390A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pPr>
      <w:pStyle w:val="Encabezado"/>
      <w:rPr>
        <w:lang w:val="en-GB"/>
      </w:rPr>
    </w:pPr>
    <w:r w:rsidRPr="005902E0">
      <w:rPr>
        <w:lang w:val="en-GB"/>
      </w:rPr>
      <w:t>CERD/C/</w:t>
    </w:r>
    <w:r w:rsidR="00B57CD1">
      <w:rPr>
        <w:lang w:val="en-GB"/>
      </w:rPr>
      <w:t>URY</w:t>
    </w:r>
    <w:r w:rsidR="0053050D">
      <w:rPr>
        <w:lang w:val="en-GB"/>
      </w:rPr>
      <w:t>/</w:t>
    </w:r>
    <w:r w:rsidRPr="005902E0">
      <w:rPr>
        <w:lang w:val="en-GB"/>
      </w:rPr>
      <w:t>CO/</w:t>
    </w:r>
    <w:r w:rsidR="00E92405">
      <w:rPr>
        <w:lang w:val="en-GB"/>
      </w:rPr>
      <w:t>21-23</w:t>
    </w:r>
    <w:r w:rsidRPr="005902E0">
      <w:rPr>
        <w:lang w:val="en-GB"/>
      </w:rP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Encabezado"/>
      <w:jc w:val="right"/>
      <w:rPr>
        <w:lang w:val="en-GB"/>
      </w:rPr>
    </w:pPr>
    <w:r w:rsidRPr="005902E0">
      <w:rPr>
        <w:lang w:val="en-GB"/>
      </w:rPr>
      <w:t>CERD/C/</w:t>
    </w:r>
    <w:r w:rsidR="00B57CD1">
      <w:rPr>
        <w:lang w:val="en-GB"/>
      </w:rPr>
      <w:t>URY</w:t>
    </w:r>
    <w:r>
      <w:rPr>
        <w:lang w:val="en-GB"/>
      </w:rPr>
      <w:t>/CO/</w:t>
    </w:r>
    <w:r w:rsidR="00E92405">
      <w:rPr>
        <w:lang w:val="en-GB"/>
      </w:rPr>
      <w:t>21-23</w:t>
    </w:r>
    <w:r>
      <w:rPr>
        <w:lang w:val="en-GB"/>
      </w:rPr>
      <w:t>/A</w:t>
    </w:r>
    <w:r w:rsidRPr="005902E0">
      <w:rPr>
        <w:lang w:val="en-GB"/>
      </w:rPr>
      <w:t>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5E2DED"/>
    <w:multiLevelType w:val="hybridMultilevel"/>
    <w:tmpl w:val="48901F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DF271AB"/>
    <w:multiLevelType w:val="hybridMultilevel"/>
    <w:tmpl w:val="EA821052"/>
    <w:lvl w:ilvl="0" w:tplc="0809000F">
      <w:start w:val="1"/>
      <w:numFmt w:val="decimal"/>
      <w:lvlText w:val="%1."/>
      <w:lvlJc w:val="left"/>
      <w:pPr>
        <w:ind w:left="3621" w:hanging="360"/>
      </w:p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2" w15:restartNumberingAfterBreak="0">
    <w:nsid w:val="1EBE066B"/>
    <w:multiLevelType w:val="hybridMultilevel"/>
    <w:tmpl w:val="E38CEEB6"/>
    <w:lvl w:ilvl="0" w:tplc="4872B1A2">
      <w:start w:val="1"/>
      <w:numFmt w:val="decimal"/>
      <w:lvlText w:val="%1."/>
      <w:lvlJc w:val="left"/>
      <w:pPr>
        <w:ind w:left="1854" w:hanging="360"/>
      </w:pPr>
      <w:rPr>
        <w:rFonts w:ascii="Times New Roman" w:hAnsi="Times New Roman" w:cs="Times New Roman"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65442A"/>
    <w:multiLevelType w:val="hybridMultilevel"/>
    <w:tmpl w:val="8242C6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7161E"/>
    <w:multiLevelType w:val="hybridMultilevel"/>
    <w:tmpl w:val="666A5614"/>
    <w:lvl w:ilvl="0" w:tplc="8E7CB32E">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80239DE"/>
    <w:multiLevelType w:val="hybridMultilevel"/>
    <w:tmpl w:val="5B16DF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340152A"/>
    <w:multiLevelType w:val="hybridMultilevel"/>
    <w:tmpl w:val="23F4B490"/>
    <w:lvl w:ilvl="0" w:tplc="9BE89D0C">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254013"/>
    <w:multiLevelType w:val="hybridMultilevel"/>
    <w:tmpl w:val="704A4040"/>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9A16F36"/>
    <w:multiLevelType w:val="hybridMultilevel"/>
    <w:tmpl w:val="54AA9172"/>
    <w:lvl w:ilvl="0" w:tplc="3F843732">
      <w:start w:val="2"/>
      <w:numFmt w:val="lowerLetter"/>
      <w:lvlText w:val="%1)"/>
      <w:lvlJc w:val="left"/>
      <w:pPr>
        <w:ind w:left="241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C66199E"/>
    <w:multiLevelType w:val="hybridMultilevel"/>
    <w:tmpl w:val="CB04EFF4"/>
    <w:lvl w:ilvl="0" w:tplc="F9780E52">
      <w:start w:val="1"/>
      <w:numFmt w:val="decimal"/>
      <w:lvlText w:val="%1."/>
      <w:lvlJc w:val="left"/>
      <w:pPr>
        <w:ind w:left="2417" w:hanging="360"/>
      </w:pPr>
      <w:rPr>
        <w:rFonts w:ascii="Times New Roman" w:hAnsi="Times New Roman" w:cs="Times New Roman" w:hint="default"/>
        <w:b w:val="0"/>
        <w:i w:val="0"/>
        <w:color w:val="auto"/>
        <w:sz w:val="20"/>
        <w:szCs w:val="20"/>
      </w:r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num w:numId="1">
    <w:abstractNumId w:val="19"/>
  </w:num>
  <w:num w:numId="2">
    <w:abstractNumId w:val="14"/>
  </w:num>
  <w:num w:numId="3">
    <w:abstractNumId w:val="23"/>
  </w:num>
  <w:num w:numId="4">
    <w:abstractNumId w:val="20"/>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7"/>
  </w:num>
  <w:num w:numId="19">
    <w:abstractNumId w:val="10"/>
  </w:num>
  <w:num w:numId="20">
    <w:abstractNumId w:val="12"/>
  </w:num>
  <w:num w:numId="21">
    <w:abstractNumId w:val="24"/>
  </w:num>
  <w:num w:numId="22">
    <w:abstractNumId w:val="16"/>
  </w:num>
  <w:num w:numId="23">
    <w:abstractNumId w:val="22"/>
  </w:num>
  <w:num w:numId="24">
    <w:abstractNumId w:val="19"/>
  </w:num>
  <w:num w:numId="25">
    <w:abstractNumId w:val="14"/>
  </w:num>
  <w:num w:numId="26">
    <w:abstractNumId w:val="23"/>
  </w:num>
  <w:num w:numId="27">
    <w:abstractNumId w:val="20"/>
  </w:num>
  <w:num w:numId="28">
    <w:abstractNumId w:val="18"/>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9"/>
  </w:num>
  <w:num w:numId="40">
    <w:abstractNumId w:val="14"/>
  </w:num>
  <w:num w:numId="41">
    <w:abstractNumId w:val="23"/>
  </w:num>
  <w:num w:numId="42">
    <w:abstractNumId w:val="20"/>
  </w:num>
  <w:num w:numId="43">
    <w:abstractNumId w:val="18"/>
  </w:num>
  <w:num w:numId="44">
    <w:abstractNumId w:val="8"/>
  </w:num>
  <w:num w:numId="45">
    <w:abstractNumId w:val="3"/>
  </w:num>
  <w:num w:numId="46">
    <w:abstractNumId w:val="2"/>
  </w:num>
  <w:num w:numId="47">
    <w:abstractNumId w:val="1"/>
  </w:num>
  <w:num w:numId="48">
    <w:abstractNumId w:val="0"/>
  </w:num>
  <w:num w:numId="49">
    <w:abstractNumId w:val="9"/>
  </w:num>
  <w:num w:numId="50">
    <w:abstractNumId w:val="7"/>
  </w:num>
  <w:num w:numId="51">
    <w:abstractNumId w:val="6"/>
  </w:num>
  <w:num w:numId="52">
    <w:abstractNumId w:val="5"/>
  </w:num>
  <w:num w:numId="53">
    <w:abstractNumId w:val="4"/>
  </w:num>
  <w:num w:numId="54">
    <w:abstractNumId w:val="15"/>
  </w:num>
  <w:num w:numId="55">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A5"/>
    <w:rsid w:val="000025D5"/>
    <w:rsid w:val="00004003"/>
    <w:rsid w:val="00006BB9"/>
    <w:rsid w:val="000107A1"/>
    <w:rsid w:val="000119D2"/>
    <w:rsid w:val="000166A4"/>
    <w:rsid w:val="000179D4"/>
    <w:rsid w:val="0002339D"/>
    <w:rsid w:val="000271F0"/>
    <w:rsid w:val="000277DA"/>
    <w:rsid w:val="00027985"/>
    <w:rsid w:val="00036733"/>
    <w:rsid w:val="00040500"/>
    <w:rsid w:val="00044CB6"/>
    <w:rsid w:val="00053531"/>
    <w:rsid w:val="00067754"/>
    <w:rsid w:val="00074115"/>
    <w:rsid w:val="00087BAF"/>
    <w:rsid w:val="000B5672"/>
    <w:rsid w:val="000B57E7"/>
    <w:rsid w:val="000D5CA5"/>
    <w:rsid w:val="000F09DF"/>
    <w:rsid w:val="000F4AF9"/>
    <w:rsid w:val="000F61B2"/>
    <w:rsid w:val="00103A93"/>
    <w:rsid w:val="00105284"/>
    <w:rsid w:val="001075E9"/>
    <w:rsid w:val="00133CE2"/>
    <w:rsid w:val="001435D5"/>
    <w:rsid w:val="001455F5"/>
    <w:rsid w:val="00145F2F"/>
    <w:rsid w:val="00160FF7"/>
    <w:rsid w:val="00167698"/>
    <w:rsid w:val="0017337D"/>
    <w:rsid w:val="00180183"/>
    <w:rsid w:val="001942BA"/>
    <w:rsid w:val="00195AD3"/>
    <w:rsid w:val="00196389"/>
    <w:rsid w:val="001971F9"/>
    <w:rsid w:val="001B4B53"/>
    <w:rsid w:val="001C7A89"/>
    <w:rsid w:val="00201F1A"/>
    <w:rsid w:val="002078AB"/>
    <w:rsid w:val="00220312"/>
    <w:rsid w:val="002335EA"/>
    <w:rsid w:val="002433EC"/>
    <w:rsid w:val="0025226E"/>
    <w:rsid w:val="00255076"/>
    <w:rsid w:val="002720C7"/>
    <w:rsid w:val="00290684"/>
    <w:rsid w:val="00296A7F"/>
    <w:rsid w:val="002A2EFC"/>
    <w:rsid w:val="002B3DA6"/>
    <w:rsid w:val="002C0E18"/>
    <w:rsid w:val="002C33BB"/>
    <w:rsid w:val="002C46A0"/>
    <w:rsid w:val="002D5AAC"/>
    <w:rsid w:val="002E1FA5"/>
    <w:rsid w:val="00301299"/>
    <w:rsid w:val="003048C9"/>
    <w:rsid w:val="003167BC"/>
    <w:rsid w:val="00322004"/>
    <w:rsid w:val="003402C2"/>
    <w:rsid w:val="003418E0"/>
    <w:rsid w:val="003507F9"/>
    <w:rsid w:val="00372FBC"/>
    <w:rsid w:val="00377F32"/>
    <w:rsid w:val="00381C24"/>
    <w:rsid w:val="00385B4C"/>
    <w:rsid w:val="00387F81"/>
    <w:rsid w:val="00390A51"/>
    <w:rsid w:val="003914B6"/>
    <w:rsid w:val="0039236C"/>
    <w:rsid w:val="003958D0"/>
    <w:rsid w:val="003D2DF8"/>
    <w:rsid w:val="00401C4D"/>
    <w:rsid w:val="004031F0"/>
    <w:rsid w:val="00454E07"/>
    <w:rsid w:val="00461A27"/>
    <w:rsid w:val="00471CB3"/>
    <w:rsid w:val="00487BB3"/>
    <w:rsid w:val="004B08EF"/>
    <w:rsid w:val="004D78C6"/>
    <w:rsid w:val="004F6962"/>
    <w:rsid w:val="0050108D"/>
    <w:rsid w:val="00514154"/>
    <w:rsid w:val="0051740C"/>
    <w:rsid w:val="00524C75"/>
    <w:rsid w:val="0053050D"/>
    <w:rsid w:val="00572E19"/>
    <w:rsid w:val="005902E0"/>
    <w:rsid w:val="005A3C49"/>
    <w:rsid w:val="005B2962"/>
    <w:rsid w:val="005B37DF"/>
    <w:rsid w:val="005F0B42"/>
    <w:rsid w:val="005F7E82"/>
    <w:rsid w:val="006025D1"/>
    <w:rsid w:val="00617E4C"/>
    <w:rsid w:val="00634841"/>
    <w:rsid w:val="00655A21"/>
    <w:rsid w:val="006725B3"/>
    <w:rsid w:val="006737C5"/>
    <w:rsid w:val="006808A9"/>
    <w:rsid w:val="00680A69"/>
    <w:rsid w:val="00696055"/>
    <w:rsid w:val="006B2955"/>
    <w:rsid w:val="006D631C"/>
    <w:rsid w:val="006E0376"/>
    <w:rsid w:val="006E2227"/>
    <w:rsid w:val="006E3B07"/>
    <w:rsid w:val="006E796A"/>
    <w:rsid w:val="006E7CB1"/>
    <w:rsid w:val="006F25FA"/>
    <w:rsid w:val="006F35EE"/>
    <w:rsid w:val="007021FF"/>
    <w:rsid w:val="007076CB"/>
    <w:rsid w:val="00727890"/>
    <w:rsid w:val="007301F7"/>
    <w:rsid w:val="007463F7"/>
    <w:rsid w:val="00777826"/>
    <w:rsid w:val="00777E36"/>
    <w:rsid w:val="00786051"/>
    <w:rsid w:val="00786D74"/>
    <w:rsid w:val="007967DF"/>
    <w:rsid w:val="00797BDD"/>
    <w:rsid w:val="007D30ED"/>
    <w:rsid w:val="007E75E5"/>
    <w:rsid w:val="007F09CF"/>
    <w:rsid w:val="00810E2D"/>
    <w:rsid w:val="00811D27"/>
    <w:rsid w:val="00812397"/>
    <w:rsid w:val="00834B71"/>
    <w:rsid w:val="008445D3"/>
    <w:rsid w:val="008460EF"/>
    <w:rsid w:val="0086445C"/>
    <w:rsid w:val="00865FAC"/>
    <w:rsid w:val="008728CD"/>
    <w:rsid w:val="008A08D7"/>
    <w:rsid w:val="008A13F9"/>
    <w:rsid w:val="008B20F5"/>
    <w:rsid w:val="008C0F65"/>
    <w:rsid w:val="008D12E8"/>
    <w:rsid w:val="008D27C3"/>
    <w:rsid w:val="008E6CCF"/>
    <w:rsid w:val="008F0F2A"/>
    <w:rsid w:val="00906890"/>
    <w:rsid w:val="00922925"/>
    <w:rsid w:val="00951972"/>
    <w:rsid w:val="00954E65"/>
    <w:rsid w:val="0095563F"/>
    <w:rsid w:val="009601F4"/>
    <w:rsid w:val="00993AAD"/>
    <w:rsid w:val="00994D2F"/>
    <w:rsid w:val="009A742B"/>
    <w:rsid w:val="009B0171"/>
    <w:rsid w:val="009B0B7B"/>
    <w:rsid w:val="009C0867"/>
    <w:rsid w:val="009C47EB"/>
    <w:rsid w:val="00A11048"/>
    <w:rsid w:val="00A1283A"/>
    <w:rsid w:val="00A17DFD"/>
    <w:rsid w:val="00A36F46"/>
    <w:rsid w:val="00A43E34"/>
    <w:rsid w:val="00A4674B"/>
    <w:rsid w:val="00A70F4C"/>
    <w:rsid w:val="00A917B3"/>
    <w:rsid w:val="00AB4B51"/>
    <w:rsid w:val="00AC6655"/>
    <w:rsid w:val="00B066FC"/>
    <w:rsid w:val="00B10CC7"/>
    <w:rsid w:val="00B221A0"/>
    <w:rsid w:val="00B3039A"/>
    <w:rsid w:val="00B33982"/>
    <w:rsid w:val="00B53670"/>
    <w:rsid w:val="00B57CD1"/>
    <w:rsid w:val="00B60D68"/>
    <w:rsid w:val="00B611C0"/>
    <w:rsid w:val="00B62458"/>
    <w:rsid w:val="00B67D20"/>
    <w:rsid w:val="00B778C8"/>
    <w:rsid w:val="00B92662"/>
    <w:rsid w:val="00BA3587"/>
    <w:rsid w:val="00BA78E2"/>
    <w:rsid w:val="00BB36EA"/>
    <w:rsid w:val="00BC211B"/>
    <w:rsid w:val="00BD33EE"/>
    <w:rsid w:val="00BD6AE2"/>
    <w:rsid w:val="00C13E50"/>
    <w:rsid w:val="00C56396"/>
    <w:rsid w:val="00C5797D"/>
    <w:rsid w:val="00C60F0C"/>
    <w:rsid w:val="00C61711"/>
    <w:rsid w:val="00C63C2A"/>
    <w:rsid w:val="00C805C9"/>
    <w:rsid w:val="00CA1679"/>
    <w:rsid w:val="00CB57AC"/>
    <w:rsid w:val="00CE20A7"/>
    <w:rsid w:val="00CE6A50"/>
    <w:rsid w:val="00D05347"/>
    <w:rsid w:val="00D07ECE"/>
    <w:rsid w:val="00D14852"/>
    <w:rsid w:val="00D427D8"/>
    <w:rsid w:val="00D72975"/>
    <w:rsid w:val="00D83C41"/>
    <w:rsid w:val="00D90138"/>
    <w:rsid w:val="00D93228"/>
    <w:rsid w:val="00DA26B8"/>
    <w:rsid w:val="00DA6862"/>
    <w:rsid w:val="00DD4E25"/>
    <w:rsid w:val="00DE00FF"/>
    <w:rsid w:val="00DE3BCB"/>
    <w:rsid w:val="00DE7550"/>
    <w:rsid w:val="00E04AF3"/>
    <w:rsid w:val="00E065C5"/>
    <w:rsid w:val="00E114E2"/>
    <w:rsid w:val="00E13274"/>
    <w:rsid w:val="00E55E56"/>
    <w:rsid w:val="00E637D8"/>
    <w:rsid w:val="00E7110F"/>
    <w:rsid w:val="00E73F76"/>
    <w:rsid w:val="00E779E5"/>
    <w:rsid w:val="00E912DC"/>
    <w:rsid w:val="00E92405"/>
    <w:rsid w:val="00EA31D8"/>
    <w:rsid w:val="00EA3DC4"/>
    <w:rsid w:val="00EA5579"/>
    <w:rsid w:val="00EE08B2"/>
    <w:rsid w:val="00EF1360"/>
    <w:rsid w:val="00EF3220"/>
    <w:rsid w:val="00EF4C10"/>
    <w:rsid w:val="00EF7198"/>
    <w:rsid w:val="00F20BAD"/>
    <w:rsid w:val="00F35D7D"/>
    <w:rsid w:val="00F41883"/>
    <w:rsid w:val="00F94155"/>
    <w:rsid w:val="00FB5EFE"/>
    <w:rsid w:val="00FC1FE8"/>
    <w:rsid w:val="00FD2EF7"/>
    <w:rsid w:val="00FD4AD6"/>
    <w:rsid w:val="00FD59A6"/>
    <w:rsid w:val="00FE3D5C"/>
    <w:rsid w:val="00FF1E5D"/>
    <w:rsid w:val="00FF3E3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9BB160"/>
  <w15:chartTrackingRefBased/>
  <w15:docId w15:val="{B3DE2589-E103-4E75-99F5-EAA4FC93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55"/>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AC665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AC6655"/>
    <w:pPr>
      <w:keepNext/>
      <w:outlineLvl w:val="1"/>
    </w:pPr>
    <w:rPr>
      <w:rFonts w:cs="Arial"/>
      <w:bCs/>
      <w:iCs/>
      <w:szCs w:val="28"/>
    </w:rPr>
  </w:style>
  <w:style w:type="paragraph" w:styleId="Ttulo3">
    <w:name w:val="heading 3"/>
    <w:basedOn w:val="Normal"/>
    <w:next w:val="Normal"/>
    <w:rsid w:val="00AC6655"/>
    <w:pPr>
      <w:keepNext/>
      <w:spacing w:before="240" w:after="60"/>
      <w:outlineLvl w:val="2"/>
    </w:pPr>
    <w:rPr>
      <w:rFonts w:ascii="Arial" w:hAnsi="Arial" w:cs="Arial"/>
      <w:b/>
      <w:bCs/>
      <w:sz w:val="26"/>
      <w:szCs w:val="26"/>
    </w:rPr>
  </w:style>
  <w:style w:type="paragraph" w:styleId="Ttulo4">
    <w:name w:val="heading 4"/>
    <w:basedOn w:val="Normal"/>
    <w:next w:val="Normal"/>
    <w:rsid w:val="00AC6655"/>
    <w:pPr>
      <w:keepNext/>
      <w:spacing w:before="240" w:after="60"/>
      <w:outlineLvl w:val="3"/>
    </w:pPr>
    <w:rPr>
      <w:b/>
      <w:bCs/>
      <w:sz w:val="28"/>
      <w:szCs w:val="28"/>
    </w:rPr>
  </w:style>
  <w:style w:type="paragraph" w:styleId="Ttulo5">
    <w:name w:val="heading 5"/>
    <w:basedOn w:val="Normal"/>
    <w:next w:val="Normal"/>
    <w:rsid w:val="00AC6655"/>
    <w:pPr>
      <w:spacing w:before="240" w:after="60"/>
      <w:outlineLvl w:val="4"/>
    </w:pPr>
    <w:rPr>
      <w:b/>
      <w:bCs/>
      <w:i/>
      <w:iCs/>
      <w:sz w:val="26"/>
      <w:szCs w:val="26"/>
    </w:rPr>
  </w:style>
  <w:style w:type="paragraph" w:styleId="Ttulo6">
    <w:name w:val="heading 6"/>
    <w:basedOn w:val="Normal"/>
    <w:next w:val="Normal"/>
    <w:rsid w:val="00AC6655"/>
    <w:pPr>
      <w:spacing w:before="240" w:after="60"/>
      <w:outlineLvl w:val="5"/>
    </w:pPr>
    <w:rPr>
      <w:b/>
      <w:bCs/>
      <w:sz w:val="22"/>
      <w:szCs w:val="22"/>
    </w:rPr>
  </w:style>
  <w:style w:type="paragraph" w:styleId="Ttulo7">
    <w:name w:val="heading 7"/>
    <w:basedOn w:val="Normal"/>
    <w:next w:val="Normal"/>
    <w:rsid w:val="00AC6655"/>
    <w:pPr>
      <w:spacing w:before="240" w:after="60"/>
      <w:outlineLvl w:val="6"/>
    </w:pPr>
    <w:rPr>
      <w:sz w:val="24"/>
      <w:szCs w:val="24"/>
    </w:rPr>
  </w:style>
  <w:style w:type="paragraph" w:styleId="Ttulo8">
    <w:name w:val="heading 8"/>
    <w:basedOn w:val="Normal"/>
    <w:next w:val="Normal"/>
    <w:rsid w:val="00AC6655"/>
    <w:pPr>
      <w:spacing w:before="240" w:after="60"/>
      <w:outlineLvl w:val="7"/>
    </w:pPr>
    <w:rPr>
      <w:i/>
      <w:iCs/>
      <w:sz w:val="24"/>
      <w:szCs w:val="24"/>
    </w:rPr>
  </w:style>
  <w:style w:type="paragraph" w:styleId="Ttulo9">
    <w:name w:val="heading 9"/>
    <w:basedOn w:val="Normal"/>
    <w:next w:val="Normal"/>
    <w:rsid w:val="00AC665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AC6655"/>
    <w:rPr>
      <w:rFonts w:ascii="Times New Roman" w:hAnsi="Times New Roman"/>
      <w:sz w:val="18"/>
      <w:vertAlign w:val="superscript"/>
    </w:rPr>
  </w:style>
  <w:style w:type="paragraph" w:customStyle="1" w:styleId="HMG">
    <w:name w:val="_ H __M_G"/>
    <w:basedOn w:val="Normal"/>
    <w:next w:val="Normal"/>
    <w:qFormat/>
    <w:rsid w:val="00AC665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AC665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0277DA"/>
    <w:rPr>
      <w:rFonts w:eastAsia="DengXian"/>
      <w:lang w:eastAsia="es-ES"/>
    </w:rPr>
  </w:style>
  <w:style w:type="paragraph" w:customStyle="1" w:styleId="Default">
    <w:name w:val="Default"/>
    <w:rsid w:val="00C61711"/>
    <w:pPr>
      <w:autoSpaceDE w:val="0"/>
      <w:autoSpaceDN w:val="0"/>
      <w:adjustRightInd w:val="0"/>
    </w:pPr>
    <w:rPr>
      <w:rFonts w:eastAsia="Calibri"/>
      <w:color w:val="000000"/>
      <w:sz w:val="24"/>
      <w:szCs w:val="24"/>
      <w:lang w:val="es-ES" w:eastAsia="en-US"/>
    </w:rPr>
  </w:style>
  <w:style w:type="paragraph" w:customStyle="1" w:styleId="H1G">
    <w:name w:val="_ H_1_G"/>
    <w:basedOn w:val="Normal"/>
    <w:next w:val="Normal"/>
    <w:qFormat/>
    <w:rsid w:val="00AC665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AC665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AC665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AC665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AC6655"/>
    <w:pPr>
      <w:pBdr>
        <w:bottom w:val="single" w:sz="4" w:space="4" w:color="auto"/>
      </w:pBdr>
      <w:spacing w:line="240" w:lineRule="auto"/>
    </w:pPr>
    <w:rPr>
      <w:b/>
      <w:sz w:val="18"/>
    </w:rPr>
  </w:style>
  <w:style w:type="paragraph" w:customStyle="1" w:styleId="SingleTxtG">
    <w:name w:val="_ Single Txt_G"/>
    <w:basedOn w:val="Normal"/>
    <w:link w:val="SingleTxtGChar"/>
    <w:qFormat/>
    <w:rsid w:val="00AC6655"/>
    <w:pPr>
      <w:spacing w:after="120"/>
      <w:ind w:left="1134" w:right="1134"/>
      <w:jc w:val="both"/>
    </w:pPr>
  </w:style>
  <w:style w:type="paragraph" w:customStyle="1" w:styleId="SMG">
    <w:name w:val="__S_M_G"/>
    <w:basedOn w:val="Normal"/>
    <w:next w:val="Normal"/>
    <w:rsid w:val="00AC665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AC6655"/>
    <w:pPr>
      <w:keepNext/>
      <w:keepLines/>
      <w:spacing w:before="240" w:after="240" w:line="580" w:lineRule="exact"/>
      <w:ind w:left="1134" w:right="1134"/>
    </w:pPr>
    <w:rPr>
      <w:b/>
      <w:sz w:val="56"/>
    </w:rPr>
  </w:style>
  <w:style w:type="paragraph" w:customStyle="1" w:styleId="SSG">
    <w:name w:val="__S_S_G"/>
    <w:basedOn w:val="Normal"/>
    <w:next w:val="Normal"/>
    <w:rsid w:val="00AC665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AC6655"/>
    <w:rPr>
      <w:sz w:val="16"/>
    </w:rPr>
  </w:style>
  <w:style w:type="paragraph" w:customStyle="1" w:styleId="XLargeG">
    <w:name w:val="__XLarge_G"/>
    <w:basedOn w:val="Normal"/>
    <w:next w:val="Normal"/>
    <w:rsid w:val="00AC665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AC6655"/>
    <w:pPr>
      <w:tabs>
        <w:tab w:val="right" w:pos="1021"/>
      </w:tabs>
      <w:spacing w:line="220" w:lineRule="exact"/>
      <w:ind w:left="1134" w:right="1134" w:hanging="1134"/>
    </w:pPr>
    <w:rPr>
      <w:sz w:val="18"/>
    </w:rPr>
  </w:style>
  <w:style w:type="table" w:styleId="Tablaconcuadrcula">
    <w:name w:val="Table Grid"/>
    <w:basedOn w:val="Tablanormal"/>
    <w:rsid w:val="00AC6655"/>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AC6655"/>
    <w:pPr>
      <w:numPr>
        <w:numId w:val="3"/>
      </w:numPr>
    </w:pPr>
  </w:style>
  <w:style w:type="numbering" w:styleId="1ai">
    <w:name w:val="Outline List 1"/>
    <w:basedOn w:val="Sinlista"/>
    <w:semiHidden/>
    <w:rsid w:val="00AC6655"/>
    <w:pPr>
      <w:numPr>
        <w:numId w:val="4"/>
      </w:numPr>
    </w:pPr>
  </w:style>
  <w:style w:type="character" w:styleId="AcrnimoHTML">
    <w:name w:val="HTML Acronym"/>
    <w:semiHidden/>
    <w:rsid w:val="00AC6655"/>
  </w:style>
  <w:style w:type="numbering" w:styleId="ArtculoSeccin">
    <w:name w:val="Outline List 3"/>
    <w:basedOn w:val="Sinlista"/>
    <w:semiHidden/>
    <w:rsid w:val="00AC6655"/>
    <w:pPr>
      <w:numPr>
        <w:numId w:val="5"/>
      </w:numPr>
    </w:pPr>
  </w:style>
  <w:style w:type="paragraph" w:styleId="Cierre">
    <w:name w:val="Closing"/>
    <w:basedOn w:val="Normal"/>
    <w:semiHidden/>
    <w:rsid w:val="00AC6655"/>
    <w:pPr>
      <w:ind w:left="4252"/>
    </w:pPr>
  </w:style>
  <w:style w:type="character" w:styleId="CitaHTML">
    <w:name w:val="HTML Cite"/>
    <w:semiHidden/>
    <w:rsid w:val="00AC6655"/>
    <w:rPr>
      <w:i/>
      <w:iCs/>
    </w:rPr>
  </w:style>
  <w:style w:type="character" w:styleId="CdigoHTML">
    <w:name w:val="HTML Code"/>
    <w:semiHidden/>
    <w:rsid w:val="00AC6655"/>
    <w:rPr>
      <w:rFonts w:ascii="Courier New" w:hAnsi="Courier New" w:cs="Courier New"/>
      <w:sz w:val="20"/>
      <w:szCs w:val="20"/>
    </w:rPr>
  </w:style>
  <w:style w:type="paragraph" w:styleId="Continuarlista">
    <w:name w:val="List Continue"/>
    <w:basedOn w:val="Normal"/>
    <w:semiHidden/>
    <w:rsid w:val="00AC6655"/>
    <w:pPr>
      <w:spacing w:after="120"/>
      <w:ind w:left="283"/>
    </w:pPr>
  </w:style>
  <w:style w:type="paragraph" w:styleId="Continuarlista2">
    <w:name w:val="List Continue 2"/>
    <w:basedOn w:val="Normal"/>
    <w:semiHidden/>
    <w:rsid w:val="00AC6655"/>
    <w:pPr>
      <w:spacing w:after="120"/>
      <w:ind w:left="566"/>
    </w:pPr>
  </w:style>
  <w:style w:type="paragraph" w:styleId="Continuarlista3">
    <w:name w:val="List Continue 3"/>
    <w:basedOn w:val="Normal"/>
    <w:semiHidden/>
    <w:rsid w:val="00AC6655"/>
    <w:pPr>
      <w:spacing w:after="120"/>
      <w:ind w:left="849"/>
    </w:pPr>
  </w:style>
  <w:style w:type="paragraph" w:styleId="Continuarlista4">
    <w:name w:val="List Continue 4"/>
    <w:basedOn w:val="Normal"/>
    <w:semiHidden/>
    <w:rsid w:val="00AC6655"/>
    <w:pPr>
      <w:spacing w:after="120"/>
      <w:ind w:left="1132"/>
    </w:pPr>
  </w:style>
  <w:style w:type="paragraph" w:styleId="Continuarlista5">
    <w:name w:val="List Continue 5"/>
    <w:basedOn w:val="Normal"/>
    <w:semiHidden/>
    <w:rsid w:val="00AC6655"/>
    <w:pPr>
      <w:spacing w:after="120"/>
      <w:ind w:left="1415"/>
    </w:pPr>
  </w:style>
  <w:style w:type="character" w:styleId="DefinicinHTML">
    <w:name w:val="HTML Definition"/>
    <w:semiHidden/>
    <w:rsid w:val="00AC6655"/>
    <w:rPr>
      <w:i/>
      <w:iCs/>
    </w:rPr>
  </w:style>
  <w:style w:type="paragraph" w:styleId="DireccinHTML">
    <w:name w:val="HTML Address"/>
    <w:basedOn w:val="Normal"/>
    <w:semiHidden/>
    <w:rsid w:val="00AC6655"/>
    <w:rPr>
      <w:i/>
      <w:iCs/>
    </w:rPr>
  </w:style>
  <w:style w:type="paragraph" w:styleId="Direccinsobre">
    <w:name w:val="envelope address"/>
    <w:basedOn w:val="Normal"/>
    <w:semiHidden/>
    <w:rsid w:val="00AC665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C6655"/>
    <w:rPr>
      <w:rFonts w:ascii="Courier New" w:hAnsi="Courier New" w:cs="Courier New"/>
    </w:rPr>
  </w:style>
  <w:style w:type="paragraph" w:styleId="Encabezadodemensaje">
    <w:name w:val="Message Header"/>
    <w:basedOn w:val="Normal"/>
    <w:semiHidden/>
    <w:rsid w:val="00AC66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C6655"/>
  </w:style>
  <w:style w:type="character" w:styleId="nfasis">
    <w:name w:val="Emphasis"/>
    <w:rsid w:val="00AC6655"/>
    <w:rPr>
      <w:i/>
      <w:iCs/>
    </w:rPr>
  </w:style>
  <w:style w:type="paragraph" w:styleId="Fecha">
    <w:name w:val="Date"/>
    <w:basedOn w:val="Normal"/>
    <w:next w:val="Normal"/>
    <w:semiHidden/>
    <w:rsid w:val="00AC6655"/>
  </w:style>
  <w:style w:type="paragraph" w:styleId="Firma">
    <w:name w:val="Signature"/>
    <w:basedOn w:val="Normal"/>
    <w:semiHidden/>
    <w:rsid w:val="00AC6655"/>
    <w:pPr>
      <w:ind w:left="4252"/>
    </w:pPr>
  </w:style>
  <w:style w:type="paragraph" w:styleId="Firmadecorreoelectrnico">
    <w:name w:val="E-mail Signature"/>
    <w:basedOn w:val="Normal"/>
    <w:semiHidden/>
    <w:rsid w:val="00AC6655"/>
  </w:style>
  <w:style w:type="character" w:styleId="Hipervnculo">
    <w:name w:val="Hyperlink"/>
    <w:rsid w:val="00AC6655"/>
    <w:rPr>
      <w:color w:val="0000FF"/>
      <w:u w:val="none"/>
    </w:rPr>
  </w:style>
  <w:style w:type="character" w:styleId="Hipervnculovisitado">
    <w:name w:val="FollowedHyperlink"/>
    <w:rsid w:val="00AC6655"/>
    <w:rPr>
      <w:color w:val="0000FF"/>
      <w:u w:val="none"/>
    </w:rPr>
  </w:style>
  <w:style w:type="paragraph" w:styleId="HTMLconformatoprevio">
    <w:name w:val="HTML Preformatted"/>
    <w:basedOn w:val="Normal"/>
    <w:semiHidden/>
    <w:rsid w:val="00AC6655"/>
    <w:rPr>
      <w:rFonts w:ascii="Courier New" w:hAnsi="Courier New" w:cs="Courier New"/>
    </w:rPr>
  </w:style>
  <w:style w:type="paragraph" w:styleId="Lista">
    <w:name w:val="List"/>
    <w:basedOn w:val="Normal"/>
    <w:semiHidden/>
    <w:rsid w:val="00AC6655"/>
    <w:pPr>
      <w:ind w:left="283" w:hanging="283"/>
    </w:pPr>
  </w:style>
  <w:style w:type="paragraph" w:styleId="Lista2">
    <w:name w:val="List 2"/>
    <w:basedOn w:val="Normal"/>
    <w:semiHidden/>
    <w:rsid w:val="00AC6655"/>
    <w:pPr>
      <w:ind w:left="566" w:hanging="283"/>
    </w:pPr>
  </w:style>
  <w:style w:type="paragraph" w:styleId="Lista3">
    <w:name w:val="List 3"/>
    <w:basedOn w:val="Normal"/>
    <w:semiHidden/>
    <w:rsid w:val="00AC6655"/>
    <w:pPr>
      <w:ind w:left="849" w:hanging="283"/>
    </w:pPr>
  </w:style>
  <w:style w:type="paragraph" w:styleId="Lista4">
    <w:name w:val="List 4"/>
    <w:basedOn w:val="Normal"/>
    <w:semiHidden/>
    <w:rsid w:val="00AC6655"/>
    <w:pPr>
      <w:ind w:left="1132" w:hanging="283"/>
    </w:pPr>
  </w:style>
  <w:style w:type="paragraph" w:styleId="Lista5">
    <w:name w:val="List 5"/>
    <w:basedOn w:val="Normal"/>
    <w:semiHidden/>
    <w:rsid w:val="00AC6655"/>
    <w:pPr>
      <w:ind w:left="1415" w:hanging="283"/>
    </w:pPr>
  </w:style>
  <w:style w:type="paragraph" w:styleId="Listaconnmeros">
    <w:name w:val="List Number"/>
    <w:basedOn w:val="Normal"/>
    <w:semiHidden/>
    <w:rsid w:val="00AC6655"/>
    <w:pPr>
      <w:numPr>
        <w:numId w:val="44"/>
      </w:numPr>
    </w:pPr>
  </w:style>
  <w:style w:type="paragraph" w:styleId="Listaconnmeros2">
    <w:name w:val="List Number 2"/>
    <w:basedOn w:val="Normal"/>
    <w:semiHidden/>
    <w:rsid w:val="00AC6655"/>
    <w:pPr>
      <w:numPr>
        <w:numId w:val="45"/>
      </w:numPr>
    </w:pPr>
  </w:style>
  <w:style w:type="paragraph" w:styleId="Listaconnmeros3">
    <w:name w:val="List Number 3"/>
    <w:basedOn w:val="Normal"/>
    <w:semiHidden/>
    <w:rsid w:val="00AC6655"/>
    <w:pPr>
      <w:numPr>
        <w:numId w:val="46"/>
      </w:numPr>
    </w:pPr>
  </w:style>
  <w:style w:type="paragraph" w:styleId="Listaconnmeros4">
    <w:name w:val="List Number 4"/>
    <w:basedOn w:val="Normal"/>
    <w:semiHidden/>
    <w:rsid w:val="00AC6655"/>
    <w:pPr>
      <w:numPr>
        <w:numId w:val="47"/>
      </w:numPr>
    </w:pPr>
  </w:style>
  <w:style w:type="paragraph" w:styleId="Listaconnmeros5">
    <w:name w:val="List Number 5"/>
    <w:basedOn w:val="Normal"/>
    <w:semiHidden/>
    <w:rsid w:val="00AC6655"/>
    <w:pPr>
      <w:numPr>
        <w:numId w:val="48"/>
      </w:numPr>
    </w:pPr>
  </w:style>
  <w:style w:type="paragraph" w:styleId="Listaconvietas">
    <w:name w:val="List Bullet"/>
    <w:basedOn w:val="Normal"/>
    <w:semiHidden/>
    <w:rsid w:val="00AC6655"/>
    <w:pPr>
      <w:numPr>
        <w:numId w:val="49"/>
      </w:numPr>
    </w:pPr>
  </w:style>
  <w:style w:type="paragraph" w:styleId="Listaconvietas2">
    <w:name w:val="List Bullet 2"/>
    <w:basedOn w:val="Normal"/>
    <w:semiHidden/>
    <w:rsid w:val="00AC6655"/>
    <w:pPr>
      <w:numPr>
        <w:numId w:val="50"/>
      </w:numPr>
    </w:pPr>
  </w:style>
  <w:style w:type="paragraph" w:styleId="Listaconvietas3">
    <w:name w:val="List Bullet 3"/>
    <w:basedOn w:val="Normal"/>
    <w:semiHidden/>
    <w:rsid w:val="00AC6655"/>
    <w:pPr>
      <w:numPr>
        <w:numId w:val="51"/>
      </w:numPr>
    </w:pPr>
  </w:style>
  <w:style w:type="paragraph" w:styleId="Listaconvietas4">
    <w:name w:val="List Bullet 4"/>
    <w:basedOn w:val="Normal"/>
    <w:semiHidden/>
    <w:rsid w:val="00AC6655"/>
    <w:pPr>
      <w:numPr>
        <w:numId w:val="52"/>
      </w:numPr>
    </w:pPr>
  </w:style>
  <w:style w:type="paragraph" w:styleId="Listaconvietas5">
    <w:name w:val="List Bullet 5"/>
    <w:basedOn w:val="Normal"/>
    <w:semiHidden/>
    <w:rsid w:val="00AC6655"/>
    <w:pPr>
      <w:numPr>
        <w:numId w:val="53"/>
      </w:numPr>
    </w:pPr>
  </w:style>
  <w:style w:type="character" w:styleId="MquinadeescribirHTML">
    <w:name w:val="HTML Typewriter"/>
    <w:semiHidden/>
    <w:rsid w:val="00AC6655"/>
    <w:rPr>
      <w:rFonts w:ascii="Courier New" w:hAnsi="Courier New" w:cs="Courier New"/>
      <w:sz w:val="20"/>
      <w:szCs w:val="20"/>
    </w:rPr>
  </w:style>
  <w:style w:type="paragraph" w:styleId="NormalWeb">
    <w:name w:val="Normal (Web)"/>
    <w:basedOn w:val="Normal"/>
    <w:rsid w:val="00AC6655"/>
    <w:rPr>
      <w:sz w:val="24"/>
      <w:szCs w:val="24"/>
    </w:rPr>
  </w:style>
  <w:style w:type="character" w:styleId="Nmerodelnea">
    <w:name w:val="line number"/>
    <w:semiHidden/>
    <w:rsid w:val="00AC6655"/>
  </w:style>
  <w:style w:type="character" w:styleId="Nmerodepgina">
    <w:name w:val="page number"/>
    <w:aliases w:val="7_G"/>
    <w:qFormat/>
    <w:rsid w:val="00AC6655"/>
    <w:rPr>
      <w:b/>
      <w:sz w:val="18"/>
    </w:rPr>
  </w:style>
  <w:style w:type="character" w:styleId="Refdenotaalfinal">
    <w:name w:val="endnote reference"/>
    <w:aliases w:val="1_G"/>
    <w:qFormat/>
    <w:rsid w:val="00AC6655"/>
    <w:rPr>
      <w:rFonts w:ascii="Times New Roman" w:hAnsi="Times New Roman"/>
      <w:sz w:val="18"/>
      <w:vertAlign w:val="superscript"/>
    </w:rPr>
  </w:style>
  <w:style w:type="paragraph" w:styleId="Remitedesobre">
    <w:name w:val="envelope return"/>
    <w:basedOn w:val="Normal"/>
    <w:semiHidden/>
    <w:rsid w:val="00AC6655"/>
    <w:rPr>
      <w:rFonts w:ascii="Arial" w:hAnsi="Arial" w:cs="Arial"/>
    </w:rPr>
  </w:style>
  <w:style w:type="paragraph" w:styleId="Saludo">
    <w:name w:val="Salutation"/>
    <w:basedOn w:val="Normal"/>
    <w:next w:val="Normal"/>
    <w:semiHidden/>
    <w:rsid w:val="00AC6655"/>
  </w:style>
  <w:style w:type="paragraph" w:styleId="Sangra2detindependiente">
    <w:name w:val="Body Text Indent 2"/>
    <w:basedOn w:val="Normal"/>
    <w:semiHidden/>
    <w:rsid w:val="00AC6655"/>
    <w:pPr>
      <w:spacing w:after="120" w:line="480" w:lineRule="auto"/>
      <w:ind w:left="283"/>
    </w:pPr>
  </w:style>
  <w:style w:type="paragraph" w:styleId="Sangra3detindependiente">
    <w:name w:val="Body Text Indent 3"/>
    <w:basedOn w:val="Normal"/>
    <w:semiHidden/>
    <w:rsid w:val="00AC6655"/>
    <w:pPr>
      <w:spacing w:after="120"/>
      <w:ind w:left="283"/>
    </w:pPr>
    <w:rPr>
      <w:sz w:val="16"/>
      <w:szCs w:val="16"/>
    </w:rPr>
  </w:style>
  <w:style w:type="paragraph" w:styleId="Sangradetextonormal">
    <w:name w:val="Body Text Indent"/>
    <w:basedOn w:val="Normal"/>
    <w:semiHidden/>
    <w:rsid w:val="00AC6655"/>
    <w:pPr>
      <w:spacing w:after="120"/>
      <w:ind w:left="283"/>
    </w:pPr>
  </w:style>
  <w:style w:type="paragraph" w:styleId="Sangranormal">
    <w:name w:val="Normal Indent"/>
    <w:basedOn w:val="Normal"/>
    <w:semiHidden/>
    <w:rsid w:val="00AC6655"/>
    <w:pPr>
      <w:ind w:left="567"/>
    </w:pPr>
  </w:style>
  <w:style w:type="paragraph" w:styleId="Subttulo">
    <w:name w:val="Subtitle"/>
    <w:basedOn w:val="Normal"/>
    <w:link w:val="SubttuloCar"/>
    <w:rsid w:val="00AC6655"/>
    <w:pPr>
      <w:spacing w:after="60"/>
      <w:jc w:val="center"/>
      <w:outlineLvl w:val="1"/>
    </w:pPr>
    <w:rPr>
      <w:rFonts w:ascii="Arial" w:hAnsi="Arial" w:cs="Arial"/>
      <w:sz w:val="24"/>
      <w:szCs w:val="24"/>
    </w:rPr>
  </w:style>
  <w:style w:type="table" w:styleId="Tablabsica1">
    <w:name w:val="Table Simple 1"/>
    <w:basedOn w:val="Tablanormal"/>
    <w:semiHidden/>
    <w:rsid w:val="00AC6655"/>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AC6655"/>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AC6655"/>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AC6655"/>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AC6655"/>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AC6655"/>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AC6655"/>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AC6655"/>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AC6655"/>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AC6655"/>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AC6655"/>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AC6655"/>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AC6655"/>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AC6655"/>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AC6655"/>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AC6655"/>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AC6655"/>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AC6655"/>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AC6655"/>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AC6655"/>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AC6655"/>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AC6655"/>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AC6655"/>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AC6655"/>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AC6655"/>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AC6655"/>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AC6655"/>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AC6655"/>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AC6655"/>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AC6655"/>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AC6655"/>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AC6655"/>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AC6655"/>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AC6655"/>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AC6655"/>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AC6655"/>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C6655"/>
    <w:rPr>
      <w:rFonts w:ascii="Courier New" w:hAnsi="Courier New" w:cs="Courier New"/>
      <w:sz w:val="20"/>
      <w:szCs w:val="20"/>
    </w:rPr>
  </w:style>
  <w:style w:type="paragraph" w:styleId="Textodebloque">
    <w:name w:val="Block Text"/>
    <w:basedOn w:val="Normal"/>
    <w:semiHidden/>
    <w:rsid w:val="00AC6655"/>
    <w:pPr>
      <w:spacing w:after="120"/>
      <w:ind w:left="1440" w:right="1440"/>
    </w:pPr>
  </w:style>
  <w:style w:type="character" w:styleId="Textoennegrita">
    <w:name w:val="Strong"/>
    <w:rsid w:val="00AC6655"/>
    <w:rPr>
      <w:b/>
      <w:bCs/>
    </w:rPr>
  </w:style>
  <w:style w:type="paragraph" w:styleId="Textoindependiente">
    <w:name w:val="Body Text"/>
    <w:basedOn w:val="Normal"/>
    <w:semiHidden/>
    <w:rsid w:val="00AC6655"/>
    <w:pPr>
      <w:spacing w:after="120"/>
    </w:pPr>
  </w:style>
  <w:style w:type="paragraph" w:styleId="Textoindependiente2">
    <w:name w:val="Body Text 2"/>
    <w:basedOn w:val="Normal"/>
    <w:semiHidden/>
    <w:rsid w:val="00AC6655"/>
    <w:pPr>
      <w:spacing w:after="120" w:line="480" w:lineRule="auto"/>
    </w:pPr>
  </w:style>
  <w:style w:type="paragraph" w:styleId="Textoindependiente3">
    <w:name w:val="Body Text 3"/>
    <w:basedOn w:val="Normal"/>
    <w:semiHidden/>
    <w:rsid w:val="00AC6655"/>
    <w:pPr>
      <w:spacing w:after="120"/>
    </w:pPr>
    <w:rPr>
      <w:sz w:val="16"/>
      <w:szCs w:val="16"/>
    </w:rPr>
  </w:style>
  <w:style w:type="paragraph" w:styleId="Textoindependienteprimerasangra">
    <w:name w:val="Body Text First Indent"/>
    <w:basedOn w:val="Textoindependiente"/>
    <w:semiHidden/>
    <w:rsid w:val="00AC6655"/>
    <w:pPr>
      <w:ind w:firstLine="210"/>
    </w:pPr>
  </w:style>
  <w:style w:type="paragraph" w:styleId="Textoindependienteprimerasangra2">
    <w:name w:val="Body Text First Indent 2"/>
    <w:basedOn w:val="Sangradetextonormal"/>
    <w:semiHidden/>
    <w:rsid w:val="00AC6655"/>
    <w:pPr>
      <w:ind w:firstLine="210"/>
    </w:pPr>
  </w:style>
  <w:style w:type="paragraph" w:styleId="Textonotaalfinal">
    <w:name w:val="endnote text"/>
    <w:aliases w:val="2_G"/>
    <w:basedOn w:val="Textonotapie"/>
    <w:link w:val="TextonotaalfinalCar"/>
    <w:qFormat/>
    <w:rsid w:val="00AC6655"/>
  </w:style>
  <w:style w:type="paragraph" w:styleId="Textosinformato">
    <w:name w:val="Plain Text"/>
    <w:basedOn w:val="Normal"/>
    <w:semiHidden/>
    <w:rsid w:val="00AC6655"/>
    <w:rPr>
      <w:rFonts w:ascii="Courier New" w:hAnsi="Courier New" w:cs="Courier New"/>
    </w:rPr>
  </w:style>
  <w:style w:type="paragraph" w:styleId="Ttulo">
    <w:name w:val="Title"/>
    <w:basedOn w:val="Normal"/>
    <w:rsid w:val="00AC6655"/>
    <w:pPr>
      <w:spacing w:before="240" w:after="60"/>
      <w:jc w:val="center"/>
      <w:outlineLvl w:val="0"/>
    </w:pPr>
    <w:rPr>
      <w:rFonts w:ascii="Arial" w:hAnsi="Arial" w:cs="Arial"/>
      <w:b/>
      <w:bCs/>
      <w:kern w:val="28"/>
      <w:sz w:val="32"/>
      <w:szCs w:val="32"/>
    </w:rPr>
  </w:style>
  <w:style w:type="character" w:styleId="VariableHTML">
    <w:name w:val="HTML Variable"/>
    <w:semiHidden/>
    <w:rsid w:val="00AC6655"/>
    <w:rPr>
      <w:i/>
      <w:iCs/>
    </w:rPr>
  </w:style>
  <w:style w:type="paragraph" w:customStyle="1" w:styleId="Bullet1G">
    <w:name w:val="_Bullet 1_G"/>
    <w:basedOn w:val="Normal"/>
    <w:qFormat/>
    <w:rsid w:val="00AC6655"/>
    <w:pPr>
      <w:numPr>
        <w:numId w:val="39"/>
      </w:numPr>
      <w:spacing w:after="120"/>
      <w:ind w:right="1134"/>
      <w:jc w:val="both"/>
    </w:pPr>
    <w:rPr>
      <w:lang w:eastAsia="en-US"/>
    </w:rPr>
  </w:style>
  <w:style w:type="paragraph" w:customStyle="1" w:styleId="Bullet2G">
    <w:name w:val="_Bullet 2_G"/>
    <w:basedOn w:val="Normal"/>
    <w:qFormat/>
    <w:rsid w:val="00AC6655"/>
    <w:pPr>
      <w:numPr>
        <w:numId w:val="40"/>
      </w:numPr>
      <w:spacing w:after="120"/>
      <w:ind w:right="1134"/>
      <w:jc w:val="both"/>
    </w:pPr>
  </w:style>
  <w:style w:type="paragraph" w:styleId="Prrafodelista">
    <w:name w:val="List Paragraph"/>
    <w:basedOn w:val="Normal"/>
    <w:link w:val="PrrafodelistaCar"/>
    <w:uiPriority w:val="34"/>
    <w:qFormat/>
    <w:rsid w:val="00C61711"/>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C61711"/>
    <w:rPr>
      <w:rFonts w:ascii="Calibri" w:eastAsia="Calibri" w:hAnsi="Calibri"/>
      <w:sz w:val="22"/>
      <w:szCs w:val="22"/>
      <w:lang w:val="es-ES" w:eastAsia="en-US"/>
    </w:rPr>
  </w:style>
  <w:style w:type="character" w:customStyle="1" w:styleId="TextonotaalfinalCar">
    <w:name w:val="Texto nota al final Car"/>
    <w:aliases w:val="2_G Car"/>
    <w:link w:val="Textonotaalfinal"/>
    <w:rsid w:val="00C61711"/>
    <w:rPr>
      <w:rFonts w:eastAsia="DengXian"/>
      <w:sz w:val="18"/>
      <w:lang w:eastAsia="es-ES"/>
    </w:rPr>
  </w:style>
  <w:style w:type="character" w:customStyle="1" w:styleId="EncabezadoCar">
    <w:name w:val="Encabezado Car"/>
    <w:aliases w:val="6_G Car"/>
    <w:link w:val="Encabezado"/>
    <w:rsid w:val="00C61711"/>
    <w:rPr>
      <w:rFonts w:eastAsia="DengXian"/>
      <w:b/>
      <w:sz w:val="18"/>
      <w:lang w:eastAsia="es-ES"/>
    </w:rPr>
  </w:style>
  <w:style w:type="character" w:customStyle="1" w:styleId="PiedepginaCar">
    <w:name w:val="Pie de página Car"/>
    <w:aliases w:val="3_G Car"/>
    <w:link w:val="Piedepgina"/>
    <w:rsid w:val="00C61711"/>
    <w:rPr>
      <w:rFonts w:eastAsia="DengXian"/>
      <w:sz w:val="16"/>
      <w:lang w:eastAsia="es-ES"/>
    </w:rPr>
  </w:style>
  <w:style w:type="character" w:customStyle="1" w:styleId="Ttulo1Car">
    <w:name w:val="Título 1 Car"/>
    <w:aliases w:val="Cuadro_G Car"/>
    <w:link w:val="Ttulo1"/>
    <w:rsid w:val="00AC6655"/>
    <w:rPr>
      <w:rFonts w:eastAsia="DengXian"/>
      <w:lang w:val="fr-CH" w:eastAsia="en-US"/>
    </w:rPr>
  </w:style>
  <w:style w:type="paragraph" w:styleId="Textodeglobo">
    <w:name w:val="Balloon Text"/>
    <w:basedOn w:val="Normal"/>
    <w:link w:val="TextodegloboCar"/>
    <w:uiPriority w:val="99"/>
    <w:unhideWhenUsed/>
    <w:rsid w:val="00C61711"/>
    <w:pPr>
      <w:spacing w:line="240" w:lineRule="auto"/>
    </w:pPr>
    <w:rPr>
      <w:rFonts w:ascii="Tahoma" w:hAnsi="Tahoma" w:cs="Tahoma"/>
      <w:sz w:val="16"/>
      <w:szCs w:val="16"/>
      <w:lang w:val="es-GT" w:eastAsia="es-GT"/>
    </w:rPr>
  </w:style>
  <w:style w:type="character" w:customStyle="1" w:styleId="TextodegloboCar">
    <w:name w:val="Texto de globo Car"/>
    <w:link w:val="Textodeglobo"/>
    <w:uiPriority w:val="99"/>
    <w:rsid w:val="00C61711"/>
    <w:rPr>
      <w:rFonts w:ascii="Tahoma" w:hAnsi="Tahoma" w:cs="Tahoma"/>
      <w:sz w:val="16"/>
      <w:szCs w:val="16"/>
      <w:lang w:val="es-GT" w:eastAsia="es-GT"/>
    </w:rPr>
  </w:style>
  <w:style w:type="paragraph" w:styleId="TtuloTDC">
    <w:name w:val="TOC Heading"/>
    <w:basedOn w:val="Ttulo1"/>
    <w:next w:val="Normal"/>
    <w:uiPriority w:val="39"/>
    <w:semiHidden/>
    <w:unhideWhenUsed/>
    <w:qFormat/>
    <w:rsid w:val="00C61711"/>
    <w:pPr>
      <w:spacing w:before="480" w:line="276" w:lineRule="auto"/>
      <w:ind w:left="0"/>
      <w:outlineLvl w:val="9"/>
    </w:pPr>
    <w:rPr>
      <w:rFonts w:ascii="Cambria" w:hAnsi="Cambria"/>
      <w:b/>
      <w:color w:val="365F91"/>
      <w:sz w:val="28"/>
      <w:szCs w:val="28"/>
    </w:rPr>
  </w:style>
  <w:style w:type="paragraph" w:styleId="TDC1">
    <w:name w:val="toc 1"/>
    <w:basedOn w:val="Normal"/>
    <w:next w:val="Normal"/>
    <w:autoRedefine/>
    <w:uiPriority w:val="39"/>
    <w:unhideWhenUsed/>
    <w:rsid w:val="00C61711"/>
    <w:pPr>
      <w:spacing w:after="100" w:line="276" w:lineRule="auto"/>
    </w:pPr>
    <w:rPr>
      <w:rFonts w:ascii="Calibri" w:hAnsi="Calibri"/>
      <w:sz w:val="22"/>
      <w:szCs w:val="22"/>
      <w:lang w:val="es-GT" w:eastAsia="es-GT"/>
    </w:rPr>
  </w:style>
  <w:style w:type="character" w:customStyle="1" w:styleId="SubttuloCar">
    <w:name w:val="Subtítulo Car"/>
    <w:link w:val="Subttulo"/>
    <w:rsid w:val="00EA3DC4"/>
    <w:rPr>
      <w:rFonts w:ascii="Arial" w:eastAsia="DengXian" w:hAnsi="Arial" w:cs="Arial"/>
      <w:sz w:val="24"/>
      <w:szCs w:val="24"/>
      <w:lang w:eastAsia="es-ES"/>
    </w:rPr>
  </w:style>
  <w:style w:type="paragraph" w:styleId="Citadestacada">
    <w:name w:val="Intense Quote"/>
    <w:basedOn w:val="Normal"/>
    <w:next w:val="Normal"/>
    <w:link w:val="CitadestacadaCar"/>
    <w:uiPriority w:val="30"/>
    <w:rsid w:val="00AC665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C6655"/>
    <w:rPr>
      <w:rFonts w:eastAsia="DengXian"/>
      <w:b/>
      <w:bCs/>
      <w:i/>
      <w:iCs/>
      <w:color w:val="4F81BD"/>
      <w:lang w:eastAsia="es-ES"/>
    </w:rPr>
  </w:style>
  <w:style w:type="character" w:styleId="nfasisintenso">
    <w:name w:val="Intense Emphasis"/>
    <w:uiPriority w:val="21"/>
    <w:rsid w:val="00AC6655"/>
    <w:rPr>
      <w:b/>
      <w:bCs/>
      <w:i/>
      <w:iCs/>
      <w:color w:val="4F81BD"/>
    </w:rPr>
  </w:style>
  <w:style w:type="character" w:customStyle="1" w:styleId="TextonotapieCar">
    <w:name w:val="Texto nota pie Car"/>
    <w:aliases w:val="5_G Car"/>
    <w:link w:val="Textonotapie"/>
    <w:rsid w:val="00B57CD1"/>
    <w:rPr>
      <w:rFonts w:eastAsia="SimSun"/>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284">
      <w:bodyDiv w:val="1"/>
      <w:marLeft w:val="0"/>
      <w:marRight w:val="0"/>
      <w:marTop w:val="0"/>
      <w:marBottom w:val="0"/>
      <w:divBdr>
        <w:top w:val="none" w:sz="0" w:space="0" w:color="auto"/>
        <w:left w:val="none" w:sz="0" w:space="0" w:color="auto"/>
        <w:bottom w:val="none" w:sz="0" w:space="0" w:color="auto"/>
        <w:right w:val="none" w:sz="0" w:space="0" w:color="auto"/>
      </w:divBdr>
      <w:divsChild>
        <w:div w:id="379667231">
          <w:marLeft w:val="0"/>
          <w:marRight w:val="0"/>
          <w:marTop w:val="0"/>
          <w:marBottom w:val="0"/>
          <w:divBdr>
            <w:top w:val="none" w:sz="0" w:space="0" w:color="auto"/>
            <w:left w:val="none" w:sz="0" w:space="0" w:color="auto"/>
            <w:bottom w:val="none" w:sz="0" w:space="0" w:color="auto"/>
            <w:right w:val="none" w:sz="0" w:space="0" w:color="auto"/>
          </w:divBdr>
          <w:divsChild>
            <w:div w:id="1604190302">
              <w:marLeft w:val="0"/>
              <w:marRight w:val="0"/>
              <w:marTop w:val="0"/>
              <w:marBottom w:val="0"/>
              <w:divBdr>
                <w:top w:val="none" w:sz="0" w:space="0" w:color="auto"/>
                <w:left w:val="none" w:sz="0" w:space="0" w:color="auto"/>
                <w:bottom w:val="none" w:sz="0" w:space="0" w:color="auto"/>
                <w:right w:val="none" w:sz="0" w:space="0" w:color="auto"/>
              </w:divBdr>
              <w:divsChild>
                <w:div w:id="1349602038">
                  <w:marLeft w:val="0"/>
                  <w:marRight w:val="0"/>
                  <w:marTop w:val="0"/>
                  <w:marBottom w:val="0"/>
                  <w:divBdr>
                    <w:top w:val="none" w:sz="0" w:space="0" w:color="auto"/>
                    <w:left w:val="none" w:sz="0" w:space="0" w:color="auto"/>
                    <w:bottom w:val="none" w:sz="0" w:space="0" w:color="auto"/>
                    <w:right w:val="none" w:sz="0" w:space="0" w:color="auto"/>
                  </w:divBdr>
                  <w:divsChild>
                    <w:div w:id="84766089">
                      <w:marLeft w:val="0"/>
                      <w:marRight w:val="0"/>
                      <w:marTop w:val="0"/>
                      <w:marBottom w:val="0"/>
                      <w:divBdr>
                        <w:top w:val="none" w:sz="0" w:space="0" w:color="auto"/>
                        <w:left w:val="none" w:sz="0" w:space="0" w:color="auto"/>
                        <w:bottom w:val="none" w:sz="0" w:space="0" w:color="auto"/>
                        <w:right w:val="none" w:sz="0" w:space="0" w:color="auto"/>
                      </w:divBdr>
                      <w:divsChild>
                        <w:div w:id="633950113">
                          <w:marLeft w:val="0"/>
                          <w:marRight w:val="0"/>
                          <w:marTop w:val="0"/>
                          <w:marBottom w:val="0"/>
                          <w:divBdr>
                            <w:top w:val="none" w:sz="0" w:space="0" w:color="auto"/>
                            <w:left w:val="none" w:sz="0" w:space="0" w:color="auto"/>
                            <w:bottom w:val="none" w:sz="0" w:space="0" w:color="auto"/>
                            <w:right w:val="none" w:sz="0" w:space="0" w:color="auto"/>
                          </w:divBdr>
                          <w:divsChild>
                            <w:div w:id="697316620">
                              <w:marLeft w:val="0"/>
                              <w:marRight w:val="0"/>
                              <w:marTop w:val="0"/>
                              <w:marBottom w:val="0"/>
                              <w:divBdr>
                                <w:top w:val="none" w:sz="0" w:space="0" w:color="auto"/>
                                <w:left w:val="none" w:sz="0" w:space="0" w:color="auto"/>
                                <w:bottom w:val="none" w:sz="0" w:space="0" w:color="auto"/>
                                <w:right w:val="none" w:sz="0" w:space="0" w:color="auto"/>
                              </w:divBdr>
                              <w:divsChild>
                                <w:div w:id="1459105853">
                                  <w:marLeft w:val="0"/>
                                  <w:marRight w:val="0"/>
                                  <w:marTop w:val="0"/>
                                  <w:marBottom w:val="0"/>
                                  <w:divBdr>
                                    <w:top w:val="none" w:sz="0" w:space="0" w:color="auto"/>
                                    <w:left w:val="none" w:sz="0" w:space="0" w:color="auto"/>
                                    <w:bottom w:val="none" w:sz="0" w:space="0" w:color="auto"/>
                                    <w:right w:val="none" w:sz="0" w:space="0" w:color="auto"/>
                                  </w:divBdr>
                                  <w:divsChild>
                                    <w:div w:id="808522262">
                                      <w:marLeft w:val="60"/>
                                      <w:marRight w:val="0"/>
                                      <w:marTop w:val="0"/>
                                      <w:marBottom w:val="0"/>
                                      <w:divBdr>
                                        <w:top w:val="none" w:sz="0" w:space="0" w:color="auto"/>
                                        <w:left w:val="none" w:sz="0" w:space="0" w:color="auto"/>
                                        <w:bottom w:val="none" w:sz="0" w:space="0" w:color="auto"/>
                                        <w:right w:val="none" w:sz="0" w:space="0" w:color="auto"/>
                                      </w:divBdr>
                                      <w:divsChild>
                                        <w:div w:id="311108074">
                                          <w:marLeft w:val="0"/>
                                          <w:marRight w:val="0"/>
                                          <w:marTop w:val="0"/>
                                          <w:marBottom w:val="0"/>
                                          <w:divBdr>
                                            <w:top w:val="none" w:sz="0" w:space="0" w:color="auto"/>
                                            <w:left w:val="none" w:sz="0" w:space="0" w:color="auto"/>
                                            <w:bottom w:val="none" w:sz="0" w:space="0" w:color="auto"/>
                                            <w:right w:val="none" w:sz="0" w:space="0" w:color="auto"/>
                                          </w:divBdr>
                                          <w:divsChild>
                                            <w:div w:id="1393625379">
                                              <w:marLeft w:val="0"/>
                                              <w:marRight w:val="0"/>
                                              <w:marTop w:val="0"/>
                                              <w:marBottom w:val="120"/>
                                              <w:divBdr>
                                                <w:top w:val="single" w:sz="6" w:space="0" w:color="F5F5F5"/>
                                                <w:left w:val="single" w:sz="6" w:space="0" w:color="F5F5F5"/>
                                                <w:bottom w:val="single" w:sz="6" w:space="0" w:color="F5F5F5"/>
                                                <w:right w:val="single" w:sz="6" w:space="0" w:color="F5F5F5"/>
                                              </w:divBdr>
                                              <w:divsChild>
                                                <w:div w:id="1911232185">
                                                  <w:marLeft w:val="0"/>
                                                  <w:marRight w:val="0"/>
                                                  <w:marTop w:val="0"/>
                                                  <w:marBottom w:val="0"/>
                                                  <w:divBdr>
                                                    <w:top w:val="none" w:sz="0" w:space="0" w:color="auto"/>
                                                    <w:left w:val="none" w:sz="0" w:space="0" w:color="auto"/>
                                                    <w:bottom w:val="none" w:sz="0" w:space="0" w:color="auto"/>
                                                    <w:right w:val="none" w:sz="0" w:space="0" w:color="auto"/>
                                                  </w:divBdr>
                                                  <w:divsChild>
                                                    <w:div w:id="76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31390">
      <w:bodyDiv w:val="1"/>
      <w:marLeft w:val="0"/>
      <w:marRight w:val="0"/>
      <w:marTop w:val="0"/>
      <w:marBottom w:val="0"/>
      <w:divBdr>
        <w:top w:val="none" w:sz="0" w:space="0" w:color="auto"/>
        <w:left w:val="none" w:sz="0" w:space="0" w:color="auto"/>
        <w:bottom w:val="none" w:sz="0" w:space="0" w:color="auto"/>
        <w:right w:val="none" w:sz="0" w:space="0" w:color="auto"/>
      </w:divBdr>
      <w:divsChild>
        <w:div w:id="552693706">
          <w:marLeft w:val="0"/>
          <w:marRight w:val="0"/>
          <w:marTop w:val="0"/>
          <w:marBottom w:val="0"/>
          <w:divBdr>
            <w:top w:val="none" w:sz="0" w:space="0" w:color="auto"/>
            <w:left w:val="none" w:sz="0" w:space="0" w:color="auto"/>
            <w:bottom w:val="none" w:sz="0" w:space="0" w:color="auto"/>
            <w:right w:val="none" w:sz="0" w:space="0" w:color="auto"/>
          </w:divBdr>
          <w:divsChild>
            <w:div w:id="834952129">
              <w:marLeft w:val="0"/>
              <w:marRight w:val="0"/>
              <w:marTop w:val="0"/>
              <w:marBottom w:val="0"/>
              <w:divBdr>
                <w:top w:val="none" w:sz="0" w:space="0" w:color="auto"/>
                <w:left w:val="none" w:sz="0" w:space="0" w:color="auto"/>
                <w:bottom w:val="none" w:sz="0" w:space="0" w:color="auto"/>
                <w:right w:val="none" w:sz="0" w:space="0" w:color="auto"/>
              </w:divBdr>
              <w:divsChild>
                <w:div w:id="1619098487">
                  <w:marLeft w:val="0"/>
                  <w:marRight w:val="0"/>
                  <w:marTop w:val="0"/>
                  <w:marBottom w:val="0"/>
                  <w:divBdr>
                    <w:top w:val="none" w:sz="0" w:space="0" w:color="auto"/>
                    <w:left w:val="none" w:sz="0" w:space="0" w:color="auto"/>
                    <w:bottom w:val="none" w:sz="0" w:space="0" w:color="auto"/>
                    <w:right w:val="none" w:sz="0" w:space="0" w:color="auto"/>
                  </w:divBdr>
                  <w:divsChild>
                    <w:div w:id="898906582">
                      <w:marLeft w:val="0"/>
                      <w:marRight w:val="0"/>
                      <w:marTop w:val="0"/>
                      <w:marBottom w:val="0"/>
                      <w:divBdr>
                        <w:top w:val="none" w:sz="0" w:space="0" w:color="auto"/>
                        <w:left w:val="none" w:sz="0" w:space="0" w:color="auto"/>
                        <w:bottom w:val="none" w:sz="0" w:space="0" w:color="auto"/>
                        <w:right w:val="none" w:sz="0" w:space="0" w:color="auto"/>
                      </w:divBdr>
                      <w:divsChild>
                        <w:div w:id="1828861990">
                          <w:marLeft w:val="0"/>
                          <w:marRight w:val="0"/>
                          <w:marTop w:val="0"/>
                          <w:marBottom w:val="0"/>
                          <w:divBdr>
                            <w:top w:val="none" w:sz="0" w:space="0" w:color="auto"/>
                            <w:left w:val="none" w:sz="0" w:space="0" w:color="auto"/>
                            <w:bottom w:val="none" w:sz="0" w:space="0" w:color="auto"/>
                            <w:right w:val="none" w:sz="0" w:space="0" w:color="auto"/>
                          </w:divBdr>
                          <w:divsChild>
                            <w:div w:id="1493984699">
                              <w:marLeft w:val="0"/>
                              <w:marRight w:val="0"/>
                              <w:marTop w:val="0"/>
                              <w:marBottom w:val="0"/>
                              <w:divBdr>
                                <w:top w:val="none" w:sz="0" w:space="0" w:color="auto"/>
                                <w:left w:val="none" w:sz="0" w:space="0" w:color="auto"/>
                                <w:bottom w:val="none" w:sz="0" w:space="0" w:color="auto"/>
                                <w:right w:val="none" w:sz="0" w:space="0" w:color="auto"/>
                              </w:divBdr>
                              <w:divsChild>
                                <w:div w:id="1130585844">
                                  <w:marLeft w:val="0"/>
                                  <w:marRight w:val="0"/>
                                  <w:marTop w:val="0"/>
                                  <w:marBottom w:val="0"/>
                                  <w:divBdr>
                                    <w:top w:val="none" w:sz="0" w:space="0" w:color="auto"/>
                                    <w:left w:val="none" w:sz="0" w:space="0" w:color="auto"/>
                                    <w:bottom w:val="none" w:sz="0" w:space="0" w:color="auto"/>
                                    <w:right w:val="none" w:sz="0" w:space="0" w:color="auto"/>
                                  </w:divBdr>
                                  <w:divsChild>
                                    <w:div w:id="148833082">
                                      <w:marLeft w:val="60"/>
                                      <w:marRight w:val="0"/>
                                      <w:marTop w:val="0"/>
                                      <w:marBottom w:val="0"/>
                                      <w:divBdr>
                                        <w:top w:val="none" w:sz="0" w:space="0" w:color="auto"/>
                                        <w:left w:val="none" w:sz="0" w:space="0" w:color="auto"/>
                                        <w:bottom w:val="none" w:sz="0" w:space="0" w:color="auto"/>
                                        <w:right w:val="none" w:sz="0" w:space="0" w:color="auto"/>
                                      </w:divBdr>
                                      <w:divsChild>
                                        <w:div w:id="68383092">
                                          <w:marLeft w:val="0"/>
                                          <w:marRight w:val="0"/>
                                          <w:marTop w:val="0"/>
                                          <w:marBottom w:val="0"/>
                                          <w:divBdr>
                                            <w:top w:val="none" w:sz="0" w:space="0" w:color="auto"/>
                                            <w:left w:val="none" w:sz="0" w:space="0" w:color="auto"/>
                                            <w:bottom w:val="none" w:sz="0" w:space="0" w:color="auto"/>
                                            <w:right w:val="none" w:sz="0" w:space="0" w:color="auto"/>
                                          </w:divBdr>
                                          <w:divsChild>
                                            <w:div w:id="1528327910">
                                              <w:marLeft w:val="0"/>
                                              <w:marRight w:val="0"/>
                                              <w:marTop w:val="0"/>
                                              <w:marBottom w:val="120"/>
                                              <w:divBdr>
                                                <w:top w:val="single" w:sz="6" w:space="0" w:color="F5F5F5"/>
                                                <w:left w:val="single" w:sz="6" w:space="0" w:color="F5F5F5"/>
                                                <w:bottom w:val="single" w:sz="6" w:space="0" w:color="F5F5F5"/>
                                                <w:right w:val="single" w:sz="6" w:space="0" w:color="F5F5F5"/>
                                              </w:divBdr>
                                              <w:divsChild>
                                                <w:div w:id="71776152">
                                                  <w:marLeft w:val="0"/>
                                                  <w:marRight w:val="0"/>
                                                  <w:marTop w:val="0"/>
                                                  <w:marBottom w:val="0"/>
                                                  <w:divBdr>
                                                    <w:top w:val="none" w:sz="0" w:space="0" w:color="auto"/>
                                                    <w:left w:val="none" w:sz="0" w:space="0" w:color="auto"/>
                                                    <w:bottom w:val="none" w:sz="0" w:space="0" w:color="auto"/>
                                                    <w:right w:val="none" w:sz="0" w:space="0" w:color="auto"/>
                                                  </w:divBdr>
                                                  <w:divsChild>
                                                    <w:div w:id="12949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nsc.gub.uy/onsc1/images/Informe_completo_ingreso_Afrodescendientes_2016.pdf" TargetMode="External"/><Relationship Id="rId7" Type="http://schemas.openxmlformats.org/officeDocument/2006/relationships/hyperlink" Target="http://pnedh.snep.edu.uy/" TargetMode="External"/><Relationship Id="rId2" Type="http://schemas.openxmlformats.org/officeDocument/2006/relationships/hyperlink" Target="http://www.correo.com.uy/sellos" TargetMode="External"/><Relationship Id="rId1" Type="http://schemas.openxmlformats.org/officeDocument/2006/relationships/hyperlink" Target="http://www.mides.gub.uy/innovaportal/file/86655/1/perspectiva-etnico-racial-y-politicas-publicas-vf.pdf" TargetMode="External"/><Relationship Id="rId6" Type="http://schemas.openxmlformats.org/officeDocument/2006/relationships/hyperlink" Target="http://www.mec.gub.uy/innovaportal/v/103793/2/mecweb/educacion-y-afrodescendencia?search=yes" TargetMode="External"/><Relationship Id="rId5" Type="http://schemas.openxmlformats.org/officeDocument/2006/relationships/hyperlink" Target="http://www.mec.gub.uy/innovaportal/v/103623/2/mecweb/aplicacion-de-la-ley-19122?search=yes" TargetMode="External"/><Relationship Id="rId4" Type="http://schemas.openxmlformats.org/officeDocument/2006/relationships/hyperlink" Target="http://www.anep.edu.uy/anep/index.php/grupo-de-trabajo-por-la-equidad-etnico-racial-en-la-an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l\Desktop\CERD%20C%20ARG%20CO%2021%2023%20Add.1%20light%20edited%20eg-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CF78-C4CB-4B21-AA31-E1CFA83C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C ARG CO 21 23 Add.1 light edited eg-1.dot</Template>
  <TotalTime>0</TotalTime>
  <Pages>7</Pages>
  <Words>2710</Words>
  <Characters>14906</Characters>
  <Application>Microsoft Office Word</Application>
  <DocSecurity>0</DocSecurity>
  <Lines>124</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CERD/C/XXX/CO/Y/Add.1</vt:lpstr>
      <vt:lpstr>CERD/C/XXX/CO/Y/Add.1</vt:lpstr>
      <vt:lpstr>CERD/C/XXX/CO/Y/Add.1</vt:lpstr>
    </vt:vector>
  </TitlesOfParts>
  <Company>OHCHR</Company>
  <LinksUpToDate>false</LinksUpToDate>
  <CharactersWithSpaces>17581</CharactersWithSpaces>
  <SharedDoc>false</SharedDoc>
  <HLinks>
    <vt:vector size="6" baseType="variant">
      <vt:variant>
        <vt:i4>3866722</vt:i4>
      </vt:variant>
      <vt:variant>
        <vt:i4>0</vt:i4>
      </vt:variant>
      <vt:variant>
        <vt:i4>0</vt:i4>
      </vt:variant>
      <vt:variant>
        <vt:i4>5</vt:i4>
      </vt:variant>
      <vt:variant>
        <vt:lpwstr>http://www.dpn.gob.ar/ley24284.php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CERD/C/URY/CO/21-23/Add.1</dc:title>
  <dc:subject/>
  <dc:creator>Generic TPSSPA1</dc:creator>
  <cp:keywords>Observaciones finales - template</cp:keywords>
  <dc:description>SEDC</dc:description>
  <cp:lastModifiedBy>Generic TPSSPA1</cp:lastModifiedBy>
  <cp:revision>2</cp:revision>
  <cp:lastPrinted>2013-10-28T10:32:00Z</cp:lastPrinted>
  <dcterms:created xsi:type="dcterms:W3CDTF">2018-03-09T13:15:00Z</dcterms:created>
  <dcterms:modified xsi:type="dcterms:W3CDTF">2018-03-09T13:15:00Z</dcterms:modified>
</cp:coreProperties>
</file>