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tl/>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80473E" w:rsidP="0080473E">
            <w:pPr>
              <w:bidi w:val="0"/>
              <w:spacing w:after="20"/>
              <w:jc w:val="left"/>
              <w:rPr>
                <w:szCs w:val="20"/>
              </w:rPr>
            </w:pPr>
            <w:r w:rsidRPr="0080473E">
              <w:rPr>
                <w:sz w:val="40"/>
                <w:szCs w:val="20"/>
              </w:rPr>
              <w:t>CRPD</w:t>
            </w:r>
            <w:r>
              <w:rPr>
                <w:szCs w:val="20"/>
              </w:rPr>
              <w:t>/C/10/3</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8D70D4" w:rsidRDefault="00257225" w:rsidP="008D70D4">
            <w:pPr>
              <w:jc w:val="right"/>
              <w:rPr>
                <w:rFonts w:hint="cs"/>
                <w:szCs w:val="60"/>
                <w:rtl/>
              </w:rPr>
            </w:pPr>
          </w:p>
        </w:tc>
        <w:tc>
          <w:tcPr>
            <w:tcW w:w="3612" w:type="dxa"/>
            <w:tcBorders>
              <w:top w:val="single" w:sz="4" w:space="0" w:color="auto"/>
              <w:bottom w:val="single" w:sz="12" w:space="0" w:color="auto"/>
            </w:tcBorders>
          </w:tcPr>
          <w:p w:rsidR="0080473E" w:rsidRDefault="0080473E" w:rsidP="0080473E">
            <w:pPr>
              <w:bidi w:val="0"/>
              <w:spacing w:before="240"/>
              <w:jc w:val="left"/>
            </w:pPr>
            <w:r>
              <w:t>Distr.: General</w:t>
            </w:r>
          </w:p>
          <w:p w:rsidR="0080473E" w:rsidRDefault="0080473E" w:rsidP="0080473E">
            <w:pPr>
              <w:bidi w:val="0"/>
              <w:jc w:val="left"/>
            </w:pPr>
            <w:r>
              <w:t>7 November 2013</w:t>
            </w:r>
          </w:p>
          <w:p w:rsidR="0080473E" w:rsidRDefault="0080473E" w:rsidP="0080473E">
            <w:pPr>
              <w:bidi w:val="0"/>
              <w:jc w:val="left"/>
            </w:pPr>
            <w:r>
              <w:t>Arabic</w:t>
            </w:r>
          </w:p>
          <w:p w:rsidR="00257225" w:rsidRPr="008B4BC6" w:rsidRDefault="0080473E" w:rsidP="0080473E">
            <w:pPr>
              <w:bidi w:val="0"/>
              <w:jc w:val="left"/>
            </w:pPr>
            <w:r>
              <w:t>Original: English</w:t>
            </w:r>
          </w:p>
        </w:tc>
      </w:tr>
    </w:tbl>
    <w:p w:rsidR="0080473E" w:rsidRPr="0080473E" w:rsidRDefault="0080473E" w:rsidP="0080473E">
      <w:pPr>
        <w:spacing w:before="120" w:after="120" w:line="380" w:lineRule="exact"/>
        <w:rPr>
          <w:rFonts w:hint="cs"/>
          <w:b/>
          <w:bCs/>
          <w:sz w:val="26"/>
          <w:szCs w:val="36"/>
          <w:rtl/>
          <w:lang w:val="fr-CH"/>
        </w:rPr>
      </w:pPr>
      <w:r w:rsidRPr="0080473E">
        <w:rPr>
          <w:rFonts w:hint="cs"/>
          <w:b/>
          <w:bCs/>
          <w:sz w:val="26"/>
          <w:szCs w:val="36"/>
          <w:rtl/>
          <w:lang w:val="fr-CH"/>
        </w:rPr>
        <w:t>اللجنة المعنية بحقوق الأشخاص ذوي الإعاقة</w:t>
      </w:r>
    </w:p>
    <w:p w:rsidR="0080473E" w:rsidRPr="005F66A9" w:rsidRDefault="0080473E" w:rsidP="0080473E">
      <w:pPr>
        <w:pStyle w:val="HChGA"/>
        <w:rPr>
          <w:rFonts w:ascii="Times New Roman Bold" w:hAnsi="Times New Roman Bold" w:hint="cs"/>
          <w:w w:val="92"/>
          <w:rtl/>
          <w:lang w:val="fr-CH"/>
        </w:rPr>
      </w:pPr>
      <w:r w:rsidRPr="005F66A9">
        <w:rPr>
          <w:rFonts w:ascii="Times New Roman Bold" w:hAnsi="Times New Roman Bold" w:hint="cs"/>
          <w:w w:val="92"/>
          <w:rtl/>
          <w:lang w:val="fr-CH"/>
        </w:rPr>
        <w:tab/>
      </w:r>
      <w:r w:rsidRPr="005F66A9">
        <w:rPr>
          <w:rFonts w:ascii="Times New Roman Bold" w:hAnsi="Times New Roman Bold" w:hint="cs"/>
          <w:w w:val="92"/>
          <w:rtl/>
          <w:lang w:val="fr-CH"/>
        </w:rPr>
        <w:tab/>
        <w:t xml:space="preserve">تقرير متابعة مؤقت مقدم بموجب المادة 5 من البروتوكول الاختياري الملحق باتفاقية حقوق الأشخاص ذوي الإعاقة، اعتمدته اللجنة المعنية بحقوق الأشخاص ذوي الإعاقة في دورتها العاشرة (2-13 </w:t>
      </w:r>
      <w:r w:rsidRPr="005F66A9">
        <w:rPr>
          <w:rFonts w:ascii="Times New Roman Bold" w:hAnsi="Times New Roman Bold" w:hint="cs"/>
          <w:w w:val="92"/>
          <w:sz w:val="30"/>
          <w:rtl/>
          <w:lang w:val="fr-CH"/>
        </w:rPr>
        <w:t>أيلول/ سبتمبر</w:t>
      </w:r>
      <w:r w:rsidRPr="005F66A9">
        <w:rPr>
          <w:rFonts w:ascii="Times New Roman Bold" w:hAnsi="Times New Roman Bold" w:hint="eastAsia"/>
          <w:w w:val="92"/>
          <w:sz w:val="30"/>
          <w:rtl/>
          <w:lang w:val="fr-CH"/>
        </w:rPr>
        <w:t> </w:t>
      </w:r>
      <w:r w:rsidRPr="005F66A9">
        <w:rPr>
          <w:rFonts w:ascii="Times New Roman Bold" w:hAnsi="Times New Roman Bold" w:hint="cs"/>
          <w:w w:val="92"/>
          <w:rtl/>
          <w:lang w:val="fr-CH"/>
        </w:rPr>
        <w:t xml:space="preserve">2013) </w:t>
      </w:r>
    </w:p>
    <w:p w:rsidR="0080473E" w:rsidRPr="00001F79" w:rsidRDefault="0080473E" w:rsidP="0080473E">
      <w:pPr>
        <w:pStyle w:val="H1GA"/>
        <w:rPr>
          <w:rFonts w:hint="cs"/>
          <w:rtl/>
          <w:lang w:val="fr-CH"/>
        </w:rPr>
      </w:pPr>
      <w:r>
        <w:rPr>
          <w:rFonts w:hint="cs"/>
          <w:rtl/>
          <w:lang w:val="fr-CH"/>
        </w:rPr>
        <w:tab/>
      </w:r>
      <w:r w:rsidRPr="00001F79">
        <w:rPr>
          <w:rFonts w:hint="cs"/>
          <w:rtl/>
          <w:lang w:val="fr-CH"/>
        </w:rPr>
        <w:t>ألف-</w:t>
      </w:r>
      <w:r w:rsidRPr="00001F79">
        <w:rPr>
          <w:rFonts w:hint="cs"/>
          <w:rtl/>
          <w:lang w:val="fr-CH"/>
        </w:rPr>
        <w:tab/>
        <w:t xml:space="preserve">مقدمة </w:t>
      </w:r>
    </w:p>
    <w:p w:rsidR="0080473E" w:rsidRDefault="0080473E" w:rsidP="007E5990">
      <w:pPr>
        <w:pStyle w:val="SingleTxtGA"/>
        <w:rPr>
          <w:rFonts w:hint="cs"/>
          <w:rtl/>
          <w:lang w:val="fr-CH"/>
        </w:rPr>
      </w:pPr>
      <w:r>
        <w:rPr>
          <w:rFonts w:hint="cs"/>
          <w:rtl/>
          <w:lang w:val="fr-CH"/>
        </w:rPr>
        <w:t>1-</w:t>
      </w:r>
      <w:r>
        <w:rPr>
          <w:rFonts w:hint="cs"/>
          <w:rtl/>
          <w:lang w:val="fr-CH"/>
        </w:rPr>
        <w:tab/>
        <w:t>هذا التقرير مقدم بموجب المادة 5 من البروتوكول</w:t>
      </w:r>
      <w:r w:rsidRPr="00001F79">
        <w:rPr>
          <w:rFonts w:hint="cs"/>
          <w:rtl/>
          <w:lang w:val="fr-CH"/>
        </w:rPr>
        <w:t xml:space="preserve"> الاختياري الملحق باتفاقية حقوق الأشخاص ذوي الإعاقة، </w:t>
      </w:r>
      <w:r>
        <w:rPr>
          <w:rFonts w:hint="cs"/>
          <w:rtl/>
          <w:lang w:val="fr-CH"/>
        </w:rPr>
        <w:t xml:space="preserve">والفقرة 7 من القاعدة 75 من النظام الداخلي للجنة المعنية بحقوق الأشخاص ذوي الإعاقة. وتنص المادة 5 من البروتوكول الاختياري على ما يلي: "تعقد اللجنة جلسات مغلقة لدى بحثها البلاغات في إطار هذا البروتوكول. وتقوم اللجنة، بعد دراسة البلاغ، بإحالة اقتراحاتها وتوصياتها، إن وُجدت، إلى الدولة الطرف المعنية وإلى الملتمس". وتنص الفقرة 7 من القاعدة 75 على ما يلي: "يقدم المقرر الخاص أو الفريق العامل بصورة منتظمة تقارير </w:t>
      </w:r>
      <w:r w:rsidR="007E5990">
        <w:rPr>
          <w:rFonts w:hint="cs"/>
          <w:rtl/>
          <w:lang w:val="fr-CH"/>
        </w:rPr>
        <w:t>إلى اللجنة بشأن أنشطة المتابعة."</w:t>
      </w:r>
    </w:p>
    <w:p w:rsidR="0080473E" w:rsidRDefault="0080473E" w:rsidP="0080473E">
      <w:pPr>
        <w:pStyle w:val="SingleTxtGA"/>
        <w:rPr>
          <w:rFonts w:hint="cs"/>
          <w:rtl/>
          <w:lang w:val="fr-CH"/>
        </w:rPr>
      </w:pPr>
      <w:r>
        <w:rPr>
          <w:rFonts w:hint="cs"/>
          <w:rtl/>
          <w:lang w:val="fr-CH"/>
        </w:rPr>
        <w:t>2-</w:t>
      </w:r>
      <w:r>
        <w:rPr>
          <w:rFonts w:hint="cs"/>
          <w:rtl/>
          <w:lang w:val="fr-CH"/>
        </w:rPr>
        <w:tab/>
        <w:t>ويقدم هذا التقرير المعلومات التي تلقاها المقرر الخاص لمتابعة آراء اللجنة في الفترة الفاصلة بين الدورتين التاسعة والعاشرة عملاً بالنظام الداخلي للجنة، والتحاليل والقرارات التي اعتمدتها اللجنة خلال الدورة العاشرة. وترد أدناه معايير التقييم:</w:t>
      </w:r>
    </w:p>
    <w:tbl>
      <w:tblPr>
        <w:tblStyle w:val="TableGrid"/>
        <w:bidiVisual/>
        <w:tblW w:w="7311" w:type="dxa"/>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551"/>
        <w:gridCol w:w="5760"/>
      </w:tblGrid>
      <w:tr w:rsidR="0080473E" w:rsidRPr="0080473E" w:rsidTr="005F66A9">
        <w:trPr>
          <w:tblHeader/>
        </w:trPr>
        <w:tc>
          <w:tcPr>
            <w:tcW w:w="1551" w:type="dxa"/>
            <w:tcBorders>
              <w:top w:val="single" w:sz="4" w:space="0" w:color="auto"/>
              <w:bottom w:val="single" w:sz="12" w:space="0" w:color="auto"/>
            </w:tcBorders>
            <w:shd w:val="clear" w:color="auto" w:fill="auto"/>
            <w:vAlign w:val="bottom"/>
          </w:tcPr>
          <w:p w:rsidR="0080473E" w:rsidRPr="0080473E" w:rsidRDefault="0080473E" w:rsidP="0080473E">
            <w:pPr>
              <w:spacing w:before="40" w:after="60" w:line="320" w:lineRule="exact"/>
              <w:ind w:left="57" w:right="57"/>
              <w:jc w:val="left"/>
              <w:rPr>
                <w:rFonts w:hint="cs"/>
                <w:i/>
                <w:sz w:val="18"/>
                <w:szCs w:val="28"/>
                <w:rtl/>
                <w:lang w:val="fr-CH"/>
              </w:rPr>
            </w:pPr>
          </w:p>
        </w:tc>
        <w:tc>
          <w:tcPr>
            <w:tcW w:w="5760" w:type="dxa"/>
            <w:tcBorders>
              <w:top w:val="single" w:sz="4" w:space="0" w:color="auto"/>
              <w:bottom w:val="single" w:sz="12" w:space="0" w:color="auto"/>
            </w:tcBorders>
            <w:shd w:val="clear" w:color="auto" w:fill="auto"/>
            <w:vAlign w:val="bottom"/>
          </w:tcPr>
          <w:p w:rsidR="0080473E" w:rsidRPr="0080473E" w:rsidRDefault="0080473E" w:rsidP="0080473E">
            <w:pPr>
              <w:spacing w:before="40" w:after="60" w:line="320" w:lineRule="exact"/>
              <w:ind w:left="57" w:right="57"/>
              <w:jc w:val="left"/>
              <w:rPr>
                <w:rFonts w:hint="cs"/>
                <w:iCs/>
                <w:sz w:val="18"/>
                <w:szCs w:val="28"/>
                <w:rtl/>
                <w:lang w:val="fr-CH"/>
              </w:rPr>
            </w:pPr>
            <w:r w:rsidRPr="0080473E">
              <w:rPr>
                <w:rFonts w:hint="cs"/>
                <w:iCs/>
                <w:sz w:val="18"/>
                <w:szCs w:val="28"/>
                <w:rtl/>
                <w:lang w:val="fr-CH"/>
              </w:rPr>
              <w:t>معايير التقييم</w:t>
            </w:r>
          </w:p>
        </w:tc>
      </w:tr>
      <w:tr w:rsidR="0080473E" w:rsidRPr="0080473E" w:rsidTr="00FF1D34">
        <w:tc>
          <w:tcPr>
            <w:tcW w:w="7311" w:type="dxa"/>
            <w:gridSpan w:val="2"/>
            <w:tcBorders>
              <w:top w:val="single" w:sz="12" w:space="0" w:color="auto"/>
            </w:tcBorders>
            <w:shd w:val="clear" w:color="auto" w:fill="auto"/>
            <w:vAlign w:val="bottom"/>
          </w:tcPr>
          <w:p w:rsidR="0080473E" w:rsidRPr="0080473E" w:rsidRDefault="0080473E" w:rsidP="0080473E">
            <w:pPr>
              <w:spacing w:before="40" w:after="60" w:line="320" w:lineRule="exact"/>
              <w:ind w:left="57" w:right="57"/>
              <w:jc w:val="left"/>
              <w:rPr>
                <w:rFonts w:hint="cs"/>
                <w:sz w:val="18"/>
                <w:szCs w:val="28"/>
                <w:rtl/>
                <w:lang w:val="fr-CH"/>
              </w:rPr>
            </w:pPr>
            <w:r w:rsidRPr="0080473E">
              <w:rPr>
                <w:rFonts w:hint="cs"/>
                <w:b/>
                <w:bCs/>
                <w:sz w:val="18"/>
                <w:szCs w:val="28"/>
                <w:rtl/>
                <w:lang w:val="fr-CH"/>
              </w:rPr>
              <w:t>رد/إجراء مُرضٍ</w:t>
            </w:r>
          </w:p>
        </w:tc>
      </w:tr>
      <w:tr w:rsidR="0080473E" w:rsidRPr="0080473E" w:rsidTr="00FF1D34">
        <w:tc>
          <w:tcPr>
            <w:tcW w:w="1551" w:type="dxa"/>
            <w:shd w:val="clear" w:color="auto" w:fill="auto"/>
            <w:vAlign w:val="bottom"/>
          </w:tcPr>
          <w:p w:rsidR="0080473E" w:rsidRPr="0080473E" w:rsidRDefault="0080473E" w:rsidP="0080473E">
            <w:pPr>
              <w:spacing w:before="40" w:after="60" w:line="320" w:lineRule="exact"/>
              <w:ind w:left="57" w:right="57"/>
              <w:jc w:val="left"/>
              <w:rPr>
                <w:rFonts w:hint="cs"/>
                <w:sz w:val="18"/>
                <w:szCs w:val="28"/>
                <w:rtl/>
                <w:lang w:val="fr-CH"/>
              </w:rPr>
            </w:pPr>
            <w:r w:rsidRPr="0080473E">
              <w:rPr>
                <w:rFonts w:hint="cs"/>
                <w:sz w:val="18"/>
                <w:szCs w:val="28"/>
                <w:rtl/>
                <w:lang w:val="fr-CH"/>
              </w:rPr>
              <w:t>ألف-</w:t>
            </w:r>
          </w:p>
        </w:tc>
        <w:tc>
          <w:tcPr>
            <w:tcW w:w="5760" w:type="dxa"/>
            <w:shd w:val="clear" w:color="auto" w:fill="auto"/>
            <w:vAlign w:val="bottom"/>
          </w:tcPr>
          <w:p w:rsidR="0080473E" w:rsidRPr="0080473E" w:rsidRDefault="0080473E" w:rsidP="0080473E">
            <w:pPr>
              <w:spacing w:before="40" w:after="60" w:line="320" w:lineRule="exact"/>
              <w:ind w:left="57" w:right="57"/>
              <w:jc w:val="left"/>
              <w:rPr>
                <w:rFonts w:hint="cs"/>
                <w:sz w:val="18"/>
                <w:szCs w:val="28"/>
                <w:rtl/>
                <w:lang w:val="fr-CH"/>
              </w:rPr>
            </w:pPr>
            <w:r w:rsidRPr="0080473E">
              <w:rPr>
                <w:rFonts w:hint="cs"/>
                <w:sz w:val="18"/>
                <w:szCs w:val="28"/>
                <w:rtl/>
                <w:lang w:val="fr-CH"/>
              </w:rPr>
              <w:t>رد مُرضٍ إلى حد كبير</w:t>
            </w:r>
          </w:p>
        </w:tc>
      </w:tr>
      <w:tr w:rsidR="0080473E" w:rsidRPr="0080473E" w:rsidTr="00FF1D34">
        <w:tc>
          <w:tcPr>
            <w:tcW w:w="7311" w:type="dxa"/>
            <w:gridSpan w:val="2"/>
            <w:shd w:val="clear" w:color="auto" w:fill="auto"/>
            <w:vAlign w:val="bottom"/>
          </w:tcPr>
          <w:p w:rsidR="0080473E" w:rsidRPr="0080473E" w:rsidRDefault="0080473E" w:rsidP="0080473E">
            <w:pPr>
              <w:spacing w:before="40" w:after="60" w:line="320" w:lineRule="exact"/>
              <w:ind w:left="57" w:right="57"/>
              <w:jc w:val="left"/>
              <w:rPr>
                <w:rFonts w:hint="cs"/>
                <w:b/>
                <w:bCs/>
                <w:sz w:val="18"/>
                <w:szCs w:val="28"/>
                <w:rtl/>
                <w:lang w:val="fr-CH"/>
              </w:rPr>
            </w:pPr>
            <w:r w:rsidRPr="0080473E">
              <w:rPr>
                <w:rFonts w:hint="cs"/>
                <w:b/>
                <w:bCs/>
                <w:sz w:val="18"/>
                <w:szCs w:val="28"/>
                <w:rtl/>
                <w:lang w:val="fr-CH"/>
              </w:rPr>
              <w:t>رد/إجراء مرض جزئياً</w:t>
            </w:r>
          </w:p>
        </w:tc>
      </w:tr>
      <w:tr w:rsidR="0080473E" w:rsidRPr="0080473E" w:rsidTr="00FF1D34">
        <w:tc>
          <w:tcPr>
            <w:tcW w:w="1551" w:type="dxa"/>
            <w:shd w:val="clear" w:color="auto" w:fill="auto"/>
            <w:vAlign w:val="bottom"/>
          </w:tcPr>
          <w:p w:rsidR="0080473E" w:rsidRPr="0080473E" w:rsidRDefault="0080473E" w:rsidP="0080473E">
            <w:pPr>
              <w:spacing w:before="40" w:after="60" w:line="320" w:lineRule="exact"/>
              <w:ind w:left="57" w:right="57"/>
              <w:jc w:val="left"/>
              <w:rPr>
                <w:rFonts w:hint="cs"/>
                <w:sz w:val="18"/>
                <w:szCs w:val="28"/>
                <w:rtl/>
                <w:lang w:val="fr-CH"/>
              </w:rPr>
            </w:pPr>
            <w:r w:rsidRPr="0080473E">
              <w:rPr>
                <w:rFonts w:hint="cs"/>
                <w:sz w:val="18"/>
                <w:szCs w:val="28"/>
                <w:rtl/>
                <w:lang w:val="fr-CH"/>
              </w:rPr>
              <w:t>باء1-</w:t>
            </w:r>
          </w:p>
        </w:tc>
        <w:tc>
          <w:tcPr>
            <w:tcW w:w="5760" w:type="dxa"/>
            <w:shd w:val="clear" w:color="auto" w:fill="auto"/>
            <w:vAlign w:val="bottom"/>
          </w:tcPr>
          <w:p w:rsidR="0080473E" w:rsidRPr="0080473E" w:rsidRDefault="0080473E" w:rsidP="0080473E">
            <w:pPr>
              <w:spacing w:before="40" w:after="60" w:line="320" w:lineRule="exact"/>
              <w:ind w:left="57" w:right="57"/>
              <w:jc w:val="left"/>
              <w:rPr>
                <w:rFonts w:hint="cs"/>
                <w:sz w:val="18"/>
                <w:szCs w:val="28"/>
                <w:rtl/>
                <w:lang w:val="fr-CH"/>
              </w:rPr>
            </w:pPr>
            <w:r w:rsidRPr="0080473E">
              <w:rPr>
                <w:rFonts w:hint="cs"/>
                <w:sz w:val="18"/>
                <w:szCs w:val="28"/>
                <w:rtl/>
                <w:lang w:val="fr-CH"/>
              </w:rPr>
              <w:t>اتخذت إجراءات ملموسة، لكن المطلوب تقديم معلومات إضافية</w:t>
            </w:r>
          </w:p>
        </w:tc>
      </w:tr>
      <w:tr w:rsidR="0080473E" w:rsidRPr="0080473E" w:rsidTr="00FF1D34">
        <w:tc>
          <w:tcPr>
            <w:tcW w:w="1551" w:type="dxa"/>
            <w:shd w:val="clear" w:color="auto" w:fill="auto"/>
            <w:vAlign w:val="bottom"/>
          </w:tcPr>
          <w:p w:rsidR="0080473E" w:rsidRPr="0080473E" w:rsidRDefault="0080473E" w:rsidP="0080473E">
            <w:pPr>
              <w:spacing w:before="40" w:after="60" w:line="320" w:lineRule="exact"/>
              <w:ind w:left="57" w:right="57"/>
              <w:jc w:val="left"/>
              <w:rPr>
                <w:rFonts w:hint="cs"/>
                <w:sz w:val="18"/>
                <w:szCs w:val="28"/>
                <w:rtl/>
                <w:lang w:val="fr-CH"/>
              </w:rPr>
            </w:pPr>
            <w:r w:rsidRPr="0080473E">
              <w:rPr>
                <w:rFonts w:hint="cs"/>
                <w:sz w:val="18"/>
                <w:szCs w:val="28"/>
                <w:rtl/>
                <w:lang w:val="fr-CH"/>
              </w:rPr>
              <w:t>باء2-</w:t>
            </w:r>
          </w:p>
        </w:tc>
        <w:tc>
          <w:tcPr>
            <w:tcW w:w="5760" w:type="dxa"/>
            <w:shd w:val="clear" w:color="auto" w:fill="auto"/>
            <w:vAlign w:val="bottom"/>
          </w:tcPr>
          <w:p w:rsidR="0080473E" w:rsidRPr="0080473E" w:rsidRDefault="0080473E" w:rsidP="0080473E">
            <w:pPr>
              <w:spacing w:before="40" w:after="60" w:line="320" w:lineRule="exact"/>
              <w:ind w:left="57" w:right="57"/>
              <w:jc w:val="left"/>
              <w:rPr>
                <w:rFonts w:hint="cs"/>
                <w:sz w:val="18"/>
                <w:szCs w:val="28"/>
                <w:rtl/>
                <w:lang w:val="fr-CH"/>
              </w:rPr>
            </w:pPr>
            <w:r w:rsidRPr="0080473E">
              <w:rPr>
                <w:rFonts w:hint="cs"/>
                <w:sz w:val="18"/>
                <w:szCs w:val="28"/>
                <w:rtl/>
                <w:lang w:val="fr-CH"/>
              </w:rPr>
              <w:t>اتخذت إجراءات أولية، لكن المطلوب تقديم معلومات إضافية</w:t>
            </w:r>
          </w:p>
        </w:tc>
      </w:tr>
      <w:tr w:rsidR="0080473E" w:rsidRPr="0080473E" w:rsidTr="00FF1D34">
        <w:tc>
          <w:tcPr>
            <w:tcW w:w="7311" w:type="dxa"/>
            <w:gridSpan w:val="2"/>
            <w:shd w:val="clear" w:color="auto" w:fill="auto"/>
            <w:vAlign w:val="bottom"/>
          </w:tcPr>
          <w:p w:rsidR="0080473E" w:rsidRPr="0080473E" w:rsidRDefault="0080473E" w:rsidP="0080473E">
            <w:pPr>
              <w:spacing w:before="40" w:after="60" w:line="320" w:lineRule="exact"/>
              <w:ind w:left="57" w:right="57"/>
              <w:jc w:val="left"/>
              <w:rPr>
                <w:rFonts w:hint="cs"/>
                <w:sz w:val="18"/>
                <w:szCs w:val="28"/>
                <w:rtl/>
                <w:lang w:val="fr-CH"/>
              </w:rPr>
            </w:pPr>
            <w:r w:rsidRPr="0080473E">
              <w:rPr>
                <w:rFonts w:hint="cs"/>
                <w:b/>
                <w:bCs/>
                <w:sz w:val="18"/>
                <w:szCs w:val="28"/>
                <w:rtl/>
                <w:lang w:val="fr-CH"/>
              </w:rPr>
              <w:t>رد/إجراء غير مُرضٍ</w:t>
            </w:r>
          </w:p>
        </w:tc>
      </w:tr>
      <w:tr w:rsidR="0080473E" w:rsidRPr="0080473E" w:rsidTr="00FF1D34">
        <w:tc>
          <w:tcPr>
            <w:tcW w:w="1551" w:type="dxa"/>
            <w:shd w:val="clear" w:color="auto" w:fill="auto"/>
            <w:vAlign w:val="bottom"/>
          </w:tcPr>
          <w:p w:rsidR="0080473E" w:rsidRPr="0080473E" w:rsidRDefault="0080473E" w:rsidP="0080473E">
            <w:pPr>
              <w:spacing w:before="40" w:after="60" w:line="320" w:lineRule="exact"/>
              <w:ind w:left="57" w:right="57"/>
              <w:jc w:val="left"/>
              <w:rPr>
                <w:rFonts w:hint="cs"/>
                <w:sz w:val="18"/>
                <w:szCs w:val="28"/>
                <w:rtl/>
                <w:lang w:val="fr-CH"/>
              </w:rPr>
            </w:pPr>
            <w:r w:rsidRPr="0080473E">
              <w:rPr>
                <w:rFonts w:hint="cs"/>
                <w:sz w:val="18"/>
                <w:szCs w:val="28"/>
                <w:rtl/>
                <w:lang w:val="fr-CH"/>
              </w:rPr>
              <w:t>جيم1</w:t>
            </w:r>
            <w:r w:rsidR="007E5990">
              <w:rPr>
                <w:rFonts w:hint="cs"/>
                <w:sz w:val="18"/>
                <w:szCs w:val="28"/>
                <w:rtl/>
                <w:lang w:val="fr-CH"/>
              </w:rPr>
              <w:t>-</w:t>
            </w:r>
          </w:p>
        </w:tc>
        <w:tc>
          <w:tcPr>
            <w:tcW w:w="5760" w:type="dxa"/>
            <w:shd w:val="clear" w:color="auto" w:fill="auto"/>
            <w:vAlign w:val="bottom"/>
          </w:tcPr>
          <w:p w:rsidR="0080473E" w:rsidRPr="0080473E" w:rsidRDefault="0080473E" w:rsidP="0080473E">
            <w:pPr>
              <w:spacing w:before="40" w:after="60" w:line="320" w:lineRule="exact"/>
              <w:ind w:left="57" w:right="57"/>
              <w:jc w:val="left"/>
              <w:rPr>
                <w:rFonts w:hint="cs"/>
                <w:sz w:val="18"/>
                <w:szCs w:val="28"/>
                <w:rtl/>
                <w:lang w:val="fr-CH"/>
              </w:rPr>
            </w:pPr>
            <w:r w:rsidRPr="0080473E">
              <w:rPr>
                <w:rFonts w:hint="cs"/>
                <w:sz w:val="18"/>
                <w:szCs w:val="28"/>
                <w:rtl/>
                <w:lang w:val="fr-CH"/>
              </w:rPr>
              <w:t>ورد الرد لكن الإجراءات التي اتُّخذت لا تنفذ الآراء/التوصيات</w:t>
            </w:r>
          </w:p>
        </w:tc>
      </w:tr>
      <w:tr w:rsidR="0080473E" w:rsidRPr="0080473E" w:rsidTr="00FF1D34">
        <w:tc>
          <w:tcPr>
            <w:tcW w:w="1551" w:type="dxa"/>
            <w:shd w:val="clear" w:color="auto" w:fill="auto"/>
            <w:vAlign w:val="bottom"/>
          </w:tcPr>
          <w:p w:rsidR="0080473E" w:rsidRPr="0080473E" w:rsidRDefault="0080473E" w:rsidP="0080473E">
            <w:pPr>
              <w:spacing w:before="40" w:after="60" w:line="320" w:lineRule="exact"/>
              <w:ind w:left="57" w:right="57"/>
              <w:jc w:val="left"/>
              <w:rPr>
                <w:rFonts w:hint="cs"/>
                <w:sz w:val="18"/>
                <w:szCs w:val="28"/>
                <w:rtl/>
                <w:lang w:val="fr-CH"/>
              </w:rPr>
            </w:pPr>
            <w:r w:rsidRPr="0080473E">
              <w:rPr>
                <w:rFonts w:hint="cs"/>
                <w:sz w:val="18"/>
                <w:szCs w:val="28"/>
                <w:rtl/>
                <w:lang w:val="fr-CH"/>
              </w:rPr>
              <w:t>جيم2</w:t>
            </w:r>
            <w:r w:rsidR="007E5990">
              <w:rPr>
                <w:rFonts w:hint="cs"/>
                <w:sz w:val="18"/>
                <w:szCs w:val="28"/>
                <w:rtl/>
                <w:lang w:val="fr-CH"/>
              </w:rPr>
              <w:t>-</w:t>
            </w:r>
          </w:p>
        </w:tc>
        <w:tc>
          <w:tcPr>
            <w:tcW w:w="5760" w:type="dxa"/>
            <w:shd w:val="clear" w:color="auto" w:fill="auto"/>
            <w:vAlign w:val="bottom"/>
          </w:tcPr>
          <w:p w:rsidR="0080473E" w:rsidRPr="0080473E" w:rsidRDefault="0080473E" w:rsidP="0080473E">
            <w:pPr>
              <w:spacing w:before="40" w:after="60" w:line="320" w:lineRule="exact"/>
              <w:ind w:left="57" w:right="57"/>
              <w:jc w:val="left"/>
              <w:rPr>
                <w:rFonts w:hint="cs"/>
                <w:sz w:val="18"/>
                <w:szCs w:val="28"/>
                <w:rtl/>
                <w:lang w:val="fr-CH"/>
              </w:rPr>
            </w:pPr>
            <w:r w:rsidRPr="0080473E">
              <w:rPr>
                <w:rFonts w:hint="cs"/>
                <w:sz w:val="18"/>
                <w:szCs w:val="28"/>
                <w:rtl/>
                <w:lang w:val="fr-CH"/>
              </w:rPr>
              <w:t>ورد الرد لكنه لم يكن يتعلق بالآراء/التوصيات</w:t>
            </w:r>
          </w:p>
        </w:tc>
      </w:tr>
      <w:tr w:rsidR="0080473E" w:rsidRPr="0080473E" w:rsidTr="00FF1D34">
        <w:tc>
          <w:tcPr>
            <w:tcW w:w="7311" w:type="dxa"/>
            <w:gridSpan w:val="2"/>
            <w:shd w:val="clear" w:color="auto" w:fill="auto"/>
            <w:vAlign w:val="bottom"/>
          </w:tcPr>
          <w:p w:rsidR="0080473E" w:rsidRPr="0080473E" w:rsidRDefault="0080473E" w:rsidP="0080473E">
            <w:pPr>
              <w:spacing w:before="40" w:after="60" w:line="320" w:lineRule="exact"/>
              <w:ind w:left="57" w:right="57"/>
              <w:jc w:val="left"/>
              <w:rPr>
                <w:rFonts w:hint="cs"/>
                <w:b/>
                <w:bCs/>
                <w:sz w:val="18"/>
                <w:szCs w:val="28"/>
                <w:rtl/>
                <w:lang w:val="fr-CH"/>
              </w:rPr>
            </w:pPr>
            <w:r w:rsidRPr="0080473E">
              <w:rPr>
                <w:rFonts w:hint="cs"/>
                <w:b/>
                <w:bCs/>
                <w:sz w:val="18"/>
                <w:szCs w:val="28"/>
                <w:rtl/>
                <w:lang w:val="fr-CH"/>
              </w:rPr>
              <w:t>لم يجر أي تعاون مع اللجنة</w:t>
            </w:r>
          </w:p>
        </w:tc>
      </w:tr>
      <w:tr w:rsidR="0080473E" w:rsidRPr="0080473E" w:rsidTr="00FF1D34">
        <w:tc>
          <w:tcPr>
            <w:tcW w:w="1551" w:type="dxa"/>
            <w:shd w:val="clear" w:color="auto" w:fill="auto"/>
            <w:vAlign w:val="bottom"/>
          </w:tcPr>
          <w:p w:rsidR="0080473E" w:rsidRPr="0080473E" w:rsidRDefault="0080473E" w:rsidP="0080473E">
            <w:pPr>
              <w:spacing w:before="40" w:after="60" w:line="320" w:lineRule="exact"/>
              <w:ind w:left="57" w:right="57"/>
              <w:jc w:val="left"/>
              <w:rPr>
                <w:rFonts w:hint="cs"/>
                <w:sz w:val="18"/>
                <w:szCs w:val="28"/>
                <w:rtl/>
                <w:lang w:val="fr-CH"/>
              </w:rPr>
            </w:pPr>
            <w:r w:rsidRPr="0080473E">
              <w:rPr>
                <w:rFonts w:hint="cs"/>
                <w:sz w:val="18"/>
                <w:szCs w:val="28"/>
                <w:rtl/>
                <w:lang w:val="fr-CH"/>
              </w:rPr>
              <w:t>دال1</w:t>
            </w:r>
            <w:r w:rsidR="007E5990">
              <w:rPr>
                <w:rFonts w:hint="cs"/>
                <w:sz w:val="18"/>
                <w:szCs w:val="28"/>
                <w:rtl/>
                <w:lang w:val="fr-CH"/>
              </w:rPr>
              <w:t>-</w:t>
            </w:r>
          </w:p>
        </w:tc>
        <w:tc>
          <w:tcPr>
            <w:tcW w:w="5760" w:type="dxa"/>
            <w:shd w:val="clear" w:color="auto" w:fill="auto"/>
            <w:vAlign w:val="bottom"/>
          </w:tcPr>
          <w:p w:rsidR="0080473E" w:rsidRPr="0080473E" w:rsidRDefault="0080473E" w:rsidP="0080473E">
            <w:pPr>
              <w:spacing w:before="40" w:after="60" w:line="320" w:lineRule="exact"/>
              <w:ind w:left="57" w:right="57"/>
              <w:jc w:val="left"/>
              <w:rPr>
                <w:rFonts w:hint="cs"/>
                <w:sz w:val="18"/>
                <w:szCs w:val="28"/>
                <w:rtl/>
                <w:lang w:val="fr-CH"/>
              </w:rPr>
            </w:pPr>
            <w:r w:rsidRPr="0080473E">
              <w:rPr>
                <w:rFonts w:hint="cs"/>
                <w:sz w:val="18"/>
                <w:szCs w:val="28"/>
                <w:rtl/>
                <w:lang w:val="fr-CH"/>
              </w:rPr>
              <w:t xml:space="preserve">لم يرد أي رد </w:t>
            </w:r>
            <w:r>
              <w:rPr>
                <w:rFonts w:hint="cs"/>
                <w:sz w:val="18"/>
                <w:szCs w:val="28"/>
                <w:rtl/>
                <w:lang w:val="fr-CH"/>
              </w:rPr>
              <w:t xml:space="preserve">على توصية </w:t>
            </w:r>
            <w:r w:rsidRPr="0080473E">
              <w:rPr>
                <w:rFonts w:hint="cs"/>
                <w:sz w:val="18"/>
                <w:szCs w:val="28"/>
                <w:rtl/>
                <w:lang w:val="fr-CH"/>
              </w:rPr>
              <w:t xml:space="preserve">أو أكثر </w:t>
            </w:r>
            <w:r>
              <w:rPr>
                <w:rFonts w:hint="cs"/>
                <w:sz w:val="18"/>
                <w:szCs w:val="28"/>
                <w:rtl/>
                <w:lang w:val="fr-CH"/>
              </w:rPr>
              <w:t xml:space="preserve">من </w:t>
            </w:r>
            <w:r w:rsidRPr="0080473E">
              <w:rPr>
                <w:rFonts w:hint="cs"/>
                <w:sz w:val="18"/>
                <w:szCs w:val="28"/>
                <w:rtl/>
                <w:lang w:val="fr-CH"/>
              </w:rPr>
              <w:t xml:space="preserve">التوصيات أو </w:t>
            </w:r>
            <w:r>
              <w:rPr>
                <w:rFonts w:hint="cs"/>
                <w:sz w:val="18"/>
                <w:szCs w:val="28"/>
                <w:rtl/>
                <w:lang w:val="fr-CH"/>
              </w:rPr>
              <w:t xml:space="preserve">على </w:t>
            </w:r>
            <w:r w:rsidRPr="0080473E">
              <w:rPr>
                <w:rFonts w:hint="cs"/>
                <w:sz w:val="18"/>
                <w:szCs w:val="28"/>
                <w:rtl/>
                <w:lang w:val="fr-CH"/>
              </w:rPr>
              <w:t xml:space="preserve">جزء من توصية </w:t>
            </w:r>
          </w:p>
        </w:tc>
      </w:tr>
      <w:tr w:rsidR="0080473E" w:rsidRPr="0080473E" w:rsidTr="00FF1D34">
        <w:tc>
          <w:tcPr>
            <w:tcW w:w="1551" w:type="dxa"/>
            <w:shd w:val="clear" w:color="auto" w:fill="auto"/>
            <w:vAlign w:val="bottom"/>
          </w:tcPr>
          <w:p w:rsidR="0080473E" w:rsidRPr="0080473E" w:rsidRDefault="0080473E" w:rsidP="0080473E">
            <w:pPr>
              <w:spacing w:before="40" w:after="60" w:line="320" w:lineRule="exact"/>
              <w:ind w:left="57" w:right="57"/>
              <w:jc w:val="left"/>
              <w:rPr>
                <w:rFonts w:hint="cs"/>
                <w:sz w:val="18"/>
                <w:szCs w:val="28"/>
                <w:rtl/>
                <w:lang w:val="fr-CH"/>
              </w:rPr>
            </w:pPr>
            <w:r w:rsidRPr="0080473E">
              <w:rPr>
                <w:rFonts w:hint="cs"/>
                <w:sz w:val="18"/>
                <w:szCs w:val="28"/>
                <w:rtl/>
                <w:lang w:val="fr-CH"/>
              </w:rPr>
              <w:t>دال2</w:t>
            </w:r>
            <w:r w:rsidR="007E5990">
              <w:rPr>
                <w:rFonts w:hint="cs"/>
                <w:sz w:val="18"/>
                <w:szCs w:val="28"/>
                <w:rtl/>
                <w:lang w:val="fr-CH"/>
              </w:rPr>
              <w:t>-</w:t>
            </w:r>
          </w:p>
        </w:tc>
        <w:tc>
          <w:tcPr>
            <w:tcW w:w="5760" w:type="dxa"/>
            <w:shd w:val="clear" w:color="auto" w:fill="auto"/>
            <w:vAlign w:val="bottom"/>
          </w:tcPr>
          <w:p w:rsidR="0080473E" w:rsidRPr="0080473E" w:rsidRDefault="0080473E" w:rsidP="0080473E">
            <w:pPr>
              <w:spacing w:before="40" w:after="60" w:line="320" w:lineRule="exact"/>
              <w:ind w:left="57" w:right="57"/>
              <w:jc w:val="left"/>
              <w:rPr>
                <w:rFonts w:hint="cs"/>
                <w:sz w:val="18"/>
                <w:szCs w:val="28"/>
                <w:rtl/>
                <w:lang w:val="fr-CH"/>
              </w:rPr>
            </w:pPr>
            <w:r w:rsidRPr="0080473E">
              <w:rPr>
                <w:rFonts w:hint="cs"/>
                <w:sz w:val="18"/>
                <w:szCs w:val="28"/>
                <w:rtl/>
                <w:lang w:val="fr-CH"/>
              </w:rPr>
              <w:t>لم يرد أي رد بعد رسالة (رسائل) التذكير</w:t>
            </w:r>
          </w:p>
        </w:tc>
      </w:tr>
      <w:tr w:rsidR="0080473E" w:rsidRPr="0080473E" w:rsidTr="00FF1D34">
        <w:tc>
          <w:tcPr>
            <w:tcW w:w="7311" w:type="dxa"/>
            <w:gridSpan w:val="2"/>
            <w:shd w:val="clear" w:color="auto" w:fill="auto"/>
            <w:vAlign w:val="bottom"/>
          </w:tcPr>
          <w:p w:rsidR="0080473E" w:rsidRPr="0080473E" w:rsidRDefault="0080473E" w:rsidP="0080473E">
            <w:pPr>
              <w:spacing w:before="40" w:after="60" w:line="320" w:lineRule="exact"/>
              <w:ind w:left="57" w:right="57"/>
              <w:jc w:val="left"/>
              <w:rPr>
                <w:rFonts w:hint="cs"/>
                <w:b/>
                <w:bCs/>
                <w:sz w:val="18"/>
                <w:szCs w:val="28"/>
                <w:rtl/>
                <w:lang w:val="fr-CH"/>
              </w:rPr>
            </w:pPr>
            <w:r w:rsidRPr="0080473E">
              <w:rPr>
                <w:rFonts w:hint="cs"/>
                <w:b/>
                <w:bCs/>
                <w:sz w:val="18"/>
                <w:szCs w:val="28"/>
                <w:rtl/>
                <w:lang w:val="fr-CH"/>
              </w:rPr>
              <w:t xml:space="preserve">التدابير المتخذة تخالف توصيات اللجنة </w:t>
            </w:r>
          </w:p>
        </w:tc>
      </w:tr>
      <w:tr w:rsidR="0080473E" w:rsidRPr="0080473E" w:rsidTr="00FF1D34">
        <w:tc>
          <w:tcPr>
            <w:tcW w:w="1551" w:type="dxa"/>
            <w:tcBorders>
              <w:bottom w:val="single" w:sz="12" w:space="0" w:color="auto"/>
            </w:tcBorders>
            <w:shd w:val="clear" w:color="auto" w:fill="auto"/>
            <w:vAlign w:val="bottom"/>
          </w:tcPr>
          <w:p w:rsidR="0080473E" w:rsidRPr="0080473E" w:rsidRDefault="0080473E" w:rsidP="0080473E">
            <w:pPr>
              <w:spacing w:before="40" w:after="60" w:line="320" w:lineRule="exact"/>
              <w:ind w:left="57" w:right="57"/>
              <w:jc w:val="left"/>
              <w:rPr>
                <w:rFonts w:hint="cs"/>
                <w:sz w:val="18"/>
                <w:szCs w:val="28"/>
                <w:rtl/>
                <w:lang w:val="fr-CH"/>
              </w:rPr>
            </w:pPr>
            <w:r w:rsidRPr="0080473E">
              <w:rPr>
                <w:rFonts w:hint="cs"/>
                <w:sz w:val="18"/>
                <w:szCs w:val="28"/>
                <w:rtl/>
                <w:lang w:val="fr-CH"/>
              </w:rPr>
              <w:t>هاء</w:t>
            </w:r>
            <w:r w:rsidR="007E5990">
              <w:rPr>
                <w:rFonts w:hint="cs"/>
                <w:sz w:val="18"/>
                <w:szCs w:val="28"/>
                <w:rtl/>
                <w:lang w:val="fr-CH"/>
              </w:rPr>
              <w:t>-</w:t>
            </w:r>
          </w:p>
        </w:tc>
        <w:tc>
          <w:tcPr>
            <w:tcW w:w="5760" w:type="dxa"/>
            <w:tcBorders>
              <w:bottom w:val="single" w:sz="12" w:space="0" w:color="auto"/>
            </w:tcBorders>
            <w:shd w:val="clear" w:color="auto" w:fill="auto"/>
            <w:vAlign w:val="bottom"/>
          </w:tcPr>
          <w:p w:rsidR="0080473E" w:rsidRPr="0080473E" w:rsidRDefault="0080473E" w:rsidP="0080473E">
            <w:pPr>
              <w:spacing w:before="40" w:after="60" w:line="320" w:lineRule="exact"/>
              <w:ind w:left="57" w:right="57"/>
              <w:jc w:val="left"/>
              <w:rPr>
                <w:rFonts w:hint="cs"/>
                <w:sz w:val="18"/>
                <w:szCs w:val="28"/>
                <w:rtl/>
                <w:lang w:val="fr-CH"/>
              </w:rPr>
            </w:pPr>
            <w:r w:rsidRPr="0080473E">
              <w:rPr>
                <w:rFonts w:hint="cs"/>
                <w:sz w:val="18"/>
                <w:szCs w:val="28"/>
                <w:rtl/>
                <w:lang w:val="fr-CH"/>
              </w:rPr>
              <w:t>يشير الرد إلى أن التدابير المتخذة تخالف آراء/توصيات اللجنة</w:t>
            </w:r>
          </w:p>
        </w:tc>
      </w:tr>
    </w:tbl>
    <w:p w:rsidR="0080473E" w:rsidRDefault="0080473E" w:rsidP="009E40A4">
      <w:pPr>
        <w:pStyle w:val="H1GA"/>
        <w:spacing w:before="480"/>
        <w:rPr>
          <w:rFonts w:hint="cs"/>
          <w:rtl/>
          <w:lang w:val="fr-CH"/>
        </w:rPr>
      </w:pPr>
      <w:r>
        <w:rPr>
          <w:rFonts w:hint="cs"/>
          <w:rtl/>
          <w:lang w:val="fr-CH"/>
        </w:rPr>
        <w:tab/>
        <w:t>باء-</w:t>
      </w:r>
      <w:r>
        <w:rPr>
          <w:rFonts w:hint="cs"/>
          <w:rtl/>
          <w:lang w:val="fr-CH"/>
        </w:rPr>
        <w:tab/>
        <w:t>البلاغات</w:t>
      </w:r>
    </w:p>
    <w:p w:rsidR="0080473E" w:rsidRDefault="0080473E" w:rsidP="0080473E">
      <w:pPr>
        <w:pStyle w:val="H23GA"/>
        <w:rPr>
          <w:rFonts w:hint="cs"/>
          <w:i/>
          <w:iCs/>
          <w:rtl/>
          <w:lang w:val="fr-CH"/>
        </w:rPr>
      </w:pPr>
      <w:r>
        <w:rPr>
          <w:rFonts w:hint="cs"/>
          <w:rtl/>
          <w:lang w:val="fr-CH"/>
        </w:rPr>
        <w:tab/>
      </w:r>
      <w:r>
        <w:rPr>
          <w:rFonts w:hint="cs"/>
          <w:rtl/>
          <w:lang w:val="fr-CH"/>
        </w:rPr>
        <w:tab/>
        <w:t xml:space="preserve">البلاغ رقم 3/2011، </w:t>
      </w:r>
      <w:r w:rsidRPr="00E76754">
        <w:rPr>
          <w:rFonts w:hint="cs"/>
          <w:i/>
          <w:iCs/>
          <w:sz w:val="30"/>
          <w:rtl/>
          <w:lang w:val="fr-CH"/>
        </w:rPr>
        <w:t>ﻫ</w:t>
      </w:r>
      <w:r w:rsidRPr="00E76754">
        <w:rPr>
          <w:rFonts w:hint="cs"/>
          <w:i/>
          <w:iCs/>
          <w:rtl/>
          <w:lang w:val="fr-CH"/>
        </w:rPr>
        <w:t>. م. ضد السويد</w:t>
      </w:r>
    </w:p>
    <w:p w:rsidR="0080473E" w:rsidRDefault="0080473E" w:rsidP="0080473E">
      <w:pPr>
        <w:pStyle w:val="SingleTxtGA"/>
        <w:rPr>
          <w:rFonts w:hint="cs"/>
          <w:rtl/>
          <w:lang w:val="fr-CH"/>
        </w:rPr>
      </w:pPr>
      <w:r w:rsidRPr="00E76754">
        <w:rPr>
          <w:rFonts w:hint="cs"/>
          <w:rtl/>
          <w:lang w:val="fr-CH"/>
        </w:rPr>
        <w:t>3-</w:t>
      </w:r>
      <w:r w:rsidRPr="00E76754">
        <w:rPr>
          <w:rFonts w:hint="cs"/>
          <w:rtl/>
          <w:lang w:val="fr-CH"/>
        </w:rPr>
        <w:tab/>
      </w:r>
      <w:r>
        <w:rPr>
          <w:rFonts w:hint="cs"/>
          <w:rtl/>
          <w:lang w:val="fr-CH"/>
        </w:rPr>
        <w:t>اعت</w:t>
      </w:r>
      <w:r w:rsidR="007E5990">
        <w:rPr>
          <w:rFonts w:hint="cs"/>
          <w:rtl/>
          <w:lang w:val="fr-CH"/>
        </w:rPr>
        <w:t>ُ</w:t>
      </w:r>
      <w:r>
        <w:rPr>
          <w:rFonts w:hint="cs"/>
          <w:rtl/>
          <w:lang w:val="fr-CH"/>
        </w:rPr>
        <w:t xml:space="preserve">مدت آراء اللجنة في 19 </w:t>
      </w:r>
      <w:r w:rsidRPr="00E76754">
        <w:rPr>
          <w:rFonts w:hint="cs"/>
          <w:sz w:val="30"/>
          <w:rtl/>
          <w:lang w:val="fr-CH"/>
        </w:rPr>
        <w:t xml:space="preserve">نيسان/أبريل </w:t>
      </w:r>
      <w:r>
        <w:rPr>
          <w:rFonts w:hint="cs"/>
          <w:rtl/>
          <w:lang w:val="fr-CH"/>
        </w:rPr>
        <w:t xml:space="preserve">2012 وورد رد المتابعة من الدولة الطرف بشأن الإجراءات المتخذة في ضوء آراء وتوصيات اللجنة، في 26 </w:t>
      </w:r>
      <w:r w:rsidRPr="00E76754">
        <w:rPr>
          <w:rFonts w:hint="cs"/>
          <w:sz w:val="30"/>
          <w:rtl/>
          <w:lang w:val="fr-CH"/>
        </w:rPr>
        <w:t xml:space="preserve">تشرين الأول/أكتوبر </w:t>
      </w:r>
      <w:r>
        <w:rPr>
          <w:rFonts w:hint="cs"/>
          <w:rtl/>
          <w:lang w:val="fr-CH"/>
        </w:rPr>
        <w:t xml:space="preserve">2012. ووردت تعليقات محامي صاحبة البلاغ بشأن رد المتابعة المقدم من الدولة الطرف، في 1 </w:t>
      </w:r>
      <w:r w:rsidRPr="00E76754">
        <w:rPr>
          <w:rFonts w:hint="cs"/>
          <w:sz w:val="30"/>
          <w:rtl/>
          <w:lang w:val="fr-CH"/>
        </w:rPr>
        <w:t xml:space="preserve">شباط/فبراير </w:t>
      </w:r>
      <w:r>
        <w:rPr>
          <w:rFonts w:hint="cs"/>
          <w:rtl/>
          <w:lang w:val="fr-CH"/>
        </w:rPr>
        <w:t xml:space="preserve">2013. </w:t>
      </w:r>
    </w:p>
    <w:tbl>
      <w:tblPr>
        <w:bidiVisual/>
        <w:tblW w:w="7265" w:type="dxa"/>
        <w:tblInd w:w="1169" w:type="dxa"/>
        <w:tblLayout w:type="fixed"/>
        <w:tblCellMar>
          <w:left w:w="0" w:type="dxa"/>
          <w:right w:w="0" w:type="dxa"/>
        </w:tblCellMar>
        <w:tblLook w:val="04A0"/>
      </w:tblPr>
      <w:tblGrid>
        <w:gridCol w:w="3226"/>
        <w:gridCol w:w="4039"/>
      </w:tblGrid>
      <w:tr w:rsidR="0080473E" w:rsidRPr="00336166" w:rsidTr="00FF1D34">
        <w:trPr>
          <w:tblHeader/>
        </w:trPr>
        <w:tc>
          <w:tcPr>
            <w:tcW w:w="3226" w:type="dxa"/>
            <w:tcBorders>
              <w:top w:val="single" w:sz="4" w:space="0" w:color="auto"/>
              <w:bottom w:val="single" w:sz="12" w:space="0" w:color="auto"/>
            </w:tcBorders>
            <w:shd w:val="clear" w:color="auto" w:fill="auto"/>
            <w:vAlign w:val="bottom"/>
          </w:tcPr>
          <w:p w:rsidR="0080473E" w:rsidRPr="005F66A9" w:rsidRDefault="0080473E" w:rsidP="0080473E">
            <w:pPr>
              <w:spacing w:before="40" w:after="60" w:line="320" w:lineRule="exact"/>
              <w:ind w:left="57" w:right="57"/>
              <w:rPr>
                <w:rFonts w:hint="cs"/>
                <w:b/>
                <w:bCs/>
                <w:iCs/>
                <w:szCs w:val="28"/>
                <w:rtl/>
              </w:rPr>
            </w:pPr>
            <w:r w:rsidRPr="005F66A9">
              <w:rPr>
                <w:rFonts w:hint="cs"/>
                <w:b/>
                <w:bCs/>
                <w:iCs/>
                <w:szCs w:val="28"/>
                <w:rtl/>
              </w:rPr>
              <w:t>ه</w:t>
            </w:r>
            <w:r w:rsidR="00336166" w:rsidRPr="005F66A9">
              <w:rPr>
                <w:rFonts w:hint="cs"/>
                <w:b/>
                <w:bCs/>
                <w:iCs/>
                <w:szCs w:val="28"/>
                <w:rtl/>
              </w:rPr>
              <w:t>‍.</w:t>
            </w:r>
            <w:r w:rsidRPr="005F66A9">
              <w:rPr>
                <w:rFonts w:hint="cs"/>
                <w:b/>
                <w:bCs/>
                <w:iCs/>
                <w:szCs w:val="28"/>
                <w:rtl/>
              </w:rPr>
              <w:t xml:space="preserve"> م</w:t>
            </w:r>
            <w:r w:rsidR="00336166" w:rsidRPr="005F66A9">
              <w:rPr>
                <w:rFonts w:hint="cs"/>
                <w:b/>
                <w:bCs/>
                <w:iCs/>
                <w:szCs w:val="28"/>
                <w:rtl/>
              </w:rPr>
              <w:t>.</w:t>
            </w:r>
            <w:r w:rsidRPr="005F66A9">
              <w:rPr>
                <w:rFonts w:hint="cs"/>
                <w:b/>
                <w:bCs/>
                <w:iCs/>
                <w:szCs w:val="28"/>
                <w:rtl/>
              </w:rPr>
              <w:t xml:space="preserve"> ضد السويد</w:t>
            </w:r>
          </w:p>
        </w:tc>
        <w:tc>
          <w:tcPr>
            <w:tcW w:w="4039" w:type="dxa"/>
            <w:tcBorders>
              <w:top w:val="single" w:sz="4" w:space="0" w:color="auto"/>
              <w:bottom w:val="single" w:sz="12" w:space="0" w:color="auto"/>
            </w:tcBorders>
            <w:shd w:val="clear" w:color="auto" w:fill="auto"/>
            <w:vAlign w:val="bottom"/>
          </w:tcPr>
          <w:p w:rsidR="0080473E" w:rsidRPr="005F66A9" w:rsidRDefault="005F66A9" w:rsidP="0080473E">
            <w:pPr>
              <w:spacing w:before="40" w:after="60" w:line="320" w:lineRule="exact"/>
              <w:ind w:left="57" w:right="57"/>
              <w:jc w:val="left"/>
              <w:rPr>
                <w:b/>
                <w:bCs/>
                <w:szCs w:val="28"/>
              </w:rPr>
            </w:pPr>
            <w:r w:rsidRPr="005F66A9">
              <w:rPr>
                <w:rFonts w:hint="cs"/>
                <w:b/>
                <w:bCs/>
                <w:szCs w:val="28"/>
                <w:rtl/>
              </w:rPr>
              <w:t xml:space="preserve">رقم </w:t>
            </w:r>
            <w:r w:rsidRPr="005F66A9">
              <w:rPr>
                <w:b/>
                <w:bCs/>
                <w:szCs w:val="28"/>
              </w:rPr>
              <w:t>2011/3</w:t>
            </w:r>
          </w:p>
        </w:tc>
      </w:tr>
      <w:tr w:rsidR="0080473E" w:rsidRPr="00336166" w:rsidTr="00FF1D34">
        <w:tc>
          <w:tcPr>
            <w:tcW w:w="3226" w:type="dxa"/>
            <w:shd w:val="clear" w:color="auto" w:fill="auto"/>
          </w:tcPr>
          <w:p w:rsidR="0080473E" w:rsidRPr="00336166" w:rsidRDefault="0080473E" w:rsidP="0080473E">
            <w:pPr>
              <w:spacing w:before="40" w:after="60" w:line="320" w:lineRule="exact"/>
              <w:ind w:left="57" w:right="57"/>
              <w:rPr>
                <w:rFonts w:hint="cs"/>
                <w:b/>
                <w:bCs/>
                <w:szCs w:val="28"/>
                <w:rtl/>
              </w:rPr>
            </w:pPr>
            <w:r w:rsidRPr="00336166">
              <w:rPr>
                <w:rFonts w:hint="cs"/>
                <w:b/>
                <w:bCs/>
                <w:szCs w:val="28"/>
                <w:rtl/>
              </w:rPr>
              <w:t>الآراء</w:t>
            </w:r>
          </w:p>
        </w:tc>
        <w:tc>
          <w:tcPr>
            <w:tcW w:w="4039" w:type="dxa"/>
            <w:shd w:val="clear" w:color="auto" w:fill="auto"/>
            <w:vAlign w:val="bottom"/>
          </w:tcPr>
          <w:p w:rsidR="0080473E" w:rsidRPr="00336166" w:rsidRDefault="0080473E" w:rsidP="0080473E">
            <w:pPr>
              <w:spacing w:before="40" w:after="60" w:line="320" w:lineRule="exact"/>
              <w:ind w:left="57" w:right="57"/>
              <w:rPr>
                <w:rFonts w:hint="cs"/>
                <w:b/>
                <w:szCs w:val="28"/>
                <w:rtl/>
              </w:rPr>
            </w:pPr>
            <w:r w:rsidRPr="00336166">
              <w:rPr>
                <w:rFonts w:hint="cs"/>
                <w:b/>
                <w:szCs w:val="28"/>
                <w:rtl/>
              </w:rPr>
              <w:t>19 نيسان/أبريل 2012</w:t>
            </w:r>
          </w:p>
        </w:tc>
      </w:tr>
      <w:tr w:rsidR="0080473E" w:rsidRPr="00336166" w:rsidTr="00FF1D34">
        <w:tc>
          <w:tcPr>
            <w:tcW w:w="3226" w:type="dxa"/>
            <w:shd w:val="clear" w:color="auto" w:fill="auto"/>
          </w:tcPr>
          <w:p w:rsidR="0080473E" w:rsidRPr="00336166" w:rsidRDefault="0080473E" w:rsidP="0080473E">
            <w:pPr>
              <w:spacing w:before="40" w:after="60" w:line="320" w:lineRule="exact"/>
              <w:ind w:left="57" w:right="57"/>
              <w:rPr>
                <w:rFonts w:hint="cs"/>
                <w:b/>
                <w:bCs/>
                <w:spacing w:val="-4"/>
                <w:szCs w:val="28"/>
              </w:rPr>
            </w:pPr>
            <w:r w:rsidRPr="00336166">
              <w:rPr>
                <w:rFonts w:hint="cs"/>
                <w:b/>
                <w:bCs/>
                <w:spacing w:val="-4"/>
                <w:szCs w:val="28"/>
                <w:rtl/>
              </w:rPr>
              <w:t xml:space="preserve">الرد الأول </w:t>
            </w:r>
            <w:r w:rsidR="00336166">
              <w:rPr>
                <w:rFonts w:hint="cs"/>
                <w:b/>
                <w:bCs/>
                <w:spacing w:val="-4"/>
                <w:szCs w:val="28"/>
                <w:rtl/>
              </w:rPr>
              <w:t>الوارد من ا</w:t>
            </w:r>
            <w:r w:rsidRPr="00336166">
              <w:rPr>
                <w:rFonts w:hint="cs"/>
                <w:b/>
                <w:bCs/>
                <w:spacing w:val="-4"/>
                <w:szCs w:val="28"/>
                <w:rtl/>
              </w:rPr>
              <w:t>لدولة الطرف</w:t>
            </w:r>
          </w:p>
        </w:tc>
        <w:tc>
          <w:tcPr>
            <w:tcW w:w="4039" w:type="dxa"/>
            <w:shd w:val="clear" w:color="auto" w:fill="auto"/>
            <w:vAlign w:val="bottom"/>
          </w:tcPr>
          <w:p w:rsidR="0080473E" w:rsidRPr="00336166" w:rsidRDefault="0080473E" w:rsidP="0080473E">
            <w:pPr>
              <w:spacing w:before="40" w:after="60" w:line="320" w:lineRule="exact"/>
              <w:ind w:left="57" w:right="57"/>
              <w:rPr>
                <w:rFonts w:hint="cs"/>
                <w:b/>
                <w:szCs w:val="28"/>
              </w:rPr>
            </w:pPr>
            <w:r w:rsidRPr="00336166">
              <w:rPr>
                <w:rFonts w:hint="cs"/>
                <w:b/>
                <w:szCs w:val="28"/>
                <w:rtl/>
              </w:rPr>
              <w:t>كان ينبغ</w:t>
            </w:r>
            <w:r w:rsidR="00336166">
              <w:rPr>
                <w:rFonts w:hint="cs"/>
                <w:b/>
                <w:szCs w:val="28"/>
                <w:rtl/>
              </w:rPr>
              <w:t>ي تقديمه في 19 نيسان/أبريل 2012؛</w:t>
            </w:r>
            <w:r w:rsidRPr="00336166">
              <w:rPr>
                <w:rFonts w:hint="cs"/>
                <w:b/>
                <w:szCs w:val="28"/>
                <w:rtl/>
              </w:rPr>
              <w:t xml:space="preserve"> تم</w:t>
            </w:r>
            <w:r w:rsidR="00336166">
              <w:rPr>
                <w:rFonts w:hint="eastAsia"/>
                <w:b/>
                <w:szCs w:val="28"/>
                <w:rtl/>
              </w:rPr>
              <w:t> </w:t>
            </w:r>
            <w:r w:rsidRPr="00336166">
              <w:rPr>
                <w:rFonts w:hint="cs"/>
                <w:b/>
                <w:szCs w:val="28"/>
                <w:rtl/>
              </w:rPr>
              <w:t>استلامه في 26 تشرين الأول/أكتوبر 2012</w:t>
            </w:r>
          </w:p>
        </w:tc>
      </w:tr>
      <w:tr w:rsidR="0080473E" w:rsidRPr="00336166" w:rsidTr="00FF1D34">
        <w:tc>
          <w:tcPr>
            <w:tcW w:w="3226" w:type="dxa"/>
            <w:shd w:val="clear" w:color="auto" w:fill="auto"/>
          </w:tcPr>
          <w:p w:rsidR="0080473E" w:rsidRPr="00336166" w:rsidRDefault="0080473E" w:rsidP="0080473E">
            <w:pPr>
              <w:spacing w:before="40" w:after="60" w:line="320" w:lineRule="exact"/>
              <w:ind w:left="57" w:right="57"/>
              <w:rPr>
                <w:rFonts w:hint="cs"/>
                <w:b/>
                <w:bCs/>
                <w:szCs w:val="28"/>
              </w:rPr>
            </w:pPr>
            <w:r w:rsidRPr="00336166">
              <w:rPr>
                <w:rFonts w:hint="cs"/>
                <w:b/>
                <w:bCs/>
                <w:szCs w:val="28"/>
                <w:rtl/>
              </w:rPr>
              <w:t>تعليقات محامي صاحبة البلاغ</w:t>
            </w:r>
          </w:p>
        </w:tc>
        <w:tc>
          <w:tcPr>
            <w:tcW w:w="4039" w:type="dxa"/>
            <w:shd w:val="clear" w:color="auto" w:fill="auto"/>
            <w:vAlign w:val="bottom"/>
          </w:tcPr>
          <w:p w:rsidR="0080473E" w:rsidRPr="00336166" w:rsidRDefault="0080473E" w:rsidP="0080473E">
            <w:pPr>
              <w:spacing w:before="40" w:after="60" w:line="320" w:lineRule="exact"/>
              <w:ind w:left="57" w:right="57"/>
              <w:rPr>
                <w:rFonts w:hint="cs"/>
                <w:b/>
                <w:szCs w:val="28"/>
              </w:rPr>
            </w:pPr>
            <w:r w:rsidRPr="00336166">
              <w:rPr>
                <w:rFonts w:hint="cs"/>
                <w:b/>
                <w:szCs w:val="28"/>
                <w:rtl/>
              </w:rPr>
              <w:t>1 شباط/فبراير 2013</w:t>
            </w:r>
          </w:p>
        </w:tc>
      </w:tr>
      <w:tr w:rsidR="0080473E" w:rsidRPr="00336166" w:rsidTr="00FF1D34">
        <w:tc>
          <w:tcPr>
            <w:tcW w:w="7265" w:type="dxa"/>
            <w:gridSpan w:val="2"/>
            <w:shd w:val="clear" w:color="auto" w:fill="auto"/>
          </w:tcPr>
          <w:p w:rsidR="0080473E" w:rsidRPr="00336166" w:rsidRDefault="0080473E" w:rsidP="00336166">
            <w:pPr>
              <w:spacing w:before="40" w:after="60" w:line="320" w:lineRule="exact"/>
              <w:ind w:left="57" w:right="57"/>
              <w:rPr>
                <w:rFonts w:hint="cs"/>
                <w:b/>
                <w:bCs/>
                <w:szCs w:val="28"/>
                <w:rtl/>
              </w:rPr>
            </w:pPr>
            <w:r w:rsidRPr="00336166">
              <w:rPr>
                <w:rFonts w:hint="cs"/>
                <w:b/>
                <w:bCs/>
                <w:szCs w:val="28"/>
                <w:rtl/>
              </w:rPr>
              <w:t>الفقرة 9</w:t>
            </w:r>
            <w:r w:rsidR="00336166" w:rsidRPr="00336166">
              <w:rPr>
                <w:rFonts w:hint="cs"/>
                <w:b/>
                <w:bCs/>
                <w:szCs w:val="28"/>
                <w:rtl/>
              </w:rPr>
              <w:t>-</w:t>
            </w:r>
            <w:r w:rsidRPr="00336166">
              <w:rPr>
                <w:rFonts w:hint="cs"/>
                <w:b/>
                <w:bCs/>
                <w:szCs w:val="28"/>
                <w:rtl/>
              </w:rPr>
              <w:t>1</w:t>
            </w:r>
          </w:p>
          <w:p w:rsidR="0080473E" w:rsidRPr="00336166" w:rsidRDefault="00336166" w:rsidP="00336166">
            <w:pPr>
              <w:spacing w:before="40" w:after="60" w:line="320" w:lineRule="exact"/>
              <w:ind w:left="680" w:right="57"/>
              <w:rPr>
                <w:rFonts w:hint="cs"/>
                <w:szCs w:val="28"/>
                <w:rtl/>
              </w:rPr>
            </w:pPr>
            <w:r>
              <w:rPr>
                <w:szCs w:val="28"/>
                <w:rtl/>
              </w:rPr>
              <w:tab/>
            </w:r>
            <w:r w:rsidR="0080473E" w:rsidRPr="00336166">
              <w:rPr>
                <w:rFonts w:hint="cs"/>
                <w:szCs w:val="28"/>
                <w:rtl/>
              </w:rPr>
              <w:t xml:space="preserve">على الدولة الطرف التزام </w:t>
            </w:r>
            <w:r>
              <w:rPr>
                <w:rFonts w:hint="cs"/>
                <w:szCs w:val="28"/>
                <w:rtl/>
              </w:rPr>
              <w:t>ب</w:t>
            </w:r>
            <w:r w:rsidR="0080473E" w:rsidRPr="00336166">
              <w:rPr>
                <w:rFonts w:hint="cs"/>
                <w:szCs w:val="28"/>
                <w:rtl/>
              </w:rPr>
              <w:t>جبر صاحبة البلاغ عن انتهاك حقوقها المنصوص عليها في الاتفاقية، بما في ذلك عن طريق إعادة النظر في طلبها للحصول على ترخيص بناء لإقامة حمام سباحة للعلاج بالماء، آخذة في الحسبان آراء اللجنة. وينبغي أيضاً أن تقدم الدولة الطرف تعويضاً مناسباً إلى صاحبة البلاغ عن التكاليف التي تكبدتها في تقديم هذا البلاغ.</w:t>
            </w:r>
          </w:p>
        </w:tc>
      </w:tr>
      <w:tr w:rsidR="0080473E" w:rsidRPr="00336166" w:rsidTr="00FF1D34">
        <w:tc>
          <w:tcPr>
            <w:tcW w:w="7265" w:type="dxa"/>
            <w:gridSpan w:val="2"/>
            <w:shd w:val="clear" w:color="auto" w:fill="auto"/>
          </w:tcPr>
          <w:p w:rsidR="0080473E" w:rsidRPr="00336166" w:rsidRDefault="0080473E" w:rsidP="0080473E">
            <w:pPr>
              <w:spacing w:before="40" w:after="60" w:line="320" w:lineRule="exact"/>
              <w:ind w:left="57" w:right="57"/>
              <w:rPr>
                <w:rFonts w:hint="cs"/>
                <w:b/>
                <w:bCs/>
                <w:szCs w:val="28"/>
                <w:rtl/>
              </w:rPr>
            </w:pPr>
            <w:r w:rsidRPr="00336166">
              <w:rPr>
                <w:rFonts w:hint="cs"/>
                <w:b/>
                <w:bCs/>
                <w:szCs w:val="28"/>
                <w:rtl/>
              </w:rPr>
              <w:t>موجز رد الدولة الطرف</w:t>
            </w:r>
          </w:p>
        </w:tc>
      </w:tr>
      <w:tr w:rsidR="0080473E" w:rsidRPr="00336166" w:rsidTr="00FF1D34">
        <w:tc>
          <w:tcPr>
            <w:tcW w:w="7265" w:type="dxa"/>
            <w:gridSpan w:val="2"/>
            <w:shd w:val="clear" w:color="auto" w:fill="auto"/>
          </w:tcPr>
          <w:p w:rsidR="0080473E" w:rsidRDefault="00336166" w:rsidP="00336166">
            <w:pPr>
              <w:spacing w:before="40" w:after="60" w:line="320" w:lineRule="exact"/>
              <w:ind w:left="57" w:right="57"/>
              <w:rPr>
                <w:rFonts w:hint="cs"/>
                <w:szCs w:val="28"/>
                <w:rtl/>
              </w:rPr>
            </w:pPr>
            <w:r>
              <w:rPr>
                <w:szCs w:val="28"/>
                <w:rtl/>
              </w:rPr>
              <w:tab/>
            </w:r>
            <w:r w:rsidR="0080473E" w:rsidRPr="00336166">
              <w:rPr>
                <w:rFonts w:hint="cs"/>
                <w:szCs w:val="28"/>
                <w:rtl/>
              </w:rPr>
              <w:t>في 2011، اعتمدت الحكومة استراتيجية وطنية للسياسة المتعلقة بالإعاقة تهدف إلى تنفيذ الاتفاقية. و</w:t>
            </w:r>
            <w:r>
              <w:rPr>
                <w:rFonts w:hint="cs"/>
                <w:szCs w:val="28"/>
                <w:rtl/>
              </w:rPr>
              <w:t>قدمت</w:t>
            </w:r>
            <w:r w:rsidR="0080473E" w:rsidRPr="00336166">
              <w:rPr>
                <w:rFonts w:hint="cs"/>
                <w:szCs w:val="28"/>
                <w:rtl/>
              </w:rPr>
              <w:t xml:space="preserve"> السويد </w:t>
            </w:r>
            <w:r>
              <w:rPr>
                <w:rFonts w:hint="cs"/>
                <w:szCs w:val="28"/>
                <w:rtl/>
              </w:rPr>
              <w:t>تقريرها</w:t>
            </w:r>
            <w:r w:rsidR="0080473E" w:rsidRPr="00336166">
              <w:rPr>
                <w:rFonts w:hint="cs"/>
                <w:szCs w:val="28"/>
                <w:rtl/>
              </w:rPr>
              <w:t xml:space="preserve"> </w:t>
            </w:r>
            <w:r>
              <w:rPr>
                <w:rFonts w:hint="cs"/>
                <w:szCs w:val="28"/>
                <w:rtl/>
              </w:rPr>
              <w:t xml:space="preserve">الأولي </w:t>
            </w:r>
            <w:r w:rsidR="0080473E" w:rsidRPr="00336166">
              <w:rPr>
                <w:rFonts w:hint="cs"/>
                <w:szCs w:val="28"/>
                <w:rtl/>
              </w:rPr>
              <w:t xml:space="preserve">إلى اللجنة </w:t>
            </w:r>
            <w:r>
              <w:rPr>
                <w:rFonts w:hint="cs"/>
                <w:szCs w:val="28"/>
                <w:rtl/>
              </w:rPr>
              <w:t>في 2011.</w:t>
            </w:r>
          </w:p>
          <w:p w:rsidR="009E40A4" w:rsidRPr="00336166" w:rsidRDefault="009E40A4" w:rsidP="009E40A4">
            <w:pPr>
              <w:spacing w:before="40" w:after="60" w:line="320" w:lineRule="exact"/>
              <w:ind w:left="57" w:right="57"/>
              <w:rPr>
                <w:rFonts w:hint="cs"/>
                <w:szCs w:val="28"/>
              </w:rPr>
            </w:pPr>
          </w:p>
          <w:p w:rsidR="0080473E" w:rsidRPr="00336166" w:rsidRDefault="00336166" w:rsidP="00336166">
            <w:pPr>
              <w:spacing w:before="40" w:after="60" w:line="320" w:lineRule="exact"/>
              <w:ind w:left="57" w:right="57"/>
              <w:rPr>
                <w:rFonts w:hint="cs"/>
                <w:szCs w:val="28"/>
              </w:rPr>
            </w:pPr>
            <w:r>
              <w:rPr>
                <w:szCs w:val="28"/>
                <w:rtl/>
              </w:rPr>
              <w:tab/>
            </w:r>
            <w:r>
              <w:rPr>
                <w:rFonts w:hint="cs"/>
                <w:szCs w:val="28"/>
                <w:rtl/>
              </w:rPr>
              <w:t>و</w:t>
            </w:r>
            <w:r w:rsidR="0080473E" w:rsidRPr="00336166">
              <w:rPr>
                <w:rFonts w:hint="cs"/>
                <w:szCs w:val="28"/>
                <w:rtl/>
              </w:rPr>
              <w:t>بموجب الدستور السويدي، تكون السلطات المحلية مسؤولة عن الشؤون المحلية والإقليمية ذات المصلحة العامة استناداً إلى مبدأ الحكم الذاتي المحلي (الباب 14، المادة 2، أداة الحكومة). والمحاكم السويدية مستقلة عن الرايكسداغ (البرلمان السويدي)، وعن الحكومة وغيرها من السلطات. ولا يجوز للرايكسداغ، أو لأي سلطة عامة (وبالتالي الحكومة)، أن تحدد الطريقة التي تفصل</w:t>
            </w:r>
            <w:r>
              <w:rPr>
                <w:rFonts w:hint="cs"/>
                <w:szCs w:val="28"/>
                <w:rtl/>
              </w:rPr>
              <w:t xml:space="preserve"> بها المحاكم في القضايا الفردية. وهناك من ثم ما يحول دون تأثير الحكومة في عملية صنع القرارات في الحالات الفردية الخاصة بإصدار ترخيص لرسم تخطيطي.</w:t>
            </w:r>
          </w:p>
          <w:p w:rsidR="0080473E" w:rsidRPr="00336166" w:rsidRDefault="00336166" w:rsidP="00336166">
            <w:pPr>
              <w:spacing w:before="40" w:after="60" w:line="320" w:lineRule="exact"/>
              <w:ind w:left="57" w:right="57"/>
              <w:rPr>
                <w:rFonts w:hint="cs"/>
                <w:szCs w:val="28"/>
              </w:rPr>
            </w:pPr>
            <w:r>
              <w:rPr>
                <w:szCs w:val="28"/>
                <w:rtl/>
              </w:rPr>
              <w:tab/>
            </w:r>
            <w:r>
              <w:rPr>
                <w:rFonts w:hint="cs"/>
                <w:szCs w:val="28"/>
                <w:rtl/>
              </w:rPr>
              <w:t>و</w:t>
            </w:r>
            <w:r w:rsidR="0080473E" w:rsidRPr="00336166">
              <w:rPr>
                <w:rFonts w:hint="cs"/>
                <w:szCs w:val="28"/>
                <w:rtl/>
              </w:rPr>
              <w:t>يمكن للسيدة هيلين ميلر أن تقدم طلباً جديداً للحصول على ترخيص بناء أو أن تقدم طلباً للحصول على إذن بالتخطيط من البلدية لمحاولة تغيير خطة التنمية التفصيلية التي ستجري دراستها بموجب قانون التخطيط والبناء (900:2010) الصادر في أيار/ مايو</w:t>
            </w:r>
            <w:r w:rsidR="0080473E" w:rsidRPr="00336166">
              <w:rPr>
                <w:rFonts w:hint="eastAsia"/>
                <w:szCs w:val="28"/>
                <w:rtl/>
              </w:rPr>
              <w:t> </w:t>
            </w:r>
            <w:r w:rsidR="0080473E" w:rsidRPr="00336166">
              <w:rPr>
                <w:rFonts w:hint="cs"/>
                <w:szCs w:val="28"/>
                <w:rtl/>
              </w:rPr>
              <w:t xml:space="preserve">2011. ويتطلب مبدأ التناسبية </w:t>
            </w:r>
            <w:r>
              <w:rPr>
                <w:rFonts w:hint="cs"/>
                <w:szCs w:val="28"/>
                <w:rtl/>
              </w:rPr>
              <w:t>تأكيد وجود</w:t>
            </w:r>
            <w:r w:rsidR="0080473E" w:rsidRPr="00336166">
              <w:rPr>
                <w:rFonts w:hint="cs"/>
                <w:szCs w:val="28"/>
                <w:rtl/>
              </w:rPr>
              <w:t xml:space="preserve"> توازن عادل بين الفوائد المترتبة على اتخاذ قرار بشأن مسألة ما والعواقب التي يمكن أن يرتبها هذا القر</w:t>
            </w:r>
            <w:r>
              <w:rPr>
                <w:rFonts w:hint="cs"/>
                <w:szCs w:val="28"/>
                <w:rtl/>
              </w:rPr>
              <w:t>ار على المصالح الخاصة المتعارضة.</w:t>
            </w:r>
          </w:p>
          <w:p w:rsidR="0080473E" w:rsidRPr="00336166" w:rsidRDefault="00336166" w:rsidP="00336166">
            <w:pPr>
              <w:spacing w:before="40" w:after="60" w:line="320" w:lineRule="exact"/>
              <w:ind w:left="57" w:right="57"/>
              <w:rPr>
                <w:rFonts w:hint="cs"/>
                <w:szCs w:val="28"/>
              </w:rPr>
            </w:pPr>
            <w:r>
              <w:rPr>
                <w:szCs w:val="28"/>
                <w:rtl/>
              </w:rPr>
              <w:tab/>
            </w:r>
            <w:r w:rsidR="0080473E" w:rsidRPr="00336166">
              <w:rPr>
                <w:rFonts w:hint="cs"/>
                <w:szCs w:val="28"/>
                <w:rtl/>
              </w:rPr>
              <w:t xml:space="preserve">ووفقاً لقانون إعانات تكييف المنازل، يمكن الحصول على منحة من أجل الشروع في الإجراءات الباهظة التكلفة المتصلة بشراء أو تغيير السكن، شريطة أن تكون هناك أسباب خاصة لذلك. ويمكن </w:t>
            </w:r>
            <w:r>
              <w:rPr>
                <w:rFonts w:hint="cs"/>
                <w:szCs w:val="28"/>
                <w:rtl/>
              </w:rPr>
              <w:t xml:space="preserve">أن تشمل </w:t>
            </w:r>
            <w:r w:rsidR="0080473E" w:rsidRPr="00336166">
              <w:rPr>
                <w:rFonts w:hint="cs"/>
                <w:szCs w:val="28"/>
                <w:rtl/>
              </w:rPr>
              <w:t xml:space="preserve">هذه الأسباب الخاصة شراء منزل متاخم لمؤسسة رعاية </w:t>
            </w:r>
            <w:r>
              <w:rPr>
                <w:rFonts w:hint="cs"/>
                <w:szCs w:val="28"/>
                <w:rtl/>
              </w:rPr>
              <w:t>تتوافر سبل وصول الأشخاص ذوي</w:t>
            </w:r>
            <w:r w:rsidR="0080473E" w:rsidRPr="00336166">
              <w:rPr>
                <w:rFonts w:hint="cs"/>
                <w:szCs w:val="28"/>
                <w:rtl/>
              </w:rPr>
              <w:t xml:space="preserve"> الإعاقة إليها، أو الحالات التي لم يتمكن فيها الأشخاص ذوو الإعاق</w:t>
            </w:r>
            <w:r>
              <w:rPr>
                <w:rFonts w:hint="cs"/>
                <w:szCs w:val="28"/>
                <w:rtl/>
              </w:rPr>
              <w:t>ة من العثور على منزل بديل مناسب.</w:t>
            </w:r>
          </w:p>
          <w:p w:rsidR="0080473E" w:rsidRPr="00336166" w:rsidRDefault="00336166" w:rsidP="00336166">
            <w:pPr>
              <w:spacing w:before="40" w:after="60" w:line="320" w:lineRule="exact"/>
              <w:ind w:left="57" w:right="57"/>
              <w:rPr>
                <w:rFonts w:hint="cs"/>
                <w:szCs w:val="28"/>
                <w:rtl/>
              </w:rPr>
            </w:pPr>
            <w:r>
              <w:rPr>
                <w:szCs w:val="28"/>
                <w:rtl/>
              </w:rPr>
              <w:tab/>
            </w:r>
            <w:r w:rsidR="0080473E" w:rsidRPr="00336166">
              <w:rPr>
                <w:rFonts w:hint="cs"/>
                <w:szCs w:val="28"/>
                <w:rtl/>
              </w:rPr>
              <w:t>وفيما يتعلق بتوصية اللجنة إلى الحكومة بتقديم تعويض كاف إلى صاحبة البلاغ عن التكاليف التي تكبدتها في تقديم هذا البلاغ</w:t>
            </w:r>
            <w:r>
              <w:rPr>
                <w:rFonts w:hint="cs"/>
                <w:szCs w:val="28"/>
                <w:rtl/>
              </w:rPr>
              <w:t>،</w:t>
            </w:r>
            <w:r w:rsidR="0080473E" w:rsidRPr="00336166">
              <w:rPr>
                <w:rFonts w:hint="cs"/>
                <w:szCs w:val="28"/>
                <w:rtl/>
              </w:rPr>
              <w:t xml:space="preserve"> فإن الدولة الطرف لا يقع عليها أي التزام دولي بتعويض صاحبة البلاغ عن التكاليف المتكبدة في إطار إجراءات الشكاوى.</w:t>
            </w:r>
          </w:p>
        </w:tc>
      </w:tr>
      <w:tr w:rsidR="0080473E" w:rsidRPr="00336166" w:rsidTr="00FF1D34">
        <w:tc>
          <w:tcPr>
            <w:tcW w:w="7265" w:type="dxa"/>
            <w:gridSpan w:val="2"/>
            <w:shd w:val="clear" w:color="auto" w:fill="auto"/>
          </w:tcPr>
          <w:p w:rsidR="0080473E" w:rsidRPr="00336166" w:rsidRDefault="0080473E" w:rsidP="0080473E">
            <w:pPr>
              <w:keepNext/>
              <w:keepLines/>
              <w:spacing w:before="40" w:after="60" w:line="320" w:lineRule="exact"/>
              <w:ind w:left="57" w:right="57"/>
              <w:rPr>
                <w:rFonts w:hint="cs"/>
                <w:b/>
                <w:bCs/>
                <w:szCs w:val="28"/>
                <w:rtl/>
              </w:rPr>
            </w:pPr>
            <w:r w:rsidRPr="00336166">
              <w:rPr>
                <w:rFonts w:hint="cs"/>
                <w:b/>
                <w:bCs/>
                <w:szCs w:val="28"/>
                <w:rtl/>
              </w:rPr>
              <w:t>موجز لتعليقات محامي صاحبة البلاغ</w:t>
            </w:r>
          </w:p>
        </w:tc>
      </w:tr>
      <w:tr w:rsidR="0080473E" w:rsidRPr="00336166" w:rsidTr="00FF1D34">
        <w:tc>
          <w:tcPr>
            <w:tcW w:w="7265" w:type="dxa"/>
            <w:gridSpan w:val="2"/>
            <w:shd w:val="clear" w:color="auto" w:fill="auto"/>
          </w:tcPr>
          <w:p w:rsidR="0080473E" w:rsidRPr="00336166" w:rsidRDefault="00336166" w:rsidP="00E751ED">
            <w:pPr>
              <w:spacing w:before="40" w:after="60" w:line="320" w:lineRule="exact"/>
              <w:ind w:left="57" w:right="57"/>
              <w:rPr>
                <w:rFonts w:hint="cs"/>
                <w:szCs w:val="28"/>
              </w:rPr>
            </w:pPr>
            <w:r>
              <w:rPr>
                <w:szCs w:val="28"/>
                <w:rtl/>
              </w:rPr>
              <w:tab/>
            </w:r>
            <w:r>
              <w:rPr>
                <w:rFonts w:hint="cs"/>
                <w:szCs w:val="28"/>
                <w:rtl/>
              </w:rPr>
              <w:t xml:space="preserve">إن </w:t>
            </w:r>
            <w:r w:rsidR="0080473E" w:rsidRPr="00336166">
              <w:rPr>
                <w:rFonts w:hint="cs"/>
                <w:szCs w:val="28"/>
                <w:rtl/>
              </w:rPr>
              <w:t>الإشارة إلى الاستراتيجية الوطنية للأشخاص ذوي الإعاقة وتعليق الحكومة الذي مفاده أنه لا</w:t>
            </w:r>
            <w:r w:rsidR="0080473E" w:rsidRPr="00336166">
              <w:rPr>
                <w:rFonts w:hint="eastAsia"/>
                <w:szCs w:val="28"/>
                <w:rtl/>
              </w:rPr>
              <w:t> </w:t>
            </w:r>
            <w:r w:rsidR="0080473E" w:rsidRPr="00336166">
              <w:rPr>
                <w:rFonts w:hint="cs"/>
                <w:szCs w:val="28"/>
                <w:rtl/>
              </w:rPr>
              <w:t>يمكن</w:t>
            </w:r>
            <w:r>
              <w:rPr>
                <w:rFonts w:hint="cs"/>
                <w:szCs w:val="28"/>
                <w:rtl/>
              </w:rPr>
              <w:t>ها</w:t>
            </w:r>
            <w:r w:rsidR="0080473E" w:rsidRPr="00336166">
              <w:rPr>
                <w:rFonts w:hint="cs"/>
                <w:szCs w:val="28"/>
                <w:rtl/>
              </w:rPr>
              <w:t xml:space="preserve"> </w:t>
            </w:r>
            <w:r>
              <w:rPr>
                <w:rFonts w:hint="cs"/>
                <w:szCs w:val="28"/>
                <w:rtl/>
              </w:rPr>
              <w:t>ال</w:t>
            </w:r>
            <w:r w:rsidR="0080473E" w:rsidRPr="00336166">
              <w:rPr>
                <w:rFonts w:hint="cs"/>
                <w:szCs w:val="28"/>
                <w:rtl/>
              </w:rPr>
              <w:t xml:space="preserve">تدخل </w:t>
            </w:r>
            <w:r>
              <w:rPr>
                <w:rFonts w:hint="cs"/>
                <w:szCs w:val="28"/>
                <w:rtl/>
              </w:rPr>
              <w:t xml:space="preserve">لدى </w:t>
            </w:r>
            <w:r w:rsidR="0080473E" w:rsidRPr="00336166">
              <w:rPr>
                <w:rFonts w:hint="cs"/>
                <w:szCs w:val="28"/>
                <w:rtl/>
              </w:rPr>
              <w:t xml:space="preserve">أي هيئة قضائية بموجب القانون السويدي الدستوري يترك ﻫ. م. دون أي دعم لتنفيذ قرار اللجنة. ويتعين على الحكومة السويدية أن تتحمل المسؤولية </w:t>
            </w:r>
            <w:r w:rsidR="00E751ED">
              <w:rPr>
                <w:rFonts w:hint="cs"/>
                <w:szCs w:val="28"/>
                <w:rtl/>
              </w:rPr>
              <w:t xml:space="preserve">الذاتية </w:t>
            </w:r>
            <w:r w:rsidR="0080473E" w:rsidRPr="00336166">
              <w:rPr>
                <w:rFonts w:hint="cs"/>
                <w:szCs w:val="28"/>
                <w:rtl/>
              </w:rPr>
              <w:t xml:space="preserve">عن التغيير وأن تتدخل </w:t>
            </w:r>
            <w:r w:rsidR="00E751ED">
              <w:rPr>
                <w:rFonts w:hint="cs"/>
                <w:szCs w:val="28"/>
                <w:rtl/>
              </w:rPr>
              <w:t>في ثبت عدم تمكن شخص ذي</w:t>
            </w:r>
            <w:r w:rsidR="0080473E" w:rsidRPr="00336166">
              <w:rPr>
                <w:rFonts w:hint="cs"/>
                <w:szCs w:val="28"/>
                <w:rtl/>
              </w:rPr>
              <w:t xml:space="preserve"> إعاق</w:t>
            </w:r>
            <w:r w:rsidR="00E751ED">
              <w:rPr>
                <w:rFonts w:hint="cs"/>
                <w:szCs w:val="28"/>
                <w:rtl/>
              </w:rPr>
              <w:t>ة من الحصول على حقوقه القانونية.</w:t>
            </w:r>
          </w:p>
          <w:p w:rsidR="0080473E" w:rsidRPr="00336166" w:rsidRDefault="00E751ED" w:rsidP="00E751ED">
            <w:pPr>
              <w:spacing w:before="40" w:after="60" w:line="320" w:lineRule="exact"/>
              <w:ind w:left="57" w:right="57"/>
              <w:rPr>
                <w:rFonts w:hint="cs"/>
                <w:szCs w:val="28"/>
              </w:rPr>
            </w:pPr>
            <w:r>
              <w:rPr>
                <w:szCs w:val="28"/>
                <w:rtl/>
              </w:rPr>
              <w:tab/>
            </w:r>
            <w:r>
              <w:rPr>
                <w:rFonts w:hint="cs"/>
                <w:szCs w:val="28"/>
                <w:rtl/>
              </w:rPr>
              <w:t>و</w:t>
            </w:r>
            <w:r w:rsidR="0080473E" w:rsidRPr="00336166">
              <w:rPr>
                <w:rFonts w:hint="cs"/>
                <w:szCs w:val="28"/>
                <w:rtl/>
              </w:rPr>
              <w:t xml:space="preserve">طلبت الحكومة من ﻫ. م. أن تقدم طلب ترخيص </w:t>
            </w:r>
            <w:r>
              <w:rPr>
                <w:rFonts w:hint="cs"/>
                <w:szCs w:val="28"/>
                <w:rtl/>
              </w:rPr>
              <w:t xml:space="preserve">لرسم تخطيطي، </w:t>
            </w:r>
            <w:r w:rsidR="0080473E" w:rsidRPr="00336166">
              <w:rPr>
                <w:rFonts w:hint="cs"/>
                <w:szCs w:val="28"/>
                <w:rtl/>
              </w:rPr>
              <w:t xml:space="preserve">في حين أوضح رئيس اللجنة المحلية المعنية بإصدار ترخيص </w:t>
            </w:r>
            <w:r>
              <w:rPr>
                <w:rFonts w:hint="cs"/>
                <w:szCs w:val="28"/>
                <w:rtl/>
              </w:rPr>
              <w:t>لرسم تخطيطي</w:t>
            </w:r>
            <w:r w:rsidR="007E5990">
              <w:rPr>
                <w:rFonts w:hint="cs"/>
                <w:szCs w:val="28"/>
                <w:rtl/>
              </w:rPr>
              <w:t>،</w:t>
            </w:r>
            <w:r>
              <w:rPr>
                <w:rFonts w:hint="cs"/>
                <w:szCs w:val="28"/>
                <w:rtl/>
              </w:rPr>
              <w:t xml:space="preserve"> </w:t>
            </w:r>
            <w:r w:rsidR="0080473E" w:rsidRPr="00336166">
              <w:rPr>
                <w:rFonts w:hint="cs"/>
                <w:szCs w:val="28"/>
                <w:rtl/>
              </w:rPr>
              <w:t xml:space="preserve">أن هذه الهيئة ليست في موقف يسمح لها بالموافقة على </w:t>
            </w:r>
            <w:r>
              <w:rPr>
                <w:rFonts w:hint="cs"/>
                <w:szCs w:val="28"/>
                <w:rtl/>
              </w:rPr>
              <w:t xml:space="preserve">إصدار ترخيص لرسم تخطيطي </w:t>
            </w:r>
            <w:r w:rsidR="0080473E" w:rsidRPr="00336166">
              <w:rPr>
                <w:rFonts w:hint="cs"/>
                <w:szCs w:val="28"/>
                <w:rtl/>
              </w:rPr>
              <w:t xml:space="preserve">على أساس الإعاقة. كما أنها ليست في وضع يتيح لها اتخاذ قرار </w:t>
            </w:r>
            <w:r>
              <w:rPr>
                <w:rFonts w:hint="cs"/>
                <w:szCs w:val="28"/>
                <w:rtl/>
              </w:rPr>
              <w:t xml:space="preserve">موضوعي </w:t>
            </w:r>
            <w:r w:rsidR="0080473E" w:rsidRPr="00336166">
              <w:rPr>
                <w:rFonts w:hint="cs"/>
                <w:szCs w:val="28"/>
                <w:rtl/>
              </w:rPr>
              <w:t xml:space="preserve">يوازن بين مصالح الشخص ذي الإعاقة والحق في الحصول على ترخيص </w:t>
            </w:r>
            <w:r>
              <w:rPr>
                <w:rFonts w:hint="cs"/>
                <w:szCs w:val="28"/>
                <w:rtl/>
              </w:rPr>
              <w:t xml:space="preserve">لرسم تخطيطي حيثما كانت هناك بالفعل </w:t>
            </w:r>
            <w:r w:rsidR="0080473E" w:rsidRPr="00336166">
              <w:rPr>
                <w:rFonts w:hint="cs"/>
                <w:szCs w:val="28"/>
                <w:rtl/>
              </w:rPr>
              <w:t xml:space="preserve">خطة </w:t>
            </w:r>
            <w:r>
              <w:rPr>
                <w:rFonts w:hint="cs"/>
                <w:szCs w:val="28"/>
                <w:rtl/>
              </w:rPr>
              <w:t>تفصيلية.</w:t>
            </w:r>
          </w:p>
          <w:p w:rsidR="0080473E" w:rsidRPr="00336166" w:rsidRDefault="00E751ED" w:rsidP="00E751ED">
            <w:pPr>
              <w:spacing w:before="40" w:after="60" w:line="320" w:lineRule="exact"/>
              <w:ind w:left="57" w:right="57"/>
              <w:rPr>
                <w:rFonts w:hint="cs"/>
                <w:szCs w:val="28"/>
              </w:rPr>
            </w:pPr>
            <w:r>
              <w:rPr>
                <w:szCs w:val="28"/>
                <w:rtl/>
              </w:rPr>
              <w:tab/>
            </w:r>
            <w:r w:rsidR="0080473E" w:rsidRPr="00336166">
              <w:rPr>
                <w:rFonts w:hint="cs"/>
                <w:szCs w:val="28"/>
                <w:rtl/>
              </w:rPr>
              <w:t xml:space="preserve">أما فيما يتعلق بالاقتراح بتعديل الخطة التفصيلية، فقد شرح المدير المسؤول على المستوى المحلي بنفسه صعوبات تبرير </w:t>
            </w:r>
            <w:r>
              <w:rPr>
                <w:rFonts w:hint="cs"/>
                <w:szCs w:val="28"/>
                <w:rtl/>
              </w:rPr>
              <w:t xml:space="preserve">إدخال </w:t>
            </w:r>
            <w:r w:rsidR="0080473E" w:rsidRPr="00336166">
              <w:rPr>
                <w:rFonts w:hint="cs"/>
                <w:szCs w:val="28"/>
                <w:rtl/>
              </w:rPr>
              <w:t xml:space="preserve">تغييرات على خطة تفصيلية </w:t>
            </w:r>
            <w:r>
              <w:rPr>
                <w:rFonts w:hint="cs"/>
                <w:szCs w:val="28"/>
                <w:rtl/>
              </w:rPr>
              <w:t xml:space="preserve">على أساس </w:t>
            </w:r>
            <w:r w:rsidR="0080473E" w:rsidRPr="00336166">
              <w:rPr>
                <w:rFonts w:hint="cs"/>
                <w:szCs w:val="28"/>
                <w:rtl/>
              </w:rPr>
              <w:t>احتياجات الشخص ذي الإعاقة. كذلك فإن إعداد خطة تفصيلية وتعديلها يشكلان عملية كبيرة وطويلة جداً تشارك فيها عدة أطراف، ومن غير المؤكد أن التعديل الذي سيجري سيكون في صالح احتياجات ﻫ</w:t>
            </w:r>
            <w:r>
              <w:rPr>
                <w:rFonts w:hint="cs"/>
                <w:szCs w:val="28"/>
                <w:rtl/>
              </w:rPr>
              <w:t>. م.</w:t>
            </w:r>
          </w:p>
          <w:p w:rsidR="0080473E" w:rsidRPr="00336166" w:rsidRDefault="00E751ED" w:rsidP="00E751ED">
            <w:pPr>
              <w:spacing w:before="40" w:after="60" w:line="320" w:lineRule="exact"/>
              <w:ind w:left="57" w:right="57"/>
              <w:rPr>
                <w:rFonts w:hint="cs"/>
                <w:szCs w:val="28"/>
              </w:rPr>
            </w:pPr>
            <w:r>
              <w:rPr>
                <w:szCs w:val="28"/>
                <w:rtl/>
              </w:rPr>
              <w:tab/>
            </w:r>
            <w:r w:rsidR="0080473E" w:rsidRPr="00336166">
              <w:rPr>
                <w:rFonts w:hint="cs"/>
                <w:szCs w:val="28"/>
                <w:rtl/>
              </w:rPr>
              <w:t xml:space="preserve">ولم </w:t>
            </w:r>
            <w:r>
              <w:rPr>
                <w:rFonts w:hint="cs"/>
                <w:szCs w:val="28"/>
                <w:rtl/>
              </w:rPr>
              <w:t xml:space="preserve">تتحمل </w:t>
            </w:r>
            <w:r w:rsidR="0080473E" w:rsidRPr="00336166">
              <w:rPr>
                <w:rFonts w:hint="cs"/>
                <w:szCs w:val="28"/>
                <w:rtl/>
              </w:rPr>
              <w:t xml:space="preserve">الحكومة والسلطات الوطنية </w:t>
            </w:r>
            <w:r>
              <w:rPr>
                <w:rFonts w:hint="cs"/>
                <w:szCs w:val="28"/>
                <w:rtl/>
              </w:rPr>
              <w:t xml:space="preserve">مسؤوليتها في </w:t>
            </w:r>
            <w:r w:rsidR="0080473E" w:rsidRPr="00336166">
              <w:rPr>
                <w:rFonts w:hint="cs"/>
                <w:szCs w:val="28"/>
                <w:rtl/>
              </w:rPr>
              <w:t>هذه الحالة، وبذلك تكون قد مارست التمييز ضد حقوق الشخص ذي الإعاقة؛</w:t>
            </w:r>
          </w:p>
          <w:p w:rsidR="0080473E" w:rsidRPr="00336166" w:rsidRDefault="00E751ED" w:rsidP="00E751ED">
            <w:pPr>
              <w:spacing w:before="40" w:after="60" w:line="320" w:lineRule="exact"/>
              <w:ind w:left="57" w:right="57"/>
              <w:rPr>
                <w:rFonts w:hint="cs"/>
                <w:szCs w:val="28"/>
              </w:rPr>
            </w:pPr>
            <w:r>
              <w:rPr>
                <w:szCs w:val="28"/>
                <w:rtl/>
              </w:rPr>
              <w:tab/>
            </w:r>
            <w:r>
              <w:rPr>
                <w:rFonts w:hint="cs"/>
                <w:szCs w:val="28"/>
                <w:rtl/>
              </w:rPr>
              <w:t xml:space="preserve">لقد </w:t>
            </w:r>
            <w:r w:rsidR="0080473E" w:rsidRPr="00336166">
              <w:rPr>
                <w:rFonts w:hint="cs"/>
                <w:szCs w:val="28"/>
                <w:rtl/>
              </w:rPr>
              <w:t xml:space="preserve">أنشأت </w:t>
            </w:r>
            <w:r>
              <w:rPr>
                <w:rFonts w:hint="cs"/>
                <w:szCs w:val="28"/>
                <w:rtl/>
              </w:rPr>
              <w:t xml:space="preserve">ه‍. م. </w:t>
            </w:r>
            <w:r w:rsidR="0080473E" w:rsidRPr="00336166">
              <w:rPr>
                <w:rFonts w:hint="cs"/>
                <w:szCs w:val="28"/>
                <w:rtl/>
              </w:rPr>
              <w:t xml:space="preserve">سكنها منذ عدة أعوام بمنحة من البلدية </w:t>
            </w:r>
            <w:r>
              <w:rPr>
                <w:rFonts w:hint="cs"/>
                <w:szCs w:val="28"/>
                <w:rtl/>
              </w:rPr>
              <w:t xml:space="preserve">لإدخال تعديلات على </w:t>
            </w:r>
            <w:r w:rsidR="0080473E" w:rsidRPr="00336166">
              <w:rPr>
                <w:rFonts w:hint="cs"/>
                <w:szCs w:val="28"/>
                <w:rtl/>
              </w:rPr>
              <w:t>السكن. ومنذ ذلك الحين</w:t>
            </w:r>
            <w:r>
              <w:rPr>
                <w:rFonts w:hint="cs"/>
                <w:szCs w:val="28"/>
                <w:rtl/>
              </w:rPr>
              <w:t>،</w:t>
            </w:r>
            <w:r w:rsidR="0080473E" w:rsidRPr="00336166">
              <w:rPr>
                <w:rFonts w:hint="cs"/>
                <w:szCs w:val="28"/>
                <w:rtl/>
              </w:rPr>
              <w:t xml:space="preserve"> تدهورت صحتها بشكل كبير، ولا يمكن أن تحصل على الخدمة أو يُعاد تأهيلها إلا في منزلها</w:t>
            </w:r>
            <w:r w:rsidR="0080473E" w:rsidRPr="00336166">
              <w:rPr>
                <w:rFonts w:hint="eastAsia"/>
                <w:szCs w:val="28"/>
                <w:rtl/>
              </w:rPr>
              <w:t> </w:t>
            </w:r>
            <w:r w:rsidR="0080473E" w:rsidRPr="00336166">
              <w:rPr>
                <w:rFonts w:hint="cs"/>
                <w:szCs w:val="28"/>
                <w:rtl/>
              </w:rPr>
              <w:t>هذا لتفادي المزيد من الإصابات. وذكرت الحكومة أنه يمكن ل‍</w:t>
            </w:r>
            <w:r w:rsidR="0080473E" w:rsidRPr="00336166">
              <w:rPr>
                <w:rFonts w:hint="eastAsia"/>
                <w:szCs w:val="28"/>
                <w:rtl/>
              </w:rPr>
              <w:t> </w:t>
            </w:r>
            <w:r w:rsidR="0080473E" w:rsidRPr="00336166">
              <w:rPr>
                <w:rFonts w:hint="cs"/>
                <w:szCs w:val="28"/>
                <w:rtl/>
              </w:rPr>
              <w:t>ﻫ. م. أن تقدم طلباً للحصول على منحة لسكن جديد في حال انتقالها من منزلها ل‍</w:t>
            </w:r>
            <w:r w:rsidR="0080473E" w:rsidRPr="00336166">
              <w:rPr>
                <w:rFonts w:hint="eastAsia"/>
                <w:szCs w:val="28"/>
                <w:rtl/>
              </w:rPr>
              <w:t xml:space="preserve"> "أسباب خاصة"، مثل القرب من مؤسسة للرعاية الصحية. </w:t>
            </w:r>
            <w:r w:rsidR="0080473E" w:rsidRPr="00336166">
              <w:rPr>
                <w:rFonts w:hint="cs"/>
                <w:szCs w:val="28"/>
                <w:rtl/>
              </w:rPr>
              <w:t>ومع ذلك</w:t>
            </w:r>
            <w:r>
              <w:rPr>
                <w:rFonts w:hint="cs"/>
                <w:szCs w:val="28"/>
                <w:rtl/>
              </w:rPr>
              <w:t>،</w:t>
            </w:r>
            <w:r w:rsidR="0080473E" w:rsidRPr="00336166">
              <w:rPr>
                <w:rFonts w:hint="cs"/>
                <w:szCs w:val="28"/>
                <w:rtl/>
              </w:rPr>
              <w:t xml:space="preserve"> فإن إجراء أي تعديل جديد في السكن لن يكون مجدياً، ما لم يصاحبه ترخيص ببناء حمام السباحة المطلوب لعلاج ﻫ.</w:t>
            </w:r>
            <w:r w:rsidR="0080473E" w:rsidRPr="00336166">
              <w:rPr>
                <w:rFonts w:hint="eastAsia"/>
                <w:szCs w:val="28"/>
                <w:rtl/>
              </w:rPr>
              <w:t> </w:t>
            </w:r>
            <w:r w:rsidR="0080473E" w:rsidRPr="00336166">
              <w:rPr>
                <w:rFonts w:hint="cs"/>
                <w:szCs w:val="28"/>
                <w:rtl/>
              </w:rPr>
              <w:t>م. وإذا لم يحدث ذلك، فإن ﻫ. م. ستضطر للإقامة في مؤسسة صحية متخصصة. وينبغي ألا تضطر إلى ترك منزلها</w:t>
            </w:r>
            <w:r w:rsidR="0080473E" w:rsidRPr="00336166">
              <w:rPr>
                <w:rFonts w:hint="eastAsia"/>
                <w:szCs w:val="28"/>
                <w:rtl/>
              </w:rPr>
              <w:t> </w:t>
            </w:r>
            <w:r w:rsidR="0080473E" w:rsidRPr="00336166">
              <w:rPr>
                <w:rFonts w:hint="cs"/>
                <w:szCs w:val="28"/>
                <w:rtl/>
              </w:rPr>
              <w:t>بسبب عدم قدرة السلطات على اتخاذ تدابير لصالح الأشخاص ذوي الإعاقة؛</w:t>
            </w:r>
            <w:r w:rsidR="007E5990">
              <w:rPr>
                <w:rFonts w:hint="cs"/>
                <w:szCs w:val="28"/>
                <w:rtl/>
              </w:rPr>
              <w:t>.</w:t>
            </w:r>
          </w:p>
          <w:p w:rsidR="0080473E" w:rsidRPr="00336166" w:rsidRDefault="00E751ED" w:rsidP="007E5990">
            <w:pPr>
              <w:spacing w:before="40" w:after="60" w:line="320" w:lineRule="exact"/>
              <w:ind w:left="57" w:right="57"/>
              <w:rPr>
                <w:rFonts w:hint="cs"/>
                <w:szCs w:val="28"/>
              </w:rPr>
            </w:pPr>
            <w:r>
              <w:rPr>
                <w:szCs w:val="28"/>
                <w:rtl/>
              </w:rPr>
              <w:tab/>
            </w:r>
            <w:r w:rsidR="0080473E" w:rsidRPr="00336166">
              <w:rPr>
                <w:rFonts w:hint="cs"/>
                <w:szCs w:val="28"/>
                <w:rtl/>
              </w:rPr>
              <w:t>والتكاليف المتكبدة في الإجراءات التي ت</w:t>
            </w:r>
            <w:r>
              <w:rPr>
                <w:rFonts w:hint="cs"/>
                <w:szCs w:val="28"/>
                <w:rtl/>
              </w:rPr>
              <w:t>م الاضطلاع بها بلغت 000 35 كرونة</w:t>
            </w:r>
            <w:r w:rsidR="0080473E" w:rsidRPr="00336166">
              <w:rPr>
                <w:rFonts w:hint="cs"/>
                <w:szCs w:val="28"/>
                <w:rtl/>
              </w:rPr>
              <w:t xml:space="preserve"> سويدية </w:t>
            </w:r>
            <w:r>
              <w:rPr>
                <w:rFonts w:hint="cs"/>
                <w:szCs w:val="28"/>
                <w:rtl/>
              </w:rPr>
              <w:t xml:space="preserve">(قرابة </w:t>
            </w:r>
            <w:r w:rsidR="007E5990">
              <w:rPr>
                <w:rFonts w:hint="cs"/>
                <w:szCs w:val="28"/>
                <w:rtl/>
              </w:rPr>
              <w:t>035 4</w:t>
            </w:r>
            <w:r>
              <w:rPr>
                <w:rFonts w:hint="cs"/>
                <w:szCs w:val="28"/>
                <w:rtl/>
              </w:rPr>
              <w:t xml:space="preserve"> يورو).</w:t>
            </w:r>
            <w:r w:rsidR="0080473E" w:rsidRPr="00336166">
              <w:rPr>
                <w:rFonts w:hint="cs"/>
                <w:szCs w:val="28"/>
                <w:rtl/>
              </w:rPr>
              <w:t xml:space="preserve">كما أن رفض الحكومة تقديم تعويض مناسب إلى صاحبة البلاغ عما تكبدته من تكاليف يشكل انتهاكاً آخر لحقوق ﻫ. م.، </w:t>
            </w:r>
            <w:r>
              <w:rPr>
                <w:rFonts w:hint="cs"/>
                <w:szCs w:val="28"/>
                <w:rtl/>
              </w:rPr>
              <w:t xml:space="preserve">لأن عليها </w:t>
            </w:r>
            <w:r w:rsidR="0080473E" w:rsidRPr="00336166">
              <w:rPr>
                <w:rFonts w:hint="cs"/>
                <w:szCs w:val="28"/>
                <w:rtl/>
              </w:rPr>
              <w:t xml:space="preserve">تحمل نفقات علاجها الطبي وإجراء تعديلات في منزلها بحيث يكون ملائماً لاحتياجاتها. </w:t>
            </w:r>
            <w:r>
              <w:rPr>
                <w:rFonts w:hint="cs"/>
                <w:szCs w:val="28"/>
                <w:rtl/>
              </w:rPr>
              <w:t xml:space="preserve">وستكون هناك </w:t>
            </w:r>
            <w:r w:rsidR="0080473E" w:rsidRPr="00336166">
              <w:rPr>
                <w:rFonts w:hint="cs"/>
                <w:szCs w:val="28"/>
                <w:rtl/>
              </w:rPr>
              <w:t xml:space="preserve">تكاليف </w:t>
            </w:r>
            <w:r>
              <w:rPr>
                <w:rFonts w:hint="cs"/>
                <w:szCs w:val="28"/>
                <w:rtl/>
              </w:rPr>
              <w:t xml:space="preserve">إضافية سيتحتم </w:t>
            </w:r>
            <w:r w:rsidR="00D94A72">
              <w:rPr>
                <w:rFonts w:hint="cs"/>
                <w:szCs w:val="28"/>
                <w:rtl/>
              </w:rPr>
              <w:t>مواجهتها أيضاً في حالة تقديم</w:t>
            </w:r>
            <w:r w:rsidR="0080473E" w:rsidRPr="00336166">
              <w:rPr>
                <w:rFonts w:hint="cs"/>
                <w:szCs w:val="28"/>
                <w:rtl/>
              </w:rPr>
              <w:t xml:space="preserve"> </w:t>
            </w:r>
            <w:r w:rsidR="00D94A72">
              <w:rPr>
                <w:rFonts w:hint="cs"/>
                <w:szCs w:val="28"/>
                <w:rtl/>
              </w:rPr>
              <w:t>طلب جديد للحصول على ترخيص لرسم تخطيطي</w:t>
            </w:r>
            <w:r w:rsidR="0080473E" w:rsidRPr="00336166">
              <w:rPr>
                <w:rFonts w:hint="cs"/>
                <w:szCs w:val="28"/>
                <w:rtl/>
              </w:rPr>
              <w:t>، في وقت ارتفعت فيه تكاليف هذا الترخيص ارتفاعاً كبيراً منذ الطلب الأول الذي قدمته ﻫ. م. وينبغي ألا يعاني الأشخاص ذوو الإعاقة من الناحية المالية بسبب القرارات غ</w:t>
            </w:r>
            <w:r w:rsidR="00D94A72">
              <w:rPr>
                <w:rFonts w:hint="cs"/>
                <w:szCs w:val="28"/>
                <w:rtl/>
              </w:rPr>
              <w:t>ير المعقولة التي تتخذها السلطات.</w:t>
            </w:r>
          </w:p>
          <w:p w:rsidR="0080473E" w:rsidRPr="00336166" w:rsidRDefault="00D94A72" w:rsidP="00336166">
            <w:pPr>
              <w:spacing w:before="40" w:after="60" w:line="320" w:lineRule="exact"/>
              <w:ind w:left="57" w:right="57"/>
              <w:rPr>
                <w:rFonts w:hint="cs"/>
                <w:szCs w:val="28"/>
                <w:rtl/>
              </w:rPr>
            </w:pPr>
            <w:r>
              <w:rPr>
                <w:szCs w:val="28"/>
                <w:rtl/>
              </w:rPr>
              <w:tab/>
            </w:r>
            <w:r>
              <w:rPr>
                <w:rFonts w:hint="cs"/>
                <w:szCs w:val="28"/>
                <w:rtl/>
              </w:rPr>
              <w:t>و</w:t>
            </w:r>
            <w:r w:rsidR="0080473E" w:rsidRPr="00336166">
              <w:rPr>
                <w:rFonts w:hint="cs"/>
                <w:szCs w:val="28"/>
                <w:rtl/>
              </w:rPr>
              <w:t xml:space="preserve">لم تبذل الحكومة أي جهد لمعالجة هذه المسألة على </w:t>
            </w:r>
            <w:r>
              <w:rPr>
                <w:rFonts w:hint="cs"/>
                <w:szCs w:val="28"/>
                <w:rtl/>
              </w:rPr>
              <w:t>وجه السرعة</w:t>
            </w:r>
            <w:r w:rsidR="0080473E" w:rsidRPr="00336166">
              <w:rPr>
                <w:rFonts w:hint="cs"/>
                <w:szCs w:val="28"/>
                <w:rtl/>
              </w:rPr>
              <w:t>، مع أن التناول السريع لهذه المسألة مطلوب بالنظر إلى الطبيعة والاحتياجات الواضحة لهذه الحالة. ومما يؤسف له أن الاستراتيجية الوطنية للأشخاص ذوي الإعاقة لا تصل إلى الأشخاص ذوي الإعاقة الذين يحتاجون إلى دعم ومساعدة. وبذا تستمر الدولة في انتهاك الاتفاقية.</w:t>
            </w:r>
          </w:p>
        </w:tc>
      </w:tr>
      <w:tr w:rsidR="0080473E" w:rsidRPr="00336166" w:rsidTr="00FF1D34">
        <w:tc>
          <w:tcPr>
            <w:tcW w:w="7265" w:type="dxa"/>
            <w:gridSpan w:val="2"/>
            <w:shd w:val="clear" w:color="auto" w:fill="auto"/>
          </w:tcPr>
          <w:p w:rsidR="0080473E" w:rsidRPr="00D94A72" w:rsidRDefault="0080473E" w:rsidP="0080473E">
            <w:pPr>
              <w:spacing w:before="40" w:after="60" w:line="320" w:lineRule="exact"/>
              <w:ind w:left="57" w:right="57"/>
              <w:rPr>
                <w:rFonts w:hint="cs"/>
                <w:b/>
                <w:szCs w:val="28"/>
                <w:rtl/>
              </w:rPr>
            </w:pPr>
            <w:r w:rsidRPr="00D94A72">
              <w:rPr>
                <w:rFonts w:hint="cs"/>
                <w:b/>
                <w:bCs/>
                <w:szCs w:val="28"/>
                <w:rtl/>
              </w:rPr>
              <w:t>تقييم اللجنة</w:t>
            </w:r>
          </w:p>
        </w:tc>
      </w:tr>
      <w:tr w:rsidR="0080473E" w:rsidRPr="00336166" w:rsidTr="00FF1D34">
        <w:tc>
          <w:tcPr>
            <w:tcW w:w="7265" w:type="dxa"/>
            <w:gridSpan w:val="2"/>
            <w:shd w:val="clear" w:color="auto" w:fill="auto"/>
          </w:tcPr>
          <w:p w:rsidR="0080473E" w:rsidRPr="00336166" w:rsidRDefault="0080473E" w:rsidP="0080473E">
            <w:pPr>
              <w:spacing w:before="40" w:after="60" w:line="320" w:lineRule="exact"/>
              <w:ind w:left="57" w:right="57"/>
              <w:rPr>
                <w:rFonts w:hint="cs"/>
                <w:b/>
                <w:szCs w:val="28"/>
                <w:rtl/>
              </w:rPr>
            </w:pPr>
            <w:r w:rsidRPr="00336166">
              <w:rPr>
                <w:rFonts w:hint="cs"/>
                <w:b/>
                <w:bCs/>
                <w:szCs w:val="28"/>
                <w:rtl/>
              </w:rPr>
              <w:t>[جيم 1]: الإجراءات المتخذة لم تعالج الحالة قيد النظر.</w:t>
            </w:r>
          </w:p>
        </w:tc>
      </w:tr>
      <w:tr w:rsidR="0080473E" w:rsidRPr="00336166" w:rsidTr="00FF1D34">
        <w:tc>
          <w:tcPr>
            <w:tcW w:w="7265" w:type="dxa"/>
            <w:gridSpan w:val="2"/>
            <w:shd w:val="clear" w:color="auto" w:fill="auto"/>
          </w:tcPr>
          <w:p w:rsidR="0080473E" w:rsidRPr="00336166" w:rsidRDefault="00D94A72" w:rsidP="0080473E">
            <w:pPr>
              <w:spacing w:before="40" w:after="60" w:line="320" w:lineRule="exact"/>
              <w:ind w:left="57" w:right="57"/>
              <w:rPr>
                <w:rFonts w:hint="cs"/>
                <w:b/>
                <w:szCs w:val="28"/>
                <w:rtl/>
              </w:rPr>
            </w:pPr>
            <w:r>
              <w:rPr>
                <w:szCs w:val="28"/>
                <w:rtl/>
              </w:rPr>
              <w:tab/>
            </w:r>
            <w:r>
              <w:rPr>
                <w:rFonts w:hint="cs"/>
                <w:szCs w:val="28"/>
                <w:rtl/>
              </w:rPr>
              <w:t>ستطلب ا</w:t>
            </w:r>
            <w:r w:rsidR="0080473E" w:rsidRPr="00336166">
              <w:rPr>
                <w:rFonts w:hint="cs"/>
                <w:szCs w:val="28"/>
                <w:rtl/>
              </w:rPr>
              <w:t xml:space="preserve">للجنة </w:t>
            </w:r>
            <w:r>
              <w:rPr>
                <w:rFonts w:hint="cs"/>
                <w:szCs w:val="28"/>
                <w:rtl/>
              </w:rPr>
              <w:t xml:space="preserve">عقد اجتماع </w:t>
            </w:r>
            <w:r w:rsidR="0080473E" w:rsidRPr="00336166">
              <w:rPr>
                <w:rFonts w:hint="cs"/>
                <w:szCs w:val="28"/>
                <w:rtl/>
              </w:rPr>
              <w:t>مع البعثة الدائمة للدولة الطرف لتوضيح موقفها بشأن الآراء ولبيان أن الرد المقدم غير مرض. وفي سبيل الإعداد ل</w:t>
            </w:r>
            <w:r>
              <w:rPr>
                <w:rFonts w:hint="cs"/>
                <w:szCs w:val="28"/>
                <w:rtl/>
              </w:rPr>
              <w:t>هذا</w:t>
            </w:r>
            <w:r w:rsidR="0080473E" w:rsidRPr="00336166">
              <w:rPr>
                <w:rFonts w:hint="cs"/>
                <w:szCs w:val="28"/>
                <w:rtl/>
              </w:rPr>
              <w:t xml:space="preserve"> </w:t>
            </w:r>
            <w:r>
              <w:rPr>
                <w:rFonts w:hint="cs"/>
                <w:szCs w:val="28"/>
                <w:rtl/>
              </w:rPr>
              <w:t>الاجتماع</w:t>
            </w:r>
            <w:r w:rsidR="0080473E" w:rsidRPr="00336166">
              <w:rPr>
                <w:rFonts w:hint="cs"/>
                <w:szCs w:val="28"/>
                <w:rtl/>
              </w:rPr>
              <w:t xml:space="preserve">، </w:t>
            </w:r>
            <w:r>
              <w:rPr>
                <w:rFonts w:hint="cs"/>
                <w:szCs w:val="28"/>
                <w:rtl/>
              </w:rPr>
              <w:t xml:space="preserve">سيتم </w:t>
            </w:r>
            <w:r w:rsidR="0080473E" w:rsidRPr="00336166">
              <w:rPr>
                <w:rFonts w:hint="cs"/>
                <w:szCs w:val="28"/>
                <w:rtl/>
              </w:rPr>
              <w:t>إرسال خطاب إلى الدولة الطرف يُطلب فيه من جديد معلومات بشأن الخطوات المتخذة لتنفيذ الآراء.</w:t>
            </w:r>
          </w:p>
        </w:tc>
      </w:tr>
      <w:tr w:rsidR="0080473E" w:rsidRPr="00336166" w:rsidTr="00FF1D34">
        <w:tc>
          <w:tcPr>
            <w:tcW w:w="7265" w:type="dxa"/>
            <w:gridSpan w:val="2"/>
            <w:shd w:val="clear" w:color="auto" w:fill="auto"/>
          </w:tcPr>
          <w:p w:rsidR="0080473E" w:rsidRPr="00D94A72" w:rsidRDefault="0080473E" w:rsidP="0080473E">
            <w:pPr>
              <w:spacing w:before="40" w:after="60" w:line="320" w:lineRule="exact"/>
              <w:ind w:left="57" w:right="57"/>
              <w:rPr>
                <w:rFonts w:hint="cs"/>
                <w:b/>
                <w:szCs w:val="28"/>
                <w:rtl/>
              </w:rPr>
            </w:pPr>
            <w:r w:rsidRPr="00D94A72">
              <w:rPr>
                <w:rFonts w:hint="cs"/>
                <w:b/>
                <w:bCs/>
                <w:szCs w:val="28"/>
                <w:rtl/>
              </w:rPr>
              <w:t>الفقرة 9-2</w:t>
            </w:r>
          </w:p>
        </w:tc>
      </w:tr>
      <w:tr w:rsidR="0080473E" w:rsidRPr="00336166" w:rsidTr="00FF1D34">
        <w:tc>
          <w:tcPr>
            <w:tcW w:w="7265" w:type="dxa"/>
            <w:gridSpan w:val="2"/>
            <w:shd w:val="clear" w:color="auto" w:fill="auto"/>
          </w:tcPr>
          <w:p w:rsidR="0080473E" w:rsidRPr="00D94A72" w:rsidRDefault="00D94A72" w:rsidP="00D94A72">
            <w:pPr>
              <w:spacing w:before="40" w:after="60" w:line="320" w:lineRule="exact"/>
              <w:ind w:left="680" w:right="57"/>
              <w:rPr>
                <w:rFonts w:hint="cs"/>
                <w:szCs w:val="28"/>
                <w:rtl/>
              </w:rPr>
            </w:pPr>
            <w:r>
              <w:rPr>
                <w:szCs w:val="28"/>
                <w:rtl/>
              </w:rPr>
              <w:tab/>
            </w:r>
            <w:r w:rsidR="0080473E" w:rsidRPr="00D94A72">
              <w:rPr>
                <w:rFonts w:hint="cs"/>
                <w:szCs w:val="28"/>
                <w:rtl/>
              </w:rPr>
              <w:t>على الدولة الطرف التزام باتخاذ خطوات لمنع حدوث انتهاكات مماثلة في المستقبل، بما في ذلك عن طريق كفالة اتساق تشريعها والطريقة التي تطبقه بها محاكمها المحلية مع التزامات الدولة الطرف بكفالة ألا يكون غرض التشريع أو أثره تعطيل أو إبطال الاعتراف بأي حق من حقوق الأشخاص ذوي الإعاقة أو التمتع بها أو ممارستها على قدم المساواة مع الآخرين.</w:t>
            </w:r>
          </w:p>
        </w:tc>
      </w:tr>
      <w:tr w:rsidR="0080473E" w:rsidRPr="00336166" w:rsidTr="00FF1D34">
        <w:tc>
          <w:tcPr>
            <w:tcW w:w="7265" w:type="dxa"/>
            <w:gridSpan w:val="2"/>
            <w:shd w:val="clear" w:color="auto" w:fill="auto"/>
          </w:tcPr>
          <w:p w:rsidR="0080473E" w:rsidRPr="00D94A72" w:rsidRDefault="0080473E" w:rsidP="0080473E">
            <w:pPr>
              <w:spacing w:before="40" w:after="60" w:line="320" w:lineRule="exact"/>
              <w:ind w:left="57" w:right="57"/>
              <w:rPr>
                <w:rFonts w:hint="cs"/>
                <w:b/>
                <w:szCs w:val="28"/>
                <w:rtl/>
              </w:rPr>
            </w:pPr>
            <w:r w:rsidRPr="00D94A72">
              <w:rPr>
                <w:rFonts w:hint="cs"/>
                <w:b/>
                <w:bCs/>
                <w:szCs w:val="28"/>
                <w:rtl/>
              </w:rPr>
              <w:t>موجز رد الدولة الطرف</w:t>
            </w:r>
          </w:p>
        </w:tc>
      </w:tr>
      <w:tr w:rsidR="0080473E" w:rsidRPr="00336166" w:rsidTr="00FF1D34">
        <w:tc>
          <w:tcPr>
            <w:tcW w:w="7265" w:type="dxa"/>
            <w:gridSpan w:val="2"/>
            <w:shd w:val="clear" w:color="auto" w:fill="auto"/>
          </w:tcPr>
          <w:p w:rsidR="0080473E" w:rsidRDefault="00D94A72" w:rsidP="00D94A72">
            <w:pPr>
              <w:spacing w:before="40" w:after="60" w:line="320" w:lineRule="exact"/>
              <w:ind w:left="57" w:right="57"/>
              <w:rPr>
                <w:rFonts w:hint="cs"/>
                <w:szCs w:val="28"/>
                <w:rtl/>
              </w:rPr>
            </w:pPr>
            <w:r>
              <w:rPr>
                <w:szCs w:val="28"/>
                <w:rtl/>
              </w:rPr>
              <w:tab/>
            </w:r>
            <w:r w:rsidR="0080473E" w:rsidRPr="00336166">
              <w:rPr>
                <w:rFonts w:hint="cs"/>
                <w:szCs w:val="28"/>
                <w:rtl/>
              </w:rPr>
              <w:t xml:space="preserve">إن نقطة الانطلاق </w:t>
            </w:r>
            <w:r>
              <w:rPr>
                <w:rFonts w:hint="cs"/>
                <w:szCs w:val="28"/>
                <w:rtl/>
              </w:rPr>
              <w:t>ل</w:t>
            </w:r>
            <w:r w:rsidR="0080473E" w:rsidRPr="00336166">
              <w:rPr>
                <w:rFonts w:hint="cs"/>
                <w:szCs w:val="28"/>
                <w:rtl/>
              </w:rPr>
              <w:t>لنظر في الشكاوى التي تقدم بموجب البروتوكول الاختياري الملحق با</w:t>
            </w:r>
            <w:r>
              <w:rPr>
                <w:rFonts w:hint="cs"/>
                <w:szCs w:val="28"/>
                <w:rtl/>
              </w:rPr>
              <w:t>لا</w:t>
            </w:r>
            <w:r w:rsidR="0080473E" w:rsidRPr="00336166">
              <w:rPr>
                <w:rFonts w:hint="cs"/>
                <w:szCs w:val="28"/>
                <w:rtl/>
              </w:rPr>
              <w:t>تفاقية هي أن عبء إثبات انتهاك مزعوم يقع، على الأقل في البداية، على عاتق صاحب الشكوى. ولا تتناول آراء اللجنة هذه المسألة، التي أث</w:t>
            </w:r>
            <w:r>
              <w:rPr>
                <w:rFonts w:hint="cs"/>
                <w:szCs w:val="28"/>
                <w:rtl/>
              </w:rPr>
              <w:t>ارتها الدولة الطرف في تعليقاتها.</w:t>
            </w:r>
          </w:p>
          <w:p w:rsidR="009E40A4" w:rsidRPr="00336166" w:rsidRDefault="009E40A4" w:rsidP="009E40A4">
            <w:pPr>
              <w:spacing w:before="40" w:after="60" w:line="320" w:lineRule="exact"/>
              <w:ind w:left="57" w:right="57"/>
              <w:rPr>
                <w:rFonts w:hint="cs"/>
                <w:szCs w:val="28"/>
              </w:rPr>
            </w:pPr>
          </w:p>
          <w:p w:rsidR="0080473E" w:rsidRPr="00D94A72" w:rsidRDefault="00D94A72" w:rsidP="007E5990">
            <w:pPr>
              <w:spacing w:before="40" w:after="60" w:line="320" w:lineRule="exact"/>
              <w:ind w:left="57" w:right="57"/>
              <w:rPr>
                <w:rFonts w:hint="cs"/>
                <w:szCs w:val="28"/>
              </w:rPr>
            </w:pPr>
            <w:r>
              <w:rPr>
                <w:szCs w:val="28"/>
                <w:rtl/>
              </w:rPr>
              <w:tab/>
            </w:r>
            <w:r>
              <w:rPr>
                <w:rFonts w:hint="cs"/>
                <w:szCs w:val="28"/>
                <w:rtl/>
              </w:rPr>
              <w:t>و</w:t>
            </w:r>
            <w:r w:rsidR="0080473E" w:rsidRPr="00D94A72">
              <w:rPr>
                <w:rFonts w:hint="cs"/>
                <w:szCs w:val="28"/>
                <w:rtl/>
              </w:rPr>
              <w:t xml:space="preserve">لم </w:t>
            </w:r>
            <w:r w:rsidR="0080473E" w:rsidRPr="00336166">
              <w:rPr>
                <w:rFonts w:hint="cs"/>
                <w:szCs w:val="28"/>
                <w:rtl/>
              </w:rPr>
              <w:t>تتمكن</w:t>
            </w:r>
            <w:r w:rsidR="0080473E" w:rsidRPr="00D94A72">
              <w:rPr>
                <w:rFonts w:hint="cs"/>
                <w:szCs w:val="28"/>
                <w:rtl/>
              </w:rPr>
              <w:t xml:space="preserve"> صاحبة الشكوى من تقديم الدليل على الظروف الفعلية التي </w:t>
            </w:r>
            <w:r>
              <w:rPr>
                <w:rFonts w:hint="cs"/>
                <w:szCs w:val="28"/>
                <w:rtl/>
              </w:rPr>
              <w:t xml:space="preserve">أسست، </w:t>
            </w:r>
            <w:r w:rsidR="0080473E" w:rsidRPr="00D94A72">
              <w:rPr>
                <w:rFonts w:hint="cs"/>
                <w:szCs w:val="28"/>
                <w:rtl/>
              </w:rPr>
              <w:t xml:space="preserve">عليها ادعاءها. </w:t>
            </w:r>
            <w:r w:rsidR="007E5990">
              <w:rPr>
                <w:rFonts w:hint="cs"/>
                <w:szCs w:val="28"/>
                <w:rtl/>
              </w:rPr>
              <w:t>ف</w:t>
            </w:r>
            <w:r w:rsidR="0080473E" w:rsidRPr="00D94A72">
              <w:rPr>
                <w:rFonts w:hint="cs"/>
                <w:szCs w:val="28"/>
                <w:rtl/>
              </w:rPr>
              <w:t>لم تثبت أن المجلس المحلي لم يف بحقها القانوني ف</w:t>
            </w:r>
            <w:r>
              <w:rPr>
                <w:rFonts w:hint="cs"/>
                <w:szCs w:val="28"/>
                <w:rtl/>
              </w:rPr>
              <w:t>ي الرعاية الصحية وإعادة التأهيل.</w:t>
            </w:r>
          </w:p>
          <w:p w:rsidR="0080473E" w:rsidRPr="00336166" w:rsidRDefault="00D94A72" w:rsidP="00D94A72">
            <w:pPr>
              <w:spacing w:before="40" w:after="60" w:line="320" w:lineRule="exact"/>
              <w:ind w:left="57" w:right="57"/>
              <w:rPr>
                <w:rFonts w:hint="cs"/>
                <w:szCs w:val="28"/>
              </w:rPr>
            </w:pPr>
            <w:r>
              <w:rPr>
                <w:szCs w:val="28"/>
                <w:rtl/>
              </w:rPr>
              <w:tab/>
            </w:r>
            <w:r>
              <w:rPr>
                <w:rFonts w:hint="cs"/>
                <w:szCs w:val="28"/>
                <w:rtl/>
              </w:rPr>
              <w:t xml:space="preserve">ويتسق </w:t>
            </w:r>
            <w:r w:rsidR="0080473E" w:rsidRPr="00336166">
              <w:rPr>
                <w:rFonts w:hint="cs"/>
                <w:szCs w:val="28"/>
                <w:rtl/>
              </w:rPr>
              <w:t>التشريع السويدي مع مواد الاتفاقية التي احتجت بها صاحبة الشكوى. ولا</w:t>
            </w:r>
            <w:r w:rsidR="0080473E" w:rsidRPr="00336166">
              <w:rPr>
                <w:rFonts w:hint="eastAsia"/>
                <w:szCs w:val="28"/>
                <w:rtl/>
              </w:rPr>
              <w:t> </w:t>
            </w:r>
            <w:r w:rsidR="0080473E" w:rsidRPr="00336166">
              <w:rPr>
                <w:rFonts w:hint="cs"/>
                <w:szCs w:val="28"/>
                <w:rtl/>
              </w:rPr>
              <w:t>يمكن تقييم اتساق تشريع السويد مع مواد الاتفاقية فيما يتعلق فقط بقانون التخطيط والبناء الذي لا يتمثل الهدف منه في الدفاع عن الحقوق المتعلقة بصحة الأشخاص ذوي الإعاقة. ويجب أن تؤخذ في الاعتبار قوانين أخرى أكثر صلة بالموضوع، مثل قانون الخدمات الصحية والطبية. والتشريع السويدي، في مجمله، يتسق مع المواد التي احتجت بها صاحبة الشكوى. وآراء اللجنة لي</w:t>
            </w:r>
            <w:r>
              <w:rPr>
                <w:rFonts w:hint="cs"/>
                <w:szCs w:val="28"/>
                <w:rtl/>
              </w:rPr>
              <w:t>ست سبباً لتغيير التشريع السويدي.</w:t>
            </w:r>
          </w:p>
          <w:p w:rsidR="0080473E" w:rsidRPr="00336166" w:rsidRDefault="00D94A72" w:rsidP="00D94A72">
            <w:pPr>
              <w:spacing w:before="40" w:after="60" w:line="320" w:lineRule="exact"/>
              <w:ind w:left="57" w:right="57"/>
              <w:rPr>
                <w:rFonts w:hint="cs"/>
                <w:szCs w:val="28"/>
                <w:rtl/>
              </w:rPr>
            </w:pPr>
            <w:r>
              <w:rPr>
                <w:szCs w:val="28"/>
                <w:rtl/>
              </w:rPr>
              <w:tab/>
            </w:r>
            <w:r w:rsidR="0080473E" w:rsidRPr="00336166">
              <w:rPr>
                <w:rFonts w:hint="cs"/>
                <w:szCs w:val="28"/>
                <w:rtl/>
              </w:rPr>
              <w:t>الدستور السويدي يمنع الحكومة من التأثير على عملية اتخاذ القرار في الحالات الفردية لتراخيص البناء.</w:t>
            </w:r>
          </w:p>
        </w:tc>
      </w:tr>
      <w:tr w:rsidR="0080473E" w:rsidRPr="00336166" w:rsidTr="00FF1D34">
        <w:tc>
          <w:tcPr>
            <w:tcW w:w="7265" w:type="dxa"/>
            <w:gridSpan w:val="2"/>
            <w:shd w:val="clear" w:color="auto" w:fill="auto"/>
          </w:tcPr>
          <w:p w:rsidR="0080473E" w:rsidRPr="00D94A72" w:rsidRDefault="0080473E" w:rsidP="0080473E">
            <w:pPr>
              <w:spacing w:before="40" w:after="60" w:line="320" w:lineRule="exact"/>
              <w:ind w:left="57" w:right="57"/>
              <w:rPr>
                <w:rFonts w:hint="cs"/>
                <w:szCs w:val="28"/>
                <w:rtl/>
              </w:rPr>
            </w:pPr>
            <w:r w:rsidRPr="00D94A72">
              <w:rPr>
                <w:rFonts w:hint="cs"/>
                <w:b/>
                <w:bCs/>
                <w:szCs w:val="28"/>
                <w:rtl/>
              </w:rPr>
              <w:t>موجز لتعليقات محامي صاحبة البلاغ</w:t>
            </w:r>
          </w:p>
        </w:tc>
      </w:tr>
      <w:tr w:rsidR="0080473E" w:rsidRPr="00336166" w:rsidTr="00FF1D34">
        <w:tc>
          <w:tcPr>
            <w:tcW w:w="7265" w:type="dxa"/>
            <w:gridSpan w:val="2"/>
            <w:shd w:val="clear" w:color="auto" w:fill="auto"/>
          </w:tcPr>
          <w:p w:rsidR="0080473E" w:rsidRPr="00336166" w:rsidRDefault="007E5990" w:rsidP="0080473E">
            <w:pPr>
              <w:spacing w:before="40" w:after="60" w:line="320" w:lineRule="exact"/>
              <w:ind w:left="57" w:right="57"/>
              <w:rPr>
                <w:rFonts w:hint="cs"/>
                <w:szCs w:val="28"/>
                <w:rtl/>
              </w:rPr>
            </w:pPr>
            <w:r>
              <w:rPr>
                <w:szCs w:val="28"/>
                <w:rtl/>
              </w:rPr>
              <w:tab/>
            </w:r>
            <w:r w:rsidR="0080473E" w:rsidRPr="00336166">
              <w:rPr>
                <w:rFonts w:hint="cs"/>
                <w:szCs w:val="28"/>
                <w:rtl/>
              </w:rPr>
              <w:t>لا توجد تعليقات بشأن هذه النقطة.</w:t>
            </w:r>
          </w:p>
        </w:tc>
      </w:tr>
      <w:tr w:rsidR="0080473E" w:rsidRPr="00336166" w:rsidTr="00FF1D34">
        <w:tc>
          <w:tcPr>
            <w:tcW w:w="7265" w:type="dxa"/>
            <w:gridSpan w:val="2"/>
            <w:shd w:val="clear" w:color="auto" w:fill="auto"/>
          </w:tcPr>
          <w:p w:rsidR="0080473E" w:rsidRPr="00D94A72" w:rsidRDefault="0080473E" w:rsidP="0080473E">
            <w:pPr>
              <w:spacing w:before="40" w:after="60" w:line="320" w:lineRule="exact"/>
              <w:ind w:left="57" w:right="57"/>
              <w:rPr>
                <w:rFonts w:hint="cs"/>
                <w:szCs w:val="28"/>
                <w:rtl/>
              </w:rPr>
            </w:pPr>
            <w:r w:rsidRPr="00D94A72">
              <w:rPr>
                <w:rFonts w:hint="cs"/>
                <w:b/>
                <w:bCs/>
                <w:szCs w:val="28"/>
                <w:rtl/>
              </w:rPr>
              <w:t>تقييم اللجنة</w:t>
            </w:r>
          </w:p>
        </w:tc>
      </w:tr>
      <w:tr w:rsidR="0080473E" w:rsidRPr="00336166" w:rsidTr="00FF1D34">
        <w:tc>
          <w:tcPr>
            <w:tcW w:w="7265" w:type="dxa"/>
            <w:gridSpan w:val="2"/>
            <w:shd w:val="clear" w:color="auto" w:fill="auto"/>
          </w:tcPr>
          <w:p w:rsidR="0080473E" w:rsidRPr="00336166" w:rsidRDefault="0080473E" w:rsidP="0080473E">
            <w:pPr>
              <w:spacing w:before="40" w:after="60" w:line="320" w:lineRule="exact"/>
              <w:ind w:left="57" w:right="57"/>
              <w:rPr>
                <w:rFonts w:hint="cs"/>
                <w:szCs w:val="28"/>
                <w:rtl/>
              </w:rPr>
            </w:pPr>
            <w:r w:rsidRPr="00336166">
              <w:rPr>
                <w:rFonts w:hint="cs"/>
                <w:b/>
                <w:bCs/>
                <w:szCs w:val="28"/>
                <w:rtl/>
              </w:rPr>
              <w:t>[جيم 1]: المعلومات المقدمة لا تعالج الحالة قيد النظر.</w:t>
            </w:r>
          </w:p>
        </w:tc>
      </w:tr>
      <w:tr w:rsidR="0080473E" w:rsidRPr="00336166" w:rsidTr="00FF1D34">
        <w:tc>
          <w:tcPr>
            <w:tcW w:w="7265" w:type="dxa"/>
            <w:gridSpan w:val="2"/>
            <w:shd w:val="clear" w:color="auto" w:fill="auto"/>
          </w:tcPr>
          <w:p w:rsidR="0080473E" w:rsidRPr="00336166" w:rsidRDefault="00D94A72" w:rsidP="0080473E">
            <w:pPr>
              <w:spacing w:before="40" w:after="60" w:line="320" w:lineRule="exact"/>
              <w:ind w:left="57" w:right="57"/>
              <w:rPr>
                <w:rFonts w:hint="cs"/>
                <w:szCs w:val="28"/>
                <w:rtl/>
              </w:rPr>
            </w:pPr>
            <w:r>
              <w:rPr>
                <w:szCs w:val="28"/>
                <w:rtl/>
              </w:rPr>
              <w:tab/>
            </w:r>
            <w:r>
              <w:rPr>
                <w:rFonts w:hint="cs"/>
                <w:szCs w:val="28"/>
                <w:rtl/>
              </w:rPr>
              <w:t>تذك</w:t>
            </w:r>
            <w:r w:rsidR="007E5990">
              <w:rPr>
                <w:rFonts w:hint="cs"/>
                <w:szCs w:val="28"/>
                <w:rtl/>
              </w:rPr>
              <w:t>ّ</w:t>
            </w:r>
            <w:r>
              <w:rPr>
                <w:rFonts w:hint="cs"/>
                <w:szCs w:val="28"/>
                <w:rtl/>
              </w:rPr>
              <w:t xml:space="preserve">ر </w:t>
            </w:r>
            <w:r w:rsidR="0080473E" w:rsidRPr="00336166">
              <w:rPr>
                <w:rFonts w:hint="cs"/>
                <w:szCs w:val="28"/>
                <w:rtl/>
              </w:rPr>
              <w:t xml:space="preserve">اللجنة الدولة الطرف بأن الالتزامات الواردة في </w:t>
            </w:r>
            <w:r>
              <w:rPr>
                <w:rFonts w:hint="cs"/>
                <w:szCs w:val="28"/>
                <w:rtl/>
              </w:rPr>
              <w:t xml:space="preserve">الاتفاقية </w:t>
            </w:r>
            <w:r w:rsidR="0080473E" w:rsidRPr="00336166">
              <w:rPr>
                <w:rFonts w:hint="cs"/>
                <w:szCs w:val="28"/>
                <w:rtl/>
              </w:rPr>
              <w:t>ملزمة بوجه عام لكل دولة من الدول الأطراف ككل. وقد تحمِّل جميع فروع الحكومة (التنفيذية والتشريعية والقضائية)، وغيرها من السلطات العامة أو الحكومية، على أي مستوى من المستويات، الوطنية أو الإقليمية أو</w:t>
            </w:r>
            <w:r w:rsidR="009E40A4">
              <w:rPr>
                <w:rFonts w:hint="eastAsia"/>
                <w:szCs w:val="28"/>
                <w:rtl/>
              </w:rPr>
              <w:t> </w:t>
            </w:r>
            <w:r w:rsidR="0080473E" w:rsidRPr="00336166">
              <w:rPr>
                <w:rFonts w:hint="cs"/>
                <w:szCs w:val="28"/>
                <w:rtl/>
              </w:rPr>
              <w:t>المحلية، الدولة الطرف المسؤولية. ولا يجوز للفرع التنفيذي، الذي يمثل الدولة الطرف بشكل عام على المستوى الدولي، بما في ذلك أمام اللجنة، أن يجادل بأن</w:t>
            </w:r>
            <w:r w:rsidR="007E5990">
              <w:rPr>
                <w:rFonts w:hint="cs"/>
                <w:szCs w:val="28"/>
                <w:rtl/>
              </w:rPr>
              <w:t>ه</w:t>
            </w:r>
            <w:r w:rsidR="0080473E" w:rsidRPr="00336166">
              <w:rPr>
                <w:rFonts w:hint="cs"/>
                <w:szCs w:val="28"/>
                <w:rtl/>
              </w:rPr>
              <w:t xml:space="preserve"> </w:t>
            </w:r>
            <w:r>
              <w:rPr>
                <w:rFonts w:hint="cs"/>
                <w:szCs w:val="28"/>
                <w:rtl/>
              </w:rPr>
              <w:t xml:space="preserve">تم </w:t>
            </w:r>
            <w:r w:rsidR="0080473E" w:rsidRPr="00336166">
              <w:rPr>
                <w:rFonts w:hint="cs"/>
                <w:szCs w:val="28"/>
                <w:rtl/>
              </w:rPr>
              <w:t>تنفيذ إجراء ما لا يتسق مع أحكام الاتفاقية من جانب فرع آخر من فروع الحكومة كوسيلة لرفع المسؤولية من على كاهل الدولة الطرف فيما يتعلق بالإجراء وما يترتب على ذلك من عدم اتساق. وينبثق هذا المفهوم بشكل مباشر من المبدأ الوارد في المادة 27 من اتفاقية فيينا لقانون المعاهدات، والتي وفقاً لها "لا يجوز لدولة طرف أن تستظهر بأحكام قانونها الداخلي لتبرير عدم تنفيذها معاهدة ما".</w:t>
            </w:r>
          </w:p>
        </w:tc>
      </w:tr>
      <w:tr w:rsidR="0080473E" w:rsidRPr="00336166" w:rsidTr="00FF1D34">
        <w:tc>
          <w:tcPr>
            <w:tcW w:w="7265" w:type="dxa"/>
            <w:gridSpan w:val="2"/>
            <w:shd w:val="clear" w:color="auto" w:fill="auto"/>
          </w:tcPr>
          <w:p w:rsidR="0080473E" w:rsidRPr="004C4125" w:rsidRDefault="00D94A72" w:rsidP="0080473E">
            <w:pPr>
              <w:spacing w:before="40" w:after="60" w:line="320" w:lineRule="exact"/>
              <w:ind w:left="57" w:right="57"/>
              <w:rPr>
                <w:rFonts w:hint="cs"/>
                <w:spacing w:val="4"/>
                <w:szCs w:val="28"/>
                <w:rtl/>
              </w:rPr>
            </w:pPr>
            <w:r w:rsidRPr="004C4125">
              <w:rPr>
                <w:spacing w:val="4"/>
                <w:szCs w:val="28"/>
                <w:rtl/>
              </w:rPr>
              <w:tab/>
            </w:r>
            <w:r w:rsidR="0080473E" w:rsidRPr="004C4125">
              <w:rPr>
                <w:rFonts w:hint="cs"/>
                <w:spacing w:val="4"/>
                <w:szCs w:val="28"/>
                <w:rtl/>
              </w:rPr>
              <w:t xml:space="preserve">وفيما يتعلق بتقييم الدولة الطرف لامتثال قانون التخطيط والبناء للاتفاقية، </w:t>
            </w:r>
            <w:r w:rsidRPr="004C4125">
              <w:rPr>
                <w:rFonts w:hint="cs"/>
                <w:spacing w:val="4"/>
                <w:szCs w:val="28"/>
                <w:rtl/>
              </w:rPr>
              <w:t xml:space="preserve">تذكر </w:t>
            </w:r>
            <w:r w:rsidR="0080473E" w:rsidRPr="004C4125">
              <w:rPr>
                <w:rFonts w:hint="cs"/>
                <w:spacing w:val="4"/>
                <w:szCs w:val="28"/>
                <w:rtl/>
              </w:rPr>
              <w:t>اللجنة الدولة الطرف بأن كل تشريع يجب أن ينفذ على نحو يتمشى مع المعايير الدولية لحقوق الإنسان</w:t>
            </w:r>
            <w:r w:rsidRPr="004C4125">
              <w:rPr>
                <w:rFonts w:hint="cs"/>
                <w:spacing w:val="4"/>
                <w:szCs w:val="28"/>
                <w:rtl/>
              </w:rPr>
              <w:t>، بإجراء جميع التعديلات والتغييرات اللازمة والمناسبة التي لا تفرض عبئاً غير مناسب أو</w:t>
            </w:r>
            <w:r w:rsidR="004C4125">
              <w:rPr>
                <w:rFonts w:hint="eastAsia"/>
                <w:spacing w:val="4"/>
                <w:szCs w:val="28"/>
                <w:rtl/>
              </w:rPr>
              <w:t> </w:t>
            </w:r>
            <w:r w:rsidRPr="004C4125">
              <w:rPr>
                <w:rFonts w:hint="cs"/>
                <w:spacing w:val="4"/>
                <w:szCs w:val="28"/>
                <w:rtl/>
              </w:rPr>
              <w:t xml:space="preserve">عبئاً لا </w:t>
            </w:r>
            <w:r w:rsidR="007E5990" w:rsidRPr="004C4125">
              <w:rPr>
                <w:rFonts w:hint="cs"/>
                <w:spacing w:val="4"/>
                <w:szCs w:val="28"/>
                <w:rtl/>
              </w:rPr>
              <w:t xml:space="preserve">داع </w:t>
            </w:r>
            <w:r w:rsidRPr="004C4125">
              <w:rPr>
                <w:rFonts w:hint="cs"/>
                <w:spacing w:val="4"/>
                <w:szCs w:val="28"/>
                <w:rtl/>
              </w:rPr>
              <w:t xml:space="preserve">له على الدولة الطرف، حيثما اقتضى الأمر ذلك في حالة </w:t>
            </w:r>
            <w:r w:rsidR="00AE3FD0" w:rsidRPr="004C4125">
              <w:rPr>
                <w:rFonts w:hint="cs"/>
                <w:spacing w:val="4"/>
                <w:szCs w:val="28"/>
                <w:rtl/>
              </w:rPr>
              <w:t>ب</w:t>
            </w:r>
            <w:r w:rsidR="007E5990" w:rsidRPr="004C4125">
              <w:rPr>
                <w:rFonts w:hint="cs"/>
                <w:spacing w:val="4"/>
                <w:szCs w:val="28"/>
                <w:rtl/>
              </w:rPr>
              <w:t>ع</w:t>
            </w:r>
            <w:r w:rsidR="00AE3FD0" w:rsidRPr="004C4125">
              <w:rPr>
                <w:rFonts w:hint="cs"/>
                <w:spacing w:val="4"/>
                <w:szCs w:val="28"/>
                <w:rtl/>
              </w:rPr>
              <w:t>ي</w:t>
            </w:r>
            <w:r w:rsidR="007E5990" w:rsidRPr="004C4125">
              <w:rPr>
                <w:rFonts w:hint="cs"/>
                <w:spacing w:val="4"/>
                <w:szCs w:val="28"/>
                <w:rtl/>
              </w:rPr>
              <w:t>ن</w:t>
            </w:r>
            <w:r w:rsidR="00AE3FD0" w:rsidRPr="004C4125">
              <w:rPr>
                <w:rFonts w:hint="cs"/>
                <w:spacing w:val="4"/>
                <w:szCs w:val="28"/>
                <w:rtl/>
              </w:rPr>
              <w:t>ها، لضمان تمتع الأشخاص ذوي الإعاقة بجميع حقوق الإنسان والحريات الأساسية أو ممارستها على قدم المساواة مع الآخرين.</w:t>
            </w:r>
          </w:p>
        </w:tc>
      </w:tr>
      <w:tr w:rsidR="007E5990" w:rsidRPr="00336166" w:rsidTr="00FF1D34">
        <w:tc>
          <w:tcPr>
            <w:tcW w:w="7265" w:type="dxa"/>
            <w:gridSpan w:val="2"/>
            <w:shd w:val="clear" w:color="auto" w:fill="auto"/>
          </w:tcPr>
          <w:p w:rsidR="007E5990" w:rsidRPr="004C4125" w:rsidRDefault="007E5990" w:rsidP="0080473E">
            <w:pPr>
              <w:spacing w:before="40" w:after="60" w:line="320" w:lineRule="exact"/>
              <w:ind w:left="57" w:right="57"/>
              <w:rPr>
                <w:rFonts w:hint="cs"/>
                <w:spacing w:val="4"/>
                <w:szCs w:val="28"/>
                <w:rtl/>
              </w:rPr>
            </w:pPr>
            <w:r w:rsidRPr="004C4125">
              <w:rPr>
                <w:rFonts w:hint="cs"/>
                <w:spacing w:val="4"/>
                <w:szCs w:val="28"/>
                <w:rtl/>
              </w:rPr>
              <w:tab/>
              <w:t xml:space="preserve">وتطلب اللجنة إلى الدولة الطرف تقديم معلومات إضافية بشأن: (أ) التدابير المتخذة لضمان تنفيذ آرائها والتوصية في قضية </w:t>
            </w:r>
            <w:r w:rsidRPr="004C4125">
              <w:rPr>
                <w:rFonts w:hint="cs"/>
                <w:i/>
                <w:iCs/>
                <w:spacing w:val="4"/>
                <w:szCs w:val="28"/>
                <w:rtl/>
              </w:rPr>
              <w:t>ه‍. م. ضد السويد</w:t>
            </w:r>
            <w:r w:rsidRPr="004C4125">
              <w:rPr>
                <w:rFonts w:hint="cs"/>
                <w:spacing w:val="4"/>
                <w:szCs w:val="28"/>
                <w:rtl/>
              </w:rPr>
              <w:t>؛ و(ب) إمكانية القيام، في إطار التشريع الوطني والتشريع المتعلق بالتخطيط المحلي، بمنح تصريح بناء استثنائي امتثالاً لمبدأ توفير أماكن إقامة معقولة.</w:t>
            </w:r>
          </w:p>
        </w:tc>
      </w:tr>
      <w:tr w:rsidR="0080473E" w:rsidRPr="00336166" w:rsidTr="00FF1D34">
        <w:tc>
          <w:tcPr>
            <w:tcW w:w="7265" w:type="dxa"/>
            <w:gridSpan w:val="2"/>
            <w:shd w:val="clear" w:color="auto" w:fill="auto"/>
          </w:tcPr>
          <w:p w:rsidR="0080473E" w:rsidRPr="00AE3FD0" w:rsidRDefault="0080473E" w:rsidP="004C4125">
            <w:pPr>
              <w:keepNext/>
              <w:keepLines/>
              <w:pageBreakBefore/>
              <w:spacing w:before="40" w:after="60" w:line="320" w:lineRule="exact"/>
              <w:ind w:left="57" w:right="57"/>
              <w:rPr>
                <w:rFonts w:hint="cs"/>
                <w:b/>
                <w:bCs/>
                <w:szCs w:val="28"/>
                <w:rtl/>
              </w:rPr>
            </w:pPr>
            <w:r w:rsidRPr="00AE3FD0">
              <w:rPr>
                <w:rFonts w:hint="cs"/>
                <w:b/>
                <w:bCs/>
                <w:szCs w:val="28"/>
                <w:rtl/>
              </w:rPr>
              <w:t>الفقرة 10</w:t>
            </w:r>
          </w:p>
        </w:tc>
      </w:tr>
      <w:tr w:rsidR="0080473E" w:rsidRPr="00336166" w:rsidTr="00FF1D34">
        <w:tc>
          <w:tcPr>
            <w:tcW w:w="7265" w:type="dxa"/>
            <w:gridSpan w:val="2"/>
            <w:shd w:val="clear" w:color="auto" w:fill="auto"/>
          </w:tcPr>
          <w:p w:rsidR="0080473E" w:rsidRPr="004C4125" w:rsidRDefault="00AE3FD0" w:rsidP="00AE3FD0">
            <w:pPr>
              <w:spacing w:before="40" w:after="60" w:line="320" w:lineRule="exact"/>
              <w:ind w:left="680" w:right="57"/>
              <w:rPr>
                <w:rFonts w:hint="cs"/>
                <w:spacing w:val="-2"/>
                <w:szCs w:val="28"/>
                <w:rtl/>
              </w:rPr>
            </w:pPr>
            <w:r w:rsidRPr="004C4125">
              <w:rPr>
                <w:spacing w:val="-2"/>
                <w:szCs w:val="28"/>
                <w:rtl/>
              </w:rPr>
              <w:tab/>
            </w:r>
            <w:r w:rsidR="0080473E" w:rsidRPr="004C4125">
              <w:rPr>
                <w:rFonts w:hint="cs"/>
                <w:spacing w:val="-2"/>
                <w:szCs w:val="28"/>
                <w:rtl/>
              </w:rPr>
              <w:t>وفقاً للمادة 5 من البروتوكول الاختياري و</w:t>
            </w:r>
            <w:r w:rsidR="004C4125" w:rsidRPr="004C4125">
              <w:rPr>
                <w:rFonts w:hint="cs"/>
                <w:spacing w:val="-2"/>
                <w:szCs w:val="28"/>
                <w:rtl/>
              </w:rPr>
              <w:t>القاعدة</w:t>
            </w:r>
            <w:r w:rsidR="0080473E" w:rsidRPr="004C4125">
              <w:rPr>
                <w:rFonts w:hint="cs"/>
                <w:spacing w:val="-2"/>
                <w:szCs w:val="28"/>
                <w:rtl/>
              </w:rPr>
              <w:t xml:space="preserve"> 75 من النظام الداخلي للجنة، على الدولة الطرف أن تقدم إلى اللجنة، في غضون ستة أشهر، رداً خطياً، بما في ذلك أي معلومات عن أي إجراءات اتخذت في ضوء آراء وتوصيات اللجنة. كما يُطلب إلى الدولة الطرف نشر آراء اللجنة، وترجمتها إلى اللغة الرسمية للدولة الطرف وتعميمها على نطاق واسع بشكل يسهل الاطلاع عليه، من أجل الوصول إلى جميع قطاعات السكان.</w:t>
            </w:r>
          </w:p>
        </w:tc>
      </w:tr>
      <w:tr w:rsidR="0080473E" w:rsidRPr="00336166" w:rsidTr="00FF1D34">
        <w:tc>
          <w:tcPr>
            <w:tcW w:w="7265" w:type="dxa"/>
            <w:gridSpan w:val="2"/>
            <w:shd w:val="clear" w:color="auto" w:fill="auto"/>
          </w:tcPr>
          <w:p w:rsidR="0080473E" w:rsidRPr="004C4125" w:rsidRDefault="0080473E" w:rsidP="009E40A4">
            <w:pPr>
              <w:keepNext/>
              <w:keepLines/>
              <w:spacing w:before="40" w:after="60" w:line="320" w:lineRule="exact"/>
              <w:ind w:left="57" w:right="57"/>
              <w:rPr>
                <w:rFonts w:hint="cs"/>
                <w:szCs w:val="28"/>
                <w:rtl/>
              </w:rPr>
            </w:pPr>
            <w:r w:rsidRPr="004C4125">
              <w:rPr>
                <w:rFonts w:hint="cs"/>
                <w:b/>
                <w:bCs/>
                <w:szCs w:val="28"/>
                <w:rtl/>
              </w:rPr>
              <w:t>موجز رد الدولة الطرف</w:t>
            </w:r>
          </w:p>
        </w:tc>
      </w:tr>
      <w:tr w:rsidR="0080473E" w:rsidRPr="00336166" w:rsidTr="00FF1D34">
        <w:tc>
          <w:tcPr>
            <w:tcW w:w="7265" w:type="dxa"/>
            <w:gridSpan w:val="2"/>
            <w:shd w:val="clear" w:color="auto" w:fill="auto"/>
          </w:tcPr>
          <w:p w:rsidR="0080473E" w:rsidRPr="00336166" w:rsidRDefault="00AE3FD0" w:rsidP="00AE3FD0">
            <w:pPr>
              <w:spacing w:before="40" w:after="60" w:line="320" w:lineRule="exact"/>
              <w:ind w:left="57" w:right="57"/>
              <w:rPr>
                <w:rFonts w:hint="cs"/>
                <w:szCs w:val="28"/>
              </w:rPr>
            </w:pPr>
            <w:r>
              <w:rPr>
                <w:szCs w:val="28"/>
                <w:rtl/>
              </w:rPr>
              <w:tab/>
            </w:r>
            <w:r w:rsidR="0080473E" w:rsidRPr="00336166">
              <w:rPr>
                <w:rFonts w:hint="cs"/>
                <w:szCs w:val="28"/>
                <w:rtl/>
              </w:rPr>
              <w:t xml:space="preserve">تمت ترجمة توصيات اللجنة إلى اللغة السويدية وتم إرسالها إلى ممثل صاحبة الشكوى وإلى ممثلي المنظمات المعنية بالإعاقة. وأحاطت الحكومة علماً شفوياً بهذه الآراء خلال اجتماع تشاوري عقد بشأن </w:t>
            </w:r>
            <w:r>
              <w:rPr>
                <w:rFonts w:hint="cs"/>
                <w:szCs w:val="28"/>
                <w:rtl/>
              </w:rPr>
              <w:t>ال</w:t>
            </w:r>
            <w:r w:rsidR="0080473E" w:rsidRPr="00336166">
              <w:rPr>
                <w:rFonts w:hint="cs"/>
                <w:szCs w:val="28"/>
                <w:rtl/>
              </w:rPr>
              <w:t>اتفاقية في 31 آب/أغسطس 2012. وتمت إتاحة آراء اللجنة (باللغة التي وردت بها وباللغة التي ترجمت</w:t>
            </w:r>
            <w:r>
              <w:rPr>
                <w:rFonts w:hint="cs"/>
                <w:szCs w:val="28"/>
                <w:rtl/>
              </w:rPr>
              <w:t xml:space="preserve"> إليها</w:t>
            </w:r>
            <w:r w:rsidR="0080473E" w:rsidRPr="00336166">
              <w:rPr>
                <w:rFonts w:hint="cs"/>
                <w:szCs w:val="28"/>
                <w:rtl/>
              </w:rPr>
              <w:t xml:space="preserve">) على الموقع الشبكي للحكومة الخاص بحقوق الإنسان منذ 10 أيلول/سبتمبر 2012، وستتاح قريباً في شكل الوثيقة المحمولة (وثيقة </w:t>
            </w:r>
            <w:r w:rsidR="0080473E" w:rsidRPr="00AE3FD0">
              <w:rPr>
                <w:szCs w:val="28"/>
              </w:rPr>
              <w:t>PDF</w:t>
            </w:r>
            <w:r w:rsidR="0080473E" w:rsidRPr="00AE3FD0">
              <w:rPr>
                <w:rFonts w:hint="cs"/>
                <w:szCs w:val="28"/>
                <w:rtl/>
              </w:rPr>
              <w:t xml:space="preserve">) ووثائق وورد </w:t>
            </w:r>
            <w:r w:rsidR="0080473E" w:rsidRPr="00AE3FD0">
              <w:rPr>
                <w:szCs w:val="28"/>
              </w:rPr>
              <w:t>Word</w:t>
            </w:r>
            <w:r w:rsidR="004C4125">
              <w:rPr>
                <w:rFonts w:hint="cs"/>
                <w:szCs w:val="28"/>
                <w:rtl/>
              </w:rPr>
              <w:t>.</w:t>
            </w:r>
          </w:p>
          <w:p w:rsidR="0080473E" w:rsidRPr="00336166" w:rsidRDefault="00AE3FD0" w:rsidP="00AE3FD0">
            <w:pPr>
              <w:spacing w:before="40" w:after="60" w:line="320" w:lineRule="exact"/>
              <w:ind w:left="57" w:right="57"/>
              <w:rPr>
                <w:rFonts w:hint="cs"/>
                <w:szCs w:val="28"/>
                <w:rtl/>
              </w:rPr>
            </w:pPr>
            <w:r>
              <w:rPr>
                <w:szCs w:val="28"/>
                <w:rtl/>
              </w:rPr>
              <w:tab/>
            </w:r>
            <w:r w:rsidR="0080473E" w:rsidRPr="00336166">
              <w:rPr>
                <w:rFonts w:hint="cs"/>
                <w:szCs w:val="28"/>
                <w:rtl/>
              </w:rPr>
              <w:t xml:space="preserve">وستتاح أيضاً التوصيات المترجمة إلى لغة سويدية سهلة. وتقوم وزارة الخارجية في الوقت الحالي بإعداد موجز لكامل آراء اللجنة وسيتم نشره أيضاً على الموقع الشبكي للحكومة الخاص بحقوق الإنسان بأشكال يسهل الاطلاع عليها. ويمكن، بناءً على الطلب، ترجمة هذه الوثائق </w:t>
            </w:r>
            <w:r>
              <w:rPr>
                <w:rFonts w:hint="cs"/>
                <w:szCs w:val="28"/>
                <w:rtl/>
              </w:rPr>
              <w:t xml:space="preserve">أيضاً </w:t>
            </w:r>
            <w:r w:rsidR="0080473E" w:rsidRPr="00336166">
              <w:rPr>
                <w:rFonts w:hint="cs"/>
                <w:szCs w:val="28"/>
                <w:rtl/>
              </w:rPr>
              <w:t>إلى أشكال أخرى يسهل الاطلاع عليها.</w:t>
            </w:r>
          </w:p>
        </w:tc>
      </w:tr>
      <w:tr w:rsidR="0080473E" w:rsidRPr="00336166" w:rsidTr="00FF1D34">
        <w:tc>
          <w:tcPr>
            <w:tcW w:w="7265" w:type="dxa"/>
            <w:gridSpan w:val="2"/>
            <w:shd w:val="clear" w:color="auto" w:fill="auto"/>
          </w:tcPr>
          <w:p w:rsidR="0080473E" w:rsidRPr="00AE3FD0" w:rsidRDefault="0080473E" w:rsidP="0080473E">
            <w:pPr>
              <w:spacing w:before="40" w:after="60" w:line="320" w:lineRule="exact"/>
              <w:ind w:left="57" w:right="57"/>
              <w:rPr>
                <w:rFonts w:hint="cs"/>
                <w:szCs w:val="28"/>
                <w:rtl/>
              </w:rPr>
            </w:pPr>
            <w:r w:rsidRPr="00AE3FD0">
              <w:rPr>
                <w:rFonts w:hint="cs"/>
                <w:b/>
                <w:bCs/>
                <w:szCs w:val="28"/>
                <w:rtl/>
              </w:rPr>
              <w:t>موجز تعليقات محامي صاحبة البلاغ</w:t>
            </w:r>
          </w:p>
        </w:tc>
      </w:tr>
      <w:tr w:rsidR="0080473E" w:rsidRPr="00336166" w:rsidTr="00FF1D34">
        <w:tc>
          <w:tcPr>
            <w:tcW w:w="7265" w:type="dxa"/>
            <w:gridSpan w:val="2"/>
            <w:shd w:val="clear" w:color="auto" w:fill="auto"/>
          </w:tcPr>
          <w:p w:rsidR="0080473E" w:rsidRPr="00336166" w:rsidRDefault="00AE3FD0" w:rsidP="0080473E">
            <w:pPr>
              <w:spacing w:before="40" w:after="60" w:line="320" w:lineRule="exact"/>
              <w:ind w:left="57" w:right="57"/>
              <w:rPr>
                <w:rFonts w:hint="cs"/>
                <w:szCs w:val="28"/>
                <w:rtl/>
              </w:rPr>
            </w:pPr>
            <w:r>
              <w:rPr>
                <w:szCs w:val="28"/>
                <w:rtl/>
              </w:rPr>
              <w:tab/>
            </w:r>
            <w:r w:rsidR="0080473E" w:rsidRPr="00336166">
              <w:rPr>
                <w:rFonts w:hint="cs"/>
                <w:szCs w:val="28"/>
                <w:rtl/>
              </w:rPr>
              <w:t>لا يوجد أي تعليق بشأن هذه النقطة.</w:t>
            </w:r>
          </w:p>
        </w:tc>
      </w:tr>
      <w:tr w:rsidR="0080473E" w:rsidRPr="00336166" w:rsidTr="00FF1D34">
        <w:tc>
          <w:tcPr>
            <w:tcW w:w="7265" w:type="dxa"/>
            <w:gridSpan w:val="2"/>
            <w:shd w:val="clear" w:color="auto" w:fill="auto"/>
          </w:tcPr>
          <w:p w:rsidR="0080473E" w:rsidRPr="00AE3FD0" w:rsidRDefault="0080473E" w:rsidP="0080473E">
            <w:pPr>
              <w:spacing w:before="40" w:after="60" w:line="320" w:lineRule="exact"/>
              <w:ind w:left="57" w:right="57"/>
              <w:rPr>
                <w:rFonts w:hint="cs"/>
                <w:szCs w:val="28"/>
                <w:rtl/>
              </w:rPr>
            </w:pPr>
            <w:r w:rsidRPr="00AE3FD0">
              <w:rPr>
                <w:rFonts w:hint="cs"/>
                <w:b/>
                <w:bCs/>
                <w:szCs w:val="28"/>
                <w:rtl/>
              </w:rPr>
              <w:t>تقييم اللجنة</w:t>
            </w:r>
          </w:p>
        </w:tc>
      </w:tr>
      <w:tr w:rsidR="0080473E" w:rsidRPr="00336166" w:rsidTr="00FF1D34">
        <w:tc>
          <w:tcPr>
            <w:tcW w:w="7265" w:type="dxa"/>
            <w:gridSpan w:val="2"/>
            <w:shd w:val="clear" w:color="auto" w:fill="auto"/>
          </w:tcPr>
          <w:p w:rsidR="0080473E" w:rsidRPr="00336166" w:rsidRDefault="0080473E" w:rsidP="0080473E">
            <w:pPr>
              <w:spacing w:before="40" w:after="60" w:line="320" w:lineRule="exact"/>
              <w:ind w:left="57" w:right="57"/>
              <w:rPr>
                <w:rFonts w:hint="cs"/>
                <w:szCs w:val="28"/>
                <w:rtl/>
              </w:rPr>
            </w:pPr>
            <w:r w:rsidRPr="00336166">
              <w:rPr>
                <w:rFonts w:hint="cs"/>
                <w:b/>
                <w:bCs/>
                <w:szCs w:val="28"/>
                <w:rtl/>
              </w:rPr>
              <w:t>[باء 2]: اتُخذت إجراءات أولية، ولكن مطلوب اتخاذ إجراءات إضافية وتقديم معلومات ذات صلة</w:t>
            </w:r>
            <w:r w:rsidR="00AE3FD0">
              <w:rPr>
                <w:rFonts w:hint="cs"/>
                <w:szCs w:val="28"/>
                <w:rtl/>
              </w:rPr>
              <w:t xml:space="preserve"> لضمان التنفيذ الكامل للتدابير التي أعلنت الدولة الطرف عن اتخاذها.</w:t>
            </w:r>
          </w:p>
        </w:tc>
      </w:tr>
      <w:tr w:rsidR="0080473E" w:rsidRPr="00336166" w:rsidTr="00FF1D34">
        <w:tc>
          <w:tcPr>
            <w:tcW w:w="7265" w:type="dxa"/>
            <w:gridSpan w:val="2"/>
            <w:shd w:val="clear" w:color="auto" w:fill="auto"/>
          </w:tcPr>
          <w:p w:rsidR="0080473E" w:rsidRPr="00AE3FD0" w:rsidRDefault="0080473E" w:rsidP="0080473E">
            <w:pPr>
              <w:spacing w:before="40" w:after="60" w:line="320" w:lineRule="exact"/>
              <w:ind w:left="57" w:right="57"/>
              <w:rPr>
                <w:rFonts w:hint="cs"/>
                <w:szCs w:val="28"/>
                <w:rtl/>
              </w:rPr>
            </w:pPr>
            <w:r w:rsidRPr="00AE3FD0">
              <w:rPr>
                <w:rFonts w:hint="cs"/>
                <w:b/>
                <w:bCs/>
                <w:szCs w:val="28"/>
                <w:rtl/>
              </w:rPr>
              <w:t>توصية المتابعة</w:t>
            </w:r>
          </w:p>
        </w:tc>
      </w:tr>
      <w:tr w:rsidR="0080473E" w:rsidRPr="00336166" w:rsidTr="00FF1D34">
        <w:tc>
          <w:tcPr>
            <w:tcW w:w="7265" w:type="dxa"/>
            <w:gridSpan w:val="2"/>
            <w:tcBorders>
              <w:bottom w:val="single" w:sz="12" w:space="0" w:color="auto"/>
            </w:tcBorders>
            <w:shd w:val="clear" w:color="auto" w:fill="auto"/>
          </w:tcPr>
          <w:p w:rsidR="0080473E" w:rsidRPr="00336166" w:rsidRDefault="00AE3FD0" w:rsidP="00AE3FD0">
            <w:pPr>
              <w:spacing w:before="40" w:after="60" w:line="320" w:lineRule="exact"/>
              <w:ind w:left="57" w:right="57"/>
              <w:rPr>
                <w:rFonts w:hint="cs"/>
                <w:szCs w:val="28"/>
              </w:rPr>
            </w:pPr>
            <w:r>
              <w:rPr>
                <w:szCs w:val="28"/>
                <w:rtl/>
              </w:rPr>
              <w:tab/>
            </w:r>
            <w:r w:rsidR="0080473E" w:rsidRPr="00336166">
              <w:rPr>
                <w:rFonts w:hint="cs"/>
                <w:szCs w:val="28"/>
                <w:rtl/>
              </w:rPr>
              <w:t>حوار المتابعة مستمر، بالت</w:t>
            </w:r>
            <w:r w:rsidR="004C4125">
              <w:rPr>
                <w:rFonts w:hint="cs"/>
                <w:szCs w:val="28"/>
                <w:rtl/>
              </w:rPr>
              <w:t>وصل إلى نتائج تتعلق بالبنود جيم1/جيم1/باء</w:t>
            </w:r>
            <w:r w:rsidR="0080473E" w:rsidRPr="00336166">
              <w:rPr>
                <w:rFonts w:hint="cs"/>
                <w:szCs w:val="28"/>
                <w:rtl/>
              </w:rPr>
              <w:t xml:space="preserve">2 (اتخذت </w:t>
            </w:r>
            <w:r w:rsidR="004C4125">
              <w:rPr>
                <w:rFonts w:hint="cs"/>
                <w:szCs w:val="28"/>
                <w:rtl/>
              </w:rPr>
              <w:t>تدابير غير مرضية وتدابير أولية).</w:t>
            </w:r>
          </w:p>
          <w:p w:rsidR="0080473E" w:rsidRPr="00336166" w:rsidRDefault="00AE3FD0" w:rsidP="00AE3FD0">
            <w:pPr>
              <w:spacing w:before="40" w:after="60" w:line="320" w:lineRule="exact"/>
              <w:ind w:left="57" w:right="57"/>
              <w:rPr>
                <w:rFonts w:hint="cs"/>
                <w:szCs w:val="28"/>
                <w:rtl/>
              </w:rPr>
            </w:pPr>
            <w:r>
              <w:rPr>
                <w:szCs w:val="28"/>
                <w:rtl/>
              </w:rPr>
              <w:tab/>
            </w:r>
            <w:r>
              <w:rPr>
                <w:rFonts w:hint="cs"/>
                <w:szCs w:val="28"/>
                <w:rtl/>
              </w:rPr>
              <w:t>سترسل رسالة إلى الدولة الطرف ت</w:t>
            </w:r>
            <w:r w:rsidR="0080473E" w:rsidRPr="00336166">
              <w:rPr>
                <w:rFonts w:hint="cs"/>
                <w:szCs w:val="28"/>
                <w:rtl/>
              </w:rPr>
              <w:t xml:space="preserve">عكس تحليل اللجنة </w:t>
            </w:r>
            <w:r>
              <w:rPr>
                <w:rFonts w:hint="cs"/>
                <w:szCs w:val="28"/>
                <w:rtl/>
              </w:rPr>
              <w:t>وتدعو البعثة الدائمة إلى عقد اجتماع مع المقرر الخاص المعني بمتابعة الآراء والمقرر الخاص المعني بالبلاغات الجديدة ورئيس اللجنة.</w:t>
            </w:r>
          </w:p>
        </w:tc>
      </w:tr>
    </w:tbl>
    <w:p w:rsidR="0080473E" w:rsidRPr="00957C18" w:rsidRDefault="0080473E" w:rsidP="0080473E">
      <w:pPr>
        <w:spacing w:before="120"/>
        <w:jc w:val="center"/>
        <w:rPr>
          <w:rFonts w:hint="cs"/>
          <w:u w:val="single"/>
          <w:rtl/>
        </w:rPr>
      </w:pPr>
      <w:r>
        <w:rPr>
          <w:u w:val="single"/>
          <w:rtl/>
        </w:rPr>
        <w:tab/>
      </w:r>
      <w:r>
        <w:rPr>
          <w:u w:val="single"/>
          <w:rtl/>
        </w:rPr>
        <w:tab/>
      </w:r>
      <w:r>
        <w:rPr>
          <w:u w:val="single"/>
          <w:rtl/>
        </w:rPr>
        <w:tab/>
      </w:r>
    </w:p>
    <w:sectPr w:rsidR="0080473E" w:rsidRPr="00957C18"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D89" w:rsidRPr="00FE6865" w:rsidRDefault="000E6D89" w:rsidP="00FE6865">
      <w:pPr>
        <w:pStyle w:val="Footer"/>
      </w:pPr>
    </w:p>
  </w:endnote>
  <w:endnote w:type="continuationSeparator" w:id="0">
    <w:p w:rsidR="000E6D89" w:rsidRDefault="000E6D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FFA" w:rsidRPr="0080473E" w:rsidRDefault="00A24FFA" w:rsidP="0080473E">
    <w:pPr>
      <w:pStyle w:val="Footer"/>
      <w:tabs>
        <w:tab w:val="right" w:pos="9598"/>
      </w:tabs>
    </w:pPr>
    <w:r>
      <w:t>GE.13-48368</w:t>
    </w:r>
    <w:r>
      <w:tab/>
    </w:r>
    <w:r w:rsidRPr="0080473E">
      <w:rPr>
        <w:b/>
        <w:sz w:val="18"/>
      </w:rPr>
      <w:fldChar w:fldCharType="begin"/>
    </w:r>
    <w:r w:rsidRPr="0080473E">
      <w:rPr>
        <w:b/>
        <w:sz w:val="18"/>
      </w:rPr>
      <w:instrText xml:space="preserve"> PAGE  \* MERGEFORMAT </w:instrText>
    </w:r>
    <w:r w:rsidRPr="0080473E">
      <w:rPr>
        <w:b/>
        <w:sz w:val="18"/>
      </w:rPr>
      <w:fldChar w:fldCharType="separate"/>
    </w:r>
    <w:r w:rsidR="00252F94">
      <w:rPr>
        <w:b/>
        <w:noProof/>
        <w:sz w:val="18"/>
      </w:rPr>
      <w:t>6</w:t>
    </w:r>
    <w:r w:rsidRPr="0080473E">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FFA" w:rsidRPr="0080473E" w:rsidRDefault="00A24FFA" w:rsidP="0080473E">
    <w:pPr>
      <w:pStyle w:val="Footer"/>
      <w:tabs>
        <w:tab w:val="right" w:pos="9598"/>
      </w:tabs>
      <w:rPr>
        <w:b/>
        <w:sz w:val="18"/>
      </w:rPr>
    </w:pPr>
    <w:r w:rsidRPr="0080473E">
      <w:rPr>
        <w:b/>
        <w:sz w:val="18"/>
      </w:rPr>
      <w:fldChar w:fldCharType="begin"/>
    </w:r>
    <w:r w:rsidRPr="0080473E">
      <w:rPr>
        <w:b/>
        <w:sz w:val="18"/>
      </w:rPr>
      <w:instrText xml:space="preserve"> PAGE  \* MERGEFORMAT </w:instrText>
    </w:r>
    <w:r w:rsidRPr="0080473E">
      <w:rPr>
        <w:b/>
        <w:sz w:val="18"/>
      </w:rPr>
      <w:fldChar w:fldCharType="separate"/>
    </w:r>
    <w:r w:rsidR="00252F94">
      <w:rPr>
        <w:b/>
        <w:noProof/>
        <w:sz w:val="18"/>
      </w:rPr>
      <w:t>5</w:t>
    </w:r>
    <w:r w:rsidRPr="0080473E">
      <w:rPr>
        <w:b/>
        <w:sz w:val="18"/>
      </w:rPr>
      <w:fldChar w:fldCharType="end"/>
    </w:r>
    <w:r>
      <w:rPr>
        <w:b/>
        <w:sz w:val="18"/>
      </w:rPr>
      <w:tab/>
    </w:r>
    <w:r>
      <w:t>GE.13-48368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FFA" w:rsidRDefault="00A24FFA" w:rsidP="007E5990">
    <w:pPr>
      <w:pStyle w:val="Footer"/>
      <w:jc w:val="right"/>
    </w:pPr>
    <w:r>
      <w:rPr>
        <w:sz w:val="20"/>
      </w:rPr>
      <w:t>(A)   GE.13-48368</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Pr>
        <w:sz w:val="20"/>
      </w:rPr>
      <w:t xml:space="preserve">    131113    181113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D89" w:rsidRDefault="000E6D89" w:rsidP="0024127C">
      <w:pPr>
        <w:pStyle w:val="Footer"/>
        <w:bidi/>
        <w:spacing w:after="80" w:line="200" w:lineRule="exact"/>
        <w:ind w:left="680"/>
      </w:pPr>
      <w:r>
        <w:rPr>
          <w:rFonts w:hint="cs"/>
          <w:rtl/>
        </w:rPr>
        <w:t>__________</w:t>
      </w:r>
    </w:p>
  </w:footnote>
  <w:footnote w:type="continuationSeparator" w:id="0">
    <w:p w:rsidR="000E6D89" w:rsidRDefault="000E6D89" w:rsidP="0024127C">
      <w:pPr>
        <w:pStyle w:val="Footer"/>
        <w:bidi/>
        <w:spacing w:after="80" w:line="200" w:lineRule="exact"/>
        <w:ind w:left="680"/>
      </w:pPr>
      <w:r>
        <w:rPr>
          <w:rFonts w:hint="cs"/>
          <w:rtl/>
        </w:rPr>
        <w:t>__________</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FFA" w:rsidRPr="0080473E" w:rsidRDefault="00A24FFA" w:rsidP="0080473E">
    <w:pPr>
      <w:pStyle w:val="Header"/>
      <w:jc w:val="right"/>
    </w:pPr>
    <w:r w:rsidRPr="0080473E">
      <w:t>CRPD/C/10/3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FFA" w:rsidRPr="0080473E" w:rsidRDefault="00A24FFA" w:rsidP="0080473E">
    <w:pPr>
      <w:pStyle w:val="Header"/>
      <w:jc w:val="left"/>
    </w:pPr>
    <w:r w:rsidRPr="0080473E">
      <w:t>CRPD/C/10/3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FFA" w:rsidRDefault="00A24FFA"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230.55pt;margin-top:19.35pt;width:192.45pt;height:97.65pt;z-index:2" o:allowincell="f" filled="f" stroked="f">
          <v:textbox inset="0,0,0,0">
            <w:txbxContent>
              <w:p w:rsidR="00A24FFA" w:rsidRPr="002E4D7B" w:rsidRDefault="00A24FFA" w:rsidP="002E4D7B">
                <w:pPr>
                  <w:spacing w:line="600" w:lineRule="exact"/>
                  <w:jc w:val="left"/>
                  <w:rPr>
                    <w:rFonts w:hint="cs"/>
                    <w:szCs w:val="56"/>
                  </w:rPr>
                </w:pPr>
                <w:r>
                  <w:rPr>
                    <w:rFonts w:hint="cs"/>
                    <w:b/>
                    <w:bCs/>
                    <w:sz w:val="56"/>
                    <w:szCs w:val="56"/>
                    <w:rtl/>
                  </w:rPr>
                  <w:t>اتفاقية حقوق الأشخاص</w:t>
                </w:r>
                <w:r>
                  <w:rPr>
                    <w:rFonts w:hint="cs"/>
                    <w:b/>
                    <w:bCs/>
                    <w:sz w:val="56"/>
                    <w:szCs w:val="56"/>
                    <w:rtl/>
                  </w:rPr>
                  <w:br/>
                  <w:t>ذوي الإعاقة</w:t>
                </w: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4" w:dllVersion="512" w:checkStyle="0"/>
  <w:attachedTemplate r:id="rId1"/>
  <w:stylePaneFormatFilter w:val="1F01"/>
  <w:doNotTrackMoves/>
  <w:defaultTabStop w:val="680"/>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346A"/>
    <w:rsid w:val="00040E25"/>
    <w:rsid w:val="00042149"/>
    <w:rsid w:val="000648EA"/>
    <w:rsid w:val="000957C8"/>
    <w:rsid w:val="00097049"/>
    <w:rsid w:val="000A04D5"/>
    <w:rsid w:val="000B52F2"/>
    <w:rsid w:val="000D0EAE"/>
    <w:rsid w:val="000D5380"/>
    <w:rsid w:val="000D6654"/>
    <w:rsid w:val="000E103D"/>
    <w:rsid w:val="000E6D89"/>
    <w:rsid w:val="000F0264"/>
    <w:rsid w:val="000F2EBF"/>
    <w:rsid w:val="000F3A9F"/>
    <w:rsid w:val="000F5FF6"/>
    <w:rsid w:val="001022B5"/>
    <w:rsid w:val="00113FA5"/>
    <w:rsid w:val="001455A0"/>
    <w:rsid w:val="001602A3"/>
    <w:rsid w:val="001A5161"/>
    <w:rsid w:val="001A60BD"/>
    <w:rsid w:val="001B1104"/>
    <w:rsid w:val="00232277"/>
    <w:rsid w:val="0023736D"/>
    <w:rsid w:val="0024127C"/>
    <w:rsid w:val="00252F94"/>
    <w:rsid w:val="00257225"/>
    <w:rsid w:val="002E4D7B"/>
    <w:rsid w:val="00310160"/>
    <w:rsid w:val="00336166"/>
    <w:rsid w:val="00341A8C"/>
    <w:rsid w:val="003519E6"/>
    <w:rsid w:val="0038155D"/>
    <w:rsid w:val="003B4356"/>
    <w:rsid w:val="003F08A8"/>
    <w:rsid w:val="004250E3"/>
    <w:rsid w:val="00472A81"/>
    <w:rsid w:val="004A20A6"/>
    <w:rsid w:val="004B2C92"/>
    <w:rsid w:val="004C4125"/>
    <w:rsid w:val="004D6A3A"/>
    <w:rsid w:val="004F4AD7"/>
    <w:rsid w:val="00557CD3"/>
    <w:rsid w:val="00571432"/>
    <w:rsid w:val="005732A2"/>
    <w:rsid w:val="005762A5"/>
    <w:rsid w:val="00590BA3"/>
    <w:rsid w:val="005B46D9"/>
    <w:rsid w:val="005B7AE0"/>
    <w:rsid w:val="005F146F"/>
    <w:rsid w:val="005F66A9"/>
    <w:rsid w:val="005F71B6"/>
    <w:rsid w:val="00644FF8"/>
    <w:rsid w:val="00654786"/>
    <w:rsid w:val="00660FD4"/>
    <w:rsid w:val="006A4425"/>
    <w:rsid w:val="006B00A4"/>
    <w:rsid w:val="006B4669"/>
    <w:rsid w:val="006F6BF8"/>
    <w:rsid w:val="00707BDF"/>
    <w:rsid w:val="00710727"/>
    <w:rsid w:val="00715F45"/>
    <w:rsid w:val="00731815"/>
    <w:rsid w:val="00731B84"/>
    <w:rsid w:val="00734AE7"/>
    <w:rsid w:val="0079344E"/>
    <w:rsid w:val="007E197F"/>
    <w:rsid w:val="007E5990"/>
    <w:rsid w:val="007F68C4"/>
    <w:rsid w:val="0080473E"/>
    <w:rsid w:val="0081005D"/>
    <w:rsid w:val="008153DE"/>
    <w:rsid w:val="00852A10"/>
    <w:rsid w:val="00862634"/>
    <w:rsid w:val="00866C59"/>
    <w:rsid w:val="00877306"/>
    <w:rsid w:val="008A6242"/>
    <w:rsid w:val="008B4BC6"/>
    <w:rsid w:val="008D70D4"/>
    <w:rsid w:val="00901E57"/>
    <w:rsid w:val="009070DF"/>
    <w:rsid w:val="00935F0E"/>
    <w:rsid w:val="0095208F"/>
    <w:rsid w:val="00977B3F"/>
    <w:rsid w:val="009814AE"/>
    <w:rsid w:val="009901D3"/>
    <w:rsid w:val="00996BBE"/>
    <w:rsid w:val="009B2C03"/>
    <w:rsid w:val="009D1DD5"/>
    <w:rsid w:val="009E40A4"/>
    <w:rsid w:val="009F722C"/>
    <w:rsid w:val="00A1410D"/>
    <w:rsid w:val="00A24FFA"/>
    <w:rsid w:val="00A26157"/>
    <w:rsid w:val="00A265C3"/>
    <w:rsid w:val="00A33AF7"/>
    <w:rsid w:val="00A43F9A"/>
    <w:rsid w:val="00A53F38"/>
    <w:rsid w:val="00A543D4"/>
    <w:rsid w:val="00A7346A"/>
    <w:rsid w:val="00AD0014"/>
    <w:rsid w:val="00AD4CF2"/>
    <w:rsid w:val="00AE3FD0"/>
    <w:rsid w:val="00AF0BBA"/>
    <w:rsid w:val="00B30468"/>
    <w:rsid w:val="00B44E31"/>
    <w:rsid w:val="00B77A5F"/>
    <w:rsid w:val="00BA4F7E"/>
    <w:rsid w:val="00BB2C41"/>
    <w:rsid w:val="00BC2E49"/>
    <w:rsid w:val="00BC55C8"/>
    <w:rsid w:val="00BC5C10"/>
    <w:rsid w:val="00BE2964"/>
    <w:rsid w:val="00C21623"/>
    <w:rsid w:val="00C24FBD"/>
    <w:rsid w:val="00C473BA"/>
    <w:rsid w:val="00C611ED"/>
    <w:rsid w:val="00C6490A"/>
    <w:rsid w:val="00C64FE1"/>
    <w:rsid w:val="00C7329B"/>
    <w:rsid w:val="00C74296"/>
    <w:rsid w:val="00C8345E"/>
    <w:rsid w:val="00CA5F7C"/>
    <w:rsid w:val="00D51067"/>
    <w:rsid w:val="00D75657"/>
    <w:rsid w:val="00D94A72"/>
    <w:rsid w:val="00D960AD"/>
    <w:rsid w:val="00DA0E0E"/>
    <w:rsid w:val="00DB0C39"/>
    <w:rsid w:val="00DB7679"/>
    <w:rsid w:val="00DF1702"/>
    <w:rsid w:val="00DF4DD8"/>
    <w:rsid w:val="00DF668E"/>
    <w:rsid w:val="00E04826"/>
    <w:rsid w:val="00E14D2B"/>
    <w:rsid w:val="00E20DBA"/>
    <w:rsid w:val="00E6524A"/>
    <w:rsid w:val="00E660D6"/>
    <w:rsid w:val="00E707A0"/>
    <w:rsid w:val="00E751ED"/>
    <w:rsid w:val="00E771AB"/>
    <w:rsid w:val="00EA796F"/>
    <w:rsid w:val="00EB077B"/>
    <w:rsid w:val="00EC50B9"/>
    <w:rsid w:val="00ED26A0"/>
    <w:rsid w:val="00F1727A"/>
    <w:rsid w:val="00F34764"/>
    <w:rsid w:val="00F41A7C"/>
    <w:rsid w:val="00F54E3C"/>
    <w:rsid w:val="00F70CA5"/>
    <w:rsid w:val="00F82442"/>
    <w:rsid w:val="00F874BD"/>
    <w:rsid w:val="00FB1D0B"/>
    <w:rsid w:val="00FE55A3"/>
    <w:rsid w:val="00FE6865"/>
    <w:rsid w:val="00FF1D3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F70CA5"/>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s>
</file>

<file path=word/webSettings.xml><?xml version="1.0" encoding="utf-8"?>
<w:webSettings xmlns:r="http://schemas.openxmlformats.org/officeDocument/2006/relationships" xmlns:w="http://schemas.openxmlformats.org/wordprocessingml/2006/main">
  <w:divs>
    <w:div w:id="7799877">
      <w:bodyDiv w:val="1"/>
      <w:marLeft w:val="0"/>
      <w:marRight w:val="0"/>
      <w:marTop w:val="0"/>
      <w:marBottom w:val="0"/>
      <w:divBdr>
        <w:top w:val="none" w:sz="0" w:space="0" w:color="auto"/>
        <w:left w:val="none" w:sz="0" w:space="0" w:color="auto"/>
        <w:bottom w:val="none" w:sz="0" w:space="0" w:color="auto"/>
        <w:right w:val="none" w:sz="0" w:space="0" w:color="auto"/>
      </w:divBdr>
    </w:div>
    <w:div w:id="160210068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P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Template>
  <TotalTime>2</TotalTime>
  <Pages>1</Pages>
  <Words>1992</Words>
  <Characters>9906</Characters>
  <Application>Microsoft Office Outlook</Application>
  <DocSecurity>4</DocSecurity>
  <Lines>206</Lines>
  <Paragraphs>107</Paragraphs>
  <ScaleCrop>false</ScaleCrop>
  <HeadingPairs>
    <vt:vector size="2" baseType="variant">
      <vt:variant>
        <vt:lpstr>Title</vt:lpstr>
      </vt:variant>
      <vt:variant>
        <vt:i4>1</vt:i4>
      </vt:variant>
    </vt:vector>
  </HeadingPairs>
  <TitlesOfParts>
    <vt:vector size="1" baseType="lpstr">
      <vt:lpstr>CRPD/C/10/3</vt:lpstr>
    </vt:vector>
  </TitlesOfParts>
  <Company>CSD</Company>
  <LinksUpToDate>false</LinksUpToDate>
  <CharactersWithSpaces>11791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CRPD/C/10/3</dc:title>
  <dc:subject>KHUDAIRI/DIMITRI</dc:subject>
  <dc:creator>Bahnassawy</dc:creator>
  <cp:keywords/>
  <dc:description/>
  <cp:lastModifiedBy>Bahnassawy</cp:lastModifiedBy>
  <cp:revision>3</cp:revision>
  <cp:lastPrinted>2013-11-18T08:45:00Z</cp:lastPrinted>
  <dcterms:created xsi:type="dcterms:W3CDTF">2013-11-18T08:45:00Z</dcterms:created>
  <dcterms:modified xsi:type="dcterms:W3CDTF">2013-11-18T08:46:00Z</dcterms:modified>
</cp:coreProperties>
</file>