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14FE6">
        <w:trPr>
          <w:trHeight w:val="851"/>
        </w:trPr>
        <w:tc>
          <w:tcPr>
            <w:tcW w:w="1259" w:type="dxa"/>
            <w:tcBorders>
              <w:top w:val="nil"/>
              <w:left w:val="nil"/>
              <w:bottom w:val="single" w:sz="4" w:space="0" w:color="auto"/>
              <w:right w:val="nil"/>
            </w:tcBorders>
            <w:vAlign w:val="bottom"/>
          </w:tcPr>
          <w:p w:rsidR="00414FE6" w:rsidRDefault="00414FE6" w:rsidP="00414FE6">
            <w:pPr>
              <w:spacing w:after="80"/>
            </w:pPr>
          </w:p>
        </w:tc>
        <w:tc>
          <w:tcPr>
            <w:tcW w:w="2236" w:type="dxa"/>
            <w:tcBorders>
              <w:top w:val="nil"/>
              <w:left w:val="nil"/>
              <w:bottom w:val="single" w:sz="4" w:space="0" w:color="auto"/>
              <w:right w:val="nil"/>
            </w:tcBorders>
            <w:vAlign w:val="bottom"/>
          </w:tcPr>
          <w:p w:rsidR="00414FE6" w:rsidRPr="00B97172" w:rsidRDefault="00414FE6" w:rsidP="00414FE6">
            <w:pPr>
              <w:spacing w:after="80" w:line="300" w:lineRule="exact"/>
              <w:rPr>
                <w:b/>
                <w:sz w:val="24"/>
                <w:szCs w:val="24"/>
              </w:rPr>
            </w:pPr>
            <w:r>
              <w:rPr>
                <w:sz w:val="28"/>
                <w:szCs w:val="28"/>
              </w:rPr>
              <w:t>United Nations</w:t>
            </w:r>
          </w:p>
        </w:tc>
        <w:tc>
          <w:tcPr>
            <w:tcW w:w="6144" w:type="dxa"/>
            <w:gridSpan w:val="2"/>
            <w:tcBorders>
              <w:top w:val="nil"/>
              <w:left w:val="nil"/>
              <w:bottom w:val="single" w:sz="4" w:space="0" w:color="auto"/>
              <w:right w:val="nil"/>
            </w:tcBorders>
            <w:vAlign w:val="bottom"/>
          </w:tcPr>
          <w:p w:rsidR="00414FE6" w:rsidRPr="00DE3EC0" w:rsidRDefault="00414FE6" w:rsidP="00414FE6">
            <w:pPr>
              <w:jc w:val="right"/>
            </w:pPr>
            <w:r w:rsidRPr="008564C3">
              <w:rPr>
                <w:sz w:val="40"/>
              </w:rPr>
              <w:t>CCPR</w:t>
            </w:r>
            <w:r>
              <w:t>/C/</w:t>
            </w:r>
            <w:r w:rsidR="001C6D02">
              <w:t>CPV</w:t>
            </w:r>
            <w:r>
              <w:t>/CO/1</w:t>
            </w:r>
          </w:p>
        </w:tc>
      </w:tr>
      <w:tr w:rsidR="00414FE6">
        <w:trPr>
          <w:trHeight w:val="2835"/>
        </w:trPr>
        <w:tc>
          <w:tcPr>
            <w:tcW w:w="1259" w:type="dxa"/>
            <w:tcBorders>
              <w:top w:val="single" w:sz="4" w:space="0" w:color="auto"/>
              <w:left w:val="nil"/>
              <w:bottom w:val="single" w:sz="12" w:space="0" w:color="auto"/>
              <w:right w:val="nil"/>
            </w:tcBorders>
          </w:tcPr>
          <w:p w:rsidR="00414FE6" w:rsidRDefault="00414FE6" w:rsidP="00414FE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14FE6" w:rsidRPr="00267F5F" w:rsidRDefault="00414FE6" w:rsidP="00C15611">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1C6D02" w:rsidRDefault="001C6D02" w:rsidP="001C6D02">
            <w:pPr>
              <w:spacing w:before="240"/>
            </w:pPr>
            <w:r>
              <w:t>Distr.: General</w:t>
            </w:r>
          </w:p>
          <w:p w:rsidR="001C6D02" w:rsidRDefault="00F86BC3" w:rsidP="001C6D02">
            <w:r>
              <w:t>23</w:t>
            </w:r>
            <w:r w:rsidR="001C6D02">
              <w:t xml:space="preserve"> April 2012</w:t>
            </w:r>
          </w:p>
          <w:p w:rsidR="00414FE6" w:rsidRDefault="00414FE6" w:rsidP="00414FE6">
            <w:pPr>
              <w:spacing w:line="240" w:lineRule="exact"/>
            </w:pPr>
          </w:p>
          <w:p w:rsidR="00414FE6" w:rsidRDefault="00414FE6" w:rsidP="00414FE6">
            <w:pPr>
              <w:spacing w:line="240" w:lineRule="exact"/>
            </w:pPr>
            <w:r>
              <w:t>Original: English</w:t>
            </w:r>
          </w:p>
        </w:tc>
      </w:tr>
    </w:tbl>
    <w:p w:rsidR="008564C3" w:rsidRPr="00AA2E62" w:rsidRDefault="008564C3" w:rsidP="008564C3">
      <w:pPr>
        <w:autoSpaceDE w:val="0"/>
        <w:autoSpaceDN w:val="0"/>
        <w:adjustRightInd w:val="0"/>
        <w:rPr>
          <w:b/>
          <w:bCs/>
          <w:sz w:val="24"/>
          <w:szCs w:val="24"/>
        </w:rPr>
      </w:pPr>
      <w:r w:rsidRPr="00AA2E62">
        <w:rPr>
          <w:b/>
          <w:bCs/>
          <w:sz w:val="24"/>
          <w:szCs w:val="24"/>
        </w:rPr>
        <w:t>Human Rights Committee</w:t>
      </w:r>
    </w:p>
    <w:p w:rsidR="008564C3" w:rsidRPr="00AA2E62" w:rsidRDefault="008564C3" w:rsidP="008564C3">
      <w:pPr>
        <w:autoSpaceDE w:val="0"/>
        <w:autoSpaceDN w:val="0"/>
        <w:adjustRightInd w:val="0"/>
        <w:rPr>
          <w:b/>
          <w:bCs/>
        </w:rPr>
      </w:pPr>
      <w:r>
        <w:rPr>
          <w:b/>
          <w:bCs/>
        </w:rPr>
        <w:t>10</w:t>
      </w:r>
      <w:r w:rsidR="001C6D02">
        <w:rPr>
          <w:b/>
          <w:bCs/>
        </w:rPr>
        <w:t>4th</w:t>
      </w:r>
      <w:r>
        <w:rPr>
          <w:b/>
          <w:bCs/>
        </w:rPr>
        <w:t xml:space="preserve"> </w:t>
      </w:r>
      <w:r w:rsidRPr="00AA2E62">
        <w:rPr>
          <w:b/>
          <w:bCs/>
        </w:rPr>
        <w:t>session</w:t>
      </w:r>
    </w:p>
    <w:p w:rsidR="00C15611" w:rsidRDefault="00C15611" w:rsidP="00C156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smartTag w:uri="urn:schemas-microsoft-com:office:smarttags" w:element="place">
        <w:smartTag w:uri="urn:schemas-microsoft-com:office:smarttags" w:element="State">
          <w:r>
            <w:t>New York</w:t>
          </w:r>
        </w:smartTag>
      </w:smartTag>
      <w:r>
        <w:t>, 12-30 March 2012</w:t>
      </w:r>
    </w:p>
    <w:p w:rsidR="008564C3" w:rsidRPr="00AA7D2F" w:rsidRDefault="008564C3" w:rsidP="008564C3">
      <w:pPr>
        <w:pStyle w:val="HChG"/>
        <w:rPr>
          <w:lang w:val="en-US"/>
        </w:rPr>
      </w:pPr>
      <w:r>
        <w:rPr>
          <w:lang w:val="en-US"/>
        </w:rPr>
        <w:tab/>
      </w:r>
      <w:r>
        <w:rPr>
          <w:lang w:val="en-US"/>
        </w:rPr>
        <w:tab/>
      </w:r>
      <w:r w:rsidRPr="00AA7D2F">
        <w:rPr>
          <w:lang w:val="en-US"/>
        </w:rPr>
        <w:t xml:space="preserve">Consideration of reports submitted by States parties </w:t>
      </w:r>
      <w:r w:rsidRPr="00AA7D2F">
        <w:rPr>
          <w:bCs/>
          <w:lang w:val="en-US"/>
        </w:rPr>
        <w:t xml:space="preserve">under article 40 of the Covenant </w:t>
      </w:r>
    </w:p>
    <w:p w:rsidR="008564C3" w:rsidRPr="00AA7D2F" w:rsidRDefault="008564C3" w:rsidP="008564C3">
      <w:pPr>
        <w:pStyle w:val="H1G"/>
        <w:rPr>
          <w:lang w:val="en-US"/>
        </w:rPr>
      </w:pPr>
      <w:r w:rsidRPr="00AA7D2F">
        <w:rPr>
          <w:lang w:val="en-US"/>
        </w:rPr>
        <w:tab/>
      </w:r>
      <w:r w:rsidRPr="00AA7D2F">
        <w:rPr>
          <w:lang w:val="en-US"/>
        </w:rPr>
        <w:tab/>
      </w:r>
      <w:r w:rsidR="00414FE6" w:rsidRPr="00AA7D2F">
        <w:rPr>
          <w:lang w:val="en-US"/>
        </w:rPr>
        <w:t>C</w:t>
      </w:r>
      <w:r w:rsidRPr="00AA7D2F">
        <w:rPr>
          <w:lang w:val="en-US"/>
        </w:rPr>
        <w:t>oncluding observations of the Human Rights Committee</w:t>
      </w:r>
    </w:p>
    <w:p w:rsidR="008564C3" w:rsidRPr="00AA7D2F" w:rsidRDefault="008564C3" w:rsidP="008564C3">
      <w:pPr>
        <w:pStyle w:val="HChG"/>
        <w:rPr>
          <w:lang w:val="en-US"/>
        </w:rPr>
      </w:pPr>
      <w:r w:rsidRPr="00AA7D2F">
        <w:rPr>
          <w:lang w:val="en-US"/>
        </w:rPr>
        <w:tab/>
      </w:r>
      <w:r w:rsidRPr="00AA7D2F">
        <w:rPr>
          <w:lang w:val="en-US"/>
        </w:rPr>
        <w:tab/>
      </w:r>
      <w:smartTag w:uri="urn:schemas-microsoft-com:office:smarttags" w:element="place">
        <w:smartTag w:uri="urn:schemas-microsoft-com:office:smarttags" w:element="country-region">
          <w:r w:rsidR="001C6D02">
            <w:rPr>
              <w:lang w:val="en-US"/>
            </w:rPr>
            <w:t>Cape Verde</w:t>
          </w:r>
        </w:smartTag>
      </w:smartTag>
    </w:p>
    <w:p w:rsidR="00EB7A78" w:rsidRDefault="00EB7A78" w:rsidP="00EB7A78">
      <w:pPr>
        <w:pStyle w:val="SingleTxtG"/>
      </w:pPr>
      <w:r w:rsidRPr="003D4020">
        <w:t>1.</w:t>
      </w:r>
      <w:r w:rsidRPr="003D4020">
        <w:tab/>
      </w:r>
      <w:r>
        <w:t>In the absence of a report by the State party, t</w:t>
      </w:r>
      <w:r w:rsidRPr="003D4020">
        <w:t xml:space="preserve">he Human Rights Committee considered the situation of civil and political rights </w:t>
      </w:r>
      <w:r w:rsidR="00CB7ED8">
        <w:t xml:space="preserve">in Cape Verde </w:t>
      </w:r>
      <w:r w:rsidRPr="003D4020">
        <w:t>under the International Covenant on Ci</w:t>
      </w:r>
      <w:r>
        <w:t>vil and Political Rights at its 2877th meeting (CCPR/C/SR.2877</w:t>
      </w:r>
      <w:r w:rsidRPr="003D4020">
        <w:t xml:space="preserve">), held </w:t>
      </w:r>
      <w:r>
        <w:t xml:space="preserve">in a public session </w:t>
      </w:r>
      <w:r w:rsidRPr="003D4020">
        <w:t>on 21 March 201</w:t>
      </w:r>
      <w:r>
        <w:t>2. In accordance with rule 70, paragraph 1</w:t>
      </w:r>
      <w:r w:rsidR="00CB7ED8">
        <w:t>,</w:t>
      </w:r>
      <w:r>
        <w:t xml:space="preserve"> of the Committee’s rules of procedure, failure of a State party to submit </w:t>
      </w:r>
      <w:r w:rsidR="00CB7ED8">
        <w:t xml:space="preserve">a </w:t>
      </w:r>
      <w:r>
        <w:t xml:space="preserve">report under article 40 of the Covenant may lead to </w:t>
      </w:r>
      <w:r w:rsidR="00CB7ED8">
        <w:t>the</w:t>
      </w:r>
      <w:r>
        <w:t xml:space="preserve"> </w:t>
      </w:r>
      <w:r w:rsidRPr="00926FEE">
        <w:t>examin</w:t>
      </w:r>
      <w:r>
        <w:t xml:space="preserve">ation </w:t>
      </w:r>
      <w:r w:rsidRPr="00926FEE">
        <w:t xml:space="preserve">in a </w:t>
      </w:r>
      <w:r>
        <w:t xml:space="preserve">public </w:t>
      </w:r>
      <w:r w:rsidRPr="00926FEE">
        <w:t xml:space="preserve">session </w:t>
      </w:r>
      <w:r>
        <w:t xml:space="preserve">of </w:t>
      </w:r>
      <w:r w:rsidRPr="00926FEE">
        <w:t>the measures taken by the State party to give effect to the rights recognized in the Covenant</w:t>
      </w:r>
      <w:r w:rsidR="00CB7ED8">
        <w:t>,</w:t>
      </w:r>
      <w:r w:rsidRPr="00926FEE">
        <w:t xml:space="preserve"> and </w:t>
      </w:r>
      <w:r>
        <w:t xml:space="preserve">to </w:t>
      </w:r>
      <w:r w:rsidR="00CB7ED8">
        <w:t xml:space="preserve">the </w:t>
      </w:r>
      <w:r w:rsidRPr="00926FEE">
        <w:t>adopt</w:t>
      </w:r>
      <w:r w:rsidR="00CB7ED8">
        <w:t>ion of</w:t>
      </w:r>
      <w:r w:rsidRPr="00926FEE">
        <w:t xml:space="preserve"> concluding observations</w:t>
      </w:r>
      <w:r>
        <w:t xml:space="preserve">. </w:t>
      </w:r>
    </w:p>
    <w:p w:rsidR="00EB7A78" w:rsidRPr="003D4020" w:rsidRDefault="00EB7A78" w:rsidP="00EB7A78">
      <w:pPr>
        <w:pStyle w:val="SingleTxtG"/>
      </w:pPr>
      <w:r>
        <w:t>2.</w:t>
      </w:r>
      <w:r>
        <w:tab/>
      </w:r>
      <w:r w:rsidRPr="003D4020">
        <w:t>At its</w:t>
      </w:r>
      <w:r>
        <w:t xml:space="preserve"> 2887th </w:t>
      </w:r>
      <w:r w:rsidRPr="003D4020">
        <w:t>meeting</w:t>
      </w:r>
      <w:r w:rsidR="00F96271">
        <w:t xml:space="preserve"> (CCPR/C/SR.2887)</w:t>
      </w:r>
      <w:r w:rsidRPr="003D4020">
        <w:t>, held on</w:t>
      </w:r>
      <w:r>
        <w:t xml:space="preserve"> 28 </w:t>
      </w:r>
      <w:r w:rsidRPr="003D4020">
        <w:t>March 201</w:t>
      </w:r>
      <w:r>
        <w:t>2</w:t>
      </w:r>
      <w:r w:rsidRPr="003D4020">
        <w:t xml:space="preserve">, </w:t>
      </w:r>
      <w:r>
        <w:t>the Committee</w:t>
      </w:r>
      <w:r w:rsidRPr="003D4020">
        <w:t xml:space="preserve"> adopted the following concluding observations</w:t>
      </w:r>
      <w:r>
        <w:t xml:space="preserve">, pending submission of the State party’s initial report, which the </w:t>
      </w:r>
      <w:r w:rsidR="00D02E39">
        <w:t>State party’s p</w:t>
      </w:r>
      <w:r>
        <w:t xml:space="preserve">ermanent </w:t>
      </w:r>
      <w:r w:rsidR="00D02E39">
        <w:t>r</w:t>
      </w:r>
      <w:r>
        <w:t xml:space="preserve">epresentative to the United Nations </w:t>
      </w:r>
      <w:r w:rsidR="00D02E39">
        <w:t xml:space="preserve">stated </w:t>
      </w:r>
      <w:r>
        <w:t>w</w:t>
      </w:r>
      <w:r w:rsidR="00D02E39">
        <w:t>ould</w:t>
      </w:r>
      <w:r>
        <w:t xml:space="preserve"> be submitted</w:t>
      </w:r>
      <w:r w:rsidR="00D02E39">
        <w:t xml:space="preserve"> in due course</w:t>
      </w:r>
      <w:r>
        <w:t>.</w:t>
      </w:r>
    </w:p>
    <w:p w:rsidR="00EB7A78" w:rsidRPr="003D4020" w:rsidRDefault="00EB7A78" w:rsidP="00EB7A78">
      <w:pPr>
        <w:pStyle w:val="H23G"/>
      </w:pPr>
      <w:r>
        <w:tab/>
      </w:r>
      <w:r w:rsidRPr="003D4020">
        <w:t>A.</w:t>
      </w:r>
      <w:r w:rsidRPr="003D4020">
        <w:tab/>
        <w:t>Introduction</w:t>
      </w:r>
    </w:p>
    <w:p w:rsidR="00EB7A78" w:rsidRPr="00393958" w:rsidRDefault="00EB7A78" w:rsidP="00EB7A78">
      <w:pPr>
        <w:pStyle w:val="SingleTxtG"/>
      </w:pPr>
      <w:r w:rsidRPr="00393958">
        <w:t>3.</w:t>
      </w:r>
      <w:r w:rsidRPr="00393958">
        <w:tab/>
        <w:t xml:space="preserve">The Covenant came into force for </w:t>
      </w:r>
      <w:smartTag w:uri="urn:schemas-microsoft-com:office:smarttags" w:element="place">
        <w:smartTag w:uri="urn:schemas-microsoft-com:office:smarttags" w:element="country-region">
          <w:r w:rsidRPr="00393958">
            <w:t>Cape Verde</w:t>
          </w:r>
        </w:smartTag>
      </w:smartTag>
      <w:r w:rsidRPr="00393958">
        <w:t xml:space="preserve"> on 6 November 1993. The State party was under </w:t>
      </w:r>
      <w:r w:rsidR="004A5A0D">
        <w:t>the</w:t>
      </w:r>
      <w:r w:rsidRPr="00393958">
        <w:t xml:space="preserve"> obligation to submit its initial report under article 40, paragraph 1 (a), of the Covenant</w:t>
      </w:r>
      <w:r w:rsidR="004A5A0D">
        <w:t xml:space="preserve"> </w:t>
      </w:r>
      <w:r w:rsidR="004A5A0D" w:rsidRPr="00393958">
        <w:t>by 5 November 1994</w:t>
      </w:r>
      <w:r w:rsidRPr="00393958">
        <w:t xml:space="preserve">. The Committee regrets that the State party has failed to honour </w:t>
      </w:r>
      <w:r w:rsidRPr="00FB25DD">
        <w:t>its reporting obligations under article 40 of the Coven</w:t>
      </w:r>
      <w:r w:rsidRPr="00393958">
        <w:t xml:space="preserve">ant and that, despite numerous reminders, the State party has not submitted the initial report. This amounts to a serious breach by the State party of its obligations under article 40 of the Covenant. </w:t>
      </w:r>
      <w:r w:rsidR="00FB25DD">
        <w:t>However, t</w:t>
      </w:r>
      <w:r w:rsidRPr="00393958">
        <w:t xml:space="preserve">he Committee </w:t>
      </w:r>
      <w:r w:rsidR="00FB25DD">
        <w:t>appreciates that</w:t>
      </w:r>
      <w:r w:rsidRPr="00393958">
        <w:t xml:space="preserve"> the State party</w:t>
      </w:r>
      <w:r w:rsidR="00FB25DD">
        <w:t>’s</w:t>
      </w:r>
      <w:r w:rsidRPr="00393958">
        <w:t xml:space="preserve"> </w:t>
      </w:r>
      <w:r w:rsidR="00FB25DD">
        <w:t>p</w:t>
      </w:r>
      <w:r w:rsidRPr="00393958">
        <w:t xml:space="preserve">ermanent </w:t>
      </w:r>
      <w:r w:rsidR="00FB25DD">
        <w:t>r</w:t>
      </w:r>
      <w:r w:rsidRPr="00393958">
        <w:t>epresentative to the United Nations attend</w:t>
      </w:r>
      <w:r w:rsidR="00FB25DD">
        <w:t>ed</w:t>
      </w:r>
      <w:r w:rsidRPr="00393958">
        <w:t xml:space="preserve"> the session and provide</w:t>
      </w:r>
      <w:r w:rsidR="00FB25DD">
        <w:t>d</w:t>
      </w:r>
      <w:r w:rsidRPr="00393958">
        <w:t xml:space="preserve"> clarification on a number of issues. </w:t>
      </w:r>
    </w:p>
    <w:p w:rsidR="00EB7A78" w:rsidRPr="003D4020" w:rsidRDefault="00EB7A78" w:rsidP="00EB7A78">
      <w:pPr>
        <w:pStyle w:val="H23G"/>
      </w:pPr>
      <w:r>
        <w:tab/>
      </w:r>
      <w:r w:rsidRPr="003D4020">
        <w:t>B.</w:t>
      </w:r>
      <w:r w:rsidRPr="003D4020">
        <w:tab/>
        <w:t>Positive aspects</w:t>
      </w:r>
    </w:p>
    <w:p w:rsidR="00EB7A78" w:rsidRPr="00393958" w:rsidRDefault="00EB7A78" w:rsidP="00EB7A78">
      <w:pPr>
        <w:pStyle w:val="SingleTxtG"/>
      </w:pPr>
      <w:r w:rsidRPr="00393958">
        <w:t>4.</w:t>
      </w:r>
      <w:r w:rsidRPr="00393958">
        <w:tab/>
        <w:t>The Committee welcomes the accession by the State party to the following treaties:</w:t>
      </w:r>
    </w:p>
    <w:p w:rsidR="00EB7A78" w:rsidRPr="00393958" w:rsidRDefault="00EB7A78" w:rsidP="00FB25DD">
      <w:pPr>
        <w:pStyle w:val="SingleTxtG"/>
        <w:ind w:firstLine="567"/>
      </w:pPr>
      <w:r w:rsidRPr="00393958">
        <w:t>(a)</w:t>
      </w:r>
      <w:r w:rsidRPr="00393958">
        <w:tab/>
        <w:t>The Optional Protocol to the International Covenant on Civil and Political Rights and its Second Optional Protocol aiming at the abolition of the death penalty</w:t>
      </w:r>
      <w:r w:rsidR="00FB25DD">
        <w:t>,</w:t>
      </w:r>
      <w:r w:rsidRPr="00393958">
        <w:t xml:space="preserve"> on 19 May 2000; </w:t>
      </w:r>
    </w:p>
    <w:p w:rsidR="00EB7A78" w:rsidRPr="00393958" w:rsidRDefault="00EB7A78" w:rsidP="00FB25DD">
      <w:pPr>
        <w:pStyle w:val="SingleTxtG"/>
        <w:ind w:firstLine="567"/>
      </w:pPr>
      <w:r w:rsidRPr="00393958">
        <w:t>(b)</w:t>
      </w:r>
      <w:r w:rsidRPr="00393958">
        <w:tab/>
        <w:t>The Convention on the Rights of Persons with Disabilities</w:t>
      </w:r>
      <w:r w:rsidR="00FB25DD">
        <w:t>,</w:t>
      </w:r>
      <w:r w:rsidRPr="00393958">
        <w:t xml:space="preserve"> on 10 October 2011;</w:t>
      </w:r>
    </w:p>
    <w:p w:rsidR="00EB7A78" w:rsidRPr="00393958" w:rsidRDefault="00EB7A78" w:rsidP="00FB25DD">
      <w:pPr>
        <w:pStyle w:val="SingleTxtG"/>
        <w:ind w:firstLine="567"/>
      </w:pPr>
      <w:r w:rsidRPr="00393958">
        <w:t>(c)</w:t>
      </w:r>
      <w:r w:rsidRPr="00393958">
        <w:tab/>
        <w:t xml:space="preserve"> The Optional Protocol to the Convention on the Rights of the Child on the </w:t>
      </w:r>
      <w:r w:rsidR="00FB25DD">
        <w:t>i</w:t>
      </w:r>
      <w:r w:rsidRPr="00393958">
        <w:t xml:space="preserve">nvolvement of </w:t>
      </w:r>
      <w:r w:rsidR="00FB25DD">
        <w:t>c</w:t>
      </w:r>
      <w:r w:rsidRPr="00393958">
        <w:t>hildren in armed conflict</w:t>
      </w:r>
      <w:r w:rsidR="00FB25DD">
        <w:t>,</w:t>
      </w:r>
      <w:r w:rsidRPr="00393958">
        <w:t xml:space="preserve"> on 10 May 2002;</w:t>
      </w:r>
    </w:p>
    <w:p w:rsidR="00EB7A78" w:rsidRPr="00393958" w:rsidRDefault="00EB7A78" w:rsidP="00FB25DD">
      <w:pPr>
        <w:pStyle w:val="SingleTxtG"/>
        <w:ind w:firstLine="567"/>
      </w:pPr>
      <w:r w:rsidRPr="00393958">
        <w:t>(d)</w:t>
      </w:r>
      <w:r w:rsidRPr="00393958">
        <w:tab/>
        <w:t xml:space="preserve">The Optional Protocol to the Convention on the Rights of the Child on the </w:t>
      </w:r>
      <w:r w:rsidR="00FB25DD">
        <w:t>s</w:t>
      </w:r>
      <w:r w:rsidRPr="00393958">
        <w:t xml:space="preserve">ale of </w:t>
      </w:r>
      <w:r w:rsidR="00FB25DD">
        <w:t>c</w:t>
      </w:r>
      <w:r w:rsidRPr="00393958">
        <w:t xml:space="preserve">hildren, </w:t>
      </w:r>
      <w:r w:rsidR="00FB25DD">
        <w:t>c</w:t>
      </w:r>
      <w:r w:rsidRPr="00393958">
        <w:t xml:space="preserve">hild </w:t>
      </w:r>
      <w:r w:rsidR="00FB25DD">
        <w:t>p</w:t>
      </w:r>
      <w:r w:rsidRPr="00393958">
        <w:t xml:space="preserve">rostitution and </w:t>
      </w:r>
      <w:r w:rsidR="00FB25DD">
        <w:t>c</w:t>
      </w:r>
      <w:r w:rsidRPr="00393958">
        <w:t xml:space="preserve">hild </w:t>
      </w:r>
      <w:r w:rsidR="00FB25DD">
        <w:t>p</w:t>
      </w:r>
      <w:r w:rsidRPr="00393958">
        <w:t>ornography</w:t>
      </w:r>
      <w:r w:rsidR="00FB25DD">
        <w:t>,</w:t>
      </w:r>
      <w:r w:rsidRPr="00393958">
        <w:t xml:space="preserve"> on 10 May 2002; </w:t>
      </w:r>
    </w:p>
    <w:p w:rsidR="00EB7A78" w:rsidRPr="00393958" w:rsidRDefault="00EB7A78" w:rsidP="00FB25DD">
      <w:pPr>
        <w:pStyle w:val="SingleTxtG"/>
        <w:ind w:firstLine="567"/>
      </w:pPr>
      <w:r w:rsidRPr="00393958">
        <w:t>(e)</w:t>
      </w:r>
      <w:r w:rsidRPr="00393958">
        <w:tab/>
        <w:t>The International Convention on the Protection of the Rights of all Migrant Workers and Members of their Families</w:t>
      </w:r>
      <w:r w:rsidR="00FB25DD">
        <w:t>,</w:t>
      </w:r>
      <w:r w:rsidRPr="00393958">
        <w:t xml:space="preserve"> on 16 September 1997.</w:t>
      </w:r>
    </w:p>
    <w:p w:rsidR="00EB7A78" w:rsidRPr="003D4020" w:rsidRDefault="00EB7A78" w:rsidP="00EB7A78">
      <w:pPr>
        <w:pStyle w:val="H23G"/>
      </w:pPr>
      <w:r>
        <w:tab/>
      </w:r>
      <w:r w:rsidRPr="003D4020">
        <w:t>C.</w:t>
      </w:r>
      <w:r>
        <w:tab/>
      </w:r>
      <w:r w:rsidRPr="003D4020">
        <w:t xml:space="preserve">Principal </w:t>
      </w:r>
      <w:r w:rsidR="00FB25DD">
        <w:t>matters</w:t>
      </w:r>
      <w:r w:rsidR="00FB25DD" w:rsidRPr="003D4020">
        <w:t xml:space="preserve"> </w:t>
      </w:r>
      <w:r w:rsidRPr="003D4020">
        <w:t xml:space="preserve">of concern and </w:t>
      </w:r>
      <w:r w:rsidR="00FB25DD">
        <w:t>recommendations</w:t>
      </w:r>
    </w:p>
    <w:p w:rsidR="00EB7A78" w:rsidRPr="003D4020" w:rsidRDefault="00EB7A78" w:rsidP="00EB7A78">
      <w:pPr>
        <w:pStyle w:val="SingleTxtG"/>
      </w:pPr>
      <w:r>
        <w:t>5</w:t>
      </w:r>
      <w:r w:rsidRPr="003D4020">
        <w:t>.</w:t>
      </w:r>
      <w:r w:rsidRPr="003D4020">
        <w:tab/>
        <w:t xml:space="preserve">While welcoming the establishment of the National Commission </w:t>
      </w:r>
      <w:r>
        <w:t xml:space="preserve">for </w:t>
      </w:r>
      <w:r w:rsidRPr="003D4020">
        <w:t xml:space="preserve">Human Rights </w:t>
      </w:r>
      <w:r>
        <w:t>and Citizenship (NCHR</w:t>
      </w:r>
      <w:r w:rsidRPr="003D4020">
        <w:t xml:space="preserve">C), the Committee expresses concern </w:t>
      </w:r>
      <w:r>
        <w:t xml:space="preserve">at the lack of information on its operations and its independence. The Committee shares the concerns expressed </w:t>
      </w:r>
      <w:r w:rsidR="00FB25DD">
        <w:t>by</w:t>
      </w:r>
      <w:r>
        <w:t xml:space="preserve"> the Human Rights Council during the </w:t>
      </w:r>
      <w:r w:rsidR="00FB25DD">
        <w:t xml:space="preserve">review of the </w:t>
      </w:r>
      <w:r>
        <w:t xml:space="preserve">State party under the </w:t>
      </w:r>
      <w:r w:rsidR="00FB25DD">
        <w:t>u</w:t>
      </w:r>
      <w:r>
        <w:t xml:space="preserve">niversal </w:t>
      </w:r>
      <w:r w:rsidR="00FB25DD">
        <w:t>p</w:t>
      </w:r>
      <w:r>
        <w:t xml:space="preserve">eriodic </w:t>
      </w:r>
      <w:r w:rsidR="00FB25DD">
        <w:t>r</w:t>
      </w:r>
      <w:r>
        <w:t xml:space="preserve">eview (UPR) mechanism on the need to strengthen the NCHRC so that it complies </w:t>
      </w:r>
      <w:r w:rsidRPr="003D4020">
        <w:t>with the Paris Principles (General Assembly resolution 48/134, annex) (art. 2</w:t>
      </w:r>
      <w:r w:rsidR="00F93928">
        <w:t xml:space="preserve"> of the Covenant</w:t>
      </w:r>
      <w:r w:rsidRPr="003D4020">
        <w:t xml:space="preserve">). </w:t>
      </w:r>
    </w:p>
    <w:p w:rsidR="00EB7A78" w:rsidRPr="003D4020" w:rsidRDefault="00EB7A78" w:rsidP="00EB7A78">
      <w:pPr>
        <w:pStyle w:val="H23G"/>
        <w:jc w:val="both"/>
      </w:pPr>
      <w:r>
        <w:tab/>
      </w:r>
      <w:r>
        <w:tab/>
        <w:t>The State party should provide information in its initial report on the mandate, independence, funding and activities of the NCHRC. Furthermore, t</w:t>
      </w:r>
      <w:r w:rsidRPr="003D4020">
        <w:t xml:space="preserve">he State party should </w:t>
      </w:r>
      <w:r>
        <w:t xml:space="preserve">report on the measures taken, since its review by the Human Rights Council under the UPR mechanism, to </w:t>
      </w:r>
      <w:r w:rsidRPr="003D4020">
        <w:t xml:space="preserve">strengthen </w:t>
      </w:r>
      <w:r>
        <w:t xml:space="preserve">the NCHRC so that it operates in accordance </w:t>
      </w:r>
      <w:r w:rsidRPr="003D4020">
        <w:t xml:space="preserve">with the </w:t>
      </w:r>
      <w:smartTag w:uri="urn:schemas-microsoft-com:office:smarttags" w:element="place">
        <w:smartTag w:uri="urn:schemas-microsoft-com:office:smarttags" w:element="City">
          <w:r w:rsidRPr="003D4020">
            <w:t>Paris</w:t>
          </w:r>
        </w:smartTag>
      </w:smartTag>
      <w:r w:rsidRPr="003D4020">
        <w:t xml:space="preserve"> Principles (General Assembly resolution 48/134, annex).  </w:t>
      </w:r>
    </w:p>
    <w:p w:rsidR="00EB7A78" w:rsidRDefault="00EB7A78" w:rsidP="00EB7A78">
      <w:pPr>
        <w:pStyle w:val="SingleTxtG"/>
        <w:rPr>
          <w:szCs w:val="22"/>
        </w:rPr>
      </w:pPr>
      <w:r>
        <w:rPr>
          <w:szCs w:val="22"/>
        </w:rPr>
        <w:t>6.</w:t>
      </w:r>
      <w:r>
        <w:rPr>
          <w:szCs w:val="22"/>
        </w:rPr>
        <w:tab/>
        <w:t xml:space="preserve">While noting that </w:t>
      </w:r>
      <w:r w:rsidRPr="00D66954">
        <w:rPr>
          <w:szCs w:val="22"/>
        </w:rPr>
        <w:t>article 12</w:t>
      </w:r>
      <w:r>
        <w:rPr>
          <w:szCs w:val="22"/>
        </w:rPr>
        <w:t xml:space="preserve"> of the </w:t>
      </w:r>
      <w:r w:rsidRPr="00D66954">
        <w:rPr>
          <w:szCs w:val="22"/>
        </w:rPr>
        <w:t>new Constitution</w:t>
      </w:r>
      <w:r>
        <w:rPr>
          <w:szCs w:val="22"/>
        </w:rPr>
        <w:t xml:space="preserve"> </w:t>
      </w:r>
      <w:r w:rsidRPr="00D66954">
        <w:rPr>
          <w:szCs w:val="22"/>
        </w:rPr>
        <w:t>proclaims that all treaties ratified by the State party, including the Covenant, are part of domestic law</w:t>
      </w:r>
      <w:r>
        <w:rPr>
          <w:szCs w:val="22"/>
        </w:rPr>
        <w:t>, t</w:t>
      </w:r>
      <w:r w:rsidRPr="00346983">
        <w:rPr>
          <w:szCs w:val="22"/>
        </w:rPr>
        <w:t xml:space="preserve">he Committee </w:t>
      </w:r>
      <w:r>
        <w:rPr>
          <w:szCs w:val="22"/>
        </w:rPr>
        <w:t>notes the lack of information on instances when the</w:t>
      </w:r>
      <w:r w:rsidRPr="00346983">
        <w:rPr>
          <w:szCs w:val="22"/>
        </w:rPr>
        <w:t xml:space="preserve"> provisions of the Covenant have been invoked </w:t>
      </w:r>
      <w:r>
        <w:rPr>
          <w:szCs w:val="22"/>
        </w:rPr>
        <w:t>or referred to in</w:t>
      </w:r>
      <w:r w:rsidRPr="00346983">
        <w:rPr>
          <w:szCs w:val="22"/>
        </w:rPr>
        <w:t xml:space="preserve"> national courts</w:t>
      </w:r>
      <w:r>
        <w:rPr>
          <w:szCs w:val="22"/>
        </w:rPr>
        <w:t xml:space="preserve"> (</w:t>
      </w:r>
      <w:r w:rsidRPr="00346983">
        <w:rPr>
          <w:szCs w:val="22"/>
        </w:rPr>
        <w:t>art. 2).</w:t>
      </w:r>
    </w:p>
    <w:p w:rsidR="00EB7A78" w:rsidRPr="003D4020" w:rsidRDefault="00EB7A78" w:rsidP="00EB7A78">
      <w:pPr>
        <w:pStyle w:val="H23G"/>
        <w:jc w:val="both"/>
      </w:pPr>
      <w:r>
        <w:rPr>
          <w:rFonts w:eastAsia="SimSun"/>
          <w:lang w:val="en-US" w:eastAsia="zh-CN"/>
        </w:rPr>
        <w:tab/>
      </w:r>
      <w:r>
        <w:rPr>
          <w:rFonts w:eastAsia="SimSun"/>
          <w:lang w:val="en-US" w:eastAsia="zh-CN"/>
        </w:rPr>
        <w:tab/>
        <w:t>The State party should provide information on instances of when and how domestic courts have referred to provisions of the Covenant. Furthermore, t</w:t>
      </w:r>
      <w:r w:rsidRPr="003D4020">
        <w:rPr>
          <w:rFonts w:eastAsia="SimSun"/>
          <w:lang w:val="en-US" w:eastAsia="zh-CN"/>
        </w:rPr>
        <w:t>he State party should take appropriate measures to raise awareness of the Covenant among judges, lawyers and prosecutors to ensure that its provisions are taken into account</w:t>
      </w:r>
      <w:r>
        <w:rPr>
          <w:rFonts w:eastAsia="SimSun"/>
          <w:lang w:val="en-US" w:eastAsia="zh-CN"/>
        </w:rPr>
        <w:t>, as necessary,</w:t>
      </w:r>
      <w:r w:rsidRPr="003D4020">
        <w:rPr>
          <w:rFonts w:eastAsia="SimSun"/>
          <w:lang w:val="en-US" w:eastAsia="zh-CN"/>
        </w:rPr>
        <w:t xml:space="preserve"> b</w:t>
      </w:r>
      <w:r>
        <w:rPr>
          <w:rFonts w:eastAsia="SimSun"/>
          <w:lang w:val="en-US" w:eastAsia="zh-CN"/>
        </w:rPr>
        <w:t>y</w:t>
      </w:r>
      <w:r w:rsidRPr="003D4020">
        <w:rPr>
          <w:rFonts w:eastAsia="SimSun"/>
          <w:lang w:val="en-US" w:eastAsia="zh-CN"/>
        </w:rPr>
        <w:t xml:space="preserve"> national courts.   </w:t>
      </w:r>
    </w:p>
    <w:p w:rsidR="00EB7A78" w:rsidRPr="003D4020" w:rsidRDefault="00EB7A78" w:rsidP="00EB7A78">
      <w:pPr>
        <w:pStyle w:val="SingleTxtG"/>
      </w:pPr>
      <w:r>
        <w:t>7.</w:t>
      </w:r>
      <w:r>
        <w:tab/>
      </w:r>
      <w:r w:rsidRPr="003D4020">
        <w:t xml:space="preserve">The Committee </w:t>
      </w:r>
      <w:r>
        <w:t>notes the lack of information on how the State party’s measures to combat terrorism may affect the rights protected under the Covenant (art. 2</w:t>
      </w:r>
      <w:r w:rsidRPr="003D4020">
        <w:t>).</w:t>
      </w:r>
    </w:p>
    <w:p w:rsidR="00EB7A78" w:rsidRPr="003D4020" w:rsidRDefault="00EB7A78" w:rsidP="00EB7A78">
      <w:pPr>
        <w:pStyle w:val="H23G"/>
        <w:jc w:val="both"/>
      </w:pPr>
      <w:r>
        <w:tab/>
      </w:r>
      <w:r>
        <w:tab/>
      </w:r>
      <w:r w:rsidRPr="003D4020">
        <w:t xml:space="preserve">The State party should </w:t>
      </w:r>
      <w:r>
        <w:t xml:space="preserve">provide information in its initial report on how measures to combat terrorism may affect the rights protected under the Covenant.  </w:t>
      </w:r>
    </w:p>
    <w:p w:rsidR="00EB7A78" w:rsidRPr="003D4020" w:rsidRDefault="00EB7A78" w:rsidP="00EB7A78">
      <w:pPr>
        <w:pStyle w:val="SingleTxtG"/>
      </w:pPr>
      <w:r>
        <w:t>8</w:t>
      </w:r>
      <w:r w:rsidRPr="003D4020">
        <w:t>.</w:t>
      </w:r>
      <w:r w:rsidRPr="003D4020">
        <w:tab/>
        <w:t xml:space="preserve">While </w:t>
      </w:r>
      <w:r>
        <w:t>welcoming</w:t>
      </w:r>
      <w:r w:rsidRPr="003D4020">
        <w:t xml:space="preserve"> the efforts that are being made by the State party with respect to gender equality, </w:t>
      </w:r>
      <w:r>
        <w:t xml:space="preserve">particularly at high levels of </w:t>
      </w:r>
      <w:r w:rsidR="00F93928">
        <w:t>G</w:t>
      </w:r>
      <w:r>
        <w:t>overnment, the Committee</w:t>
      </w:r>
      <w:r w:rsidRPr="003D4020">
        <w:t xml:space="preserve"> notes the lack of </w:t>
      </w:r>
      <w:r>
        <w:t xml:space="preserve">information on the existence of plans and programmes to promote gender equality </w:t>
      </w:r>
      <w:r w:rsidR="00F93928">
        <w:t>once</w:t>
      </w:r>
      <w:r>
        <w:t xml:space="preserve"> the National Gender Equality and Equity Plan for the period 2005 to 2009</w:t>
      </w:r>
      <w:r w:rsidR="00F93928">
        <w:t xml:space="preserve"> ends</w:t>
      </w:r>
      <w:r>
        <w:t xml:space="preserve">. </w:t>
      </w:r>
      <w:r w:rsidRPr="003D4020">
        <w:t xml:space="preserve">The Committee </w:t>
      </w:r>
      <w:r>
        <w:t xml:space="preserve">also </w:t>
      </w:r>
      <w:r w:rsidRPr="003D4020">
        <w:t xml:space="preserve">expresses concern </w:t>
      </w:r>
      <w:r>
        <w:t xml:space="preserve">at the slow progress to promote </w:t>
      </w:r>
      <w:r w:rsidRPr="003D4020">
        <w:t>women</w:t>
      </w:r>
      <w:r>
        <w:t xml:space="preserve">’s representation </w:t>
      </w:r>
      <w:r w:rsidRPr="003D4020">
        <w:t>in decision-making positions</w:t>
      </w:r>
      <w:r w:rsidR="00F93928">
        <w:t>,</w:t>
      </w:r>
      <w:r w:rsidRPr="003D4020">
        <w:t xml:space="preserve"> </w:t>
      </w:r>
      <w:r>
        <w:t>particularly in the private sector and the legislature.</w:t>
      </w:r>
      <w:r w:rsidRPr="003D4020">
        <w:t xml:space="preserve"> </w:t>
      </w:r>
      <w:r>
        <w:t xml:space="preserve">The Committee further expresses its concern at the persistence of deep-rooted and negative patriarchal stereotypes regarding the roles of women and men in the family and in society at large </w:t>
      </w:r>
      <w:r w:rsidRPr="003D4020">
        <w:t>(arts. 3 and 26).</w:t>
      </w:r>
    </w:p>
    <w:p w:rsidR="00EB7A78" w:rsidRPr="003D4020" w:rsidRDefault="00EB7A78" w:rsidP="00EB7A78">
      <w:pPr>
        <w:pStyle w:val="H23G"/>
        <w:jc w:val="both"/>
      </w:pPr>
      <w:r>
        <w:tab/>
      </w:r>
      <w:r>
        <w:tab/>
      </w:r>
      <w:r w:rsidRPr="003D4020">
        <w:t>The Committee urges the State party to adopt a comprehensive and integrated approach to its policies to ensure that gender mainstreaming is practi</w:t>
      </w:r>
      <w:r>
        <w:t>s</w:t>
      </w:r>
      <w:r w:rsidRPr="003D4020">
        <w:t>ed at all levels. The Committee further recommends that the State party take special measures to increase the number of women in decision-making positions in all spheres</w:t>
      </w:r>
      <w:r w:rsidR="00F93928">
        <w:t>,</w:t>
      </w:r>
      <w:r w:rsidRPr="003D4020">
        <w:t xml:space="preserve"> </w:t>
      </w:r>
      <w:r>
        <w:t>particularly in the private sector</w:t>
      </w:r>
      <w:r w:rsidRPr="003D4020">
        <w:t>.</w:t>
      </w:r>
      <w:r>
        <w:t xml:space="preserve"> Furthermore, the State party should </w:t>
      </w:r>
      <w:r w:rsidRPr="00F90159">
        <w:t xml:space="preserve">enhance its efforts to eliminate </w:t>
      </w:r>
      <w:r>
        <w:t xml:space="preserve">existing patriarchal and </w:t>
      </w:r>
      <w:r w:rsidRPr="00F90159">
        <w:t>gender stereotypes on the role</w:t>
      </w:r>
      <w:r>
        <w:t>s</w:t>
      </w:r>
      <w:r w:rsidRPr="00F90159">
        <w:t xml:space="preserve"> and responsibilities of </w:t>
      </w:r>
      <w:r w:rsidR="00F93928">
        <w:t>wo</w:t>
      </w:r>
      <w:r w:rsidRPr="00F90159">
        <w:t>men and me</w:t>
      </w:r>
      <w:r>
        <w:t>n in the family and in society by, inter alia, adopting programmes that seek to raise awareness in society of gender equality.</w:t>
      </w:r>
    </w:p>
    <w:p w:rsidR="00EB7A78" w:rsidRPr="003D4020" w:rsidRDefault="00EB7A78" w:rsidP="00EB7A78">
      <w:pPr>
        <w:pStyle w:val="SingleTxtG"/>
      </w:pPr>
      <w:r>
        <w:t>9</w:t>
      </w:r>
      <w:r w:rsidRPr="003D4020">
        <w:t>.</w:t>
      </w:r>
      <w:r w:rsidRPr="003D4020">
        <w:tab/>
      </w:r>
      <w:r>
        <w:t>The Committee is concerned at the lack of data on the incidence of violence against women</w:t>
      </w:r>
      <w:r w:rsidR="004E797E">
        <w:t>,</w:t>
      </w:r>
      <w:r>
        <w:t xml:space="preserve"> including domestic violence, and the lack of information on the measures </w:t>
      </w:r>
      <w:r w:rsidR="004E797E">
        <w:t xml:space="preserve">taken </w:t>
      </w:r>
      <w:r>
        <w:t>so far to combat this phenomenon</w:t>
      </w:r>
      <w:r w:rsidR="004E797E">
        <w:t>,</w:t>
      </w:r>
      <w:r>
        <w:t xml:space="preserve"> such as police investigations, prosecutions and remedies provided to victims </w:t>
      </w:r>
      <w:r w:rsidRPr="003D4020">
        <w:t>(arts. 3 and 7).</w:t>
      </w:r>
    </w:p>
    <w:p w:rsidR="00EB7A78" w:rsidRPr="003D4020" w:rsidRDefault="00EB7A78" w:rsidP="00EB7A78">
      <w:pPr>
        <w:pStyle w:val="H23G"/>
        <w:jc w:val="both"/>
        <w:rPr>
          <w:bCs/>
        </w:rPr>
      </w:pPr>
      <w:r>
        <w:rPr>
          <w:bCs/>
        </w:rPr>
        <w:tab/>
      </w:r>
      <w:r>
        <w:rPr>
          <w:bCs/>
        </w:rPr>
        <w:tab/>
      </w:r>
      <w:r w:rsidRPr="003D4020">
        <w:rPr>
          <w:bCs/>
        </w:rPr>
        <w:t>The State party should</w:t>
      </w:r>
      <w:r>
        <w:rPr>
          <w:bCs/>
        </w:rPr>
        <w:t xml:space="preserve"> provide data</w:t>
      </w:r>
      <w:r w:rsidR="004E797E">
        <w:rPr>
          <w:bCs/>
        </w:rPr>
        <w:t>,</w:t>
      </w:r>
      <w:r>
        <w:rPr>
          <w:bCs/>
        </w:rPr>
        <w:t xml:space="preserve"> disaggregated by age and ethnicity</w:t>
      </w:r>
      <w:r w:rsidR="004E797E">
        <w:rPr>
          <w:bCs/>
        </w:rPr>
        <w:t>,</w:t>
      </w:r>
      <w:r>
        <w:rPr>
          <w:bCs/>
        </w:rPr>
        <w:t xml:space="preserve"> on the magnitude of the problem of violence against women</w:t>
      </w:r>
      <w:r w:rsidR="004E797E">
        <w:rPr>
          <w:bCs/>
        </w:rPr>
        <w:t>,</w:t>
      </w:r>
      <w:r>
        <w:rPr>
          <w:bCs/>
        </w:rPr>
        <w:t xml:space="preserve"> including domestic violence.</w:t>
      </w:r>
      <w:r w:rsidRPr="003D4020">
        <w:rPr>
          <w:bCs/>
        </w:rPr>
        <w:t xml:space="preserve"> </w:t>
      </w:r>
      <w:r>
        <w:rPr>
          <w:bCs/>
        </w:rPr>
        <w:t xml:space="preserve">In this regard, the State party should report on the measures taken to </w:t>
      </w:r>
      <w:r w:rsidRPr="003D4020">
        <w:rPr>
          <w:bCs/>
          <w:lang w:val="en-US"/>
        </w:rPr>
        <w:t>ensure that cases of violence</w:t>
      </w:r>
      <w:r>
        <w:rPr>
          <w:bCs/>
          <w:lang w:val="en-US"/>
        </w:rPr>
        <w:t xml:space="preserve"> against women, including domestic violence,</w:t>
      </w:r>
      <w:r w:rsidRPr="003D4020">
        <w:rPr>
          <w:bCs/>
          <w:lang w:val="en-US"/>
        </w:rPr>
        <w:t xml:space="preserve"> are thoroughly investigated</w:t>
      </w:r>
      <w:r w:rsidR="004E797E">
        <w:rPr>
          <w:bCs/>
          <w:lang w:val="en-US"/>
        </w:rPr>
        <w:t xml:space="preserve">, </w:t>
      </w:r>
      <w:r w:rsidRPr="003D4020">
        <w:rPr>
          <w:bCs/>
          <w:lang w:val="en-US"/>
        </w:rPr>
        <w:t xml:space="preserve">that the perpetrators are prosecuted, and if convicted, punished with appropriate sanctions, and that victims are adequately compensated. </w:t>
      </w:r>
    </w:p>
    <w:p w:rsidR="00EB7A78" w:rsidRPr="003D4020" w:rsidRDefault="00EB7A78" w:rsidP="00EB7A78">
      <w:pPr>
        <w:pStyle w:val="SingleTxtG"/>
      </w:pPr>
      <w:r w:rsidRPr="003D4020">
        <w:t>1</w:t>
      </w:r>
      <w:r>
        <w:t>0</w:t>
      </w:r>
      <w:r w:rsidRPr="003D4020">
        <w:t>.</w:t>
      </w:r>
      <w:r w:rsidRPr="003D4020">
        <w:tab/>
        <w:t xml:space="preserve">The Committee expresses concern at </w:t>
      </w:r>
      <w:r>
        <w:t>reports</w:t>
      </w:r>
      <w:r w:rsidRPr="003D4020">
        <w:t xml:space="preserve"> of child abuse</w:t>
      </w:r>
      <w:r>
        <w:t xml:space="preserve"> and sexual exploitation</w:t>
      </w:r>
      <w:r w:rsidRPr="003D4020">
        <w:t xml:space="preserve"> in the</w:t>
      </w:r>
      <w:r>
        <w:t xml:space="preserve"> schools of the</w:t>
      </w:r>
      <w:r w:rsidRPr="003D4020">
        <w:t xml:space="preserve"> State party. The Committee further </w:t>
      </w:r>
      <w:r>
        <w:t>expresses concern at the lack of data on the number of cases that have been investigated</w:t>
      </w:r>
      <w:r w:rsidR="004E797E">
        <w:t xml:space="preserve"> and</w:t>
      </w:r>
      <w:r>
        <w:t xml:space="preserve"> prosecuted, and </w:t>
      </w:r>
      <w:r w:rsidR="00420B56">
        <w:t xml:space="preserve">on </w:t>
      </w:r>
      <w:r>
        <w:t xml:space="preserve">the compensation awarded to victims of such abuse. Furthermore, the Committee is concerned at the lack of information on the number of shelters </w:t>
      </w:r>
      <w:r w:rsidR="00420B56">
        <w:t xml:space="preserve">available in the State party </w:t>
      </w:r>
      <w:r>
        <w:t>for victims of sexual abuse and exploitation</w:t>
      </w:r>
      <w:r w:rsidRPr="003D4020">
        <w:t xml:space="preserve"> (arts. 7 and 24).</w:t>
      </w:r>
    </w:p>
    <w:p w:rsidR="00EB7A78" w:rsidRPr="003D4020" w:rsidRDefault="00EB7A78" w:rsidP="00EB7A78">
      <w:pPr>
        <w:pStyle w:val="H23G"/>
        <w:jc w:val="both"/>
        <w:rPr>
          <w:bCs/>
        </w:rPr>
      </w:pPr>
      <w:r>
        <w:tab/>
      </w:r>
      <w:r>
        <w:tab/>
      </w:r>
      <w:r w:rsidRPr="003D4020">
        <w:t xml:space="preserve">The State party should, as matter of urgency, enhance its efforts to combat child abuse </w:t>
      </w:r>
      <w:r>
        <w:t xml:space="preserve">and sexual exploitation </w:t>
      </w:r>
      <w:r w:rsidRPr="003D4020">
        <w:t>by improving mechanisms for early detection, encouraging reporting of suspected and actual abuse, and ensuring that cases of abuse</w:t>
      </w:r>
      <w:r w:rsidRPr="003D4020">
        <w:rPr>
          <w:bCs/>
        </w:rPr>
        <w:t xml:space="preserve"> are </w:t>
      </w:r>
      <w:r w:rsidRPr="003D4020">
        <w:rPr>
          <w:bCs/>
          <w:lang w:val="en-US"/>
        </w:rPr>
        <w:t>thoroughly investigated</w:t>
      </w:r>
      <w:r w:rsidR="00420B56">
        <w:rPr>
          <w:bCs/>
          <w:lang w:val="en-US"/>
        </w:rPr>
        <w:t>,</w:t>
      </w:r>
      <w:r w:rsidRPr="003D4020">
        <w:rPr>
          <w:bCs/>
          <w:lang w:val="en-US"/>
        </w:rPr>
        <w:t xml:space="preserve"> that perpetrators are prosecuted, and if convicted, punished with appropriate sanctions, and that victims are adequately rehabilitated</w:t>
      </w:r>
      <w:r w:rsidRPr="003D4020">
        <w:rPr>
          <w:bCs/>
        </w:rPr>
        <w:t>.</w:t>
      </w:r>
      <w:r>
        <w:rPr>
          <w:bCs/>
        </w:rPr>
        <w:t xml:space="preserve"> Furthermore, the State party should provide information on the number of shelters that are available in the State party for this purpose.</w:t>
      </w:r>
    </w:p>
    <w:p w:rsidR="00EB7A78" w:rsidRPr="003D4020" w:rsidRDefault="00EB7A78" w:rsidP="00EB7A78">
      <w:pPr>
        <w:pStyle w:val="SingleTxtG"/>
      </w:pPr>
      <w:r w:rsidRPr="003D4020">
        <w:t>1</w:t>
      </w:r>
      <w:r>
        <w:t>1</w:t>
      </w:r>
      <w:r w:rsidRPr="003D4020">
        <w:t>.</w:t>
      </w:r>
      <w:r w:rsidRPr="003D4020">
        <w:tab/>
      </w:r>
      <w:r>
        <w:t>While noting the increased problem of juvenile delinquency and youth gangs in the State party, the Committee is concerned at reports that police brutality against juveniles</w:t>
      </w:r>
      <w:r w:rsidR="00420B56">
        <w:t>,</w:t>
      </w:r>
      <w:r>
        <w:t xml:space="preserve"> as a form of extra-judicial punishment</w:t>
      </w:r>
      <w:r w:rsidR="00420B56">
        <w:t>,</w:t>
      </w:r>
      <w:r>
        <w:t xml:space="preserve"> may be common and is allegedly sanctioned by society in the State party. The Committee notes the lack of information on</w:t>
      </w:r>
      <w:r w:rsidRPr="00235826">
        <w:t xml:space="preserve"> the number of cases that have been investigated</w:t>
      </w:r>
      <w:r w:rsidR="00420B56">
        <w:t xml:space="preserve"> and</w:t>
      </w:r>
      <w:r w:rsidRPr="00235826">
        <w:t xml:space="preserve"> prosecuted, and </w:t>
      </w:r>
      <w:r w:rsidR="00420B56">
        <w:t xml:space="preserve">on </w:t>
      </w:r>
      <w:r w:rsidRPr="00235826">
        <w:t>the compensation awa</w:t>
      </w:r>
      <w:r>
        <w:t>rded to victims of such abuse by law enforcement personnel (arts. 7 and 24</w:t>
      </w:r>
      <w:r w:rsidRPr="003D4020">
        <w:t>).</w:t>
      </w:r>
    </w:p>
    <w:p w:rsidR="00EB7A78" w:rsidRPr="003D4020" w:rsidRDefault="00EB7A78" w:rsidP="00EB7A78">
      <w:pPr>
        <w:pStyle w:val="H23G"/>
        <w:jc w:val="both"/>
      </w:pPr>
      <w:r>
        <w:tab/>
      </w:r>
      <w:r>
        <w:tab/>
        <w:t xml:space="preserve">The State party should take concrete measures to combat juvenile delinquency and the increase in the number of youth gangs by, inter alia, addressing the root causes </w:t>
      </w:r>
      <w:r w:rsidR="00420B56">
        <w:t xml:space="preserve">for the </w:t>
      </w:r>
      <w:r>
        <w:t xml:space="preserve">increased juvenile delinquency and proliferation of youth gangs in the State party. </w:t>
      </w:r>
      <w:r w:rsidRPr="003D4020">
        <w:t xml:space="preserve">The State party should </w:t>
      </w:r>
      <w:r>
        <w:t xml:space="preserve">further </w:t>
      </w:r>
      <w:r w:rsidRPr="003D4020">
        <w:t xml:space="preserve">ensure that allegations of </w:t>
      </w:r>
      <w:r>
        <w:t xml:space="preserve">brutality and other forms of </w:t>
      </w:r>
      <w:r w:rsidRPr="003D4020">
        <w:t>abuse</w:t>
      </w:r>
      <w:r>
        <w:t xml:space="preserve"> by law enforcement personnel</w:t>
      </w:r>
      <w:r w:rsidRPr="003D4020">
        <w:t xml:space="preserve"> are effectively investigated</w:t>
      </w:r>
      <w:r w:rsidRPr="003D4020">
        <w:rPr>
          <w:bCs/>
          <w:lang w:val="en-US"/>
        </w:rPr>
        <w:t xml:space="preserve"> and that those r</w:t>
      </w:r>
      <w:r>
        <w:rPr>
          <w:bCs/>
          <w:lang w:val="en-US"/>
        </w:rPr>
        <w:t>esponsible are held accountable</w:t>
      </w:r>
      <w:r w:rsidRPr="003D4020">
        <w:t xml:space="preserve">. </w:t>
      </w:r>
    </w:p>
    <w:p w:rsidR="00EB7A78" w:rsidRDefault="00EB7A78" w:rsidP="00EB7A78">
      <w:pPr>
        <w:pStyle w:val="SingleTxtG"/>
      </w:pPr>
      <w:r w:rsidRPr="003D4020">
        <w:t>1</w:t>
      </w:r>
      <w:r>
        <w:t>2</w:t>
      </w:r>
      <w:r w:rsidRPr="003D4020">
        <w:t>.</w:t>
      </w:r>
      <w:r w:rsidRPr="003D4020">
        <w:tab/>
      </w:r>
      <w:r>
        <w:t>While noting that corporal punishment is unlawful in schools, penal institutions and care institutions, the Committee is concerned that corporal punishment still occurs as excessive chastisement in the home. Furthermore, the Committee is concerned at reports of frequent use of corporal punishment by teachers (arts. 7 and 24).</w:t>
      </w:r>
    </w:p>
    <w:p w:rsidR="00EB7A78" w:rsidRPr="00B87FEA" w:rsidRDefault="00EB7A78" w:rsidP="00EB7A78">
      <w:pPr>
        <w:pStyle w:val="SingleTxtG"/>
        <w:rPr>
          <w:b/>
        </w:rPr>
      </w:pPr>
      <w:r w:rsidRPr="00B87FEA">
        <w:rPr>
          <w:b/>
        </w:rPr>
        <w:t xml:space="preserve">The State party should take practical steps to put an end to corporal punishment in all settings. The State party </w:t>
      </w:r>
      <w:r>
        <w:rPr>
          <w:b/>
        </w:rPr>
        <w:t xml:space="preserve">should act vigorously against the use of corporal punishment in schools, </w:t>
      </w:r>
      <w:r w:rsidRPr="00B87FEA">
        <w:rPr>
          <w:b/>
        </w:rPr>
        <w:t>promote non-violent forms of discipline as alternatives to corporal punishment, and conduct public information campaigns to raise awareness about its harmful effects.</w:t>
      </w:r>
    </w:p>
    <w:p w:rsidR="00EB7A78" w:rsidRDefault="00EB7A78" w:rsidP="00EB7A78">
      <w:pPr>
        <w:pStyle w:val="SingleTxtG"/>
      </w:pPr>
      <w:r>
        <w:t>13.</w:t>
      </w:r>
      <w:r>
        <w:tab/>
        <w:t>The Committee is concerned at the prevalence of trafficking in persons</w:t>
      </w:r>
      <w:r w:rsidR="00420B56">
        <w:t>,</w:t>
      </w:r>
      <w:r>
        <w:t xml:space="preserve"> particularly women and children, </w:t>
      </w:r>
      <w:r w:rsidR="00420B56">
        <w:t>as</w:t>
      </w:r>
      <w:r>
        <w:t xml:space="preserve"> the State party’s territory is often used for transit purposes. The Committee particularly notes the lack of information on the number of investigations, prosecutions and convictions in this area</w:t>
      </w:r>
      <w:r w:rsidR="00420B56">
        <w:t>,</w:t>
      </w:r>
      <w:r>
        <w:t xml:space="preserve"> as well as on the prevention and protection mechanisms for victims, including rehabilitation schemes (art. 8). </w:t>
      </w:r>
    </w:p>
    <w:p w:rsidR="00EB7A78" w:rsidRPr="007C41A0" w:rsidRDefault="00EB7A78" w:rsidP="00EB7A78">
      <w:pPr>
        <w:pStyle w:val="SingleTxtG"/>
        <w:rPr>
          <w:b/>
        </w:rPr>
      </w:pPr>
      <w:r w:rsidRPr="007C41A0">
        <w:rPr>
          <w:b/>
        </w:rPr>
        <w:t>The State party should provide data on the magnitude of</w:t>
      </w:r>
      <w:r>
        <w:rPr>
          <w:b/>
        </w:rPr>
        <w:t xml:space="preserve"> the problem of</w:t>
      </w:r>
      <w:r w:rsidRPr="007C41A0">
        <w:rPr>
          <w:b/>
        </w:rPr>
        <w:t xml:space="preserve"> human trafficking in the State party which should be disaggregated </w:t>
      </w:r>
      <w:r>
        <w:rPr>
          <w:b/>
        </w:rPr>
        <w:t>by</w:t>
      </w:r>
      <w:r w:rsidRPr="007C41A0">
        <w:rPr>
          <w:b/>
        </w:rPr>
        <w:t xml:space="preserve"> age, sex and ethnic origin</w:t>
      </w:r>
      <w:r>
        <w:rPr>
          <w:b/>
        </w:rPr>
        <w:t>,</w:t>
      </w:r>
      <w:r w:rsidRPr="007C41A0">
        <w:rPr>
          <w:b/>
        </w:rPr>
        <w:t xml:space="preserve"> </w:t>
      </w:r>
      <w:r>
        <w:rPr>
          <w:b/>
        </w:rPr>
        <w:t>and should also focus</w:t>
      </w:r>
      <w:r w:rsidRPr="007C41A0">
        <w:rPr>
          <w:b/>
        </w:rPr>
        <w:t xml:space="preserve"> on trafficking flows from, to and in transit through its territory. The State party should train its police officers, border personnel, judges, lawyers and other relevant personnel in order to raise awareness of this phenomenon and the rights of victims. Furthermore, the State party should ensure that all perpetrators of trafficking in persons are investigated, prosecuted, and if convicted, adequately sanctioned, and should guarantee that adequate protection, reparation and compensation are provided to victims. The State party should also provide information </w:t>
      </w:r>
      <w:r>
        <w:rPr>
          <w:b/>
        </w:rPr>
        <w:t xml:space="preserve">on the </w:t>
      </w:r>
      <w:r w:rsidRPr="007C41A0">
        <w:rPr>
          <w:b/>
        </w:rPr>
        <w:t>measures taken to establish prevention and rehabilitation programmes for victims</w:t>
      </w:r>
      <w:r>
        <w:rPr>
          <w:b/>
        </w:rPr>
        <w:t xml:space="preserve"> of trafficking</w:t>
      </w:r>
      <w:r w:rsidRPr="007C41A0">
        <w:rPr>
          <w:b/>
        </w:rPr>
        <w:t>.</w:t>
      </w:r>
    </w:p>
    <w:p w:rsidR="00EB7A78" w:rsidRPr="003D4020" w:rsidRDefault="00EB7A78" w:rsidP="00EB7A78">
      <w:pPr>
        <w:pStyle w:val="SingleTxtG"/>
      </w:pPr>
      <w:r>
        <w:t>14.</w:t>
      </w:r>
      <w:r>
        <w:tab/>
      </w:r>
      <w:r w:rsidRPr="003D4020">
        <w:t>The Committee is concerned at reports that in detention facilities in the State party</w:t>
      </w:r>
      <w:r>
        <w:t>,</w:t>
      </w:r>
      <w:r w:rsidRPr="003D4020">
        <w:t xml:space="preserve"> juveniles are not held separately from adults</w:t>
      </w:r>
      <w:r>
        <w:t>, on the one hand, and accused persons are not separated from</w:t>
      </w:r>
      <w:r w:rsidRPr="003D4020">
        <w:t xml:space="preserve"> </w:t>
      </w:r>
      <w:r>
        <w:t>convicts, on the other hand. The Committee is also concerned at reports of lengthy pretrial detention leading to overcrowding in prisons and places of detention</w:t>
      </w:r>
      <w:r w:rsidR="00E84EF6">
        <w:t xml:space="preserve"> and</w:t>
      </w:r>
      <w:r>
        <w:t xml:space="preserve"> which is allegedly exacerbated by delays in the delivery of justice. Furthermore, the Committee notes the lack of information </w:t>
      </w:r>
      <w:r w:rsidR="00E84EF6">
        <w:t>on</w:t>
      </w:r>
      <w:r>
        <w:t xml:space="preserve"> how the two new prison facilities that the State party constructed have ameliorated the problem of overcrowding and other conditions</w:t>
      </w:r>
      <w:r w:rsidR="00E84EF6">
        <w:t xml:space="preserve"> in prisons</w:t>
      </w:r>
      <w:r>
        <w:t xml:space="preserve"> </w:t>
      </w:r>
      <w:r w:rsidRPr="003D4020">
        <w:t>(art</w:t>
      </w:r>
      <w:r>
        <w:t>s</w:t>
      </w:r>
      <w:r w:rsidRPr="003D4020">
        <w:t>. 10</w:t>
      </w:r>
      <w:r>
        <w:t xml:space="preserve"> and 14</w:t>
      </w:r>
      <w:r w:rsidRPr="003D4020">
        <w:t>).</w:t>
      </w:r>
    </w:p>
    <w:p w:rsidR="00EB7A78" w:rsidRPr="003D4020" w:rsidRDefault="00EB7A78" w:rsidP="00EB7A78">
      <w:pPr>
        <w:pStyle w:val="H23G"/>
        <w:jc w:val="both"/>
      </w:pPr>
      <w:r>
        <w:tab/>
      </w:r>
      <w:r>
        <w:tab/>
      </w:r>
      <w:r w:rsidRPr="003D4020">
        <w:t>The State party should, as a matter of urgency, put in place a system to segregate juveniles from adult prisoners</w:t>
      </w:r>
      <w:r>
        <w:t>, and accused persons from convicts</w:t>
      </w:r>
      <w:r w:rsidRPr="003D4020">
        <w:t xml:space="preserve">. The State party should take all necessary steps to </w:t>
      </w:r>
      <w:r>
        <w:t xml:space="preserve">improve prison conditions and ensure </w:t>
      </w:r>
      <w:r w:rsidRPr="003D4020">
        <w:t xml:space="preserve">that the </w:t>
      </w:r>
      <w:r w:rsidRPr="003D4020">
        <w:rPr>
          <w:bCs/>
        </w:rPr>
        <w:t xml:space="preserve">treatment of </w:t>
      </w:r>
      <w:r>
        <w:rPr>
          <w:bCs/>
        </w:rPr>
        <w:t xml:space="preserve">detainees and prisoners </w:t>
      </w:r>
      <w:r w:rsidRPr="003D4020">
        <w:rPr>
          <w:bCs/>
        </w:rPr>
        <w:t xml:space="preserve">in detention facilities and prisons is in line with the Covenant and the United Nations Standard Minimum Rules for the Treatment of Prisoners. </w:t>
      </w:r>
      <w:r>
        <w:rPr>
          <w:bCs/>
        </w:rPr>
        <w:t xml:space="preserve">Furthermore, the State party should review its system of administration of justice in order to expedite the delivery of justice. </w:t>
      </w:r>
    </w:p>
    <w:p w:rsidR="00EB7A78" w:rsidRPr="003D4020" w:rsidRDefault="00EB7A78" w:rsidP="00EB7A78">
      <w:pPr>
        <w:pStyle w:val="SingleTxtG"/>
      </w:pPr>
      <w:r w:rsidRPr="003D4020">
        <w:t>1</w:t>
      </w:r>
      <w:r>
        <w:t>5</w:t>
      </w:r>
      <w:r w:rsidRPr="003D4020">
        <w:t>.</w:t>
      </w:r>
      <w:r w:rsidRPr="003D4020">
        <w:tab/>
      </w:r>
      <w:r w:rsidRPr="009C15F9">
        <w:t>The Committee is concerned at the lack of information on the ap</w:t>
      </w:r>
      <w:r>
        <w:t>pointment</w:t>
      </w:r>
      <w:r w:rsidR="00E84EF6">
        <w:t xml:space="preserve"> and</w:t>
      </w:r>
      <w:r>
        <w:t xml:space="preserve"> promotion </w:t>
      </w:r>
      <w:r w:rsidR="00E84EF6">
        <w:t xml:space="preserve">of judges, </w:t>
      </w:r>
      <w:r w:rsidRPr="009C15F9">
        <w:t>as well as the procedures for disciplining judges in the State party</w:t>
      </w:r>
      <w:r>
        <w:t>. The Committee is also concerned at reports that judges are underpaid, which could expose them to grave risks of bribery and corruption</w:t>
      </w:r>
      <w:r w:rsidR="00E84EF6">
        <w:t>,</w:t>
      </w:r>
      <w:r>
        <w:t xml:space="preserve"> particularly in light of the emergence of drug trafficking groups </w:t>
      </w:r>
      <w:r w:rsidRPr="00D66954">
        <w:t xml:space="preserve">that  </w:t>
      </w:r>
      <w:r>
        <w:t>might interfere with the administration of justice</w:t>
      </w:r>
      <w:r w:rsidRPr="003D4020">
        <w:t xml:space="preserve"> (art. 14). </w:t>
      </w:r>
    </w:p>
    <w:p w:rsidR="00EB7A78" w:rsidRPr="003D4020" w:rsidRDefault="00EB7A78" w:rsidP="00EB7A78">
      <w:pPr>
        <w:pStyle w:val="H23G"/>
        <w:jc w:val="both"/>
      </w:pPr>
      <w:r>
        <w:tab/>
      </w:r>
      <w:r>
        <w:tab/>
      </w:r>
      <w:r w:rsidRPr="009C15F9">
        <w:t>The State party should provide information in its initial report on the procedures for the appointment, promotion and disciplining of judges</w:t>
      </w:r>
      <w:r>
        <w:t xml:space="preserve">. </w:t>
      </w:r>
      <w:r w:rsidRPr="003D4020">
        <w:t xml:space="preserve">The State party should take steps to </w:t>
      </w:r>
      <w:r>
        <w:t>entrench judicial independence by ensuring that the remuneration of judges is sufficient to guarantee judicial independence and integrity</w:t>
      </w:r>
      <w:r w:rsidRPr="003D4020">
        <w:t xml:space="preserve">. </w:t>
      </w:r>
      <w:r>
        <w:t>In this regard, the State party should provide information on the measures tak</w:t>
      </w:r>
      <w:r w:rsidR="00E84EF6">
        <w:t>en</w:t>
      </w:r>
      <w:r w:rsidRPr="003D4020">
        <w:t xml:space="preserve"> to </w:t>
      </w:r>
      <w:r>
        <w:t>address</w:t>
      </w:r>
      <w:r w:rsidRPr="003D4020">
        <w:t xml:space="preserve"> all forms of</w:t>
      </w:r>
      <w:r>
        <w:t xml:space="preserve"> possible</w:t>
      </w:r>
      <w:r w:rsidRPr="003D4020">
        <w:t xml:space="preserve"> interference with </w:t>
      </w:r>
      <w:r>
        <w:t>judicial independence by, inter alia,</w:t>
      </w:r>
      <w:r w:rsidRPr="003D4020">
        <w:t xml:space="preserve"> </w:t>
      </w:r>
      <w:r>
        <w:t>ensuring that</w:t>
      </w:r>
      <w:r w:rsidRPr="003D4020">
        <w:t xml:space="preserve"> prompt, thorough, independent and impartial investigations </w:t>
      </w:r>
      <w:r>
        <w:t xml:space="preserve">are conducted </w:t>
      </w:r>
      <w:r w:rsidRPr="003D4020">
        <w:t xml:space="preserve">into </w:t>
      </w:r>
      <w:r>
        <w:t>any</w:t>
      </w:r>
      <w:r w:rsidRPr="003D4020">
        <w:t xml:space="preserve"> allegations of interference, including by way of corruption, and prosecut</w:t>
      </w:r>
      <w:r w:rsidR="00E84EF6">
        <w:t>ing</w:t>
      </w:r>
      <w:r w:rsidRPr="003D4020">
        <w:t xml:space="preserve"> and punish</w:t>
      </w:r>
      <w:r w:rsidR="00E84EF6">
        <w:t xml:space="preserve">ing </w:t>
      </w:r>
      <w:r w:rsidRPr="003D4020">
        <w:t>perpetrators, including judicial officers, who may be complicit.</w:t>
      </w:r>
      <w:r>
        <w:t xml:space="preserve"> </w:t>
      </w:r>
    </w:p>
    <w:p w:rsidR="00EB7A78" w:rsidRPr="003D4020" w:rsidRDefault="00EB7A78" w:rsidP="00EB7A78">
      <w:pPr>
        <w:pStyle w:val="SingleTxtG"/>
      </w:pPr>
      <w:r w:rsidRPr="003D4020">
        <w:t>1</w:t>
      </w:r>
      <w:r>
        <w:t>6</w:t>
      </w:r>
      <w:r w:rsidRPr="003D4020">
        <w:t>.</w:t>
      </w:r>
      <w:r w:rsidRPr="003D4020">
        <w:tab/>
        <w:t xml:space="preserve">The Committee </w:t>
      </w:r>
      <w:r>
        <w:t>notes</w:t>
      </w:r>
      <w:r w:rsidRPr="003D4020">
        <w:t xml:space="preserve"> the </w:t>
      </w:r>
      <w:r>
        <w:t xml:space="preserve">lack of information on the regulatory framework governing </w:t>
      </w:r>
      <w:r w:rsidR="009C10E3">
        <w:t xml:space="preserve">the right to </w:t>
      </w:r>
      <w:r>
        <w:t xml:space="preserve">freedom of opinion and expression and how these rights are enjoyed in practice </w:t>
      </w:r>
      <w:r w:rsidR="00F86BC3">
        <w:t>(art. 19).</w:t>
      </w:r>
    </w:p>
    <w:p w:rsidR="00EB7A78" w:rsidRPr="003D4020" w:rsidRDefault="00EB7A78" w:rsidP="00EB7A78">
      <w:pPr>
        <w:pStyle w:val="H23G"/>
        <w:jc w:val="both"/>
      </w:pPr>
      <w:r>
        <w:tab/>
      </w:r>
      <w:r>
        <w:tab/>
      </w:r>
      <w:r w:rsidRPr="003D4020">
        <w:t>The Committee urges the State party to</w:t>
      </w:r>
      <w:r>
        <w:t xml:space="preserve"> provide information with regard to the regulatory framework governing </w:t>
      </w:r>
      <w:r w:rsidR="009C10E3">
        <w:t xml:space="preserve">the right to </w:t>
      </w:r>
      <w:r>
        <w:t>freedom of opinion and expression in the State party and how these rights are enjoyed in practice.</w:t>
      </w:r>
      <w:r w:rsidRPr="003D4020">
        <w:t xml:space="preserve"> </w:t>
      </w:r>
    </w:p>
    <w:p w:rsidR="00EB7A78" w:rsidRDefault="00EB7A78" w:rsidP="00EB7A78">
      <w:pPr>
        <w:pStyle w:val="SingleTxtG"/>
      </w:pPr>
      <w:r>
        <w:t>17</w:t>
      </w:r>
      <w:r w:rsidRPr="003D4020">
        <w:t>.</w:t>
      </w:r>
      <w:r w:rsidRPr="003D4020">
        <w:tab/>
      </w:r>
      <w:r>
        <w:t xml:space="preserve">The Committee notes the lack of information on the measures </w:t>
      </w:r>
      <w:r w:rsidR="009C10E3">
        <w:t>taken by</w:t>
      </w:r>
      <w:r>
        <w:t xml:space="preserve"> the State party to implement the recommendation of the National Electoral Commission to amend the provisions of its Electoral Code in order to ensure greater security and transparency in the conduct of elections. The Committee </w:t>
      </w:r>
      <w:r w:rsidR="009C10E3">
        <w:t xml:space="preserve">also </w:t>
      </w:r>
      <w:r>
        <w:t>notes the lack of information on the measures taken to review the voter identification and registration processes</w:t>
      </w:r>
      <w:r w:rsidRPr="0037548F">
        <w:t xml:space="preserve"> </w:t>
      </w:r>
      <w:r>
        <w:t>(art. 25)</w:t>
      </w:r>
    </w:p>
    <w:p w:rsidR="00EB7A78" w:rsidRPr="0037548F" w:rsidRDefault="00EB7A78" w:rsidP="00EB7A78">
      <w:pPr>
        <w:pStyle w:val="SingleTxtG"/>
        <w:rPr>
          <w:b/>
        </w:rPr>
      </w:pPr>
      <w:r>
        <w:rPr>
          <w:b/>
        </w:rPr>
        <w:t xml:space="preserve">The State party should provide information on the concrete measures taken to implement the recommendations </w:t>
      </w:r>
      <w:r w:rsidR="009C10E3">
        <w:rPr>
          <w:b/>
        </w:rPr>
        <w:t>of</w:t>
      </w:r>
      <w:r>
        <w:rPr>
          <w:b/>
        </w:rPr>
        <w:t xml:space="preserve"> the National Electoral Commission to amend the Electoral Code in order to ensure greater electoral security and transparency, and to review the voter identification and registration processes.</w:t>
      </w:r>
    </w:p>
    <w:p w:rsidR="00EB7A78" w:rsidRPr="00393958" w:rsidRDefault="00EB7A78" w:rsidP="00EB7A78">
      <w:pPr>
        <w:pStyle w:val="SingleTxtG"/>
      </w:pPr>
      <w:r w:rsidRPr="00393958">
        <w:t>18.</w:t>
      </w:r>
      <w:r w:rsidRPr="00393958">
        <w:tab/>
        <w:t>The Committee notes the lack of data on the existence and size of ethnic, religious and linguistic minorities in the State party and how their rights under article 27</w:t>
      </w:r>
      <w:r w:rsidR="009C10E3">
        <w:t xml:space="preserve"> of the Covenant</w:t>
      </w:r>
      <w:r w:rsidRPr="00393958">
        <w:t xml:space="preserve"> are guaranteed. The Committee also notes the lack of information with regard to the measures taken to address the alleged sporadic clashes between West African immigrants </w:t>
      </w:r>
      <w:r w:rsidR="009C10E3">
        <w:t>and</w:t>
      </w:r>
      <w:r w:rsidRPr="00393958">
        <w:t xml:space="preserve"> the police and the military following the killing of an immigrant from </w:t>
      </w:r>
      <w:smartTag w:uri="urn:schemas-microsoft-com:office:smarttags" w:element="place">
        <w:smartTag w:uri="urn:schemas-microsoft-com:office:smarttags" w:element="country-region">
          <w:r w:rsidRPr="00393958">
            <w:t>Guinea-Bissau</w:t>
          </w:r>
        </w:smartTag>
      </w:smartTag>
      <w:r w:rsidRPr="00393958">
        <w:t>, who was the tenth West African to be killed in the period between 2002 and 2005 (arts. 6</w:t>
      </w:r>
      <w:r>
        <w:t>, 26</w:t>
      </w:r>
      <w:r w:rsidRPr="00393958">
        <w:t xml:space="preserve"> and 27).</w:t>
      </w:r>
    </w:p>
    <w:p w:rsidR="00EB7A78" w:rsidRPr="00ED5B4E" w:rsidRDefault="00EB7A78" w:rsidP="00EB7A78">
      <w:pPr>
        <w:pStyle w:val="SingleTxtG"/>
        <w:rPr>
          <w:b/>
          <w:szCs w:val="22"/>
        </w:rPr>
      </w:pPr>
      <w:r w:rsidRPr="00ED5B4E">
        <w:rPr>
          <w:b/>
        </w:rPr>
        <w:t xml:space="preserve">The State party should provide data, disaggregated by ethnicity, on the existence and size of minorities </w:t>
      </w:r>
      <w:r>
        <w:rPr>
          <w:b/>
        </w:rPr>
        <w:t>in the State party, and how their rights under article 27 of the Covenant are protected.</w:t>
      </w:r>
      <w:r w:rsidRPr="00ED5B4E">
        <w:rPr>
          <w:b/>
        </w:rPr>
        <w:t xml:space="preserve"> Furthermore, the State party should </w:t>
      </w:r>
      <w:r w:rsidRPr="00ED5B4E">
        <w:rPr>
          <w:b/>
          <w:lang w:val="en-US"/>
        </w:rPr>
        <w:t xml:space="preserve">thoroughly investigate </w:t>
      </w:r>
      <w:r>
        <w:rPr>
          <w:b/>
          <w:lang w:val="en-US"/>
        </w:rPr>
        <w:t>the root cause</w:t>
      </w:r>
      <w:r w:rsidRPr="00ED5B4E">
        <w:rPr>
          <w:b/>
          <w:lang w:val="en-US"/>
        </w:rPr>
        <w:t xml:space="preserve"> of the murders of West African immigrants</w:t>
      </w:r>
      <w:r>
        <w:rPr>
          <w:b/>
          <w:lang w:val="en-US"/>
        </w:rPr>
        <w:t>,</w:t>
      </w:r>
      <w:r w:rsidRPr="00ED5B4E">
        <w:rPr>
          <w:b/>
          <w:lang w:val="en-US"/>
        </w:rPr>
        <w:t xml:space="preserve"> and ensure that the alleged perpetrators of such violence </w:t>
      </w:r>
      <w:r>
        <w:rPr>
          <w:b/>
          <w:lang w:val="en-US"/>
        </w:rPr>
        <w:t xml:space="preserve">are prosecuted and </w:t>
      </w:r>
      <w:r w:rsidR="00CD13FB">
        <w:rPr>
          <w:b/>
          <w:lang w:val="en-US"/>
        </w:rPr>
        <w:t>appropriate</w:t>
      </w:r>
      <w:r>
        <w:rPr>
          <w:b/>
          <w:lang w:val="en-US"/>
        </w:rPr>
        <w:t>ly sanctioned,</w:t>
      </w:r>
      <w:r w:rsidRPr="00ED5B4E">
        <w:rPr>
          <w:b/>
          <w:lang w:val="en-US"/>
        </w:rPr>
        <w:t xml:space="preserve"> and that family members of the victims are adequately compensated</w:t>
      </w:r>
      <w:r w:rsidRPr="00ED5B4E">
        <w:rPr>
          <w:b/>
          <w:szCs w:val="22"/>
        </w:rPr>
        <w:t xml:space="preserve">. </w:t>
      </w:r>
    </w:p>
    <w:p w:rsidR="00EB7A78" w:rsidRDefault="00EB7A78" w:rsidP="00EB7A78">
      <w:pPr>
        <w:pStyle w:val="SingleTxtG"/>
        <w:rPr>
          <w:szCs w:val="22"/>
        </w:rPr>
      </w:pPr>
      <w:r>
        <w:rPr>
          <w:szCs w:val="22"/>
        </w:rPr>
        <w:t>19.</w:t>
      </w:r>
      <w:r>
        <w:rPr>
          <w:szCs w:val="22"/>
        </w:rPr>
        <w:tab/>
        <w:t>The Committee reminds</w:t>
      </w:r>
      <w:r w:rsidRPr="00CC706A">
        <w:rPr>
          <w:szCs w:val="22"/>
        </w:rPr>
        <w:t xml:space="preserve"> the State party </w:t>
      </w:r>
      <w:r>
        <w:rPr>
          <w:szCs w:val="22"/>
        </w:rPr>
        <w:t>of the possibility of</w:t>
      </w:r>
      <w:r w:rsidRPr="00CC706A">
        <w:rPr>
          <w:szCs w:val="22"/>
        </w:rPr>
        <w:t xml:space="preserve"> solicit</w:t>
      </w:r>
      <w:r>
        <w:rPr>
          <w:szCs w:val="22"/>
        </w:rPr>
        <w:t>ing</w:t>
      </w:r>
      <w:r w:rsidRPr="00CC706A">
        <w:rPr>
          <w:szCs w:val="22"/>
        </w:rPr>
        <w:t xml:space="preserve"> technical cooperation from the appropriate United Nations</w:t>
      </w:r>
      <w:r>
        <w:rPr>
          <w:szCs w:val="22"/>
        </w:rPr>
        <w:t xml:space="preserve"> organs</w:t>
      </w:r>
      <w:r w:rsidR="00CD13FB">
        <w:rPr>
          <w:szCs w:val="22"/>
        </w:rPr>
        <w:t xml:space="preserve"> and </w:t>
      </w:r>
      <w:r>
        <w:rPr>
          <w:szCs w:val="22"/>
        </w:rPr>
        <w:t>agencies</w:t>
      </w:r>
      <w:r w:rsidR="00CD13FB">
        <w:rPr>
          <w:szCs w:val="22"/>
        </w:rPr>
        <w:t>,</w:t>
      </w:r>
      <w:r>
        <w:rPr>
          <w:szCs w:val="22"/>
        </w:rPr>
        <w:t xml:space="preserve"> as well as the </w:t>
      </w:r>
      <w:r w:rsidRPr="00CC706A">
        <w:rPr>
          <w:szCs w:val="22"/>
        </w:rPr>
        <w:t xml:space="preserve">Office of the United Nations High Commissioner for Human Rights, to assist in </w:t>
      </w:r>
      <w:r>
        <w:rPr>
          <w:szCs w:val="22"/>
        </w:rPr>
        <w:t xml:space="preserve">developing its capacity to </w:t>
      </w:r>
      <w:r w:rsidRPr="00CC706A">
        <w:rPr>
          <w:szCs w:val="22"/>
        </w:rPr>
        <w:t>meet its reporting obligations under the Covenant.</w:t>
      </w:r>
      <w:r>
        <w:rPr>
          <w:szCs w:val="22"/>
        </w:rPr>
        <w:t xml:space="preserve"> </w:t>
      </w:r>
    </w:p>
    <w:p w:rsidR="00EB7A78" w:rsidRDefault="00EB7A78" w:rsidP="00EB7A78">
      <w:pPr>
        <w:pStyle w:val="SingleTxtG"/>
        <w:rPr>
          <w:szCs w:val="22"/>
        </w:rPr>
      </w:pPr>
      <w:r>
        <w:rPr>
          <w:szCs w:val="22"/>
        </w:rPr>
        <w:t>20.</w:t>
      </w:r>
      <w:r>
        <w:rPr>
          <w:szCs w:val="22"/>
        </w:rPr>
        <w:tab/>
      </w:r>
      <w:r w:rsidRPr="00C6735B">
        <w:rPr>
          <w:szCs w:val="22"/>
        </w:rPr>
        <w:t xml:space="preserve">The State party should </w:t>
      </w:r>
      <w:r>
        <w:rPr>
          <w:szCs w:val="22"/>
        </w:rPr>
        <w:t>widely disseminate</w:t>
      </w:r>
      <w:r w:rsidRPr="00C6735B">
        <w:rPr>
          <w:szCs w:val="22"/>
        </w:rPr>
        <w:t xml:space="preserve"> the Covenant, the Optional Protocols to the Covenant, the text of its initial report and the present concluding observations. The Committee also suggests that the present concluding observations be translated into the official language of the State party.</w:t>
      </w:r>
    </w:p>
    <w:p w:rsidR="00EB7A78" w:rsidRPr="00D55308" w:rsidRDefault="00EB7A78" w:rsidP="00EB7A78">
      <w:pPr>
        <w:pStyle w:val="SingleTxtG"/>
        <w:rPr>
          <w:szCs w:val="22"/>
        </w:rPr>
      </w:pPr>
      <w:r w:rsidRPr="003D4020">
        <w:rPr>
          <w:szCs w:val="22"/>
        </w:rPr>
        <w:t>2</w:t>
      </w:r>
      <w:r>
        <w:rPr>
          <w:szCs w:val="22"/>
        </w:rPr>
        <w:t>1</w:t>
      </w:r>
      <w:r w:rsidRPr="003D4020">
        <w:rPr>
          <w:szCs w:val="22"/>
        </w:rPr>
        <w:t>.</w:t>
      </w:r>
      <w:r w:rsidRPr="003D4020">
        <w:rPr>
          <w:szCs w:val="22"/>
        </w:rPr>
        <w:tab/>
      </w:r>
      <w:r w:rsidRPr="00CC706A">
        <w:rPr>
          <w:szCs w:val="22"/>
        </w:rPr>
        <w:t xml:space="preserve">The Committee requests the State party to submit its initial report </w:t>
      </w:r>
      <w:r w:rsidR="00F86BC3">
        <w:rPr>
          <w:szCs w:val="22"/>
        </w:rPr>
        <w:t xml:space="preserve">before 30 March </w:t>
      </w:r>
      <w:r>
        <w:rPr>
          <w:szCs w:val="22"/>
        </w:rPr>
        <w:t>2013</w:t>
      </w:r>
      <w:r w:rsidRPr="00CC706A">
        <w:rPr>
          <w:szCs w:val="22"/>
        </w:rPr>
        <w:t>.</w:t>
      </w:r>
    </w:p>
    <w:p w:rsidR="00EB7A78" w:rsidRPr="00ED0AB2" w:rsidRDefault="00EB7A78" w:rsidP="00EB7A78">
      <w:pPr>
        <w:pStyle w:val="SingleTxtG"/>
        <w:spacing w:before="240" w:after="0"/>
        <w:jc w:val="center"/>
        <w:rPr>
          <w:u w:val="single"/>
        </w:rPr>
      </w:pPr>
      <w:r w:rsidRPr="00ED0AB2">
        <w:rPr>
          <w:u w:val="single"/>
        </w:rPr>
        <w:tab/>
      </w:r>
      <w:r w:rsidRPr="00ED0AB2">
        <w:rPr>
          <w:u w:val="single"/>
        </w:rPr>
        <w:tab/>
      </w:r>
      <w:r w:rsidRPr="00ED0AB2">
        <w:rPr>
          <w:u w:val="single"/>
        </w:rPr>
        <w:tab/>
      </w:r>
    </w:p>
    <w:sectPr w:rsidR="00EB7A78" w:rsidRPr="00ED0AB2" w:rsidSect="00F86BC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701"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F2" w:rsidRDefault="00AA6CF2"/>
  </w:endnote>
  <w:endnote w:type="continuationSeparator" w:id="0">
    <w:p w:rsidR="00AA6CF2" w:rsidRDefault="00AA6CF2"/>
  </w:endnote>
  <w:endnote w:type="continuationNotice" w:id="1">
    <w:p w:rsidR="00AA6CF2" w:rsidRDefault="00AA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D" w:rsidRPr="008564C3" w:rsidRDefault="00C278FD" w:rsidP="008564C3">
    <w:pPr>
      <w:pStyle w:val="Footer"/>
      <w:tabs>
        <w:tab w:val="right" w:pos="9638"/>
      </w:tabs>
    </w:pPr>
    <w:r w:rsidRPr="008564C3">
      <w:rPr>
        <w:b/>
        <w:sz w:val="18"/>
      </w:rPr>
      <w:fldChar w:fldCharType="begin"/>
    </w:r>
    <w:r w:rsidRPr="008564C3">
      <w:rPr>
        <w:b/>
        <w:sz w:val="18"/>
      </w:rPr>
      <w:instrText xml:space="preserve"> PAGE  \* MERGEFORMAT </w:instrText>
    </w:r>
    <w:r w:rsidRPr="008564C3">
      <w:rPr>
        <w:b/>
        <w:sz w:val="18"/>
      </w:rPr>
      <w:fldChar w:fldCharType="separate"/>
    </w:r>
    <w:r w:rsidR="00612597">
      <w:rPr>
        <w:b/>
        <w:noProof/>
        <w:sz w:val="18"/>
      </w:rPr>
      <w:t>4</w:t>
    </w:r>
    <w:r w:rsidRPr="008564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D" w:rsidRPr="008564C3" w:rsidRDefault="00C278FD" w:rsidP="008564C3">
    <w:pPr>
      <w:pStyle w:val="Footer"/>
      <w:tabs>
        <w:tab w:val="right" w:pos="9638"/>
      </w:tabs>
      <w:rPr>
        <w:b/>
        <w:sz w:val="18"/>
      </w:rPr>
    </w:pPr>
    <w:r>
      <w:tab/>
    </w:r>
    <w:r w:rsidRPr="008564C3">
      <w:rPr>
        <w:b/>
        <w:sz w:val="18"/>
      </w:rPr>
      <w:fldChar w:fldCharType="begin"/>
    </w:r>
    <w:r w:rsidRPr="008564C3">
      <w:rPr>
        <w:b/>
        <w:sz w:val="18"/>
      </w:rPr>
      <w:instrText xml:space="preserve"> PAGE  \* MERGEFORMAT </w:instrText>
    </w:r>
    <w:r w:rsidRPr="008564C3">
      <w:rPr>
        <w:b/>
        <w:sz w:val="18"/>
      </w:rPr>
      <w:fldChar w:fldCharType="separate"/>
    </w:r>
    <w:r w:rsidR="00612597">
      <w:rPr>
        <w:b/>
        <w:noProof/>
        <w:sz w:val="18"/>
      </w:rPr>
      <w:t>5</w:t>
    </w:r>
    <w:r w:rsidRPr="008564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D" w:rsidRPr="008564C3" w:rsidRDefault="00C278F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w:t>
    </w:r>
    <w:r w:rsidR="00F86BC3">
      <w:t>2</w:t>
    </w:r>
    <w:r>
      <w:t>-</w:t>
    </w:r>
    <w:r w:rsidR="00612597">
      <w:t>42119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F2" w:rsidRPr="000B175B" w:rsidRDefault="00AA6CF2" w:rsidP="000B175B">
      <w:pPr>
        <w:tabs>
          <w:tab w:val="right" w:pos="2155"/>
        </w:tabs>
        <w:spacing w:after="80"/>
        <w:ind w:left="680"/>
        <w:rPr>
          <w:u w:val="single"/>
        </w:rPr>
      </w:pPr>
      <w:r>
        <w:rPr>
          <w:u w:val="single"/>
        </w:rPr>
        <w:tab/>
      </w:r>
    </w:p>
  </w:footnote>
  <w:footnote w:type="continuationSeparator" w:id="0">
    <w:p w:rsidR="00AA6CF2" w:rsidRPr="00FC68B7" w:rsidRDefault="00AA6CF2" w:rsidP="00FC68B7">
      <w:pPr>
        <w:tabs>
          <w:tab w:val="left" w:pos="2155"/>
        </w:tabs>
        <w:spacing w:after="80"/>
        <w:ind w:left="680"/>
        <w:rPr>
          <w:u w:val="single"/>
        </w:rPr>
      </w:pPr>
      <w:r>
        <w:rPr>
          <w:u w:val="single"/>
        </w:rPr>
        <w:tab/>
      </w:r>
    </w:p>
  </w:footnote>
  <w:footnote w:type="continuationNotice" w:id="1">
    <w:p w:rsidR="00AA6CF2" w:rsidRDefault="00AA6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D" w:rsidRPr="008564C3" w:rsidRDefault="00C278FD">
    <w:pPr>
      <w:pStyle w:val="Header"/>
    </w:pPr>
    <w:r>
      <w:t>CCPR/C/CPV/CO/1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D" w:rsidRPr="008564C3" w:rsidRDefault="00C278FD" w:rsidP="008564C3">
    <w:pPr>
      <w:pStyle w:val="Header"/>
      <w:jc w:val="right"/>
    </w:pPr>
    <w:r>
      <w:t>CCPR/C/CPV/CO/1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787EF030"/>
    <w:lvl w:ilvl="0" w:tplc="07DCBE36">
      <w:start w:val="3"/>
      <w:numFmt w:val="decimal"/>
      <w:lvlText w:val="%1."/>
      <w:lvlJc w:val="left"/>
      <w:pPr>
        <w:tabs>
          <w:tab w:val="num" w:pos="1655"/>
        </w:tabs>
        <w:ind w:left="1655" w:hanging="555"/>
      </w:pPr>
      <w:rPr>
        <w:rFonts w:cs="Times New Roman" w:hint="default"/>
        <w:b w:val="0"/>
      </w:rPr>
    </w:lvl>
    <w:lvl w:ilvl="1" w:tplc="BC9E9BC0">
      <w:start w:val="1"/>
      <w:numFmt w:val="lowerLetter"/>
      <w:lvlText w:val="(%2)"/>
      <w:lvlJc w:val="left"/>
      <w:pPr>
        <w:tabs>
          <w:tab w:val="num" w:pos="2424"/>
        </w:tabs>
        <w:ind w:left="2424" w:hanging="570"/>
      </w:pPr>
      <w:rPr>
        <w:rFonts w:cs="Times New Roman" w:hint="default"/>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3F37A0"/>
    <w:multiLevelType w:val="hybridMultilevel"/>
    <w:tmpl w:val="CC4898CC"/>
    <w:lvl w:ilvl="0" w:tplc="E4A4FD70">
      <w:start w:val="2"/>
      <w:numFmt w:val="upperLetter"/>
      <w:lvlText w:val="%1."/>
      <w:lvlJc w:val="left"/>
      <w:pPr>
        <w:tabs>
          <w:tab w:val="num" w:pos="1137"/>
        </w:tabs>
        <w:ind w:left="1137" w:hanging="570"/>
      </w:pPr>
      <w:rPr>
        <w:rFonts w:cs="Times New Roman"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BD1"/>
    <w:rsid w:val="00050F6B"/>
    <w:rsid w:val="00072C8C"/>
    <w:rsid w:val="000931C0"/>
    <w:rsid w:val="000B175B"/>
    <w:rsid w:val="000B3A0F"/>
    <w:rsid w:val="000E0415"/>
    <w:rsid w:val="000E4E35"/>
    <w:rsid w:val="000F70EB"/>
    <w:rsid w:val="000F77F8"/>
    <w:rsid w:val="00114620"/>
    <w:rsid w:val="001268E3"/>
    <w:rsid w:val="00157B56"/>
    <w:rsid w:val="00163761"/>
    <w:rsid w:val="00167F9A"/>
    <w:rsid w:val="001924FC"/>
    <w:rsid w:val="001B4B04"/>
    <w:rsid w:val="001C6663"/>
    <w:rsid w:val="001C6D02"/>
    <w:rsid w:val="001C7895"/>
    <w:rsid w:val="001D26DF"/>
    <w:rsid w:val="001E2214"/>
    <w:rsid w:val="001E627E"/>
    <w:rsid w:val="001F6479"/>
    <w:rsid w:val="0020322F"/>
    <w:rsid w:val="00207734"/>
    <w:rsid w:val="00211E0B"/>
    <w:rsid w:val="00220FBF"/>
    <w:rsid w:val="002D030D"/>
    <w:rsid w:val="002D4629"/>
    <w:rsid w:val="003107FA"/>
    <w:rsid w:val="003112FD"/>
    <w:rsid w:val="003229D8"/>
    <w:rsid w:val="0033745A"/>
    <w:rsid w:val="0039277A"/>
    <w:rsid w:val="003972E0"/>
    <w:rsid w:val="003C2CC4"/>
    <w:rsid w:val="003D4B23"/>
    <w:rsid w:val="003E3C9D"/>
    <w:rsid w:val="00400EB6"/>
    <w:rsid w:val="00413392"/>
    <w:rsid w:val="00414FE6"/>
    <w:rsid w:val="00420B56"/>
    <w:rsid w:val="004325CB"/>
    <w:rsid w:val="00435E3A"/>
    <w:rsid w:val="00445553"/>
    <w:rsid w:val="00446DE4"/>
    <w:rsid w:val="00464761"/>
    <w:rsid w:val="00476B9B"/>
    <w:rsid w:val="00484578"/>
    <w:rsid w:val="004A41CA"/>
    <w:rsid w:val="004A5A0D"/>
    <w:rsid w:val="004C7FE7"/>
    <w:rsid w:val="004D6AE0"/>
    <w:rsid w:val="004E797E"/>
    <w:rsid w:val="00503228"/>
    <w:rsid w:val="00505384"/>
    <w:rsid w:val="00506206"/>
    <w:rsid w:val="005420F2"/>
    <w:rsid w:val="00545786"/>
    <w:rsid w:val="00591029"/>
    <w:rsid w:val="005B3DB3"/>
    <w:rsid w:val="005B6C18"/>
    <w:rsid w:val="005F02A9"/>
    <w:rsid w:val="00601F7C"/>
    <w:rsid w:val="00611FC4"/>
    <w:rsid w:val="00612597"/>
    <w:rsid w:val="006176FB"/>
    <w:rsid w:val="00627ED0"/>
    <w:rsid w:val="00640B26"/>
    <w:rsid w:val="006457DA"/>
    <w:rsid w:val="00650C25"/>
    <w:rsid w:val="00665595"/>
    <w:rsid w:val="006A7392"/>
    <w:rsid w:val="006E564B"/>
    <w:rsid w:val="0072632A"/>
    <w:rsid w:val="007369EB"/>
    <w:rsid w:val="007B6BA5"/>
    <w:rsid w:val="007C3390"/>
    <w:rsid w:val="007C4F4B"/>
    <w:rsid w:val="007F0B83"/>
    <w:rsid w:val="007F6611"/>
    <w:rsid w:val="008175E9"/>
    <w:rsid w:val="008242D7"/>
    <w:rsid w:val="008311A3"/>
    <w:rsid w:val="008564C3"/>
    <w:rsid w:val="00871FD5"/>
    <w:rsid w:val="008979B1"/>
    <w:rsid w:val="008A6B25"/>
    <w:rsid w:val="008A6C4F"/>
    <w:rsid w:val="008E0E46"/>
    <w:rsid w:val="00907AD2"/>
    <w:rsid w:val="00951938"/>
    <w:rsid w:val="00963CBA"/>
    <w:rsid w:val="00974A8D"/>
    <w:rsid w:val="00991261"/>
    <w:rsid w:val="009C10E3"/>
    <w:rsid w:val="009C7778"/>
    <w:rsid w:val="009F3A17"/>
    <w:rsid w:val="009F4E0A"/>
    <w:rsid w:val="00A1427D"/>
    <w:rsid w:val="00A37D4B"/>
    <w:rsid w:val="00A72F22"/>
    <w:rsid w:val="00A748A6"/>
    <w:rsid w:val="00A879A4"/>
    <w:rsid w:val="00AA6CF2"/>
    <w:rsid w:val="00AA7D2F"/>
    <w:rsid w:val="00AB58FE"/>
    <w:rsid w:val="00B30179"/>
    <w:rsid w:val="00B33EC0"/>
    <w:rsid w:val="00B81E12"/>
    <w:rsid w:val="00BA5C25"/>
    <w:rsid w:val="00BC74E9"/>
    <w:rsid w:val="00BE4F74"/>
    <w:rsid w:val="00BE618E"/>
    <w:rsid w:val="00BF35BE"/>
    <w:rsid w:val="00BF781B"/>
    <w:rsid w:val="00C15611"/>
    <w:rsid w:val="00C17699"/>
    <w:rsid w:val="00C26DD9"/>
    <w:rsid w:val="00C278FD"/>
    <w:rsid w:val="00C463DD"/>
    <w:rsid w:val="00C70FBB"/>
    <w:rsid w:val="00C745C3"/>
    <w:rsid w:val="00CB7ED8"/>
    <w:rsid w:val="00CD13FB"/>
    <w:rsid w:val="00CE4A8F"/>
    <w:rsid w:val="00CE681E"/>
    <w:rsid w:val="00D02E39"/>
    <w:rsid w:val="00D2031B"/>
    <w:rsid w:val="00D20F94"/>
    <w:rsid w:val="00D25FE2"/>
    <w:rsid w:val="00D27F07"/>
    <w:rsid w:val="00D317BB"/>
    <w:rsid w:val="00D36447"/>
    <w:rsid w:val="00D43252"/>
    <w:rsid w:val="00D4508F"/>
    <w:rsid w:val="00D978C6"/>
    <w:rsid w:val="00DA094C"/>
    <w:rsid w:val="00DA3A16"/>
    <w:rsid w:val="00DA67AD"/>
    <w:rsid w:val="00DB5D0F"/>
    <w:rsid w:val="00DB63DD"/>
    <w:rsid w:val="00DB6638"/>
    <w:rsid w:val="00DF0F82"/>
    <w:rsid w:val="00DF12F7"/>
    <w:rsid w:val="00E01ACA"/>
    <w:rsid w:val="00E02C81"/>
    <w:rsid w:val="00E130AB"/>
    <w:rsid w:val="00E62A20"/>
    <w:rsid w:val="00E7260F"/>
    <w:rsid w:val="00E84EF6"/>
    <w:rsid w:val="00E87921"/>
    <w:rsid w:val="00E96630"/>
    <w:rsid w:val="00EB7461"/>
    <w:rsid w:val="00EB7A78"/>
    <w:rsid w:val="00ED7A2A"/>
    <w:rsid w:val="00EF1D7F"/>
    <w:rsid w:val="00F23859"/>
    <w:rsid w:val="00F53EDA"/>
    <w:rsid w:val="00F75BD1"/>
    <w:rsid w:val="00F7753D"/>
    <w:rsid w:val="00F85F34"/>
    <w:rsid w:val="00F86BC3"/>
    <w:rsid w:val="00F93928"/>
    <w:rsid w:val="00F96271"/>
    <w:rsid w:val="00FA06F7"/>
    <w:rsid w:val="00FB171A"/>
    <w:rsid w:val="00FB25DD"/>
    <w:rsid w:val="00FB5911"/>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14FE6"/>
    <w:pPr>
      <w:spacing w:line="240" w:lineRule="auto"/>
    </w:pPr>
    <w:rPr>
      <w:rFonts w:ascii="Tahoma" w:hAnsi="Tahoma" w:cs="Tahoma"/>
      <w:sz w:val="16"/>
      <w:szCs w:val="16"/>
    </w:rPr>
  </w:style>
  <w:style w:type="character" w:customStyle="1" w:styleId="BalloonTextChar">
    <w:name w:val="Balloon Text Char"/>
    <w:link w:val="BalloonText"/>
    <w:rsid w:val="00414FE6"/>
    <w:rPr>
      <w:rFonts w:ascii="Tahoma" w:hAnsi="Tahoma" w:cs="Tahoma"/>
      <w:sz w:val="16"/>
      <w:szCs w:val="16"/>
      <w:lang w:eastAsia="en-US"/>
    </w:rPr>
  </w:style>
  <w:style w:type="character" w:customStyle="1" w:styleId="SingleTxtGChar">
    <w:name w:val="_ Single Txt_G Char"/>
    <w:link w:val="SingleTxtG"/>
    <w:rsid w:val="00EB7A78"/>
    <w:rPr>
      <w:lang w:val="en-GB" w:eastAsia="en-US" w:bidi="ar-SA"/>
    </w:rPr>
  </w:style>
  <w:style w:type="character" w:styleId="CommentReference">
    <w:name w:val="annotation reference"/>
    <w:semiHidden/>
    <w:rsid w:val="00F96271"/>
    <w:rPr>
      <w:sz w:val="16"/>
      <w:szCs w:val="16"/>
    </w:rPr>
  </w:style>
  <w:style w:type="paragraph" w:styleId="CommentText">
    <w:name w:val="annotation text"/>
    <w:basedOn w:val="Normal"/>
    <w:semiHidden/>
    <w:rsid w:val="00F96271"/>
  </w:style>
  <w:style w:type="paragraph" w:styleId="CommentSubject">
    <w:name w:val="annotation subject"/>
    <w:basedOn w:val="CommentText"/>
    <w:next w:val="CommentText"/>
    <w:semiHidden/>
    <w:rsid w:val="00F96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2535</Words>
  <Characters>13689</Characters>
  <Application>Microsoft Office Word</Application>
  <DocSecurity>4</DocSecurity>
  <Lines>224</Lines>
  <Paragraphs>65</Paragraphs>
  <ScaleCrop>false</ScaleCrop>
  <HeadingPairs>
    <vt:vector size="2" baseType="variant">
      <vt:variant>
        <vt:lpstr>Title</vt:lpstr>
      </vt:variant>
      <vt:variant>
        <vt:i4>1</vt:i4>
      </vt:variant>
    </vt:vector>
  </HeadingPairs>
  <TitlesOfParts>
    <vt:vector size="1" baseType="lpstr">
      <vt:lpstr>CCPR/C/KAZ/CO/1/CRP</vt:lpstr>
    </vt:vector>
  </TitlesOfParts>
  <Company>CSD</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CCPR/C/KAZ/CO/1/CRP</dc:title>
  <dc:subject/>
  <dc:creator>default</dc:creator>
  <cp:keywords/>
  <cp:lastModifiedBy>DCM</cp:lastModifiedBy>
  <cp:revision>2</cp:revision>
  <cp:lastPrinted>2012-04-23T10:35:00Z</cp:lastPrinted>
  <dcterms:created xsi:type="dcterms:W3CDTF">2012-04-26T09:51:00Z</dcterms:created>
  <dcterms:modified xsi:type="dcterms:W3CDTF">2012-04-26T09:51:00Z</dcterms:modified>
</cp:coreProperties>
</file>