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2C1247BA" w14:textId="77777777" w:rsidTr="005B51C4">
        <w:trPr>
          <w:trHeight w:hRule="exact" w:val="851"/>
        </w:trPr>
        <w:tc>
          <w:tcPr>
            <w:tcW w:w="1274" w:type="dxa"/>
            <w:tcBorders>
              <w:bottom w:val="single" w:sz="4" w:space="0" w:color="auto"/>
            </w:tcBorders>
            <w:shd w:val="clear" w:color="auto" w:fill="auto"/>
          </w:tcPr>
          <w:p w14:paraId="42C2C46D" w14:textId="77777777" w:rsidR="006B3E27" w:rsidRPr="00C175A6" w:rsidRDefault="006B3E27" w:rsidP="008918CF">
            <w:pPr>
              <w:kinsoku w:val="0"/>
              <w:overflowPunct w:val="0"/>
              <w:autoSpaceDE w:val="0"/>
              <w:autoSpaceDN w:val="0"/>
              <w:adjustRightInd w:val="0"/>
              <w:snapToGrid w:val="0"/>
              <w:jc w:val="center"/>
              <w:rPr>
                <w:rFonts w:hint="cs"/>
                <w:sz w:val="56"/>
                <w:szCs w:val="56"/>
              </w:rPr>
            </w:pPr>
          </w:p>
        </w:tc>
        <w:tc>
          <w:tcPr>
            <w:tcW w:w="4537" w:type="dxa"/>
            <w:tcBorders>
              <w:bottom w:val="single" w:sz="4" w:space="0" w:color="auto"/>
            </w:tcBorders>
            <w:shd w:val="clear" w:color="auto" w:fill="auto"/>
            <w:vAlign w:val="bottom"/>
          </w:tcPr>
          <w:p w14:paraId="44F651AE" w14:textId="2C630A7C" w:rsidR="006B3E27" w:rsidRPr="00C175A6" w:rsidRDefault="006B3E27" w:rsidP="00730446">
            <w:pPr>
              <w:spacing w:after="80" w:line="480" w:lineRule="exact"/>
              <w:ind w:left="57"/>
              <w:rPr>
                <w:sz w:val="30"/>
                <w:szCs w:val="30"/>
                <w:rtl/>
              </w:rPr>
            </w:pPr>
            <w:r w:rsidRPr="00C175A6">
              <w:rPr>
                <w:rFonts w:hint="cs"/>
                <w:sz w:val="30"/>
                <w:szCs w:val="30"/>
                <w:rtl/>
              </w:rPr>
              <w:t>الأمم</w:t>
            </w:r>
            <w:r w:rsidR="00885E11">
              <w:rPr>
                <w:rFonts w:hint="cs"/>
                <w:sz w:val="30"/>
                <w:szCs w:val="30"/>
                <w:rtl/>
              </w:rPr>
              <w:t xml:space="preserve"> </w:t>
            </w:r>
            <w:r w:rsidRPr="00C175A6">
              <w:rPr>
                <w:rFonts w:hint="cs"/>
                <w:sz w:val="30"/>
                <w:szCs w:val="30"/>
                <w:rtl/>
              </w:rPr>
              <w:t>المتحدة</w:t>
            </w:r>
          </w:p>
        </w:tc>
        <w:tc>
          <w:tcPr>
            <w:tcW w:w="3828" w:type="dxa"/>
            <w:tcBorders>
              <w:bottom w:val="single" w:sz="4" w:space="0" w:color="auto"/>
            </w:tcBorders>
            <w:shd w:val="clear" w:color="auto" w:fill="auto"/>
            <w:vAlign w:val="bottom"/>
          </w:tcPr>
          <w:p w14:paraId="38A85003" w14:textId="1AA00697" w:rsidR="006B3E27" w:rsidRPr="00B07D05" w:rsidRDefault="00B07D05" w:rsidP="00B07D05">
            <w:pPr>
              <w:bidi w:val="0"/>
              <w:rPr>
                <w:szCs w:val="20"/>
              </w:rPr>
            </w:pPr>
            <w:r w:rsidRPr="005D7864">
              <w:rPr>
                <w:sz w:val="40"/>
                <w:szCs w:val="20"/>
              </w:rPr>
              <w:t>CCPR</w:t>
            </w:r>
            <w:r w:rsidRPr="005D7864">
              <w:rPr>
                <w:szCs w:val="20"/>
              </w:rPr>
              <w:t>/C/IRQ/CO/</w:t>
            </w:r>
            <w:r w:rsidRPr="00846FFB">
              <w:rPr>
                <w:szCs w:val="20"/>
              </w:rPr>
              <w:t>6</w:t>
            </w:r>
          </w:p>
        </w:tc>
      </w:tr>
      <w:tr w:rsidR="006B3E27" w:rsidRPr="00C175A6" w14:paraId="0FA7D994" w14:textId="77777777" w:rsidTr="005B51C4">
        <w:trPr>
          <w:trHeight w:hRule="exact" w:val="2835"/>
        </w:trPr>
        <w:tc>
          <w:tcPr>
            <w:tcW w:w="1274" w:type="dxa"/>
            <w:tcBorders>
              <w:top w:val="single" w:sz="4" w:space="0" w:color="auto"/>
              <w:bottom w:val="single" w:sz="12" w:space="0" w:color="auto"/>
            </w:tcBorders>
            <w:shd w:val="clear" w:color="auto" w:fill="auto"/>
          </w:tcPr>
          <w:p w14:paraId="54566CBB"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44D50FC7" wp14:editId="3CCB15B1">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12962AB0" w14:textId="6DDE1F91" w:rsidR="006B3E27" w:rsidRPr="00846FFB" w:rsidRDefault="00ED7442" w:rsidP="00730446">
            <w:pPr>
              <w:spacing w:before="120" w:after="40" w:line="640" w:lineRule="exact"/>
              <w:ind w:left="57"/>
              <w:rPr>
                <w:b/>
                <w:bCs/>
                <w:sz w:val="46"/>
                <w:szCs w:val="46"/>
              </w:rPr>
            </w:pPr>
            <w:r w:rsidRPr="00846FFB">
              <w:rPr>
                <w:rFonts w:hint="cs"/>
                <w:b/>
                <w:bCs/>
                <w:sz w:val="46"/>
                <w:szCs w:val="46"/>
                <w:rtl/>
              </w:rPr>
              <w:t>العهد</w:t>
            </w:r>
            <w:r w:rsidR="00885E11" w:rsidRPr="00846FFB">
              <w:rPr>
                <w:rFonts w:hint="cs"/>
                <w:b/>
                <w:bCs/>
                <w:sz w:val="46"/>
                <w:szCs w:val="46"/>
                <w:rtl/>
              </w:rPr>
              <w:t xml:space="preserve"> </w:t>
            </w:r>
            <w:r w:rsidRPr="00846FFB">
              <w:rPr>
                <w:rFonts w:hint="cs"/>
                <w:b/>
                <w:bCs/>
                <w:sz w:val="46"/>
                <w:szCs w:val="46"/>
                <w:rtl/>
              </w:rPr>
              <w:t>الدولي</w:t>
            </w:r>
            <w:r w:rsidR="00885E11" w:rsidRPr="00846FFB">
              <w:rPr>
                <w:rFonts w:hint="cs"/>
                <w:b/>
                <w:bCs/>
                <w:sz w:val="46"/>
                <w:szCs w:val="46"/>
                <w:rtl/>
              </w:rPr>
              <w:t xml:space="preserve"> </w:t>
            </w:r>
            <w:r w:rsidRPr="00846FFB">
              <w:rPr>
                <w:rFonts w:hint="cs"/>
                <w:b/>
                <w:bCs/>
                <w:sz w:val="46"/>
                <w:szCs w:val="46"/>
                <w:rtl/>
              </w:rPr>
              <w:t>الخاص</w:t>
            </w:r>
            <w:r w:rsidR="00885E11" w:rsidRPr="00846FFB">
              <w:rPr>
                <w:rFonts w:hint="cs"/>
                <w:b/>
                <w:bCs/>
                <w:sz w:val="46"/>
                <w:szCs w:val="46"/>
                <w:rtl/>
              </w:rPr>
              <w:t xml:space="preserve"> </w:t>
            </w:r>
            <w:r w:rsidRPr="00846FFB">
              <w:rPr>
                <w:rFonts w:hint="cs"/>
                <w:b/>
                <w:bCs/>
                <w:sz w:val="46"/>
                <w:szCs w:val="46"/>
                <w:rtl/>
              </w:rPr>
              <w:t>بالحقوق</w:t>
            </w:r>
            <w:r w:rsidR="00885E11" w:rsidRPr="00846FFB">
              <w:rPr>
                <w:rFonts w:hint="cs"/>
                <w:b/>
                <w:bCs/>
                <w:sz w:val="46"/>
                <w:szCs w:val="46"/>
                <w:rtl/>
              </w:rPr>
              <w:t xml:space="preserve"> </w:t>
            </w:r>
            <w:r w:rsidRPr="00846FFB">
              <w:rPr>
                <w:rFonts w:hint="cs"/>
                <w:b/>
                <w:bCs/>
                <w:sz w:val="46"/>
                <w:szCs w:val="46"/>
                <w:rtl/>
              </w:rPr>
              <w:t>المدنية</w:t>
            </w:r>
            <w:r w:rsidR="00885E11" w:rsidRPr="00846FFB">
              <w:rPr>
                <w:rFonts w:hint="cs"/>
                <w:b/>
                <w:bCs/>
                <w:sz w:val="46"/>
                <w:szCs w:val="46"/>
                <w:rtl/>
              </w:rPr>
              <w:t xml:space="preserve"> </w:t>
            </w:r>
            <w:r w:rsidRPr="00846FFB">
              <w:rPr>
                <w:rFonts w:hint="cs"/>
                <w:b/>
                <w:bCs/>
                <w:sz w:val="46"/>
                <w:szCs w:val="46"/>
                <w:rtl/>
              </w:rPr>
              <w:t>والسياسية</w:t>
            </w:r>
          </w:p>
        </w:tc>
        <w:tc>
          <w:tcPr>
            <w:tcW w:w="3828" w:type="dxa"/>
            <w:tcBorders>
              <w:top w:val="single" w:sz="4" w:space="0" w:color="auto"/>
              <w:bottom w:val="single" w:sz="12" w:space="0" w:color="auto"/>
            </w:tcBorders>
            <w:shd w:val="clear" w:color="auto" w:fill="auto"/>
          </w:tcPr>
          <w:p w14:paraId="4DA42582" w14:textId="7EDCBC0D" w:rsidR="006B3E27" w:rsidRDefault="00B07D05" w:rsidP="004B27E0">
            <w:pPr>
              <w:bidi w:val="0"/>
              <w:spacing w:before="240"/>
              <w:rPr>
                <w:szCs w:val="20"/>
              </w:rPr>
            </w:pPr>
            <w:r>
              <w:rPr>
                <w:szCs w:val="20"/>
              </w:rPr>
              <w:t>Distr.:</w:t>
            </w:r>
            <w:r w:rsidR="00885E11">
              <w:rPr>
                <w:szCs w:val="20"/>
              </w:rPr>
              <w:t xml:space="preserve"> </w:t>
            </w:r>
            <w:r>
              <w:rPr>
                <w:szCs w:val="20"/>
              </w:rPr>
              <w:t>General</w:t>
            </w:r>
          </w:p>
          <w:p w14:paraId="02ACAB34" w14:textId="722B7959" w:rsidR="00B07D05" w:rsidRDefault="00885E11" w:rsidP="00B07D05">
            <w:pPr>
              <w:bidi w:val="0"/>
              <w:spacing w:line="240" w:lineRule="exact"/>
              <w:jc w:val="left"/>
              <w:rPr>
                <w:szCs w:val="20"/>
              </w:rPr>
            </w:pPr>
            <w:r w:rsidRPr="00846FFB">
              <w:t>16</w:t>
            </w:r>
            <w:r>
              <w:t xml:space="preserve"> August </w:t>
            </w:r>
            <w:r w:rsidRPr="00846FFB">
              <w:t>2022</w:t>
            </w:r>
          </w:p>
          <w:p w14:paraId="3DDA256D" w14:textId="77777777" w:rsidR="00B07D05" w:rsidRDefault="00B07D05" w:rsidP="00B07D05">
            <w:pPr>
              <w:bidi w:val="0"/>
              <w:spacing w:line="240" w:lineRule="exact"/>
              <w:jc w:val="left"/>
              <w:rPr>
                <w:szCs w:val="20"/>
              </w:rPr>
            </w:pPr>
            <w:r>
              <w:rPr>
                <w:szCs w:val="20"/>
              </w:rPr>
              <w:t>Arabic</w:t>
            </w:r>
          </w:p>
          <w:p w14:paraId="25F052DE" w14:textId="7E5813D3" w:rsidR="00B07D05" w:rsidRPr="00B07D05" w:rsidRDefault="00B07D05" w:rsidP="00B07D05">
            <w:pPr>
              <w:bidi w:val="0"/>
              <w:spacing w:line="240" w:lineRule="exact"/>
              <w:jc w:val="left"/>
              <w:rPr>
                <w:szCs w:val="20"/>
              </w:rPr>
            </w:pPr>
            <w:r>
              <w:rPr>
                <w:szCs w:val="20"/>
              </w:rPr>
              <w:t>Original:</w:t>
            </w:r>
            <w:r w:rsidR="00885E11">
              <w:rPr>
                <w:szCs w:val="20"/>
              </w:rPr>
              <w:t xml:space="preserve"> </w:t>
            </w:r>
            <w:r>
              <w:rPr>
                <w:szCs w:val="20"/>
              </w:rPr>
              <w:t>English</w:t>
            </w:r>
          </w:p>
        </w:tc>
      </w:tr>
    </w:tbl>
    <w:p w14:paraId="71E16739" w14:textId="08870C20" w:rsidR="00885E11" w:rsidRPr="00846FFB" w:rsidRDefault="00885E11" w:rsidP="00885E11">
      <w:pPr>
        <w:spacing w:before="120" w:after="120" w:line="360" w:lineRule="exact"/>
        <w:rPr>
          <w:b/>
          <w:bCs/>
          <w:sz w:val="24"/>
          <w:szCs w:val="26"/>
        </w:rPr>
      </w:pPr>
      <w:r w:rsidRPr="00846FFB">
        <w:rPr>
          <w:b/>
          <w:bCs/>
          <w:sz w:val="24"/>
          <w:szCs w:val="26"/>
          <w:rtl/>
        </w:rPr>
        <w:t>اللجنة المعنية بحقوق الإنسان</w:t>
      </w:r>
    </w:p>
    <w:p w14:paraId="101A6B9D" w14:textId="4EB474C9" w:rsidR="00885E11" w:rsidRPr="00846FFB" w:rsidRDefault="00885E11" w:rsidP="00885E11">
      <w:pPr>
        <w:pStyle w:val="HChGA"/>
      </w:pPr>
      <w:r w:rsidRPr="00846FFB">
        <w:rPr>
          <w:rtl/>
        </w:rPr>
        <w:tab/>
      </w:r>
      <w:r w:rsidRPr="00846FFB">
        <w:rPr>
          <w:rtl/>
        </w:rPr>
        <w:tab/>
        <w:t>الملاحظات الختامية بشأن التقرير الدوري السادس للعراق</w:t>
      </w:r>
      <w:r w:rsidRPr="00846FFB">
        <w:rPr>
          <w:b w:val="0"/>
          <w:bCs w:val="0"/>
          <w:sz w:val="22"/>
          <w:szCs w:val="22"/>
          <w:rtl/>
        </w:rPr>
        <w:footnoteReference w:customMarkFollows="1" w:id="1"/>
        <w:t>*</w:t>
      </w:r>
    </w:p>
    <w:p w14:paraId="609F32E9" w14:textId="6E4C9544" w:rsidR="00885E11" w:rsidRPr="00885E11" w:rsidRDefault="00885E11" w:rsidP="00885E11">
      <w:pPr>
        <w:pStyle w:val="SingleTxtGA"/>
      </w:pPr>
      <w:r w:rsidRPr="00846FFB">
        <w:rPr>
          <w:rtl/>
        </w:rPr>
        <w:t>1</w:t>
      </w:r>
      <w:r w:rsidRPr="007B0599">
        <w:rPr>
          <w:rtl/>
        </w:rPr>
        <w:t>-</w:t>
      </w:r>
      <w:r w:rsidRPr="007B0599">
        <w:rPr>
          <w:rtl/>
        </w:rPr>
        <w:tab/>
      </w:r>
      <w:r w:rsidRPr="00885E11">
        <w:rPr>
          <w:rtl/>
        </w:rPr>
        <w:t>نظرت</w:t>
      </w:r>
      <w:r>
        <w:rPr>
          <w:rtl/>
        </w:rPr>
        <w:t xml:space="preserve"> </w:t>
      </w:r>
      <w:r w:rsidRPr="00885E11">
        <w:rPr>
          <w:rtl/>
        </w:rPr>
        <w:t>اللجنة</w:t>
      </w:r>
      <w:r>
        <w:rPr>
          <w:rtl/>
        </w:rPr>
        <w:t xml:space="preserve"> </w:t>
      </w:r>
      <w:r w:rsidRPr="00885E11">
        <w:rPr>
          <w:rtl/>
        </w:rPr>
        <w:t>في</w:t>
      </w:r>
      <w:r>
        <w:rPr>
          <w:rtl/>
        </w:rPr>
        <w:t xml:space="preserve"> </w:t>
      </w:r>
      <w:r w:rsidRPr="00885E11">
        <w:rPr>
          <w:rtl/>
        </w:rPr>
        <w:t>التقرير</w:t>
      </w:r>
      <w:r>
        <w:rPr>
          <w:rtl/>
        </w:rPr>
        <w:t xml:space="preserve"> </w:t>
      </w:r>
      <w:r w:rsidRPr="00885E11">
        <w:rPr>
          <w:rtl/>
        </w:rPr>
        <w:t>الدوري</w:t>
      </w:r>
      <w:r>
        <w:rPr>
          <w:rtl/>
        </w:rPr>
        <w:t xml:space="preserve"> </w:t>
      </w:r>
      <w:r w:rsidRPr="00885E11">
        <w:rPr>
          <w:rtl/>
        </w:rPr>
        <w:t>السادس</w:t>
      </w:r>
      <w:r>
        <w:rPr>
          <w:rtl/>
        </w:rPr>
        <w:t xml:space="preserve"> </w:t>
      </w:r>
      <w:r w:rsidRPr="00885E11">
        <w:rPr>
          <w:rtl/>
        </w:rPr>
        <w:t>للعراق</w:t>
      </w:r>
      <w:r w:rsidR="00E82A04" w:rsidRPr="00846FFB">
        <w:rPr>
          <w:vertAlign w:val="superscript"/>
          <w:rtl/>
        </w:rPr>
        <w:t>(</w:t>
      </w:r>
      <w:r w:rsidR="00E82A04" w:rsidRPr="00846FFB">
        <w:rPr>
          <w:vertAlign w:val="superscript"/>
          <w:lang w:val="en-US"/>
        </w:rPr>
        <w:footnoteReference w:id="2"/>
      </w:r>
      <w:r w:rsidR="00E82A04" w:rsidRPr="00846FFB">
        <w:rPr>
          <w:vertAlign w:val="superscript"/>
          <w:rtl/>
        </w:rPr>
        <w:t>)</w:t>
      </w:r>
      <w:r>
        <w:rPr>
          <w:rtl/>
        </w:rPr>
        <w:t xml:space="preserve"> </w:t>
      </w:r>
      <w:r w:rsidRPr="00885E11">
        <w:rPr>
          <w:rtl/>
        </w:rPr>
        <w:t>في</w:t>
      </w:r>
      <w:r>
        <w:rPr>
          <w:rtl/>
        </w:rPr>
        <w:t xml:space="preserve"> </w:t>
      </w:r>
      <w:r w:rsidRPr="00885E11">
        <w:rPr>
          <w:rtl/>
        </w:rPr>
        <w:t>جلساتها</w:t>
      </w:r>
      <w:r>
        <w:rPr>
          <w:rtl/>
        </w:rPr>
        <w:t xml:space="preserve"> </w:t>
      </w:r>
      <w:r w:rsidRPr="00846FFB">
        <w:rPr>
          <w:rtl/>
        </w:rPr>
        <w:t>3846</w:t>
      </w:r>
      <w:r>
        <w:rPr>
          <w:rtl/>
        </w:rPr>
        <w:t xml:space="preserve"> </w:t>
      </w:r>
      <w:r w:rsidRPr="00885E11">
        <w:rPr>
          <w:rtl/>
        </w:rPr>
        <w:t>و</w:t>
      </w:r>
      <w:r w:rsidRPr="00846FFB">
        <w:rPr>
          <w:rtl/>
        </w:rPr>
        <w:t>3847</w:t>
      </w:r>
      <w:r>
        <w:rPr>
          <w:rtl/>
        </w:rPr>
        <w:t xml:space="preserve"> </w:t>
      </w:r>
      <w:r w:rsidRPr="00885E11">
        <w:rPr>
          <w:rtl/>
        </w:rPr>
        <w:t>و</w:t>
      </w:r>
      <w:r w:rsidRPr="00846FFB">
        <w:rPr>
          <w:rtl/>
        </w:rPr>
        <w:t>3848</w:t>
      </w:r>
      <w:r w:rsidR="00E82A04" w:rsidRPr="00846FFB">
        <w:rPr>
          <w:vertAlign w:val="superscript"/>
          <w:rtl/>
        </w:rPr>
        <w:t>(</w:t>
      </w:r>
      <w:r w:rsidR="00E82A04" w:rsidRPr="00846FFB">
        <w:rPr>
          <w:vertAlign w:val="superscript"/>
          <w:lang w:val="en-US"/>
        </w:rPr>
        <w:footnoteReference w:id="3"/>
      </w:r>
      <w:r w:rsidR="00E82A04" w:rsidRPr="00846FFB">
        <w:rPr>
          <w:vertAlign w:val="superscript"/>
          <w:rtl/>
        </w:rPr>
        <w:t>)</w:t>
      </w:r>
      <w:r w:rsidR="005D7864">
        <w:rPr>
          <w:rtl/>
        </w:rPr>
        <w:t>،</w:t>
      </w:r>
      <w:r>
        <w:rPr>
          <w:rtl/>
        </w:rPr>
        <w:t xml:space="preserve"> </w:t>
      </w:r>
      <w:r w:rsidRPr="00885E11">
        <w:rPr>
          <w:rtl/>
        </w:rPr>
        <w:t>المعقودة</w:t>
      </w:r>
      <w:r>
        <w:rPr>
          <w:rtl/>
        </w:rPr>
        <w:t xml:space="preserve"> </w:t>
      </w:r>
      <w:r w:rsidRPr="00885E11">
        <w:rPr>
          <w:rtl/>
        </w:rPr>
        <w:t>في</w:t>
      </w:r>
      <w:r>
        <w:rPr>
          <w:rtl/>
        </w:rPr>
        <w:t xml:space="preserve"> </w:t>
      </w:r>
      <w:r w:rsidRPr="00846FFB">
        <w:rPr>
          <w:rtl/>
        </w:rPr>
        <w:t>7</w:t>
      </w:r>
      <w:r>
        <w:rPr>
          <w:rtl/>
        </w:rPr>
        <w:t xml:space="preserve"> </w:t>
      </w:r>
      <w:r w:rsidRPr="00885E11">
        <w:rPr>
          <w:rtl/>
        </w:rPr>
        <w:t>و</w:t>
      </w:r>
      <w:r w:rsidRPr="00846FFB">
        <w:rPr>
          <w:rtl/>
        </w:rPr>
        <w:t>8</w:t>
      </w:r>
      <w:r>
        <w:rPr>
          <w:rtl/>
        </w:rPr>
        <w:t xml:space="preserve"> </w:t>
      </w:r>
      <w:r w:rsidRPr="00885E11">
        <w:rPr>
          <w:rtl/>
        </w:rPr>
        <w:t>آذار/مارس</w:t>
      </w:r>
      <w:r>
        <w:rPr>
          <w:rtl/>
        </w:rPr>
        <w:t xml:space="preserve"> </w:t>
      </w:r>
      <w:r w:rsidRPr="00846FFB">
        <w:rPr>
          <w:rtl/>
        </w:rPr>
        <w:t>2022</w:t>
      </w:r>
      <w:r w:rsidR="005D7864">
        <w:rPr>
          <w:rtl/>
        </w:rPr>
        <w:t>،</w:t>
      </w:r>
      <w:r>
        <w:rPr>
          <w:rtl/>
        </w:rPr>
        <w:t xml:space="preserve"> </w:t>
      </w:r>
      <w:r w:rsidRPr="00885E11">
        <w:rPr>
          <w:rtl/>
        </w:rPr>
        <w:t>وفق</w:t>
      </w:r>
      <w:r>
        <w:rPr>
          <w:rtl/>
        </w:rPr>
        <w:t xml:space="preserve"> </w:t>
      </w:r>
      <w:r w:rsidRPr="00885E11">
        <w:rPr>
          <w:rtl/>
        </w:rPr>
        <w:t>صيغة</w:t>
      </w:r>
      <w:r>
        <w:rPr>
          <w:rtl/>
        </w:rPr>
        <w:t xml:space="preserve"> </w:t>
      </w:r>
      <w:r w:rsidRPr="00885E11">
        <w:rPr>
          <w:rtl/>
        </w:rPr>
        <w:t>حضور</w:t>
      </w:r>
      <w:r>
        <w:rPr>
          <w:rtl/>
        </w:rPr>
        <w:t xml:space="preserve"> </w:t>
      </w:r>
      <w:r w:rsidRPr="00885E11">
        <w:rPr>
          <w:rtl/>
        </w:rPr>
        <w:t>مختلطة</w:t>
      </w:r>
      <w:r>
        <w:rPr>
          <w:rtl/>
        </w:rPr>
        <w:t xml:space="preserve"> </w:t>
      </w:r>
      <w:r w:rsidRPr="00885E11">
        <w:rPr>
          <w:rtl/>
        </w:rPr>
        <w:t>بسبب</w:t>
      </w:r>
      <w:r>
        <w:rPr>
          <w:rtl/>
        </w:rPr>
        <w:t xml:space="preserve"> </w:t>
      </w:r>
      <w:r w:rsidRPr="00885E11">
        <w:rPr>
          <w:rtl/>
        </w:rPr>
        <w:t>القيود</w:t>
      </w:r>
      <w:r>
        <w:rPr>
          <w:rtl/>
        </w:rPr>
        <w:t xml:space="preserve"> </w:t>
      </w:r>
      <w:r w:rsidRPr="00885E11">
        <w:rPr>
          <w:rtl/>
        </w:rPr>
        <w:t>المفروضة</w:t>
      </w:r>
      <w:r>
        <w:rPr>
          <w:rtl/>
        </w:rPr>
        <w:t xml:space="preserve"> </w:t>
      </w:r>
      <w:r w:rsidRPr="00885E11">
        <w:rPr>
          <w:rtl/>
        </w:rPr>
        <w:t>في</w:t>
      </w:r>
      <w:r>
        <w:rPr>
          <w:rtl/>
        </w:rPr>
        <w:t xml:space="preserve"> </w:t>
      </w:r>
      <w:r w:rsidRPr="00885E11">
        <w:rPr>
          <w:rtl/>
        </w:rPr>
        <w:t>سياق</w:t>
      </w:r>
      <w:r>
        <w:rPr>
          <w:rtl/>
        </w:rPr>
        <w:t xml:space="preserve"> </w:t>
      </w:r>
      <w:r w:rsidRPr="00885E11">
        <w:rPr>
          <w:rtl/>
        </w:rPr>
        <w:t>جائحة</w:t>
      </w:r>
      <w:r>
        <w:rPr>
          <w:rtl/>
        </w:rPr>
        <w:t xml:space="preserve"> </w:t>
      </w:r>
      <w:r w:rsidRPr="00885E11">
        <w:rPr>
          <w:rtl/>
        </w:rPr>
        <w:t>مرض</w:t>
      </w:r>
      <w:r>
        <w:rPr>
          <w:rtl/>
        </w:rPr>
        <w:t xml:space="preserve"> </w:t>
      </w:r>
      <w:r w:rsidRPr="00885E11">
        <w:rPr>
          <w:rtl/>
        </w:rPr>
        <w:t>فيروس</w:t>
      </w:r>
      <w:r>
        <w:rPr>
          <w:rtl/>
        </w:rPr>
        <w:t xml:space="preserve"> </w:t>
      </w:r>
      <w:r w:rsidRPr="00885E11">
        <w:rPr>
          <w:rtl/>
        </w:rPr>
        <w:t>كورونا</w:t>
      </w:r>
      <w:r>
        <w:rPr>
          <w:rtl/>
        </w:rPr>
        <w:t xml:space="preserve"> </w:t>
      </w:r>
      <w:r w:rsidRPr="00885E11">
        <w:rPr>
          <w:rtl/>
        </w:rPr>
        <w:t>(كوفيد-</w:t>
      </w:r>
      <w:r w:rsidRPr="00846FFB">
        <w:rPr>
          <w:rtl/>
        </w:rPr>
        <w:t>19</w:t>
      </w:r>
      <w:r w:rsidRPr="00885E11">
        <w:rPr>
          <w:rtl/>
        </w:rPr>
        <w:t>).</w:t>
      </w:r>
      <w:r>
        <w:rPr>
          <w:rtl/>
        </w:rPr>
        <w:t xml:space="preserve"> </w:t>
      </w:r>
      <w:r w:rsidRPr="00885E11">
        <w:rPr>
          <w:rtl/>
        </w:rPr>
        <w:t>واعتمدت</w:t>
      </w:r>
      <w:r>
        <w:rPr>
          <w:rtl/>
        </w:rPr>
        <w:t xml:space="preserve"> </w:t>
      </w:r>
      <w:r w:rsidRPr="00885E11">
        <w:rPr>
          <w:rtl/>
        </w:rPr>
        <w:t>هذه</w:t>
      </w:r>
      <w:r>
        <w:rPr>
          <w:rtl/>
        </w:rPr>
        <w:t xml:space="preserve"> </w:t>
      </w:r>
      <w:r w:rsidRPr="00885E11">
        <w:rPr>
          <w:rtl/>
        </w:rPr>
        <w:t>الملاحظات</w:t>
      </w:r>
      <w:r>
        <w:rPr>
          <w:rtl/>
        </w:rPr>
        <w:t xml:space="preserve"> </w:t>
      </w:r>
      <w:r w:rsidRPr="00885E11">
        <w:rPr>
          <w:rtl/>
        </w:rPr>
        <w:t>الختامية</w:t>
      </w:r>
      <w:r>
        <w:rPr>
          <w:rtl/>
        </w:rPr>
        <w:t xml:space="preserve"> </w:t>
      </w:r>
      <w:r w:rsidRPr="00885E11">
        <w:rPr>
          <w:rtl/>
        </w:rPr>
        <w:t>في</w:t>
      </w:r>
      <w:r>
        <w:rPr>
          <w:rtl/>
        </w:rPr>
        <w:t xml:space="preserve"> </w:t>
      </w:r>
      <w:r w:rsidRPr="00885E11">
        <w:rPr>
          <w:rtl/>
        </w:rPr>
        <w:t>جلستها</w:t>
      </w:r>
      <w:r>
        <w:rPr>
          <w:rtl/>
        </w:rPr>
        <w:t xml:space="preserve"> </w:t>
      </w:r>
      <w:r w:rsidRPr="00846FFB">
        <w:rPr>
          <w:rtl/>
        </w:rPr>
        <w:t>3870</w:t>
      </w:r>
      <w:r w:rsidR="005D7864">
        <w:rPr>
          <w:rtl/>
        </w:rPr>
        <w:t>،</w:t>
      </w:r>
      <w:r>
        <w:rPr>
          <w:rtl/>
        </w:rPr>
        <w:t xml:space="preserve"> </w:t>
      </w:r>
      <w:r w:rsidRPr="00885E11">
        <w:rPr>
          <w:rtl/>
        </w:rPr>
        <w:t>المعقودة</w:t>
      </w:r>
      <w:r>
        <w:rPr>
          <w:rtl/>
        </w:rPr>
        <w:t xml:space="preserve"> </w:t>
      </w:r>
      <w:r w:rsidRPr="00885E11">
        <w:rPr>
          <w:rtl/>
        </w:rPr>
        <w:t>في</w:t>
      </w:r>
      <w:r>
        <w:rPr>
          <w:rtl/>
        </w:rPr>
        <w:t xml:space="preserve"> </w:t>
      </w:r>
      <w:r w:rsidRPr="00846FFB">
        <w:rPr>
          <w:rtl/>
        </w:rPr>
        <w:t>23</w:t>
      </w:r>
      <w:r>
        <w:rPr>
          <w:rtl/>
        </w:rPr>
        <w:t xml:space="preserve"> </w:t>
      </w:r>
      <w:r w:rsidRPr="00885E11">
        <w:rPr>
          <w:rtl/>
        </w:rPr>
        <w:t>آذار/مارس</w:t>
      </w:r>
      <w:r>
        <w:rPr>
          <w:rtl/>
        </w:rPr>
        <w:t xml:space="preserve"> </w:t>
      </w:r>
      <w:r w:rsidRPr="00846FFB">
        <w:rPr>
          <w:rtl/>
        </w:rPr>
        <w:t>2022</w:t>
      </w:r>
      <w:r w:rsidRPr="00885E11">
        <w:rPr>
          <w:rtl/>
        </w:rPr>
        <w:t>.</w:t>
      </w:r>
    </w:p>
    <w:p w14:paraId="5670FC6B" w14:textId="70BB2ECE" w:rsidR="00885E11" w:rsidRPr="00846FFB" w:rsidRDefault="00885E11" w:rsidP="00885E11">
      <w:pPr>
        <w:pStyle w:val="H1GA"/>
      </w:pPr>
      <w:r w:rsidRPr="00846FFB">
        <w:rPr>
          <w:rtl/>
        </w:rPr>
        <w:tab/>
        <w:t>ألف-</w:t>
      </w:r>
      <w:r w:rsidRPr="00846FFB">
        <w:rPr>
          <w:rtl/>
        </w:rPr>
        <w:tab/>
        <w:t>مقدمة</w:t>
      </w:r>
    </w:p>
    <w:p w14:paraId="479084AA" w14:textId="36EF6EFE" w:rsidR="00885E11" w:rsidRPr="00885E11" w:rsidRDefault="00885E11" w:rsidP="00885E11">
      <w:pPr>
        <w:pStyle w:val="SingleTxtGA"/>
      </w:pPr>
      <w:r w:rsidRPr="00846FFB">
        <w:rPr>
          <w:rtl/>
        </w:rPr>
        <w:t>2</w:t>
      </w:r>
      <w:r w:rsidRPr="007B0599">
        <w:rPr>
          <w:rtl/>
        </w:rPr>
        <w:t>-</w:t>
      </w:r>
      <w:r w:rsidRPr="007B0599">
        <w:rPr>
          <w:rtl/>
        </w:rPr>
        <w:tab/>
      </w:r>
      <w:r w:rsidRPr="00885E11">
        <w:rPr>
          <w:rtl/>
        </w:rPr>
        <w:t>ترحب</w:t>
      </w:r>
      <w:r>
        <w:rPr>
          <w:rtl/>
        </w:rPr>
        <w:t xml:space="preserve"> </w:t>
      </w:r>
      <w:r w:rsidRPr="00885E11">
        <w:rPr>
          <w:rtl/>
        </w:rPr>
        <w:t>اللجنة</w:t>
      </w:r>
      <w:r>
        <w:rPr>
          <w:rtl/>
        </w:rPr>
        <w:t xml:space="preserve"> </w:t>
      </w:r>
      <w:r w:rsidRPr="00885E11">
        <w:rPr>
          <w:rtl/>
        </w:rPr>
        <w:t>بتقديم</w:t>
      </w:r>
      <w:r>
        <w:rPr>
          <w:rtl/>
        </w:rPr>
        <w:t xml:space="preserve"> </w:t>
      </w:r>
      <w:r w:rsidRPr="00885E11">
        <w:rPr>
          <w:rtl/>
        </w:rPr>
        <w:t>العراق</w:t>
      </w:r>
      <w:r>
        <w:rPr>
          <w:rtl/>
        </w:rPr>
        <w:t xml:space="preserve"> </w:t>
      </w:r>
      <w:r w:rsidRPr="00885E11">
        <w:rPr>
          <w:rtl/>
        </w:rPr>
        <w:t>تقريره</w:t>
      </w:r>
      <w:r>
        <w:rPr>
          <w:rtl/>
        </w:rPr>
        <w:t xml:space="preserve"> </w:t>
      </w:r>
      <w:r w:rsidRPr="00885E11">
        <w:rPr>
          <w:rtl/>
        </w:rPr>
        <w:t>الدوري</w:t>
      </w:r>
      <w:r>
        <w:rPr>
          <w:rtl/>
        </w:rPr>
        <w:t xml:space="preserve"> </w:t>
      </w:r>
      <w:r w:rsidRPr="00885E11">
        <w:rPr>
          <w:rtl/>
        </w:rPr>
        <w:t>السادس</w:t>
      </w:r>
      <w:r>
        <w:rPr>
          <w:rtl/>
        </w:rPr>
        <w:t xml:space="preserve"> </w:t>
      </w:r>
      <w:r w:rsidRPr="00885E11">
        <w:rPr>
          <w:rtl/>
        </w:rPr>
        <w:t>وبالمعلومات</w:t>
      </w:r>
      <w:r>
        <w:rPr>
          <w:rtl/>
        </w:rPr>
        <w:t xml:space="preserve"> </w:t>
      </w:r>
      <w:r w:rsidRPr="00885E11">
        <w:rPr>
          <w:rtl/>
        </w:rPr>
        <w:t>الواردة</w:t>
      </w:r>
      <w:r>
        <w:rPr>
          <w:rtl/>
        </w:rPr>
        <w:t xml:space="preserve"> </w:t>
      </w:r>
      <w:r w:rsidRPr="00885E11">
        <w:rPr>
          <w:rtl/>
        </w:rPr>
        <w:t>فيه.</w:t>
      </w:r>
      <w:r>
        <w:rPr>
          <w:rtl/>
        </w:rPr>
        <w:t xml:space="preserve"> </w:t>
      </w:r>
      <w:r w:rsidRPr="00885E11">
        <w:rPr>
          <w:rtl/>
        </w:rPr>
        <w:t>وتعرب</w:t>
      </w:r>
      <w:r>
        <w:rPr>
          <w:rtl/>
        </w:rPr>
        <w:t xml:space="preserve"> </w:t>
      </w:r>
      <w:r w:rsidRPr="00885E11">
        <w:rPr>
          <w:rtl/>
        </w:rPr>
        <w:t>اللجنة</w:t>
      </w:r>
      <w:r>
        <w:rPr>
          <w:rtl/>
        </w:rPr>
        <w:t xml:space="preserve"> </w:t>
      </w:r>
      <w:r w:rsidRPr="00885E11">
        <w:rPr>
          <w:rtl/>
        </w:rPr>
        <w:t>عن</w:t>
      </w:r>
      <w:r>
        <w:rPr>
          <w:rtl/>
        </w:rPr>
        <w:t xml:space="preserve"> </w:t>
      </w:r>
      <w:r w:rsidRPr="00885E11">
        <w:rPr>
          <w:rtl/>
        </w:rPr>
        <w:t>تقديرها</w:t>
      </w:r>
      <w:r>
        <w:rPr>
          <w:rtl/>
        </w:rPr>
        <w:t xml:space="preserve"> </w:t>
      </w:r>
      <w:r w:rsidRPr="00885E11">
        <w:rPr>
          <w:rtl/>
        </w:rPr>
        <w:t>للفرصة</w:t>
      </w:r>
      <w:r>
        <w:rPr>
          <w:rtl/>
        </w:rPr>
        <w:t xml:space="preserve"> </w:t>
      </w:r>
      <w:r w:rsidRPr="00885E11">
        <w:rPr>
          <w:rtl/>
        </w:rPr>
        <w:t>التي</w:t>
      </w:r>
      <w:r>
        <w:rPr>
          <w:rtl/>
        </w:rPr>
        <w:t xml:space="preserve"> </w:t>
      </w:r>
      <w:r w:rsidRPr="00885E11">
        <w:rPr>
          <w:rtl/>
        </w:rPr>
        <w:t>أُتيحت</w:t>
      </w:r>
      <w:r>
        <w:rPr>
          <w:rtl/>
        </w:rPr>
        <w:t xml:space="preserve"> </w:t>
      </w:r>
      <w:r w:rsidRPr="00885E11">
        <w:rPr>
          <w:rtl/>
        </w:rPr>
        <w:t>لها</w:t>
      </w:r>
      <w:r>
        <w:rPr>
          <w:rtl/>
        </w:rPr>
        <w:t xml:space="preserve"> </w:t>
      </w:r>
      <w:r w:rsidRPr="00885E11">
        <w:rPr>
          <w:rtl/>
        </w:rPr>
        <w:t>لتجديد</w:t>
      </w:r>
      <w:r>
        <w:rPr>
          <w:rtl/>
        </w:rPr>
        <w:t xml:space="preserve"> </w:t>
      </w:r>
      <w:r w:rsidRPr="00885E11">
        <w:rPr>
          <w:rtl/>
        </w:rPr>
        <w:t>حوارها</w:t>
      </w:r>
      <w:r>
        <w:rPr>
          <w:rtl/>
        </w:rPr>
        <w:t xml:space="preserve"> </w:t>
      </w:r>
      <w:r w:rsidRPr="00885E11">
        <w:rPr>
          <w:rtl/>
        </w:rPr>
        <w:t>البنَّاء</w:t>
      </w:r>
      <w:r>
        <w:rPr>
          <w:rtl/>
        </w:rPr>
        <w:t xml:space="preserve"> </w:t>
      </w:r>
      <w:r w:rsidRPr="00885E11">
        <w:rPr>
          <w:rtl/>
        </w:rPr>
        <w:t>مع</w:t>
      </w:r>
      <w:r>
        <w:rPr>
          <w:rtl/>
        </w:rPr>
        <w:t xml:space="preserve"> </w:t>
      </w:r>
      <w:r w:rsidRPr="00885E11">
        <w:rPr>
          <w:rtl/>
        </w:rPr>
        <w:t>وفد</w:t>
      </w:r>
      <w:r>
        <w:rPr>
          <w:rtl/>
        </w:rPr>
        <w:t xml:space="preserve"> </w:t>
      </w:r>
      <w:r w:rsidRPr="00885E11">
        <w:rPr>
          <w:rtl/>
        </w:rPr>
        <w:t>الدولة</w:t>
      </w:r>
      <w:r>
        <w:rPr>
          <w:rtl/>
        </w:rPr>
        <w:t xml:space="preserve"> </w:t>
      </w:r>
      <w:r w:rsidRPr="00885E11">
        <w:rPr>
          <w:rtl/>
        </w:rPr>
        <w:t>الطرف</w:t>
      </w:r>
      <w:r>
        <w:rPr>
          <w:rtl/>
        </w:rPr>
        <w:t xml:space="preserve"> </w:t>
      </w:r>
      <w:r w:rsidRPr="00885E11">
        <w:rPr>
          <w:rtl/>
        </w:rPr>
        <w:t>الرفيع</w:t>
      </w:r>
      <w:r>
        <w:rPr>
          <w:rtl/>
        </w:rPr>
        <w:t xml:space="preserve"> </w:t>
      </w:r>
      <w:r w:rsidRPr="00885E11">
        <w:rPr>
          <w:rtl/>
        </w:rPr>
        <w:t>المستوى</w:t>
      </w:r>
      <w:r>
        <w:rPr>
          <w:rtl/>
        </w:rPr>
        <w:t xml:space="preserve"> </w:t>
      </w:r>
      <w:r w:rsidRPr="00885E11">
        <w:rPr>
          <w:rtl/>
        </w:rPr>
        <w:t>بشأن</w:t>
      </w:r>
      <w:r>
        <w:rPr>
          <w:rtl/>
        </w:rPr>
        <w:t xml:space="preserve"> </w:t>
      </w:r>
      <w:r w:rsidRPr="00885E11">
        <w:rPr>
          <w:rtl/>
        </w:rPr>
        <w:t>التدابير</w:t>
      </w:r>
      <w:r>
        <w:rPr>
          <w:rtl/>
        </w:rPr>
        <w:t xml:space="preserve"> </w:t>
      </w:r>
      <w:r w:rsidRPr="00885E11">
        <w:rPr>
          <w:rtl/>
        </w:rPr>
        <w:t>التي</w:t>
      </w:r>
      <w:r>
        <w:rPr>
          <w:rtl/>
        </w:rPr>
        <w:t xml:space="preserve"> </w:t>
      </w:r>
      <w:r w:rsidRPr="00885E11">
        <w:rPr>
          <w:rtl/>
        </w:rPr>
        <w:t>اتخذتها</w:t>
      </w:r>
      <w:r>
        <w:rPr>
          <w:rtl/>
        </w:rPr>
        <w:t xml:space="preserve"> </w:t>
      </w:r>
      <w:r w:rsidRPr="00885E11">
        <w:rPr>
          <w:rtl/>
        </w:rPr>
        <w:t>الدولة</w:t>
      </w:r>
      <w:r>
        <w:rPr>
          <w:rtl/>
        </w:rPr>
        <w:t xml:space="preserve"> </w:t>
      </w:r>
      <w:r w:rsidRPr="00885E11">
        <w:rPr>
          <w:rtl/>
        </w:rPr>
        <w:t>الطرف</w:t>
      </w:r>
      <w:r>
        <w:rPr>
          <w:rtl/>
        </w:rPr>
        <w:t xml:space="preserve"> </w:t>
      </w:r>
      <w:r w:rsidRPr="00885E11">
        <w:rPr>
          <w:rtl/>
        </w:rPr>
        <w:t>خلال</w:t>
      </w:r>
      <w:r>
        <w:rPr>
          <w:rtl/>
        </w:rPr>
        <w:t xml:space="preserve"> </w:t>
      </w:r>
      <w:r w:rsidRPr="00885E11">
        <w:rPr>
          <w:rtl/>
        </w:rPr>
        <w:t>الفترة</w:t>
      </w:r>
      <w:r>
        <w:rPr>
          <w:rtl/>
        </w:rPr>
        <w:t xml:space="preserve"> </w:t>
      </w:r>
      <w:r w:rsidRPr="00885E11">
        <w:rPr>
          <w:rtl/>
        </w:rPr>
        <w:t>المشمولة</w:t>
      </w:r>
      <w:r>
        <w:rPr>
          <w:rtl/>
        </w:rPr>
        <w:t xml:space="preserve"> </w:t>
      </w:r>
      <w:r w:rsidRPr="00885E11">
        <w:rPr>
          <w:rtl/>
        </w:rPr>
        <w:t>بالتقرير</w:t>
      </w:r>
      <w:r>
        <w:rPr>
          <w:rtl/>
        </w:rPr>
        <w:t xml:space="preserve"> </w:t>
      </w:r>
      <w:r w:rsidRPr="00885E11">
        <w:rPr>
          <w:rtl/>
        </w:rPr>
        <w:t>لتنفيذ</w:t>
      </w:r>
      <w:r>
        <w:rPr>
          <w:rtl/>
        </w:rPr>
        <w:t xml:space="preserve"> </w:t>
      </w:r>
      <w:r w:rsidRPr="00885E11">
        <w:rPr>
          <w:rtl/>
        </w:rPr>
        <w:t>أحكام</w:t>
      </w:r>
      <w:r>
        <w:rPr>
          <w:rtl/>
        </w:rPr>
        <w:t xml:space="preserve"> </w:t>
      </w:r>
      <w:r w:rsidRPr="00885E11">
        <w:rPr>
          <w:rtl/>
        </w:rPr>
        <w:t>العهد.</w:t>
      </w:r>
      <w:r>
        <w:rPr>
          <w:rtl/>
        </w:rPr>
        <w:t xml:space="preserve"> </w:t>
      </w:r>
      <w:r w:rsidRPr="00885E11">
        <w:rPr>
          <w:rtl/>
        </w:rPr>
        <w:t>وتعرب</w:t>
      </w:r>
      <w:r>
        <w:rPr>
          <w:rtl/>
        </w:rPr>
        <w:t xml:space="preserve"> </w:t>
      </w:r>
      <w:r w:rsidRPr="00885E11">
        <w:rPr>
          <w:rtl/>
        </w:rPr>
        <w:t>اللجنة</w:t>
      </w:r>
      <w:r>
        <w:rPr>
          <w:rtl/>
        </w:rPr>
        <w:t xml:space="preserve"> </w:t>
      </w:r>
      <w:r w:rsidRPr="00885E11">
        <w:rPr>
          <w:rtl/>
        </w:rPr>
        <w:t>عن</w:t>
      </w:r>
      <w:r>
        <w:rPr>
          <w:rtl/>
        </w:rPr>
        <w:t xml:space="preserve"> </w:t>
      </w:r>
      <w:r w:rsidRPr="00885E11">
        <w:rPr>
          <w:rtl/>
        </w:rPr>
        <w:t>امتنانها</w:t>
      </w:r>
      <w:r>
        <w:rPr>
          <w:rtl/>
        </w:rPr>
        <w:t xml:space="preserve"> </w:t>
      </w:r>
      <w:r w:rsidRPr="00885E11">
        <w:rPr>
          <w:rtl/>
        </w:rPr>
        <w:t>للدولة</w:t>
      </w:r>
      <w:r>
        <w:rPr>
          <w:rtl/>
        </w:rPr>
        <w:t xml:space="preserve"> </w:t>
      </w:r>
      <w:r w:rsidRPr="00885E11">
        <w:rPr>
          <w:rtl/>
        </w:rPr>
        <w:t>الطرف</w:t>
      </w:r>
      <w:r>
        <w:rPr>
          <w:rtl/>
        </w:rPr>
        <w:t xml:space="preserve"> </w:t>
      </w:r>
      <w:r w:rsidRPr="00885E11">
        <w:rPr>
          <w:rtl/>
        </w:rPr>
        <w:t>لما</w:t>
      </w:r>
      <w:r>
        <w:rPr>
          <w:rtl/>
        </w:rPr>
        <w:t xml:space="preserve"> </w:t>
      </w:r>
      <w:r w:rsidRPr="00885E11">
        <w:rPr>
          <w:rtl/>
        </w:rPr>
        <w:t>قدمته</w:t>
      </w:r>
      <w:r>
        <w:rPr>
          <w:rtl/>
        </w:rPr>
        <w:t xml:space="preserve"> </w:t>
      </w:r>
      <w:r w:rsidRPr="00885E11">
        <w:rPr>
          <w:rtl/>
        </w:rPr>
        <w:t>من</w:t>
      </w:r>
      <w:r>
        <w:rPr>
          <w:rtl/>
        </w:rPr>
        <w:t xml:space="preserve"> </w:t>
      </w:r>
      <w:r w:rsidRPr="00885E11">
        <w:rPr>
          <w:rtl/>
        </w:rPr>
        <w:t>ردود</w:t>
      </w:r>
      <w:r>
        <w:rPr>
          <w:rtl/>
        </w:rPr>
        <w:t xml:space="preserve"> </w:t>
      </w:r>
      <w:r w:rsidRPr="00885E11">
        <w:rPr>
          <w:rtl/>
        </w:rPr>
        <w:t>كتابية</w:t>
      </w:r>
      <w:r w:rsidR="00E82A04" w:rsidRPr="00846FFB">
        <w:rPr>
          <w:vertAlign w:val="superscript"/>
          <w:rtl/>
        </w:rPr>
        <w:t>(</w:t>
      </w:r>
      <w:r w:rsidR="00E82A04" w:rsidRPr="00846FFB">
        <w:rPr>
          <w:vertAlign w:val="superscript"/>
          <w:lang w:val="en-US"/>
        </w:rPr>
        <w:footnoteReference w:id="4"/>
      </w:r>
      <w:r w:rsidR="00E82A04" w:rsidRPr="00846FFB">
        <w:rPr>
          <w:vertAlign w:val="superscript"/>
          <w:rtl/>
        </w:rPr>
        <w:t>)</w:t>
      </w:r>
      <w:r>
        <w:rPr>
          <w:rtl/>
        </w:rPr>
        <w:t xml:space="preserve"> </w:t>
      </w:r>
      <w:r w:rsidRPr="00885E11">
        <w:rPr>
          <w:rtl/>
        </w:rPr>
        <w:t>على</w:t>
      </w:r>
      <w:r>
        <w:rPr>
          <w:rtl/>
        </w:rPr>
        <w:t xml:space="preserve"> </w:t>
      </w:r>
      <w:r w:rsidRPr="00885E11">
        <w:rPr>
          <w:rtl/>
        </w:rPr>
        <w:t>قائمة</w:t>
      </w:r>
      <w:r>
        <w:rPr>
          <w:rtl/>
        </w:rPr>
        <w:t xml:space="preserve"> </w:t>
      </w:r>
      <w:r w:rsidRPr="00885E11">
        <w:rPr>
          <w:rtl/>
        </w:rPr>
        <w:t>المسائل</w:t>
      </w:r>
      <w:r w:rsidR="00E82A04" w:rsidRPr="00846FFB">
        <w:rPr>
          <w:vertAlign w:val="superscript"/>
          <w:rtl/>
        </w:rPr>
        <w:t>(</w:t>
      </w:r>
      <w:r w:rsidR="00E82A04" w:rsidRPr="00846FFB">
        <w:rPr>
          <w:vertAlign w:val="superscript"/>
          <w:lang w:val="en-US"/>
        </w:rPr>
        <w:footnoteReference w:id="5"/>
      </w:r>
      <w:r w:rsidR="00E82A04" w:rsidRPr="00846FFB">
        <w:rPr>
          <w:vertAlign w:val="superscript"/>
          <w:rtl/>
        </w:rPr>
        <w:t>)</w:t>
      </w:r>
      <w:r w:rsidR="005D7864">
        <w:rPr>
          <w:rtl/>
        </w:rPr>
        <w:t>،</w:t>
      </w:r>
      <w:r>
        <w:rPr>
          <w:rtl/>
        </w:rPr>
        <w:t xml:space="preserve"> </w:t>
      </w:r>
      <w:r w:rsidRPr="00885E11">
        <w:rPr>
          <w:rtl/>
        </w:rPr>
        <w:t>التي</w:t>
      </w:r>
      <w:r>
        <w:rPr>
          <w:rtl/>
        </w:rPr>
        <w:t xml:space="preserve"> </w:t>
      </w:r>
      <w:r w:rsidRPr="00885E11">
        <w:rPr>
          <w:rtl/>
        </w:rPr>
        <w:t>استُكملت</w:t>
      </w:r>
      <w:r>
        <w:rPr>
          <w:rtl/>
        </w:rPr>
        <w:t xml:space="preserve"> </w:t>
      </w:r>
      <w:r w:rsidRPr="00885E11">
        <w:rPr>
          <w:rtl/>
        </w:rPr>
        <w:t>بالردود</w:t>
      </w:r>
      <w:r>
        <w:rPr>
          <w:rtl/>
        </w:rPr>
        <w:t xml:space="preserve"> </w:t>
      </w:r>
      <w:r w:rsidRPr="00885E11">
        <w:rPr>
          <w:rtl/>
        </w:rPr>
        <w:t>الشفوية</w:t>
      </w:r>
      <w:r>
        <w:rPr>
          <w:rtl/>
        </w:rPr>
        <w:t xml:space="preserve"> </w:t>
      </w:r>
      <w:r w:rsidRPr="00885E11">
        <w:rPr>
          <w:rtl/>
        </w:rPr>
        <w:t>التي</w:t>
      </w:r>
      <w:r>
        <w:rPr>
          <w:rtl/>
        </w:rPr>
        <w:t xml:space="preserve"> </w:t>
      </w:r>
      <w:r w:rsidRPr="00885E11">
        <w:rPr>
          <w:rtl/>
        </w:rPr>
        <w:t>قدمها</w:t>
      </w:r>
      <w:r>
        <w:rPr>
          <w:rtl/>
        </w:rPr>
        <w:t xml:space="preserve"> </w:t>
      </w:r>
      <w:r w:rsidRPr="00885E11">
        <w:rPr>
          <w:rtl/>
        </w:rPr>
        <w:t>الوفد</w:t>
      </w:r>
      <w:r>
        <w:rPr>
          <w:rtl/>
        </w:rPr>
        <w:t xml:space="preserve"> </w:t>
      </w:r>
      <w:r w:rsidRPr="00885E11">
        <w:rPr>
          <w:rtl/>
        </w:rPr>
        <w:t>أثناء</w:t>
      </w:r>
      <w:r>
        <w:rPr>
          <w:rtl/>
        </w:rPr>
        <w:t xml:space="preserve"> </w:t>
      </w:r>
      <w:r w:rsidRPr="00885E11">
        <w:rPr>
          <w:rtl/>
        </w:rPr>
        <w:t>الحوار</w:t>
      </w:r>
      <w:r w:rsidR="005D7864">
        <w:rPr>
          <w:rtl/>
        </w:rPr>
        <w:t>،</w:t>
      </w:r>
      <w:r>
        <w:rPr>
          <w:rtl/>
        </w:rPr>
        <w:t xml:space="preserve"> </w:t>
      </w:r>
      <w:r w:rsidRPr="00885E11">
        <w:rPr>
          <w:rtl/>
        </w:rPr>
        <w:t>وللمعلومات</w:t>
      </w:r>
      <w:r>
        <w:rPr>
          <w:rtl/>
        </w:rPr>
        <w:t xml:space="preserve"> </w:t>
      </w:r>
      <w:r w:rsidRPr="00885E11">
        <w:rPr>
          <w:rtl/>
        </w:rPr>
        <w:t>التكميلية</w:t>
      </w:r>
      <w:r>
        <w:rPr>
          <w:rtl/>
        </w:rPr>
        <w:t xml:space="preserve"> </w:t>
      </w:r>
      <w:r w:rsidRPr="00885E11">
        <w:rPr>
          <w:rtl/>
        </w:rPr>
        <w:t>المقدمة</w:t>
      </w:r>
      <w:r>
        <w:rPr>
          <w:rtl/>
        </w:rPr>
        <w:t xml:space="preserve"> </w:t>
      </w:r>
      <w:r w:rsidRPr="00885E11">
        <w:rPr>
          <w:rtl/>
        </w:rPr>
        <w:t>إليها</w:t>
      </w:r>
      <w:r>
        <w:rPr>
          <w:rtl/>
        </w:rPr>
        <w:t xml:space="preserve"> </w:t>
      </w:r>
      <w:r w:rsidRPr="00885E11">
        <w:rPr>
          <w:rtl/>
        </w:rPr>
        <w:t>كتابةً.</w:t>
      </w:r>
    </w:p>
    <w:p w14:paraId="0E3E47E6" w14:textId="00B6F5E0" w:rsidR="00885E11" w:rsidRPr="00846FFB" w:rsidRDefault="00885E11" w:rsidP="00885E11">
      <w:pPr>
        <w:pStyle w:val="H1GA"/>
      </w:pPr>
      <w:r w:rsidRPr="00846FFB">
        <w:rPr>
          <w:rtl/>
        </w:rPr>
        <w:tab/>
        <w:t>باء-</w:t>
      </w:r>
      <w:r w:rsidRPr="00846FFB">
        <w:rPr>
          <w:rtl/>
        </w:rPr>
        <w:tab/>
        <w:t>الجوانب الإيجابية</w:t>
      </w:r>
    </w:p>
    <w:p w14:paraId="065909BE" w14:textId="078C1EA0" w:rsidR="00885E11" w:rsidRPr="00885E11" w:rsidRDefault="00885E11" w:rsidP="00885E11">
      <w:pPr>
        <w:pStyle w:val="SingleTxtGA"/>
      </w:pPr>
      <w:r w:rsidRPr="00846FFB">
        <w:rPr>
          <w:rtl/>
        </w:rPr>
        <w:t>3</w:t>
      </w:r>
      <w:r w:rsidRPr="007B0599">
        <w:rPr>
          <w:rtl/>
        </w:rPr>
        <w:t>-</w:t>
      </w:r>
      <w:r w:rsidRPr="007B0599">
        <w:rPr>
          <w:rtl/>
        </w:rPr>
        <w:tab/>
      </w:r>
      <w:r w:rsidRPr="00885E11">
        <w:rPr>
          <w:rtl/>
        </w:rPr>
        <w:t>ترحّب</w:t>
      </w:r>
      <w:r>
        <w:rPr>
          <w:rtl/>
        </w:rPr>
        <w:t xml:space="preserve"> </w:t>
      </w:r>
      <w:r w:rsidRPr="00885E11">
        <w:rPr>
          <w:rtl/>
        </w:rPr>
        <w:t>اللجنة</w:t>
      </w:r>
      <w:r>
        <w:rPr>
          <w:rtl/>
        </w:rPr>
        <w:t xml:space="preserve"> </w:t>
      </w:r>
      <w:r w:rsidRPr="00885E11">
        <w:rPr>
          <w:rtl/>
        </w:rPr>
        <w:t>باعتماد</w:t>
      </w:r>
      <w:r>
        <w:rPr>
          <w:rtl/>
        </w:rPr>
        <w:t xml:space="preserve"> </w:t>
      </w:r>
      <w:r w:rsidRPr="00885E11">
        <w:rPr>
          <w:rtl/>
        </w:rPr>
        <w:t>الدولة</w:t>
      </w:r>
      <w:r>
        <w:rPr>
          <w:rtl/>
        </w:rPr>
        <w:t xml:space="preserve"> </w:t>
      </w:r>
      <w:r w:rsidRPr="00885E11">
        <w:rPr>
          <w:rtl/>
        </w:rPr>
        <w:t>الطرف</w:t>
      </w:r>
      <w:r>
        <w:rPr>
          <w:rtl/>
        </w:rPr>
        <w:t xml:space="preserve"> </w:t>
      </w:r>
      <w:r w:rsidRPr="00885E11">
        <w:rPr>
          <w:rtl/>
        </w:rPr>
        <w:t>التدابير</w:t>
      </w:r>
      <w:r>
        <w:rPr>
          <w:rtl/>
        </w:rPr>
        <w:t xml:space="preserve"> </w:t>
      </w:r>
      <w:r w:rsidRPr="00885E11">
        <w:rPr>
          <w:rtl/>
        </w:rPr>
        <w:t>التشريعية</w:t>
      </w:r>
      <w:r>
        <w:rPr>
          <w:rtl/>
        </w:rPr>
        <w:t xml:space="preserve"> </w:t>
      </w:r>
      <w:r w:rsidRPr="00885E11">
        <w:rPr>
          <w:rtl/>
        </w:rPr>
        <w:t>والمؤسسية</w:t>
      </w:r>
      <w:r>
        <w:rPr>
          <w:rtl/>
        </w:rPr>
        <w:t xml:space="preserve"> </w:t>
      </w:r>
      <w:r w:rsidRPr="00885E11">
        <w:rPr>
          <w:rtl/>
        </w:rPr>
        <w:t>التالية:</w:t>
      </w:r>
    </w:p>
    <w:p w14:paraId="20D76091" w14:textId="3F7C7AD8" w:rsidR="00885E11" w:rsidRPr="00885E11" w:rsidRDefault="00885E11" w:rsidP="00885E11">
      <w:pPr>
        <w:pStyle w:val="SingleTxtGA"/>
      </w:pPr>
      <w:r w:rsidRPr="007B0599">
        <w:rPr>
          <w:rtl/>
        </w:rPr>
        <w:tab/>
        <w:t>(أ)</w:t>
      </w:r>
      <w:r w:rsidRPr="007B0599">
        <w:rPr>
          <w:rtl/>
        </w:rPr>
        <w:tab/>
      </w:r>
      <w:r w:rsidRPr="00885E11">
        <w:rPr>
          <w:rtl/>
        </w:rPr>
        <w:t>اعتماد</w:t>
      </w:r>
      <w:r>
        <w:rPr>
          <w:rtl/>
        </w:rPr>
        <w:t xml:space="preserve"> </w:t>
      </w:r>
      <w:r w:rsidRPr="00885E11">
        <w:rPr>
          <w:rtl/>
        </w:rPr>
        <w:t>الخطة</w:t>
      </w:r>
      <w:r>
        <w:rPr>
          <w:rtl/>
        </w:rPr>
        <w:t xml:space="preserve"> </w:t>
      </w:r>
      <w:r w:rsidRPr="00885E11">
        <w:rPr>
          <w:rtl/>
        </w:rPr>
        <w:t>الوطنية</w:t>
      </w:r>
      <w:r>
        <w:rPr>
          <w:rtl/>
        </w:rPr>
        <w:t xml:space="preserve"> </w:t>
      </w:r>
      <w:r w:rsidRPr="00885E11">
        <w:rPr>
          <w:rtl/>
        </w:rPr>
        <w:t>لحقوق</w:t>
      </w:r>
      <w:r>
        <w:rPr>
          <w:rtl/>
        </w:rPr>
        <w:t xml:space="preserve"> </w:t>
      </w:r>
      <w:r w:rsidRPr="00885E11">
        <w:rPr>
          <w:rtl/>
        </w:rPr>
        <w:t>الإنسان</w:t>
      </w:r>
      <w:r>
        <w:rPr>
          <w:rtl/>
        </w:rPr>
        <w:t xml:space="preserve"> </w:t>
      </w:r>
      <w:r w:rsidRPr="00885E11">
        <w:rPr>
          <w:rtl/>
        </w:rPr>
        <w:t>للفترة</w:t>
      </w:r>
      <w:r>
        <w:rPr>
          <w:rtl/>
        </w:rPr>
        <w:t xml:space="preserve"> </w:t>
      </w:r>
      <w:r w:rsidRPr="00846FFB">
        <w:rPr>
          <w:rtl/>
        </w:rPr>
        <w:t>2021</w:t>
      </w:r>
      <w:r w:rsidRPr="00885E11">
        <w:rPr>
          <w:rtl/>
        </w:rPr>
        <w:t>-</w:t>
      </w:r>
      <w:r w:rsidRPr="00846FFB">
        <w:rPr>
          <w:rtl/>
        </w:rPr>
        <w:t>2025</w:t>
      </w:r>
      <w:r>
        <w:rPr>
          <w:rtl/>
        </w:rPr>
        <w:t xml:space="preserve"> </w:t>
      </w:r>
      <w:r w:rsidRPr="00885E11">
        <w:rPr>
          <w:rtl/>
        </w:rPr>
        <w:t>في</w:t>
      </w:r>
      <w:r>
        <w:rPr>
          <w:rtl/>
        </w:rPr>
        <w:t xml:space="preserve"> </w:t>
      </w:r>
      <w:r w:rsidRPr="00885E11">
        <w:rPr>
          <w:rtl/>
        </w:rPr>
        <w:t>تموز/يوليه</w:t>
      </w:r>
      <w:r>
        <w:rPr>
          <w:rtl/>
        </w:rPr>
        <w:t xml:space="preserve"> </w:t>
      </w:r>
      <w:r w:rsidRPr="00846FFB">
        <w:rPr>
          <w:rtl/>
        </w:rPr>
        <w:t>2021</w:t>
      </w:r>
      <w:r w:rsidRPr="00885E11">
        <w:rPr>
          <w:rtl/>
        </w:rPr>
        <w:t>؛</w:t>
      </w:r>
    </w:p>
    <w:p w14:paraId="01A06A67" w14:textId="0B36AE7D" w:rsidR="00885E11" w:rsidRPr="00885E11" w:rsidRDefault="00885E11" w:rsidP="00885E11">
      <w:pPr>
        <w:pStyle w:val="SingleTxtGA"/>
      </w:pPr>
      <w:r w:rsidRPr="007B0599">
        <w:rPr>
          <w:rtl/>
        </w:rPr>
        <w:tab/>
        <w:t>(ب)</w:t>
      </w:r>
      <w:r w:rsidRPr="007B0599">
        <w:rPr>
          <w:rtl/>
        </w:rPr>
        <w:tab/>
      </w:r>
      <w:r w:rsidRPr="00885E11">
        <w:rPr>
          <w:rtl/>
        </w:rPr>
        <w:t>اعتماد</w:t>
      </w:r>
      <w:r>
        <w:rPr>
          <w:rtl/>
        </w:rPr>
        <w:t xml:space="preserve"> </w:t>
      </w:r>
      <w:r w:rsidRPr="00885E11">
        <w:rPr>
          <w:rtl/>
        </w:rPr>
        <w:t>قانون</w:t>
      </w:r>
      <w:r>
        <w:rPr>
          <w:rtl/>
        </w:rPr>
        <w:t xml:space="preserve"> </w:t>
      </w:r>
      <w:r w:rsidRPr="00885E11">
        <w:rPr>
          <w:rtl/>
        </w:rPr>
        <w:t>الناجيات</w:t>
      </w:r>
      <w:r>
        <w:rPr>
          <w:rtl/>
        </w:rPr>
        <w:t xml:space="preserve"> </w:t>
      </w:r>
      <w:proofErr w:type="spellStart"/>
      <w:r w:rsidRPr="00885E11">
        <w:rPr>
          <w:rtl/>
        </w:rPr>
        <w:t>الأيزيديات</w:t>
      </w:r>
      <w:proofErr w:type="spellEnd"/>
      <w:r>
        <w:rPr>
          <w:rtl/>
        </w:rPr>
        <w:t xml:space="preserve"> </w:t>
      </w:r>
      <w:r w:rsidRPr="00885E11">
        <w:rPr>
          <w:rtl/>
        </w:rPr>
        <w:t>في</w:t>
      </w:r>
      <w:r>
        <w:rPr>
          <w:rtl/>
        </w:rPr>
        <w:t xml:space="preserve"> </w:t>
      </w:r>
      <w:r w:rsidRPr="00885E11">
        <w:rPr>
          <w:rtl/>
        </w:rPr>
        <w:t>آذار/مارس</w:t>
      </w:r>
      <w:r>
        <w:rPr>
          <w:rtl/>
        </w:rPr>
        <w:t xml:space="preserve"> </w:t>
      </w:r>
      <w:r w:rsidRPr="00846FFB">
        <w:rPr>
          <w:rtl/>
        </w:rPr>
        <w:t>2021</w:t>
      </w:r>
      <w:r w:rsidRPr="00885E11">
        <w:rPr>
          <w:rtl/>
        </w:rPr>
        <w:t>؛</w:t>
      </w:r>
      <w:r>
        <w:rPr>
          <w:rtl/>
        </w:rPr>
        <w:t xml:space="preserve"> </w:t>
      </w:r>
    </w:p>
    <w:p w14:paraId="021EAF17" w14:textId="3576886B" w:rsidR="00885E11" w:rsidRPr="00885E11" w:rsidRDefault="00885E11" w:rsidP="00885E11">
      <w:pPr>
        <w:pStyle w:val="SingleTxtGA"/>
      </w:pPr>
      <w:r w:rsidRPr="007B0599">
        <w:rPr>
          <w:rtl/>
        </w:rPr>
        <w:tab/>
        <w:t>(ج)</w:t>
      </w:r>
      <w:r w:rsidRPr="007B0599">
        <w:rPr>
          <w:rtl/>
        </w:rPr>
        <w:tab/>
      </w:r>
      <w:r w:rsidRPr="00885E11">
        <w:rPr>
          <w:rtl/>
        </w:rPr>
        <w:t>إصدار</w:t>
      </w:r>
      <w:r>
        <w:rPr>
          <w:rtl/>
        </w:rPr>
        <w:t xml:space="preserve"> </w:t>
      </w:r>
      <w:r w:rsidRPr="00885E11">
        <w:rPr>
          <w:rtl/>
        </w:rPr>
        <w:t>الأمر</w:t>
      </w:r>
      <w:r>
        <w:rPr>
          <w:rtl/>
        </w:rPr>
        <w:t xml:space="preserve"> </w:t>
      </w:r>
      <w:r w:rsidRPr="00885E11">
        <w:rPr>
          <w:rtl/>
        </w:rPr>
        <w:t>الإداري</w:t>
      </w:r>
      <w:r>
        <w:rPr>
          <w:rtl/>
        </w:rPr>
        <w:t xml:space="preserve"> </w:t>
      </w:r>
      <w:r w:rsidRPr="00885E11">
        <w:rPr>
          <w:rtl/>
        </w:rPr>
        <w:t>رقم</w:t>
      </w:r>
      <w:r>
        <w:rPr>
          <w:rtl/>
        </w:rPr>
        <w:t xml:space="preserve"> </w:t>
      </w:r>
      <w:r w:rsidRPr="00846FFB">
        <w:rPr>
          <w:rtl/>
        </w:rPr>
        <w:t>29</w:t>
      </w:r>
      <w:r>
        <w:rPr>
          <w:rtl/>
        </w:rPr>
        <w:t xml:space="preserve"> </w:t>
      </w:r>
      <w:r w:rsidRPr="00885E11">
        <w:rPr>
          <w:rtl/>
        </w:rPr>
        <w:t>في</w:t>
      </w:r>
      <w:r>
        <w:rPr>
          <w:rtl/>
        </w:rPr>
        <w:t xml:space="preserve"> </w:t>
      </w:r>
      <w:r w:rsidRPr="00885E11">
        <w:rPr>
          <w:rtl/>
        </w:rPr>
        <w:t>عام</w:t>
      </w:r>
      <w:r>
        <w:rPr>
          <w:rtl/>
        </w:rPr>
        <w:t xml:space="preserve"> </w:t>
      </w:r>
      <w:r w:rsidRPr="00846FFB">
        <w:rPr>
          <w:rtl/>
        </w:rPr>
        <w:t>2020</w:t>
      </w:r>
      <w:r>
        <w:rPr>
          <w:rtl/>
        </w:rPr>
        <w:t xml:space="preserve"> </w:t>
      </w:r>
      <w:r w:rsidRPr="00885E11">
        <w:rPr>
          <w:rtl/>
        </w:rPr>
        <w:t>القاضي</w:t>
      </w:r>
      <w:r>
        <w:rPr>
          <w:rtl/>
        </w:rPr>
        <w:t xml:space="preserve"> </w:t>
      </w:r>
      <w:r w:rsidRPr="00885E11">
        <w:rPr>
          <w:rtl/>
        </w:rPr>
        <w:t>بإنشاء</w:t>
      </w:r>
      <w:r>
        <w:rPr>
          <w:rtl/>
        </w:rPr>
        <w:t xml:space="preserve"> </w:t>
      </w:r>
      <w:r w:rsidRPr="00885E11">
        <w:rPr>
          <w:rtl/>
        </w:rPr>
        <w:t>لجنة</w:t>
      </w:r>
      <w:r>
        <w:rPr>
          <w:rtl/>
        </w:rPr>
        <w:t xml:space="preserve"> </w:t>
      </w:r>
      <w:r w:rsidRPr="00885E11">
        <w:rPr>
          <w:rtl/>
        </w:rPr>
        <w:t>دائمة</w:t>
      </w:r>
      <w:r>
        <w:rPr>
          <w:rtl/>
        </w:rPr>
        <w:t xml:space="preserve"> </w:t>
      </w:r>
      <w:r w:rsidRPr="00885E11">
        <w:rPr>
          <w:rtl/>
        </w:rPr>
        <w:t>للتحقيق</w:t>
      </w:r>
      <w:r>
        <w:rPr>
          <w:rtl/>
        </w:rPr>
        <w:t xml:space="preserve"> </w:t>
      </w:r>
      <w:r w:rsidRPr="00885E11">
        <w:rPr>
          <w:rtl/>
        </w:rPr>
        <w:t>في</w:t>
      </w:r>
      <w:r>
        <w:rPr>
          <w:rtl/>
        </w:rPr>
        <w:t xml:space="preserve"> </w:t>
      </w:r>
      <w:r w:rsidRPr="00885E11">
        <w:rPr>
          <w:rtl/>
        </w:rPr>
        <w:t>قضايا</w:t>
      </w:r>
      <w:r>
        <w:rPr>
          <w:rtl/>
        </w:rPr>
        <w:t xml:space="preserve"> </w:t>
      </w:r>
      <w:r w:rsidRPr="00885E11">
        <w:rPr>
          <w:rtl/>
        </w:rPr>
        <w:t>الفساد</w:t>
      </w:r>
      <w:r>
        <w:rPr>
          <w:rtl/>
        </w:rPr>
        <w:t xml:space="preserve"> </w:t>
      </w:r>
      <w:r w:rsidRPr="00885E11">
        <w:rPr>
          <w:rtl/>
        </w:rPr>
        <w:t>الكبيرة</w:t>
      </w:r>
      <w:r w:rsidR="00DC17E8">
        <w:rPr>
          <w:rFonts w:hint="cs"/>
          <w:rtl/>
        </w:rPr>
        <w:t xml:space="preserve"> </w:t>
      </w:r>
      <w:r w:rsidRPr="00885E11">
        <w:rPr>
          <w:rtl/>
        </w:rPr>
        <w:t>والجرائم</w:t>
      </w:r>
      <w:r>
        <w:rPr>
          <w:rtl/>
        </w:rPr>
        <w:t xml:space="preserve"> </w:t>
      </w:r>
      <w:r w:rsidRPr="00885E11">
        <w:rPr>
          <w:rtl/>
        </w:rPr>
        <w:t>الهامة</w:t>
      </w:r>
      <w:r>
        <w:rPr>
          <w:rtl/>
        </w:rPr>
        <w:t xml:space="preserve"> </w:t>
      </w:r>
      <w:r w:rsidRPr="00885E11">
        <w:rPr>
          <w:rtl/>
        </w:rPr>
        <w:t>الأخرى</w:t>
      </w:r>
      <w:r w:rsidR="00972A49">
        <w:rPr>
          <w:rtl/>
        </w:rPr>
        <w:t>؛</w:t>
      </w:r>
    </w:p>
    <w:p w14:paraId="6E2FA546" w14:textId="045160C5" w:rsidR="00885E11" w:rsidRPr="00885E11" w:rsidRDefault="00885E11" w:rsidP="00885E11">
      <w:pPr>
        <w:pStyle w:val="SingleTxtGA"/>
      </w:pPr>
      <w:r w:rsidRPr="007B0599">
        <w:rPr>
          <w:rtl/>
        </w:rPr>
        <w:tab/>
        <w:t>(د)</w:t>
      </w:r>
      <w:r w:rsidRPr="007B0599">
        <w:rPr>
          <w:rtl/>
        </w:rPr>
        <w:tab/>
      </w:r>
      <w:r w:rsidRPr="00885E11">
        <w:rPr>
          <w:rtl/>
        </w:rPr>
        <w:t>اعتماد</w:t>
      </w:r>
      <w:r>
        <w:rPr>
          <w:rtl/>
        </w:rPr>
        <w:t xml:space="preserve"> </w:t>
      </w:r>
      <w:r w:rsidRPr="00885E11">
        <w:rPr>
          <w:rtl/>
        </w:rPr>
        <w:t>القانون</w:t>
      </w:r>
      <w:r>
        <w:rPr>
          <w:rtl/>
        </w:rPr>
        <w:t xml:space="preserve"> </w:t>
      </w:r>
      <w:r w:rsidRPr="00885E11">
        <w:rPr>
          <w:rtl/>
        </w:rPr>
        <w:t>رقم</w:t>
      </w:r>
      <w:r>
        <w:rPr>
          <w:rtl/>
        </w:rPr>
        <w:t xml:space="preserve"> </w:t>
      </w:r>
      <w:r w:rsidRPr="00885E11">
        <w:rPr>
          <w:rtl/>
        </w:rPr>
        <w:t>(</w:t>
      </w:r>
      <w:r w:rsidRPr="00846FFB">
        <w:rPr>
          <w:rtl/>
        </w:rPr>
        <w:t>31</w:t>
      </w:r>
      <w:r w:rsidRPr="00885E11">
        <w:rPr>
          <w:rtl/>
        </w:rPr>
        <w:t>)</w:t>
      </w:r>
      <w:r>
        <w:rPr>
          <w:rtl/>
        </w:rPr>
        <w:t xml:space="preserve"> </w:t>
      </w:r>
      <w:r w:rsidRPr="00885E11">
        <w:rPr>
          <w:rtl/>
        </w:rPr>
        <w:t>لسنة</w:t>
      </w:r>
      <w:r>
        <w:rPr>
          <w:rtl/>
        </w:rPr>
        <w:t xml:space="preserve"> </w:t>
      </w:r>
      <w:r w:rsidRPr="00846FFB">
        <w:rPr>
          <w:rtl/>
        </w:rPr>
        <w:t>2019</w:t>
      </w:r>
      <w:r>
        <w:rPr>
          <w:rtl/>
        </w:rPr>
        <w:t xml:space="preserve"> </w:t>
      </w:r>
      <w:r w:rsidRPr="00885E11">
        <w:rPr>
          <w:rtl/>
        </w:rPr>
        <w:t>بشأن</w:t>
      </w:r>
      <w:r>
        <w:rPr>
          <w:rtl/>
        </w:rPr>
        <w:t xml:space="preserve"> </w:t>
      </w:r>
      <w:r w:rsidRPr="00885E11">
        <w:rPr>
          <w:rtl/>
        </w:rPr>
        <w:t>المفوضية</w:t>
      </w:r>
      <w:r>
        <w:rPr>
          <w:rtl/>
        </w:rPr>
        <w:t xml:space="preserve"> </w:t>
      </w:r>
      <w:r w:rsidRPr="00885E11">
        <w:rPr>
          <w:rtl/>
        </w:rPr>
        <w:t>العليا</w:t>
      </w:r>
      <w:r>
        <w:rPr>
          <w:rtl/>
        </w:rPr>
        <w:t xml:space="preserve"> </w:t>
      </w:r>
      <w:r w:rsidRPr="00885E11">
        <w:rPr>
          <w:rtl/>
        </w:rPr>
        <w:t>للانتخابات</w:t>
      </w:r>
      <w:r w:rsidR="005D7864">
        <w:rPr>
          <w:rtl/>
        </w:rPr>
        <w:t>،</w:t>
      </w:r>
      <w:r>
        <w:rPr>
          <w:rtl/>
        </w:rPr>
        <w:t xml:space="preserve"> </w:t>
      </w:r>
    </w:p>
    <w:p w14:paraId="34E4624E" w14:textId="450013ED" w:rsidR="00885E11" w:rsidRPr="00885E11" w:rsidRDefault="00885E11" w:rsidP="00885E11">
      <w:pPr>
        <w:pStyle w:val="SingleTxtGA"/>
      </w:pPr>
      <w:r w:rsidRPr="007B0599">
        <w:rPr>
          <w:rtl/>
        </w:rPr>
        <w:lastRenderedPageBreak/>
        <w:tab/>
        <w:t>(</w:t>
      </w:r>
      <w:r w:rsidR="00E73DBD" w:rsidRPr="007B0599">
        <w:rPr>
          <w:rtl/>
        </w:rPr>
        <w:t>ه</w:t>
      </w:r>
      <w:r w:rsidRPr="007B0599">
        <w:rPr>
          <w:rtl/>
        </w:rPr>
        <w:t>)</w:t>
      </w:r>
      <w:r w:rsidRPr="007B0599">
        <w:rPr>
          <w:rtl/>
        </w:rPr>
        <w:tab/>
      </w:r>
      <w:r w:rsidRPr="00885E11">
        <w:rPr>
          <w:rtl/>
        </w:rPr>
        <w:t>إنشاء</w:t>
      </w:r>
      <w:r>
        <w:rPr>
          <w:rtl/>
        </w:rPr>
        <w:t xml:space="preserve"> </w:t>
      </w:r>
      <w:r w:rsidRPr="00885E11">
        <w:rPr>
          <w:rtl/>
        </w:rPr>
        <w:t>آلية</w:t>
      </w:r>
      <w:r>
        <w:rPr>
          <w:rtl/>
        </w:rPr>
        <w:t xml:space="preserve"> </w:t>
      </w:r>
      <w:r w:rsidRPr="00885E11">
        <w:rPr>
          <w:rtl/>
        </w:rPr>
        <w:t>وطنية</w:t>
      </w:r>
      <w:r>
        <w:rPr>
          <w:rtl/>
        </w:rPr>
        <w:t xml:space="preserve"> </w:t>
      </w:r>
      <w:r w:rsidRPr="00885E11">
        <w:rPr>
          <w:rtl/>
        </w:rPr>
        <w:t>في</w:t>
      </w:r>
      <w:r>
        <w:rPr>
          <w:rtl/>
        </w:rPr>
        <w:t xml:space="preserve"> </w:t>
      </w:r>
      <w:r w:rsidRPr="00885E11">
        <w:rPr>
          <w:rtl/>
        </w:rPr>
        <w:t>عام</w:t>
      </w:r>
      <w:r>
        <w:rPr>
          <w:rtl/>
        </w:rPr>
        <w:t xml:space="preserve"> </w:t>
      </w:r>
      <w:r w:rsidRPr="00846FFB">
        <w:rPr>
          <w:rtl/>
        </w:rPr>
        <w:t>2019</w:t>
      </w:r>
      <w:r>
        <w:rPr>
          <w:rtl/>
        </w:rPr>
        <w:t xml:space="preserve"> </w:t>
      </w:r>
      <w:r w:rsidRPr="00885E11">
        <w:rPr>
          <w:rtl/>
        </w:rPr>
        <w:t>لمتابعة</w:t>
      </w:r>
      <w:r>
        <w:rPr>
          <w:rtl/>
        </w:rPr>
        <w:t xml:space="preserve"> </w:t>
      </w:r>
      <w:r w:rsidRPr="00885E11">
        <w:rPr>
          <w:rtl/>
        </w:rPr>
        <w:t>تنفيذ</w:t>
      </w:r>
      <w:r>
        <w:rPr>
          <w:rtl/>
        </w:rPr>
        <w:t xml:space="preserve"> </w:t>
      </w:r>
      <w:r w:rsidRPr="00885E11">
        <w:rPr>
          <w:rtl/>
        </w:rPr>
        <w:t>التوصيات</w:t>
      </w:r>
      <w:r>
        <w:rPr>
          <w:rtl/>
        </w:rPr>
        <w:t xml:space="preserve"> </w:t>
      </w:r>
      <w:r w:rsidRPr="00885E11">
        <w:rPr>
          <w:rtl/>
        </w:rPr>
        <w:t>الدولية؛</w:t>
      </w:r>
    </w:p>
    <w:p w14:paraId="389C1CD5" w14:textId="38B9F733" w:rsidR="00885E11" w:rsidRPr="00885E11" w:rsidRDefault="00885E11" w:rsidP="00885E11">
      <w:pPr>
        <w:pStyle w:val="SingleTxtGA"/>
      </w:pPr>
      <w:r w:rsidRPr="007B0599">
        <w:rPr>
          <w:rtl/>
        </w:rPr>
        <w:tab/>
        <w:t>(و)</w:t>
      </w:r>
      <w:r w:rsidRPr="007B0599">
        <w:rPr>
          <w:rtl/>
        </w:rPr>
        <w:tab/>
      </w:r>
      <w:r w:rsidRPr="00885E11">
        <w:rPr>
          <w:rtl/>
        </w:rPr>
        <w:t>اعتماد</w:t>
      </w:r>
      <w:r>
        <w:rPr>
          <w:rtl/>
        </w:rPr>
        <w:t xml:space="preserve"> </w:t>
      </w:r>
      <w:r w:rsidRPr="00885E11">
        <w:rPr>
          <w:rtl/>
        </w:rPr>
        <w:t>قانون</w:t>
      </w:r>
      <w:r>
        <w:rPr>
          <w:rtl/>
        </w:rPr>
        <w:t xml:space="preserve"> </w:t>
      </w:r>
      <w:r w:rsidRPr="00885E11">
        <w:rPr>
          <w:rtl/>
        </w:rPr>
        <w:t>إصلاح</w:t>
      </w:r>
      <w:r>
        <w:rPr>
          <w:rtl/>
        </w:rPr>
        <w:t xml:space="preserve"> </w:t>
      </w:r>
      <w:r w:rsidRPr="00885E11">
        <w:rPr>
          <w:rtl/>
        </w:rPr>
        <w:t>النزلاء</w:t>
      </w:r>
      <w:r>
        <w:rPr>
          <w:rtl/>
        </w:rPr>
        <w:t xml:space="preserve"> </w:t>
      </w:r>
      <w:r w:rsidRPr="00885E11">
        <w:rPr>
          <w:rtl/>
        </w:rPr>
        <w:t>والمودعين</w:t>
      </w:r>
      <w:r>
        <w:rPr>
          <w:rtl/>
        </w:rPr>
        <w:t xml:space="preserve"> </w:t>
      </w:r>
      <w:r w:rsidRPr="00885E11">
        <w:rPr>
          <w:rtl/>
        </w:rPr>
        <w:t>(القانون</w:t>
      </w:r>
      <w:r>
        <w:rPr>
          <w:rtl/>
        </w:rPr>
        <w:t xml:space="preserve"> </w:t>
      </w:r>
      <w:r w:rsidRPr="00885E11">
        <w:rPr>
          <w:rtl/>
        </w:rPr>
        <w:t>رقم</w:t>
      </w:r>
      <w:r>
        <w:rPr>
          <w:rtl/>
        </w:rPr>
        <w:t xml:space="preserve"> </w:t>
      </w:r>
      <w:r w:rsidRPr="00885E11">
        <w:rPr>
          <w:rtl/>
        </w:rPr>
        <w:t>(</w:t>
      </w:r>
      <w:r w:rsidRPr="00846FFB">
        <w:rPr>
          <w:rtl/>
        </w:rPr>
        <w:t>14</w:t>
      </w:r>
      <w:r w:rsidRPr="00885E11">
        <w:rPr>
          <w:rtl/>
        </w:rPr>
        <w:t>)</w:t>
      </w:r>
      <w:r>
        <w:rPr>
          <w:rtl/>
        </w:rPr>
        <w:t xml:space="preserve"> </w:t>
      </w:r>
      <w:r w:rsidRPr="00885E11">
        <w:rPr>
          <w:rtl/>
        </w:rPr>
        <w:t>لسنة</w:t>
      </w:r>
      <w:r>
        <w:rPr>
          <w:rtl/>
        </w:rPr>
        <w:t xml:space="preserve"> </w:t>
      </w:r>
      <w:r w:rsidRPr="00846FFB">
        <w:rPr>
          <w:rtl/>
        </w:rPr>
        <w:t>2018</w:t>
      </w:r>
      <w:r w:rsidRPr="00885E11">
        <w:rPr>
          <w:rtl/>
        </w:rPr>
        <w:t>)؛</w:t>
      </w:r>
    </w:p>
    <w:p w14:paraId="580AF0B1" w14:textId="669F85A2" w:rsidR="00885E11" w:rsidRPr="00885E11" w:rsidRDefault="00885E11" w:rsidP="00885E11">
      <w:pPr>
        <w:pStyle w:val="SingleTxtGA"/>
      </w:pPr>
      <w:r w:rsidRPr="007B0599">
        <w:rPr>
          <w:rtl/>
        </w:rPr>
        <w:tab/>
        <w:t>(ز)</w:t>
      </w:r>
      <w:r w:rsidRPr="007B0599">
        <w:rPr>
          <w:rtl/>
        </w:rPr>
        <w:tab/>
      </w:r>
      <w:r w:rsidRPr="00885E11">
        <w:rPr>
          <w:rtl/>
        </w:rPr>
        <w:t>اعتماد</w:t>
      </w:r>
      <w:r>
        <w:rPr>
          <w:rtl/>
        </w:rPr>
        <w:t xml:space="preserve"> </w:t>
      </w:r>
      <w:r w:rsidRPr="00885E11">
        <w:rPr>
          <w:rtl/>
        </w:rPr>
        <w:t>قانون</w:t>
      </w:r>
      <w:r>
        <w:rPr>
          <w:rtl/>
        </w:rPr>
        <w:t xml:space="preserve"> </w:t>
      </w:r>
      <w:r w:rsidRPr="00885E11">
        <w:rPr>
          <w:rtl/>
        </w:rPr>
        <w:t>ضم</w:t>
      </w:r>
      <w:r>
        <w:rPr>
          <w:rtl/>
        </w:rPr>
        <w:t xml:space="preserve"> </w:t>
      </w:r>
      <w:r w:rsidRPr="00885E11">
        <w:rPr>
          <w:rtl/>
        </w:rPr>
        <w:t>المعهد</w:t>
      </w:r>
      <w:r>
        <w:rPr>
          <w:rtl/>
        </w:rPr>
        <w:t xml:space="preserve"> </w:t>
      </w:r>
      <w:r w:rsidRPr="00885E11">
        <w:rPr>
          <w:rtl/>
        </w:rPr>
        <w:t>القضائي</w:t>
      </w:r>
      <w:r>
        <w:rPr>
          <w:rtl/>
        </w:rPr>
        <w:t xml:space="preserve"> </w:t>
      </w:r>
      <w:r w:rsidRPr="00885E11">
        <w:rPr>
          <w:rtl/>
        </w:rPr>
        <w:t>إلى</w:t>
      </w:r>
      <w:r>
        <w:rPr>
          <w:rtl/>
        </w:rPr>
        <w:t xml:space="preserve"> </w:t>
      </w:r>
      <w:r w:rsidRPr="00885E11">
        <w:rPr>
          <w:rtl/>
        </w:rPr>
        <w:t>مجلس</w:t>
      </w:r>
      <w:r>
        <w:rPr>
          <w:rtl/>
        </w:rPr>
        <w:t xml:space="preserve"> </w:t>
      </w:r>
      <w:r w:rsidRPr="00885E11">
        <w:rPr>
          <w:rtl/>
        </w:rPr>
        <w:t>القضاء</w:t>
      </w:r>
      <w:r>
        <w:rPr>
          <w:rtl/>
        </w:rPr>
        <w:t xml:space="preserve"> </w:t>
      </w:r>
      <w:r w:rsidRPr="00885E11">
        <w:rPr>
          <w:rtl/>
        </w:rPr>
        <w:t>الأعلى</w:t>
      </w:r>
      <w:r>
        <w:rPr>
          <w:rtl/>
        </w:rPr>
        <w:t xml:space="preserve"> </w:t>
      </w:r>
      <w:r w:rsidRPr="00885E11">
        <w:rPr>
          <w:rtl/>
        </w:rPr>
        <w:t>(القانون</w:t>
      </w:r>
      <w:r>
        <w:rPr>
          <w:rtl/>
        </w:rPr>
        <w:t xml:space="preserve"> </w:t>
      </w:r>
      <w:r w:rsidRPr="00885E11">
        <w:rPr>
          <w:rtl/>
        </w:rPr>
        <w:t>رقم</w:t>
      </w:r>
      <w:r>
        <w:rPr>
          <w:rtl/>
        </w:rPr>
        <w:t xml:space="preserve"> </w:t>
      </w:r>
      <w:r w:rsidRPr="00885E11">
        <w:rPr>
          <w:rtl/>
        </w:rPr>
        <w:t>(</w:t>
      </w:r>
      <w:r w:rsidRPr="00846FFB">
        <w:rPr>
          <w:rtl/>
        </w:rPr>
        <w:t>70</w:t>
      </w:r>
      <w:r w:rsidRPr="00885E11">
        <w:rPr>
          <w:rtl/>
        </w:rPr>
        <w:t>)</w:t>
      </w:r>
      <w:r>
        <w:rPr>
          <w:rtl/>
        </w:rPr>
        <w:t xml:space="preserve"> </w:t>
      </w:r>
      <w:r w:rsidRPr="00885E11">
        <w:rPr>
          <w:rtl/>
        </w:rPr>
        <w:t>لسنة</w:t>
      </w:r>
      <w:r>
        <w:rPr>
          <w:rtl/>
        </w:rPr>
        <w:t xml:space="preserve"> </w:t>
      </w:r>
      <w:r w:rsidRPr="00846FFB">
        <w:rPr>
          <w:rtl/>
        </w:rPr>
        <w:t>2017</w:t>
      </w:r>
      <w:r w:rsidRPr="00885E11">
        <w:rPr>
          <w:rtl/>
        </w:rPr>
        <w:t>)؛</w:t>
      </w:r>
    </w:p>
    <w:p w14:paraId="36C0A3EC" w14:textId="6D72428B" w:rsidR="00885E11" w:rsidRPr="00885E11" w:rsidRDefault="00885E11" w:rsidP="00885E11">
      <w:pPr>
        <w:pStyle w:val="SingleTxtGA"/>
      </w:pPr>
      <w:r w:rsidRPr="007B0599">
        <w:rPr>
          <w:rtl/>
        </w:rPr>
        <w:tab/>
        <w:t>(ح)</w:t>
      </w:r>
      <w:r w:rsidRPr="007B0599">
        <w:rPr>
          <w:rtl/>
        </w:rPr>
        <w:tab/>
      </w:r>
      <w:r w:rsidRPr="00885E11">
        <w:rPr>
          <w:rtl/>
        </w:rPr>
        <w:t>إصدار</w:t>
      </w:r>
      <w:r>
        <w:rPr>
          <w:rtl/>
        </w:rPr>
        <w:t xml:space="preserve"> </w:t>
      </w:r>
      <w:r w:rsidRPr="00885E11">
        <w:rPr>
          <w:rtl/>
        </w:rPr>
        <w:t>سياسة</w:t>
      </w:r>
      <w:r>
        <w:rPr>
          <w:rtl/>
        </w:rPr>
        <w:t xml:space="preserve"> </w:t>
      </w:r>
      <w:r w:rsidRPr="00885E11">
        <w:rPr>
          <w:rtl/>
        </w:rPr>
        <w:t>وطنية</w:t>
      </w:r>
      <w:r>
        <w:rPr>
          <w:rtl/>
        </w:rPr>
        <w:t xml:space="preserve"> </w:t>
      </w:r>
      <w:r w:rsidRPr="00885E11">
        <w:rPr>
          <w:rtl/>
        </w:rPr>
        <w:t>لحماية</w:t>
      </w:r>
      <w:r>
        <w:rPr>
          <w:rtl/>
        </w:rPr>
        <w:t xml:space="preserve"> </w:t>
      </w:r>
      <w:r w:rsidRPr="00885E11">
        <w:rPr>
          <w:rtl/>
        </w:rPr>
        <w:t>الطفل</w:t>
      </w:r>
      <w:r>
        <w:rPr>
          <w:rtl/>
        </w:rPr>
        <w:t xml:space="preserve"> </w:t>
      </w:r>
      <w:r w:rsidRPr="00885E11">
        <w:rPr>
          <w:rtl/>
        </w:rPr>
        <w:t>في</w:t>
      </w:r>
      <w:r>
        <w:rPr>
          <w:rtl/>
        </w:rPr>
        <w:t xml:space="preserve"> </w:t>
      </w:r>
      <w:r w:rsidRPr="00885E11">
        <w:rPr>
          <w:rtl/>
        </w:rPr>
        <w:t>العراق</w:t>
      </w:r>
      <w:r>
        <w:rPr>
          <w:rtl/>
        </w:rPr>
        <w:t xml:space="preserve"> </w:t>
      </w:r>
      <w:r w:rsidRPr="00885E11">
        <w:rPr>
          <w:rtl/>
        </w:rPr>
        <w:t>في</w:t>
      </w:r>
      <w:r>
        <w:rPr>
          <w:rtl/>
        </w:rPr>
        <w:t xml:space="preserve"> </w:t>
      </w:r>
      <w:r w:rsidRPr="00885E11">
        <w:rPr>
          <w:rtl/>
        </w:rPr>
        <w:t>عام</w:t>
      </w:r>
      <w:r>
        <w:rPr>
          <w:rtl/>
        </w:rPr>
        <w:t xml:space="preserve"> </w:t>
      </w:r>
      <w:r w:rsidRPr="00846FFB">
        <w:rPr>
          <w:rtl/>
        </w:rPr>
        <w:t>2017</w:t>
      </w:r>
      <w:r w:rsidRPr="00885E11">
        <w:rPr>
          <w:rtl/>
        </w:rPr>
        <w:t>.</w:t>
      </w:r>
    </w:p>
    <w:p w14:paraId="175D649C" w14:textId="6D31F1D9" w:rsidR="00885E11" w:rsidRPr="00846FFB" w:rsidRDefault="00885E11" w:rsidP="00885E11">
      <w:pPr>
        <w:pStyle w:val="H1GA"/>
      </w:pPr>
      <w:r w:rsidRPr="00846FFB">
        <w:rPr>
          <w:rtl/>
        </w:rPr>
        <w:tab/>
        <w:t>جيم-</w:t>
      </w:r>
      <w:r w:rsidRPr="00846FFB">
        <w:rPr>
          <w:rtl/>
        </w:rPr>
        <w:tab/>
        <w:t>دواعي القلق الرئيسية والتوصيات</w:t>
      </w:r>
    </w:p>
    <w:p w14:paraId="74E98046" w14:textId="13AA57D1" w:rsidR="00885E11" w:rsidRPr="00846FFB" w:rsidRDefault="00885E11" w:rsidP="00885E11">
      <w:pPr>
        <w:pStyle w:val="H23GA"/>
      </w:pPr>
      <w:r w:rsidRPr="00846FFB">
        <w:rPr>
          <w:rtl/>
        </w:rPr>
        <w:tab/>
      </w:r>
      <w:r w:rsidRPr="00846FFB">
        <w:rPr>
          <w:rtl/>
        </w:rPr>
        <w:tab/>
        <w:t xml:space="preserve">التطبيق المحلي للعهد </w:t>
      </w:r>
    </w:p>
    <w:p w14:paraId="3CEAE1D6" w14:textId="1E0CD006" w:rsidR="00885E11" w:rsidRPr="00885E11" w:rsidRDefault="00885E11" w:rsidP="00885E11">
      <w:pPr>
        <w:pStyle w:val="SingleTxtGA"/>
      </w:pPr>
      <w:r w:rsidRPr="00846FFB">
        <w:rPr>
          <w:rtl/>
        </w:rPr>
        <w:t>4</w:t>
      </w:r>
      <w:r w:rsidRPr="007B0599">
        <w:rPr>
          <w:rtl/>
        </w:rPr>
        <w:t>-</w:t>
      </w:r>
      <w:r w:rsidRPr="007B0599">
        <w:rPr>
          <w:rtl/>
        </w:rPr>
        <w:tab/>
      </w:r>
      <w:r w:rsidRPr="00885E11">
        <w:rPr>
          <w:rtl/>
        </w:rPr>
        <w:t>تلاحظ</w:t>
      </w:r>
      <w:r>
        <w:rPr>
          <w:rtl/>
        </w:rPr>
        <w:t xml:space="preserve"> </w:t>
      </w:r>
      <w:r w:rsidRPr="00885E11">
        <w:rPr>
          <w:rtl/>
        </w:rPr>
        <w:t>اللجنة</w:t>
      </w:r>
      <w:r>
        <w:rPr>
          <w:rtl/>
        </w:rPr>
        <w:t xml:space="preserve"> </w:t>
      </w:r>
      <w:r w:rsidRPr="00885E11">
        <w:rPr>
          <w:rtl/>
        </w:rPr>
        <w:t>أن</w:t>
      </w:r>
      <w:r>
        <w:rPr>
          <w:rtl/>
        </w:rPr>
        <w:t xml:space="preserve"> </w:t>
      </w:r>
      <w:r w:rsidRPr="00885E11">
        <w:rPr>
          <w:rtl/>
        </w:rPr>
        <w:t>بإمكان</w:t>
      </w:r>
      <w:r>
        <w:rPr>
          <w:rtl/>
        </w:rPr>
        <w:t xml:space="preserve"> </w:t>
      </w:r>
      <w:r w:rsidRPr="00885E11">
        <w:rPr>
          <w:rtl/>
        </w:rPr>
        <w:t>المحاكم</w:t>
      </w:r>
      <w:r>
        <w:rPr>
          <w:rtl/>
        </w:rPr>
        <w:t xml:space="preserve"> </w:t>
      </w:r>
      <w:r w:rsidRPr="00885E11">
        <w:rPr>
          <w:rtl/>
        </w:rPr>
        <w:t>تطبيق</w:t>
      </w:r>
      <w:r>
        <w:rPr>
          <w:rtl/>
        </w:rPr>
        <w:t xml:space="preserve"> </w:t>
      </w:r>
      <w:r w:rsidRPr="00885E11">
        <w:rPr>
          <w:rtl/>
        </w:rPr>
        <w:t>أحكام</w:t>
      </w:r>
      <w:r>
        <w:rPr>
          <w:rtl/>
        </w:rPr>
        <w:t xml:space="preserve"> </w:t>
      </w:r>
      <w:r w:rsidRPr="00885E11">
        <w:rPr>
          <w:rtl/>
        </w:rPr>
        <w:t>المعاهدات</w:t>
      </w:r>
      <w:r>
        <w:rPr>
          <w:rtl/>
        </w:rPr>
        <w:t xml:space="preserve"> </w:t>
      </w:r>
      <w:r w:rsidRPr="00885E11">
        <w:rPr>
          <w:rtl/>
        </w:rPr>
        <w:t>بمجرد</w:t>
      </w:r>
      <w:r>
        <w:rPr>
          <w:rtl/>
        </w:rPr>
        <w:t xml:space="preserve"> </w:t>
      </w:r>
      <w:r w:rsidRPr="00885E11">
        <w:rPr>
          <w:rtl/>
        </w:rPr>
        <w:t>إدماجها</w:t>
      </w:r>
      <w:r>
        <w:rPr>
          <w:rtl/>
        </w:rPr>
        <w:t xml:space="preserve"> </w:t>
      </w:r>
      <w:r w:rsidRPr="00885E11">
        <w:rPr>
          <w:rtl/>
        </w:rPr>
        <w:t>في</w:t>
      </w:r>
      <w:r>
        <w:rPr>
          <w:rtl/>
        </w:rPr>
        <w:t xml:space="preserve"> </w:t>
      </w:r>
      <w:r w:rsidRPr="00885E11">
        <w:rPr>
          <w:rtl/>
        </w:rPr>
        <w:t>التشريعات</w:t>
      </w:r>
      <w:r>
        <w:rPr>
          <w:rtl/>
        </w:rPr>
        <w:t xml:space="preserve"> </w:t>
      </w:r>
      <w:r w:rsidRPr="00885E11">
        <w:rPr>
          <w:rtl/>
        </w:rPr>
        <w:t>المحلية</w:t>
      </w:r>
      <w:r>
        <w:rPr>
          <w:rtl/>
        </w:rPr>
        <w:t xml:space="preserve"> </w:t>
      </w:r>
      <w:r w:rsidRPr="00885E11">
        <w:rPr>
          <w:rtl/>
        </w:rPr>
        <w:t>بموجب</w:t>
      </w:r>
      <w:r>
        <w:rPr>
          <w:rtl/>
        </w:rPr>
        <w:t xml:space="preserve"> </w:t>
      </w:r>
      <w:r w:rsidRPr="00885E11">
        <w:rPr>
          <w:rtl/>
        </w:rPr>
        <w:t>قانون</w:t>
      </w:r>
      <w:r>
        <w:rPr>
          <w:rtl/>
        </w:rPr>
        <w:t xml:space="preserve"> </w:t>
      </w:r>
      <w:r w:rsidRPr="00885E11">
        <w:rPr>
          <w:rtl/>
        </w:rPr>
        <w:t>محدد</w:t>
      </w:r>
      <w:r w:rsidR="005D7864">
        <w:rPr>
          <w:rtl/>
        </w:rPr>
        <w:t>،</w:t>
      </w:r>
      <w:r>
        <w:rPr>
          <w:rtl/>
        </w:rPr>
        <w:t xml:space="preserve"> </w:t>
      </w:r>
      <w:r w:rsidRPr="00885E11">
        <w:rPr>
          <w:rtl/>
        </w:rPr>
        <w:t>لكنها</w:t>
      </w:r>
      <w:r w:rsidR="00DC17E8">
        <w:rPr>
          <w:rFonts w:hint="cs"/>
          <w:rtl/>
        </w:rPr>
        <w:t xml:space="preserve"> </w:t>
      </w:r>
      <w:r w:rsidRPr="00885E11">
        <w:rPr>
          <w:rtl/>
        </w:rPr>
        <w:t>تأسف</w:t>
      </w:r>
      <w:r>
        <w:rPr>
          <w:rtl/>
        </w:rPr>
        <w:t xml:space="preserve"> </w:t>
      </w:r>
      <w:r w:rsidRPr="00885E11">
        <w:rPr>
          <w:rtl/>
        </w:rPr>
        <w:t>لأن</w:t>
      </w:r>
      <w:r>
        <w:rPr>
          <w:rtl/>
        </w:rPr>
        <w:t xml:space="preserve"> </w:t>
      </w:r>
      <w:r w:rsidRPr="00885E11">
        <w:rPr>
          <w:rtl/>
        </w:rPr>
        <w:t>الدولة</w:t>
      </w:r>
      <w:r>
        <w:rPr>
          <w:rtl/>
        </w:rPr>
        <w:t xml:space="preserve"> </w:t>
      </w:r>
      <w:r w:rsidRPr="00885E11">
        <w:rPr>
          <w:rtl/>
        </w:rPr>
        <w:t>الطرف</w:t>
      </w:r>
      <w:r>
        <w:rPr>
          <w:rtl/>
        </w:rPr>
        <w:t xml:space="preserve"> </w:t>
      </w:r>
      <w:r w:rsidRPr="00885E11">
        <w:rPr>
          <w:rtl/>
        </w:rPr>
        <w:t>لم</w:t>
      </w:r>
      <w:r>
        <w:rPr>
          <w:rtl/>
        </w:rPr>
        <w:t xml:space="preserve"> </w:t>
      </w:r>
      <w:r w:rsidRPr="00885E11">
        <w:rPr>
          <w:rtl/>
        </w:rPr>
        <w:t>تقدم</w:t>
      </w:r>
      <w:r>
        <w:rPr>
          <w:rtl/>
        </w:rPr>
        <w:t xml:space="preserve"> </w:t>
      </w:r>
      <w:r w:rsidRPr="00885E11">
        <w:rPr>
          <w:rtl/>
        </w:rPr>
        <w:t>أمثلة</w:t>
      </w:r>
      <w:r>
        <w:rPr>
          <w:rtl/>
        </w:rPr>
        <w:t xml:space="preserve"> </w:t>
      </w:r>
      <w:r w:rsidRPr="00885E11">
        <w:rPr>
          <w:rtl/>
        </w:rPr>
        <w:t>على</w:t>
      </w:r>
      <w:r>
        <w:rPr>
          <w:rtl/>
        </w:rPr>
        <w:t xml:space="preserve"> </w:t>
      </w:r>
      <w:r w:rsidRPr="00885E11">
        <w:rPr>
          <w:rtl/>
        </w:rPr>
        <w:t>هذه</w:t>
      </w:r>
      <w:r>
        <w:rPr>
          <w:rtl/>
        </w:rPr>
        <w:t xml:space="preserve"> </w:t>
      </w:r>
      <w:r w:rsidRPr="00885E11">
        <w:rPr>
          <w:rtl/>
        </w:rPr>
        <w:t>الحالات.</w:t>
      </w:r>
      <w:r>
        <w:rPr>
          <w:rtl/>
        </w:rPr>
        <w:t xml:space="preserve"> </w:t>
      </w:r>
      <w:r w:rsidRPr="00885E11">
        <w:rPr>
          <w:rtl/>
        </w:rPr>
        <w:t>وعلاوة</w:t>
      </w:r>
      <w:r>
        <w:rPr>
          <w:rtl/>
        </w:rPr>
        <w:t xml:space="preserve"> </w:t>
      </w:r>
      <w:r w:rsidRPr="00885E11">
        <w:rPr>
          <w:rtl/>
        </w:rPr>
        <w:t>على</w:t>
      </w:r>
      <w:r>
        <w:rPr>
          <w:rtl/>
        </w:rPr>
        <w:t xml:space="preserve"> </w:t>
      </w:r>
      <w:r w:rsidRPr="00885E11">
        <w:rPr>
          <w:rtl/>
        </w:rPr>
        <w:t>ذلك</w:t>
      </w:r>
      <w:r w:rsidR="005D7864">
        <w:rPr>
          <w:rtl/>
        </w:rPr>
        <w:t>،</w:t>
      </w:r>
      <w:r>
        <w:rPr>
          <w:rtl/>
        </w:rPr>
        <w:t xml:space="preserve"> </w:t>
      </w:r>
      <w:r w:rsidRPr="00885E11">
        <w:rPr>
          <w:rtl/>
        </w:rPr>
        <w:t>تلاحظ</w:t>
      </w:r>
      <w:r>
        <w:rPr>
          <w:rtl/>
        </w:rPr>
        <w:t xml:space="preserve"> </w:t>
      </w:r>
      <w:r w:rsidRPr="00885E11">
        <w:rPr>
          <w:rtl/>
        </w:rPr>
        <w:t>اللجنة</w:t>
      </w:r>
      <w:r>
        <w:rPr>
          <w:rtl/>
        </w:rPr>
        <w:t xml:space="preserve"> </w:t>
      </w:r>
      <w:r w:rsidRPr="00885E11">
        <w:rPr>
          <w:rtl/>
        </w:rPr>
        <w:t>أن</w:t>
      </w:r>
      <w:r>
        <w:rPr>
          <w:rtl/>
        </w:rPr>
        <w:t xml:space="preserve"> </w:t>
      </w:r>
      <w:r w:rsidRPr="00885E11">
        <w:rPr>
          <w:rtl/>
        </w:rPr>
        <w:t>الدولة</w:t>
      </w:r>
      <w:r>
        <w:rPr>
          <w:rtl/>
        </w:rPr>
        <w:t xml:space="preserve"> </w:t>
      </w:r>
      <w:r w:rsidRPr="00885E11">
        <w:rPr>
          <w:rtl/>
        </w:rPr>
        <w:t>الطرف</w:t>
      </w:r>
      <w:r>
        <w:rPr>
          <w:rtl/>
        </w:rPr>
        <w:t xml:space="preserve"> </w:t>
      </w:r>
      <w:r w:rsidRPr="00885E11">
        <w:rPr>
          <w:rtl/>
        </w:rPr>
        <w:t>لم</w:t>
      </w:r>
      <w:r>
        <w:rPr>
          <w:rtl/>
        </w:rPr>
        <w:t xml:space="preserve"> </w:t>
      </w:r>
      <w:r w:rsidRPr="00885E11">
        <w:rPr>
          <w:rtl/>
        </w:rPr>
        <w:t>تصدّق</w:t>
      </w:r>
      <w:r>
        <w:rPr>
          <w:rtl/>
        </w:rPr>
        <w:t xml:space="preserve"> </w:t>
      </w:r>
      <w:r w:rsidRPr="00885E11">
        <w:rPr>
          <w:rtl/>
        </w:rPr>
        <w:t>بعد</w:t>
      </w:r>
      <w:r>
        <w:rPr>
          <w:rtl/>
        </w:rPr>
        <w:t xml:space="preserve"> </w:t>
      </w:r>
      <w:r w:rsidRPr="00885E11">
        <w:rPr>
          <w:rtl/>
        </w:rPr>
        <w:t>على</w:t>
      </w:r>
      <w:r>
        <w:rPr>
          <w:rtl/>
        </w:rPr>
        <w:t xml:space="preserve"> </w:t>
      </w:r>
      <w:r w:rsidRPr="00885E11">
        <w:rPr>
          <w:rtl/>
        </w:rPr>
        <w:t>البروتوكول</w:t>
      </w:r>
      <w:r>
        <w:rPr>
          <w:rtl/>
        </w:rPr>
        <w:t xml:space="preserve"> </w:t>
      </w:r>
      <w:r w:rsidRPr="00885E11">
        <w:rPr>
          <w:rtl/>
        </w:rPr>
        <w:t>الاختياري</w:t>
      </w:r>
      <w:r>
        <w:rPr>
          <w:rtl/>
        </w:rPr>
        <w:t xml:space="preserve"> </w:t>
      </w:r>
      <w:r w:rsidRPr="00885E11">
        <w:rPr>
          <w:rtl/>
        </w:rPr>
        <w:t>الأول</w:t>
      </w:r>
      <w:r>
        <w:rPr>
          <w:rtl/>
        </w:rPr>
        <w:t xml:space="preserve"> </w:t>
      </w:r>
      <w:r w:rsidRPr="00885E11">
        <w:rPr>
          <w:rtl/>
        </w:rPr>
        <w:t>الملحق</w:t>
      </w:r>
      <w:r>
        <w:rPr>
          <w:rtl/>
        </w:rPr>
        <w:t xml:space="preserve"> </w:t>
      </w:r>
      <w:r w:rsidRPr="00885E11">
        <w:rPr>
          <w:rtl/>
        </w:rPr>
        <w:t>بالعهد</w:t>
      </w:r>
      <w:r>
        <w:rPr>
          <w:rtl/>
        </w:rPr>
        <w:t xml:space="preserve"> </w:t>
      </w:r>
      <w:r w:rsidRPr="00885E11">
        <w:rPr>
          <w:rtl/>
        </w:rPr>
        <w:t>(المادة</w:t>
      </w:r>
      <w:r>
        <w:rPr>
          <w:rtl/>
        </w:rPr>
        <w:t xml:space="preserve"> </w:t>
      </w:r>
      <w:r w:rsidRPr="00846FFB">
        <w:rPr>
          <w:rtl/>
        </w:rPr>
        <w:t>2</w:t>
      </w:r>
      <w:r w:rsidRPr="00885E11">
        <w:rPr>
          <w:rtl/>
        </w:rPr>
        <w:t>).</w:t>
      </w:r>
      <w:r>
        <w:rPr>
          <w:rtl/>
        </w:rPr>
        <w:t xml:space="preserve"> </w:t>
      </w:r>
      <w:r w:rsidRPr="00885E11">
        <w:rPr>
          <w:rtl/>
        </w:rPr>
        <w:t>وتعرب</w:t>
      </w:r>
      <w:r>
        <w:rPr>
          <w:rtl/>
        </w:rPr>
        <w:t xml:space="preserve"> </w:t>
      </w:r>
      <w:r w:rsidRPr="00885E11">
        <w:rPr>
          <w:rtl/>
        </w:rPr>
        <w:t>اللجنة</w:t>
      </w:r>
      <w:r>
        <w:rPr>
          <w:rtl/>
        </w:rPr>
        <w:t xml:space="preserve"> </w:t>
      </w:r>
      <w:r w:rsidRPr="00885E11">
        <w:rPr>
          <w:rtl/>
        </w:rPr>
        <w:t>أيضاً</w:t>
      </w:r>
      <w:r>
        <w:rPr>
          <w:rtl/>
        </w:rPr>
        <w:t xml:space="preserve"> </w:t>
      </w:r>
      <w:r w:rsidRPr="00885E11">
        <w:rPr>
          <w:rtl/>
        </w:rPr>
        <w:t>عن</w:t>
      </w:r>
      <w:r>
        <w:rPr>
          <w:rtl/>
        </w:rPr>
        <w:t xml:space="preserve"> </w:t>
      </w:r>
      <w:r w:rsidRPr="00885E11">
        <w:rPr>
          <w:rtl/>
        </w:rPr>
        <w:t>قلقها</w:t>
      </w:r>
      <w:r>
        <w:rPr>
          <w:rtl/>
        </w:rPr>
        <w:t xml:space="preserve"> </w:t>
      </w:r>
      <w:r w:rsidRPr="00885E11">
        <w:rPr>
          <w:rtl/>
        </w:rPr>
        <w:t>إزاء</w:t>
      </w:r>
      <w:r>
        <w:rPr>
          <w:rtl/>
        </w:rPr>
        <w:t xml:space="preserve"> </w:t>
      </w:r>
      <w:r w:rsidRPr="00885E11">
        <w:rPr>
          <w:rtl/>
        </w:rPr>
        <w:t>مدى</w:t>
      </w:r>
      <w:r>
        <w:rPr>
          <w:rtl/>
        </w:rPr>
        <w:t xml:space="preserve"> </w:t>
      </w:r>
      <w:r w:rsidRPr="00885E11">
        <w:rPr>
          <w:rtl/>
        </w:rPr>
        <w:t>توافق</w:t>
      </w:r>
      <w:r>
        <w:rPr>
          <w:rtl/>
        </w:rPr>
        <w:t xml:space="preserve"> </w:t>
      </w:r>
      <w:r w:rsidRPr="00885E11">
        <w:rPr>
          <w:rtl/>
        </w:rPr>
        <w:t>المادة</w:t>
      </w:r>
      <w:r>
        <w:rPr>
          <w:rtl/>
        </w:rPr>
        <w:t xml:space="preserve"> </w:t>
      </w:r>
      <w:r w:rsidRPr="00846FFB">
        <w:rPr>
          <w:rtl/>
        </w:rPr>
        <w:t>2</w:t>
      </w:r>
      <w:r>
        <w:rPr>
          <w:rtl/>
        </w:rPr>
        <w:t xml:space="preserve"> </w:t>
      </w:r>
      <w:r w:rsidRPr="00885E11">
        <w:rPr>
          <w:rtl/>
        </w:rPr>
        <w:t>من</w:t>
      </w:r>
      <w:r>
        <w:rPr>
          <w:rtl/>
        </w:rPr>
        <w:t xml:space="preserve"> </w:t>
      </w:r>
      <w:r w:rsidRPr="00885E11">
        <w:rPr>
          <w:rtl/>
        </w:rPr>
        <w:t>دستور</w:t>
      </w:r>
      <w:r>
        <w:rPr>
          <w:rtl/>
        </w:rPr>
        <w:t xml:space="preserve"> </w:t>
      </w:r>
      <w:r w:rsidRPr="00885E11">
        <w:rPr>
          <w:rtl/>
        </w:rPr>
        <w:t>الدولة</w:t>
      </w:r>
      <w:r>
        <w:rPr>
          <w:rtl/>
        </w:rPr>
        <w:t xml:space="preserve"> </w:t>
      </w:r>
      <w:r w:rsidRPr="00885E11">
        <w:rPr>
          <w:rtl/>
        </w:rPr>
        <w:t>الطرف</w:t>
      </w:r>
      <w:r>
        <w:rPr>
          <w:rtl/>
        </w:rPr>
        <w:t xml:space="preserve"> </w:t>
      </w:r>
      <w:r w:rsidRPr="00885E11">
        <w:rPr>
          <w:rtl/>
        </w:rPr>
        <w:t>مع</w:t>
      </w:r>
      <w:r>
        <w:rPr>
          <w:rtl/>
        </w:rPr>
        <w:t xml:space="preserve"> </w:t>
      </w:r>
      <w:r w:rsidRPr="00885E11">
        <w:rPr>
          <w:rtl/>
        </w:rPr>
        <w:t>العهد.</w:t>
      </w:r>
    </w:p>
    <w:p w14:paraId="19E69182" w14:textId="3A854EE8" w:rsidR="00885E11" w:rsidRPr="00E73DBD" w:rsidRDefault="00885E11" w:rsidP="00885E11">
      <w:pPr>
        <w:pStyle w:val="SingleTxtGA"/>
        <w:rPr>
          <w:b/>
          <w:bCs/>
          <w:spacing w:val="-2"/>
        </w:rPr>
      </w:pPr>
      <w:r w:rsidRPr="00846FFB">
        <w:rPr>
          <w:rtl/>
        </w:rPr>
        <w:t>5</w:t>
      </w:r>
      <w:r w:rsidRPr="007B0599">
        <w:rPr>
          <w:rtl/>
        </w:rPr>
        <w:t>-</w:t>
      </w:r>
      <w:r w:rsidRPr="007B0599">
        <w:rPr>
          <w:rtl/>
        </w:rPr>
        <w:tab/>
      </w:r>
      <w:r w:rsidRPr="00E73DBD">
        <w:rPr>
          <w:b/>
          <w:bCs/>
          <w:spacing w:val="-2"/>
          <w:rtl/>
        </w:rPr>
        <w:t>إذ تشير اللجنة إلى توصياتها السابقة</w:t>
      </w:r>
      <w:r w:rsidR="00E82A04" w:rsidRPr="00846FFB">
        <w:rPr>
          <w:spacing w:val="-2"/>
          <w:vertAlign w:val="superscript"/>
          <w:rtl/>
        </w:rPr>
        <w:t>(</w:t>
      </w:r>
      <w:r w:rsidR="00E82A04" w:rsidRPr="00846FFB">
        <w:rPr>
          <w:spacing w:val="-2"/>
          <w:vertAlign w:val="superscript"/>
          <w:lang w:val="en-US"/>
        </w:rPr>
        <w:footnoteReference w:id="6"/>
      </w:r>
      <w:r w:rsidR="00E82A04" w:rsidRPr="00846FFB">
        <w:rPr>
          <w:spacing w:val="-2"/>
          <w:vertAlign w:val="superscript"/>
          <w:rtl/>
        </w:rPr>
        <w:t>)</w:t>
      </w:r>
      <w:r w:rsidR="005D7864" w:rsidRPr="00E73DBD">
        <w:rPr>
          <w:b/>
          <w:bCs/>
          <w:spacing w:val="-2"/>
          <w:rtl/>
        </w:rPr>
        <w:t>،</w:t>
      </w:r>
      <w:r w:rsidRPr="00E73DBD">
        <w:rPr>
          <w:b/>
          <w:bCs/>
          <w:spacing w:val="-2"/>
          <w:rtl/>
        </w:rPr>
        <w:t xml:space="preserve"> فإنها تشجع الدولة الطرف على مواصلة تعزيز جهودها الرامية إلى إذكاء الوعي بالعهد وإمكانية تطبيقه في القانون المحلي بين القضاة والمحامين والمدعين العامين لضمان مراعاة المحاكم لأحكامه. وتشجع اللجنة الدولة الطرف أيضاً على أن تنظر في الانضمام إلى البروتوكول الاختياري الأول الملحق بالعهد والمنشئ لآلية الشكاوى الفردية. وينبغي للدولة الطرف أيضاً أن تتخذ خطوات لضمان تحقيق التوافق بين دستورها</w:t>
      </w:r>
      <w:r w:rsidR="005D7864" w:rsidRPr="00E73DBD">
        <w:rPr>
          <w:b/>
          <w:bCs/>
          <w:spacing w:val="-2"/>
          <w:rtl/>
        </w:rPr>
        <w:t>،</w:t>
      </w:r>
      <w:r w:rsidRPr="00E73DBD">
        <w:rPr>
          <w:b/>
          <w:bCs/>
          <w:spacing w:val="-2"/>
          <w:rtl/>
        </w:rPr>
        <w:t xml:space="preserve"> ولا سيما المادة </w:t>
      </w:r>
      <w:r w:rsidRPr="00846FFB">
        <w:rPr>
          <w:b/>
          <w:bCs/>
          <w:spacing w:val="-2"/>
          <w:rtl/>
        </w:rPr>
        <w:t>2</w:t>
      </w:r>
      <w:r w:rsidRPr="00E73DBD">
        <w:rPr>
          <w:b/>
          <w:bCs/>
          <w:spacing w:val="-2"/>
          <w:rtl/>
        </w:rPr>
        <w:t xml:space="preserve"> منه</w:t>
      </w:r>
      <w:r w:rsidR="005D7864" w:rsidRPr="00E73DBD">
        <w:rPr>
          <w:b/>
          <w:bCs/>
          <w:spacing w:val="-2"/>
          <w:rtl/>
        </w:rPr>
        <w:t>،</w:t>
      </w:r>
      <w:r w:rsidRPr="00E73DBD">
        <w:rPr>
          <w:b/>
          <w:bCs/>
          <w:spacing w:val="-2"/>
          <w:rtl/>
        </w:rPr>
        <w:t xml:space="preserve"> والعهد. </w:t>
      </w:r>
    </w:p>
    <w:p w14:paraId="3D68D5A2" w14:textId="35BB7D7E" w:rsidR="00885E11" w:rsidRPr="00846FFB" w:rsidRDefault="00885E11" w:rsidP="00885E11">
      <w:pPr>
        <w:pStyle w:val="H23GA"/>
      </w:pPr>
      <w:r w:rsidRPr="00846FFB">
        <w:rPr>
          <w:rtl/>
        </w:rPr>
        <w:tab/>
      </w:r>
      <w:r w:rsidRPr="00846FFB">
        <w:rPr>
          <w:rtl/>
        </w:rPr>
        <w:tab/>
        <w:t>المؤسسة الوطنية لحقوق الإنسان</w:t>
      </w:r>
    </w:p>
    <w:p w14:paraId="79D88489" w14:textId="207B7EA5" w:rsidR="00885E11" w:rsidRPr="00885E11" w:rsidRDefault="00885E11" w:rsidP="00885E11">
      <w:pPr>
        <w:pStyle w:val="SingleTxtGA"/>
      </w:pPr>
      <w:r w:rsidRPr="00846FFB">
        <w:rPr>
          <w:rtl/>
        </w:rPr>
        <w:t>6</w:t>
      </w:r>
      <w:r w:rsidRPr="007B0599">
        <w:rPr>
          <w:rtl/>
        </w:rPr>
        <w:t>-</w:t>
      </w:r>
      <w:r w:rsidRPr="007B0599">
        <w:rPr>
          <w:rtl/>
        </w:rPr>
        <w:tab/>
      </w:r>
      <w:r w:rsidRPr="00885E11">
        <w:rPr>
          <w:rtl/>
        </w:rPr>
        <w:t>تلاحظ</w:t>
      </w:r>
      <w:r>
        <w:rPr>
          <w:rtl/>
        </w:rPr>
        <w:t xml:space="preserve"> </w:t>
      </w:r>
      <w:r w:rsidRPr="00885E11">
        <w:rPr>
          <w:rtl/>
        </w:rPr>
        <w:t>اللجنة</w:t>
      </w:r>
      <w:r>
        <w:rPr>
          <w:rtl/>
        </w:rPr>
        <w:t xml:space="preserve"> </w:t>
      </w:r>
      <w:r w:rsidRPr="00885E11">
        <w:rPr>
          <w:rtl/>
        </w:rPr>
        <w:t>أن</w:t>
      </w:r>
      <w:r>
        <w:rPr>
          <w:rtl/>
        </w:rPr>
        <w:t xml:space="preserve"> </w:t>
      </w:r>
      <w:r w:rsidRPr="00885E11">
        <w:rPr>
          <w:rtl/>
        </w:rPr>
        <w:t>التأخير</w:t>
      </w:r>
      <w:r>
        <w:rPr>
          <w:rtl/>
        </w:rPr>
        <w:t xml:space="preserve"> </w:t>
      </w:r>
      <w:r w:rsidRPr="00885E11">
        <w:rPr>
          <w:rtl/>
        </w:rPr>
        <w:t>في</w:t>
      </w:r>
      <w:r>
        <w:rPr>
          <w:rtl/>
        </w:rPr>
        <w:t xml:space="preserve"> </w:t>
      </w:r>
      <w:r w:rsidRPr="00885E11">
        <w:rPr>
          <w:rtl/>
        </w:rPr>
        <w:t>تعيين</w:t>
      </w:r>
      <w:r>
        <w:rPr>
          <w:rtl/>
        </w:rPr>
        <w:t xml:space="preserve"> </w:t>
      </w:r>
      <w:r w:rsidRPr="00885E11">
        <w:rPr>
          <w:rtl/>
        </w:rPr>
        <w:t>أعضاء</w:t>
      </w:r>
      <w:r>
        <w:rPr>
          <w:rtl/>
        </w:rPr>
        <w:t xml:space="preserve"> </w:t>
      </w:r>
      <w:r w:rsidRPr="00885E11">
        <w:rPr>
          <w:rtl/>
        </w:rPr>
        <w:t>جدد</w:t>
      </w:r>
      <w:r>
        <w:rPr>
          <w:rtl/>
        </w:rPr>
        <w:t xml:space="preserve"> </w:t>
      </w:r>
      <w:r w:rsidRPr="00885E11">
        <w:rPr>
          <w:rtl/>
        </w:rPr>
        <w:t>في</w:t>
      </w:r>
      <w:r>
        <w:rPr>
          <w:rtl/>
        </w:rPr>
        <w:t xml:space="preserve"> </w:t>
      </w:r>
      <w:r w:rsidRPr="00885E11">
        <w:rPr>
          <w:rtl/>
        </w:rPr>
        <w:t>المفوضية</w:t>
      </w:r>
      <w:r>
        <w:rPr>
          <w:rtl/>
        </w:rPr>
        <w:t xml:space="preserve"> </w:t>
      </w:r>
      <w:r w:rsidRPr="00885E11">
        <w:rPr>
          <w:rtl/>
        </w:rPr>
        <w:t>العليا</w:t>
      </w:r>
      <w:r>
        <w:rPr>
          <w:rtl/>
        </w:rPr>
        <w:t xml:space="preserve"> </w:t>
      </w:r>
      <w:r w:rsidRPr="00885E11">
        <w:rPr>
          <w:rtl/>
        </w:rPr>
        <w:t>لحقوق</w:t>
      </w:r>
      <w:r>
        <w:rPr>
          <w:rtl/>
        </w:rPr>
        <w:t xml:space="preserve"> </w:t>
      </w:r>
      <w:r w:rsidRPr="00885E11">
        <w:rPr>
          <w:rtl/>
        </w:rPr>
        <w:t>الإنسان</w:t>
      </w:r>
      <w:r>
        <w:rPr>
          <w:rtl/>
        </w:rPr>
        <w:t xml:space="preserve"> </w:t>
      </w:r>
      <w:r w:rsidRPr="00885E11">
        <w:rPr>
          <w:rtl/>
        </w:rPr>
        <w:t>كان</w:t>
      </w:r>
      <w:r>
        <w:rPr>
          <w:rtl/>
        </w:rPr>
        <w:t xml:space="preserve"> </w:t>
      </w:r>
      <w:r w:rsidRPr="00885E11">
        <w:rPr>
          <w:rtl/>
        </w:rPr>
        <w:t>بسبب</w:t>
      </w:r>
      <w:r>
        <w:rPr>
          <w:rtl/>
        </w:rPr>
        <w:t xml:space="preserve"> </w:t>
      </w:r>
      <w:r w:rsidRPr="00885E11">
        <w:rPr>
          <w:rtl/>
        </w:rPr>
        <w:t>انتظار</w:t>
      </w:r>
      <w:r>
        <w:rPr>
          <w:rtl/>
        </w:rPr>
        <w:t xml:space="preserve"> </w:t>
      </w:r>
      <w:r w:rsidRPr="00885E11">
        <w:rPr>
          <w:rtl/>
        </w:rPr>
        <w:t>نتائج</w:t>
      </w:r>
      <w:r>
        <w:rPr>
          <w:rtl/>
        </w:rPr>
        <w:t xml:space="preserve"> </w:t>
      </w:r>
      <w:r w:rsidRPr="00885E11">
        <w:rPr>
          <w:rtl/>
        </w:rPr>
        <w:t>العمليات</w:t>
      </w:r>
      <w:r>
        <w:rPr>
          <w:rtl/>
        </w:rPr>
        <w:t xml:space="preserve"> </w:t>
      </w:r>
      <w:r w:rsidRPr="00885E11">
        <w:rPr>
          <w:rtl/>
        </w:rPr>
        <w:t>الجارية</w:t>
      </w:r>
      <w:r>
        <w:rPr>
          <w:rtl/>
        </w:rPr>
        <w:t xml:space="preserve"> </w:t>
      </w:r>
      <w:r w:rsidRPr="00885E11">
        <w:rPr>
          <w:rtl/>
        </w:rPr>
        <w:t>لانتخاب</w:t>
      </w:r>
      <w:r>
        <w:rPr>
          <w:rtl/>
        </w:rPr>
        <w:t xml:space="preserve"> </w:t>
      </w:r>
      <w:r w:rsidRPr="00885E11">
        <w:rPr>
          <w:rtl/>
        </w:rPr>
        <w:t>رئيس</w:t>
      </w:r>
      <w:r>
        <w:rPr>
          <w:rtl/>
        </w:rPr>
        <w:t xml:space="preserve"> </w:t>
      </w:r>
      <w:r w:rsidRPr="00885E11">
        <w:rPr>
          <w:rtl/>
        </w:rPr>
        <w:t>جديد</w:t>
      </w:r>
      <w:r>
        <w:rPr>
          <w:rtl/>
        </w:rPr>
        <w:t xml:space="preserve"> </w:t>
      </w:r>
      <w:r w:rsidRPr="00885E11">
        <w:rPr>
          <w:rtl/>
        </w:rPr>
        <w:t>للعراق</w:t>
      </w:r>
      <w:r>
        <w:rPr>
          <w:rtl/>
        </w:rPr>
        <w:t xml:space="preserve"> </w:t>
      </w:r>
      <w:r w:rsidRPr="00885E11">
        <w:rPr>
          <w:rtl/>
        </w:rPr>
        <w:t>ورئيس</w:t>
      </w:r>
      <w:r>
        <w:rPr>
          <w:rtl/>
        </w:rPr>
        <w:t xml:space="preserve"> </w:t>
      </w:r>
      <w:r w:rsidRPr="00885E11">
        <w:rPr>
          <w:rtl/>
        </w:rPr>
        <w:t>جديد</w:t>
      </w:r>
      <w:r>
        <w:rPr>
          <w:rtl/>
        </w:rPr>
        <w:t xml:space="preserve"> </w:t>
      </w:r>
      <w:r w:rsidRPr="00885E11">
        <w:rPr>
          <w:rtl/>
        </w:rPr>
        <w:t>لمجلس</w:t>
      </w:r>
      <w:r>
        <w:rPr>
          <w:rtl/>
        </w:rPr>
        <w:t xml:space="preserve"> </w:t>
      </w:r>
      <w:r w:rsidRPr="00885E11">
        <w:rPr>
          <w:rtl/>
        </w:rPr>
        <w:t>الوزراء.</w:t>
      </w:r>
      <w:r>
        <w:rPr>
          <w:rtl/>
        </w:rPr>
        <w:t xml:space="preserve"> </w:t>
      </w:r>
      <w:r w:rsidRPr="00885E11">
        <w:rPr>
          <w:rtl/>
        </w:rPr>
        <w:t>وتعرب</w:t>
      </w:r>
      <w:r>
        <w:rPr>
          <w:rtl/>
        </w:rPr>
        <w:t xml:space="preserve"> </w:t>
      </w:r>
      <w:r w:rsidRPr="00885E11">
        <w:rPr>
          <w:rtl/>
        </w:rPr>
        <w:t>اللجنة</w:t>
      </w:r>
      <w:r>
        <w:rPr>
          <w:rtl/>
        </w:rPr>
        <w:t xml:space="preserve"> </w:t>
      </w:r>
      <w:r w:rsidRPr="00885E11">
        <w:rPr>
          <w:rtl/>
        </w:rPr>
        <w:t>عن</w:t>
      </w:r>
      <w:r>
        <w:rPr>
          <w:rtl/>
        </w:rPr>
        <w:t xml:space="preserve"> </w:t>
      </w:r>
      <w:r w:rsidRPr="00885E11">
        <w:rPr>
          <w:rtl/>
        </w:rPr>
        <w:t>قلقها</w:t>
      </w:r>
      <w:r>
        <w:rPr>
          <w:rtl/>
        </w:rPr>
        <w:t xml:space="preserve"> </w:t>
      </w:r>
      <w:r w:rsidRPr="00885E11">
        <w:rPr>
          <w:rtl/>
        </w:rPr>
        <w:t>لأن</w:t>
      </w:r>
      <w:r>
        <w:rPr>
          <w:rtl/>
        </w:rPr>
        <w:t xml:space="preserve"> </w:t>
      </w:r>
      <w:r w:rsidRPr="00885E11">
        <w:rPr>
          <w:rtl/>
        </w:rPr>
        <w:t>إجراءات</w:t>
      </w:r>
      <w:r>
        <w:rPr>
          <w:rtl/>
        </w:rPr>
        <w:t xml:space="preserve"> </w:t>
      </w:r>
      <w:r w:rsidRPr="00885E11">
        <w:rPr>
          <w:rtl/>
        </w:rPr>
        <w:t>تعيين</w:t>
      </w:r>
      <w:r>
        <w:rPr>
          <w:rtl/>
        </w:rPr>
        <w:t xml:space="preserve"> </w:t>
      </w:r>
      <w:r w:rsidRPr="00885E11">
        <w:rPr>
          <w:rtl/>
        </w:rPr>
        <w:t>أعضاء</w:t>
      </w:r>
      <w:r>
        <w:rPr>
          <w:rtl/>
        </w:rPr>
        <w:t xml:space="preserve"> </w:t>
      </w:r>
      <w:r w:rsidRPr="00885E11">
        <w:rPr>
          <w:rtl/>
        </w:rPr>
        <w:t>المفوضية</w:t>
      </w:r>
      <w:r>
        <w:rPr>
          <w:rtl/>
        </w:rPr>
        <w:t xml:space="preserve"> </w:t>
      </w:r>
      <w:r w:rsidRPr="00885E11">
        <w:rPr>
          <w:rtl/>
        </w:rPr>
        <w:t>العليا</w:t>
      </w:r>
      <w:r>
        <w:rPr>
          <w:rtl/>
        </w:rPr>
        <w:t xml:space="preserve"> </w:t>
      </w:r>
      <w:r w:rsidRPr="00885E11">
        <w:rPr>
          <w:rtl/>
        </w:rPr>
        <w:t>لحقوق</w:t>
      </w:r>
      <w:r>
        <w:rPr>
          <w:rtl/>
        </w:rPr>
        <w:t xml:space="preserve"> </w:t>
      </w:r>
      <w:r w:rsidRPr="00885E11">
        <w:rPr>
          <w:rtl/>
        </w:rPr>
        <w:t>الإنسان</w:t>
      </w:r>
      <w:r>
        <w:rPr>
          <w:rtl/>
        </w:rPr>
        <w:t xml:space="preserve"> </w:t>
      </w:r>
      <w:r w:rsidRPr="00885E11">
        <w:rPr>
          <w:rtl/>
        </w:rPr>
        <w:t>لا</w:t>
      </w:r>
      <w:r>
        <w:rPr>
          <w:rtl/>
        </w:rPr>
        <w:t xml:space="preserve"> </w:t>
      </w:r>
      <w:r w:rsidRPr="00885E11">
        <w:rPr>
          <w:rtl/>
        </w:rPr>
        <w:t>تضمن</w:t>
      </w:r>
      <w:r>
        <w:rPr>
          <w:rtl/>
        </w:rPr>
        <w:t xml:space="preserve"> </w:t>
      </w:r>
      <w:r w:rsidRPr="00885E11">
        <w:rPr>
          <w:rtl/>
        </w:rPr>
        <w:t>استقلالها</w:t>
      </w:r>
      <w:r>
        <w:rPr>
          <w:rtl/>
        </w:rPr>
        <w:t xml:space="preserve"> </w:t>
      </w:r>
      <w:r w:rsidRPr="00885E11">
        <w:rPr>
          <w:rtl/>
        </w:rPr>
        <w:t>عن</w:t>
      </w:r>
      <w:r>
        <w:rPr>
          <w:rtl/>
        </w:rPr>
        <w:t xml:space="preserve"> </w:t>
      </w:r>
      <w:r w:rsidRPr="00885E11">
        <w:rPr>
          <w:rtl/>
        </w:rPr>
        <w:t>تأثير</w:t>
      </w:r>
      <w:r>
        <w:rPr>
          <w:rtl/>
        </w:rPr>
        <w:t xml:space="preserve"> </w:t>
      </w:r>
      <w:r w:rsidRPr="00885E11">
        <w:rPr>
          <w:rtl/>
        </w:rPr>
        <w:t>الأحزاب</w:t>
      </w:r>
      <w:r>
        <w:rPr>
          <w:rtl/>
        </w:rPr>
        <w:t xml:space="preserve"> </w:t>
      </w:r>
      <w:r w:rsidRPr="00885E11">
        <w:rPr>
          <w:rtl/>
        </w:rPr>
        <w:t>السياسية.</w:t>
      </w:r>
      <w:r>
        <w:rPr>
          <w:rtl/>
        </w:rPr>
        <w:t xml:space="preserve"> </w:t>
      </w:r>
      <w:r w:rsidRPr="00885E11">
        <w:rPr>
          <w:rtl/>
        </w:rPr>
        <w:t>وتلاحظ</w:t>
      </w:r>
      <w:r>
        <w:rPr>
          <w:rtl/>
        </w:rPr>
        <w:t xml:space="preserve"> </w:t>
      </w:r>
      <w:r w:rsidRPr="00885E11">
        <w:rPr>
          <w:rtl/>
        </w:rPr>
        <w:t>اللجنة</w:t>
      </w:r>
      <w:r>
        <w:rPr>
          <w:rtl/>
        </w:rPr>
        <w:t xml:space="preserve"> </w:t>
      </w:r>
      <w:r w:rsidRPr="00885E11">
        <w:rPr>
          <w:rtl/>
        </w:rPr>
        <w:t>أيضاً</w:t>
      </w:r>
      <w:r>
        <w:rPr>
          <w:rtl/>
        </w:rPr>
        <w:t xml:space="preserve"> </w:t>
      </w:r>
      <w:r w:rsidRPr="00885E11">
        <w:rPr>
          <w:rtl/>
        </w:rPr>
        <w:t>أن</w:t>
      </w:r>
      <w:r>
        <w:rPr>
          <w:rtl/>
        </w:rPr>
        <w:t xml:space="preserve"> </w:t>
      </w:r>
      <w:r w:rsidRPr="00885E11">
        <w:rPr>
          <w:rtl/>
        </w:rPr>
        <w:t>القانون</w:t>
      </w:r>
      <w:r>
        <w:rPr>
          <w:rtl/>
        </w:rPr>
        <w:t xml:space="preserve"> </w:t>
      </w:r>
      <w:r w:rsidRPr="00885E11">
        <w:rPr>
          <w:rtl/>
        </w:rPr>
        <w:t>رقم</w:t>
      </w:r>
      <w:r>
        <w:rPr>
          <w:rtl/>
        </w:rPr>
        <w:t xml:space="preserve"> </w:t>
      </w:r>
      <w:r w:rsidRPr="00846FFB">
        <w:rPr>
          <w:rtl/>
        </w:rPr>
        <w:t>53</w:t>
      </w:r>
      <w:r w:rsidRPr="00885E11">
        <w:rPr>
          <w:rtl/>
        </w:rPr>
        <w:t>/</w:t>
      </w:r>
      <w:r w:rsidRPr="00846FFB">
        <w:rPr>
          <w:rtl/>
        </w:rPr>
        <w:t>2008</w:t>
      </w:r>
      <w:r>
        <w:rPr>
          <w:rtl/>
        </w:rPr>
        <w:t xml:space="preserve"> </w:t>
      </w:r>
      <w:r w:rsidRPr="00885E11">
        <w:rPr>
          <w:rtl/>
        </w:rPr>
        <w:t>المنشئ</w:t>
      </w:r>
      <w:r>
        <w:rPr>
          <w:rtl/>
        </w:rPr>
        <w:t xml:space="preserve"> </w:t>
      </w:r>
      <w:r w:rsidRPr="00885E11">
        <w:rPr>
          <w:rtl/>
        </w:rPr>
        <w:t>للمفوضية</w:t>
      </w:r>
      <w:r>
        <w:rPr>
          <w:rtl/>
        </w:rPr>
        <w:t xml:space="preserve"> </w:t>
      </w:r>
      <w:r w:rsidRPr="00885E11">
        <w:rPr>
          <w:rtl/>
        </w:rPr>
        <w:t>العليا</w:t>
      </w:r>
      <w:r>
        <w:rPr>
          <w:rtl/>
        </w:rPr>
        <w:t xml:space="preserve"> </w:t>
      </w:r>
      <w:r w:rsidRPr="00885E11">
        <w:rPr>
          <w:rtl/>
        </w:rPr>
        <w:t>لحقوق</w:t>
      </w:r>
      <w:r>
        <w:rPr>
          <w:rtl/>
        </w:rPr>
        <w:t xml:space="preserve"> </w:t>
      </w:r>
      <w:r w:rsidRPr="00885E11">
        <w:rPr>
          <w:rtl/>
        </w:rPr>
        <w:t>الإنسان</w:t>
      </w:r>
      <w:r>
        <w:rPr>
          <w:rtl/>
        </w:rPr>
        <w:t xml:space="preserve"> </w:t>
      </w:r>
      <w:r w:rsidRPr="00885E11">
        <w:rPr>
          <w:rtl/>
        </w:rPr>
        <w:t>ينص</w:t>
      </w:r>
      <w:r>
        <w:rPr>
          <w:rtl/>
        </w:rPr>
        <w:t xml:space="preserve"> </w:t>
      </w:r>
      <w:r w:rsidRPr="00885E11">
        <w:rPr>
          <w:rtl/>
        </w:rPr>
        <w:t>على</w:t>
      </w:r>
      <w:r>
        <w:rPr>
          <w:rtl/>
        </w:rPr>
        <w:t xml:space="preserve"> </w:t>
      </w:r>
      <w:r w:rsidRPr="00885E11">
        <w:rPr>
          <w:rtl/>
        </w:rPr>
        <w:t>أن</w:t>
      </w:r>
      <w:r>
        <w:rPr>
          <w:rtl/>
        </w:rPr>
        <w:t xml:space="preserve"> </w:t>
      </w:r>
      <w:r w:rsidRPr="00885E11">
        <w:rPr>
          <w:rtl/>
        </w:rPr>
        <w:t>تشكل</w:t>
      </w:r>
      <w:r>
        <w:rPr>
          <w:rtl/>
        </w:rPr>
        <w:t xml:space="preserve"> </w:t>
      </w:r>
      <w:r w:rsidRPr="00885E11">
        <w:rPr>
          <w:rtl/>
        </w:rPr>
        <w:t>النساء</w:t>
      </w:r>
      <w:r>
        <w:rPr>
          <w:rtl/>
        </w:rPr>
        <w:t xml:space="preserve"> </w:t>
      </w:r>
      <w:r w:rsidRPr="00885E11">
        <w:rPr>
          <w:rtl/>
        </w:rPr>
        <w:t>ما</w:t>
      </w:r>
      <w:r>
        <w:rPr>
          <w:rtl/>
        </w:rPr>
        <w:t xml:space="preserve"> </w:t>
      </w:r>
      <w:r w:rsidRPr="00885E11">
        <w:rPr>
          <w:rtl/>
        </w:rPr>
        <w:t>لا</w:t>
      </w:r>
      <w:r w:rsidR="00DC17E8">
        <w:rPr>
          <w:rFonts w:hint="cs"/>
          <w:rtl/>
        </w:rPr>
        <w:t> </w:t>
      </w:r>
      <w:r w:rsidRPr="00885E11">
        <w:rPr>
          <w:rtl/>
        </w:rPr>
        <w:t>يقل</w:t>
      </w:r>
      <w:r>
        <w:rPr>
          <w:rtl/>
        </w:rPr>
        <w:t xml:space="preserve"> </w:t>
      </w:r>
      <w:r w:rsidRPr="00885E11">
        <w:rPr>
          <w:rtl/>
        </w:rPr>
        <w:t>عن</w:t>
      </w:r>
      <w:r>
        <w:rPr>
          <w:rtl/>
        </w:rPr>
        <w:t xml:space="preserve"> </w:t>
      </w:r>
      <w:r w:rsidRPr="00885E11">
        <w:rPr>
          <w:rtl/>
        </w:rPr>
        <w:t>ثلث</w:t>
      </w:r>
      <w:r>
        <w:rPr>
          <w:rtl/>
        </w:rPr>
        <w:t xml:space="preserve"> </w:t>
      </w:r>
      <w:r w:rsidRPr="00885E11">
        <w:rPr>
          <w:rtl/>
        </w:rPr>
        <w:t>أعضاء</w:t>
      </w:r>
      <w:r>
        <w:rPr>
          <w:rtl/>
        </w:rPr>
        <w:t xml:space="preserve"> </w:t>
      </w:r>
      <w:r w:rsidRPr="00885E11">
        <w:rPr>
          <w:rtl/>
        </w:rPr>
        <w:t>اللجنة.</w:t>
      </w:r>
      <w:r>
        <w:rPr>
          <w:rtl/>
        </w:rPr>
        <w:t xml:space="preserve"> </w:t>
      </w:r>
      <w:r w:rsidRPr="00885E11">
        <w:rPr>
          <w:rtl/>
        </w:rPr>
        <w:t>بيد</w:t>
      </w:r>
      <w:r>
        <w:rPr>
          <w:rtl/>
        </w:rPr>
        <w:t xml:space="preserve"> </w:t>
      </w:r>
      <w:r w:rsidRPr="00885E11">
        <w:rPr>
          <w:rtl/>
        </w:rPr>
        <w:t>أنها</w:t>
      </w:r>
      <w:r>
        <w:rPr>
          <w:rtl/>
        </w:rPr>
        <w:t xml:space="preserve"> </w:t>
      </w:r>
      <w:r w:rsidRPr="00885E11">
        <w:rPr>
          <w:rtl/>
        </w:rPr>
        <w:t>تأسف</w:t>
      </w:r>
      <w:r>
        <w:rPr>
          <w:rtl/>
        </w:rPr>
        <w:t xml:space="preserve"> </w:t>
      </w:r>
      <w:r w:rsidRPr="00885E11">
        <w:rPr>
          <w:rtl/>
        </w:rPr>
        <w:t>لأن</w:t>
      </w:r>
      <w:r>
        <w:rPr>
          <w:rtl/>
        </w:rPr>
        <w:t xml:space="preserve"> </w:t>
      </w:r>
      <w:r w:rsidRPr="00885E11">
        <w:rPr>
          <w:rtl/>
        </w:rPr>
        <w:t>القانون</w:t>
      </w:r>
      <w:r>
        <w:rPr>
          <w:rtl/>
        </w:rPr>
        <w:t xml:space="preserve"> </w:t>
      </w:r>
      <w:r w:rsidRPr="00885E11">
        <w:rPr>
          <w:rtl/>
        </w:rPr>
        <w:t>ينص</w:t>
      </w:r>
      <w:r>
        <w:rPr>
          <w:rtl/>
        </w:rPr>
        <w:t xml:space="preserve"> </w:t>
      </w:r>
      <w:r w:rsidRPr="00885E11">
        <w:rPr>
          <w:rtl/>
        </w:rPr>
        <w:t>على</w:t>
      </w:r>
      <w:r>
        <w:rPr>
          <w:rtl/>
        </w:rPr>
        <w:t xml:space="preserve"> </w:t>
      </w:r>
      <w:r w:rsidRPr="00885E11">
        <w:rPr>
          <w:rtl/>
        </w:rPr>
        <w:t>عدم</w:t>
      </w:r>
      <w:r>
        <w:rPr>
          <w:rtl/>
        </w:rPr>
        <w:t xml:space="preserve"> </w:t>
      </w:r>
      <w:r w:rsidRPr="00885E11">
        <w:rPr>
          <w:rtl/>
        </w:rPr>
        <w:t>تمثيل</w:t>
      </w:r>
      <w:r>
        <w:rPr>
          <w:rtl/>
        </w:rPr>
        <w:t xml:space="preserve"> </w:t>
      </w:r>
      <w:r w:rsidRPr="00885E11">
        <w:rPr>
          <w:rtl/>
        </w:rPr>
        <w:t>الأقليات</w:t>
      </w:r>
      <w:r>
        <w:rPr>
          <w:rtl/>
        </w:rPr>
        <w:t xml:space="preserve"> </w:t>
      </w:r>
      <w:r w:rsidRPr="00885E11">
        <w:rPr>
          <w:rtl/>
        </w:rPr>
        <w:t>إلا</w:t>
      </w:r>
      <w:r>
        <w:rPr>
          <w:rtl/>
        </w:rPr>
        <w:t xml:space="preserve"> </w:t>
      </w:r>
      <w:r w:rsidRPr="00885E11">
        <w:rPr>
          <w:rtl/>
        </w:rPr>
        <w:t>بعضو</w:t>
      </w:r>
      <w:r>
        <w:rPr>
          <w:rtl/>
        </w:rPr>
        <w:t xml:space="preserve"> </w:t>
      </w:r>
      <w:r w:rsidRPr="00885E11">
        <w:rPr>
          <w:rtl/>
        </w:rPr>
        <w:t>واحد</w:t>
      </w:r>
      <w:r w:rsidR="00DC17E8">
        <w:rPr>
          <w:rFonts w:hint="cs"/>
          <w:rtl/>
        </w:rPr>
        <w:t xml:space="preserve"> </w:t>
      </w:r>
      <w:r w:rsidRPr="00885E11">
        <w:rPr>
          <w:rtl/>
        </w:rPr>
        <w:t>كامل</w:t>
      </w:r>
      <w:r>
        <w:rPr>
          <w:rtl/>
        </w:rPr>
        <w:t xml:space="preserve"> </w:t>
      </w:r>
      <w:r w:rsidRPr="00885E11">
        <w:rPr>
          <w:rtl/>
        </w:rPr>
        <w:t>العضوية</w:t>
      </w:r>
      <w:r>
        <w:rPr>
          <w:rtl/>
        </w:rPr>
        <w:t xml:space="preserve"> </w:t>
      </w:r>
      <w:r w:rsidRPr="00885E11">
        <w:rPr>
          <w:rtl/>
        </w:rPr>
        <w:t>وبعضو</w:t>
      </w:r>
      <w:r>
        <w:rPr>
          <w:rtl/>
        </w:rPr>
        <w:t xml:space="preserve"> </w:t>
      </w:r>
      <w:r w:rsidRPr="00885E11">
        <w:rPr>
          <w:rtl/>
        </w:rPr>
        <w:t>احتياطي</w:t>
      </w:r>
      <w:r>
        <w:rPr>
          <w:rtl/>
        </w:rPr>
        <w:t xml:space="preserve"> </w:t>
      </w:r>
      <w:r w:rsidRPr="00885E11">
        <w:rPr>
          <w:rtl/>
        </w:rPr>
        <w:t>واحد</w:t>
      </w:r>
      <w:r>
        <w:rPr>
          <w:rtl/>
        </w:rPr>
        <w:t xml:space="preserve"> </w:t>
      </w:r>
      <w:r w:rsidRPr="00885E11">
        <w:rPr>
          <w:rtl/>
        </w:rPr>
        <w:t>ولأنه</w:t>
      </w:r>
      <w:r>
        <w:rPr>
          <w:rtl/>
        </w:rPr>
        <w:t xml:space="preserve"> </w:t>
      </w:r>
      <w:r w:rsidRPr="00885E11">
        <w:rPr>
          <w:rtl/>
        </w:rPr>
        <w:t>لا</w:t>
      </w:r>
      <w:r>
        <w:rPr>
          <w:rtl/>
        </w:rPr>
        <w:t xml:space="preserve"> </w:t>
      </w:r>
      <w:r w:rsidRPr="00885E11">
        <w:rPr>
          <w:rtl/>
        </w:rPr>
        <w:t>ينص</w:t>
      </w:r>
      <w:r>
        <w:rPr>
          <w:rtl/>
        </w:rPr>
        <w:t xml:space="preserve"> </w:t>
      </w:r>
      <w:r w:rsidRPr="00885E11">
        <w:rPr>
          <w:rtl/>
        </w:rPr>
        <w:t>على</w:t>
      </w:r>
      <w:r>
        <w:rPr>
          <w:rtl/>
        </w:rPr>
        <w:t xml:space="preserve"> </w:t>
      </w:r>
      <w:r w:rsidRPr="00885E11">
        <w:rPr>
          <w:rtl/>
        </w:rPr>
        <w:t>أي</w:t>
      </w:r>
      <w:r>
        <w:rPr>
          <w:rtl/>
        </w:rPr>
        <w:t xml:space="preserve"> </w:t>
      </w:r>
      <w:r w:rsidRPr="00885E11">
        <w:rPr>
          <w:rtl/>
        </w:rPr>
        <w:t>تمثيل</w:t>
      </w:r>
      <w:r>
        <w:rPr>
          <w:rtl/>
        </w:rPr>
        <w:t xml:space="preserve"> </w:t>
      </w:r>
      <w:r w:rsidRPr="00885E11">
        <w:rPr>
          <w:rtl/>
        </w:rPr>
        <w:t>لأعضاء</w:t>
      </w:r>
      <w:r>
        <w:rPr>
          <w:rtl/>
        </w:rPr>
        <w:t xml:space="preserve"> </w:t>
      </w:r>
      <w:r w:rsidRPr="00885E11">
        <w:rPr>
          <w:rtl/>
        </w:rPr>
        <w:t>المجتمع</w:t>
      </w:r>
      <w:r>
        <w:rPr>
          <w:rtl/>
        </w:rPr>
        <w:t xml:space="preserve"> </w:t>
      </w:r>
      <w:r w:rsidRPr="00885E11">
        <w:rPr>
          <w:rtl/>
        </w:rPr>
        <w:t>المدني.</w:t>
      </w:r>
    </w:p>
    <w:p w14:paraId="02617010" w14:textId="7B7B8B6E" w:rsidR="00885E11" w:rsidRPr="00DC17E8" w:rsidRDefault="00885E11" w:rsidP="00885E11">
      <w:pPr>
        <w:pStyle w:val="SingleTxtGA"/>
        <w:rPr>
          <w:b/>
          <w:bCs/>
        </w:rPr>
      </w:pPr>
      <w:r w:rsidRPr="00846FFB">
        <w:rPr>
          <w:rtl/>
        </w:rPr>
        <w:t>7</w:t>
      </w:r>
      <w:r w:rsidRPr="007B0599">
        <w:rPr>
          <w:rtl/>
        </w:rPr>
        <w:t>-</w:t>
      </w:r>
      <w:r w:rsidRPr="007B0599">
        <w:rPr>
          <w:rtl/>
        </w:rPr>
        <w:tab/>
      </w:r>
      <w:r w:rsidRPr="00DC17E8">
        <w:rPr>
          <w:b/>
          <w:bCs/>
          <w:rtl/>
        </w:rPr>
        <w:t>تشجع اللجنة الدولة الطرف على اتخاذ التدابير اللازمة لضمان تمثيل مجموعات الأقليات والمجتمع المدني تمثيلا</w:t>
      </w:r>
      <w:r w:rsidR="00972A49">
        <w:rPr>
          <w:rFonts w:hint="cs"/>
          <w:b/>
          <w:bCs/>
          <w:rtl/>
        </w:rPr>
        <w:t>ً</w:t>
      </w:r>
      <w:r w:rsidRPr="00DC17E8">
        <w:rPr>
          <w:b/>
          <w:bCs/>
          <w:rtl/>
        </w:rPr>
        <w:t xml:space="preserve"> كافياً بين أعضاء المفوضية العليا لحقوق الإنسان. وينبغي لها أيضا</w:t>
      </w:r>
      <w:r w:rsidR="00972A49">
        <w:rPr>
          <w:rFonts w:hint="cs"/>
          <w:b/>
          <w:bCs/>
          <w:rtl/>
        </w:rPr>
        <w:t>ً</w:t>
      </w:r>
      <w:r w:rsidRPr="00DC17E8">
        <w:rPr>
          <w:b/>
          <w:bCs/>
          <w:rtl/>
        </w:rPr>
        <w:t xml:space="preserve"> أن تواصل جهودها الرامية إلى ضمان حصول المفوضية</w:t>
      </w:r>
      <w:r w:rsidR="00DC17E8">
        <w:rPr>
          <w:rFonts w:hint="cs"/>
          <w:b/>
          <w:bCs/>
          <w:rtl/>
        </w:rPr>
        <w:t xml:space="preserve"> </w:t>
      </w:r>
      <w:r w:rsidRPr="00DC17E8">
        <w:rPr>
          <w:b/>
          <w:bCs/>
          <w:rtl/>
        </w:rPr>
        <w:t>على ما يكفي من الموارد المالية والبشرية</w:t>
      </w:r>
      <w:r w:rsidR="005D7864">
        <w:rPr>
          <w:b/>
          <w:bCs/>
          <w:rtl/>
        </w:rPr>
        <w:t>،</w:t>
      </w:r>
      <w:r w:rsidRPr="00DC17E8">
        <w:rPr>
          <w:b/>
          <w:bCs/>
          <w:rtl/>
        </w:rPr>
        <w:t xml:space="preserve"> وإتاحة إمكانية وصول جميع الأشخاص إليها على قدم المساواة في جميع أنحاء إقليم الدولة الطرف</w:t>
      </w:r>
      <w:r w:rsidR="005D7864">
        <w:rPr>
          <w:b/>
          <w:bCs/>
          <w:rtl/>
        </w:rPr>
        <w:t>،</w:t>
      </w:r>
      <w:r w:rsidRPr="00DC17E8">
        <w:rPr>
          <w:b/>
          <w:bCs/>
          <w:rtl/>
        </w:rPr>
        <w:t xml:space="preserve"> وتعاون جميع السلطات العامة معها تعاوناً كاملاً</w:t>
      </w:r>
      <w:r w:rsidR="005D7864">
        <w:rPr>
          <w:b/>
          <w:bCs/>
          <w:rtl/>
        </w:rPr>
        <w:t>،</w:t>
      </w:r>
      <w:r w:rsidRPr="00DC17E8">
        <w:rPr>
          <w:b/>
          <w:bCs/>
          <w:rtl/>
        </w:rPr>
        <w:t xml:space="preserve"> وتمكينها من الاضطلاع بولايتها بفعالية واستقلالية امتثالاً للمبادئ المتعلقة بمركز المؤسسات الوطنية لتعزيز وحماية حقوق الإنسان (مبادئ باريس). </w:t>
      </w:r>
    </w:p>
    <w:p w14:paraId="6F14C5B0" w14:textId="5427B1A1" w:rsidR="00885E11" w:rsidRPr="00846FFB" w:rsidRDefault="00885E11" w:rsidP="00885E11">
      <w:pPr>
        <w:pStyle w:val="H23GA"/>
      </w:pPr>
      <w:r w:rsidRPr="00846FFB">
        <w:rPr>
          <w:rtl/>
        </w:rPr>
        <w:tab/>
      </w:r>
      <w:r w:rsidRPr="00846FFB">
        <w:rPr>
          <w:rtl/>
        </w:rPr>
        <w:tab/>
        <w:t>مكافحة الإفلات من العقاب وانتهاكات حقوق الإنسان المرتكبة في الماضي</w:t>
      </w:r>
    </w:p>
    <w:p w14:paraId="0AF0F3C5" w14:textId="0509F7DB" w:rsidR="00885E11" w:rsidRPr="00E73DBD" w:rsidRDefault="00885E11" w:rsidP="00885E11">
      <w:pPr>
        <w:pStyle w:val="SingleTxtGA"/>
        <w:rPr>
          <w:spacing w:val="-2"/>
        </w:rPr>
      </w:pPr>
      <w:r w:rsidRPr="00846FFB">
        <w:rPr>
          <w:rtl/>
        </w:rPr>
        <w:t>8</w:t>
      </w:r>
      <w:r w:rsidRPr="007B0599">
        <w:rPr>
          <w:rtl/>
        </w:rPr>
        <w:t>-</w:t>
      </w:r>
      <w:r w:rsidRPr="007B0599">
        <w:rPr>
          <w:rtl/>
        </w:rPr>
        <w:tab/>
      </w:r>
      <w:r w:rsidRPr="00E73DBD">
        <w:rPr>
          <w:spacing w:val="-2"/>
          <w:rtl/>
        </w:rPr>
        <w:t>تلاحظ اللجنة باهتمام أن مشروع قانون بشأن حماية الأشخاص من الاختفاء القسري معروض حالياً على مجلس الوزراء للموافقة النهائية عليه.</w:t>
      </w:r>
      <w:r w:rsidR="00DC17E8" w:rsidRPr="00E73DBD">
        <w:rPr>
          <w:spacing w:val="-2"/>
          <w:rtl/>
        </w:rPr>
        <w:t xml:space="preserve"> </w:t>
      </w:r>
      <w:r w:rsidRPr="00E73DBD">
        <w:rPr>
          <w:spacing w:val="-2"/>
          <w:rtl/>
        </w:rPr>
        <w:t>وترحب اللجنة بإنشاء وحدة التحقيق في جرائم داعش فيما</w:t>
      </w:r>
      <w:r w:rsidR="00972A49" w:rsidRPr="00E73DBD">
        <w:rPr>
          <w:rFonts w:hint="cs"/>
          <w:spacing w:val="-2"/>
          <w:rtl/>
        </w:rPr>
        <w:t> </w:t>
      </w:r>
      <w:r w:rsidRPr="00E73DBD">
        <w:rPr>
          <w:spacing w:val="-2"/>
          <w:rtl/>
        </w:rPr>
        <w:t xml:space="preserve">يخص القضايا المتعلقة بعبودية النساء والأطفال الأكراد </w:t>
      </w:r>
      <w:proofErr w:type="spellStart"/>
      <w:r w:rsidRPr="00E73DBD">
        <w:rPr>
          <w:spacing w:val="-2"/>
          <w:rtl/>
        </w:rPr>
        <w:t>الأيزيديين</w:t>
      </w:r>
      <w:proofErr w:type="spellEnd"/>
      <w:r w:rsidRPr="00E73DBD">
        <w:rPr>
          <w:spacing w:val="-2"/>
          <w:rtl/>
        </w:rPr>
        <w:t xml:space="preserve"> والأشخاص المنتمين إلى الطوائف الأخرى</w:t>
      </w:r>
      <w:r w:rsidR="005D7864" w:rsidRPr="00E73DBD">
        <w:rPr>
          <w:spacing w:val="-2"/>
          <w:rtl/>
        </w:rPr>
        <w:t>،</w:t>
      </w:r>
      <w:r w:rsidRPr="00E73DBD">
        <w:rPr>
          <w:spacing w:val="-2"/>
          <w:rtl/>
        </w:rPr>
        <w:t xml:space="preserve"> فضلاً عن هيئة قضائية خاصة للتحقيق في الجرائم المرتكبة ضد </w:t>
      </w:r>
      <w:proofErr w:type="spellStart"/>
      <w:r w:rsidRPr="00E73DBD">
        <w:rPr>
          <w:spacing w:val="-2"/>
          <w:rtl/>
        </w:rPr>
        <w:t>الأيزيديين</w:t>
      </w:r>
      <w:proofErr w:type="spellEnd"/>
      <w:r w:rsidRPr="00E73DBD">
        <w:rPr>
          <w:spacing w:val="-2"/>
          <w:rtl/>
        </w:rPr>
        <w:t xml:space="preserve"> في محافظة نينوى. وترحب اللجنة أيضاً بإنشاء لجنتين لتقصي الحقائق في عامي </w:t>
      </w:r>
      <w:r w:rsidRPr="00846FFB">
        <w:rPr>
          <w:spacing w:val="-2"/>
          <w:rtl/>
        </w:rPr>
        <w:t>2016</w:t>
      </w:r>
      <w:r w:rsidRPr="00E73DBD">
        <w:rPr>
          <w:spacing w:val="-2"/>
          <w:rtl/>
        </w:rPr>
        <w:t xml:space="preserve"> و</w:t>
      </w:r>
      <w:r w:rsidRPr="00846FFB">
        <w:rPr>
          <w:spacing w:val="-2"/>
          <w:rtl/>
        </w:rPr>
        <w:t>2018</w:t>
      </w:r>
      <w:r w:rsidRPr="00E73DBD">
        <w:rPr>
          <w:spacing w:val="-2"/>
          <w:rtl/>
        </w:rPr>
        <w:t xml:space="preserve"> للتحقيق في ادعاءات انتهاكات حقوق الإنسان وضمان المساءلة فيما يتعلق بمظاهرات عام </w:t>
      </w:r>
      <w:r w:rsidRPr="00846FFB">
        <w:rPr>
          <w:spacing w:val="-2"/>
          <w:rtl/>
        </w:rPr>
        <w:t>2019</w:t>
      </w:r>
      <w:r w:rsidRPr="00E73DBD">
        <w:rPr>
          <w:spacing w:val="-2"/>
          <w:rtl/>
        </w:rPr>
        <w:t>. بيد أنها تأسف لعدم وجود معلومات عن النتائج التي خلصت إليها هاتان</w:t>
      </w:r>
      <w:r w:rsidR="00DC17E8" w:rsidRPr="00E73DBD">
        <w:rPr>
          <w:spacing w:val="-2"/>
          <w:rtl/>
        </w:rPr>
        <w:t xml:space="preserve"> </w:t>
      </w:r>
      <w:r w:rsidRPr="00E73DBD">
        <w:rPr>
          <w:spacing w:val="-2"/>
          <w:rtl/>
        </w:rPr>
        <w:t>اللجنتان</w:t>
      </w:r>
      <w:r w:rsidR="00DC17E8" w:rsidRPr="00E73DBD">
        <w:rPr>
          <w:spacing w:val="-2"/>
          <w:rtl/>
        </w:rPr>
        <w:t xml:space="preserve"> </w:t>
      </w:r>
      <w:r w:rsidRPr="00E73DBD">
        <w:rPr>
          <w:spacing w:val="-2"/>
          <w:rtl/>
        </w:rPr>
        <w:t>وعما إذا كانت أي من توصياتهما قد نفذت. وعلاوة على ذلك</w:t>
      </w:r>
      <w:r w:rsidR="005D7864" w:rsidRPr="00E73DBD">
        <w:rPr>
          <w:spacing w:val="-2"/>
          <w:rtl/>
        </w:rPr>
        <w:t>،</w:t>
      </w:r>
      <w:r w:rsidRPr="00E73DBD">
        <w:rPr>
          <w:spacing w:val="-2"/>
          <w:rtl/>
        </w:rPr>
        <w:t xml:space="preserve"> يساور اللجنة القلق إزاء التقارير التي تفيد بأن الملاحقات القضائية كانت قليلة جداً</w:t>
      </w:r>
      <w:r w:rsidR="00DC17E8" w:rsidRPr="00E73DBD">
        <w:rPr>
          <w:spacing w:val="-2"/>
          <w:rtl/>
        </w:rPr>
        <w:t xml:space="preserve"> </w:t>
      </w:r>
      <w:r w:rsidRPr="00E73DBD">
        <w:rPr>
          <w:spacing w:val="-2"/>
          <w:rtl/>
        </w:rPr>
        <w:t>على الرغم من العدد الكبير لحالات العنف المزعوم</w:t>
      </w:r>
      <w:r w:rsidR="005D7864" w:rsidRPr="00E73DBD">
        <w:rPr>
          <w:spacing w:val="-2"/>
          <w:rtl/>
        </w:rPr>
        <w:t>،</w:t>
      </w:r>
      <w:r w:rsidRPr="00E73DBD">
        <w:rPr>
          <w:spacing w:val="-2"/>
          <w:rtl/>
        </w:rPr>
        <w:t xml:space="preserve">. وتأسف اللجنة أيضاً لعدم وجود معلومات عن عدد الملاحقات القضائية والإدانات لمرتكبي العنف الجنسي ضد النساء </w:t>
      </w:r>
      <w:proofErr w:type="spellStart"/>
      <w:r w:rsidRPr="00E73DBD">
        <w:rPr>
          <w:spacing w:val="-2"/>
          <w:rtl/>
        </w:rPr>
        <w:t>الأيزيديات</w:t>
      </w:r>
      <w:proofErr w:type="spellEnd"/>
      <w:r w:rsidRPr="00E73DBD">
        <w:rPr>
          <w:spacing w:val="-2"/>
          <w:rtl/>
        </w:rPr>
        <w:t xml:space="preserve"> ونوع العقوبات المفروضة عليهم. وتلاحظ اللجنة أيضاً مع القلق التقارير التي تفيد بوقوع أعمال انتقامية ضد الناشطين الذين يدعون إلى المساءلة وضد القضاة وضباط التحقيق الذين شاركوا في قضايا تتعلق بالعنف في المظاهرات. وعلاوة على ذلك</w:t>
      </w:r>
      <w:r w:rsidR="005D7864" w:rsidRPr="00E73DBD">
        <w:rPr>
          <w:spacing w:val="-2"/>
          <w:rtl/>
        </w:rPr>
        <w:t>،</w:t>
      </w:r>
      <w:r w:rsidRPr="00E73DBD">
        <w:rPr>
          <w:spacing w:val="-2"/>
          <w:rtl/>
        </w:rPr>
        <w:t xml:space="preserve"> تعرب اللجنة عن قلقها إزاء التقارير التي تفيد باستمرار حالات الاختفاء القسري (المواد </w:t>
      </w:r>
      <w:r w:rsidRPr="00846FFB">
        <w:rPr>
          <w:spacing w:val="-2"/>
          <w:rtl/>
        </w:rPr>
        <w:t>3</w:t>
      </w:r>
      <w:r w:rsidRPr="00E73DBD">
        <w:rPr>
          <w:spacing w:val="-2"/>
          <w:rtl/>
        </w:rPr>
        <w:t xml:space="preserve"> و</w:t>
      </w:r>
      <w:r w:rsidRPr="00846FFB">
        <w:rPr>
          <w:spacing w:val="-2"/>
          <w:rtl/>
        </w:rPr>
        <w:t>6</w:t>
      </w:r>
      <w:r w:rsidRPr="00E73DBD">
        <w:rPr>
          <w:spacing w:val="-2"/>
          <w:rtl/>
        </w:rPr>
        <w:t>-</w:t>
      </w:r>
      <w:r w:rsidRPr="00846FFB">
        <w:rPr>
          <w:spacing w:val="-2"/>
          <w:rtl/>
        </w:rPr>
        <w:t>7</w:t>
      </w:r>
      <w:r w:rsidRPr="00E73DBD">
        <w:rPr>
          <w:spacing w:val="-2"/>
          <w:rtl/>
        </w:rPr>
        <w:t xml:space="preserve"> و</w:t>
      </w:r>
      <w:r w:rsidRPr="00846FFB">
        <w:rPr>
          <w:spacing w:val="-2"/>
          <w:rtl/>
        </w:rPr>
        <w:t>9</w:t>
      </w:r>
      <w:r w:rsidRPr="00E73DBD">
        <w:rPr>
          <w:spacing w:val="-2"/>
          <w:rtl/>
        </w:rPr>
        <w:t xml:space="preserve"> و</w:t>
      </w:r>
      <w:r w:rsidRPr="00846FFB">
        <w:rPr>
          <w:spacing w:val="-2"/>
          <w:rtl/>
        </w:rPr>
        <w:t>14</w:t>
      </w:r>
      <w:r w:rsidRPr="00E73DBD">
        <w:rPr>
          <w:spacing w:val="-2"/>
          <w:rtl/>
        </w:rPr>
        <w:t xml:space="preserve"> و</w:t>
      </w:r>
      <w:r w:rsidRPr="00846FFB">
        <w:rPr>
          <w:spacing w:val="-2"/>
          <w:rtl/>
        </w:rPr>
        <w:t>26</w:t>
      </w:r>
      <w:r w:rsidRPr="00E73DBD">
        <w:rPr>
          <w:spacing w:val="-2"/>
          <w:rtl/>
        </w:rPr>
        <w:t>).</w:t>
      </w:r>
    </w:p>
    <w:p w14:paraId="58C4764D" w14:textId="15466714" w:rsidR="00885E11" w:rsidRPr="00DC17E8" w:rsidRDefault="00885E11" w:rsidP="00885E11">
      <w:pPr>
        <w:pStyle w:val="SingleTxtGA"/>
        <w:rPr>
          <w:b/>
          <w:bCs/>
        </w:rPr>
      </w:pPr>
      <w:r w:rsidRPr="00846FFB">
        <w:rPr>
          <w:rtl/>
        </w:rPr>
        <w:t>9</w:t>
      </w:r>
      <w:r w:rsidRPr="007B0599">
        <w:rPr>
          <w:rtl/>
        </w:rPr>
        <w:t>-</w:t>
      </w:r>
      <w:r w:rsidRPr="007B0599">
        <w:rPr>
          <w:rtl/>
        </w:rPr>
        <w:tab/>
      </w:r>
      <w:r w:rsidRPr="00DC17E8">
        <w:rPr>
          <w:b/>
          <w:bCs/>
          <w:rtl/>
        </w:rPr>
        <w:t>توصي اللجنة الدولة الطرف بما يلي</w:t>
      </w:r>
      <w:r w:rsidR="00DC17E8">
        <w:rPr>
          <w:rFonts w:hint="cs"/>
          <w:b/>
          <w:bCs/>
          <w:rtl/>
        </w:rPr>
        <w:t>:</w:t>
      </w:r>
      <w:r w:rsidRPr="00DC17E8">
        <w:rPr>
          <w:b/>
          <w:bCs/>
          <w:rtl/>
        </w:rPr>
        <w:t xml:space="preserve"> </w:t>
      </w:r>
    </w:p>
    <w:p w14:paraId="03FB487C" w14:textId="66D49BCA" w:rsidR="00885E11" w:rsidRPr="00DC17E8" w:rsidRDefault="00885E11" w:rsidP="00885E11">
      <w:pPr>
        <w:pStyle w:val="SingleTxtGA"/>
        <w:rPr>
          <w:b/>
          <w:bCs/>
        </w:rPr>
      </w:pPr>
      <w:r w:rsidRPr="007B0599">
        <w:rPr>
          <w:rtl/>
        </w:rPr>
        <w:tab/>
        <w:t>(أ)</w:t>
      </w:r>
      <w:r w:rsidRPr="007B0599">
        <w:rPr>
          <w:rtl/>
        </w:rPr>
        <w:tab/>
      </w:r>
      <w:r w:rsidRPr="00DC17E8">
        <w:rPr>
          <w:b/>
          <w:bCs/>
          <w:rtl/>
        </w:rPr>
        <w:t>اتخاذ التدابير اللازمة للتحقيق في جميع حالات انتهاكات حقوق الإنسان المبلغ عنها ومقاضاة مرتكبيها في الوقت المناسب</w:t>
      </w:r>
      <w:r w:rsidR="005D7864">
        <w:rPr>
          <w:b/>
          <w:bCs/>
          <w:rtl/>
        </w:rPr>
        <w:t>،</w:t>
      </w:r>
      <w:r w:rsidRPr="00DC17E8">
        <w:rPr>
          <w:b/>
          <w:bCs/>
          <w:rtl/>
        </w:rPr>
        <w:t xml:space="preserve"> بما في ذلك في الحالات التي تنطوي على جرائم جنسية ارتكبها أعضاء داعش خلال النزاع المسلح ضد النساء والفتيات </w:t>
      </w:r>
      <w:proofErr w:type="spellStart"/>
      <w:r w:rsidRPr="00DC17E8">
        <w:rPr>
          <w:b/>
          <w:bCs/>
          <w:rtl/>
        </w:rPr>
        <w:t>الأيزيديات</w:t>
      </w:r>
      <w:proofErr w:type="spellEnd"/>
      <w:r w:rsidR="005D7864">
        <w:rPr>
          <w:b/>
          <w:bCs/>
          <w:rtl/>
        </w:rPr>
        <w:t>،</w:t>
      </w:r>
      <w:r w:rsidRPr="00DC17E8">
        <w:rPr>
          <w:b/>
          <w:bCs/>
          <w:rtl/>
        </w:rPr>
        <w:t xml:space="preserve"> وتلك الانتهاكات التي وقعت في سياق مظاهرات عامي </w:t>
      </w:r>
      <w:r w:rsidRPr="00846FFB">
        <w:rPr>
          <w:b/>
          <w:bCs/>
          <w:rtl/>
        </w:rPr>
        <w:t>2019</w:t>
      </w:r>
      <w:r w:rsidRPr="00DC17E8">
        <w:rPr>
          <w:b/>
          <w:bCs/>
          <w:rtl/>
        </w:rPr>
        <w:t xml:space="preserve"> و</w:t>
      </w:r>
      <w:r w:rsidRPr="00846FFB">
        <w:rPr>
          <w:b/>
          <w:bCs/>
          <w:rtl/>
        </w:rPr>
        <w:t>2020</w:t>
      </w:r>
      <w:r w:rsidR="005D7864">
        <w:rPr>
          <w:b/>
          <w:bCs/>
          <w:rtl/>
        </w:rPr>
        <w:t>،</w:t>
      </w:r>
      <w:r w:rsidRPr="00DC17E8">
        <w:rPr>
          <w:b/>
          <w:bCs/>
          <w:rtl/>
        </w:rPr>
        <w:t xml:space="preserve"> ولا سيما مزاعم الاختفاء القسري</w:t>
      </w:r>
      <w:r w:rsidR="005D7864">
        <w:rPr>
          <w:b/>
          <w:bCs/>
          <w:rtl/>
        </w:rPr>
        <w:t>،</w:t>
      </w:r>
      <w:r w:rsidRPr="00DC17E8">
        <w:rPr>
          <w:b/>
          <w:bCs/>
          <w:rtl/>
        </w:rPr>
        <w:t xml:space="preserve"> والاحتجاز التعسفي والتعذيب وغيره من ضروب العنف؛ </w:t>
      </w:r>
    </w:p>
    <w:p w14:paraId="5A186EB9" w14:textId="34993881" w:rsidR="00885E11" w:rsidRPr="00DC17E8" w:rsidRDefault="00885E11" w:rsidP="00885E11">
      <w:pPr>
        <w:pStyle w:val="SingleTxtGA"/>
        <w:rPr>
          <w:b/>
          <w:bCs/>
        </w:rPr>
      </w:pPr>
      <w:r w:rsidRPr="007B0599">
        <w:rPr>
          <w:rtl/>
        </w:rPr>
        <w:tab/>
        <w:t>(ب)</w:t>
      </w:r>
      <w:r w:rsidRPr="007B0599">
        <w:rPr>
          <w:rtl/>
        </w:rPr>
        <w:tab/>
      </w:r>
      <w:r w:rsidRPr="00DC17E8">
        <w:rPr>
          <w:b/>
          <w:bCs/>
          <w:rtl/>
        </w:rPr>
        <w:t>ضمان معاقبة الجناة وفرض</w:t>
      </w:r>
      <w:r w:rsidR="00DC17E8" w:rsidRPr="00DC17E8">
        <w:rPr>
          <w:b/>
          <w:bCs/>
          <w:rtl/>
        </w:rPr>
        <w:t xml:space="preserve"> </w:t>
      </w:r>
      <w:r w:rsidRPr="00DC17E8">
        <w:rPr>
          <w:b/>
          <w:bCs/>
          <w:rtl/>
        </w:rPr>
        <w:t>عقوبات</w:t>
      </w:r>
      <w:r w:rsidR="00DC17E8" w:rsidRPr="00DC17E8">
        <w:rPr>
          <w:b/>
          <w:bCs/>
          <w:rtl/>
        </w:rPr>
        <w:t xml:space="preserve"> </w:t>
      </w:r>
      <w:r w:rsidRPr="00DC17E8">
        <w:rPr>
          <w:b/>
          <w:bCs/>
          <w:rtl/>
        </w:rPr>
        <w:t>متناسبة مع خطورة الجريمة</w:t>
      </w:r>
      <w:r w:rsidR="005D7864">
        <w:rPr>
          <w:b/>
          <w:bCs/>
          <w:rtl/>
        </w:rPr>
        <w:t>،</w:t>
      </w:r>
      <w:r w:rsidRPr="00DC17E8">
        <w:rPr>
          <w:b/>
          <w:bCs/>
          <w:rtl/>
        </w:rPr>
        <w:t xml:space="preserve"> لكنها لا تشمل عقوبة الإعدام</w:t>
      </w:r>
      <w:r w:rsidR="005D7864">
        <w:rPr>
          <w:b/>
          <w:bCs/>
          <w:rtl/>
        </w:rPr>
        <w:t>،</w:t>
      </w:r>
      <w:r w:rsidRPr="00DC17E8">
        <w:rPr>
          <w:b/>
          <w:bCs/>
          <w:rtl/>
        </w:rPr>
        <w:t xml:space="preserve"> وحصول الضحايا أو أفراد أسرهم على تعويض كامل؛ </w:t>
      </w:r>
    </w:p>
    <w:p w14:paraId="765C9974" w14:textId="6BD0A169" w:rsidR="00885E11" w:rsidRPr="00DC17E8" w:rsidRDefault="00885E11" w:rsidP="00885E11">
      <w:pPr>
        <w:pStyle w:val="SingleTxtGA"/>
        <w:rPr>
          <w:b/>
          <w:bCs/>
        </w:rPr>
      </w:pPr>
      <w:r w:rsidRPr="007B0599">
        <w:rPr>
          <w:rtl/>
        </w:rPr>
        <w:tab/>
        <w:t>(ج)</w:t>
      </w:r>
      <w:r w:rsidRPr="007B0599">
        <w:rPr>
          <w:rtl/>
        </w:rPr>
        <w:tab/>
      </w:r>
      <w:r w:rsidRPr="00DC17E8">
        <w:rPr>
          <w:b/>
          <w:bCs/>
          <w:rtl/>
        </w:rPr>
        <w:t>ضمان الإسراع باعتماد مشروع القانون المتعلق بحماية الأشخاص من الاختفاء القسري</w:t>
      </w:r>
      <w:r w:rsidR="005D7864">
        <w:rPr>
          <w:b/>
          <w:bCs/>
          <w:rtl/>
        </w:rPr>
        <w:t>،</w:t>
      </w:r>
      <w:r w:rsidRPr="00DC17E8">
        <w:rPr>
          <w:b/>
          <w:bCs/>
          <w:rtl/>
        </w:rPr>
        <w:t xml:space="preserve"> واتخاذ جميع التدابير اللازمة لضمان وقف هذه الممارسة. </w:t>
      </w:r>
    </w:p>
    <w:p w14:paraId="5977E6B5" w14:textId="5C4A8B97" w:rsidR="00885E11" w:rsidRPr="00846FFB" w:rsidRDefault="00885E11" w:rsidP="00885E11">
      <w:pPr>
        <w:pStyle w:val="H23GA"/>
      </w:pPr>
      <w:r w:rsidRPr="00846FFB">
        <w:rPr>
          <w:rtl/>
        </w:rPr>
        <w:tab/>
      </w:r>
      <w:r w:rsidRPr="00846FFB">
        <w:rPr>
          <w:rtl/>
        </w:rPr>
        <w:tab/>
        <w:t>المساواة بين الجنسين</w:t>
      </w:r>
    </w:p>
    <w:p w14:paraId="67DA996C" w14:textId="02497DAC" w:rsidR="00885E11" w:rsidRPr="00E73DBD" w:rsidRDefault="00885E11" w:rsidP="00885E11">
      <w:pPr>
        <w:pStyle w:val="SingleTxtGA"/>
        <w:rPr>
          <w:spacing w:val="-4"/>
        </w:rPr>
      </w:pPr>
      <w:r w:rsidRPr="00846FFB">
        <w:rPr>
          <w:rtl/>
        </w:rPr>
        <w:t>10</w:t>
      </w:r>
      <w:r w:rsidRPr="007B0599">
        <w:rPr>
          <w:rtl/>
        </w:rPr>
        <w:t>-</w:t>
      </w:r>
      <w:r w:rsidRPr="007B0599">
        <w:rPr>
          <w:rtl/>
        </w:rPr>
        <w:tab/>
      </w:r>
      <w:r w:rsidRPr="00E73DBD">
        <w:rPr>
          <w:spacing w:val="-4"/>
          <w:rtl/>
        </w:rPr>
        <w:t>تلاحظ اللجنة مع التقدير إشارة الدولة الطرف إلى أنها تعمل على تعزيز المشاركة النشطة للمرأة في الحياة العامة والسياسية وإلى أن هذه الجهود قد أثمرت في الانتخابات الأخيرة. ومع ذلك</w:t>
      </w:r>
      <w:r w:rsidR="005D7864" w:rsidRPr="00E73DBD">
        <w:rPr>
          <w:spacing w:val="-4"/>
          <w:rtl/>
        </w:rPr>
        <w:t>،</w:t>
      </w:r>
      <w:r w:rsidRPr="00E73DBD">
        <w:rPr>
          <w:spacing w:val="-4"/>
          <w:rtl/>
        </w:rPr>
        <w:t xml:space="preserve"> يساور اللجنة</w:t>
      </w:r>
      <w:r w:rsidR="00DC17E8" w:rsidRPr="00E73DBD">
        <w:rPr>
          <w:spacing w:val="-4"/>
          <w:rtl/>
        </w:rPr>
        <w:t xml:space="preserve"> </w:t>
      </w:r>
      <w:r w:rsidRPr="00E73DBD">
        <w:rPr>
          <w:spacing w:val="-4"/>
          <w:rtl/>
        </w:rPr>
        <w:t xml:space="preserve">القلق إزاء انخفاض تمثيل المرأة على أعلى مستويات الحكومة وفي القضاء والنيابة العامة (المواد </w:t>
      </w:r>
      <w:r w:rsidRPr="00846FFB">
        <w:rPr>
          <w:spacing w:val="-4"/>
          <w:rtl/>
        </w:rPr>
        <w:t>2</w:t>
      </w:r>
      <w:r w:rsidRPr="00E73DBD">
        <w:rPr>
          <w:spacing w:val="-4"/>
          <w:rtl/>
        </w:rPr>
        <w:t>-</w:t>
      </w:r>
      <w:r w:rsidRPr="00846FFB">
        <w:rPr>
          <w:spacing w:val="-4"/>
          <w:rtl/>
        </w:rPr>
        <w:t>3</w:t>
      </w:r>
      <w:r w:rsidRPr="00E73DBD">
        <w:rPr>
          <w:spacing w:val="-4"/>
          <w:rtl/>
        </w:rPr>
        <w:t xml:space="preserve"> و</w:t>
      </w:r>
      <w:r w:rsidRPr="00846FFB">
        <w:rPr>
          <w:spacing w:val="-4"/>
          <w:rtl/>
        </w:rPr>
        <w:t>26</w:t>
      </w:r>
      <w:r w:rsidRPr="00E73DBD">
        <w:rPr>
          <w:spacing w:val="-4"/>
          <w:rtl/>
        </w:rPr>
        <w:t>).</w:t>
      </w:r>
    </w:p>
    <w:p w14:paraId="483CC51C" w14:textId="3017F530" w:rsidR="00885E11" w:rsidRPr="00DC17E8" w:rsidRDefault="00885E11" w:rsidP="00885E11">
      <w:pPr>
        <w:pStyle w:val="SingleTxtGA"/>
        <w:rPr>
          <w:b/>
          <w:bCs/>
        </w:rPr>
      </w:pPr>
      <w:r w:rsidRPr="00846FFB">
        <w:rPr>
          <w:rtl/>
        </w:rPr>
        <w:t>11</w:t>
      </w:r>
      <w:r w:rsidRPr="007B0599">
        <w:rPr>
          <w:rtl/>
        </w:rPr>
        <w:t>-</w:t>
      </w:r>
      <w:r w:rsidRPr="007B0599">
        <w:rPr>
          <w:rtl/>
        </w:rPr>
        <w:tab/>
      </w:r>
      <w:r w:rsidRPr="00DC17E8">
        <w:rPr>
          <w:b/>
          <w:bCs/>
          <w:rtl/>
        </w:rPr>
        <w:t>ينبغي للدولة الطرف اتخاذ</w:t>
      </w:r>
      <w:r w:rsidR="00DC17E8" w:rsidRPr="00DC17E8">
        <w:rPr>
          <w:rFonts w:hint="cs"/>
          <w:b/>
          <w:bCs/>
          <w:rtl/>
        </w:rPr>
        <w:t xml:space="preserve"> </w:t>
      </w:r>
      <w:r w:rsidRPr="00DC17E8">
        <w:rPr>
          <w:b/>
          <w:bCs/>
          <w:rtl/>
        </w:rPr>
        <w:t>تدابير أكثر قوة لضمان المساواة القانونية والفعلية بين الرجل والمرأة. وينبغي لها على وجه الخصوص القيام بما يلي:</w:t>
      </w:r>
    </w:p>
    <w:p w14:paraId="5E62AD32" w14:textId="7F7F5921" w:rsidR="00885E11" w:rsidRPr="00DC17E8" w:rsidRDefault="00885E11" w:rsidP="00885E11">
      <w:pPr>
        <w:pStyle w:val="SingleTxtGA"/>
        <w:rPr>
          <w:b/>
          <w:bCs/>
        </w:rPr>
      </w:pPr>
      <w:r w:rsidRPr="007B0599">
        <w:rPr>
          <w:rtl/>
        </w:rPr>
        <w:tab/>
        <w:t>(أ)</w:t>
      </w:r>
      <w:r w:rsidRPr="007B0599">
        <w:rPr>
          <w:rtl/>
        </w:rPr>
        <w:tab/>
      </w:r>
      <w:r w:rsidRPr="00DC17E8">
        <w:rPr>
          <w:b/>
          <w:bCs/>
          <w:rtl/>
        </w:rPr>
        <w:t>تعزيز جهودها الرامية إلى زيادة تمثيل المرأة في الحياة العامة</w:t>
      </w:r>
      <w:r w:rsidR="005D7864">
        <w:rPr>
          <w:b/>
          <w:bCs/>
          <w:rtl/>
        </w:rPr>
        <w:t>،</w:t>
      </w:r>
      <w:r w:rsidRPr="00DC17E8">
        <w:rPr>
          <w:b/>
          <w:bCs/>
          <w:rtl/>
        </w:rPr>
        <w:t xml:space="preserve"> ولا سيما على أعلى مستويات الحكومة وفي القضاء والنيابة العامة؛</w:t>
      </w:r>
    </w:p>
    <w:p w14:paraId="0A9B31D5" w14:textId="70CE242A" w:rsidR="00885E11" w:rsidRPr="00DC17E8" w:rsidRDefault="00885E11" w:rsidP="00885E11">
      <w:pPr>
        <w:pStyle w:val="SingleTxtGA"/>
        <w:rPr>
          <w:b/>
          <w:bCs/>
        </w:rPr>
      </w:pPr>
      <w:r w:rsidRPr="007B0599">
        <w:rPr>
          <w:rtl/>
        </w:rPr>
        <w:tab/>
        <w:t>(ب)</w:t>
      </w:r>
      <w:r w:rsidRPr="007B0599">
        <w:rPr>
          <w:rtl/>
        </w:rPr>
        <w:tab/>
      </w:r>
      <w:r w:rsidRPr="00DC17E8">
        <w:rPr>
          <w:b/>
          <w:bCs/>
          <w:rtl/>
        </w:rPr>
        <w:t>مضاعفة جهودها لإزالة القوالب النمطية الجنسانية بشأن أدوار ومسؤوليات المرأة والرجل في الأسرة والمجتمع؛</w:t>
      </w:r>
    </w:p>
    <w:p w14:paraId="7ED3639C" w14:textId="68B1B1A7" w:rsidR="00885E11" w:rsidRPr="00846FFB" w:rsidRDefault="00885E11" w:rsidP="00885E11">
      <w:pPr>
        <w:pStyle w:val="H23GA"/>
      </w:pPr>
      <w:r w:rsidRPr="00846FFB">
        <w:rPr>
          <w:rtl/>
        </w:rPr>
        <w:tab/>
      </w:r>
      <w:r w:rsidRPr="00846FFB">
        <w:rPr>
          <w:rtl/>
        </w:rPr>
        <w:tab/>
        <w:t>عدم التمييز</w:t>
      </w:r>
    </w:p>
    <w:p w14:paraId="0EA15076" w14:textId="07821ECE" w:rsidR="00885E11" w:rsidRPr="00885E11" w:rsidRDefault="00885E11" w:rsidP="00885E11">
      <w:pPr>
        <w:pStyle w:val="SingleTxtGA"/>
      </w:pPr>
      <w:r w:rsidRPr="00846FFB">
        <w:rPr>
          <w:rtl/>
        </w:rPr>
        <w:t>12</w:t>
      </w:r>
      <w:r w:rsidRPr="007B0599">
        <w:rPr>
          <w:rtl/>
        </w:rPr>
        <w:t>-</w:t>
      </w:r>
      <w:r w:rsidRPr="007B0599">
        <w:rPr>
          <w:rtl/>
        </w:rPr>
        <w:tab/>
      </w:r>
      <w:r w:rsidRPr="00885E11">
        <w:rPr>
          <w:rtl/>
        </w:rPr>
        <w:t>تحيط</w:t>
      </w:r>
      <w:r>
        <w:rPr>
          <w:rtl/>
        </w:rPr>
        <w:t xml:space="preserve"> </w:t>
      </w:r>
      <w:r w:rsidRPr="00885E11">
        <w:rPr>
          <w:rtl/>
        </w:rPr>
        <w:t>اللجنة</w:t>
      </w:r>
      <w:r>
        <w:rPr>
          <w:rtl/>
        </w:rPr>
        <w:t xml:space="preserve"> </w:t>
      </w:r>
      <w:r w:rsidRPr="00885E11">
        <w:rPr>
          <w:rtl/>
        </w:rPr>
        <w:t>علماً</w:t>
      </w:r>
      <w:r>
        <w:rPr>
          <w:rtl/>
        </w:rPr>
        <w:t xml:space="preserve"> </w:t>
      </w:r>
      <w:r w:rsidRPr="00885E11">
        <w:rPr>
          <w:rtl/>
        </w:rPr>
        <w:t>بإشارة</w:t>
      </w:r>
      <w:r>
        <w:rPr>
          <w:rtl/>
        </w:rPr>
        <w:t xml:space="preserve"> </w:t>
      </w:r>
      <w:r w:rsidRPr="00885E11">
        <w:rPr>
          <w:rtl/>
        </w:rPr>
        <w:t>الدولة</w:t>
      </w:r>
      <w:r>
        <w:rPr>
          <w:rtl/>
        </w:rPr>
        <w:t xml:space="preserve"> </w:t>
      </w:r>
      <w:r w:rsidRPr="00885E11">
        <w:rPr>
          <w:rtl/>
        </w:rPr>
        <w:t>الطرف</w:t>
      </w:r>
      <w:r>
        <w:rPr>
          <w:rtl/>
        </w:rPr>
        <w:t xml:space="preserve"> </w:t>
      </w:r>
      <w:r w:rsidRPr="00885E11">
        <w:rPr>
          <w:rtl/>
        </w:rPr>
        <w:t>إلى</w:t>
      </w:r>
      <w:r>
        <w:rPr>
          <w:rtl/>
        </w:rPr>
        <w:t xml:space="preserve"> </w:t>
      </w:r>
      <w:r w:rsidRPr="00885E11">
        <w:rPr>
          <w:rtl/>
        </w:rPr>
        <w:t>أن</w:t>
      </w:r>
      <w:r>
        <w:rPr>
          <w:rtl/>
        </w:rPr>
        <w:t xml:space="preserve"> </w:t>
      </w:r>
      <w:r w:rsidRPr="00885E11">
        <w:rPr>
          <w:rtl/>
        </w:rPr>
        <w:t>القانون</w:t>
      </w:r>
      <w:r>
        <w:rPr>
          <w:rtl/>
        </w:rPr>
        <w:t xml:space="preserve"> </w:t>
      </w:r>
      <w:r w:rsidRPr="00885E11">
        <w:rPr>
          <w:rtl/>
        </w:rPr>
        <w:t>العراقي</w:t>
      </w:r>
      <w:r>
        <w:rPr>
          <w:rtl/>
        </w:rPr>
        <w:t xml:space="preserve"> </w:t>
      </w:r>
      <w:r w:rsidRPr="00885E11">
        <w:rPr>
          <w:rtl/>
        </w:rPr>
        <w:t>لا</w:t>
      </w:r>
      <w:r>
        <w:rPr>
          <w:rtl/>
        </w:rPr>
        <w:t xml:space="preserve"> </w:t>
      </w:r>
      <w:r w:rsidRPr="00885E11">
        <w:rPr>
          <w:rtl/>
        </w:rPr>
        <w:t>يتضمن</w:t>
      </w:r>
      <w:r>
        <w:rPr>
          <w:rtl/>
        </w:rPr>
        <w:t xml:space="preserve"> </w:t>
      </w:r>
      <w:r w:rsidRPr="00885E11">
        <w:rPr>
          <w:rtl/>
        </w:rPr>
        <w:t>أحكاماً</w:t>
      </w:r>
      <w:r>
        <w:rPr>
          <w:rtl/>
        </w:rPr>
        <w:t xml:space="preserve"> </w:t>
      </w:r>
      <w:r w:rsidRPr="00885E11">
        <w:rPr>
          <w:rtl/>
        </w:rPr>
        <w:t>تمييزية</w:t>
      </w:r>
      <w:r>
        <w:rPr>
          <w:rtl/>
        </w:rPr>
        <w:t xml:space="preserve"> </w:t>
      </w:r>
      <w:r w:rsidRPr="00885E11">
        <w:rPr>
          <w:rtl/>
        </w:rPr>
        <w:t>ضد</w:t>
      </w:r>
      <w:r>
        <w:rPr>
          <w:rtl/>
        </w:rPr>
        <w:t xml:space="preserve"> </w:t>
      </w:r>
      <w:r w:rsidRPr="00885E11">
        <w:rPr>
          <w:rtl/>
        </w:rPr>
        <w:t>الأشخاص</w:t>
      </w:r>
      <w:r>
        <w:rPr>
          <w:rtl/>
        </w:rPr>
        <w:t xml:space="preserve"> </w:t>
      </w:r>
      <w:r w:rsidRPr="00885E11">
        <w:rPr>
          <w:rtl/>
        </w:rPr>
        <w:t>من</w:t>
      </w:r>
      <w:r>
        <w:rPr>
          <w:rtl/>
        </w:rPr>
        <w:t xml:space="preserve"> </w:t>
      </w:r>
      <w:r w:rsidRPr="00885E11">
        <w:rPr>
          <w:rtl/>
        </w:rPr>
        <w:t>أي</w:t>
      </w:r>
      <w:r>
        <w:rPr>
          <w:rtl/>
        </w:rPr>
        <w:t xml:space="preserve"> </w:t>
      </w:r>
      <w:r w:rsidRPr="00885E11">
        <w:rPr>
          <w:rtl/>
        </w:rPr>
        <w:t>فئة</w:t>
      </w:r>
      <w:r>
        <w:rPr>
          <w:rtl/>
        </w:rPr>
        <w:t xml:space="preserve"> </w:t>
      </w:r>
      <w:r w:rsidRPr="00885E11">
        <w:rPr>
          <w:rtl/>
        </w:rPr>
        <w:t>محددة</w:t>
      </w:r>
      <w:r>
        <w:rPr>
          <w:rtl/>
        </w:rPr>
        <w:t xml:space="preserve"> </w:t>
      </w:r>
      <w:r w:rsidRPr="00885E11">
        <w:rPr>
          <w:rtl/>
        </w:rPr>
        <w:t>على</w:t>
      </w:r>
      <w:r>
        <w:rPr>
          <w:rtl/>
        </w:rPr>
        <w:t xml:space="preserve"> </w:t>
      </w:r>
      <w:r w:rsidRPr="00885E11">
        <w:rPr>
          <w:rtl/>
        </w:rPr>
        <w:t>أساس</w:t>
      </w:r>
      <w:r>
        <w:rPr>
          <w:rtl/>
        </w:rPr>
        <w:t xml:space="preserve"> </w:t>
      </w:r>
      <w:r w:rsidRPr="00885E11">
        <w:rPr>
          <w:rtl/>
        </w:rPr>
        <w:t>الميل</w:t>
      </w:r>
      <w:r>
        <w:rPr>
          <w:rtl/>
        </w:rPr>
        <w:t xml:space="preserve"> </w:t>
      </w:r>
      <w:r w:rsidRPr="00885E11">
        <w:rPr>
          <w:rtl/>
        </w:rPr>
        <w:t>الجنسي</w:t>
      </w:r>
      <w:r>
        <w:rPr>
          <w:rtl/>
        </w:rPr>
        <w:t xml:space="preserve"> </w:t>
      </w:r>
      <w:r w:rsidRPr="00885E11">
        <w:rPr>
          <w:rtl/>
        </w:rPr>
        <w:t>أو</w:t>
      </w:r>
      <w:r>
        <w:rPr>
          <w:rtl/>
        </w:rPr>
        <w:t xml:space="preserve"> </w:t>
      </w:r>
      <w:r w:rsidRPr="00885E11">
        <w:rPr>
          <w:rtl/>
        </w:rPr>
        <w:t>نوع</w:t>
      </w:r>
      <w:r>
        <w:rPr>
          <w:rtl/>
        </w:rPr>
        <w:t xml:space="preserve"> </w:t>
      </w:r>
      <w:r w:rsidRPr="00885E11">
        <w:rPr>
          <w:rtl/>
        </w:rPr>
        <w:t>الجنس</w:t>
      </w:r>
      <w:r w:rsidR="005D7864">
        <w:rPr>
          <w:rtl/>
        </w:rPr>
        <w:t>،</w:t>
      </w:r>
      <w:r>
        <w:rPr>
          <w:rtl/>
        </w:rPr>
        <w:t xml:space="preserve"> </w:t>
      </w:r>
      <w:r w:rsidRPr="00885E11">
        <w:rPr>
          <w:rtl/>
        </w:rPr>
        <w:t>لكنها</w:t>
      </w:r>
      <w:r>
        <w:rPr>
          <w:rtl/>
        </w:rPr>
        <w:t xml:space="preserve"> </w:t>
      </w:r>
      <w:r w:rsidRPr="00885E11">
        <w:rPr>
          <w:rtl/>
        </w:rPr>
        <w:t>تشعر</w:t>
      </w:r>
      <w:r>
        <w:rPr>
          <w:rtl/>
        </w:rPr>
        <w:t xml:space="preserve"> </w:t>
      </w:r>
      <w:r w:rsidRPr="00885E11">
        <w:rPr>
          <w:rtl/>
        </w:rPr>
        <w:t>بالقلق</w:t>
      </w:r>
      <w:r>
        <w:rPr>
          <w:rtl/>
        </w:rPr>
        <w:t xml:space="preserve"> </w:t>
      </w:r>
      <w:r w:rsidRPr="00885E11">
        <w:rPr>
          <w:rtl/>
        </w:rPr>
        <w:t>مع</w:t>
      </w:r>
      <w:r>
        <w:rPr>
          <w:rtl/>
        </w:rPr>
        <w:t xml:space="preserve"> </w:t>
      </w:r>
      <w:r w:rsidRPr="00885E11">
        <w:rPr>
          <w:rtl/>
        </w:rPr>
        <w:t>ذلك</w:t>
      </w:r>
      <w:r>
        <w:rPr>
          <w:rtl/>
        </w:rPr>
        <w:t xml:space="preserve"> </w:t>
      </w:r>
      <w:r w:rsidRPr="00885E11">
        <w:rPr>
          <w:rtl/>
        </w:rPr>
        <w:t>إزاء</w:t>
      </w:r>
      <w:r>
        <w:rPr>
          <w:rtl/>
        </w:rPr>
        <w:t xml:space="preserve"> </w:t>
      </w:r>
      <w:r w:rsidRPr="00885E11">
        <w:rPr>
          <w:rtl/>
        </w:rPr>
        <w:t>استمرار</w:t>
      </w:r>
      <w:r>
        <w:rPr>
          <w:rtl/>
        </w:rPr>
        <w:t xml:space="preserve"> </w:t>
      </w:r>
      <w:r w:rsidRPr="00885E11">
        <w:rPr>
          <w:rtl/>
        </w:rPr>
        <w:t>ورود</w:t>
      </w:r>
      <w:r>
        <w:rPr>
          <w:rtl/>
        </w:rPr>
        <w:t xml:space="preserve"> </w:t>
      </w:r>
      <w:r w:rsidRPr="00885E11">
        <w:rPr>
          <w:rtl/>
        </w:rPr>
        <w:t>تقارير</w:t>
      </w:r>
      <w:r>
        <w:rPr>
          <w:rtl/>
        </w:rPr>
        <w:t xml:space="preserve"> </w:t>
      </w:r>
      <w:r w:rsidRPr="00885E11">
        <w:rPr>
          <w:rtl/>
        </w:rPr>
        <w:t>عن</w:t>
      </w:r>
      <w:r>
        <w:rPr>
          <w:rtl/>
        </w:rPr>
        <w:t xml:space="preserve"> </w:t>
      </w:r>
      <w:r w:rsidRPr="00885E11">
        <w:rPr>
          <w:rtl/>
        </w:rPr>
        <w:t>التمييز</w:t>
      </w:r>
      <w:r>
        <w:rPr>
          <w:rtl/>
        </w:rPr>
        <w:t xml:space="preserve"> </w:t>
      </w:r>
      <w:r w:rsidRPr="00885E11">
        <w:rPr>
          <w:rtl/>
        </w:rPr>
        <w:t>والعنف</w:t>
      </w:r>
      <w:r w:rsidR="005D7864">
        <w:rPr>
          <w:rtl/>
        </w:rPr>
        <w:t>،</w:t>
      </w:r>
      <w:r>
        <w:rPr>
          <w:rtl/>
        </w:rPr>
        <w:t xml:space="preserve"> </w:t>
      </w:r>
      <w:r w:rsidRPr="00885E11">
        <w:rPr>
          <w:rtl/>
        </w:rPr>
        <w:t>بما</w:t>
      </w:r>
      <w:r>
        <w:rPr>
          <w:rtl/>
        </w:rPr>
        <w:t xml:space="preserve"> </w:t>
      </w:r>
      <w:r w:rsidRPr="00885E11">
        <w:rPr>
          <w:rtl/>
        </w:rPr>
        <w:t>في</w:t>
      </w:r>
      <w:r>
        <w:rPr>
          <w:rtl/>
        </w:rPr>
        <w:t xml:space="preserve"> </w:t>
      </w:r>
      <w:r w:rsidRPr="00885E11">
        <w:rPr>
          <w:rtl/>
        </w:rPr>
        <w:t>ذلك</w:t>
      </w:r>
      <w:r>
        <w:rPr>
          <w:rtl/>
        </w:rPr>
        <w:t xml:space="preserve"> </w:t>
      </w:r>
      <w:r w:rsidRPr="00885E11">
        <w:rPr>
          <w:rtl/>
        </w:rPr>
        <w:t>الاختطاف</w:t>
      </w:r>
      <w:r>
        <w:rPr>
          <w:rtl/>
        </w:rPr>
        <w:t xml:space="preserve"> </w:t>
      </w:r>
      <w:r w:rsidRPr="00885E11">
        <w:rPr>
          <w:rtl/>
        </w:rPr>
        <w:t>والاغتصاب</w:t>
      </w:r>
      <w:r>
        <w:rPr>
          <w:rtl/>
        </w:rPr>
        <w:t xml:space="preserve"> </w:t>
      </w:r>
      <w:r w:rsidRPr="00885E11">
        <w:rPr>
          <w:rtl/>
        </w:rPr>
        <w:t>والتعذيب</w:t>
      </w:r>
      <w:r>
        <w:rPr>
          <w:rtl/>
        </w:rPr>
        <w:t xml:space="preserve"> </w:t>
      </w:r>
      <w:r w:rsidRPr="00885E11">
        <w:rPr>
          <w:rtl/>
        </w:rPr>
        <w:t>والقتل</w:t>
      </w:r>
      <w:r w:rsidR="005D7864">
        <w:rPr>
          <w:rtl/>
        </w:rPr>
        <w:t>،</w:t>
      </w:r>
      <w:r>
        <w:rPr>
          <w:rtl/>
        </w:rPr>
        <w:t xml:space="preserve"> </w:t>
      </w:r>
      <w:r w:rsidRPr="00885E11">
        <w:rPr>
          <w:rtl/>
        </w:rPr>
        <w:t>ضد</w:t>
      </w:r>
      <w:r>
        <w:rPr>
          <w:rtl/>
        </w:rPr>
        <w:t xml:space="preserve"> </w:t>
      </w:r>
      <w:r w:rsidRPr="00885E11">
        <w:rPr>
          <w:rtl/>
        </w:rPr>
        <w:t>الأشخاص</w:t>
      </w:r>
      <w:r>
        <w:rPr>
          <w:rtl/>
        </w:rPr>
        <w:t xml:space="preserve"> </w:t>
      </w:r>
      <w:r w:rsidRPr="00885E11">
        <w:rPr>
          <w:rtl/>
        </w:rPr>
        <w:t>على</w:t>
      </w:r>
      <w:r>
        <w:rPr>
          <w:rtl/>
        </w:rPr>
        <w:t xml:space="preserve"> </w:t>
      </w:r>
      <w:r w:rsidRPr="00885E11">
        <w:rPr>
          <w:rtl/>
        </w:rPr>
        <w:t>أساس</w:t>
      </w:r>
      <w:r>
        <w:rPr>
          <w:rtl/>
        </w:rPr>
        <w:t xml:space="preserve"> </w:t>
      </w:r>
      <w:r w:rsidRPr="00885E11">
        <w:rPr>
          <w:rtl/>
        </w:rPr>
        <w:t>ميولهم</w:t>
      </w:r>
      <w:r>
        <w:rPr>
          <w:rtl/>
        </w:rPr>
        <w:t xml:space="preserve"> </w:t>
      </w:r>
      <w:r w:rsidRPr="00885E11">
        <w:rPr>
          <w:rtl/>
        </w:rPr>
        <w:t>الجنسية</w:t>
      </w:r>
      <w:r>
        <w:rPr>
          <w:rtl/>
        </w:rPr>
        <w:t xml:space="preserve"> </w:t>
      </w:r>
      <w:r w:rsidRPr="00885E11">
        <w:rPr>
          <w:rtl/>
        </w:rPr>
        <w:t>الحقيقية</w:t>
      </w:r>
      <w:r>
        <w:rPr>
          <w:rtl/>
        </w:rPr>
        <w:t xml:space="preserve"> </w:t>
      </w:r>
      <w:r w:rsidRPr="00885E11">
        <w:rPr>
          <w:rtl/>
        </w:rPr>
        <w:t>أو</w:t>
      </w:r>
      <w:r>
        <w:rPr>
          <w:rtl/>
        </w:rPr>
        <w:t xml:space="preserve"> </w:t>
      </w:r>
      <w:r w:rsidRPr="00885E11">
        <w:rPr>
          <w:rtl/>
        </w:rPr>
        <w:t>المتصورة</w:t>
      </w:r>
      <w:r>
        <w:rPr>
          <w:rtl/>
        </w:rPr>
        <w:t xml:space="preserve"> </w:t>
      </w:r>
      <w:r w:rsidRPr="00885E11">
        <w:rPr>
          <w:rtl/>
        </w:rPr>
        <w:t>أو</w:t>
      </w:r>
      <w:r>
        <w:rPr>
          <w:rtl/>
        </w:rPr>
        <w:t xml:space="preserve"> </w:t>
      </w:r>
      <w:r w:rsidRPr="00885E11">
        <w:rPr>
          <w:rtl/>
        </w:rPr>
        <w:t>هويتهم</w:t>
      </w:r>
      <w:r>
        <w:rPr>
          <w:rtl/>
        </w:rPr>
        <w:t xml:space="preserve"> </w:t>
      </w:r>
      <w:r w:rsidRPr="00885E11">
        <w:rPr>
          <w:rtl/>
        </w:rPr>
        <w:t>الجنسانية</w:t>
      </w:r>
      <w:r w:rsidR="005D7864">
        <w:rPr>
          <w:rtl/>
        </w:rPr>
        <w:t>،</w:t>
      </w:r>
      <w:r>
        <w:rPr>
          <w:rtl/>
        </w:rPr>
        <w:t xml:space="preserve"> </w:t>
      </w:r>
      <w:r w:rsidRPr="00885E11">
        <w:rPr>
          <w:rtl/>
        </w:rPr>
        <w:t>فضلاً</w:t>
      </w:r>
      <w:r>
        <w:rPr>
          <w:rtl/>
        </w:rPr>
        <w:t xml:space="preserve"> </w:t>
      </w:r>
      <w:r w:rsidRPr="00885E11">
        <w:rPr>
          <w:rtl/>
        </w:rPr>
        <w:t>عن</w:t>
      </w:r>
      <w:r>
        <w:rPr>
          <w:rtl/>
        </w:rPr>
        <w:t xml:space="preserve"> </w:t>
      </w:r>
      <w:r w:rsidRPr="00885E11">
        <w:rPr>
          <w:rtl/>
        </w:rPr>
        <w:t>الوصم</w:t>
      </w:r>
      <w:r>
        <w:rPr>
          <w:rtl/>
        </w:rPr>
        <w:t xml:space="preserve"> </w:t>
      </w:r>
      <w:r w:rsidRPr="00885E11">
        <w:rPr>
          <w:rtl/>
        </w:rPr>
        <w:t>الاجتماعي</w:t>
      </w:r>
      <w:r>
        <w:rPr>
          <w:rtl/>
        </w:rPr>
        <w:t xml:space="preserve"> </w:t>
      </w:r>
      <w:r w:rsidRPr="00885E11">
        <w:rPr>
          <w:rtl/>
        </w:rPr>
        <w:t>والاستبعاد</w:t>
      </w:r>
      <w:r>
        <w:rPr>
          <w:rtl/>
        </w:rPr>
        <w:t xml:space="preserve"> </w:t>
      </w:r>
      <w:r w:rsidRPr="00885E11">
        <w:rPr>
          <w:rtl/>
        </w:rPr>
        <w:t>الاجتماعي</w:t>
      </w:r>
      <w:r>
        <w:rPr>
          <w:rtl/>
        </w:rPr>
        <w:t xml:space="preserve"> </w:t>
      </w:r>
      <w:r w:rsidRPr="00885E11">
        <w:rPr>
          <w:rtl/>
        </w:rPr>
        <w:t>لهؤلاء</w:t>
      </w:r>
      <w:r>
        <w:rPr>
          <w:rtl/>
        </w:rPr>
        <w:t xml:space="preserve"> </w:t>
      </w:r>
      <w:r w:rsidRPr="00885E11">
        <w:rPr>
          <w:rtl/>
        </w:rPr>
        <w:t>الأشخاص</w:t>
      </w:r>
      <w:r>
        <w:rPr>
          <w:rtl/>
        </w:rPr>
        <w:t xml:space="preserve"> </w:t>
      </w:r>
      <w:r w:rsidRPr="00885E11">
        <w:rPr>
          <w:rtl/>
        </w:rPr>
        <w:t>وعدم</w:t>
      </w:r>
      <w:r>
        <w:rPr>
          <w:rtl/>
        </w:rPr>
        <w:t xml:space="preserve"> </w:t>
      </w:r>
      <w:r w:rsidRPr="00885E11">
        <w:rPr>
          <w:rtl/>
        </w:rPr>
        <w:t>التحقيق</w:t>
      </w:r>
      <w:r>
        <w:rPr>
          <w:rtl/>
        </w:rPr>
        <w:t xml:space="preserve"> </w:t>
      </w:r>
      <w:r w:rsidRPr="00885E11">
        <w:rPr>
          <w:rtl/>
        </w:rPr>
        <w:t>في</w:t>
      </w:r>
      <w:r>
        <w:rPr>
          <w:rtl/>
        </w:rPr>
        <w:t xml:space="preserve"> </w:t>
      </w:r>
      <w:r w:rsidRPr="00885E11">
        <w:rPr>
          <w:rtl/>
        </w:rPr>
        <w:t>هذه</w:t>
      </w:r>
      <w:r>
        <w:rPr>
          <w:rtl/>
        </w:rPr>
        <w:t xml:space="preserve"> </w:t>
      </w:r>
      <w:r w:rsidRPr="00885E11">
        <w:rPr>
          <w:rtl/>
        </w:rPr>
        <w:t>الجرائم</w:t>
      </w:r>
      <w:r>
        <w:rPr>
          <w:rtl/>
        </w:rPr>
        <w:t xml:space="preserve"> </w:t>
      </w:r>
      <w:r w:rsidRPr="00885E11">
        <w:rPr>
          <w:rtl/>
        </w:rPr>
        <w:t>الخطيرة</w:t>
      </w:r>
      <w:r>
        <w:rPr>
          <w:rtl/>
        </w:rPr>
        <w:t xml:space="preserve"> </w:t>
      </w:r>
      <w:r w:rsidRPr="00885E11">
        <w:rPr>
          <w:rtl/>
        </w:rPr>
        <w:t>والمعاقبة</w:t>
      </w:r>
      <w:r>
        <w:rPr>
          <w:rtl/>
        </w:rPr>
        <w:t xml:space="preserve"> </w:t>
      </w:r>
      <w:r w:rsidRPr="00885E11">
        <w:rPr>
          <w:rtl/>
        </w:rPr>
        <w:t>عليها.</w:t>
      </w:r>
      <w:r>
        <w:rPr>
          <w:rtl/>
        </w:rPr>
        <w:t xml:space="preserve"> </w:t>
      </w:r>
      <w:r w:rsidRPr="00885E11">
        <w:rPr>
          <w:rtl/>
        </w:rPr>
        <w:t>وعلاوة</w:t>
      </w:r>
      <w:r>
        <w:rPr>
          <w:rtl/>
        </w:rPr>
        <w:t xml:space="preserve"> </w:t>
      </w:r>
      <w:r w:rsidRPr="00885E11">
        <w:rPr>
          <w:rtl/>
        </w:rPr>
        <w:t>على</w:t>
      </w:r>
      <w:r>
        <w:rPr>
          <w:rtl/>
        </w:rPr>
        <w:t xml:space="preserve"> </w:t>
      </w:r>
      <w:r w:rsidRPr="00885E11">
        <w:rPr>
          <w:rtl/>
        </w:rPr>
        <w:t>ذلك</w:t>
      </w:r>
      <w:r w:rsidR="005D7864">
        <w:rPr>
          <w:rtl/>
        </w:rPr>
        <w:t>،</w:t>
      </w:r>
      <w:r>
        <w:rPr>
          <w:rtl/>
        </w:rPr>
        <w:t xml:space="preserve"> </w:t>
      </w:r>
      <w:r w:rsidRPr="00885E11">
        <w:rPr>
          <w:rtl/>
        </w:rPr>
        <w:t>تلاحظ</w:t>
      </w:r>
      <w:r>
        <w:rPr>
          <w:rtl/>
        </w:rPr>
        <w:t xml:space="preserve"> </w:t>
      </w:r>
      <w:r w:rsidRPr="00885E11">
        <w:rPr>
          <w:rtl/>
        </w:rPr>
        <w:t>اللجنة</w:t>
      </w:r>
      <w:r>
        <w:rPr>
          <w:rtl/>
        </w:rPr>
        <w:t xml:space="preserve"> </w:t>
      </w:r>
      <w:r w:rsidRPr="00885E11">
        <w:rPr>
          <w:rtl/>
        </w:rPr>
        <w:t>مع</w:t>
      </w:r>
      <w:r>
        <w:rPr>
          <w:rtl/>
        </w:rPr>
        <w:t xml:space="preserve"> </w:t>
      </w:r>
      <w:r w:rsidRPr="00885E11">
        <w:rPr>
          <w:rtl/>
        </w:rPr>
        <w:t>الأسف</w:t>
      </w:r>
      <w:r>
        <w:rPr>
          <w:rtl/>
        </w:rPr>
        <w:t xml:space="preserve"> </w:t>
      </w:r>
      <w:r w:rsidRPr="00885E11">
        <w:rPr>
          <w:rtl/>
        </w:rPr>
        <w:t>أن</w:t>
      </w:r>
      <w:r>
        <w:rPr>
          <w:rtl/>
        </w:rPr>
        <w:t xml:space="preserve"> </w:t>
      </w:r>
      <w:r w:rsidRPr="00885E11">
        <w:rPr>
          <w:rtl/>
        </w:rPr>
        <w:t>الدولة</w:t>
      </w:r>
      <w:r>
        <w:rPr>
          <w:rtl/>
        </w:rPr>
        <w:t xml:space="preserve"> </w:t>
      </w:r>
      <w:r w:rsidRPr="00885E11">
        <w:rPr>
          <w:rtl/>
        </w:rPr>
        <w:t>الطرف</w:t>
      </w:r>
      <w:r>
        <w:rPr>
          <w:rtl/>
        </w:rPr>
        <w:t xml:space="preserve"> </w:t>
      </w:r>
      <w:r w:rsidRPr="00885E11">
        <w:rPr>
          <w:rtl/>
        </w:rPr>
        <w:t>لا</w:t>
      </w:r>
      <w:r>
        <w:rPr>
          <w:rtl/>
        </w:rPr>
        <w:t xml:space="preserve"> </w:t>
      </w:r>
      <w:r w:rsidRPr="00885E11">
        <w:rPr>
          <w:rtl/>
        </w:rPr>
        <w:t>تنظر</w:t>
      </w:r>
      <w:r>
        <w:rPr>
          <w:rtl/>
        </w:rPr>
        <w:t xml:space="preserve"> </w:t>
      </w:r>
      <w:r w:rsidRPr="00885E11">
        <w:rPr>
          <w:rtl/>
        </w:rPr>
        <w:t>في</w:t>
      </w:r>
      <w:r>
        <w:rPr>
          <w:rtl/>
        </w:rPr>
        <w:t xml:space="preserve"> </w:t>
      </w:r>
      <w:r w:rsidRPr="00885E11">
        <w:rPr>
          <w:rtl/>
        </w:rPr>
        <w:t>تنقيح</w:t>
      </w:r>
      <w:r>
        <w:rPr>
          <w:rtl/>
        </w:rPr>
        <w:t xml:space="preserve"> </w:t>
      </w:r>
      <w:r w:rsidRPr="00885E11">
        <w:rPr>
          <w:rtl/>
        </w:rPr>
        <w:t>المادتين</w:t>
      </w:r>
      <w:r>
        <w:rPr>
          <w:rtl/>
        </w:rPr>
        <w:t xml:space="preserve"> </w:t>
      </w:r>
      <w:r w:rsidRPr="00846FFB">
        <w:rPr>
          <w:rtl/>
        </w:rPr>
        <w:t>394</w:t>
      </w:r>
      <w:r>
        <w:rPr>
          <w:rtl/>
        </w:rPr>
        <w:t xml:space="preserve"> </w:t>
      </w:r>
      <w:r w:rsidRPr="00885E11">
        <w:rPr>
          <w:rtl/>
        </w:rPr>
        <w:t>و</w:t>
      </w:r>
      <w:r w:rsidRPr="00846FFB">
        <w:rPr>
          <w:rtl/>
        </w:rPr>
        <w:t>401</w:t>
      </w:r>
      <w:r>
        <w:rPr>
          <w:rtl/>
        </w:rPr>
        <w:t xml:space="preserve"> </w:t>
      </w:r>
      <w:r w:rsidRPr="00885E11">
        <w:rPr>
          <w:rtl/>
        </w:rPr>
        <w:t>من</w:t>
      </w:r>
      <w:r>
        <w:rPr>
          <w:rtl/>
        </w:rPr>
        <w:t xml:space="preserve"> </w:t>
      </w:r>
      <w:r w:rsidRPr="00885E11">
        <w:rPr>
          <w:rtl/>
        </w:rPr>
        <w:t>قانون</w:t>
      </w:r>
      <w:r>
        <w:rPr>
          <w:rtl/>
        </w:rPr>
        <w:t xml:space="preserve"> </w:t>
      </w:r>
      <w:r w:rsidRPr="00885E11">
        <w:rPr>
          <w:rtl/>
        </w:rPr>
        <w:t>العقوبات</w:t>
      </w:r>
      <w:r w:rsidR="005D7864">
        <w:rPr>
          <w:rtl/>
        </w:rPr>
        <w:t>،</w:t>
      </w:r>
      <w:r>
        <w:rPr>
          <w:rtl/>
        </w:rPr>
        <w:t xml:space="preserve"> </w:t>
      </w:r>
      <w:r w:rsidRPr="00885E11">
        <w:rPr>
          <w:rtl/>
        </w:rPr>
        <w:t>اللتين</w:t>
      </w:r>
      <w:r>
        <w:rPr>
          <w:rtl/>
        </w:rPr>
        <w:t xml:space="preserve"> </w:t>
      </w:r>
      <w:r w:rsidRPr="00885E11">
        <w:rPr>
          <w:rtl/>
        </w:rPr>
        <w:t>يزعم</w:t>
      </w:r>
      <w:r>
        <w:rPr>
          <w:rtl/>
        </w:rPr>
        <w:t xml:space="preserve"> </w:t>
      </w:r>
      <w:r w:rsidRPr="00885E11">
        <w:rPr>
          <w:rtl/>
        </w:rPr>
        <w:t>أنهما</w:t>
      </w:r>
      <w:r>
        <w:rPr>
          <w:rtl/>
        </w:rPr>
        <w:t xml:space="preserve"> </w:t>
      </w:r>
      <w:r w:rsidRPr="00885E11">
        <w:rPr>
          <w:rtl/>
        </w:rPr>
        <w:t>استخدمتا</w:t>
      </w:r>
      <w:r>
        <w:rPr>
          <w:rtl/>
        </w:rPr>
        <w:t xml:space="preserve"> </w:t>
      </w:r>
      <w:r w:rsidRPr="00885E11">
        <w:rPr>
          <w:rtl/>
        </w:rPr>
        <w:t>لمقاضاة</w:t>
      </w:r>
      <w:r>
        <w:rPr>
          <w:rtl/>
        </w:rPr>
        <w:t xml:space="preserve"> </w:t>
      </w:r>
      <w:r w:rsidRPr="00885E11">
        <w:rPr>
          <w:rtl/>
        </w:rPr>
        <w:t>الأشخاص</w:t>
      </w:r>
      <w:r>
        <w:rPr>
          <w:rtl/>
        </w:rPr>
        <w:t xml:space="preserve"> </w:t>
      </w:r>
      <w:r w:rsidRPr="00885E11">
        <w:rPr>
          <w:rtl/>
        </w:rPr>
        <w:t>بسبب</w:t>
      </w:r>
      <w:r>
        <w:rPr>
          <w:rtl/>
        </w:rPr>
        <w:t xml:space="preserve"> </w:t>
      </w:r>
      <w:r w:rsidRPr="00885E11">
        <w:rPr>
          <w:rtl/>
        </w:rPr>
        <w:t>ميولهم</w:t>
      </w:r>
      <w:r>
        <w:rPr>
          <w:rtl/>
        </w:rPr>
        <w:t xml:space="preserve"> </w:t>
      </w:r>
      <w:r w:rsidRPr="00885E11">
        <w:rPr>
          <w:rtl/>
        </w:rPr>
        <w:t>الجنسية</w:t>
      </w:r>
      <w:r>
        <w:rPr>
          <w:rtl/>
        </w:rPr>
        <w:t xml:space="preserve"> </w:t>
      </w:r>
      <w:r w:rsidRPr="00885E11">
        <w:rPr>
          <w:rtl/>
        </w:rPr>
        <w:t>أو</w:t>
      </w:r>
      <w:r w:rsidR="00E73DBD">
        <w:rPr>
          <w:rFonts w:hint="cs"/>
          <w:rtl/>
        </w:rPr>
        <w:t> </w:t>
      </w:r>
      <w:r w:rsidRPr="00885E11">
        <w:rPr>
          <w:rtl/>
        </w:rPr>
        <w:t>هويتهم</w:t>
      </w:r>
      <w:r>
        <w:rPr>
          <w:rtl/>
        </w:rPr>
        <w:t xml:space="preserve"> </w:t>
      </w:r>
      <w:r w:rsidRPr="00885E11">
        <w:rPr>
          <w:rtl/>
        </w:rPr>
        <w:t>الجنسانية</w:t>
      </w:r>
      <w:r>
        <w:rPr>
          <w:rtl/>
        </w:rPr>
        <w:t xml:space="preserve"> </w:t>
      </w:r>
      <w:r w:rsidRPr="00885E11">
        <w:rPr>
          <w:rtl/>
        </w:rPr>
        <w:t>(المواد</w:t>
      </w:r>
      <w:r>
        <w:rPr>
          <w:rtl/>
        </w:rPr>
        <w:t xml:space="preserve"> </w:t>
      </w:r>
      <w:r w:rsidRPr="00846FFB">
        <w:rPr>
          <w:rtl/>
        </w:rPr>
        <w:t>2</w:t>
      </w:r>
      <w:r w:rsidRPr="00885E11">
        <w:rPr>
          <w:rtl/>
        </w:rPr>
        <w:t>-</w:t>
      </w:r>
      <w:r w:rsidRPr="00846FFB">
        <w:rPr>
          <w:rtl/>
        </w:rPr>
        <w:t>3</w:t>
      </w:r>
      <w:r>
        <w:rPr>
          <w:rtl/>
        </w:rPr>
        <w:t xml:space="preserve"> </w:t>
      </w:r>
      <w:r w:rsidRPr="00885E11">
        <w:rPr>
          <w:rtl/>
        </w:rPr>
        <w:t>و</w:t>
      </w:r>
      <w:r w:rsidRPr="00846FFB">
        <w:rPr>
          <w:rtl/>
        </w:rPr>
        <w:t>7</w:t>
      </w:r>
      <w:r>
        <w:rPr>
          <w:rtl/>
        </w:rPr>
        <w:t xml:space="preserve"> </w:t>
      </w:r>
      <w:r w:rsidRPr="00885E11">
        <w:rPr>
          <w:rtl/>
        </w:rPr>
        <w:t>و</w:t>
      </w:r>
      <w:r w:rsidRPr="00846FFB">
        <w:rPr>
          <w:rtl/>
        </w:rPr>
        <w:t>26</w:t>
      </w:r>
      <w:r w:rsidRPr="00885E11">
        <w:rPr>
          <w:rtl/>
        </w:rPr>
        <w:t>).</w:t>
      </w:r>
    </w:p>
    <w:p w14:paraId="5D986AD9" w14:textId="70B3C009" w:rsidR="00885E11" w:rsidRPr="00DC17E8" w:rsidRDefault="00885E11" w:rsidP="00885E11">
      <w:pPr>
        <w:pStyle w:val="SingleTxtGA"/>
        <w:rPr>
          <w:b/>
          <w:bCs/>
        </w:rPr>
      </w:pPr>
      <w:r w:rsidRPr="00846FFB">
        <w:rPr>
          <w:rtl/>
        </w:rPr>
        <w:t>13</w:t>
      </w:r>
      <w:r w:rsidRPr="007B0599">
        <w:rPr>
          <w:rtl/>
        </w:rPr>
        <w:t>-</w:t>
      </w:r>
      <w:r w:rsidRPr="007B0599">
        <w:rPr>
          <w:rtl/>
        </w:rPr>
        <w:tab/>
      </w:r>
      <w:r w:rsidRPr="00DC17E8">
        <w:rPr>
          <w:b/>
          <w:bCs/>
          <w:rtl/>
        </w:rPr>
        <w:t>تماشياً مع التوصيات السابقة للجنة</w:t>
      </w:r>
      <w:r w:rsidR="00E82A04" w:rsidRPr="00846FFB">
        <w:rPr>
          <w:vertAlign w:val="superscript"/>
          <w:rtl/>
        </w:rPr>
        <w:t>(</w:t>
      </w:r>
      <w:r w:rsidR="00E82A04" w:rsidRPr="00846FFB">
        <w:rPr>
          <w:vertAlign w:val="superscript"/>
          <w:lang w:val="en-US"/>
        </w:rPr>
        <w:footnoteReference w:id="7"/>
      </w:r>
      <w:r w:rsidR="00E82A04" w:rsidRPr="00846FFB">
        <w:rPr>
          <w:vertAlign w:val="superscript"/>
          <w:rtl/>
        </w:rPr>
        <w:t>)</w:t>
      </w:r>
      <w:r w:rsidR="005D7864">
        <w:rPr>
          <w:rFonts w:hint="cs"/>
          <w:b/>
          <w:bCs/>
          <w:rtl/>
        </w:rPr>
        <w:t>،</w:t>
      </w:r>
      <w:r w:rsidRPr="00DC17E8">
        <w:rPr>
          <w:b/>
          <w:bCs/>
          <w:rtl/>
        </w:rPr>
        <w:t xml:space="preserve"> ينبغي للدولة الطرف أن تكفل تمتع جميع الأشخاص</w:t>
      </w:r>
      <w:r w:rsidR="005D7864">
        <w:rPr>
          <w:b/>
          <w:bCs/>
          <w:rtl/>
        </w:rPr>
        <w:t>،</w:t>
      </w:r>
      <w:r w:rsidRPr="00DC17E8">
        <w:rPr>
          <w:b/>
          <w:bCs/>
          <w:rtl/>
        </w:rPr>
        <w:t xml:space="preserve"> بصرف النظر عن ميولهم الجنسية الحقيقية أو المتصورة أو هويتهم الجنسانية</w:t>
      </w:r>
      <w:r w:rsidR="005D7864">
        <w:rPr>
          <w:b/>
          <w:bCs/>
          <w:rtl/>
        </w:rPr>
        <w:t>،</w:t>
      </w:r>
      <w:r w:rsidRPr="00DC17E8">
        <w:rPr>
          <w:b/>
          <w:bCs/>
          <w:rtl/>
        </w:rPr>
        <w:t xml:space="preserve"> تمتعاً كاملاً بجميع حقوق الإنسان المكرسة في العهد. وتوصي اللجنة الدولة الطرف</w:t>
      </w:r>
      <w:r w:rsidR="005D7864">
        <w:rPr>
          <w:b/>
          <w:bCs/>
          <w:rtl/>
        </w:rPr>
        <w:t>،</w:t>
      </w:r>
      <w:r w:rsidRPr="00DC17E8">
        <w:rPr>
          <w:b/>
          <w:bCs/>
          <w:rtl/>
        </w:rPr>
        <w:t xml:space="preserve"> على وجه الخصوص</w:t>
      </w:r>
      <w:r w:rsidR="005D7864">
        <w:rPr>
          <w:b/>
          <w:bCs/>
          <w:rtl/>
        </w:rPr>
        <w:t>،</w:t>
      </w:r>
      <w:r w:rsidRPr="00DC17E8">
        <w:rPr>
          <w:b/>
          <w:bCs/>
          <w:rtl/>
        </w:rPr>
        <w:t xml:space="preserve"> بما يلي:</w:t>
      </w:r>
    </w:p>
    <w:p w14:paraId="3B47F893" w14:textId="778D5893" w:rsidR="00885E11" w:rsidRPr="00DC17E8" w:rsidRDefault="00885E11" w:rsidP="00885E11">
      <w:pPr>
        <w:pStyle w:val="SingleTxtGA"/>
        <w:rPr>
          <w:b/>
          <w:bCs/>
        </w:rPr>
      </w:pPr>
      <w:r w:rsidRPr="007B0599">
        <w:rPr>
          <w:rtl/>
        </w:rPr>
        <w:tab/>
        <w:t>(أ)</w:t>
      </w:r>
      <w:r w:rsidRPr="007B0599">
        <w:rPr>
          <w:rtl/>
        </w:rPr>
        <w:tab/>
      </w:r>
      <w:r w:rsidRPr="00DC17E8">
        <w:rPr>
          <w:b/>
          <w:bCs/>
          <w:rtl/>
        </w:rPr>
        <w:t>النظر في سن تشريعات شاملة لمناهضة التمييز تنص على توفير حماية كاملة وفعالة من التمييز في جميع المجالات</w:t>
      </w:r>
      <w:r w:rsidR="005D7864">
        <w:rPr>
          <w:b/>
          <w:bCs/>
          <w:rtl/>
        </w:rPr>
        <w:t>،</w:t>
      </w:r>
      <w:r w:rsidRPr="00DC17E8">
        <w:rPr>
          <w:b/>
          <w:bCs/>
          <w:rtl/>
        </w:rPr>
        <w:t xml:space="preserve"> وتتضمن قائمة شاملة لأسباب التمييز المحظورة</w:t>
      </w:r>
      <w:r w:rsidR="005D7864">
        <w:rPr>
          <w:b/>
          <w:bCs/>
          <w:rtl/>
        </w:rPr>
        <w:t>،</w:t>
      </w:r>
      <w:r w:rsidRPr="00DC17E8">
        <w:rPr>
          <w:b/>
          <w:bCs/>
          <w:rtl/>
        </w:rPr>
        <w:t xml:space="preserve"> بما فيها الميل الجنسي والهوية الجنسانية؛ </w:t>
      </w:r>
    </w:p>
    <w:p w14:paraId="5317EEE7" w14:textId="0200CD8C" w:rsidR="00885E11" w:rsidRPr="00DC17E8" w:rsidRDefault="00885E11" w:rsidP="00885E11">
      <w:pPr>
        <w:pStyle w:val="SingleTxtGA"/>
        <w:rPr>
          <w:b/>
          <w:bCs/>
        </w:rPr>
      </w:pPr>
      <w:r w:rsidRPr="007B0599">
        <w:rPr>
          <w:rtl/>
        </w:rPr>
        <w:tab/>
        <w:t>(ب)</w:t>
      </w:r>
      <w:r w:rsidRPr="007B0599">
        <w:rPr>
          <w:rtl/>
        </w:rPr>
        <w:tab/>
      </w:r>
      <w:r w:rsidRPr="00DC17E8">
        <w:rPr>
          <w:b/>
          <w:bCs/>
          <w:rtl/>
        </w:rPr>
        <w:t>اتخاذ تدابير لمكافحة القوالب النمطية والمواقف السلبية تجاه الأشخاص على أساس ميلهم الجنسي أو هويتهم الجنسانية؛</w:t>
      </w:r>
    </w:p>
    <w:p w14:paraId="5834E30B" w14:textId="29520CB6" w:rsidR="00885E11" w:rsidRPr="00DC17E8" w:rsidRDefault="00885E11" w:rsidP="00885E11">
      <w:pPr>
        <w:pStyle w:val="SingleTxtGA"/>
        <w:rPr>
          <w:b/>
          <w:bCs/>
        </w:rPr>
      </w:pPr>
      <w:r w:rsidRPr="007B0599">
        <w:rPr>
          <w:rtl/>
        </w:rPr>
        <w:tab/>
        <w:t>(ج)</w:t>
      </w:r>
      <w:r w:rsidRPr="007B0599">
        <w:rPr>
          <w:rtl/>
        </w:rPr>
        <w:tab/>
      </w:r>
      <w:r w:rsidRPr="00DC17E8">
        <w:rPr>
          <w:b/>
          <w:bCs/>
          <w:rtl/>
        </w:rPr>
        <w:t>اعتماد تدابير ملموسة</w:t>
      </w:r>
      <w:r w:rsidR="005D7864">
        <w:rPr>
          <w:b/>
          <w:bCs/>
          <w:rtl/>
        </w:rPr>
        <w:t>،</w:t>
      </w:r>
      <w:r w:rsidRPr="00DC17E8">
        <w:rPr>
          <w:b/>
          <w:bCs/>
          <w:rtl/>
        </w:rPr>
        <w:t xml:space="preserve"> بما في ذلك توفير برامج التدريب والتوعية للشرطة والقضاء</w:t>
      </w:r>
      <w:r w:rsidR="005D7864">
        <w:rPr>
          <w:b/>
          <w:bCs/>
          <w:rtl/>
        </w:rPr>
        <w:t>،</w:t>
      </w:r>
      <w:r w:rsidRPr="00DC17E8">
        <w:rPr>
          <w:b/>
          <w:bCs/>
          <w:rtl/>
        </w:rPr>
        <w:t xml:space="preserve"> بما في ذلك النيابة العامة</w:t>
      </w:r>
      <w:r w:rsidR="005D7864">
        <w:rPr>
          <w:b/>
          <w:bCs/>
          <w:rtl/>
        </w:rPr>
        <w:t>،</w:t>
      </w:r>
      <w:r w:rsidRPr="00DC17E8">
        <w:rPr>
          <w:b/>
          <w:bCs/>
          <w:rtl/>
        </w:rPr>
        <w:t xml:space="preserve"> لمنع أعمال التمييز والعنف ضد هؤلاء الأشخاص منعاً فعالاً؛</w:t>
      </w:r>
    </w:p>
    <w:p w14:paraId="7FF6EFA3" w14:textId="6569DA64" w:rsidR="00885E11" w:rsidRPr="00DC17E8" w:rsidRDefault="00885E11" w:rsidP="00885E11">
      <w:pPr>
        <w:pStyle w:val="SingleTxtGA"/>
        <w:rPr>
          <w:b/>
          <w:bCs/>
        </w:rPr>
      </w:pPr>
      <w:r w:rsidRPr="007B0599">
        <w:rPr>
          <w:rtl/>
        </w:rPr>
        <w:tab/>
        <w:t>(د)</w:t>
      </w:r>
      <w:r w:rsidRPr="007B0599">
        <w:rPr>
          <w:rtl/>
        </w:rPr>
        <w:tab/>
      </w:r>
      <w:r w:rsidRPr="00DC17E8">
        <w:rPr>
          <w:b/>
          <w:bCs/>
          <w:rtl/>
        </w:rPr>
        <w:t>ضمان إجراء تحقيق سريع وفعال في جميع أعمال العنف ضد الأشخاص بسبب ميلهم الجنسي أو هويتهم الجنسانية</w:t>
      </w:r>
      <w:r w:rsidR="005D7864">
        <w:rPr>
          <w:b/>
          <w:bCs/>
          <w:rtl/>
        </w:rPr>
        <w:t>،</w:t>
      </w:r>
      <w:r w:rsidRPr="00DC17E8">
        <w:rPr>
          <w:b/>
          <w:bCs/>
          <w:rtl/>
        </w:rPr>
        <w:t xml:space="preserve"> وتقديم الجناة إلى العدالة وتعويض الضحايا؛</w:t>
      </w:r>
    </w:p>
    <w:p w14:paraId="3F544DD4" w14:textId="3EDD1491" w:rsidR="00885E11" w:rsidRPr="00DC17E8" w:rsidRDefault="00885E11" w:rsidP="00885E11">
      <w:pPr>
        <w:pStyle w:val="SingleTxtGA"/>
        <w:rPr>
          <w:b/>
          <w:bCs/>
        </w:rPr>
      </w:pPr>
      <w:r w:rsidRPr="007B0599">
        <w:rPr>
          <w:rtl/>
        </w:rPr>
        <w:tab/>
        <w:t>(ه)</w:t>
      </w:r>
      <w:r w:rsidRPr="007B0599">
        <w:rPr>
          <w:rtl/>
        </w:rPr>
        <w:tab/>
      </w:r>
      <w:r w:rsidRPr="00DC17E8">
        <w:rPr>
          <w:b/>
          <w:bCs/>
          <w:rtl/>
        </w:rPr>
        <w:t>اتخاذ تدابير لضمان عدم استخدام التشريعات القائمة التي تشير إلى مفاهيم غامضة للأخلاق واللياقة لتجريم أفعال الأشخاص على أساس ميلهم الجنسي وهويتهم الجنسانية.</w:t>
      </w:r>
    </w:p>
    <w:p w14:paraId="203AA38C" w14:textId="42431F30" w:rsidR="00885E11" w:rsidRPr="00846FFB" w:rsidRDefault="00885E11" w:rsidP="00885E11">
      <w:pPr>
        <w:pStyle w:val="H23GA"/>
      </w:pPr>
      <w:r w:rsidRPr="00846FFB">
        <w:rPr>
          <w:rtl/>
        </w:rPr>
        <w:tab/>
      </w:r>
      <w:r w:rsidRPr="00846FFB">
        <w:rPr>
          <w:rtl/>
        </w:rPr>
        <w:tab/>
        <w:t>العنف ضد المرأة</w:t>
      </w:r>
    </w:p>
    <w:p w14:paraId="04A0EA0F" w14:textId="5806AEAC" w:rsidR="00885E11" w:rsidRPr="00885E11" w:rsidRDefault="00885E11" w:rsidP="00885E11">
      <w:pPr>
        <w:pStyle w:val="SingleTxtGA"/>
      </w:pPr>
      <w:r w:rsidRPr="00846FFB">
        <w:rPr>
          <w:rtl/>
        </w:rPr>
        <w:t>14</w:t>
      </w:r>
      <w:r w:rsidRPr="007B0599">
        <w:rPr>
          <w:rtl/>
        </w:rPr>
        <w:t>-</w:t>
      </w:r>
      <w:r w:rsidRPr="007B0599">
        <w:rPr>
          <w:rtl/>
        </w:rPr>
        <w:tab/>
      </w:r>
      <w:r w:rsidRPr="00885E11">
        <w:rPr>
          <w:rtl/>
        </w:rPr>
        <w:t>تلاحظ</w:t>
      </w:r>
      <w:r>
        <w:rPr>
          <w:rtl/>
        </w:rPr>
        <w:t xml:space="preserve"> </w:t>
      </w:r>
      <w:r w:rsidRPr="00885E11">
        <w:rPr>
          <w:rtl/>
        </w:rPr>
        <w:t>اللجنة</w:t>
      </w:r>
      <w:r>
        <w:rPr>
          <w:rtl/>
        </w:rPr>
        <w:t xml:space="preserve"> </w:t>
      </w:r>
      <w:r w:rsidRPr="00885E11">
        <w:rPr>
          <w:rtl/>
        </w:rPr>
        <w:t>باهتمام</w:t>
      </w:r>
      <w:r>
        <w:rPr>
          <w:rtl/>
        </w:rPr>
        <w:t xml:space="preserve"> </w:t>
      </w:r>
      <w:r w:rsidRPr="00885E11">
        <w:rPr>
          <w:rtl/>
        </w:rPr>
        <w:t>مشروع</w:t>
      </w:r>
      <w:r>
        <w:rPr>
          <w:rtl/>
        </w:rPr>
        <w:t xml:space="preserve"> </w:t>
      </w:r>
      <w:r w:rsidRPr="00885E11">
        <w:rPr>
          <w:rtl/>
        </w:rPr>
        <w:t>القانون</w:t>
      </w:r>
      <w:r>
        <w:rPr>
          <w:rtl/>
        </w:rPr>
        <w:t xml:space="preserve"> </w:t>
      </w:r>
      <w:r w:rsidRPr="00885E11">
        <w:rPr>
          <w:rtl/>
        </w:rPr>
        <w:t>المتعلق</w:t>
      </w:r>
      <w:r>
        <w:rPr>
          <w:rtl/>
        </w:rPr>
        <w:t xml:space="preserve"> </w:t>
      </w:r>
      <w:r w:rsidRPr="00885E11">
        <w:rPr>
          <w:rtl/>
        </w:rPr>
        <w:t>بالعنف</w:t>
      </w:r>
      <w:r>
        <w:rPr>
          <w:rtl/>
        </w:rPr>
        <w:t xml:space="preserve"> </w:t>
      </w:r>
      <w:r w:rsidRPr="00885E11">
        <w:rPr>
          <w:rtl/>
        </w:rPr>
        <w:t>الأسري</w:t>
      </w:r>
      <w:r w:rsidR="00DC17E8">
        <w:rPr>
          <w:rtl/>
        </w:rPr>
        <w:t xml:space="preserve"> </w:t>
      </w:r>
      <w:r w:rsidRPr="00885E11">
        <w:rPr>
          <w:rtl/>
        </w:rPr>
        <w:t>واستراتيجية</w:t>
      </w:r>
      <w:r>
        <w:rPr>
          <w:rtl/>
        </w:rPr>
        <w:t xml:space="preserve"> </w:t>
      </w:r>
      <w:r w:rsidR="00DC17E8" w:rsidRPr="00885E11">
        <w:rPr>
          <w:rFonts w:hint="cs"/>
          <w:rtl/>
        </w:rPr>
        <w:t>مناهضة العن</w:t>
      </w:r>
      <w:r w:rsidR="00DC17E8" w:rsidRPr="00885E11">
        <w:rPr>
          <w:rtl/>
        </w:rPr>
        <w:t>ف</w:t>
      </w:r>
      <w:r>
        <w:rPr>
          <w:rtl/>
        </w:rPr>
        <w:t xml:space="preserve"> </w:t>
      </w:r>
      <w:r w:rsidRPr="00885E11">
        <w:rPr>
          <w:rtl/>
        </w:rPr>
        <w:t>القائم</w:t>
      </w:r>
      <w:r>
        <w:rPr>
          <w:rtl/>
        </w:rPr>
        <w:t xml:space="preserve"> </w:t>
      </w:r>
      <w:r w:rsidRPr="00885E11">
        <w:rPr>
          <w:rtl/>
        </w:rPr>
        <w:t>على</w:t>
      </w:r>
      <w:r>
        <w:rPr>
          <w:rtl/>
        </w:rPr>
        <w:t xml:space="preserve"> </w:t>
      </w:r>
      <w:r w:rsidRPr="00885E11">
        <w:rPr>
          <w:rtl/>
        </w:rPr>
        <w:t>النوع</w:t>
      </w:r>
      <w:r>
        <w:rPr>
          <w:rtl/>
        </w:rPr>
        <w:t xml:space="preserve"> </w:t>
      </w:r>
      <w:r w:rsidRPr="00885E11">
        <w:rPr>
          <w:rtl/>
        </w:rPr>
        <w:t>الاجتماعي</w:t>
      </w:r>
      <w:r w:rsidR="005D7864">
        <w:rPr>
          <w:rtl/>
        </w:rPr>
        <w:t>،</w:t>
      </w:r>
      <w:r>
        <w:rPr>
          <w:rtl/>
        </w:rPr>
        <w:t xml:space="preserve"> </w:t>
      </w:r>
      <w:r w:rsidRPr="00885E11">
        <w:rPr>
          <w:rtl/>
        </w:rPr>
        <w:t>وكلاهما</w:t>
      </w:r>
      <w:r>
        <w:rPr>
          <w:rtl/>
        </w:rPr>
        <w:t xml:space="preserve"> </w:t>
      </w:r>
      <w:r w:rsidRPr="00885E11">
        <w:rPr>
          <w:rtl/>
        </w:rPr>
        <w:t>معروض</w:t>
      </w:r>
      <w:r>
        <w:rPr>
          <w:rtl/>
        </w:rPr>
        <w:t xml:space="preserve"> </w:t>
      </w:r>
      <w:r w:rsidRPr="00885E11">
        <w:rPr>
          <w:rtl/>
        </w:rPr>
        <w:t>على</w:t>
      </w:r>
      <w:r>
        <w:rPr>
          <w:rtl/>
        </w:rPr>
        <w:t xml:space="preserve"> </w:t>
      </w:r>
      <w:r w:rsidRPr="00885E11">
        <w:rPr>
          <w:rtl/>
        </w:rPr>
        <w:t>البرلمان.</w:t>
      </w:r>
      <w:r>
        <w:rPr>
          <w:rtl/>
        </w:rPr>
        <w:t xml:space="preserve"> </w:t>
      </w:r>
      <w:r w:rsidRPr="00885E11">
        <w:rPr>
          <w:rtl/>
        </w:rPr>
        <w:t>وترحب</w:t>
      </w:r>
      <w:r>
        <w:rPr>
          <w:rtl/>
        </w:rPr>
        <w:t xml:space="preserve"> </w:t>
      </w:r>
      <w:r w:rsidRPr="00885E11">
        <w:rPr>
          <w:rtl/>
        </w:rPr>
        <w:t>اللجنة</w:t>
      </w:r>
      <w:r>
        <w:rPr>
          <w:rtl/>
        </w:rPr>
        <w:t xml:space="preserve"> </w:t>
      </w:r>
      <w:r w:rsidRPr="00885E11">
        <w:rPr>
          <w:rtl/>
        </w:rPr>
        <w:t>بالمبادرة</w:t>
      </w:r>
      <w:r>
        <w:rPr>
          <w:rtl/>
        </w:rPr>
        <w:t xml:space="preserve"> </w:t>
      </w:r>
      <w:r w:rsidRPr="00885E11">
        <w:rPr>
          <w:rtl/>
        </w:rPr>
        <w:t>الرامية</w:t>
      </w:r>
      <w:r>
        <w:rPr>
          <w:rtl/>
        </w:rPr>
        <w:t xml:space="preserve"> </w:t>
      </w:r>
      <w:r w:rsidRPr="00885E11">
        <w:rPr>
          <w:rtl/>
        </w:rPr>
        <w:t>إلى</w:t>
      </w:r>
      <w:r>
        <w:rPr>
          <w:rtl/>
        </w:rPr>
        <w:t xml:space="preserve"> </w:t>
      </w:r>
      <w:r w:rsidRPr="00885E11">
        <w:rPr>
          <w:rtl/>
        </w:rPr>
        <w:t>تعديل</w:t>
      </w:r>
      <w:r>
        <w:rPr>
          <w:rtl/>
        </w:rPr>
        <w:t xml:space="preserve"> </w:t>
      </w:r>
      <w:r w:rsidRPr="00885E11">
        <w:rPr>
          <w:rtl/>
        </w:rPr>
        <w:t>قانون</w:t>
      </w:r>
      <w:r>
        <w:rPr>
          <w:rtl/>
        </w:rPr>
        <w:t xml:space="preserve"> </w:t>
      </w:r>
      <w:r w:rsidRPr="00885E11">
        <w:rPr>
          <w:rtl/>
        </w:rPr>
        <w:t>العقوبات</w:t>
      </w:r>
      <w:r>
        <w:rPr>
          <w:rtl/>
        </w:rPr>
        <w:t xml:space="preserve"> </w:t>
      </w:r>
      <w:r w:rsidRPr="00885E11">
        <w:rPr>
          <w:rtl/>
        </w:rPr>
        <w:t>عن</w:t>
      </w:r>
      <w:r>
        <w:rPr>
          <w:rtl/>
        </w:rPr>
        <w:t xml:space="preserve"> </w:t>
      </w:r>
      <w:r w:rsidRPr="00885E11">
        <w:rPr>
          <w:rtl/>
        </w:rPr>
        <w:t>طريق</w:t>
      </w:r>
      <w:r>
        <w:rPr>
          <w:rtl/>
        </w:rPr>
        <w:t xml:space="preserve"> </w:t>
      </w:r>
      <w:r w:rsidRPr="00885E11">
        <w:rPr>
          <w:rtl/>
        </w:rPr>
        <w:t>حذف</w:t>
      </w:r>
      <w:r>
        <w:rPr>
          <w:rtl/>
        </w:rPr>
        <w:t xml:space="preserve"> </w:t>
      </w:r>
      <w:r w:rsidRPr="00885E11">
        <w:rPr>
          <w:rtl/>
        </w:rPr>
        <w:t>المادة</w:t>
      </w:r>
      <w:r>
        <w:rPr>
          <w:rtl/>
        </w:rPr>
        <w:t xml:space="preserve"> </w:t>
      </w:r>
      <w:r w:rsidRPr="00846FFB">
        <w:rPr>
          <w:rtl/>
        </w:rPr>
        <w:t>41</w:t>
      </w:r>
      <w:r w:rsidRPr="00885E11">
        <w:rPr>
          <w:rtl/>
        </w:rPr>
        <w:t>(</w:t>
      </w:r>
      <w:r w:rsidRPr="00846FFB">
        <w:rPr>
          <w:rtl/>
        </w:rPr>
        <w:t>1</w:t>
      </w:r>
      <w:r w:rsidRPr="00885E11">
        <w:rPr>
          <w:rtl/>
        </w:rPr>
        <w:t>)</w:t>
      </w:r>
      <w:r>
        <w:rPr>
          <w:rtl/>
        </w:rPr>
        <w:t xml:space="preserve"> </w:t>
      </w:r>
      <w:r w:rsidRPr="00885E11">
        <w:rPr>
          <w:rtl/>
        </w:rPr>
        <w:t>من</w:t>
      </w:r>
      <w:r>
        <w:rPr>
          <w:rtl/>
        </w:rPr>
        <w:t xml:space="preserve"> </w:t>
      </w:r>
      <w:r w:rsidRPr="00885E11">
        <w:rPr>
          <w:rtl/>
        </w:rPr>
        <w:t>قانون</w:t>
      </w:r>
      <w:r>
        <w:rPr>
          <w:rtl/>
        </w:rPr>
        <w:t xml:space="preserve"> </w:t>
      </w:r>
      <w:r w:rsidRPr="00885E11">
        <w:rPr>
          <w:rtl/>
        </w:rPr>
        <w:t>العقوبات</w:t>
      </w:r>
      <w:r w:rsidR="005D7864">
        <w:rPr>
          <w:rtl/>
        </w:rPr>
        <w:t>،</w:t>
      </w:r>
      <w:r>
        <w:rPr>
          <w:rtl/>
        </w:rPr>
        <w:t xml:space="preserve"> </w:t>
      </w:r>
      <w:r w:rsidRPr="00885E11">
        <w:rPr>
          <w:rtl/>
        </w:rPr>
        <w:t>التي</w:t>
      </w:r>
      <w:r>
        <w:rPr>
          <w:rtl/>
        </w:rPr>
        <w:t xml:space="preserve"> </w:t>
      </w:r>
      <w:r w:rsidR="00DC17E8" w:rsidRPr="00885E11">
        <w:rPr>
          <w:rFonts w:hint="cs"/>
          <w:rtl/>
        </w:rPr>
        <w:t>تجيز للزو</w:t>
      </w:r>
      <w:r w:rsidR="00DC17E8" w:rsidRPr="00885E11">
        <w:rPr>
          <w:rtl/>
        </w:rPr>
        <w:t>ج</w:t>
      </w:r>
      <w:r>
        <w:rPr>
          <w:rtl/>
        </w:rPr>
        <w:t xml:space="preserve"> </w:t>
      </w:r>
      <w:r w:rsidRPr="00885E11">
        <w:rPr>
          <w:rtl/>
        </w:rPr>
        <w:t>قانوناً</w:t>
      </w:r>
      <w:r>
        <w:rPr>
          <w:rtl/>
        </w:rPr>
        <w:t xml:space="preserve"> </w:t>
      </w:r>
      <w:r w:rsidRPr="00885E11">
        <w:rPr>
          <w:rtl/>
        </w:rPr>
        <w:t>تأديب</w:t>
      </w:r>
      <w:r>
        <w:rPr>
          <w:rtl/>
        </w:rPr>
        <w:t xml:space="preserve"> </w:t>
      </w:r>
      <w:r w:rsidRPr="00885E11">
        <w:rPr>
          <w:rtl/>
        </w:rPr>
        <w:t>زوجته</w:t>
      </w:r>
      <w:r w:rsidR="005D7864">
        <w:rPr>
          <w:rtl/>
        </w:rPr>
        <w:t>،</w:t>
      </w:r>
      <w:r>
        <w:rPr>
          <w:rtl/>
        </w:rPr>
        <w:t xml:space="preserve"> </w:t>
      </w:r>
      <w:r w:rsidRPr="00885E11">
        <w:rPr>
          <w:rtl/>
        </w:rPr>
        <w:t>وتعديل</w:t>
      </w:r>
      <w:r>
        <w:rPr>
          <w:rtl/>
        </w:rPr>
        <w:t xml:space="preserve"> </w:t>
      </w:r>
      <w:r w:rsidRPr="00885E11">
        <w:rPr>
          <w:rtl/>
        </w:rPr>
        <w:t>المادة</w:t>
      </w:r>
      <w:r>
        <w:rPr>
          <w:rtl/>
        </w:rPr>
        <w:t xml:space="preserve"> </w:t>
      </w:r>
      <w:r w:rsidRPr="00846FFB">
        <w:rPr>
          <w:rtl/>
        </w:rPr>
        <w:t>398</w:t>
      </w:r>
      <w:r>
        <w:rPr>
          <w:rtl/>
        </w:rPr>
        <w:t xml:space="preserve"> </w:t>
      </w:r>
      <w:r w:rsidRPr="00885E11">
        <w:rPr>
          <w:rtl/>
        </w:rPr>
        <w:t>التي</w:t>
      </w:r>
      <w:r>
        <w:rPr>
          <w:rtl/>
        </w:rPr>
        <w:t xml:space="preserve"> </w:t>
      </w:r>
      <w:r w:rsidRPr="00885E11">
        <w:rPr>
          <w:rtl/>
        </w:rPr>
        <w:t>تسمح</w:t>
      </w:r>
      <w:r>
        <w:rPr>
          <w:rtl/>
        </w:rPr>
        <w:t xml:space="preserve"> </w:t>
      </w:r>
      <w:r w:rsidRPr="00885E11">
        <w:rPr>
          <w:rtl/>
        </w:rPr>
        <w:t>للشخص</w:t>
      </w:r>
      <w:r>
        <w:rPr>
          <w:rtl/>
        </w:rPr>
        <w:t xml:space="preserve"> </w:t>
      </w:r>
      <w:r w:rsidRPr="00885E11">
        <w:rPr>
          <w:rtl/>
        </w:rPr>
        <w:t>المتهم</w:t>
      </w:r>
      <w:r>
        <w:rPr>
          <w:rtl/>
        </w:rPr>
        <w:t xml:space="preserve"> </w:t>
      </w:r>
      <w:r w:rsidRPr="00885E11">
        <w:rPr>
          <w:rtl/>
        </w:rPr>
        <w:t>بالاغتصاب</w:t>
      </w:r>
      <w:r>
        <w:rPr>
          <w:rtl/>
        </w:rPr>
        <w:t xml:space="preserve"> </w:t>
      </w:r>
      <w:r w:rsidRPr="00885E11">
        <w:rPr>
          <w:rtl/>
        </w:rPr>
        <w:t>بتجنب</w:t>
      </w:r>
      <w:r>
        <w:rPr>
          <w:rtl/>
        </w:rPr>
        <w:t xml:space="preserve"> </w:t>
      </w:r>
      <w:r w:rsidRPr="00885E11">
        <w:rPr>
          <w:rtl/>
        </w:rPr>
        <w:t>الملاحقة</w:t>
      </w:r>
      <w:r>
        <w:rPr>
          <w:rtl/>
        </w:rPr>
        <w:t xml:space="preserve"> </w:t>
      </w:r>
      <w:r w:rsidRPr="00885E11">
        <w:rPr>
          <w:rtl/>
        </w:rPr>
        <w:t>القضائية</w:t>
      </w:r>
      <w:r>
        <w:rPr>
          <w:rtl/>
        </w:rPr>
        <w:t xml:space="preserve"> </w:t>
      </w:r>
      <w:r w:rsidRPr="00885E11">
        <w:rPr>
          <w:rtl/>
        </w:rPr>
        <w:t>بالزواج</w:t>
      </w:r>
      <w:r>
        <w:rPr>
          <w:rtl/>
        </w:rPr>
        <w:t xml:space="preserve"> </w:t>
      </w:r>
      <w:r w:rsidRPr="00885E11">
        <w:rPr>
          <w:rtl/>
        </w:rPr>
        <w:t>من</w:t>
      </w:r>
      <w:r>
        <w:rPr>
          <w:rtl/>
        </w:rPr>
        <w:t xml:space="preserve"> </w:t>
      </w:r>
      <w:r w:rsidRPr="00885E11">
        <w:rPr>
          <w:rtl/>
        </w:rPr>
        <w:t>الضحية.</w:t>
      </w:r>
      <w:r>
        <w:rPr>
          <w:rtl/>
        </w:rPr>
        <w:t xml:space="preserve"> </w:t>
      </w:r>
      <w:r w:rsidRPr="00885E11">
        <w:rPr>
          <w:rtl/>
        </w:rPr>
        <w:t>ومع</w:t>
      </w:r>
      <w:r>
        <w:rPr>
          <w:rtl/>
        </w:rPr>
        <w:t xml:space="preserve"> </w:t>
      </w:r>
      <w:r w:rsidRPr="00885E11">
        <w:rPr>
          <w:rtl/>
        </w:rPr>
        <w:t>ذلك</w:t>
      </w:r>
      <w:r w:rsidR="005D7864">
        <w:rPr>
          <w:rtl/>
        </w:rPr>
        <w:t>،</w:t>
      </w:r>
      <w:r>
        <w:rPr>
          <w:rtl/>
        </w:rPr>
        <w:t xml:space="preserve"> </w:t>
      </w:r>
      <w:r w:rsidRPr="00885E11">
        <w:rPr>
          <w:rtl/>
        </w:rPr>
        <w:t>يساور</w:t>
      </w:r>
      <w:r>
        <w:rPr>
          <w:rtl/>
        </w:rPr>
        <w:t xml:space="preserve"> </w:t>
      </w:r>
      <w:r w:rsidRPr="00885E11">
        <w:rPr>
          <w:rtl/>
        </w:rPr>
        <w:t>اللجنة</w:t>
      </w:r>
      <w:r>
        <w:rPr>
          <w:rtl/>
        </w:rPr>
        <w:t xml:space="preserve"> </w:t>
      </w:r>
      <w:r w:rsidRPr="00885E11">
        <w:rPr>
          <w:rtl/>
        </w:rPr>
        <w:t>القلق</w:t>
      </w:r>
      <w:r>
        <w:rPr>
          <w:rtl/>
        </w:rPr>
        <w:t xml:space="preserve"> </w:t>
      </w:r>
      <w:r w:rsidRPr="00885E11">
        <w:rPr>
          <w:rtl/>
        </w:rPr>
        <w:t>إزاء</w:t>
      </w:r>
      <w:r>
        <w:rPr>
          <w:rtl/>
        </w:rPr>
        <w:t xml:space="preserve"> </w:t>
      </w:r>
      <w:r w:rsidRPr="00885E11">
        <w:rPr>
          <w:rtl/>
        </w:rPr>
        <w:t>استمرار</w:t>
      </w:r>
      <w:r>
        <w:rPr>
          <w:rtl/>
        </w:rPr>
        <w:t xml:space="preserve"> </w:t>
      </w:r>
      <w:r w:rsidRPr="00885E11">
        <w:rPr>
          <w:rtl/>
        </w:rPr>
        <w:t>الأحكام</w:t>
      </w:r>
      <w:r>
        <w:rPr>
          <w:rtl/>
        </w:rPr>
        <w:t xml:space="preserve"> </w:t>
      </w:r>
      <w:r w:rsidRPr="00885E11">
        <w:rPr>
          <w:rtl/>
        </w:rPr>
        <w:t>التشريعية</w:t>
      </w:r>
      <w:r>
        <w:rPr>
          <w:rtl/>
        </w:rPr>
        <w:t xml:space="preserve"> </w:t>
      </w:r>
      <w:r w:rsidRPr="00885E11">
        <w:rPr>
          <w:rtl/>
        </w:rPr>
        <w:t>التمييزية</w:t>
      </w:r>
      <w:r>
        <w:rPr>
          <w:rtl/>
        </w:rPr>
        <w:t xml:space="preserve"> </w:t>
      </w:r>
      <w:r w:rsidRPr="00885E11">
        <w:rPr>
          <w:rtl/>
        </w:rPr>
        <w:t>ضد</w:t>
      </w:r>
      <w:r>
        <w:rPr>
          <w:rtl/>
        </w:rPr>
        <w:t xml:space="preserve"> </w:t>
      </w:r>
      <w:r w:rsidRPr="00885E11">
        <w:rPr>
          <w:rtl/>
        </w:rPr>
        <w:t>المرأة</w:t>
      </w:r>
      <w:r>
        <w:rPr>
          <w:rtl/>
        </w:rPr>
        <w:t xml:space="preserve"> </w:t>
      </w:r>
      <w:r w:rsidRPr="00885E11">
        <w:rPr>
          <w:rtl/>
        </w:rPr>
        <w:t>في</w:t>
      </w:r>
      <w:r>
        <w:rPr>
          <w:rtl/>
        </w:rPr>
        <w:t xml:space="preserve"> </w:t>
      </w:r>
      <w:r w:rsidRPr="00885E11">
        <w:rPr>
          <w:rtl/>
        </w:rPr>
        <w:t>قانون</w:t>
      </w:r>
      <w:r>
        <w:rPr>
          <w:rtl/>
        </w:rPr>
        <w:t xml:space="preserve"> </w:t>
      </w:r>
      <w:r w:rsidRPr="00885E11">
        <w:rPr>
          <w:rtl/>
        </w:rPr>
        <w:t>العقوبات</w:t>
      </w:r>
      <w:r w:rsidR="005D7864">
        <w:rPr>
          <w:rtl/>
        </w:rPr>
        <w:t>،</w:t>
      </w:r>
      <w:r>
        <w:rPr>
          <w:rtl/>
        </w:rPr>
        <w:t xml:space="preserve"> </w:t>
      </w:r>
      <w:r w:rsidRPr="00885E11">
        <w:rPr>
          <w:rtl/>
        </w:rPr>
        <w:t>مثل</w:t>
      </w:r>
      <w:r>
        <w:rPr>
          <w:rtl/>
        </w:rPr>
        <w:t xml:space="preserve"> </w:t>
      </w:r>
      <w:r w:rsidRPr="00885E11">
        <w:rPr>
          <w:rtl/>
        </w:rPr>
        <w:t>المادة</w:t>
      </w:r>
      <w:r>
        <w:rPr>
          <w:rtl/>
        </w:rPr>
        <w:t xml:space="preserve"> </w:t>
      </w:r>
      <w:r w:rsidRPr="00846FFB">
        <w:rPr>
          <w:rtl/>
        </w:rPr>
        <w:t>393</w:t>
      </w:r>
      <w:r>
        <w:rPr>
          <w:rtl/>
        </w:rPr>
        <w:t xml:space="preserve"> </w:t>
      </w:r>
      <w:r w:rsidRPr="00885E11">
        <w:rPr>
          <w:rtl/>
        </w:rPr>
        <w:t>المتعلقة</w:t>
      </w:r>
      <w:r>
        <w:rPr>
          <w:rtl/>
        </w:rPr>
        <w:t xml:space="preserve"> </w:t>
      </w:r>
      <w:r w:rsidRPr="00885E11">
        <w:rPr>
          <w:rtl/>
        </w:rPr>
        <w:t>بالاغتصاب</w:t>
      </w:r>
      <w:r w:rsidR="005D7864">
        <w:rPr>
          <w:rtl/>
        </w:rPr>
        <w:t>،</w:t>
      </w:r>
      <w:r>
        <w:rPr>
          <w:rtl/>
        </w:rPr>
        <w:t xml:space="preserve"> </w:t>
      </w:r>
      <w:r w:rsidRPr="00885E11">
        <w:rPr>
          <w:rtl/>
        </w:rPr>
        <w:t>والمادة</w:t>
      </w:r>
      <w:r>
        <w:rPr>
          <w:rtl/>
        </w:rPr>
        <w:t xml:space="preserve"> </w:t>
      </w:r>
      <w:r w:rsidRPr="00846FFB">
        <w:rPr>
          <w:rtl/>
        </w:rPr>
        <w:t>409</w:t>
      </w:r>
      <w:r>
        <w:rPr>
          <w:rtl/>
        </w:rPr>
        <w:t xml:space="preserve"> </w:t>
      </w:r>
      <w:r w:rsidRPr="00885E11">
        <w:rPr>
          <w:rtl/>
        </w:rPr>
        <w:t>التي</w:t>
      </w:r>
      <w:r>
        <w:rPr>
          <w:rtl/>
        </w:rPr>
        <w:t xml:space="preserve"> </w:t>
      </w:r>
      <w:r w:rsidRPr="00885E11">
        <w:rPr>
          <w:rtl/>
        </w:rPr>
        <w:t>تنص</w:t>
      </w:r>
      <w:r>
        <w:rPr>
          <w:rtl/>
        </w:rPr>
        <w:t xml:space="preserve"> </w:t>
      </w:r>
      <w:r w:rsidRPr="00885E11">
        <w:rPr>
          <w:rtl/>
        </w:rPr>
        <w:t>على</w:t>
      </w:r>
      <w:r>
        <w:rPr>
          <w:rtl/>
        </w:rPr>
        <w:t xml:space="preserve"> </w:t>
      </w:r>
      <w:r w:rsidRPr="00885E11">
        <w:rPr>
          <w:rtl/>
        </w:rPr>
        <w:t>تخفيف</w:t>
      </w:r>
      <w:r>
        <w:rPr>
          <w:rtl/>
        </w:rPr>
        <w:t xml:space="preserve"> </w:t>
      </w:r>
      <w:r w:rsidRPr="00885E11">
        <w:rPr>
          <w:rtl/>
        </w:rPr>
        <w:t>العقوبة</w:t>
      </w:r>
      <w:r>
        <w:rPr>
          <w:rtl/>
        </w:rPr>
        <w:t xml:space="preserve"> </w:t>
      </w:r>
      <w:r w:rsidRPr="00885E11">
        <w:rPr>
          <w:rtl/>
        </w:rPr>
        <w:t>على</w:t>
      </w:r>
      <w:r>
        <w:rPr>
          <w:rtl/>
        </w:rPr>
        <w:t xml:space="preserve"> </w:t>
      </w:r>
      <w:r w:rsidRPr="00885E11">
        <w:rPr>
          <w:rtl/>
        </w:rPr>
        <w:t>ما</w:t>
      </w:r>
      <w:r w:rsidR="00972A49">
        <w:rPr>
          <w:rFonts w:hint="cs"/>
          <w:rtl/>
        </w:rPr>
        <w:t> </w:t>
      </w:r>
      <w:r w:rsidRPr="00885E11">
        <w:rPr>
          <w:rtl/>
        </w:rPr>
        <w:t>يسمى</w:t>
      </w:r>
      <w:r>
        <w:rPr>
          <w:rtl/>
        </w:rPr>
        <w:t xml:space="preserve"> </w:t>
      </w:r>
      <w:r w:rsidRPr="00885E11">
        <w:rPr>
          <w:rtl/>
        </w:rPr>
        <w:t>بجرائم</w:t>
      </w:r>
      <w:r>
        <w:rPr>
          <w:rtl/>
        </w:rPr>
        <w:t xml:space="preserve"> </w:t>
      </w:r>
      <w:r w:rsidRPr="00885E11">
        <w:rPr>
          <w:rtl/>
        </w:rPr>
        <w:t>"الشرف"</w:t>
      </w:r>
      <w:r>
        <w:rPr>
          <w:rtl/>
        </w:rPr>
        <w:t xml:space="preserve"> </w:t>
      </w:r>
      <w:r w:rsidRPr="00885E11">
        <w:rPr>
          <w:rtl/>
        </w:rPr>
        <w:t>في</w:t>
      </w:r>
      <w:r>
        <w:rPr>
          <w:rtl/>
        </w:rPr>
        <w:t xml:space="preserve"> </w:t>
      </w:r>
      <w:r w:rsidRPr="00885E11">
        <w:rPr>
          <w:rtl/>
        </w:rPr>
        <w:t>ظروف</w:t>
      </w:r>
      <w:r>
        <w:rPr>
          <w:rtl/>
        </w:rPr>
        <w:t xml:space="preserve"> </w:t>
      </w:r>
      <w:r w:rsidRPr="00885E11">
        <w:rPr>
          <w:rtl/>
        </w:rPr>
        <w:t>معينة؛</w:t>
      </w:r>
      <w:r>
        <w:rPr>
          <w:rtl/>
        </w:rPr>
        <w:t xml:space="preserve"> </w:t>
      </w:r>
      <w:r w:rsidRPr="00885E11">
        <w:rPr>
          <w:rtl/>
        </w:rPr>
        <w:t>وفي</w:t>
      </w:r>
      <w:r>
        <w:rPr>
          <w:rtl/>
        </w:rPr>
        <w:t xml:space="preserve"> </w:t>
      </w:r>
      <w:r w:rsidRPr="00885E11">
        <w:rPr>
          <w:rtl/>
        </w:rPr>
        <w:t>المادة</w:t>
      </w:r>
      <w:r>
        <w:rPr>
          <w:rtl/>
        </w:rPr>
        <w:t xml:space="preserve"> </w:t>
      </w:r>
      <w:r w:rsidRPr="00846FFB">
        <w:rPr>
          <w:rtl/>
        </w:rPr>
        <w:t>3</w:t>
      </w:r>
      <w:r>
        <w:rPr>
          <w:rtl/>
        </w:rPr>
        <w:t xml:space="preserve"> </w:t>
      </w:r>
      <w:r w:rsidRPr="00885E11">
        <w:rPr>
          <w:rtl/>
        </w:rPr>
        <w:t>(</w:t>
      </w:r>
      <w:r w:rsidRPr="00846FFB">
        <w:rPr>
          <w:rtl/>
        </w:rPr>
        <w:t>4</w:t>
      </w:r>
      <w:r w:rsidRPr="00885E11">
        <w:rPr>
          <w:rtl/>
        </w:rPr>
        <w:t>)</w:t>
      </w:r>
      <w:r>
        <w:rPr>
          <w:rtl/>
        </w:rPr>
        <w:t xml:space="preserve"> </w:t>
      </w:r>
      <w:r w:rsidRPr="00885E11">
        <w:rPr>
          <w:rtl/>
        </w:rPr>
        <w:t>من</w:t>
      </w:r>
      <w:r>
        <w:rPr>
          <w:rtl/>
        </w:rPr>
        <w:t xml:space="preserve"> </w:t>
      </w:r>
      <w:r w:rsidRPr="00885E11">
        <w:rPr>
          <w:rtl/>
        </w:rPr>
        <w:t>قانون</w:t>
      </w:r>
      <w:r>
        <w:rPr>
          <w:rtl/>
        </w:rPr>
        <w:t xml:space="preserve"> </w:t>
      </w:r>
      <w:r w:rsidRPr="00885E11">
        <w:rPr>
          <w:rtl/>
        </w:rPr>
        <w:t>الأحوال</w:t>
      </w:r>
      <w:r>
        <w:rPr>
          <w:rtl/>
        </w:rPr>
        <w:t xml:space="preserve"> </w:t>
      </w:r>
      <w:r w:rsidRPr="00885E11">
        <w:rPr>
          <w:rtl/>
        </w:rPr>
        <w:t>الشخصية</w:t>
      </w:r>
      <w:r>
        <w:rPr>
          <w:rtl/>
        </w:rPr>
        <w:t xml:space="preserve"> </w:t>
      </w:r>
      <w:r w:rsidRPr="00885E11">
        <w:rPr>
          <w:rtl/>
        </w:rPr>
        <w:t>لعام</w:t>
      </w:r>
      <w:r>
        <w:rPr>
          <w:rtl/>
        </w:rPr>
        <w:t xml:space="preserve"> </w:t>
      </w:r>
      <w:r w:rsidRPr="00846FFB">
        <w:rPr>
          <w:rtl/>
        </w:rPr>
        <w:t>1959</w:t>
      </w:r>
      <w:r w:rsidR="005D7864">
        <w:rPr>
          <w:rtl/>
        </w:rPr>
        <w:t>،</w:t>
      </w:r>
      <w:r>
        <w:rPr>
          <w:rtl/>
        </w:rPr>
        <w:t xml:space="preserve"> </w:t>
      </w:r>
      <w:r w:rsidRPr="00885E11">
        <w:rPr>
          <w:rtl/>
        </w:rPr>
        <w:t>التي</w:t>
      </w:r>
      <w:r>
        <w:rPr>
          <w:rtl/>
        </w:rPr>
        <w:t xml:space="preserve"> </w:t>
      </w:r>
      <w:r w:rsidRPr="00885E11">
        <w:rPr>
          <w:rtl/>
        </w:rPr>
        <w:t>تجيز</w:t>
      </w:r>
      <w:r>
        <w:rPr>
          <w:rtl/>
        </w:rPr>
        <w:t xml:space="preserve"> </w:t>
      </w:r>
      <w:r w:rsidRPr="00885E11">
        <w:rPr>
          <w:rtl/>
        </w:rPr>
        <w:t>تعدد</w:t>
      </w:r>
      <w:r>
        <w:rPr>
          <w:rtl/>
        </w:rPr>
        <w:t xml:space="preserve"> </w:t>
      </w:r>
      <w:r w:rsidRPr="00885E11">
        <w:rPr>
          <w:rtl/>
        </w:rPr>
        <w:t>الزوجات</w:t>
      </w:r>
      <w:r>
        <w:rPr>
          <w:rtl/>
        </w:rPr>
        <w:t xml:space="preserve"> </w:t>
      </w:r>
      <w:r w:rsidRPr="00885E11">
        <w:rPr>
          <w:rtl/>
        </w:rPr>
        <w:t>في</w:t>
      </w:r>
      <w:r>
        <w:rPr>
          <w:rtl/>
        </w:rPr>
        <w:t xml:space="preserve"> </w:t>
      </w:r>
      <w:r w:rsidRPr="00885E11">
        <w:rPr>
          <w:rtl/>
        </w:rPr>
        <w:t>ظل</w:t>
      </w:r>
      <w:r>
        <w:rPr>
          <w:rtl/>
        </w:rPr>
        <w:t xml:space="preserve"> </w:t>
      </w:r>
      <w:r w:rsidRPr="00885E11">
        <w:rPr>
          <w:rtl/>
        </w:rPr>
        <w:t>ظروف</w:t>
      </w:r>
      <w:r>
        <w:rPr>
          <w:rtl/>
        </w:rPr>
        <w:t xml:space="preserve"> </w:t>
      </w:r>
      <w:r w:rsidRPr="00885E11">
        <w:rPr>
          <w:rtl/>
        </w:rPr>
        <w:t>معينة</w:t>
      </w:r>
      <w:r>
        <w:rPr>
          <w:rtl/>
        </w:rPr>
        <w:t xml:space="preserve"> </w:t>
      </w:r>
      <w:r w:rsidRPr="00885E11">
        <w:rPr>
          <w:rtl/>
        </w:rPr>
        <w:t>(المواد</w:t>
      </w:r>
      <w:r>
        <w:rPr>
          <w:rtl/>
        </w:rPr>
        <w:t xml:space="preserve"> </w:t>
      </w:r>
      <w:r w:rsidRPr="00846FFB">
        <w:rPr>
          <w:rtl/>
        </w:rPr>
        <w:t>2</w:t>
      </w:r>
      <w:r w:rsidRPr="00885E11">
        <w:rPr>
          <w:rtl/>
        </w:rPr>
        <w:t>-</w:t>
      </w:r>
      <w:r w:rsidRPr="00846FFB">
        <w:rPr>
          <w:rtl/>
        </w:rPr>
        <w:t>3</w:t>
      </w:r>
      <w:r>
        <w:rPr>
          <w:rtl/>
        </w:rPr>
        <w:t xml:space="preserve"> </w:t>
      </w:r>
      <w:r w:rsidRPr="00885E11">
        <w:rPr>
          <w:rtl/>
        </w:rPr>
        <w:t>و</w:t>
      </w:r>
      <w:r w:rsidRPr="00846FFB">
        <w:rPr>
          <w:rtl/>
        </w:rPr>
        <w:t>7</w:t>
      </w:r>
      <w:r>
        <w:rPr>
          <w:rtl/>
        </w:rPr>
        <w:t xml:space="preserve"> </w:t>
      </w:r>
      <w:r w:rsidRPr="00885E11">
        <w:rPr>
          <w:rtl/>
        </w:rPr>
        <w:t>و</w:t>
      </w:r>
      <w:r w:rsidRPr="00846FFB">
        <w:rPr>
          <w:rtl/>
        </w:rPr>
        <w:t>23</w:t>
      </w:r>
      <w:r>
        <w:rPr>
          <w:rtl/>
        </w:rPr>
        <w:t xml:space="preserve"> </w:t>
      </w:r>
      <w:r w:rsidRPr="00885E11">
        <w:rPr>
          <w:rtl/>
        </w:rPr>
        <w:t>و</w:t>
      </w:r>
      <w:r w:rsidRPr="00846FFB">
        <w:rPr>
          <w:rtl/>
        </w:rPr>
        <w:t>26</w:t>
      </w:r>
      <w:r w:rsidRPr="00885E11">
        <w:rPr>
          <w:rtl/>
        </w:rPr>
        <w:t>).</w:t>
      </w:r>
    </w:p>
    <w:p w14:paraId="2C3FFDC5" w14:textId="14EEEDE0" w:rsidR="00885E11" w:rsidRPr="00DC17E8" w:rsidRDefault="00885E11" w:rsidP="00E73DBD">
      <w:pPr>
        <w:pStyle w:val="SingleTxtGA"/>
        <w:keepNext/>
        <w:keepLines/>
        <w:rPr>
          <w:b/>
          <w:bCs/>
        </w:rPr>
      </w:pPr>
      <w:r w:rsidRPr="00846FFB">
        <w:rPr>
          <w:rtl/>
        </w:rPr>
        <w:t>15</w:t>
      </w:r>
      <w:r w:rsidRPr="007B0599">
        <w:rPr>
          <w:rtl/>
        </w:rPr>
        <w:t>-</w:t>
      </w:r>
      <w:r w:rsidRPr="007B0599">
        <w:rPr>
          <w:rtl/>
        </w:rPr>
        <w:tab/>
      </w:r>
      <w:r w:rsidRPr="00DC17E8">
        <w:rPr>
          <w:b/>
          <w:bCs/>
          <w:rtl/>
        </w:rPr>
        <w:t>ينبغي للدولة الطرف القيام بما يلي:</w:t>
      </w:r>
    </w:p>
    <w:p w14:paraId="2DF72A83" w14:textId="3E10E6A6" w:rsidR="00885E11" w:rsidRPr="00DC17E8" w:rsidRDefault="00885E11" w:rsidP="00885E11">
      <w:pPr>
        <w:pStyle w:val="SingleTxtGA"/>
        <w:rPr>
          <w:b/>
          <w:bCs/>
        </w:rPr>
      </w:pPr>
      <w:r w:rsidRPr="007B0599">
        <w:rPr>
          <w:rtl/>
        </w:rPr>
        <w:tab/>
        <w:t>(أ)</w:t>
      </w:r>
      <w:r w:rsidRPr="007B0599">
        <w:rPr>
          <w:rtl/>
        </w:rPr>
        <w:tab/>
      </w:r>
      <w:r w:rsidRPr="00DC17E8">
        <w:rPr>
          <w:b/>
          <w:bCs/>
          <w:rtl/>
        </w:rPr>
        <w:t>التعجيل باعتماد مشروع القانون المتعلق بالعنف الأسري</w:t>
      </w:r>
      <w:r w:rsidR="005D7864">
        <w:rPr>
          <w:b/>
          <w:bCs/>
          <w:rtl/>
        </w:rPr>
        <w:t>،</w:t>
      </w:r>
      <w:r w:rsidRPr="00DC17E8">
        <w:rPr>
          <w:b/>
          <w:bCs/>
          <w:rtl/>
        </w:rPr>
        <w:t xml:space="preserve"> ومواصلة استعراض تشريعاتها المحلية</w:t>
      </w:r>
      <w:r w:rsidR="005D7864">
        <w:rPr>
          <w:b/>
          <w:bCs/>
          <w:rtl/>
        </w:rPr>
        <w:t>،</w:t>
      </w:r>
      <w:r w:rsidRPr="00DC17E8">
        <w:rPr>
          <w:b/>
          <w:bCs/>
          <w:rtl/>
        </w:rPr>
        <w:t xml:space="preserve"> وإلغاء أو تعديل جميع الأحكام التي تميز ضد المرأة وتسمح بالعنف ضدها</w:t>
      </w:r>
      <w:r w:rsidR="005D7864">
        <w:rPr>
          <w:b/>
          <w:bCs/>
          <w:rtl/>
        </w:rPr>
        <w:t>،</w:t>
      </w:r>
      <w:r w:rsidRPr="00DC17E8">
        <w:rPr>
          <w:b/>
          <w:bCs/>
          <w:rtl/>
        </w:rPr>
        <w:t xml:space="preserve"> بما في ذلك المادتان </w:t>
      </w:r>
      <w:r w:rsidRPr="00846FFB">
        <w:rPr>
          <w:b/>
          <w:bCs/>
          <w:rtl/>
        </w:rPr>
        <w:t>393</w:t>
      </w:r>
      <w:r w:rsidRPr="00DC17E8">
        <w:rPr>
          <w:b/>
          <w:bCs/>
          <w:rtl/>
        </w:rPr>
        <w:t xml:space="preserve"> و</w:t>
      </w:r>
      <w:r w:rsidRPr="00846FFB">
        <w:rPr>
          <w:b/>
          <w:bCs/>
          <w:rtl/>
        </w:rPr>
        <w:t>409</w:t>
      </w:r>
      <w:r w:rsidRPr="00DC17E8">
        <w:rPr>
          <w:b/>
          <w:bCs/>
          <w:rtl/>
        </w:rPr>
        <w:t xml:space="preserve"> من قانون العقوبات والمادة </w:t>
      </w:r>
      <w:r w:rsidRPr="00846FFB">
        <w:rPr>
          <w:b/>
          <w:bCs/>
          <w:rtl/>
        </w:rPr>
        <w:t>3</w:t>
      </w:r>
      <w:r w:rsidRPr="00DC17E8">
        <w:rPr>
          <w:b/>
          <w:bCs/>
          <w:rtl/>
        </w:rPr>
        <w:t>(</w:t>
      </w:r>
      <w:r w:rsidRPr="00846FFB">
        <w:rPr>
          <w:b/>
          <w:bCs/>
          <w:rtl/>
        </w:rPr>
        <w:t>4</w:t>
      </w:r>
      <w:r w:rsidRPr="00DC17E8">
        <w:rPr>
          <w:b/>
          <w:bCs/>
          <w:rtl/>
        </w:rPr>
        <w:t>) من قانون الأحوال الشخصية</w:t>
      </w:r>
      <w:r w:rsidR="005D7864">
        <w:rPr>
          <w:b/>
          <w:bCs/>
          <w:rtl/>
        </w:rPr>
        <w:t>،</w:t>
      </w:r>
      <w:r w:rsidRPr="00DC17E8">
        <w:rPr>
          <w:b/>
          <w:bCs/>
          <w:rtl/>
        </w:rPr>
        <w:t xml:space="preserve"> وفقاً للعهد؛</w:t>
      </w:r>
    </w:p>
    <w:p w14:paraId="7E26A30D" w14:textId="2782C2A6" w:rsidR="00885E11" w:rsidRPr="00DC17E8" w:rsidRDefault="00885E11" w:rsidP="00885E11">
      <w:pPr>
        <w:pStyle w:val="SingleTxtGA"/>
        <w:rPr>
          <w:b/>
          <w:bCs/>
        </w:rPr>
      </w:pPr>
      <w:r w:rsidRPr="007B0599">
        <w:rPr>
          <w:rtl/>
        </w:rPr>
        <w:tab/>
        <w:t>(ب)</w:t>
      </w:r>
      <w:r w:rsidRPr="007B0599">
        <w:rPr>
          <w:rtl/>
        </w:rPr>
        <w:tab/>
      </w:r>
      <w:r w:rsidRPr="00DC17E8">
        <w:rPr>
          <w:b/>
          <w:bCs/>
          <w:rtl/>
        </w:rPr>
        <w:t>مواصلة تعزيز برامج التدريب والتثقيف والتوعية بشأن مكافحة العنف العائلي للشرطة والجهاز القضائي</w:t>
      </w:r>
      <w:r w:rsidR="005D7864">
        <w:rPr>
          <w:b/>
          <w:bCs/>
          <w:rtl/>
        </w:rPr>
        <w:t>،</w:t>
      </w:r>
      <w:r w:rsidRPr="00DC17E8">
        <w:rPr>
          <w:b/>
          <w:bCs/>
          <w:rtl/>
        </w:rPr>
        <w:t xml:space="preserve"> بما في ذلك النيابة العامة</w:t>
      </w:r>
      <w:r w:rsidR="005D7864">
        <w:rPr>
          <w:b/>
          <w:bCs/>
          <w:rtl/>
        </w:rPr>
        <w:t>،</w:t>
      </w:r>
      <w:r w:rsidRPr="00DC17E8">
        <w:rPr>
          <w:b/>
          <w:bCs/>
          <w:rtl/>
        </w:rPr>
        <w:t xml:space="preserve"> فضلاً عن الموظفين في مديرية حماية الأسرة والطفل من العنف الأسري وغيرها من إدارات الدولة ذات الصلة وعامة الجمهور ككل.</w:t>
      </w:r>
    </w:p>
    <w:p w14:paraId="2B4A2428" w14:textId="646BE495" w:rsidR="00885E11" w:rsidRPr="00846FFB" w:rsidRDefault="00885E11" w:rsidP="00885E11">
      <w:pPr>
        <w:pStyle w:val="H23GA"/>
      </w:pPr>
      <w:r w:rsidRPr="00846FFB">
        <w:rPr>
          <w:rtl/>
        </w:rPr>
        <w:tab/>
      </w:r>
      <w:r w:rsidRPr="00846FFB">
        <w:rPr>
          <w:rtl/>
        </w:rPr>
        <w:tab/>
        <w:t>تدابير مكافحة الإرهاب</w:t>
      </w:r>
    </w:p>
    <w:p w14:paraId="5659E4E0" w14:textId="5A285C13" w:rsidR="00885E11" w:rsidRPr="00885E11" w:rsidRDefault="00885E11" w:rsidP="00885E11">
      <w:pPr>
        <w:pStyle w:val="SingleTxtGA"/>
      </w:pPr>
      <w:r w:rsidRPr="00846FFB">
        <w:rPr>
          <w:rtl/>
        </w:rPr>
        <w:t>16</w:t>
      </w:r>
      <w:r w:rsidRPr="007B0599">
        <w:rPr>
          <w:rtl/>
        </w:rPr>
        <w:t>-</w:t>
      </w:r>
      <w:r w:rsidRPr="007B0599">
        <w:rPr>
          <w:rtl/>
        </w:rPr>
        <w:tab/>
      </w:r>
      <w:r w:rsidRPr="00885E11">
        <w:rPr>
          <w:rtl/>
        </w:rPr>
        <w:t>تحيط</w:t>
      </w:r>
      <w:r>
        <w:rPr>
          <w:rtl/>
        </w:rPr>
        <w:t xml:space="preserve"> </w:t>
      </w:r>
      <w:r w:rsidRPr="00885E11">
        <w:rPr>
          <w:rtl/>
        </w:rPr>
        <w:t>اللجنة</w:t>
      </w:r>
      <w:r>
        <w:rPr>
          <w:rtl/>
        </w:rPr>
        <w:t xml:space="preserve"> </w:t>
      </w:r>
      <w:r w:rsidRPr="00885E11">
        <w:rPr>
          <w:rtl/>
        </w:rPr>
        <w:t>علماً</w:t>
      </w:r>
      <w:r>
        <w:rPr>
          <w:rtl/>
        </w:rPr>
        <w:t xml:space="preserve"> </w:t>
      </w:r>
      <w:r w:rsidRPr="00885E11">
        <w:rPr>
          <w:rtl/>
        </w:rPr>
        <w:t>بأن</w:t>
      </w:r>
      <w:r>
        <w:rPr>
          <w:rtl/>
        </w:rPr>
        <w:t xml:space="preserve"> </w:t>
      </w:r>
      <w:r w:rsidRPr="00885E11">
        <w:rPr>
          <w:rtl/>
        </w:rPr>
        <w:t>تعديلاً</w:t>
      </w:r>
      <w:r>
        <w:rPr>
          <w:rtl/>
        </w:rPr>
        <w:t xml:space="preserve"> </w:t>
      </w:r>
      <w:r w:rsidRPr="00885E11">
        <w:rPr>
          <w:rtl/>
        </w:rPr>
        <w:t>لقانون</w:t>
      </w:r>
      <w:r>
        <w:rPr>
          <w:rtl/>
        </w:rPr>
        <w:t xml:space="preserve"> </w:t>
      </w:r>
      <w:r w:rsidRPr="00885E11">
        <w:rPr>
          <w:rtl/>
        </w:rPr>
        <w:t>مكافحة</w:t>
      </w:r>
      <w:r>
        <w:rPr>
          <w:rtl/>
        </w:rPr>
        <w:t xml:space="preserve"> </w:t>
      </w:r>
      <w:r w:rsidRPr="00885E11">
        <w:rPr>
          <w:rtl/>
        </w:rPr>
        <w:t>الإرهاب</w:t>
      </w:r>
      <w:r>
        <w:rPr>
          <w:rtl/>
        </w:rPr>
        <w:t xml:space="preserve"> </w:t>
      </w:r>
      <w:r w:rsidRPr="00885E11">
        <w:rPr>
          <w:rtl/>
        </w:rPr>
        <w:t>قد</w:t>
      </w:r>
      <w:r>
        <w:rPr>
          <w:rtl/>
        </w:rPr>
        <w:t xml:space="preserve"> </w:t>
      </w:r>
      <w:r w:rsidRPr="00885E11">
        <w:rPr>
          <w:rtl/>
        </w:rPr>
        <w:t>أحيل</w:t>
      </w:r>
      <w:r>
        <w:rPr>
          <w:rtl/>
        </w:rPr>
        <w:t xml:space="preserve"> </w:t>
      </w:r>
      <w:r w:rsidRPr="00885E11">
        <w:rPr>
          <w:rtl/>
        </w:rPr>
        <w:t>إلى</w:t>
      </w:r>
      <w:r>
        <w:rPr>
          <w:rtl/>
        </w:rPr>
        <w:t xml:space="preserve"> </w:t>
      </w:r>
      <w:r w:rsidRPr="00885E11">
        <w:rPr>
          <w:rtl/>
        </w:rPr>
        <w:t>مجلس</w:t>
      </w:r>
      <w:r>
        <w:rPr>
          <w:rtl/>
        </w:rPr>
        <w:t xml:space="preserve"> </w:t>
      </w:r>
      <w:r w:rsidRPr="00885E11">
        <w:rPr>
          <w:rtl/>
        </w:rPr>
        <w:t>الوزراء</w:t>
      </w:r>
      <w:r>
        <w:rPr>
          <w:rtl/>
        </w:rPr>
        <w:t xml:space="preserve"> </w:t>
      </w:r>
      <w:r w:rsidRPr="00885E11">
        <w:rPr>
          <w:rtl/>
        </w:rPr>
        <w:t>كجزء</w:t>
      </w:r>
      <w:r>
        <w:rPr>
          <w:rtl/>
        </w:rPr>
        <w:t xml:space="preserve"> </w:t>
      </w:r>
      <w:r w:rsidRPr="00885E11">
        <w:rPr>
          <w:rtl/>
        </w:rPr>
        <w:t>من</w:t>
      </w:r>
      <w:r>
        <w:rPr>
          <w:rtl/>
        </w:rPr>
        <w:t xml:space="preserve"> </w:t>
      </w:r>
      <w:r w:rsidRPr="00885E11">
        <w:rPr>
          <w:rtl/>
        </w:rPr>
        <w:t>العملية</w:t>
      </w:r>
      <w:r>
        <w:rPr>
          <w:rtl/>
        </w:rPr>
        <w:t xml:space="preserve"> </w:t>
      </w:r>
      <w:r w:rsidRPr="00885E11">
        <w:rPr>
          <w:rtl/>
        </w:rPr>
        <w:t>التشريعية</w:t>
      </w:r>
      <w:r w:rsidR="005D7864">
        <w:rPr>
          <w:rtl/>
        </w:rPr>
        <w:t>،</w:t>
      </w:r>
      <w:r>
        <w:rPr>
          <w:rtl/>
        </w:rPr>
        <w:t xml:space="preserve"> </w:t>
      </w:r>
      <w:r w:rsidRPr="00885E11">
        <w:rPr>
          <w:rtl/>
        </w:rPr>
        <w:t>وأن</w:t>
      </w:r>
      <w:r>
        <w:rPr>
          <w:rtl/>
        </w:rPr>
        <w:t xml:space="preserve"> </w:t>
      </w:r>
      <w:r w:rsidRPr="00885E11">
        <w:rPr>
          <w:rtl/>
        </w:rPr>
        <w:t>الاستراتيجية</w:t>
      </w:r>
      <w:r>
        <w:rPr>
          <w:rtl/>
        </w:rPr>
        <w:t xml:space="preserve"> </w:t>
      </w:r>
      <w:r w:rsidRPr="00885E11">
        <w:rPr>
          <w:rtl/>
        </w:rPr>
        <w:t>الوطنية</w:t>
      </w:r>
      <w:r>
        <w:rPr>
          <w:rtl/>
        </w:rPr>
        <w:t xml:space="preserve"> </w:t>
      </w:r>
      <w:r w:rsidRPr="00885E11">
        <w:rPr>
          <w:rtl/>
        </w:rPr>
        <w:t>لمكافحة</w:t>
      </w:r>
      <w:r>
        <w:rPr>
          <w:rtl/>
        </w:rPr>
        <w:t xml:space="preserve"> </w:t>
      </w:r>
      <w:r w:rsidRPr="00885E11">
        <w:rPr>
          <w:rtl/>
        </w:rPr>
        <w:t>الإرهاب</w:t>
      </w:r>
      <w:r>
        <w:rPr>
          <w:rtl/>
        </w:rPr>
        <w:t xml:space="preserve"> </w:t>
      </w:r>
      <w:r w:rsidRPr="00885E11">
        <w:rPr>
          <w:rtl/>
        </w:rPr>
        <w:t>قد</w:t>
      </w:r>
      <w:r>
        <w:rPr>
          <w:rtl/>
        </w:rPr>
        <w:t xml:space="preserve"> </w:t>
      </w:r>
      <w:r w:rsidRPr="00885E11">
        <w:rPr>
          <w:rtl/>
        </w:rPr>
        <w:t>أحيلت</w:t>
      </w:r>
      <w:r>
        <w:rPr>
          <w:rtl/>
        </w:rPr>
        <w:t xml:space="preserve"> </w:t>
      </w:r>
      <w:r w:rsidRPr="00885E11">
        <w:rPr>
          <w:rtl/>
        </w:rPr>
        <w:t>الآن</w:t>
      </w:r>
      <w:r>
        <w:rPr>
          <w:rtl/>
        </w:rPr>
        <w:t xml:space="preserve"> </w:t>
      </w:r>
      <w:r w:rsidRPr="00885E11">
        <w:rPr>
          <w:rtl/>
        </w:rPr>
        <w:t>إلى</w:t>
      </w:r>
      <w:r>
        <w:rPr>
          <w:rtl/>
        </w:rPr>
        <w:t xml:space="preserve"> </w:t>
      </w:r>
      <w:r w:rsidRPr="00885E11">
        <w:rPr>
          <w:rtl/>
        </w:rPr>
        <w:t>الوزارات</w:t>
      </w:r>
      <w:r>
        <w:rPr>
          <w:rtl/>
        </w:rPr>
        <w:t xml:space="preserve"> </w:t>
      </w:r>
      <w:r w:rsidR="00DC17E8" w:rsidRPr="00885E11">
        <w:rPr>
          <w:rFonts w:hint="cs"/>
          <w:rtl/>
        </w:rPr>
        <w:t>المختصة لتنفيذه</w:t>
      </w:r>
      <w:r w:rsidR="00DC17E8" w:rsidRPr="00885E11">
        <w:rPr>
          <w:rtl/>
        </w:rPr>
        <w:t>ا</w:t>
      </w:r>
      <w:r w:rsidRPr="00885E11">
        <w:rPr>
          <w:rtl/>
        </w:rPr>
        <w:t>.</w:t>
      </w:r>
      <w:r>
        <w:rPr>
          <w:rtl/>
        </w:rPr>
        <w:t xml:space="preserve"> </w:t>
      </w:r>
      <w:r w:rsidRPr="00885E11">
        <w:rPr>
          <w:rtl/>
        </w:rPr>
        <w:t>وتكرر</w:t>
      </w:r>
      <w:r>
        <w:rPr>
          <w:rtl/>
        </w:rPr>
        <w:t xml:space="preserve"> </w:t>
      </w:r>
      <w:r w:rsidRPr="00885E11">
        <w:rPr>
          <w:rtl/>
        </w:rPr>
        <w:t>اللجنة</w:t>
      </w:r>
      <w:r>
        <w:rPr>
          <w:rtl/>
        </w:rPr>
        <w:t xml:space="preserve"> </w:t>
      </w:r>
      <w:r w:rsidRPr="00885E11">
        <w:rPr>
          <w:rtl/>
        </w:rPr>
        <w:t>تأكيد</w:t>
      </w:r>
      <w:r>
        <w:rPr>
          <w:rtl/>
        </w:rPr>
        <w:t xml:space="preserve"> </w:t>
      </w:r>
      <w:r w:rsidRPr="00885E11">
        <w:rPr>
          <w:rtl/>
        </w:rPr>
        <w:t>ملاحظاتها</w:t>
      </w:r>
      <w:r>
        <w:rPr>
          <w:rtl/>
        </w:rPr>
        <w:t xml:space="preserve"> </w:t>
      </w:r>
      <w:r w:rsidRPr="00885E11">
        <w:rPr>
          <w:rtl/>
        </w:rPr>
        <w:t>السابقة</w:t>
      </w:r>
      <w:r w:rsidR="00E82A04" w:rsidRPr="00846FFB">
        <w:rPr>
          <w:vertAlign w:val="superscript"/>
          <w:rtl/>
        </w:rPr>
        <w:t>(</w:t>
      </w:r>
      <w:r w:rsidR="00E82A04" w:rsidRPr="00846FFB">
        <w:rPr>
          <w:vertAlign w:val="superscript"/>
          <w:lang w:val="en-US"/>
        </w:rPr>
        <w:footnoteReference w:id="8"/>
      </w:r>
      <w:r w:rsidR="00E82A04" w:rsidRPr="00846FFB">
        <w:rPr>
          <w:vertAlign w:val="superscript"/>
          <w:rtl/>
        </w:rPr>
        <w:t>)</w:t>
      </w:r>
      <w:r>
        <w:rPr>
          <w:rtl/>
        </w:rPr>
        <w:t xml:space="preserve"> </w:t>
      </w:r>
      <w:r w:rsidRPr="00885E11">
        <w:rPr>
          <w:rtl/>
        </w:rPr>
        <w:t>بشأن</w:t>
      </w:r>
      <w:r>
        <w:rPr>
          <w:rtl/>
        </w:rPr>
        <w:t xml:space="preserve"> </w:t>
      </w:r>
      <w:r w:rsidRPr="00885E11">
        <w:rPr>
          <w:rtl/>
        </w:rPr>
        <w:t>التعريف</w:t>
      </w:r>
      <w:r>
        <w:rPr>
          <w:rtl/>
        </w:rPr>
        <w:t xml:space="preserve"> </w:t>
      </w:r>
      <w:r w:rsidRPr="00885E11">
        <w:rPr>
          <w:rtl/>
        </w:rPr>
        <w:t>الفضفاض</w:t>
      </w:r>
      <w:r>
        <w:rPr>
          <w:rtl/>
        </w:rPr>
        <w:t xml:space="preserve"> </w:t>
      </w:r>
      <w:r w:rsidRPr="00885E11">
        <w:rPr>
          <w:rtl/>
        </w:rPr>
        <w:t>للإرهاب</w:t>
      </w:r>
      <w:r>
        <w:rPr>
          <w:rtl/>
        </w:rPr>
        <w:t xml:space="preserve"> </w:t>
      </w:r>
      <w:r w:rsidRPr="00885E11">
        <w:rPr>
          <w:rtl/>
        </w:rPr>
        <w:t>في</w:t>
      </w:r>
      <w:r>
        <w:rPr>
          <w:rtl/>
        </w:rPr>
        <w:t xml:space="preserve"> </w:t>
      </w:r>
      <w:r w:rsidRPr="00885E11">
        <w:rPr>
          <w:rtl/>
        </w:rPr>
        <w:t>قانون</w:t>
      </w:r>
      <w:r>
        <w:rPr>
          <w:rtl/>
        </w:rPr>
        <w:t xml:space="preserve"> </w:t>
      </w:r>
      <w:r w:rsidRPr="00885E11">
        <w:rPr>
          <w:rtl/>
        </w:rPr>
        <w:t>مكافحة</w:t>
      </w:r>
      <w:r>
        <w:rPr>
          <w:rtl/>
        </w:rPr>
        <w:t xml:space="preserve"> </w:t>
      </w:r>
      <w:r w:rsidRPr="00885E11">
        <w:rPr>
          <w:rtl/>
        </w:rPr>
        <w:t>الإرهاب</w:t>
      </w:r>
      <w:r>
        <w:rPr>
          <w:rtl/>
        </w:rPr>
        <w:t xml:space="preserve"> </w:t>
      </w:r>
      <w:r w:rsidRPr="00885E11">
        <w:rPr>
          <w:rtl/>
        </w:rPr>
        <w:t>وتنفيذ</w:t>
      </w:r>
      <w:r>
        <w:rPr>
          <w:rtl/>
        </w:rPr>
        <w:t xml:space="preserve"> </w:t>
      </w:r>
      <w:r w:rsidRPr="00885E11">
        <w:rPr>
          <w:rtl/>
        </w:rPr>
        <w:t>عقوبة</w:t>
      </w:r>
      <w:r>
        <w:rPr>
          <w:rtl/>
        </w:rPr>
        <w:t xml:space="preserve"> </w:t>
      </w:r>
      <w:r w:rsidRPr="00885E11">
        <w:rPr>
          <w:rtl/>
        </w:rPr>
        <w:t>الإعدام</w:t>
      </w:r>
      <w:r>
        <w:rPr>
          <w:rtl/>
        </w:rPr>
        <w:t xml:space="preserve"> </w:t>
      </w:r>
      <w:r w:rsidRPr="00885E11">
        <w:rPr>
          <w:rtl/>
        </w:rPr>
        <w:t>فيما</w:t>
      </w:r>
      <w:r>
        <w:rPr>
          <w:rtl/>
        </w:rPr>
        <w:t xml:space="preserve"> </w:t>
      </w:r>
      <w:r w:rsidRPr="00885E11">
        <w:rPr>
          <w:rtl/>
        </w:rPr>
        <w:t>يخص</w:t>
      </w:r>
      <w:r>
        <w:rPr>
          <w:rtl/>
        </w:rPr>
        <w:t xml:space="preserve"> </w:t>
      </w:r>
      <w:r w:rsidRPr="00885E11">
        <w:rPr>
          <w:rtl/>
        </w:rPr>
        <w:t>طائفة</w:t>
      </w:r>
      <w:r>
        <w:rPr>
          <w:rtl/>
        </w:rPr>
        <w:t xml:space="preserve"> </w:t>
      </w:r>
      <w:r w:rsidRPr="00885E11">
        <w:rPr>
          <w:rtl/>
        </w:rPr>
        <w:t>واسعة</w:t>
      </w:r>
      <w:r>
        <w:rPr>
          <w:rtl/>
        </w:rPr>
        <w:t xml:space="preserve"> </w:t>
      </w:r>
      <w:r w:rsidRPr="00885E11">
        <w:rPr>
          <w:rtl/>
        </w:rPr>
        <w:t>من</w:t>
      </w:r>
      <w:r>
        <w:rPr>
          <w:rtl/>
        </w:rPr>
        <w:t xml:space="preserve"> </w:t>
      </w:r>
      <w:r w:rsidRPr="00885E11">
        <w:rPr>
          <w:rtl/>
        </w:rPr>
        <w:t>الجرائم</w:t>
      </w:r>
      <w:r>
        <w:rPr>
          <w:rtl/>
        </w:rPr>
        <w:t xml:space="preserve"> </w:t>
      </w:r>
      <w:r w:rsidRPr="00885E11">
        <w:rPr>
          <w:rtl/>
        </w:rPr>
        <w:t>التي</w:t>
      </w:r>
      <w:r>
        <w:rPr>
          <w:rtl/>
        </w:rPr>
        <w:t xml:space="preserve"> </w:t>
      </w:r>
      <w:r w:rsidRPr="00885E11">
        <w:rPr>
          <w:rtl/>
        </w:rPr>
        <w:t>تتجاوز</w:t>
      </w:r>
      <w:r>
        <w:rPr>
          <w:rtl/>
        </w:rPr>
        <w:t xml:space="preserve"> </w:t>
      </w:r>
      <w:r w:rsidRPr="00885E11">
        <w:rPr>
          <w:rtl/>
        </w:rPr>
        <w:t>العتبة</w:t>
      </w:r>
      <w:r>
        <w:rPr>
          <w:rtl/>
        </w:rPr>
        <w:t xml:space="preserve"> </w:t>
      </w:r>
      <w:r w:rsidRPr="00885E11">
        <w:rPr>
          <w:rtl/>
        </w:rPr>
        <w:t>المنصوص</w:t>
      </w:r>
      <w:r>
        <w:rPr>
          <w:rtl/>
        </w:rPr>
        <w:t xml:space="preserve"> </w:t>
      </w:r>
      <w:r w:rsidRPr="00885E11">
        <w:rPr>
          <w:rtl/>
        </w:rPr>
        <w:t>عليها</w:t>
      </w:r>
      <w:r>
        <w:rPr>
          <w:rtl/>
        </w:rPr>
        <w:t xml:space="preserve"> </w:t>
      </w:r>
      <w:r w:rsidRPr="00885E11">
        <w:rPr>
          <w:rtl/>
        </w:rPr>
        <w:t>في</w:t>
      </w:r>
      <w:r>
        <w:rPr>
          <w:rtl/>
        </w:rPr>
        <w:t xml:space="preserve"> </w:t>
      </w:r>
      <w:r w:rsidRPr="00885E11">
        <w:rPr>
          <w:rtl/>
        </w:rPr>
        <w:t>المادة</w:t>
      </w:r>
      <w:r>
        <w:rPr>
          <w:rtl/>
        </w:rPr>
        <w:t xml:space="preserve"> </w:t>
      </w:r>
      <w:r w:rsidRPr="00846FFB">
        <w:rPr>
          <w:rtl/>
        </w:rPr>
        <w:t>6</w:t>
      </w:r>
      <w:r w:rsidRPr="00885E11">
        <w:rPr>
          <w:rtl/>
        </w:rPr>
        <w:t>(</w:t>
      </w:r>
      <w:r w:rsidRPr="00846FFB">
        <w:rPr>
          <w:rtl/>
        </w:rPr>
        <w:t>2</w:t>
      </w:r>
      <w:r w:rsidRPr="00885E11">
        <w:rPr>
          <w:rtl/>
        </w:rPr>
        <w:t>)</w:t>
      </w:r>
      <w:r>
        <w:rPr>
          <w:rtl/>
        </w:rPr>
        <w:t xml:space="preserve"> </w:t>
      </w:r>
      <w:r w:rsidRPr="00885E11">
        <w:rPr>
          <w:rtl/>
        </w:rPr>
        <w:t>من</w:t>
      </w:r>
      <w:r>
        <w:rPr>
          <w:rtl/>
        </w:rPr>
        <w:t xml:space="preserve"> </w:t>
      </w:r>
      <w:r w:rsidRPr="00885E11">
        <w:rPr>
          <w:rtl/>
        </w:rPr>
        <w:t>العهد</w:t>
      </w:r>
      <w:r>
        <w:rPr>
          <w:rtl/>
        </w:rPr>
        <w:t xml:space="preserve"> </w:t>
      </w:r>
      <w:r w:rsidRPr="00885E11">
        <w:rPr>
          <w:rtl/>
        </w:rPr>
        <w:t>(المادتان</w:t>
      </w:r>
      <w:r>
        <w:rPr>
          <w:rtl/>
        </w:rPr>
        <w:t xml:space="preserve"> </w:t>
      </w:r>
      <w:r w:rsidRPr="00846FFB">
        <w:rPr>
          <w:rtl/>
        </w:rPr>
        <w:t>9</w:t>
      </w:r>
      <w:r>
        <w:rPr>
          <w:rtl/>
        </w:rPr>
        <w:t xml:space="preserve"> </w:t>
      </w:r>
      <w:r w:rsidRPr="00885E11">
        <w:rPr>
          <w:rtl/>
        </w:rPr>
        <w:t>و</w:t>
      </w:r>
      <w:r w:rsidRPr="00846FFB">
        <w:rPr>
          <w:rtl/>
        </w:rPr>
        <w:t>14</w:t>
      </w:r>
      <w:r w:rsidRPr="00885E11">
        <w:rPr>
          <w:rtl/>
        </w:rPr>
        <w:t>).</w:t>
      </w:r>
    </w:p>
    <w:p w14:paraId="51AE571E" w14:textId="4522865C" w:rsidR="00885E11" w:rsidRPr="00DC17E8" w:rsidRDefault="00885E11" w:rsidP="00885E11">
      <w:pPr>
        <w:pStyle w:val="SingleTxtGA"/>
        <w:rPr>
          <w:b/>
          <w:bCs/>
        </w:rPr>
      </w:pPr>
      <w:r w:rsidRPr="00846FFB">
        <w:rPr>
          <w:rtl/>
        </w:rPr>
        <w:t>17</w:t>
      </w:r>
      <w:r w:rsidRPr="007B0599">
        <w:rPr>
          <w:rtl/>
        </w:rPr>
        <w:t>-</w:t>
      </w:r>
      <w:r w:rsidRPr="007B0599">
        <w:rPr>
          <w:rtl/>
        </w:rPr>
        <w:tab/>
      </w:r>
      <w:r w:rsidRPr="00DC17E8">
        <w:rPr>
          <w:b/>
          <w:bCs/>
          <w:rtl/>
        </w:rPr>
        <w:t xml:space="preserve">ينبغي للدولة الطرف </w:t>
      </w:r>
      <w:r w:rsidR="00DC17E8" w:rsidRPr="00DC17E8">
        <w:rPr>
          <w:rFonts w:hint="cs"/>
          <w:b/>
          <w:bCs/>
          <w:rtl/>
        </w:rPr>
        <w:t>اتخاذ الخطوا</w:t>
      </w:r>
      <w:r w:rsidR="00DC17E8" w:rsidRPr="00DC17E8">
        <w:rPr>
          <w:b/>
          <w:bCs/>
          <w:rtl/>
        </w:rPr>
        <w:t>ت</w:t>
      </w:r>
      <w:r w:rsidRPr="00DC17E8">
        <w:rPr>
          <w:b/>
          <w:bCs/>
          <w:rtl/>
        </w:rPr>
        <w:t xml:space="preserve"> اللازمة لضمان أن يكون تشريعها المتعلق بمكافحة الإرهاب</w:t>
      </w:r>
      <w:r w:rsidR="005D7864">
        <w:rPr>
          <w:b/>
          <w:bCs/>
          <w:rtl/>
        </w:rPr>
        <w:t>،</w:t>
      </w:r>
      <w:r w:rsidRPr="00DC17E8">
        <w:rPr>
          <w:b/>
          <w:bCs/>
          <w:rtl/>
        </w:rPr>
        <w:t xml:space="preserve"> بما في ذلك مشروع تعديل قانون مكافحة الإرهاب والاستراتيجية الوطنية لمكافحة الإرهاب</w:t>
      </w:r>
      <w:r w:rsidR="005D7864">
        <w:rPr>
          <w:b/>
          <w:bCs/>
          <w:rtl/>
        </w:rPr>
        <w:t>،</w:t>
      </w:r>
      <w:r w:rsidRPr="00DC17E8">
        <w:rPr>
          <w:b/>
          <w:bCs/>
          <w:rtl/>
        </w:rPr>
        <w:t xml:space="preserve"> متماشياً مع المعايير الدولية لحقوق الإنسان</w:t>
      </w:r>
      <w:r w:rsidR="005D7864">
        <w:rPr>
          <w:b/>
          <w:bCs/>
          <w:rtl/>
        </w:rPr>
        <w:t>،</w:t>
      </w:r>
      <w:r w:rsidRPr="00DC17E8">
        <w:rPr>
          <w:b/>
          <w:bCs/>
          <w:rtl/>
        </w:rPr>
        <w:t xml:space="preserve"> ولا سيما عن طريق تعريف الإرهاب تعريفاً أكثر دقة</w:t>
      </w:r>
      <w:r w:rsidR="005D7864">
        <w:rPr>
          <w:b/>
          <w:bCs/>
          <w:rtl/>
        </w:rPr>
        <w:t>،</w:t>
      </w:r>
      <w:r w:rsidRPr="00DC17E8">
        <w:rPr>
          <w:b/>
          <w:bCs/>
          <w:rtl/>
        </w:rPr>
        <w:t xml:space="preserve"> والحد من استخدام البيانات المجهولة المصدر</w:t>
      </w:r>
      <w:r w:rsidR="005D7864">
        <w:rPr>
          <w:b/>
          <w:bCs/>
          <w:rtl/>
        </w:rPr>
        <w:t>،</w:t>
      </w:r>
      <w:r w:rsidRPr="00DC17E8">
        <w:rPr>
          <w:b/>
          <w:bCs/>
          <w:rtl/>
        </w:rPr>
        <w:t xml:space="preserve"> وضمان المشاركة الكاملة للضحايا والشهود في المحاكمات</w:t>
      </w:r>
      <w:r w:rsidR="005D7864">
        <w:rPr>
          <w:b/>
          <w:bCs/>
          <w:rtl/>
        </w:rPr>
        <w:t>،</w:t>
      </w:r>
      <w:r w:rsidRPr="00DC17E8">
        <w:rPr>
          <w:b/>
          <w:bCs/>
          <w:rtl/>
        </w:rPr>
        <w:t xml:space="preserve"> وضمان التقيّد الكامل بضمانات المحاكمة العادلة. وتشجع اللجنة الدولة الطرف أيضاً على الامتناع عن فرض عقوبة الإعدام إلزامياً على الجرائم المنصوص عليها في قانون مكافحة الإرهاب. </w:t>
      </w:r>
    </w:p>
    <w:p w14:paraId="2850E966" w14:textId="096011D4" w:rsidR="00885E11" w:rsidRPr="00846FFB" w:rsidRDefault="00885E11" w:rsidP="00885E11">
      <w:pPr>
        <w:pStyle w:val="H23GA"/>
      </w:pPr>
      <w:r w:rsidRPr="00846FFB">
        <w:rPr>
          <w:rtl/>
        </w:rPr>
        <w:tab/>
      </w:r>
      <w:r w:rsidRPr="00846FFB">
        <w:rPr>
          <w:rtl/>
        </w:rPr>
        <w:tab/>
        <w:t xml:space="preserve">الحق في الحياة </w:t>
      </w:r>
    </w:p>
    <w:p w14:paraId="4316BD2E" w14:textId="32D1E49E" w:rsidR="00885E11" w:rsidRPr="00885E11" w:rsidRDefault="00885E11" w:rsidP="00885E11">
      <w:pPr>
        <w:pStyle w:val="SingleTxtGA"/>
      </w:pPr>
      <w:r w:rsidRPr="00846FFB">
        <w:rPr>
          <w:rtl/>
        </w:rPr>
        <w:t>18</w:t>
      </w:r>
      <w:r w:rsidRPr="007B0599">
        <w:rPr>
          <w:rtl/>
        </w:rPr>
        <w:t>-</w:t>
      </w:r>
      <w:r w:rsidRPr="007B0599">
        <w:rPr>
          <w:rtl/>
        </w:rPr>
        <w:tab/>
      </w:r>
      <w:r w:rsidRPr="00885E11">
        <w:rPr>
          <w:rtl/>
        </w:rPr>
        <w:t>تكرر</w:t>
      </w:r>
      <w:r>
        <w:rPr>
          <w:rtl/>
        </w:rPr>
        <w:t xml:space="preserve"> </w:t>
      </w:r>
      <w:r w:rsidRPr="00885E11">
        <w:rPr>
          <w:rtl/>
        </w:rPr>
        <w:t>اللجنة</w:t>
      </w:r>
      <w:r>
        <w:rPr>
          <w:rtl/>
        </w:rPr>
        <w:t xml:space="preserve"> </w:t>
      </w:r>
      <w:r w:rsidRPr="00885E11">
        <w:rPr>
          <w:rtl/>
        </w:rPr>
        <w:t>الإعراب</w:t>
      </w:r>
      <w:r>
        <w:rPr>
          <w:rtl/>
        </w:rPr>
        <w:t xml:space="preserve"> </w:t>
      </w:r>
      <w:r w:rsidRPr="00885E11">
        <w:rPr>
          <w:rtl/>
        </w:rPr>
        <w:t>عن</w:t>
      </w:r>
      <w:r>
        <w:rPr>
          <w:rtl/>
        </w:rPr>
        <w:t xml:space="preserve"> </w:t>
      </w:r>
      <w:r w:rsidRPr="00885E11">
        <w:rPr>
          <w:rtl/>
        </w:rPr>
        <w:t>قلقها</w:t>
      </w:r>
      <w:r>
        <w:rPr>
          <w:rtl/>
        </w:rPr>
        <w:t xml:space="preserve"> </w:t>
      </w:r>
      <w:r w:rsidRPr="00885E11">
        <w:rPr>
          <w:rtl/>
        </w:rPr>
        <w:t>لأن</w:t>
      </w:r>
      <w:r>
        <w:rPr>
          <w:rtl/>
        </w:rPr>
        <w:t xml:space="preserve"> </w:t>
      </w:r>
      <w:r w:rsidRPr="00885E11">
        <w:rPr>
          <w:rtl/>
        </w:rPr>
        <w:t>الجرائم</w:t>
      </w:r>
      <w:r>
        <w:rPr>
          <w:rtl/>
        </w:rPr>
        <w:t xml:space="preserve"> </w:t>
      </w:r>
      <w:r w:rsidRPr="00885E11">
        <w:rPr>
          <w:rtl/>
        </w:rPr>
        <w:t>التي</w:t>
      </w:r>
      <w:r>
        <w:rPr>
          <w:rtl/>
        </w:rPr>
        <w:t xml:space="preserve"> </w:t>
      </w:r>
      <w:r w:rsidRPr="00885E11">
        <w:rPr>
          <w:rtl/>
        </w:rPr>
        <w:t>لا</w:t>
      </w:r>
      <w:r>
        <w:rPr>
          <w:rtl/>
        </w:rPr>
        <w:t xml:space="preserve"> </w:t>
      </w:r>
      <w:r w:rsidRPr="00885E11">
        <w:rPr>
          <w:rtl/>
        </w:rPr>
        <w:t>تستوفي</w:t>
      </w:r>
      <w:r>
        <w:rPr>
          <w:rtl/>
        </w:rPr>
        <w:t xml:space="preserve"> </w:t>
      </w:r>
      <w:r w:rsidRPr="00885E11">
        <w:rPr>
          <w:rtl/>
        </w:rPr>
        <w:t>عتبة</w:t>
      </w:r>
      <w:r>
        <w:rPr>
          <w:rtl/>
        </w:rPr>
        <w:t xml:space="preserve"> </w:t>
      </w:r>
      <w:r w:rsidRPr="00885E11">
        <w:rPr>
          <w:rtl/>
        </w:rPr>
        <w:t>"أشد</w:t>
      </w:r>
      <w:r>
        <w:rPr>
          <w:rtl/>
        </w:rPr>
        <w:t xml:space="preserve"> </w:t>
      </w:r>
      <w:r w:rsidRPr="00885E11">
        <w:rPr>
          <w:rtl/>
        </w:rPr>
        <w:t>الجرائم</w:t>
      </w:r>
      <w:r>
        <w:rPr>
          <w:rtl/>
        </w:rPr>
        <w:t xml:space="preserve"> </w:t>
      </w:r>
      <w:r w:rsidRPr="00885E11">
        <w:rPr>
          <w:rtl/>
        </w:rPr>
        <w:t>خطورة"</w:t>
      </w:r>
      <w:r>
        <w:rPr>
          <w:rtl/>
        </w:rPr>
        <w:t xml:space="preserve"> </w:t>
      </w:r>
      <w:r w:rsidRPr="00885E11">
        <w:rPr>
          <w:rtl/>
        </w:rPr>
        <w:t>بالمعنى</w:t>
      </w:r>
      <w:r>
        <w:rPr>
          <w:rtl/>
        </w:rPr>
        <w:t xml:space="preserve"> </w:t>
      </w:r>
      <w:r w:rsidRPr="00885E11">
        <w:rPr>
          <w:rtl/>
        </w:rPr>
        <w:t>المقصود</w:t>
      </w:r>
      <w:r>
        <w:rPr>
          <w:rtl/>
        </w:rPr>
        <w:t xml:space="preserve"> </w:t>
      </w:r>
      <w:r w:rsidRPr="00885E11">
        <w:rPr>
          <w:rtl/>
        </w:rPr>
        <w:t>في</w:t>
      </w:r>
      <w:r>
        <w:rPr>
          <w:rtl/>
        </w:rPr>
        <w:t xml:space="preserve"> </w:t>
      </w:r>
      <w:r w:rsidRPr="00885E11">
        <w:rPr>
          <w:rtl/>
        </w:rPr>
        <w:t>المادة</w:t>
      </w:r>
      <w:r>
        <w:rPr>
          <w:rtl/>
        </w:rPr>
        <w:t xml:space="preserve"> </w:t>
      </w:r>
      <w:r w:rsidRPr="00846FFB">
        <w:rPr>
          <w:rtl/>
        </w:rPr>
        <w:t>6</w:t>
      </w:r>
      <w:r w:rsidRPr="00885E11">
        <w:rPr>
          <w:rtl/>
        </w:rPr>
        <w:t>(</w:t>
      </w:r>
      <w:r w:rsidRPr="00846FFB">
        <w:rPr>
          <w:rtl/>
        </w:rPr>
        <w:t>2</w:t>
      </w:r>
      <w:r w:rsidRPr="00885E11">
        <w:rPr>
          <w:rtl/>
        </w:rPr>
        <w:t>)</w:t>
      </w:r>
      <w:r>
        <w:rPr>
          <w:rtl/>
        </w:rPr>
        <w:t xml:space="preserve"> </w:t>
      </w:r>
      <w:r w:rsidRPr="00885E11">
        <w:rPr>
          <w:rtl/>
        </w:rPr>
        <w:t>من</w:t>
      </w:r>
      <w:r>
        <w:rPr>
          <w:rtl/>
        </w:rPr>
        <w:t xml:space="preserve"> </w:t>
      </w:r>
      <w:r w:rsidRPr="00885E11">
        <w:rPr>
          <w:rtl/>
        </w:rPr>
        <w:t>العهد</w:t>
      </w:r>
      <w:r>
        <w:rPr>
          <w:rtl/>
        </w:rPr>
        <w:t xml:space="preserve"> </w:t>
      </w:r>
      <w:r w:rsidRPr="00885E11">
        <w:rPr>
          <w:rtl/>
        </w:rPr>
        <w:t>يعاقب</w:t>
      </w:r>
      <w:r>
        <w:rPr>
          <w:rtl/>
        </w:rPr>
        <w:t xml:space="preserve"> </w:t>
      </w:r>
      <w:r w:rsidRPr="00885E11">
        <w:rPr>
          <w:rtl/>
        </w:rPr>
        <w:t>عليها</w:t>
      </w:r>
      <w:r>
        <w:rPr>
          <w:rtl/>
        </w:rPr>
        <w:t xml:space="preserve"> </w:t>
      </w:r>
      <w:r w:rsidRPr="00885E11">
        <w:rPr>
          <w:rtl/>
        </w:rPr>
        <w:t>بالإعدام</w:t>
      </w:r>
      <w:r w:rsidR="005D7864">
        <w:rPr>
          <w:rtl/>
        </w:rPr>
        <w:t>،</w:t>
      </w:r>
      <w:r>
        <w:rPr>
          <w:rtl/>
        </w:rPr>
        <w:t xml:space="preserve"> </w:t>
      </w:r>
      <w:r w:rsidRPr="00885E11">
        <w:rPr>
          <w:rtl/>
        </w:rPr>
        <w:t>ولأن</w:t>
      </w:r>
      <w:r>
        <w:rPr>
          <w:rtl/>
        </w:rPr>
        <w:t xml:space="preserve"> </w:t>
      </w:r>
      <w:r w:rsidRPr="00885E11">
        <w:rPr>
          <w:rtl/>
        </w:rPr>
        <w:t>عقوبة</w:t>
      </w:r>
      <w:r>
        <w:rPr>
          <w:rtl/>
        </w:rPr>
        <w:t xml:space="preserve"> </w:t>
      </w:r>
      <w:r w:rsidRPr="00885E11">
        <w:rPr>
          <w:rtl/>
        </w:rPr>
        <w:t>الإعدام</w:t>
      </w:r>
      <w:r>
        <w:rPr>
          <w:rtl/>
        </w:rPr>
        <w:t xml:space="preserve"> </w:t>
      </w:r>
      <w:r w:rsidRPr="00885E11">
        <w:rPr>
          <w:rtl/>
        </w:rPr>
        <w:t>تظل</w:t>
      </w:r>
      <w:r>
        <w:rPr>
          <w:rtl/>
        </w:rPr>
        <w:t xml:space="preserve"> </w:t>
      </w:r>
      <w:r w:rsidRPr="00885E11">
        <w:rPr>
          <w:rtl/>
        </w:rPr>
        <w:t>إلزامية</w:t>
      </w:r>
      <w:r>
        <w:rPr>
          <w:rtl/>
        </w:rPr>
        <w:t xml:space="preserve"> </w:t>
      </w:r>
      <w:r w:rsidRPr="00885E11">
        <w:rPr>
          <w:rtl/>
        </w:rPr>
        <w:t>بالنسبة</w:t>
      </w:r>
      <w:r>
        <w:rPr>
          <w:rtl/>
        </w:rPr>
        <w:t xml:space="preserve"> </w:t>
      </w:r>
      <w:r w:rsidRPr="00885E11">
        <w:rPr>
          <w:rtl/>
        </w:rPr>
        <w:t>لبعض</w:t>
      </w:r>
      <w:r>
        <w:rPr>
          <w:rtl/>
        </w:rPr>
        <w:t xml:space="preserve"> </w:t>
      </w:r>
      <w:r w:rsidRPr="00885E11">
        <w:rPr>
          <w:rtl/>
        </w:rPr>
        <w:t>الجرائم</w:t>
      </w:r>
      <w:r w:rsidR="005D7864">
        <w:rPr>
          <w:rtl/>
        </w:rPr>
        <w:t>،</w:t>
      </w:r>
      <w:r>
        <w:rPr>
          <w:rtl/>
        </w:rPr>
        <w:t xml:space="preserve"> </w:t>
      </w:r>
      <w:r w:rsidRPr="00885E11">
        <w:rPr>
          <w:rtl/>
        </w:rPr>
        <w:t>ولأن</w:t>
      </w:r>
      <w:r>
        <w:rPr>
          <w:rtl/>
        </w:rPr>
        <w:t xml:space="preserve"> </w:t>
      </w:r>
      <w:r w:rsidRPr="00885E11">
        <w:rPr>
          <w:rtl/>
        </w:rPr>
        <w:t>بعض</w:t>
      </w:r>
      <w:r>
        <w:rPr>
          <w:rtl/>
        </w:rPr>
        <w:t xml:space="preserve"> </w:t>
      </w:r>
      <w:r w:rsidRPr="00885E11">
        <w:rPr>
          <w:rtl/>
        </w:rPr>
        <w:t>الجرائم</w:t>
      </w:r>
      <w:r>
        <w:rPr>
          <w:rtl/>
        </w:rPr>
        <w:t xml:space="preserve"> </w:t>
      </w:r>
      <w:r w:rsidRPr="00885E11">
        <w:rPr>
          <w:rtl/>
        </w:rPr>
        <w:t>التي</w:t>
      </w:r>
      <w:r>
        <w:rPr>
          <w:rtl/>
        </w:rPr>
        <w:t xml:space="preserve"> </w:t>
      </w:r>
      <w:r w:rsidRPr="00885E11">
        <w:rPr>
          <w:rtl/>
        </w:rPr>
        <w:t>يعاقب</w:t>
      </w:r>
      <w:r>
        <w:rPr>
          <w:rtl/>
        </w:rPr>
        <w:t xml:space="preserve"> </w:t>
      </w:r>
      <w:r w:rsidRPr="00885E11">
        <w:rPr>
          <w:rtl/>
        </w:rPr>
        <w:t>عليها</w:t>
      </w:r>
      <w:r>
        <w:rPr>
          <w:rtl/>
        </w:rPr>
        <w:t xml:space="preserve"> </w:t>
      </w:r>
      <w:r w:rsidRPr="00885E11">
        <w:rPr>
          <w:rtl/>
        </w:rPr>
        <w:t>بالإعدام</w:t>
      </w:r>
      <w:r>
        <w:rPr>
          <w:rtl/>
        </w:rPr>
        <w:t xml:space="preserve"> </w:t>
      </w:r>
      <w:r w:rsidRPr="00885E11">
        <w:rPr>
          <w:rtl/>
        </w:rPr>
        <w:t>مستثناة</w:t>
      </w:r>
      <w:r>
        <w:rPr>
          <w:rtl/>
        </w:rPr>
        <w:t xml:space="preserve"> </w:t>
      </w:r>
      <w:r w:rsidRPr="00885E11">
        <w:rPr>
          <w:rtl/>
        </w:rPr>
        <w:t>صراحة</w:t>
      </w:r>
      <w:r>
        <w:rPr>
          <w:rtl/>
        </w:rPr>
        <w:t xml:space="preserve"> </w:t>
      </w:r>
      <w:r w:rsidRPr="00885E11">
        <w:rPr>
          <w:rtl/>
        </w:rPr>
        <w:t>من</w:t>
      </w:r>
      <w:r>
        <w:rPr>
          <w:rtl/>
        </w:rPr>
        <w:t xml:space="preserve"> </w:t>
      </w:r>
      <w:r w:rsidRPr="00885E11">
        <w:rPr>
          <w:rtl/>
        </w:rPr>
        <w:t>إمكانية</w:t>
      </w:r>
      <w:r>
        <w:rPr>
          <w:rtl/>
        </w:rPr>
        <w:t xml:space="preserve"> </w:t>
      </w:r>
      <w:r w:rsidRPr="00885E11">
        <w:rPr>
          <w:rtl/>
        </w:rPr>
        <w:t>الاستفادة</w:t>
      </w:r>
      <w:r>
        <w:rPr>
          <w:rtl/>
        </w:rPr>
        <w:t xml:space="preserve"> </w:t>
      </w:r>
      <w:r w:rsidRPr="00885E11">
        <w:rPr>
          <w:rtl/>
        </w:rPr>
        <w:t>من</w:t>
      </w:r>
      <w:r>
        <w:rPr>
          <w:rtl/>
        </w:rPr>
        <w:t xml:space="preserve"> </w:t>
      </w:r>
      <w:r w:rsidRPr="00885E11">
        <w:rPr>
          <w:rtl/>
        </w:rPr>
        <w:t>العفو</w:t>
      </w:r>
      <w:r>
        <w:rPr>
          <w:rtl/>
        </w:rPr>
        <w:t xml:space="preserve"> </w:t>
      </w:r>
      <w:r w:rsidRPr="00885E11">
        <w:rPr>
          <w:rtl/>
        </w:rPr>
        <w:t>الخاص.</w:t>
      </w:r>
      <w:r>
        <w:rPr>
          <w:rtl/>
        </w:rPr>
        <w:t xml:space="preserve"> </w:t>
      </w:r>
      <w:r w:rsidRPr="00885E11">
        <w:rPr>
          <w:rtl/>
        </w:rPr>
        <w:t>وبالإضافة</w:t>
      </w:r>
      <w:r>
        <w:rPr>
          <w:rtl/>
        </w:rPr>
        <w:t xml:space="preserve"> </w:t>
      </w:r>
      <w:r w:rsidRPr="00885E11">
        <w:rPr>
          <w:rtl/>
        </w:rPr>
        <w:t>إلى</w:t>
      </w:r>
      <w:r>
        <w:rPr>
          <w:rtl/>
        </w:rPr>
        <w:t xml:space="preserve"> </w:t>
      </w:r>
      <w:r w:rsidRPr="00885E11">
        <w:rPr>
          <w:rtl/>
        </w:rPr>
        <w:t>ذلك</w:t>
      </w:r>
      <w:r w:rsidR="005D7864">
        <w:rPr>
          <w:rtl/>
        </w:rPr>
        <w:t>،</w:t>
      </w:r>
      <w:r>
        <w:rPr>
          <w:rtl/>
        </w:rPr>
        <w:t xml:space="preserve"> </w:t>
      </w:r>
      <w:r w:rsidRPr="00885E11">
        <w:rPr>
          <w:rtl/>
        </w:rPr>
        <w:t>يساور</w:t>
      </w:r>
      <w:r>
        <w:rPr>
          <w:rtl/>
        </w:rPr>
        <w:t xml:space="preserve"> </w:t>
      </w:r>
      <w:r w:rsidRPr="00885E11">
        <w:rPr>
          <w:rtl/>
        </w:rPr>
        <w:t>اللجنة</w:t>
      </w:r>
      <w:r>
        <w:rPr>
          <w:rtl/>
        </w:rPr>
        <w:t xml:space="preserve"> </w:t>
      </w:r>
      <w:r w:rsidRPr="00885E11">
        <w:rPr>
          <w:rtl/>
        </w:rPr>
        <w:t>القلق</w:t>
      </w:r>
      <w:r>
        <w:rPr>
          <w:rtl/>
        </w:rPr>
        <w:t xml:space="preserve"> </w:t>
      </w:r>
      <w:r w:rsidRPr="00885E11">
        <w:rPr>
          <w:rtl/>
        </w:rPr>
        <w:t>إزاء</w:t>
      </w:r>
      <w:r>
        <w:rPr>
          <w:rtl/>
        </w:rPr>
        <w:t xml:space="preserve"> </w:t>
      </w:r>
      <w:r w:rsidRPr="00885E11">
        <w:rPr>
          <w:rtl/>
        </w:rPr>
        <w:t>التقارير</w:t>
      </w:r>
      <w:r>
        <w:rPr>
          <w:rtl/>
        </w:rPr>
        <w:t xml:space="preserve"> </w:t>
      </w:r>
      <w:r w:rsidRPr="00885E11">
        <w:rPr>
          <w:rtl/>
        </w:rPr>
        <w:t>التي</w:t>
      </w:r>
      <w:r>
        <w:rPr>
          <w:rtl/>
        </w:rPr>
        <w:t xml:space="preserve"> </w:t>
      </w:r>
      <w:r w:rsidRPr="00885E11">
        <w:rPr>
          <w:rtl/>
        </w:rPr>
        <w:t>تفيد</w:t>
      </w:r>
      <w:r>
        <w:rPr>
          <w:rtl/>
        </w:rPr>
        <w:t xml:space="preserve"> </w:t>
      </w:r>
      <w:r w:rsidRPr="00885E11">
        <w:rPr>
          <w:rtl/>
        </w:rPr>
        <w:t>بأن</w:t>
      </w:r>
      <w:r>
        <w:rPr>
          <w:rtl/>
        </w:rPr>
        <w:t xml:space="preserve"> </w:t>
      </w:r>
      <w:r w:rsidRPr="00885E11">
        <w:rPr>
          <w:rtl/>
        </w:rPr>
        <w:t>أحكام</w:t>
      </w:r>
      <w:r>
        <w:rPr>
          <w:rtl/>
        </w:rPr>
        <w:t xml:space="preserve"> </w:t>
      </w:r>
      <w:r w:rsidRPr="00885E11">
        <w:rPr>
          <w:rtl/>
        </w:rPr>
        <w:t>الإعدام</w:t>
      </w:r>
      <w:r>
        <w:rPr>
          <w:rtl/>
        </w:rPr>
        <w:t xml:space="preserve"> </w:t>
      </w:r>
      <w:r w:rsidRPr="00885E11">
        <w:rPr>
          <w:rtl/>
        </w:rPr>
        <w:t>لا</w:t>
      </w:r>
      <w:r>
        <w:rPr>
          <w:rtl/>
        </w:rPr>
        <w:t xml:space="preserve"> </w:t>
      </w:r>
      <w:r w:rsidRPr="00885E11">
        <w:rPr>
          <w:rtl/>
        </w:rPr>
        <w:t>تزال</w:t>
      </w:r>
      <w:r>
        <w:rPr>
          <w:rtl/>
        </w:rPr>
        <w:t xml:space="preserve"> </w:t>
      </w:r>
      <w:r w:rsidRPr="00885E11">
        <w:rPr>
          <w:rtl/>
        </w:rPr>
        <w:t>تصدر</w:t>
      </w:r>
      <w:r>
        <w:rPr>
          <w:rtl/>
        </w:rPr>
        <w:t xml:space="preserve"> </w:t>
      </w:r>
      <w:r w:rsidRPr="00885E11">
        <w:rPr>
          <w:rtl/>
        </w:rPr>
        <w:t>في</w:t>
      </w:r>
      <w:r>
        <w:rPr>
          <w:rtl/>
        </w:rPr>
        <w:t xml:space="preserve"> </w:t>
      </w:r>
      <w:r w:rsidRPr="00885E11">
        <w:rPr>
          <w:rtl/>
        </w:rPr>
        <w:t>كثير</w:t>
      </w:r>
      <w:r>
        <w:rPr>
          <w:rtl/>
        </w:rPr>
        <w:t xml:space="preserve"> </w:t>
      </w:r>
      <w:r w:rsidRPr="00885E11">
        <w:rPr>
          <w:rtl/>
        </w:rPr>
        <w:t>من</w:t>
      </w:r>
      <w:r>
        <w:rPr>
          <w:rtl/>
        </w:rPr>
        <w:t xml:space="preserve"> </w:t>
      </w:r>
      <w:r w:rsidRPr="00885E11">
        <w:rPr>
          <w:rtl/>
        </w:rPr>
        <w:t>الأحيان</w:t>
      </w:r>
      <w:r>
        <w:rPr>
          <w:rtl/>
        </w:rPr>
        <w:t xml:space="preserve"> </w:t>
      </w:r>
      <w:r w:rsidRPr="00885E11">
        <w:rPr>
          <w:rtl/>
        </w:rPr>
        <w:t>(المادتان</w:t>
      </w:r>
      <w:r>
        <w:rPr>
          <w:rtl/>
        </w:rPr>
        <w:t xml:space="preserve"> </w:t>
      </w:r>
      <w:r w:rsidRPr="00846FFB">
        <w:rPr>
          <w:rtl/>
        </w:rPr>
        <w:t>6</w:t>
      </w:r>
      <w:r>
        <w:rPr>
          <w:rtl/>
        </w:rPr>
        <w:t xml:space="preserve"> </w:t>
      </w:r>
      <w:r w:rsidRPr="00885E11">
        <w:rPr>
          <w:rtl/>
        </w:rPr>
        <w:t>و</w:t>
      </w:r>
      <w:r w:rsidRPr="00846FFB">
        <w:rPr>
          <w:rtl/>
        </w:rPr>
        <w:t>14</w:t>
      </w:r>
      <w:r w:rsidRPr="00885E11">
        <w:rPr>
          <w:rtl/>
        </w:rPr>
        <w:t>).</w:t>
      </w:r>
    </w:p>
    <w:p w14:paraId="5A64605B" w14:textId="55A86D18" w:rsidR="00885E11" w:rsidRPr="00DC17E8" w:rsidRDefault="00885E11" w:rsidP="00885E11">
      <w:pPr>
        <w:pStyle w:val="SingleTxtGA"/>
        <w:rPr>
          <w:b/>
          <w:bCs/>
        </w:rPr>
      </w:pPr>
      <w:r w:rsidRPr="00846FFB">
        <w:rPr>
          <w:rtl/>
        </w:rPr>
        <w:t>19</w:t>
      </w:r>
      <w:r w:rsidRPr="007B0599">
        <w:rPr>
          <w:rtl/>
        </w:rPr>
        <w:t>-</w:t>
      </w:r>
      <w:r w:rsidRPr="007B0599">
        <w:rPr>
          <w:rtl/>
        </w:rPr>
        <w:tab/>
      </w:r>
      <w:r w:rsidRPr="00DC17E8">
        <w:rPr>
          <w:b/>
          <w:bCs/>
          <w:rtl/>
        </w:rPr>
        <w:t xml:space="preserve">في ضوء تعليق اللجنة العام رقم </w:t>
      </w:r>
      <w:r w:rsidRPr="00846FFB">
        <w:rPr>
          <w:b/>
          <w:bCs/>
          <w:rtl/>
        </w:rPr>
        <w:t>36</w:t>
      </w:r>
      <w:r w:rsidRPr="00DC17E8">
        <w:rPr>
          <w:b/>
          <w:bCs/>
          <w:rtl/>
        </w:rPr>
        <w:t>(</w:t>
      </w:r>
      <w:r w:rsidRPr="00846FFB">
        <w:rPr>
          <w:b/>
          <w:bCs/>
          <w:rtl/>
        </w:rPr>
        <w:t>2018</w:t>
      </w:r>
      <w:r w:rsidRPr="00DC17E8">
        <w:rPr>
          <w:b/>
          <w:bCs/>
          <w:rtl/>
        </w:rPr>
        <w:t>) وتوصياتها السابقة</w:t>
      </w:r>
      <w:r w:rsidR="00E82A04" w:rsidRPr="00846FFB">
        <w:rPr>
          <w:vertAlign w:val="superscript"/>
          <w:rtl/>
        </w:rPr>
        <w:t>(</w:t>
      </w:r>
      <w:r w:rsidR="00E82A04" w:rsidRPr="00846FFB">
        <w:rPr>
          <w:vertAlign w:val="superscript"/>
          <w:lang w:val="en-US"/>
        </w:rPr>
        <w:footnoteReference w:id="9"/>
      </w:r>
      <w:r w:rsidR="00E82A04" w:rsidRPr="00846FFB">
        <w:rPr>
          <w:vertAlign w:val="superscript"/>
          <w:rtl/>
        </w:rPr>
        <w:t>)</w:t>
      </w:r>
      <w:r w:rsidR="005D7864">
        <w:rPr>
          <w:b/>
          <w:bCs/>
          <w:rtl/>
        </w:rPr>
        <w:t>،</w:t>
      </w:r>
      <w:r w:rsidRPr="00DC17E8">
        <w:rPr>
          <w:b/>
          <w:bCs/>
          <w:rtl/>
        </w:rPr>
        <w:t xml:space="preserve"> ومع وضعهما في الاعتبار</w:t>
      </w:r>
      <w:r w:rsidR="005D7864">
        <w:rPr>
          <w:b/>
          <w:bCs/>
          <w:rtl/>
        </w:rPr>
        <w:t>،</w:t>
      </w:r>
      <w:r w:rsidRPr="00DC17E8">
        <w:rPr>
          <w:b/>
          <w:bCs/>
          <w:rtl/>
        </w:rPr>
        <w:t xml:space="preserve"> ينبغي للدولة الطرف</w:t>
      </w:r>
      <w:r w:rsidR="005D7864">
        <w:rPr>
          <w:b/>
          <w:bCs/>
          <w:rtl/>
        </w:rPr>
        <w:t>،</w:t>
      </w:r>
      <w:r w:rsidRPr="00DC17E8">
        <w:rPr>
          <w:b/>
          <w:bCs/>
          <w:rtl/>
        </w:rPr>
        <w:t xml:space="preserve"> إذا ما تم الإبقاء على عقوبة الإعدام</w:t>
      </w:r>
      <w:r w:rsidR="005D7864">
        <w:rPr>
          <w:b/>
          <w:bCs/>
          <w:rtl/>
        </w:rPr>
        <w:t>،</w:t>
      </w:r>
      <w:r w:rsidRPr="00DC17E8">
        <w:rPr>
          <w:b/>
          <w:bCs/>
          <w:rtl/>
        </w:rPr>
        <w:t xml:space="preserve"> </w:t>
      </w:r>
      <w:r w:rsidR="00DC17E8" w:rsidRPr="00DC17E8">
        <w:rPr>
          <w:rFonts w:hint="cs"/>
          <w:b/>
          <w:bCs/>
          <w:rtl/>
        </w:rPr>
        <w:t>اتخاذ جمي</w:t>
      </w:r>
      <w:r w:rsidR="00DC17E8" w:rsidRPr="00DC17E8">
        <w:rPr>
          <w:b/>
          <w:bCs/>
          <w:rtl/>
        </w:rPr>
        <w:t>ع</w:t>
      </w:r>
      <w:r w:rsidRPr="00DC17E8">
        <w:rPr>
          <w:b/>
          <w:bCs/>
          <w:rtl/>
        </w:rPr>
        <w:t xml:space="preserve"> التدابير اللازمة</w:t>
      </w:r>
      <w:r w:rsidR="005D7864">
        <w:rPr>
          <w:b/>
          <w:bCs/>
          <w:rtl/>
        </w:rPr>
        <w:t>،</w:t>
      </w:r>
      <w:r w:rsidRPr="00DC17E8">
        <w:rPr>
          <w:b/>
          <w:bCs/>
          <w:rtl/>
        </w:rPr>
        <w:t xml:space="preserve"> بما</w:t>
      </w:r>
      <w:r w:rsidR="00972A49">
        <w:rPr>
          <w:rFonts w:hint="cs"/>
          <w:b/>
          <w:bCs/>
          <w:rtl/>
        </w:rPr>
        <w:t> </w:t>
      </w:r>
      <w:r w:rsidRPr="00DC17E8">
        <w:rPr>
          <w:b/>
          <w:bCs/>
          <w:rtl/>
        </w:rPr>
        <w:t>في ذلك الإجراءات التشريعية</w:t>
      </w:r>
      <w:r w:rsidR="005D7864">
        <w:rPr>
          <w:b/>
          <w:bCs/>
          <w:rtl/>
        </w:rPr>
        <w:t>،</w:t>
      </w:r>
      <w:r w:rsidRPr="00DC17E8">
        <w:rPr>
          <w:b/>
          <w:bCs/>
          <w:rtl/>
        </w:rPr>
        <w:t xml:space="preserve"> لضمان ما يلي: ألا تفرض عقوبة الإعدام إلا على مرتكبي أشد الجرائم خطورة؛ وألا تكون إلزامية أبداً؛ وأن تتاح إمكانية</w:t>
      </w:r>
      <w:r w:rsidR="00DC17E8" w:rsidRPr="00DC17E8">
        <w:rPr>
          <w:b/>
          <w:bCs/>
          <w:rtl/>
        </w:rPr>
        <w:t xml:space="preserve"> </w:t>
      </w:r>
      <w:r w:rsidRPr="00DC17E8">
        <w:rPr>
          <w:b/>
          <w:bCs/>
          <w:rtl/>
        </w:rPr>
        <w:t>الاستفادة من العفو</w:t>
      </w:r>
      <w:r w:rsidR="005D7864">
        <w:rPr>
          <w:b/>
          <w:bCs/>
          <w:rtl/>
        </w:rPr>
        <w:t>،</w:t>
      </w:r>
      <w:r w:rsidRPr="00DC17E8">
        <w:rPr>
          <w:b/>
          <w:bCs/>
          <w:rtl/>
        </w:rPr>
        <w:t xml:space="preserve"> أو تخفيف الأحكام</w:t>
      </w:r>
      <w:r w:rsidR="005D7864">
        <w:rPr>
          <w:b/>
          <w:bCs/>
          <w:rtl/>
        </w:rPr>
        <w:t>،</w:t>
      </w:r>
      <w:r w:rsidRPr="00DC17E8">
        <w:rPr>
          <w:b/>
          <w:bCs/>
          <w:rtl/>
        </w:rPr>
        <w:t xml:space="preserve"> في جميع الحالات بصرف النظر عن الجريمة المرتكبة. وينبغي للدولة الطرف أيضاً</w:t>
      </w:r>
      <w:r w:rsidR="00DC17E8" w:rsidRPr="00DC17E8">
        <w:rPr>
          <w:b/>
          <w:bCs/>
          <w:rtl/>
        </w:rPr>
        <w:t xml:space="preserve"> </w:t>
      </w:r>
      <w:r w:rsidRPr="00DC17E8">
        <w:rPr>
          <w:b/>
          <w:bCs/>
          <w:rtl/>
        </w:rPr>
        <w:t>ضمان عدم فرض عقوبة الإعدام أبداً</w:t>
      </w:r>
      <w:r w:rsidR="005D7864">
        <w:rPr>
          <w:b/>
          <w:bCs/>
          <w:rtl/>
        </w:rPr>
        <w:t>،</w:t>
      </w:r>
      <w:r w:rsidRPr="00DC17E8">
        <w:rPr>
          <w:b/>
          <w:bCs/>
          <w:rtl/>
        </w:rPr>
        <w:t xml:space="preserve"> عند انطباق ذلك</w:t>
      </w:r>
      <w:r w:rsidR="005D7864">
        <w:rPr>
          <w:b/>
          <w:bCs/>
          <w:rtl/>
        </w:rPr>
        <w:t>،</w:t>
      </w:r>
      <w:r w:rsidRPr="00DC17E8">
        <w:rPr>
          <w:b/>
          <w:bCs/>
          <w:rtl/>
        </w:rPr>
        <w:t xml:space="preserve"> على نحو ينتهك أحكام العهد</w:t>
      </w:r>
      <w:r w:rsidR="005D7864">
        <w:rPr>
          <w:b/>
          <w:bCs/>
          <w:rtl/>
        </w:rPr>
        <w:t>،</w:t>
      </w:r>
      <w:r w:rsidRPr="00DC17E8">
        <w:rPr>
          <w:b/>
          <w:bCs/>
          <w:rtl/>
        </w:rPr>
        <w:t xml:space="preserve"> بما في ذلك انتهاك إجراءات المحاكمة العادلة</w:t>
      </w:r>
      <w:r w:rsidR="005D7864">
        <w:rPr>
          <w:b/>
          <w:bCs/>
          <w:rtl/>
        </w:rPr>
        <w:t>،</w:t>
      </w:r>
      <w:r w:rsidR="00DC17E8" w:rsidRPr="00DC17E8">
        <w:rPr>
          <w:b/>
          <w:bCs/>
          <w:rtl/>
        </w:rPr>
        <w:t xml:space="preserve"> </w:t>
      </w:r>
      <w:r w:rsidRPr="00DC17E8">
        <w:rPr>
          <w:b/>
          <w:bCs/>
          <w:rtl/>
        </w:rPr>
        <w:t>وتشجع اللجنة الدولة الطرف على إيلاء الاعتبار الواجب لإلغاء عقوبة الإعدام والانضمام إلى البروتوكول الاختياري الثاني الملحق بالعهد الرامي إلى إلغاء عقوبة الإعدام.</w:t>
      </w:r>
    </w:p>
    <w:p w14:paraId="57D16A4F" w14:textId="3657C29C" w:rsidR="00885E11" w:rsidRPr="00846FFB" w:rsidRDefault="00885E11" w:rsidP="00885E11">
      <w:pPr>
        <w:pStyle w:val="H23GA"/>
      </w:pPr>
      <w:r w:rsidRPr="00846FFB">
        <w:rPr>
          <w:rtl/>
        </w:rPr>
        <w:tab/>
      </w:r>
      <w:r w:rsidRPr="00846FFB">
        <w:rPr>
          <w:rtl/>
        </w:rPr>
        <w:tab/>
        <w:t>حظر التعذيب وغيره من ضروب المعاملة</w:t>
      </w:r>
      <w:r w:rsidR="005D7864" w:rsidRPr="00846FFB">
        <w:rPr>
          <w:rtl/>
        </w:rPr>
        <w:t>،</w:t>
      </w:r>
      <w:r w:rsidRPr="00846FFB">
        <w:rPr>
          <w:rtl/>
        </w:rPr>
        <w:t xml:space="preserve"> أو العقوبة القاسية</w:t>
      </w:r>
      <w:r w:rsidR="005D7864" w:rsidRPr="00846FFB">
        <w:rPr>
          <w:rtl/>
        </w:rPr>
        <w:t>،</w:t>
      </w:r>
      <w:r w:rsidRPr="00846FFB">
        <w:rPr>
          <w:rtl/>
        </w:rPr>
        <w:t xml:space="preserve"> أو اللاإنسانية</w:t>
      </w:r>
      <w:r w:rsidR="005D7864" w:rsidRPr="00846FFB">
        <w:rPr>
          <w:rtl/>
        </w:rPr>
        <w:t>،</w:t>
      </w:r>
      <w:r w:rsidRPr="00846FFB">
        <w:rPr>
          <w:rtl/>
        </w:rPr>
        <w:t xml:space="preserve"> أو المهينة </w:t>
      </w:r>
    </w:p>
    <w:p w14:paraId="17E83E14" w14:textId="7DEDBD2F" w:rsidR="00885E11" w:rsidRPr="00885E11" w:rsidRDefault="00885E11" w:rsidP="00885E11">
      <w:pPr>
        <w:pStyle w:val="SingleTxtGA"/>
      </w:pPr>
      <w:r w:rsidRPr="00846FFB">
        <w:rPr>
          <w:rtl/>
        </w:rPr>
        <w:t>20</w:t>
      </w:r>
      <w:r w:rsidRPr="007B0599">
        <w:rPr>
          <w:rtl/>
        </w:rPr>
        <w:t>-</w:t>
      </w:r>
      <w:r w:rsidRPr="007B0599">
        <w:rPr>
          <w:rtl/>
        </w:rPr>
        <w:tab/>
      </w:r>
      <w:r w:rsidRPr="00885E11">
        <w:rPr>
          <w:rtl/>
        </w:rPr>
        <w:t>تلاحظ</w:t>
      </w:r>
      <w:r>
        <w:rPr>
          <w:rtl/>
        </w:rPr>
        <w:t xml:space="preserve"> </w:t>
      </w:r>
      <w:r w:rsidRPr="00885E11">
        <w:rPr>
          <w:rtl/>
        </w:rPr>
        <w:t>اللجنة</w:t>
      </w:r>
      <w:r>
        <w:rPr>
          <w:rtl/>
        </w:rPr>
        <w:t xml:space="preserve"> </w:t>
      </w:r>
      <w:r w:rsidRPr="00885E11">
        <w:rPr>
          <w:rtl/>
        </w:rPr>
        <w:t>باهتمام</w:t>
      </w:r>
      <w:r>
        <w:rPr>
          <w:rtl/>
        </w:rPr>
        <w:t xml:space="preserve"> </w:t>
      </w:r>
      <w:r w:rsidRPr="00885E11">
        <w:rPr>
          <w:rtl/>
        </w:rPr>
        <w:t>أن</w:t>
      </w:r>
      <w:r>
        <w:rPr>
          <w:rtl/>
        </w:rPr>
        <w:t xml:space="preserve"> </w:t>
      </w:r>
      <w:r w:rsidRPr="00885E11">
        <w:rPr>
          <w:rtl/>
        </w:rPr>
        <w:t>مجلس</w:t>
      </w:r>
      <w:r>
        <w:rPr>
          <w:rtl/>
        </w:rPr>
        <w:t xml:space="preserve"> </w:t>
      </w:r>
      <w:r w:rsidRPr="00885E11">
        <w:rPr>
          <w:rtl/>
        </w:rPr>
        <w:t>الدولة</w:t>
      </w:r>
      <w:r>
        <w:rPr>
          <w:rtl/>
        </w:rPr>
        <w:t xml:space="preserve"> </w:t>
      </w:r>
      <w:r w:rsidRPr="00885E11">
        <w:rPr>
          <w:rtl/>
        </w:rPr>
        <w:t>ينظر</w:t>
      </w:r>
      <w:r>
        <w:rPr>
          <w:rtl/>
        </w:rPr>
        <w:t xml:space="preserve"> </w:t>
      </w:r>
      <w:r w:rsidRPr="00885E11">
        <w:rPr>
          <w:rtl/>
        </w:rPr>
        <w:t>حالياً</w:t>
      </w:r>
      <w:r>
        <w:rPr>
          <w:rtl/>
        </w:rPr>
        <w:t xml:space="preserve"> </w:t>
      </w:r>
      <w:r w:rsidRPr="00885E11">
        <w:rPr>
          <w:rtl/>
        </w:rPr>
        <w:t>في</w:t>
      </w:r>
      <w:r>
        <w:rPr>
          <w:rtl/>
        </w:rPr>
        <w:t xml:space="preserve"> </w:t>
      </w:r>
      <w:r w:rsidRPr="00885E11">
        <w:rPr>
          <w:rtl/>
        </w:rPr>
        <w:t>مشروع</w:t>
      </w:r>
      <w:r>
        <w:rPr>
          <w:rtl/>
        </w:rPr>
        <w:t xml:space="preserve"> </w:t>
      </w:r>
      <w:r w:rsidRPr="00885E11">
        <w:rPr>
          <w:rtl/>
        </w:rPr>
        <w:t>قانون</w:t>
      </w:r>
      <w:r>
        <w:rPr>
          <w:rtl/>
        </w:rPr>
        <w:t xml:space="preserve"> </w:t>
      </w:r>
      <w:r w:rsidR="00DC17E8" w:rsidRPr="00885E11">
        <w:rPr>
          <w:rFonts w:hint="cs"/>
          <w:rtl/>
        </w:rPr>
        <w:t>مناهضة التعذي</w:t>
      </w:r>
      <w:r w:rsidR="00DC17E8" w:rsidRPr="00885E11">
        <w:rPr>
          <w:rtl/>
        </w:rPr>
        <w:t>ب</w:t>
      </w:r>
      <w:r w:rsidR="005D7864">
        <w:rPr>
          <w:rtl/>
        </w:rPr>
        <w:t>،</w:t>
      </w:r>
      <w:r>
        <w:rPr>
          <w:rtl/>
        </w:rPr>
        <w:t xml:space="preserve"> </w:t>
      </w:r>
      <w:r w:rsidRPr="00885E11">
        <w:rPr>
          <w:rtl/>
        </w:rPr>
        <w:t>ولكنها</w:t>
      </w:r>
      <w:r>
        <w:rPr>
          <w:rtl/>
        </w:rPr>
        <w:t xml:space="preserve"> </w:t>
      </w:r>
      <w:r w:rsidRPr="00885E11">
        <w:rPr>
          <w:rtl/>
        </w:rPr>
        <w:t>تأسف</w:t>
      </w:r>
      <w:r>
        <w:rPr>
          <w:rtl/>
        </w:rPr>
        <w:t xml:space="preserve"> </w:t>
      </w:r>
      <w:r w:rsidRPr="00885E11">
        <w:rPr>
          <w:rtl/>
        </w:rPr>
        <w:t>لعدم</w:t>
      </w:r>
      <w:r>
        <w:rPr>
          <w:rtl/>
        </w:rPr>
        <w:t xml:space="preserve"> </w:t>
      </w:r>
      <w:r w:rsidRPr="00885E11">
        <w:rPr>
          <w:rtl/>
        </w:rPr>
        <w:t>نص</w:t>
      </w:r>
      <w:r w:rsidR="00DC17E8">
        <w:rPr>
          <w:rtl/>
        </w:rPr>
        <w:t xml:space="preserve"> </w:t>
      </w:r>
      <w:r w:rsidRPr="00885E11">
        <w:rPr>
          <w:rtl/>
        </w:rPr>
        <w:t>القانون</w:t>
      </w:r>
      <w:r>
        <w:rPr>
          <w:rtl/>
        </w:rPr>
        <w:t xml:space="preserve"> </w:t>
      </w:r>
      <w:r w:rsidRPr="00885E11">
        <w:rPr>
          <w:rtl/>
        </w:rPr>
        <w:t>على</w:t>
      </w:r>
      <w:r>
        <w:rPr>
          <w:rtl/>
        </w:rPr>
        <w:t xml:space="preserve"> </w:t>
      </w:r>
      <w:r w:rsidRPr="00885E11">
        <w:rPr>
          <w:rtl/>
        </w:rPr>
        <w:t>حكم</w:t>
      </w:r>
      <w:r>
        <w:rPr>
          <w:rtl/>
        </w:rPr>
        <w:t xml:space="preserve"> </w:t>
      </w:r>
      <w:r w:rsidRPr="00885E11">
        <w:rPr>
          <w:rtl/>
        </w:rPr>
        <w:t>يقضي</w:t>
      </w:r>
      <w:r>
        <w:rPr>
          <w:rtl/>
        </w:rPr>
        <w:t xml:space="preserve"> </w:t>
      </w:r>
      <w:r w:rsidRPr="00885E11">
        <w:rPr>
          <w:rtl/>
        </w:rPr>
        <w:t>بالانضمام</w:t>
      </w:r>
      <w:r>
        <w:rPr>
          <w:rtl/>
        </w:rPr>
        <w:t xml:space="preserve"> </w:t>
      </w:r>
      <w:r w:rsidRPr="00885E11">
        <w:rPr>
          <w:rtl/>
        </w:rPr>
        <w:t>إلى</w:t>
      </w:r>
      <w:r>
        <w:rPr>
          <w:rtl/>
        </w:rPr>
        <w:t xml:space="preserve"> </w:t>
      </w:r>
      <w:r w:rsidRPr="00885E11">
        <w:rPr>
          <w:rtl/>
        </w:rPr>
        <w:t>آلية</w:t>
      </w:r>
      <w:r>
        <w:rPr>
          <w:rtl/>
        </w:rPr>
        <w:t xml:space="preserve"> </w:t>
      </w:r>
      <w:r w:rsidRPr="00885E11">
        <w:rPr>
          <w:rtl/>
        </w:rPr>
        <w:t>لتقديم</w:t>
      </w:r>
      <w:r>
        <w:rPr>
          <w:rtl/>
        </w:rPr>
        <w:t xml:space="preserve"> </w:t>
      </w:r>
      <w:r w:rsidRPr="00885E11">
        <w:rPr>
          <w:rtl/>
        </w:rPr>
        <w:t>الشكاوى</w:t>
      </w:r>
      <w:r>
        <w:rPr>
          <w:rtl/>
        </w:rPr>
        <w:t xml:space="preserve"> </w:t>
      </w:r>
      <w:r w:rsidRPr="00885E11">
        <w:rPr>
          <w:rtl/>
        </w:rPr>
        <w:t>الفردية.</w:t>
      </w:r>
      <w:r>
        <w:rPr>
          <w:rtl/>
        </w:rPr>
        <w:t xml:space="preserve"> </w:t>
      </w:r>
      <w:r w:rsidRPr="00885E11">
        <w:rPr>
          <w:rtl/>
        </w:rPr>
        <w:t>وعلاوة</w:t>
      </w:r>
      <w:r>
        <w:rPr>
          <w:rtl/>
        </w:rPr>
        <w:t xml:space="preserve"> </w:t>
      </w:r>
      <w:r w:rsidRPr="00885E11">
        <w:rPr>
          <w:rtl/>
        </w:rPr>
        <w:t>على</w:t>
      </w:r>
      <w:r>
        <w:rPr>
          <w:rtl/>
        </w:rPr>
        <w:t xml:space="preserve"> </w:t>
      </w:r>
      <w:r w:rsidRPr="00885E11">
        <w:rPr>
          <w:rtl/>
        </w:rPr>
        <w:t>ذلك</w:t>
      </w:r>
      <w:r w:rsidR="005D7864">
        <w:rPr>
          <w:rtl/>
        </w:rPr>
        <w:t>،</w:t>
      </w:r>
      <w:r>
        <w:rPr>
          <w:rtl/>
        </w:rPr>
        <w:t xml:space="preserve"> </w:t>
      </w:r>
      <w:r w:rsidRPr="00885E11">
        <w:rPr>
          <w:rtl/>
        </w:rPr>
        <w:t>تكرر</w:t>
      </w:r>
      <w:r>
        <w:rPr>
          <w:rtl/>
        </w:rPr>
        <w:t xml:space="preserve"> </w:t>
      </w:r>
      <w:r w:rsidRPr="00885E11">
        <w:rPr>
          <w:rtl/>
        </w:rPr>
        <w:t>اللجنة</w:t>
      </w:r>
      <w:r>
        <w:rPr>
          <w:rtl/>
        </w:rPr>
        <w:t xml:space="preserve"> </w:t>
      </w:r>
      <w:r w:rsidRPr="00885E11">
        <w:rPr>
          <w:rtl/>
        </w:rPr>
        <w:t>الإعراب</w:t>
      </w:r>
      <w:r>
        <w:rPr>
          <w:rtl/>
        </w:rPr>
        <w:t xml:space="preserve"> </w:t>
      </w:r>
      <w:r w:rsidRPr="00885E11">
        <w:rPr>
          <w:rtl/>
        </w:rPr>
        <w:t>عن</w:t>
      </w:r>
      <w:r>
        <w:rPr>
          <w:rtl/>
        </w:rPr>
        <w:t xml:space="preserve"> </w:t>
      </w:r>
      <w:r w:rsidRPr="00885E11">
        <w:rPr>
          <w:rtl/>
        </w:rPr>
        <w:t>قلقها</w:t>
      </w:r>
      <w:r>
        <w:rPr>
          <w:rtl/>
        </w:rPr>
        <w:t xml:space="preserve"> </w:t>
      </w:r>
      <w:r w:rsidRPr="00885E11">
        <w:rPr>
          <w:rtl/>
        </w:rPr>
        <w:t>لأن</w:t>
      </w:r>
      <w:r>
        <w:rPr>
          <w:rtl/>
        </w:rPr>
        <w:t xml:space="preserve"> </w:t>
      </w:r>
      <w:r w:rsidRPr="00885E11">
        <w:rPr>
          <w:rtl/>
        </w:rPr>
        <w:t>التشريع</w:t>
      </w:r>
      <w:r>
        <w:rPr>
          <w:rtl/>
        </w:rPr>
        <w:t xml:space="preserve"> </w:t>
      </w:r>
      <w:r w:rsidRPr="00885E11">
        <w:rPr>
          <w:rtl/>
        </w:rPr>
        <w:t>الجنائي</w:t>
      </w:r>
      <w:r>
        <w:rPr>
          <w:rtl/>
        </w:rPr>
        <w:t xml:space="preserve"> </w:t>
      </w:r>
      <w:r w:rsidRPr="00885E11">
        <w:rPr>
          <w:rtl/>
        </w:rPr>
        <w:t>للدولة</w:t>
      </w:r>
      <w:r>
        <w:rPr>
          <w:rtl/>
        </w:rPr>
        <w:t xml:space="preserve"> </w:t>
      </w:r>
      <w:r w:rsidRPr="00885E11">
        <w:rPr>
          <w:rtl/>
        </w:rPr>
        <w:t>الطرف</w:t>
      </w:r>
      <w:r>
        <w:rPr>
          <w:rtl/>
        </w:rPr>
        <w:t xml:space="preserve"> </w:t>
      </w:r>
      <w:r w:rsidRPr="00885E11">
        <w:rPr>
          <w:rtl/>
        </w:rPr>
        <w:t>لا</w:t>
      </w:r>
      <w:r>
        <w:rPr>
          <w:rtl/>
        </w:rPr>
        <w:t xml:space="preserve"> </w:t>
      </w:r>
      <w:r w:rsidRPr="00885E11">
        <w:rPr>
          <w:rtl/>
        </w:rPr>
        <w:t>يكفل</w:t>
      </w:r>
      <w:r>
        <w:rPr>
          <w:rtl/>
        </w:rPr>
        <w:t xml:space="preserve"> </w:t>
      </w:r>
      <w:r w:rsidRPr="00885E11">
        <w:rPr>
          <w:rtl/>
        </w:rPr>
        <w:t>على</w:t>
      </w:r>
      <w:r>
        <w:rPr>
          <w:rtl/>
        </w:rPr>
        <w:t xml:space="preserve"> </w:t>
      </w:r>
      <w:r w:rsidRPr="00885E11">
        <w:rPr>
          <w:rtl/>
        </w:rPr>
        <w:t>نحو</w:t>
      </w:r>
      <w:r>
        <w:rPr>
          <w:rtl/>
        </w:rPr>
        <w:t xml:space="preserve"> </w:t>
      </w:r>
      <w:r w:rsidRPr="00885E11">
        <w:rPr>
          <w:rtl/>
        </w:rPr>
        <w:t>كاف</w:t>
      </w:r>
      <w:r>
        <w:rPr>
          <w:rtl/>
        </w:rPr>
        <w:t xml:space="preserve"> </w:t>
      </w:r>
      <w:r w:rsidRPr="00885E11">
        <w:rPr>
          <w:rtl/>
        </w:rPr>
        <w:t>تجريم</w:t>
      </w:r>
      <w:r>
        <w:rPr>
          <w:rtl/>
        </w:rPr>
        <w:t xml:space="preserve"> </w:t>
      </w:r>
      <w:r w:rsidRPr="00885E11">
        <w:rPr>
          <w:rtl/>
        </w:rPr>
        <w:t>الأفعال</w:t>
      </w:r>
      <w:r>
        <w:rPr>
          <w:rtl/>
        </w:rPr>
        <w:t xml:space="preserve"> </w:t>
      </w:r>
      <w:r w:rsidRPr="00885E11">
        <w:rPr>
          <w:rtl/>
        </w:rPr>
        <w:t>المشمولة</w:t>
      </w:r>
      <w:r>
        <w:rPr>
          <w:rtl/>
        </w:rPr>
        <w:t xml:space="preserve"> </w:t>
      </w:r>
      <w:r w:rsidRPr="00885E11">
        <w:rPr>
          <w:rtl/>
        </w:rPr>
        <w:t>بالتعريف</w:t>
      </w:r>
      <w:r>
        <w:rPr>
          <w:rtl/>
        </w:rPr>
        <w:t xml:space="preserve"> </w:t>
      </w:r>
      <w:r w:rsidRPr="00885E11">
        <w:rPr>
          <w:rtl/>
        </w:rPr>
        <w:t>المقبول</w:t>
      </w:r>
      <w:r>
        <w:rPr>
          <w:rtl/>
        </w:rPr>
        <w:t xml:space="preserve"> </w:t>
      </w:r>
      <w:r w:rsidRPr="00885E11">
        <w:rPr>
          <w:rtl/>
        </w:rPr>
        <w:t>دولياً</w:t>
      </w:r>
      <w:r>
        <w:rPr>
          <w:rtl/>
        </w:rPr>
        <w:t xml:space="preserve"> </w:t>
      </w:r>
      <w:r w:rsidRPr="00885E11">
        <w:rPr>
          <w:rtl/>
        </w:rPr>
        <w:t>للتعذيب</w:t>
      </w:r>
      <w:r>
        <w:rPr>
          <w:rtl/>
        </w:rPr>
        <w:t xml:space="preserve"> </w:t>
      </w:r>
      <w:r w:rsidRPr="00885E11">
        <w:rPr>
          <w:rtl/>
        </w:rPr>
        <w:t>تجريماً</w:t>
      </w:r>
      <w:r>
        <w:rPr>
          <w:rtl/>
        </w:rPr>
        <w:t xml:space="preserve"> </w:t>
      </w:r>
      <w:r w:rsidRPr="00885E11">
        <w:rPr>
          <w:rtl/>
        </w:rPr>
        <w:t>كاملاً</w:t>
      </w:r>
      <w:r w:rsidR="00E82A04" w:rsidRPr="00846FFB">
        <w:rPr>
          <w:vertAlign w:val="superscript"/>
          <w:rtl/>
        </w:rPr>
        <w:t>(</w:t>
      </w:r>
      <w:r w:rsidR="00E82A04" w:rsidRPr="00846FFB">
        <w:rPr>
          <w:vertAlign w:val="superscript"/>
          <w:lang w:val="en-US"/>
        </w:rPr>
        <w:footnoteReference w:id="10"/>
      </w:r>
      <w:r w:rsidR="00E82A04" w:rsidRPr="00846FFB">
        <w:rPr>
          <w:vertAlign w:val="superscript"/>
          <w:rtl/>
        </w:rPr>
        <w:t>)</w:t>
      </w:r>
      <w:r w:rsidRPr="00885E11">
        <w:rPr>
          <w:rtl/>
        </w:rPr>
        <w:t>.</w:t>
      </w:r>
      <w:r>
        <w:rPr>
          <w:rtl/>
        </w:rPr>
        <w:t xml:space="preserve"> </w:t>
      </w:r>
      <w:r w:rsidRPr="00885E11">
        <w:rPr>
          <w:rtl/>
        </w:rPr>
        <w:t>ويساور</w:t>
      </w:r>
      <w:r>
        <w:rPr>
          <w:rtl/>
        </w:rPr>
        <w:t xml:space="preserve"> </w:t>
      </w:r>
      <w:r w:rsidRPr="00885E11">
        <w:rPr>
          <w:rtl/>
        </w:rPr>
        <w:t>اللجنة</w:t>
      </w:r>
      <w:r>
        <w:rPr>
          <w:rtl/>
        </w:rPr>
        <w:t xml:space="preserve"> </w:t>
      </w:r>
      <w:r w:rsidRPr="00885E11">
        <w:rPr>
          <w:rtl/>
        </w:rPr>
        <w:t>القلق</w:t>
      </w:r>
      <w:r>
        <w:rPr>
          <w:rtl/>
        </w:rPr>
        <w:t xml:space="preserve"> </w:t>
      </w:r>
      <w:r w:rsidRPr="00885E11">
        <w:rPr>
          <w:rtl/>
        </w:rPr>
        <w:t>أيضاً</w:t>
      </w:r>
      <w:r>
        <w:rPr>
          <w:rtl/>
        </w:rPr>
        <w:t xml:space="preserve"> </w:t>
      </w:r>
      <w:r w:rsidRPr="00885E11">
        <w:rPr>
          <w:rtl/>
        </w:rPr>
        <w:t>إزاء</w:t>
      </w:r>
      <w:r>
        <w:rPr>
          <w:rtl/>
        </w:rPr>
        <w:t xml:space="preserve"> </w:t>
      </w:r>
      <w:r w:rsidRPr="00885E11">
        <w:rPr>
          <w:rtl/>
        </w:rPr>
        <w:t>التقارير</w:t>
      </w:r>
      <w:r>
        <w:rPr>
          <w:rtl/>
        </w:rPr>
        <w:t xml:space="preserve"> </w:t>
      </w:r>
      <w:r w:rsidRPr="00885E11">
        <w:rPr>
          <w:rtl/>
        </w:rPr>
        <w:t>التي</w:t>
      </w:r>
      <w:r>
        <w:rPr>
          <w:rtl/>
        </w:rPr>
        <w:t xml:space="preserve"> </w:t>
      </w:r>
      <w:r w:rsidRPr="00885E11">
        <w:rPr>
          <w:rtl/>
        </w:rPr>
        <w:t>تفيد</w:t>
      </w:r>
      <w:r>
        <w:rPr>
          <w:rtl/>
        </w:rPr>
        <w:t xml:space="preserve"> </w:t>
      </w:r>
      <w:r w:rsidRPr="00885E11">
        <w:rPr>
          <w:rtl/>
        </w:rPr>
        <w:t>بانتشار</w:t>
      </w:r>
      <w:r>
        <w:rPr>
          <w:rtl/>
        </w:rPr>
        <w:t xml:space="preserve"> </w:t>
      </w:r>
      <w:r w:rsidRPr="00885E11">
        <w:rPr>
          <w:rtl/>
        </w:rPr>
        <w:t>التعذيب</w:t>
      </w:r>
      <w:r>
        <w:rPr>
          <w:rtl/>
        </w:rPr>
        <w:t xml:space="preserve"> </w:t>
      </w:r>
      <w:r w:rsidRPr="00885E11">
        <w:rPr>
          <w:rtl/>
        </w:rPr>
        <w:t>وإساءة</w:t>
      </w:r>
      <w:r>
        <w:rPr>
          <w:rtl/>
        </w:rPr>
        <w:t xml:space="preserve"> </w:t>
      </w:r>
      <w:r w:rsidRPr="00885E11">
        <w:rPr>
          <w:rtl/>
        </w:rPr>
        <w:t>المعاملة</w:t>
      </w:r>
      <w:r>
        <w:rPr>
          <w:rtl/>
        </w:rPr>
        <w:t xml:space="preserve"> </w:t>
      </w:r>
      <w:r w:rsidRPr="00885E11">
        <w:rPr>
          <w:rtl/>
        </w:rPr>
        <w:t>على</w:t>
      </w:r>
      <w:r>
        <w:rPr>
          <w:rtl/>
        </w:rPr>
        <w:t xml:space="preserve"> </w:t>
      </w:r>
      <w:r w:rsidRPr="00885E11">
        <w:rPr>
          <w:rtl/>
        </w:rPr>
        <w:t>نطاق</w:t>
      </w:r>
      <w:r>
        <w:rPr>
          <w:rtl/>
        </w:rPr>
        <w:t xml:space="preserve"> </w:t>
      </w:r>
      <w:r w:rsidRPr="00885E11">
        <w:rPr>
          <w:rtl/>
        </w:rPr>
        <w:t>واسع</w:t>
      </w:r>
      <w:r>
        <w:rPr>
          <w:rtl/>
        </w:rPr>
        <w:t xml:space="preserve"> </w:t>
      </w:r>
      <w:r w:rsidRPr="00885E11">
        <w:rPr>
          <w:rtl/>
        </w:rPr>
        <w:t>للسجناء</w:t>
      </w:r>
      <w:r>
        <w:rPr>
          <w:rtl/>
        </w:rPr>
        <w:t xml:space="preserve"> </w:t>
      </w:r>
      <w:r w:rsidRPr="00885E11">
        <w:rPr>
          <w:rtl/>
        </w:rPr>
        <w:t>المحتجزين</w:t>
      </w:r>
      <w:r>
        <w:rPr>
          <w:rtl/>
        </w:rPr>
        <w:t xml:space="preserve"> </w:t>
      </w:r>
      <w:r w:rsidRPr="00885E11">
        <w:rPr>
          <w:rtl/>
        </w:rPr>
        <w:t>لدى</w:t>
      </w:r>
      <w:r>
        <w:rPr>
          <w:rtl/>
        </w:rPr>
        <w:t xml:space="preserve"> </w:t>
      </w:r>
      <w:r w:rsidRPr="00885E11">
        <w:rPr>
          <w:rtl/>
        </w:rPr>
        <w:t>الشرطة</w:t>
      </w:r>
      <w:r>
        <w:rPr>
          <w:rtl/>
        </w:rPr>
        <w:t xml:space="preserve"> </w:t>
      </w:r>
      <w:r w:rsidRPr="00885E11">
        <w:rPr>
          <w:rtl/>
        </w:rPr>
        <w:t>ومراكز</w:t>
      </w:r>
      <w:r>
        <w:rPr>
          <w:rtl/>
        </w:rPr>
        <w:t xml:space="preserve"> </w:t>
      </w:r>
      <w:r w:rsidRPr="00885E11">
        <w:rPr>
          <w:rtl/>
        </w:rPr>
        <w:t>الاحتجاز</w:t>
      </w:r>
      <w:r w:rsidR="005D7864">
        <w:rPr>
          <w:rtl/>
        </w:rPr>
        <w:t>،</w:t>
      </w:r>
      <w:r>
        <w:rPr>
          <w:rtl/>
        </w:rPr>
        <w:t xml:space="preserve"> </w:t>
      </w:r>
      <w:r w:rsidRPr="00885E11">
        <w:rPr>
          <w:rtl/>
        </w:rPr>
        <w:t>وإزاء</w:t>
      </w:r>
      <w:r>
        <w:rPr>
          <w:rtl/>
        </w:rPr>
        <w:t xml:space="preserve"> </w:t>
      </w:r>
      <w:r w:rsidRPr="00885E11">
        <w:rPr>
          <w:rtl/>
        </w:rPr>
        <w:t>قبول</w:t>
      </w:r>
      <w:r>
        <w:rPr>
          <w:rtl/>
        </w:rPr>
        <w:t xml:space="preserve"> </w:t>
      </w:r>
      <w:r w:rsidRPr="00885E11">
        <w:rPr>
          <w:rtl/>
        </w:rPr>
        <w:t>الاعترافات</w:t>
      </w:r>
      <w:r>
        <w:rPr>
          <w:rtl/>
        </w:rPr>
        <w:t xml:space="preserve"> </w:t>
      </w:r>
      <w:r w:rsidRPr="00885E11">
        <w:rPr>
          <w:rtl/>
        </w:rPr>
        <w:t>المنتزعة</w:t>
      </w:r>
      <w:r>
        <w:rPr>
          <w:rtl/>
        </w:rPr>
        <w:t xml:space="preserve"> </w:t>
      </w:r>
      <w:r w:rsidRPr="00885E11">
        <w:rPr>
          <w:rtl/>
        </w:rPr>
        <w:t>تحت</w:t>
      </w:r>
      <w:r>
        <w:rPr>
          <w:rtl/>
        </w:rPr>
        <w:t xml:space="preserve"> </w:t>
      </w:r>
      <w:r w:rsidRPr="00885E11">
        <w:rPr>
          <w:rtl/>
        </w:rPr>
        <w:t>التعذيب</w:t>
      </w:r>
      <w:r>
        <w:rPr>
          <w:rtl/>
        </w:rPr>
        <w:t xml:space="preserve"> </w:t>
      </w:r>
      <w:r w:rsidRPr="00885E11">
        <w:rPr>
          <w:rtl/>
        </w:rPr>
        <w:t>كأدلة</w:t>
      </w:r>
      <w:r>
        <w:rPr>
          <w:rtl/>
        </w:rPr>
        <w:t xml:space="preserve"> </w:t>
      </w:r>
      <w:r w:rsidRPr="00885E11">
        <w:rPr>
          <w:rtl/>
        </w:rPr>
        <w:t>في</w:t>
      </w:r>
      <w:r>
        <w:rPr>
          <w:rtl/>
        </w:rPr>
        <w:t xml:space="preserve"> </w:t>
      </w:r>
      <w:r w:rsidRPr="00885E11">
        <w:rPr>
          <w:rtl/>
        </w:rPr>
        <w:t>المحاكم</w:t>
      </w:r>
      <w:r>
        <w:rPr>
          <w:rtl/>
        </w:rPr>
        <w:t xml:space="preserve"> </w:t>
      </w:r>
      <w:r w:rsidRPr="00885E11">
        <w:rPr>
          <w:rtl/>
        </w:rPr>
        <w:t>إذا</w:t>
      </w:r>
      <w:r>
        <w:rPr>
          <w:rtl/>
        </w:rPr>
        <w:t xml:space="preserve"> </w:t>
      </w:r>
      <w:r w:rsidRPr="00885E11">
        <w:rPr>
          <w:rtl/>
        </w:rPr>
        <w:t>ما</w:t>
      </w:r>
      <w:r>
        <w:rPr>
          <w:rtl/>
        </w:rPr>
        <w:t xml:space="preserve"> </w:t>
      </w:r>
      <w:r w:rsidRPr="00885E11">
        <w:rPr>
          <w:rtl/>
        </w:rPr>
        <w:t>أيدتها</w:t>
      </w:r>
      <w:r>
        <w:rPr>
          <w:rtl/>
        </w:rPr>
        <w:t xml:space="preserve"> </w:t>
      </w:r>
      <w:r w:rsidRPr="00885E11">
        <w:rPr>
          <w:rtl/>
        </w:rPr>
        <w:t>أدلة</w:t>
      </w:r>
      <w:r>
        <w:rPr>
          <w:rtl/>
        </w:rPr>
        <w:t xml:space="preserve"> </w:t>
      </w:r>
      <w:r w:rsidRPr="00885E11">
        <w:rPr>
          <w:rtl/>
        </w:rPr>
        <w:t>أخرى</w:t>
      </w:r>
      <w:r w:rsidR="005D7864">
        <w:rPr>
          <w:rtl/>
        </w:rPr>
        <w:t>،</w:t>
      </w:r>
      <w:r>
        <w:rPr>
          <w:rtl/>
        </w:rPr>
        <w:t xml:space="preserve"> </w:t>
      </w:r>
      <w:r w:rsidRPr="00885E11">
        <w:rPr>
          <w:rtl/>
        </w:rPr>
        <w:t>وإزاء</w:t>
      </w:r>
      <w:r>
        <w:rPr>
          <w:rtl/>
        </w:rPr>
        <w:t xml:space="preserve"> </w:t>
      </w:r>
      <w:r w:rsidRPr="00885E11">
        <w:rPr>
          <w:rtl/>
        </w:rPr>
        <w:t>احتمال</w:t>
      </w:r>
      <w:r>
        <w:rPr>
          <w:rtl/>
        </w:rPr>
        <w:t xml:space="preserve"> </w:t>
      </w:r>
      <w:r w:rsidRPr="00885E11">
        <w:rPr>
          <w:rtl/>
        </w:rPr>
        <w:t>تعرّض</w:t>
      </w:r>
      <w:r>
        <w:rPr>
          <w:rtl/>
        </w:rPr>
        <w:t xml:space="preserve"> </w:t>
      </w:r>
      <w:r w:rsidRPr="00885E11">
        <w:rPr>
          <w:rtl/>
        </w:rPr>
        <w:t>السجناء</w:t>
      </w:r>
      <w:r>
        <w:rPr>
          <w:rtl/>
        </w:rPr>
        <w:t xml:space="preserve"> </w:t>
      </w:r>
      <w:r w:rsidRPr="00885E11">
        <w:rPr>
          <w:rtl/>
        </w:rPr>
        <w:t>الذين</w:t>
      </w:r>
      <w:r>
        <w:rPr>
          <w:rtl/>
        </w:rPr>
        <w:t xml:space="preserve"> </w:t>
      </w:r>
      <w:r w:rsidRPr="00885E11">
        <w:rPr>
          <w:rtl/>
        </w:rPr>
        <w:t>يبلغون</w:t>
      </w:r>
      <w:r>
        <w:rPr>
          <w:rtl/>
        </w:rPr>
        <w:t xml:space="preserve"> </w:t>
      </w:r>
      <w:r w:rsidRPr="00885E11">
        <w:rPr>
          <w:rtl/>
        </w:rPr>
        <w:t>عن</w:t>
      </w:r>
      <w:r>
        <w:rPr>
          <w:rtl/>
        </w:rPr>
        <w:t xml:space="preserve"> </w:t>
      </w:r>
      <w:r w:rsidRPr="00885E11">
        <w:rPr>
          <w:rtl/>
        </w:rPr>
        <w:t>حالات</w:t>
      </w:r>
      <w:r>
        <w:rPr>
          <w:rtl/>
        </w:rPr>
        <w:t xml:space="preserve"> </w:t>
      </w:r>
      <w:r w:rsidRPr="00885E11">
        <w:rPr>
          <w:rtl/>
        </w:rPr>
        <w:t>تعذيب</w:t>
      </w:r>
      <w:r>
        <w:rPr>
          <w:rtl/>
        </w:rPr>
        <w:t xml:space="preserve"> </w:t>
      </w:r>
      <w:r w:rsidRPr="00885E11">
        <w:rPr>
          <w:rtl/>
        </w:rPr>
        <w:t>لأعمال</w:t>
      </w:r>
      <w:r>
        <w:rPr>
          <w:rtl/>
        </w:rPr>
        <w:t xml:space="preserve"> </w:t>
      </w:r>
      <w:r w:rsidRPr="00885E11">
        <w:rPr>
          <w:rtl/>
        </w:rPr>
        <w:t>انتقامية</w:t>
      </w:r>
      <w:r>
        <w:rPr>
          <w:rtl/>
        </w:rPr>
        <w:t xml:space="preserve"> </w:t>
      </w:r>
      <w:r w:rsidRPr="00885E11">
        <w:rPr>
          <w:rtl/>
        </w:rPr>
        <w:t>محتملة.</w:t>
      </w:r>
      <w:r>
        <w:rPr>
          <w:rtl/>
        </w:rPr>
        <w:t xml:space="preserve"> </w:t>
      </w:r>
      <w:r w:rsidRPr="00885E11">
        <w:rPr>
          <w:rtl/>
        </w:rPr>
        <w:t>وبينما</w:t>
      </w:r>
      <w:r>
        <w:rPr>
          <w:rtl/>
        </w:rPr>
        <w:t xml:space="preserve"> </w:t>
      </w:r>
      <w:r w:rsidRPr="00885E11">
        <w:rPr>
          <w:rtl/>
        </w:rPr>
        <w:t>تلاحظ</w:t>
      </w:r>
      <w:r>
        <w:rPr>
          <w:rtl/>
        </w:rPr>
        <w:t xml:space="preserve"> </w:t>
      </w:r>
      <w:r w:rsidRPr="00885E11">
        <w:rPr>
          <w:rtl/>
        </w:rPr>
        <w:t>اللجنة</w:t>
      </w:r>
      <w:r>
        <w:rPr>
          <w:rtl/>
        </w:rPr>
        <w:t xml:space="preserve"> </w:t>
      </w:r>
      <w:r w:rsidRPr="00885E11">
        <w:rPr>
          <w:rtl/>
        </w:rPr>
        <w:t>أن</w:t>
      </w:r>
      <w:r>
        <w:rPr>
          <w:rtl/>
        </w:rPr>
        <w:t xml:space="preserve"> </w:t>
      </w:r>
      <w:r w:rsidRPr="00885E11">
        <w:rPr>
          <w:rtl/>
        </w:rPr>
        <w:t>من</w:t>
      </w:r>
      <w:r>
        <w:rPr>
          <w:rtl/>
        </w:rPr>
        <w:t xml:space="preserve"> </w:t>
      </w:r>
      <w:r w:rsidRPr="00885E11">
        <w:rPr>
          <w:rtl/>
        </w:rPr>
        <w:t>الممكن</w:t>
      </w:r>
      <w:r>
        <w:rPr>
          <w:rtl/>
        </w:rPr>
        <w:t xml:space="preserve"> </w:t>
      </w:r>
      <w:r w:rsidRPr="00885E11">
        <w:rPr>
          <w:rtl/>
        </w:rPr>
        <w:t>لموظفي</w:t>
      </w:r>
      <w:r>
        <w:rPr>
          <w:rtl/>
        </w:rPr>
        <w:t xml:space="preserve"> </w:t>
      </w:r>
      <w:r w:rsidRPr="00885E11">
        <w:rPr>
          <w:rtl/>
        </w:rPr>
        <w:t>هيئات</w:t>
      </w:r>
      <w:r>
        <w:rPr>
          <w:rtl/>
        </w:rPr>
        <w:t xml:space="preserve"> </w:t>
      </w:r>
      <w:r w:rsidRPr="00885E11">
        <w:rPr>
          <w:rtl/>
        </w:rPr>
        <w:t>التفتيش</w:t>
      </w:r>
      <w:r w:rsidR="005D7864">
        <w:rPr>
          <w:rtl/>
        </w:rPr>
        <w:t>،</w:t>
      </w:r>
      <w:r>
        <w:rPr>
          <w:rtl/>
        </w:rPr>
        <w:t xml:space="preserve"> </w:t>
      </w:r>
      <w:r w:rsidRPr="00885E11">
        <w:rPr>
          <w:rtl/>
        </w:rPr>
        <w:t>مثل</w:t>
      </w:r>
      <w:r>
        <w:rPr>
          <w:rtl/>
        </w:rPr>
        <w:t xml:space="preserve"> </w:t>
      </w:r>
      <w:r w:rsidRPr="00885E11">
        <w:rPr>
          <w:rtl/>
        </w:rPr>
        <w:t>المفوضية</w:t>
      </w:r>
      <w:r>
        <w:rPr>
          <w:rtl/>
        </w:rPr>
        <w:t xml:space="preserve"> </w:t>
      </w:r>
      <w:r w:rsidRPr="00885E11">
        <w:rPr>
          <w:rtl/>
        </w:rPr>
        <w:t>العليا</w:t>
      </w:r>
      <w:r>
        <w:rPr>
          <w:rtl/>
        </w:rPr>
        <w:t xml:space="preserve"> </w:t>
      </w:r>
      <w:r w:rsidRPr="00885E11">
        <w:rPr>
          <w:rtl/>
        </w:rPr>
        <w:t>لحقوق</w:t>
      </w:r>
      <w:r>
        <w:rPr>
          <w:rtl/>
        </w:rPr>
        <w:t xml:space="preserve"> </w:t>
      </w:r>
      <w:r w:rsidRPr="00885E11">
        <w:rPr>
          <w:rtl/>
        </w:rPr>
        <w:t>الإنسان</w:t>
      </w:r>
      <w:r>
        <w:rPr>
          <w:rtl/>
        </w:rPr>
        <w:t xml:space="preserve"> </w:t>
      </w:r>
      <w:r w:rsidRPr="00885E11">
        <w:rPr>
          <w:rtl/>
        </w:rPr>
        <w:t>في</w:t>
      </w:r>
      <w:r>
        <w:rPr>
          <w:rtl/>
        </w:rPr>
        <w:t xml:space="preserve"> </w:t>
      </w:r>
      <w:r w:rsidRPr="00885E11">
        <w:rPr>
          <w:rtl/>
        </w:rPr>
        <w:t>العراق</w:t>
      </w:r>
      <w:r w:rsidR="005D7864">
        <w:rPr>
          <w:rtl/>
        </w:rPr>
        <w:t>،</w:t>
      </w:r>
      <w:r>
        <w:rPr>
          <w:rtl/>
        </w:rPr>
        <w:t xml:space="preserve"> </w:t>
      </w:r>
      <w:r w:rsidRPr="00885E11">
        <w:rPr>
          <w:rtl/>
        </w:rPr>
        <w:t>زيارة</w:t>
      </w:r>
      <w:r>
        <w:rPr>
          <w:rtl/>
        </w:rPr>
        <w:t xml:space="preserve"> </w:t>
      </w:r>
      <w:r w:rsidRPr="00885E11">
        <w:rPr>
          <w:rtl/>
        </w:rPr>
        <w:t>السجون</w:t>
      </w:r>
      <w:r>
        <w:rPr>
          <w:rtl/>
        </w:rPr>
        <w:t xml:space="preserve"> </w:t>
      </w:r>
      <w:r w:rsidRPr="00885E11">
        <w:rPr>
          <w:rtl/>
        </w:rPr>
        <w:t>وأماكن</w:t>
      </w:r>
      <w:r>
        <w:rPr>
          <w:rtl/>
        </w:rPr>
        <w:t xml:space="preserve"> </w:t>
      </w:r>
      <w:r w:rsidRPr="00885E11">
        <w:rPr>
          <w:rtl/>
        </w:rPr>
        <w:t>الاحتجاز</w:t>
      </w:r>
      <w:r w:rsidR="005D7864">
        <w:rPr>
          <w:rtl/>
        </w:rPr>
        <w:t>،</w:t>
      </w:r>
      <w:r>
        <w:rPr>
          <w:rtl/>
        </w:rPr>
        <w:t xml:space="preserve"> </w:t>
      </w:r>
      <w:r w:rsidRPr="00885E11">
        <w:rPr>
          <w:rtl/>
        </w:rPr>
        <w:t>فإنها</w:t>
      </w:r>
      <w:r>
        <w:rPr>
          <w:rtl/>
        </w:rPr>
        <w:t xml:space="preserve"> </w:t>
      </w:r>
      <w:r w:rsidRPr="00885E11">
        <w:rPr>
          <w:rtl/>
        </w:rPr>
        <w:t>تأسف</w:t>
      </w:r>
      <w:r>
        <w:rPr>
          <w:rtl/>
        </w:rPr>
        <w:t xml:space="preserve"> </w:t>
      </w:r>
      <w:r w:rsidRPr="00885E11">
        <w:rPr>
          <w:rtl/>
        </w:rPr>
        <w:t>لأن</w:t>
      </w:r>
      <w:r>
        <w:rPr>
          <w:rtl/>
        </w:rPr>
        <w:t xml:space="preserve"> </w:t>
      </w:r>
      <w:r w:rsidRPr="00885E11">
        <w:rPr>
          <w:rtl/>
        </w:rPr>
        <w:t>توقيت</w:t>
      </w:r>
      <w:r>
        <w:rPr>
          <w:rtl/>
        </w:rPr>
        <w:t xml:space="preserve"> </w:t>
      </w:r>
      <w:r w:rsidRPr="00885E11">
        <w:rPr>
          <w:rtl/>
        </w:rPr>
        <w:t>هذه</w:t>
      </w:r>
      <w:r>
        <w:rPr>
          <w:rtl/>
        </w:rPr>
        <w:t xml:space="preserve"> </w:t>
      </w:r>
      <w:r w:rsidRPr="00885E11">
        <w:rPr>
          <w:rtl/>
        </w:rPr>
        <w:t>الزيارات</w:t>
      </w:r>
      <w:r>
        <w:rPr>
          <w:rtl/>
        </w:rPr>
        <w:t xml:space="preserve"> </w:t>
      </w:r>
      <w:r w:rsidRPr="00885E11">
        <w:rPr>
          <w:rtl/>
        </w:rPr>
        <w:t>يجب</w:t>
      </w:r>
      <w:r>
        <w:rPr>
          <w:rtl/>
        </w:rPr>
        <w:t xml:space="preserve"> </w:t>
      </w:r>
      <w:r w:rsidRPr="00885E11">
        <w:rPr>
          <w:rtl/>
        </w:rPr>
        <w:t>الاتفاق</w:t>
      </w:r>
      <w:r>
        <w:rPr>
          <w:rtl/>
        </w:rPr>
        <w:t xml:space="preserve"> </w:t>
      </w:r>
      <w:r w:rsidRPr="00885E11">
        <w:rPr>
          <w:rtl/>
        </w:rPr>
        <w:t>عليه</w:t>
      </w:r>
      <w:r>
        <w:rPr>
          <w:rtl/>
        </w:rPr>
        <w:t xml:space="preserve"> </w:t>
      </w:r>
      <w:r w:rsidRPr="00885E11">
        <w:rPr>
          <w:rtl/>
        </w:rPr>
        <w:t>مسبقاً</w:t>
      </w:r>
      <w:r>
        <w:rPr>
          <w:rtl/>
        </w:rPr>
        <w:t xml:space="preserve"> </w:t>
      </w:r>
      <w:r w:rsidRPr="00885E11">
        <w:rPr>
          <w:rtl/>
        </w:rPr>
        <w:t>مع</w:t>
      </w:r>
      <w:r>
        <w:rPr>
          <w:rtl/>
        </w:rPr>
        <w:t xml:space="preserve"> </w:t>
      </w:r>
      <w:r w:rsidRPr="00885E11">
        <w:rPr>
          <w:rtl/>
        </w:rPr>
        <w:t>السلطات</w:t>
      </w:r>
      <w:r>
        <w:rPr>
          <w:rtl/>
        </w:rPr>
        <w:t xml:space="preserve"> </w:t>
      </w:r>
      <w:r w:rsidRPr="00885E11">
        <w:rPr>
          <w:rtl/>
        </w:rPr>
        <w:t>المختصة</w:t>
      </w:r>
      <w:r>
        <w:rPr>
          <w:rtl/>
        </w:rPr>
        <w:t xml:space="preserve"> </w:t>
      </w:r>
      <w:r w:rsidRPr="00885E11">
        <w:rPr>
          <w:rtl/>
        </w:rPr>
        <w:t>(المادتان</w:t>
      </w:r>
      <w:r>
        <w:rPr>
          <w:rtl/>
        </w:rPr>
        <w:t xml:space="preserve"> </w:t>
      </w:r>
      <w:r w:rsidRPr="00846FFB">
        <w:rPr>
          <w:rtl/>
        </w:rPr>
        <w:t>7</w:t>
      </w:r>
      <w:r>
        <w:rPr>
          <w:rtl/>
        </w:rPr>
        <w:t xml:space="preserve"> </w:t>
      </w:r>
      <w:r w:rsidRPr="00885E11">
        <w:rPr>
          <w:rtl/>
        </w:rPr>
        <w:t>و</w:t>
      </w:r>
      <w:r w:rsidRPr="00846FFB">
        <w:rPr>
          <w:rtl/>
        </w:rPr>
        <w:t>9</w:t>
      </w:r>
      <w:r w:rsidRPr="00885E11">
        <w:rPr>
          <w:rtl/>
        </w:rPr>
        <w:t>).</w:t>
      </w:r>
    </w:p>
    <w:p w14:paraId="43A255E3" w14:textId="1A319763" w:rsidR="00885E11" w:rsidRPr="00DC17E8" w:rsidRDefault="00885E11" w:rsidP="00885E11">
      <w:pPr>
        <w:pStyle w:val="SingleTxtGA"/>
        <w:rPr>
          <w:b/>
          <w:bCs/>
        </w:rPr>
      </w:pPr>
      <w:r w:rsidRPr="00846FFB">
        <w:rPr>
          <w:rtl/>
        </w:rPr>
        <w:t>21</w:t>
      </w:r>
      <w:r w:rsidRPr="007B0599">
        <w:rPr>
          <w:rtl/>
        </w:rPr>
        <w:t>-</w:t>
      </w:r>
      <w:r w:rsidRPr="007B0599">
        <w:rPr>
          <w:rtl/>
        </w:rPr>
        <w:tab/>
      </w:r>
      <w:r w:rsidRPr="00DC17E8">
        <w:rPr>
          <w:b/>
          <w:bCs/>
          <w:rtl/>
        </w:rPr>
        <w:t>ينبغي للدولة الطرف القيام بما يلي:</w:t>
      </w:r>
    </w:p>
    <w:p w14:paraId="45C5D063" w14:textId="1B6294D7" w:rsidR="00885E11" w:rsidRPr="00DC17E8" w:rsidRDefault="00885E11" w:rsidP="00885E11">
      <w:pPr>
        <w:pStyle w:val="SingleTxtGA"/>
        <w:rPr>
          <w:b/>
          <w:bCs/>
        </w:rPr>
      </w:pPr>
      <w:r w:rsidRPr="007B0599">
        <w:rPr>
          <w:rtl/>
        </w:rPr>
        <w:tab/>
        <w:t>(أ)</w:t>
      </w:r>
      <w:r w:rsidRPr="007B0599">
        <w:rPr>
          <w:rtl/>
        </w:rPr>
        <w:tab/>
      </w:r>
      <w:r w:rsidRPr="00DC17E8">
        <w:rPr>
          <w:b/>
          <w:bCs/>
          <w:rtl/>
        </w:rPr>
        <w:t>اتخاذ الخطوات اللازمة للتعجيل باعتماد مشروع قانون مناهضة التعذيب</w:t>
      </w:r>
      <w:r w:rsidR="005D7864">
        <w:rPr>
          <w:b/>
          <w:bCs/>
          <w:rtl/>
        </w:rPr>
        <w:t>،</w:t>
      </w:r>
      <w:r w:rsidRPr="00DC17E8">
        <w:rPr>
          <w:b/>
          <w:bCs/>
          <w:rtl/>
        </w:rPr>
        <w:t xml:space="preserve"> مع ضمان أن يكون تعريفه للتعذيب متماشياً تماماً مع المادة </w:t>
      </w:r>
      <w:r w:rsidRPr="00846FFB">
        <w:rPr>
          <w:b/>
          <w:bCs/>
          <w:rtl/>
        </w:rPr>
        <w:t>7</w:t>
      </w:r>
      <w:r w:rsidRPr="00DC17E8">
        <w:rPr>
          <w:b/>
          <w:bCs/>
          <w:rtl/>
        </w:rPr>
        <w:t xml:space="preserve"> من العهد وغيره من المعايير المعمول بها دولياً</w:t>
      </w:r>
      <w:r w:rsidR="005D7864">
        <w:rPr>
          <w:b/>
          <w:bCs/>
          <w:rtl/>
        </w:rPr>
        <w:t>،</w:t>
      </w:r>
      <w:r w:rsidRPr="00DC17E8">
        <w:rPr>
          <w:b/>
          <w:bCs/>
          <w:rtl/>
        </w:rPr>
        <w:t xml:space="preserve"> وأن يحظر بوضوح التعذيب</w:t>
      </w:r>
      <w:r w:rsidR="005D7864">
        <w:rPr>
          <w:b/>
          <w:bCs/>
          <w:rtl/>
        </w:rPr>
        <w:t>،</w:t>
      </w:r>
      <w:r w:rsidRPr="00DC17E8">
        <w:rPr>
          <w:b/>
          <w:bCs/>
          <w:rtl/>
        </w:rPr>
        <w:t xml:space="preserve"> أو المعاملة</w:t>
      </w:r>
      <w:r w:rsidR="005D7864">
        <w:rPr>
          <w:b/>
          <w:bCs/>
          <w:rtl/>
        </w:rPr>
        <w:t>،</w:t>
      </w:r>
      <w:r w:rsidRPr="00DC17E8">
        <w:rPr>
          <w:b/>
          <w:bCs/>
          <w:rtl/>
        </w:rPr>
        <w:t xml:space="preserve"> أو العقوبة القاسية</w:t>
      </w:r>
      <w:r w:rsidR="005D7864">
        <w:rPr>
          <w:b/>
          <w:bCs/>
          <w:rtl/>
        </w:rPr>
        <w:t>،</w:t>
      </w:r>
      <w:r w:rsidRPr="00DC17E8">
        <w:rPr>
          <w:b/>
          <w:bCs/>
          <w:rtl/>
        </w:rPr>
        <w:t xml:space="preserve"> أو اللاإنسانية</w:t>
      </w:r>
      <w:r w:rsidR="005D7864">
        <w:rPr>
          <w:b/>
          <w:bCs/>
          <w:rtl/>
        </w:rPr>
        <w:t>،</w:t>
      </w:r>
      <w:r w:rsidRPr="00DC17E8">
        <w:rPr>
          <w:b/>
          <w:bCs/>
          <w:rtl/>
        </w:rPr>
        <w:t xml:space="preserve"> أو المهينة تحت أي ظرف من الظروف؛</w:t>
      </w:r>
    </w:p>
    <w:p w14:paraId="50D84785" w14:textId="54280BB5" w:rsidR="00885E11" w:rsidRPr="00DC17E8" w:rsidRDefault="00885E11" w:rsidP="00885E11">
      <w:pPr>
        <w:pStyle w:val="SingleTxtGA"/>
        <w:rPr>
          <w:b/>
          <w:bCs/>
        </w:rPr>
      </w:pPr>
      <w:r w:rsidRPr="007B0599">
        <w:rPr>
          <w:rtl/>
        </w:rPr>
        <w:tab/>
        <w:t>(ب)</w:t>
      </w:r>
      <w:r w:rsidRPr="007B0599">
        <w:rPr>
          <w:rtl/>
        </w:rPr>
        <w:tab/>
      </w:r>
      <w:r w:rsidRPr="00DC17E8">
        <w:rPr>
          <w:b/>
          <w:bCs/>
          <w:rtl/>
        </w:rPr>
        <w:t>اتخاذ تدابير ملموسة لمنع التعذيب وسوء المعاملة</w:t>
      </w:r>
      <w:r w:rsidR="005D7864">
        <w:rPr>
          <w:b/>
          <w:bCs/>
          <w:rtl/>
        </w:rPr>
        <w:t>،</w:t>
      </w:r>
      <w:r w:rsidRPr="00DC17E8">
        <w:rPr>
          <w:b/>
          <w:bCs/>
          <w:rtl/>
        </w:rPr>
        <w:t xml:space="preserve"> بطرق</w:t>
      </w:r>
      <w:r w:rsidR="005D7864">
        <w:rPr>
          <w:b/>
          <w:bCs/>
          <w:rtl/>
        </w:rPr>
        <w:t>،</w:t>
      </w:r>
      <w:r w:rsidRPr="00DC17E8">
        <w:rPr>
          <w:b/>
          <w:bCs/>
          <w:rtl/>
        </w:rPr>
        <w:t xml:space="preserve"> منها إتاحة برامج تدريب للشرطة والجهاز القضائي</w:t>
      </w:r>
      <w:r w:rsidR="005D7864">
        <w:rPr>
          <w:b/>
          <w:bCs/>
          <w:rtl/>
        </w:rPr>
        <w:t>،</w:t>
      </w:r>
      <w:r w:rsidRPr="00DC17E8">
        <w:rPr>
          <w:b/>
          <w:bCs/>
          <w:rtl/>
        </w:rPr>
        <w:t xml:space="preserve"> بما في ذلك النيابة العامة وموظفو السجون</w:t>
      </w:r>
      <w:r w:rsidR="005D7864">
        <w:rPr>
          <w:b/>
          <w:bCs/>
          <w:rtl/>
        </w:rPr>
        <w:t>،</w:t>
      </w:r>
      <w:r w:rsidRPr="00DC17E8">
        <w:rPr>
          <w:b/>
          <w:bCs/>
          <w:rtl/>
        </w:rPr>
        <w:t xml:space="preserve"> فضلاً عن برامج توعية المحتجزين</w:t>
      </w:r>
      <w:r w:rsidR="005D7864">
        <w:rPr>
          <w:b/>
          <w:bCs/>
          <w:rtl/>
        </w:rPr>
        <w:t>،</w:t>
      </w:r>
      <w:r w:rsidRPr="00DC17E8">
        <w:rPr>
          <w:b/>
          <w:bCs/>
          <w:rtl/>
        </w:rPr>
        <w:t xml:space="preserve"> وضمان إجراء تحقيق فوري ومستقل وشامل في جميع هذه الادعاءات</w:t>
      </w:r>
      <w:r w:rsidR="005D7864">
        <w:rPr>
          <w:b/>
          <w:bCs/>
          <w:rtl/>
        </w:rPr>
        <w:t>،</w:t>
      </w:r>
      <w:r w:rsidRPr="00DC17E8">
        <w:rPr>
          <w:b/>
          <w:bCs/>
          <w:rtl/>
        </w:rPr>
        <w:t xml:space="preserve"> وتقديم الجناة إلى العدالة ومعاقبتهم على النحو الملائم</w:t>
      </w:r>
      <w:r w:rsidR="005D7864">
        <w:rPr>
          <w:b/>
          <w:bCs/>
          <w:rtl/>
        </w:rPr>
        <w:t>،</w:t>
      </w:r>
      <w:r w:rsidRPr="00DC17E8">
        <w:rPr>
          <w:b/>
          <w:bCs/>
          <w:rtl/>
        </w:rPr>
        <w:t xml:space="preserve"> وحصول الضحايا على تعويض كامل؛</w:t>
      </w:r>
    </w:p>
    <w:p w14:paraId="143CA631" w14:textId="40A76B76" w:rsidR="00885E11" w:rsidRPr="00DC17E8" w:rsidRDefault="00885E11" w:rsidP="00885E11">
      <w:pPr>
        <w:pStyle w:val="SingleTxtGA"/>
        <w:rPr>
          <w:b/>
          <w:bCs/>
        </w:rPr>
      </w:pPr>
      <w:r w:rsidRPr="007B0599">
        <w:rPr>
          <w:rtl/>
        </w:rPr>
        <w:tab/>
        <w:t>(ج)</w:t>
      </w:r>
      <w:r w:rsidRPr="007B0599">
        <w:rPr>
          <w:rtl/>
        </w:rPr>
        <w:tab/>
      </w:r>
      <w:r w:rsidRPr="00DC17E8">
        <w:rPr>
          <w:b/>
          <w:bCs/>
          <w:rtl/>
        </w:rPr>
        <w:t xml:space="preserve">ضمان عدم قبول المحاكم الاعترافات المنتزعة التي تعتبر انتهاكاً للمادة </w:t>
      </w:r>
      <w:r w:rsidRPr="00846FFB">
        <w:rPr>
          <w:b/>
          <w:bCs/>
          <w:rtl/>
        </w:rPr>
        <w:t>7</w:t>
      </w:r>
      <w:r w:rsidRPr="00DC17E8">
        <w:rPr>
          <w:b/>
          <w:bCs/>
          <w:rtl/>
        </w:rPr>
        <w:t xml:space="preserve"> من العهد تحت أي ظرف من الظروف</w:t>
      </w:r>
      <w:r w:rsidR="005D7864">
        <w:rPr>
          <w:b/>
          <w:bCs/>
          <w:rtl/>
        </w:rPr>
        <w:t>،</w:t>
      </w:r>
      <w:r w:rsidRPr="00DC17E8">
        <w:rPr>
          <w:b/>
          <w:bCs/>
          <w:rtl/>
        </w:rPr>
        <w:t xml:space="preserve"> وتحميل الادعاء عبء إثبات أن الاعتراف قد تم طوعاً</w:t>
      </w:r>
      <w:r w:rsidR="00972A49">
        <w:rPr>
          <w:b/>
          <w:bCs/>
          <w:rtl/>
        </w:rPr>
        <w:t>؛</w:t>
      </w:r>
    </w:p>
    <w:p w14:paraId="75C0565A" w14:textId="2CDEFF16" w:rsidR="00885E11" w:rsidRPr="00DC17E8" w:rsidRDefault="00885E11" w:rsidP="00885E11">
      <w:pPr>
        <w:pStyle w:val="SingleTxtGA"/>
        <w:rPr>
          <w:b/>
          <w:bCs/>
        </w:rPr>
      </w:pPr>
      <w:r w:rsidRPr="007B0599">
        <w:rPr>
          <w:rtl/>
        </w:rPr>
        <w:tab/>
        <w:t>(د)</w:t>
      </w:r>
      <w:r w:rsidRPr="007B0599">
        <w:rPr>
          <w:rtl/>
        </w:rPr>
        <w:tab/>
      </w:r>
      <w:r w:rsidRPr="00DC17E8">
        <w:rPr>
          <w:b/>
          <w:bCs/>
          <w:rtl/>
        </w:rPr>
        <w:t>ضمان قيام هيئات التفتيش بزيارات مفاجئة للسجون ومراكز الاحتجاز</w:t>
      </w:r>
      <w:r w:rsidR="005D7864">
        <w:rPr>
          <w:b/>
          <w:bCs/>
          <w:rtl/>
        </w:rPr>
        <w:t>،</w:t>
      </w:r>
      <w:r w:rsidRPr="00DC17E8">
        <w:rPr>
          <w:b/>
          <w:bCs/>
          <w:rtl/>
        </w:rPr>
        <w:t xml:space="preserve"> ومتابعة أي توصيات أو تقارير تصدر عن هذه الزيارات.</w:t>
      </w:r>
    </w:p>
    <w:p w14:paraId="6EBDAF82" w14:textId="2645422D" w:rsidR="00885E11" w:rsidRPr="00846FFB" w:rsidRDefault="00885E11" w:rsidP="00885E11">
      <w:pPr>
        <w:pStyle w:val="H23GA"/>
      </w:pPr>
      <w:r w:rsidRPr="00846FFB">
        <w:rPr>
          <w:rtl/>
        </w:rPr>
        <w:tab/>
      </w:r>
      <w:r w:rsidRPr="00846FFB">
        <w:rPr>
          <w:rtl/>
        </w:rPr>
        <w:tab/>
        <w:t>حق الفرد في الحياة والحرية والأمان على شخصه ومعاملة الأشخاص مسلوبي الحرية</w:t>
      </w:r>
    </w:p>
    <w:p w14:paraId="7E02EEF5" w14:textId="1F162A0D" w:rsidR="00885E11" w:rsidRPr="00885E11" w:rsidRDefault="00885E11" w:rsidP="00885E11">
      <w:pPr>
        <w:pStyle w:val="SingleTxtGA"/>
      </w:pPr>
      <w:r w:rsidRPr="00846FFB">
        <w:rPr>
          <w:rtl/>
        </w:rPr>
        <w:t>22</w:t>
      </w:r>
      <w:r w:rsidRPr="007B0599">
        <w:rPr>
          <w:rtl/>
        </w:rPr>
        <w:t>-</w:t>
      </w:r>
      <w:r w:rsidRPr="007B0599">
        <w:rPr>
          <w:rtl/>
        </w:rPr>
        <w:tab/>
      </w:r>
      <w:r w:rsidRPr="00885E11">
        <w:rPr>
          <w:rtl/>
        </w:rPr>
        <w:t>تحيط</w:t>
      </w:r>
      <w:r>
        <w:rPr>
          <w:rtl/>
        </w:rPr>
        <w:t xml:space="preserve"> </w:t>
      </w:r>
      <w:r w:rsidRPr="00885E11">
        <w:rPr>
          <w:rtl/>
        </w:rPr>
        <w:t>اللجنة</w:t>
      </w:r>
      <w:r>
        <w:rPr>
          <w:rtl/>
        </w:rPr>
        <w:t xml:space="preserve"> </w:t>
      </w:r>
      <w:r w:rsidRPr="00885E11">
        <w:rPr>
          <w:rtl/>
        </w:rPr>
        <w:t>علماً</w:t>
      </w:r>
      <w:r>
        <w:rPr>
          <w:rtl/>
        </w:rPr>
        <w:t xml:space="preserve"> </w:t>
      </w:r>
      <w:r w:rsidRPr="00885E11">
        <w:rPr>
          <w:rtl/>
        </w:rPr>
        <w:t>بإشارة</w:t>
      </w:r>
      <w:r>
        <w:rPr>
          <w:rtl/>
        </w:rPr>
        <w:t xml:space="preserve"> </w:t>
      </w:r>
      <w:r w:rsidRPr="00885E11">
        <w:rPr>
          <w:rtl/>
        </w:rPr>
        <w:t>الدولة</w:t>
      </w:r>
      <w:r>
        <w:rPr>
          <w:rtl/>
        </w:rPr>
        <w:t xml:space="preserve"> </w:t>
      </w:r>
      <w:r w:rsidRPr="00885E11">
        <w:rPr>
          <w:rtl/>
        </w:rPr>
        <w:t>الطرف</w:t>
      </w:r>
      <w:r>
        <w:rPr>
          <w:rtl/>
        </w:rPr>
        <w:t xml:space="preserve"> </w:t>
      </w:r>
      <w:r w:rsidRPr="00885E11">
        <w:rPr>
          <w:rtl/>
        </w:rPr>
        <w:t>إلى</w:t>
      </w:r>
      <w:r>
        <w:rPr>
          <w:rtl/>
        </w:rPr>
        <w:t xml:space="preserve"> </w:t>
      </w:r>
      <w:r w:rsidRPr="00885E11">
        <w:rPr>
          <w:rtl/>
        </w:rPr>
        <w:t>عدم</w:t>
      </w:r>
      <w:r>
        <w:rPr>
          <w:rtl/>
        </w:rPr>
        <w:t xml:space="preserve"> </w:t>
      </w:r>
      <w:r w:rsidRPr="00885E11">
        <w:rPr>
          <w:rtl/>
        </w:rPr>
        <w:t>وجود</w:t>
      </w:r>
      <w:r>
        <w:rPr>
          <w:rtl/>
        </w:rPr>
        <w:t xml:space="preserve"> </w:t>
      </w:r>
      <w:r w:rsidRPr="00885E11">
        <w:rPr>
          <w:rtl/>
        </w:rPr>
        <w:t>مرافق</w:t>
      </w:r>
      <w:r>
        <w:rPr>
          <w:rtl/>
        </w:rPr>
        <w:t xml:space="preserve"> </w:t>
      </w:r>
      <w:r w:rsidRPr="00885E11">
        <w:rPr>
          <w:rtl/>
        </w:rPr>
        <w:t>احتجاز</w:t>
      </w:r>
      <w:r>
        <w:rPr>
          <w:rtl/>
        </w:rPr>
        <w:t xml:space="preserve"> </w:t>
      </w:r>
      <w:r w:rsidRPr="00885E11">
        <w:rPr>
          <w:rtl/>
        </w:rPr>
        <w:t>سرية</w:t>
      </w:r>
      <w:r w:rsidR="005D7864">
        <w:rPr>
          <w:rtl/>
        </w:rPr>
        <w:t>،</w:t>
      </w:r>
      <w:r>
        <w:rPr>
          <w:rtl/>
        </w:rPr>
        <w:t xml:space="preserve"> </w:t>
      </w:r>
      <w:r w:rsidRPr="00885E11">
        <w:rPr>
          <w:rtl/>
        </w:rPr>
        <w:t>لك</w:t>
      </w:r>
      <w:r w:rsidR="00972A49">
        <w:rPr>
          <w:rFonts w:hint="cs"/>
          <w:rtl/>
        </w:rPr>
        <w:t>ن</w:t>
      </w:r>
      <w:r w:rsidRPr="00885E11">
        <w:rPr>
          <w:rtl/>
        </w:rPr>
        <w:t>ها</w:t>
      </w:r>
      <w:r>
        <w:rPr>
          <w:rtl/>
        </w:rPr>
        <w:t xml:space="preserve"> </w:t>
      </w:r>
      <w:r w:rsidRPr="00885E11">
        <w:rPr>
          <w:rtl/>
        </w:rPr>
        <w:t>لا</w:t>
      </w:r>
      <w:r>
        <w:rPr>
          <w:rtl/>
        </w:rPr>
        <w:t xml:space="preserve"> </w:t>
      </w:r>
      <w:r w:rsidRPr="00885E11">
        <w:rPr>
          <w:rtl/>
        </w:rPr>
        <w:t>تزال</w:t>
      </w:r>
      <w:r>
        <w:rPr>
          <w:rtl/>
        </w:rPr>
        <w:t xml:space="preserve"> </w:t>
      </w:r>
      <w:r w:rsidRPr="00885E11">
        <w:rPr>
          <w:rtl/>
        </w:rPr>
        <w:t>تشعر</w:t>
      </w:r>
      <w:r>
        <w:rPr>
          <w:rtl/>
        </w:rPr>
        <w:t xml:space="preserve"> </w:t>
      </w:r>
      <w:r w:rsidRPr="00885E11">
        <w:rPr>
          <w:rtl/>
        </w:rPr>
        <w:t>بالقلق</w:t>
      </w:r>
      <w:r>
        <w:rPr>
          <w:rtl/>
        </w:rPr>
        <w:t xml:space="preserve"> </w:t>
      </w:r>
      <w:r w:rsidRPr="00885E11">
        <w:rPr>
          <w:rtl/>
        </w:rPr>
        <w:t>إزاء</w:t>
      </w:r>
      <w:r>
        <w:rPr>
          <w:rtl/>
        </w:rPr>
        <w:t xml:space="preserve"> </w:t>
      </w:r>
      <w:r w:rsidRPr="00885E11">
        <w:rPr>
          <w:rtl/>
        </w:rPr>
        <w:t>التقارير</w:t>
      </w:r>
      <w:r>
        <w:rPr>
          <w:rtl/>
        </w:rPr>
        <w:t xml:space="preserve"> </w:t>
      </w:r>
      <w:r w:rsidRPr="00885E11">
        <w:rPr>
          <w:rtl/>
        </w:rPr>
        <w:t>التي</w:t>
      </w:r>
      <w:r>
        <w:rPr>
          <w:rtl/>
        </w:rPr>
        <w:t xml:space="preserve"> </w:t>
      </w:r>
      <w:r w:rsidRPr="00885E11">
        <w:rPr>
          <w:rtl/>
        </w:rPr>
        <w:t>تفيد</w:t>
      </w:r>
      <w:r>
        <w:rPr>
          <w:rtl/>
        </w:rPr>
        <w:t xml:space="preserve"> </w:t>
      </w:r>
      <w:r w:rsidRPr="00885E11">
        <w:rPr>
          <w:rtl/>
        </w:rPr>
        <w:t>بعكس</w:t>
      </w:r>
      <w:r>
        <w:rPr>
          <w:rtl/>
        </w:rPr>
        <w:t xml:space="preserve"> </w:t>
      </w:r>
      <w:r w:rsidRPr="00885E11">
        <w:rPr>
          <w:rtl/>
        </w:rPr>
        <w:t>ذلك</w:t>
      </w:r>
      <w:r>
        <w:rPr>
          <w:rtl/>
        </w:rPr>
        <w:t xml:space="preserve"> </w:t>
      </w:r>
      <w:r w:rsidRPr="00885E11">
        <w:rPr>
          <w:rtl/>
        </w:rPr>
        <w:t>والادعاءات</w:t>
      </w:r>
      <w:r>
        <w:rPr>
          <w:rtl/>
        </w:rPr>
        <w:t xml:space="preserve"> </w:t>
      </w:r>
      <w:r w:rsidRPr="00885E11">
        <w:rPr>
          <w:rtl/>
        </w:rPr>
        <w:t>المتعلقة</w:t>
      </w:r>
      <w:r>
        <w:rPr>
          <w:rtl/>
        </w:rPr>
        <w:t xml:space="preserve"> </w:t>
      </w:r>
      <w:r w:rsidRPr="00885E11">
        <w:rPr>
          <w:rtl/>
        </w:rPr>
        <w:t>باحتجاز</w:t>
      </w:r>
      <w:r>
        <w:rPr>
          <w:rtl/>
        </w:rPr>
        <w:t xml:space="preserve"> </w:t>
      </w:r>
      <w:r w:rsidRPr="00885E11">
        <w:rPr>
          <w:rtl/>
        </w:rPr>
        <w:t>أشخاص</w:t>
      </w:r>
      <w:r>
        <w:rPr>
          <w:rtl/>
        </w:rPr>
        <w:t xml:space="preserve"> </w:t>
      </w:r>
      <w:r w:rsidRPr="00885E11">
        <w:rPr>
          <w:rtl/>
        </w:rPr>
        <w:t>في</w:t>
      </w:r>
      <w:r>
        <w:rPr>
          <w:rtl/>
        </w:rPr>
        <w:t xml:space="preserve"> </w:t>
      </w:r>
      <w:r w:rsidRPr="00885E11">
        <w:rPr>
          <w:rtl/>
        </w:rPr>
        <w:t>هذه</w:t>
      </w:r>
      <w:r>
        <w:rPr>
          <w:rtl/>
        </w:rPr>
        <w:t xml:space="preserve"> </w:t>
      </w:r>
      <w:r w:rsidRPr="00885E11">
        <w:rPr>
          <w:rtl/>
        </w:rPr>
        <w:t>المرافق.</w:t>
      </w:r>
      <w:r>
        <w:rPr>
          <w:rtl/>
        </w:rPr>
        <w:t xml:space="preserve"> </w:t>
      </w:r>
      <w:r w:rsidRPr="00885E11">
        <w:rPr>
          <w:rtl/>
        </w:rPr>
        <w:t>ويساورها</w:t>
      </w:r>
      <w:r>
        <w:rPr>
          <w:rtl/>
        </w:rPr>
        <w:t xml:space="preserve"> </w:t>
      </w:r>
      <w:r w:rsidRPr="00885E11">
        <w:rPr>
          <w:rtl/>
        </w:rPr>
        <w:t>القلق</w:t>
      </w:r>
      <w:r>
        <w:rPr>
          <w:rtl/>
        </w:rPr>
        <w:t xml:space="preserve"> </w:t>
      </w:r>
      <w:r w:rsidRPr="00885E11">
        <w:rPr>
          <w:rtl/>
        </w:rPr>
        <w:t>أيضاً</w:t>
      </w:r>
      <w:r>
        <w:rPr>
          <w:rtl/>
        </w:rPr>
        <w:t xml:space="preserve"> </w:t>
      </w:r>
      <w:r w:rsidRPr="00885E11">
        <w:rPr>
          <w:rtl/>
        </w:rPr>
        <w:t>إزاء</w:t>
      </w:r>
      <w:r>
        <w:rPr>
          <w:rtl/>
        </w:rPr>
        <w:t xml:space="preserve"> </w:t>
      </w:r>
      <w:r w:rsidRPr="00885E11">
        <w:rPr>
          <w:rtl/>
        </w:rPr>
        <w:t>التقارير</w:t>
      </w:r>
      <w:r>
        <w:rPr>
          <w:rtl/>
        </w:rPr>
        <w:t xml:space="preserve"> </w:t>
      </w:r>
      <w:r w:rsidRPr="00885E11">
        <w:rPr>
          <w:rtl/>
        </w:rPr>
        <w:t>التي</w:t>
      </w:r>
      <w:r>
        <w:rPr>
          <w:rtl/>
        </w:rPr>
        <w:t xml:space="preserve"> </w:t>
      </w:r>
      <w:r w:rsidRPr="00885E11">
        <w:rPr>
          <w:rtl/>
        </w:rPr>
        <w:t>تفيد</w:t>
      </w:r>
      <w:r>
        <w:rPr>
          <w:rtl/>
        </w:rPr>
        <w:t xml:space="preserve"> </w:t>
      </w:r>
      <w:r w:rsidRPr="00885E11">
        <w:rPr>
          <w:rtl/>
        </w:rPr>
        <w:t>بإجراء</w:t>
      </w:r>
      <w:r>
        <w:rPr>
          <w:rtl/>
        </w:rPr>
        <w:t xml:space="preserve"> </w:t>
      </w:r>
      <w:r w:rsidRPr="00885E11">
        <w:rPr>
          <w:rtl/>
        </w:rPr>
        <w:t>اعتقالات</w:t>
      </w:r>
      <w:r>
        <w:rPr>
          <w:rtl/>
        </w:rPr>
        <w:t xml:space="preserve"> </w:t>
      </w:r>
      <w:r w:rsidRPr="00885E11">
        <w:rPr>
          <w:rtl/>
        </w:rPr>
        <w:t>تعسفية</w:t>
      </w:r>
      <w:r>
        <w:rPr>
          <w:rtl/>
        </w:rPr>
        <w:t xml:space="preserve"> </w:t>
      </w:r>
      <w:r w:rsidRPr="00885E11">
        <w:rPr>
          <w:rtl/>
        </w:rPr>
        <w:t>بصورة</w:t>
      </w:r>
      <w:r>
        <w:rPr>
          <w:rtl/>
        </w:rPr>
        <w:t xml:space="preserve"> </w:t>
      </w:r>
      <w:r w:rsidRPr="00885E11">
        <w:rPr>
          <w:rtl/>
        </w:rPr>
        <w:t>روتينية</w:t>
      </w:r>
      <w:r>
        <w:rPr>
          <w:rtl/>
        </w:rPr>
        <w:t xml:space="preserve"> </w:t>
      </w:r>
      <w:r w:rsidRPr="00885E11">
        <w:rPr>
          <w:rtl/>
        </w:rPr>
        <w:t>على</w:t>
      </w:r>
      <w:r>
        <w:rPr>
          <w:rtl/>
        </w:rPr>
        <w:t xml:space="preserve"> </w:t>
      </w:r>
      <w:r w:rsidRPr="00885E11">
        <w:rPr>
          <w:rtl/>
        </w:rPr>
        <w:t>أساس</w:t>
      </w:r>
      <w:r>
        <w:rPr>
          <w:rtl/>
        </w:rPr>
        <w:t xml:space="preserve"> </w:t>
      </w:r>
      <w:r w:rsidRPr="00885E11">
        <w:rPr>
          <w:rtl/>
        </w:rPr>
        <w:t>معلومات</w:t>
      </w:r>
      <w:r>
        <w:rPr>
          <w:rtl/>
        </w:rPr>
        <w:t xml:space="preserve"> </w:t>
      </w:r>
      <w:r w:rsidRPr="00885E11">
        <w:rPr>
          <w:rtl/>
        </w:rPr>
        <w:t>غير</w:t>
      </w:r>
      <w:r>
        <w:rPr>
          <w:rtl/>
        </w:rPr>
        <w:t xml:space="preserve"> </w:t>
      </w:r>
      <w:r w:rsidRPr="00885E11">
        <w:rPr>
          <w:rtl/>
        </w:rPr>
        <w:t>معلنة</w:t>
      </w:r>
      <w:r>
        <w:rPr>
          <w:rtl/>
        </w:rPr>
        <w:t xml:space="preserve"> </w:t>
      </w:r>
      <w:r w:rsidRPr="00885E11">
        <w:rPr>
          <w:rtl/>
        </w:rPr>
        <w:t>ودون</w:t>
      </w:r>
      <w:r>
        <w:rPr>
          <w:rtl/>
        </w:rPr>
        <w:t xml:space="preserve"> </w:t>
      </w:r>
      <w:r w:rsidRPr="00885E11">
        <w:rPr>
          <w:rtl/>
        </w:rPr>
        <w:t>أمر</w:t>
      </w:r>
      <w:r>
        <w:rPr>
          <w:rtl/>
        </w:rPr>
        <w:t xml:space="preserve"> </w:t>
      </w:r>
      <w:r w:rsidRPr="00885E11">
        <w:rPr>
          <w:rtl/>
        </w:rPr>
        <w:t>قضائي</w:t>
      </w:r>
      <w:r w:rsidR="005D7864">
        <w:rPr>
          <w:rtl/>
        </w:rPr>
        <w:t>،</w:t>
      </w:r>
      <w:r>
        <w:rPr>
          <w:rtl/>
        </w:rPr>
        <w:t xml:space="preserve"> </w:t>
      </w:r>
      <w:r w:rsidRPr="00885E11">
        <w:rPr>
          <w:rtl/>
        </w:rPr>
        <w:t>ويساورها</w:t>
      </w:r>
      <w:r>
        <w:rPr>
          <w:rtl/>
        </w:rPr>
        <w:t xml:space="preserve"> </w:t>
      </w:r>
      <w:r w:rsidRPr="00885E11">
        <w:rPr>
          <w:rtl/>
        </w:rPr>
        <w:t>القلق</w:t>
      </w:r>
      <w:r>
        <w:rPr>
          <w:rtl/>
        </w:rPr>
        <w:t xml:space="preserve"> </w:t>
      </w:r>
      <w:r w:rsidRPr="00885E11">
        <w:rPr>
          <w:rtl/>
        </w:rPr>
        <w:t>لأن</w:t>
      </w:r>
      <w:r>
        <w:rPr>
          <w:rtl/>
        </w:rPr>
        <w:t xml:space="preserve"> </w:t>
      </w:r>
      <w:r w:rsidRPr="00885E11">
        <w:rPr>
          <w:rtl/>
        </w:rPr>
        <w:t>عدداً</w:t>
      </w:r>
      <w:r>
        <w:rPr>
          <w:rtl/>
        </w:rPr>
        <w:t xml:space="preserve"> </w:t>
      </w:r>
      <w:r w:rsidRPr="00885E11">
        <w:rPr>
          <w:rtl/>
        </w:rPr>
        <w:t>كبيراً</w:t>
      </w:r>
      <w:r>
        <w:rPr>
          <w:rtl/>
        </w:rPr>
        <w:t xml:space="preserve"> </w:t>
      </w:r>
      <w:r w:rsidRPr="00885E11">
        <w:rPr>
          <w:rtl/>
        </w:rPr>
        <w:t>من</w:t>
      </w:r>
      <w:r>
        <w:rPr>
          <w:rtl/>
        </w:rPr>
        <w:t xml:space="preserve"> </w:t>
      </w:r>
      <w:r w:rsidRPr="00885E11">
        <w:rPr>
          <w:rtl/>
        </w:rPr>
        <w:t>الأشخاص</w:t>
      </w:r>
      <w:r>
        <w:rPr>
          <w:rtl/>
        </w:rPr>
        <w:t xml:space="preserve"> </w:t>
      </w:r>
      <w:r w:rsidRPr="00885E11">
        <w:rPr>
          <w:rtl/>
        </w:rPr>
        <w:t>قد</w:t>
      </w:r>
      <w:r>
        <w:rPr>
          <w:rtl/>
        </w:rPr>
        <w:t xml:space="preserve"> </w:t>
      </w:r>
      <w:r w:rsidRPr="00885E11">
        <w:rPr>
          <w:rtl/>
        </w:rPr>
        <w:t>احتفظ</w:t>
      </w:r>
      <w:r>
        <w:rPr>
          <w:rtl/>
        </w:rPr>
        <w:t xml:space="preserve"> </w:t>
      </w:r>
      <w:r w:rsidRPr="00885E11">
        <w:rPr>
          <w:rtl/>
        </w:rPr>
        <w:t>بهم</w:t>
      </w:r>
      <w:r>
        <w:rPr>
          <w:rtl/>
        </w:rPr>
        <w:t xml:space="preserve"> </w:t>
      </w:r>
      <w:r w:rsidRPr="00885E11">
        <w:rPr>
          <w:rtl/>
        </w:rPr>
        <w:t>رهن</w:t>
      </w:r>
      <w:r>
        <w:rPr>
          <w:rtl/>
        </w:rPr>
        <w:t xml:space="preserve"> </w:t>
      </w:r>
      <w:r w:rsidRPr="00885E11">
        <w:rPr>
          <w:rtl/>
        </w:rPr>
        <w:t>الاحتجاز</w:t>
      </w:r>
      <w:r>
        <w:rPr>
          <w:rtl/>
        </w:rPr>
        <w:t xml:space="preserve"> </w:t>
      </w:r>
      <w:r w:rsidRPr="00885E11">
        <w:rPr>
          <w:rtl/>
        </w:rPr>
        <w:t>السابق</w:t>
      </w:r>
      <w:r>
        <w:rPr>
          <w:rtl/>
        </w:rPr>
        <w:t xml:space="preserve"> </w:t>
      </w:r>
      <w:r w:rsidRPr="00885E11">
        <w:rPr>
          <w:rtl/>
        </w:rPr>
        <w:t>للمحاكمة</w:t>
      </w:r>
      <w:r>
        <w:rPr>
          <w:rtl/>
        </w:rPr>
        <w:t xml:space="preserve"> </w:t>
      </w:r>
      <w:r w:rsidRPr="00885E11">
        <w:rPr>
          <w:rtl/>
        </w:rPr>
        <w:t>لفترات</w:t>
      </w:r>
      <w:r>
        <w:rPr>
          <w:rtl/>
        </w:rPr>
        <w:t xml:space="preserve"> </w:t>
      </w:r>
      <w:r w:rsidRPr="00885E11">
        <w:rPr>
          <w:rtl/>
        </w:rPr>
        <w:t>تتجاوز</w:t>
      </w:r>
      <w:r>
        <w:rPr>
          <w:rtl/>
        </w:rPr>
        <w:t xml:space="preserve"> </w:t>
      </w:r>
      <w:r w:rsidRPr="00885E11">
        <w:rPr>
          <w:rtl/>
        </w:rPr>
        <w:t>تلك</w:t>
      </w:r>
      <w:r>
        <w:rPr>
          <w:rtl/>
        </w:rPr>
        <w:t xml:space="preserve"> </w:t>
      </w:r>
      <w:r w:rsidRPr="00885E11">
        <w:rPr>
          <w:rtl/>
        </w:rPr>
        <w:t>المنصوص</w:t>
      </w:r>
      <w:r>
        <w:rPr>
          <w:rtl/>
        </w:rPr>
        <w:t xml:space="preserve"> </w:t>
      </w:r>
      <w:r w:rsidRPr="00885E11">
        <w:rPr>
          <w:rtl/>
        </w:rPr>
        <w:t>عليها</w:t>
      </w:r>
      <w:r>
        <w:rPr>
          <w:rtl/>
        </w:rPr>
        <w:t xml:space="preserve"> </w:t>
      </w:r>
      <w:r w:rsidRPr="00885E11">
        <w:rPr>
          <w:rtl/>
        </w:rPr>
        <w:t>في</w:t>
      </w:r>
      <w:r>
        <w:rPr>
          <w:rtl/>
        </w:rPr>
        <w:t xml:space="preserve"> </w:t>
      </w:r>
      <w:r w:rsidRPr="00885E11">
        <w:rPr>
          <w:rtl/>
        </w:rPr>
        <w:t>القانون</w:t>
      </w:r>
      <w:r>
        <w:rPr>
          <w:rtl/>
        </w:rPr>
        <w:t xml:space="preserve"> </w:t>
      </w:r>
      <w:r w:rsidRPr="00885E11">
        <w:rPr>
          <w:rtl/>
        </w:rPr>
        <w:t>المحلي.</w:t>
      </w:r>
      <w:r>
        <w:rPr>
          <w:rtl/>
        </w:rPr>
        <w:t xml:space="preserve"> </w:t>
      </w:r>
      <w:r w:rsidRPr="00885E11">
        <w:rPr>
          <w:rtl/>
        </w:rPr>
        <w:t>ويساور</w:t>
      </w:r>
      <w:r>
        <w:rPr>
          <w:rtl/>
        </w:rPr>
        <w:t xml:space="preserve"> </w:t>
      </w:r>
      <w:r w:rsidRPr="00885E11">
        <w:rPr>
          <w:rtl/>
        </w:rPr>
        <w:t>اللجنة</w:t>
      </w:r>
      <w:r>
        <w:rPr>
          <w:rtl/>
        </w:rPr>
        <w:t xml:space="preserve"> </w:t>
      </w:r>
      <w:r w:rsidRPr="00885E11">
        <w:rPr>
          <w:rtl/>
        </w:rPr>
        <w:t>القلق</w:t>
      </w:r>
      <w:r>
        <w:rPr>
          <w:rtl/>
        </w:rPr>
        <w:t xml:space="preserve"> </w:t>
      </w:r>
      <w:r w:rsidRPr="00885E11">
        <w:rPr>
          <w:rtl/>
        </w:rPr>
        <w:t>كذلك</w:t>
      </w:r>
      <w:r>
        <w:rPr>
          <w:rtl/>
        </w:rPr>
        <w:t xml:space="preserve"> </w:t>
      </w:r>
      <w:r w:rsidRPr="00885E11">
        <w:rPr>
          <w:rtl/>
        </w:rPr>
        <w:t>لأنه</w:t>
      </w:r>
      <w:r>
        <w:rPr>
          <w:rtl/>
        </w:rPr>
        <w:t xml:space="preserve"> </w:t>
      </w:r>
      <w:r w:rsidRPr="00885E11">
        <w:rPr>
          <w:rtl/>
        </w:rPr>
        <w:t>على</w:t>
      </w:r>
      <w:r>
        <w:rPr>
          <w:rtl/>
        </w:rPr>
        <w:t xml:space="preserve"> </w:t>
      </w:r>
      <w:r w:rsidRPr="00885E11">
        <w:rPr>
          <w:rtl/>
        </w:rPr>
        <w:t>الرغم</w:t>
      </w:r>
      <w:r>
        <w:rPr>
          <w:rtl/>
        </w:rPr>
        <w:t xml:space="preserve"> </w:t>
      </w:r>
      <w:r w:rsidRPr="00885E11">
        <w:rPr>
          <w:rtl/>
        </w:rPr>
        <w:t>من</w:t>
      </w:r>
      <w:r>
        <w:rPr>
          <w:rtl/>
        </w:rPr>
        <w:t xml:space="preserve"> </w:t>
      </w:r>
      <w:r w:rsidRPr="00885E11">
        <w:rPr>
          <w:rtl/>
        </w:rPr>
        <w:t>الجهود</w:t>
      </w:r>
      <w:r>
        <w:rPr>
          <w:rtl/>
        </w:rPr>
        <w:t xml:space="preserve"> </w:t>
      </w:r>
      <w:r w:rsidRPr="00885E11">
        <w:rPr>
          <w:rtl/>
        </w:rPr>
        <w:t>التي</w:t>
      </w:r>
      <w:r>
        <w:rPr>
          <w:rtl/>
        </w:rPr>
        <w:t xml:space="preserve"> </w:t>
      </w:r>
      <w:r w:rsidRPr="00885E11">
        <w:rPr>
          <w:rtl/>
        </w:rPr>
        <w:t>تبذلها</w:t>
      </w:r>
      <w:r>
        <w:rPr>
          <w:rtl/>
        </w:rPr>
        <w:t xml:space="preserve"> </w:t>
      </w:r>
      <w:r w:rsidRPr="00885E11">
        <w:rPr>
          <w:rtl/>
        </w:rPr>
        <w:t>الدولة</w:t>
      </w:r>
      <w:r>
        <w:rPr>
          <w:rtl/>
        </w:rPr>
        <w:t xml:space="preserve"> </w:t>
      </w:r>
      <w:r w:rsidRPr="00885E11">
        <w:rPr>
          <w:rtl/>
        </w:rPr>
        <w:t>الطرف</w:t>
      </w:r>
      <w:r>
        <w:rPr>
          <w:rtl/>
        </w:rPr>
        <w:t xml:space="preserve"> </w:t>
      </w:r>
      <w:r w:rsidRPr="00885E11">
        <w:rPr>
          <w:rtl/>
        </w:rPr>
        <w:t>لتوسيع</w:t>
      </w:r>
      <w:r>
        <w:rPr>
          <w:rtl/>
        </w:rPr>
        <w:t xml:space="preserve"> </w:t>
      </w:r>
      <w:r w:rsidRPr="00885E11">
        <w:rPr>
          <w:rtl/>
        </w:rPr>
        <w:t>قدراتها</w:t>
      </w:r>
      <w:r>
        <w:rPr>
          <w:rtl/>
        </w:rPr>
        <w:t xml:space="preserve"> </w:t>
      </w:r>
      <w:r w:rsidRPr="00885E11">
        <w:rPr>
          <w:rtl/>
        </w:rPr>
        <w:t>وتحسين</w:t>
      </w:r>
      <w:r>
        <w:rPr>
          <w:rtl/>
        </w:rPr>
        <w:t xml:space="preserve"> </w:t>
      </w:r>
      <w:r w:rsidRPr="00885E11">
        <w:rPr>
          <w:rtl/>
        </w:rPr>
        <w:t>الظروف</w:t>
      </w:r>
      <w:r>
        <w:rPr>
          <w:rtl/>
        </w:rPr>
        <w:t xml:space="preserve"> </w:t>
      </w:r>
      <w:r w:rsidRPr="00885E11">
        <w:rPr>
          <w:rtl/>
        </w:rPr>
        <w:t>في</w:t>
      </w:r>
      <w:r>
        <w:rPr>
          <w:rtl/>
        </w:rPr>
        <w:t xml:space="preserve"> </w:t>
      </w:r>
      <w:r w:rsidRPr="00885E11">
        <w:rPr>
          <w:rtl/>
        </w:rPr>
        <w:t>السجون</w:t>
      </w:r>
      <w:r>
        <w:rPr>
          <w:rtl/>
        </w:rPr>
        <w:t xml:space="preserve"> </w:t>
      </w:r>
      <w:r w:rsidRPr="00885E11">
        <w:rPr>
          <w:rtl/>
        </w:rPr>
        <w:t>ومراكز</w:t>
      </w:r>
      <w:r>
        <w:rPr>
          <w:rtl/>
        </w:rPr>
        <w:t xml:space="preserve"> </w:t>
      </w:r>
      <w:r w:rsidRPr="00885E11">
        <w:rPr>
          <w:rtl/>
        </w:rPr>
        <w:t>الاحتجاز</w:t>
      </w:r>
      <w:r w:rsidR="005D7864">
        <w:rPr>
          <w:rtl/>
        </w:rPr>
        <w:t>،</w:t>
      </w:r>
      <w:r>
        <w:rPr>
          <w:rtl/>
        </w:rPr>
        <w:t xml:space="preserve"> </w:t>
      </w:r>
      <w:r w:rsidRPr="00885E11">
        <w:rPr>
          <w:rtl/>
        </w:rPr>
        <w:t>فإن</w:t>
      </w:r>
      <w:r>
        <w:rPr>
          <w:rtl/>
        </w:rPr>
        <w:t xml:space="preserve"> </w:t>
      </w:r>
      <w:r w:rsidRPr="00885E11">
        <w:rPr>
          <w:rtl/>
        </w:rPr>
        <w:t>ظروف</w:t>
      </w:r>
      <w:r>
        <w:rPr>
          <w:rtl/>
        </w:rPr>
        <w:t xml:space="preserve"> </w:t>
      </w:r>
      <w:r w:rsidRPr="00885E11">
        <w:rPr>
          <w:rtl/>
        </w:rPr>
        <w:t>الاحتجاز</w:t>
      </w:r>
      <w:r>
        <w:rPr>
          <w:rtl/>
        </w:rPr>
        <w:t xml:space="preserve"> </w:t>
      </w:r>
      <w:r w:rsidRPr="00885E11">
        <w:rPr>
          <w:rtl/>
        </w:rPr>
        <w:t>غير</w:t>
      </w:r>
      <w:r>
        <w:rPr>
          <w:rtl/>
        </w:rPr>
        <w:t xml:space="preserve"> </w:t>
      </w:r>
      <w:r w:rsidRPr="00885E11">
        <w:rPr>
          <w:rtl/>
        </w:rPr>
        <w:t>المقبولة</w:t>
      </w:r>
      <w:r w:rsidR="005D7864">
        <w:rPr>
          <w:rtl/>
        </w:rPr>
        <w:t>،</w:t>
      </w:r>
      <w:r>
        <w:rPr>
          <w:rtl/>
        </w:rPr>
        <w:t xml:space="preserve"> </w:t>
      </w:r>
      <w:r w:rsidRPr="00885E11">
        <w:rPr>
          <w:rtl/>
        </w:rPr>
        <w:t>مثل</w:t>
      </w:r>
      <w:r>
        <w:rPr>
          <w:rtl/>
        </w:rPr>
        <w:t xml:space="preserve"> </w:t>
      </w:r>
      <w:r w:rsidRPr="00885E11">
        <w:rPr>
          <w:rtl/>
        </w:rPr>
        <w:t>الاكتظاظ</w:t>
      </w:r>
      <w:r>
        <w:rPr>
          <w:rtl/>
        </w:rPr>
        <w:t xml:space="preserve"> </w:t>
      </w:r>
      <w:r w:rsidRPr="00885E11">
        <w:rPr>
          <w:rtl/>
        </w:rPr>
        <w:t>وعدم</w:t>
      </w:r>
      <w:r>
        <w:rPr>
          <w:rtl/>
        </w:rPr>
        <w:t xml:space="preserve"> </w:t>
      </w:r>
      <w:r w:rsidRPr="00885E11">
        <w:rPr>
          <w:rtl/>
        </w:rPr>
        <w:t>حصول</w:t>
      </w:r>
      <w:r>
        <w:rPr>
          <w:rtl/>
        </w:rPr>
        <w:t xml:space="preserve"> </w:t>
      </w:r>
      <w:r w:rsidRPr="00885E11">
        <w:rPr>
          <w:rtl/>
        </w:rPr>
        <w:t>المحتجزين</w:t>
      </w:r>
      <w:r>
        <w:rPr>
          <w:rtl/>
        </w:rPr>
        <w:t xml:space="preserve"> </w:t>
      </w:r>
      <w:r w:rsidRPr="00885E11">
        <w:rPr>
          <w:rtl/>
        </w:rPr>
        <w:t>على</w:t>
      </w:r>
      <w:r>
        <w:rPr>
          <w:rtl/>
        </w:rPr>
        <w:t xml:space="preserve"> </w:t>
      </w:r>
      <w:r w:rsidRPr="00885E11">
        <w:rPr>
          <w:rtl/>
        </w:rPr>
        <w:t>الخدمات</w:t>
      </w:r>
      <w:r>
        <w:rPr>
          <w:rtl/>
        </w:rPr>
        <w:t xml:space="preserve"> </w:t>
      </w:r>
      <w:r w:rsidRPr="00885E11">
        <w:rPr>
          <w:rtl/>
        </w:rPr>
        <w:t>الطبية</w:t>
      </w:r>
      <w:r w:rsidR="005D7864">
        <w:rPr>
          <w:rtl/>
        </w:rPr>
        <w:t>،</w:t>
      </w:r>
      <w:r>
        <w:rPr>
          <w:rtl/>
        </w:rPr>
        <w:t xml:space="preserve"> </w:t>
      </w:r>
      <w:r w:rsidRPr="00885E11">
        <w:rPr>
          <w:rtl/>
        </w:rPr>
        <w:t>فضلاً</w:t>
      </w:r>
      <w:r>
        <w:rPr>
          <w:rtl/>
        </w:rPr>
        <w:t xml:space="preserve"> </w:t>
      </w:r>
      <w:r w:rsidRPr="00885E11">
        <w:rPr>
          <w:rtl/>
        </w:rPr>
        <w:t>عن</w:t>
      </w:r>
      <w:r>
        <w:rPr>
          <w:rtl/>
        </w:rPr>
        <w:t xml:space="preserve"> </w:t>
      </w:r>
      <w:r w:rsidRPr="00885E11">
        <w:rPr>
          <w:rtl/>
        </w:rPr>
        <w:t>حرمانهم</w:t>
      </w:r>
      <w:r>
        <w:rPr>
          <w:rtl/>
        </w:rPr>
        <w:t xml:space="preserve"> </w:t>
      </w:r>
      <w:r w:rsidRPr="00885E11">
        <w:rPr>
          <w:rtl/>
        </w:rPr>
        <w:t>من</w:t>
      </w:r>
      <w:r>
        <w:rPr>
          <w:rtl/>
        </w:rPr>
        <w:t xml:space="preserve"> </w:t>
      </w:r>
      <w:r w:rsidRPr="00885E11">
        <w:rPr>
          <w:rtl/>
        </w:rPr>
        <w:t>الضمانات</w:t>
      </w:r>
      <w:r>
        <w:rPr>
          <w:rtl/>
        </w:rPr>
        <w:t xml:space="preserve"> </w:t>
      </w:r>
      <w:r w:rsidRPr="00885E11">
        <w:rPr>
          <w:rtl/>
        </w:rPr>
        <w:t>الإجرائية</w:t>
      </w:r>
      <w:r>
        <w:rPr>
          <w:rtl/>
        </w:rPr>
        <w:t xml:space="preserve"> </w:t>
      </w:r>
      <w:r w:rsidRPr="00885E11">
        <w:rPr>
          <w:rtl/>
        </w:rPr>
        <w:t>مثل</w:t>
      </w:r>
      <w:r>
        <w:rPr>
          <w:rtl/>
        </w:rPr>
        <w:t xml:space="preserve"> </w:t>
      </w:r>
      <w:r w:rsidRPr="00885E11">
        <w:rPr>
          <w:rtl/>
        </w:rPr>
        <w:t>الاتصال</w:t>
      </w:r>
      <w:r>
        <w:rPr>
          <w:rtl/>
        </w:rPr>
        <w:t xml:space="preserve"> </w:t>
      </w:r>
      <w:r w:rsidRPr="00885E11">
        <w:rPr>
          <w:rtl/>
        </w:rPr>
        <w:t>بمحام</w:t>
      </w:r>
      <w:r>
        <w:rPr>
          <w:rtl/>
        </w:rPr>
        <w:t xml:space="preserve"> </w:t>
      </w:r>
      <w:r w:rsidRPr="00885E11">
        <w:rPr>
          <w:rtl/>
        </w:rPr>
        <w:t>والاتصال</w:t>
      </w:r>
      <w:r>
        <w:rPr>
          <w:rtl/>
        </w:rPr>
        <w:t xml:space="preserve"> </w:t>
      </w:r>
      <w:r w:rsidRPr="00885E11">
        <w:rPr>
          <w:rtl/>
        </w:rPr>
        <w:t>بالأسرة</w:t>
      </w:r>
      <w:r w:rsidR="005D7864">
        <w:rPr>
          <w:rtl/>
        </w:rPr>
        <w:t>،</w:t>
      </w:r>
      <w:r>
        <w:rPr>
          <w:rtl/>
        </w:rPr>
        <w:t xml:space="preserve"> </w:t>
      </w:r>
      <w:r w:rsidRPr="00885E11">
        <w:rPr>
          <w:rtl/>
        </w:rPr>
        <w:t>لا</w:t>
      </w:r>
      <w:r w:rsidR="00972A49">
        <w:rPr>
          <w:rFonts w:hint="cs"/>
          <w:rtl/>
        </w:rPr>
        <w:t> </w:t>
      </w:r>
      <w:r w:rsidRPr="00885E11">
        <w:rPr>
          <w:rtl/>
        </w:rPr>
        <w:t>تزال</w:t>
      </w:r>
      <w:r>
        <w:rPr>
          <w:rtl/>
        </w:rPr>
        <w:t xml:space="preserve"> </w:t>
      </w:r>
      <w:r w:rsidRPr="00885E11">
        <w:rPr>
          <w:rtl/>
        </w:rPr>
        <w:t>تطرح</w:t>
      </w:r>
      <w:r>
        <w:rPr>
          <w:rtl/>
        </w:rPr>
        <w:t xml:space="preserve"> </w:t>
      </w:r>
      <w:r w:rsidRPr="00885E11">
        <w:rPr>
          <w:rtl/>
        </w:rPr>
        <w:t>مشكلة</w:t>
      </w:r>
      <w:r>
        <w:rPr>
          <w:rtl/>
        </w:rPr>
        <w:t xml:space="preserve"> </w:t>
      </w:r>
      <w:r w:rsidRPr="00885E11">
        <w:rPr>
          <w:rtl/>
        </w:rPr>
        <w:t>مستمرة(المواد</w:t>
      </w:r>
      <w:r>
        <w:rPr>
          <w:rtl/>
        </w:rPr>
        <w:t xml:space="preserve"> </w:t>
      </w:r>
      <w:r w:rsidRPr="00846FFB">
        <w:rPr>
          <w:rtl/>
        </w:rPr>
        <w:t>7</w:t>
      </w:r>
      <w:r>
        <w:rPr>
          <w:rtl/>
        </w:rPr>
        <w:t xml:space="preserve"> </w:t>
      </w:r>
      <w:r w:rsidRPr="00885E11">
        <w:rPr>
          <w:rtl/>
        </w:rPr>
        <w:t>و</w:t>
      </w:r>
      <w:r w:rsidRPr="00846FFB">
        <w:rPr>
          <w:rtl/>
        </w:rPr>
        <w:t>9</w:t>
      </w:r>
      <w:r w:rsidRPr="00885E11">
        <w:rPr>
          <w:rtl/>
        </w:rPr>
        <w:t>-</w:t>
      </w:r>
      <w:r w:rsidRPr="00846FFB">
        <w:rPr>
          <w:rtl/>
        </w:rPr>
        <w:t>10</w:t>
      </w:r>
      <w:r w:rsidRPr="00885E11">
        <w:rPr>
          <w:rtl/>
        </w:rPr>
        <w:t>).</w:t>
      </w:r>
    </w:p>
    <w:p w14:paraId="51961A06" w14:textId="30ECF0E0" w:rsidR="00885E11" w:rsidRPr="00DC17E8" w:rsidRDefault="00885E11" w:rsidP="00885E11">
      <w:pPr>
        <w:pStyle w:val="SingleTxtGA"/>
        <w:rPr>
          <w:b/>
          <w:bCs/>
        </w:rPr>
      </w:pPr>
      <w:r w:rsidRPr="00846FFB">
        <w:rPr>
          <w:rtl/>
        </w:rPr>
        <w:t>23</w:t>
      </w:r>
      <w:r w:rsidRPr="007B0599">
        <w:rPr>
          <w:rtl/>
        </w:rPr>
        <w:t>-</w:t>
      </w:r>
      <w:r w:rsidRPr="007B0599">
        <w:rPr>
          <w:rtl/>
        </w:rPr>
        <w:tab/>
      </w:r>
      <w:r w:rsidRPr="00DC17E8">
        <w:rPr>
          <w:b/>
          <w:bCs/>
          <w:rtl/>
        </w:rPr>
        <w:t>ينبغي للدولة الطرف اعتماد</w:t>
      </w:r>
      <w:r w:rsidR="00DC17E8">
        <w:rPr>
          <w:rFonts w:hint="cs"/>
          <w:b/>
          <w:bCs/>
          <w:rtl/>
        </w:rPr>
        <w:t xml:space="preserve"> </w:t>
      </w:r>
      <w:r w:rsidRPr="00DC17E8">
        <w:rPr>
          <w:b/>
          <w:bCs/>
          <w:rtl/>
        </w:rPr>
        <w:t>التدابير اللازمة لضمان تمتع أي شخص يقبض عليه أو يحتجز</w:t>
      </w:r>
      <w:r w:rsidR="005D7864">
        <w:rPr>
          <w:b/>
          <w:bCs/>
          <w:rtl/>
        </w:rPr>
        <w:t>،</w:t>
      </w:r>
      <w:r w:rsidRPr="00DC17E8">
        <w:rPr>
          <w:b/>
          <w:bCs/>
          <w:rtl/>
        </w:rPr>
        <w:t xml:space="preserve"> في الممارسة العملية</w:t>
      </w:r>
      <w:r w:rsidR="005D7864">
        <w:rPr>
          <w:b/>
          <w:bCs/>
          <w:rtl/>
        </w:rPr>
        <w:t>،</w:t>
      </w:r>
      <w:r w:rsidRPr="00DC17E8">
        <w:rPr>
          <w:b/>
          <w:bCs/>
          <w:rtl/>
        </w:rPr>
        <w:t xml:space="preserve"> منذ بداية سلبه حريته</w:t>
      </w:r>
      <w:r w:rsidR="005D7864">
        <w:rPr>
          <w:b/>
          <w:bCs/>
          <w:rtl/>
        </w:rPr>
        <w:t>،</w:t>
      </w:r>
      <w:r w:rsidRPr="00DC17E8">
        <w:rPr>
          <w:b/>
          <w:bCs/>
          <w:rtl/>
        </w:rPr>
        <w:t xml:space="preserve"> بجميع الضمانات القانونية الأساسية المكرسة في المادة</w:t>
      </w:r>
      <w:r w:rsidR="00E73DBD">
        <w:rPr>
          <w:rFonts w:hint="cs"/>
          <w:b/>
          <w:bCs/>
          <w:rtl/>
        </w:rPr>
        <w:t> </w:t>
      </w:r>
      <w:r w:rsidRPr="00846FFB">
        <w:rPr>
          <w:b/>
          <w:bCs/>
          <w:rtl/>
        </w:rPr>
        <w:t>9</w:t>
      </w:r>
      <w:r w:rsidRPr="00DC17E8">
        <w:rPr>
          <w:b/>
          <w:bCs/>
          <w:rtl/>
        </w:rPr>
        <w:t xml:space="preserve"> من العهد. وينبغي للدولة الطرف على وجه الخصوص</w:t>
      </w:r>
      <w:r w:rsidR="00DC17E8" w:rsidRPr="00DC17E8">
        <w:rPr>
          <w:b/>
          <w:bCs/>
          <w:rtl/>
        </w:rPr>
        <w:t xml:space="preserve"> </w:t>
      </w:r>
      <w:r w:rsidRPr="00DC17E8">
        <w:rPr>
          <w:b/>
          <w:bCs/>
          <w:rtl/>
        </w:rPr>
        <w:t>ضمان ما يلي:</w:t>
      </w:r>
    </w:p>
    <w:p w14:paraId="06713D1D" w14:textId="0FA2D917" w:rsidR="00885E11" w:rsidRPr="00DC17E8" w:rsidRDefault="00885E11" w:rsidP="00885E11">
      <w:pPr>
        <w:pStyle w:val="SingleTxtGA"/>
        <w:rPr>
          <w:b/>
          <w:bCs/>
        </w:rPr>
      </w:pPr>
      <w:r w:rsidRPr="007B0599">
        <w:rPr>
          <w:rtl/>
        </w:rPr>
        <w:tab/>
        <w:t>(أ)</w:t>
      </w:r>
      <w:r w:rsidRPr="007B0599">
        <w:rPr>
          <w:rtl/>
        </w:rPr>
        <w:tab/>
      </w:r>
      <w:r w:rsidRPr="00DC17E8">
        <w:rPr>
          <w:b/>
          <w:bCs/>
          <w:rtl/>
        </w:rPr>
        <w:t>تنفيذ إجراء سلب حرية أي شخص بما يتفق تماماً مع العهد ومع قواعد الأمم المتحدة النموذجية الدنيا لمعاملة السجناء (قواعد نيلسون مانديلا)</w:t>
      </w:r>
      <w:r w:rsidR="005D7864">
        <w:rPr>
          <w:b/>
          <w:bCs/>
          <w:rtl/>
        </w:rPr>
        <w:t>،</w:t>
      </w:r>
      <w:r w:rsidRPr="00DC17E8">
        <w:rPr>
          <w:b/>
          <w:bCs/>
          <w:rtl/>
        </w:rPr>
        <w:t xml:space="preserve"> بما في ذلك ما يتعلق بالاتصال بمحام</w:t>
      </w:r>
      <w:r w:rsidR="005D7864">
        <w:rPr>
          <w:b/>
          <w:bCs/>
          <w:rtl/>
        </w:rPr>
        <w:t>،</w:t>
      </w:r>
      <w:r w:rsidRPr="00DC17E8">
        <w:rPr>
          <w:b/>
          <w:bCs/>
          <w:rtl/>
        </w:rPr>
        <w:t xml:space="preserve"> والحق في الاتصال بالأسرة</w:t>
      </w:r>
      <w:r w:rsidR="005D7864">
        <w:rPr>
          <w:b/>
          <w:bCs/>
          <w:rtl/>
        </w:rPr>
        <w:t>،</w:t>
      </w:r>
      <w:r w:rsidRPr="00DC17E8">
        <w:rPr>
          <w:b/>
          <w:bCs/>
          <w:rtl/>
        </w:rPr>
        <w:t xml:space="preserve"> وتوفير الرعاية الطبية عند الحاجة؛</w:t>
      </w:r>
    </w:p>
    <w:p w14:paraId="41422859" w14:textId="13052D16" w:rsidR="00885E11" w:rsidRPr="00DC17E8" w:rsidRDefault="00885E11" w:rsidP="00885E11">
      <w:pPr>
        <w:pStyle w:val="SingleTxtGA"/>
        <w:rPr>
          <w:b/>
          <w:bCs/>
        </w:rPr>
      </w:pPr>
      <w:r w:rsidRPr="007B0599">
        <w:rPr>
          <w:rtl/>
        </w:rPr>
        <w:tab/>
        <w:t>(ب)</w:t>
      </w:r>
      <w:r w:rsidRPr="007B0599">
        <w:rPr>
          <w:rtl/>
        </w:rPr>
        <w:tab/>
      </w:r>
      <w:r w:rsidRPr="00DC17E8">
        <w:rPr>
          <w:b/>
          <w:bCs/>
          <w:rtl/>
        </w:rPr>
        <w:t>عدم احتجاز الموقوفين إلا في مرافق احتجاز رسمية</w:t>
      </w:r>
      <w:r w:rsidR="005D7864">
        <w:rPr>
          <w:b/>
          <w:bCs/>
          <w:rtl/>
        </w:rPr>
        <w:t>،</w:t>
      </w:r>
      <w:r w:rsidRPr="00DC17E8">
        <w:rPr>
          <w:b/>
          <w:bCs/>
          <w:rtl/>
        </w:rPr>
        <w:t xml:space="preserve"> وإغلاق أي مرافق سرية أو</w:t>
      </w:r>
      <w:r w:rsidR="00E73DBD">
        <w:rPr>
          <w:rFonts w:hint="cs"/>
          <w:b/>
          <w:bCs/>
          <w:rtl/>
        </w:rPr>
        <w:t> </w:t>
      </w:r>
      <w:r w:rsidRPr="00DC17E8">
        <w:rPr>
          <w:b/>
          <w:bCs/>
          <w:rtl/>
        </w:rPr>
        <w:t xml:space="preserve">وضعها تحت رقابة الحكومة؛ </w:t>
      </w:r>
    </w:p>
    <w:p w14:paraId="2212BB9F" w14:textId="5F5A2BFA" w:rsidR="00885E11" w:rsidRPr="00DC17E8" w:rsidRDefault="00885E11" w:rsidP="00885E11">
      <w:pPr>
        <w:pStyle w:val="SingleTxtGA"/>
        <w:rPr>
          <w:b/>
          <w:bCs/>
        </w:rPr>
      </w:pPr>
      <w:r w:rsidRPr="007B0599">
        <w:rPr>
          <w:rtl/>
        </w:rPr>
        <w:tab/>
        <w:t>(ج)</w:t>
      </w:r>
      <w:r w:rsidRPr="007B0599">
        <w:rPr>
          <w:rtl/>
        </w:rPr>
        <w:tab/>
      </w:r>
      <w:r w:rsidRPr="00DC17E8">
        <w:rPr>
          <w:b/>
          <w:bCs/>
          <w:rtl/>
        </w:rPr>
        <w:t xml:space="preserve">احترام الفترات المقررة للاحتجاز السابق للمحاكمة من أجل منع فترات الاحتجاز المفرطة في الطول؛ </w:t>
      </w:r>
    </w:p>
    <w:p w14:paraId="43B47BB5" w14:textId="7907752D" w:rsidR="00885E11" w:rsidRPr="00DC17E8" w:rsidRDefault="00885E11" w:rsidP="00885E11">
      <w:pPr>
        <w:pStyle w:val="SingleTxtGA"/>
        <w:rPr>
          <w:b/>
          <w:bCs/>
        </w:rPr>
      </w:pPr>
      <w:r w:rsidRPr="007B0599">
        <w:rPr>
          <w:rtl/>
        </w:rPr>
        <w:tab/>
        <w:t>(د)</w:t>
      </w:r>
      <w:r w:rsidRPr="007B0599">
        <w:rPr>
          <w:rtl/>
        </w:rPr>
        <w:tab/>
      </w:r>
      <w:r w:rsidRPr="00DC17E8">
        <w:rPr>
          <w:b/>
          <w:bCs/>
          <w:rtl/>
        </w:rPr>
        <w:t>مواصلة تعزيز الجهود الرامية إلى تجديد السجون ومرافق الاحتجاز وتوسيع قدراتها الاستيعابية وتحسين ظروف السجون؛</w:t>
      </w:r>
    </w:p>
    <w:p w14:paraId="7DFAAA63" w14:textId="621CE214" w:rsidR="00885E11" w:rsidRPr="00DC17E8" w:rsidRDefault="00885E11" w:rsidP="00885E11">
      <w:pPr>
        <w:pStyle w:val="SingleTxtGA"/>
        <w:rPr>
          <w:b/>
          <w:bCs/>
        </w:rPr>
      </w:pPr>
      <w:r w:rsidRPr="007B0599">
        <w:rPr>
          <w:rtl/>
        </w:rPr>
        <w:tab/>
        <w:t>(</w:t>
      </w:r>
      <w:r w:rsidR="00E73DBD" w:rsidRPr="007B0599">
        <w:rPr>
          <w:rtl/>
        </w:rPr>
        <w:t>ه</w:t>
      </w:r>
      <w:r w:rsidRPr="007B0599">
        <w:rPr>
          <w:rtl/>
        </w:rPr>
        <w:t>)</w:t>
      </w:r>
      <w:r w:rsidRPr="007B0599">
        <w:rPr>
          <w:rtl/>
        </w:rPr>
        <w:tab/>
      </w:r>
      <w:r w:rsidRPr="00DC17E8">
        <w:rPr>
          <w:b/>
          <w:bCs/>
          <w:rtl/>
        </w:rPr>
        <w:t>وضع بدائل غير احتجازيه للاحتجاز السابق للمحاكمة والسجن وتطبيقها حيثما أمكن ذلك.</w:t>
      </w:r>
    </w:p>
    <w:p w14:paraId="14679DCA" w14:textId="4290E00F" w:rsidR="00885E11" w:rsidRPr="00846FFB" w:rsidRDefault="00885E11" w:rsidP="00885E11">
      <w:pPr>
        <w:pStyle w:val="H23GA"/>
      </w:pPr>
      <w:r w:rsidRPr="00846FFB">
        <w:rPr>
          <w:rtl/>
        </w:rPr>
        <w:tab/>
      </w:r>
      <w:r w:rsidRPr="00846FFB">
        <w:rPr>
          <w:rtl/>
        </w:rPr>
        <w:tab/>
        <w:t>معاملة الأجانب</w:t>
      </w:r>
      <w:r w:rsidR="005D7864" w:rsidRPr="00846FFB">
        <w:rPr>
          <w:rtl/>
        </w:rPr>
        <w:t>،</w:t>
      </w:r>
      <w:r w:rsidRPr="00846FFB">
        <w:rPr>
          <w:rtl/>
        </w:rPr>
        <w:t xml:space="preserve"> بمن فيهم اللاجئون</w:t>
      </w:r>
      <w:r w:rsidR="005D7864" w:rsidRPr="00846FFB">
        <w:rPr>
          <w:rtl/>
        </w:rPr>
        <w:t>،</w:t>
      </w:r>
      <w:r w:rsidRPr="00846FFB">
        <w:rPr>
          <w:rtl/>
        </w:rPr>
        <w:t xml:space="preserve"> وملتمسو اللجوء والمشردون داخلياً </w:t>
      </w:r>
    </w:p>
    <w:p w14:paraId="661D11BE" w14:textId="00FC55C9" w:rsidR="00885E11" w:rsidRPr="00885E11" w:rsidRDefault="00885E11" w:rsidP="00885E11">
      <w:pPr>
        <w:pStyle w:val="SingleTxtGA"/>
      </w:pPr>
      <w:r w:rsidRPr="00846FFB">
        <w:rPr>
          <w:rtl/>
        </w:rPr>
        <w:t>24</w:t>
      </w:r>
      <w:r w:rsidRPr="007B0599">
        <w:rPr>
          <w:rtl/>
        </w:rPr>
        <w:t>-</w:t>
      </w:r>
      <w:r w:rsidRPr="007B0599">
        <w:rPr>
          <w:rtl/>
        </w:rPr>
        <w:tab/>
      </w:r>
      <w:r w:rsidRPr="00885E11">
        <w:rPr>
          <w:rtl/>
        </w:rPr>
        <w:t>تعرب</w:t>
      </w:r>
      <w:r>
        <w:rPr>
          <w:rtl/>
        </w:rPr>
        <w:t xml:space="preserve"> </w:t>
      </w:r>
      <w:r w:rsidRPr="00885E11">
        <w:rPr>
          <w:rtl/>
        </w:rPr>
        <w:t>اللجنة</w:t>
      </w:r>
      <w:r>
        <w:rPr>
          <w:rtl/>
        </w:rPr>
        <w:t xml:space="preserve"> </w:t>
      </w:r>
      <w:r w:rsidRPr="00885E11">
        <w:rPr>
          <w:rtl/>
        </w:rPr>
        <w:t>عن</w:t>
      </w:r>
      <w:r>
        <w:rPr>
          <w:rtl/>
        </w:rPr>
        <w:t xml:space="preserve"> </w:t>
      </w:r>
      <w:r w:rsidRPr="00885E11">
        <w:rPr>
          <w:rtl/>
        </w:rPr>
        <w:t>قلقها</w:t>
      </w:r>
      <w:r>
        <w:rPr>
          <w:rtl/>
        </w:rPr>
        <w:t xml:space="preserve"> </w:t>
      </w:r>
      <w:r w:rsidRPr="00885E11">
        <w:rPr>
          <w:rtl/>
        </w:rPr>
        <w:t>إزاء</w:t>
      </w:r>
      <w:r>
        <w:rPr>
          <w:rtl/>
        </w:rPr>
        <w:t xml:space="preserve"> </w:t>
      </w:r>
      <w:r w:rsidRPr="00885E11">
        <w:rPr>
          <w:rtl/>
        </w:rPr>
        <w:t>التقارير</w:t>
      </w:r>
      <w:r>
        <w:rPr>
          <w:rtl/>
        </w:rPr>
        <w:t xml:space="preserve"> </w:t>
      </w:r>
      <w:r w:rsidRPr="00885E11">
        <w:rPr>
          <w:rtl/>
        </w:rPr>
        <w:t>التي</w:t>
      </w:r>
      <w:r>
        <w:rPr>
          <w:rtl/>
        </w:rPr>
        <w:t xml:space="preserve"> </w:t>
      </w:r>
      <w:r w:rsidRPr="00885E11">
        <w:rPr>
          <w:rtl/>
        </w:rPr>
        <w:t>تفيد</w:t>
      </w:r>
      <w:r>
        <w:rPr>
          <w:rtl/>
        </w:rPr>
        <w:t xml:space="preserve"> </w:t>
      </w:r>
      <w:r w:rsidRPr="00885E11">
        <w:rPr>
          <w:rtl/>
        </w:rPr>
        <w:t>بأن</w:t>
      </w:r>
      <w:r>
        <w:rPr>
          <w:rtl/>
        </w:rPr>
        <w:t xml:space="preserve"> </w:t>
      </w:r>
      <w:r w:rsidRPr="00885E11">
        <w:rPr>
          <w:rtl/>
        </w:rPr>
        <w:t>النساء</w:t>
      </w:r>
      <w:r>
        <w:rPr>
          <w:rtl/>
        </w:rPr>
        <w:t xml:space="preserve"> </w:t>
      </w:r>
      <w:r w:rsidRPr="00885E11">
        <w:rPr>
          <w:rtl/>
        </w:rPr>
        <w:t>والأطفال</w:t>
      </w:r>
      <w:r>
        <w:rPr>
          <w:rtl/>
        </w:rPr>
        <w:t xml:space="preserve"> </w:t>
      </w:r>
      <w:r w:rsidRPr="00885E11">
        <w:rPr>
          <w:rtl/>
        </w:rPr>
        <w:t>الذين</w:t>
      </w:r>
      <w:r>
        <w:rPr>
          <w:rtl/>
        </w:rPr>
        <w:t xml:space="preserve"> </w:t>
      </w:r>
      <w:r w:rsidRPr="00885E11">
        <w:rPr>
          <w:rtl/>
        </w:rPr>
        <w:t>يعيشون</w:t>
      </w:r>
      <w:r>
        <w:rPr>
          <w:rtl/>
        </w:rPr>
        <w:t xml:space="preserve"> </w:t>
      </w:r>
      <w:r w:rsidRPr="00885E11">
        <w:rPr>
          <w:rtl/>
        </w:rPr>
        <w:t>في</w:t>
      </w:r>
      <w:r>
        <w:rPr>
          <w:rtl/>
        </w:rPr>
        <w:t xml:space="preserve"> </w:t>
      </w:r>
      <w:r w:rsidRPr="00885E11">
        <w:rPr>
          <w:rtl/>
        </w:rPr>
        <w:t>مخيمات</w:t>
      </w:r>
      <w:r>
        <w:rPr>
          <w:rtl/>
        </w:rPr>
        <w:t xml:space="preserve"> </w:t>
      </w:r>
      <w:r w:rsidRPr="00885E11">
        <w:rPr>
          <w:rtl/>
        </w:rPr>
        <w:t>المشردين</w:t>
      </w:r>
      <w:r>
        <w:rPr>
          <w:rtl/>
        </w:rPr>
        <w:t xml:space="preserve"> </w:t>
      </w:r>
      <w:r w:rsidRPr="00885E11">
        <w:rPr>
          <w:rtl/>
        </w:rPr>
        <w:t>داخلياً</w:t>
      </w:r>
      <w:r>
        <w:rPr>
          <w:rtl/>
        </w:rPr>
        <w:t xml:space="preserve"> </w:t>
      </w:r>
      <w:r w:rsidRPr="00885E11">
        <w:rPr>
          <w:rtl/>
        </w:rPr>
        <w:t>يقعون</w:t>
      </w:r>
      <w:r>
        <w:rPr>
          <w:rtl/>
        </w:rPr>
        <w:t xml:space="preserve"> </w:t>
      </w:r>
      <w:r w:rsidRPr="00885E11">
        <w:rPr>
          <w:rtl/>
        </w:rPr>
        <w:t>ضحايا</w:t>
      </w:r>
      <w:r>
        <w:rPr>
          <w:rtl/>
        </w:rPr>
        <w:t xml:space="preserve"> </w:t>
      </w:r>
      <w:r w:rsidRPr="00885E11">
        <w:rPr>
          <w:rtl/>
        </w:rPr>
        <w:t>للتمييز</w:t>
      </w:r>
      <w:r>
        <w:rPr>
          <w:rtl/>
        </w:rPr>
        <w:t xml:space="preserve"> </w:t>
      </w:r>
      <w:r w:rsidRPr="00885E11">
        <w:rPr>
          <w:rtl/>
        </w:rPr>
        <w:t>والوصم</w:t>
      </w:r>
      <w:r>
        <w:rPr>
          <w:rtl/>
        </w:rPr>
        <w:t xml:space="preserve"> </w:t>
      </w:r>
      <w:r w:rsidRPr="00885E11">
        <w:rPr>
          <w:rtl/>
        </w:rPr>
        <w:t>بسبب</w:t>
      </w:r>
      <w:r>
        <w:rPr>
          <w:rtl/>
        </w:rPr>
        <w:t xml:space="preserve"> </w:t>
      </w:r>
      <w:r w:rsidRPr="00885E11">
        <w:rPr>
          <w:rtl/>
        </w:rPr>
        <w:t>الاعتقاد</w:t>
      </w:r>
      <w:r>
        <w:rPr>
          <w:rtl/>
        </w:rPr>
        <w:t xml:space="preserve"> </w:t>
      </w:r>
      <w:r w:rsidRPr="00885E11">
        <w:rPr>
          <w:rtl/>
        </w:rPr>
        <w:t>بأنهم</w:t>
      </w:r>
      <w:r>
        <w:rPr>
          <w:rtl/>
        </w:rPr>
        <w:t xml:space="preserve"> </w:t>
      </w:r>
      <w:r w:rsidRPr="00885E11">
        <w:rPr>
          <w:rtl/>
        </w:rPr>
        <w:t>على</w:t>
      </w:r>
      <w:r>
        <w:rPr>
          <w:rtl/>
        </w:rPr>
        <w:t xml:space="preserve"> </w:t>
      </w:r>
      <w:r w:rsidRPr="00885E11">
        <w:rPr>
          <w:rtl/>
        </w:rPr>
        <w:t>صلات</w:t>
      </w:r>
      <w:r>
        <w:rPr>
          <w:rtl/>
        </w:rPr>
        <w:t xml:space="preserve"> </w:t>
      </w:r>
      <w:r w:rsidRPr="00885E11">
        <w:rPr>
          <w:rtl/>
        </w:rPr>
        <w:t>بتنظيم</w:t>
      </w:r>
      <w:r>
        <w:rPr>
          <w:rtl/>
        </w:rPr>
        <w:t xml:space="preserve"> </w:t>
      </w:r>
      <w:r w:rsidRPr="00885E11">
        <w:rPr>
          <w:rtl/>
        </w:rPr>
        <w:t>داعش</w:t>
      </w:r>
      <w:r w:rsidR="005D7864">
        <w:rPr>
          <w:rtl/>
        </w:rPr>
        <w:t>،</w:t>
      </w:r>
      <w:r>
        <w:rPr>
          <w:rtl/>
        </w:rPr>
        <w:t xml:space="preserve"> </w:t>
      </w:r>
      <w:r w:rsidRPr="00885E11">
        <w:rPr>
          <w:rtl/>
        </w:rPr>
        <w:t>بما</w:t>
      </w:r>
      <w:r>
        <w:rPr>
          <w:rtl/>
        </w:rPr>
        <w:t xml:space="preserve"> </w:t>
      </w:r>
      <w:r w:rsidRPr="00885E11">
        <w:rPr>
          <w:rtl/>
        </w:rPr>
        <w:t>في</w:t>
      </w:r>
      <w:r>
        <w:rPr>
          <w:rtl/>
        </w:rPr>
        <w:t xml:space="preserve"> </w:t>
      </w:r>
      <w:r w:rsidRPr="00885E11">
        <w:rPr>
          <w:rtl/>
        </w:rPr>
        <w:t>ذلك</w:t>
      </w:r>
      <w:r>
        <w:rPr>
          <w:rtl/>
        </w:rPr>
        <w:t xml:space="preserve"> </w:t>
      </w:r>
      <w:r w:rsidRPr="00885E11">
        <w:rPr>
          <w:rtl/>
        </w:rPr>
        <w:t>حرمانهم</w:t>
      </w:r>
      <w:r>
        <w:rPr>
          <w:rtl/>
        </w:rPr>
        <w:t xml:space="preserve"> </w:t>
      </w:r>
      <w:r w:rsidRPr="00885E11">
        <w:rPr>
          <w:rtl/>
        </w:rPr>
        <w:t>من</w:t>
      </w:r>
      <w:r>
        <w:rPr>
          <w:rtl/>
        </w:rPr>
        <w:t xml:space="preserve"> </w:t>
      </w:r>
      <w:r w:rsidRPr="00885E11">
        <w:rPr>
          <w:rtl/>
        </w:rPr>
        <w:t>الحصول</w:t>
      </w:r>
      <w:r>
        <w:rPr>
          <w:rtl/>
        </w:rPr>
        <w:t xml:space="preserve"> </w:t>
      </w:r>
      <w:r w:rsidRPr="00885E11">
        <w:rPr>
          <w:rtl/>
        </w:rPr>
        <w:t>على</w:t>
      </w:r>
      <w:r>
        <w:rPr>
          <w:rtl/>
        </w:rPr>
        <w:t xml:space="preserve"> </w:t>
      </w:r>
      <w:r w:rsidRPr="00885E11">
        <w:rPr>
          <w:rtl/>
        </w:rPr>
        <w:t>الغذاء</w:t>
      </w:r>
      <w:r>
        <w:rPr>
          <w:rtl/>
        </w:rPr>
        <w:t xml:space="preserve"> </w:t>
      </w:r>
      <w:r w:rsidRPr="00885E11">
        <w:rPr>
          <w:rtl/>
        </w:rPr>
        <w:t>والماء</w:t>
      </w:r>
      <w:r>
        <w:rPr>
          <w:rtl/>
        </w:rPr>
        <w:t xml:space="preserve"> </w:t>
      </w:r>
      <w:r w:rsidRPr="00885E11">
        <w:rPr>
          <w:rtl/>
        </w:rPr>
        <w:t>والرعاية</w:t>
      </w:r>
      <w:r>
        <w:rPr>
          <w:rtl/>
        </w:rPr>
        <w:t xml:space="preserve"> </w:t>
      </w:r>
      <w:r w:rsidRPr="00885E11">
        <w:rPr>
          <w:rtl/>
        </w:rPr>
        <w:t>الصحية؛</w:t>
      </w:r>
      <w:r>
        <w:rPr>
          <w:rtl/>
        </w:rPr>
        <w:t xml:space="preserve"> </w:t>
      </w:r>
      <w:r w:rsidRPr="00885E11">
        <w:rPr>
          <w:rtl/>
        </w:rPr>
        <w:t>وعدم</w:t>
      </w:r>
      <w:r>
        <w:rPr>
          <w:rtl/>
        </w:rPr>
        <w:t xml:space="preserve"> </w:t>
      </w:r>
      <w:r w:rsidRPr="00885E11">
        <w:rPr>
          <w:rtl/>
        </w:rPr>
        <w:t>حصولهم</w:t>
      </w:r>
      <w:r>
        <w:rPr>
          <w:rtl/>
        </w:rPr>
        <w:t xml:space="preserve"> </w:t>
      </w:r>
      <w:r w:rsidRPr="00885E11">
        <w:rPr>
          <w:rtl/>
        </w:rPr>
        <w:t>على</w:t>
      </w:r>
      <w:r>
        <w:rPr>
          <w:rtl/>
        </w:rPr>
        <w:t xml:space="preserve"> </w:t>
      </w:r>
      <w:r w:rsidRPr="00885E11">
        <w:rPr>
          <w:rtl/>
        </w:rPr>
        <w:t>بطاقات</w:t>
      </w:r>
      <w:r>
        <w:rPr>
          <w:rtl/>
        </w:rPr>
        <w:t xml:space="preserve"> </w:t>
      </w:r>
      <w:r w:rsidRPr="00885E11">
        <w:rPr>
          <w:rtl/>
        </w:rPr>
        <w:t>الهوية؛</w:t>
      </w:r>
      <w:r>
        <w:rPr>
          <w:rtl/>
        </w:rPr>
        <w:t xml:space="preserve"> </w:t>
      </w:r>
      <w:r w:rsidRPr="00885E11">
        <w:rPr>
          <w:rtl/>
        </w:rPr>
        <w:t>وتعرضهم</w:t>
      </w:r>
      <w:r>
        <w:rPr>
          <w:rtl/>
        </w:rPr>
        <w:t xml:space="preserve"> </w:t>
      </w:r>
      <w:r w:rsidRPr="00885E11">
        <w:rPr>
          <w:rtl/>
        </w:rPr>
        <w:t>للعنف</w:t>
      </w:r>
      <w:r>
        <w:rPr>
          <w:rtl/>
        </w:rPr>
        <w:t xml:space="preserve"> </w:t>
      </w:r>
      <w:r w:rsidRPr="00885E11">
        <w:rPr>
          <w:rtl/>
        </w:rPr>
        <w:t>الجنسي</w:t>
      </w:r>
      <w:r w:rsidR="005D7864">
        <w:rPr>
          <w:rtl/>
        </w:rPr>
        <w:t>،</w:t>
      </w:r>
      <w:r>
        <w:rPr>
          <w:rtl/>
        </w:rPr>
        <w:t xml:space="preserve"> </w:t>
      </w:r>
      <w:r w:rsidRPr="00885E11">
        <w:rPr>
          <w:rtl/>
        </w:rPr>
        <w:t>بما</w:t>
      </w:r>
      <w:r>
        <w:rPr>
          <w:rtl/>
        </w:rPr>
        <w:t xml:space="preserve"> </w:t>
      </w:r>
      <w:r w:rsidRPr="00885E11">
        <w:rPr>
          <w:rtl/>
        </w:rPr>
        <w:t>في</w:t>
      </w:r>
      <w:r>
        <w:rPr>
          <w:rtl/>
        </w:rPr>
        <w:t xml:space="preserve"> </w:t>
      </w:r>
      <w:r w:rsidRPr="00885E11">
        <w:rPr>
          <w:rtl/>
        </w:rPr>
        <w:t>ذلك</w:t>
      </w:r>
      <w:r>
        <w:rPr>
          <w:rtl/>
        </w:rPr>
        <w:t xml:space="preserve"> </w:t>
      </w:r>
      <w:r w:rsidRPr="00885E11">
        <w:rPr>
          <w:rtl/>
        </w:rPr>
        <w:t>الاغتصاب</w:t>
      </w:r>
      <w:r>
        <w:rPr>
          <w:rtl/>
        </w:rPr>
        <w:t xml:space="preserve"> </w:t>
      </w:r>
      <w:r w:rsidRPr="00885E11">
        <w:rPr>
          <w:rtl/>
        </w:rPr>
        <w:t>والاستغلال</w:t>
      </w:r>
      <w:r>
        <w:rPr>
          <w:rtl/>
        </w:rPr>
        <w:t xml:space="preserve"> </w:t>
      </w:r>
      <w:r w:rsidRPr="00885E11">
        <w:rPr>
          <w:rtl/>
        </w:rPr>
        <w:t>الجنسي.</w:t>
      </w:r>
      <w:r>
        <w:rPr>
          <w:rtl/>
        </w:rPr>
        <w:t xml:space="preserve"> </w:t>
      </w:r>
      <w:r w:rsidRPr="00885E11">
        <w:rPr>
          <w:rtl/>
        </w:rPr>
        <w:t>ويساور</w:t>
      </w:r>
      <w:r>
        <w:rPr>
          <w:rtl/>
        </w:rPr>
        <w:t xml:space="preserve"> </w:t>
      </w:r>
      <w:r w:rsidRPr="00885E11">
        <w:rPr>
          <w:rtl/>
        </w:rPr>
        <w:t>اللجنة</w:t>
      </w:r>
      <w:r>
        <w:rPr>
          <w:rtl/>
        </w:rPr>
        <w:t xml:space="preserve"> </w:t>
      </w:r>
      <w:r w:rsidRPr="00885E11">
        <w:rPr>
          <w:rtl/>
        </w:rPr>
        <w:t>القلق</w:t>
      </w:r>
      <w:r>
        <w:rPr>
          <w:rtl/>
        </w:rPr>
        <w:t xml:space="preserve"> </w:t>
      </w:r>
      <w:r w:rsidRPr="00885E11">
        <w:rPr>
          <w:rtl/>
        </w:rPr>
        <w:t>كذلك</w:t>
      </w:r>
      <w:r>
        <w:rPr>
          <w:rtl/>
        </w:rPr>
        <w:t xml:space="preserve"> </w:t>
      </w:r>
      <w:r w:rsidRPr="00885E11">
        <w:rPr>
          <w:rtl/>
        </w:rPr>
        <w:t>لأن</w:t>
      </w:r>
      <w:r>
        <w:rPr>
          <w:rtl/>
        </w:rPr>
        <w:t xml:space="preserve"> </w:t>
      </w:r>
      <w:r w:rsidRPr="00885E11">
        <w:rPr>
          <w:rtl/>
        </w:rPr>
        <w:t>العديد</w:t>
      </w:r>
      <w:r>
        <w:rPr>
          <w:rtl/>
        </w:rPr>
        <w:t xml:space="preserve"> </w:t>
      </w:r>
      <w:r w:rsidRPr="00885E11">
        <w:rPr>
          <w:rtl/>
        </w:rPr>
        <w:t>من</w:t>
      </w:r>
      <w:r>
        <w:rPr>
          <w:rtl/>
        </w:rPr>
        <w:t xml:space="preserve"> </w:t>
      </w:r>
      <w:r w:rsidRPr="00885E11">
        <w:rPr>
          <w:rtl/>
        </w:rPr>
        <w:t>النساء</w:t>
      </w:r>
      <w:r>
        <w:rPr>
          <w:rtl/>
        </w:rPr>
        <w:t xml:space="preserve"> </w:t>
      </w:r>
      <w:r w:rsidRPr="00885E11">
        <w:rPr>
          <w:rtl/>
        </w:rPr>
        <w:t>والأطفال</w:t>
      </w:r>
      <w:r>
        <w:rPr>
          <w:rtl/>
        </w:rPr>
        <w:t xml:space="preserve"> </w:t>
      </w:r>
      <w:proofErr w:type="spellStart"/>
      <w:r w:rsidRPr="00885E11">
        <w:rPr>
          <w:rtl/>
        </w:rPr>
        <w:t>الأيزيديين</w:t>
      </w:r>
      <w:proofErr w:type="spellEnd"/>
      <w:r>
        <w:rPr>
          <w:rtl/>
        </w:rPr>
        <w:t xml:space="preserve"> </w:t>
      </w:r>
      <w:r w:rsidRPr="00885E11">
        <w:rPr>
          <w:rtl/>
        </w:rPr>
        <w:t>ما</w:t>
      </w:r>
      <w:r>
        <w:rPr>
          <w:rtl/>
        </w:rPr>
        <w:t xml:space="preserve"> </w:t>
      </w:r>
      <w:r w:rsidRPr="00885E11">
        <w:rPr>
          <w:rtl/>
        </w:rPr>
        <w:t>زالوا</w:t>
      </w:r>
      <w:r>
        <w:rPr>
          <w:rtl/>
        </w:rPr>
        <w:t xml:space="preserve"> </w:t>
      </w:r>
      <w:r w:rsidRPr="00885E11">
        <w:rPr>
          <w:rtl/>
        </w:rPr>
        <w:t>محتجزين</w:t>
      </w:r>
      <w:r>
        <w:rPr>
          <w:rtl/>
        </w:rPr>
        <w:t xml:space="preserve"> </w:t>
      </w:r>
      <w:r w:rsidRPr="00885E11">
        <w:rPr>
          <w:rtl/>
        </w:rPr>
        <w:t>لدى</w:t>
      </w:r>
      <w:r>
        <w:rPr>
          <w:rtl/>
        </w:rPr>
        <w:t xml:space="preserve"> </w:t>
      </w:r>
      <w:r w:rsidRPr="00885E11">
        <w:rPr>
          <w:rtl/>
        </w:rPr>
        <w:t>أعضاء</w:t>
      </w:r>
      <w:r>
        <w:rPr>
          <w:rtl/>
        </w:rPr>
        <w:t xml:space="preserve"> </w:t>
      </w:r>
      <w:r w:rsidRPr="00885E11">
        <w:rPr>
          <w:rtl/>
        </w:rPr>
        <w:t>تنظيم</w:t>
      </w:r>
      <w:r>
        <w:rPr>
          <w:rtl/>
        </w:rPr>
        <w:t xml:space="preserve"> </w:t>
      </w:r>
      <w:r w:rsidRPr="00885E11">
        <w:rPr>
          <w:rtl/>
        </w:rPr>
        <w:t>داعش</w:t>
      </w:r>
      <w:r>
        <w:rPr>
          <w:rtl/>
        </w:rPr>
        <w:t xml:space="preserve"> </w:t>
      </w:r>
      <w:r w:rsidRPr="00885E11">
        <w:rPr>
          <w:rtl/>
        </w:rPr>
        <w:t>في</w:t>
      </w:r>
      <w:r>
        <w:rPr>
          <w:rtl/>
        </w:rPr>
        <w:t xml:space="preserve"> </w:t>
      </w:r>
      <w:r w:rsidRPr="00885E11">
        <w:rPr>
          <w:rtl/>
        </w:rPr>
        <w:t>العراق</w:t>
      </w:r>
      <w:r>
        <w:rPr>
          <w:rtl/>
        </w:rPr>
        <w:t xml:space="preserve"> </w:t>
      </w:r>
      <w:r w:rsidRPr="00885E11">
        <w:rPr>
          <w:rtl/>
        </w:rPr>
        <w:t>(المواد</w:t>
      </w:r>
      <w:r>
        <w:rPr>
          <w:rtl/>
        </w:rPr>
        <w:t xml:space="preserve"> </w:t>
      </w:r>
      <w:r w:rsidRPr="00846FFB">
        <w:rPr>
          <w:rtl/>
        </w:rPr>
        <w:t>2</w:t>
      </w:r>
      <w:r>
        <w:rPr>
          <w:rtl/>
        </w:rPr>
        <w:t xml:space="preserve"> </w:t>
      </w:r>
      <w:r w:rsidRPr="00885E11">
        <w:rPr>
          <w:rtl/>
        </w:rPr>
        <w:t>و</w:t>
      </w:r>
      <w:r w:rsidRPr="00846FFB">
        <w:rPr>
          <w:rtl/>
        </w:rPr>
        <w:t>6</w:t>
      </w:r>
      <w:r w:rsidRPr="00885E11">
        <w:rPr>
          <w:rtl/>
        </w:rPr>
        <w:t>-</w:t>
      </w:r>
      <w:r w:rsidRPr="00846FFB">
        <w:rPr>
          <w:rtl/>
        </w:rPr>
        <w:t>7</w:t>
      </w:r>
      <w:r>
        <w:rPr>
          <w:rtl/>
        </w:rPr>
        <w:t xml:space="preserve"> </w:t>
      </w:r>
      <w:r w:rsidRPr="00885E11">
        <w:rPr>
          <w:rtl/>
        </w:rPr>
        <w:t>و</w:t>
      </w:r>
      <w:r w:rsidRPr="00846FFB">
        <w:rPr>
          <w:rtl/>
        </w:rPr>
        <w:t>9</w:t>
      </w:r>
      <w:r w:rsidRPr="00885E11">
        <w:rPr>
          <w:rtl/>
        </w:rPr>
        <w:t>-</w:t>
      </w:r>
      <w:r w:rsidRPr="00846FFB">
        <w:rPr>
          <w:rtl/>
        </w:rPr>
        <w:t>10</w:t>
      </w:r>
      <w:r>
        <w:rPr>
          <w:rtl/>
        </w:rPr>
        <w:t xml:space="preserve"> </w:t>
      </w:r>
      <w:r w:rsidRPr="00885E11">
        <w:rPr>
          <w:rtl/>
        </w:rPr>
        <w:t>و</w:t>
      </w:r>
      <w:r w:rsidRPr="00846FFB">
        <w:rPr>
          <w:rtl/>
        </w:rPr>
        <w:t>12</w:t>
      </w:r>
      <w:r w:rsidRPr="00885E11">
        <w:rPr>
          <w:rtl/>
        </w:rPr>
        <w:t>-</w:t>
      </w:r>
      <w:r w:rsidRPr="00846FFB">
        <w:rPr>
          <w:rtl/>
        </w:rPr>
        <w:t>13</w:t>
      </w:r>
      <w:r>
        <w:rPr>
          <w:rtl/>
        </w:rPr>
        <w:t xml:space="preserve"> </w:t>
      </w:r>
      <w:r w:rsidRPr="00885E11">
        <w:rPr>
          <w:rtl/>
        </w:rPr>
        <w:t>و</w:t>
      </w:r>
      <w:r w:rsidRPr="00846FFB">
        <w:rPr>
          <w:rtl/>
        </w:rPr>
        <w:t>25</w:t>
      </w:r>
      <w:r w:rsidRPr="00885E11">
        <w:rPr>
          <w:rtl/>
        </w:rPr>
        <w:t>).</w:t>
      </w:r>
    </w:p>
    <w:p w14:paraId="043E8B2E" w14:textId="3F3B4A5E" w:rsidR="00885E11" w:rsidRPr="00DC17E8" w:rsidRDefault="00885E11" w:rsidP="00885E11">
      <w:pPr>
        <w:pStyle w:val="SingleTxtGA"/>
        <w:rPr>
          <w:b/>
          <w:bCs/>
        </w:rPr>
      </w:pPr>
      <w:r w:rsidRPr="00846FFB">
        <w:rPr>
          <w:rtl/>
        </w:rPr>
        <w:t>25</w:t>
      </w:r>
      <w:r w:rsidRPr="007B0599">
        <w:rPr>
          <w:rtl/>
        </w:rPr>
        <w:t>-</w:t>
      </w:r>
      <w:r w:rsidRPr="007B0599">
        <w:rPr>
          <w:rtl/>
        </w:rPr>
        <w:tab/>
      </w:r>
      <w:r w:rsidRPr="00DC17E8">
        <w:rPr>
          <w:b/>
          <w:bCs/>
          <w:rtl/>
        </w:rPr>
        <w:t>ينبغي للدولة الطرف القيام بما يلي:</w:t>
      </w:r>
    </w:p>
    <w:p w14:paraId="6E6E1F6D" w14:textId="23654D07" w:rsidR="00885E11" w:rsidRPr="00DC17E8" w:rsidRDefault="00885E11" w:rsidP="00885E11">
      <w:pPr>
        <w:pStyle w:val="SingleTxtGA"/>
        <w:rPr>
          <w:b/>
          <w:bCs/>
        </w:rPr>
      </w:pPr>
      <w:r w:rsidRPr="007B0599">
        <w:rPr>
          <w:rtl/>
        </w:rPr>
        <w:tab/>
        <w:t>(أ)</w:t>
      </w:r>
      <w:r w:rsidRPr="007B0599">
        <w:rPr>
          <w:rtl/>
        </w:rPr>
        <w:tab/>
      </w:r>
      <w:r w:rsidRPr="00DC17E8">
        <w:rPr>
          <w:b/>
          <w:bCs/>
          <w:rtl/>
        </w:rPr>
        <w:t>تعزيز جهودها لضمان عودة المشردين داخلياً إلى أماكن إقامتهم السابقة أو</w:t>
      </w:r>
      <w:r w:rsidR="00E73DBD">
        <w:rPr>
          <w:rFonts w:hint="cs"/>
          <w:b/>
          <w:bCs/>
          <w:rtl/>
        </w:rPr>
        <w:t> </w:t>
      </w:r>
      <w:r w:rsidRPr="00DC17E8">
        <w:rPr>
          <w:b/>
          <w:bCs/>
          <w:rtl/>
        </w:rPr>
        <w:t xml:space="preserve">إدماجهم الكامل في المجتمع في أماكن إقامة جديدة لائقة بهدف إغلاق المخيمات المتبقية في أقرب وقت ممكن؛ </w:t>
      </w:r>
    </w:p>
    <w:p w14:paraId="11B88FE3" w14:textId="10356E67" w:rsidR="00885E11" w:rsidRPr="00DC17E8" w:rsidRDefault="00885E11" w:rsidP="00885E11">
      <w:pPr>
        <w:pStyle w:val="SingleTxtGA"/>
        <w:rPr>
          <w:b/>
          <w:bCs/>
          <w:rtl/>
        </w:rPr>
      </w:pPr>
      <w:r w:rsidRPr="007B0599">
        <w:rPr>
          <w:rtl/>
        </w:rPr>
        <w:tab/>
        <w:t>(ب)</w:t>
      </w:r>
      <w:r w:rsidRPr="007B0599">
        <w:rPr>
          <w:rtl/>
        </w:rPr>
        <w:tab/>
      </w:r>
      <w:r w:rsidRPr="00DC17E8">
        <w:rPr>
          <w:b/>
          <w:bCs/>
          <w:rtl/>
        </w:rPr>
        <w:t>ضمان حصول جميع الأشخاص المقيمين في المخيمات المتبقية للمشردين</w:t>
      </w:r>
      <w:r w:rsidR="00DC17E8" w:rsidRPr="00DC17E8">
        <w:rPr>
          <w:b/>
          <w:bCs/>
          <w:rtl/>
        </w:rPr>
        <w:t xml:space="preserve"> </w:t>
      </w:r>
      <w:r w:rsidRPr="00DC17E8">
        <w:rPr>
          <w:b/>
          <w:bCs/>
          <w:rtl/>
        </w:rPr>
        <w:t>داخلياً</w:t>
      </w:r>
      <w:r w:rsidR="005D7864">
        <w:rPr>
          <w:b/>
          <w:bCs/>
          <w:rtl/>
        </w:rPr>
        <w:t>،</w:t>
      </w:r>
      <w:r w:rsidRPr="00DC17E8">
        <w:rPr>
          <w:b/>
          <w:bCs/>
          <w:rtl/>
        </w:rPr>
        <w:t xml:space="preserve"> بمن فيهم الأشخاص الذين يحتمل أن تكون لهم صلات بتنظيم داعش</w:t>
      </w:r>
      <w:r w:rsidR="005D7864">
        <w:rPr>
          <w:b/>
          <w:bCs/>
          <w:rtl/>
        </w:rPr>
        <w:t>،</w:t>
      </w:r>
      <w:r w:rsidRPr="00DC17E8">
        <w:rPr>
          <w:b/>
          <w:bCs/>
          <w:rtl/>
        </w:rPr>
        <w:t xml:space="preserve"> على مستوى معيشي وأمن مناسبين دون تمييز؛</w:t>
      </w:r>
    </w:p>
    <w:p w14:paraId="7074B188" w14:textId="60A54EF7" w:rsidR="00885E11" w:rsidRPr="00DC17E8" w:rsidRDefault="00885E11" w:rsidP="00885E11">
      <w:pPr>
        <w:pStyle w:val="SingleTxtGA"/>
        <w:rPr>
          <w:b/>
          <w:bCs/>
        </w:rPr>
      </w:pPr>
      <w:r w:rsidRPr="007B0599">
        <w:rPr>
          <w:rtl/>
        </w:rPr>
        <w:tab/>
        <w:t>(ج)</w:t>
      </w:r>
      <w:r w:rsidRPr="007B0599">
        <w:rPr>
          <w:rtl/>
        </w:rPr>
        <w:tab/>
      </w:r>
      <w:r w:rsidRPr="00DC17E8">
        <w:rPr>
          <w:b/>
          <w:bCs/>
          <w:rtl/>
        </w:rPr>
        <w:t>تيسير الشكاوى المقدمة من الضحايا والرصد والتحقيق الفعالين في جميع الادعاءات المتعلقة بانتهاكات حقوق الإنسان في مخيمات المشردين داخلياً وفرض العقوبات المناسبة على الجناة</w:t>
      </w:r>
      <w:r w:rsidR="005D7864">
        <w:rPr>
          <w:b/>
          <w:bCs/>
          <w:rtl/>
        </w:rPr>
        <w:t>،</w:t>
      </w:r>
      <w:r w:rsidRPr="00DC17E8">
        <w:rPr>
          <w:b/>
          <w:bCs/>
          <w:rtl/>
        </w:rPr>
        <w:t xml:space="preserve"> ولا سيما المسؤولون عن العنف الجنسي تجاه النساء والفتيات وعن استغلالهن جنسياً؛</w:t>
      </w:r>
    </w:p>
    <w:p w14:paraId="47CBA5D8" w14:textId="63082407" w:rsidR="00885E11" w:rsidRPr="00DC17E8" w:rsidRDefault="00885E11" w:rsidP="00885E11">
      <w:pPr>
        <w:pStyle w:val="SingleTxtGA"/>
        <w:rPr>
          <w:b/>
          <w:bCs/>
        </w:rPr>
      </w:pPr>
      <w:r w:rsidRPr="007B0599">
        <w:rPr>
          <w:rtl/>
        </w:rPr>
        <w:tab/>
        <w:t>(د)</w:t>
      </w:r>
      <w:r w:rsidRPr="007B0599">
        <w:rPr>
          <w:rtl/>
        </w:rPr>
        <w:tab/>
      </w:r>
      <w:r w:rsidRPr="00DC17E8">
        <w:rPr>
          <w:b/>
          <w:bCs/>
          <w:rtl/>
        </w:rPr>
        <w:t xml:space="preserve">اعتماد جميع التدابير الممكنة لإطلاق سراح النساء والأطفال </w:t>
      </w:r>
      <w:proofErr w:type="spellStart"/>
      <w:r w:rsidRPr="00DC17E8">
        <w:rPr>
          <w:b/>
          <w:bCs/>
          <w:rtl/>
        </w:rPr>
        <w:t>الأيزيديين</w:t>
      </w:r>
      <w:proofErr w:type="spellEnd"/>
      <w:r w:rsidRPr="00DC17E8">
        <w:rPr>
          <w:b/>
          <w:bCs/>
          <w:rtl/>
        </w:rPr>
        <w:t xml:space="preserve"> من الأسر لدى أعضاء تنظيم داعش في العراق.</w:t>
      </w:r>
      <w:r w:rsidR="00DC17E8" w:rsidRPr="00DC17E8">
        <w:rPr>
          <w:b/>
          <w:bCs/>
          <w:rtl/>
        </w:rPr>
        <w:t xml:space="preserve"> </w:t>
      </w:r>
    </w:p>
    <w:p w14:paraId="6AA6179F" w14:textId="7CF5CC64" w:rsidR="00885E11" w:rsidRPr="00846FFB" w:rsidRDefault="00885E11" w:rsidP="00885E11">
      <w:pPr>
        <w:pStyle w:val="H23GA"/>
      </w:pPr>
      <w:r w:rsidRPr="00846FFB">
        <w:rPr>
          <w:rtl/>
        </w:rPr>
        <w:tab/>
      </w:r>
      <w:r w:rsidRPr="00846FFB">
        <w:rPr>
          <w:rtl/>
        </w:rPr>
        <w:tab/>
        <w:t xml:space="preserve">الوصول إلى العدالة واستقلال السلطة القضائية </w:t>
      </w:r>
    </w:p>
    <w:p w14:paraId="00E52BE5" w14:textId="7F6F4EE6" w:rsidR="00885E11" w:rsidRPr="00885E11" w:rsidRDefault="00885E11" w:rsidP="00885E11">
      <w:pPr>
        <w:pStyle w:val="SingleTxtGA"/>
      </w:pPr>
      <w:r w:rsidRPr="00846FFB">
        <w:rPr>
          <w:rtl/>
        </w:rPr>
        <w:t>26</w:t>
      </w:r>
      <w:r w:rsidRPr="007B0599">
        <w:rPr>
          <w:rtl/>
        </w:rPr>
        <w:t>-</w:t>
      </w:r>
      <w:r w:rsidRPr="007B0599">
        <w:rPr>
          <w:rtl/>
        </w:rPr>
        <w:tab/>
      </w:r>
      <w:r w:rsidRPr="00885E11">
        <w:rPr>
          <w:rtl/>
        </w:rPr>
        <w:t>تسلّم</w:t>
      </w:r>
      <w:r>
        <w:rPr>
          <w:rtl/>
        </w:rPr>
        <w:t xml:space="preserve"> </w:t>
      </w:r>
      <w:r w:rsidRPr="00885E11">
        <w:rPr>
          <w:rtl/>
        </w:rPr>
        <w:t>اللجنة</w:t>
      </w:r>
      <w:r>
        <w:rPr>
          <w:rtl/>
        </w:rPr>
        <w:t xml:space="preserve"> </w:t>
      </w:r>
      <w:r w:rsidRPr="00885E11">
        <w:rPr>
          <w:rtl/>
        </w:rPr>
        <w:t>بأن</w:t>
      </w:r>
      <w:r>
        <w:rPr>
          <w:rtl/>
        </w:rPr>
        <w:t xml:space="preserve"> </w:t>
      </w:r>
      <w:r w:rsidRPr="00885E11">
        <w:rPr>
          <w:rtl/>
        </w:rPr>
        <w:t>مبدأ</w:t>
      </w:r>
      <w:r>
        <w:rPr>
          <w:rtl/>
        </w:rPr>
        <w:t xml:space="preserve"> </w:t>
      </w:r>
      <w:r w:rsidRPr="00885E11">
        <w:rPr>
          <w:rtl/>
        </w:rPr>
        <w:t>استقلال</w:t>
      </w:r>
      <w:r>
        <w:rPr>
          <w:rtl/>
        </w:rPr>
        <w:t xml:space="preserve"> </w:t>
      </w:r>
      <w:r w:rsidRPr="00885E11">
        <w:rPr>
          <w:rtl/>
        </w:rPr>
        <w:t>السلطة</w:t>
      </w:r>
      <w:r>
        <w:rPr>
          <w:rtl/>
        </w:rPr>
        <w:t xml:space="preserve"> </w:t>
      </w:r>
      <w:r w:rsidRPr="00885E11">
        <w:rPr>
          <w:rtl/>
        </w:rPr>
        <w:t>القضائية</w:t>
      </w:r>
      <w:r>
        <w:rPr>
          <w:rtl/>
        </w:rPr>
        <w:t xml:space="preserve"> </w:t>
      </w:r>
      <w:r w:rsidRPr="00885E11">
        <w:rPr>
          <w:rtl/>
        </w:rPr>
        <w:t>مكرس</w:t>
      </w:r>
      <w:r>
        <w:rPr>
          <w:rtl/>
        </w:rPr>
        <w:t xml:space="preserve"> </w:t>
      </w:r>
      <w:r w:rsidRPr="00885E11">
        <w:rPr>
          <w:rtl/>
        </w:rPr>
        <w:t>في</w:t>
      </w:r>
      <w:r>
        <w:rPr>
          <w:rtl/>
        </w:rPr>
        <w:t xml:space="preserve"> </w:t>
      </w:r>
      <w:r w:rsidRPr="00885E11">
        <w:rPr>
          <w:rtl/>
        </w:rPr>
        <w:t>الدستور</w:t>
      </w:r>
      <w:r w:rsidR="005D7864">
        <w:rPr>
          <w:rtl/>
        </w:rPr>
        <w:t>،</w:t>
      </w:r>
      <w:r>
        <w:rPr>
          <w:rtl/>
        </w:rPr>
        <w:t xml:space="preserve"> </w:t>
      </w:r>
      <w:r w:rsidR="00DC17E8" w:rsidRPr="00885E11">
        <w:rPr>
          <w:rFonts w:hint="cs"/>
          <w:rtl/>
        </w:rPr>
        <w:t>لكنها تلاح</w:t>
      </w:r>
      <w:r w:rsidR="00DC17E8" w:rsidRPr="00885E11">
        <w:rPr>
          <w:rtl/>
        </w:rPr>
        <w:t>ظ</w:t>
      </w:r>
      <w:r>
        <w:rPr>
          <w:rtl/>
        </w:rPr>
        <w:t xml:space="preserve"> </w:t>
      </w:r>
      <w:r w:rsidRPr="00885E11">
        <w:rPr>
          <w:rtl/>
        </w:rPr>
        <w:t>أن</w:t>
      </w:r>
      <w:r>
        <w:rPr>
          <w:rtl/>
        </w:rPr>
        <w:t xml:space="preserve"> </w:t>
      </w:r>
      <w:r w:rsidRPr="00885E11">
        <w:rPr>
          <w:rtl/>
        </w:rPr>
        <w:t>الأحكام</w:t>
      </w:r>
      <w:r>
        <w:rPr>
          <w:rtl/>
        </w:rPr>
        <w:t xml:space="preserve"> </w:t>
      </w:r>
      <w:r w:rsidRPr="00885E11">
        <w:rPr>
          <w:rtl/>
        </w:rPr>
        <w:t>التشريعية</w:t>
      </w:r>
      <w:r>
        <w:rPr>
          <w:rtl/>
        </w:rPr>
        <w:t xml:space="preserve"> </w:t>
      </w:r>
      <w:r w:rsidRPr="00885E11">
        <w:rPr>
          <w:rtl/>
        </w:rPr>
        <w:t>وحدها</w:t>
      </w:r>
      <w:r>
        <w:rPr>
          <w:rtl/>
        </w:rPr>
        <w:t xml:space="preserve"> </w:t>
      </w:r>
      <w:r w:rsidRPr="00885E11">
        <w:rPr>
          <w:rtl/>
        </w:rPr>
        <w:t>غير</w:t>
      </w:r>
      <w:r>
        <w:rPr>
          <w:rtl/>
        </w:rPr>
        <w:t xml:space="preserve"> </w:t>
      </w:r>
      <w:r w:rsidRPr="00885E11">
        <w:rPr>
          <w:rtl/>
        </w:rPr>
        <w:t>كافية</w:t>
      </w:r>
      <w:r>
        <w:rPr>
          <w:rtl/>
        </w:rPr>
        <w:t xml:space="preserve"> </w:t>
      </w:r>
      <w:r w:rsidRPr="00885E11">
        <w:rPr>
          <w:rtl/>
        </w:rPr>
        <w:t>لضمان</w:t>
      </w:r>
      <w:r>
        <w:rPr>
          <w:rtl/>
        </w:rPr>
        <w:t xml:space="preserve"> </w:t>
      </w:r>
      <w:r w:rsidRPr="00885E11">
        <w:rPr>
          <w:rtl/>
        </w:rPr>
        <w:t>الاستقلال</w:t>
      </w:r>
      <w:r>
        <w:rPr>
          <w:rtl/>
        </w:rPr>
        <w:t xml:space="preserve"> </w:t>
      </w:r>
      <w:r w:rsidRPr="00885E11">
        <w:rPr>
          <w:rtl/>
        </w:rPr>
        <w:t>والحياد.</w:t>
      </w:r>
      <w:r>
        <w:rPr>
          <w:rtl/>
        </w:rPr>
        <w:t xml:space="preserve"> </w:t>
      </w:r>
      <w:r w:rsidRPr="00885E11">
        <w:rPr>
          <w:rtl/>
        </w:rPr>
        <w:t>ولا</w:t>
      </w:r>
      <w:r>
        <w:rPr>
          <w:rtl/>
        </w:rPr>
        <w:t xml:space="preserve"> </w:t>
      </w:r>
      <w:r w:rsidRPr="00885E11">
        <w:rPr>
          <w:rtl/>
        </w:rPr>
        <w:t>تزال</w:t>
      </w:r>
      <w:r>
        <w:rPr>
          <w:rtl/>
        </w:rPr>
        <w:t xml:space="preserve"> </w:t>
      </w:r>
      <w:r w:rsidRPr="00885E11">
        <w:rPr>
          <w:rtl/>
        </w:rPr>
        <w:t>اللجنة</w:t>
      </w:r>
      <w:r>
        <w:rPr>
          <w:rtl/>
        </w:rPr>
        <w:t xml:space="preserve"> </w:t>
      </w:r>
      <w:r w:rsidRPr="00885E11">
        <w:rPr>
          <w:rtl/>
        </w:rPr>
        <w:t>تشعر</w:t>
      </w:r>
      <w:r>
        <w:rPr>
          <w:rtl/>
        </w:rPr>
        <w:t xml:space="preserve"> </w:t>
      </w:r>
      <w:r w:rsidRPr="00885E11">
        <w:rPr>
          <w:rtl/>
        </w:rPr>
        <w:t>بالقلق</w:t>
      </w:r>
      <w:r>
        <w:rPr>
          <w:rtl/>
        </w:rPr>
        <w:t xml:space="preserve"> </w:t>
      </w:r>
      <w:r w:rsidRPr="00885E11">
        <w:rPr>
          <w:rtl/>
        </w:rPr>
        <w:t>إزاء</w:t>
      </w:r>
      <w:r>
        <w:rPr>
          <w:rtl/>
        </w:rPr>
        <w:t xml:space="preserve"> </w:t>
      </w:r>
      <w:r w:rsidRPr="00885E11">
        <w:rPr>
          <w:rtl/>
        </w:rPr>
        <w:t>التقارير</w:t>
      </w:r>
      <w:r>
        <w:rPr>
          <w:rtl/>
        </w:rPr>
        <w:t xml:space="preserve"> </w:t>
      </w:r>
      <w:r w:rsidRPr="00885E11">
        <w:rPr>
          <w:rtl/>
        </w:rPr>
        <w:t>التي</w:t>
      </w:r>
      <w:r>
        <w:rPr>
          <w:rtl/>
        </w:rPr>
        <w:t xml:space="preserve"> </w:t>
      </w:r>
      <w:r w:rsidRPr="00885E11">
        <w:rPr>
          <w:rtl/>
        </w:rPr>
        <w:t>تشير</w:t>
      </w:r>
      <w:r>
        <w:rPr>
          <w:rtl/>
        </w:rPr>
        <w:t xml:space="preserve"> </w:t>
      </w:r>
      <w:r w:rsidRPr="00885E11">
        <w:rPr>
          <w:rtl/>
        </w:rPr>
        <w:t>إلى</w:t>
      </w:r>
      <w:r>
        <w:rPr>
          <w:rtl/>
        </w:rPr>
        <w:t xml:space="preserve"> </w:t>
      </w:r>
      <w:r w:rsidRPr="00885E11">
        <w:rPr>
          <w:rtl/>
        </w:rPr>
        <w:t>أن</w:t>
      </w:r>
      <w:r>
        <w:rPr>
          <w:rtl/>
        </w:rPr>
        <w:t xml:space="preserve"> </w:t>
      </w:r>
      <w:r w:rsidRPr="00885E11">
        <w:rPr>
          <w:rtl/>
        </w:rPr>
        <w:t>السلطة</w:t>
      </w:r>
      <w:r>
        <w:rPr>
          <w:rtl/>
        </w:rPr>
        <w:t xml:space="preserve"> </w:t>
      </w:r>
      <w:r w:rsidRPr="00885E11">
        <w:rPr>
          <w:rtl/>
        </w:rPr>
        <w:t>القضائية</w:t>
      </w:r>
      <w:r w:rsidR="005D7864">
        <w:rPr>
          <w:rtl/>
        </w:rPr>
        <w:t>،</w:t>
      </w:r>
      <w:r>
        <w:rPr>
          <w:rtl/>
        </w:rPr>
        <w:t xml:space="preserve"> </w:t>
      </w:r>
      <w:r w:rsidRPr="00885E11">
        <w:rPr>
          <w:rtl/>
        </w:rPr>
        <w:t>من</w:t>
      </w:r>
      <w:r>
        <w:rPr>
          <w:rtl/>
        </w:rPr>
        <w:t xml:space="preserve"> </w:t>
      </w:r>
      <w:r w:rsidRPr="00885E11">
        <w:rPr>
          <w:rtl/>
        </w:rPr>
        <w:t>الناحية</w:t>
      </w:r>
      <w:r>
        <w:rPr>
          <w:rtl/>
        </w:rPr>
        <w:t xml:space="preserve"> </w:t>
      </w:r>
      <w:r w:rsidRPr="00885E11">
        <w:rPr>
          <w:rtl/>
        </w:rPr>
        <w:t>العملية</w:t>
      </w:r>
      <w:r w:rsidR="005D7864">
        <w:rPr>
          <w:rtl/>
        </w:rPr>
        <w:t>،</w:t>
      </w:r>
      <w:r>
        <w:rPr>
          <w:rtl/>
        </w:rPr>
        <w:t xml:space="preserve"> </w:t>
      </w:r>
      <w:r w:rsidRPr="00885E11">
        <w:rPr>
          <w:rtl/>
        </w:rPr>
        <w:t>ليست</w:t>
      </w:r>
      <w:r>
        <w:rPr>
          <w:rtl/>
        </w:rPr>
        <w:t xml:space="preserve"> </w:t>
      </w:r>
      <w:r w:rsidRPr="00885E11">
        <w:rPr>
          <w:rtl/>
        </w:rPr>
        <w:t>مستقلة</w:t>
      </w:r>
      <w:r>
        <w:rPr>
          <w:rtl/>
        </w:rPr>
        <w:t xml:space="preserve"> </w:t>
      </w:r>
      <w:r w:rsidRPr="00885E11">
        <w:rPr>
          <w:rtl/>
        </w:rPr>
        <w:t>تماماً</w:t>
      </w:r>
      <w:r>
        <w:rPr>
          <w:rtl/>
        </w:rPr>
        <w:t xml:space="preserve"> </w:t>
      </w:r>
      <w:r w:rsidRPr="00885E11">
        <w:rPr>
          <w:rtl/>
        </w:rPr>
        <w:t>ولا</w:t>
      </w:r>
      <w:r>
        <w:rPr>
          <w:rtl/>
        </w:rPr>
        <w:t xml:space="preserve"> </w:t>
      </w:r>
      <w:r w:rsidRPr="00885E11">
        <w:rPr>
          <w:rtl/>
        </w:rPr>
        <w:t>محايدة</w:t>
      </w:r>
      <w:r w:rsidR="005D7864">
        <w:rPr>
          <w:rtl/>
        </w:rPr>
        <w:t>،</w:t>
      </w:r>
      <w:r>
        <w:rPr>
          <w:rtl/>
        </w:rPr>
        <w:t xml:space="preserve"> </w:t>
      </w:r>
      <w:r w:rsidRPr="00885E11">
        <w:rPr>
          <w:rtl/>
        </w:rPr>
        <w:t>ولا</w:t>
      </w:r>
      <w:r>
        <w:rPr>
          <w:rtl/>
        </w:rPr>
        <w:t xml:space="preserve"> </w:t>
      </w:r>
      <w:r w:rsidRPr="00885E11">
        <w:rPr>
          <w:rtl/>
        </w:rPr>
        <w:t>سيما</w:t>
      </w:r>
      <w:r>
        <w:rPr>
          <w:rtl/>
        </w:rPr>
        <w:t xml:space="preserve"> </w:t>
      </w:r>
      <w:r w:rsidRPr="00885E11">
        <w:rPr>
          <w:rtl/>
        </w:rPr>
        <w:t>في</w:t>
      </w:r>
      <w:r>
        <w:rPr>
          <w:rtl/>
        </w:rPr>
        <w:t xml:space="preserve"> </w:t>
      </w:r>
      <w:r w:rsidRPr="00885E11">
        <w:rPr>
          <w:rtl/>
        </w:rPr>
        <w:t>القضايا</w:t>
      </w:r>
      <w:r>
        <w:rPr>
          <w:rtl/>
        </w:rPr>
        <w:t xml:space="preserve"> </w:t>
      </w:r>
      <w:r w:rsidRPr="00885E11">
        <w:rPr>
          <w:rtl/>
        </w:rPr>
        <w:t>المتعلقة</w:t>
      </w:r>
      <w:r>
        <w:rPr>
          <w:rtl/>
        </w:rPr>
        <w:t xml:space="preserve"> </w:t>
      </w:r>
      <w:r w:rsidRPr="00885E11">
        <w:rPr>
          <w:rtl/>
        </w:rPr>
        <w:t>بأشخاص</w:t>
      </w:r>
      <w:r>
        <w:rPr>
          <w:rtl/>
        </w:rPr>
        <w:t xml:space="preserve"> </w:t>
      </w:r>
      <w:r w:rsidRPr="00885E11">
        <w:rPr>
          <w:rtl/>
        </w:rPr>
        <w:t>يشتبه</w:t>
      </w:r>
      <w:r>
        <w:rPr>
          <w:rtl/>
        </w:rPr>
        <w:t xml:space="preserve"> </w:t>
      </w:r>
      <w:r w:rsidRPr="00885E11">
        <w:rPr>
          <w:rtl/>
        </w:rPr>
        <w:t>في</w:t>
      </w:r>
      <w:r>
        <w:rPr>
          <w:rtl/>
        </w:rPr>
        <w:t xml:space="preserve"> </w:t>
      </w:r>
      <w:r w:rsidRPr="00885E11">
        <w:rPr>
          <w:rtl/>
        </w:rPr>
        <w:t>تورطهم</w:t>
      </w:r>
      <w:r>
        <w:rPr>
          <w:rtl/>
        </w:rPr>
        <w:t xml:space="preserve"> </w:t>
      </w:r>
      <w:r w:rsidRPr="00885E11">
        <w:rPr>
          <w:rtl/>
        </w:rPr>
        <w:t>في</w:t>
      </w:r>
      <w:r>
        <w:rPr>
          <w:rtl/>
        </w:rPr>
        <w:t xml:space="preserve"> </w:t>
      </w:r>
      <w:r w:rsidRPr="00885E11">
        <w:rPr>
          <w:rtl/>
        </w:rPr>
        <w:t>تنظيم</w:t>
      </w:r>
      <w:r>
        <w:rPr>
          <w:rtl/>
        </w:rPr>
        <w:t xml:space="preserve"> </w:t>
      </w:r>
      <w:r w:rsidRPr="00885E11">
        <w:rPr>
          <w:rtl/>
        </w:rPr>
        <w:t>داعش</w:t>
      </w:r>
      <w:r w:rsidR="005D7864">
        <w:rPr>
          <w:rtl/>
        </w:rPr>
        <w:t>،</w:t>
      </w:r>
      <w:r>
        <w:rPr>
          <w:rtl/>
        </w:rPr>
        <w:t xml:space="preserve"> </w:t>
      </w:r>
      <w:r w:rsidRPr="00885E11">
        <w:rPr>
          <w:rtl/>
        </w:rPr>
        <w:t>وأن</w:t>
      </w:r>
      <w:r>
        <w:rPr>
          <w:rtl/>
        </w:rPr>
        <w:t xml:space="preserve"> </w:t>
      </w:r>
      <w:r w:rsidRPr="00885E11">
        <w:rPr>
          <w:rtl/>
        </w:rPr>
        <w:t>القضاة</w:t>
      </w:r>
      <w:r>
        <w:rPr>
          <w:rtl/>
        </w:rPr>
        <w:t xml:space="preserve"> </w:t>
      </w:r>
      <w:r w:rsidRPr="00885E11">
        <w:rPr>
          <w:rtl/>
        </w:rPr>
        <w:t>والمدعين</w:t>
      </w:r>
      <w:r>
        <w:rPr>
          <w:rtl/>
        </w:rPr>
        <w:t xml:space="preserve"> </w:t>
      </w:r>
      <w:r w:rsidRPr="00885E11">
        <w:rPr>
          <w:rtl/>
        </w:rPr>
        <w:t>العامين</w:t>
      </w:r>
      <w:r>
        <w:rPr>
          <w:rtl/>
        </w:rPr>
        <w:t xml:space="preserve"> </w:t>
      </w:r>
      <w:r w:rsidRPr="00885E11">
        <w:rPr>
          <w:rtl/>
        </w:rPr>
        <w:t>كثيراً</w:t>
      </w:r>
      <w:r>
        <w:rPr>
          <w:rtl/>
        </w:rPr>
        <w:t xml:space="preserve"> </w:t>
      </w:r>
      <w:r w:rsidRPr="00885E11">
        <w:rPr>
          <w:rtl/>
        </w:rPr>
        <w:t>ما</w:t>
      </w:r>
      <w:r>
        <w:rPr>
          <w:rtl/>
        </w:rPr>
        <w:t xml:space="preserve"> </w:t>
      </w:r>
      <w:r w:rsidRPr="00885E11">
        <w:rPr>
          <w:rtl/>
        </w:rPr>
        <w:t>يتأثرون</w:t>
      </w:r>
      <w:r>
        <w:rPr>
          <w:rtl/>
        </w:rPr>
        <w:t xml:space="preserve"> </w:t>
      </w:r>
      <w:r w:rsidRPr="00885E11">
        <w:rPr>
          <w:rtl/>
        </w:rPr>
        <w:t>بالضغوط</w:t>
      </w:r>
      <w:r>
        <w:rPr>
          <w:rtl/>
        </w:rPr>
        <w:t xml:space="preserve"> </w:t>
      </w:r>
      <w:r w:rsidRPr="00885E11">
        <w:rPr>
          <w:rtl/>
        </w:rPr>
        <w:t>السياسية</w:t>
      </w:r>
      <w:r>
        <w:rPr>
          <w:rtl/>
        </w:rPr>
        <w:t xml:space="preserve"> </w:t>
      </w:r>
      <w:r w:rsidRPr="00885E11">
        <w:rPr>
          <w:rtl/>
        </w:rPr>
        <w:t>أو</w:t>
      </w:r>
      <w:r>
        <w:rPr>
          <w:rtl/>
        </w:rPr>
        <w:t xml:space="preserve"> </w:t>
      </w:r>
      <w:r w:rsidRPr="00885E11">
        <w:rPr>
          <w:rtl/>
        </w:rPr>
        <w:t>القوى</w:t>
      </w:r>
      <w:r>
        <w:rPr>
          <w:rtl/>
        </w:rPr>
        <w:t xml:space="preserve"> </w:t>
      </w:r>
      <w:r w:rsidRPr="00885E11">
        <w:rPr>
          <w:rtl/>
        </w:rPr>
        <w:t>القبلية</w:t>
      </w:r>
      <w:r>
        <w:rPr>
          <w:rtl/>
        </w:rPr>
        <w:t xml:space="preserve"> </w:t>
      </w:r>
      <w:r w:rsidRPr="00885E11">
        <w:rPr>
          <w:rtl/>
        </w:rPr>
        <w:t>أو</w:t>
      </w:r>
      <w:r>
        <w:rPr>
          <w:rtl/>
        </w:rPr>
        <w:t xml:space="preserve"> </w:t>
      </w:r>
      <w:r w:rsidRPr="00885E11">
        <w:rPr>
          <w:rtl/>
        </w:rPr>
        <w:t>المصالح</w:t>
      </w:r>
      <w:r>
        <w:rPr>
          <w:rtl/>
        </w:rPr>
        <w:t xml:space="preserve"> </w:t>
      </w:r>
      <w:r w:rsidRPr="00885E11">
        <w:rPr>
          <w:rtl/>
        </w:rPr>
        <w:t>الدينية.</w:t>
      </w:r>
      <w:r>
        <w:rPr>
          <w:rtl/>
        </w:rPr>
        <w:t xml:space="preserve"> </w:t>
      </w:r>
      <w:r w:rsidRPr="00885E11">
        <w:rPr>
          <w:rtl/>
        </w:rPr>
        <w:t>ويساور</w:t>
      </w:r>
      <w:r>
        <w:rPr>
          <w:rtl/>
        </w:rPr>
        <w:t xml:space="preserve"> </w:t>
      </w:r>
      <w:r w:rsidRPr="00885E11">
        <w:rPr>
          <w:rtl/>
        </w:rPr>
        <w:t>اللجنة</w:t>
      </w:r>
      <w:r>
        <w:rPr>
          <w:rtl/>
        </w:rPr>
        <w:t xml:space="preserve"> </w:t>
      </w:r>
      <w:r w:rsidRPr="00885E11">
        <w:rPr>
          <w:rtl/>
        </w:rPr>
        <w:t>القلق</w:t>
      </w:r>
      <w:r>
        <w:rPr>
          <w:rtl/>
        </w:rPr>
        <w:t xml:space="preserve"> </w:t>
      </w:r>
      <w:r w:rsidRPr="00885E11">
        <w:rPr>
          <w:rtl/>
        </w:rPr>
        <w:t>كذلك</w:t>
      </w:r>
      <w:r>
        <w:rPr>
          <w:rtl/>
        </w:rPr>
        <w:t xml:space="preserve"> </w:t>
      </w:r>
      <w:r w:rsidRPr="00885E11">
        <w:rPr>
          <w:rtl/>
        </w:rPr>
        <w:t>إزاء</w:t>
      </w:r>
      <w:r>
        <w:rPr>
          <w:rtl/>
        </w:rPr>
        <w:t xml:space="preserve"> </w:t>
      </w:r>
      <w:r w:rsidRPr="00885E11">
        <w:rPr>
          <w:rtl/>
        </w:rPr>
        <w:t>التقارير</w:t>
      </w:r>
      <w:r>
        <w:rPr>
          <w:rtl/>
        </w:rPr>
        <w:t xml:space="preserve"> </w:t>
      </w:r>
      <w:r w:rsidRPr="00885E11">
        <w:rPr>
          <w:rtl/>
        </w:rPr>
        <w:t>التي</w:t>
      </w:r>
      <w:r>
        <w:rPr>
          <w:rtl/>
        </w:rPr>
        <w:t xml:space="preserve"> </w:t>
      </w:r>
      <w:r w:rsidRPr="00885E11">
        <w:rPr>
          <w:rtl/>
        </w:rPr>
        <w:t>تفيد</w:t>
      </w:r>
      <w:r>
        <w:rPr>
          <w:rtl/>
        </w:rPr>
        <w:t xml:space="preserve"> </w:t>
      </w:r>
      <w:r w:rsidRPr="00885E11">
        <w:rPr>
          <w:rtl/>
        </w:rPr>
        <w:t>بأن</w:t>
      </w:r>
      <w:r>
        <w:rPr>
          <w:rtl/>
        </w:rPr>
        <w:t xml:space="preserve"> </w:t>
      </w:r>
      <w:r w:rsidRPr="00885E11">
        <w:rPr>
          <w:rtl/>
        </w:rPr>
        <w:t>انتهاكات</w:t>
      </w:r>
      <w:r>
        <w:rPr>
          <w:rtl/>
        </w:rPr>
        <w:t xml:space="preserve"> </w:t>
      </w:r>
      <w:r w:rsidRPr="00885E11">
        <w:rPr>
          <w:rtl/>
        </w:rPr>
        <w:t>ضمانات</w:t>
      </w:r>
      <w:r>
        <w:rPr>
          <w:rtl/>
        </w:rPr>
        <w:t xml:space="preserve"> </w:t>
      </w:r>
      <w:r w:rsidRPr="00885E11">
        <w:rPr>
          <w:rtl/>
        </w:rPr>
        <w:t>المحاكمة</w:t>
      </w:r>
      <w:r>
        <w:rPr>
          <w:rtl/>
        </w:rPr>
        <w:t xml:space="preserve"> </w:t>
      </w:r>
      <w:r w:rsidRPr="00885E11">
        <w:rPr>
          <w:rtl/>
        </w:rPr>
        <w:t>العادلة</w:t>
      </w:r>
      <w:r>
        <w:rPr>
          <w:rtl/>
        </w:rPr>
        <w:t xml:space="preserve"> </w:t>
      </w:r>
      <w:r w:rsidRPr="00885E11">
        <w:rPr>
          <w:rtl/>
        </w:rPr>
        <w:t>كثيراً</w:t>
      </w:r>
      <w:r>
        <w:rPr>
          <w:rtl/>
        </w:rPr>
        <w:t xml:space="preserve"> </w:t>
      </w:r>
      <w:r w:rsidRPr="00885E11">
        <w:rPr>
          <w:rtl/>
        </w:rPr>
        <w:t>ما</w:t>
      </w:r>
      <w:r>
        <w:rPr>
          <w:rtl/>
        </w:rPr>
        <w:t xml:space="preserve"> </w:t>
      </w:r>
      <w:r w:rsidRPr="00885E11">
        <w:rPr>
          <w:rtl/>
        </w:rPr>
        <w:t>تحدث</w:t>
      </w:r>
      <w:r>
        <w:rPr>
          <w:rtl/>
        </w:rPr>
        <w:t xml:space="preserve"> </w:t>
      </w:r>
      <w:r w:rsidRPr="00885E11">
        <w:rPr>
          <w:rtl/>
        </w:rPr>
        <w:t>في</w:t>
      </w:r>
      <w:r>
        <w:rPr>
          <w:rtl/>
        </w:rPr>
        <w:t xml:space="preserve"> </w:t>
      </w:r>
      <w:r w:rsidRPr="00885E11">
        <w:rPr>
          <w:rtl/>
        </w:rPr>
        <w:t>الممارسة</w:t>
      </w:r>
      <w:r>
        <w:rPr>
          <w:rtl/>
        </w:rPr>
        <w:t xml:space="preserve"> </w:t>
      </w:r>
      <w:r w:rsidRPr="00885E11">
        <w:rPr>
          <w:rtl/>
        </w:rPr>
        <w:t>العملية</w:t>
      </w:r>
      <w:r w:rsidR="005D7864">
        <w:rPr>
          <w:rtl/>
        </w:rPr>
        <w:t>،</w:t>
      </w:r>
      <w:r>
        <w:rPr>
          <w:rtl/>
        </w:rPr>
        <w:t xml:space="preserve"> </w:t>
      </w:r>
      <w:r w:rsidRPr="00885E11">
        <w:rPr>
          <w:rtl/>
        </w:rPr>
        <w:t>ولا</w:t>
      </w:r>
      <w:r>
        <w:rPr>
          <w:rtl/>
        </w:rPr>
        <w:t xml:space="preserve"> </w:t>
      </w:r>
      <w:r w:rsidRPr="00885E11">
        <w:rPr>
          <w:rtl/>
        </w:rPr>
        <w:t>سيما</w:t>
      </w:r>
      <w:r>
        <w:rPr>
          <w:rtl/>
        </w:rPr>
        <w:t xml:space="preserve"> </w:t>
      </w:r>
      <w:r w:rsidRPr="00885E11">
        <w:rPr>
          <w:rtl/>
        </w:rPr>
        <w:t>في</w:t>
      </w:r>
      <w:r>
        <w:rPr>
          <w:rtl/>
        </w:rPr>
        <w:t xml:space="preserve"> </w:t>
      </w:r>
      <w:r w:rsidRPr="00885E11">
        <w:rPr>
          <w:rtl/>
        </w:rPr>
        <w:t>قضايا</w:t>
      </w:r>
      <w:r>
        <w:rPr>
          <w:rtl/>
        </w:rPr>
        <w:t xml:space="preserve"> </w:t>
      </w:r>
      <w:r w:rsidRPr="00885E11">
        <w:rPr>
          <w:rtl/>
        </w:rPr>
        <w:t>الإرهاب</w:t>
      </w:r>
      <w:r w:rsidR="005D7864">
        <w:rPr>
          <w:rtl/>
        </w:rPr>
        <w:t>،</w:t>
      </w:r>
      <w:r>
        <w:rPr>
          <w:rtl/>
        </w:rPr>
        <w:t xml:space="preserve"> </w:t>
      </w:r>
      <w:r w:rsidRPr="00885E11">
        <w:rPr>
          <w:rtl/>
        </w:rPr>
        <w:t>في</w:t>
      </w:r>
      <w:r>
        <w:rPr>
          <w:rtl/>
        </w:rPr>
        <w:t xml:space="preserve"> </w:t>
      </w:r>
      <w:r w:rsidRPr="00885E11">
        <w:rPr>
          <w:rtl/>
        </w:rPr>
        <w:t>كل</w:t>
      </w:r>
      <w:r>
        <w:rPr>
          <w:rtl/>
        </w:rPr>
        <w:t xml:space="preserve"> </w:t>
      </w:r>
      <w:r w:rsidRPr="00885E11">
        <w:rPr>
          <w:rtl/>
        </w:rPr>
        <w:t>من</w:t>
      </w:r>
      <w:r>
        <w:rPr>
          <w:rtl/>
        </w:rPr>
        <w:t xml:space="preserve"> </w:t>
      </w:r>
      <w:r w:rsidRPr="00885E11">
        <w:rPr>
          <w:rtl/>
        </w:rPr>
        <w:t>النظام</w:t>
      </w:r>
      <w:r>
        <w:rPr>
          <w:rtl/>
        </w:rPr>
        <w:t xml:space="preserve"> </w:t>
      </w:r>
      <w:r w:rsidRPr="00885E11">
        <w:rPr>
          <w:rtl/>
        </w:rPr>
        <w:t>القضائي</w:t>
      </w:r>
      <w:r>
        <w:rPr>
          <w:rtl/>
        </w:rPr>
        <w:t xml:space="preserve"> </w:t>
      </w:r>
      <w:r w:rsidRPr="00885E11">
        <w:rPr>
          <w:rtl/>
        </w:rPr>
        <w:t>الرسمي</w:t>
      </w:r>
      <w:r>
        <w:rPr>
          <w:rtl/>
        </w:rPr>
        <w:t xml:space="preserve"> </w:t>
      </w:r>
      <w:r w:rsidRPr="00885E11">
        <w:rPr>
          <w:rtl/>
        </w:rPr>
        <w:t>والمحاكم</w:t>
      </w:r>
      <w:r>
        <w:rPr>
          <w:rtl/>
        </w:rPr>
        <w:t xml:space="preserve"> </w:t>
      </w:r>
      <w:r w:rsidRPr="00885E11">
        <w:rPr>
          <w:rtl/>
        </w:rPr>
        <w:t>القبلية</w:t>
      </w:r>
      <w:r>
        <w:rPr>
          <w:rtl/>
        </w:rPr>
        <w:t xml:space="preserve"> </w:t>
      </w:r>
      <w:r w:rsidRPr="00885E11">
        <w:rPr>
          <w:rtl/>
        </w:rPr>
        <w:t>(المادتان</w:t>
      </w:r>
      <w:r>
        <w:rPr>
          <w:rtl/>
        </w:rPr>
        <w:t xml:space="preserve"> </w:t>
      </w:r>
      <w:r w:rsidRPr="00846FFB">
        <w:rPr>
          <w:rtl/>
        </w:rPr>
        <w:t>2</w:t>
      </w:r>
      <w:r>
        <w:rPr>
          <w:rtl/>
        </w:rPr>
        <w:t xml:space="preserve"> </w:t>
      </w:r>
      <w:r w:rsidRPr="00885E11">
        <w:rPr>
          <w:rtl/>
        </w:rPr>
        <w:t>و</w:t>
      </w:r>
      <w:r w:rsidRPr="00846FFB">
        <w:rPr>
          <w:rtl/>
        </w:rPr>
        <w:t>14</w:t>
      </w:r>
      <w:r w:rsidRPr="00885E11">
        <w:rPr>
          <w:rtl/>
        </w:rPr>
        <w:t>).</w:t>
      </w:r>
    </w:p>
    <w:p w14:paraId="72D1B0B4" w14:textId="0A16B7E0" w:rsidR="00885E11" w:rsidRPr="00DC17E8" w:rsidRDefault="00885E11" w:rsidP="00885E11">
      <w:pPr>
        <w:pStyle w:val="SingleTxtGA"/>
        <w:rPr>
          <w:b/>
          <w:bCs/>
        </w:rPr>
      </w:pPr>
      <w:r w:rsidRPr="00846FFB">
        <w:rPr>
          <w:rtl/>
        </w:rPr>
        <w:t>27</w:t>
      </w:r>
      <w:r w:rsidRPr="007B0599">
        <w:rPr>
          <w:rtl/>
        </w:rPr>
        <w:t>-</w:t>
      </w:r>
      <w:r w:rsidRPr="007B0599">
        <w:rPr>
          <w:rtl/>
        </w:rPr>
        <w:tab/>
      </w:r>
      <w:r w:rsidRPr="00DC17E8">
        <w:rPr>
          <w:b/>
          <w:bCs/>
          <w:rtl/>
        </w:rPr>
        <w:t>ينبغي للدولة الطرف أن تتخذ جميع التدابير اللازمة لضمان الاستقلال والحياد الكاملين للسلطة القضائية والنيابة العامة في الممارسة العملية</w:t>
      </w:r>
      <w:r w:rsidR="005D7864">
        <w:rPr>
          <w:b/>
          <w:bCs/>
          <w:rtl/>
        </w:rPr>
        <w:t>،</w:t>
      </w:r>
      <w:r w:rsidRPr="00DC17E8">
        <w:rPr>
          <w:b/>
          <w:bCs/>
          <w:rtl/>
        </w:rPr>
        <w:t xml:space="preserve"> وضمان حريتهما في العمل دون أي نوع من الضغط أو التدخل غير المبرر. وينبغي للدولة الطرف أيضاً أن تكفل سير جميع الإجراءات القضائية</w:t>
      </w:r>
      <w:r w:rsidR="005D7864">
        <w:rPr>
          <w:b/>
          <w:bCs/>
          <w:rtl/>
        </w:rPr>
        <w:t>،</w:t>
      </w:r>
      <w:r w:rsidRPr="00DC17E8">
        <w:rPr>
          <w:b/>
          <w:bCs/>
          <w:rtl/>
        </w:rPr>
        <w:t xml:space="preserve"> بما في ذلك الإجراءات المعمول بها في المحاكم القبلية</w:t>
      </w:r>
      <w:r w:rsidR="005D7864">
        <w:rPr>
          <w:b/>
          <w:bCs/>
          <w:rtl/>
        </w:rPr>
        <w:t>،</w:t>
      </w:r>
      <w:r w:rsidRPr="00DC17E8">
        <w:rPr>
          <w:b/>
          <w:bCs/>
          <w:rtl/>
        </w:rPr>
        <w:t xml:space="preserve"> بما يتفق تماماً مع ضمانات المحاكمة العادلة المكرسة في المادة </w:t>
      </w:r>
      <w:r w:rsidRPr="00846FFB">
        <w:rPr>
          <w:b/>
          <w:bCs/>
          <w:rtl/>
        </w:rPr>
        <w:t>14</w:t>
      </w:r>
      <w:r w:rsidRPr="00DC17E8">
        <w:rPr>
          <w:b/>
          <w:bCs/>
          <w:rtl/>
        </w:rPr>
        <w:t xml:space="preserve"> من العهد.</w:t>
      </w:r>
    </w:p>
    <w:p w14:paraId="7174D24A" w14:textId="674765B4" w:rsidR="00885E11" w:rsidRPr="00846FFB" w:rsidRDefault="00885E11" w:rsidP="00885E11">
      <w:pPr>
        <w:pStyle w:val="H23GA"/>
      </w:pPr>
      <w:r w:rsidRPr="00846FFB">
        <w:rPr>
          <w:rtl/>
        </w:rPr>
        <w:tab/>
      </w:r>
      <w:r w:rsidRPr="00846FFB">
        <w:rPr>
          <w:rtl/>
        </w:rPr>
        <w:tab/>
        <w:t xml:space="preserve">القضاء على الرق والعبودية </w:t>
      </w:r>
    </w:p>
    <w:p w14:paraId="29B451A7" w14:textId="3868435E" w:rsidR="00885E11" w:rsidRPr="00E73DBD" w:rsidRDefault="00885E11" w:rsidP="00885E11">
      <w:pPr>
        <w:pStyle w:val="SingleTxtGA"/>
        <w:rPr>
          <w:spacing w:val="-2"/>
        </w:rPr>
      </w:pPr>
      <w:r w:rsidRPr="00846FFB">
        <w:rPr>
          <w:rtl/>
        </w:rPr>
        <w:t>28</w:t>
      </w:r>
      <w:r w:rsidRPr="007B0599">
        <w:rPr>
          <w:rtl/>
        </w:rPr>
        <w:t>-</w:t>
      </w:r>
      <w:r w:rsidRPr="007B0599">
        <w:rPr>
          <w:rtl/>
        </w:rPr>
        <w:tab/>
      </w:r>
      <w:r w:rsidRPr="00E73DBD">
        <w:rPr>
          <w:spacing w:val="-2"/>
          <w:rtl/>
        </w:rPr>
        <w:t>تحيط اللجنة علماً مع الاهتمام بالاقتراح الداعي إلى تعديل قانون مكافحة الاتجار بالبشر من أجل سد الثغرات القانونية</w:t>
      </w:r>
      <w:r w:rsidR="005D7864" w:rsidRPr="00E73DBD">
        <w:rPr>
          <w:spacing w:val="-2"/>
          <w:rtl/>
        </w:rPr>
        <w:t>،</w:t>
      </w:r>
      <w:r w:rsidRPr="00E73DBD">
        <w:rPr>
          <w:spacing w:val="-2"/>
          <w:rtl/>
        </w:rPr>
        <w:t xml:space="preserve"> وبإشارة الدولة الطرف إلى أن تنفيذ الخطة الوطنية لمكافحة الاتجار بالبشر قد حقق منذ عام </w:t>
      </w:r>
      <w:r w:rsidRPr="00846FFB">
        <w:rPr>
          <w:spacing w:val="-2"/>
          <w:rtl/>
        </w:rPr>
        <w:t>2019</w:t>
      </w:r>
      <w:r w:rsidRPr="00E73DBD">
        <w:rPr>
          <w:spacing w:val="-2"/>
          <w:rtl/>
        </w:rPr>
        <w:t xml:space="preserve"> نتائج إيجابية</w:t>
      </w:r>
      <w:r w:rsidR="005D7864" w:rsidRPr="00E73DBD">
        <w:rPr>
          <w:spacing w:val="-2"/>
          <w:rtl/>
        </w:rPr>
        <w:t>،</w:t>
      </w:r>
      <w:r w:rsidRPr="00E73DBD">
        <w:rPr>
          <w:spacing w:val="-2"/>
          <w:rtl/>
        </w:rPr>
        <w:t xml:space="preserve"> وإشارتها إلى اعتزامها إنشاء دور </w:t>
      </w:r>
      <w:r w:rsidR="00DC17E8" w:rsidRPr="00E73DBD">
        <w:rPr>
          <w:rFonts w:hint="cs"/>
          <w:spacing w:val="-2"/>
          <w:rtl/>
        </w:rPr>
        <w:t>إيواء لضحاي</w:t>
      </w:r>
      <w:r w:rsidR="00DC17E8" w:rsidRPr="00E73DBD">
        <w:rPr>
          <w:spacing w:val="-2"/>
          <w:rtl/>
        </w:rPr>
        <w:t>ا</w:t>
      </w:r>
      <w:r w:rsidRPr="00E73DBD">
        <w:rPr>
          <w:spacing w:val="-2"/>
          <w:rtl/>
        </w:rPr>
        <w:t xml:space="preserve"> الاتجار في كل محافظة من محافظات البلد. بيد أن اللجنة تعرب عن قلقها إزاء تزايد عدد حالات الاتجار الداخلي والاتجار عبر الحدود بالنساء والأطفال. وتعرب اللجنة أيضاً عن قلقها إزاء الادعاءات التي تفيد بأن الزيجات القسرية والمؤقتة تستخدم أحياناً للاتجار بالنساء داخل الدولة الطرف وإلى البلدان المجاورة (المادة </w:t>
      </w:r>
      <w:r w:rsidRPr="00846FFB">
        <w:rPr>
          <w:spacing w:val="-2"/>
          <w:rtl/>
        </w:rPr>
        <w:t>8</w:t>
      </w:r>
      <w:r w:rsidRPr="00E73DBD">
        <w:rPr>
          <w:spacing w:val="-2"/>
          <w:rtl/>
        </w:rPr>
        <w:t>).</w:t>
      </w:r>
    </w:p>
    <w:p w14:paraId="05AD3562" w14:textId="4AF075D7" w:rsidR="00885E11" w:rsidRPr="00DC17E8" w:rsidRDefault="00885E11" w:rsidP="00885E11">
      <w:pPr>
        <w:pStyle w:val="SingleTxtGA"/>
        <w:rPr>
          <w:b/>
          <w:bCs/>
        </w:rPr>
      </w:pPr>
      <w:r w:rsidRPr="00846FFB">
        <w:rPr>
          <w:rtl/>
        </w:rPr>
        <w:t>29</w:t>
      </w:r>
      <w:r w:rsidRPr="007B0599">
        <w:rPr>
          <w:rtl/>
        </w:rPr>
        <w:t>-</w:t>
      </w:r>
      <w:r w:rsidRPr="007B0599">
        <w:rPr>
          <w:rtl/>
        </w:rPr>
        <w:tab/>
      </w:r>
      <w:r w:rsidRPr="00DC17E8">
        <w:rPr>
          <w:b/>
          <w:bCs/>
          <w:rtl/>
        </w:rPr>
        <w:t xml:space="preserve">ينبغي للدولة الطرف </w:t>
      </w:r>
      <w:r w:rsidR="00DC17E8" w:rsidRPr="00DC17E8">
        <w:rPr>
          <w:rFonts w:hint="cs"/>
          <w:b/>
          <w:bCs/>
          <w:rtl/>
        </w:rPr>
        <w:t>مواصلة تعزي</w:t>
      </w:r>
      <w:r w:rsidR="00DC17E8" w:rsidRPr="00DC17E8">
        <w:rPr>
          <w:b/>
          <w:bCs/>
          <w:rtl/>
        </w:rPr>
        <w:t>ز</w:t>
      </w:r>
      <w:r w:rsidRPr="00DC17E8">
        <w:rPr>
          <w:b/>
          <w:bCs/>
          <w:rtl/>
        </w:rPr>
        <w:t xml:space="preserve"> جهودها الرامية إلى مكافحة الاتجار بالأشخاص والعمل القسري</w:t>
      </w:r>
      <w:r w:rsidR="00DC17E8" w:rsidRPr="00DC17E8">
        <w:rPr>
          <w:b/>
          <w:bCs/>
          <w:rtl/>
        </w:rPr>
        <w:t xml:space="preserve"> </w:t>
      </w:r>
      <w:r w:rsidRPr="00DC17E8">
        <w:rPr>
          <w:b/>
          <w:bCs/>
          <w:rtl/>
        </w:rPr>
        <w:t>داخلياً وعبر الحدود ومنعه والقضاء عليه ومعاقبة مرتكبيه</w:t>
      </w:r>
      <w:r w:rsidR="00972A49">
        <w:rPr>
          <w:b/>
          <w:bCs/>
          <w:rtl/>
        </w:rPr>
        <w:t>.</w:t>
      </w:r>
      <w:r w:rsidRPr="00DC17E8">
        <w:rPr>
          <w:b/>
          <w:bCs/>
          <w:rtl/>
        </w:rPr>
        <w:t xml:space="preserve"> وينبغي للدولة الطرف على وجه الخصوص القيام بما يلي:</w:t>
      </w:r>
    </w:p>
    <w:p w14:paraId="60E5AF8A" w14:textId="6D9D1941" w:rsidR="00885E11" w:rsidRPr="00DC17E8" w:rsidRDefault="00885E11" w:rsidP="00885E11">
      <w:pPr>
        <w:pStyle w:val="SingleTxtGA"/>
        <w:rPr>
          <w:b/>
          <w:bCs/>
        </w:rPr>
      </w:pPr>
      <w:r w:rsidRPr="007B0599">
        <w:rPr>
          <w:rtl/>
        </w:rPr>
        <w:tab/>
        <w:t>(أ)</w:t>
      </w:r>
      <w:r w:rsidRPr="007B0599">
        <w:rPr>
          <w:rtl/>
        </w:rPr>
        <w:tab/>
      </w:r>
      <w:r w:rsidRPr="00DC17E8">
        <w:rPr>
          <w:b/>
          <w:bCs/>
          <w:rtl/>
        </w:rPr>
        <w:t>التعجيل بتعديل قانون مكافحة الاتجار بالبشر</w:t>
      </w:r>
      <w:r w:rsidR="005D7864">
        <w:rPr>
          <w:b/>
          <w:bCs/>
          <w:rtl/>
        </w:rPr>
        <w:t>،</w:t>
      </w:r>
      <w:r w:rsidRPr="00DC17E8">
        <w:rPr>
          <w:b/>
          <w:bCs/>
          <w:rtl/>
        </w:rPr>
        <w:t xml:space="preserve"> وضمان سد جميع الثغرات القانونية</w:t>
      </w:r>
      <w:r w:rsidR="005D7864">
        <w:rPr>
          <w:b/>
          <w:bCs/>
          <w:rtl/>
        </w:rPr>
        <w:t>،</w:t>
      </w:r>
      <w:r w:rsidRPr="00DC17E8">
        <w:rPr>
          <w:b/>
          <w:bCs/>
          <w:rtl/>
        </w:rPr>
        <w:t xml:space="preserve"> بما في ذلك استخدام الزيجات القسرية والمؤقتة لأغراض الاتجار؛ </w:t>
      </w:r>
    </w:p>
    <w:p w14:paraId="668C3126" w14:textId="527D40CF" w:rsidR="00885E11" w:rsidRPr="00DC17E8" w:rsidRDefault="00885E11" w:rsidP="00885E11">
      <w:pPr>
        <w:pStyle w:val="SingleTxtGA"/>
        <w:rPr>
          <w:b/>
          <w:bCs/>
        </w:rPr>
      </w:pPr>
      <w:r w:rsidRPr="007B0599">
        <w:rPr>
          <w:rtl/>
        </w:rPr>
        <w:tab/>
        <w:t>(ب)</w:t>
      </w:r>
      <w:r w:rsidRPr="007B0599">
        <w:rPr>
          <w:rtl/>
        </w:rPr>
        <w:tab/>
      </w:r>
      <w:r w:rsidRPr="00DC17E8">
        <w:rPr>
          <w:b/>
          <w:bCs/>
          <w:rtl/>
        </w:rPr>
        <w:t>ضمان إجراء تحقيق شامل في جميع حالات الاتجار بالبشر والعمل القسري</w:t>
      </w:r>
      <w:r w:rsidR="005D7864">
        <w:rPr>
          <w:b/>
          <w:bCs/>
          <w:rtl/>
        </w:rPr>
        <w:t>،</w:t>
      </w:r>
      <w:r w:rsidRPr="00DC17E8">
        <w:rPr>
          <w:b/>
          <w:bCs/>
          <w:rtl/>
        </w:rPr>
        <w:t xml:space="preserve"> وتقديم الجناة إلى العدالة ومعاقبتهم على النحو الملائم</w:t>
      </w:r>
      <w:r w:rsidR="005D7864">
        <w:rPr>
          <w:b/>
          <w:bCs/>
          <w:rtl/>
        </w:rPr>
        <w:t>،</w:t>
      </w:r>
      <w:r w:rsidRPr="00DC17E8">
        <w:rPr>
          <w:b/>
          <w:bCs/>
          <w:rtl/>
        </w:rPr>
        <w:t xml:space="preserve"> وحصول الضحايا على الجبر الكامل ووسائل الحماية</w:t>
      </w:r>
      <w:r w:rsidR="005D7864">
        <w:rPr>
          <w:b/>
          <w:bCs/>
          <w:rtl/>
        </w:rPr>
        <w:t>،</w:t>
      </w:r>
      <w:r w:rsidRPr="00DC17E8">
        <w:rPr>
          <w:b/>
          <w:bCs/>
          <w:rtl/>
        </w:rPr>
        <w:t xml:space="preserve"> بما في ذلك الوصول إلى دور إيواء مزودة بالموارد الكافية؛ </w:t>
      </w:r>
    </w:p>
    <w:p w14:paraId="2B466DDA" w14:textId="6DFD0B4B" w:rsidR="00885E11" w:rsidRPr="00DC17E8" w:rsidRDefault="00885E11" w:rsidP="00885E11">
      <w:pPr>
        <w:pStyle w:val="SingleTxtGA"/>
        <w:rPr>
          <w:b/>
          <w:bCs/>
        </w:rPr>
      </w:pPr>
      <w:r w:rsidRPr="007B0599">
        <w:rPr>
          <w:rtl/>
        </w:rPr>
        <w:tab/>
        <w:t>(ج)</w:t>
      </w:r>
      <w:r w:rsidRPr="007B0599">
        <w:rPr>
          <w:rtl/>
        </w:rPr>
        <w:tab/>
      </w:r>
      <w:r w:rsidRPr="00DC17E8">
        <w:rPr>
          <w:b/>
          <w:bCs/>
          <w:rtl/>
        </w:rPr>
        <w:t>توفير التدريب للسلطة القضائية</w:t>
      </w:r>
      <w:r w:rsidR="005D7864">
        <w:rPr>
          <w:b/>
          <w:bCs/>
          <w:rtl/>
        </w:rPr>
        <w:t>،</w:t>
      </w:r>
      <w:r w:rsidRPr="00DC17E8">
        <w:rPr>
          <w:b/>
          <w:bCs/>
          <w:rtl/>
        </w:rPr>
        <w:t xml:space="preserve"> بما في ذلك الادعاء العام وموظفي إنفاذ القانون وشرطة الحدود</w:t>
      </w:r>
      <w:r w:rsidR="005D7864">
        <w:rPr>
          <w:b/>
          <w:bCs/>
          <w:rtl/>
        </w:rPr>
        <w:t>،</w:t>
      </w:r>
      <w:r w:rsidRPr="00DC17E8">
        <w:rPr>
          <w:b/>
          <w:bCs/>
          <w:rtl/>
        </w:rPr>
        <w:t xml:space="preserve"> بشأن التعرف المبكر على النساء والفتيات ضحايا الاتجار.</w:t>
      </w:r>
    </w:p>
    <w:p w14:paraId="47F0FF04" w14:textId="057CBFE7" w:rsidR="00885E11" w:rsidRPr="00846FFB" w:rsidRDefault="00885E11" w:rsidP="00885E11">
      <w:pPr>
        <w:pStyle w:val="H23GA"/>
      </w:pPr>
      <w:r w:rsidRPr="00846FFB">
        <w:rPr>
          <w:rtl/>
        </w:rPr>
        <w:tab/>
      </w:r>
      <w:r w:rsidRPr="00846FFB">
        <w:rPr>
          <w:rtl/>
        </w:rPr>
        <w:tab/>
        <w:t xml:space="preserve">حرية الضمير والمعتقد الديني </w:t>
      </w:r>
    </w:p>
    <w:p w14:paraId="0374067C" w14:textId="279B2013" w:rsidR="00885E11" w:rsidRPr="00E73DBD" w:rsidRDefault="00885E11" w:rsidP="00E73DBD">
      <w:pPr>
        <w:pStyle w:val="SingleTxtGA"/>
        <w:spacing w:after="100"/>
        <w:rPr>
          <w:spacing w:val="-2"/>
        </w:rPr>
      </w:pPr>
      <w:r w:rsidRPr="00846FFB">
        <w:rPr>
          <w:rtl/>
        </w:rPr>
        <w:t>30</w:t>
      </w:r>
      <w:r w:rsidRPr="007B0599">
        <w:rPr>
          <w:rtl/>
        </w:rPr>
        <w:t>-</w:t>
      </w:r>
      <w:r w:rsidRPr="007B0599">
        <w:rPr>
          <w:rtl/>
        </w:rPr>
        <w:tab/>
      </w:r>
      <w:r w:rsidRPr="00E73DBD">
        <w:rPr>
          <w:spacing w:val="-2"/>
          <w:rtl/>
        </w:rPr>
        <w:t>تعرب اللجنة عن قلقها إزاء وجود أحكام قانونية تؤثر سلباً في ضمانات العهد بشأن حرية الدين والمعتقد</w:t>
      </w:r>
      <w:r w:rsidR="005D7864" w:rsidRPr="00E73DBD">
        <w:rPr>
          <w:spacing w:val="-2"/>
          <w:rtl/>
        </w:rPr>
        <w:t>،</w:t>
      </w:r>
      <w:r w:rsidRPr="00E73DBD">
        <w:rPr>
          <w:spacing w:val="-2"/>
          <w:rtl/>
        </w:rPr>
        <w:t xml:space="preserve"> بما في ذلك المادة </w:t>
      </w:r>
      <w:r w:rsidRPr="00846FFB">
        <w:rPr>
          <w:spacing w:val="-2"/>
          <w:rtl/>
        </w:rPr>
        <w:t>17</w:t>
      </w:r>
      <w:r w:rsidRPr="00E73DBD">
        <w:rPr>
          <w:spacing w:val="-2"/>
          <w:rtl/>
        </w:rPr>
        <w:t xml:space="preserve"> من قانون الأحوال الشخصية</w:t>
      </w:r>
      <w:r w:rsidR="005D7864" w:rsidRPr="00E73DBD">
        <w:rPr>
          <w:spacing w:val="-2"/>
          <w:rtl/>
        </w:rPr>
        <w:t>،</w:t>
      </w:r>
      <w:r w:rsidRPr="00E73DBD">
        <w:rPr>
          <w:spacing w:val="-2"/>
          <w:rtl/>
        </w:rPr>
        <w:t xml:space="preserve"> التي لا تجيز للمرأة المسلمة الزواج من رجل غير مسلم</w:t>
      </w:r>
      <w:r w:rsidR="005D7864" w:rsidRPr="00E73DBD">
        <w:rPr>
          <w:spacing w:val="-2"/>
          <w:rtl/>
        </w:rPr>
        <w:t>،</w:t>
      </w:r>
      <w:r w:rsidRPr="00E73DBD">
        <w:rPr>
          <w:spacing w:val="-2"/>
          <w:rtl/>
        </w:rPr>
        <w:t xml:space="preserve"> والمادة </w:t>
      </w:r>
      <w:r w:rsidRPr="00846FFB">
        <w:rPr>
          <w:spacing w:val="-2"/>
          <w:rtl/>
        </w:rPr>
        <w:t>26</w:t>
      </w:r>
      <w:r w:rsidRPr="00E73DBD">
        <w:rPr>
          <w:spacing w:val="-2"/>
          <w:rtl/>
        </w:rPr>
        <w:t xml:space="preserve"> من قانون البطاقة الوطنية الموحدة</w:t>
      </w:r>
      <w:r w:rsidR="005D7864" w:rsidRPr="00E73DBD">
        <w:rPr>
          <w:spacing w:val="-2"/>
          <w:rtl/>
        </w:rPr>
        <w:t>،</w:t>
      </w:r>
      <w:r w:rsidRPr="00E73DBD">
        <w:rPr>
          <w:spacing w:val="-2"/>
          <w:rtl/>
        </w:rPr>
        <w:t xml:space="preserve"> التي لا تجيز للمسلم اعتناق دين آخر والتي تنص على أن أي طفل يولد في إطار زواج بين مسلم وغير مسلمة يتم تعريفه على أنه مسلم. ويساور اللجنة القلق أيضاً لأن القانون رقم </w:t>
      </w:r>
      <w:r w:rsidRPr="00846FFB">
        <w:rPr>
          <w:spacing w:val="-2"/>
          <w:rtl/>
        </w:rPr>
        <w:t>105</w:t>
      </w:r>
      <w:r w:rsidRPr="00E73DBD">
        <w:rPr>
          <w:spacing w:val="-2"/>
          <w:rtl/>
        </w:rPr>
        <w:t xml:space="preserve"> الذي يحظر ممارسة الديانة البهائية لا يزال سارياً. وتعرب اللجنة عن قلقها كذلك إزاء التقارير التي تفيد بأن الدولة الطرف رفضت الاعتراف ببعض الجماعات الدينية</w:t>
      </w:r>
      <w:r w:rsidR="005D7864" w:rsidRPr="00E73DBD">
        <w:rPr>
          <w:spacing w:val="-2"/>
          <w:rtl/>
        </w:rPr>
        <w:t>،</w:t>
      </w:r>
      <w:r w:rsidRPr="00E73DBD">
        <w:rPr>
          <w:spacing w:val="-2"/>
          <w:rtl/>
        </w:rPr>
        <w:t xml:space="preserve"> مما أدى إلى عدم تمكن دور العبادة</w:t>
      </w:r>
      <w:r w:rsidR="005D7864" w:rsidRPr="00E73DBD">
        <w:rPr>
          <w:spacing w:val="-2"/>
          <w:rtl/>
        </w:rPr>
        <w:t>،</w:t>
      </w:r>
      <w:r w:rsidRPr="00E73DBD">
        <w:rPr>
          <w:spacing w:val="-2"/>
          <w:rtl/>
        </w:rPr>
        <w:t xml:space="preserve"> ولا سيما الكنائس الإنجيلية من تسجيل نفسها بالشكل القانوني (المواد </w:t>
      </w:r>
      <w:r w:rsidRPr="00846FFB">
        <w:rPr>
          <w:spacing w:val="-2"/>
          <w:rtl/>
        </w:rPr>
        <w:t>2</w:t>
      </w:r>
      <w:r w:rsidRPr="00E73DBD">
        <w:rPr>
          <w:spacing w:val="-2"/>
          <w:rtl/>
        </w:rPr>
        <w:t xml:space="preserve"> و</w:t>
      </w:r>
      <w:r w:rsidRPr="00846FFB">
        <w:rPr>
          <w:spacing w:val="-2"/>
          <w:rtl/>
        </w:rPr>
        <w:t>18</w:t>
      </w:r>
      <w:r w:rsidRPr="00E73DBD">
        <w:rPr>
          <w:spacing w:val="-2"/>
          <w:rtl/>
        </w:rPr>
        <w:t xml:space="preserve"> و</w:t>
      </w:r>
      <w:r w:rsidRPr="00846FFB">
        <w:rPr>
          <w:spacing w:val="-2"/>
          <w:rtl/>
        </w:rPr>
        <w:t>26</w:t>
      </w:r>
      <w:r w:rsidRPr="00E73DBD">
        <w:rPr>
          <w:spacing w:val="-2"/>
          <w:rtl/>
        </w:rPr>
        <w:t>).</w:t>
      </w:r>
    </w:p>
    <w:p w14:paraId="15298835" w14:textId="3B8DDC10" w:rsidR="00885E11" w:rsidRPr="00DC17E8" w:rsidRDefault="00885E11" w:rsidP="00E73DBD">
      <w:pPr>
        <w:pStyle w:val="SingleTxtGA"/>
        <w:spacing w:after="100"/>
        <w:rPr>
          <w:b/>
          <w:bCs/>
        </w:rPr>
      </w:pPr>
      <w:r w:rsidRPr="00846FFB">
        <w:rPr>
          <w:rtl/>
        </w:rPr>
        <w:t>31</w:t>
      </w:r>
      <w:r w:rsidRPr="007B0599">
        <w:rPr>
          <w:rtl/>
        </w:rPr>
        <w:t>-</w:t>
      </w:r>
      <w:r w:rsidRPr="007B0599">
        <w:rPr>
          <w:rtl/>
        </w:rPr>
        <w:tab/>
      </w:r>
      <w:r w:rsidRPr="00DC17E8">
        <w:rPr>
          <w:b/>
          <w:bCs/>
          <w:rtl/>
        </w:rPr>
        <w:t>تشجع اللجنة الدولة الطرف على اتخاذ خطوات فورية لتعديل التشريعات ذات الصلة</w:t>
      </w:r>
      <w:r w:rsidR="005D7864">
        <w:rPr>
          <w:b/>
          <w:bCs/>
          <w:rtl/>
        </w:rPr>
        <w:t>،</w:t>
      </w:r>
      <w:r w:rsidRPr="00DC17E8">
        <w:rPr>
          <w:b/>
          <w:bCs/>
          <w:rtl/>
        </w:rPr>
        <w:t xml:space="preserve"> بما في ذلك قانون الأحوال الشخصية</w:t>
      </w:r>
      <w:r w:rsidR="005D7864">
        <w:rPr>
          <w:b/>
          <w:bCs/>
          <w:rtl/>
        </w:rPr>
        <w:t>،</w:t>
      </w:r>
      <w:r w:rsidRPr="00DC17E8">
        <w:rPr>
          <w:b/>
          <w:bCs/>
          <w:rtl/>
        </w:rPr>
        <w:t xml:space="preserve"> وقانون البطاقة الوطنية الموحدة</w:t>
      </w:r>
      <w:r w:rsidR="005D7864">
        <w:rPr>
          <w:b/>
          <w:bCs/>
          <w:rtl/>
        </w:rPr>
        <w:t>،</w:t>
      </w:r>
      <w:r w:rsidRPr="00DC17E8">
        <w:rPr>
          <w:b/>
          <w:bCs/>
          <w:rtl/>
        </w:rPr>
        <w:t xml:space="preserve"> والقانون رقم </w:t>
      </w:r>
      <w:r w:rsidRPr="00846FFB">
        <w:rPr>
          <w:b/>
          <w:bCs/>
          <w:rtl/>
        </w:rPr>
        <w:t>105</w:t>
      </w:r>
      <w:r w:rsidR="005D7864">
        <w:rPr>
          <w:b/>
          <w:bCs/>
          <w:rtl/>
        </w:rPr>
        <w:t>،</w:t>
      </w:r>
      <w:r w:rsidRPr="00DC17E8">
        <w:rPr>
          <w:b/>
          <w:bCs/>
          <w:rtl/>
        </w:rPr>
        <w:t xml:space="preserve"> بحيث تتماشى تماماً مع المادة </w:t>
      </w:r>
      <w:r w:rsidRPr="00846FFB">
        <w:rPr>
          <w:b/>
          <w:bCs/>
          <w:rtl/>
        </w:rPr>
        <w:t>18</w:t>
      </w:r>
      <w:r w:rsidRPr="00DC17E8">
        <w:rPr>
          <w:b/>
          <w:bCs/>
          <w:rtl/>
        </w:rPr>
        <w:t xml:space="preserve"> من العهد.</w:t>
      </w:r>
      <w:r w:rsidR="00DC17E8" w:rsidRPr="00DC17E8">
        <w:rPr>
          <w:b/>
          <w:bCs/>
          <w:rtl/>
        </w:rPr>
        <w:t xml:space="preserve"> </w:t>
      </w:r>
      <w:r w:rsidRPr="00DC17E8">
        <w:rPr>
          <w:b/>
          <w:bCs/>
          <w:rtl/>
        </w:rPr>
        <w:t>وينبغي للدولة الطرف أيضاً ضمان أن يستند تسجيل المنظمات الدينية إلى معايير واضحة وموضوعية تتوافق مع التزامات الدولة الطرف بموجب العهد.</w:t>
      </w:r>
    </w:p>
    <w:p w14:paraId="755B25D4" w14:textId="54D1B799" w:rsidR="00885E11" w:rsidRPr="00846FFB" w:rsidRDefault="00885E11" w:rsidP="00E73DBD">
      <w:pPr>
        <w:pStyle w:val="H23GA"/>
        <w:spacing w:before="200" w:after="100"/>
      </w:pPr>
      <w:r w:rsidRPr="00846FFB">
        <w:rPr>
          <w:rtl/>
        </w:rPr>
        <w:tab/>
      </w:r>
      <w:r w:rsidRPr="00846FFB">
        <w:rPr>
          <w:rtl/>
        </w:rPr>
        <w:tab/>
        <w:t>حرية التعبير</w:t>
      </w:r>
      <w:r w:rsidR="005D7864" w:rsidRPr="00846FFB">
        <w:rPr>
          <w:rtl/>
        </w:rPr>
        <w:t>،</w:t>
      </w:r>
      <w:r w:rsidRPr="00846FFB">
        <w:rPr>
          <w:rtl/>
        </w:rPr>
        <w:t xml:space="preserve"> والتجمع السلمي وحرية تكوين الجمعيات </w:t>
      </w:r>
    </w:p>
    <w:p w14:paraId="44C72848" w14:textId="0A439407" w:rsidR="00885E11" w:rsidRPr="00885E11" w:rsidRDefault="00885E11" w:rsidP="00E73DBD">
      <w:pPr>
        <w:pStyle w:val="SingleTxtGA"/>
        <w:spacing w:after="100"/>
      </w:pPr>
      <w:r w:rsidRPr="00846FFB">
        <w:rPr>
          <w:rtl/>
        </w:rPr>
        <w:t>32</w:t>
      </w:r>
      <w:r w:rsidRPr="007B0599">
        <w:rPr>
          <w:rtl/>
        </w:rPr>
        <w:t>-</w:t>
      </w:r>
      <w:r w:rsidRPr="007B0599">
        <w:rPr>
          <w:rtl/>
        </w:rPr>
        <w:tab/>
      </w:r>
      <w:r w:rsidRPr="00885E11">
        <w:rPr>
          <w:rtl/>
        </w:rPr>
        <w:t>على</w:t>
      </w:r>
      <w:r>
        <w:rPr>
          <w:rtl/>
        </w:rPr>
        <w:t xml:space="preserve"> </w:t>
      </w:r>
      <w:r w:rsidRPr="00885E11">
        <w:rPr>
          <w:rtl/>
        </w:rPr>
        <w:t>الرغم</w:t>
      </w:r>
      <w:r>
        <w:rPr>
          <w:rtl/>
        </w:rPr>
        <w:t xml:space="preserve"> </w:t>
      </w:r>
      <w:r w:rsidRPr="00885E11">
        <w:rPr>
          <w:rtl/>
        </w:rPr>
        <w:t>من</w:t>
      </w:r>
      <w:r>
        <w:rPr>
          <w:rtl/>
        </w:rPr>
        <w:t xml:space="preserve"> </w:t>
      </w:r>
      <w:r w:rsidRPr="00885E11">
        <w:rPr>
          <w:rtl/>
        </w:rPr>
        <w:t>أن</w:t>
      </w:r>
      <w:r>
        <w:rPr>
          <w:rtl/>
        </w:rPr>
        <w:t xml:space="preserve"> </w:t>
      </w:r>
      <w:r w:rsidRPr="00885E11">
        <w:rPr>
          <w:rtl/>
        </w:rPr>
        <w:t>المادة</w:t>
      </w:r>
      <w:r>
        <w:rPr>
          <w:rtl/>
        </w:rPr>
        <w:t xml:space="preserve"> </w:t>
      </w:r>
      <w:r w:rsidRPr="00846FFB">
        <w:rPr>
          <w:rtl/>
        </w:rPr>
        <w:t>38</w:t>
      </w:r>
      <w:r>
        <w:rPr>
          <w:rtl/>
        </w:rPr>
        <w:t xml:space="preserve"> </w:t>
      </w:r>
      <w:r w:rsidRPr="00885E11">
        <w:rPr>
          <w:rtl/>
        </w:rPr>
        <w:t>من</w:t>
      </w:r>
      <w:r>
        <w:rPr>
          <w:rtl/>
        </w:rPr>
        <w:t xml:space="preserve"> </w:t>
      </w:r>
      <w:r w:rsidRPr="00885E11">
        <w:rPr>
          <w:rtl/>
        </w:rPr>
        <w:t>دستور</w:t>
      </w:r>
      <w:r>
        <w:rPr>
          <w:rtl/>
        </w:rPr>
        <w:t xml:space="preserve"> </w:t>
      </w:r>
      <w:r w:rsidRPr="00885E11">
        <w:rPr>
          <w:rtl/>
        </w:rPr>
        <w:t>العراق</w:t>
      </w:r>
      <w:r>
        <w:rPr>
          <w:rtl/>
        </w:rPr>
        <w:t xml:space="preserve"> </w:t>
      </w:r>
      <w:r w:rsidRPr="00885E11">
        <w:rPr>
          <w:rtl/>
        </w:rPr>
        <w:t>تضمن</w:t>
      </w:r>
      <w:r>
        <w:rPr>
          <w:rtl/>
        </w:rPr>
        <w:t xml:space="preserve"> </w:t>
      </w:r>
      <w:r w:rsidRPr="00885E11">
        <w:rPr>
          <w:rtl/>
        </w:rPr>
        <w:t>حرية</w:t>
      </w:r>
      <w:r>
        <w:rPr>
          <w:rtl/>
        </w:rPr>
        <w:t xml:space="preserve"> </w:t>
      </w:r>
      <w:r w:rsidRPr="00885E11">
        <w:rPr>
          <w:rtl/>
        </w:rPr>
        <w:t>التعبير</w:t>
      </w:r>
      <w:r>
        <w:rPr>
          <w:rtl/>
        </w:rPr>
        <w:t xml:space="preserve"> </w:t>
      </w:r>
      <w:r w:rsidRPr="00885E11">
        <w:rPr>
          <w:rtl/>
        </w:rPr>
        <w:t>والتجمع</w:t>
      </w:r>
      <w:r w:rsidR="005D7864">
        <w:rPr>
          <w:rtl/>
        </w:rPr>
        <w:t>،</w:t>
      </w:r>
      <w:r>
        <w:rPr>
          <w:rtl/>
        </w:rPr>
        <w:t xml:space="preserve"> </w:t>
      </w:r>
      <w:r w:rsidRPr="00885E11">
        <w:rPr>
          <w:rtl/>
        </w:rPr>
        <w:t>تلاحظ</w:t>
      </w:r>
      <w:r>
        <w:rPr>
          <w:rtl/>
        </w:rPr>
        <w:t xml:space="preserve"> </w:t>
      </w:r>
      <w:r w:rsidRPr="00885E11">
        <w:rPr>
          <w:rtl/>
        </w:rPr>
        <w:t>اللجنة</w:t>
      </w:r>
      <w:r>
        <w:rPr>
          <w:rtl/>
        </w:rPr>
        <w:t xml:space="preserve"> </w:t>
      </w:r>
      <w:r w:rsidRPr="00885E11">
        <w:rPr>
          <w:rtl/>
        </w:rPr>
        <w:t>مع</w:t>
      </w:r>
      <w:r>
        <w:rPr>
          <w:rtl/>
        </w:rPr>
        <w:t xml:space="preserve"> </w:t>
      </w:r>
      <w:r w:rsidRPr="00885E11">
        <w:rPr>
          <w:rtl/>
        </w:rPr>
        <w:t>الأسف</w:t>
      </w:r>
      <w:r>
        <w:rPr>
          <w:rtl/>
        </w:rPr>
        <w:t xml:space="preserve"> </w:t>
      </w:r>
      <w:r w:rsidRPr="00885E11">
        <w:rPr>
          <w:rtl/>
        </w:rPr>
        <w:t>أن</w:t>
      </w:r>
      <w:r>
        <w:rPr>
          <w:rtl/>
        </w:rPr>
        <w:t xml:space="preserve"> </w:t>
      </w:r>
      <w:r w:rsidRPr="00885E11">
        <w:rPr>
          <w:rtl/>
        </w:rPr>
        <w:t>قانون</w:t>
      </w:r>
      <w:r>
        <w:rPr>
          <w:rtl/>
        </w:rPr>
        <w:t xml:space="preserve"> </w:t>
      </w:r>
      <w:r w:rsidRPr="00885E11">
        <w:rPr>
          <w:rtl/>
        </w:rPr>
        <w:t>العقوبات</w:t>
      </w:r>
      <w:r>
        <w:rPr>
          <w:rtl/>
        </w:rPr>
        <w:t xml:space="preserve"> </w:t>
      </w:r>
      <w:r w:rsidRPr="00885E11">
        <w:rPr>
          <w:rtl/>
        </w:rPr>
        <w:t>يتضمن</w:t>
      </w:r>
      <w:r>
        <w:rPr>
          <w:rtl/>
        </w:rPr>
        <w:t xml:space="preserve"> </w:t>
      </w:r>
      <w:r w:rsidRPr="00885E11">
        <w:rPr>
          <w:rtl/>
        </w:rPr>
        <w:t>أحكاماً</w:t>
      </w:r>
      <w:r>
        <w:rPr>
          <w:rtl/>
        </w:rPr>
        <w:t xml:space="preserve"> </w:t>
      </w:r>
      <w:r w:rsidRPr="00885E11">
        <w:rPr>
          <w:rtl/>
        </w:rPr>
        <w:t>قد</w:t>
      </w:r>
      <w:r>
        <w:rPr>
          <w:rtl/>
        </w:rPr>
        <w:t xml:space="preserve"> </w:t>
      </w:r>
      <w:r w:rsidRPr="00885E11">
        <w:rPr>
          <w:rtl/>
        </w:rPr>
        <w:t>تحد</w:t>
      </w:r>
      <w:r>
        <w:rPr>
          <w:rtl/>
        </w:rPr>
        <w:t xml:space="preserve"> </w:t>
      </w:r>
      <w:r w:rsidRPr="00885E11">
        <w:rPr>
          <w:rtl/>
        </w:rPr>
        <w:t>من</w:t>
      </w:r>
      <w:r>
        <w:rPr>
          <w:rtl/>
        </w:rPr>
        <w:t xml:space="preserve"> </w:t>
      </w:r>
      <w:r w:rsidRPr="00885E11">
        <w:rPr>
          <w:rtl/>
        </w:rPr>
        <w:t>حرية</w:t>
      </w:r>
      <w:r>
        <w:rPr>
          <w:rtl/>
        </w:rPr>
        <w:t xml:space="preserve"> </w:t>
      </w:r>
      <w:r w:rsidRPr="00885E11">
        <w:rPr>
          <w:rtl/>
        </w:rPr>
        <w:t>التعبير</w:t>
      </w:r>
      <w:r w:rsidR="005D7864">
        <w:rPr>
          <w:rtl/>
        </w:rPr>
        <w:t>،</w:t>
      </w:r>
      <w:r>
        <w:rPr>
          <w:rtl/>
        </w:rPr>
        <w:t xml:space="preserve"> </w:t>
      </w:r>
      <w:r w:rsidRPr="00885E11">
        <w:rPr>
          <w:rtl/>
        </w:rPr>
        <w:t>مثل</w:t>
      </w:r>
      <w:r>
        <w:rPr>
          <w:rtl/>
        </w:rPr>
        <w:t xml:space="preserve"> </w:t>
      </w:r>
      <w:r w:rsidRPr="00885E11">
        <w:rPr>
          <w:rtl/>
        </w:rPr>
        <w:t>المادة</w:t>
      </w:r>
      <w:r>
        <w:rPr>
          <w:rtl/>
        </w:rPr>
        <w:t xml:space="preserve"> </w:t>
      </w:r>
      <w:r w:rsidRPr="00846FFB">
        <w:rPr>
          <w:rtl/>
        </w:rPr>
        <w:t>433</w:t>
      </w:r>
      <w:r>
        <w:rPr>
          <w:rtl/>
        </w:rPr>
        <w:t xml:space="preserve"> </w:t>
      </w:r>
      <w:r w:rsidRPr="00885E11">
        <w:rPr>
          <w:rtl/>
        </w:rPr>
        <w:t>المتعلقة</w:t>
      </w:r>
      <w:r>
        <w:rPr>
          <w:rtl/>
        </w:rPr>
        <w:t xml:space="preserve"> </w:t>
      </w:r>
      <w:r w:rsidRPr="00885E11">
        <w:rPr>
          <w:rtl/>
        </w:rPr>
        <w:t>بالقذف</w:t>
      </w:r>
      <w:r>
        <w:rPr>
          <w:rtl/>
        </w:rPr>
        <w:t xml:space="preserve"> </w:t>
      </w:r>
      <w:r w:rsidRPr="00885E11">
        <w:rPr>
          <w:rtl/>
        </w:rPr>
        <w:t>والسب</w:t>
      </w:r>
      <w:r w:rsidR="00972A49">
        <w:rPr>
          <w:rtl/>
        </w:rPr>
        <w:t>.</w:t>
      </w:r>
      <w:r>
        <w:rPr>
          <w:rtl/>
        </w:rPr>
        <w:t xml:space="preserve"> </w:t>
      </w:r>
      <w:r w:rsidRPr="00885E11">
        <w:rPr>
          <w:rtl/>
        </w:rPr>
        <w:t>وتعرب</w:t>
      </w:r>
      <w:r>
        <w:rPr>
          <w:rtl/>
        </w:rPr>
        <w:t xml:space="preserve"> </w:t>
      </w:r>
      <w:r w:rsidRPr="00885E11">
        <w:rPr>
          <w:rtl/>
        </w:rPr>
        <w:t>اللجنة</w:t>
      </w:r>
      <w:r>
        <w:rPr>
          <w:rtl/>
        </w:rPr>
        <w:t xml:space="preserve"> </w:t>
      </w:r>
      <w:r w:rsidRPr="00885E11">
        <w:rPr>
          <w:rtl/>
        </w:rPr>
        <w:t>عن</w:t>
      </w:r>
      <w:r>
        <w:rPr>
          <w:rtl/>
        </w:rPr>
        <w:t xml:space="preserve"> </w:t>
      </w:r>
      <w:r w:rsidRPr="00885E11">
        <w:rPr>
          <w:rtl/>
        </w:rPr>
        <w:t>قلقها</w:t>
      </w:r>
      <w:r>
        <w:rPr>
          <w:rtl/>
        </w:rPr>
        <w:t xml:space="preserve"> </w:t>
      </w:r>
      <w:r w:rsidRPr="00885E11">
        <w:rPr>
          <w:rtl/>
        </w:rPr>
        <w:t>إزاء</w:t>
      </w:r>
      <w:r>
        <w:rPr>
          <w:rtl/>
        </w:rPr>
        <w:t xml:space="preserve"> </w:t>
      </w:r>
      <w:r w:rsidRPr="00885E11">
        <w:rPr>
          <w:rtl/>
        </w:rPr>
        <w:t>التقارير</w:t>
      </w:r>
      <w:r>
        <w:rPr>
          <w:rtl/>
        </w:rPr>
        <w:t xml:space="preserve"> </w:t>
      </w:r>
      <w:r w:rsidRPr="00885E11">
        <w:rPr>
          <w:rtl/>
        </w:rPr>
        <w:t>التي</w:t>
      </w:r>
      <w:r>
        <w:rPr>
          <w:rtl/>
        </w:rPr>
        <w:t xml:space="preserve"> </w:t>
      </w:r>
      <w:r w:rsidRPr="00885E11">
        <w:rPr>
          <w:rtl/>
        </w:rPr>
        <w:t>تفيد</w:t>
      </w:r>
      <w:r>
        <w:rPr>
          <w:rtl/>
        </w:rPr>
        <w:t xml:space="preserve"> </w:t>
      </w:r>
      <w:r w:rsidRPr="00885E11">
        <w:rPr>
          <w:rtl/>
        </w:rPr>
        <w:t>بانتهاك</w:t>
      </w:r>
      <w:r>
        <w:rPr>
          <w:rtl/>
        </w:rPr>
        <w:t xml:space="preserve"> </w:t>
      </w:r>
      <w:r w:rsidRPr="00885E11">
        <w:rPr>
          <w:rtl/>
        </w:rPr>
        <w:t>حرية</w:t>
      </w:r>
      <w:r>
        <w:rPr>
          <w:rtl/>
        </w:rPr>
        <w:t xml:space="preserve"> </w:t>
      </w:r>
      <w:r w:rsidRPr="00885E11">
        <w:rPr>
          <w:rtl/>
        </w:rPr>
        <w:t>التعبير</w:t>
      </w:r>
      <w:r>
        <w:rPr>
          <w:rtl/>
        </w:rPr>
        <w:t xml:space="preserve"> </w:t>
      </w:r>
      <w:r w:rsidRPr="00885E11">
        <w:rPr>
          <w:rtl/>
        </w:rPr>
        <w:t>والتجمع</w:t>
      </w:r>
      <w:r>
        <w:rPr>
          <w:rtl/>
        </w:rPr>
        <w:t xml:space="preserve"> </w:t>
      </w:r>
      <w:r w:rsidRPr="00885E11">
        <w:rPr>
          <w:rtl/>
        </w:rPr>
        <w:t>السلمي</w:t>
      </w:r>
      <w:r>
        <w:rPr>
          <w:rtl/>
        </w:rPr>
        <w:t xml:space="preserve"> </w:t>
      </w:r>
      <w:r w:rsidRPr="00885E11">
        <w:rPr>
          <w:rtl/>
        </w:rPr>
        <w:t>في</w:t>
      </w:r>
      <w:r>
        <w:rPr>
          <w:rtl/>
        </w:rPr>
        <w:t xml:space="preserve"> </w:t>
      </w:r>
      <w:r w:rsidRPr="00885E11">
        <w:rPr>
          <w:rtl/>
        </w:rPr>
        <w:t>سياق</w:t>
      </w:r>
      <w:r>
        <w:rPr>
          <w:rtl/>
        </w:rPr>
        <w:t xml:space="preserve"> </w:t>
      </w:r>
      <w:r w:rsidRPr="00885E11">
        <w:rPr>
          <w:rtl/>
        </w:rPr>
        <w:t>مظاهرات</w:t>
      </w:r>
      <w:r>
        <w:rPr>
          <w:rtl/>
        </w:rPr>
        <w:t xml:space="preserve"> </w:t>
      </w:r>
      <w:r w:rsidRPr="00885E11">
        <w:rPr>
          <w:rtl/>
        </w:rPr>
        <w:t>عامي</w:t>
      </w:r>
      <w:r>
        <w:rPr>
          <w:rtl/>
        </w:rPr>
        <w:t xml:space="preserve"> </w:t>
      </w:r>
      <w:r w:rsidRPr="00846FFB">
        <w:rPr>
          <w:rtl/>
        </w:rPr>
        <w:t>2019</w:t>
      </w:r>
      <w:r>
        <w:rPr>
          <w:rtl/>
        </w:rPr>
        <w:t xml:space="preserve"> </w:t>
      </w:r>
      <w:r w:rsidRPr="00885E11">
        <w:rPr>
          <w:rtl/>
        </w:rPr>
        <w:t>و</w:t>
      </w:r>
      <w:r w:rsidRPr="00846FFB">
        <w:rPr>
          <w:rtl/>
        </w:rPr>
        <w:t>2020</w:t>
      </w:r>
      <w:r w:rsidR="005D7864">
        <w:rPr>
          <w:rtl/>
        </w:rPr>
        <w:t>،</w:t>
      </w:r>
      <w:r>
        <w:rPr>
          <w:rtl/>
        </w:rPr>
        <w:t xml:space="preserve"> </w:t>
      </w:r>
      <w:r w:rsidRPr="00885E11">
        <w:rPr>
          <w:rtl/>
        </w:rPr>
        <w:t>بما</w:t>
      </w:r>
      <w:r>
        <w:rPr>
          <w:rtl/>
        </w:rPr>
        <w:t xml:space="preserve"> </w:t>
      </w:r>
      <w:r w:rsidRPr="00885E11">
        <w:rPr>
          <w:rtl/>
        </w:rPr>
        <w:t>في</w:t>
      </w:r>
      <w:r>
        <w:rPr>
          <w:rtl/>
        </w:rPr>
        <w:t xml:space="preserve"> </w:t>
      </w:r>
      <w:r w:rsidRPr="00885E11">
        <w:rPr>
          <w:rtl/>
        </w:rPr>
        <w:t>ذلك</w:t>
      </w:r>
      <w:r>
        <w:rPr>
          <w:rtl/>
        </w:rPr>
        <w:t xml:space="preserve"> </w:t>
      </w:r>
      <w:r w:rsidRPr="00885E11">
        <w:rPr>
          <w:rtl/>
        </w:rPr>
        <w:t>من</w:t>
      </w:r>
      <w:r>
        <w:rPr>
          <w:rtl/>
        </w:rPr>
        <w:t xml:space="preserve"> </w:t>
      </w:r>
      <w:r w:rsidRPr="00885E11">
        <w:rPr>
          <w:rtl/>
        </w:rPr>
        <w:t>خلال</w:t>
      </w:r>
      <w:r>
        <w:rPr>
          <w:rtl/>
        </w:rPr>
        <w:t xml:space="preserve"> </w:t>
      </w:r>
      <w:r w:rsidRPr="00885E11">
        <w:rPr>
          <w:rtl/>
        </w:rPr>
        <w:t>قمع</w:t>
      </w:r>
      <w:r>
        <w:rPr>
          <w:rtl/>
        </w:rPr>
        <w:t xml:space="preserve"> </w:t>
      </w:r>
      <w:r w:rsidRPr="00885E11">
        <w:rPr>
          <w:rtl/>
        </w:rPr>
        <w:t>تغطية</w:t>
      </w:r>
      <w:r>
        <w:rPr>
          <w:rtl/>
        </w:rPr>
        <w:t xml:space="preserve"> </w:t>
      </w:r>
      <w:r w:rsidRPr="00885E11">
        <w:rPr>
          <w:rtl/>
        </w:rPr>
        <w:t>المظاهرات</w:t>
      </w:r>
      <w:r>
        <w:rPr>
          <w:rtl/>
        </w:rPr>
        <w:t xml:space="preserve"> </w:t>
      </w:r>
      <w:r w:rsidRPr="00885E11">
        <w:rPr>
          <w:rtl/>
        </w:rPr>
        <w:t>عن</w:t>
      </w:r>
      <w:r>
        <w:rPr>
          <w:rtl/>
        </w:rPr>
        <w:t xml:space="preserve"> </w:t>
      </w:r>
      <w:r w:rsidRPr="00885E11">
        <w:rPr>
          <w:rtl/>
        </w:rPr>
        <w:t>طريق</w:t>
      </w:r>
      <w:r>
        <w:rPr>
          <w:rtl/>
        </w:rPr>
        <w:t xml:space="preserve"> </w:t>
      </w:r>
      <w:r w:rsidRPr="00885E11">
        <w:rPr>
          <w:rtl/>
        </w:rPr>
        <w:t>إغلاق</w:t>
      </w:r>
      <w:r>
        <w:rPr>
          <w:rtl/>
        </w:rPr>
        <w:t xml:space="preserve"> </w:t>
      </w:r>
      <w:r w:rsidRPr="00885E11">
        <w:rPr>
          <w:rtl/>
        </w:rPr>
        <w:t>وسائل</w:t>
      </w:r>
      <w:r>
        <w:rPr>
          <w:rtl/>
        </w:rPr>
        <w:t xml:space="preserve"> </w:t>
      </w:r>
      <w:r w:rsidRPr="00885E11">
        <w:rPr>
          <w:rtl/>
        </w:rPr>
        <w:t>الإعلام</w:t>
      </w:r>
      <w:r>
        <w:rPr>
          <w:rtl/>
        </w:rPr>
        <w:t xml:space="preserve"> </w:t>
      </w:r>
      <w:r w:rsidRPr="00885E11">
        <w:rPr>
          <w:rtl/>
        </w:rPr>
        <w:t>وإبطاء</w:t>
      </w:r>
      <w:r>
        <w:rPr>
          <w:rtl/>
        </w:rPr>
        <w:t xml:space="preserve"> </w:t>
      </w:r>
      <w:r w:rsidRPr="00885E11">
        <w:rPr>
          <w:rtl/>
        </w:rPr>
        <w:t>سرعة</w:t>
      </w:r>
      <w:r>
        <w:rPr>
          <w:rtl/>
        </w:rPr>
        <w:t xml:space="preserve"> </w:t>
      </w:r>
      <w:r w:rsidRPr="00885E11">
        <w:rPr>
          <w:rtl/>
        </w:rPr>
        <w:t>الإنترنت</w:t>
      </w:r>
      <w:r w:rsidR="005D7864">
        <w:rPr>
          <w:rtl/>
        </w:rPr>
        <w:t>،</w:t>
      </w:r>
      <w:r>
        <w:rPr>
          <w:rtl/>
        </w:rPr>
        <w:t xml:space="preserve"> </w:t>
      </w:r>
      <w:r w:rsidRPr="00885E11">
        <w:rPr>
          <w:rtl/>
        </w:rPr>
        <w:t>فضلاً</w:t>
      </w:r>
      <w:r>
        <w:rPr>
          <w:rtl/>
        </w:rPr>
        <w:t xml:space="preserve"> </w:t>
      </w:r>
      <w:r w:rsidRPr="00885E11">
        <w:rPr>
          <w:rtl/>
        </w:rPr>
        <w:t>عن</w:t>
      </w:r>
      <w:r>
        <w:rPr>
          <w:rtl/>
        </w:rPr>
        <w:t xml:space="preserve"> </w:t>
      </w:r>
      <w:r w:rsidRPr="00885E11">
        <w:rPr>
          <w:rtl/>
        </w:rPr>
        <w:t>استخدام</w:t>
      </w:r>
      <w:r>
        <w:rPr>
          <w:rtl/>
        </w:rPr>
        <w:t xml:space="preserve"> </w:t>
      </w:r>
      <w:r w:rsidRPr="00885E11">
        <w:rPr>
          <w:rtl/>
        </w:rPr>
        <w:t>قوات</w:t>
      </w:r>
      <w:r>
        <w:rPr>
          <w:rtl/>
        </w:rPr>
        <w:t xml:space="preserve"> </w:t>
      </w:r>
      <w:r w:rsidRPr="00885E11">
        <w:rPr>
          <w:rtl/>
        </w:rPr>
        <w:t>الأمن</w:t>
      </w:r>
      <w:r>
        <w:rPr>
          <w:rtl/>
        </w:rPr>
        <w:t xml:space="preserve"> </w:t>
      </w:r>
      <w:r w:rsidRPr="00885E11">
        <w:rPr>
          <w:rtl/>
        </w:rPr>
        <w:t>القوة</w:t>
      </w:r>
      <w:r>
        <w:rPr>
          <w:rtl/>
        </w:rPr>
        <w:t xml:space="preserve"> </w:t>
      </w:r>
      <w:r w:rsidRPr="00885E11">
        <w:rPr>
          <w:rtl/>
        </w:rPr>
        <w:t>المفرطة</w:t>
      </w:r>
      <w:r>
        <w:rPr>
          <w:rtl/>
        </w:rPr>
        <w:t xml:space="preserve"> </w:t>
      </w:r>
      <w:r w:rsidRPr="00885E11">
        <w:rPr>
          <w:rtl/>
        </w:rPr>
        <w:t>ضد</w:t>
      </w:r>
      <w:r>
        <w:rPr>
          <w:rtl/>
        </w:rPr>
        <w:t xml:space="preserve"> </w:t>
      </w:r>
      <w:r w:rsidRPr="00885E11">
        <w:rPr>
          <w:rtl/>
        </w:rPr>
        <w:t>المتظاهرين</w:t>
      </w:r>
      <w:r w:rsidR="005D7864">
        <w:rPr>
          <w:rtl/>
        </w:rPr>
        <w:t>،</w:t>
      </w:r>
      <w:r>
        <w:rPr>
          <w:rtl/>
        </w:rPr>
        <w:t xml:space="preserve"> </w:t>
      </w:r>
      <w:r w:rsidRPr="00885E11">
        <w:rPr>
          <w:rtl/>
        </w:rPr>
        <w:t>مما</w:t>
      </w:r>
      <w:r>
        <w:rPr>
          <w:rtl/>
        </w:rPr>
        <w:t xml:space="preserve"> </w:t>
      </w:r>
      <w:r w:rsidRPr="00885E11">
        <w:rPr>
          <w:rtl/>
        </w:rPr>
        <w:t>أدى</w:t>
      </w:r>
      <w:r>
        <w:rPr>
          <w:rtl/>
        </w:rPr>
        <w:t xml:space="preserve"> </w:t>
      </w:r>
      <w:r w:rsidRPr="00885E11">
        <w:rPr>
          <w:rtl/>
        </w:rPr>
        <w:t>إلى</w:t>
      </w:r>
      <w:r>
        <w:rPr>
          <w:rtl/>
        </w:rPr>
        <w:t xml:space="preserve"> </w:t>
      </w:r>
      <w:r w:rsidRPr="00885E11">
        <w:rPr>
          <w:rtl/>
        </w:rPr>
        <w:t>إصابات</w:t>
      </w:r>
      <w:r>
        <w:rPr>
          <w:rtl/>
        </w:rPr>
        <w:t xml:space="preserve"> </w:t>
      </w:r>
      <w:r w:rsidRPr="00885E11">
        <w:rPr>
          <w:rtl/>
        </w:rPr>
        <w:t>ووفيات</w:t>
      </w:r>
      <w:r w:rsidR="005D7864">
        <w:rPr>
          <w:rtl/>
        </w:rPr>
        <w:t>،</w:t>
      </w:r>
      <w:r>
        <w:rPr>
          <w:rtl/>
        </w:rPr>
        <w:t xml:space="preserve"> </w:t>
      </w:r>
      <w:r w:rsidRPr="00885E11">
        <w:rPr>
          <w:rtl/>
        </w:rPr>
        <w:t>وحالات</w:t>
      </w:r>
      <w:r>
        <w:rPr>
          <w:rtl/>
        </w:rPr>
        <w:t xml:space="preserve"> </w:t>
      </w:r>
      <w:r w:rsidRPr="00885E11">
        <w:rPr>
          <w:rtl/>
        </w:rPr>
        <w:t>اختفاء</w:t>
      </w:r>
      <w:r>
        <w:rPr>
          <w:rtl/>
        </w:rPr>
        <w:t xml:space="preserve"> </w:t>
      </w:r>
      <w:r w:rsidRPr="00885E11">
        <w:rPr>
          <w:rtl/>
        </w:rPr>
        <w:t>قسري</w:t>
      </w:r>
      <w:r>
        <w:rPr>
          <w:rtl/>
        </w:rPr>
        <w:t xml:space="preserve"> </w:t>
      </w:r>
      <w:r w:rsidRPr="00885E11">
        <w:rPr>
          <w:rtl/>
        </w:rPr>
        <w:t>مزعومة.</w:t>
      </w:r>
      <w:r>
        <w:rPr>
          <w:rtl/>
        </w:rPr>
        <w:t xml:space="preserve"> </w:t>
      </w:r>
      <w:r w:rsidRPr="00885E11">
        <w:rPr>
          <w:rtl/>
        </w:rPr>
        <w:t>وأعربت</w:t>
      </w:r>
      <w:r>
        <w:rPr>
          <w:rtl/>
        </w:rPr>
        <w:t xml:space="preserve"> </w:t>
      </w:r>
      <w:r w:rsidRPr="00885E11">
        <w:rPr>
          <w:rtl/>
        </w:rPr>
        <w:t>اللجنة</w:t>
      </w:r>
      <w:r>
        <w:rPr>
          <w:rtl/>
        </w:rPr>
        <w:t xml:space="preserve"> </w:t>
      </w:r>
      <w:r w:rsidRPr="00885E11">
        <w:rPr>
          <w:rtl/>
        </w:rPr>
        <w:t>عن</w:t>
      </w:r>
      <w:r>
        <w:rPr>
          <w:rtl/>
        </w:rPr>
        <w:t xml:space="preserve"> </w:t>
      </w:r>
      <w:r w:rsidRPr="00885E11">
        <w:rPr>
          <w:rtl/>
        </w:rPr>
        <w:t>قلقها</w:t>
      </w:r>
      <w:r>
        <w:rPr>
          <w:rtl/>
        </w:rPr>
        <w:t xml:space="preserve"> </w:t>
      </w:r>
      <w:r w:rsidRPr="00885E11">
        <w:rPr>
          <w:rtl/>
        </w:rPr>
        <w:t>إزاء</w:t>
      </w:r>
      <w:r>
        <w:rPr>
          <w:rtl/>
        </w:rPr>
        <w:t xml:space="preserve"> </w:t>
      </w:r>
      <w:r w:rsidRPr="00885E11">
        <w:rPr>
          <w:rtl/>
        </w:rPr>
        <w:t>الادعاءات</w:t>
      </w:r>
      <w:r>
        <w:rPr>
          <w:rtl/>
        </w:rPr>
        <w:t xml:space="preserve"> </w:t>
      </w:r>
      <w:r w:rsidRPr="00885E11">
        <w:rPr>
          <w:rtl/>
        </w:rPr>
        <w:t>التي</w:t>
      </w:r>
      <w:r>
        <w:rPr>
          <w:rtl/>
        </w:rPr>
        <w:t xml:space="preserve"> </w:t>
      </w:r>
      <w:r w:rsidRPr="00885E11">
        <w:rPr>
          <w:rtl/>
        </w:rPr>
        <w:t>تفيد</w:t>
      </w:r>
      <w:r>
        <w:rPr>
          <w:rtl/>
        </w:rPr>
        <w:t xml:space="preserve"> </w:t>
      </w:r>
      <w:r w:rsidRPr="00885E11">
        <w:rPr>
          <w:rtl/>
        </w:rPr>
        <w:t>بأن</w:t>
      </w:r>
      <w:r>
        <w:rPr>
          <w:rtl/>
        </w:rPr>
        <w:t xml:space="preserve"> </w:t>
      </w:r>
      <w:r w:rsidRPr="00885E11">
        <w:rPr>
          <w:rtl/>
        </w:rPr>
        <w:t>الصحفيين</w:t>
      </w:r>
      <w:r>
        <w:rPr>
          <w:rtl/>
        </w:rPr>
        <w:t xml:space="preserve"> </w:t>
      </w:r>
      <w:r w:rsidRPr="00885E11">
        <w:rPr>
          <w:rtl/>
        </w:rPr>
        <w:t>والعاملين</w:t>
      </w:r>
      <w:r>
        <w:rPr>
          <w:rtl/>
        </w:rPr>
        <w:t xml:space="preserve"> </w:t>
      </w:r>
      <w:r w:rsidRPr="00885E11">
        <w:rPr>
          <w:rtl/>
        </w:rPr>
        <w:t>في</w:t>
      </w:r>
      <w:r>
        <w:rPr>
          <w:rtl/>
        </w:rPr>
        <w:t xml:space="preserve"> </w:t>
      </w:r>
      <w:r w:rsidRPr="00885E11">
        <w:rPr>
          <w:rtl/>
        </w:rPr>
        <w:t>وسائط</w:t>
      </w:r>
      <w:r>
        <w:rPr>
          <w:rtl/>
        </w:rPr>
        <w:t xml:space="preserve"> </w:t>
      </w:r>
      <w:r w:rsidRPr="00885E11">
        <w:rPr>
          <w:rtl/>
        </w:rPr>
        <w:t>الإعلام</w:t>
      </w:r>
      <w:r>
        <w:rPr>
          <w:rtl/>
        </w:rPr>
        <w:t xml:space="preserve"> </w:t>
      </w:r>
      <w:r w:rsidRPr="00885E11">
        <w:rPr>
          <w:rtl/>
        </w:rPr>
        <w:t>تعرضوا</w:t>
      </w:r>
      <w:r>
        <w:rPr>
          <w:rtl/>
        </w:rPr>
        <w:t xml:space="preserve"> </w:t>
      </w:r>
      <w:r w:rsidRPr="00885E11">
        <w:rPr>
          <w:rtl/>
        </w:rPr>
        <w:t>لهجمات</w:t>
      </w:r>
      <w:r>
        <w:rPr>
          <w:rtl/>
        </w:rPr>
        <w:t xml:space="preserve"> </w:t>
      </w:r>
      <w:r w:rsidRPr="00885E11">
        <w:rPr>
          <w:rtl/>
        </w:rPr>
        <w:t>وتخويف</w:t>
      </w:r>
      <w:r>
        <w:rPr>
          <w:rtl/>
        </w:rPr>
        <w:t xml:space="preserve"> </w:t>
      </w:r>
      <w:r w:rsidRPr="00885E11">
        <w:rPr>
          <w:rtl/>
        </w:rPr>
        <w:t>من</w:t>
      </w:r>
      <w:r>
        <w:rPr>
          <w:rtl/>
        </w:rPr>
        <w:t xml:space="preserve"> </w:t>
      </w:r>
      <w:r w:rsidRPr="00885E11">
        <w:rPr>
          <w:rtl/>
        </w:rPr>
        <w:t>جانب</w:t>
      </w:r>
      <w:r>
        <w:rPr>
          <w:rtl/>
        </w:rPr>
        <w:t xml:space="preserve"> </w:t>
      </w:r>
      <w:r w:rsidRPr="00885E11">
        <w:rPr>
          <w:rtl/>
        </w:rPr>
        <w:t>الدولة</w:t>
      </w:r>
      <w:r>
        <w:rPr>
          <w:rtl/>
        </w:rPr>
        <w:t xml:space="preserve"> </w:t>
      </w:r>
      <w:r w:rsidRPr="00885E11">
        <w:rPr>
          <w:rtl/>
        </w:rPr>
        <w:t>وجهات</w:t>
      </w:r>
      <w:r>
        <w:rPr>
          <w:rtl/>
        </w:rPr>
        <w:t xml:space="preserve"> </w:t>
      </w:r>
      <w:r w:rsidRPr="00885E11">
        <w:rPr>
          <w:rtl/>
        </w:rPr>
        <w:t>غير</w:t>
      </w:r>
      <w:r>
        <w:rPr>
          <w:rtl/>
        </w:rPr>
        <w:t xml:space="preserve"> </w:t>
      </w:r>
      <w:r w:rsidRPr="00885E11">
        <w:rPr>
          <w:rtl/>
        </w:rPr>
        <w:t>تابعة</w:t>
      </w:r>
      <w:r>
        <w:rPr>
          <w:rtl/>
        </w:rPr>
        <w:t xml:space="preserve"> </w:t>
      </w:r>
      <w:r w:rsidRPr="00885E11">
        <w:rPr>
          <w:rtl/>
        </w:rPr>
        <w:t>للدولة</w:t>
      </w:r>
      <w:r w:rsidR="005D7864">
        <w:rPr>
          <w:rtl/>
        </w:rPr>
        <w:t>،</w:t>
      </w:r>
      <w:r>
        <w:rPr>
          <w:rtl/>
        </w:rPr>
        <w:t xml:space="preserve"> </w:t>
      </w:r>
      <w:r w:rsidRPr="00885E11">
        <w:rPr>
          <w:rtl/>
        </w:rPr>
        <w:t>وأن</w:t>
      </w:r>
      <w:r>
        <w:rPr>
          <w:rtl/>
        </w:rPr>
        <w:t xml:space="preserve"> </w:t>
      </w:r>
      <w:r w:rsidRPr="00885E11">
        <w:rPr>
          <w:rtl/>
        </w:rPr>
        <w:t>قوات</w:t>
      </w:r>
      <w:r>
        <w:rPr>
          <w:rtl/>
        </w:rPr>
        <w:t xml:space="preserve"> </w:t>
      </w:r>
      <w:r w:rsidRPr="00885E11">
        <w:rPr>
          <w:rtl/>
        </w:rPr>
        <w:t>الأمن</w:t>
      </w:r>
      <w:r>
        <w:rPr>
          <w:rtl/>
        </w:rPr>
        <w:t xml:space="preserve"> </w:t>
      </w:r>
      <w:r w:rsidRPr="00885E11">
        <w:rPr>
          <w:rtl/>
        </w:rPr>
        <w:t>منعتهم</w:t>
      </w:r>
      <w:r>
        <w:rPr>
          <w:rtl/>
        </w:rPr>
        <w:t xml:space="preserve"> </w:t>
      </w:r>
      <w:r w:rsidRPr="00885E11">
        <w:rPr>
          <w:rtl/>
        </w:rPr>
        <w:t>من</w:t>
      </w:r>
      <w:r>
        <w:rPr>
          <w:rtl/>
        </w:rPr>
        <w:t xml:space="preserve"> </w:t>
      </w:r>
      <w:r w:rsidRPr="00885E11">
        <w:rPr>
          <w:rtl/>
        </w:rPr>
        <w:t>تغطية</w:t>
      </w:r>
      <w:r>
        <w:rPr>
          <w:rtl/>
        </w:rPr>
        <w:t xml:space="preserve"> </w:t>
      </w:r>
      <w:r w:rsidRPr="00885E11">
        <w:rPr>
          <w:rtl/>
        </w:rPr>
        <w:t>الأحداث.</w:t>
      </w:r>
      <w:r>
        <w:rPr>
          <w:rtl/>
        </w:rPr>
        <w:t xml:space="preserve"> </w:t>
      </w:r>
      <w:r w:rsidRPr="00885E11">
        <w:rPr>
          <w:rtl/>
        </w:rPr>
        <w:t>وتلاحظ</w:t>
      </w:r>
      <w:r>
        <w:rPr>
          <w:rtl/>
        </w:rPr>
        <w:t xml:space="preserve"> </w:t>
      </w:r>
      <w:r w:rsidRPr="00885E11">
        <w:rPr>
          <w:rtl/>
        </w:rPr>
        <w:t>اللجنة</w:t>
      </w:r>
      <w:r>
        <w:rPr>
          <w:rtl/>
        </w:rPr>
        <w:t xml:space="preserve"> </w:t>
      </w:r>
      <w:r w:rsidRPr="00885E11">
        <w:rPr>
          <w:rtl/>
        </w:rPr>
        <w:t>أن</w:t>
      </w:r>
      <w:r>
        <w:rPr>
          <w:rtl/>
        </w:rPr>
        <w:t xml:space="preserve"> </w:t>
      </w:r>
      <w:r w:rsidRPr="00885E11">
        <w:rPr>
          <w:rtl/>
        </w:rPr>
        <w:t>مشروع</w:t>
      </w:r>
      <w:r>
        <w:rPr>
          <w:rtl/>
        </w:rPr>
        <w:t xml:space="preserve"> </w:t>
      </w:r>
      <w:r w:rsidRPr="00885E11">
        <w:rPr>
          <w:rtl/>
        </w:rPr>
        <w:t>قانون</w:t>
      </w:r>
      <w:r>
        <w:rPr>
          <w:rtl/>
        </w:rPr>
        <w:t xml:space="preserve"> </w:t>
      </w:r>
      <w:r w:rsidRPr="00885E11">
        <w:rPr>
          <w:rtl/>
        </w:rPr>
        <w:t>حرية</w:t>
      </w:r>
      <w:r>
        <w:rPr>
          <w:rtl/>
        </w:rPr>
        <w:t xml:space="preserve"> </w:t>
      </w:r>
      <w:r w:rsidRPr="00885E11">
        <w:rPr>
          <w:rtl/>
        </w:rPr>
        <w:t>التعبير</w:t>
      </w:r>
      <w:r>
        <w:rPr>
          <w:rtl/>
        </w:rPr>
        <w:t xml:space="preserve"> </w:t>
      </w:r>
      <w:r w:rsidRPr="00885E11">
        <w:rPr>
          <w:rtl/>
        </w:rPr>
        <w:t>عن</w:t>
      </w:r>
      <w:r>
        <w:rPr>
          <w:rtl/>
        </w:rPr>
        <w:t xml:space="preserve"> </w:t>
      </w:r>
      <w:r w:rsidRPr="00885E11">
        <w:rPr>
          <w:rtl/>
        </w:rPr>
        <w:t>الرأي</w:t>
      </w:r>
      <w:r>
        <w:rPr>
          <w:rtl/>
        </w:rPr>
        <w:t xml:space="preserve"> </w:t>
      </w:r>
      <w:r w:rsidRPr="00885E11">
        <w:rPr>
          <w:rtl/>
        </w:rPr>
        <w:t>والاجتماع</w:t>
      </w:r>
      <w:r w:rsidR="00DC17E8">
        <w:rPr>
          <w:rtl/>
        </w:rPr>
        <w:t xml:space="preserve"> </w:t>
      </w:r>
      <w:r w:rsidRPr="00885E11">
        <w:rPr>
          <w:rtl/>
        </w:rPr>
        <w:t>والتظاهر</w:t>
      </w:r>
      <w:r>
        <w:rPr>
          <w:rtl/>
        </w:rPr>
        <w:t xml:space="preserve"> </w:t>
      </w:r>
      <w:r w:rsidRPr="00885E11">
        <w:rPr>
          <w:rtl/>
        </w:rPr>
        <w:t>السلمي</w:t>
      </w:r>
      <w:r w:rsidR="005D7864">
        <w:rPr>
          <w:rtl/>
        </w:rPr>
        <w:t>،</w:t>
      </w:r>
      <w:r>
        <w:rPr>
          <w:rtl/>
        </w:rPr>
        <w:t xml:space="preserve"> </w:t>
      </w:r>
      <w:r w:rsidRPr="00885E11">
        <w:rPr>
          <w:rtl/>
        </w:rPr>
        <w:t>المعروض</w:t>
      </w:r>
      <w:r>
        <w:rPr>
          <w:rtl/>
        </w:rPr>
        <w:t xml:space="preserve"> </w:t>
      </w:r>
      <w:r w:rsidRPr="00885E11">
        <w:rPr>
          <w:rtl/>
        </w:rPr>
        <w:t>حالياً</w:t>
      </w:r>
      <w:r>
        <w:rPr>
          <w:rtl/>
        </w:rPr>
        <w:t xml:space="preserve"> </w:t>
      </w:r>
      <w:r w:rsidRPr="00885E11">
        <w:rPr>
          <w:rtl/>
        </w:rPr>
        <w:t>على</w:t>
      </w:r>
      <w:r>
        <w:rPr>
          <w:rtl/>
        </w:rPr>
        <w:t xml:space="preserve"> </w:t>
      </w:r>
      <w:r w:rsidRPr="00885E11">
        <w:rPr>
          <w:rtl/>
        </w:rPr>
        <w:t>مجلس</w:t>
      </w:r>
      <w:r>
        <w:rPr>
          <w:rtl/>
        </w:rPr>
        <w:t xml:space="preserve"> </w:t>
      </w:r>
      <w:r w:rsidRPr="00885E11">
        <w:rPr>
          <w:rtl/>
        </w:rPr>
        <w:t>النواب</w:t>
      </w:r>
      <w:r w:rsidR="005D7864">
        <w:rPr>
          <w:rtl/>
        </w:rPr>
        <w:t>،</w:t>
      </w:r>
      <w:r>
        <w:rPr>
          <w:rtl/>
        </w:rPr>
        <w:t xml:space="preserve"> </w:t>
      </w:r>
      <w:r w:rsidRPr="00885E11">
        <w:rPr>
          <w:rtl/>
        </w:rPr>
        <w:t>قد</w:t>
      </w:r>
      <w:r>
        <w:rPr>
          <w:rtl/>
        </w:rPr>
        <w:t xml:space="preserve"> </w:t>
      </w:r>
      <w:r w:rsidRPr="00885E11">
        <w:rPr>
          <w:rtl/>
        </w:rPr>
        <w:t>تم</w:t>
      </w:r>
      <w:r>
        <w:rPr>
          <w:rtl/>
        </w:rPr>
        <w:t xml:space="preserve"> </w:t>
      </w:r>
      <w:r w:rsidRPr="00885E11">
        <w:rPr>
          <w:rtl/>
        </w:rPr>
        <w:t>تسريعه</w:t>
      </w:r>
      <w:r>
        <w:rPr>
          <w:rtl/>
        </w:rPr>
        <w:t xml:space="preserve"> </w:t>
      </w:r>
      <w:r w:rsidRPr="00885E11">
        <w:rPr>
          <w:rtl/>
        </w:rPr>
        <w:t>للسماح</w:t>
      </w:r>
      <w:r>
        <w:rPr>
          <w:rtl/>
        </w:rPr>
        <w:t xml:space="preserve"> </w:t>
      </w:r>
      <w:r w:rsidRPr="00885E11">
        <w:rPr>
          <w:rtl/>
        </w:rPr>
        <w:t>باعتماده</w:t>
      </w:r>
      <w:r>
        <w:rPr>
          <w:rtl/>
        </w:rPr>
        <w:t xml:space="preserve"> </w:t>
      </w:r>
      <w:r w:rsidRPr="00885E11">
        <w:rPr>
          <w:rtl/>
        </w:rPr>
        <w:t>في</w:t>
      </w:r>
      <w:r>
        <w:rPr>
          <w:rtl/>
        </w:rPr>
        <w:t xml:space="preserve"> </w:t>
      </w:r>
      <w:r w:rsidRPr="00885E11">
        <w:rPr>
          <w:rtl/>
        </w:rPr>
        <w:t>أقرب</w:t>
      </w:r>
      <w:r>
        <w:rPr>
          <w:rtl/>
        </w:rPr>
        <w:t xml:space="preserve"> </w:t>
      </w:r>
      <w:r w:rsidRPr="00885E11">
        <w:rPr>
          <w:rtl/>
        </w:rPr>
        <w:t>الآجال</w:t>
      </w:r>
      <w:r>
        <w:rPr>
          <w:rtl/>
        </w:rPr>
        <w:t xml:space="preserve"> </w:t>
      </w:r>
      <w:r w:rsidRPr="00885E11">
        <w:rPr>
          <w:rtl/>
        </w:rPr>
        <w:t>(المواد</w:t>
      </w:r>
      <w:r>
        <w:rPr>
          <w:rtl/>
        </w:rPr>
        <w:t xml:space="preserve"> </w:t>
      </w:r>
      <w:r w:rsidRPr="00846FFB">
        <w:rPr>
          <w:rtl/>
        </w:rPr>
        <w:t>6</w:t>
      </w:r>
      <w:r>
        <w:rPr>
          <w:rtl/>
        </w:rPr>
        <w:t xml:space="preserve"> </w:t>
      </w:r>
      <w:r w:rsidRPr="00885E11">
        <w:rPr>
          <w:rtl/>
        </w:rPr>
        <w:t>و</w:t>
      </w:r>
      <w:r w:rsidRPr="00846FFB">
        <w:rPr>
          <w:rtl/>
        </w:rPr>
        <w:t>19</w:t>
      </w:r>
      <w:r>
        <w:rPr>
          <w:rtl/>
        </w:rPr>
        <w:t xml:space="preserve"> </w:t>
      </w:r>
      <w:r w:rsidRPr="00885E11">
        <w:rPr>
          <w:rtl/>
        </w:rPr>
        <w:t>و</w:t>
      </w:r>
      <w:r w:rsidRPr="00846FFB">
        <w:rPr>
          <w:rtl/>
        </w:rPr>
        <w:t>21</w:t>
      </w:r>
      <w:r w:rsidRPr="00885E11">
        <w:rPr>
          <w:rtl/>
        </w:rPr>
        <w:t>-</w:t>
      </w:r>
      <w:r w:rsidRPr="00846FFB">
        <w:rPr>
          <w:rtl/>
        </w:rPr>
        <w:t>22</w:t>
      </w:r>
      <w:r>
        <w:rPr>
          <w:rtl/>
        </w:rPr>
        <w:t xml:space="preserve"> </w:t>
      </w:r>
      <w:r w:rsidRPr="00885E11">
        <w:rPr>
          <w:rtl/>
        </w:rPr>
        <w:t>و</w:t>
      </w:r>
      <w:r w:rsidRPr="00846FFB">
        <w:rPr>
          <w:rtl/>
        </w:rPr>
        <w:t>25</w:t>
      </w:r>
      <w:r w:rsidRPr="00885E11">
        <w:rPr>
          <w:rtl/>
        </w:rPr>
        <w:t>-</w:t>
      </w:r>
      <w:r w:rsidRPr="00846FFB">
        <w:rPr>
          <w:rtl/>
        </w:rPr>
        <w:t>26</w:t>
      </w:r>
      <w:r w:rsidRPr="00885E11">
        <w:rPr>
          <w:rtl/>
        </w:rPr>
        <w:t>).</w:t>
      </w:r>
    </w:p>
    <w:p w14:paraId="27612C26" w14:textId="5891E8FB" w:rsidR="00885E11" w:rsidRPr="00DC17E8" w:rsidRDefault="00885E11" w:rsidP="00E73DBD">
      <w:pPr>
        <w:pStyle w:val="SingleTxtGA"/>
        <w:spacing w:after="100"/>
        <w:rPr>
          <w:b/>
          <w:bCs/>
        </w:rPr>
      </w:pPr>
      <w:r w:rsidRPr="00846FFB">
        <w:rPr>
          <w:rtl/>
        </w:rPr>
        <w:t>33</w:t>
      </w:r>
      <w:r w:rsidRPr="007B0599">
        <w:rPr>
          <w:rtl/>
        </w:rPr>
        <w:t>-</w:t>
      </w:r>
      <w:r w:rsidRPr="007B0599">
        <w:rPr>
          <w:rtl/>
        </w:rPr>
        <w:tab/>
      </w:r>
      <w:r w:rsidRPr="00DC17E8">
        <w:rPr>
          <w:b/>
          <w:bCs/>
          <w:rtl/>
        </w:rPr>
        <w:t xml:space="preserve">ينبغي للدولة الطرف </w:t>
      </w:r>
      <w:r w:rsidR="00DC17E8" w:rsidRPr="00DC17E8">
        <w:rPr>
          <w:rFonts w:hint="cs"/>
          <w:b/>
          <w:bCs/>
          <w:rtl/>
        </w:rPr>
        <w:t>كفالة أ</w:t>
      </w:r>
      <w:r w:rsidR="00DC17E8" w:rsidRPr="00DC17E8">
        <w:rPr>
          <w:b/>
          <w:bCs/>
          <w:rtl/>
        </w:rPr>
        <w:t>ن</w:t>
      </w:r>
      <w:r w:rsidRPr="00DC17E8">
        <w:rPr>
          <w:b/>
          <w:bCs/>
          <w:rtl/>
        </w:rPr>
        <w:t xml:space="preserve"> يسمح مشروع قانون حرية التعبير عن الرأي والاجتماع</w:t>
      </w:r>
      <w:r w:rsidR="00DC17E8" w:rsidRPr="00DC17E8">
        <w:rPr>
          <w:b/>
          <w:bCs/>
          <w:rtl/>
        </w:rPr>
        <w:t xml:space="preserve"> </w:t>
      </w:r>
      <w:r w:rsidRPr="00DC17E8">
        <w:rPr>
          <w:b/>
          <w:bCs/>
          <w:rtl/>
        </w:rPr>
        <w:t>والتظاهر</w:t>
      </w:r>
      <w:r w:rsidR="00DC17E8" w:rsidRPr="00DC17E8">
        <w:rPr>
          <w:b/>
          <w:bCs/>
          <w:rtl/>
        </w:rPr>
        <w:t xml:space="preserve"> </w:t>
      </w:r>
      <w:r w:rsidRPr="00DC17E8">
        <w:rPr>
          <w:b/>
          <w:bCs/>
          <w:rtl/>
        </w:rPr>
        <w:t>السلمي بممارسة</w:t>
      </w:r>
      <w:r w:rsidR="00DC17E8" w:rsidRPr="00DC17E8">
        <w:rPr>
          <w:b/>
          <w:bCs/>
          <w:rtl/>
        </w:rPr>
        <w:t xml:space="preserve"> </w:t>
      </w:r>
      <w:r w:rsidRPr="00DC17E8">
        <w:rPr>
          <w:b/>
          <w:bCs/>
          <w:rtl/>
        </w:rPr>
        <w:t xml:space="preserve">الحق في حرية التعبير والتجمع السلمي وتكوين الجمعيات ممارسة كاملة على النحو المتوخى في العهد (المواد </w:t>
      </w:r>
      <w:r w:rsidRPr="00846FFB">
        <w:rPr>
          <w:b/>
          <w:bCs/>
          <w:rtl/>
        </w:rPr>
        <w:t>2</w:t>
      </w:r>
      <w:r w:rsidRPr="00DC17E8">
        <w:rPr>
          <w:b/>
          <w:bCs/>
          <w:rtl/>
        </w:rPr>
        <w:t xml:space="preserve"> و</w:t>
      </w:r>
      <w:r w:rsidRPr="00846FFB">
        <w:rPr>
          <w:b/>
          <w:bCs/>
          <w:rtl/>
        </w:rPr>
        <w:t>19</w:t>
      </w:r>
      <w:r w:rsidRPr="00DC17E8">
        <w:rPr>
          <w:b/>
          <w:bCs/>
          <w:rtl/>
        </w:rPr>
        <w:t xml:space="preserve"> و</w:t>
      </w:r>
      <w:r w:rsidRPr="00846FFB">
        <w:rPr>
          <w:b/>
          <w:bCs/>
          <w:rtl/>
        </w:rPr>
        <w:t>21</w:t>
      </w:r>
      <w:r w:rsidRPr="00DC17E8">
        <w:rPr>
          <w:b/>
          <w:bCs/>
          <w:rtl/>
        </w:rPr>
        <w:t>-</w:t>
      </w:r>
      <w:r w:rsidRPr="00846FFB">
        <w:rPr>
          <w:b/>
          <w:bCs/>
          <w:rtl/>
        </w:rPr>
        <w:t>22</w:t>
      </w:r>
      <w:r w:rsidRPr="00DC17E8">
        <w:rPr>
          <w:b/>
          <w:bCs/>
          <w:rtl/>
        </w:rPr>
        <w:t xml:space="preserve">). وينبغي للدولة الطرف أيضاً </w:t>
      </w:r>
      <w:r w:rsidR="00DC17E8" w:rsidRPr="00DC17E8">
        <w:rPr>
          <w:rFonts w:hint="cs"/>
          <w:b/>
          <w:bCs/>
          <w:rtl/>
        </w:rPr>
        <w:t>اتخاذ جمي</w:t>
      </w:r>
      <w:r w:rsidR="00DC17E8" w:rsidRPr="00DC17E8">
        <w:rPr>
          <w:b/>
          <w:bCs/>
          <w:rtl/>
        </w:rPr>
        <w:t>ع</w:t>
      </w:r>
      <w:r w:rsidRPr="00DC17E8">
        <w:rPr>
          <w:b/>
          <w:bCs/>
          <w:rtl/>
        </w:rPr>
        <w:t xml:space="preserve"> التدابير اللازمة لضمان حرية الصحفيين والعاملين في وسائط الإعلام في الاضطلاع بعملهم دون خوف من العنف أو الانتقام. وينبغي لها </w:t>
      </w:r>
      <w:r w:rsidR="00DC17E8" w:rsidRPr="00DC17E8">
        <w:rPr>
          <w:rFonts w:hint="cs"/>
          <w:b/>
          <w:bCs/>
          <w:rtl/>
        </w:rPr>
        <w:t>إجراء تحقيقا</w:t>
      </w:r>
      <w:r w:rsidR="00DC17E8" w:rsidRPr="00DC17E8">
        <w:rPr>
          <w:b/>
          <w:bCs/>
          <w:rtl/>
        </w:rPr>
        <w:t>ت</w:t>
      </w:r>
      <w:r w:rsidRPr="00DC17E8">
        <w:rPr>
          <w:b/>
          <w:bCs/>
          <w:rtl/>
        </w:rPr>
        <w:t xml:space="preserve"> فورية ونزيهة في مزاعم التهديدات أو العنف ضد الصحفيين والمتظاهرين</w:t>
      </w:r>
      <w:r w:rsidR="005D7864">
        <w:rPr>
          <w:b/>
          <w:bCs/>
          <w:rtl/>
        </w:rPr>
        <w:t>،</w:t>
      </w:r>
      <w:r w:rsidRPr="00DC17E8">
        <w:rPr>
          <w:b/>
          <w:bCs/>
          <w:rtl/>
        </w:rPr>
        <w:t xml:space="preserve"> ومحاسبة الجناة.</w:t>
      </w:r>
    </w:p>
    <w:p w14:paraId="55E7670D" w14:textId="214871CF" w:rsidR="00885E11" w:rsidRPr="00846FFB" w:rsidRDefault="00885E11" w:rsidP="00E73DBD">
      <w:pPr>
        <w:pStyle w:val="H23GA"/>
        <w:spacing w:before="200" w:after="100"/>
      </w:pPr>
      <w:r w:rsidRPr="00846FFB">
        <w:rPr>
          <w:rtl/>
        </w:rPr>
        <w:tab/>
      </w:r>
      <w:r w:rsidRPr="00846FFB">
        <w:rPr>
          <w:rtl/>
        </w:rPr>
        <w:tab/>
        <w:t xml:space="preserve">حقوق الطفل </w:t>
      </w:r>
    </w:p>
    <w:p w14:paraId="29692EDF" w14:textId="1880DF15" w:rsidR="00885E11" w:rsidRPr="00E73DBD" w:rsidRDefault="00885E11" w:rsidP="00E73DBD">
      <w:pPr>
        <w:pStyle w:val="SingleTxtGA"/>
        <w:spacing w:after="100"/>
        <w:rPr>
          <w:spacing w:val="-2"/>
        </w:rPr>
      </w:pPr>
      <w:r w:rsidRPr="00846FFB">
        <w:rPr>
          <w:rtl/>
        </w:rPr>
        <w:t>34</w:t>
      </w:r>
      <w:r w:rsidRPr="007B0599">
        <w:rPr>
          <w:rtl/>
        </w:rPr>
        <w:t>-</w:t>
      </w:r>
      <w:r w:rsidRPr="007B0599">
        <w:rPr>
          <w:rtl/>
        </w:rPr>
        <w:tab/>
      </w:r>
      <w:r w:rsidRPr="00E73DBD">
        <w:rPr>
          <w:spacing w:val="-2"/>
          <w:rtl/>
        </w:rPr>
        <w:t>تلاحظ اللجنة أن الدولة الطرف تعمل على تنفيذ السياسة الوطنية لحماية الطفل</w:t>
      </w:r>
      <w:r w:rsidR="005D7864" w:rsidRPr="00E73DBD">
        <w:rPr>
          <w:spacing w:val="-2"/>
          <w:rtl/>
        </w:rPr>
        <w:t>،</w:t>
      </w:r>
      <w:r w:rsidRPr="00E73DBD">
        <w:rPr>
          <w:spacing w:val="-2"/>
          <w:rtl/>
        </w:rPr>
        <w:t xml:space="preserve"> التي تهدف إلى إعطاء الأولوية لحماية الأطفال في مناطق التشرد وفي المناطق المحررة</w:t>
      </w:r>
      <w:r w:rsidR="005D7864" w:rsidRPr="00E73DBD">
        <w:rPr>
          <w:spacing w:val="-2"/>
          <w:rtl/>
        </w:rPr>
        <w:t>،</w:t>
      </w:r>
      <w:r w:rsidRPr="00E73DBD">
        <w:rPr>
          <w:spacing w:val="-2"/>
          <w:rtl/>
        </w:rPr>
        <w:t xml:space="preserve"> وأنها تعكف</w:t>
      </w:r>
      <w:r w:rsidR="00DC17E8" w:rsidRPr="00E73DBD">
        <w:rPr>
          <w:spacing w:val="-2"/>
          <w:rtl/>
        </w:rPr>
        <w:t xml:space="preserve"> </w:t>
      </w:r>
      <w:r w:rsidRPr="00E73DBD">
        <w:rPr>
          <w:spacing w:val="-2"/>
          <w:rtl/>
        </w:rPr>
        <w:t>حالياً على صياغة مشروع قانون لحماية الطفل. وتلاحظ اللجنة مع الأسف أن قانون البطاقات</w:t>
      </w:r>
      <w:r w:rsidR="00DC17E8" w:rsidRPr="00E73DBD">
        <w:rPr>
          <w:spacing w:val="-2"/>
          <w:rtl/>
        </w:rPr>
        <w:t xml:space="preserve"> </w:t>
      </w:r>
      <w:r w:rsidRPr="00E73DBD">
        <w:rPr>
          <w:spacing w:val="-2"/>
          <w:rtl/>
        </w:rPr>
        <w:t>الوطنية يقضي بأن يسجل</w:t>
      </w:r>
      <w:r w:rsidR="00DC17E8" w:rsidRPr="00E73DBD">
        <w:rPr>
          <w:spacing w:val="-2"/>
          <w:rtl/>
        </w:rPr>
        <w:t xml:space="preserve"> </w:t>
      </w:r>
      <w:r w:rsidRPr="00E73DBD">
        <w:rPr>
          <w:spacing w:val="-2"/>
          <w:rtl/>
        </w:rPr>
        <w:t>الطفل المولود من أحد الوالدين المسلمين تلقائياً على أنه مسلم</w:t>
      </w:r>
      <w:r w:rsidR="005D7864" w:rsidRPr="00E73DBD">
        <w:rPr>
          <w:spacing w:val="-2"/>
          <w:rtl/>
        </w:rPr>
        <w:t>،</w:t>
      </w:r>
      <w:r w:rsidRPr="00E73DBD">
        <w:rPr>
          <w:spacing w:val="-2"/>
          <w:rtl/>
        </w:rPr>
        <w:t xml:space="preserve"> لأن ذلك يخلق صعوبات للأطفال المولودين في إطار حالات اغتصاب النساء </w:t>
      </w:r>
      <w:proofErr w:type="spellStart"/>
      <w:r w:rsidRPr="00E73DBD">
        <w:rPr>
          <w:spacing w:val="-2"/>
          <w:rtl/>
        </w:rPr>
        <w:t>الأيزيديات</w:t>
      </w:r>
      <w:proofErr w:type="spellEnd"/>
      <w:r w:rsidRPr="00E73DBD">
        <w:rPr>
          <w:spacing w:val="-2"/>
          <w:rtl/>
        </w:rPr>
        <w:t xml:space="preserve"> اللواتي تعرضن للأسر على يد تنظيم داعش. وتلاحظ اللجنة أنه تم إنشاء لجنة متخصصة لمناقشة كيفية معالجة القضايا التي يواجهها الأطفال </w:t>
      </w:r>
      <w:proofErr w:type="spellStart"/>
      <w:r w:rsidRPr="00E73DBD">
        <w:rPr>
          <w:spacing w:val="-2"/>
          <w:rtl/>
        </w:rPr>
        <w:t>المولودون</w:t>
      </w:r>
      <w:proofErr w:type="spellEnd"/>
      <w:r w:rsidRPr="00E73DBD">
        <w:rPr>
          <w:spacing w:val="-2"/>
          <w:rtl/>
        </w:rPr>
        <w:t xml:space="preserve"> نتيجة للعنف الجنسي</w:t>
      </w:r>
      <w:r w:rsidR="00972A49" w:rsidRPr="00E73DBD">
        <w:rPr>
          <w:spacing w:val="-2"/>
          <w:rtl/>
        </w:rPr>
        <w:t xml:space="preserve"> </w:t>
      </w:r>
      <w:proofErr w:type="spellStart"/>
      <w:r w:rsidR="00972A49" w:rsidRPr="00E73DBD">
        <w:rPr>
          <w:spacing w:val="-2"/>
          <w:rtl/>
        </w:rPr>
        <w:t>و</w:t>
      </w:r>
      <w:r w:rsidRPr="00E73DBD">
        <w:rPr>
          <w:spacing w:val="-2"/>
          <w:rtl/>
        </w:rPr>
        <w:t>المولودون</w:t>
      </w:r>
      <w:proofErr w:type="spellEnd"/>
      <w:r w:rsidRPr="00E73DBD">
        <w:rPr>
          <w:spacing w:val="-2"/>
          <w:rtl/>
        </w:rPr>
        <w:t xml:space="preserve"> لأبوين يعتقد أنهما عضوان في داعش</w:t>
      </w:r>
      <w:r w:rsidR="005D7864" w:rsidRPr="00E73DBD">
        <w:rPr>
          <w:spacing w:val="-2"/>
          <w:rtl/>
        </w:rPr>
        <w:t>،</w:t>
      </w:r>
      <w:r w:rsidRPr="00E73DBD">
        <w:rPr>
          <w:spacing w:val="-2"/>
          <w:rtl/>
        </w:rPr>
        <w:t xml:space="preserve"> وفقاً للقانون (المادتان </w:t>
      </w:r>
      <w:r w:rsidRPr="00846FFB">
        <w:rPr>
          <w:spacing w:val="-2"/>
          <w:rtl/>
        </w:rPr>
        <w:t>8</w:t>
      </w:r>
      <w:r w:rsidRPr="00E73DBD">
        <w:rPr>
          <w:spacing w:val="-2"/>
          <w:rtl/>
        </w:rPr>
        <w:t xml:space="preserve"> و</w:t>
      </w:r>
      <w:r w:rsidRPr="00846FFB">
        <w:rPr>
          <w:spacing w:val="-2"/>
          <w:rtl/>
        </w:rPr>
        <w:t>24</w:t>
      </w:r>
      <w:r w:rsidRPr="00E73DBD">
        <w:rPr>
          <w:spacing w:val="-2"/>
          <w:rtl/>
        </w:rPr>
        <w:t>).</w:t>
      </w:r>
    </w:p>
    <w:p w14:paraId="4337EFFC" w14:textId="5A29B2C3" w:rsidR="00885E11" w:rsidRPr="00E73DBD" w:rsidRDefault="00885E11" w:rsidP="00E73DBD">
      <w:pPr>
        <w:pStyle w:val="SingleTxtGA"/>
        <w:spacing w:after="100"/>
        <w:rPr>
          <w:rFonts w:ascii="Times New Roman Bold" w:hAnsi="Times New Roman Bold" w:hint="eastAsia"/>
          <w:b/>
          <w:bCs/>
          <w:spacing w:val="-2"/>
        </w:rPr>
      </w:pPr>
      <w:r w:rsidRPr="00846FFB">
        <w:rPr>
          <w:rtl/>
        </w:rPr>
        <w:t>35</w:t>
      </w:r>
      <w:r w:rsidRPr="007B0599">
        <w:rPr>
          <w:rtl/>
        </w:rPr>
        <w:t>-</w:t>
      </w:r>
      <w:r w:rsidRPr="007B0599">
        <w:rPr>
          <w:rtl/>
        </w:rPr>
        <w:tab/>
      </w:r>
      <w:r w:rsidRPr="00E73DBD">
        <w:rPr>
          <w:rFonts w:ascii="Times New Roman Bold" w:hAnsi="Times New Roman Bold"/>
          <w:b/>
          <w:bCs/>
          <w:spacing w:val="-2"/>
          <w:rtl/>
        </w:rPr>
        <w:t>تحث اللجنة الدولة الطرف على التعجيل باعتماد مشروع قانون حماية الطفل</w:t>
      </w:r>
      <w:r w:rsidR="005D7864" w:rsidRPr="00E73DBD">
        <w:rPr>
          <w:rFonts w:ascii="Times New Roman Bold" w:hAnsi="Times New Roman Bold"/>
          <w:b/>
          <w:bCs/>
          <w:spacing w:val="-2"/>
          <w:rtl/>
        </w:rPr>
        <w:t>،</w:t>
      </w:r>
      <w:r w:rsidRPr="00E73DBD">
        <w:rPr>
          <w:rFonts w:ascii="Times New Roman Bold" w:hAnsi="Times New Roman Bold"/>
          <w:b/>
          <w:bCs/>
          <w:spacing w:val="-2"/>
          <w:rtl/>
        </w:rPr>
        <w:t xml:space="preserve"> وضمان أن يوفر الحماية الكاملة لحقوق الطفل وفقاً للعهد وغيره من الصكوك الدولية التي تكون الدولة طرفاً فيها وتشجع اللجنة الدولة الطرف أيضاً على النظر في تعديل قانون البطاقات الوطنية من أجل مراعاة حالة الأطفال المولودين لأمهات غير مسلمات </w:t>
      </w:r>
      <w:r w:rsidR="00DC17E8" w:rsidRPr="00E73DBD">
        <w:rPr>
          <w:rFonts w:ascii="Times New Roman Bold" w:hAnsi="Times New Roman Bold" w:hint="cs"/>
          <w:b/>
          <w:bCs/>
          <w:spacing w:val="-2"/>
          <w:rtl/>
        </w:rPr>
        <w:t>عندما يكو</w:t>
      </w:r>
      <w:r w:rsidR="00DC17E8" w:rsidRPr="00E73DBD">
        <w:rPr>
          <w:rFonts w:ascii="Times New Roman Bold" w:hAnsi="Times New Roman Bold"/>
          <w:b/>
          <w:bCs/>
          <w:spacing w:val="-2"/>
          <w:rtl/>
        </w:rPr>
        <w:t>ن</w:t>
      </w:r>
      <w:r w:rsidRPr="00E73DBD">
        <w:rPr>
          <w:rFonts w:ascii="Times New Roman Bold" w:hAnsi="Times New Roman Bold"/>
          <w:b/>
          <w:bCs/>
          <w:spacing w:val="-2"/>
          <w:rtl/>
        </w:rPr>
        <w:t xml:space="preserve"> الأب مجهولاً أو غائباً عن حياة الطفل</w:t>
      </w:r>
      <w:r w:rsidR="005D7864" w:rsidRPr="00E73DBD">
        <w:rPr>
          <w:rFonts w:ascii="Times New Roman Bold" w:hAnsi="Times New Roman Bold"/>
          <w:b/>
          <w:bCs/>
          <w:spacing w:val="-2"/>
          <w:rtl/>
        </w:rPr>
        <w:t>،</w:t>
      </w:r>
      <w:r w:rsidRPr="00E73DBD">
        <w:rPr>
          <w:rFonts w:ascii="Times New Roman Bold" w:hAnsi="Times New Roman Bold"/>
          <w:b/>
          <w:bCs/>
          <w:spacing w:val="-2"/>
          <w:rtl/>
        </w:rPr>
        <w:t xml:space="preserve"> ولا سيما الأطفال المولدون في إطار حالات اغتصاب النساء </w:t>
      </w:r>
      <w:proofErr w:type="spellStart"/>
      <w:r w:rsidRPr="00E73DBD">
        <w:rPr>
          <w:rFonts w:ascii="Times New Roman Bold" w:hAnsi="Times New Roman Bold"/>
          <w:b/>
          <w:bCs/>
          <w:spacing w:val="-2"/>
          <w:rtl/>
        </w:rPr>
        <w:t>الأيزيديات</w:t>
      </w:r>
      <w:proofErr w:type="spellEnd"/>
      <w:r w:rsidRPr="00E73DBD">
        <w:rPr>
          <w:rFonts w:ascii="Times New Roman Bold" w:hAnsi="Times New Roman Bold"/>
          <w:b/>
          <w:bCs/>
          <w:spacing w:val="-2"/>
          <w:rtl/>
        </w:rPr>
        <w:t xml:space="preserve"> اللواتي تعرضن في السابق للأسر لدى</w:t>
      </w:r>
      <w:r w:rsidR="00DC17E8" w:rsidRPr="00E73DBD">
        <w:rPr>
          <w:rFonts w:ascii="Times New Roman Bold" w:hAnsi="Times New Roman Bold"/>
          <w:b/>
          <w:bCs/>
          <w:spacing w:val="-2"/>
          <w:rtl/>
        </w:rPr>
        <w:t xml:space="preserve"> </w:t>
      </w:r>
      <w:r w:rsidRPr="00E73DBD">
        <w:rPr>
          <w:rFonts w:ascii="Times New Roman Bold" w:hAnsi="Times New Roman Bold"/>
          <w:b/>
          <w:bCs/>
          <w:spacing w:val="-2"/>
          <w:rtl/>
        </w:rPr>
        <w:t>داعش.</w:t>
      </w:r>
      <w:r w:rsidR="00DC17E8" w:rsidRPr="00E73DBD">
        <w:rPr>
          <w:rFonts w:ascii="Times New Roman Bold" w:hAnsi="Times New Roman Bold"/>
          <w:b/>
          <w:bCs/>
          <w:spacing w:val="-2"/>
          <w:rtl/>
        </w:rPr>
        <w:t xml:space="preserve"> </w:t>
      </w:r>
    </w:p>
    <w:p w14:paraId="53FE819E" w14:textId="6A5EFBCD" w:rsidR="00885E11" w:rsidRPr="00846FFB" w:rsidRDefault="00885E11" w:rsidP="00885E11">
      <w:pPr>
        <w:pStyle w:val="H23GA"/>
      </w:pPr>
      <w:r w:rsidRPr="00846FFB">
        <w:rPr>
          <w:rtl/>
        </w:rPr>
        <w:tab/>
      </w:r>
      <w:r w:rsidRPr="00846FFB">
        <w:rPr>
          <w:rtl/>
        </w:rPr>
        <w:tab/>
        <w:t>السن الدنيا للمسؤولية الجنائية</w:t>
      </w:r>
    </w:p>
    <w:p w14:paraId="65BF79E4" w14:textId="1BC8F3C9" w:rsidR="00885E11" w:rsidRPr="00885E11" w:rsidRDefault="00885E11" w:rsidP="00885E11">
      <w:pPr>
        <w:pStyle w:val="SingleTxtGA"/>
      </w:pPr>
      <w:r w:rsidRPr="00846FFB">
        <w:rPr>
          <w:rtl/>
        </w:rPr>
        <w:t>36</w:t>
      </w:r>
      <w:r w:rsidRPr="007B0599">
        <w:rPr>
          <w:rtl/>
        </w:rPr>
        <w:t>-</w:t>
      </w:r>
      <w:r w:rsidRPr="007B0599">
        <w:rPr>
          <w:rtl/>
        </w:rPr>
        <w:tab/>
      </w:r>
      <w:r w:rsidRPr="00885E11">
        <w:rPr>
          <w:rtl/>
        </w:rPr>
        <w:t>تلاحظ</w:t>
      </w:r>
      <w:r>
        <w:rPr>
          <w:rtl/>
        </w:rPr>
        <w:t xml:space="preserve"> </w:t>
      </w:r>
      <w:r w:rsidRPr="00885E11">
        <w:rPr>
          <w:rtl/>
        </w:rPr>
        <w:t>اللجنة</w:t>
      </w:r>
      <w:r>
        <w:rPr>
          <w:rtl/>
        </w:rPr>
        <w:t xml:space="preserve"> </w:t>
      </w:r>
      <w:r w:rsidRPr="00885E11">
        <w:rPr>
          <w:rtl/>
        </w:rPr>
        <w:t>مع</w:t>
      </w:r>
      <w:r>
        <w:rPr>
          <w:rtl/>
        </w:rPr>
        <w:t xml:space="preserve"> </w:t>
      </w:r>
      <w:r w:rsidRPr="00885E11">
        <w:rPr>
          <w:rtl/>
        </w:rPr>
        <w:t>التقدير</w:t>
      </w:r>
      <w:r>
        <w:rPr>
          <w:rtl/>
        </w:rPr>
        <w:t xml:space="preserve"> </w:t>
      </w:r>
      <w:r w:rsidRPr="00885E11">
        <w:rPr>
          <w:rtl/>
        </w:rPr>
        <w:t>أنه</w:t>
      </w:r>
      <w:r>
        <w:rPr>
          <w:rtl/>
        </w:rPr>
        <w:t xml:space="preserve"> </w:t>
      </w:r>
      <w:r w:rsidRPr="00885E11">
        <w:rPr>
          <w:rtl/>
        </w:rPr>
        <w:t>تم</w:t>
      </w:r>
      <w:r>
        <w:rPr>
          <w:rtl/>
        </w:rPr>
        <w:t xml:space="preserve"> </w:t>
      </w:r>
      <w:r w:rsidRPr="00885E11">
        <w:rPr>
          <w:rtl/>
        </w:rPr>
        <w:t>تقديم</w:t>
      </w:r>
      <w:r>
        <w:rPr>
          <w:rtl/>
        </w:rPr>
        <w:t xml:space="preserve"> </w:t>
      </w:r>
      <w:r w:rsidRPr="00885E11">
        <w:rPr>
          <w:rtl/>
        </w:rPr>
        <w:t>تعديل</w:t>
      </w:r>
      <w:r>
        <w:rPr>
          <w:rtl/>
        </w:rPr>
        <w:t xml:space="preserve"> </w:t>
      </w:r>
      <w:r w:rsidRPr="00885E11">
        <w:rPr>
          <w:rtl/>
        </w:rPr>
        <w:t>على</w:t>
      </w:r>
      <w:r>
        <w:rPr>
          <w:rtl/>
        </w:rPr>
        <w:t xml:space="preserve"> </w:t>
      </w:r>
      <w:r w:rsidRPr="00885E11">
        <w:rPr>
          <w:rtl/>
        </w:rPr>
        <w:t>قانون</w:t>
      </w:r>
      <w:r>
        <w:rPr>
          <w:rtl/>
        </w:rPr>
        <w:t xml:space="preserve"> </w:t>
      </w:r>
      <w:r w:rsidRPr="00885E11">
        <w:rPr>
          <w:rtl/>
        </w:rPr>
        <w:t>رعاية</w:t>
      </w:r>
      <w:r>
        <w:rPr>
          <w:rtl/>
        </w:rPr>
        <w:t xml:space="preserve"> </w:t>
      </w:r>
      <w:r w:rsidRPr="00885E11">
        <w:rPr>
          <w:rtl/>
        </w:rPr>
        <w:t>الأحداث</w:t>
      </w:r>
      <w:r>
        <w:rPr>
          <w:rtl/>
        </w:rPr>
        <w:t xml:space="preserve"> </w:t>
      </w:r>
      <w:r w:rsidRPr="00885E11">
        <w:rPr>
          <w:rtl/>
        </w:rPr>
        <w:t>(رقم</w:t>
      </w:r>
      <w:r>
        <w:rPr>
          <w:rtl/>
        </w:rPr>
        <w:t xml:space="preserve"> </w:t>
      </w:r>
      <w:r w:rsidRPr="00846FFB">
        <w:rPr>
          <w:rtl/>
        </w:rPr>
        <w:t>76</w:t>
      </w:r>
      <w:r>
        <w:rPr>
          <w:rtl/>
        </w:rPr>
        <w:t xml:space="preserve"> </w:t>
      </w:r>
      <w:r w:rsidRPr="00885E11">
        <w:rPr>
          <w:rtl/>
        </w:rPr>
        <w:t>لعام</w:t>
      </w:r>
      <w:r>
        <w:rPr>
          <w:rtl/>
        </w:rPr>
        <w:t xml:space="preserve"> </w:t>
      </w:r>
      <w:r w:rsidRPr="00846FFB">
        <w:rPr>
          <w:rtl/>
        </w:rPr>
        <w:t>1983</w:t>
      </w:r>
      <w:r w:rsidRPr="00885E11">
        <w:rPr>
          <w:rtl/>
        </w:rPr>
        <w:t>)</w:t>
      </w:r>
      <w:r>
        <w:rPr>
          <w:rtl/>
        </w:rPr>
        <w:t xml:space="preserve"> </w:t>
      </w:r>
      <w:r w:rsidRPr="00885E11">
        <w:rPr>
          <w:rtl/>
        </w:rPr>
        <w:t>لرفع</w:t>
      </w:r>
      <w:r>
        <w:rPr>
          <w:rtl/>
        </w:rPr>
        <w:t xml:space="preserve"> </w:t>
      </w:r>
      <w:r w:rsidRPr="00885E11">
        <w:rPr>
          <w:rtl/>
        </w:rPr>
        <w:t>الحد</w:t>
      </w:r>
      <w:r>
        <w:rPr>
          <w:rtl/>
        </w:rPr>
        <w:t xml:space="preserve"> </w:t>
      </w:r>
      <w:r w:rsidRPr="00885E11">
        <w:rPr>
          <w:rtl/>
        </w:rPr>
        <w:t>الأدنى</w:t>
      </w:r>
      <w:r>
        <w:rPr>
          <w:rtl/>
        </w:rPr>
        <w:t xml:space="preserve"> </w:t>
      </w:r>
      <w:r w:rsidRPr="00885E11">
        <w:rPr>
          <w:rtl/>
        </w:rPr>
        <w:t>لسن</w:t>
      </w:r>
      <w:r>
        <w:rPr>
          <w:rtl/>
        </w:rPr>
        <w:t xml:space="preserve"> </w:t>
      </w:r>
      <w:r w:rsidRPr="00885E11">
        <w:rPr>
          <w:rtl/>
        </w:rPr>
        <w:t>المسؤولية</w:t>
      </w:r>
      <w:r>
        <w:rPr>
          <w:rtl/>
        </w:rPr>
        <w:t xml:space="preserve"> </w:t>
      </w:r>
      <w:r w:rsidRPr="00885E11">
        <w:rPr>
          <w:rtl/>
        </w:rPr>
        <w:t>الجنائية</w:t>
      </w:r>
      <w:r>
        <w:rPr>
          <w:rtl/>
        </w:rPr>
        <w:t xml:space="preserve"> </w:t>
      </w:r>
      <w:r w:rsidRPr="00885E11">
        <w:rPr>
          <w:rtl/>
        </w:rPr>
        <w:t>من</w:t>
      </w:r>
      <w:r>
        <w:rPr>
          <w:rtl/>
        </w:rPr>
        <w:t xml:space="preserve"> </w:t>
      </w:r>
      <w:r w:rsidRPr="00846FFB">
        <w:rPr>
          <w:rtl/>
        </w:rPr>
        <w:t>9</w:t>
      </w:r>
      <w:r>
        <w:rPr>
          <w:rtl/>
        </w:rPr>
        <w:t xml:space="preserve"> </w:t>
      </w:r>
      <w:r w:rsidRPr="00885E11">
        <w:rPr>
          <w:rtl/>
        </w:rPr>
        <w:t>سنوات</w:t>
      </w:r>
      <w:r>
        <w:rPr>
          <w:rtl/>
        </w:rPr>
        <w:t xml:space="preserve"> </w:t>
      </w:r>
      <w:r w:rsidRPr="00885E11">
        <w:rPr>
          <w:rtl/>
        </w:rPr>
        <w:t>إلى</w:t>
      </w:r>
      <w:r>
        <w:rPr>
          <w:rtl/>
        </w:rPr>
        <w:t xml:space="preserve"> </w:t>
      </w:r>
      <w:r w:rsidRPr="00846FFB">
        <w:rPr>
          <w:rtl/>
        </w:rPr>
        <w:t>11</w:t>
      </w:r>
      <w:r>
        <w:rPr>
          <w:rtl/>
        </w:rPr>
        <w:t xml:space="preserve"> </w:t>
      </w:r>
      <w:r w:rsidRPr="00885E11">
        <w:rPr>
          <w:rtl/>
        </w:rPr>
        <w:t>سنة</w:t>
      </w:r>
      <w:r w:rsidR="005D7864">
        <w:rPr>
          <w:rtl/>
        </w:rPr>
        <w:t>،</w:t>
      </w:r>
      <w:r>
        <w:rPr>
          <w:rtl/>
        </w:rPr>
        <w:t xml:space="preserve"> </w:t>
      </w:r>
      <w:r w:rsidRPr="00885E11">
        <w:rPr>
          <w:rtl/>
        </w:rPr>
        <w:t>وأن</w:t>
      </w:r>
      <w:r>
        <w:rPr>
          <w:rtl/>
        </w:rPr>
        <w:t xml:space="preserve"> </w:t>
      </w:r>
      <w:r w:rsidRPr="00885E11">
        <w:rPr>
          <w:rtl/>
        </w:rPr>
        <w:t>الحد</w:t>
      </w:r>
      <w:r>
        <w:rPr>
          <w:rtl/>
        </w:rPr>
        <w:t xml:space="preserve"> </w:t>
      </w:r>
      <w:r w:rsidRPr="00885E11">
        <w:rPr>
          <w:rtl/>
        </w:rPr>
        <w:t>الأدنى</w:t>
      </w:r>
      <w:r>
        <w:rPr>
          <w:rtl/>
        </w:rPr>
        <w:t xml:space="preserve"> </w:t>
      </w:r>
      <w:r w:rsidRPr="00885E11">
        <w:rPr>
          <w:rtl/>
        </w:rPr>
        <w:t>لسن</w:t>
      </w:r>
      <w:r>
        <w:rPr>
          <w:rtl/>
        </w:rPr>
        <w:t xml:space="preserve"> </w:t>
      </w:r>
      <w:r w:rsidRPr="00885E11">
        <w:rPr>
          <w:rtl/>
        </w:rPr>
        <w:t>المسؤولية</w:t>
      </w:r>
      <w:r>
        <w:rPr>
          <w:rtl/>
        </w:rPr>
        <w:t xml:space="preserve"> </w:t>
      </w:r>
      <w:r w:rsidRPr="00885E11">
        <w:rPr>
          <w:rtl/>
        </w:rPr>
        <w:t>الجنائية</w:t>
      </w:r>
      <w:r>
        <w:rPr>
          <w:rtl/>
        </w:rPr>
        <w:t xml:space="preserve"> </w:t>
      </w:r>
      <w:r w:rsidRPr="00885E11">
        <w:rPr>
          <w:rtl/>
        </w:rPr>
        <w:t>في</w:t>
      </w:r>
      <w:r>
        <w:rPr>
          <w:rtl/>
        </w:rPr>
        <w:t xml:space="preserve"> </w:t>
      </w:r>
      <w:r w:rsidRPr="00885E11">
        <w:rPr>
          <w:rtl/>
        </w:rPr>
        <w:t>كردستان</w:t>
      </w:r>
      <w:r>
        <w:rPr>
          <w:rtl/>
        </w:rPr>
        <w:t xml:space="preserve"> </w:t>
      </w:r>
      <w:r w:rsidRPr="00885E11">
        <w:rPr>
          <w:rtl/>
        </w:rPr>
        <w:t>هو</w:t>
      </w:r>
      <w:r>
        <w:rPr>
          <w:rtl/>
        </w:rPr>
        <w:t xml:space="preserve"> </w:t>
      </w:r>
      <w:r w:rsidRPr="00885E11">
        <w:rPr>
          <w:rtl/>
        </w:rPr>
        <w:t>بالفعل</w:t>
      </w:r>
      <w:r>
        <w:rPr>
          <w:rtl/>
        </w:rPr>
        <w:t xml:space="preserve"> </w:t>
      </w:r>
      <w:r w:rsidRPr="00846FFB">
        <w:rPr>
          <w:rtl/>
        </w:rPr>
        <w:t>11</w:t>
      </w:r>
      <w:r>
        <w:rPr>
          <w:rtl/>
        </w:rPr>
        <w:t xml:space="preserve"> </w:t>
      </w:r>
      <w:r w:rsidRPr="00885E11">
        <w:rPr>
          <w:rtl/>
        </w:rPr>
        <w:t>سنة(المادتان</w:t>
      </w:r>
      <w:r>
        <w:rPr>
          <w:rtl/>
        </w:rPr>
        <w:t xml:space="preserve"> </w:t>
      </w:r>
      <w:r w:rsidRPr="00846FFB">
        <w:rPr>
          <w:rtl/>
        </w:rPr>
        <w:t>9</w:t>
      </w:r>
      <w:r>
        <w:rPr>
          <w:rtl/>
        </w:rPr>
        <w:t xml:space="preserve"> </w:t>
      </w:r>
      <w:r w:rsidRPr="00885E11">
        <w:rPr>
          <w:rtl/>
        </w:rPr>
        <w:t>و</w:t>
      </w:r>
      <w:r w:rsidRPr="00846FFB">
        <w:rPr>
          <w:rtl/>
        </w:rPr>
        <w:t>14</w:t>
      </w:r>
      <w:r w:rsidRPr="00885E11">
        <w:rPr>
          <w:rtl/>
        </w:rPr>
        <w:t>).</w:t>
      </w:r>
    </w:p>
    <w:p w14:paraId="7DB40474" w14:textId="406148C5" w:rsidR="00885E11" w:rsidRPr="00DC17E8" w:rsidRDefault="00885E11" w:rsidP="00885E11">
      <w:pPr>
        <w:pStyle w:val="SingleTxtGA"/>
        <w:rPr>
          <w:b/>
          <w:bCs/>
        </w:rPr>
      </w:pPr>
      <w:r w:rsidRPr="00846FFB">
        <w:rPr>
          <w:rtl/>
        </w:rPr>
        <w:t>37</w:t>
      </w:r>
      <w:r w:rsidRPr="007B0599">
        <w:rPr>
          <w:rtl/>
        </w:rPr>
        <w:t>-</w:t>
      </w:r>
      <w:r w:rsidRPr="007B0599">
        <w:rPr>
          <w:rtl/>
        </w:rPr>
        <w:tab/>
      </w:r>
      <w:r w:rsidRPr="00DC17E8">
        <w:rPr>
          <w:b/>
          <w:bCs/>
          <w:rtl/>
        </w:rPr>
        <w:t>تشجع اللجنة الدولة الطرف على التعجيل بتعديل قانون رعاية الأحداث والنظر في زيادة رفع الحد الأدنى لسن المسؤولية الجنائية بحيث يتفق مع المعايير المقبولة دولياً.</w:t>
      </w:r>
    </w:p>
    <w:p w14:paraId="7E1BD42B" w14:textId="5C4F397E" w:rsidR="00885E11" w:rsidRPr="00846FFB" w:rsidRDefault="00885E11" w:rsidP="00885E11">
      <w:pPr>
        <w:pStyle w:val="H23GA"/>
      </w:pPr>
      <w:r w:rsidRPr="00846FFB">
        <w:rPr>
          <w:rtl/>
        </w:rPr>
        <w:tab/>
      </w:r>
      <w:r w:rsidRPr="00846FFB">
        <w:rPr>
          <w:rtl/>
        </w:rPr>
        <w:tab/>
        <w:t>الممارسات الضارة</w:t>
      </w:r>
    </w:p>
    <w:p w14:paraId="0CA7638B" w14:textId="52BC589F" w:rsidR="00885E11" w:rsidRPr="00885E11" w:rsidRDefault="00885E11" w:rsidP="00885E11">
      <w:pPr>
        <w:pStyle w:val="SingleTxtGA"/>
      </w:pPr>
      <w:r w:rsidRPr="00846FFB">
        <w:rPr>
          <w:rtl/>
        </w:rPr>
        <w:t>38</w:t>
      </w:r>
      <w:r w:rsidRPr="007B0599">
        <w:rPr>
          <w:rtl/>
        </w:rPr>
        <w:t>-</w:t>
      </w:r>
      <w:r w:rsidRPr="007B0599">
        <w:rPr>
          <w:rtl/>
        </w:rPr>
        <w:tab/>
      </w:r>
      <w:r w:rsidRPr="00885E11">
        <w:rPr>
          <w:rtl/>
        </w:rPr>
        <w:t>يساور</w:t>
      </w:r>
      <w:r>
        <w:rPr>
          <w:rtl/>
        </w:rPr>
        <w:t xml:space="preserve"> </w:t>
      </w:r>
      <w:r w:rsidRPr="00885E11">
        <w:rPr>
          <w:rtl/>
        </w:rPr>
        <w:t>اللجنة</w:t>
      </w:r>
      <w:r>
        <w:rPr>
          <w:rtl/>
        </w:rPr>
        <w:t xml:space="preserve"> </w:t>
      </w:r>
      <w:r w:rsidRPr="00885E11">
        <w:rPr>
          <w:rtl/>
        </w:rPr>
        <w:t>القلق</w:t>
      </w:r>
      <w:r>
        <w:rPr>
          <w:rtl/>
        </w:rPr>
        <w:t xml:space="preserve"> </w:t>
      </w:r>
      <w:r w:rsidRPr="00885E11">
        <w:rPr>
          <w:rtl/>
        </w:rPr>
        <w:t>إزاء</w:t>
      </w:r>
      <w:r>
        <w:rPr>
          <w:rtl/>
        </w:rPr>
        <w:t xml:space="preserve"> </w:t>
      </w:r>
      <w:r w:rsidRPr="00885E11">
        <w:rPr>
          <w:rtl/>
        </w:rPr>
        <w:t>استمرار</w:t>
      </w:r>
      <w:r>
        <w:rPr>
          <w:rtl/>
        </w:rPr>
        <w:t xml:space="preserve"> </w:t>
      </w:r>
      <w:r w:rsidRPr="00885E11">
        <w:rPr>
          <w:rtl/>
        </w:rPr>
        <w:t>ورود</w:t>
      </w:r>
      <w:r>
        <w:rPr>
          <w:rtl/>
        </w:rPr>
        <w:t xml:space="preserve"> </w:t>
      </w:r>
      <w:r w:rsidRPr="00885E11">
        <w:rPr>
          <w:rtl/>
        </w:rPr>
        <w:t>تقارير</w:t>
      </w:r>
      <w:r>
        <w:rPr>
          <w:rtl/>
        </w:rPr>
        <w:t xml:space="preserve"> </w:t>
      </w:r>
      <w:r w:rsidRPr="00885E11">
        <w:rPr>
          <w:rtl/>
        </w:rPr>
        <w:t>عن</w:t>
      </w:r>
      <w:r>
        <w:rPr>
          <w:rtl/>
        </w:rPr>
        <w:t xml:space="preserve"> </w:t>
      </w:r>
      <w:r w:rsidRPr="00885E11">
        <w:rPr>
          <w:rtl/>
        </w:rPr>
        <w:t>حالات</w:t>
      </w:r>
      <w:r>
        <w:rPr>
          <w:rtl/>
        </w:rPr>
        <w:t xml:space="preserve"> </w:t>
      </w:r>
      <w:r w:rsidRPr="00885E11">
        <w:rPr>
          <w:rtl/>
        </w:rPr>
        <w:t>الزواج</w:t>
      </w:r>
      <w:r>
        <w:rPr>
          <w:rtl/>
        </w:rPr>
        <w:t xml:space="preserve"> </w:t>
      </w:r>
      <w:r w:rsidRPr="00885E11">
        <w:rPr>
          <w:rtl/>
        </w:rPr>
        <w:t>المبكر</w:t>
      </w:r>
      <w:r>
        <w:rPr>
          <w:rtl/>
        </w:rPr>
        <w:t xml:space="preserve"> </w:t>
      </w:r>
      <w:r w:rsidRPr="00885E11">
        <w:rPr>
          <w:rtl/>
        </w:rPr>
        <w:t>على</w:t>
      </w:r>
      <w:r>
        <w:rPr>
          <w:rtl/>
        </w:rPr>
        <w:t xml:space="preserve"> </w:t>
      </w:r>
      <w:r w:rsidRPr="00885E11">
        <w:rPr>
          <w:rtl/>
        </w:rPr>
        <w:t>الرغم</w:t>
      </w:r>
      <w:r>
        <w:rPr>
          <w:rtl/>
        </w:rPr>
        <w:t xml:space="preserve"> </w:t>
      </w:r>
      <w:r w:rsidRPr="00885E11">
        <w:rPr>
          <w:rtl/>
        </w:rPr>
        <w:t>من</w:t>
      </w:r>
      <w:r>
        <w:rPr>
          <w:rtl/>
        </w:rPr>
        <w:t xml:space="preserve"> </w:t>
      </w:r>
      <w:r w:rsidRPr="00885E11">
        <w:rPr>
          <w:rtl/>
        </w:rPr>
        <w:t>التشريعات</w:t>
      </w:r>
      <w:r>
        <w:rPr>
          <w:rtl/>
        </w:rPr>
        <w:t xml:space="preserve"> </w:t>
      </w:r>
      <w:r w:rsidRPr="00885E11">
        <w:rPr>
          <w:rtl/>
        </w:rPr>
        <w:t>التي</w:t>
      </w:r>
      <w:r>
        <w:rPr>
          <w:rtl/>
        </w:rPr>
        <w:t xml:space="preserve"> </w:t>
      </w:r>
      <w:r w:rsidRPr="00885E11">
        <w:rPr>
          <w:rtl/>
        </w:rPr>
        <w:t>تحدد</w:t>
      </w:r>
      <w:r>
        <w:rPr>
          <w:rtl/>
        </w:rPr>
        <w:t xml:space="preserve"> </w:t>
      </w:r>
      <w:r w:rsidRPr="00885E11">
        <w:rPr>
          <w:rtl/>
        </w:rPr>
        <w:t>الحد</w:t>
      </w:r>
      <w:r>
        <w:rPr>
          <w:rtl/>
        </w:rPr>
        <w:t xml:space="preserve"> </w:t>
      </w:r>
      <w:r w:rsidRPr="00885E11">
        <w:rPr>
          <w:rtl/>
        </w:rPr>
        <w:t>الأدنى</w:t>
      </w:r>
      <w:r>
        <w:rPr>
          <w:rtl/>
        </w:rPr>
        <w:t xml:space="preserve"> </w:t>
      </w:r>
      <w:r w:rsidRPr="00885E11">
        <w:rPr>
          <w:rtl/>
        </w:rPr>
        <w:t>لسن</w:t>
      </w:r>
      <w:r>
        <w:rPr>
          <w:rtl/>
        </w:rPr>
        <w:t xml:space="preserve"> </w:t>
      </w:r>
      <w:r w:rsidRPr="00885E11">
        <w:rPr>
          <w:rtl/>
        </w:rPr>
        <w:t>الزواج.</w:t>
      </w:r>
      <w:r>
        <w:rPr>
          <w:rtl/>
        </w:rPr>
        <w:t xml:space="preserve"> </w:t>
      </w:r>
      <w:r w:rsidRPr="00885E11">
        <w:rPr>
          <w:rtl/>
        </w:rPr>
        <w:t>وتحيط</w:t>
      </w:r>
      <w:r>
        <w:rPr>
          <w:rtl/>
        </w:rPr>
        <w:t xml:space="preserve"> </w:t>
      </w:r>
      <w:r w:rsidRPr="00885E11">
        <w:rPr>
          <w:rtl/>
        </w:rPr>
        <w:t>اللجنة</w:t>
      </w:r>
      <w:r>
        <w:rPr>
          <w:rtl/>
        </w:rPr>
        <w:t xml:space="preserve"> </w:t>
      </w:r>
      <w:r w:rsidRPr="00885E11">
        <w:rPr>
          <w:rtl/>
        </w:rPr>
        <w:t>علماً</w:t>
      </w:r>
      <w:r>
        <w:rPr>
          <w:rtl/>
        </w:rPr>
        <w:t xml:space="preserve"> </w:t>
      </w:r>
      <w:r w:rsidRPr="00885E11">
        <w:rPr>
          <w:rtl/>
        </w:rPr>
        <w:t>بأن</w:t>
      </w:r>
      <w:r>
        <w:rPr>
          <w:rtl/>
        </w:rPr>
        <w:t xml:space="preserve"> </w:t>
      </w:r>
      <w:r w:rsidRPr="00885E11">
        <w:rPr>
          <w:rtl/>
        </w:rPr>
        <w:t>ممارسة</w:t>
      </w:r>
      <w:r>
        <w:rPr>
          <w:rtl/>
        </w:rPr>
        <w:t xml:space="preserve"> </w:t>
      </w:r>
      <w:r w:rsidRPr="00885E11">
        <w:rPr>
          <w:rtl/>
        </w:rPr>
        <w:t>تشويه</w:t>
      </w:r>
      <w:r>
        <w:rPr>
          <w:rtl/>
        </w:rPr>
        <w:t xml:space="preserve"> </w:t>
      </w:r>
      <w:r w:rsidRPr="00885E11">
        <w:rPr>
          <w:rtl/>
        </w:rPr>
        <w:t>الأعضاء</w:t>
      </w:r>
      <w:r>
        <w:rPr>
          <w:rtl/>
        </w:rPr>
        <w:t xml:space="preserve"> </w:t>
      </w:r>
      <w:r w:rsidRPr="00885E11">
        <w:rPr>
          <w:rtl/>
        </w:rPr>
        <w:t>التناسلية</w:t>
      </w:r>
      <w:r>
        <w:rPr>
          <w:rtl/>
        </w:rPr>
        <w:t xml:space="preserve"> </w:t>
      </w:r>
      <w:r w:rsidR="00DC17E8" w:rsidRPr="00885E11">
        <w:rPr>
          <w:rFonts w:hint="cs"/>
          <w:rtl/>
        </w:rPr>
        <w:t>الأنثوية نادر</w:t>
      </w:r>
      <w:r w:rsidR="00DC17E8" w:rsidRPr="00885E11">
        <w:rPr>
          <w:rtl/>
        </w:rPr>
        <w:t>ة</w:t>
      </w:r>
      <w:r>
        <w:rPr>
          <w:rtl/>
        </w:rPr>
        <w:t xml:space="preserve"> </w:t>
      </w:r>
      <w:r w:rsidRPr="00885E11">
        <w:rPr>
          <w:rtl/>
        </w:rPr>
        <w:t>الحدوث</w:t>
      </w:r>
      <w:r>
        <w:rPr>
          <w:rtl/>
        </w:rPr>
        <w:t xml:space="preserve"> </w:t>
      </w:r>
      <w:r w:rsidRPr="00885E11">
        <w:rPr>
          <w:rtl/>
        </w:rPr>
        <w:t>خارج</w:t>
      </w:r>
      <w:r>
        <w:rPr>
          <w:rtl/>
        </w:rPr>
        <w:t xml:space="preserve"> </w:t>
      </w:r>
      <w:r w:rsidRPr="00885E11">
        <w:rPr>
          <w:rtl/>
        </w:rPr>
        <w:t>مناطق</w:t>
      </w:r>
      <w:r>
        <w:rPr>
          <w:rtl/>
        </w:rPr>
        <w:t xml:space="preserve"> </w:t>
      </w:r>
      <w:r w:rsidRPr="00885E11">
        <w:rPr>
          <w:rtl/>
        </w:rPr>
        <w:t>معينة</w:t>
      </w:r>
      <w:r>
        <w:rPr>
          <w:rtl/>
        </w:rPr>
        <w:t xml:space="preserve"> </w:t>
      </w:r>
      <w:r w:rsidRPr="00885E11">
        <w:rPr>
          <w:rtl/>
        </w:rPr>
        <w:t>من</w:t>
      </w:r>
      <w:r>
        <w:rPr>
          <w:rtl/>
        </w:rPr>
        <w:t xml:space="preserve"> </w:t>
      </w:r>
      <w:r w:rsidRPr="00885E11">
        <w:rPr>
          <w:rtl/>
        </w:rPr>
        <w:t>إقليم</w:t>
      </w:r>
      <w:r>
        <w:rPr>
          <w:rtl/>
        </w:rPr>
        <w:t xml:space="preserve"> </w:t>
      </w:r>
      <w:r w:rsidRPr="00885E11">
        <w:rPr>
          <w:rtl/>
        </w:rPr>
        <w:t>كردستان</w:t>
      </w:r>
      <w:r w:rsidR="005D7864">
        <w:rPr>
          <w:rtl/>
        </w:rPr>
        <w:t>،</w:t>
      </w:r>
      <w:r>
        <w:rPr>
          <w:rtl/>
        </w:rPr>
        <w:t xml:space="preserve"> </w:t>
      </w:r>
      <w:r w:rsidR="00DC17E8" w:rsidRPr="00885E11">
        <w:rPr>
          <w:rFonts w:hint="cs"/>
          <w:rtl/>
        </w:rPr>
        <w:t>لكنها تلاح</w:t>
      </w:r>
      <w:r w:rsidR="00DC17E8" w:rsidRPr="00885E11">
        <w:rPr>
          <w:rtl/>
        </w:rPr>
        <w:t>ظ</w:t>
      </w:r>
      <w:r>
        <w:rPr>
          <w:rtl/>
        </w:rPr>
        <w:t xml:space="preserve"> </w:t>
      </w:r>
      <w:r w:rsidRPr="00885E11">
        <w:rPr>
          <w:rtl/>
        </w:rPr>
        <w:t>مع</w:t>
      </w:r>
      <w:r>
        <w:rPr>
          <w:rtl/>
        </w:rPr>
        <w:t xml:space="preserve"> </w:t>
      </w:r>
      <w:r w:rsidRPr="00885E11">
        <w:rPr>
          <w:rtl/>
        </w:rPr>
        <w:t>ذلك</w:t>
      </w:r>
      <w:r>
        <w:rPr>
          <w:rtl/>
        </w:rPr>
        <w:t xml:space="preserve"> </w:t>
      </w:r>
      <w:r w:rsidRPr="00885E11">
        <w:rPr>
          <w:rtl/>
        </w:rPr>
        <w:t>استمرار</w:t>
      </w:r>
      <w:r>
        <w:rPr>
          <w:rtl/>
        </w:rPr>
        <w:t xml:space="preserve"> </w:t>
      </w:r>
      <w:r w:rsidRPr="00885E11">
        <w:rPr>
          <w:rtl/>
        </w:rPr>
        <w:t>حدوث</w:t>
      </w:r>
      <w:r>
        <w:rPr>
          <w:rtl/>
        </w:rPr>
        <w:t xml:space="preserve"> </w:t>
      </w:r>
      <w:r w:rsidRPr="00885E11">
        <w:rPr>
          <w:rtl/>
        </w:rPr>
        <w:t>حالات</w:t>
      </w:r>
      <w:r>
        <w:rPr>
          <w:rtl/>
        </w:rPr>
        <w:t xml:space="preserve"> </w:t>
      </w:r>
      <w:r w:rsidRPr="00885E11">
        <w:rPr>
          <w:rtl/>
        </w:rPr>
        <w:t>في</w:t>
      </w:r>
      <w:r>
        <w:rPr>
          <w:rtl/>
        </w:rPr>
        <w:t xml:space="preserve"> </w:t>
      </w:r>
      <w:r w:rsidRPr="00885E11">
        <w:rPr>
          <w:rtl/>
        </w:rPr>
        <w:t>الدولة</w:t>
      </w:r>
      <w:r>
        <w:rPr>
          <w:rtl/>
        </w:rPr>
        <w:t xml:space="preserve"> </w:t>
      </w:r>
      <w:r w:rsidRPr="00885E11">
        <w:rPr>
          <w:rtl/>
        </w:rPr>
        <w:t>الطرف</w:t>
      </w:r>
      <w:r>
        <w:rPr>
          <w:rtl/>
        </w:rPr>
        <w:t xml:space="preserve"> </w:t>
      </w:r>
      <w:r w:rsidRPr="00885E11">
        <w:rPr>
          <w:rtl/>
        </w:rPr>
        <w:t>وتأسف</w:t>
      </w:r>
      <w:r>
        <w:rPr>
          <w:rtl/>
        </w:rPr>
        <w:t xml:space="preserve"> </w:t>
      </w:r>
      <w:r w:rsidRPr="00885E11">
        <w:rPr>
          <w:rtl/>
        </w:rPr>
        <w:t>لعدم</w:t>
      </w:r>
      <w:r>
        <w:rPr>
          <w:rtl/>
        </w:rPr>
        <w:t xml:space="preserve"> </w:t>
      </w:r>
      <w:r w:rsidRPr="00885E11">
        <w:rPr>
          <w:rtl/>
        </w:rPr>
        <w:t>حظر</w:t>
      </w:r>
      <w:r>
        <w:rPr>
          <w:rtl/>
        </w:rPr>
        <w:t xml:space="preserve"> </w:t>
      </w:r>
      <w:r w:rsidRPr="00885E11">
        <w:rPr>
          <w:rtl/>
        </w:rPr>
        <w:t>ممارسة</w:t>
      </w:r>
      <w:r>
        <w:rPr>
          <w:rtl/>
        </w:rPr>
        <w:t xml:space="preserve"> </w:t>
      </w:r>
      <w:r w:rsidRPr="00885E11">
        <w:rPr>
          <w:rtl/>
        </w:rPr>
        <w:t>تشويه</w:t>
      </w:r>
      <w:r>
        <w:rPr>
          <w:rtl/>
        </w:rPr>
        <w:t xml:space="preserve"> </w:t>
      </w:r>
      <w:r w:rsidRPr="00885E11">
        <w:rPr>
          <w:rtl/>
        </w:rPr>
        <w:t>الأعضاء</w:t>
      </w:r>
      <w:r>
        <w:rPr>
          <w:rtl/>
        </w:rPr>
        <w:t xml:space="preserve"> </w:t>
      </w:r>
      <w:r w:rsidRPr="00885E11">
        <w:rPr>
          <w:rtl/>
        </w:rPr>
        <w:t>التناسلية</w:t>
      </w:r>
      <w:r>
        <w:rPr>
          <w:rtl/>
        </w:rPr>
        <w:t xml:space="preserve"> </w:t>
      </w:r>
      <w:r w:rsidRPr="00885E11">
        <w:rPr>
          <w:rtl/>
        </w:rPr>
        <w:t>الأنثوية</w:t>
      </w:r>
      <w:r>
        <w:rPr>
          <w:rtl/>
        </w:rPr>
        <w:t xml:space="preserve"> </w:t>
      </w:r>
      <w:r w:rsidRPr="00885E11">
        <w:rPr>
          <w:rtl/>
        </w:rPr>
        <w:t>وتجريمها</w:t>
      </w:r>
      <w:r>
        <w:rPr>
          <w:rtl/>
        </w:rPr>
        <w:t xml:space="preserve"> </w:t>
      </w:r>
      <w:r w:rsidRPr="00885E11">
        <w:rPr>
          <w:rtl/>
        </w:rPr>
        <w:t>صراحة</w:t>
      </w:r>
      <w:r>
        <w:rPr>
          <w:rtl/>
        </w:rPr>
        <w:t xml:space="preserve"> </w:t>
      </w:r>
      <w:r w:rsidRPr="00885E11">
        <w:rPr>
          <w:rtl/>
        </w:rPr>
        <w:t>في</w:t>
      </w:r>
      <w:r>
        <w:rPr>
          <w:rtl/>
        </w:rPr>
        <w:t xml:space="preserve"> </w:t>
      </w:r>
      <w:r w:rsidRPr="00885E11">
        <w:rPr>
          <w:rtl/>
        </w:rPr>
        <w:t>جميع</w:t>
      </w:r>
      <w:r>
        <w:rPr>
          <w:rtl/>
        </w:rPr>
        <w:t xml:space="preserve"> </w:t>
      </w:r>
      <w:r w:rsidRPr="00885E11">
        <w:rPr>
          <w:rtl/>
        </w:rPr>
        <w:t>أنحاء</w:t>
      </w:r>
      <w:r>
        <w:rPr>
          <w:rtl/>
        </w:rPr>
        <w:t xml:space="preserve"> </w:t>
      </w:r>
      <w:r w:rsidRPr="00885E11">
        <w:rPr>
          <w:rtl/>
        </w:rPr>
        <w:t>إقليم</w:t>
      </w:r>
      <w:r>
        <w:rPr>
          <w:rtl/>
        </w:rPr>
        <w:t xml:space="preserve"> </w:t>
      </w:r>
      <w:r w:rsidRPr="00885E11">
        <w:rPr>
          <w:rtl/>
        </w:rPr>
        <w:t>الدولة</w:t>
      </w:r>
      <w:r>
        <w:rPr>
          <w:rtl/>
        </w:rPr>
        <w:t xml:space="preserve"> </w:t>
      </w:r>
      <w:r w:rsidRPr="00885E11">
        <w:rPr>
          <w:rtl/>
        </w:rPr>
        <w:t>الطرف</w:t>
      </w:r>
      <w:r>
        <w:rPr>
          <w:rtl/>
        </w:rPr>
        <w:t xml:space="preserve"> </w:t>
      </w:r>
      <w:r w:rsidRPr="00885E11">
        <w:rPr>
          <w:rtl/>
        </w:rPr>
        <w:t>(المادة</w:t>
      </w:r>
      <w:r>
        <w:rPr>
          <w:rtl/>
        </w:rPr>
        <w:t xml:space="preserve"> </w:t>
      </w:r>
      <w:r w:rsidRPr="00846FFB">
        <w:rPr>
          <w:rtl/>
        </w:rPr>
        <w:t>7</w:t>
      </w:r>
      <w:r w:rsidRPr="00885E11">
        <w:rPr>
          <w:rtl/>
        </w:rPr>
        <w:t>).</w:t>
      </w:r>
    </w:p>
    <w:p w14:paraId="0CA290F5" w14:textId="30FE532F" w:rsidR="00885E11" w:rsidRPr="00DC17E8" w:rsidRDefault="00885E11" w:rsidP="00885E11">
      <w:pPr>
        <w:pStyle w:val="SingleTxtGA"/>
        <w:rPr>
          <w:b/>
          <w:bCs/>
        </w:rPr>
      </w:pPr>
      <w:r w:rsidRPr="00846FFB">
        <w:rPr>
          <w:rtl/>
        </w:rPr>
        <w:t>39</w:t>
      </w:r>
      <w:r w:rsidRPr="007B0599">
        <w:rPr>
          <w:rtl/>
        </w:rPr>
        <w:t>-</w:t>
      </w:r>
      <w:r w:rsidRPr="007B0599">
        <w:rPr>
          <w:rtl/>
        </w:rPr>
        <w:tab/>
      </w:r>
      <w:r w:rsidRPr="00DC17E8">
        <w:rPr>
          <w:b/>
          <w:bCs/>
          <w:rtl/>
        </w:rPr>
        <w:t>تماشياً مع التوصيات السابقة للجنة</w:t>
      </w:r>
      <w:r w:rsidR="00E82A04" w:rsidRPr="00846FFB">
        <w:rPr>
          <w:vertAlign w:val="superscript"/>
          <w:rtl/>
        </w:rPr>
        <w:t>(</w:t>
      </w:r>
      <w:r w:rsidR="00E82A04" w:rsidRPr="00846FFB">
        <w:rPr>
          <w:vertAlign w:val="superscript"/>
          <w:lang w:val="en-US"/>
        </w:rPr>
        <w:footnoteReference w:id="11"/>
      </w:r>
      <w:r w:rsidR="00E82A04" w:rsidRPr="00846FFB">
        <w:rPr>
          <w:vertAlign w:val="superscript"/>
          <w:rtl/>
        </w:rPr>
        <w:t>)</w:t>
      </w:r>
      <w:r w:rsidR="005D7864">
        <w:rPr>
          <w:b/>
          <w:bCs/>
          <w:rtl/>
        </w:rPr>
        <w:t>،</w:t>
      </w:r>
      <w:r w:rsidRPr="00DC17E8">
        <w:rPr>
          <w:b/>
          <w:bCs/>
          <w:rtl/>
        </w:rPr>
        <w:t xml:space="preserve"> ينبغي للدولة الطرف </w:t>
      </w:r>
      <w:r w:rsidR="00DC17E8" w:rsidRPr="00DC17E8">
        <w:rPr>
          <w:rFonts w:hint="cs"/>
          <w:b/>
          <w:bCs/>
          <w:rtl/>
        </w:rPr>
        <w:t>تعزيز جهوده</w:t>
      </w:r>
      <w:r w:rsidR="00DC17E8" w:rsidRPr="00DC17E8">
        <w:rPr>
          <w:b/>
          <w:bCs/>
          <w:rtl/>
        </w:rPr>
        <w:t>ا</w:t>
      </w:r>
      <w:r w:rsidRPr="00DC17E8">
        <w:rPr>
          <w:b/>
          <w:bCs/>
          <w:rtl/>
        </w:rPr>
        <w:t xml:space="preserve"> الرامية إلى منع الممارسات الضارة التي تميّز ضد النساء والفتيات والقضاء عليها</w:t>
      </w:r>
      <w:r w:rsidR="005D7864">
        <w:rPr>
          <w:b/>
          <w:bCs/>
          <w:rtl/>
        </w:rPr>
        <w:t>،</w:t>
      </w:r>
      <w:r w:rsidRPr="00DC17E8">
        <w:rPr>
          <w:b/>
          <w:bCs/>
          <w:rtl/>
        </w:rPr>
        <w:t xml:space="preserve"> ولا سيما الزواج المبكر وتشويه الأعضاء التناسلية الأنثوية</w:t>
      </w:r>
      <w:r w:rsidR="005D7864">
        <w:rPr>
          <w:b/>
          <w:bCs/>
          <w:rtl/>
        </w:rPr>
        <w:t>،</w:t>
      </w:r>
      <w:r w:rsidRPr="00DC17E8">
        <w:rPr>
          <w:b/>
          <w:bCs/>
          <w:rtl/>
        </w:rPr>
        <w:t xml:space="preserve"> بطرق منها اتخاذ تدابير أكثر صرامة لتوعية الجمهور بآثارها السلبية. وينبغي للدولة الطرف أيضاً ضمان حظر جميع أشكال تشويه الأعضاء التناسلية الأنثوية وتجريمها صراحة في جميع أنحاء إقليمها</w:t>
      </w:r>
      <w:r w:rsidR="005D7864">
        <w:rPr>
          <w:b/>
          <w:bCs/>
          <w:rtl/>
        </w:rPr>
        <w:t>،</w:t>
      </w:r>
      <w:r w:rsidRPr="00DC17E8">
        <w:rPr>
          <w:b/>
          <w:bCs/>
          <w:rtl/>
        </w:rPr>
        <w:t xml:space="preserve"> وإنفاذ التشريعات الجنائية ذات الصلة في إقليم كردستان إنفاذاً فعالاً. </w:t>
      </w:r>
    </w:p>
    <w:p w14:paraId="539FC917" w14:textId="43A00A3A" w:rsidR="00885E11" w:rsidRPr="00846FFB" w:rsidRDefault="00885E11" w:rsidP="00885E11">
      <w:pPr>
        <w:pStyle w:val="H23GA"/>
      </w:pPr>
      <w:r w:rsidRPr="00846FFB">
        <w:rPr>
          <w:rtl/>
        </w:rPr>
        <w:tab/>
      </w:r>
      <w:r w:rsidRPr="00846FFB">
        <w:rPr>
          <w:rtl/>
        </w:rPr>
        <w:tab/>
        <w:t>المشاركة في الشؤون العامة</w:t>
      </w:r>
    </w:p>
    <w:p w14:paraId="33F25923" w14:textId="24D48E66" w:rsidR="00885E11" w:rsidRPr="00885E11" w:rsidRDefault="00885E11" w:rsidP="00885E11">
      <w:pPr>
        <w:pStyle w:val="SingleTxtGA"/>
      </w:pPr>
      <w:r w:rsidRPr="00846FFB">
        <w:rPr>
          <w:rtl/>
        </w:rPr>
        <w:t>40</w:t>
      </w:r>
      <w:r w:rsidRPr="007B0599">
        <w:rPr>
          <w:rtl/>
        </w:rPr>
        <w:t>-</w:t>
      </w:r>
      <w:r w:rsidRPr="007B0599">
        <w:rPr>
          <w:rtl/>
        </w:rPr>
        <w:tab/>
      </w:r>
      <w:r w:rsidRPr="00885E11">
        <w:rPr>
          <w:rtl/>
        </w:rPr>
        <w:t>تسلّم</w:t>
      </w:r>
      <w:r>
        <w:rPr>
          <w:rtl/>
        </w:rPr>
        <w:t xml:space="preserve"> </w:t>
      </w:r>
      <w:r w:rsidRPr="00885E11">
        <w:rPr>
          <w:rtl/>
        </w:rPr>
        <w:t>اللجنة</w:t>
      </w:r>
      <w:r>
        <w:rPr>
          <w:rtl/>
        </w:rPr>
        <w:t xml:space="preserve"> </w:t>
      </w:r>
      <w:r w:rsidRPr="00885E11">
        <w:rPr>
          <w:rtl/>
        </w:rPr>
        <w:t>بأن</w:t>
      </w:r>
      <w:r>
        <w:rPr>
          <w:rtl/>
        </w:rPr>
        <w:t xml:space="preserve"> </w:t>
      </w:r>
      <w:r w:rsidRPr="00885E11">
        <w:rPr>
          <w:rtl/>
        </w:rPr>
        <w:t>قانون</w:t>
      </w:r>
      <w:r>
        <w:rPr>
          <w:rtl/>
        </w:rPr>
        <w:t xml:space="preserve"> </w:t>
      </w:r>
      <w:r w:rsidRPr="00885E11">
        <w:rPr>
          <w:rtl/>
        </w:rPr>
        <w:t>الانتخابات</w:t>
      </w:r>
      <w:r>
        <w:rPr>
          <w:rtl/>
        </w:rPr>
        <w:t xml:space="preserve"> </w:t>
      </w:r>
      <w:r w:rsidRPr="00885E11">
        <w:rPr>
          <w:rtl/>
        </w:rPr>
        <w:t>(القانون</w:t>
      </w:r>
      <w:r>
        <w:rPr>
          <w:rtl/>
        </w:rPr>
        <w:t xml:space="preserve"> </w:t>
      </w:r>
      <w:r w:rsidRPr="00885E11">
        <w:rPr>
          <w:rtl/>
        </w:rPr>
        <w:t>رقم</w:t>
      </w:r>
      <w:r>
        <w:rPr>
          <w:rtl/>
        </w:rPr>
        <w:t xml:space="preserve"> </w:t>
      </w:r>
      <w:r w:rsidRPr="00846FFB">
        <w:rPr>
          <w:rtl/>
        </w:rPr>
        <w:t>9</w:t>
      </w:r>
      <w:r w:rsidRPr="00885E11">
        <w:rPr>
          <w:rtl/>
        </w:rPr>
        <w:t>)</w:t>
      </w:r>
      <w:r>
        <w:rPr>
          <w:rtl/>
        </w:rPr>
        <w:t xml:space="preserve"> </w:t>
      </w:r>
      <w:r w:rsidRPr="00885E11">
        <w:rPr>
          <w:rtl/>
        </w:rPr>
        <w:t>لعام</w:t>
      </w:r>
      <w:r>
        <w:rPr>
          <w:rtl/>
        </w:rPr>
        <w:t xml:space="preserve"> </w:t>
      </w:r>
      <w:r w:rsidRPr="00846FFB">
        <w:rPr>
          <w:rtl/>
        </w:rPr>
        <w:t>2020</w:t>
      </w:r>
      <w:r>
        <w:rPr>
          <w:rtl/>
        </w:rPr>
        <w:t xml:space="preserve"> </w:t>
      </w:r>
      <w:r w:rsidRPr="00885E11">
        <w:rPr>
          <w:rtl/>
        </w:rPr>
        <w:t>ينص</w:t>
      </w:r>
      <w:r>
        <w:rPr>
          <w:rtl/>
        </w:rPr>
        <w:t xml:space="preserve"> </w:t>
      </w:r>
      <w:r w:rsidRPr="00885E11">
        <w:rPr>
          <w:rtl/>
        </w:rPr>
        <w:t>على</w:t>
      </w:r>
      <w:r>
        <w:rPr>
          <w:rtl/>
        </w:rPr>
        <w:t xml:space="preserve"> </w:t>
      </w:r>
      <w:r w:rsidRPr="00885E11">
        <w:rPr>
          <w:rtl/>
        </w:rPr>
        <w:t>مقاعد</w:t>
      </w:r>
      <w:r>
        <w:rPr>
          <w:rtl/>
        </w:rPr>
        <w:t xml:space="preserve"> </w:t>
      </w:r>
      <w:r w:rsidRPr="00885E11">
        <w:rPr>
          <w:rtl/>
        </w:rPr>
        <w:t>برلمانية</w:t>
      </w:r>
      <w:r>
        <w:rPr>
          <w:rtl/>
        </w:rPr>
        <w:t xml:space="preserve"> </w:t>
      </w:r>
      <w:r w:rsidRPr="00885E11">
        <w:rPr>
          <w:rtl/>
        </w:rPr>
        <w:t>لعدد</w:t>
      </w:r>
      <w:r>
        <w:rPr>
          <w:rtl/>
        </w:rPr>
        <w:t xml:space="preserve"> </w:t>
      </w:r>
      <w:r w:rsidRPr="00885E11">
        <w:rPr>
          <w:rtl/>
        </w:rPr>
        <w:t>من</w:t>
      </w:r>
      <w:r>
        <w:rPr>
          <w:rtl/>
        </w:rPr>
        <w:t xml:space="preserve"> </w:t>
      </w:r>
      <w:r w:rsidRPr="00885E11">
        <w:rPr>
          <w:rtl/>
        </w:rPr>
        <w:t>طوائف</w:t>
      </w:r>
      <w:r>
        <w:rPr>
          <w:rtl/>
        </w:rPr>
        <w:t xml:space="preserve"> </w:t>
      </w:r>
      <w:r w:rsidRPr="00885E11">
        <w:rPr>
          <w:rtl/>
        </w:rPr>
        <w:t>الأقليات</w:t>
      </w:r>
      <w:r>
        <w:rPr>
          <w:rtl/>
        </w:rPr>
        <w:t xml:space="preserve"> </w:t>
      </w:r>
      <w:r w:rsidRPr="00885E11">
        <w:rPr>
          <w:rtl/>
        </w:rPr>
        <w:t>(المكون</w:t>
      </w:r>
      <w:r>
        <w:rPr>
          <w:rtl/>
        </w:rPr>
        <w:t xml:space="preserve"> </w:t>
      </w:r>
      <w:r w:rsidRPr="00885E11">
        <w:rPr>
          <w:rtl/>
        </w:rPr>
        <w:t>المسيح</w:t>
      </w:r>
      <w:r>
        <w:rPr>
          <w:rtl/>
        </w:rPr>
        <w:t xml:space="preserve"> </w:t>
      </w:r>
      <w:r w:rsidRPr="00885E11">
        <w:rPr>
          <w:rtl/>
        </w:rPr>
        <w:t>والمكون</w:t>
      </w:r>
      <w:r>
        <w:rPr>
          <w:rtl/>
        </w:rPr>
        <w:t xml:space="preserve"> </w:t>
      </w:r>
      <w:proofErr w:type="spellStart"/>
      <w:r w:rsidRPr="00885E11">
        <w:rPr>
          <w:rtl/>
        </w:rPr>
        <w:t>الأيزيدي</w:t>
      </w:r>
      <w:proofErr w:type="spellEnd"/>
      <w:r w:rsidR="00DC17E8">
        <w:rPr>
          <w:rtl/>
        </w:rPr>
        <w:t xml:space="preserve"> </w:t>
      </w:r>
      <w:r w:rsidRPr="00885E11">
        <w:rPr>
          <w:rtl/>
        </w:rPr>
        <w:t>والمكون</w:t>
      </w:r>
      <w:r>
        <w:rPr>
          <w:rtl/>
        </w:rPr>
        <w:t xml:space="preserve"> </w:t>
      </w:r>
      <w:proofErr w:type="spellStart"/>
      <w:r w:rsidRPr="00885E11">
        <w:rPr>
          <w:rtl/>
        </w:rPr>
        <w:t>الصابئي</w:t>
      </w:r>
      <w:proofErr w:type="spellEnd"/>
      <w:r>
        <w:rPr>
          <w:rtl/>
        </w:rPr>
        <w:t xml:space="preserve"> </w:t>
      </w:r>
      <w:r w:rsidRPr="00885E11">
        <w:rPr>
          <w:rtl/>
        </w:rPr>
        <w:t>المندائي</w:t>
      </w:r>
      <w:r>
        <w:rPr>
          <w:rtl/>
        </w:rPr>
        <w:t xml:space="preserve"> </w:t>
      </w:r>
      <w:r w:rsidRPr="00885E11">
        <w:rPr>
          <w:rtl/>
        </w:rPr>
        <w:t>والمكون</w:t>
      </w:r>
      <w:r>
        <w:rPr>
          <w:rtl/>
        </w:rPr>
        <w:t xml:space="preserve"> </w:t>
      </w:r>
      <w:r w:rsidRPr="00885E11">
        <w:rPr>
          <w:rtl/>
        </w:rPr>
        <w:t>الشبكي</w:t>
      </w:r>
      <w:r>
        <w:rPr>
          <w:rtl/>
        </w:rPr>
        <w:t xml:space="preserve"> </w:t>
      </w:r>
      <w:r w:rsidRPr="00885E11">
        <w:rPr>
          <w:rtl/>
        </w:rPr>
        <w:t>ومكون</w:t>
      </w:r>
      <w:r>
        <w:rPr>
          <w:rtl/>
        </w:rPr>
        <w:t xml:space="preserve"> </w:t>
      </w:r>
      <w:r w:rsidRPr="00885E11">
        <w:rPr>
          <w:rtl/>
        </w:rPr>
        <w:t>الكرد</w:t>
      </w:r>
      <w:r>
        <w:rPr>
          <w:rtl/>
        </w:rPr>
        <w:t xml:space="preserve"> </w:t>
      </w:r>
      <w:proofErr w:type="spellStart"/>
      <w:r w:rsidRPr="00885E11">
        <w:rPr>
          <w:rtl/>
        </w:rPr>
        <w:t>الفيليين</w:t>
      </w:r>
      <w:proofErr w:type="spellEnd"/>
      <w:r w:rsidRPr="00885E11">
        <w:rPr>
          <w:rtl/>
        </w:rPr>
        <w:t>)</w:t>
      </w:r>
      <w:r w:rsidR="005D7864">
        <w:rPr>
          <w:rtl/>
        </w:rPr>
        <w:t>،</w:t>
      </w:r>
      <w:r>
        <w:rPr>
          <w:rtl/>
        </w:rPr>
        <w:t xml:space="preserve"> </w:t>
      </w:r>
      <w:r w:rsidR="00DC17E8" w:rsidRPr="00885E11">
        <w:rPr>
          <w:rFonts w:hint="cs"/>
          <w:rtl/>
        </w:rPr>
        <w:t>لكنها تلاح</w:t>
      </w:r>
      <w:r w:rsidR="00DC17E8" w:rsidRPr="00885E11">
        <w:rPr>
          <w:rtl/>
        </w:rPr>
        <w:t>ظ</w:t>
      </w:r>
      <w:r>
        <w:rPr>
          <w:rtl/>
        </w:rPr>
        <w:t xml:space="preserve"> </w:t>
      </w:r>
      <w:r w:rsidRPr="00885E11">
        <w:rPr>
          <w:rtl/>
        </w:rPr>
        <w:t>مع</w:t>
      </w:r>
      <w:r>
        <w:rPr>
          <w:rtl/>
        </w:rPr>
        <w:t xml:space="preserve"> </w:t>
      </w:r>
      <w:r w:rsidRPr="00885E11">
        <w:rPr>
          <w:rtl/>
        </w:rPr>
        <w:t>الأسف</w:t>
      </w:r>
      <w:r>
        <w:rPr>
          <w:rtl/>
        </w:rPr>
        <w:t xml:space="preserve"> </w:t>
      </w:r>
      <w:r w:rsidRPr="00885E11">
        <w:rPr>
          <w:rtl/>
        </w:rPr>
        <w:t>أن</w:t>
      </w:r>
      <w:r>
        <w:rPr>
          <w:rtl/>
        </w:rPr>
        <w:t xml:space="preserve"> </w:t>
      </w:r>
      <w:r w:rsidRPr="00885E11">
        <w:rPr>
          <w:rtl/>
        </w:rPr>
        <w:t>العراقيين</w:t>
      </w:r>
      <w:r>
        <w:rPr>
          <w:rtl/>
        </w:rPr>
        <w:t xml:space="preserve"> </w:t>
      </w:r>
      <w:r w:rsidRPr="00885E11">
        <w:rPr>
          <w:rtl/>
        </w:rPr>
        <w:t>المنحدرين</w:t>
      </w:r>
      <w:r>
        <w:rPr>
          <w:rtl/>
        </w:rPr>
        <w:t xml:space="preserve"> </w:t>
      </w:r>
      <w:r w:rsidRPr="00885E11">
        <w:rPr>
          <w:rtl/>
        </w:rPr>
        <w:t>من</w:t>
      </w:r>
      <w:r>
        <w:rPr>
          <w:rtl/>
        </w:rPr>
        <w:t xml:space="preserve"> </w:t>
      </w:r>
      <w:r w:rsidRPr="00885E11">
        <w:rPr>
          <w:rtl/>
        </w:rPr>
        <w:t>أصل</w:t>
      </w:r>
      <w:r>
        <w:rPr>
          <w:rtl/>
        </w:rPr>
        <w:t xml:space="preserve"> </w:t>
      </w:r>
      <w:r w:rsidRPr="00885E11">
        <w:rPr>
          <w:rtl/>
        </w:rPr>
        <w:t>أفريقي</w:t>
      </w:r>
      <w:r>
        <w:rPr>
          <w:rtl/>
        </w:rPr>
        <w:t xml:space="preserve"> </w:t>
      </w:r>
      <w:r w:rsidRPr="00885E11">
        <w:rPr>
          <w:rtl/>
        </w:rPr>
        <w:t>لم</w:t>
      </w:r>
      <w:r>
        <w:rPr>
          <w:rtl/>
        </w:rPr>
        <w:t xml:space="preserve"> </w:t>
      </w:r>
      <w:r w:rsidRPr="00885E11">
        <w:rPr>
          <w:rtl/>
        </w:rPr>
        <w:t>يخصص</w:t>
      </w:r>
      <w:r>
        <w:rPr>
          <w:rtl/>
        </w:rPr>
        <w:t xml:space="preserve"> </w:t>
      </w:r>
      <w:r w:rsidRPr="00885E11">
        <w:rPr>
          <w:rtl/>
        </w:rPr>
        <w:t>لهم</w:t>
      </w:r>
      <w:r>
        <w:rPr>
          <w:rtl/>
        </w:rPr>
        <w:t xml:space="preserve"> </w:t>
      </w:r>
      <w:r w:rsidRPr="00885E11">
        <w:rPr>
          <w:rtl/>
        </w:rPr>
        <w:t>أي</w:t>
      </w:r>
      <w:r>
        <w:rPr>
          <w:rtl/>
        </w:rPr>
        <w:t xml:space="preserve"> </w:t>
      </w:r>
      <w:r w:rsidRPr="00885E11">
        <w:rPr>
          <w:rtl/>
        </w:rPr>
        <w:t>حصة</w:t>
      </w:r>
      <w:r w:rsidR="005D7864">
        <w:rPr>
          <w:rtl/>
        </w:rPr>
        <w:t>،</w:t>
      </w:r>
      <w:r>
        <w:rPr>
          <w:rtl/>
        </w:rPr>
        <w:t xml:space="preserve"> </w:t>
      </w:r>
      <w:r w:rsidRPr="00885E11">
        <w:rPr>
          <w:rtl/>
        </w:rPr>
        <w:t>وأن</w:t>
      </w:r>
      <w:r>
        <w:rPr>
          <w:rtl/>
        </w:rPr>
        <w:t xml:space="preserve"> </w:t>
      </w:r>
      <w:r w:rsidRPr="00885E11">
        <w:rPr>
          <w:rtl/>
        </w:rPr>
        <w:t>هناك</w:t>
      </w:r>
      <w:r>
        <w:rPr>
          <w:rtl/>
        </w:rPr>
        <w:t xml:space="preserve"> </w:t>
      </w:r>
      <w:r w:rsidRPr="00885E11">
        <w:rPr>
          <w:rtl/>
        </w:rPr>
        <w:t>تقارير</w:t>
      </w:r>
      <w:r>
        <w:rPr>
          <w:rtl/>
        </w:rPr>
        <w:t xml:space="preserve"> </w:t>
      </w:r>
      <w:r w:rsidRPr="00885E11">
        <w:rPr>
          <w:rtl/>
        </w:rPr>
        <w:t>تفيد</w:t>
      </w:r>
      <w:r>
        <w:rPr>
          <w:rtl/>
        </w:rPr>
        <w:t xml:space="preserve"> </w:t>
      </w:r>
      <w:r w:rsidRPr="00885E11">
        <w:rPr>
          <w:rtl/>
        </w:rPr>
        <w:t>بأنهم</w:t>
      </w:r>
      <w:r>
        <w:rPr>
          <w:rtl/>
        </w:rPr>
        <w:t xml:space="preserve"> </w:t>
      </w:r>
      <w:r w:rsidRPr="00885E11">
        <w:rPr>
          <w:rtl/>
        </w:rPr>
        <w:t>غير</w:t>
      </w:r>
      <w:r>
        <w:rPr>
          <w:rtl/>
        </w:rPr>
        <w:t xml:space="preserve"> </w:t>
      </w:r>
      <w:r w:rsidRPr="00885E11">
        <w:rPr>
          <w:rtl/>
        </w:rPr>
        <w:t>ممثلين</w:t>
      </w:r>
      <w:r>
        <w:rPr>
          <w:rtl/>
        </w:rPr>
        <w:t xml:space="preserve"> </w:t>
      </w:r>
      <w:r w:rsidRPr="00885E11">
        <w:rPr>
          <w:rtl/>
        </w:rPr>
        <w:t>تمثيلا</w:t>
      </w:r>
      <w:r w:rsidR="00972A49">
        <w:rPr>
          <w:rFonts w:hint="cs"/>
          <w:rtl/>
        </w:rPr>
        <w:t>ً</w:t>
      </w:r>
      <w:r>
        <w:rPr>
          <w:rtl/>
        </w:rPr>
        <w:t xml:space="preserve"> </w:t>
      </w:r>
      <w:r w:rsidRPr="00885E11">
        <w:rPr>
          <w:rtl/>
        </w:rPr>
        <w:t>كافياً</w:t>
      </w:r>
      <w:r>
        <w:rPr>
          <w:rtl/>
        </w:rPr>
        <w:t xml:space="preserve"> </w:t>
      </w:r>
      <w:r w:rsidRPr="00885E11">
        <w:rPr>
          <w:rtl/>
        </w:rPr>
        <w:t>في</w:t>
      </w:r>
      <w:r>
        <w:rPr>
          <w:rtl/>
        </w:rPr>
        <w:t xml:space="preserve"> </w:t>
      </w:r>
      <w:r w:rsidRPr="00885E11">
        <w:rPr>
          <w:rtl/>
        </w:rPr>
        <w:t>الحياة</w:t>
      </w:r>
      <w:r>
        <w:rPr>
          <w:rtl/>
        </w:rPr>
        <w:t xml:space="preserve"> </w:t>
      </w:r>
      <w:r w:rsidRPr="00885E11">
        <w:rPr>
          <w:rtl/>
        </w:rPr>
        <w:t>العامة</w:t>
      </w:r>
      <w:r>
        <w:rPr>
          <w:rtl/>
        </w:rPr>
        <w:t xml:space="preserve"> </w:t>
      </w:r>
      <w:r w:rsidRPr="00885E11">
        <w:rPr>
          <w:rtl/>
        </w:rPr>
        <w:t>(المادتان</w:t>
      </w:r>
      <w:r w:rsidR="00DC17E8">
        <w:rPr>
          <w:rtl/>
        </w:rPr>
        <w:t xml:space="preserve"> </w:t>
      </w:r>
      <w:r w:rsidRPr="00846FFB">
        <w:rPr>
          <w:rtl/>
        </w:rPr>
        <w:t>25</w:t>
      </w:r>
      <w:r w:rsidRPr="00885E11">
        <w:rPr>
          <w:rtl/>
        </w:rPr>
        <w:t>-</w:t>
      </w:r>
      <w:r w:rsidRPr="00846FFB">
        <w:rPr>
          <w:rtl/>
        </w:rPr>
        <w:t>26</w:t>
      </w:r>
      <w:r w:rsidRPr="00885E11">
        <w:rPr>
          <w:rtl/>
        </w:rPr>
        <w:t>).</w:t>
      </w:r>
    </w:p>
    <w:p w14:paraId="73526F20" w14:textId="1975FB92" w:rsidR="00885E11" w:rsidRPr="00DC17E8" w:rsidRDefault="00885E11" w:rsidP="00885E11">
      <w:pPr>
        <w:pStyle w:val="SingleTxtGA"/>
        <w:rPr>
          <w:b/>
          <w:bCs/>
        </w:rPr>
      </w:pPr>
      <w:r w:rsidRPr="00846FFB">
        <w:rPr>
          <w:rtl/>
        </w:rPr>
        <w:t>41</w:t>
      </w:r>
      <w:r w:rsidRPr="007B0599">
        <w:rPr>
          <w:rtl/>
        </w:rPr>
        <w:t>-</w:t>
      </w:r>
      <w:r w:rsidRPr="007B0599">
        <w:rPr>
          <w:rtl/>
        </w:rPr>
        <w:tab/>
      </w:r>
      <w:r w:rsidRPr="00DC17E8">
        <w:rPr>
          <w:b/>
          <w:bCs/>
          <w:rtl/>
        </w:rPr>
        <w:t>تماشياً مع توصيات لجنة القضاء على جميع أشكال التمييز العنصري</w:t>
      </w:r>
      <w:r w:rsidR="00E82A04" w:rsidRPr="00846FFB">
        <w:rPr>
          <w:vertAlign w:val="superscript"/>
          <w:rtl/>
        </w:rPr>
        <w:t>(</w:t>
      </w:r>
      <w:r w:rsidR="00E82A04" w:rsidRPr="00846FFB">
        <w:rPr>
          <w:vertAlign w:val="superscript"/>
          <w:lang w:val="en-US"/>
        </w:rPr>
        <w:footnoteReference w:id="12"/>
      </w:r>
      <w:r w:rsidR="00E82A04" w:rsidRPr="00846FFB">
        <w:rPr>
          <w:vertAlign w:val="superscript"/>
          <w:rtl/>
        </w:rPr>
        <w:t>)</w:t>
      </w:r>
      <w:r w:rsidR="005D7864">
        <w:rPr>
          <w:b/>
          <w:bCs/>
          <w:rtl/>
        </w:rPr>
        <w:t>،</w:t>
      </w:r>
      <w:r w:rsidRPr="00DC17E8">
        <w:rPr>
          <w:b/>
          <w:bCs/>
          <w:rtl/>
        </w:rPr>
        <w:t xml:space="preserve"> ينبغي للدولة الطرف</w:t>
      </w:r>
      <w:r w:rsidR="005D7864">
        <w:rPr>
          <w:b/>
          <w:bCs/>
          <w:rtl/>
        </w:rPr>
        <w:t>،</w:t>
      </w:r>
      <w:r w:rsidRPr="00DC17E8">
        <w:rPr>
          <w:b/>
          <w:bCs/>
          <w:rtl/>
        </w:rPr>
        <w:t xml:space="preserve"> بما في ذلك حكومة إقليم كردستان</w:t>
      </w:r>
      <w:r w:rsidR="005D7864">
        <w:rPr>
          <w:b/>
          <w:bCs/>
          <w:rtl/>
        </w:rPr>
        <w:t>،</w:t>
      </w:r>
      <w:r w:rsidRPr="00DC17E8">
        <w:rPr>
          <w:b/>
          <w:bCs/>
          <w:rtl/>
        </w:rPr>
        <w:t xml:space="preserve"> </w:t>
      </w:r>
      <w:r w:rsidR="00DC17E8" w:rsidRPr="00DC17E8">
        <w:rPr>
          <w:rFonts w:hint="cs"/>
          <w:b/>
          <w:bCs/>
          <w:rtl/>
        </w:rPr>
        <w:t>اتخاذ تدابي</w:t>
      </w:r>
      <w:r w:rsidR="00DC17E8" w:rsidRPr="00DC17E8">
        <w:rPr>
          <w:b/>
          <w:bCs/>
          <w:rtl/>
        </w:rPr>
        <w:t>ر</w:t>
      </w:r>
      <w:r w:rsidRPr="00DC17E8">
        <w:rPr>
          <w:b/>
          <w:bCs/>
          <w:rtl/>
        </w:rPr>
        <w:t xml:space="preserve"> لضمان تمثيل الأقليات الإثنية والإثنية - الدينية</w:t>
      </w:r>
      <w:r w:rsidR="005D7864">
        <w:rPr>
          <w:b/>
          <w:bCs/>
          <w:rtl/>
        </w:rPr>
        <w:t>،</w:t>
      </w:r>
      <w:r w:rsidRPr="00DC17E8">
        <w:rPr>
          <w:b/>
          <w:bCs/>
          <w:rtl/>
        </w:rPr>
        <w:t xml:space="preserve"> بما فيها العراقيون المنحدرون من أصل أفريقي</w:t>
      </w:r>
      <w:r w:rsidR="005D7864">
        <w:rPr>
          <w:b/>
          <w:bCs/>
          <w:rtl/>
        </w:rPr>
        <w:t>،</w:t>
      </w:r>
      <w:r w:rsidRPr="00DC17E8">
        <w:rPr>
          <w:b/>
          <w:bCs/>
          <w:rtl/>
        </w:rPr>
        <w:t xml:space="preserve"> ولا سيما النساء من هذه الأقلية</w:t>
      </w:r>
      <w:r w:rsidR="005D7864">
        <w:rPr>
          <w:b/>
          <w:bCs/>
          <w:rtl/>
        </w:rPr>
        <w:t>،</w:t>
      </w:r>
      <w:r w:rsidRPr="00DC17E8">
        <w:rPr>
          <w:b/>
          <w:bCs/>
          <w:rtl/>
        </w:rPr>
        <w:t xml:space="preserve"> في الهيئات المنتخبة والمناصب العامة بما يتناسب مع </w:t>
      </w:r>
      <w:r w:rsidR="00DC17E8" w:rsidRPr="00DC17E8">
        <w:rPr>
          <w:rFonts w:hint="cs"/>
          <w:b/>
          <w:bCs/>
          <w:rtl/>
        </w:rPr>
        <w:t>ثقلها الديمغراف</w:t>
      </w:r>
      <w:r w:rsidR="00DC17E8" w:rsidRPr="00DC17E8">
        <w:rPr>
          <w:b/>
          <w:bCs/>
          <w:rtl/>
        </w:rPr>
        <w:t>ي</w:t>
      </w:r>
      <w:r w:rsidRPr="00DC17E8">
        <w:rPr>
          <w:b/>
          <w:bCs/>
          <w:rtl/>
        </w:rPr>
        <w:t xml:space="preserve"> الحقيقي في المجتمع</w:t>
      </w:r>
      <w:r w:rsidR="005D7864">
        <w:rPr>
          <w:b/>
          <w:bCs/>
          <w:rtl/>
        </w:rPr>
        <w:t>،</w:t>
      </w:r>
      <w:r w:rsidRPr="00DC17E8">
        <w:rPr>
          <w:b/>
          <w:bCs/>
          <w:rtl/>
        </w:rPr>
        <w:t xml:space="preserve"> وينبغي النظر في تنقيح قانون الانتخابات لتحديد حصة للعراقيين المنحدرين من أصل أفريقي.</w:t>
      </w:r>
    </w:p>
    <w:p w14:paraId="3C7E0F8B" w14:textId="5B2AD9FA" w:rsidR="00885E11" w:rsidRPr="00846FFB" w:rsidRDefault="00885E11" w:rsidP="00885E11">
      <w:pPr>
        <w:pStyle w:val="H1GA"/>
      </w:pPr>
      <w:r w:rsidRPr="00846FFB">
        <w:rPr>
          <w:rtl/>
        </w:rPr>
        <w:tab/>
        <w:t>دال-</w:t>
      </w:r>
      <w:r w:rsidRPr="00846FFB">
        <w:rPr>
          <w:rtl/>
        </w:rPr>
        <w:tab/>
        <w:t xml:space="preserve">النشر والمتابعة </w:t>
      </w:r>
    </w:p>
    <w:p w14:paraId="4B271725" w14:textId="36F37D13" w:rsidR="00885E11" w:rsidRPr="00DC17E8" w:rsidRDefault="00885E11" w:rsidP="00885E11">
      <w:pPr>
        <w:pStyle w:val="SingleTxtGA"/>
        <w:rPr>
          <w:b/>
          <w:bCs/>
        </w:rPr>
      </w:pPr>
      <w:r w:rsidRPr="00846FFB">
        <w:rPr>
          <w:rtl/>
        </w:rPr>
        <w:t>42</w:t>
      </w:r>
      <w:r w:rsidRPr="007B0599">
        <w:rPr>
          <w:rtl/>
        </w:rPr>
        <w:t>-</w:t>
      </w:r>
      <w:r w:rsidRPr="007B0599">
        <w:rPr>
          <w:rtl/>
        </w:rPr>
        <w:tab/>
      </w:r>
      <w:r w:rsidRPr="00DC17E8">
        <w:rPr>
          <w:b/>
          <w:bCs/>
          <w:rtl/>
        </w:rPr>
        <w:t>ينبغي للدولة الطرف أن تنشر على نطاق واسع نص العهد</w:t>
      </w:r>
      <w:r w:rsidR="005D7864">
        <w:rPr>
          <w:b/>
          <w:bCs/>
          <w:rtl/>
        </w:rPr>
        <w:t>،</w:t>
      </w:r>
      <w:r w:rsidRPr="00DC17E8">
        <w:rPr>
          <w:b/>
          <w:bCs/>
          <w:rtl/>
        </w:rPr>
        <w:t xml:space="preserve"> وتقريرها الدوري السادس</w:t>
      </w:r>
      <w:r w:rsidR="005D7864">
        <w:rPr>
          <w:b/>
          <w:bCs/>
          <w:rtl/>
        </w:rPr>
        <w:t>،</w:t>
      </w:r>
      <w:r w:rsidRPr="00DC17E8">
        <w:rPr>
          <w:b/>
          <w:bCs/>
          <w:rtl/>
        </w:rPr>
        <w:t xml:space="preserve"> والردود الكتابية على قائمة المسائل التي </w:t>
      </w:r>
      <w:r w:rsidR="00DC17E8" w:rsidRPr="00DC17E8">
        <w:rPr>
          <w:rFonts w:hint="cs"/>
          <w:b/>
          <w:bCs/>
          <w:rtl/>
        </w:rPr>
        <w:t>أعدتها اللجن</w:t>
      </w:r>
      <w:r w:rsidR="00DC17E8" w:rsidRPr="00DC17E8">
        <w:rPr>
          <w:b/>
          <w:bCs/>
          <w:rtl/>
        </w:rPr>
        <w:t>ة</w:t>
      </w:r>
      <w:r w:rsidR="005D7864">
        <w:rPr>
          <w:b/>
          <w:bCs/>
          <w:rtl/>
        </w:rPr>
        <w:t>،</w:t>
      </w:r>
      <w:r w:rsidRPr="00DC17E8">
        <w:rPr>
          <w:b/>
          <w:bCs/>
          <w:rtl/>
        </w:rPr>
        <w:t xml:space="preserve"> وهذه الملاحظات الختامية</w:t>
      </w:r>
      <w:r w:rsidR="005D7864">
        <w:rPr>
          <w:b/>
          <w:bCs/>
          <w:rtl/>
        </w:rPr>
        <w:t>،</w:t>
      </w:r>
      <w:r w:rsidRPr="00DC17E8">
        <w:rPr>
          <w:b/>
          <w:bCs/>
          <w:rtl/>
        </w:rPr>
        <w:t xml:space="preserve"> بهدف التوعية بالحقوق المكرسة في العهد في أوساط السلطات القضائية والتشريعية والإدارية والمجتمع المدني والمنظمات غير الحكومية العاملة في البلد وعامة الجمهور. وينبغي للدولة الطرف أن تضمن ترجمة التقرير وهذه الملاحظات الختامية إلى اللغة الرسمية للدولة الطرف.</w:t>
      </w:r>
    </w:p>
    <w:p w14:paraId="35AFC381" w14:textId="59340F64" w:rsidR="00885E11" w:rsidRPr="00DC17E8" w:rsidRDefault="00885E11" w:rsidP="00885E11">
      <w:pPr>
        <w:pStyle w:val="SingleTxtGA"/>
        <w:rPr>
          <w:b/>
          <w:bCs/>
        </w:rPr>
      </w:pPr>
      <w:r w:rsidRPr="00846FFB">
        <w:rPr>
          <w:rtl/>
        </w:rPr>
        <w:t>43</w:t>
      </w:r>
      <w:r w:rsidRPr="007B0599">
        <w:rPr>
          <w:rtl/>
        </w:rPr>
        <w:t>-</w:t>
      </w:r>
      <w:r w:rsidRPr="007B0599">
        <w:rPr>
          <w:rtl/>
        </w:rPr>
        <w:tab/>
      </w:r>
      <w:r w:rsidRPr="00DC17E8">
        <w:rPr>
          <w:b/>
          <w:bCs/>
          <w:rtl/>
        </w:rPr>
        <w:t xml:space="preserve">ووفقاً للمادة </w:t>
      </w:r>
      <w:r w:rsidRPr="00846FFB">
        <w:rPr>
          <w:b/>
          <w:bCs/>
          <w:rtl/>
        </w:rPr>
        <w:t>75</w:t>
      </w:r>
      <w:r w:rsidRPr="00DC17E8">
        <w:rPr>
          <w:b/>
          <w:bCs/>
          <w:rtl/>
        </w:rPr>
        <w:t>(</w:t>
      </w:r>
      <w:r w:rsidRPr="00846FFB">
        <w:rPr>
          <w:b/>
          <w:bCs/>
          <w:rtl/>
        </w:rPr>
        <w:t>1</w:t>
      </w:r>
      <w:r w:rsidRPr="00DC17E8">
        <w:rPr>
          <w:b/>
          <w:bCs/>
          <w:rtl/>
        </w:rPr>
        <w:t>) من النظام الداخلي للجنة</w:t>
      </w:r>
      <w:r w:rsidR="005D7864">
        <w:rPr>
          <w:b/>
          <w:bCs/>
          <w:rtl/>
        </w:rPr>
        <w:t>،</w:t>
      </w:r>
      <w:r w:rsidRPr="00DC17E8">
        <w:rPr>
          <w:b/>
          <w:bCs/>
          <w:rtl/>
        </w:rPr>
        <w:t xml:space="preserve"> يتعين على الدولة الطرف أن تقدم</w:t>
      </w:r>
      <w:r w:rsidR="005D7864">
        <w:rPr>
          <w:b/>
          <w:bCs/>
          <w:rtl/>
        </w:rPr>
        <w:t>،</w:t>
      </w:r>
      <w:r w:rsidRPr="00DC17E8">
        <w:rPr>
          <w:b/>
          <w:bCs/>
          <w:rtl/>
        </w:rPr>
        <w:t xml:space="preserve"> بحلول </w:t>
      </w:r>
      <w:r w:rsidRPr="00846FFB">
        <w:rPr>
          <w:b/>
          <w:bCs/>
          <w:rtl/>
        </w:rPr>
        <w:t>25</w:t>
      </w:r>
      <w:r w:rsidRPr="00DC17E8">
        <w:rPr>
          <w:b/>
          <w:bCs/>
          <w:rtl/>
        </w:rPr>
        <w:t xml:space="preserve"> آذار/مارس </w:t>
      </w:r>
      <w:r w:rsidRPr="00846FFB">
        <w:rPr>
          <w:b/>
          <w:bCs/>
          <w:rtl/>
        </w:rPr>
        <w:t>2025</w:t>
      </w:r>
      <w:r w:rsidR="005D7864">
        <w:rPr>
          <w:b/>
          <w:bCs/>
          <w:rtl/>
        </w:rPr>
        <w:t>،</w:t>
      </w:r>
      <w:r w:rsidRPr="00DC17E8">
        <w:rPr>
          <w:b/>
          <w:bCs/>
          <w:rtl/>
        </w:rPr>
        <w:t xml:space="preserve"> معلومات عن تنفيذ التوصيات التي قدمتها اللجنة في الفقرات </w:t>
      </w:r>
      <w:r w:rsidRPr="00846FFB">
        <w:rPr>
          <w:b/>
          <w:bCs/>
          <w:rtl/>
        </w:rPr>
        <w:t>9</w:t>
      </w:r>
      <w:r w:rsidRPr="00DC17E8">
        <w:rPr>
          <w:b/>
          <w:bCs/>
          <w:rtl/>
        </w:rPr>
        <w:t xml:space="preserve"> (العدالة انتقالية)</w:t>
      </w:r>
      <w:r w:rsidR="005D7864">
        <w:rPr>
          <w:b/>
          <w:bCs/>
          <w:rtl/>
        </w:rPr>
        <w:t>،</w:t>
      </w:r>
      <w:r w:rsidRPr="00DC17E8">
        <w:rPr>
          <w:b/>
          <w:bCs/>
          <w:rtl/>
        </w:rPr>
        <w:t xml:space="preserve"> و</w:t>
      </w:r>
      <w:r w:rsidRPr="00846FFB">
        <w:rPr>
          <w:b/>
          <w:bCs/>
          <w:rtl/>
        </w:rPr>
        <w:t>17</w:t>
      </w:r>
      <w:r w:rsidRPr="00DC17E8">
        <w:rPr>
          <w:b/>
          <w:bCs/>
          <w:rtl/>
        </w:rPr>
        <w:t xml:space="preserve"> (تدابير مكافحة الإرهاب)</w:t>
      </w:r>
      <w:r w:rsidR="005D7864">
        <w:rPr>
          <w:b/>
          <w:bCs/>
          <w:rtl/>
        </w:rPr>
        <w:t>،</w:t>
      </w:r>
      <w:r w:rsidRPr="00DC17E8">
        <w:rPr>
          <w:b/>
          <w:bCs/>
          <w:rtl/>
        </w:rPr>
        <w:t xml:space="preserve"> و</w:t>
      </w:r>
      <w:r w:rsidRPr="00846FFB">
        <w:rPr>
          <w:b/>
          <w:bCs/>
          <w:rtl/>
        </w:rPr>
        <w:t>21</w:t>
      </w:r>
      <w:r w:rsidRPr="00DC17E8">
        <w:rPr>
          <w:b/>
          <w:bCs/>
          <w:rtl/>
        </w:rPr>
        <w:t xml:space="preserve"> (حظر التعذيب وغيره من ضروب المعاملة</w:t>
      </w:r>
      <w:r w:rsidR="005D7864">
        <w:rPr>
          <w:b/>
          <w:bCs/>
          <w:rtl/>
        </w:rPr>
        <w:t>،</w:t>
      </w:r>
      <w:r w:rsidRPr="00DC17E8">
        <w:rPr>
          <w:b/>
          <w:bCs/>
          <w:rtl/>
        </w:rPr>
        <w:t xml:space="preserve"> أو العقوبة القاسية</w:t>
      </w:r>
      <w:r w:rsidR="005D7864">
        <w:rPr>
          <w:b/>
          <w:bCs/>
          <w:rtl/>
        </w:rPr>
        <w:t>،</w:t>
      </w:r>
      <w:r w:rsidRPr="00DC17E8">
        <w:rPr>
          <w:b/>
          <w:bCs/>
          <w:rtl/>
        </w:rPr>
        <w:t xml:space="preserve"> أو اللاإنسانية أو المهينة)أعلاه</w:t>
      </w:r>
      <w:r w:rsidR="00972A49">
        <w:rPr>
          <w:b/>
          <w:bCs/>
          <w:rtl/>
        </w:rPr>
        <w:t>.</w:t>
      </w:r>
    </w:p>
    <w:p w14:paraId="32EBF645" w14:textId="76403A52" w:rsidR="00885E11" w:rsidRPr="00DC17E8" w:rsidRDefault="00885E11" w:rsidP="00885E11">
      <w:pPr>
        <w:pStyle w:val="SingleTxtGA"/>
        <w:rPr>
          <w:b/>
          <w:bCs/>
        </w:rPr>
      </w:pPr>
      <w:r w:rsidRPr="00846FFB">
        <w:rPr>
          <w:rtl/>
        </w:rPr>
        <w:t>44</w:t>
      </w:r>
      <w:r w:rsidRPr="007B0599">
        <w:rPr>
          <w:rtl/>
        </w:rPr>
        <w:t>-</w:t>
      </w:r>
      <w:r w:rsidRPr="007B0599">
        <w:rPr>
          <w:rtl/>
        </w:rPr>
        <w:tab/>
      </w:r>
      <w:r w:rsidRPr="00DC17E8">
        <w:rPr>
          <w:b/>
          <w:bCs/>
          <w:rtl/>
        </w:rPr>
        <w:t>وتماشياً مع جولة الاستعراض المتوقعة للجنة</w:t>
      </w:r>
      <w:r w:rsidR="005D7864">
        <w:rPr>
          <w:b/>
          <w:bCs/>
          <w:rtl/>
        </w:rPr>
        <w:t>،</w:t>
      </w:r>
      <w:r w:rsidRPr="00DC17E8">
        <w:rPr>
          <w:b/>
          <w:bCs/>
          <w:rtl/>
        </w:rPr>
        <w:t xml:space="preserve"> ستتلقى الدولة الطرف من اللجنة في عام</w:t>
      </w:r>
      <w:r w:rsidR="0087793D">
        <w:rPr>
          <w:rFonts w:hint="cs"/>
          <w:b/>
          <w:bCs/>
          <w:rtl/>
        </w:rPr>
        <w:t> </w:t>
      </w:r>
      <w:r w:rsidRPr="00846FFB">
        <w:rPr>
          <w:b/>
          <w:bCs/>
          <w:rtl/>
        </w:rPr>
        <w:t>2028</w:t>
      </w:r>
      <w:r w:rsidRPr="00DC17E8">
        <w:rPr>
          <w:b/>
          <w:bCs/>
          <w:rtl/>
        </w:rPr>
        <w:t xml:space="preserve"> قائمة المسائل التي يجب معالجتها قبل تقديم التقرير</w:t>
      </w:r>
      <w:r w:rsidR="005D7864">
        <w:rPr>
          <w:b/>
          <w:bCs/>
          <w:rtl/>
        </w:rPr>
        <w:t>،</w:t>
      </w:r>
      <w:r w:rsidRPr="00DC17E8">
        <w:rPr>
          <w:b/>
          <w:bCs/>
          <w:rtl/>
        </w:rPr>
        <w:t xml:space="preserve"> وسيكون أمامها سنة واحدة لتقديم ردودها على قائمة المسائل</w:t>
      </w:r>
      <w:r w:rsidR="005D7864">
        <w:rPr>
          <w:b/>
          <w:bCs/>
          <w:rtl/>
        </w:rPr>
        <w:t>،</w:t>
      </w:r>
      <w:r w:rsidRPr="00DC17E8">
        <w:rPr>
          <w:b/>
          <w:bCs/>
          <w:rtl/>
        </w:rPr>
        <w:t xml:space="preserve"> وستشكل هذه الردود تقريرها الدوري السابع. وتطلب اللجنة أيضاً إلى الدولة الطرف</w:t>
      </w:r>
      <w:r w:rsidR="005D7864">
        <w:rPr>
          <w:b/>
          <w:bCs/>
          <w:rtl/>
        </w:rPr>
        <w:t>،</w:t>
      </w:r>
      <w:r w:rsidRPr="00DC17E8">
        <w:rPr>
          <w:b/>
          <w:bCs/>
          <w:rtl/>
        </w:rPr>
        <w:t xml:space="preserve"> في سياق إعداد التقرير</w:t>
      </w:r>
      <w:r w:rsidR="005D7864">
        <w:rPr>
          <w:b/>
          <w:bCs/>
          <w:rtl/>
        </w:rPr>
        <w:t>،</w:t>
      </w:r>
      <w:r w:rsidRPr="00DC17E8">
        <w:rPr>
          <w:b/>
          <w:bCs/>
          <w:rtl/>
        </w:rPr>
        <w:t xml:space="preserve"> أن تتشاور على نطاق واسع مع المجتمع المدني والمنظمات غير الحكومية العاملة في البلد. ووفقاً لقرار الجمعية العامة </w:t>
      </w:r>
      <w:r w:rsidRPr="00846FFB">
        <w:rPr>
          <w:b/>
          <w:bCs/>
          <w:rtl/>
        </w:rPr>
        <w:t>68</w:t>
      </w:r>
      <w:r w:rsidRPr="00DC17E8">
        <w:rPr>
          <w:b/>
          <w:bCs/>
          <w:rtl/>
        </w:rPr>
        <w:t>/</w:t>
      </w:r>
      <w:r w:rsidRPr="00846FFB">
        <w:rPr>
          <w:b/>
          <w:bCs/>
          <w:rtl/>
        </w:rPr>
        <w:t>268</w:t>
      </w:r>
      <w:r w:rsidR="005D7864">
        <w:rPr>
          <w:b/>
          <w:bCs/>
          <w:rtl/>
        </w:rPr>
        <w:t>،</w:t>
      </w:r>
      <w:r w:rsidRPr="00DC17E8">
        <w:rPr>
          <w:b/>
          <w:bCs/>
          <w:rtl/>
        </w:rPr>
        <w:t xml:space="preserve"> ينبغي ألا يتجاوز عدد كلمات التقرير </w:t>
      </w:r>
      <w:r w:rsidRPr="00846FFB">
        <w:rPr>
          <w:b/>
          <w:bCs/>
          <w:rtl/>
        </w:rPr>
        <w:t>200</w:t>
      </w:r>
      <w:r w:rsidRPr="00DC17E8">
        <w:rPr>
          <w:b/>
          <w:bCs/>
          <w:rtl/>
        </w:rPr>
        <w:t xml:space="preserve"> </w:t>
      </w:r>
      <w:r w:rsidR="0087793D" w:rsidRPr="00846FFB">
        <w:rPr>
          <w:b/>
          <w:bCs/>
          <w:rtl/>
        </w:rPr>
        <w:t>21</w:t>
      </w:r>
      <w:r w:rsidR="0087793D">
        <w:rPr>
          <w:rFonts w:hint="cs"/>
          <w:b/>
          <w:bCs/>
          <w:rtl/>
        </w:rPr>
        <w:t xml:space="preserve"> </w:t>
      </w:r>
      <w:r w:rsidRPr="00DC17E8">
        <w:rPr>
          <w:b/>
          <w:bCs/>
          <w:rtl/>
        </w:rPr>
        <w:t xml:space="preserve">كلمة. وسوف يجرى الحوار البنّاء المقبل مع الدولة الطرف في عام </w:t>
      </w:r>
      <w:r w:rsidRPr="00846FFB">
        <w:rPr>
          <w:b/>
          <w:bCs/>
          <w:rtl/>
        </w:rPr>
        <w:t>2030</w:t>
      </w:r>
      <w:r w:rsidRPr="00DC17E8">
        <w:rPr>
          <w:b/>
          <w:bCs/>
          <w:rtl/>
        </w:rPr>
        <w:t xml:space="preserve"> في جنيف.</w:t>
      </w:r>
    </w:p>
    <w:p w14:paraId="46E5044A" w14:textId="5AE2732F" w:rsidR="00885E11" w:rsidRPr="00885E11" w:rsidRDefault="00885E11" w:rsidP="00885E11">
      <w:pPr>
        <w:pStyle w:val="SingleTxtGA"/>
        <w:jc w:val="center"/>
        <w:rPr>
          <w:u w:val="single"/>
          <w:rtl/>
        </w:rPr>
      </w:pPr>
      <w:r>
        <w:rPr>
          <w:u w:val="single"/>
          <w:rtl/>
        </w:rPr>
        <w:tab/>
      </w:r>
      <w:r>
        <w:rPr>
          <w:u w:val="single"/>
          <w:rtl/>
        </w:rPr>
        <w:tab/>
      </w:r>
      <w:r>
        <w:rPr>
          <w:u w:val="single"/>
          <w:rtl/>
        </w:rPr>
        <w:tab/>
      </w:r>
    </w:p>
    <w:sectPr w:rsidR="00885E11" w:rsidRPr="00885E11" w:rsidSect="00B07D05">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BD144" w14:textId="77777777" w:rsidR="000F6AD6" w:rsidRPr="002901D9" w:rsidRDefault="000F6AD6" w:rsidP="00DC4D4B">
      <w:pPr>
        <w:spacing w:after="60" w:line="240" w:lineRule="auto"/>
        <w:ind w:left="57"/>
        <w:rPr>
          <w:i/>
          <w:iCs/>
        </w:rPr>
      </w:pPr>
      <w:r>
        <w:rPr>
          <w:rFonts w:hint="cs"/>
          <w:i/>
          <w:iCs/>
          <w:rtl/>
        </w:rPr>
        <w:t>الحواشي</w:t>
      </w:r>
    </w:p>
  </w:endnote>
  <w:endnote w:type="continuationSeparator" w:id="0">
    <w:p w14:paraId="167E1CF6" w14:textId="77777777" w:rsidR="000F6AD6" w:rsidRDefault="000F6AD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2895" w14:textId="559FFA16" w:rsidR="008918CF" w:rsidRPr="008918CF" w:rsidRDefault="008918CF" w:rsidP="008918CF">
    <w:pPr>
      <w:pStyle w:val="Footer"/>
      <w:tabs>
        <w:tab w:val="right" w:pos="9638"/>
      </w:tabs>
      <w:rPr>
        <w:b/>
        <w:sz w:val="18"/>
        <w:lang w:val="en-US"/>
      </w:rPr>
    </w:pPr>
    <w:r>
      <w:rPr>
        <w:lang w:val="en-US"/>
      </w:rPr>
      <w:t>GE.22-12669</w:t>
    </w:r>
    <w:r>
      <w:rPr>
        <w:lang w:val="en-US"/>
      </w:rPr>
      <w:tab/>
    </w:r>
    <w:r w:rsidRPr="008918CF">
      <w:rPr>
        <w:b/>
        <w:sz w:val="18"/>
        <w:lang w:val="en-US"/>
      </w:rPr>
      <w:fldChar w:fldCharType="begin"/>
    </w:r>
    <w:r w:rsidRPr="008918CF">
      <w:rPr>
        <w:b/>
        <w:sz w:val="18"/>
        <w:lang w:val="en-US"/>
      </w:rPr>
      <w:instrText xml:space="preserve"> PAGE  \* MERGEFORMAT </w:instrText>
    </w:r>
    <w:r w:rsidRPr="008918CF">
      <w:rPr>
        <w:b/>
        <w:sz w:val="18"/>
        <w:lang w:val="en-US"/>
      </w:rPr>
      <w:fldChar w:fldCharType="separate"/>
    </w:r>
    <w:r w:rsidRPr="008918CF">
      <w:rPr>
        <w:b/>
        <w:noProof/>
        <w:sz w:val="18"/>
        <w:lang w:val="en-US"/>
      </w:rPr>
      <w:t>2</w:t>
    </w:r>
    <w:r w:rsidRPr="008918CF">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7E45" w14:textId="72363133" w:rsidR="006959B0" w:rsidRPr="008918CF" w:rsidRDefault="008918CF" w:rsidP="008918CF">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GE.22-12669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EA88" w14:textId="66A17628" w:rsidR="00DE50B1" w:rsidRPr="008918CF" w:rsidRDefault="008918CF" w:rsidP="008918CF">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115930E6" wp14:editId="72AE9B9F">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22-12669</w:t>
    </w:r>
    <w:r w:rsidR="00885E11">
      <w:rPr>
        <w:sz w:val="20"/>
        <w:lang w:val="en-US"/>
      </w:rPr>
      <w:t xml:space="preserve"> </w:t>
    </w:r>
    <w:r>
      <w:rPr>
        <w:sz w:val="20"/>
        <w:lang w:val="en-US"/>
      </w:rPr>
      <w:t>(A)</w:t>
    </w:r>
    <w:r>
      <w:rPr>
        <w:noProof/>
        <w:sz w:val="20"/>
        <w:lang w:val="en-US"/>
      </w:rPr>
      <w:drawing>
        <wp:anchor distT="0" distB="0" distL="114300" distR="114300" simplePos="0" relativeHeight="251659264" behindDoc="0" locked="0" layoutInCell="1" allowOverlap="1" wp14:anchorId="2E91C06D" wp14:editId="274B66B4">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BFD51" w14:textId="77777777" w:rsidR="000F6AD6" w:rsidRPr="008A49D2" w:rsidRDefault="000F6AD6"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57EDEDB7" w14:textId="77777777" w:rsidR="000F6AD6" w:rsidRDefault="000F6AD6" w:rsidP="00656392">
      <w:pPr>
        <w:spacing w:line="240" w:lineRule="auto"/>
      </w:pPr>
      <w:r>
        <w:continuationSeparator/>
      </w:r>
    </w:p>
  </w:footnote>
  <w:footnote w:id="1">
    <w:p w14:paraId="19FDB5BA" w14:textId="741D9B16" w:rsidR="00885E11" w:rsidRPr="00DC17E8" w:rsidRDefault="00DC17E8" w:rsidP="00DC17E8">
      <w:pPr>
        <w:pStyle w:val="FootnoteText1"/>
      </w:pPr>
      <w:r>
        <w:rPr>
          <w:rFonts w:hint="cs"/>
          <w:rtl/>
        </w:rPr>
        <w:t>*</w:t>
      </w:r>
      <w:r>
        <w:rPr>
          <w:rtl/>
        </w:rPr>
        <w:tab/>
      </w:r>
      <w:r w:rsidR="00885E11" w:rsidRPr="00DC17E8">
        <w:rPr>
          <w:rtl/>
        </w:rPr>
        <w:t>اعتمدته</w:t>
      </w:r>
      <w:r w:rsidR="001B17A0">
        <w:rPr>
          <w:rFonts w:hint="cs"/>
          <w:rtl/>
        </w:rPr>
        <w:t>ا</w:t>
      </w:r>
      <w:r w:rsidR="00885E11" w:rsidRPr="00DC17E8">
        <w:rPr>
          <w:rtl/>
        </w:rPr>
        <w:t xml:space="preserve"> اللجنة في دورتها </w:t>
      </w:r>
      <w:r w:rsidR="00885E11" w:rsidRPr="00846FFB">
        <w:rPr>
          <w:rtl/>
        </w:rPr>
        <w:t>134</w:t>
      </w:r>
      <w:r w:rsidR="00885E11" w:rsidRPr="00DC17E8">
        <w:rPr>
          <w:rtl/>
        </w:rPr>
        <w:t xml:space="preserve"> (</w:t>
      </w:r>
      <w:r w:rsidR="00885E11" w:rsidRPr="00846FFB">
        <w:rPr>
          <w:rtl/>
        </w:rPr>
        <w:t>28</w:t>
      </w:r>
      <w:r w:rsidR="00885E11" w:rsidRPr="00DC17E8">
        <w:rPr>
          <w:rtl/>
        </w:rPr>
        <w:t xml:space="preserve"> شباط/فبراير</w:t>
      </w:r>
      <w:r w:rsidR="00FA6EE9">
        <w:rPr>
          <w:rFonts w:hint="cs"/>
          <w:rtl/>
        </w:rPr>
        <w:t xml:space="preserve"> </w:t>
      </w:r>
      <w:r w:rsidR="00885E11" w:rsidRPr="00DC17E8">
        <w:rPr>
          <w:rtl/>
        </w:rPr>
        <w:t>-</w:t>
      </w:r>
      <w:r w:rsidR="00FA6EE9">
        <w:rPr>
          <w:rFonts w:hint="cs"/>
          <w:rtl/>
        </w:rPr>
        <w:t xml:space="preserve"> </w:t>
      </w:r>
      <w:r w:rsidR="00885E11" w:rsidRPr="00846FFB">
        <w:rPr>
          <w:rtl/>
        </w:rPr>
        <w:t>25</w:t>
      </w:r>
      <w:r w:rsidR="00885E11" w:rsidRPr="00DC17E8">
        <w:rPr>
          <w:rtl/>
        </w:rPr>
        <w:t xml:space="preserve"> آذار/مارس </w:t>
      </w:r>
      <w:r w:rsidR="00885E11" w:rsidRPr="00846FFB">
        <w:rPr>
          <w:rtl/>
        </w:rPr>
        <w:t>2022</w:t>
      </w:r>
      <w:r w:rsidR="00885E11" w:rsidRPr="00DC17E8">
        <w:rPr>
          <w:rtl/>
        </w:rPr>
        <w:t>).</w:t>
      </w:r>
    </w:p>
  </w:footnote>
  <w:footnote w:id="2">
    <w:p w14:paraId="37150456" w14:textId="3F91A97B" w:rsidR="00E82A04" w:rsidRPr="00DC17E8" w:rsidRDefault="00E82A04" w:rsidP="00DC17E8">
      <w:pPr>
        <w:pStyle w:val="FootnoteText1"/>
        <w:rPr>
          <w:rtl/>
        </w:rPr>
      </w:pPr>
      <w:r w:rsidRPr="00846FFB">
        <w:rPr>
          <w:rtl/>
        </w:rPr>
        <w:t>(</w:t>
      </w:r>
      <w:r w:rsidRPr="00846FFB">
        <w:footnoteRef/>
      </w:r>
      <w:r w:rsidRPr="00846FFB">
        <w:rPr>
          <w:rtl/>
        </w:rPr>
        <w:t>)</w:t>
      </w:r>
      <w:r w:rsidRPr="00DC17E8">
        <w:rPr>
          <w:rtl/>
        </w:rPr>
        <w:tab/>
      </w:r>
      <w:hyperlink r:id="rId1" w:history="1">
        <w:r w:rsidRPr="005D7864">
          <w:rPr>
            <w:rStyle w:val="Hyperlink"/>
          </w:rPr>
          <w:t>CCPR/C/IRQ/</w:t>
        </w:r>
        <w:r w:rsidRPr="00846FFB">
          <w:rPr>
            <w:rStyle w:val="Hyperlink"/>
          </w:rPr>
          <w:t>6</w:t>
        </w:r>
      </w:hyperlink>
      <w:r>
        <w:rPr>
          <w:rFonts w:hint="cs"/>
          <w:rtl/>
        </w:rPr>
        <w:t>.</w:t>
      </w:r>
    </w:p>
  </w:footnote>
  <w:footnote w:id="3">
    <w:p w14:paraId="334C4F38" w14:textId="7E7D1C63" w:rsidR="00E82A04" w:rsidRPr="00DC17E8" w:rsidRDefault="00E82A04" w:rsidP="00DC17E8">
      <w:pPr>
        <w:pStyle w:val="FootnoteText1"/>
        <w:rPr>
          <w:rtl/>
        </w:rPr>
      </w:pPr>
      <w:r w:rsidRPr="00846FFB">
        <w:rPr>
          <w:rtl/>
        </w:rPr>
        <w:t>(</w:t>
      </w:r>
      <w:r w:rsidRPr="00846FFB">
        <w:footnoteRef/>
      </w:r>
      <w:r w:rsidRPr="00846FFB">
        <w:rPr>
          <w:rtl/>
        </w:rPr>
        <w:t>)</w:t>
      </w:r>
      <w:r w:rsidRPr="00DC17E8">
        <w:rPr>
          <w:rtl/>
        </w:rPr>
        <w:tab/>
        <w:t>انظر</w:t>
      </w:r>
      <w:r>
        <w:rPr>
          <w:rFonts w:hint="cs"/>
          <w:rtl/>
        </w:rPr>
        <w:t xml:space="preserve"> </w:t>
      </w:r>
      <w:hyperlink r:id="rId2" w:history="1">
        <w:r w:rsidRPr="005D7864">
          <w:rPr>
            <w:rStyle w:val="Hyperlink"/>
          </w:rPr>
          <w:t>CCPR/C/SR.</w:t>
        </w:r>
        <w:r w:rsidRPr="00846FFB">
          <w:rPr>
            <w:rStyle w:val="Hyperlink"/>
          </w:rPr>
          <w:t>3846</w:t>
        </w:r>
      </w:hyperlink>
      <w:r w:rsidR="005D7864" w:rsidRPr="00DC17E8">
        <w:rPr>
          <w:rtl/>
        </w:rPr>
        <w:t xml:space="preserve"> و</w:t>
      </w:r>
      <w:hyperlink r:id="rId3" w:history="1">
        <w:r w:rsidR="005D7864" w:rsidRPr="005D7864">
          <w:rPr>
            <w:rStyle w:val="Hyperlink"/>
          </w:rPr>
          <w:t>C</w:t>
        </w:r>
        <w:r w:rsidRPr="005D7864">
          <w:rPr>
            <w:rStyle w:val="Hyperlink"/>
          </w:rPr>
          <w:t>CPR/C/SR.</w:t>
        </w:r>
        <w:r w:rsidRPr="00846FFB">
          <w:rPr>
            <w:rStyle w:val="Hyperlink"/>
          </w:rPr>
          <w:t>3847</w:t>
        </w:r>
      </w:hyperlink>
      <w:r w:rsidR="005D7864">
        <w:rPr>
          <w:rFonts w:hint="cs"/>
          <w:rtl/>
        </w:rPr>
        <w:t xml:space="preserve"> </w:t>
      </w:r>
      <w:r w:rsidR="005D7864" w:rsidRPr="00DC17E8">
        <w:rPr>
          <w:rtl/>
        </w:rPr>
        <w:t>و</w:t>
      </w:r>
      <w:hyperlink r:id="rId4" w:history="1">
        <w:r w:rsidR="005D7864" w:rsidRPr="005D7864">
          <w:rPr>
            <w:rStyle w:val="Hyperlink"/>
          </w:rPr>
          <w:t>C</w:t>
        </w:r>
        <w:r w:rsidRPr="005D7864">
          <w:rPr>
            <w:rStyle w:val="Hyperlink"/>
          </w:rPr>
          <w:t>CPR/C/SR.</w:t>
        </w:r>
        <w:r w:rsidRPr="00846FFB">
          <w:rPr>
            <w:rStyle w:val="Hyperlink"/>
          </w:rPr>
          <w:t>3848</w:t>
        </w:r>
      </w:hyperlink>
      <w:r>
        <w:rPr>
          <w:rFonts w:hint="cs"/>
          <w:rtl/>
        </w:rPr>
        <w:t>.</w:t>
      </w:r>
    </w:p>
  </w:footnote>
  <w:footnote w:id="4">
    <w:p w14:paraId="3406A0C4" w14:textId="3C364F78" w:rsidR="00E82A04" w:rsidRPr="00DC17E8" w:rsidRDefault="00E82A04" w:rsidP="00DC17E8">
      <w:pPr>
        <w:pStyle w:val="FootnoteText1"/>
        <w:rPr>
          <w:rtl/>
        </w:rPr>
      </w:pPr>
      <w:r w:rsidRPr="00846FFB">
        <w:rPr>
          <w:rtl/>
        </w:rPr>
        <w:t>(</w:t>
      </w:r>
      <w:r w:rsidRPr="00846FFB">
        <w:footnoteRef/>
      </w:r>
      <w:r w:rsidRPr="00846FFB">
        <w:rPr>
          <w:rtl/>
        </w:rPr>
        <w:t>)</w:t>
      </w:r>
      <w:r w:rsidRPr="00DC17E8">
        <w:rPr>
          <w:rtl/>
        </w:rPr>
        <w:tab/>
      </w:r>
      <w:hyperlink r:id="rId5" w:history="1">
        <w:r w:rsidRPr="005D7864">
          <w:rPr>
            <w:rStyle w:val="Hyperlink"/>
          </w:rPr>
          <w:t>CCPR/C/IRQ/RQ/</w:t>
        </w:r>
        <w:r w:rsidRPr="00846FFB">
          <w:rPr>
            <w:rStyle w:val="Hyperlink"/>
          </w:rPr>
          <w:t>6</w:t>
        </w:r>
      </w:hyperlink>
      <w:r>
        <w:rPr>
          <w:rFonts w:hint="cs"/>
          <w:rtl/>
        </w:rPr>
        <w:t>.</w:t>
      </w:r>
    </w:p>
  </w:footnote>
  <w:footnote w:id="5">
    <w:p w14:paraId="32494314" w14:textId="23A733B0" w:rsidR="00E82A04" w:rsidRPr="00DC17E8" w:rsidRDefault="00E82A04" w:rsidP="00DC17E8">
      <w:pPr>
        <w:pStyle w:val="FootnoteText1"/>
        <w:rPr>
          <w:rtl/>
        </w:rPr>
      </w:pPr>
      <w:r w:rsidRPr="00846FFB">
        <w:rPr>
          <w:rtl/>
        </w:rPr>
        <w:t>(</w:t>
      </w:r>
      <w:r w:rsidRPr="00846FFB">
        <w:footnoteRef/>
      </w:r>
      <w:r w:rsidRPr="00846FFB">
        <w:rPr>
          <w:rtl/>
        </w:rPr>
        <w:t>)</w:t>
      </w:r>
      <w:r w:rsidRPr="00DC17E8">
        <w:rPr>
          <w:rtl/>
        </w:rPr>
        <w:tab/>
      </w:r>
      <w:hyperlink r:id="rId6" w:history="1">
        <w:r w:rsidRPr="005D7864">
          <w:rPr>
            <w:rStyle w:val="Hyperlink"/>
          </w:rPr>
          <w:t>CCPR/C/IRQ/Q/</w:t>
        </w:r>
        <w:r w:rsidRPr="00846FFB">
          <w:rPr>
            <w:rStyle w:val="Hyperlink"/>
          </w:rPr>
          <w:t>6</w:t>
        </w:r>
      </w:hyperlink>
      <w:r>
        <w:rPr>
          <w:rFonts w:hint="cs"/>
          <w:rtl/>
        </w:rPr>
        <w:t>.</w:t>
      </w:r>
    </w:p>
  </w:footnote>
  <w:footnote w:id="6">
    <w:p w14:paraId="5481FA2C" w14:textId="27CF7DE3" w:rsidR="00E82A04" w:rsidRPr="00DC17E8" w:rsidRDefault="00E82A04" w:rsidP="00DC17E8">
      <w:pPr>
        <w:pStyle w:val="FootnoteText1"/>
      </w:pPr>
      <w:r w:rsidRPr="00846FFB">
        <w:rPr>
          <w:rtl/>
        </w:rPr>
        <w:t>(</w:t>
      </w:r>
      <w:r w:rsidRPr="00846FFB">
        <w:footnoteRef/>
      </w:r>
      <w:r w:rsidRPr="00846FFB">
        <w:rPr>
          <w:rtl/>
        </w:rPr>
        <w:t>)</w:t>
      </w:r>
      <w:r w:rsidRPr="00DC17E8">
        <w:rPr>
          <w:rtl/>
        </w:rPr>
        <w:tab/>
      </w:r>
      <w:hyperlink r:id="rId7" w:history="1">
        <w:r w:rsidRPr="005D7864">
          <w:rPr>
            <w:rStyle w:val="Hyperlink"/>
          </w:rPr>
          <w:t>CCPR/C/IRQ/CO/</w:t>
        </w:r>
        <w:r w:rsidRPr="00846FFB">
          <w:rPr>
            <w:rStyle w:val="Hyperlink"/>
          </w:rPr>
          <w:t>5</w:t>
        </w:r>
      </w:hyperlink>
      <w:r w:rsidR="005D7864">
        <w:rPr>
          <w:rtl/>
        </w:rPr>
        <w:t>،</w:t>
      </w:r>
      <w:r w:rsidRPr="00DC17E8">
        <w:rPr>
          <w:rtl/>
        </w:rPr>
        <w:t xml:space="preserve"> الفقرة </w:t>
      </w:r>
      <w:r w:rsidRPr="00846FFB">
        <w:rPr>
          <w:rtl/>
        </w:rPr>
        <w:t>6</w:t>
      </w:r>
      <w:r w:rsidRPr="00DC17E8">
        <w:rPr>
          <w:rtl/>
        </w:rPr>
        <w:t xml:space="preserve">. </w:t>
      </w:r>
    </w:p>
  </w:footnote>
  <w:footnote w:id="7">
    <w:p w14:paraId="48253937" w14:textId="21F80786" w:rsidR="00E82A04" w:rsidRPr="00DC17E8" w:rsidRDefault="00E82A04" w:rsidP="00DC17E8">
      <w:pPr>
        <w:pStyle w:val="FootnoteText1"/>
      </w:pPr>
      <w:r w:rsidRPr="00846FFB">
        <w:rPr>
          <w:rtl/>
        </w:rPr>
        <w:t>(</w:t>
      </w:r>
      <w:r w:rsidRPr="00846FFB">
        <w:footnoteRef/>
      </w:r>
      <w:r w:rsidRPr="00846FFB">
        <w:rPr>
          <w:rtl/>
        </w:rPr>
        <w:t>)</w:t>
      </w:r>
      <w:r w:rsidRPr="00DC17E8">
        <w:rPr>
          <w:rtl/>
        </w:rPr>
        <w:tab/>
        <w:t>المرجع نفسه</w:t>
      </w:r>
      <w:r w:rsidR="005D7864">
        <w:rPr>
          <w:rtl/>
        </w:rPr>
        <w:t>،</w:t>
      </w:r>
      <w:r w:rsidRPr="00DC17E8">
        <w:rPr>
          <w:rtl/>
        </w:rPr>
        <w:t xml:space="preserve"> الفقرة </w:t>
      </w:r>
      <w:r w:rsidRPr="00846FFB">
        <w:rPr>
          <w:rtl/>
        </w:rPr>
        <w:t>12</w:t>
      </w:r>
      <w:r w:rsidRPr="00DC17E8">
        <w:rPr>
          <w:rtl/>
        </w:rPr>
        <w:t xml:space="preserve">. </w:t>
      </w:r>
    </w:p>
  </w:footnote>
  <w:footnote w:id="8">
    <w:p w14:paraId="4E7BF2C4" w14:textId="55A2568E" w:rsidR="00E82A04" w:rsidRPr="00DC17E8" w:rsidRDefault="00E82A04" w:rsidP="00DC17E8">
      <w:pPr>
        <w:pStyle w:val="FootnoteText1"/>
      </w:pPr>
      <w:r w:rsidRPr="00846FFB">
        <w:rPr>
          <w:rtl/>
        </w:rPr>
        <w:t>(</w:t>
      </w:r>
      <w:r w:rsidRPr="00846FFB">
        <w:footnoteRef/>
      </w:r>
      <w:r w:rsidRPr="00846FFB">
        <w:rPr>
          <w:rtl/>
        </w:rPr>
        <w:t>)</w:t>
      </w:r>
      <w:r w:rsidRPr="00DC17E8">
        <w:rPr>
          <w:rtl/>
        </w:rPr>
        <w:tab/>
        <w:t>المرجع نفسه</w:t>
      </w:r>
      <w:r w:rsidR="005D7864">
        <w:rPr>
          <w:rtl/>
        </w:rPr>
        <w:t>،</w:t>
      </w:r>
      <w:r w:rsidRPr="00DC17E8">
        <w:rPr>
          <w:rtl/>
        </w:rPr>
        <w:t xml:space="preserve"> الفقرة </w:t>
      </w:r>
      <w:r w:rsidRPr="00846FFB">
        <w:rPr>
          <w:rtl/>
        </w:rPr>
        <w:t>9</w:t>
      </w:r>
      <w:r w:rsidRPr="00DC17E8">
        <w:rPr>
          <w:rtl/>
        </w:rPr>
        <w:t>.</w:t>
      </w:r>
    </w:p>
  </w:footnote>
  <w:footnote w:id="9">
    <w:p w14:paraId="1459376C" w14:textId="49F4AC65" w:rsidR="00E82A04" w:rsidRPr="00DC17E8" w:rsidRDefault="00E82A04" w:rsidP="00DC17E8">
      <w:pPr>
        <w:pStyle w:val="FootnoteText1"/>
      </w:pPr>
      <w:r w:rsidRPr="00846FFB">
        <w:rPr>
          <w:rtl/>
        </w:rPr>
        <w:t>(</w:t>
      </w:r>
      <w:r w:rsidRPr="00846FFB">
        <w:footnoteRef/>
      </w:r>
      <w:r w:rsidRPr="00846FFB">
        <w:rPr>
          <w:rtl/>
        </w:rPr>
        <w:t>)</w:t>
      </w:r>
      <w:r w:rsidRPr="00DC17E8">
        <w:rPr>
          <w:rtl/>
        </w:rPr>
        <w:tab/>
        <w:t>المرجع نفسه</w:t>
      </w:r>
      <w:r w:rsidR="005D7864">
        <w:rPr>
          <w:rtl/>
        </w:rPr>
        <w:t>،</w:t>
      </w:r>
      <w:r w:rsidRPr="00DC17E8">
        <w:rPr>
          <w:rtl/>
        </w:rPr>
        <w:t xml:space="preserve"> الفقرة </w:t>
      </w:r>
      <w:r w:rsidRPr="00846FFB">
        <w:rPr>
          <w:rtl/>
        </w:rPr>
        <w:t>28</w:t>
      </w:r>
      <w:r w:rsidRPr="00DC17E8">
        <w:rPr>
          <w:rtl/>
        </w:rPr>
        <w:t>.</w:t>
      </w:r>
    </w:p>
  </w:footnote>
  <w:footnote w:id="10">
    <w:p w14:paraId="10C5E276" w14:textId="24CA9F92" w:rsidR="00E82A04" w:rsidRPr="00DC17E8" w:rsidRDefault="00E82A04" w:rsidP="00DC17E8">
      <w:pPr>
        <w:pStyle w:val="FootnoteText1"/>
      </w:pPr>
      <w:r w:rsidRPr="00846FFB">
        <w:rPr>
          <w:rtl/>
        </w:rPr>
        <w:t>(</w:t>
      </w:r>
      <w:r w:rsidRPr="00846FFB">
        <w:footnoteRef/>
      </w:r>
      <w:r w:rsidRPr="00846FFB">
        <w:rPr>
          <w:rtl/>
        </w:rPr>
        <w:t>)</w:t>
      </w:r>
      <w:r w:rsidRPr="00DC17E8">
        <w:rPr>
          <w:rtl/>
        </w:rPr>
        <w:tab/>
        <w:t>المرجع نفسه</w:t>
      </w:r>
      <w:r w:rsidR="005D7864">
        <w:rPr>
          <w:rtl/>
        </w:rPr>
        <w:t>،</w:t>
      </w:r>
      <w:r w:rsidRPr="00DC17E8">
        <w:rPr>
          <w:rtl/>
        </w:rPr>
        <w:t xml:space="preserve"> الفقرة </w:t>
      </w:r>
      <w:r w:rsidRPr="00846FFB">
        <w:rPr>
          <w:rtl/>
        </w:rPr>
        <w:t>30</w:t>
      </w:r>
      <w:r w:rsidRPr="00DC17E8">
        <w:rPr>
          <w:rtl/>
        </w:rPr>
        <w:t>.</w:t>
      </w:r>
    </w:p>
  </w:footnote>
  <w:footnote w:id="11">
    <w:p w14:paraId="302B23CF" w14:textId="3697B84E" w:rsidR="00E82A04" w:rsidRPr="00DC17E8" w:rsidRDefault="00E82A04" w:rsidP="00DC17E8">
      <w:pPr>
        <w:pStyle w:val="FootnoteText1"/>
      </w:pPr>
      <w:r w:rsidRPr="00846FFB">
        <w:rPr>
          <w:rtl/>
        </w:rPr>
        <w:t>(</w:t>
      </w:r>
      <w:r w:rsidRPr="00846FFB">
        <w:footnoteRef/>
      </w:r>
      <w:r w:rsidRPr="00846FFB">
        <w:rPr>
          <w:rtl/>
        </w:rPr>
        <w:t>)</w:t>
      </w:r>
      <w:r w:rsidRPr="00DC17E8">
        <w:rPr>
          <w:rtl/>
        </w:rPr>
        <w:tab/>
        <w:t>المرجع نفسه</w:t>
      </w:r>
      <w:r w:rsidR="005D7864">
        <w:rPr>
          <w:rtl/>
        </w:rPr>
        <w:t>،</w:t>
      </w:r>
      <w:r w:rsidRPr="00DC17E8">
        <w:rPr>
          <w:rtl/>
        </w:rPr>
        <w:t xml:space="preserve"> الفقرة </w:t>
      </w:r>
      <w:r w:rsidRPr="00846FFB">
        <w:rPr>
          <w:rtl/>
        </w:rPr>
        <w:t>16</w:t>
      </w:r>
      <w:r w:rsidRPr="00DC17E8">
        <w:rPr>
          <w:rtl/>
        </w:rPr>
        <w:t>.</w:t>
      </w:r>
    </w:p>
  </w:footnote>
  <w:footnote w:id="12">
    <w:p w14:paraId="3CDFFF89" w14:textId="3C5AAD96" w:rsidR="00E82A04" w:rsidRPr="00DC17E8" w:rsidRDefault="00E82A04" w:rsidP="00DC17E8">
      <w:pPr>
        <w:pStyle w:val="FootnoteText1"/>
      </w:pPr>
      <w:r w:rsidRPr="00846FFB">
        <w:rPr>
          <w:rtl/>
        </w:rPr>
        <w:t>(</w:t>
      </w:r>
      <w:r w:rsidRPr="00846FFB">
        <w:footnoteRef/>
      </w:r>
      <w:r w:rsidRPr="00846FFB">
        <w:rPr>
          <w:rtl/>
        </w:rPr>
        <w:t>)</w:t>
      </w:r>
      <w:r w:rsidRPr="00DC17E8">
        <w:rPr>
          <w:rtl/>
        </w:rPr>
        <w:tab/>
      </w:r>
      <w:hyperlink r:id="rId8" w:history="1">
        <w:r w:rsidRPr="005D7864">
          <w:rPr>
            <w:rStyle w:val="Hyperlink"/>
          </w:rPr>
          <w:t>CERD/C/IRQ/CO/</w:t>
        </w:r>
        <w:r w:rsidRPr="00846FFB">
          <w:rPr>
            <w:rStyle w:val="Hyperlink"/>
          </w:rPr>
          <w:t>22</w:t>
        </w:r>
        <w:r w:rsidRPr="005D7864">
          <w:rPr>
            <w:rStyle w:val="Hyperlink"/>
          </w:rPr>
          <w:t>-</w:t>
        </w:r>
        <w:r w:rsidRPr="00846FFB">
          <w:rPr>
            <w:rStyle w:val="Hyperlink"/>
          </w:rPr>
          <w:t>25</w:t>
        </w:r>
      </w:hyperlink>
      <w:r w:rsidR="005D7864">
        <w:rPr>
          <w:rtl/>
        </w:rPr>
        <w:t>،</w:t>
      </w:r>
      <w:r w:rsidRPr="00DC17E8">
        <w:rPr>
          <w:rtl/>
        </w:rPr>
        <w:t xml:space="preserve"> الفقرة </w:t>
      </w:r>
      <w:r w:rsidRPr="00846FFB">
        <w:rPr>
          <w:rtl/>
        </w:rPr>
        <w:t>26</w:t>
      </w:r>
      <w:r w:rsidRPr="00DC17E8">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1284" w14:textId="0649AEF3" w:rsidR="008918CF" w:rsidRPr="008918CF" w:rsidRDefault="008918CF" w:rsidP="008918CF">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6269C3">
      <w:t>CCPR/C/</w:t>
    </w:r>
    <w:proofErr w:type="spellStart"/>
    <w:r w:rsidR="006269C3">
      <w:t>IRQ</w:t>
    </w:r>
    <w:proofErr w:type="spellEnd"/>
    <w:r w:rsidR="006269C3">
      <w:t>/CO/6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5BFA" w14:textId="6D206A79" w:rsidR="008918CF" w:rsidRPr="008918CF" w:rsidRDefault="008918CF" w:rsidP="008918CF">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6269C3">
      <w:t>CCPR/C/</w:t>
    </w:r>
    <w:proofErr w:type="spellStart"/>
    <w:r w:rsidR="006269C3">
      <w:t>IRQ</w:t>
    </w:r>
    <w:proofErr w:type="spellEnd"/>
    <w:r w:rsidR="006269C3">
      <w:t>/CO/6</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8FA"/>
    <w:multiLevelType w:val="hybridMultilevel"/>
    <w:tmpl w:val="66B24AE0"/>
    <w:lvl w:ilvl="0" w:tplc="AC0A8DE0">
      <w:start w:val="1"/>
      <w:numFmt w:val="lowerLetter"/>
      <w:lvlText w:val="(%1)"/>
      <w:lvlJc w:val="left"/>
      <w:pPr>
        <w:ind w:left="2274" w:hanging="564"/>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 w15:restartNumberingAfterBreak="0">
    <w:nsid w:val="010C49F8"/>
    <w:multiLevelType w:val="hybridMultilevel"/>
    <w:tmpl w:val="FFD08D26"/>
    <w:lvl w:ilvl="0" w:tplc="2FB47626">
      <w:start w:val="1"/>
      <w:numFmt w:val="decimal"/>
      <w:pStyle w:val="Bullet1GA"/>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FA5289"/>
    <w:multiLevelType w:val="hybridMultilevel"/>
    <w:tmpl w:val="0E0AF2F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51AF4"/>
    <w:multiLevelType w:val="hybridMultilevel"/>
    <w:tmpl w:val="462EC7C6"/>
    <w:lvl w:ilvl="0" w:tplc="7A2C7C9E">
      <w:start w:val="1"/>
      <w:numFmt w:val="bullet"/>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B55283"/>
    <w:multiLevelType w:val="hybridMultilevel"/>
    <w:tmpl w:val="2E3AEFE2"/>
    <w:lvl w:ilvl="0" w:tplc="0809000F">
      <w:start w:val="1"/>
      <w:numFmt w:val="decimal"/>
      <w:pStyle w:val="Bullet3"/>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DA5858"/>
    <w:multiLevelType w:val="hybridMultilevel"/>
    <w:tmpl w:val="450C70C8"/>
    <w:lvl w:ilvl="0" w:tplc="3AFEA6EC">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8" w15:restartNumberingAfterBreak="0">
    <w:nsid w:val="10CA42AD"/>
    <w:multiLevelType w:val="hybridMultilevel"/>
    <w:tmpl w:val="CA2482AA"/>
    <w:lvl w:ilvl="0" w:tplc="0C0C8F6C">
      <w:start w:val="1"/>
      <w:numFmt w:val="lowerLetter"/>
      <w:lvlText w:val="(%1)"/>
      <w:lvlJc w:val="left"/>
      <w:pPr>
        <w:ind w:left="2274" w:hanging="42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9" w15:restartNumberingAfterBreak="0">
    <w:nsid w:val="11E9526C"/>
    <w:multiLevelType w:val="hybridMultilevel"/>
    <w:tmpl w:val="93188CC4"/>
    <w:lvl w:ilvl="0" w:tplc="4352303A">
      <w:start w:val="1"/>
      <w:numFmt w:val="lowerLetter"/>
      <w:lvlText w:val="(%1)"/>
      <w:lvlJc w:val="left"/>
      <w:pPr>
        <w:ind w:left="2274" w:hanging="564"/>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0" w15:restartNumberingAfterBreak="0">
    <w:nsid w:val="15DD6575"/>
    <w:multiLevelType w:val="multilevel"/>
    <w:tmpl w:val="0409001D"/>
    <w:lvl w:ilvl="0">
      <w:start w:val="1"/>
      <w:numFmt w:val="decimal"/>
      <w:pStyle w:val="Roman2GA"/>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6E33946"/>
    <w:multiLevelType w:val="hybridMultilevel"/>
    <w:tmpl w:val="E5128E7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13" w15:restartNumberingAfterBreak="0">
    <w:nsid w:val="1B4D09B7"/>
    <w:multiLevelType w:val="hybridMultilevel"/>
    <w:tmpl w:val="B33CA9E8"/>
    <w:lvl w:ilvl="0" w:tplc="3E860A94">
      <w:start w:val="1"/>
      <w:numFmt w:val="decimal"/>
      <w:pStyle w:val="ParaNoG"/>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F272F0"/>
    <w:multiLevelType w:val="hybridMultilevel"/>
    <w:tmpl w:val="639E4496"/>
    <w:lvl w:ilvl="0" w:tplc="9AA29D80">
      <w:start w:val="1"/>
      <w:numFmt w:val="decimal"/>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6" w15:restartNumberingAfterBreak="0">
    <w:nsid w:val="28476612"/>
    <w:multiLevelType w:val="hybridMultilevel"/>
    <w:tmpl w:val="2FECFC08"/>
    <w:lvl w:ilvl="0" w:tplc="3E860A94">
      <w:start w:val="1"/>
      <w:numFmt w:val="decimal"/>
      <w:lvlText w:val="%1."/>
      <w:lvlJc w:val="left"/>
      <w:pPr>
        <w:ind w:left="1854" w:hanging="360"/>
      </w:pPr>
      <w:rPr>
        <w:rFonts w:hint="default"/>
      </w:rPr>
    </w:lvl>
    <w:lvl w:ilvl="1" w:tplc="DAD6D0E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867434A"/>
    <w:multiLevelType w:val="hybridMultilevel"/>
    <w:tmpl w:val="C778F1C0"/>
    <w:lvl w:ilvl="0" w:tplc="EAC419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F64A36"/>
    <w:multiLevelType w:val="hybridMultilevel"/>
    <w:tmpl w:val="6A6636DE"/>
    <w:lvl w:ilvl="0" w:tplc="08090019">
      <w:start w:val="1"/>
      <w:numFmt w:val="lowerLetter"/>
      <w:pStyle w:val="Bullet2G"/>
      <w:lvlText w:val="%1."/>
      <w:lvlJc w:val="left"/>
      <w:pPr>
        <w:ind w:left="2574" w:hanging="360"/>
      </w:p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9" w15:restartNumberingAfterBreak="0">
    <w:nsid w:val="2C04606C"/>
    <w:multiLevelType w:val="hybridMultilevel"/>
    <w:tmpl w:val="BCB886E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A75D52"/>
    <w:multiLevelType w:val="hybridMultilevel"/>
    <w:tmpl w:val="B622CBCC"/>
    <w:lvl w:ilvl="0" w:tplc="EF10EA04">
      <w:start w:val="1"/>
      <w:numFmt w:val="decimal"/>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98E48EF"/>
    <w:multiLevelType w:val="hybridMultilevel"/>
    <w:tmpl w:val="3DD20A2C"/>
    <w:lvl w:ilvl="0" w:tplc="08090017">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5" w15:restartNumberingAfterBreak="0">
    <w:nsid w:val="3ACF4EB2"/>
    <w:multiLevelType w:val="hybridMultilevel"/>
    <w:tmpl w:val="BE9AB9A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1756D4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41C3AB7"/>
    <w:multiLevelType w:val="hybridMultilevel"/>
    <w:tmpl w:val="AA2612A6"/>
    <w:lvl w:ilvl="0" w:tplc="B51CA132">
      <w:start w:val="1"/>
      <w:numFmt w:val="lowerLetter"/>
      <w:pStyle w:val="Bullet1"/>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29" w15:restartNumberingAfterBreak="0">
    <w:nsid w:val="454B2370"/>
    <w:multiLevelType w:val="hybridMultilevel"/>
    <w:tmpl w:val="7720856A"/>
    <w:lvl w:ilvl="0" w:tplc="D090D7F2">
      <w:start w:val="1"/>
      <w:numFmt w:val="bullet"/>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30"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4820AB"/>
    <w:multiLevelType w:val="hybridMultilevel"/>
    <w:tmpl w:val="97D2F512"/>
    <w:lvl w:ilvl="0" w:tplc="EA8A71E4">
      <w:start w:val="1"/>
      <w:numFmt w:val="lowerLetter"/>
      <w:lvlText w:val="%1)"/>
      <w:lvlJc w:val="left"/>
      <w:pPr>
        <w:ind w:left="2577" w:hanging="876"/>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2" w15:restartNumberingAfterBreak="0">
    <w:nsid w:val="4BBC3F22"/>
    <w:multiLevelType w:val="hybridMultilevel"/>
    <w:tmpl w:val="53CE6448"/>
    <w:lvl w:ilvl="0" w:tplc="0809000F">
      <w:start w:val="1"/>
      <w:numFmt w:val="decimal"/>
      <w:lvlText w:val="%1."/>
      <w:lvlJc w:val="left"/>
      <w:pPr>
        <w:ind w:left="1854" w:hanging="360"/>
      </w:pPr>
    </w:lvl>
    <w:lvl w:ilvl="1" w:tplc="DAD6D0E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4DC247CD"/>
    <w:multiLevelType w:val="hybridMultilevel"/>
    <w:tmpl w:val="6BBECBEE"/>
    <w:lvl w:ilvl="0" w:tplc="23CA78A0">
      <w:start w:val="1"/>
      <w:numFmt w:val="decimal"/>
      <w:lvlText w:val="%1."/>
      <w:lvlJc w:val="left"/>
      <w:pPr>
        <w:ind w:left="1689" w:hanging="555"/>
      </w:pPr>
      <w:rPr>
        <w:rFonts w:hint="default"/>
        <w:b w:val="0"/>
        <w:sz w:val="20"/>
        <w:szCs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15:restartNumberingAfterBreak="0">
    <w:nsid w:val="56AD0500"/>
    <w:multiLevelType w:val="hybridMultilevel"/>
    <w:tmpl w:val="37CE671E"/>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58E50AE3"/>
    <w:multiLevelType w:val="hybridMultilevel"/>
    <w:tmpl w:val="55ECC94C"/>
    <w:lvl w:ilvl="0" w:tplc="625864AA">
      <w:start w:val="1"/>
      <w:numFmt w:val="lowerLetter"/>
      <w:lvlText w:val="%1)"/>
      <w:lvlJc w:val="left"/>
      <w:pPr>
        <w:ind w:left="1032" w:hanging="360"/>
      </w:pPr>
      <w:rPr>
        <w:rFonts w:hint="default"/>
      </w:rPr>
    </w:lvl>
    <w:lvl w:ilvl="1" w:tplc="08090019" w:tentative="1">
      <w:start w:val="1"/>
      <w:numFmt w:val="lowerLetter"/>
      <w:lvlText w:val="%2."/>
      <w:lvlJc w:val="left"/>
      <w:pPr>
        <w:ind w:left="1752" w:hanging="360"/>
      </w:pPr>
    </w:lvl>
    <w:lvl w:ilvl="2" w:tplc="0809001B" w:tentative="1">
      <w:start w:val="1"/>
      <w:numFmt w:val="lowerRoman"/>
      <w:lvlText w:val="%3."/>
      <w:lvlJc w:val="right"/>
      <w:pPr>
        <w:ind w:left="2472" w:hanging="180"/>
      </w:pPr>
    </w:lvl>
    <w:lvl w:ilvl="3" w:tplc="0809000F" w:tentative="1">
      <w:start w:val="1"/>
      <w:numFmt w:val="decimal"/>
      <w:lvlText w:val="%4."/>
      <w:lvlJc w:val="left"/>
      <w:pPr>
        <w:ind w:left="3192" w:hanging="360"/>
      </w:pPr>
    </w:lvl>
    <w:lvl w:ilvl="4" w:tplc="08090019" w:tentative="1">
      <w:start w:val="1"/>
      <w:numFmt w:val="lowerLetter"/>
      <w:lvlText w:val="%5."/>
      <w:lvlJc w:val="left"/>
      <w:pPr>
        <w:ind w:left="3912" w:hanging="360"/>
      </w:pPr>
    </w:lvl>
    <w:lvl w:ilvl="5" w:tplc="0809001B" w:tentative="1">
      <w:start w:val="1"/>
      <w:numFmt w:val="lowerRoman"/>
      <w:lvlText w:val="%6."/>
      <w:lvlJc w:val="right"/>
      <w:pPr>
        <w:ind w:left="4632" w:hanging="180"/>
      </w:pPr>
    </w:lvl>
    <w:lvl w:ilvl="6" w:tplc="0809000F" w:tentative="1">
      <w:start w:val="1"/>
      <w:numFmt w:val="decimal"/>
      <w:lvlText w:val="%7."/>
      <w:lvlJc w:val="left"/>
      <w:pPr>
        <w:ind w:left="5352" w:hanging="360"/>
      </w:pPr>
    </w:lvl>
    <w:lvl w:ilvl="7" w:tplc="08090019" w:tentative="1">
      <w:start w:val="1"/>
      <w:numFmt w:val="lowerLetter"/>
      <w:lvlText w:val="%8."/>
      <w:lvlJc w:val="left"/>
      <w:pPr>
        <w:ind w:left="6072" w:hanging="360"/>
      </w:pPr>
    </w:lvl>
    <w:lvl w:ilvl="8" w:tplc="0809001B" w:tentative="1">
      <w:start w:val="1"/>
      <w:numFmt w:val="lowerRoman"/>
      <w:lvlText w:val="%9."/>
      <w:lvlJc w:val="right"/>
      <w:pPr>
        <w:ind w:left="6792" w:hanging="180"/>
      </w:pPr>
    </w:lvl>
  </w:abstractNum>
  <w:abstractNum w:abstractNumId="36" w15:restartNumberingAfterBreak="0">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7" w15:restartNumberingAfterBreak="0">
    <w:nsid w:val="5E412300"/>
    <w:multiLevelType w:val="multilevel"/>
    <w:tmpl w:val="0809001F"/>
    <w:lvl w:ilvl="0">
      <w:start w:val="1"/>
      <w:numFmt w:val="decimal"/>
      <w:pStyle w:val="Bullet2G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6677AE"/>
    <w:multiLevelType w:val="multilevel"/>
    <w:tmpl w:val="0409001F"/>
    <w:styleLink w:val="111111"/>
    <w:lvl w:ilvl="0">
      <w:start w:val="1"/>
      <w:numFmt w:val="decimal"/>
      <w:pStyle w:val="ParaNoG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22B5588"/>
    <w:multiLevelType w:val="hybridMultilevel"/>
    <w:tmpl w:val="2AE05592"/>
    <w:lvl w:ilvl="0" w:tplc="3E860A94">
      <w:start w:val="1"/>
      <w:numFmt w:val="decimal"/>
      <w:lvlText w:val="%1."/>
      <w:lvlJc w:val="left"/>
      <w:pPr>
        <w:ind w:left="1854" w:hanging="360"/>
      </w:pPr>
      <w:rPr>
        <w:rFonts w:hint="default"/>
      </w:rPr>
    </w:lvl>
    <w:lvl w:ilvl="1" w:tplc="DAD6D0E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15:restartNumberingAfterBreak="0">
    <w:nsid w:val="6E126CD1"/>
    <w:multiLevelType w:val="hybridMultilevel"/>
    <w:tmpl w:val="985C975E"/>
    <w:lvl w:ilvl="0" w:tplc="1C7C24AC">
      <w:start w:val="1"/>
      <w:numFmt w:val="decimal"/>
      <w:lvlText w:val="%1."/>
      <w:lvlJc w:val="left"/>
      <w:pPr>
        <w:tabs>
          <w:tab w:val="num" w:pos="2835"/>
        </w:tabs>
        <w:ind w:left="2268" w:firstLine="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42"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3" w15:restartNumberingAfterBreak="0">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AA708F"/>
    <w:multiLevelType w:val="hybridMultilevel"/>
    <w:tmpl w:val="5A1A0342"/>
    <w:lvl w:ilvl="0" w:tplc="17185304">
      <w:start w:val="1"/>
      <w:numFmt w:val="lowerLetter"/>
      <w:pStyle w:val="Bullet2"/>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45" w15:restartNumberingAfterBreak="0">
    <w:nsid w:val="738E6A2E"/>
    <w:multiLevelType w:val="hybridMultilevel"/>
    <w:tmpl w:val="383A8002"/>
    <w:lvl w:ilvl="0" w:tplc="2E863838">
      <w:start w:val="1"/>
      <w:numFmt w:val="lowerLetter"/>
      <w:pStyle w:val="Bullet1G"/>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46" w15:restartNumberingAfterBreak="0">
    <w:nsid w:val="78703ABA"/>
    <w:multiLevelType w:val="multilevel"/>
    <w:tmpl w:val="0809001D"/>
    <w:styleLink w:val="1ai"/>
    <w:lvl w:ilvl="0">
      <w:start w:val="1"/>
      <w:numFmt w:val="decimal"/>
      <w:pStyle w:val="Roman1GA"/>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AE32A09"/>
    <w:multiLevelType w:val="hybridMultilevel"/>
    <w:tmpl w:val="B8DC87A6"/>
    <w:lvl w:ilvl="0" w:tplc="72A485D8">
      <w:start w:val="1"/>
      <w:numFmt w:val="decimal"/>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48" w15:restartNumberingAfterBreak="0">
    <w:nsid w:val="7B3324E4"/>
    <w:multiLevelType w:val="hybridMultilevel"/>
    <w:tmpl w:val="8F88B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
  </w:num>
  <w:num w:numId="4">
    <w:abstractNumId w:val="37"/>
  </w:num>
  <w:num w:numId="5">
    <w:abstractNumId w:val="38"/>
  </w:num>
  <w:num w:numId="6">
    <w:abstractNumId w:val="46"/>
  </w:num>
  <w:num w:numId="7">
    <w:abstractNumId w:val="10"/>
  </w:num>
  <w:num w:numId="8">
    <w:abstractNumId w:val="27"/>
  </w:num>
  <w:num w:numId="9">
    <w:abstractNumId w:val="16"/>
  </w:num>
  <w:num w:numId="10">
    <w:abstractNumId w:val="9"/>
  </w:num>
  <w:num w:numId="11">
    <w:abstractNumId w:val="41"/>
  </w:num>
  <w:num w:numId="12">
    <w:abstractNumId w:val="0"/>
  </w:num>
  <w:num w:numId="13">
    <w:abstractNumId w:val="8"/>
  </w:num>
  <w:num w:numId="14">
    <w:abstractNumId w:val="7"/>
  </w:num>
  <w:num w:numId="15">
    <w:abstractNumId w:val="24"/>
  </w:num>
  <w:num w:numId="16">
    <w:abstractNumId w:val="35"/>
  </w:num>
  <w:num w:numId="17">
    <w:abstractNumId w:val="31"/>
  </w:num>
  <w:num w:numId="18">
    <w:abstractNumId w:val="28"/>
  </w:num>
  <w:num w:numId="19">
    <w:abstractNumId w:val="44"/>
  </w:num>
  <w:num w:numId="20">
    <w:abstractNumId w:val="5"/>
  </w:num>
  <w:num w:numId="21">
    <w:abstractNumId w:val="45"/>
  </w:num>
  <w:num w:numId="22">
    <w:abstractNumId w:val="34"/>
  </w:num>
  <w:num w:numId="23">
    <w:abstractNumId w:val="32"/>
  </w:num>
  <w:num w:numId="24">
    <w:abstractNumId w:val="18"/>
  </w:num>
  <w:num w:numId="25">
    <w:abstractNumId w:val="39"/>
  </w:num>
  <w:num w:numId="26">
    <w:abstractNumId w:val="11"/>
  </w:num>
  <w:num w:numId="27">
    <w:abstractNumId w:val="2"/>
  </w:num>
  <w:num w:numId="28">
    <w:abstractNumId w:val="13"/>
  </w:num>
  <w:num w:numId="29">
    <w:abstractNumId w:val="19"/>
  </w:num>
  <w:num w:numId="30">
    <w:abstractNumId w:val="33"/>
  </w:num>
  <w:num w:numId="31">
    <w:abstractNumId w:val="17"/>
  </w:num>
  <w:num w:numId="32">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567"/>
  <w:evenAndOddHeaders/>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D6"/>
    <w:rsid w:val="000076D5"/>
    <w:rsid w:val="00043663"/>
    <w:rsid w:val="000437B8"/>
    <w:rsid w:val="000505CF"/>
    <w:rsid w:val="000D701C"/>
    <w:rsid w:val="000E2A71"/>
    <w:rsid w:val="000F6AD6"/>
    <w:rsid w:val="00145577"/>
    <w:rsid w:val="00160263"/>
    <w:rsid w:val="00181F96"/>
    <w:rsid w:val="001872B1"/>
    <w:rsid w:val="001A1371"/>
    <w:rsid w:val="001B043F"/>
    <w:rsid w:val="001B17A0"/>
    <w:rsid w:val="001B346A"/>
    <w:rsid w:val="001E1CAD"/>
    <w:rsid w:val="001E290D"/>
    <w:rsid w:val="002144FA"/>
    <w:rsid w:val="0023469A"/>
    <w:rsid w:val="00243C8A"/>
    <w:rsid w:val="00267A0E"/>
    <w:rsid w:val="002901D9"/>
    <w:rsid w:val="002976C2"/>
    <w:rsid w:val="003068BC"/>
    <w:rsid w:val="003260FF"/>
    <w:rsid w:val="00343D95"/>
    <w:rsid w:val="00363A18"/>
    <w:rsid w:val="00374341"/>
    <w:rsid w:val="003D1062"/>
    <w:rsid w:val="00402051"/>
    <w:rsid w:val="00420D7B"/>
    <w:rsid w:val="00450B21"/>
    <w:rsid w:val="00453B63"/>
    <w:rsid w:val="00455780"/>
    <w:rsid w:val="0046323F"/>
    <w:rsid w:val="004B0A1C"/>
    <w:rsid w:val="004B27E0"/>
    <w:rsid w:val="004D298E"/>
    <w:rsid w:val="005044B3"/>
    <w:rsid w:val="00517BC9"/>
    <w:rsid w:val="0054472E"/>
    <w:rsid w:val="005662A9"/>
    <w:rsid w:val="005827D4"/>
    <w:rsid w:val="0058508B"/>
    <w:rsid w:val="0059622A"/>
    <w:rsid w:val="005B51C4"/>
    <w:rsid w:val="005C0061"/>
    <w:rsid w:val="005C5878"/>
    <w:rsid w:val="005C7CEA"/>
    <w:rsid w:val="005D3C0B"/>
    <w:rsid w:val="005D7864"/>
    <w:rsid w:val="005E5217"/>
    <w:rsid w:val="005F0FA4"/>
    <w:rsid w:val="005F30EE"/>
    <w:rsid w:val="005F5271"/>
    <w:rsid w:val="0060473A"/>
    <w:rsid w:val="00617024"/>
    <w:rsid w:val="00621120"/>
    <w:rsid w:val="006269C3"/>
    <w:rsid w:val="00652221"/>
    <w:rsid w:val="00656392"/>
    <w:rsid w:val="006645EC"/>
    <w:rsid w:val="0068781D"/>
    <w:rsid w:val="006959B0"/>
    <w:rsid w:val="006B3E27"/>
    <w:rsid w:val="006B6507"/>
    <w:rsid w:val="006C104C"/>
    <w:rsid w:val="006C632E"/>
    <w:rsid w:val="00717FB3"/>
    <w:rsid w:val="00730446"/>
    <w:rsid w:val="00733704"/>
    <w:rsid w:val="00750180"/>
    <w:rsid w:val="0078071A"/>
    <w:rsid w:val="00787022"/>
    <w:rsid w:val="00787E1E"/>
    <w:rsid w:val="007B0599"/>
    <w:rsid w:val="00846FFB"/>
    <w:rsid w:val="00852A9A"/>
    <w:rsid w:val="0087793D"/>
    <w:rsid w:val="00885E11"/>
    <w:rsid w:val="008918CF"/>
    <w:rsid w:val="008A49D2"/>
    <w:rsid w:val="008F49E1"/>
    <w:rsid w:val="0090370F"/>
    <w:rsid w:val="009269D2"/>
    <w:rsid w:val="00942135"/>
    <w:rsid w:val="009521B0"/>
    <w:rsid w:val="00957437"/>
    <w:rsid w:val="00972A49"/>
    <w:rsid w:val="00982139"/>
    <w:rsid w:val="009867A8"/>
    <w:rsid w:val="00991F44"/>
    <w:rsid w:val="00996849"/>
    <w:rsid w:val="009A0CFB"/>
    <w:rsid w:val="009A7E9F"/>
    <w:rsid w:val="009C17EC"/>
    <w:rsid w:val="009E5018"/>
    <w:rsid w:val="00A03700"/>
    <w:rsid w:val="00A053F2"/>
    <w:rsid w:val="00A12B37"/>
    <w:rsid w:val="00A54828"/>
    <w:rsid w:val="00A97E1F"/>
    <w:rsid w:val="00AB512E"/>
    <w:rsid w:val="00AB6758"/>
    <w:rsid w:val="00AB727F"/>
    <w:rsid w:val="00B07D05"/>
    <w:rsid w:val="00B13763"/>
    <w:rsid w:val="00B477A4"/>
    <w:rsid w:val="00B54045"/>
    <w:rsid w:val="00B63ADD"/>
    <w:rsid w:val="00BB09A0"/>
    <w:rsid w:val="00BC39E0"/>
    <w:rsid w:val="00C175A6"/>
    <w:rsid w:val="00C41DCF"/>
    <w:rsid w:val="00C42AF7"/>
    <w:rsid w:val="00C438D7"/>
    <w:rsid w:val="00C62C20"/>
    <w:rsid w:val="00C81B50"/>
    <w:rsid w:val="00C902EF"/>
    <w:rsid w:val="00CB0011"/>
    <w:rsid w:val="00CB6622"/>
    <w:rsid w:val="00CD1801"/>
    <w:rsid w:val="00CF56F9"/>
    <w:rsid w:val="00CF65C6"/>
    <w:rsid w:val="00D00A89"/>
    <w:rsid w:val="00D10EF1"/>
    <w:rsid w:val="00D42810"/>
    <w:rsid w:val="00D60DD5"/>
    <w:rsid w:val="00D914A7"/>
    <w:rsid w:val="00DC17E8"/>
    <w:rsid w:val="00DC4D4B"/>
    <w:rsid w:val="00DD13C3"/>
    <w:rsid w:val="00DD596E"/>
    <w:rsid w:val="00DD621E"/>
    <w:rsid w:val="00DE50B1"/>
    <w:rsid w:val="00DF0138"/>
    <w:rsid w:val="00DF0575"/>
    <w:rsid w:val="00E2228E"/>
    <w:rsid w:val="00E70E04"/>
    <w:rsid w:val="00E73DBD"/>
    <w:rsid w:val="00E77E6C"/>
    <w:rsid w:val="00E82A04"/>
    <w:rsid w:val="00E83ED5"/>
    <w:rsid w:val="00EC05A7"/>
    <w:rsid w:val="00EC4B6B"/>
    <w:rsid w:val="00EC68A5"/>
    <w:rsid w:val="00ED7442"/>
    <w:rsid w:val="00EF1EE5"/>
    <w:rsid w:val="00EF5C43"/>
    <w:rsid w:val="00F10DAB"/>
    <w:rsid w:val="00F46D42"/>
    <w:rsid w:val="00F763B4"/>
    <w:rsid w:val="00F900C3"/>
    <w:rsid w:val="00FA6EE9"/>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3B855E"/>
  <w15:docId w15:val="{809E2481-6D15-40EB-ABE0-2D48B769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nhideWhenUsed/>
    <w:rsid w:val="00621120"/>
    <w:pPr>
      <w:keepNext/>
      <w:keepLines/>
      <w:spacing w:before="200"/>
      <w:outlineLvl w:val="2"/>
    </w:pPr>
    <w:rPr>
      <w:b/>
      <w:bCs/>
      <w:color w:val="4F81BD"/>
    </w:rPr>
  </w:style>
  <w:style w:type="paragraph" w:styleId="Heading4">
    <w:name w:val="heading 4"/>
    <w:basedOn w:val="Normal"/>
    <w:next w:val="Normal"/>
    <w:link w:val="Heading4Char"/>
    <w:unhideWhenUsed/>
    <w:rsid w:val="00621120"/>
    <w:pPr>
      <w:keepNext/>
      <w:keepLines/>
      <w:spacing w:before="200"/>
      <w:outlineLvl w:val="3"/>
    </w:pPr>
    <w:rPr>
      <w:b/>
      <w:bCs/>
      <w:i/>
      <w:iCs/>
      <w:color w:val="4F81BD"/>
    </w:rPr>
  </w:style>
  <w:style w:type="paragraph" w:styleId="Heading5">
    <w:name w:val="heading 5"/>
    <w:basedOn w:val="Normal"/>
    <w:next w:val="Normal"/>
    <w:link w:val="Heading5Char"/>
    <w:unhideWhenUsed/>
    <w:rsid w:val="00621120"/>
    <w:pPr>
      <w:keepNext/>
      <w:keepLines/>
      <w:spacing w:before="200"/>
      <w:outlineLvl w:val="4"/>
    </w:pPr>
    <w:rPr>
      <w:color w:val="243F60"/>
    </w:rPr>
  </w:style>
  <w:style w:type="paragraph" w:styleId="Heading6">
    <w:name w:val="heading 6"/>
    <w:basedOn w:val="Normal"/>
    <w:next w:val="Normal"/>
    <w:link w:val="Heading6Char"/>
    <w:unhideWhenUsed/>
    <w:rsid w:val="00621120"/>
    <w:pPr>
      <w:keepNext/>
      <w:keepLines/>
      <w:spacing w:before="200"/>
      <w:outlineLvl w:val="5"/>
    </w:pPr>
    <w:rPr>
      <w:i/>
      <w:iCs/>
      <w:color w:val="243F60"/>
    </w:rPr>
  </w:style>
  <w:style w:type="paragraph" w:styleId="Heading7">
    <w:name w:val="heading 7"/>
    <w:basedOn w:val="Normal"/>
    <w:next w:val="Normal"/>
    <w:link w:val="Heading7Char"/>
    <w:unhideWhenUsed/>
    <w:rsid w:val="00621120"/>
    <w:pPr>
      <w:keepNext/>
      <w:keepLines/>
      <w:spacing w:before="200"/>
      <w:outlineLvl w:val="6"/>
    </w:pPr>
    <w:rPr>
      <w:i/>
      <w:iCs/>
      <w:color w:val="404040"/>
    </w:rPr>
  </w:style>
  <w:style w:type="paragraph" w:styleId="Heading8">
    <w:name w:val="heading 8"/>
    <w:basedOn w:val="Normal"/>
    <w:next w:val="Normal"/>
    <w:link w:val="Heading8Char"/>
    <w:unhideWhenUsed/>
    <w:rsid w:val="00621120"/>
    <w:pPr>
      <w:keepNext/>
      <w:keepLines/>
      <w:spacing w:before="200"/>
      <w:outlineLvl w:val="7"/>
    </w:pPr>
    <w:rPr>
      <w:color w:val="404040"/>
      <w:szCs w:val="20"/>
    </w:rPr>
  </w:style>
  <w:style w:type="paragraph" w:styleId="Heading9">
    <w:name w:val="heading 9"/>
    <w:basedOn w:val="Normal"/>
    <w:next w:val="Normal"/>
    <w:link w:val="Heading9Char"/>
    <w:unhideWhenUsed/>
    <w:rsid w:val="0062112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left" w:pos="2486"/>
      </w:tabs>
      <w:ind w:left="2486" w:hanging="378"/>
    </w:pPr>
  </w:style>
  <w:style w:type="paragraph" w:customStyle="1" w:styleId="Roman2GA">
    <w:name w:val="_Roman 2_GA"/>
    <w:basedOn w:val="Bullet2GA"/>
    <w:qFormat/>
    <w:rsid w:val="00621120"/>
    <w:pPr>
      <w:numPr>
        <w:numId w:val="7"/>
      </w:numPr>
      <w:tabs>
        <w:tab w:val="clear" w:pos="3062"/>
        <w:tab w:val="left" w:pos="3060"/>
      </w:tabs>
      <w:ind w:left="3060" w:hanging="392"/>
    </w:pPr>
  </w:style>
  <w:style w:type="paragraph" w:styleId="EndnoteText">
    <w:name w:val="endnote text"/>
    <w:aliases w:val="2_ GA,2_G"/>
    <w:basedOn w:val="Normal"/>
    <w:link w:val="EndnoteTextChar"/>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rsid w:val="00621120"/>
    <w:rPr>
      <w:rFonts w:ascii="Times New Roman" w:eastAsia="PMingLiU" w:hAnsi="Times New Roman" w:cs="Simplified Arabic"/>
      <w:color w:val="404040"/>
      <w:lang w:eastAsia="en-US"/>
    </w:rPr>
  </w:style>
  <w:style w:type="character" w:customStyle="1" w:styleId="Heading9Char">
    <w:name w:val="Heading 9 Char"/>
    <w:link w:val="Heading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iPriority w:val="99"/>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 w:type="numbering" w:styleId="111111">
    <w:name w:val="Outline List 2"/>
    <w:basedOn w:val="NoList"/>
    <w:semiHidden/>
    <w:rsid w:val="00885E11"/>
    <w:pPr>
      <w:numPr>
        <w:numId w:val="5"/>
      </w:numPr>
    </w:pPr>
  </w:style>
  <w:style w:type="numbering" w:styleId="1ai">
    <w:name w:val="Outline List 1"/>
    <w:basedOn w:val="NoList"/>
    <w:semiHidden/>
    <w:rsid w:val="00885E1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ar/CERD/C/IRQ/CO/22" TargetMode="External"/><Relationship Id="rId3" Type="http://schemas.openxmlformats.org/officeDocument/2006/relationships/hyperlink" Target="http://undocs.org/ar/CCPR/C/SR.3847" TargetMode="External"/><Relationship Id="rId7" Type="http://schemas.openxmlformats.org/officeDocument/2006/relationships/hyperlink" Target="http://undocs.org/ar/CCPR/C/IRQ/CO/5" TargetMode="External"/><Relationship Id="rId2" Type="http://schemas.openxmlformats.org/officeDocument/2006/relationships/hyperlink" Target="http://undocs.org/ar/CCPR/C/SR.3846" TargetMode="External"/><Relationship Id="rId1" Type="http://schemas.openxmlformats.org/officeDocument/2006/relationships/hyperlink" Target="http://undocs.org/ar/CCPR/C/IRQ/6" TargetMode="External"/><Relationship Id="rId6" Type="http://schemas.openxmlformats.org/officeDocument/2006/relationships/hyperlink" Target="http://undocs.org/ar/CCPR/C/IRQ/Q/6" TargetMode="External"/><Relationship Id="rId5" Type="http://schemas.openxmlformats.org/officeDocument/2006/relationships/hyperlink" Target="http://undocs.org/ar/CCPR/C/IRQ/RQ/6" TargetMode="External"/><Relationship Id="rId4" Type="http://schemas.openxmlformats.org/officeDocument/2006/relationships/hyperlink" Target="http://undocs.org/ar/CCPR/C/SR.38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4157</Words>
  <Characters>21618</Characters>
  <Application>Microsoft Office Word</Application>
  <DocSecurity>0</DocSecurity>
  <Lines>341</Lines>
  <Paragraphs>112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CCPR/C/IRQ/CO/6</vt:lpstr>
      <vt:lpstr>    الملاحظات الختامية بشأن التقرير الدوري السادس للعراق‬*</vt:lpstr>
      <vt:lpstr>        ألف-	مقدمة</vt:lpstr>
      <vt:lpstr>        باء-	الجوانب الإيجابية</vt:lpstr>
      <vt:lpstr>        جيم-	دواعي القلق الرئيسية والتوصيات‬‬‬‬‬‬‬</vt:lpstr>
      <vt:lpstr>        دال-	النشر والمتابعة‬‬‬‬‬‬‬ ‬‬‬‬‬‬‬‬‬</vt:lpstr>
    </vt:vector>
  </TitlesOfParts>
  <Company>DCM</Company>
  <LinksUpToDate>false</LinksUpToDate>
  <CharactersWithSpaces>25763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CCPR/C/IRQ/CO/6</dc:title>
  <dc:subject>GE.2212669(A)</dc:subject>
  <dc:creator>bah - JUD</dc:creator>
  <cp:keywords>GE.2246179(A)</cp:keywords>
  <dc:description>Distr.: General
16 August 2022
Arabic
Original: English</dc:description>
  <cp:lastModifiedBy>Ibrahim Balan</cp:lastModifiedBy>
  <cp:revision>3</cp:revision>
  <cp:lastPrinted>2022-09-30T12:40:00Z</cp:lastPrinted>
  <dcterms:created xsi:type="dcterms:W3CDTF">2022-09-30T12:40:00Z</dcterms:created>
  <dcterms:modified xsi:type="dcterms:W3CDTF">2022-09-30T12:42:00Z</dcterms:modified>
  <cp:category>Finale</cp:category>
</cp:coreProperties>
</file>