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F049F0" w:rsidRPr="00F049F0" w14:paraId="78142BA7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9E66E7" w14:textId="77777777" w:rsidR="00712059" w:rsidRPr="00F049F0" w:rsidRDefault="00712059" w:rsidP="006A47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szCs w:val="40"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DE786C" w14:textId="04F9B2B5" w:rsidR="006B3E27" w:rsidRPr="00F049F0" w:rsidRDefault="006B3E27" w:rsidP="00E2697F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F049F0">
              <w:rPr>
                <w:rFonts w:hint="cs"/>
                <w:sz w:val="30"/>
                <w:szCs w:val="30"/>
                <w:rtl/>
              </w:rPr>
              <w:t>الأمم</w:t>
            </w:r>
            <w:r w:rsidR="005971C3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F049F0">
              <w:rPr>
                <w:rFonts w:hint="cs"/>
                <w:sz w:val="30"/>
                <w:szCs w:val="30"/>
                <w:rtl/>
              </w:rPr>
              <w:t>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BBE8C2C" w14:textId="19257548" w:rsidR="006B3E27" w:rsidRPr="00F049F0" w:rsidRDefault="005F6C8F" w:rsidP="005F6C8F">
            <w:pPr>
              <w:bidi w:val="0"/>
              <w:rPr>
                <w:szCs w:val="20"/>
              </w:rPr>
            </w:pPr>
            <w:r w:rsidRPr="00F83617">
              <w:rPr>
                <w:sz w:val="40"/>
                <w:szCs w:val="20"/>
              </w:rPr>
              <w:t>CAT</w:t>
            </w:r>
            <w:r w:rsidRPr="00F83617">
              <w:rPr>
                <w:szCs w:val="20"/>
              </w:rPr>
              <w:t>/C/</w:t>
            </w:r>
            <w:r w:rsidRPr="00DB56B9">
              <w:rPr>
                <w:szCs w:val="20"/>
              </w:rPr>
              <w:t>75</w:t>
            </w:r>
            <w:r w:rsidRPr="00F83617">
              <w:rPr>
                <w:szCs w:val="20"/>
              </w:rPr>
              <w:t>/D/</w:t>
            </w:r>
            <w:r w:rsidRPr="00DB56B9">
              <w:rPr>
                <w:szCs w:val="20"/>
              </w:rPr>
              <w:t>1081</w:t>
            </w:r>
            <w:r w:rsidRPr="00F83617">
              <w:rPr>
                <w:szCs w:val="20"/>
              </w:rPr>
              <w:t>/</w:t>
            </w:r>
            <w:r w:rsidRPr="00DB56B9">
              <w:rPr>
                <w:szCs w:val="20"/>
              </w:rPr>
              <w:t>2021</w:t>
            </w:r>
          </w:p>
        </w:tc>
      </w:tr>
      <w:tr w:rsidR="00F049F0" w:rsidRPr="00F049F0" w14:paraId="4E24F07A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8DBA44C" w14:textId="77777777" w:rsidR="006B3E27" w:rsidRPr="00F049F0" w:rsidRDefault="00261289" w:rsidP="00CA35DF">
            <w:pPr>
              <w:jc w:val="center"/>
              <w:rPr>
                <w:rtl/>
              </w:rPr>
            </w:pPr>
            <w:r w:rsidRPr="00F049F0">
              <w:rPr>
                <w:noProof/>
                <w:rtl/>
              </w:rPr>
              <w:drawing>
                <wp:inline distT="0" distB="0" distL="0" distR="0" wp14:anchorId="47F47A28" wp14:editId="08FF2DAC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D3AD08C" w14:textId="34039917" w:rsidR="00A67AF5" w:rsidRPr="00DB56B9" w:rsidRDefault="00817373" w:rsidP="00D3653E">
            <w:pPr>
              <w:spacing w:before="120" w:after="40" w:line="580" w:lineRule="exact"/>
              <w:ind w:left="57"/>
              <w:rPr>
                <w:b/>
                <w:bCs/>
                <w:sz w:val="42"/>
                <w:szCs w:val="42"/>
              </w:rPr>
            </w:pPr>
            <w:r w:rsidRPr="00DB56B9">
              <w:rPr>
                <w:rFonts w:hint="cs"/>
                <w:b/>
                <w:bCs/>
                <w:sz w:val="42"/>
                <w:szCs w:val="42"/>
                <w:rtl/>
              </w:rPr>
              <w:t>اتفاقية</w:t>
            </w:r>
            <w:r w:rsidR="005971C3" w:rsidRPr="00DB56B9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DB56B9">
              <w:rPr>
                <w:rFonts w:hint="cs"/>
                <w:b/>
                <w:bCs/>
                <w:sz w:val="42"/>
                <w:szCs w:val="42"/>
                <w:rtl/>
              </w:rPr>
              <w:t>مناهضة</w:t>
            </w:r>
            <w:r w:rsidR="005971C3" w:rsidRPr="00DB56B9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DB56B9">
              <w:rPr>
                <w:rFonts w:hint="cs"/>
                <w:b/>
                <w:bCs/>
                <w:sz w:val="42"/>
                <w:szCs w:val="42"/>
                <w:rtl/>
              </w:rPr>
              <w:t>التعذيب</w:t>
            </w:r>
            <w:r w:rsidR="005971C3" w:rsidRPr="00DB56B9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DB56B9">
              <w:rPr>
                <w:rFonts w:hint="cs"/>
                <w:b/>
                <w:bCs/>
                <w:sz w:val="42"/>
                <w:szCs w:val="42"/>
                <w:rtl/>
              </w:rPr>
              <w:t>وغيره</w:t>
            </w:r>
            <w:r w:rsidR="005971C3" w:rsidRPr="00DB56B9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DB56B9">
              <w:rPr>
                <w:rFonts w:hint="cs"/>
                <w:b/>
                <w:bCs/>
                <w:sz w:val="42"/>
                <w:szCs w:val="42"/>
                <w:rtl/>
              </w:rPr>
              <w:t>من</w:t>
            </w:r>
            <w:r w:rsidR="005971C3" w:rsidRPr="00DB56B9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DB56B9">
              <w:rPr>
                <w:rFonts w:hint="cs"/>
                <w:b/>
                <w:bCs/>
                <w:sz w:val="42"/>
                <w:szCs w:val="42"/>
                <w:rtl/>
              </w:rPr>
              <w:t>ضروب</w:t>
            </w:r>
            <w:r w:rsidR="005971C3" w:rsidRPr="00DB56B9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DB56B9">
              <w:rPr>
                <w:rFonts w:hint="cs"/>
                <w:b/>
                <w:bCs/>
                <w:sz w:val="42"/>
                <w:szCs w:val="42"/>
                <w:rtl/>
              </w:rPr>
              <w:t>المعاملة</w:t>
            </w:r>
            <w:r w:rsidR="005971C3" w:rsidRPr="00DB56B9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DB56B9">
              <w:rPr>
                <w:rFonts w:hint="cs"/>
                <w:b/>
                <w:bCs/>
                <w:sz w:val="42"/>
                <w:szCs w:val="42"/>
                <w:rtl/>
              </w:rPr>
              <w:t>أو</w:t>
            </w:r>
            <w:r w:rsidR="005971C3" w:rsidRPr="00DB56B9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DB56B9">
              <w:rPr>
                <w:rFonts w:hint="cs"/>
                <w:b/>
                <w:bCs/>
                <w:sz w:val="42"/>
                <w:szCs w:val="42"/>
                <w:rtl/>
              </w:rPr>
              <w:t>العقوبة</w:t>
            </w:r>
            <w:r w:rsidR="005971C3" w:rsidRPr="00DB56B9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DB56B9">
              <w:rPr>
                <w:rFonts w:hint="cs"/>
                <w:b/>
                <w:bCs/>
                <w:sz w:val="42"/>
                <w:szCs w:val="42"/>
                <w:rtl/>
              </w:rPr>
              <w:t>القاسية</w:t>
            </w:r>
            <w:r w:rsidR="005971C3" w:rsidRPr="00DB56B9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DB56B9">
              <w:rPr>
                <w:rFonts w:hint="cs"/>
                <w:b/>
                <w:bCs/>
                <w:sz w:val="42"/>
                <w:szCs w:val="42"/>
                <w:rtl/>
              </w:rPr>
              <w:t>أو</w:t>
            </w:r>
            <w:r w:rsidR="005971C3" w:rsidRPr="00DB56B9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DB56B9">
              <w:rPr>
                <w:rFonts w:hint="cs"/>
                <w:b/>
                <w:bCs/>
                <w:sz w:val="42"/>
                <w:szCs w:val="42"/>
                <w:rtl/>
              </w:rPr>
              <w:t>اللاإنسانية</w:t>
            </w:r>
            <w:r w:rsidR="005971C3" w:rsidRPr="00DB56B9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DB56B9">
              <w:rPr>
                <w:rFonts w:hint="cs"/>
                <w:b/>
                <w:bCs/>
                <w:sz w:val="42"/>
                <w:szCs w:val="42"/>
                <w:rtl/>
              </w:rPr>
              <w:t>أو</w:t>
            </w:r>
            <w:r w:rsidR="005971C3" w:rsidRPr="00DB56B9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DB56B9">
              <w:rPr>
                <w:rFonts w:hint="cs"/>
                <w:b/>
                <w:bCs/>
                <w:sz w:val="42"/>
                <w:szCs w:val="42"/>
                <w:rtl/>
              </w:rPr>
              <w:t>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698A283" w14:textId="024C3E9D" w:rsidR="006B3E27" w:rsidRPr="00F049F0" w:rsidRDefault="005F6C8F" w:rsidP="00EE56C3">
            <w:pPr>
              <w:bidi w:val="0"/>
              <w:spacing w:before="240"/>
              <w:rPr>
                <w:szCs w:val="20"/>
              </w:rPr>
            </w:pPr>
            <w:r w:rsidRPr="00F049F0">
              <w:rPr>
                <w:szCs w:val="20"/>
              </w:rPr>
              <w:t>Dist</w:t>
            </w:r>
            <w:r w:rsidR="00F83617" w:rsidRPr="00F83617">
              <w:rPr>
                <w:szCs w:val="20"/>
              </w:rPr>
              <w:t>r.:</w:t>
            </w:r>
            <w:r w:rsidR="005971C3">
              <w:rPr>
                <w:szCs w:val="20"/>
              </w:rPr>
              <w:t xml:space="preserve"> </w:t>
            </w:r>
            <w:r w:rsidRPr="00F049F0">
              <w:rPr>
                <w:szCs w:val="20"/>
              </w:rPr>
              <w:t>General</w:t>
            </w:r>
          </w:p>
          <w:p w14:paraId="1D0B3231" w14:textId="7C70604C" w:rsidR="005F6C8F" w:rsidRPr="00F049F0" w:rsidRDefault="00F049F0" w:rsidP="005F6C8F">
            <w:pPr>
              <w:bidi w:val="0"/>
              <w:spacing w:line="240" w:lineRule="exact"/>
              <w:jc w:val="left"/>
              <w:rPr>
                <w:szCs w:val="20"/>
              </w:rPr>
            </w:pPr>
            <w:r w:rsidRPr="00DB56B9">
              <w:rPr>
                <w:szCs w:val="20"/>
              </w:rPr>
              <w:t>7</w:t>
            </w:r>
            <w:r w:rsidR="005971C3">
              <w:rPr>
                <w:szCs w:val="20"/>
              </w:rPr>
              <w:t xml:space="preserve"> </w:t>
            </w:r>
            <w:r>
              <w:rPr>
                <w:szCs w:val="20"/>
              </w:rPr>
              <w:t>February</w:t>
            </w:r>
            <w:r w:rsidR="005971C3">
              <w:rPr>
                <w:szCs w:val="20"/>
              </w:rPr>
              <w:t xml:space="preserve"> </w:t>
            </w:r>
            <w:r w:rsidR="005F6C8F" w:rsidRPr="00DB56B9">
              <w:rPr>
                <w:szCs w:val="20"/>
              </w:rPr>
              <w:t>2023</w:t>
            </w:r>
          </w:p>
          <w:p w14:paraId="0E050B5C" w14:textId="77777777" w:rsidR="005F6C8F" w:rsidRPr="00F049F0" w:rsidRDefault="005F6C8F" w:rsidP="005F6C8F">
            <w:pPr>
              <w:bidi w:val="0"/>
              <w:spacing w:line="240" w:lineRule="exact"/>
              <w:jc w:val="left"/>
              <w:rPr>
                <w:szCs w:val="20"/>
              </w:rPr>
            </w:pPr>
            <w:r w:rsidRPr="00F049F0">
              <w:rPr>
                <w:szCs w:val="20"/>
              </w:rPr>
              <w:t>Arabic</w:t>
            </w:r>
          </w:p>
          <w:p w14:paraId="345F7C01" w14:textId="5A659072" w:rsidR="005F6C8F" w:rsidRPr="00F049F0" w:rsidRDefault="005F6C8F" w:rsidP="005F6C8F">
            <w:pPr>
              <w:bidi w:val="0"/>
              <w:spacing w:line="240" w:lineRule="exact"/>
              <w:jc w:val="left"/>
              <w:rPr>
                <w:szCs w:val="20"/>
              </w:rPr>
            </w:pPr>
            <w:r w:rsidRPr="00F049F0">
              <w:rPr>
                <w:szCs w:val="20"/>
              </w:rPr>
              <w:t>Origina</w:t>
            </w:r>
            <w:r w:rsidR="00F83617" w:rsidRPr="00F83617">
              <w:rPr>
                <w:szCs w:val="20"/>
              </w:rPr>
              <w:t>l:</w:t>
            </w:r>
            <w:r w:rsidR="005971C3">
              <w:rPr>
                <w:szCs w:val="20"/>
              </w:rPr>
              <w:t xml:space="preserve"> </w:t>
            </w:r>
            <w:r w:rsidRPr="00F049F0">
              <w:rPr>
                <w:szCs w:val="20"/>
              </w:rPr>
              <w:t>English</w:t>
            </w:r>
          </w:p>
        </w:tc>
      </w:tr>
    </w:tbl>
    <w:p w14:paraId="12CBD1EA" w14:textId="63B01C5E" w:rsidR="00F049F0" w:rsidRPr="00DB56B9" w:rsidRDefault="00F049F0" w:rsidP="00F049F0">
      <w:pPr>
        <w:pStyle w:val="SingleTxtGA"/>
        <w:spacing w:before="120" w:after="0"/>
        <w:ind w:left="0" w:right="283"/>
        <w:jc w:val="left"/>
        <w:rPr>
          <w:b/>
          <w:bCs/>
          <w:sz w:val="26"/>
          <w:szCs w:val="26"/>
          <w:lang w:val="ar-SA" w:eastAsia="zh-TW" w:bidi="en-GB"/>
        </w:rPr>
      </w:pPr>
      <w:r w:rsidRPr="00DB56B9">
        <w:rPr>
          <w:b/>
          <w:bCs/>
          <w:sz w:val="26"/>
          <w:szCs w:val="26"/>
          <w:rtl/>
        </w:rPr>
        <w:t>لجنة</w:t>
      </w:r>
      <w:r w:rsidR="005971C3" w:rsidRPr="00DB56B9">
        <w:rPr>
          <w:b/>
          <w:bCs/>
          <w:sz w:val="26"/>
          <w:szCs w:val="26"/>
          <w:rtl/>
        </w:rPr>
        <w:t xml:space="preserve"> </w:t>
      </w:r>
      <w:r w:rsidRPr="00DB56B9">
        <w:rPr>
          <w:b/>
          <w:bCs/>
          <w:sz w:val="26"/>
          <w:szCs w:val="26"/>
          <w:rtl/>
        </w:rPr>
        <w:t>مناهضة</w:t>
      </w:r>
      <w:r w:rsidR="005971C3" w:rsidRPr="00DB56B9">
        <w:rPr>
          <w:b/>
          <w:bCs/>
          <w:sz w:val="26"/>
          <w:szCs w:val="26"/>
          <w:rtl/>
        </w:rPr>
        <w:t xml:space="preserve"> </w:t>
      </w:r>
      <w:r w:rsidRPr="00DB56B9">
        <w:rPr>
          <w:b/>
          <w:bCs/>
          <w:sz w:val="26"/>
          <w:szCs w:val="26"/>
          <w:rtl/>
        </w:rPr>
        <w:t>التعذيب</w:t>
      </w:r>
      <w:r w:rsidR="005971C3" w:rsidRPr="00DB56B9">
        <w:rPr>
          <w:b/>
          <w:bCs/>
          <w:sz w:val="26"/>
          <w:szCs w:val="26"/>
          <w:rtl/>
        </w:rPr>
        <w:t xml:space="preserve"> </w:t>
      </w:r>
    </w:p>
    <w:p w14:paraId="3040A74B" w14:textId="6738B2E0" w:rsidR="00F049F0" w:rsidRPr="00DB56B9" w:rsidRDefault="00F049F0" w:rsidP="00F049F0">
      <w:pPr>
        <w:pStyle w:val="HChGA"/>
        <w:rPr>
          <w:rFonts w:eastAsia="MS Mincho"/>
          <w:sz w:val="34"/>
          <w:szCs w:val="34"/>
          <w:lang w:val="en-US" w:eastAsia="zh-TW" w:bidi="en-GB"/>
        </w:rPr>
      </w:pPr>
      <w:r w:rsidRPr="00DB56B9">
        <w:rPr>
          <w:rtl/>
        </w:rPr>
        <w:tab/>
      </w:r>
      <w:r w:rsidRPr="00DB56B9">
        <w:rPr>
          <w:rtl/>
        </w:rPr>
        <w:tab/>
        <w:t>قرار</w:t>
      </w:r>
      <w:r w:rsidR="005971C3" w:rsidRPr="00DB56B9">
        <w:rPr>
          <w:rtl/>
        </w:rPr>
        <w:t xml:space="preserve"> </w:t>
      </w:r>
      <w:r w:rsidRPr="00DB56B9">
        <w:rPr>
          <w:rtl/>
        </w:rPr>
        <w:t>اعتمدته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اللجنة</w:t>
      </w:r>
      <w:r w:rsidR="005971C3" w:rsidRPr="00DB56B9">
        <w:rPr>
          <w:rtl/>
        </w:rPr>
        <w:t xml:space="preserve"> </w:t>
      </w:r>
      <w:r w:rsidRPr="00DB56B9">
        <w:rPr>
          <w:rtl/>
        </w:rPr>
        <w:t>بموجب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المادة</w:t>
      </w:r>
      <w:r w:rsidR="005971C3" w:rsidRPr="00DB56B9">
        <w:rPr>
          <w:rtl/>
        </w:rPr>
        <w:t xml:space="preserve"> </w:t>
      </w:r>
      <w:r w:rsidRPr="00DB56B9">
        <w:rPr>
          <w:rFonts w:ascii="Simplified Arabic"/>
          <w:rtl/>
        </w:rPr>
        <w:t>22</w:t>
      </w:r>
      <w:r w:rsidR="005971C3" w:rsidRPr="00DB56B9">
        <w:rPr>
          <w:rtl/>
        </w:rPr>
        <w:t xml:space="preserve"> </w:t>
      </w:r>
      <w:r w:rsidRPr="00DB56B9">
        <w:rPr>
          <w:rtl/>
        </w:rPr>
        <w:t>من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الاتفاقية،</w:t>
      </w:r>
      <w:r w:rsidR="005971C3" w:rsidRPr="00DB56B9">
        <w:rPr>
          <w:rtl/>
        </w:rPr>
        <w:t xml:space="preserve"> </w:t>
      </w:r>
      <w:r w:rsidRPr="00DB56B9">
        <w:rPr>
          <w:rtl/>
        </w:rPr>
        <w:t>بشأن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البلاغ</w:t>
      </w:r>
      <w:r w:rsidR="005971C3" w:rsidRPr="00DB56B9">
        <w:rPr>
          <w:rtl/>
        </w:rPr>
        <w:t xml:space="preserve"> </w:t>
      </w:r>
      <w:r w:rsidRPr="00DB56B9">
        <w:rPr>
          <w:rtl/>
        </w:rPr>
        <w:t>رقم</w:t>
      </w:r>
      <w:r w:rsidR="005971C3" w:rsidRPr="00DB56B9">
        <w:rPr>
          <w:rFonts w:hint="eastAsia"/>
          <w:rtl/>
        </w:rPr>
        <w:t> </w:t>
      </w:r>
      <w:r w:rsidRPr="00DB56B9">
        <w:rPr>
          <w:rFonts w:ascii="Simplified Arabic"/>
          <w:rtl/>
        </w:rPr>
        <w:t>1081/2021</w:t>
      </w:r>
      <w:r w:rsidRPr="00DB56B9">
        <w:rPr>
          <w:rStyle w:val="FootnoteReference"/>
          <w:rFonts w:eastAsia="MS Mincho"/>
          <w:sz w:val="26"/>
          <w:szCs w:val="26"/>
          <w:vertAlign w:val="baseline"/>
          <w:rtl/>
          <w:lang w:val="en-US" w:eastAsia="zh-TW"/>
        </w:rPr>
        <w:footnoteReference w:customMarkFollows="1" w:id="1"/>
        <w:t>*</w:t>
      </w:r>
      <w:r w:rsidR="005971C3" w:rsidRPr="00DB56B9">
        <w:rPr>
          <w:rFonts w:eastAsia="MS Mincho"/>
          <w:sz w:val="34"/>
          <w:szCs w:val="34"/>
          <w:rtl/>
          <w:lang w:val="en-US" w:eastAsia="zh-TW"/>
        </w:rPr>
        <w:t xml:space="preserve"> </w:t>
      </w:r>
      <w:r w:rsidRPr="00DB56B9">
        <w:rPr>
          <w:rStyle w:val="FootnoteReference"/>
          <w:rFonts w:eastAsia="MS Mincho"/>
          <w:sz w:val="26"/>
          <w:szCs w:val="26"/>
          <w:vertAlign w:val="baseline"/>
          <w:rtl/>
          <w:lang w:val="en-US" w:eastAsia="zh-TW"/>
        </w:rPr>
        <w:footnoteReference w:customMarkFollows="1" w:id="2"/>
        <w:t>**</w:t>
      </w:r>
    </w:p>
    <w:p w14:paraId="3B5EC54F" w14:textId="5C234AC7" w:rsidR="00F049F0" w:rsidRPr="00F049F0" w:rsidRDefault="00F049F0" w:rsidP="00F049F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DB56B9">
        <w:rPr>
          <w:i/>
          <w:iCs/>
          <w:rtl/>
        </w:rPr>
        <w:t>بلاغ</w:t>
      </w:r>
      <w:r w:rsidR="005971C3" w:rsidRPr="00DB56B9">
        <w:rPr>
          <w:i/>
          <w:iCs/>
          <w:rtl/>
        </w:rPr>
        <w:t xml:space="preserve"> </w:t>
      </w:r>
      <w:r w:rsidRPr="00DB56B9">
        <w:rPr>
          <w:i/>
          <w:iCs/>
          <w:rtl/>
        </w:rPr>
        <w:t>مقدم</w:t>
      </w:r>
      <w:r w:rsidR="005971C3" w:rsidRPr="00DB56B9">
        <w:rPr>
          <w:i/>
          <w:iCs/>
          <w:rtl/>
        </w:rPr>
        <w:t xml:space="preserve"> </w:t>
      </w:r>
      <w:r w:rsidRPr="00DB56B9">
        <w:rPr>
          <w:i/>
          <w:iCs/>
          <w:rtl/>
        </w:rPr>
        <w:t>من:</w:t>
      </w:r>
      <w:r>
        <w:rPr>
          <w:rtl/>
        </w:rPr>
        <w:tab/>
      </w:r>
      <w:r w:rsidRPr="00F049F0">
        <w:rPr>
          <w:rtl/>
        </w:rPr>
        <w:t>سين</w:t>
      </w:r>
      <w:r w:rsidR="005971C3">
        <w:rPr>
          <w:rtl/>
        </w:rPr>
        <w:t xml:space="preserve"> </w:t>
      </w:r>
      <w:r w:rsidRPr="00F049F0">
        <w:rPr>
          <w:rtl/>
        </w:rPr>
        <w:t>وصاد</w:t>
      </w:r>
      <w:r w:rsidR="005971C3">
        <w:rPr>
          <w:rtl/>
        </w:rPr>
        <w:t xml:space="preserve"> </w:t>
      </w:r>
      <w:r w:rsidRPr="00F049F0">
        <w:rPr>
          <w:rtl/>
        </w:rPr>
        <w:t>(يمثلهما</w:t>
      </w:r>
      <w:r w:rsidR="005971C3">
        <w:rPr>
          <w:rtl/>
        </w:rPr>
        <w:t xml:space="preserve"> </w:t>
      </w:r>
      <w:r w:rsidRPr="00F049F0">
        <w:rPr>
          <w:rtl/>
        </w:rPr>
        <w:t>المحامي</w:t>
      </w:r>
      <w:r w:rsidR="005971C3">
        <w:rPr>
          <w:rtl/>
        </w:rPr>
        <w:t xml:space="preserve"> </w:t>
      </w:r>
      <w:r w:rsidRPr="00F049F0">
        <w:rPr>
          <w:rtl/>
        </w:rPr>
        <w:t>علي</w:t>
      </w:r>
      <w:r w:rsidR="005971C3">
        <w:rPr>
          <w:rtl/>
        </w:rPr>
        <w:t xml:space="preserve"> </w:t>
      </w:r>
      <w:r w:rsidRPr="00F049F0">
        <w:rPr>
          <w:rtl/>
        </w:rPr>
        <w:t>يلدز)</w:t>
      </w:r>
    </w:p>
    <w:p w14:paraId="3DC4321A" w14:textId="1B9D3BDC" w:rsidR="00F049F0" w:rsidRPr="00F049F0" w:rsidRDefault="00F049F0" w:rsidP="00F049F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DB56B9">
        <w:rPr>
          <w:i/>
          <w:iCs/>
          <w:rtl/>
        </w:rPr>
        <w:t>الأشخاص</w:t>
      </w:r>
      <w:r w:rsidR="005971C3" w:rsidRPr="00DB56B9">
        <w:rPr>
          <w:i/>
          <w:iCs/>
          <w:rtl/>
        </w:rPr>
        <w:t xml:space="preserve"> </w:t>
      </w:r>
      <w:r w:rsidRPr="00DB56B9">
        <w:rPr>
          <w:i/>
          <w:iCs/>
          <w:rtl/>
        </w:rPr>
        <w:t>المدعى</w:t>
      </w:r>
      <w:r w:rsidR="005971C3" w:rsidRPr="00DB56B9">
        <w:rPr>
          <w:i/>
          <w:iCs/>
          <w:rtl/>
        </w:rPr>
        <w:t xml:space="preserve"> </w:t>
      </w:r>
      <w:r w:rsidRPr="00DB56B9">
        <w:rPr>
          <w:i/>
          <w:iCs/>
          <w:rtl/>
        </w:rPr>
        <w:t>أنهم</w:t>
      </w:r>
      <w:r w:rsidR="005971C3" w:rsidRPr="00DB56B9">
        <w:rPr>
          <w:i/>
          <w:iCs/>
          <w:rtl/>
        </w:rPr>
        <w:t xml:space="preserve"> </w:t>
      </w:r>
      <w:r w:rsidRPr="00DB56B9">
        <w:rPr>
          <w:i/>
          <w:iCs/>
          <w:rtl/>
        </w:rPr>
        <w:t>ضحايا:</w:t>
      </w:r>
      <w:r>
        <w:rPr>
          <w:rtl/>
        </w:rPr>
        <w:tab/>
      </w:r>
      <w:r w:rsidRPr="00F049F0">
        <w:rPr>
          <w:rtl/>
        </w:rPr>
        <w:t>صاحبا</w:t>
      </w:r>
      <w:r w:rsidR="005971C3">
        <w:rPr>
          <w:rtl/>
        </w:rPr>
        <w:t xml:space="preserve"> </w:t>
      </w:r>
      <w:r w:rsidRPr="00F049F0">
        <w:rPr>
          <w:rtl/>
        </w:rPr>
        <w:t>الشكوى</w:t>
      </w:r>
      <w:r w:rsidR="005971C3">
        <w:rPr>
          <w:rtl/>
        </w:rPr>
        <w:t xml:space="preserve"> </w:t>
      </w:r>
    </w:p>
    <w:p w14:paraId="2AC2F773" w14:textId="0E0E3F14" w:rsidR="00F049F0" w:rsidRPr="00F049F0" w:rsidRDefault="00F049F0" w:rsidP="00F049F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DB56B9">
        <w:rPr>
          <w:i/>
          <w:iCs/>
          <w:rtl/>
        </w:rPr>
        <w:t>الدولة</w:t>
      </w:r>
      <w:r w:rsidR="005971C3" w:rsidRPr="00DB56B9">
        <w:rPr>
          <w:i/>
          <w:iCs/>
          <w:rtl/>
        </w:rPr>
        <w:t xml:space="preserve"> </w:t>
      </w:r>
      <w:r w:rsidRPr="00DB56B9">
        <w:rPr>
          <w:i/>
          <w:iCs/>
          <w:rtl/>
        </w:rPr>
        <w:t>الطرف:</w:t>
      </w:r>
      <w:r>
        <w:rPr>
          <w:rtl/>
        </w:rPr>
        <w:tab/>
      </w:r>
      <w:r w:rsidRPr="00F049F0">
        <w:rPr>
          <w:rtl/>
        </w:rPr>
        <w:t>سويسرا</w:t>
      </w:r>
    </w:p>
    <w:p w14:paraId="149BAEC0" w14:textId="7E81BF66" w:rsidR="00F049F0" w:rsidRPr="00F049F0" w:rsidRDefault="00F049F0" w:rsidP="00F049F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DB56B9">
        <w:rPr>
          <w:i/>
          <w:iCs/>
          <w:rtl/>
        </w:rPr>
        <w:t>تاريخ</w:t>
      </w:r>
      <w:r w:rsidR="005971C3" w:rsidRPr="00DB56B9">
        <w:rPr>
          <w:i/>
          <w:iCs/>
          <w:rtl/>
        </w:rPr>
        <w:t xml:space="preserve"> </w:t>
      </w:r>
      <w:r w:rsidRPr="00DB56B9">
        <w:rPr>
          <w:i/>
          <w:iCs/>
          <w:rtl/>
        </w:rPr>
        <w:t>تقديم</w:t>
      </w:r>
      <w:r w:rsidR="005971C3" w:rsidRPr="00DB56B9">
        <w:rPr>
          <w:i/>
          <w:iCs/>
          <w:rtl/>
        </w:rPr>
        <w:t xml:space="preserve"> </w:t>
      </w:r>
      <w:r w:rsidRPr="00DB56B9">
        <w:rPr>
          <w:i/>
          <w:iCs/>
          <w:rtl/>
        </w:rPr>
        <w:t>الشكوى:</w:t>
      </w:r>
      <w:r>
        <w:rPr>
          <w:rtl/>
        </w:rPr>
        <w:tab/>
      </w:r>
      <w:r w:rsidRPr="00DB56B9">
        <w:rPr>
          <w:rtl/>
        </w:rPr>
        <w:t>10</w:t>
      </w:r>
      <w:r w:rsidR="005971C3">
        <w:rPr>
          <w:rtl/>
        </w:rPr>
        <w:t xml:space="preserve"> </w:t>
      </w:r>
      <w:r w:rsidRPr="00F049F0">
        <w:rPr>
          <w:rtl/>
        </w:rPr>
        <w:t>حزيران/يونيه</w:t>
      </w:r>
      <w:r w:rsidR="005971C3">
        <w:rPr>
          <w:rtl/>
        </w:rPr>
        <w:t xml:space="preserve"> </w:t>
      </w:r>
      <w:r w:rsidRPr="00DB56B9">
        <w:rPr>
          <w:rtl/>
        </w:rPr>
        <w:t>2021</w:t>
      </w:r>
      <w:r w:rsidR="005971C3">
        <w:rPr>
          <w:rtl/>
        </w:rPr>
        <w:t xml:space="preserve"> </w:t>
      </w:r>
      <w:r w:rsidRPr="00F049F0">
        <w:rPr>
          <w:rtl/>
        </w:rPr>
        <w:t>(تاريخ</w:t>
      </w:r>
      <w:r w:rsidR="005971C3">
        <w:rPr>
          <w:rtl/>
        </w:rPr>
        <w:t xml:space="preserve"> </w:t>
      </w:r>
      <w:r w:rsidRPr="00F049F0">
        <w:rPr>
          <w:rtl/>
        </w:rPr>
        <w:t>الرسالة</w:t>
      </w:r>
      <w:r w:rsidR="005971C3">
        <w:rPr>
          <w:rtl/>
        </w:rPr>
        <w:t xml:space="preserve"> </w:t>
      </w:r>
      <w:r w:rsidRPr="00F049F0">
        <w:rPr>
          <w:rtl/>
        </w:rPr>
        <w:t>الأولى)</w:t>
      </w:r>
    </w:p>
    <w:p w14:paraId="338BC987" w14:textId="72DE56ED" w:rsidR="00F049F0" w:rsidRPr="00F049F0" w:rsidRDefault="00F049F0" w:rsidP="00F049F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DB56B9">
        <w:rPr>
          <w:i/>
          <w:iCs/>
          <w:rtl/>
        </w:rPr>
        <w:t>الوثائق</w:t>
      </w:r>
      <w:r w:rsidR="005971C3" w:rsidRPr="00DB56B9">
        <w:rPr>
          <w:i/>
          <w:iCs/>
          <w:rtl/>
        </w:rPr>
        <w:t xml:space="preserve"> </w:t>
      </w:r>
      <w:r w:rsidRPr="00DB56B9">
        <w:rPr>
          <w:i/>
          <w:iCs/>
          <w:rtl/>
        </w:rPr>
        <w:t>المرجعية:</w:t>
      </w:r>
      <w:r>
        <w:rPr>
          <w:rtl/>
        </w:rPr>
        <w:tab/>
      </w:r>
      <w:r w:rsidRPr="00F049F0">
        <w:rPr>
          <w:rtl/>
        </w:rPr>
        <w:t>القرار</w:t>
      </w:r>
      <w:r w:rsidR="005971C3">
        <w:rPr>
          <w:rtl/>
        </w:rPr>
        <w:t xml:space="preserve"> </w:t>
      </w:r>
      <w:r w:rsidRPr="00F049F0">
        <w:rPr>
          <w:rtl/>
        </w:rPr>
        <w:t>المتخذ</w:t>
      </w:r>
      <w:r w:rsidR="005971C3">
        <w:rPr>
          <w:rtl/>
        </w:rPr>
        <w:t xml:space="preserve"> </w:t>
      </w:r>
      <w:r w:rsidRPr="00F049F0">
        <w:rPr>
          <w:rtl/>
        </w:rPr>
        <w:t>بموجب</w:t>
      </w:r>
      <w:r w:rsidR="005971C3">
        <w:rPr>
          <w:rtl/>
        </w:rPr>
        <w:t xml:space="preserve"> </w:t>
      </w:r>
      <w:r w:rsidRPr="00F049F0">
        <w:rPr>
          <w:rtl/>
        </w:rPr>
        <w:t>المادتين</w:t>
      </w:r>
      <w:r w:rsidR="005971C3">
        <w:rPr>
          <w:rtl/>
        </w:rPr>
        <w:t xml:space="preserve"> </w:t>
      </w:r>
      <w:r w:rsidRPr="00DB56B9">
        <w:rPr>
          <w:rtl/>
        </w:rPr>
        <w:t>114</w:t>
      </w:r>
      <w:r w:rsidR="005971C3">
        <w:rPr>
          <w:rtl/>
        </w:rPr>
        <w:t xml:space="preserve"> </w:t>
      </w:r>
      <w:r w:rsidRPr="00F049F0">
        <w:rPr>
          <w:rtl/>
        </w:rPr>
        <w:t>و</w:t>
      </w:r>
      <w:r w:rsidRPr="00DB56B9">
        <w:rPr>
          <w:rtl/>
        </w:rPr>
        <w:t>115</w:t>
      </w:r>
      <w:r w:rsidR="005971C3">
        <w:rPr>
          <w:rtl/>
        </w:rPr>
        <w:t xml:space="preserve"> </w:t>
      </w:r>
      <w:r w:rsidRPr="00F049F0">
        <w:rPr>
          <w:rtl/>
        </w:rPr>
        <w:t>من</w:t>
      </w:r>
      <w:r w:rsidR="005971C3">
        <w:rPr>
          <w:rtl/>
        </w:rPr>
        <w:t xml:space="preserve"> </w:t>
      </w:r>
      <w:r w:rsidRPr="00F049F0">
        <w:rPr>
          <w:rtl/>
        </w:rPr>
        <w:t>النظام</w:t>
      </w:r>
      <w:r w:rsidR="005971C3">
        <w:rPr>
          <w:rtl/>
        </w:rPr>
        <w:t xml:space="preserve"> </w:t>
      </w:r>
      <w:r w:rsidRPr="00F049F0">
        <w:rPr>
          <w:rtl/>
        </w:rPr>
        <w:t>الداخلي</w:t>
      </w:r>
      <w:r w:rsidR="005971C3">
        <w:rPr>
          <w:rtl/>
        </w:rPr>
        <w:t xml:space="preserve"> </w:t>
      </w:r>
      <w:r w:rsidRPr="00F049F0">
        <w:rPr>
          <w:rtl/>
        </w:rPr>
        <w:t>للجنة،</w:t>
      </w:r>
      <w:r w:rsidR="005971C3">
        <w:rPr>
          <w:rtl/>
        </w:rPr>
        <w:t xml:space="preserve"> </w:t>
      </w:r>
      <w:r w:rsidRPr="00F049F0">
        <w:rPr>
          <w:rtl/>
        </w:rPr>
        <w:t>والمحال</w:t>
      </w:r>
      <w:r w:rsidR="005971C3">
        <w:rPr>
          <w:rtl/>
        </w:rPr>
        <w:t xml:space="preserve"> </w:t>
      </w:r>
      <w:r w:rsidRPr="00F049F0">
        <w:rPr>
          <w:rtl/>
        </w:rPr>
        <w:t>إلى</w:t>
      </w:r>
      <w:r w:rsidR="005971C3">
        <w:rPr>
          <w:rtl/>
        </w:rPr>
        <w:t xml:space="preserve"> </w:t>
      </w:r>
      <w:r w:rsidRPr="00F049F0">
        <w:rPr>
          <w:rtl/>
        </w:rPr>
        <w:t>الدولة</w:t>
      </w:r>
      <w:r w:rsidR="005971C3">
        <w:rPr>
          <w:rtl/>
        </w:rPr>
        <w:t xml:space="preserve"> </w:t>
      </w:r>
      <w:r w:rsidRPr="00F049F0">
        <w:rPr>
          <w:rtl/>
        </w:rPr>
        <w:t>الطرف</w:t>
      </w:r>
      <w:r w:rsidR="005971C3">
        <w:rPr>
          <w:rtl/>
        </w:rPr>
        <w:t xml:space="preserve"> </w:t>
      </w:r>
      <w:r w:rsidRPr="00F049F0">
        <w:rPr>
          <w:rtl/>
        </w:rPr>
        <w:t>في</w:t>
      </w:r>
      <w:r w:rsidR="005971C3">
        <w:rPr>
          <w:rtl/>
        </w:rPr>
        <w:t xml:space="preserve"> </w:t>
      </w:r>
      <w:r w:rsidRPr="00DB56B9">
        <w:rPr>
          <w:rtl/>
        </w:rPr>
        <w:t>30</w:t>
      </w:r>
      <w:r w:rsidR="005971C3">
        <w:rPr>
          <w:rtl/>
        </w:rPr>
        <w:t xml:space="preserve"> </w:t>
      </w:r>
      <w:r w:rsidRPr="00F049F0">
        <w:rPr>
          <w:rtl/>
        </w:rPr>
        <w:t>حزيران/يونيه</w:t>
      </w:r>
      <w:r w:rsidR="005971C3">
        <w:rPr>
          <w:rtl/>
        </w:rPr>
        <w:t xml:space="preserve"> </w:t>
      </w:r>
      <w:r w:rsidRPr="00DB56B9">
        <w:rPr>
          <w:rtl/>
        </w:rPr>
        <w:t>2021</w:t>
      </w:r>
      <w:r w:rsidR="005971C3">
        <w:rPr>
          <w:rtl/>
        </w:rPr>
        <w:t xml:space="preserve"> </w:t>
      </w:r>
      <w:r w:rsidRPr="00F049F0">
        <w:rPr>
          <w:rtl/>
        </w:rPr>
        <w:t>(لم</w:t>
      </w:r>
      <w:r w:rsidR="005971C3">
        <w:rPr>
          <w:rtl/>
        </w:rPr>
        <w:t xml:space="preserve"> </w:t>
      </w:r>
      <w:r w:rsidRPr="00F049F0">
        <w:rPr>
          <w:rtl/>
        </w:rPr>
        <w:t>يصدر</w:t>
      </w:r>
      <w:r w:rsidR="005971C3">
        <w:rPr>
          <w:rtl/>
        </w:rPr>
        <w:t xml:space="preserve"> </w:t>
      </w:r>
      <w:r w:rsidRPr="00F049F0">
        <w:rPr>
          <w:rtl/>
        </w:rPr>
        <w:t>في</w:t>
      </w:r>
      <w:r w:rsidR="005971C3">
        <w:rPr>
          <w:rtl/>
        </w:rPr>
        <w:t xml:space="preserve"> </w:t>
      </w:r>
      <w:r w:rsidRPr="00F049F0">
        <w:rPr>
          <w:rtl/>
        </w:rPr>
        <w:t>شكل</w:t>
      </w:r>
      <w:r w:rsidR="005971C3">
        <w:rPr>
          <w:rtl/>
        </w:rPr>
        <w:t xml:space="preserve"> </w:t>
      </w:r>
      <w:r w:rsidRPr="00F049F0">
        <w:rPr>
          <w:rtl/>
        </w:rPr>
        <w:t>وثيقة)</w:t>
      </w:r>
    </w:p>
    <w:p w14:paraId="14BF085A" w14:textId="4C43B913" w:rsidR="00F049F0" w:rsidRPr="00F049F0" w:rsidRDefault="00F049F0" w:rsidP="00F049F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DB56B9">
        <w:rPr>
          <w:i/>
          <w:iCs/>
          <w:rtl/>
        </w:rPr>
        <w:t>تاريخ</w:t>
      </w:r>
      <w:r w:rsidR="005971C3" w:rsidRPr="00DB56B9">
        <w:rPr>
          <w:i/>
          <w:iCs/>
          <w:rtl/>
        </w:rPr>
        <w:t xml:space="preserve"> </w:t>
      </w:r>
      <w:r w:rsidRPr="00DB56B9">
        <w:rPr>
          <w:i/>
          <w:iCs/>
          <w:rtl/>
        </w:rPr>
        <w:t>اعتماد</w:t>
      </w:r>
      <w:r w:rsidR="005971C3" w:rsidRPr="00DB56B9">
        <w:rPr>
          <w:i/>
          <w:iCs/>
          <w:rtl/>
        </w:rPr>
        <w:t xml:space="preserve"> </w:t>
      </w:r>
      <w:r w:rsidRPr="00DB56B9">
        <w:rPr>
          <w:i/>
          <w:iCs/>
          <w:rtl/>
        </w:rPr>
        <w:t>القرار:</w:t>
      </w:r>
      <w:r>
        <w:rPr>
          <w:rtl/>
        </w:rPr>
        <w:tab/>
      </w:r>
      <w:r w:rsidRPr="00DB56B9">
        <w:rPr>
          <w:rtl/>
        </w:rPr>
        <w:t>11</w:t>
      </w:r>
      <w:r w:rsidR="005971C3">
        <w:rPr>
          <w:rtl/>
        </w:rPr>
        <w:t xml:space="preserve"> </w:t>
      </w:r>
      <w:r w:rsidRPr="00F049F0">
        <w:rPr>
          <w:rtl/>
        </w:rPr>
        <w:t>تشرين</w:t>
      </w:r>
      <w:r w:rsidR="005971C3">
        <w:rPr>
          <w:rtl/>
        </w:rPr>
        <w:t xml:space="preserve"> </w:t>
      </w:r>
      <w:r w:rsidRPr="00F049F0">
        <w:rPr>
          <w:rtl/>
        </w:rPr>
        <w:t>الثاني/نوفمبر</w:t>
      </w:r>
      <w:r w:rsidR="005971C3">
        <w:rPr>
          <w:rtl/>
        </w:rPr>
        <w:t xml:space="preserve"> </w:t>
      </w:r>
      <w:r w:rsidRPr="00DB56B9">
        <w:rPr>
          <w:rtl/>
        </w:rPr>
        <w:t>2022</w:t>
      </w:r>
    </w:p>
    <w:p w14:paraId="7FB02308" w14:textId="77F2D289" w:rsidR="00F049F0" w:rsidRPr="00F049F0" w:rsidRDefault="00F049F0" w:rsidP="00F049F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DB56B9">
        <w:rPr>
          <w:i/>
          <w:iCs/>
          <w:rtl/>
        </w:rPr>
        <w:t>الموضوع:</w:t>
      </w:r>
      <w:r>
        <w:rPr>
          <w:rtl/>
        </w:rPr>
        <w:tab/>
      </w:r>
      <w:r w:rsidRPr="00F049F0">
        <w:rPr>
          <w:rtl/>
        </w:rPr>
        <w:t>ترحيل</w:t>
      </w:r>
      <w:r w:rsidR="005971C3">
        <w:rPr>
          <w:rtl/>
        </w:rPr>
        <w:t xml:space="preserve"> </w:t>
      </w:r>
      <w:r w:rsidRPr="00F049F0">
        <w:rPr>
          <w:rtl/>
        </w:rPr>
        <w:t>الأشخاص</w:t>
      </w:r>
      <w:r w:rsidR="005971C3">
        <w:rPr>
          <w:rtl/>
        </w:rPr>
        <w:t xml:space="preserve"> </w:t>
      </w:r>
      <w:r w:rsidRPr="00F049F0">
        <w:rPr>
          <w:rtl/>
        </w:rPr>
        <w:t>المنتسبين</w:t>
      </w:r>
      <w:r w:rsidR="005971C3">
        <w:rPr>
          <w:rtl/>
        </w:rPr>
        <w:t xml:space="preserve"> </w:t>
      </w:r>
      <w:r w:rsidRPr="00F049F0">
        <w:rPr>
          <w:rtl/>
        </w:rPr>
        <w:t>إلى</w:t>
      </w:r>
      <w:r w:rsidR="005971C3">
        <w:rPr>
          <w:rtl/>
        </w:rPr>
        <w:t xml:space="preserve"> </w:t>
      </w:r>
      <w:r w:rsidRPr="00F049F0">
        <w:rPr>
          <w:rtl/>
        </w:rPr>
        <w:t>منظمة</w:t>
      </w:r>
      <w:r w:rsidR="005971C3">
        <w:rPr>
          <w:rtl/>
        </w:rPr>
        <w:t xml:space="preserve"> </w:t>
      </w:r>
      <w:r w:rsidRPr="00F049F0">
        <w:rPr>
          <w:rtl/>
        </w:rPr>
        <w:t>فتح</w:t>
      </w:r>
      <w:r w:rsidR="005971C3">
        <w:rPr>
          <w:rtl/>
        </w:rPr>
        <w:t xml:space="preserve"> </w:t>
      </w:r>
      <w:r w:rsidRPr="00F049F0">
        <w:rPr>
          <w:rtl/>
        </w:rPr>
        <w:t>الله</w:t>
      </w:r>
      <w:r w:rsidR="005971C3">
        <w:rPr>
          <w:rtl/>
        </w:rPr>
        <w:t xml:space="preserve"> </w:t>
      </w:r>
      <w:r w:rsidRPr="00F049F0">
        <w:rPr>
          <w:rtl/>
        </w:rPr>
        <w:t>غولن</w:t>
      </w:r>
      <w:r w:rsidR="005971C3">
        <w:rPr>
          <w:rtl/>
        </w:rPr>
        <w:t xml:space="preserve"> </w:t>
      </w:r>
      <w:r w:rsidRPr="00F049F0">
        <w:rPr>
          <w:rtl/>
        </w:rPr>
        <w:t>الإرهابية/فيتو</w:t>
      </w:r>
      <w:r w:rsidR="005971C3">
        <w:rPr>
          <w:rtl/>
        </w:rPr>
        <w:t xml:space="preserve"> </w:t>
      </w:r>
      <w:r w:rsidRPr="00F049F0">
        <w:rPr>
          <w:rtl/>
        </w:rPr>
        <w:t>إلى</w:t>
      </w:r>
      <w:r w:rsidR="005971C3">
        <w:rPr>
          <w:rtl/>
        </w:rPr>
        <w:t xml:space="preserve"> </w:t>
      </w:r>
      <w:r w:rsidRPr="00F049F0">
        <w:rPr>
          <w:rtl/>
        </w:rPr>
        <w:t>كوسوفو</w:t>
      </w:r>
      <w:r w:rsidR="005971C3">
        <w:rPr>
          <w:rtl/>
        </w:rPr>
        <w:t xml:space="preserve"> </w:t>
      </w:r>
      <w:r w:rsidRPr="00F049F0">
        <w:rPr>
          <w:rtl/>
        </w:rPr>
        <w:t>وخطر</w:t>
      </w:r>
      <w:r w:rsidR="005971C3">
        <w:rPr>
          <w:rtl/>
        </w:rPr>
        <w:t xml:space="preserve"> </w:t>
      </w:r>
      <w:r w:rsidRPr="00F049F0">
        <w:rPr>
          <w:rtl/>
        </w:rPr>
        <w:t>النقل</w:t>
      </w:r>
      <w:r w:rsidR="005971C3">
        <w:rPr>
          <w:rtl/>
        </w:rPr>
        <w:t xml:space="preserve"> </w:t>
      </w:r>
      <w:r w:rsidRPr="00F049F0">
        <w:rPr>
          <w:rtl/>
        </w:rPr>
        <w:t>إلى</w:t>
      </w:r>
      <w:r w:rsidR="005971C3">
        <w:rPr>
          <w:rtl/>
        </w:rPr>
        <w:t xml:space="preserve"> </w:t>
      </w:r>
      <w:r w:rsidRPr="00F049F0">
        <w:rPr>
          <w:rtl/>
        </w:rPr>
        <w:t>تركيا</w:t>
      </w:r>
    </w:p>
    <w:p w14:paraId="233CEEE8" w14:textId="317251D7" w:rsidR="00F049F0" w:rsidRPr="00F049F0" w:rsidRDefault="00F049F0" w:rsidP="00F049F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DB56B9">
        <w:rPr>
          <w:i/>
          <w:iCs/>
          <w:rtl/>
        </w:rPr>
        <w:t>المسائل</w:t>
      </w:r>
      <w:r w:rsidR="005971C3" w:rsidRPr="00DB56B9">
        <w:rPr>
          <w:i/>
          <w:iCs/>
          <w:rtl/>
        </w:rPr>
        <w:t xml:space="preserve"> </w:t>
      </w:r>
      <w:r w:rsidRPr="00DB56B9">
        <w:rPr>
          <w:i/>
          <w:iCs/>
          <w:rtl/>
        </w:rPr>
        <w:t>الإجرائية:</w:t>
      </w:r>
      <w:r>
        <w:rPr>
          <w:rtl/>
        </w:rPr>
        <w:tab/>
      </w:r>
      <w:r w:rsidRPr="00F049F0">
        <w:rPr>
          <w:rtl/>
        </w:rPr>
        <w:t>المقبولية</w:t>
      </w:r>
      <w:r w:rsidR="005971C3">
        <w:rPr>
          <w:rtl/>
        </w:rPr>
        <w:t xml:space="preserve"> </w:t>
      </w:r>
      <w:r w:rsidRPr="00F049F0">
        <w:rPr>
          <w:rtl/>
        </w:rPr>
        <w:t>-</w:t>
      </w:r>
      <w:r w:rsidR="005971C3">
        <w:rPr>
          <w:rtl/>
        </w:rPr>
        <w:t xml:space="preserve"> </w:t>
      </w:r>
      <w:r w:rsidRPr="00F049F0">
        <w:rPr>
          <w:rtl/>
        </w:rPr>
        <w:t>مستوى</w:t>
      </w:r>
      <w:r w:rsidR="005971C3">
        <w:rPr>
          <w:rtl/>
        </w:rPr>
        <w:t xml:space="preserve"> </w:t>
      </w:r>
      <w:r w:rsidRPr="00F049F0">
        <w:rPr>
          <w:rtl/>
        </w:rPr>
        <w:t>دعم</w:t>
      </w:r>
      <w:r w:rsidR="005971C3">
        <w:rPr>
          <w:rtl/>
        </w:rPr>
        <w:t xml:space="preserve"> </w:t>
      </w:r>
      <w:r w:rsidRPr="00F049F0">
        <w:rPr>
          <w:rtl/>
        </w:rPr>
        <w:t>الادعاءات</w:t>
      </w:r>
      <w:r w:rsidR="005971C3">
        <w:rPr>
          <w:rtl/>
        </w:rPr>
        <w:t xml:space="preserve"> </w:t>
      </w:r>
      <w:r w:rsidRPr="00F049F0">
        <w:rPr>
          <w:rtl/>
        </w:rPr>
        <w:t>بأدلة</w:t>
      </w:r>
      <w:r w:rsidR="005971C3">
        <w:rPr>
          <w:rtl/>
        </w:rPr>
        <w:t xml:space="preserve"> </w:t>
      </w:r>
    </w:p>
    <w:p w14:paraId="73A5FDA4" w14:textId="0632D186" w:rsidR="00F049F0" w:rsidRPr="00F049F0" w:rsidRDefault="00F049F0" w:rsidP="00F049F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DB56B9">
        <w:rPr>
          <w:i/>
          <w:iCs/>
          <w:rtl/>
        </w:rPr>
        <w:t>المسائل</w:t>
      </w:r>
      <w:r w:rsidR="005971C3" w:rsidRPr="00DB56B9">
        <w:rPr>
          <w:i/>
          <w:iCs/>
          <w:rtl/>
        </w:rPr>
        <w:t xml:space="preserve"> </w:t>
      </w:r>
      <w:r w:rsidRPr="00DB56B9">
        <w:rPr>
          <w:i/>
          <w:iCs/>
          <w:rtl/>
        </w:rPr>
        <w:t>الموضوعية:</w:t>
      </w:r>
      <w:r>
        <w:rPr>
          <w:rtl/>
        </w:rPr>
        <w:tab/>
      </w:r>
      <w:r w:rsidRPr="00F049F0">
        <w:rPr>
          <w:rtl/>
        </w:rPr>
        <w:t>عدم</w:t>
      </w:r>
      <w:r w:rsidR="005971C3">
        <w:rPr>
          <w:rtl/>
        </w:rPr>
        <w:t xml:space="preserve"> </w:t>
      </w:r>
      <w:r w:rsidRPr="00F049F0">
        <w:rPr>
          <w:rtl/>
        </w:rPr>
        <w:t>الإعادة</w:t>
      </w:r>
      <w:r w:rsidR="005971C3">
        <w:rPr>
          <w:rtl/>
        </w:rPr>
        <w:t xml:space="preserve"> </w:t>
      </w:r>
      <w:r w:rsidRPr="00F049F0">
        <w:rPr>
          <w:rtl/>
        </w:rPr>
        <w:t>القسرية؛</w:t>
      </w:r>
      <w:r w:rsidR="005971C3">
        <w:rPr>
          <w:rtl/>
        </w:rPr>
        <w:t xml:space="preserve"> </w:t>
      </w:r>
      <w:r w:rsidRPr="00F049F0">
        <w:rPr>
          <w:rtl/>
        </w:rPr>
        <w:t>وصفة</w:t>
      </w:r>
      <w:r w:rsidR="005971C3">
        <w:rPr>
          <w:rtl/>
        </w:rPr>
        <w:t xml:space="preserve"> </w:t>
      </w:r>
      <w:r w:rsidRPr="00F049F0">
        <w:rPr>
          <w:rtl/>
        </w:rPr>
        <w:t>اللاجئ؛</w:t>
      </w:r>
      <w:r w:rsidR="005971C3">
        <w:rPr>
          <w:rtl/>
        </w:rPr>
        <w:t xml:space="preserve"> </w:t>
      </w:r>
      <w:r w:rsidRPr="00F049F0">
        <w:rPr>
          <w:rtl/>
        </w:rPr>
        <w:t>والتعذيب</w:t>
      </w:r>
      <w:bookmarkStart w:id="0" w:name="_Hlk126315760"/>
      <w:bookmarkEnd w:id="0"/>
    </w:p>
    <w:p w14:paraId="420061BB" w14:textId="22520E90" w:rsidR="00F049F0" w:rsidRPr="00F049F0" w:rsidRDefault="00F049F0" w:rsidP="00F049F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DB56B9">
        <w:rPr>
          <w:i/>
          <w:iCs/>
          <w:rtl/>
        </w:rPr>
        <w:t>مادة</w:t>
      </w:r>
      <w:r w:rsidR="005971C3" w:rsidRPr="00DB56B9">
        <w:rPr>
          <w:i/>
          <w:iCs/>
          <w:rtl/>
        </w:rPr>
        <w:t xml:space="preserve"> </w:t>
      </w:r>
      <w:r w:rsidRPr="00DB56B9">
        <w:rPr>
          <w:i/>
          <w:iCs/>
          <w:rtl/>
        </w:rPr>
        <w:t>الاتفاقية:</w:t>
      </w:r>
      <w:r>
        <w:rPr>
          <w:rtl/>
        </w:rPr>
        <w:tab/>
      </w:r>
      <w:r w:rsidRPr="00DB56B9">
        <w:rPr>
          <w:rtl/>
        </w:rPr>
        <w:t>3</w:t>
      </w:r>
    </w:p>
    <w:p w14:paraId="23B2252B" w14:textId="3DDE19B6" w:rsidR="00F049F0" w:rsidRPr="005971C3" w:rsidRDefault="00F049F0" w:rsidP="003F4CAF">
      <w:pPr>
        <w:pStyle w:val="SingleTxtGA"/>
        <w:spacing w:before="240" w:line="380" w:lineRule="exact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1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1</w:t>
      </w:r>
      <w:r w:rsidRPr="005971C3">
        <w:rPr>
          <w:rFonts w:eastAsiaTheme="minorEastAsia"/>
          <w:rtl/>
        </w:rPr>
        <w:tab/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وصاد،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مواطنان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ولدا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عامي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1985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</w:t>
      </w:r>
      <w:r w:rsidRPr="00DB56B9">
        <w:rPr>
          <w:rFonts w:eastAsiaTheme="minorEastAsia"/>
          <w:rtl/>
        </w:rPr>
        <w:t>1990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 w:hint="cs"/>
          <w:rtl/>
        </w:rPr>
        <w:t> </w:t>
      </w:r>
      <w:r w:rsidRPr="005971C3">
        <w:rPr>
          <w:rFonts w:eastAsiaTheme="minorEastAsia"/>
          <w:rtl/>
        </w:rPr>
        <w:t>التوالي.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متزوجان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ولديهما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طفلان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قاصران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وُلدا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عامي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2014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</w:t>
      </w:r>
      <w:r w:rsidRPr="00DB56B9">
        <w:rPr>
          <w:rFonts w:eastAsiaTheme="minorEastAsia"/>
          <w:rtl/>
        </w:rPr>
        <w:t>201</w:t>
      </w:r>
      <w:r w:rsidR="00F83617" w:rsidRPr="00DB56B9">
        <w:rPr>
          <w:rFonts w:eastAsiaTheme="minorEastAsia"/>
          <w:rtl/>
        </w:rPr>
        <w:t>7</w:t>
      </w:r>
      <w:r w:rsidR="00F83617" w:rsidRPr="005971C3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ويدعي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ستنتهك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حقوقهما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بموجب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بترحيلهما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3"/>
      </w:r>
      <w:r w:rsidR="00B700B9" w:rsidRPr="005971C3">
        <w:rPr>
          <w:rStyle w:val="FootnoteReference"/>
          <w:rFonts w:eastAsiaTheme="minorEastAsia"/>
          <w:sz w:val="22"/>
          <w:rtl/>
        </w:rPr>
        <w:t>)</w:t>
      </w:r>
      <w:r w:rsidR="007B3582" w:rsidRPr="005971C3">
        <w:rPr>
          <w:rFonts w:eastAsiaTheme="minorEastAsia" w:hint="cs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 w:hint="cs"/>
          <w:rtl/>
        </w:rPr>
        <w:t> 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المرجح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جد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يُطردا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يُسلّما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بصورة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قانونية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حيث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سيتعرضان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للتعذيب.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وقد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أصدرت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الإعلان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المنصوص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عليه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22</w:t>
      </w:r>
      <w:r w:rsidRPr="005971C3">
        <w:rPr>
          <w:rFonts w:eastAsiaTheme="minorEastAsia"/>
          <w:rtl/>
        </w:rPr>
        <w:t>(</w:t>
      </w:r>
      <w:r w:rsidR="00F83617" w:rsidRPr="00DB56B9">
        <w:rPr>
          <w:rFonts w:eastAsiaTheme="minorEastAsia"/>
          <w:rtl/>
        </w:rPr>
        <w:t>1</w:t>
      </w:r>
      <w:r w:rsidR="00F83617" w:rsidRPr="005971C3">
        <w:rPr>
          <w:rFonts w:eastAsiaTheme="minorEastAsia"/>
          <w:rtl/>
        </w:rPr>
        <w:t>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الأول/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ديسمبر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198</w:t>
      </w:r>
      <w:r w:rsidR="00F83617" w:rsidRPr="00DB56B9">
        <w:rPr>
          <w:rFonts w:eastAsiaTheme="minorEastAsia"/>
          <w:rtl/>
        </w:rPr>
        <w:t>6</w:t>
      </w:r>
      <w:r w:rsidR="00F83617" w:rsidRPr="005971C3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ويمثل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البلاغ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محام.</w:t>
      </w:r>
    </w:p>
    <w:p w14:paraId="04489B1F" w14:textId="519994B3" w:rsidR="00F049F0" w:rsidRPr="005971C3" w:rsidRDefault="00F049F0" w:rsidP="00B700B9">
      <w:pPr>
        <w:pStyle w:val="SingleTxtGA"/>
        <w:spacing w:line="380" w:lineRule="exact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1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2</w:t>
      </w:r>
      <w:r w:rsidRPr="005971C3">
        <w:rPr>
          <w:rFonts w:eastAsiaTheme="minorEastAsia"/>
          <w:rtl/>
        </w:rPr>
        <w:tab/>
        <w:t>وفي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30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حزيران/يونيه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أصدرت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طريق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مقررها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المعني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بالشكاوى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الجديدة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والتدابير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المؤقتة،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باتخاذ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تدابير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مؤقتة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بموجب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114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النظام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الداخلي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للجنة،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وطلبت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 w:hint="cs"/>
          <w:rtl/>
        </w:rPr>
        <w:t> 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تعليق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ترحيل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ريثما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تفرغ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البلاغ.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7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تموز/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يوليه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أبلغت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علقت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ترحيل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وطلبت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أيض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رفع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التدابير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المؤقتة.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26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تموز/يوليه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تعليقاتهما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28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تموز/يوليه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قررت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طريق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مقررها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المعني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بالشكاوى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الجديدة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والتدابير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المؤقتة،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رفض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رفع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التدابير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المؤقتة.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يزال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سويسرا.</w:t>
      </w:r>
      <w:r w:rsidR="005971C3">
        <w:rPr>
          <w:rFonts w:eastAsiaTheme="minorEastAsia"/>
          <w:rtl/>
        </w:rPr>
        <w:t xml:space="preserve"> </w:t>
      </w:r>
    </w:p>
    <w:p w14:paraId="7073A616" w14:textId="09E3786A" w:rsidR="00F049F0" w:rsidRPr="00DB56B9" w:rsidRDefault="00F049F0" w:rsidP="00B700B9">
      <w:pPr>
        <w:pStyle w:val="H23GA"/>
        <w:rPr>
          <w:lang w:val="ar-SA" w:eastAsia="zh-TW" w:bidi="en-GB"/>
        </w:rPr>
      </w:pPr>
      <w:r w:rsidRPr="00DB56B9">
        <w:rPr>
          <w:rtl/>
        </w:rPr>
        <w:tab/>
      </w:r>
      <w:r w:rsidRPr="00DB56B9">
        <w:rPr>
          <w:rtl/>
        </w:rPr>
        <w:tab/>
        <w:t>الوقائع</w:t>
      </w:r>
      <w:r w:rsidR="005971C3" w:rsidRPr="00DB56B9">
        <w:rPr>
          <w:rtl/>
        </w:rPr>
        <w:t xml:space="preserve"> </w:t>
      </w:r>
      <w:r w:rsidRPr="00DB56B9">
        <w:rPr>
          <w:rtl/>
        </w:rPr>
        <w:t>كما</w:t>
      </w:r>
      <w:r w:rsidR="005971C3" w:rsidRPr="00DB56B9">
        <w:rPr>
          <w:rtl/>
        </w:rPr>
        <w:t xml:space="preserve"> </w:t>
      </w:r>
      <w:r w:rsidRPr="00DB56B9">
        <w:rPr>
          <w:rtl/>
        </w:rPr>
        <w:t>عرضها</w:t>
      </w:r>
      <w:r w:rsidR="005971C3" w:rsidRPr="00DB56B9">
        <w:rPr>
          <w:rtl/>
        </w:rPr>
        <w:t xml:space="preserve"> </w:t>
      </w:r>
      <w:r w:rsidRPr="00DB56B9">
        <w:rPr>
          <w:rtl/>
        </w:rPr>
        <w:t>صاحبا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الشكوى</w:t>
      </w:r>
      <w:r w:rsidR="005971C3" w:rsidRPr="00DB56B9">
        <w:rPr>
          <w:rtl/>
        </w:rPr>
        <w:t xml:space="preserve"> </w:t>
      </w:r>
    </w:p>
    <w:p w14:paraId="4C1431D5" w14:textId="767C820B" w:rsidR="00F83617" w:rsidRPr="005971C3" w:rsidRDefault="00F049F0" w:rsidP="00B700B9">
      <w:pPr>
        <w:pStyle w:val="SingleTxtGA"/>
        <w:spacing w:line="380" w:lineRule="exact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2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1</w:t>
      </w:r>
      <w:r w:rsidRPr="005971C3">
        <w:rPr>
          <w:rFonts w:eastAsiaTheme="minorEastAsia"/>
          <w:rtl/>
        </w:rPr>
        <w:tab/>
        <w:t>يؤكد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الفترة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عامي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2011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</w:t>
      </w:r>
      <w:r w:rsidRPr="00DB56B9">
        <w:rPr>
          <w:rFonts w:eastAsiaTheme="minorEastAsia"/>
          <w:rtl/>
        </w:rPr>
        <w:t>2020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مدرس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مدارس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مظلة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مؤسسات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غوليستان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التعليمية،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وهي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كيان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مقره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وترتبط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4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وبين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2012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</w:t>
      </w:r>
      <w:r w:rsidRPr="00DB56B9">
        <w:rPr>
          <w:rFonts w:eastAsiaTheme="minorEastAsia"/>
          <w:rtl/>
        </w:rPr>
        <w:t>2014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وبين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2018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</w:t>
      </w:r>
      <w:r w:rsidRPr="00DB56B9">
        <w:rPr>
          <w:rFonts w:eastAsiaTheme="minorEastAsia"/>
          <w:rtl/>
        </w:rPr>
        <w:t>2019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أيض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مدرسةً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المدارس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5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</w:p>
    <w:p w14:paraId="606FAFAC" w14:textId="328F1AC8" w:rsidR="00F049F0" w:rsidRPr="005971C3" w:rsidRDefault="00F049F0" w:rsidP="00B700B9">
      <w:pPr>
        <w:pStyle w:val="SingleTxtGA"/>
        <w:spacing w:line="380" w:lineRule="exact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2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2</w:t>
      </w:r>
      <w:r w:rsidRPr="005971C3">
        <w:rPr>
          <w:rFonts w:eastAsiaTheme="minorEastAsia"/>
          <w:rtl/>
        </w:rPr>
        <w:tab/>
        <w:t>ويشير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النتائج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توصلت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إليها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منظمة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بيت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الحرية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الحكومية،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تفيد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أعقاب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محاولة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انقلاب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15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تموز/يوليه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2016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شرعت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حملة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عالمية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أعضاء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وغيرهم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تعتقد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مسؤولون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الانقلاب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6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Style w:val="FootnoteReference"/>
          <w:rFonts w:eastAsiaTheme="minorEastAsia" w:hint="cs"/>
          <w:sz w:val="22"/>
          <w:vertAlign w:val="baseline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ويستشهد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بالتقرير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نفسه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ذكر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صنفت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منظمة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إرهابية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(منظمة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فتح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الإرهابية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فيتو</w:t>
      </w:r>
      <w:r w:rsidR="00F83617" w:rsidRPr="005971C3">
        <w:rPr>
          <w:rFonts w:eastAsiaTheme="minorEastAsia"/>
          <w:rtl/>
        </w:rPr>
        <w:t>)،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وبدأت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تلاحق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بقوة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الأشخاص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المنتسبين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جميع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أنحاء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العالم.</w:t>
      </w:r>
      <w:r w:rsidR="005971C3">
        <w:rPr>
          <w:rFonts w:eastAsiaTheme="minorEastAsia"/>
          <w:rtl/>
        </w:rPr>
        <w:t xml:space="preserve"> </w:t>
      </w:r>
    </w:p>
    <w:p w14:paraId="5911D252" w14:textId="7D4751F2" w:rsidR="00F83617" w:rsidRPr="005971C3" w:rsidRDefault="00F049F0" w:rsidP="00B700B9">
      <w:pPr>
        <w:pStyle w:val="SingleTxtGA"/>
        <w:spacing w:line="380" w:lineRule="exact"/>
        <w:rPr>
          <w:rFonts w:eastAsiaTheme="minorEastAsia"/>
          <w:lang w:val="en-US" w:eastAsia="zh-TW" w:bidi="en-GB"/>
        </w:rPr>
      </w:pPr>
      <w:r w:rsidRPr="00DB56B9">
        <w:rPr>
          <w:rFonts w:eastAsiaTheme="minorEastAsia"/>
          <w:rtl/>
        </w:rPr>
        <w:t>2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3</w:t>
      </w:r>
      <w:r w:rsidRPr="005971C3">
        <w:rPr>
          <w:rFonts w:eastAsiaTheme="minorEastAsia"/>
          <w:rtl/>
        </w:rPr>
        <w:tab/>
        <w:t>ويؤكد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صنفت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مؤسسات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غوليستان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التعليمية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منظمة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إرهابية.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ووفق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أرسلت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السفارة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التركية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21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الأول/ديسمبر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2016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برقية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دوائر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تزعم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78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فرد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أُدرِجت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أسماؤهم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قائمة،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يعيشون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ينتمون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منظمة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إرهابية،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وقدمت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عناوين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إقامتهم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وأماكن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عملهم.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ووفق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اختطفت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أجهزة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الاستخبارات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التركية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29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آذار/مارس</w:t>
      </w:r>
      <w:r w:rsidR="005971C3">
        <w:rPr>
          <w:rFonts w:eastAsiaTheme="minorEastAsia" w:hint="cs"/>
          <w:rtl/>
        </w:rPr>
        <w:t xml:space="preserve"> </w:t>
      </w:r>
      <w:r w:rsidR="007B3582" w:rsidRPr="00DB56B9">
        <w:rPr>
          <w:rFonts w:eastAsiaTheme="minorEastAsia" w:hint="cs"/>
          <w:rtl/>
        </w:rPr>
        <w:t>2018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ستة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أسماؤهم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مدرجة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أيض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القائمة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أرسلتها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السفارة،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ونقلتهم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قسر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حيث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سُجنوا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وتعرضوا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لسوء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المعاملة.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وبعد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النقل،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حقق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مكتب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المدعي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أنقرة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الستة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كإجراء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تحقيقي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مرتبط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بالإرهاب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7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</w:p>
    <w:p w14:paraId="738AC8E1" w14:textId="11256D57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lastRenderedPageBreak/>
        <w:t>2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ab/>
        <w:t>ويؤكد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المصارف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جمدت،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فترة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وجيزة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النقل،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أصول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المشتبه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انتسابهم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وأغلقت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حساباتهم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المصرفية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8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ووفق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مارست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الكبير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نفوذها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لدى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الضغط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لحظر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وترحيل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المشتبه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انتسابهم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ويؤكد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غادرا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15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آب/أغسطس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2020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وانتقلا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سويسرا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طفليهما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بسبب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تعرضهما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لضغوط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وتهديدات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متزايدة.</w:t>
      </w:r>
    </w:p>
    <w:p w14:paraId="3E6C3AF3" w14:textId="3D9F482A" w:rsidR="00F83617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2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5</w:t>
      </w:r>
      <w:r w:rsidRPr="005971C3">
        <w:rPr>
          <w:rFonts w:eastAsiaTheme="minorEastAsia"/>
          <w:rtl/>
        </w:rPr>
        <w:tab/>
        <w:t>وفي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أيلول/سبتمبر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2020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التماس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لجوء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سويسرا.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29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الأول/ديسمبر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2020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رفضت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إطار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إجراءات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المعجلة،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بناء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تقرير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يفيد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للمشتكيين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9"/>
      </w:r>
      <w:r w:rsidR="00B700B9" w:rsidRPr="005971C3">
        <w:rPr>
          <w:rStyle w:val="FootnoteReference"/>
          <w:rFonts w:eastAsiaTheme="minorEastAsia"/>
          <w:sz w:val="22"/>
          <w:rtl/>
        </w:rPr>
        <w:t>)</w:t>
      </w:r>
      <w:r w:rsidR="007B3582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التحديد،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لاحظت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حصلت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لاجئ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بإمكان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يحمل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بالفعل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تصريح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إقامة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دائمة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يحصل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نفس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الحماية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طريقها.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ووفق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لقرار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11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الأول/ديسمبر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2020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تأكيد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خطي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يفيد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يحملان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تصريحي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إقامة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صالحين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ووافقت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قبول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وفق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لاتفاق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القبول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المبرم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سويسرا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وبالتالي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توفير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ضمان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القبول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المطلوب.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أتيحت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الفرصة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للتعليق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ضمان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القبول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شفهي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(في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21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الأول/ديسمبر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</w:t>
      </w:r>
      <w:r w:rsidR="00F83617" w:rsidRPr="00DB56B9">
        <w:rPr>
          <w:rFonts w:eastAsiaTheme="minorEastAsia"/>
          <w:rtl/>
        </w:rPr>
        <w:t>0</w:t>
      </w:r>
      <w:r w:rsidR="00F83617" w:rsidRPr="005971C3">
        <w:rPr>
          <w:rFonts w:eastAsiaTheme="minorEastAsia"/>
          <w:rtl/>
        </w:rPr>
        <w:t>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وخطي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(في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24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الأول/ديسمبر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</w:t>
      </w:r>
      <w:r w:rsidR="00F83617" w:rsidRPr="00DB56B9">
        <w:rPr>
          <w:rFonts w:eastAsiaTheme="minorEastAsia"/>
          <w:rtl/>
        </w:rPr>
        <w:t>0</w:t>
      </w:r>
      <w:r w:rsidR="00F83617" w:rsidRPr="005971C3">
        <w:rPr>
          <w:rFonts w:eastAsiaTheme="minorEastAsia"/>
          <w:rtl/>
        </w:rPr>
        <w:t>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وجادلا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سيتعرضان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الإبعاد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ترحيلهما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وأشار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أيض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شخصين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آخرين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وضع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مماثل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التمسا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سويسرا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ومُنحا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إجراء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كامل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(بدل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الإجراء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المعجل</w:t>
      </w:r>
      <w:r w:rsidR="00F83617" w:rsidRPr="005971C3">
        <w:rPr>
          <w:rFonts w:eastAsiaTheme="minorEastAsia"/>
          <w:rtl/>
        </w:rPr>
        <w:t>).</w:t>
      </w:r>
    </w:p>
    <w:p w14:paraId="4CD0764E" w14:textId="18BA33A4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2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6</w:t>
      </w:r>
      <w:r w:rsidRPr="005971C3">
        <w:rPr>
          <w:rFonts w:eastAsiaTheme="minorEastAsia"/>
          <w:rtl/>
        </w:rPr>
        <w:tab/>
        <w:t>وفي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6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الثاني/يناير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استأنف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قرار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المحكمة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الإدارية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الاتحادية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وطلبا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فحص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التماس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قدماه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إجراءات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لجوء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كاملة.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واحتجّا،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الخصوص،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ليست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بلد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ثالث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آمن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سعت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إعادتهما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فإنه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ينبغي،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بدل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معالجة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المسألة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إطار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31</w:t>
      </w:r>
      <w:r w:rsidR="005D73EA" w:rsidRPr="005971C3">
        <w:rPr>
          <w:rFonts w:eastAsiaTheme="minorEastAsia"/>
          <w:rtl/>
        </w:rPr>
        <w:t>(</w:t>
      </w:r>
      <w:r w:rsidRPr="005971C3">
        <w:rPr>
          <w:rFonts w:eastAsiaTheme="minorEastAsia"/>
          <w:rtl/>
        </w:rPr>
        <w:t>أ)</w:t>
      </w:r>
      <w:r w:rsidR="005D73EA" w:rsidRPr="005971C3">
        <w:rPr>
          <w:rFonts w:eastAsiaTheme="minorEastAsia"/>
          <w:rtl/>
        </w:rPr>
        <w:t>(</w:t>
      </w:r>
      <w:r w:rsidR="00F83617" w:rsidRPr="00DB56B9">
        <w:rPr>
          <w:rFonts w:eastAsiaTheme="minorEastAsia"/>
          <w:rtl/>
        </w:rPr>
        <w:t>1</w:t>
      </w:r>
      <w:r w:rsidR="00F83617" w:rsidRPr="005971C3">
        <w:rPr>
          <w:rFonts w:eastAsiaTheme="minorEastAsia"/>
          <w:rtl/>
        </w:rPr>
        <w:t>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اللجوء.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وسيتعين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بموجب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الحكم،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تأخذ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الاعتبار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اتفاق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القبول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المبرم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وسويسرا،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بموجبه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سويسرا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تقدّم،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قبل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فرد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سيتعين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عليها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تقديم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ضمان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قبول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10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ووفق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سيتعين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عندئذ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أجل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تحديد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توجد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حماية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فعالة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القسرية.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ولدعم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استئنافهما،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21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الثاني/يناير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رسالة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وصلته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محاميه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بشأن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تحقيق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سري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يجري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ضده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والخطر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يواجهه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بسبب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اضطهاد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المؤيدين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المزعومين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غولن.</w:t>
      </w:r>
      <w:r w:rsidR="005971C3">
        <w:rPr>
          <w:rFonts w:eastAsiaTheme="minorEastAsia"/>
          <w:rtl/>
        </w:rPr>
        <w:t xml:space="preserve"> </w:t>
      </w:r>
    </w:p>
    <w:p w14:paraId="74576699" w14:textId="0C8776FA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lastRenderedPageBreak/>
        <w:t>2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7</w:t>
      </w:r>
      <w:r w:rsidRPr="005971C3">
        <w:rPr>
          <w:rFonts w:eastAsiaTheme="minorEastAsia"/>
          <w:rtl/>
        </w:rPr>
        <w:tab/>
        <w:t>وفي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الثاني/يناير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أحالت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المحكمة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الإدارية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الاتحادية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الاستئناف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967EB5">
        <w:rPr>
          <w:rFonts w:eastAsiaTheme="minorEastAsia" w:hint="cs"/>
          <w:rtl/>
        </w:rPr>
        <w:t> 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29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الثاني/يناير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نقضت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قرارها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السابق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الصادر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 w:hint="cs"/>
          <w:rtl/>
        </w:rPr>
        <w:t xml:space="preserve"> </w:t>
      </w:r>
      <w:r w:rsidRPr="00DB56B9">
        <w:rPr>
          <w:rFonts w:eastAsiaTheme="minorEastAsia"/>
          <w:rtl/>
        </w:rPr>
        <w:t>29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الأول/ديسمبر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2020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وأعلنت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ستستأنف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مطالبات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الإجراءات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الابتدائية.</w:t>
      </w:r>
      <w:r w:rsidR="005971C3">
        <w:rPr>
          <w:rFonts w:eastAsiaTheme="minorEastAsia"/>
          <w:rtl/>
        </w:rPr>
        <w:t xml:space="preserve"> </w:t>
      </w:r>
    </w:p>
    <w:p w14:paraId="5807FABC" w14:textId="683A9364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2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8</w:t>
      </w:r>
      <w:r w:rsidRPr="005971C3">
        <w:rPr>
          <w:rFonts w:eastAsiaTheme="minorEastAsia"/>
          <w:rtl/>
        </w:rPr>
        <w:tab/>
        <w:t>وفي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9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شباط/فبراير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وافقت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التماس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قدماه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إجراءات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لجوء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كاملة.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وبعد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انتهت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النظر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التماس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إطار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إجراء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كامل،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رفضت،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22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شباط/</w:t>
      </w:r>
      <w:r w:rsidR="00967EB5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فبراير</w:t>
      </w:r>
      <w:r w:rsidR="00967EB5">
        <w:rPr>
          <w:rFonts w:eastAsiaTheme="minorEastAsia" w:hint="cs"/>
          <w:rtl/>
        </w:rPr>
        <w:t> </w:t>
      </w:r>
      <w:r w:rsidRPr="00DB56B9">
        <w:rPr>
          <w:rFonts w:eastAsiaTheme="minorEastAsia"/>
          <w:rtl/>
        </w:rPr>
        <w:t>2021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الالتماس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بناء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النتائج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التالية: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وجود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مؤشرات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محددة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إمكانية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و/أو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طفلاهما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التهديد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بالترحيل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جانب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كوسوفو؛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وتعليقات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واعتراضاتهما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قدماه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أدلة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متعلقة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بحالة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آخرين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(تتعلق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أساس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الستة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المذكورين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أعلاه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أوطانهم</w:t>
      </w:r>
      <w:r w:rsidR="00F83617" w:rsidRPr="005971C3">
        <w:rPr>
          <w:rFonts w:eastAsiaTheme="minorEastAsia"/>
          <w:rtl/>
        </w:rPr>
        <w:t>).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عالجت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الحالة،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وصفها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وأثبتاها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بأدلة،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بسبل،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إنشاء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تحقيق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برلمانية.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وعلاوة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رئيس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وزراء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آنذاك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علن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موقف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رئيس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الستة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أوطانهم.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وبالإضافة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واجهت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ومسؤولوها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شاركوا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عمليات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الوطن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عواقب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مهنية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وخيمة.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سبيل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المثال،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أُقيل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رئيس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دوائر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الاستخبارات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ووزير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الداخلية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نتيجة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لعمليات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الوطن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تلك.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وعليه،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استنتجت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تتاح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لعمليات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الوطن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المشروعة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وذات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الدوافع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السياسية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فرصة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الحدوث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مجدد</w:t>
      </w:r>
      <w:r w:rsidR="003726E1" w:rsidRPr="005971C3">
        <w:rPr>
          <w:rFonts w:eastAsiaTheme="minorEastAsia"/>
          <w:rtl/>
        </w:rPr>
        <w:t>اً.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وبالإضافة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تكن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الرسالة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وجهها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محامي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بشأن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إجراء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تحقيق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سري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مزعوم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ضده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كافية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كدليل.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ويعزى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باستثناء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وجود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وثائق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أخرى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تتعلق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بإجراءات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التحقيق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مثل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السرية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ومذكرة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التوقيف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ولائحة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الاتهام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وغيرها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الملفات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الإجرائية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بروتوكولات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الاستجواب،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توجد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مؤشرات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مثل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المساعدة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القانونية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تسليم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المطلوبين،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تدل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إمكانية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للإبعاد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وخلاصة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توجد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مؤشرات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كافية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عودة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ستؤدي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ترحيلهما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الرغم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ليست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طرف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اتفاقية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مناهضة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وغيره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ضروب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المعاملة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العقوبة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القاسية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اللاإنسانية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المهينة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اتفاقية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حماية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حقوق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الإنسان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والحريات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الأساسية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(الاتفاقية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الأوروبية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لحقوق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الإنسان</w:t>
      </w:r>
      <w:r w:rsidR="00F83617" w:rsidRPr="005971C3">
        <w:rPr>
          <w:rFonts w:eastAsiaTheme="minorEastAsia"/>
          <w:rtl/>
        </w:rPr>
        <w:t>)،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فإن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المجلس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الاتحادي،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تعيين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ثالث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آمن،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جملة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أمور،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امتثال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لمعايير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حقوق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الإنسان،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وفق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لتقييم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مفوضية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الأمم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المتحدة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السامية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لشؤون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اللاجئين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والدول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الأعضاء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الأخرى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الاتحاد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الأوروبي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والرابطة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الأوروبية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للتجارة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الحرة.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وبالإضافة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فإن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الاعتراف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بصاد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وطفلي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الزوجين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كلاجئين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يدل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نفذت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إجراءات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النحو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الواجب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وتصرفت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لحمايتهم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الاضطهاد.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وعلاوة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نشأ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طفلا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وبالتالي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فإن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عودتهما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كلا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الوالدين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تتعارض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مصالحهما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الفضلى.</w:t>
      </w:r>
      <w:r w:rsidR="005971C3">
        <w:rPr>
          <w:rFonts w:eastAsiaTheme="minorEastAsia"/>
          <w:rtl/>
        </w:rPr>
        <w:t xml:space="preserve"> </w:t>
      </w:r>
    </w:p>
    <w:p w14:paraId="452AE194" w14:textId="240733C7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2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9</w:t>
      </w:r>
      <w:r w:rsidRPr="005971C3">
        <w:rPr>
          <w:rFonts w:eastAsiaTheme="minorEastAsia"/>
          <w:rtl/>
        </w:rPr>
        <w:tab/>
        <w:t>وفي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آذار/مارس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استأنف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المحكمة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الإدارية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الاتحادية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القرار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السلبي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الصادر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22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شباط/فبراير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</w:t>
      </w:r>
      <w:r w:rsidR="00F83617" w:rsidRPr="00DB56B9">
        <w:rPr>
          <w:rFonts w:eastAsiaTheme="minorEastAsia"/>
          <w:rtl/>
        </w:rPr>
        <w:t>1</w:t>
      </w:r>
      <w:r w:rsidR="00F83617" w:rsidRPr="005971C3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4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أيار/مايو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رفضت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المحكمة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الاستئناف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للسبب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التالي: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يعد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يعترضان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أقاما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ثالث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(كوسوفو)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قبل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وصولهما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سويسرا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يحملان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تصريحي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إقامة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صالحين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صنف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المجلس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الاتحادي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سويسرا،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بموجب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قراره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المؤرخ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6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آذار/مارس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2009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آمنة،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استناد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عوامل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تشمل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استقرارها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السياسي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واحترامها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لحقوق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الإنسان،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رهن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بالاستعراض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الدوري.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وعلاوة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خلصت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المحكمة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وجود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مؤشرات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سيعادان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آذار/مارس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="00447B69" w:rsidRPr="005971C3">
        <w:rPr>
          <w:rFonts w:eastAsiaTheme="minorEastAsia" w:hint="cs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ضمانات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تفيد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ستعيد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قبول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وطفليهما،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وتأكيد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صريح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ترحلهم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تُثبت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إفادات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والأدلة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قدماها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وجود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احتمال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يرجّح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سيرحّلان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الرغم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أثبتا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آخرين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نُقلوا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بصورة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مشروعة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2018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المعلومات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قدماها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تشير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يواجهان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شخصي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محدد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يكونا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محميين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الترحيل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يتأثر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نفساهما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بأحداث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2018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وإن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رُحِّلوا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خلال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الفترة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معروفين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لديهما.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وعلاوة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يدعيا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اتخذت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تدابير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رسمية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ضدهما.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وعليه،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يثبت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يواجهان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فردي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كافي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بالترحيل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الرغم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الضمانات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</w:p>
    <w:p w14:paraId="191CB818" w14:textId="1173A181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2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10</w:t>
      </w:r>
      <w:r w:rsidRPr="005971C3">
        <w:rPr>
          <w:rFonts w:eastAsiaTheme="minorEastAsia"/>
          <w:rtl/>
        </w:rPr>
        <w:tab/>
        <w:t>ويؤكد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استنفدا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سبل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الانتصاف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المحلية،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نظر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قرار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المحكمة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الإدارية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الاتحادية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قابل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للاستئناف.</w:t>
      </w:r>
      <w:r w:rsidR="005971C3">
        <w:rPr>
          <w:rFonts w:eastAsiaTheme="minorEastAsia"/>
          <w:rtl/>
        </w:rPr>
        <w:t xml:space="preserve"> </w:t>
      </w:r>
    </w:p>
    <w:p w14:paraId="7DCF3593" w14:textId="77777777" w:rsidR="00F049F0" w:rsidRPr="00DB56B9" w:rsidRDefault="00F049F0" w:rsidP="00B700B9">
      <w:pPr>
        <w:pStyle w:val="H23GA"/>
        <w:rPr>
          <w:lang w:val="ar-SA" w:eastAsia="zh-TW" w:bidi="en-GB"/>
        </w:rPr>
      </w:pPr>
      <w:r w:rsidRPr="00DB56B9">
        <w:rPr>
          <w:rtl/>
        </w:rPr>
        <w:tab/>
      </w:r>
      <w:r w:rsidRPr="00DB56B9">
        <w:rPr>
          <w:rtl/>
        </w:rPr>
        <w:tab/>
        <w:t>الشكوى</w:t>
      </w:r>
    </w:p>
    <w:p w14:paraId="0875B3B2" w14:textId="5C16DA21" w:rsidR="00F83617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3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1</w:t>
      </w:r>
      <w:r w:rsidRPr="005971C3">
        <w:rPr>
          <w:rFonts w:eastAsiaTheme="minorEastAsia"/>
          <w:rtl/>
        </w:rPr>
        <w:tab/>
        <w:t>يدعي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البلاغ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ستنتهك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حقوقهما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بموجب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بترحيلهما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المرجح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جد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يُطردا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يُسلّما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بصورة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قانونية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بوصفهما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فردين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منتسبين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المرجح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للسجن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التعسفي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والتعذيب.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أخطأت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المحلية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قررت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ثالث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لعودتهما.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والواقع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تأثيراً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هام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ونفوذ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كبير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فيها.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فأمام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الضغوط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المتزايدة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وزير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التنمية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الإقليمية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شباط/فبراير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تصنيف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رسمي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منظمة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إرهابية.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وذكر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ستستفيد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زيادة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التعاون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ووفق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لتقارير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وسائط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الإعلام،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رئيس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وزراء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آنذاك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الطلب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الوارد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وزير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التنمية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الإقليمية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وكالة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استخبارات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للمراجعة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11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ثمّ،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يمكن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تصنف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منظمة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إرهابية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وقت،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ويمكنها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تسليم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وليس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بعيد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متخيل</w:t>
      </w:r>
      <w:r w:rsidR="003726E1" w:rsidRPr="005971C3">
        <w:rPr>
          <w:rFonts w:eastAsiaTheme="minorEastAsia"/>
          <w:rtl/>
        </w:rPr>
        <w:t>اً،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تهديد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فعلي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ومرجح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للغاية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لحقوق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وحرياتهما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ورفاههما.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عانت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ضرر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نفسي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جراء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الخوف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إعادتها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قضايا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سابقة،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خلصت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المغرب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سينتهك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حقوق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ثلاثة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بموجب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بتسليمهم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12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</w:p>
    <w:p w14:paraId="764ED8EA" w14:textId="27531972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3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2</w:t>
      </w:r>
      <w:r w:rsidRPr="005971C3">
        <w:rPr>
          <w:rFonts w:eastAsiaTheme="minorEastAsia"/>
          <w:rtl/>
        </w:rPr>
        <w:tab/>
        <w:t>وكما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مذكور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أعلاه،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ستة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أفراد،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خمسة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زملاء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للاختطاف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ونُقلوا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قسر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حيث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سُجنوا.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ورأى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الفريق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العامل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المعني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بالاحتجاز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التعسفي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سجنهم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تعسفي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مشروع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13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وزادت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مؤخر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طلباتها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الأفراد،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خارج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نطاق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القضاء،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ولايتها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القضائية.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نُقل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صلاح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وهو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بصفة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قانونية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الولايات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المتحدة،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بصورة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مشروعة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كينيا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يتعارض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صادر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المحكمة.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وبالإضافة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فإن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ليست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طرف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الأوروبية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لحقوق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الإنسان،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العهد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الخاص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بالحقوق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المدنية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والسياسية،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اتفاقية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مناهضة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وغيره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ضروب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المعاملة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العقوبة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القاسية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اللاإنسانية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المهينة.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الماضي،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تحترم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مبدأ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القسرية.</w:t>
      </w:r>
      <w:r w:rsidR="005971C3">
        <w:rPr>
          <w:rFonts w:eastAsiaTheme="minorEastAsia"/>
          <w:rtl/>
        </w:rPr>
        <w:t xml:space="preserve"> </w:t>
      </w:r>
    </w:p>
    <w:p w14:paraId="3BD80E95" w14:textId="7A92993A" w:rsidR="00F83617" w:rsidRPr="005971C3" w:rsidRDefault="00F049F0" w:rsidP="00F049F0">
      <w:pPr>
        <w:pStyle w:val="SingleTxtGA"/>
        <w:rPr>
          <w:rFonts w:eastAsiaTheme="minorEastAsia"/>
          <w:lang w:val="en-US" w:eastAsia="zh-TW" w:bidi="en-GB"/>
        </w:rPr>
      </w:pPr>
      <w:r w:rsidRPr="00DB56B9">
        <w:rPr>
          <w:rFonts w:eastAsiaTheme="minorEastAsia"/>
          <w:rtl/>
        </w:rPr>
        <w:lastRenderedPageBreak/>
        <w:t>3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3</w:t>
      </w:r>
      <w:r w:rsidRPr="005971C3">
        <w:rPr>
          <w:rFonts w:eastAsiaTheme="minorEastAsia"/>
          <w:rtl/>
        </w:rPr>
        <w:tab/>
        <w:t>وبعد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محاولة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الانقلاب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15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تموز/يوليه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2016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أعلنت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طوارئ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استمرت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عامين.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ويدعي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احتجّت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بحالة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الطوارئ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كذريعة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لانتهاك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حقوق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الإنسان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نطاق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واسع.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وخلال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الفترة،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سنت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الحكومة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32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مرسوم</w:t>
      </w:r>
      <w:r w:rsidR="003726E1" w:rsidRPr="005971C3">
        <w:rPr>
          <w:rFonts w:eastAsiaTheme="minorEastAsia"/>
          <w:rtl/>
        </w:rPr>
        <w:t>اً،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ثلاثة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(أرقامها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667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</w:t>
      </w:r>
      <w:r w:rsidRPr="00DB56B9">
        <w:rPr>
          <w:rFonts w:eastAsiaTheme="minorEastAsia"/>
          <w:rtl/>
        </w:rPr>
        <w:t>668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</w:t>
      </w:r>
      <w:r w:rsidRPr="00DB56B9">
        <w:rPr>
          <w:rFonts w:eastAsiaTheme="minorEastAsia"/>
          <w:rtl/>
        </w:rPr>
        <w:t>69</w:t>
      </w:r>
      <w:r w:rsidR="00F83617" w:rsidRPr="00DB56B9">
        <w:rPr>
          <w:rFonts w:eastAsiaTheme="minorEastAsia"/>
          <w:rtl/>
        </w:rPr>
        <w:t>6</w:t>
      </w:r>
      <w:r w:rsidR="00F83617" w:rsidRPr="005971C3">
        <w:rPr>
          <w:rFonts w:eastAsiaTheme="minorEastAsia"/>
          <w:rtl/>
        </w:rPr>
        <w:t>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تنص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الإفلات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العقاب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للموظفين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الحكوميين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وللمدنيين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يُنفّذ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أجل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محاولة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انقلاب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إرهابي.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ووفق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لتقرير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نشره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المقرر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الخاص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المعني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بمسألة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وغيره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ضروب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المعاملة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العقوبة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القاسية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اللاإنسانية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المهينة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2017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بعثته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"على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الرغم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المزاعم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المستمرة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بانتشار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وغيره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أشكال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المعاملة،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بالفترة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أعقبت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مباشرة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الانقلاب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الفاشل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15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تموز/يوليه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2016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والعنف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المتصاعد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جنوب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شرق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يبدو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التحقيقات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والمحاكمات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الرسمية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المتعلقة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المزاعم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نادرة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للغاية،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يخلق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تصور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قوي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للإفلات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بحكم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الواقع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العقاب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أعمال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وغيره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أشكال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المعاملة"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14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ويستشهد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تقارير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إضافية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نشرتها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آليات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ومنظمات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دولية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لدعم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ادعاءاتهما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بممارسات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وسوء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المعاملة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15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</w:p>
    <w:p w14:paraId="5B90FB0E" w14:textId="2CCEAB97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3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ab/>
        <w:t>ويشير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أيض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رسالة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مزاعم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وجهها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5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أيار/مايو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2020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الفريق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العامل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المعني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بحالات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الاختفاء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القسري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الطوعي،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والمقرر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الخاص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المعني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بحقوق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الإنسان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للمهاجرين،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والمقرر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الخاص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المعني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بتعزيز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وحماية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حقوق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الإنسان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والحريات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الأساسية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سياق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مكافحة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الإرهاب،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والمقرر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الخاص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المعني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بمسألة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وغيره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ضروب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المعاملة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العقوبة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القاسية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اللاإنسانية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المهينة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16"/>
      </w:r>
      <w:r w:rsidR="00B700B9" w:rsidRPr="005971C3">
        <w:rPr>
          <w:rStyle w:val="FootnoteReference"/>
          <w:rFonts w:eastAsiaTheme="minorEastAsia"/>
          <w:sz w:val="22"/>
          <w:rtl/>
        </w:rPr>
        <w:t>)</w:t>
      </w:r>
      <w:r w:rsidR="00447B69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ووفق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للرسالة،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تعرّضَ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100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شخص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يشتبه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تورطهم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للاعتقال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والاحتجاز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التعسفيين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والاختفاء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القسري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إطار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عمليات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سرية،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يُزعم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نظمتها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حرضت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عليها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بالتنسيق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مسؤولين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أفغانستان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وألبانيا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وأذربيجان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وكمبوديا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وغابون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وكازاخستان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ولبنان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وباكستان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وغيرها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بلدان.</w:t>
      </w:r>
    </w:p>
    <w:p w14:paraId="63FC31BC" w14:textId="638F35FB" w:rsidR="00F049F0" w:rsidRPr="00DB56B9" w:rsidRDefault="00F049F0" w:rsidP="00B700B9">
      <w:pPr>
        <w:pStyle w:val="H23GA"/>
        <w:rPr>
          <w:lang w:val="ar-SA" w:eastAsia="zh-TW" w:bidi="en-GB"/>
        </w:rPr>
      </w:pPr>
      <w:r w:rsidRPr="00DB56B9">
        <w:rPr>
          <w:rtl/>
        </w:rPr>
        <w:tab/>
      </w:r>
      <w:r w:rsidRPr="00DB56B9">
        <w:rPr>
          <w:rtl/>
        </w:rPr>
        <w:tab/>
        <w:t>ملاحظات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الدولة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الطرف</w:t>
      </w:r>
      <w:r w:rsidR="005971C3" w:rsidRPr="00DB56B9">
        <w:rPr>
          <w:rtl/>
        </w:rPr>
        <w:t xml:space="preserve"> </w:t>
      </w:r>
      <w:r w:rsidRPr="00DB56B9">
        <w:rPr>
          <w:rtl/>
        </w:rPr>
        <w:t>بشأن</w:t>
      </w:r>
      <w:r w:rsidR="005971C3" w:rsidRPr="00DB56B9">
        <w:rPr>
          <w:rtl/>
        </w:rPr>
        <w:t xml:space="preserve"> </w:t>
      </w:r>
      <w:r w:rsidRPr="00DB56B9">
        <w:rPr>
          <w:rtl/>
        </w:rPr>
        <w:t>مقبولية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البلاغ</w:t>
      </w:r>
      <w:r w:rsidR="005971C3" w:rsidRPr="00DB56B9">
        <w:rPr>
          <w:rtl/>
        </w:rPr>
        <w:t xml:space="preserve"> </w:t>
      </w:r>
      <w:r w:rsidRPr="00DB56B9">
        <w:rPr>
          <w:rtl/>
        </w:rPr>
        <w:t>وأسسه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الموضوعية</w:t>
      </w:r>
      <w:r w:rsidR="005971C3" w:rsidRPr="00DB56B9">
        <w:rPr>
          <w:rtl/>
        </w:rPr>
        <w:t xml:space="preserve"> </w:t>
      </w:r>
    </w:p>
    <w:p w14:paraId="5D0CD77B" w14:textId="52B8AFA1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1</w:t>
      </w:r>
      <w:r w:rsidRPr="005971C3">
        <w:rPr>
          <w:rFonts w:eastAsiaTheme="minorEastAsia"/>
          <w:rtl/>
        </w:rPr>
        <w:tab/>
        <w:t>تؤكد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ملاحظاتها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المؤرخة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21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شباط/فبراير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2022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البلاغ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مقبول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الظاهر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يستند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أساس،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يفتقر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الأسس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الموضوعية.</w:t>
      </w:r>
    </w:p>
    <w:p w14:paraId="50B36FE3" w14:textId="55A71558" w:rsidR="00F049F0" w:rsidRPr="00DB56B9" w:rsidRDefault="00F049F0" w:rsidP="00B700B9">
      <w:pPr>
        <w:pStyle w:val="H4GA"/>
        <w:rPr>
          <w:lang w:val="ar-SA" w:eastAsia="zh-TW" w:bidi="en-GB"/>
        </w:rPr>
      </w:pPr>
      <w:r w:rsidRPr="00DB56B9">
        <w:rPr>
          <w:rtl/>
        </w:rPr>
        <w:tab/>
      </w:r>
      <w:r w:rsidRPr="00DB56B9">
        <w:rPr>
          <w:rtl/>
        </w:rPr>
        <w:tab/>
        <w:t>المعلومات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الوقائعية</w:t>
      </w:r>
    </w:p>
    <w:p w14:paraId="0ED82804" w14:textId="2403ABFF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2</w:t>
      </w:r>
      <w:r w:rsidRPr="005971C3">
        <w:rPr>
          <w:rFonts w:eastAsiaTheme="minorEastAsia"/>
          <w:rtl/>
        </w:rPr>
        <w:tab/>
        <w:t>ذكر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أثناء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مقابلات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أجرياها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غادرا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للمرة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الأخيرة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E9731C">
        <w:rPr>
          <w:rFonts w:eastAsiaTheme="minorEastAsia" w:hint="cs"/>
          <w:rtl/>
        </w:rPr>
        <w:t> </w:t>
      </w:r>
      <w:r w:rsidRPr="005971C3">
        <w:rPr>
          <w:rFonts w:eastAsiaTheme="minorEastAsia"/>
          <w:rtl/>
        </w:rPr>
        <w:t>آب/أغسطس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2015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ليقيما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أقرا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أيض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أقاما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منذ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2011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 w:hint="cs"/>
          <w:rtl/>
        </w:rPr>
        <w:t xml:space="preserve"> </w:t>
      </w:r>
      <w:r w:rsidRPr="00DB56B9">
        <w:rPr>
          <w:rFonts w:eastAsiaTheme="minorEastAsia"/>
          <w:rtl/>
        </w:rPr>
        <w:t>201</w:t>
      </w:r>
      <w:r w:rsidR="00F83617" w:rsidRPr="00DB56B9">
        <w:rPr>
          <w:rFonts w:eastAsiaTheme="minorEastAsia"/>
          <w:rtl/>
        </w:rPr>
        <w:t>2</w:t>
      </w:r>
      <w:r w:rsidR="00F83617" w:rsidRPr="005971C3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ووفق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لادعاءاتهما،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عاشا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تسع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سنوات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تقريب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حيث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مدرّسين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مدارس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مختلفة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تابعة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غولن.</w:t>
      </w:r>
      <w:r w:rsidR="005971C3">
        <w:rPr>
          <w:rFonts w:eastAsiaTheme="minorEastAsia"/>
          <w:rtl/>
        </w:rPr>
        <w:t xml:space="preserve"> </w:t>
      </w:r>
    </w:p>
    <w:p w14:paraId="1583DF0C" w14:textId="10D42F4E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3</w:t>
      </w:r>
      <w:r w:rsidRPr="005971C3">
        <w:rPr>
          <w:rFonts w:eastAsiaTheme="minorEastAsia"/>
          <w:rtl/>
        </w:rPr>
        <w:tab/>
        <w:t>وأثناء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إجراءات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اللجوء،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أنكر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البداية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حصولهما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تصريحي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إقامة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و/أو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حماية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دولية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تلقت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11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الأول/ديسمبر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2020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تأكيد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كتابي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يمتلكان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بالفعل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تصريحي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إقامة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صالحين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وطفليهما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حصلوا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لاجئين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12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أيلول/سبتمبر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2018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وأنهم،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بالتالي،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يتمتعون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بوضع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الحماية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الدولية.</w:t>
      </w:r>
    </w:p>
    <w:p w14:paraId="66ABA955" w14:textId="09AE4A66" w:rsidR="00F83617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ab/>
        <w:t>وفي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5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الثاني/يناير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2022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تقديم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بلاغهما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التماس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لجوء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جديد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استناد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وقائع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جديدة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17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</w:p>
    <w:p w14:paraId="393E48FB" w14:textId="23B24D4A" w:rsidR="00F049F0" w:rsidRPr="00DB56B9" w:rsidRDefault="00F049F0" w:rsidP="00B700B9">
      <w:pPr>
        <w:pStyle w:val="H4GA"/>
        <w:rPr>
          <w:lang w:val="ar-SA" w:eastAsia="zh-TW" w:bidi="en-GB"/>
        </w:rPr>
      </w:pPr>
      <w:r w:rsidRPr="00DB56B9">
        <w:rPr>
          <w:rtl/>
        </w:rPr>
        <w:tab/>
      </w:r>
      <w:r w:rsidRPr="00DB56B9">
        <w:rPr>
          <w:rtl/>
        </w:rPr>
        <w:tab/>
        <w:t>عدم</w:t>
      </w:r>
      <w:r w:rsidR="005971C3" w:rsidRPr="00DB56B9">
        <w:rPr>
          <w:rtl/>
        </w:rPr>
        <w:t xml:space="preserve"> </w:t>
      </w:r>
      <w:r w:rsidRPr="00DB56B9">
        <w:rPr>
          <w:rtl/>
        </w:rPr>
        <w:t>كفاية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الأدلة</w:t>
      </w:r>
    </w:p>
    <w:p w14:paraId="25829FA0" w14:textId="6F32C9AB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5</w:t>
      </w:r>
      <w:r w:rsidRPr="005971C3">
        <w:rPr>
          <w:rFonts w:eastAsiaTheme="minorEastAsia"/>
          <w:rtl/>
        </w:rPr>
        <w:tab/>
        <w:t>يكرر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بلاغهما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المقدم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الحجج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استعرضتها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والمحكمة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الإدارية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الاتحادية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أثناء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إجراء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الأول.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يقدم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مؤشرات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مقنعة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ضرورة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تعديل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تصنيف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آمنة.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التصنيف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يغيّره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زعم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نفوذ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كبير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زعمهما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تصدق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الأوروبية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لحقوق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الإنسان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اتفاقية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مناهضة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وغيره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ضروب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المعاملة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العقوبة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القاسية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اللاإنسانية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المهينة،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يبرهنا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سيواجهان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شخصي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الاضطهاد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بسبب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انتسابهما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ليست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محظورةً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</w:p>
    <w:p w14:paraId="1F3279D2" w14:textId="7CC4C8AC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6</w:t>
      </w:r>
      <w:r w:rsidRPr="005971C3">
        <w:rPr>
          <w:rFonts w:eastAsiaTheme="minorEastAsia"/>
          <w:rtl/>
        </w:rPr>
        <w:tab/>
        <w:t>وبالإضافة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يبيّن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كيف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التأكيد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الخطي،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فضل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التأكيد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الصريح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المقدم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بناء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سويسرا،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يُلزم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السبب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يحمل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احترامه.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السياق،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ينبغي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التأكيد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العلاقات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سويسرا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وثيقة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بشكل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خاص،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سياسي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واقتصادي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سواء.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والواقع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سويسرا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أوائل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البلدان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اعترفت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باستقلال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وهي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تزال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تعرب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التزامها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الشديد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إزاء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خلال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عمليات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الاستثمار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الإعمار.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وعلاوة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فإن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جالية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سويسرا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أكبر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جاليات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الخارج.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فإنه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"لا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يمكن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تصور"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تخاطر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بتجاهل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تأكيد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خطي،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فضل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تأكيد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صريح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قدمته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</w:t>
      </w:r>
      <w:r w:rsidR="00C45316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بمعاهدة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مبرمة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سويسرا.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والواقع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المسار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يؤدي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تعريض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السليم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للتعاون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الثنائي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سويسرا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للخطر،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وهو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يخدم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مصلحة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البلد.</w:t>
      </w:r>
    </w:p>
    <w:p w14:paraId="6E7825B5" w14:textId="212A2341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7</w:t>
      </w:r>
      <w:r w:rsidRPr="005971C3">
        <w:rPr>
          <w:rFonts w:eastAsiaTheme="minorEastAsia"/>
          <w:rtl/>
        </w:rPr>
        <w:tab/>
        <w:t>ولإثبات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ادعائهما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بموجب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يكفي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يشير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التسليم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المشروع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لستة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2018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وجود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يؤثر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جميع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أتباع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الخارج.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يثبتا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وجود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شخصي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نفسيهما،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عجز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رغبتها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حمايتهما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القسرية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الافتراضية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الرغم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خطورة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مزاعم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فيما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يتعلق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بحالة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[الستة]،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فليس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علاقة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مباشرة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بهما،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وهي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تثبت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احتمال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يُستهدف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هاذان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الأخيران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بعملية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تسليم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محتملة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وعلاوة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التسليم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المشروع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29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آذار/مارس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2018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موضع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تحقيق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إطار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تحقيق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برلمانية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أُنشئت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لأجل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المناسبة.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الوقت،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رئيس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وزراء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علن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تسليم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خارج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نطاق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القضاء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لمؤيدي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وبالإضافة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واجه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المتورطون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والمسؤولين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عواقب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مهنية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وجنائية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نتيجة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لتورطهم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التسليم.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وبالنظر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ردود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فعل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ورئيس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الوزراء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الخصوص،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"المشروع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الاعتقاد"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عمليات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التسليم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خارج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نطاق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القضاء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تُنفّذ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لأسباب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سياسية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وخارج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إطار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تحدث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المستقبل.</w:t>
      </w:r>
      <w:r w:rsidR="005971C3">
        <w:rPr>
          <w:rFonts w:eastAsiaTheme="minorEastAsia"/>
          <w:rtl/>
        </w:rPr>
        <w:t xml:space="preserve"> </w:t>
      </w:r>
    </w:p>
    <w:p w14:paraId="124B8858" w14:textId="1CC73E6E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lastRenderedPageBreak/>
        <w:t>4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8</w:t>
      </w:r>
      <w:r w:rsidRPr="005971C3">
        <w:rPr>
          <w:rFonts w:eastAsiaTheme="minorEastAsia"/>
          <w:rtl/>
        </w:rPr>
        <w:tab/>
      </w:r>
      <w:r w:rsidRPr="00E9731C">
        <w:rPr>
          <w:rFonts w:eastAsiaTheme="minorEastAsia"/>
          <w:spacing w:val="-2"/>
          <w:rtl/>
        </w:rPr>
        <w:t>ومن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الجدير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بالذكر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أيض</w:t>
      </w:r>
      <w:r w:rsidR="003726E1" w:rsidRPr="00E9731C">
        <w:rPr>
          <w:rFonts w:eastAsiaTheme="minorEastAsia"/>
          <w:spacing w:val="-2"/>
          <w:rtl/>
        </w:rPr>
        <w:t>اً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أنه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في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الفترة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ما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بين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29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آذار/مارس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2018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و</w:t>
      </w:r>
      <w:r w:rsidRPr="00DB56B9">
        <w:rPr>
          <w:rFonts w:eastAsiaTheme="minorEastAsia"/>
          <w:spacing w:val="-2"/>
          <w:rtl/>
        </w:rPr>
        <w:t>15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آب/أغسطس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2020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(وهو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تاريخ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مغادرة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F83617" w:rsidRPr="005971C3">
        <w:rPr>
          <w:rFonts w:eastAsiaTheme="minorEastAsia"/>
          <w:rtl/>
        </w:rPr>
        <w:t>)،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لأكثر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عامين،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يبلّغ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حادث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يوحي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يواجهان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ملموس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بالتسليم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انعدام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الحماية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وخلال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الفترة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نفسها،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تمكنا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مواصلة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دون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تزعجهما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شكل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الأشكال.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وتشير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الشهادات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المقدمة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تلقياها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أقاما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تسع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سنوات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تقريب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واندمجا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بشكل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جيد،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مهني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واجتماعي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سواء.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وإقامتهما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قانونية،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الواقعي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الاعتقاد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ستطردهما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وطفليهما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القاصرين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فجأة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طريق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تنفيذ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اختطاف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خارج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نطاق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القضاء.</w:t>
      </w:r>
    </w:p>
    <w:p w14:paraId="76BA478C" w14:textId="0E1072C3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9</w:t>
      </w:r>
      <w:r w:rsidRPr="005971C3">
        <w:rPr>
          <w:rFonts w:eastAsiaTheme="minorEastAsia"/>
          <w:rtl/>
        </w:rPr>
        <w:tab/>
        <w:t>ولم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تُثبَت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الأحوال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تصريحات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المصارف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سعت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تجميد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أصول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المشتبه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انتسابهم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والواقع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الوثائق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قدماها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بشأن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المسألة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وثائق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طابع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تبرهن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الحسابات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المصرفية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جُمِّدت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تأثرت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بطريقة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أخرى.</w:t>
      </w:r>
    </w:p>
    <w:p w14:paraId="6357ACCF" w14:textId="7BF1B4E9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10</w:t>
      </w:r>
      <w:r w:rsidRPr="005971C3">
        <w:rPr>
          <w:rFonts w:eastAsiaTheme="minorEastAsia"/>
          <w:rtl/>
        </w:rPr>
        <w:tab/>
        <w:t>وبالإضافة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فإن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لمزاعم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المتعلقة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بحوادث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بالقضية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الراهنة،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قررت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إبعادهما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يدعي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سيتعرضان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يخشيان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الانتقال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الافتراضي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أعيدا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ولكنهما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يثبتا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الخوف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بعناصر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طابع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ملموس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وشخصي.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الممكن،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الأحوال،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تُقارن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قرارات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الثلاثة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ذكرها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أعلاه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بحالتهما.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الحالات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الثلاث،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المعنيون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يقيمون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المغرب،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واستُهدفوا،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التحديد،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بإجراءات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جنائية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وكانوا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موضوع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مذكرة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توقيف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صادرة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واعتقلتهم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الشرطة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المغرب،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ووُضعوا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رهن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الاحتجاز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بغرض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التسليم،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نظر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المغرب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رسمي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بتسليمهم.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ولا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تنطبق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الظروف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القضية.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يقدم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مستندات،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مثل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مثول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قرار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اتهام،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شأنها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تشهد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وجود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إجراءات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جنائية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ضدهما.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وعليه،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وخلاف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للحالات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الثلاث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المذكورة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أعلاه،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تسليم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ونقلهما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طريق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التعاون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القضائي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الدولي.</w:t>
      </w:r>
    </w:p>
    <w:p w14:paraId="358D7138" w14:textId="1EE1FDC9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11</w:t>
      </w:r>
      <w:r w:rsidRPr="005971C3">
        <w:rPr>
          <w:rFonts w:eastAsiaTheme="minorEastAsia"/>
          <w:rtl/>
        </w:rPr>
        <w:tab/>
        <w:t>ولا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يدعي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وقعا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ضحيتين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لأعمال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معاملة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عقوبة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قاسية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إنسانية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مهينة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يدعيان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شاركا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أنشطة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سياسية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البلدين.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يبيّن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موضوع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إجراءات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جنائية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وأثناء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إجراءات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اللجوء،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ادعيا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البداية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يحملان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تصريحي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إقامة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ولكنهما،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ذُكر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سابق</w:t>
      </w:r>
      <w:r w:rsidR="003726E1" w:rsidRPr="005971C3">
        <w:rPr>
          <w:rFonts w:eastAsiaTheme="minorEastAsia"/>
          <w:rtl/>
        </w:rPr>
        <w:t>اً،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يحملان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الواقع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هذين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التصريحين.</w:t>
      </w:r>
    </w:p>
    <w:p w14:paraId="0E3D3A07" w14:textId="6B6E8FE3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12</w:t>
      </w:r>
      <w:r w:rsidRPr="005971C3">
        <w:rPr>
          <w:rFonts w:eastAsiaTheme="minorEastAsia"/>
          <w:rtl/>
        </w:rPr>
        <w:tab/>
        <w:t>وفيما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بالنزاهة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الإجرائية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لإجراءات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اللجوء،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مثّل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محام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طوال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الإجراءات.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وأجرت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مقابلات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مشتك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14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تشرين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الأول/</w:t>
      </w:r>
      <w:r w:rsidR="00E9731C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أكتوبر</w:t>
      </w:r>
      <w:r w:rsidR="00E9731C">
        <w:rPr>
          <w:rFonts w:eastAsiaTheme="minorEastAsia" w:hint="cs"/>
          <w:rtl/>
        </w:rPr>
        <w:t> </w:t>
      </w:r>
      <w:r w:rsidRPr="00DB56B9">
        <w:rPr>
          <w:rFonts w:eastAsiaTheme="minorEastAsia"/>
          <w:rtl/>
        </w:rPr>
        <w:t>2020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ودرست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قضيتهما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بعناية،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مبيّن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القرار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أصدرته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22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شباط/</w:t>
      </w:r>
      <w:r w:rsidR="00E9731C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فبراير</w:t>
      </w:r>
      <w:r w:rsidR="00E9731C">
        <w:rPr>
          <w:rFonts w:eastAsiaTheme="minorEastAsia" w:hint="cs"/>
          <w:rtl/>
        </w:rPr>
        <w:t> </w:t>
      </w:r>
      <w:r w:rsidRPr="00DB56B9">
        <w:rPr>
          <w:rFonts w:eastAsiaTheme="minorEastAsia"/>
          <w:rtl/>
        </w:rPr>
        <w:t>202</w:t>
      </w:r>
      <w:r w:rsidR="00F83617" w:rsidRPr="00DB56B9">
        <w:rPr>
          <w:rFonts w:eastAsiaTheme="minorEastAsia"/>
          <w:rtl/>
        </w:rPr>
        <w:t>1</w:t>
      </w:r>
      <w:r w:rsidR="00F83617" w:rsidRPr="005971C3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ومنحت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المحكمة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الإدارية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الاتحادية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معونة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قضائية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مجانية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ونظرت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جميع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العناصر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المدرجة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الملف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قبل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رفض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الاستئناف.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يقدم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عناصر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ملموسة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شأنها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تبطل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تقييم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المحلية.</w:t>
      </w:r>
      <w:r w:rsidR="005971C3">
        <w:rPr>
          <w:rFonts w:eastAsiaTheme="minorEastAsia"/>
          <w:rtl/>
        </w:rPr>
        <w:t xml:space="preserve"> </w:t>
      </w:r>
    </w:p>
    <w:p w14:paraId="5DE7D95C" w14:textId="5D02190D" w:rsidR="00F049F0" w:rsidRPr="00DB56B9" w:rsidRDefault="00F049F0" w:rsidP="00610963">
      <w:pPr>
        <w:pStyle w:val="H23GA"/>
        <w:rPr>
          <w:lang w:val="ar-SA" w:eastAsia="zh-TW" w:bidi="en-GB"/>
        </w:rPr>
      </w:pPr>
      <w:r w:rsidRPr="00DB56B9">
        <w:rPr>
          <w:rtl/>
        </w:rPr>
        <w:lastRenderedPageBreak/>
        <w:tab/>
      </w:r>
      <w:r w:rsidRPr="00DB56B9">
        <w:rPr>
          <w:rtl/>
        </w:rPr>
        <w:tab/>
        <w:t>تعليقات</w:t>
      </w:r>
      <w:r w:rsidR="005971C3" w:rsidRPr="00DB56B9">
        <w:rPr>
          <w:rtl/>
        </w:rPr>
        <w:t xml:space="preserve"> </w:t>
      </w:r>
      <w:r w:rsidRPr="00DB56B9">
        <w:rPr>
          <w:rtl/>
        </w:rPr>
        <w:t>صاحبي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الشكوى</w:t>
      </w:r>
      <w:r w:rsidR="005971C3" w:rsidRPr="00DB56B9">
        <w:rPr>
          <w:rtl/>
        </w:rPr>
        <w:t xml:space="preserve"> </w:t>
      </w:r>
      <w:r w:rsidRPr="00DB56B9">
        <w:rPr>
          <w:rtl/>
        </w:rPr>
        <w:t>على</w:t>
      </w:r>
      <w:r w:rsidR="005971C3" w:rsidRPr="00DB56B9">
        <w:rPr>
          <w:rtl/>
        </w:rPr>
        <w:t xml:space="preserve"> </w:t>
      </w:r>
      <w:r w:rsidRPr="00DB56B9">
        <w:rPr>
          <w:rtl/>
        </w:rPr>
        <w:t>ملاحظات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الدولة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الطرف</w:t>
      </w:r>
      <w:r w:rsidR="005971C3" w:rsidRPr="00DB56B9">
        <w:rPr>
          <w:rtl/>
        </w:rPr>
        <w:t xml:space="preserve"> </w:t>
      </w:r>
      <w:r w:rsidRPr="00DB56B9">
        <w:rPr>
          <w:rtl/>
        </w:rPr>
        <w:t>بشأن</w:t>
      </w:r>
      <w:r w:rsidR="005971C3" w:rsidRPr="00DB56B9">
        <w:rPr>
          <w:rtl/>
        </w:rPr>
        <w:t xml:space="preserve"> </w:t>
      </w:r>
      <w:r w:rsidRPr="00DB56B9">
        <w:rPr>
          <w:rtl/>
        </w:rPr>
        <w:t>مقبولية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البلاغ</w:t>
      </w:r>
      <w:r w:rsidR="005971C3" w:rsidRPr="00DB56B9">
        <w:rPr>
          <w:rtl/>
        </w:rPr>
        <w:t xml:space="preserve"> </w:t>
      </w:r>
      <w:r w:rsidRPr="00DB56B9">
        <w:rPr>
          <w:rtl/>
        </w:rPr>
        <w:t>وأسسه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الموضوعية</w:t>
      </w:r>
    </w:p>
    <w:p w14:paraId="228A8ED1" w14:textId="465802E0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5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1</w:t>
      </w:r>
      <w:r w:rsidRPr="005971C3">
        <w:rPr>
          <w:rFonts w:eastAsiaTheme="minorEastAsia"/>
          <w:rtl/>
        </w:rPr>
        <w:tab/>
        <w:t>يؤكد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تعليقاتهما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المؤرخة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30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أيار/مايو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2022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نفذت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مشروعة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أخرى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لشخص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يعيش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الخارج.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إذ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تعرّض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أورهان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إيناندي،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وهو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مدرس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يحمل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الجنسيتين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القرغيزية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والتركية،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للاختطاف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قيرغيزستان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الحادث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بمثابة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إضافة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المشروع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المذكور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أعلاه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لصلاح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كينيا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وبعد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اختطافهما،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تعرضت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كلتا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الضحيتين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سجون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سرية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مدى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أيام.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ويبيّن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الحادثان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بمقدور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تختطف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حتى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المواطنين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المقيمين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الشرعيين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بلدان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أخرى.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وعليه،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الرغم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تجادل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يتمتعان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بصفة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اللاجئ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فإنهما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سيعيشان،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باستمرار،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خوف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تسليمهما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أُبعدا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ويرقى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إخضاع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الخوف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شكل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أشكال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التعذيب.</w:t>
      </w:r>
      <w:r w:rsidR="005971C3">
        <w:rPr>
          <w:rFonts w:eastAsiaTheme="minorEastAsia"/>
          <w:rtl/>
        </w:rPr>
        <w:t xml:space="preserve"> </w:t>
      </w:r>
    </w:p>
    <w:p w14:paraId="3895AD16" w14:textId="3EC0E9A8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5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2</w:t>
      </w:r>
      <w:r w:rsidRPr="005971C3">
        <w:rPr>
          <w:rFonts w:eastAsiaTheme="minorEastAsia"/>
          <w:rtl/>
        </w:rPr>
        <w:tab/>
        <w:t>وبالإضافة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أُجريت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آذار/مارس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2018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بتواطؤ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المسؤولين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المحليين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الرغم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التعليمات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الصادرة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كبير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المدعين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العامين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رفض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تسليم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المعنيين.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وبالتالي،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فإن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الشاغل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الحقيقي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يتمثل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الضمانات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القانونية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غيرها،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تنفيذها،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لأسباب،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السلطة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والتأثير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اللذين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تمارسهما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</w:p>
    <w:p w14:paraId="611DF191" w14:textId="78C089B5" w:rsidR="00F049F0" w:rsidRPr="00E9731C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5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3</w:t>
      </w:r>
      <w:r w:rsidRPr="005971C3">
        <w:rPr>
          <w:rFonts w:eastAsiaTheme="minorEastAsia"/>
          <w:rtl/>
        </w:rPr>
        <w:tab/>
      </w:r>
      <w:r w:rsidRPr="00E9731C">
        <w:rPr>
          <w:rFonts w:eastAsiaTheme="minorEastAsia"/>
          <w:spacing w:val="-2"/>
          <w:rtl/>
        </w:rPr>
        <w:t>وقد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نددت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السفارة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التركية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في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كوسوفو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بالمنتسبين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إلى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حركة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غولن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ووصفتهم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بالإرهابيين،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spacing w:val="-2"/>
          <w:rtl/>
        </w:rPr>
        <w:t>وأخضعهم</w:t>
      </w:r>
      <w:r w:rsidR="005971C3" w:rsidRPr="00E9731C">
        <w:rPr>
          <w:rFonts w:eastAsiaTheme="minorEastAsia"/>
          <w:spacing w:val="-2"/>
          <w:rtl/>
        </w:rPr>
        <w:t xml:space="preserve"> </w:t>
      </w:r>
      <w:r w:rsidRPr="00E9731C">
        <w:rPr>
          <w:rFonts w:eastAsiaTheme="minorEastAsia"/>
          <w:rtl/>
        </w:rPr>
        <w:t>عملاء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الاستخبارات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في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تركيا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للمراقبة.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وتواصل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حكومة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تركيا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ممارسة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ضغوط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دبلوماسية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لا</w:t>
      </w:r>
      <w:r w:rsidR="00E9731C" w:rsidRPr="00E9731C">
        <w:rPr>
          <w:rFonts w:eastAsiaTheme="minorEastAsia" w:hint="eastAsia"/>
          <w:rtl/>
        </w:rPr>
        <w:t> </w:t>
      </w:r>
      <w:r w:rsidRPr="00E9731C">
        <w:rPr>
          <w:rFonts w:eastAsiaTheme="minorEastAsia"/>
          <w:rtl/>
        </w:rPr>
        <w:t>هوادة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فيها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على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حكومة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كوسوفو.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فعلى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سبيل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المثال،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زار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وزير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الدفاع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التركي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في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كانون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الأول/ديسمبر</w:t>
      </w:r>
      <w:r w:rsidR="005971C3" w:rsidRPr="00E9731C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كوسوفو،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وطلب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من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المسؤولين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الحكوميين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اعتقال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وتسليم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كل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أتباع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غولن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المقيمين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هناك.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وصرح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الرئيس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أردوغان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خلال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زيارة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رئيس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كوسوفو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إلى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أنقرة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في</w:t>
      </w:r>
      <w:r w:rsidR="005971C3" w:rsidRPr="00E9731C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آذار/مارس</w:t>
      </w:r>
      <w:r w:rsidR="005971C3" w:rsidRPr="00E9731C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2022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أنه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من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المهم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للغاية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القضاء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على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منظمة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فتح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الله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الإرهابية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التي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هددت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ديمقراطية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تركيا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وقتلت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بشكل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شائن</w:t>
      </w:r>
      <w:r w:rsidR="005971C3" w:rsidRPr="00E9731C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251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مواطن</w:t>
      </w:r>
      <w:r w:rsidR="003726E1" w:rsidRPr="00E9731C">
        <w:rPr>
          <w:rFonts w:eastAsiaTheme="minorEastAsia"/>
          <w:rtl/>
        </w:rPr>
        <w:t>اً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تركيا.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وأبلغ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الرئيس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أردوغان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رئيس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كوسوفو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أن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حكومة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تركيا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تتوقع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اتخاذ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خطوات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معينة،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استناد</w:t>
      </w:r>
      <w:r w:rsidR="003726E1" w:rsidRPr="00E9731C">
        <w:rPr>
          <w:rFonts w:eastAsiaTheme="minorEastAsia"/>
          <w:rtl/>
        </w:rPr>
        <w:t>اً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إلى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علاقاتهما</w:t>
      </w:r>
      <w:r w:rsidR="005971C3" w:rsidRPr="00E9731C">
        <w:rPr>
          <w:rFonts w:eastAsiaTheme="minorEastAsia" w:hint="cs"/>
          <w:rtl/>
        </w:rPr>
        <w:t xml:space="preserve"> </w:t>
      </w:r>
      <w:r w:rsidRPr="00E9731C">
        <w:rPr>
          <w:rFonts w:eastAsiaTheme="minorEastAsia"/>
          <w:rtl/>
        </w:rPr>
        <w:t>الودية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والأخوية.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وخلال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الزيارة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نفسها،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دعا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عضو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في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البرلمان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التركي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إلى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دعم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البلد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في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حربها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ضد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منظمة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فتح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الله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الإرهابية.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وذكر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أنه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لا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ينبغي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حماية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الأفراد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الذين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ارتكبوا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جرائم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في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تركيا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في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البلدان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الصديقة</w:t>
      </w:r>
      <w:r w:rsidR="005971C3" w:rsidRPr="00E9731C">
        <w:rPr>
          <w:rFonts w:eastAsiaTheme="minorEastAsia"/>
          <w:rtl/>
        </w:rPr>
        <w:t xml:space="preserve"> </w:t>
      </w:r>
      <w:r w:rsidRPr="00E9731C">
        <w:rPr>
          <w:rFonts w:eastAsiaTheme="minorEastAsia"/>
          <w:rtl/>
        </w:rPr>
        <w:t>والشقيقة.</w:t>
      </w:r>
      <w:r w:rsidR="005971C3" w:rsidRPr="00E9731C">
        <w:rPr>
          <w:rFonts w:eastAsiaTheme="minorEastAsia"/>
          <w:rtl/>
        </w:rPr>
        <w:t xml:space="preserve"> </w:t>
      </w:r>
    </w:p>
    <w:p w14:paraId="54C939F1" w14:textId="091D1673" w:rsidR="00F049F0" w:rsidRPr="005971C3" w:rsidRDefault="00F049F0" w:rsidP="00F049F0">
      <w:pPr>
        <w:pStyle w:val="SingleTxtGA"/>
        <w:rPr>
          <w:rFonts w:eastAsiaTheme="minorEastAsia"/>
          <w:lang w:val="en-US" w:eastAsia="zh-TW" w:bidi="en-GB"/>
        </w:rPr>
      </w:pPr>
      <w:r w:rsidRPr="00DB56B9">
        <w:rPr>
          <w:rFonts w:eastAsiaTheme="minorEastAsia"/>
          <w:rtl/>
        </w:rPr>
        <w:t>5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ab/>
        <w:t>وفي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الآونة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الأخيرة،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لجأت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أساليب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جديدة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لإجبار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دول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أخرى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تسليم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المنشقين.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الخصوص،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قالت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ستستخدم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النقض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فنلندا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والسويد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الحصول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عضوية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منظمة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حلف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شمال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الأطلسي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حتى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يُسلّما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شخص</w:t>
      </w:r>
      <w:r w:rsidR="003726E1" w:rsidRPr="005971C3">
        <w:rPr>
          <w:rFonts w:eastAsiaTheme="minorEastAsia"/>
          <w:rtl/>
        </w:rPr>
        <w:t>اً،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بينهم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16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أتباع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18"/>
      </w:r>
      <w:r w:rsidR="00B700B9" w:rsidRPr="005971C3">
        <w:rPr>
          <w:rStyle w:val="FootnoteReference"/>
          <w:rFonts w:eastAsiaTheme="minorEastAsia"/>
          <w:sz w:val="22"/>
          <w:rtl/>
        </w:rPr>
        <w:t>)</w:t>
      </w:r>
      <w:r w:rsidR="00447B69" w:rsidRPr="005971C3">
        <w:rPr>
          <w:rFonts w:eastAsiaTheme="minorEastAsia" w:hint="cs"/>
          <w:rtl/>
        </w:rPr>
        <w:t>.</w:t>
      </w:r>
    </w:p>
    <w:p w14:paraId="46C0AC77" w14:textId="20188040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5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5</w:t>
      </w:r>
      <w:r w:rsidRPr="005971C3">
        <w:rPr>
          <w:rFonts w:eastAsiaTheme="minorEastAsia"/>
          <w:rtl/>
        </w:rPr>
        <w:tab/>
        <w:t>وفي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رسالة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أخرى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مؤرخة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7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تموز/يوليه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2022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يؤكد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جديد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نفوذ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وتأثير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عليها،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وبالتالي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فهي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ليست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بلد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آمن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بالنسبة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لهم.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الواقع،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صرح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وزير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خارجية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19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حزيران/يونيه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2022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بلاده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تدعم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العضوية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منظمة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حلف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شمال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الأطلسي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وشدد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وجود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منظمة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فتح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الإرهابية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يشكّل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أكبر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عقبة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العضوية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هذا.</w:t>
      </w:r>
      <w:r w:rsidR="005971C3">
        <w:rPr>
          <w:rFonts w:eastAsiaTheme="minorEastAsia"/>
          <w:rtl/>
        </w:rPr>
        <w:t xml:space="preserve"> </w:t>
      </w:r>
    </w:p>
    <w:p w14:paraId="68A529DE" w14:textId="56A4A4A9" w:rsidR="00F049F0" w:rsidRPr="00DB56B9" w:rsidRDefault="00F049F0" w:rsidP="00610963">
      <w:pPr>
        <w:pStyle w:val="H23GA"/>
        <w:rPr>
          <w:lang w:val="ar-SA" w:eastAsia="zh-TW" w:bidi="en-GB"/>
        </w:rPr>
      </w:pPr>
      <w:r w:rsidRPr="00DB56B9">
        <w:rPr>
          <w:rtl/>
        </w:rPr>
        <w:lastRenderedPageBreak/>
        <w:tab/>
      </w:r>
      <w:r w:rsidRPr="00DB56B9">
        <w:rPr>
          <w:rtl/>
        </w:rPr>
        <w:tab/>
        <w:t>المسائل</w:t>
      </w:r>
      <w:r w:rsidR="005971C3" w:rsidRPr="00DB56B9">
        <w:rPr>
          <w:rtl/>
        </w:rPr>
        <w:t xml:space="preserve"> </w:t>
      </w:r>
      <w:r w:rsidRPr="00DB56B9">
        <w:rPr>
          <w:rtl/>
        </w:rPr>
        <w:t>والإجراءات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المعروضة</w:t>
      </w:r>
      <w:r w:rsidR="005971C3" w:rsidRPr="00DB56B9">
        <w:rPr>
          <w:rtl/>
        </w:rPr>
        <w:t xml:space="preserve"> </w:t>
      </w:r>
      <w:r w:rsidRPr="00DB56B9">
        <w:rPr>
          <w:rtl/>
        </w:rPr>
        <w:t>على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اللجنة</w:t>
      </w:r>
    </w:p>
    <w:p w14:paraId="23442548" w14:textId="753B9161" w:rsidR="00F049F0" w:rsidRPr="00DB56B9" w:rsidRDefault="00F049F0" w:rsidP="00610963">
      <w:pPr>
        <w:pStyle w:val="H4GA"/>
        <w:rPr>
          <w:lang w:val="ar-SA" w:eastAsia="zh-TW" w:bidi="en-GB"/>
        </w:rPr>
      </w:pPr>
      <w:r w:rsidRPr="00DB56B9">
        <w:rPr>
          <w:rtl/>
        </w:rPr>
        <w:tab/>
      </w:r>
      <w:r w:rsidRPr="00DB56B9">
        <w:rPr>
          <w:rtl/>
        </w:rPr>
        <w:tab/>
        <w:t>النظر</w:t>
      </w:r>
      <w:r w:rsidR="005971C3" w:rsidRPr="00DB56B9">
        <w:rPr>
          <w:rtl/>
        </w:rPr>
        <w:t xml:space="preserve"> </w:t>
      </w:r>
      <w:r w:rsidRPr="00DB56B9">
        <w:rPr>
          <w:rtl/>
        </w:rPr>
        <w:t>في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المقبولية</w:t>
      </w:r>
      <w:r w:rsidR="005971C3" w:rsidRPr="00DB56B9">
        <w:rPr>
          <w:rtl/>
        </w:rPr>
        <w:t xml:space="preserve"> </w:t>
      </w:r>
    </w:p>
    <w:p w14:paraId="085709C2" w14:textId="32209B4B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6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1</w:t>
      </w:r>
      <w:r w:rsidRPr="005971C3">
        <w:rPr>
          <w:rFonts w:eastAsiaTheme="minorEastAsia"/>
          <w:rtl/>
        </w:rPr>
        <w:tab/>
        <w:t>قبل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ادعاء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يرد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بلاغ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تقرر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البلاغ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مقبولاً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بموجب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22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تأكدت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تقتضيه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22</w:t>
      </w:r>
      <w:r w:rsidR="005D73EA" w:rsidRPr="005971C3">
        <w:rPr>
          <w:rFonts w:eastAsiaTheme="minorEastAsia"/>
          <w:rtl/>
        </w:rPr>
        <w:t>(</w:t>
      </w:r>
      <w:r w:rsidRPr="00DB56B9">
        <w:rPr>
          <w:rFonts w:eastAsiaTheme="minorEastAsia"/>
          <w:rtl/>
        </w:rPr>
        <w:t>5</w:t>
      </w:r>
      <w:r w:rsidRPr="005971C3">
        <w:rPr>
          <w:rFonts w:eastAsiaTheme="minorEastAsia"/>
          <w:rtl/>
        </w:rPr>
        <w:t>)(أ)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المسألة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ذاتها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تُبحث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وليست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البحث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إطار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إجراء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آخر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إجراءات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التحقيق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التسوية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الدولية.</w:t>
      </w:r>
      <w:r w:rsidR="005971C3">
        <w:rPr>
          <w:rFonts w:eastAsiaTheme="minorEastAsia"/>
          <w:rtl/>
        </w:rPr>
        <w:t xml:space="preserve"> </w:t>
      </w:r>
    </w:p>
    <w:p w14:paraId="0E1E1FB6" w14:textId="65877BF2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6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2</w:t>
      </w:r>
      <w:r w:rsidRPr="005971C3">
        <w:rPr>
          <w:rFonts w:eastAsiaTheme="minorEastAsia"/>
          <w:rtl/>
        </w:rPr>
        <w:tab/>
        <w:t>ووفقاً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22</w:t>
      </w:r>
      <w:r w:rsidRPr="005971C3">
        <w:rPr>
          <w:rFonts w:eastAsiaTheme="minorEastAsia"/>
          <w:rtl/>
        </w:rPr>
        <w:t>(</w:t>
      </w:r>
      <w:r w:rsidRPr="00DB56B9">
        <w:rPr>
          <w:rFonts w:eastAsiaTheme="minorEastAsia"/>
          <w:rtl/>
        </w:rPr>
        <w:t>5</w:t>
      </w:r>
      <w:r w:rsidRPr="005971C3">
        <w:rPr>
          <w:rFonts w:eastAsiaTheme="minorEastAsia"/>
          <w:rtl/>
        </w:rPr>
        <w:t>)(ب)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بلاغ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فرد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إلا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بعد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تكون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تأكّدت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استنفد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جميع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سبل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الانتصاف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المحلية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المتاحة.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رفض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الاستئناف،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حصلا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قرار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سلبي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ونهائي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بشأن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التماسهما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تؤكد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يستنفدا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سبل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الانتصاف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المحلية.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وتحيط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علم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بمعلومات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تفيد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رفضت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28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شباط/فبراير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2022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التماس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الثاني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البلاغ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سويسرا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6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الثاني/يناير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2022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المحكمة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الإدارية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الاتحادية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رفضت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19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تموز/يوليه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2022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طلبهما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اللاحق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بالاستئناف.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تقدم،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22</w:t>
      </w:r>
      <w:r w:rsidRPr="005971C3">
        <w:rPr>
          <w:rFonts w:eastAsiaTheme="minorEastAsia"/>
          <w:rtl/>
        </w:rPr>
        <w:t>(</w:t>
      </w:r>
      <w:r w:rsidRPr="00DB56B9">
        <w:rPr>
          <w:rFonts w:eastAsiaTheme="minorEastAsia"/>
          <w:rtl/>
        </w:rPr>
        <w:t>5</w:t>
      </w:r>
      <w:r w:rsidRPr="005971C3">
        <w:rPr>
          <w:rFonts w:eastAsiaTheme="minorEastAsia"/>
          <w:rtl/>
        </w:rPr>
        <w:t>)(ب)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البروتوكول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الاختياري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تمنعها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البلاغ.</w:t>
      </w:r>
      <w:r w:rsidR="005971C3">
        <w:rPr>
          <w:rFonts w:eastAsiaTheme="minorEastAsia"/>
          <w:rtl/>
        </w:rPr>
        <w:t xml:space="preserve"> </w:t>
      </w:r>
    </w:p>
    <w:p w14:paraId="34B3407D" w14:textId="0C4C2BB7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6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3</w:t>
      </w:r>
      <w:r w:rsidRPr="005971C3">
        <w:rPr>
          <w:rFonts w:eastAsiaTheme="minorEastAsia"/>
          <w:rtl/>
        </w:rPr>
        <w:tab/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موقف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يفيد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البلاغ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مقبول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مدعم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بأدلة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كافية.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الصدد،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ولأغراض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المقبولية،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المعلومات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"من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الظاهر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تستند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أساس"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تدعي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وبالتالي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مقبولة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بموجب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113</w:t>
      </w:r>
      <w:r w:rsidRPr="005971C3">
        <w:rPr>
          <w:rFonts w:eastAsiaTheme="minorEastAsia"/>
          <w:rtl/>
        </w:rPr>
        <w:t>(ب)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النظام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الداخلي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للجنة.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الصدد،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دفعا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بحجتين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منفصلتين: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إذ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تستند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الحجة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الأولى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خوفهما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نفسها،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وتستند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الحجة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الثانية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إعادتهما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إعادتهما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</w:p>
    <w:p w14:paraId="5BBDDE2A" w14:textId="0290B6D9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6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ab/>
        <w:t>وفيما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بأولى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هاتين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الحجتين،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تضارب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الحجج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يستند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إليها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ادعاء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أعيدا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سيعيشان،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باستمرار،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خوف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للاختطاف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انعدام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ينجم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خوف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مستمر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يرقى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مستوى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للتعذيب،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تعاني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بالفعل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ضرر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نفسي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بسبب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الخوف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للترحيل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يقدما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أدلة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محددة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لإثبات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هاتين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الحجتين.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وعليه،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تخلص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مقبولة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باستنادها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الحجة.</w:t>
      </w:r>
    </w:p>
    <w:p w14:paraId="1E00DA89" w14:textId="02D2AE89" w:rsidR="00F049F0" w:rsidRPr="005971C3" w:rsidRDefault="00F049F0" w:rsidP="00F049F0">
      <w:pPr>
        <w:pStyle w:val="SingleTxtGA"/>
        <w:rPr>
          <w:rFonts w:eastAsiaTheme="minorEastAsia"/>
          <w:lang w:val="en-US" w:eastAsia="zh-TW" w:bidi="en-GB"/>
        </w:rPr>
      </w:pPr>
      <w:r w:rsidRPr="00DB56B9">
        <w:rPr>
          <w:rFonts w:eastAsiaTheme="minorEastAsia"/>
          <w:rtl/>
        </w:rPr>
        <w:t>6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5</w:t>
      </w:r>
      <w:r w:rsidRPr="005971C3">
        <w:rPr>
          <w:rFonts w:eastAsiaTheme="minorEastAsia"/>
          <w:rtl/>
        </w:rPr>
        <w:tab/>
        <w:t>وفيما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بالحجة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الثانية،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تحيط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علم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بادعاء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يواجهانه،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إعادتهما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لاحق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هناك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مرتفع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يكفي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بحيث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ينتهك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الترحيل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التزامات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بموجب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الصدد،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تحيط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علم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بتعليقها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رقم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>(</w:t>
      </w:r>
      <w:r w:rsidRPr="00DB56B9">
        <w:rPr>
          <w:rFonts w:eastAsiaTheme="minorEastAsia"/>
          <w:rtl/>
        </w:rPr>
        <w:t>201</w:t>
      </w:r>
      <w:r w:rsidR="00F83617" w:rsidRPr="00DB56B9">
        <w:rPr>
          <w:rFonts w:eastAsiaTheme="minorEastAsia"/>
          <w:rtl/>
        </w:rPr>
        <w:t>7</w:t>
      </w:r>
      <w:r w:rsidR="00F83617" w:rsidRPr="005971C3">
        <w:rPr>
          <w:rFonts w:eastAsiaTheme="minorEastAsia"/>
          <w:rtl/>
        </w:rPr>
        <w:t>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لاحظت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بموجب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ينبغي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أبدا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ترحيل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شخص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أخرى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يواجه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الترحيل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ثالثة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توجد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أسباب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وجيهة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للاعتقاد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الشخص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سيكون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عرضة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لخطر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19"/>
      </w:r>
      <w:r w:rsidR="00B700B9" w:rsidRPr="005971C3">
        <w:rPr>
          <w:rStyle w:val="FootnoteReference"/>
          <w:rFonts w:eastAsiaTheme="minorEastAsia"/>
          <w:sz w:val="22"/>
          <w:rtl/>
        </w:rPr>
        <w:t>)</w:t>
      </w:r>
      <w:r w:rsidR="00447B69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وبناء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الجزء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والادعاءات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متضاربة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الحجج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بشأن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مقبوليتها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تثير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مسائل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جوهرية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تندرج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إطار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حيث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أسسها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الموضوعية.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وإذ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عقبات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أخرى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دون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مقبولية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البلاغ،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فإنها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قبوله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وتنتقل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بالاستناد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أسسه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الموضوعية.</w:t>
      </w:r>
      <w:r w:rsidR="005971C3">
        <w:rPr>
          <w:rFonts w:eastAsiaTheme="minorEastAsia"/>
          <w:rtl/>
        </w:rPr>
        <w:t xml:space="preserve"> </w:t>
      </w:r>
      <w:bookmarkStart w:id="1" w:name="_Hlk113439106"/>
    </w:p>
    <w:bookmarkEnd w:id="1"/>
    <w:p w14:paraId="21CC751D" w14:textId="1BEEB92B" w:rsidR="00F049F0" w:rsidRPr="00DB56B9" w:rsidRDefault="00F049F0" w:rsidP="00610963">
      <w:pPr>
        <w:pStyle w:val="H4GA"/>
        <w:rPr>
          <w:lang w:val="ar-SA" w:eastAsia="zh-TW" w:bidi="en-GB"/>
        </w:rPr>
      </w:pPr>
      <w:r w:rsidRPr="00DB56B9">
        <w:rPr>
          <w:rtl/>
        </w:rPr>
        <w:tab/>
      </w:r>
      <w:r w:rsidRPr="00DB56B9">
        <w:rPr>
          <w:rtl/>
        </w:rPr>
        <w:tab/>
        <w:t>النظر</w:t>
      </w:r>
      <w:r w:rsidR="005971C3" w:rsidRPr="00DB56B9">
        <w:rPr>
          <w:rtl/>
        </w:rPr>
        <w:t xml:space="preserve"> </w:t>
      </w:r>
      <w:r w:rsidRPr="00DB56B9">
        <w:rPr>
          <w:rtl/>
        </w:rPr>
        <w:t>في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الأسس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الموضوعية</w:t>
      </w:r>
      <w:r w:rsidR="005971C3" w:rsidRPr="00DB56B9">
        <w:rPr>
          <w:rtl/>
        </w:rPr>
        <w:t xml:space="preserve"> </w:t>
      </w:r>
    </w:p>
    <w:p w14:paraId="3BB5ADFB" w14:textId="425D1C7B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7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1</w:t>
      </w:r>
      <w:r w:rsidRPr="005971C3">
        <w:rPr>
          <w:rFonts w:eastAsiaTheme="minorEastAsia"/>
          <w:rtl/>
        </w:rPr>
        <w:tab/>
        <w:t>عملاً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22</w:t>
      </w:r>
      <w:r w:rsidRPr="005971C3">
        <w:rPr>
          <w:rFonts w:eastAsiaTheme="minorEastAsia"/>
          <w:rtl/>
        </w:rPr>
        <w:t>(</w:t>
      </w:r>
      <w:r w:rsidR="00F83617" w:rsidRPr="00DB56B9">
        <w:rPr>
          <w:rFonts w:eastAsiaTheme="minorEastAsia"/>
          <w:rtl/>
        </w:rPr>
        <w:t>4</w:t>
      </w:r>
      <w:r w:rsidR="00F83617" w:rsidRPr="005971C3">
        <w:rPr>
          <w:rFonts w:eastAsiaTheme="minorEastAsia"/>
          <w:rtl/>
        </w:rPr>
        <w:t>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نظرت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الجزء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المقبول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البلاغ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جميع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المعلومات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أتاحها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الطرفان.</w:t>
      </w:r>
      <w:r w:rsidR="005971C3">
        <w:rPr>
          <w:rFonts w:eastAsiaTheme="minorEastAsia"/>
          <w:rtl/>
        </w:rPr>
        <w:t xml:space="preserve"> </w:t>
      </w:r>
    </w:p>
    <w:p w14:paraId="43E044DC" w14:textId="36D0B5BB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7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2</w:t>
      </w:r>
      <w:r w:rsidRPr="005971C3">
        <w:rPr>
          <w:rFonts w:eastAsiaTheme="minorEastAsia"/>
          <w:rtl/>
        </w:rPr>
        <w:tab/>
      </w:r>
      <w:r w:rsidRPr="00DB56B9">
        <w:rPr>
          <w:rFonts w:eastAsiaTheme="minorEastAsia"/>
          <w:spacing w:val="-2"/>
          <w:rtl/>
        </w:rPr>
        <w:t>وتلاحظ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اللجنة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أن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ادعاء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صاحبي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الشكوى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بموجب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المادة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3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من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الاتفاقية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يقتضي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من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اللجنة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تقييم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مسألتين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منفصلتين.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ويجب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على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اللجنة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أن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تتأكد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أول</w:t>
      </w:r>
      <w:r w:rsidR="003726E1" w:rsidRPr="00DB56B9">
        <w:rPr>
          <w:rFonts w:eastAsiaTheme="minorEastAsia"/>
          <w:spacing w:val="-2"/>
          <w:rtl/>
        </w:rPr>
        <w:t>اً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مما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إذا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كانت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هناك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أسباب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وجيهة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للاعتقاد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بأن</w:t>
      </w:r>
      <w:r w:rsidR="005971C3" w:rsidRPr="00DB56B9">
        <w:rPr>
          <w:rFonts w:eastAsiaTheme="minorEastAsia"/>
          <w:spacing w:val="-2"/>
          <w:rtl/>
        </w:rPr>
        <w:t xml:space="preserve"> </w:t>
      </w:r>
      <w:r w:rsidRPr="00DB56B9">
        <w:rPr>
          <w:rFonts w:eastAsiaTheme="minorEastAsia"/>
          <w:spacing w:val="-2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سيواجهان،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أعيدا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حقيقي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وشخصي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وقائم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ومتوقع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للتعذيب.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وعند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تقييم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الخطر،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تراعي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جميع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الاعتبارات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الصلة،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بالمادة</w:t>
      </w:r>
      <w:r w:rsidR="005971C3">
        <w:rPr>
          <w:rFonts w:eastAsiaTheme="minorEastAsia" w:hint="cs"/>
          <w:rtl/>
        </w:rPr>
        <w:t xml:space="preserve"> </w:t>
      </w:r>
      <w:r w:rsidRPr="00DB56B9">
        <w:rPr>
          <w:rFonts w:eastAsiaTheme="minorEastAsia"/>
          <w:rtl/>
        </w:rPr>
        <w:t>3</w:t>
      </w:r>
      <w:r w:rsidRPr="005971C3">
        <w:rPr>
          <w:rFonts w:eastAsiaTheme="minorEastAsia"/>
          <w:rtl/>
        </w:rPr>
        <w:t>(</w:t>
      </w:r>
      <w:r w:rsidR="00F83617" w:rsidRPr="00DB56B9">
        <w:rPr>
          <w:rFonts w:eastAsiaTheme="minorEastAsia"/>
          <w:rtl/>
        </w:rPr>
        <w:t>2</w:t>
      </w:r>
      <w:r w:rsidR="00F83617" w:rsidRPr="005971C3">
        <w:rPr>
          <w:rFonts w:eastAsiaTheme="minorEastAsia"/>
          <w:rtl/>
        </w:rPr>
        <w:t>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وثاني</w:t>
      </w:r>
      <w:r w:rsidR="003726E1" w:rsidRPr="005971C3">
        <w:rPr>
          <w:rFonts w:eastAsiaTheme="minorEastAsia"/>
          <w:rtl/>
        </w:rPr>
        <w:t>اً،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تحدد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سيواجهان،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رحّلتهما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كافي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بإعادتهما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قسر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  <w:r w:rsidR="005971C3">
        <w:rPr>
          <w:rFonts w:eastAsiaTheme="minorEastAsia"/>
          <w:rtl/>
        </w:rPr>
        <w:t xml:space="preserve"> </w:t>
      </w:r>
    </w:p>
    <w:p w14:paraId="5BB0FB6A" w14:textId="11663A35" w:rsidR="00F83617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7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3</w:t>
      </w:r>
      <w:r w:rsidRPr="005971C3">
        <w:rPr>
          <w:rFonts w:eastAsiaTheme="minorEastAsia"/>
          <w:rtl/>
        </w:rPr>
        <w:tab/>
        <w:t>وتذكّر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تناول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المسائل،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عبء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الإثبات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يقع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عاتق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الشكاوى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عليهما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تقديم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حجج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مقنعة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بالمخاطر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المذكورة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أعلاه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20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ولكن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عندما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يكون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موقف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يمكنّهما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تقديم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تفاصيل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بشأن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قضيتهما،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ينعكس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عبء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الإثبات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ويكون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تحقق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المزاعم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وتتحقق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صحة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المعلومات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تستند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إليها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21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وتذكّر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تولي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أهمية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بالغة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للاستنتاجات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الوقائعية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تخلص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إليها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أجهزة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ليست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ملزمة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بتلك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الاستنتاجات.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ويعني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تجري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تقييماً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للمعلومات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المتاحة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لها،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مراعاة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جميع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الظروف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بكل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قضية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22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</w:p>
    <w:p w14:paraId="5F862DE0" w14:textId="25112E60" w:rsidR="00F049F0" w:rsidRPr="00DB56B9" w:rsidRDefault="00F049F0" w:rsidP="00610963">
      <w:pPr>
        <w:pStyle w:val="H4GA"/>
        <w:rPr>
          <w:lang w:val="ar-SA" w:eastAsia="zh-TW" w:bidi="en-GB"/>
        </w:rPr>
      </w:pPr>
      <w:r w:rsidRPr="00DB56B9">
        <w:rPr>
          <w:rtl/>
        </w:rPr>
        <w:tab/>
      </w:r>
      <w:r w:rsidRPr="00DB56B9">
        <w:rPr>
          <w:rtl/>
        </w:rPr>
        <w:tab/>
        <w:t>خطر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التعذيب</w:t>
      </w:r>
      <w:r w:rsidR="005971C3" w:rsidRPr="00DB56B9">
        <w:rPr>
          <w:rtl/>
        </w:rPr>
        <w:t xml:space="preserve"> </w:t>
      </w:r>
      <w:r w:rsidRPr="00DB56B9">
        <w:rPr>
          <w:rtl/>
        </w:rPr>
        <w:t>في</w:t>
      </w:r>
      <w:r w:rsidR="005971C3" w:rsidRPr="00DB56B9">
        <w:rPr>
          <w:rtl/>
        </w:rPr>
        <w:t xml:space="preserve"> </w:t>
      </w:r>
      <w:r w:rsidRPr="00DB56B9">
        <w:rPr>
          <w:rtl/>
        </w:rPr>
        <w:t>تركيا</w:t>
      </w:r>
    </w:p>
    <w:p w14:paraId="399ACD81" w14:textId="5A15D681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7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ab/>
        <w:t>فيما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أثبتا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وجود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أسباب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وجيهة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للاعتقاد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سيواجهان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شخصي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وحقيقي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وقائم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ومتوقع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أعيدا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قسر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أول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تعترض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ادعاءاتهما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بشأن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المسألة.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أيض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وفق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لتقرير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صادر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مفوضية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الأمم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المتحدة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السامية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لحقوق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الإنسان،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واستناد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التحقيقات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أعقاب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محاولة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الانقلاب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تموز/يوليه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2016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الأشخاص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المحتجزون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لأشكال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مختلفة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وسوء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المعاملة،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الضرب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والاعتداء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الجنسي،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والصعق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بالكهرباء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ومحاكاة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الغرق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القصد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عموم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انتزاع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اعترافات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معلومات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مضرة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آخرين،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الوضع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احتجاز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نساء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اعتُقلن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بوصفهن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شريكات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لأزواجهن،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مشتبها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رئيسيين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لصلاتهم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بمنظمات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إرهابية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23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أيض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المقرر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الخاص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المعني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بمسألة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عقب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بعثته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2016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أصدر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تقريرا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رأى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استخدام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أصبح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واسع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الانتشار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محاولة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الانقلاب،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وأشار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العديد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المحاورين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ذكروا،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وفق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للوثائق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الرسمية،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عدد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المحتجزين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المشتبه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انتمائهم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انتحروا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الحجز،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الرغم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وجود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تأكيد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لسبب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الموت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طريق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تشريح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مستقل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للجثة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24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وذكر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المقرر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الخاص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أيض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انخفاض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عدد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التحقيقات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والمحاكمات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بدأت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رد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مزاعم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المعاملة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يبدو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متناسب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كبير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التواتر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المزعوم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للانتهاكات،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مشير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المختصة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تحقق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بشكل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المزاعم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25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أيض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التقارير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الأحدث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تفيد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عدد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قليل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مزاعم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أسفر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ملاحقات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قضائية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عام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Pr="005971C3">
        <w:rPr>
          <w:rFonts w:eastAsiaTheme="minorEastAsia"/>
          <w:rtl/>
        </w:rPr>
        <w:t>؛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تفشي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ثقافة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الإفلات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العقاب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مستمر؛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الإبلاغ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الاختطاف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والاختفاء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القسري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مستمر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والتحقيق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يجري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النحو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الواجب؛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أولئك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اختفوا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لأطول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الفترات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أفراد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يُزعم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26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وبناء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سيواجهان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شخصي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وحقيقي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وقائم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ومتوقع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نُقلا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</w:p>
    <w:p w14:paraId="02CAB39F" w14:textId="3DB660EA" w:rsidR="00F049F0" w:rsidRPr="00DB56B9" w:rsidRDefault="00F049F0" w:rsidP="00610963">
      <w:pPr>
        <w:pStyle w:val="H4GA"/>
        <w:rPr>
          <w:lang w:val="ar-SA" w:eastAsia="zh-TW" w:bidi="en-GB"/>
        </w:rPr>
      </w:pPr>
      <w:r w:rsidRPr="00DB56B9">
        <w:rPr>
          <w:rtl/>
        </w:rPr>
        <w:tab/>
      </w:r>
      <w:r w:rsidRPr="00DB56B9">
        <w:rPr>
          <w:rtl/>
        </w:rPr>
        <w:tab/>
        <w:t>خطر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الترحيل</w:t>
      </w:r>
      <w:r w:rsidR="005971C3" w:rsidRPr="00DB56B9">
        <w:rPr>
          <w:rtl/>
        </w:rPr>
        <w:t xml:space="preserve"> </w:t>
      </w:r>
      <w:r w:rsidRPr="00DB56B9">
        <w:rPr>
          <w:rtl/>
        </w:rPr>
        <w:t>أو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النقل</w:t>
      </w:r>
      <w:r w:rsidR="005971C3" w:rsidRPr="00DB56B9">
        <w:rPr>
          <w:rtl/>
        </w:rPr>
        <w:t xml:space="preserve"> </w:t>
      </w:r>
      <w:r w:rsidRPr="00DB56B9">
        <w:rPr>
          <w:rtl/>
        </w:rPr>
        <w:t>القسري</w:t>
      </w:r>
      <w:r w:rsidR="005971C3" w:rsidRPr="00DB56B9">
        <w:rPr>
          <w:rtl/>
        </w:rPr>
        <w:t xml:space="preserve"> </w:t>
      </w:r>
      <w:r w:rsidRPr="00DB56B9">
        <w:rPr>
          <w:rtl/>
        </w:rPr>
        <w:t>من</w:t>
      </w:r>
      <w:r w:rsidR="005971C3" w:rsidRPr="00DB56B9">
        <w:rPr>
          <w:rtl/>
        </w:rPr>
        <w:t xml:space="preserve"> </w:t>
      </w:r>
      <w:r w:rsidRPr="00DB56B9">
        <w:rPr>
          <w:rtl/>
        </w:rPr>
        <w:t>كوسوفو</w:t>
      </w:r>
      <w:r w:rsidR="005971C3" w:rsidRPr="00DB56B9">
        <w:rPr>
          <w:rtl/>
        </w:rPr>
        <w:t xml:space="preserve"> </w:t>
      </w:r>
      <w:r w:rsidRPr="00DB56B9">
        <w:rPr>
          <w:rtl/>
        </w:rPr>
        <w:t>إلى</w:t>
      </w:r>
      <w:r w:rsidR="005971C3" w:rsidRPr="00DB56B9">
        <w:rPr>
          <w:rtl/>
        </w:rPr>
        <w:t xml:space="preserve"> </w:t>
      </w:r>
      <w:r w:rsidRPr="00DB56B9">
        <w:rPr>
          <w:rtl/>
        </w:rPr>
        <w:t>تركيا</w:t>
      </w:r>
    </w:p>
    <w:p w14:paraId="35598180" w14:textId="7759AAE5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7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5</w:t>
      </w:r>
      <w:r w:rsidRPr="005971C3">
        <w:rPr>
          <w:rFonts w:eastAsiaTheme="minorEastAsia"/>
          <w:rtl/>
        </w:rPr>
        <w:tab/>
        <w:t>عند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تقييم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قسر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أول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ادعاء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بغض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يتمتعان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بصفة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اللاجئ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فإن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تحميهما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الترحيل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هناك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أدلة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قضية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المشروع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آذار/مارس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2018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لستة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مثل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منتسبين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وكانوا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أيض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يحملون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تصاريح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إقامة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سحبتها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العديد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المسؤولين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أعلنوا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وقت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لاحق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هؤلاء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الستة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شكل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انتهاك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للقانون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والدولي،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واتخذوا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خطوات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لتحقيق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المساءلة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الحادث.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أيض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موقف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مفاده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ليسا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معرضين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لخطر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لأنهما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يتمتعان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بصفة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اللاجئ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أرسلت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ضمانات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دبلوماسية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آذار/مارس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وأبلغت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الدولةَ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ستعيد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قبول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ترحلهما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تركيا.</w:t>
      </w:r>
      <w:r w:rsidR="005971C3">
        <w:rPr>
          <w:rFonts w:eastAsiaTheme="minorEastAsia"/>
          <w:rtl/>
        </w:rPr>
        <w:t xml:space="preserve"> </w:t>
      </w:r>
    </w:p>
    <w:p w14:paraId="551047C9" w14:textId="1FC7D4FC" w:rsidR="00F83617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7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6</w:t>
      </w:r>
      <w:r w:rsidRPr="005971C3">
        <w:rPr>
          <w:rFonts w:eastAsiaTheme="minorEastAsia"/>
          <w:rtl/>
        </w:rPr>
        <w:tab/>
        <w:t>وبخصوص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هناك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افتقار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الوضوح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يتمتع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بصفة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اللاجئ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وأشارت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أبلغت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حصل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12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أيلول/سبتمبر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2018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(انظر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الفقرة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أعلاه</w:t>
      </w:r>
      <w:r w:rsidR="00F83617" w:rsidRPr="005971C3">
        <w:rPr>
          <w:rFonts w:eastAsiaTheme="minorEastAsia"/>
          <w:rtl/>
        </w:rPr>
        <w:t>).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رسالتها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المؤرخة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آذار/مارس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ذكرت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وطفلا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الزوجين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فقط،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يحملون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بشكل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واضح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اللجوء،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تذكر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أيض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يزعمان،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دون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تعترض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أسماء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</w:t>
      </w:r>
      <w:r w:rsidRPr="00DB56B9">
        <w:rPr>
          <w:rFonts w:eastAsiaTheme="minorEastAsia"/>
          <w:rtl/>
        </w:rPr>
        <w:t>77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فرد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آخرين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وردت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برقية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أرسلتها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السفارة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التركية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مسؤولي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الأتراك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أساس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منتسبون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منظمة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إرهابية،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البرقية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تضمنت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عناوين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أماكن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إقامة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جميع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هؤلاء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البالغ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عددهم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78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فرد</w:t>
      </w:r>
      <w:r w:rsidR="003726E1" w:rsidRPr="005971C3">
        <w:rPr>
          <w:rFonts w:eastAsiaTheme="minorEastAsia"/>
          <w:rtl/>
        </w:rPr>
        <w:t>اً،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6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منهم،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بينهم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أيض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5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زملاء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لسين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وصاد،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تعرّضوا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لسحب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تصاريح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إقامتهم،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واختُطفوا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إطار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استخباراتية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بالتواطؤ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قوات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استخبارات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واقتيدوا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قسر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حيث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اقتيدوا،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حسبما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ورد،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المحكمة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واتُّهموا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بالإرهاب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والتجسس.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أيض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ملاحظة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ليست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طرف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وهي،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بالتالي،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ملزمة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بموجب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بالامتناع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لخطر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ليست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ملزمة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الأحكام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الأخرى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للاتفاقية.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الصدد،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بقلق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الفريق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العامل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المعني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بالاحتجاز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التعسفي،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بشأن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المشروع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الستة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أشار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تستجب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لطلب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الفريق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الحصول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معلومات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الستة،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تفسير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للأحكام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القانونية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تبرر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اعتقالهم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قسر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وتسليمهم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ولتوافق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الإجراءات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التزامات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بموجب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القانون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الدولي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27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</w:p>
    <w:p w14:paraId="6CE9095B" w14:textId="00EC2212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7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7</w:t>
      </w:r>
      <w:r w:rsidRPr="005971C3">
        <w:rPr>
          <w:rFonts w:eastAsiaTheme="minorEastAsia"/>
          <w:rtl/>
        </w:rPr>
        <w:tab/>
        <w:t>وبالنظر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الاعتبارات،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المتوقع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يواجه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حقيقي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بنقله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اليوم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</w:p>
    <w:p w14:paraId="4318E09E" w14:textId="7546F10E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7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8</w:t>
      </w:r>
      <w:r w:rsidRPr="005971C3">
        <w:rPr>
          <w:rFonts w:eastAsiaTheme="minorEastAsia"/>
          <w:rtl/>
        </w:rPr>
        <w:tab/>
        <w:t>وفيما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بصاد،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تُدرج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التحديد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قائمة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أسماء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الأشخاص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البالغ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عددهم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78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فرد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الواردة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البرقية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أرسلتها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السفارة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التركية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مسؤولي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الأتراك.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مثل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زميلة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للأفراد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الخمسة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المذكورين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أعلاه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ارتبطوا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كمدرسين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المدارس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تعمل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مظلة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مؤسسات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غوليستان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التعليمية،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صنفتها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منظمةً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إرهابية.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وبالإضافة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المناسب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مراعاة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بوصفها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زوجة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أدرج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اسمه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تحديد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قائمة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الأسماء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تضم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78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فرد</w:t>
      </w:r>
      <w:r w:rsidR="003726E1" w:rsidRPr="005971C3">
        <w:rPr>
          <w:rFonts w:eastAsiaTheme="minorEastAsia"/>
          <w:rtl/>
        </w:rPr>
        <w:t>اً،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يمكن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لخطر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مماثل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بإساءة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المعاملة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كوسيلة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للضغط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28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وتحيط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الصدد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علم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بتقرير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مفوضية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الأمم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المتحدة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السامية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لحقوق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الإنسان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يقدّم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تفاصيل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عمليات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اعتقال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النساء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بوصفهن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شريكات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لأزواجهن،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كانوا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مشتبه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رئيسيين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لصلاتهم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بمنظمات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إرهابية،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دون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أدلة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منفصلة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تثبت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الموجهة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إليهم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29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وبالنظر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الاعتبارات،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المتوقع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تواجه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حقيقي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أعيدت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اليوم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</w:p>
    <w:p w14:paraId="2C6DF148" w14:textId="3671CB28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7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9</w:t>
      </w:r>
      <w:r w:rsidRPr="005971C3">
        <w:rPr>
          <w:rFonts w:eastAsiaTheme="minorEastAsia"/>
          <w:rtl/>
        </w:rPr>
        <w:tab/>
        <w:t>وعلاوة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ذلك،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يجب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تنظر،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الملابسات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الخاصة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للقضية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موضع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النظر،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كانت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البيانات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قدمتها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السلطات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الرسالة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المؤرخة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آذار/مارس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توفر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ضمان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كافي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ترحيل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نقلهما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قسر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لتنفي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الاستنتاج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القائل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سيواجهان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حقيقي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أعيدا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الصدد،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تذكّر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بتعليقها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رقم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4</w:t>
      </w:r>
      <w:r w:rsidRPr="005971C3">
        <w:rPr>
          <w:rFonts w:eastAsiaTheme="minorEastAsia"/>
          <w:rtl/>
        </w:rPr>
        <w:t>(</w:t>
      </w:r>
      <w:r w:rsidRPr="00DB56B9">
        <w:rPr>
          <w:rFonts w:eastAsiaTheme="minorEastAsia"/>
          <w:rtl/>
        </w:rPr>
        <w:t>201</w:t>
      </w:r>
      <w:r w:rsidR="00F83617" w:rsidRPr="00DB56B9">
        <w:rPr>
          <w:rFonts w:eastAsiaTheme="minorEastAsia"/>
          <w:rtl/>
        </w:rPr>
        <w:t>7</w:t>
      </w:r>
      <w:r w:rsidR="00F83617" w:rsidRPr="005971C3">
        <w:rPr>
          <w:rFonts w:eastAsiaTheme="minorEastAsia"/>
          <w:rtl/>
        </w:rPr>
        <w:t>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ذكرت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ينبغي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استخدام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الضمانات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الدبلوماسية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كثغرة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لتقويض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مبدأ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القسرية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النحو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المنصوص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عليه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عندما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تكون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هناك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أسباب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وجيهة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للاعتقاد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شخص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لخطر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التعذيب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30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وتذكّر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مصطلح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"الضمانات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الدبلوماسية"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يشير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السياق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التزام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رسمي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جانب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مستقبلة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يُعامل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الشخص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المعني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وفق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للشروط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تحددها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الموفدة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ووفق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للمعايير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لحقوق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الإنسان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31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القضية،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البيانات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الواردة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الرسالة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المؤرخة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آذار/مارس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تتألف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ببساطة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رسالة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بريد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إلكتروني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ومجرد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التزامات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ستفعله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إدارة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المواطنة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واللجوء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والهجرة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التابعة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لوزارة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الداخلية،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مقابل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ككل.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الرسالة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تشير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التشريعات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السارية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تنص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يمكن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وصاد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(وطفليهما)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بلدهم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الأصلي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نظر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لأنهم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يتمتعون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بصفة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اللجوء.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الرسالة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تشكل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التزام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الإدارة،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ناهيك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التزام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بعدم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السماح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بنقلهما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بلدهما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الأصلي.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يوجد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الرسالة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المؤرخة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آذار/مارس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يدل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الصفة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ستكون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غيرت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صفتهما،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بضغط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صنفت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سبيل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المثال،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منظمة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إرهابية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وأكدت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أتباعها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يشكلون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بالتالي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البلد،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يستمر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سريان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الحماية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يتمتع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اللاجئون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العودة،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الحالة</w:t>
      </w:r>
      <w:r w:rsidR="00F83617" w:rsidRPr="005971C3">
        <w:rPr>
          <w:rStyle w:val="FootnoteReference"/>
          <w:rFonts w:eastAsiaTheme="minorEastAsia"/>
          <w:sz w:val="22"/>
          <w:rtl/>
        </w:rPr>
        <w:t>(</w:t>
      </w:r>
      <w:r w:rsidR="00F83617" w:rsidRPr="00DB56B9">
        <w:rPr>
          <w:rStyle w:val="FootnoteReference"/>
          <w:rFonts w:eastAsiaTheme="minorEastAsia"/>
          <w:sz w:val="22"/>
          <w:lang w:val="en-US"/>
        </w:rPr>
        <w:footnoteReference w:id="32"/>
      </w:r>
      <w:r w:rsidR="00F83617" w:rsidRPr="005971C3">
        <w:rPr>
          <w:rStyle w:val="FootnoteReference"/>
          <w:rFonts w:eastAsiaTheme="minorEastAsia"/>
          <w:sz w:val="22"/>
          <w:rtl/>
        </w:rPr>
        <w:t>)</w:t>
      </w:r>
      <w:r w:rsidR="00F83617" w:rsidRPr="005971C3">
        <w:rPr>
          <w:rFonts w:eastAsiaTheme="minorEastAsia" w:hint="cs"/>
          <w:rtl/>
        </w:rPr>
        <w:t>.</w:t>
      </w:r>
      <w:r w:rsidR="005971C3">
        <w:rPr>
          <w:rFonts w:eastAsiaTheme="minorEastAsia" w:hint="cs"/>
          <w:rtl/>
        </w:rPr>
        <w:t xml:space="preserve"> </w:t>
      </w:r>
      <w:r w:rsidRPr="005971C3">
        <w:rPr>
          <w:rFonts w:eastAsiaTheme="minorEastAsia"/>
          <w:rtl/>
        </w:rPr>
        <w:t>وتلاحظ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كذلك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أهمية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الاحتمال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مبرزة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التقارير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تفيد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الطلب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وجهه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وزير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التنمية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الإقليمية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حكومته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لتصنيف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غولن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رسمي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منظمة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إرهابية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يزال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معلق</w:t>
      </w:r>
      <w:r w:rsidR="003726E1" w:rsidRPr="005971C3">
        <w:rPr>
          <w:rFonts w:eastAsiaTheme="minorEastAsia"/>
          <w:rtl/>
        </w:rPr>
        <w:t>اً.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وأخير</w:t>
      </w:r>
      <w:r w:rsidR="003726E1" w:rsidRPr="005971C3">
        <w:rPr>
          <w:rFonts w:eastAsiaTheme="minorEastAsia"/>
          <w:rtl/>
        </w:rPr>
        <w:t>اً،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تلاحظ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عدم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وجود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ترتيبات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يتعلق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بالبلاغ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المؤرخ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آذار/مارس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للرصد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DB56B9">
        <w:rPr>
          <w:rFonts w:eastAsiaTheme="minorEastAsia" w:hint="eastAsia"/>
          <w:rtl/>
        </w:rPr>
        <w:t> </w:t>
      </w:r>
      <w:r w:rsidRPr="005971C3">
        <w:rPr>
          <w:rFonts w:eastAsiaTheme="minorEastAsia"/>
          <w:rtl/>
        </w:rPr>
        <w:t>التشاور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المتابعة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نوع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لضمان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الامتثال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لشروط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البلاغ.</w:t>
      </w:r>
      <w:r w:rsidR="005971C3">
        <w:rPr>
          <w:rFonts w:eastAsiaTheme="minorEastAsia"/>
          <w:rtl/>
        </w:rPr>
        <w:t xml:space="preserve"> </w:t>
      </w:r>
    </w:p>
    <w:p w14:paraId="10CE0F81" w14:textId="04253F19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7</w:t>
      </w:r>
      <w:r w:rsidRPr="005971C3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10</w:t>
      </w:r>
      <w:r w:rsidRPr="005971C3">
        <w:rPr>
          <w:rFonts w:eastAsiaTheme="minorEastAsia"/>
          <w:rtl/>
        </w:rPr>
        <w:tab/>
        <w:t>وبالنظر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الاعتبارات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المذكورة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أعلاه،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البيانات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الواردة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الرسالة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المؤرخة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آذار/مارس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2021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توفر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ضمان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كافي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الترحيل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القسري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ينفي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الاستنتاج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القائل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سيواجهان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حقيقي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حال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أعيدا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</w:p>
    <w:p w14:paraId="4C35921E" w14:textId="47405319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8</w:t>
      </w:r>
      <w:r w:rsidRPr="005971C3">
        <w:rPr>
          <w:rFonts w:eastAsiaTheme="minorEastAsia"/>
          <w:rtl/>
        </w:rPr>
        <w:t>-</w:t>
      </w:r>
      <w:r w:rsidRPr="005971C3">
        <w:rPr>
          <w:rFonts w:eastAsiaTheme="minorEastAsia"/>
          <w:rtl/>
        </w:rPr>
        <w:tab/>
        <w:t>وفي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ضوء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تقدم،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تقرر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22</w:t>
      </w:r>
      <w:r w:rsidRPr="005971C3">
        <w:rPr>
          <w:rFonts w:eastAsiaTheme="minorEastAsia"/>
          <w:rtl/>
        </w:rPr>
        <w:t>(</w:t>
      </w:r>
      <w:r w:rsidR="00F83617" w:rsidRPr="00DB56B9">
        <w:rPr>
          <w:rFonts w:eastAsiaTheme="minorEastAsia"/>
          <w:rtl/>
        </w:rPr>
        <w:t>7</w:t>
      </w:r>
      <w:r w:rsidR="00F83617" w:rsidRPr="005971C3">
        <w:rPr>
          <w:rFonts w:eastAsiaTheme="minorEastAsia"/>
          <w:rtl/>
        </w:rPr>
        <w:t>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إبعاد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حيث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سيواجهان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خطر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حقيقي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بالنقل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قسر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والتعرض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للتعذيب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فيها،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سيشكل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انتهاك</w:t>
      </w:r>
      <w:r w:rsidR="003726E1" w:rsidRPr="005971C3"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الاتفاقية.</w:t>
      </w:r>
      <w:r w:rsidR="005971C3">
        <w:rPr>
          <w:rFonts w:eastAsiaTheme="minorEastAsia"/>
          <w:rtl/>
        </w:rPr>
        <w:t xml:space="preserve"> </w:t>
      </w:r>
    </w:p>
    <w:p w14:paraId="3E3362F6" w14:textId="478D066A" w:rsidR="00F049F0" w:rsidRPr="005971C3" w:rsidRDefault="00F049F0" w:rsidP="00F049F0">
      <w:pPr>
        <w:pStyle w:val="SingleTxtGA"/>
        <w:rPr>
          <w:rFonts w:eastAsiaTheme="minorEastAsia"/>
          <w:lang w:val="ar-SA" w:eastAsia="zh-TW" w:bidi="en-GB"/>
        </w:rPr>
      </w:pPr>
      <w:r w:rsidRPr="00DB56B9">
        <w:rPr>
          <w:rFonts w:eastAsiaTheme="minorEastAsia"/>
          <w:rtl/>
        </w:rPr>
        <w:t>9</w:t>
      </w:r>
      <w:r w:rsidRPr="005971C3">
        <w:rPr>
          <w:rFonts w:eastAsiaTheme="minorEastAsia"/>
          <w:rtl/>
        </w:rPr>
        <w:t>-</w:t>
      </w:r>
      <w:r w:rsidRPr="005971C3">
        <w:rPr>
          <w:rFonts w:eastAsiaTheme="minorEastAsia"/>
          <w:rtl/>
        </w:rPr>
        <w:tab/>
        <w:t>وترى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وفقاً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لأحكام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الاتفاقية،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التراجع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إعادة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صاحبي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قسراً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كوسوفو.</w:t>
      </w:r>
    </w:p>
    <w:p w14:paraId="54685DF1" w14:textId="71E50415" w:rsidR="00F049F0" w:rsidRPr="005971C3" w:rsidRDefault="00F049F0" w:rsidP="00F049F0">
      <w:pPr>
        <w:pStyle w:val="SingleTxtGA"/>
        <w:rPr>
          <w:rFonts w:eastAsiaTheme="minorEastAsia"/>
          <w:lang w:val="en-US" w:eastAsia="zh-TW" w:bidi="en-GB"/>
        </w:rPr>
      </w:pPr>
      <w:r w:rsidRPr="00DB56B9">
        <w:rPr>
          <w:rFonts w:eastAsiaTheme="minorEastAsia"/>
          <w:rtl/>
        </w:rPr>
        <w:t>10</w:t>
      </w:r>
      <w:r w:rsidRPr="005971C3">
        <w:rPr>
          <w:rFonts w:eastAsiaTheme="minorEastAsia"/>
          <w:rtl/>
        </w:rPr>
        <w:t>-</w:t>
      </w:r>
      <w:r w:rsidRPr="005971C3">
        <w:rPr>
          <w:rFonts w:eastAsiaTheme="minorEastAsia"/>
          <w:rtl/>
        </w:rPr>
        <w:tab/>
        <w:t>وتدعو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الطرف،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عملاً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بأحكام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118</w:t>
      </w:r>
      <w:r w:rsidRPr="005971C3">
        <w:rPr>
          <w:rFonts w:eastAsiaTheme="minorEastAsia"/>
          <w:rtl/>
        </w:rPr>
        <w:t>(</w:t>
      </w:r>
      <w:r w:rsidR="00F83617" w:rsidRPr="00DB56B9">
        <w:rPr>
          <w:rFonts w:eastAsiaTheme="minorEastAsia"/>
          <w:rtl/>
        </w:rPr>
        <w:t>5</w:t>
      </w:r>
      <w:r w:rsidR="00F83617" w:rsidRPr="005971C3">
        <w:rPr>
          <w:rFonts w:eastAsiaTheme="minorEastAsia"/>
          <w:rtl/>
        </w:rPr>
        <w:t>)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نظامها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الداخلي،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إبلاغها،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غضون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90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يوماً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تاريخ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إحالة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القرار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إليها،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بما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اتخذته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إجراءات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استجابةً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للملاحظات</w:t>
      </w:r>
      <w:r w:rsidR="005971C3">
        <w:rPr>
          <w:rFonts w:eastAsiaTheme="minorEastAsia"/>
          <w:rtl/>
        </w:rPr>
        <w:t xml:space="preserve"> </w:t>
      </w:r>
      <w:r w:rsidRPr="005971C3">
        <w:rPr>
          <w:rFonts w:eastAsiaTheme="minorEastAsia"/>
          <w:rtl/>
        </w:rPr>
        <w:t>الواردة</w:t>
      </w:r>
      <w:r w:rsidR="00DB56B9">
        <w:rPr>
          <w:rFonts w:eastAsiaTheme="minorEastAsia" w:hint="eastAsia"/>
          <w:rtl/>
        </w:rPr>
        <w:t> </w:t>
      </w:r>
      <w:r w:rsidRPr="005971C3">
        <w:rPr>
          <w:rFonts w:eastAsiaTheme="minorEastAsia"/>
          <w:rtl/>
        </w:rPr>
        <w:t>أعلاه.</w:t>
      </w:r>
    </w:p>
    <w:p w14:paraId="6B7DA99B" w14:textId="4EE09FCF" w:rsidR="00F049F0" w:rsidRPr="005971C3" w:rsidRDefault="00F049F0" w:rsidP="00F049F0">
      <w:pPr>
        <w:pStyle w:val="SingleTxtGA"/>
        <w:jc w:val="center"/>
        <w:rPr>
          <w:u w:val="single"/>
          <w:rtl/>
          <w:lang w:eastAsia="zh-TW"/>
        </w:rPr>
      </w:pPr>
      <w:r w:rsidRPr="005971C3">
        <w:rPr>
          <w:u w:val="single"/>
          <w:rtl/>
          <w:lang w:eastAsia="zh-TW"/>
        </w:rPr>
        <w:tab/>
      </w:r>
      <w:r w:rsidRPr="005971C3">
        <w:rPr>
          <w:u w:val="single"/>
          <w:rtl/>
          <w:lang w:eastAsia="zh-TW"/>
        </w:rPr>
        <w:tab/>
      </w:r>
      <w:r w:rsidRPr="005971C3">
        <w:rPr>
          <w:u w:val="single"/>
          <w:rtl/>
          <w:lang w:eastAsia="zh-TW"/>
        </w:rPr>
        <w:tab/>
      </w:r>
    </w:p>
    <w:sectPr w:rsidR="00F049F0" w:rsidRPr="005971C3" w:rsidSect="005F6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3D9E" w14:textId="77777777" w:rsidR="00122AD1" w:rsidRPr="002901D9" w:rsidRDefault="00122AD1" w:rsidP="008745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79446321" w14:textId="77777777" w:rsidR="00122AD1" w:rsidRDefault="00122AD1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12D1" w14:textId="602A4A1D" w:rsidR="006A4787" w:rsidRPr="006A4787" w:rsidRDefault="006A4787" w:rsidP="006A4787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GE.23-00942</w:t>
    </w:r>
    <w:r>
      <w:rPr>
        <w:lang w:val="en-US"/>
      </w:rPr>
      <w:tab/>
    </w:r>
    <w:r w:rsidRPr="006A4787">
      <w:rPr>
        <w:b/>
        <w:sz w:val="18"/>
        <w:lang w:val="en-US"/>
      </w:rPr>
      <w:fldChar w:fldCharType="begin"/>
    </w:r>
    <w:r w:rsidRPr="006A4787">
      <w:rPr>
        <w:b/>
        <w:sz w:val="18"/>
        <w:lang w:val="en-US"/>
      </w:rPr>
      <w:instrText xml:space="preserve"> PAGE  \* MERGEFORMAT </w:instrText>
    </w:r>
    <w:r w:rsidRPr="006A4787">
      <w:rPr>
        <w:b/>
        <w:sz w:val="18"/>
        <w:lang w:val="en-US"/>
      </w:rPr>
      <w:fldChar w:fldCharType="separate"/>
    </w:r>
    <w:r w:rsidRPr="006A4787">
      <w:rPr>
        <w:b/>
        <w:noProof/>
        <w:sz w:val="18"/>
        <w:lang w:val="en-US"/>
      </w:rPr>
      <w:t>2</w:t>
    </w:r>
    <w:r w:rsidRPr="006A4787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FBDE" w14:textId="592688EF" w:rsidR="006959B0" w:rsidRPr="006A4787" w:rsidRDefault="006A4787" w:rsidP="006A4787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GE.23-00942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967D" w14:textId="6578D4C9" w:rsidR="00261289" w:rsidRPr="006A4787" w:rsidRDefault="006A4787" w:rsidP="006A4787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0AAB415C" wp14:editId="76EA17F7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23-00942</w:t>
    </w:r>
    <w:r w:rsidR="005971C3">
      <w:rPr>
        <w:sz w:val="20"/>
        <w:lang w:val="en-US"/>
      </w:rPr>
      <w:t xml:space="preserve"> </w:t>
    </w:r>
    <w:r>
      <w:rPr>
        <w:sz w:val="20"/>
        <w:lang w:val="en-US"/>
      </w:rPr>
      <w:t>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B9C1EC4" wp14:editId="11F1F65F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141B" w14:textId="77777777" w:rsidR="00122AD1" w:rsidRPr="00C111C6" w:rsidRDefault="00122AD1" w:rsidP="00C111C6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7DEFED12" w14:textId="77777777" w:rsidR="00122AD1" w:rsidRDefault="00122AD1" w:rsidP="00656392">
      <w:pPr>
        <w:spacing w:line="240" w:lineRule="auto"/>
      </w:pPr>
      <w:r>
        <w:continuationSeparator/>
      </w:r>
    </w:p>
  </w:footnote>
  <w:footnote w:id="1">
    <w:p w14:paraId="7FF167DC" w14:textId="7F4EC486" w:rsidR="00F049F0" w:rsidRPr="00B700B9" w:rsidRDefault="00F049F0" w:rsidP="00F049F0">
      <w:pPr>
        <w:pStyle w:val="FootnoteText1"/>
        <w:rPr>
          <w:rFonts w:eastAsiaTheme="minorEastAsia"/>
          <w:rtl/>
        </w:rPr>
      </w:pPr>
      <w:r w:rsidRPr="001937C7">
        <w:rPr>
          <w:rFonts w:eastAsiaTheme="minorEastAsia"/>
          <w:sz w:val="22"/>
          <w:szCs w:val="22"/>
          <w:rtl/>
        </w:rPr>
        <w:t>*</w:t>
      </w:r>
      <w:r w:rsidRPr="00B700B9">
        <w:rPr>
          <w:rFonts w:eastAsiaTheme="minorEastAsia"/>
          <w:rtl/>
        </w:rPr>
        <w:tab/>
        <w:t>اعتمدته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دورتها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الخامسة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والسبعين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(</w:t>
      </w:r>
      <w:r w:rsidRPr="00DB56B9">
        <w:rPr>
          <w:rFonts w:eastAsiaTheme="minorEastAsia"/>
          <w:rtl/>
        </w:rPr>
        <w:t>31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تشرين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الأول/أكتوبر</w:t>
      </w:r>
      <w:r w:rsidR="005971C3">
        <w:rPr>
          <w:rFonts w:eastAsiaTheme="minorEastAsia" w:hint="cs"/>
          <w:rtl/>
        </w:rPr>
        <w:t xml:space="preserve"> </w:t>
      </w:r>
      <w:r w:rsidR="00B700B9" w:rsidRPr="006A24C5">
        <w:rPr>
          <w:rFonts w:eastAsiaTheme="minorEastAsia" w:hint="cs"/>
          <w:rtl/>
        </w:rPr>
        <w:t>-</w:t>
      </w:r>
      <w:r w:rsidR="005971C3">
        <w:rPr>
          <w:rFonts w:eastAsiaTheme="minorEastAsia" w:hint="cs"/>
          <w:rtl/>
        </w:rPr>
        <w:t xml:space="preserve"> </w:t>
      </w:r>
      <w:r w:rsidRPr="00DB56B9">
        <w:rPr>
          <w:rFonts w:eastAsiaTheme="minorEastAsia"/>
          <w:rtl/>
        </w:rPr>
        <w:t>25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تشرين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الثاني/نوفمبر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2022</w:t>
      </w:r>
      <w:r w:rsidR="00F83617" w:rsidRPr="00F83617">
        <w:rPr>
          <w:rFonts w:eastAsiaTheme="minorEastAsia"/>
          <w:rtl/>
        </w:rPr>
        <w:t>).</w:t>
      </w:r>
      <w:r w:rsidR="005971C3">
        <w:rPr>
          <w:rFonts w:eastAsiaTheme="minorEastAsia"/>
          <w:rtl/>
        </w:rPr>
        <w:t xml:space="preserve"> </w:t>
      </w:r>
    </w:p>
  </w:footnote>
  <w:footnote w:id="2">
    <w:p w14:paraId="03ED2BE3" w14:textId="0F977926" w:rsidR="00F049F0" w:rsidRPr="00B700B9" w:rsidRDefault="00F049F0" w:rsidP="00F049F0">
      <w:pPr>
        <w:pStyle w:val="FootnoteText1"/>
        <w:rPr>
          <w:rFonts w:eastAsiaTheme="minorEastAsia"/>
          <w:rtl/>
        </w:rPr>
      </w:pPr>
      <w:r w:rsidRPr="001937C7">
        <w:rPr>
          <w:rFonts w:eastAsiaTheme="minorEastAsia"/>
          <w:sz w:val="22"/>
          <w:szCs w:val="22"/>
          <w:rtl/>
        </w:rPr>
        <w:t>**</w:t>
      </w:r>
      <w:r w:rsidRPr="00B700B9">
        <w:rPr>
          <w:rFonts w:eastAsiaTheme="minorEastAsia"/>
          <w:rtl/>
        </w:rPr>
        <w:tab/>
        <w:t>شارك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دراسة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البلاغ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أعضاء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التالية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أسماؤهم: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تود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بوكوالد،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وكلود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هيلر،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وليو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هواوين،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ومايدا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ناوكو،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وإلفيا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بوتشي،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وآنا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راكو،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وعبد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الرزاق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روان،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وسيباستيان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توزيه،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وبختيار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توزمخمدوف</w:t>
      </w:r>
      <w:r w:rsid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3">
    <w:p w14:paraId="36FF4861" w14:textId="7FEC08D3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تُفهم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إشارة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كوسوفو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سياق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قرار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مجلس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الأمن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1244</w:t>
      </w:r>
      <w:r w:rsidRPr="00B700B9">
        <w:rPr>
          <w:rFonts w:eastAsiaTheme="minorEastAsia"/>
          <w:rtl/>
        </w:rPr>
        <w:t>(</w:t>
      </w:r>
      <w:r w:rsidRPr="00DB56B9">
        <w:rPr>
          <w:rFonts w:eastAsiaTheme="minorEastAsia"/>
          <w:rtl/>
        </w:rPr>
        <w:t>1999</w:t>
      </w:r>
      <w:r w:rsidRPr="00F83617">
        <w:rPr>
          <w:rFonts w:eastAsiaTheme="minorEastAsia"/>
          <w:rtl/>
        </w:rPr>
        <w:t>).</w:t>
      </w:r>
      <w:r w:rsidR="005971C3">
        <w:rPr>
          <w:rFonts w:eastAsiaTheme="minorEastAsia"/>
          <w:rtl/>
        </w:rPr>
        <w:t xml:space="preserve"> </w:t>
      </w:r>
    </w:p>
  </w:footnote>
  <w:footnote w:id="4">
    <w:p w14:paraId="29A371A2" w14:textId="3D76E58E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يقال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إن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حركة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غولن،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المعروفة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أيض</w:t>
      </w:r>
      <w:r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باسم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"حزمت"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"جيمآت"،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تستند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أفكار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فتح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الله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غولن،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وهو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داعية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مسلم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يقيم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الولايات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المتحدة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الأمريكية</w:t>
      </w:r>
      <w:r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5">
    <w:p w14:paraId="74BD6973" w14:textId="667D6F5E" w:rsidR="00F83617" w:rsidRPr="00B700B9" w:rsidRDefault="00F83617" w:rsidP="00F049F0">
      <w:pPr>
        <w:pStyle w:val="FootnoteText1"/>
        <w:textDirection w:val="tbRlV"/>
        <w:rPr>
          <w:rFonts w:eastAsiaTheme="minorEastAsia"/>
          <w:u w:val="single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قدم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شهادات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توظيف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مؤسسات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غوليستان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التعليمية</w:t>
      </w:r>
      <w:r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6">
    <w:p w14:paraId="7B3D9D8F" w14:textId="4C7588D4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يشير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الشكوى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دراسة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صادرة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بيت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الحرية</w:t>
      </w:r>
      <w:r w:rsidRPr="00B700B9">
        <w:rPr>
          <w:rFonts w:eastAsiaTheme="minorEastAsia"/>
        </w:rPr>
        <w:t>Freedom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Hous</w:t>
      </w:r>
      <w:r w:rsidRPr="00F83617">
        <w:rPr>
          <w:rFonts w:eastAsiaTheme="minorEastAsia"/>
        </w:rPr>
        <w:t>e,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“Turke</w:t>
      </w:r>
      <w:r w:rsidRPr="00F83617">
        <w:rPr>
          <w:rFonts w:eastAsiaTheme="minorEastAsia"/>
        </w:rPr>
        <w:t>y: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transnational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repression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origin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country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case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study”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(</w:t>
      </w:r>
      <w:r w:rsidRPr="00DB56B9">
        <w:rPr>
          <w:rFonts w:eastAsiaTheme="minorEastAsia"/>
        </w:rPr>
        <w:t>2021</w:t>
      </w:r>
      <w:r w:rsidRPr="00F83617">
        <w:rPr>
          <w:rFonts w:eastAsiaTheme="minorEastAsia"/>
        </w:rPr>
        <w:t>)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7">
    <w:p w14:paraId="2A2F61DB" w14:textId="26E6DCDE" w:rsidR="00F83617" w:rsidRPr="00B700B9" w:rsidRDefault="00F83617" w:rsidP="00F83617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</w:r>
      <w:r w:rsidRPr="009B4AE7">
        <w:rPr>
          <w:rFonts w:eastAsiaTheme="minorEastAsia"/>
          <w:spacing w:val="4"/>
          <w:rtl/>
        </w:rPr>
        <w:t>انظر</w:t>
      </w:r>
      <w:r w:rsidR="005971C3">
        <w:rPr>
          <w:rFonts w:eastAsiaTheme="minorEastAsia"/>
          <w:spacing w:val="4"/>
          <w:rtl/>
        </w:rPr>
        <w:t xml:space="preserve"> </w:t>
      </w:r>
      <w:hyperlink r:id="rId1" w:history="1">
        <w:r w:rsidRPr="009B4AE7">
          <w:rPr>
            <w:rStyle w:val="Hyperlink"/>
            <w:spacing w:val="4"/>
          </w:rPr>
          <w:t>https://nordicmonitor.com/</w:t>
        </w:r>
        <w:r w:rsidRPr="00DB56B9">
          <w:rPr>
            <w:rStyle w:val="Hyperlink"/>
            <w:spacing w:val="4"/>
          </w:rPr>
          <w:t>2020</w:t>
        </w:r>
        <w:r w:rsidRPr="009B4AE7">
          <w:rPr>
            <w:rStyle w:val="Hyperlink"/>
            <w:spacing w:val="4"/>
          </w:rPr>
          <w:t>/</w:t>
        </w:r>
        <w:r w:rsidRPr="00DB56B9">
          <w:rPr>
            <w:rStyle w:val="Hyperlink"/>
            <w:spacing w:val="4"/>
          </w:rPr>
          <w:t>07</w:t>
        </w:r>
        <w:r w:rsidRPr="009B4AE7">
          <w:rPr>
            <w:rStyle w:val="Hyperlink"/>
            <w:spacing w:val="4"/>
          </w:rPr>
          <w:t>/erdogan-critics-kidnapped-by-turkish-intelligence-in-kosovo-included-in-terrorism-indictment/</w:t>
        </w:r>
      </w:hyperlink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الأفراد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الستة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هم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كهرمان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ديميريز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ومصطفى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إرديم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وحسن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حسين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غوناكان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ويوسف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كارابينا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وعثمان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كاراكايا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وجهان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أوزكان</w:t>
      </w:r>
      <w:r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8">
    <w:p w14:paraId="09EF2424" w14:textId="48A68BF2" w:rsidR="00F83617" w:rsidRPr="002539E8" w:rsidRDefault="00F83617" w:rsidP="00F83617">
      <w:pPr>
        <w:pStyle w:val="FootnoteText1"/>
        <w:textDirection w:val="tbRlV"/>
        <w:rPr>
          <w:rFonts w:eastAsiaTheme="minorEastAsia"/>
          <w:spacing w:val="-4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2539E8">
        <w:rPr>
          <w:rFonts w:eastAsiaTheme="minorEastAsia"/>
          <w:spacing w:val="-4"/>
          <w:rtl/>
        </w:rPr>
        <w:tab/>
        <w:t>انظر</w:t>
      </w:r>
      <w:r w:rsidR="005971C3">
        <w:rPr>
          <w:rFonts w:eastAsiaTheme="minorEastAsia"/>
          <w:spacing w:val="-4"/>
          <w:rtl/>
        </w:rPr>
        <w:t xml:space="preserve"> </w:t>
      </w:r>
      <w:hyperlink r:id="rId2" w:history="1">
        <w:r w:rsidRPr="006A24C5">
          <w:rPr>
            <w:rStyle w:val="Hyperlink"/>
            <w:spacing w:val="-4"/>
          </w:rPr>
          <w:t>https://www.aa.com.tr/en/europe/kosovo-bank-reportedly-freezes-feto-linked-accounts/</w:t>
        </w:r>
        <w:r w:rsidRPr="00DB56B9">
          <w:rPr>
            <w:rStyle w:val="Hyperlink"/>
            <w:spacing w:val="-4"/>
          </w:rPr>
          <w:t>1121303</w:t>
        </w:r>
      </w:hyperlink>
      <w:r w:rsidRPr="002539E8">
        <w:rPr>
          <w:rFonts w:eastAsiaTheme="minorEastAsia"/>
          <w:spacing w:val="-4"/>
          <w:rtl/>
        </w:rPr>
        <w:t>.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قدم</w:t>
      </w:r>
      <w:r w:rsidR="005971C3">
        <w:rPr>
          <w:rFonts w:eastAsiaTheme="minorEastAsia" w:hint="cs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صاحبا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الشكوى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أيضاً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صورة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لرسالة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نصية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واضحة،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مؤرخة</w:t>
      </w:r>
      <w:r w:rsidR="005971C3">
        <w:rPr>
          <w:rFonts w:eastAsiaTheme="minorEastAsia"/>
          <w:spacing w:val="-4"/>
          <w:rtl/>
        </w:rPr>
        <w:t xml:space="preserve"> </w:t>
      </w:r>
      <w:r w:rsidRPr="00DB56B9">
        <w:rPr>
          <w:rFonts w:eastAsiaTheme="minorEastAsia"/>
          <w:spacing w:val="-4"/>
          <w:rtl/>
        </w:rPr>
        <w:t>17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نيسان/أبريل</w:t>
      </w:r>
      <w:r w:rsidR="005971C3">
        <w:rPr>
          <w:rFonts w:eastAsiaTheme="minorEastAsia"/>
          <w:spacing w:val="-4"/>
          <w:rtl/>
        </w:rPr>
        <w:t xml:space="preserve"> </w:t>
      </w:r>
      <w:r w:rsidRPr="00DB56B9">
        <w:rPr>
          <w:rFonts w:eastAsiaTheme="minorEastAsia"/>
          <w:spacing w:val="-4"/>
          <w:rtl/>
        </w:rPr>
        <w:t>2018</w:t>
      </w:r>
      <w:r w:rsidRPr="002539E8">
        <w:rPr>
          <w:rFonts w:eastAsiaTheme="minorEastAsia"/>
          <w:spacing w:val="-4"/>
          <w:rtl/>
        </w:rPr>
        <w:t>،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يبلغ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فيها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مصرف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"</w:t>
      </w:r>
      <w:r w:rsidRPr="002539E8">
        <w:rPr>
          <w:rFonts w:eastAsiaTheme="minorEastAsia"/>
          <w:spacing w:val="-4"/>
        </w:rPr>
        <w:t>Kombetare</w:t>
      </w:r>
      <w:r w:rsidR="005971C3">
        <w:rPr>
          <w:rFonts w:eastAsiaTheme="minorEastAsia"/>
          <w:spacing w:val="-4"/>
        </w:rPr>
        <w:t xml:space="preserve"> </w:t>
      </w:r>
      <w:r w:rsidRPr="002539E8">
        <w:rPr>
          <w:rFonts w:eastAsiaTheme="minorEastAsia"/>
          <w:spacing w:val="-4"/>
        </w:rPr>
        <w:t>Tregtare</w:t>
      </w:r>
      <w:r w:rsidRPr="002539E8">
        <w:rPr>
          <w:rFonts w:eastAsiaTheme="minorEastAsia"/>
          <w:spacing w:val="-4"/>
          <w:rtl/>
        </w:rPr>
        <w:t>"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عميلاً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لم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يذكر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اسمه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بأن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حساب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العميل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سيُغلق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في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غضون</w:t>
      </w:r>
      <w:r w:rsidR="005971C3">
        <w:rPr>
          <w:rFonts w:eastAsiaTheme="minorEastAsia"/>
          <w:spacing w:val="-4"/>
          <w:rtl/>
        </w:rPr>
        <w:t xml:space="preserve"> </w:t>
      </w:r>
      <w:r w:rsidRPr="00DB56B9">
        <w:rPr>
          <w:rFonts w:eastAsiaTheme="minorEastAsia"/>
          <w:spacing w:val="-4"/>
          <w:rtl/>
        </w:rPr>
        <w:t>30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يوماً،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وفقاً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للسياسة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والإجراءات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الداخلية</w:t>
      </w:r>
      <w:r w:rsidR="005971C3">
        <w:rPr>
          <w:rFonts w:eastAsiaTheme="minorEastAsia"/>
          <w:spacing w:val="-4"/>
          <w:rtl/>
        </w:rPr>
        <w:t xml:space="preserve"> </w:t>
      </w:r>
      <w:r w:rsidRPr="002539E8">
        <w:rPr>
          <w:rFonts w:eastAsiaTheme="minorEastAsia"/>
          <w:spacing w:val="-4"/>
          <w:rtl/>
        </w:rPr>
        <w:t>للمصرف.</w:t>
      </w:r>
      <w:r w:rsidR="005971C3">
        <w:rPr>
          <w:rFonts w:eastAsiaTheme="minorEastAsia"/>
          <w:spacing w:val="-4"/>
          <w:rtl/>
        </w:rPr>
        <w:t xml:space="preserve"> </w:t>
      </w:r>
    </w:p>
  </w:footnote>
  <w:footnote w:id="9">
    <w:p w14:paraId="06A9165A" w14:textId="2D860443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أصدرت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قرار</w:t>
      </w:r>
      <w:r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بعدم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الدخول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جوهر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التماس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اللجوء،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استناد</w:t>
      </w:r>
      <w:r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31</w:t>
      </w:r>
      <w:r>
        <w:rPr>
          <w:rFonts w:eastAsiaTheme="minorEastAsia"/>
          <w:rtl/>
        </w:rPr>
        <w:t>(</w:t>
      </w:r>
      <w:r w:rsidRPr="00B700B9">
        <w:rPr>
          <w:rFonts w:eastAsiaTheme="minorEastAsia"/>
          <w:rtl/>
        </w:rPr>
        <w:t>أ)</w:t>
      </w:r>
      <w:r>
        <w:rPr>
          <w:rFonts w:eastAsiaTheme="minorEastAsia"/>
          <w:rtl/>
        </w:rPr>
        <w:t>(</w:t>
      </w:r>
      <w:r w:rsidRPr="00DB56B9">
        <w:rPr>
          <w:rFonts w:eastAsiaTheme="minorEastAsia"/>
          <w:rtl/>
        </w:rPr>
        <w:t>1</w:t>
      </w:r>
      <w:r w:rsidRPr="00B700B9">
        <w:rPr>
          <w:rFonts w:eastAsiaTheme="minorEastAsia"/>
          <w:rtl/>
        </w:rPr>
        <w:t>)</w:t>
      </w:r>
      <w:r>
        <w:rPr>
          <w:rFonts w:eastAsiaTheme="minorEastAsia"/>
          <w:rtl/>
        </w:rPr>
        <w:t>(</w:t>
      </w:r>
      <w:r w:rsidRPr="00B700B9">
        <w:rPr>
          <w:rFonts w:eastAsiaTheme="minorEastAsia"/>
          <w:rtl/>
        </w:rPr>
        <w:t>أ)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القانون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الاتحادي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بشأن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اللجوء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المؤرخ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26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حزيران/يونيه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1998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ووفق</w:t>
      </w:r>
      <w:r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لهذا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الحكم،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وكقاعدة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عامة،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تنظر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التماس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اللجوء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إذا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كان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بإمكان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مقدم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الالتماس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العودة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بلد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ثالث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آمن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سبق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أقام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فيه.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وإذا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عين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المجلس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الاتحادي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دولة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بلد</w:t>
      </w:r>
      <w:r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ثالث</w:t>
      </w:r>
      <w:r>
        <w:rPr>
          <w:rFonts w:eastAsiaTheme="minorEastAsia" w:hint="cs"/>
          <w:rtl/>
        </w:rPr>
        <w:t>اً</w:t>
      </w:r>
      <w:r w:rsidR="005971C3">
        <w:rPr>
          <w:rFonts w:eastAsiaTheme="minorEastAsia" w:hint="cs"/>
          <w:rtl/>
        </w:rPr>
        <w:t xml:space="preserve"> </w:t>
      </w:r>
      <w:r w:rsidRPr="00B700B9">
        <w:rPr>
          <w:rFonts w:eastAsiaTheme="minorEastAsia"/>
          <w:rtl/>
        </w:rPr>
        <w:t>آمنا</w:t>
      </w:r>
      <w:r>
        <w:rPr>
          <w:rFonts w:eastAsiaTheme="minorEastAsia" w:hint="cs"/>
          <w:rtl/>
        </w:rPr>
        <w:t>ً</w:t>
      </w:r>
      <w:r w:rsidRPr="00B700B9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فإنه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يوجد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افتراض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قانوني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يفيد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اضطهاد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المتصل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باللجوء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يحدث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ذلك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البلد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الحماية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الاضطهاد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غير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الدول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مكفولة.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ويمكن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نقض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الافتراض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حالات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فردية،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استناد</w:t>
      </w:r>
      <w:r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معلومات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ملموسة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وموثقة،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مراعاة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الاستقرار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السياسي،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والامتثال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لحقوق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الإنسان،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وتقييم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الدول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الأعضاء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الأخرى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الاتحاد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الأوروبي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والرابطة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الأوروبية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للتجارة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الحرة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ومفوضية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الأمم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المتحدة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السامية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لشؤون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اللاجئين،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فضل</w:t>
      </w:r>
      <w:r>
        <w:rPr>
          <w:rFonts w:eastAsiaTheme="minorEastAsia"/>
          <w:rtl/>
        </w:rPr>
        <w:t>اً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الخصائص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الأخرى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الخاصة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بكل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بلد</w:t>
      </w:r>
      <w:r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10">
    <w:p w14:paraId="0604358A" w14:textId="69F752BE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</w:r>
      <w:r w:rsidRPr="005D73EA">
        <w:rPr>
          <w:rFonts w:eastAsiaTheme="minorEastAsia"/>
          <w:spacing w:val="4"/>
          <w:rtl/>
        </w:rPr>
        <w:t>اتفاق</w:t>
      </w:r>
      <w:r w:rsidR="005971C3">
        <w:rPr>
          <w:rFonts w:eastAsiaTheme="minorEastAsia"/>
          <w:spacing w:val="4"/>
          <w:rtl/>
        </w:rPr>
        <w:t xml:space="preserve"> </w:t>
      </w:r>
      <w:r w:rsidRPr="005D73EA">
        <w:rPr>
          <w:rFonts w:eastAsiaTheme="minorEastAsia"/>
          <w:spacing w:val="4"/>
          <w:rtl/>
        </w:rPr>
        <w:t>بين</w:t>
      </w:r>
      <w:r w:rsidR="005971C3">
        <w:rPr>
          <w:rFonts w:eastAsiaTheme="minorEastAsia"/>
          <w:spacing w:val="4"/>
          <w:rtl/>
        </w:rPr>
        <w:t xml:space="preserve"> </w:t>
      </w:r>
      <w:r w:rsidRPr="005D73EA">
        <w:rPr>
          <w:rFonts w:eastAsiaTheme="minorEastAsia"/>
          <w:spacing w:val="4"/>
          <w:rtl/>
        </w:rPr>
        <w:t>المجلس</w:t>
      </w:r>
      <w:r w:rsidR="005971C3">
        <w:rPr>
          <w:rFonts w:eastAsiaTheme="minorEastAsia"/>
          <w:spacing w:val="4"/>
          <w:rtl/>
        </w:rPr>
        <w:t xml:space="preserve"> </w:t>
      </w:r>
      <w:r w:rsidRPr="005D73EA">
        <w:rPr>
          <w:rFonts w:eastAsiaTheme="minorEastAsia"/>
          <w:spacing w:val="4"/>
          <w:rtl/>
        </w:rPr>
        <w:t>الاتحادي</w:t>
      </w:r>
      <w:r w:rsidR="005971C3">
        <w:rPr>
          <w:rFonts w:eastAsiaTheme="minorEastAsia"/>
          <w:spacing w:val="4"/>
          <w:rtl/>
        </w:rPr>
        <w:t xml:space="preserve"> </w:t>
      </w:r>
      <w:r w:rsidRPr="005D73EA">
        <w:rPr>
          <w:rFonts w:eastAsiaTheme="minorEastAsia"/>
          <w:spacing w:val="4"/>
          <w:rtl/>
        </w:rPr>
        <w:t>السويسري</w:t>
      </w:r>
      <w:r w:rsidR="005971C3">
        <w:rPr>
          <w:rFonts w:eastAsiaTheme="minorEastAsia"/>
          <w:spacing w:val="4"/>
          <w:rtl/>
        </w:rPr>
        <w:t xml:space="preserve"> </w:t>
      </w:r>
      <w:r w:rsidRPr="005D73EA">
        <w:rPr>
          <w:rFonts w:eastAsiaTheme="minorEastAsia"/>
          <w:spacing w:val="4"/>
          <w:rtl/>
        </w:rPr>
        <w:t>وحكومة</w:t>
      </w:r>
      <w:r w:rsidR="005971C3">
        <w:rPr>
          <w:rFonts w:eastAsiaTheme="minorEastAsia"/>
          <w:spacing w:val="4"/>
          <w:rtl/>
        </w:rPr>
        <w:t xml:space="preserve"> </w:t>
      </w:r>
      <w:r w:rsidRPr="005D73EA">
        <w:rPr>
          <w:rFonts w:eastAsiaTheme="minorEastAsia"/>
          <w:spacing w:val="4"/>
          <w:rtl/>
        </w:rPr>
        <w:t>جمهورية</w:t>
      </w:r>
      <w:r w:rsidR="005971C3">
        <w:rPr>
          <w:rFonts w:eastAsiaTheme="minorEastAsia"/>
          <w:spacing w:val="4"/>
          <w:rtl/>
        </w:rPr>
        <w:t xml:space="preserve"> </w:t>
      </w:r>
      <w:r w:rsidRPr="005D73EA">
        <w:rPr>
          <w:rFonts w:eastAsiaTheme="minorEastAsia"/>
          <w:spacing w:val="4"/>
          <w:rtl/>
        </w:rPr>
        <w:t>كوسوفو</w:t>
      </w:r>
      <w:r w:rsidR="005971C3">
        <w:rPr>
          <w:rFonts w:eastAsiaTheme="minorEastAsia"/>
          <w:spacing w:val="4"/>
          <w:rtl/>
        </w:rPr>
        <w:t xml:space="preserve"> </w:t>
      </w:r>
      <w:r w:rsidRPr="005D73EA">
        <w:rPr>
          <w:rFonts w:eastAsiaTheme="minorEastAsia"/>
          <w:spacing w:val="4"/>
          <w:rtl/>
        </w:rPr>
        <w:t>بشأن</w:t>
      </w:r>
      <w:r w:rsidR="005971C3">
        <w:rPr>
          <w:rFonts w:eastAsiaTheme="minorEastAsia"/>
          <w:spacing w:val="4"/>
          <w:rtl/>
        </w:rPr>
        <w:t xml:space="preserve"> </w:t>
      </w:r>
      <w:r w:rsidRPr="005D73EA">
        <w:rPr>
          <w:rFonts w:eastAsiaTheme="minorEastAsia"/>
          <w:spacing w:val="4"/>
          <w:rtl/>
        </w:rPr>
        <w:t>إعادة</w:t>
      </w:r>
      <w:r w:rsidR="005971C3">
        <w:rPr>
          <w:rFonts w:eastAsiaTheme="minorEastAsia"/>
          <w:spacing w:val="4"/>
          <w:rtl/>
        </w:rPr>
        <w:t xml:space="preserve"> </w:t>
      </w:r>
      <w:r w:rsidRPr="005D73EA">
        <w:rPr>
          <w:rFonts w:eastAsiaTheme="minorEastAsia"/>
          <w:spacing w:val="4"/>
          <w:rtl/>
        </w:rPr>
        <w:t>قبول</w:t>
      </w:r>
      <w:r w:rsidR="005971C3">
        <w:rPr>
          <w:rFonts w:eastAsiaTheme="minorEastAsia"/>
          <w:spacing w:val="4"/>
          <w:rtl/>
        </w:rPr>
        <w:t xml:space="preserve"> </w:t>
      </w:r>
      <w:r w:rsidRPr="005D73EA">
        <w:rPr>
          <w:rFonts w:eastAsiaTheme="minorEastAsia"/>
          <w:spacing w:val="4"/>
          <w:rtl/>
        </w:rPr>
        <w:t>الأشخاص</w:t>
      </w:r>
      <w:r w:rsidR="005971C3">
        <w:rPr>
          <w:rFonts w:eastAsiaTheme="minorEastAsia"/>
          <w:spacing w:val="4"/>
          <w:rtl/>
        </w:rPr>
        <w:t xml:space="preserve"> </w:t>
      </w:r>
      <w:r w:rsidRPr="005D73EA">
        <w:rPr>
          <w:rFonts w:eastAsiaTheme="minorEastAsia"/>
          <w:spacing w:val="4"/>
          <w:rtl/>
        </w:rPr>
        <w:t>ذوي</w:t>
      </w:r>
      <w:r w:rsidR="005971C3">
        <w:rPr>
          <w:rFonts w:eastAsiaTheme="minorEastAsia"/>
          <w:spacing w:val="4"/>
          <w:rtl/>
        </w:rPr>
        <w:t xml:space="preserve"> </w:t>
      </w:r>
      <w:r w:rsidRPr="005D73EA">
        <w:rPr>
          <w:rFonts w:eastAsiaTheme="minorEastAsia"/>
          <w:spacing w:val="4"/>
          <w:rtl/>
        </w:rPr>
        <w:t>الوضع</w:t>
      </w:r>
      <w:r w:rsidR="005971C3">
        <w:rPr>
          <w:rFonts w:eastAsiaTheme="minorEastAsia"/>
          <w:spacing w:val="4"/>
          <w:rtl/>
        </w:rPr>
        <w:t xml:space="preserve"> </w:t>
      </w:r>
      <w:r w:rsidRPr="005D73EA">
        <w:rPr>
          <w:rFonts w:eastAsiaTheme="minorEastAsia"/>
          <w:spacing w:val="4"/>
          <w:rtl/>
        </w:rPr>
        <w:t>غير</w:t>
      </w:r>
      <w:r w:rsidR="005971C3">
        <w:rPr>
          <w:rFonts w:eastAsiaTheme="minorEastAsia"/>
          <w:spacing w:val="4"/>
          <w:rtl/>
        </w:rPr>
        <w:t xml:space="preserve"> </w:t>
      </w:r>
      <w:r w:rsidRPr="005D73EA">
        <w:rPr>
          <w:rFonts w:eastAsiaTheme="minorEastAsia"/>
          <w:spacing w:val="4"/>
          <w:rtl/>
        </w:rPr>
        <w:t>النظامي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(</w:t>
      </w:r>
      <w:r w:rsidRPr="00B700B9">
        <w:rPr>
          <w:rFonts w:eastAsiaTheme="minorEastAsia"/>
        </w:rPr>
        <w:t>RS</w:t>
      </w:r>
      <w:r w:rsidR="005971C3">
        <w:rPr>
          <w:rFonts w:eastAsiaTheme="minorEastAsia"/>
        </w:rPr>
        <w:t xml:space="preserve"> </w:t>
      </w:r>
      <w:r w:rsidRPr="00DB56B9">
        <w:rPr>
          <w:rFonts w:eastAsiaTheme="minorEastAsia"/>
        </w:rPr>
        <w:t>0</w:t>
      </w:r>
      <w:r w:rsidRPr="00B700B9">
        <w:rPr>
          <w:rFonts w:eastAsiaTheme="minorEastAsia"/>
        </w:rPr>
        <w:t>,</w:t>
      </w:r>
      <w:r w:rsidRPr="00DB56B9">
        <w:rPr>
          <w:rFonts w:eastAsiaTheme="minorEastAsia"/>
        </w:rPr>
        <w:t>142</w:t>
      </w:r>
      <w:r w:rsidRPr="00B700B9">
        <w:rPr>
          <w:rFonts w:eastAsiaTheme="minorEastAsia"/>
        </w:rPr>
        <w:t>,</w:t>
      </w:r>
      <w:r w:rsidRPr="00DB56B9">
        <w:rPr>
          <w:rFonts w:eastAsiaTheme="minorEastAsia"/>
        </w:rPr>
        <w:t>114</w:t>
      </w:r>
      <w:r w:rsidRPr="00B700B9">
        <w:rPr>
          <w:rFonts w:eastAsiaTheme="minorEastAsia"/>
        </w:rPr>
        <w:t>,</w:t>
      </w:r>
      <w:r w:rsidRPr="00DB56B9">
        <w:rPr>
          <w:rFonts w:eastAsiaTheme="minorEastAsia"/>
        </w:rPr>
        <w:t>759</w:t>
      </w:r>
      <w:r w:rsidRPr="00F83617">
        <w:rPr>
          <w:rFonts w:eastAsiaTheme="minorEastAsia"/>
          <w:rtl/>
        </w:rPr>
        <w:t>)،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دخل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حيز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النفاذ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حزيران/يونيه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2010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11">
    <w:p w14:paraId="78E47FE0" w14:textId="5A4A77FD" w:rsidR="00F83617" w:rsidRPr="00B700B9" w:rsidRDefault="00F83617" w:rsidP="00F83617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spacing w:val="-4"/>
          <w:rtl/>
        </w:rPr>
        <w:t>(</w:t>
      </w:r>
      <w:r w:rsidRPr="00DB56B9">
        <w:rPr>
          <w:rStyle w:val="FootnoteReference"/>
          <w:rFonts w:eastAsiaTheme="minorEastAsia"/>
          <w:spacing w:val="-4"/>
          <w:vertAlign w:val="baseline"/>
        </w:rPr>
        <w:footnoteRef/>
      </w:r>
      <w:r w:rsidRPr="006A24C5">
        <w:rPr>
          <w:rStyle w:val="FootnoteReference"/>
          <w:rFonts w:eastAsiaTheme="minorEastAsia"/>
          <w:spacing w:val="-4"/>
          <w:vertAlign w:val="baseline"/>
          <w:rtl/>
        </w:rPr>
        <w:t>)</w:t>
      </w:r>
      <w:r w:rsidRPr="00B700B9">
        <w:rPr>
          <w:rFonts w:eastAsiaTheme="minorEastAsia"/>
          <w:spacing w:val="-4"/>
          <w:rtl/>
        </w:rPr>
        <w:tab/>
      </w:r>
      <w:r w:rsidRPr="002539E8">
        <w:rPr>
          <w:rFonts w:eastAsiaTheme="minorEastAsia"/>
          <w:spacing w:val="-4"/>
          <w:rtl/>
        </w:rPr>
        <w:t>انظر</w:t>
      </w:r>
      <w:r w:rsidR="005971C3">
        <w:rPr>
          <w:rFonts w:eastAsiaTheme="minorEastAsia"/>
          <w:spacing w:val="-4"/>
          <w:rtl/>
        </w:rPr>
        <w:t xml:space="preserve"> </w:t>
      </w:r>
      <w:hyperlink r:id="rId3" w:history="1">
        <w:r w:rsidRPr="006A24C5">
          <w:rPr>
            <w:rStyle w:val="Hyperlink"/>
            <w:spacing w:val="-4"/>
          </w:rPr>
          <w:t>https://www.aa.com.tr/en/europe/kosovo-minister-wants-feto-pkk-pyd-labeled-terrorists/</w:t>
        </w:r>
        <w:r w:rsidRPr="00DB56B9">
          <w:rPr>
            <w:rStyle w:val="Hyperlink"/>
            <w:spacing w:val="-4"/>
          </w:rPr>
          <w:t>2150030</w:t>
        </w:r>
      </w:hyperlink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12">
    <w:p w14:paraId="1886A264" w14:textId="30E05973" w:rsidR="00F83617" w:rsidRPr="00B700B9" w:rsidRDefault="00F83617" w:rsidP="00F83617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انظر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قضية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أردوغان</w:t>
      </w:r>
      <w:r w:rsidR="005971C3" w:rsidRPr="00DB56B9">
        <w:rPr>
          <w:rFonts w:eastAsiaTheme="minorEastAsia"/>
          <w:i/>
          <w:iCs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ضد</w:t>
      </w:r>
      <w:r w:rsidR="005971C3" w:rsidRPr="00DB56B9">
        <w:rPr>
          <w:rFonts w:eastAsiaTheme="minorEastAsia"/>
          <w:i/>
          <w:iCs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المغرب</w:t>
      </w:r>
      <w:r w:rsidR="005971C3" w:rsidRPr="00DB56B9">
        <w:rPr>
          <w:rFonts w:eastAsiaTheme="minorEastAsia"/>
          <w:i/>
          <w:iCs/>
          <w:rtl/>
        </w:rPr>
        <w:t xml:space="preserve"> </w:t>
      </w:r>
      <w:r w:rsidRPr="00B700B9">
        <w:rPr>
          <w:rFonts w:eastAsiaTheme="minorEastAsia"/>
          <w:rtl/>
        </w:rPr>
        <w:t>(</w:t>
      </w:r>
      <w:hyperlink r:id="rId4" w:history="1">
        <w:r w:rsidRPr="00F83617">
          <w:rPr>
            <w:rStyle w:val="Hyperlink"/>
          </w:rPr>
          <w:t>CAT/C/</w:t>
        </w:r>
        <w:r w:rsidRPr="00DB56B9">
          <w:rPr>
            <w:rStyle w:val="Hyperlink"/>
          </w:rPr>
          <w:t>66</w:t>
        </w:r>
        <w:r w:rsidRPr="00F83617">
          <w:rPr>
            <w:rStyle w:val="Hyperlink"/>
          </w:rPr>
          <w:t>/D/</w:t>
        </w:r>
        <w:r w:rsidRPr="00DB56B9">
          <w:rPr>
            <w:rStyle w:val="Hyperlink"/>
          </w:rPr>
          <w:t>827</w:t>
        </w:r>
        <w:r w:rsidRPr="00F83617">
          <w:rPr>
            <w:rStyle w:val="Hyperlink"/>
          </w:rPr>
          <w:t>/</w:t>
        </w:r>
        <w:r w:rsidRPr="00DB56B9">
          <w:rPr>
            <w:rStyle w:val="Hyperlink"/>
          </w:rPr>
          <w:t>2017</w:t>
        </w:r>
      </w:hyperlink>
      <w:r w:rsidRPr="00F83617">
        <w:rPr>
          <w:rFonts w:eastAsiaTheme="minorEastAsia"/>
          <w:rtl/>
        </w:rPr>
        <w:t>)،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وقضية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أوندر</w:t>
      </w:r>
      <w:r w:rsidR="005971C3" w:rsidRPr="00DB56B9">
        <w:rPr>
          <w:rFonts w:eastAsiaTheme="minorEastAsia"/>
          <w:i/>
          <w:iCs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ضد</w:t>
      </w:r>
      <w:r w:rsidR="005971C3" w:rsidRPr="00DB56B9">
        <w:rPr>
          <w:rFonts w:eastAsiaTheme="minorEastAsia"/>
          <w:i/>
          <w:iCs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المغرب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(</w:t>
      </w:r>
      <w:hyperlink r:id="rId5" w:history="1">
        <w:r w:rsidRPr="00F83617">
          <w:rPr>
            <w:rStyle w:val="Hyperlink"/>
          </w:rPr>
          <w:t>CAT/C/</w:t>
        </w:r>
        <w:r w:rsidRPr="00DB56B9">
          <w:rPr>
            <w:rStyle w:val="Hyperlink"/>
          </w:rPr>
          <w:t>66</w:t>
        </w:r>
        <w:r w:rsidRPr="00F83617">
          <w:rPr>
            <w:rStyle w:val="Hyperlink"/>
          </w:rPr>
          <w:t>/D/</w:t>
        </w:r>
        <w:r w:rsidRPr="00DB56B9">
          <w:rPr>
            <w:rStyle w:val="Hyperlink"/>
          </w:rPr>
          <w:t>845</w:t>
        </w:r>
        <w:r w:rsidRPr="00F83617">
          <w:rPr>
            <w:rStyle w:val="Hyperlink"/>
          </w:rPr>
          <w:t>/</w:t>
        </w:r>
        <w:r w:rsidRPr="00DB56B9">
          <w:rPr>
            <w:rStyle w:val="Hyperlink"/>
          </w:rPr>
          <w:t>2017</w:t>
        </w:r>
      </w:hyperlink>
      <w:r w:rsidRPr="00F83617">
        <w:rPr>
          <w:rFonts w:eastAsiaTheme="minorEastAsia"/>
          <w:rtl/>
        </w:rPr>
        <w:t>)،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وقضية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أيدن</w:t>
      </w:r>
      <w:r w:rsidR="005971C3" w:rsidRPr="00DB56B9">
        <w:rPr>
          <w:rFonts w:eastAsiaTheme="minorEastAsia"/>
          <w:i/>
          <w:iCs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ضد</w:t>
      </w:r>
      <w:r w:rsidR="005971C3" w:rsidRPr="00DB56B9">
        <w:rPr>
          <w:rFonts w:eastAsiaTheme="minorEastAsia"/>
          <w:i/>
          <w:iCs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المغرب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(</w:t>
      </w:r>
      <w:hyperlink r:id="rId6" w:history="1">
        <w:r w:rsidRPr="00F83617">
          <w:rPr>
            <w:rStyle w:val="Hyperlink"/>
          </w:rPr>
          <w:t>CAT/C/</w:t>
        </w:r>
        <w:r w:rsidRPr="00DB56B9">
          <w:rPr>
            <w:rStyle w:val="Hyperlink"/>
          </w:rPr>
          <w:t>66</w:t>
        </w:r>
        <w:r w:rsidRPr="00F83617">
          <w:rPr>
            <w:rStyle w:val="Hyperlink"/>
          </w:rPr>
          <w:t>/D/</w:t>
        </w:r>
        <w:r w:rsidRPr="00DB56B9">
          <w:rPr>
            <w:rStyle w:val="Hyperlink"/>
          </w:rPr>
          <w:t>846</w:t>
        </w:r>
        <w:r w:rsidRPr="00F83617">
          <w:rPr>
            <w:rStyle w:val="Hyperlink"/>
          </w:rPr>
          <w:t>/</w:t>
        </w:r>
        <w:r w:rsidRPr="00DB56B9">
          <w:rPr>
            <w:rStyle w:val="Hyperlink"/>
          </w:rPr>
          <w:t>2017</w:t>
        </w:r>
      </w:hyperlink>
      <w:r w:rsidRPr="00F83617">
        <w:rPr>
          <w:rFonts w:eastAsiaTheme="minorEastAsia"/>
          <w:rtl/>
        </w:rPr>
        <w:t>).</w:t>
      </w:r>
      <w:r w:rsidR="005971C3">
        <w:rPr>
          <w:rFonts w:eastAsiaTheme="minorEastAsia"/>
          <w:rtl/>
        </w:rPr>
        <w:t xml:space="preserve"> </w:t>
      </w:r>
    </w:p>
  </w:footnote>
  <w:footnote w:id="13">
    <w:p w14:paraId="47A3FACC" w14:textId="540C197B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انظر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الرأي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رقم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47</w:t>
      </w:r>
      <w:r w:rsidRPr="00B700B9">
        <w:rPr>
          <w:rFonts w:eastAsiaTheme="minorEastAsia"/>
          <w:rtl/>
        </w:rPr>
        <w:t>/</w:t>
      </w:r>
      <w:r w:rsidRPr="00DB56B9">
        <w:rPr>
          <w:rFonts w:eastAsiaTheme="minorEastAsia"/>
          <w:rtl/>
        </w:rPr>
        <w:t>2020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14">
    <w:p w14:paraId="27290233" w14:textId="43F73575" w:rsidR="00F83617" w:rsidRPr="00B700B9" w:rsidRDefault="00F83617" w:rsidP="00F83617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</w:r>
      <w:hyperlink r:id="rId7" w:history="1">
        <w:r w:rsidRPr="00F83617">
          <w:rPr>
            <w:rStyle w:val="Hyperlink"/>
          </w:rPr>
          <w:t>A/HRC/</w:t>
        </w:r>
        <w:r w:rsidRPr="00DB56B9">
          <w:rPr>
            <w:rStyle w:val="Hyperlink"/>
          </w:rPr>
          <w:t>37</w:t>
        </w:r>
        <w:r w:rsidRPr="00F83617">
          <w:rPr>
            <w:rStyle w:val="Hyperlink"/>
          </w:rPr>
          <w:t>/</w:t>
        </w:r>
        <w:r w:rsidRPr="00DB56B9">
          <w:rPr>
            <w:rStyle w:val="Hyperlink"/>
          </w:rPr>
          <w:t>50</w:t>
        </w:r>
        <w:r w:rsidRPr="00F83617">
          <w:rPr>
            <w:rStyle w:val="Hyperlink"/>
          </w:rPr>
          <w:t>/Add.</w:t>
        </w:r>
        <w:r w:rsidRPr="00DB56B9">
          <w:rPr>
            <w:rStyle w:val="Hyperlink"/>
          </w:rPr>
          <w:t>1</w:t>
        </w:r>
      </w:hyperlink>
      <w:r w:rsidRPr="00B700B9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الفقرة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23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15">
    <w:p w14:paraId="108EA32C" w14:textId="6C49D3D2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انظر،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سبيل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المثال،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"تقرير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الحكومة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التركية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عن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الزيارة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قامت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بها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الأوروبية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لمنع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التعذيب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والمعاملة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أو</w:t>
      </w:r>
      <w:r w:rsidR="005971C3">
        <w:rPr>
          <w:rFonts w:eastAsiaTheme="minorEastAsia" w:hint="cs"/>
          <w:rtl/>
        </w:rPr>
        <w:t xml:space="preserve"> </w:t>
      </w:r>
      <w:r w:rsidRPr="00B700B9">
        <w:rPr>
          <w:rFonts w:eastAsiaTheme="minorEastAsia"/>
          <w:rtl/>
        </w:rPr>
        <w:t>العقوبة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اللاإنسانية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المهينة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تركيا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الفترة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10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23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أيار/مايو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2017</w:t>
      </w:r>
      <w:r w:rsidRPr="00B700B9">
        <w:rPr>
          <w:rFonts w:eastAsiaTheme="minorEastAsia"/>
          <w:rtl/>
        </w:rPr>
        <w:t>"</w:t>
      </w:r>
      <w:r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16">
    <w:p w14:paraId="739EBF19" w14:textId="2080857A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</w:r>
      <w:r w:rsidRPr="00B700B9">
        <w:rPr>
          <w:rFonts w:eastAsiaTheme="minorEastAsia"/>
        </w:rPr>
        <w:t>AL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TUR</w:t>
      </w:r>
      <w:r w:rsidR="005971C3">
        <w:rPr>
          <w:rFonts w:eastAsiaTheme="minorEastAsia"/>
        </w:rPr>
        <w:t xml:space="preserve"> </w:t>
      </w:r>
      <w:r w:rsidRPr="00DB56B9">
        <w:rPr>
          <w:rFonts w:eastAsiaTheme="minorEastAsia"/>
        </w:rPr>
        <w:t>5</w:t>
      </w:r>
      <w:r w:rsidRPr="00B700B9">
        <w:rPr>
          <w:rFonts w:eastAsiaTheme="minorEastAsia"/>
        </w:rPr>
        <w:t>/</w:t>
      </w:r>
      <w:r w:rsidRPr="00DB56B9">
        <w:rPr>
          <w:rFonts w:eastAsiaTheme="minorEastAsia"/>
        </w:rPr>
        <w:t>2020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17">
    <w:p w14:paraId="432553D8" w14:textId="6F82F1FE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استجابة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لطلب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الأمانة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العامة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للأمم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المتحدة،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أبلغت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الدولة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الطرف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اللجنة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7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تشرين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الأول/أكتوبر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2022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بأن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أمانة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الدولة</w:t>
      </w:r>
      <w:r w:rsidR="005971C3">
        <w:rPr>
          <w:rFonts w:eastAsiaTheme="minorEastAsia" w:hint="cs"/>
          <w:rtl/>
        </w:rPr>
        <w:t xml:space="preserve"> </w:t>
      </w:r>
      <w:r w:rsidRPr="00B700B9">
        <w:rPr>
          <w:rFonts w:eastAsiaTheme="minorEastAsia"/>
          <w:rtl/>
        </w:rPr>
        <w:t>للهجرة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رفضت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28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شباط/فبراير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2022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التماس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اللجوء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الثاني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قدمه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صاحبا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البلاغ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سويسرا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6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كانون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الثاني/</w:t>
      </w:r>
      <w:r w:rsidR="005971C3">
        <w:rPr>
          <w:rFonts w:eastAsiaTheme="minorEastAsia" w:hint="cs"/>
          <w:rtl/>
        </w:rPr>
        <w:t xml:space="preserve"> </w:t>
      </w:r>
      <w:r w:rsidRPr="00B700B9">
        <w:rPr>
          <w:rFonts w:eastAsiaTheme="minorEastAsia"/>
          <w:rtl/>
        </w:rPr>
        <w:t>يناير</w:t>
      </w:r>
      <w:r w:rsidR="00DB56B9">
        <w:rPr>
          <w:rFonts w:eastAsiaTheme="minorEastAsia" w:hint="cs"/>
          <w:rtl/>
        </w:rPr>
        <w:t> </w:t>
      </w:r>
      <w:r w:rsidRPr="00DB56B9">
        <w:rPr>
          <w:rFonts w:eastAsiaTheme="minorEastAsia"/>
          <w:rtl/>
        </w:rPr>
        <w:t>2022</w:t>
      </w:r>
      <w:r w:rsidRPr="00B700B9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وأن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المحكمة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الإدارية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الاتحادية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رفضت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طلب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استئنافهما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اللاحق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19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تموز/يوليه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2022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18">
    <w:p w14:paraId="610A7E4F" w14:textId="2682F189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</w:r>
      <w:r w:rsidRPr="00DB56B9">
        <w:rPr>
          <w:rFonts w:eastAsiaTheme="minorEastAsia"/>
          <w:spacing w:val="-3"/>
          <w:rtl/>
        </w:rPr>
        <w:t>انظر،</w:t>
      </w:r>
      <w:r w:rsidR="005971C3" w:rsidRPr="00DB56B9">
        <w:rPr>
          <w:rFonts w:eastAsiaTheme="minorEastAsia"/>
          <w:spacing w:val="-3"/>
          <w:rtl/>
        </w:rPr>
        <w:t xml:space="preserve"> </w:t>
      </w:r>
      <w:r w:rsidRPr="00DB56B9">
        <w:rPr>
          <w:rFonts w:eastAsiaTheme="minorEastAsia"/>
          <w:spacing w:val="-3"/>
          <w:rtl/>
        </w:rPr>
        <w:t>على</w:t>
      </w:r>
      <w:r w:rsidR="005971C3" w:rsidRPr="00DB56B9">
        <w:rPr>
          <w:rFonts w:eastAsiaTheme="minorEastAsia"/>
          <w:spacing w:val="-3"/>
          <w:rtl/>
        </w:rPr>
        <w:t xml:space="preserve"> </w:t>
      </w:r>
      <w:r w:rsidRPr="00DB56B9">
        <w:rPr>
          <w:rFonts w:eastAsiaTheme="minorEastAsia"/>
          <w:spacing w:val="-3"/>
          <w:rtl/>
        </w:rPr>
        <w:t>سبيل</w:t>
      </w:r>
      <w:r w:rsidR="005971C3" w:rsidRPr="00DB56B9">
        <w:rPr>
          <w:rFonts w:eastAsiaTheme="minorEastAsia"/>
          <w:spacing w:val="-3"/>
          <w:rtl/>
        </w:rPr>
        <w:t xml:space="preserve"> </w:t>
      </w:r>
      <w:r w:rsidRPr="00DB56B9">
        <w:rPr>
          <w:rFonts w:eastAsiaTheme="minorEastAsia"/>
          <w:spacing w:val="-3"/>
          <w:rtl/>
        </w:rPr>
        <w:t>المثال،</w:t>
      </w:r>
      <w:r w:rsidRPr="00DB56B9">
        <w:rPr>
          <w:rFonts w:eastAsiaTheme="minorEastAsia"/>
          <w:spacing w:val="-3"/>
        </w:rPr>
        <w:t>Financial</w:t>
      </w:r>
      <w:r w:rsidR="005971C3" w:rsidRPr="00DB56B9">
        <w:rPr>
          <w:rFonts w:eastAsiaTheme="minorEastAsia"/>
          <w:spacing w:val="-3"/>
        </w:rPr>
        <w:t xml:space="preserve"> </w:t>
      </w:r>
      <w:r w:rsidRPr="00DB56B9">
        <w:rPr>
          <w:rFonts w:eastAsiaTheme="minorEastAsia"/>
          <w:spacing w:val="-3"/>
        </w:rPr>
        <w:t>Times,</w:t>
      </w:r>
      <w:r w:rsidR="005971C3" w:rsidRPr="00DB56B9">
        <w:rPr>
          <w:rFonts w:eastAsiaTheme="minorEastAsia"/>
          <w:spacing w:val="-3"/>
        </w:rPr>
        <w:t xml:space="preserve"> </w:t>
      </w:r>
      <w:r w:rsidRPr="00DB56B9">
        <w:rPr>
          <w:rFonts w:eastAsiaTheme="minorEastAsia"/>
          <w:spacing w:val="-3"/>
        </w:rPr>
        <w:t>“Erdoğan</w:t>
      </w:r>
      <w:r w:rsidR="005971C3" w:rsidRPr="00DB56B9">
        <w:rPr>
          <w:rFonts w:eastAsiaTheme="minorEastAsia"/>
          <w:spacing w:val="-3"/>
        </w:rPr>
        <w:t xml:space="preserve"> </w:t>
      </w:r>
      <w:r w:rsidRPr="00DB56B9">
        <w:rPr>
          <w:rFonts w:eastAsiaTheme="minorEastAsia"/>
          <w:spacing w:val="-3"/>
        </w:rPr>
        <w:t>blocks</w:t>
      </w:r>
      <w:r w:rsidR="005971C3" w:rsidRPr="00DB56B9">
        <w:rPr>
          <w:rFonts w:eastAsiaTheme="minorEastAsia"/>
          <w:spacing w:val="-3"/>
        </w:rPr>
        <w:t xml:space="preserve"> </w:t>
      </w:r>
      <w:r w:rsidRPr="00DB56B9">
        <w:rPr>
          <w:rFonts w:eastAsiaTheme="minorEastAsia"/>
          <w:spacing w:val="-3"/>
        </w:rPr>
        <w:t>Nato</w:t>
      </w:r>
      <w:r w:rsidR="005971C3" w:rsidRPr="00DB56B9">
        <w:rPr>
          <w:rFonts w:eastAsiaTheme="minorEastAsia"/>
          <w:spacing w:val="-3"/>
        </w:rPr>
        <w:t xml:space="preserve"> </w:t>
      </w:r>
      <w:r w:rsidRPr="00DB56B9">
        <w:rPr>
          <w:rFonts w:eastAsiaTheme="minorEastAsia"/>
          <w:spacing w:val="-3"/>
        </w:rPr>
        <w:t>accession</w:t>
      </w:r>
      <w:r w:rsidR="005971C3" w:rsidRPr="00DB56B9">
        <w:rPr>
          <w:rFonts w:eastAsiaTheme="minorEastAsia"/>
          <w:spacing w:val="-3"/>
        </w:rPr>
        <w:t xml:space="preserve"> </w:t>
      </w:r>
      <w:r w:rsidRPr="00DB56B9">
        <w:rPr>
          <w:rFonts w:eastAsiaTheme="minorEastAsia"/>
          <w:spacing w:val="-3"/>
        </w:rPr>
        <w:t>talks</w:t>
      </w:r>
      <w:r w:rsidR="005971C3" w:rsidRPr="00DB56B9">
        <w:rPr>
          <w:rFonts w:eastAsiaTheme="minorEastAsia"/>
          <w:spacing w:val="-3"/>
        </w:rPr>
        <w:t xml:space="preserve"> </w:t>
      </w:r>
      <w:r w:rsidRPr="00DB56B9">
        <w:rPr>
          <w:rFonts w:eastAsiaTheme="minorEastAsia"/>
          <w:spacing w:val="-3"/>
        </w:rPr>
        <w:t>with</w:t>
      </w:r>
      <w:r w:rsidR="005971C3" w:rsidRPr="00DB56B9">
        <w:rPr>
          <w:rFonts w:eastAsiaTheme="minorEastAsia"/>
          <w:spacing w:val="-3"/>
        </w:rPr>
        <w:t xml:space="preserve"> </w:t>
      </w:r>
      <w:r w:rsidRPr="00DB56B9">
        <w:rPr>
          <w:rFonts w:eastAsiaTheme="minorEastAsia"/>
          <w:spacing w:val="-3"/>
        </w:rPr>
        <w:t>Sweden</w:t>
      </w:r>
      <w:r w:rsidR="005971C3" w:rsidRPr="00DB56B9">
        <w:rPr>
          <w:rFonts w:eastAsiaTheme="minorEastAsia"/>
          <w:spacing w:val="-3"/>
        </w:rPr>
        <w:t xml:space="preserve"> </w:t>
      </w:r>
      <w:r w:rsidRPr="00DB56B9">
        <w:rPr>
          <w:rFonts w:eastAsiaTheme="minorEastAsia"/>
          <w:spacing w:val="-3"/>
        </w:rPr>
        <w:t>and</w:t>
      </w:r>
      <w:r w:rsidR="005971C3" w:rsidRPr="00DB56B9">
        <w:rPr>
          <w:rFonts w:eastAsiaTheme="minorEastAsia"/>
          <w:spacing w:val="-3"/>
        </w:rPr>
        <w:t xml:space="preserve"> </w:t>
      </w:r>
      <w:r w:rsidRPr="00DB56B9">
        <w:rPr>
          <w:rFonts w:eastAsiaTheme="minorEastAsia"/>
          <w:spacing w:val="-3"/>
        </w:rPr>
        <w:t>Finland</w:t>
      </w:r>
      <w:r w:rsidRPr="00B700B9">
        <w:rPr>
          <w:rFonts w:eastAsiaTheme="minorEastAsia"/>
        </w:rPr>
        <w:t>”,</w:t>
      </w:r>
      <w:r w:rsidR="005971C3">
        <w:rPr>
          <w:rFonts w:eastAsiaTheme="minorEastAsia"/>
        </w:rPr>
        <w:t xml:space="preserve"> </w:t>
      </w:r>
      <w:r w:rsidRPr="00DB56B9">
        <w:rPr>
          <w:rFonts w:eastAsiaTheme="minorEastAsia"/>
        </w:rPr>
        <w:t>18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May</w:t>
      </w:r>
      <w:r w:rsidR="005971C3">
        <w:rPr>
          <w:rFonts w:eastAsiaTheme="minorEastAsia"/>
        </w:rPr>
        <w:t xml:space="preserve"> </w:t>
      </w:r>
      <w:r w:rsidRPr="00DB56B9">
        <w:rPr>
          <w:rFonts w:eastAsiaTheme="minorEastAsia"/>
        </w:rPr>
        <w:t>2022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19">
    <w:p w14:paraId="60A03ACB" w14:textId="419A29D2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الفقرة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12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ولأغراض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التعليق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العام،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تعرّف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الفقرة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4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مصطلح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"الترحيل"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بأنه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يشمل،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سبيل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الذكر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الحصر،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الطرد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وتسليم</w:t>
      </w:r>
      <w:r w:rsidR="005971C3">
        <w:rPr>
          <w:rFonts w:eastAsiaTheme="minorEastAsia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المجرمين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والإعادة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القسرية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والنقل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القسري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وتسليم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المطلوبين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ومنع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الدخول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عند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الحدود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وعمليات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الصد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(بما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فيها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التي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تجري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في</w:t>
      </w:r>
      <w:r w:rsidR="005971C3">
        <w:rPr>
          <w:rFonts w:eastAsiaTheme="minorEastAsia"/>
          <w:spacing w:val="-4"/>
          <w:rtl/>
        </w:rPr>
        <w:t xml:space="preserve"> </w:t>
      </w:r>
      <w:r w:rsidRPr="00593FC6">
        <w:rPr>
          <w:rFonts w:eastAsiaTheme="minorEastAsia"/>
          <w:spacing w:val="-4"/>
          <w:rtl/>
        </w:rPr>
        <w:t>البحر)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يشارك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فيها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شخص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أو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مجموعة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الأفراد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دولة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طرف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إلى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دولة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أخرى</w:t>
      </w:r>
      <w:r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20">
    <w:p w14:paraId="02B8BDEC" w14:textId="5E9441C2" w:rsidR="00F83617" w:rsidRPr="00B700B9" w:rsidRDefault="00F83617" w:rsidP="00F83617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انظر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التعليق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العام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رقم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4</w:t>
      </w:r>
      <w:r w:rsidRPr="00B700B9">
        <w:rPr>
          <w:rFonts w:eastAsiaTheme="minorEastAsia"/>
          <w:rtl/>
        </w:rPr>
        <w:t>(</w:t>
      </w:r>
      <w:r w:rsidRPr="00DB56B9">
        <w:rPr>
          <w:rFonts w:eastAsiaTheme="minorEastAsia"/>
          <w:rtl/>
        </w:rPr>
        <w:t>2017</w:t>
      </w:r>
      <w:r w:rsidRPr="00F83617">
        <w:rPr>
          <w:rFonts w:eastAsiaTheme="minorEastAsia"/>
          <w:rtl/>
        </w:rPr>
        <w:t>)،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الفقرتين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11</w:t>
      </w:r>
      <w:r w:rsidRPr="00B700B9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12</w:t>
      </w:r>
      <w:r w:rsidRPr="00B700B9">
        <w:rPr>
          <w:rFonts w:eastAsiaTheme="minorEastAsia"/>
          <w:rtl/>
        </w:rPr>
        <w:t>؛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وقضية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ت.</w:t>
      </w:r>
      <w:r w:rsidR="005971C3" w:rsidRPr="00DB56B9">
        <w:rPr>
          <w:rFonts w:eastAsiaTheme="minorEastAsia"/>
          <w:i/>
          <w:iCs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أ.</w:t>
      </w:r>
      <w:r w:rsidR="005971C3" w:rsidRPr="00DB56B9">
        <w:rPr>
          <w:rFonts w:eastAsiaTheme="minorEastAsia"/>
          <w:i/>
          <w:iCs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ضد</w:t>
      </w:r>
      <w:r w:rsidR="005971C3" w:rsidRPr="00DB56B9">
        <w:rPr>
          <w:rFonts w:eastAsiaTheme="minorEastAsia"/>
          <w:i/>
          <w:iCs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سويسرا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(</w:t>
      </w:r>
      <w:hyperlink r:id="rId8" w:history="1">
        <w:r w:rsidRPr="00F83617">
          <w:rPr>
            <w:rStyle w:val="Hyperlink"/>
          </w:rPr>
          <w:t>CAT/C/</w:t>
        </w:r>
        <w:r w:rsidRPr="00DB56B9">
          <w:rPr>
            <w:rStyle w:val="Hyperlink"/>
          </w:rPr>
          <w:t>73</w:t>
        </w:r>
        <w:r w:rsidRPr="00F83617">
          <w:rPr>
            <w:rStyle w:val="Hyperlink"/>
          </w:rPr>
          <w:t>/D/</w:t>
        </w:r>
        <w:r w:rsidRPr="00DB56B9">
          <w:rPr>
            <w:rStyle w:val="Hyperlink"/>
          </w:rPr>
          <w:t>914</w:t>
        </w:r>
        <w:r w:rsidRPr="00F83617">
          <w:rPr>
            <w:rStyle w:val="Hyperlink"/>
          </w:rPr>
          <w:t>/</w:t>
        </w:r>
        <w:r w:rsidRPr="00DB56B9">
          <w:rPr>
            <w:rStyle w:val="Hyperlink"/>
          </w:rPr>
          <w:t>2019</w:t>
        </w:r>
      </w:hyperlink>
      <w:r w:rsidRPr="00F83617">
        <w:rPr>
          <w:rFonts w:eastAsiaTheme="minorEastAsia"/>
          <w:rtl/>
        </w:rPr>
        <w:t>)،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الفقرة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8</w:t>
      </w:r>
      <w:r w:rsidRPr="00B700B9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5</w:t>
      </w:r>
      <w:r w:rsidRPr="00B700B9">
        <w:rPr>
          <w:rFonts w:eastAsiaTheme="minorEastAsia"/>
          <w:rtl/>
        </w:rPr>
        <w:t>؛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وقضية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إ.</w:t>
      </w:r>
      <w:r w:rsidR="005971C3" w:rsidRPr="00DB56B9">
        <w:rPr>
          <w:rFonts w:eastAsiaTheme="minorEastAsia"/>
          <w:i/>
          <w:iCs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ت.</w:t>
      </w:r>
      <w:r w:rsidR="005971C3" w:rsidRPr="00DB56B9">
        <w:rPr>
          <w:rFonts w:eastAsiaTheme="minorEastAsia"/>
          <w:i/>
          <w:iCs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ضد</w:t>
      </w:r>
      <w:r w:rsidR="005971C3" w:rsidRPr="00DB56B9">
        <w:rPr>
          <w:rFonts w:eastAsiaTheme="minorEastAsia"/>
          <w:i/>
          <w:iCs/>
          <w:rtl/>
        </w:rPr>
        <w:t xml:space="preserve"> </w:t>
      </w:r>
      <w:r w:rsidRPr="00DB56B9">
        <w:rPr>
          <w:rFonts w:eastAsiaTheme="minorEastAsia"/>
          <w:i/>
          <w:iCs/>
          <w:rtl/>
        </w:rPr>
        <w:t>هولندا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(</w:t>
      </w:r>
      <w:hyperlink r:id="rId9" w:history="1">
        <w:r w:rsidRPr="00F83617">
          <w:rPr>
            <w:rStyle w:val="Hyperlink"/>
          </w:rPr>
          <w:t>CAT/C/</w:t>
        </w:r>
        <w:r w:rsidRPr="00DB56B9">
          <w:rPr>
            <w:rStyle w:val="Hyperlink"/>
          </w:rPr>
          <w:t>65</w:t>
        </w:r>
        <w:r w:rsidRPr="00F83617">
          <w:rPr>
            <w:rStyle w:val="Hyperlink"/>
          </w:rPr>
          <w:t>/D/</w:t>
        </w:r>
        <w:r w:rsidRPr="00DB56B9">
          <w:rPr>
            <w:rStyle w:val="Hyperlink"/>
          </w:rPr>
          <w:t>801</w:t>
        </w:r>
        <w:r w:rsidRPr="00F83617">
          <w:rPr>
            <w:rStyle w:val="Hyperlink"/>
          </w:rPr>
          <w:t>/</w:t>
        </w:r>
        <w:r w:rsidRPr="00DB56B9">
          <w:rPr>
            <w:rStyle w:val="Hyperlink"/>
          </w:rPr>
          <w:t>2017</w:t>
        </w:r>
      </w:hyperlink>
      <w:r w:rsidRPr="00F83617">
        <w:rPr>
          <w:rFonts w:eastAsiaTheme="minorEastAsia"/>
          <w:rtl/>
        </w:rPr>
        <w:t>)،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الفقرة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7</w:t>
      </w:r>
      <w:r w:rsidRPr="00B700B9">
        <w:rPr>
          <w:rFonts w:eastAsiaTheme="minorEastAsia"/>
          <w:rtl/>
        </w:rPr>
        <w:t>-</w:t>
      </w:r>
      <w:r w:rsidRPr="00DB56B9">
        <w:rPr>
          <w:rFonts w:eastAsiaTheme="minorEastAsia"/>
          <w:rtl/>
        </w:rPr>
        <w:t>5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21">
    <w:p w14:paraId="3405ADB1" w14:textId="14DEDD06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التعليق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العام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رقم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4</w:t>
      </w:r>
      <w:r w:rsidRPr="00B700B9">
        <w:rPr>
          <w:rFonts w:eastAsiaTheme="minorEastAsia"/>
          <w:rtl/>
        </w:rPr>
        <w:t>(</w:t>
      </w:r>
      <w:r w:rsidRPr="00DB56B9">
        <w:rPr>
          <w:rFonts w:eastAsiaTheme="minorEastAsia"/>
          <w:rtl/>
        </w:rPr>
        <w:t>2017</w:t>
      </w:r>
      <w:r w:rsidRPr="00F83617">
        <w:rPr>
          <w:rFonts w:eastAsiaTheme="minorEastAsia"/>
          <w:rtl/>
        </w:rPr>
        <w:t>)،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الفقرة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38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22">
    <w:p w14:paraId="42741413" w14:textId="046ACE78" w:rsidR="00F83617" w:rsidRPr="00610963" w:rsidRDefault="00F83617" w:rsidP="00F049F0">
      <w:pPr>
        <w:pStyle w:val="FootnoteText1"/>
        <w:textDirection w:val="tbRlV"/>
        <w:rPr>
          <w:rFonts w:eastAsiaTheme="minorEastAsia"/>
          <w:lang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المرجع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نفسه،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الفقرة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50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23">
    <w:p w14:paraId="3B521B6A" w14:textId="2E1F7DF3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</w:r>
      <w:r w:rsidRPr="00B700B9">
        <w:rPr>
          <w:rFonts w:eastAsiaTheme="minorEastAsia"/>
        </w:rPr>
        <w:t>“Report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on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the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impact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of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the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state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of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emergency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on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human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rights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in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Turke</w:t>
      </w:r>
      <w:r w:rsidRPr="00F83617">
        <w:rPr>
          <w:rFonts w:eastAsiaTheme="minorEastAsia"/>
        </w:rPr>
        <w:t>y,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including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an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update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on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the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South-Eas</w:t>
      </w:r>
      <w:r w:rsidRPr="00F83617">
        <w:rPr>
          <w:rFonts w:eastAsiaTheme="minorEastAsia"/>
        </w:rPr>
        <w:t>t: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January–December</w:t>
      </w:r>
      <w:r w:rsidR="005971C3">
        <w:rPr>
          <w:rFonts w:eastAsiaTheme="minorEastAsia"/>
        </w:rPr>
        <w:t xml:space="preserve"> </w:t>
      </w:r>
      <w:r w:rsidRPr="00DB56B9">
        <w:rPr>
          <w:rFonts w:eastAsiaTheme="minorEastAsia"/>
        </w:rPr>
        <w:t>2017</w:t>
      </w:r>
      <w:r w:rsidRPr="00B700B9">
        <w:rPr>
          <w:rFonts w:eastAsiaTheme="minorEastAsia"/>
        </w:rPr>
        <w:t>”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(March</w:t>
      </w:r>
      <w:r w:rsidR="005971C3">
        <w:rPr>
          <w:rFonts w:eastAsiaTheme="minorEastAsia"/>
        </w:rPr>
        <w:t xml:space="preserve"> </w:t>
      </w:r>
      <w:r w:rsidRPr="00DB56B9">
        <w:rPr>
          <w:rFonts w:eastAsiaTheme="minorEastAsia"/>
        </w:rPr>
        <w:t>2018</w:t>
      </w:r>
      <w:r w:rsidRPr="00F83617">
        <w:rPr>
          <w:rFonts w:eastAsiaTheme="minorEastAsia"/>
        </w:rPr>
        <w:t>),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para</w:t>
      </w:r>
      <w:r w:rsidRPr="00F83617">
        <w:rPr>
          <w:rFonts w:eastAsiaTheme="minorEastAsia"/>
        </w:rPr>
        <w:t>s.</w:t>
      </w:r>
      <w:r w:rsidR="005971C3">
        <w:rPr>
          <w:rFonts w:eastAsiaTheme="minorEastAsia"/>
        </w:rPr>
        <w:t xml:space="preserve"> </w:t>
      </w:r>
      <w:r w:rsidRPr="00DB56B9">
        <w:rPr>
          <w:rFonts w:eastAsiaTheme="minorEastAsia"/>
        </w:rPr>
        <w:t>77</w:t>
      </w:r>
      <w:r w:rsidRPr="00B700B9">
        <w:rPr>
          <w:rFonts w:eastAsiaTheme="minorEastAsia"/>
        </w:rPr>
        <w:t>–</w:t>
      </w:r>
      <w:r w:rsidRPr="00DB56B9">
        <w:rPr>
          <w:rFonts w:eastAsiaTheme="minorEastAsia"/>
        </w:rPr>
        <w:t>78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24">
    <w:p w14:paraId="3CF0DAD0" w14:textId="0E148226" w:rsidR="00F83617" w:rsidRPr="00B700B9" w:rsidRDefault="00F83617" w:rsidP="00F83617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</w:r>
      <w:hyperlink r:id="rId10" w:history="1">
        <w:r w:rsidRPr="00F83617">
          <w:rPr>
            <w:rStyle w:val="Hyperlink"/>
          </w:rPr>
          <w:t>A/HRC/</w:t>
        </w:r>
        <w:r w:rsidRPr="00DB56B9">
          <w:rPr>
            <w:rStyle w:val="Hyperlink"/>
          </w:rPr>
          <w:t>37</w:t>
        </w:r>
        <w:r w:rsidRPr="00F83617">
          <w:rPr>
            <w:rStyle w:val="Hyperlink"/>
          </w:rPr>
          <w:t>/</w:t>
        </w:r>
        <w:r w:rsidRPr="00DB56B9">
          <w:rPr>
            <w:rStyle w:val="Hyperlink"/>
          </w:rPr>
          <w:t>50</w:t>
        </w:r>
        <w:r w:rsidRPr="00F83617">
          <w:rPr>
            <w:rStyle w:val="Hyperlink"/>
          </w:rPr>
          <w:t>/Add.</w:t>
        </w:r>
        <w:r w:rsidRPr="00DB56B9">
          <w:rPr>
            <w:rStyle w:val="Hyperlink"/>
          </w:rPr>
          <w:t>1</w:t>
        </w:r>
      </w:hyperlink>
      <w:r w:rsidRPr="00B700B9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الفقرة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95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25">
    <w:p w14:paraId="28A630E4" w14:textId="302A1C78" w:rsidR="00F83617" w:rsidRPr="00B700B9" w:rsidRDefault="00F83617" w:rsidP="00610963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المرجع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نفسه،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الفقرات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70</w:t>
      </w:r>
      <w:r w:rsidRPr="00B700B9">
        <w:rPr>
          <w:rFonts w:eastAsiaTheme="minorEastAsia"/>
          <w:rtl/>
        </w:rPr>
        <w:t>–</w:t>
      </w:r>
      <w:r w:rsidRPr="00DB56B9">
        <w:rPr>
          <w:rFonts w:eastAsiaTheme="minorEastAsia"/>
          <w:rtl/>
        </w:rPr>
        <w:t>73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26">
    <w:p w14:paraId="28D36A34" w14:textId="47243329" w:rsidR="00F83617" w:rsidRPr="00B700B9" w:rsidRDefault="00F83617" w:rsidP="00F83617">
      <w:pPr>
        <w:pStyle w:val="FootnoteText1"/>
        <w:jc w:val="left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انظر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</w:rPr>
        <w:t>Human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Rights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Watc</w:t>
      </w:r>
      <w:r w:rsidRPr="00F83617">
        <w:rPr>
          <w:rFonts w:eastAsiaTheme="minorEastAsia"/>
        </w:rPr>
        <w:t>h,</w:t>
      </w:r>
      <w:r w:rsidR="005971C3">
        <w:rPr>
          <w:rFonts w:eastAsiaTheme="minorEastAsia"/>
        </w:rPr>
        <w:t xml:space="preserve"> </w:t>
      </w:r>
      <w:r w:rsidRPr="00DB56B9">
        <w:rPr>
          <w:rFonts w:eastAsiaTheme="minorEastAsia"/>
          <w:i/>
          <w:iCs/>
        </w:rPr>
        <w:t>World</w:t>
      </w:r>
      <w:r w:rsidR="005971C3" w:rsidRPr="00DB56B9">
        <w:rPr>
          <w:rFonts w:eastAsiaTheme="minorEastAsia"/>
          <w:i/>
          <w:iCs/>
        </w:rPr>
        <w:t xml:space="preserve"> </w:t>
      </w:r>
      <w:r w:rsidRPr="00DB56B9">
        <w:rPr>
          <w:rFonts w:eastAsiaTheme="minorEastAsia"/>
          <w:i/>
          <w:iCs/>
        </w:rPr>
        <w:t>Report:</w:t>
      </w:r>
      <w:r w:rsidR="005971C3" w:rsidRPr="00DB56B9">
        <w:rPr>
          <w:rFonts w:eastAsiaTheme="minorEastAsia"/>
          <w:i/>
          <w:iCs/>
        </w:rPr>
        <w:t xml:space="preserve"> </w:t>
      </w:r>
      <w:r w:rsidRPr="00DB56B9">
        <w:rPr>
          <w:rFonts w:eastAsiaTheme="minorEastAsia"/>
          <w:i/>
          <w:iCs/>
        </w:rPr>
        <w:t>Turkey</w:t>
      </w:r>
      <w:r w:rsidR="005971C3" w:rsidRPr="00DB56B9">
        <w:rPr>
          <w:rFonts w:eastAsiaTheme="minorEastAsia"/>
          <w:i/>
          <w:iCs/>
        </w:rPr>
        <w:t xml:space="preserve"> </w:t>
      </w:r>
      <w:r w:rsidRPr="00DB56B9">
        <w:rPr>
          <w:rFonts w:eastAsiaTheme="minorEastAsia"/>
          <w:i/>
          <w:iCs/>
        </w:rPr>
        <w:t>2022</w:t>
      </w:r>
      <w:r w:rsidRPr="00B700B9">
        <w:rPr>
          <w:rFonts w:eastAsiaTheme="minorEastAsia"/>
          <w:rtl/>
        </w:rPr>
        <w:t>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متاح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الرابط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التالي:</w:t>
      </w:r>
      <w:r w:rsidR="005971C3">
        <w:rPr>
          <w:rFonts w:eastAsiaTheme="minorEastAsia"/>
          <w:rtl/>
        </w:rPr>
        <w:t xml:space="preserve"> </w:t>
      </w:r>
      <w:hyperlink r:id="rId11" w:anchor="8d3ef8" w:history="1">
        <w:r w:rsidRPr="006A24C5">
          <w:rPr>
            <w:rStyle w:val="Hyperlink"/>
          </w:rPr>
          <w:t>https://www.hrw.org/world-report/</w:t>
        </w:r>
        <w:r w:rsidRPr="00DB56B9">
          <w:rPr>
            <w:rStyle w:val="Hyperlink"/>
          </w:rPr>
          <w:t>2022</w:t>
        </w:r>
        <w:r w:rsidRPr="006A24C5">
          <w:rPr>
            <w:rStyle w:val="Hyperlink"/>
          </w:rPr>
          <w:t>/country-chapters/turkey#</w:t>
        </w:r>
        <w:r w:rsidRPr="00DB56B9">
          <w:rPr>
            <w:rStyle w:val="Hyperlink"/>
          </w:rPr>
          <w:t>8</w:t>
        </w:r>
        <w:r w:rsidRPr="006A24C5">
          <w:rPr>
            <w:rStyle w:val="Hyperlink"/>
          </w:rPr>
          <w:t>d</w:t>
        </w:r>
        <w:r w:rsidRPr="00DB56B9">
          <w:rPr>
            <w:rStyle w:val="Hyperlink"/>
          </w:rPr>
          <w:t>3</w:t>
        </w:r>
        <w:r w:rsidRPr="006A24C5">
          <w:rPr>
            <w:rStyle w:val="Hyperlink"/>
          </w:rPr>
          <w:t>ef</w:t>
        </w:r>
        <w:r w:rsidRPr="00DB56B9">
          <w:rPr>
            <w:rStyle w:val="Hyperlink"/>
          </w:rPr>
          <w:t>8</w:t>
        </w:r>
      </w:hyperlink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27">
    <w:p w14:paraId="3A33CE21" w14:textId="5A32AF36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الرأي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رقم</w:t>
      </w:r>
      <w:r w:rsidR="005971C3">
        <w:rPr>
          <w:rFonts w:eastAsiaTheme="minorEastAsia"/>
          <w:rtl/>
        </w:rPr>
        <w:t xml:space="preserve"> </w:t>
      </w:r>
      <w:r w:rsidR="00593FC6" w:rsidRPr="00DB56B9">
        <w:rPr>
          <w:rFonts w:eastAsiaTheme="minorEastAsia"/>
          <w:rtl/>
        </w:rPr>
        <w:t>2020</w:t>
      </w:r>
      <w:r w:rsidR="00593FC6" w:rsidRPr="00B700B9">
        <w:rPr>
          <w:rFonts w:eastAsiaTheme="minorEastAsia"/>
          <w:rtl/>
        </w:rPr>
        <w:t>/</w:t>
      </w:r>
      <w:r w:rsidR="00593FC6" w:rsidRPr="00DB56B9">
        <w:rPr>
          <w:rFonts w:eastAsiaTheme="minorEastAsia"/>
          <w:rtl/>
        </w:rPr>
        <w:t>47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الفقرتان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38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</w:t>
      </w:r>
      <w:r w:rsidRPr="00DB56B9">
        <w:rPr>
          <w:rFonts w:eastAsiaTheme="minorEastAsia"/>
          <w:rtl/>
        </w:rPr>
        <w:t>39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28">
    <w:p w14:paraId="1362DB8D" w14:textId="3B3301AF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انظر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التعليق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العام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رقم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4</w:t>
      </w:r>
      <w:r w:rsidRPr="00B700B9">
        <w:rPr>
          <w:rFonts w:eastAsiaTheme="minorEastAsia"/>
          <w:rtl/>
        </w:rPr>
        <w:t>(</w:t>
      </w:r>
      <w:r w:rsidRPr="00DB56B9">
        <w:rPr>
          <w:rFonts w:eastAsiaTheme="minorEastAsia"/>
          <w:rtl/>
        </w:rPr>
        <w:t>2017</w:t>
      </w:r>
      <w:r w:rsidRPr="00F83617">
        <w:rPr>
          <w:rFonts w:eastAsiaTheme="minorEastAsia"/>
          <w:rtl/>
        </w:rPr>
        <w:t>)،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الفقرتين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45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</w:t>
      </w:r>
      <w:r w:rsidRPr="00DB56B9">
        <w:rPr>
          <w:rFonts w:eastAsiaTheme="minorEastAsia"/>
          <w:rtl/>
        </w:rPr>
        <w:t>49</w:t>
      </w:r>
      <w:r w:rsidRPr="00B700B9">
        <w:rPr>
          <w:rFonts w:eastAsiaTheme="minorEastAsia"/>
          <w:rtl/>
        </w:rPr>
        <w:t>(ه</w:t>
      </w:r>
      <w:r w:rsidRPr="00F83617">
        <w:rPr>
          <w:rFonts w:eastAsiaTheme="minorEastAsia"/>
          <w:rtl/>
        </w:rPr>
        <w:t>).</w:t>
      </w:r>
      <w:r w:rsidR="005971C3">
        <w:rPr>
          <w:rFonts w:eastAsiaTheme="minorEastAsia"/>
          <w:rtl/>
        </w:rPr>
        <w:t xml:space="preserve"> </w:t>
      </w:r>
    </w:p>
  </w:footnote>
  <w:footnote w:id="29">
    <w:p w14:paraId="61FDD357" w14:textId="2A4CE5FB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</w:r>
      <w:r w:rsidRPr="00B700B9">
        <w:rPr>
          <w:rFonts w:eastAsiaTheme="minorEastAsia"/>
        </w:rPr>
        <w:t>“Report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on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the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impact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of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the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state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of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emergency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on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human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rights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in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Turke</w:t>
      </w:r>
      <w:r w:rsidRPr="00F83617">
        <w:rPr>
          <w:rFonts w:eastAsiaTheme="minorEastAsia"/>
        </w:rPr>
        <w:t>y,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including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an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update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on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the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South-Eas</w:t>
      </w:r>
      <w:r w:rsidRPr="00F83617">
        <w:rPr>
          <w:rFonts w:eastAsiaTheme="minorEastAsia"/>
        </w:rPr>
        <w:t>t: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January–December</w:t>
      </w:r>
      <w:r w:rsidR="005971C3">
        <w:rPr>
          <w:rFonts w:eastAsiaTheme="minorEastAsia"/>
        </w:rPr>
        <w:t xml:space="preserve"> </w:t>
      </w:r>
      <w:r w:rsidRPr="00DB56B9">
        <w:rPr>
          <w:rFonts w:eastAsiaTheme="minorEastAsia"/>
        </w:rPr>
        <w:t>2017</w:t>
      </w:r>
      <w:r w:rsidRPr="00B700B9">
        <w:rPr>
          <w:rFonts w:eastAsiaTheme="minorEastAsia"/>
        </w:rPr>
        <w:t>”,</w:t>
      </w:r>
      <w:r w:rsidR="005971C3">
        <w:rPr>
          <w:rFonts w:eastAsiaTheme="minorEastAsia"/>
        </w:rPr>
        <w:t xml:space="preserve"> </w:t>
      </w:r>
      <w:r w:rsidRPr="00B700B9">
        <w:rPr>
          <w:rFonts w:eastAsiaTheme="minorEastAsia"/>
        </w:rPr>
        <w:t>par</w:t>
      </w:r>
      <w:r w:rsidRPr="00F83617">
        <w:rPr>
          <w:rFonts w:eastAsiaTheme="minorEastAsia"/>
        </w:rPr>
        <w:t>a.</w:t>
      </w:r>
      <w:r w:rsidR="005971C3">
        <w:rPr>
          <w:rFonts w:eastAsiaTheme="minorEastAsia"/>
        </w:rPr>
        <w:t xml:space="preserve"> </w:t>
      </w:r>
      <w:r w:rsidRPr="00DB56B9">
        <w:rPr>
          <w:rFonts w:eastAsiaTheme="minorEastAsia"/>
        </w:rPr>
        <w:t>78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30">
    <w:p w14:paraId="04F50B31" w14:textId="18CC7A1E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الفقرة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20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31">
    <w:p w14:paraId="51CE7C8F" w14:textId="4A2B7CC2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الفقرة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19</w:t>
      </w:r>
      <w:r w:rsidRPr="00F83617"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  <w:footnote w:id="32">
    <w:p w14:paraId="32B96C6E" w14:textId="080C0A6B" w:rsidR="00F83617" w:rsidRPr="00B700B9" w:rsidRDefault="00F83617" w:rsidP="00F049F0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B700B9">
        <w:rPr>
          <w:rFonts w:eastAsiaTheme="minorEastAsia"/>
          <w:rtl/>
        </w:rPr>
        <w:t>(</w:t>
      </w:r>
      <w:r w:rsidRPr="00DB56B9">
        <w:rPr>
          <w:rStyle w:val="FootnoteReference"/>
          <w:rFonts w:eastAsiaTheme="minorEastAsia"/>
          <w:vertAlign w:val="baseline"/>
        </w:rPr>
        <w:footnoteRef/>
      </w:r>
      <w:r w:rsidRPr="006A24C5">
        <w:rPr>
          <w:rStyle w:val="FootnoteReference"/>
          <w:rFonts w:eastAsiaTheme="minorEastAsia"/>
          <w:vertAlign w:val="baseline"/>
          <w:rtl/>
        </w:rPr>
        <w:t>)</w:t>
      </w:r>
      <w:r w:rsidRPr="00B700B9">
        <w:rPr>
          <w:rFonts w:eastAsiaTheme="minorEastAsia"/>
          <w:rtl/>
        </w:rPr>
        <w:tab/>
        <w:t>بموجب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33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الاتفاقية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المتعلقة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بوضع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اللاجئين،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يجوز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لأي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لاجئ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تتوفر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دواع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معقولة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لاعتباره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خطراً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على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أمن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البلد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الذي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يوجد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فيه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أن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يطالب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بالحماية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الإعادة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القسرية.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ويتناقض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هذا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مع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الحماية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الإعادة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القسرية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الواجبة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لأي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فرد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معرض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لخطر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التعذيب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بموجب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المادة</w:t>
      </w:r>
      <w:r w:rsidR="005971C3">
        <w:rPr>
          <w:rFonts w:eastAsiaTheme="minorEastAsia"/>
          <w:rtl/>
        </w:rPr>
        <w:t xml:space="preserve"> </w:t>
      </w:r>
      <w:r w:rsidRPr="00DB56B9">
        <w:rPr>
          <w:rFonts w:eastAsiaTheme="minorEastAsia"/>
          <w:rtl/>
        </w:rPr>
        <w:t>3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من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الاتفاقية،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التي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لا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تنطبق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عليها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مثل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هذه</w:t>
      </w:r>
      <w:r w:rsidR="005971C3">
        <w:rPr>
          <w:rFonts w:eastAsiaTheme="minorEastAsia"/>
          <w:rtl/>
        </w:rPr>
        <w:t xml:space="preserve"> </w:t>
      </w:r>
      <w:r w:rsidRPr="00B700B9">
        <w:rPr>
          <w:rFonts w:eastAsiaTheme="minorEastAsia"/>
          <w:rtl/>
        </w:rPr>
        <w:t>الاستثناءات</w:t>
      </w:r>
      <w:r>
        <w:rPr>
          <w:rFonts w:eastAsiaTheme="minorEastAsia"/>
          <w:rtl/>
        </w:rPr>
        <w:t>.</w:t>
      </w:r>
      <w:r w:rsidR="005971C3">
        <w:rPr>
          <w:rFonts w:eastAsiaTheme="minorEastAsia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8295" w14:textId="57775CF1" w:rsidR="006A4787" w:rsidRPr="006A4787" w:rsidRDefault="006A4787" w:rsidP="006A4787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10A0A">
      <w:t>CAT/C/75/D/1081/2021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5315" w14:textId="3490F2B1" w:rsidR="006A4787" w:rsidRPr="006A4787" w:rsidRDefault="006A4787" w:rsidP="006A4787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10A0A">
      <w:t>CAT/C/75/D/1081/2021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E190" w14:textId="77777777" w:rsidR="00143C39" w:rsidRDefault="00143C39" w:rsidP="00143C3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 w16cid:durableId="74862074">
    <w:abstractNumId w:val="15"/>
  </w:num>
  <w:num w:numId="2" w16cid:durableId="653686880">
    <w:abstractNumId w:val="12"/>
  </w:num>
  <w:num w:numId="3" w16cid:durableId="1794248624">
    <w:abstractNumId w:val="2"/>
  </w:num>
  <w:num w:numId="4" w16cid:durableId="1579170908">
    <w:abstractNumId w:val="11"/>
  </w:num>
  <w:num w:numId="5" w16cid:durableId="163475032">
    <w:abstractNumId w:val="8"/>
  </w:num>
  <w:num w:numId="6" w16cid:durableId="1279679989">
    <w:abstractNumId w:val="5"/>
  </w:num>
  <w:num w:numId="7" w16cid:durableId="1347710621">
    <w:abstractNumId w:val="17"/>
  </w:num>
  <w:num w:numId="8" w16cid:durableId="1923484243">
    <w:abstractNumId w:val="2"/>
  </w:num>
  <w:num w:numId="9" w16cid:durableId="2143309520">
    <w:abstractNumId w:val="11"/>
  </w:num>
  <w:num w:numId="10" w16cid:durableId="1702441539">
    <w:abstractNumId w:val="5"/>
  </w:num>
  <w:num w:numId="11" w16cid:durableId="353306529">
    <w:abstractNumId w:val="17"/>
  </w:num>
  <w:num w:numId="12" w16cid:durableId="1616137758">
    <w:abstractNumId w:val="2"/>
  </w:num>
  <w:num w:numId="13" w16cid:durableId="782728145">
    <w:abstractNumId w:val="11"/>
  </w:num>
  <w:num w:numId="14" w16cid:durableId="1828284449">
    <w:abstractNumId w:val="8"/>
  </w:num>
  <w:num w:numId="15" w16cid:durableId="1024133594">
    <w:abstractNumId w:val="5"/>
  </w:num>
  <w:num w:numId="16" w16cid:durableId="1516459644">
    <w:abstractNumId w:val="17"/>
  </w:num>
  <w:num w:numId="17" w16cid:durableId="299381551">
    <w:abstractNumId w:val="4"/>
  </w:num>
  <w:num w:numId="18" w16cid:durableId="1855263451">
    <w:abstractNumId w:val="3"/>
  </w:num>
  <w:num w:numId="19" w16cid:durableId="11802724">
    <w:abstractNumId w:val="16"/>
  </w:num>
  <w:num w:numId="20" w16cid:durableId="1403524355">
    <w:abstractNumId w:val="13"/>
  </w:num>
  <w:num w:numId="21" w16cid:durableId="614799566">
    <w:abstractNumId w:val="1"/>
  </w:num>
  <w:num w:numId="22" w16cid:durableId="1450902610">
    <w:abstractNumId w:val="14"/>
  </w:num>
  <w:num w:numId="23" w16cid:durableId="274796065">
    <w:abstractNumId w:val="0"/>
  </w:num>
  <w:num w:numId="24" w16cid:durableId="462505492">
    <w:abstractNumId w:val="9"/>
  </w:num>
  <w:num w:numId="25" w16cid:durableId="2120686384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 w16cid:durableId="9128562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2895230">
    <w:abstractNumId w:val="0"/>
    <w:lvlOverride w:ilvl="0">
      <w:lvl w:ilvl="0" w:tplc="2FB47626">
        <w:start w:val="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531524744">
    <w:abstractNumId w:val="0"/>
    <w:lvlOverride w:ilvl="0">
      <w:startOverride w:val="153"/>
      <w:lvl w:ilvl="0" w:tplc="2FB47626">
        <w:start w:val="153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 w16cid:durableId="1265111219">
    <w:abstractNumId w:val="0"/>
    <w:lvlOverride w:ilvl="0">
      <w:startOverride w:val="151"/>
      <w:lvl w:ilvl="0" w:tplc="2FB47626">
        <w:start w:val="15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 w16cid:durableId="1999572605">
    <w:abstractNumId w:val="7"/>
  </w:num>
  <w:num w:numId="31" w16cid:durableId="2052337338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 w16cid:durableId="806625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5A"/>
    <w:rsid w:val="00006BFF"/>
    <w:rsid w:val="000076D5"/>
    <w:rsid w:val="00043663"/>
    <w:rsid w:val="000456F3"/>
    <w:rsid w:val="000505CF"/>
    <w:rsid w:val="000A2113"/>
    <w:rsid w:val="000A4C3E"/>
    <w:rsid w:val="000D701C"/>
    <w:rsid w:val="000E11D4"/>
    <w:rsid w:val="000E2A71"/>
    <w:rsid w:val="000F71D2"/>
    <w:rsid w:val="00122AD1"/>
    <w:rsid w:val="00143C39"/>
    <w:rsid w:val="00160263"/>
    <w:rsid w:val="00166BD2"/>
    <w:rsid w:val="00167825"/>
    <w:rsid w:val="00170EB3"/>
    <w:rsid w:val="00181F96"/>
    <w:rsid w:val="001937C7"/>
    <w:rsid w:val="001A1371"/>
    <w:rsid w:val="001B346A"/>
    <w:rsid w:val="001D6F7B"/>
    <w:rsid w:val="001E1CAD"/>
    <w:rsid w:val="001E290D"/>
    <w:rsid w:val="00210DD4"/>
    <w:rsid w:val="002144FA"/>
    <w:rsid w:val="0023469A"/>
    <w:rsid w:val="00243C8A"/>
    <w:rsid w:val="002539E8"/>
    <w:rsid w:val="00261289"/>
    <w:rsid w:val="00266034"/>
    <w:rsid w:val="0026755E"/>
    <w:rsid w:val="00267A0E"/>
    <w:rsid w:val="002901D9"/>
    <w:rsid w:val="002976C2"/>
    <w:rsid w:val="00323EC8"/>
    <w:rsid w:val="003260FF"/>
    <w:rsid w:val="00343D95"/>
    <w:rsid w:val="00362E33"/>
    <w:rsid w:val="003726E1"/>
    <w:rsid w:val="00374341"/>
    <w:rsid w:val="00384DA7"/>
    <w:rsid w:val="003D1062"/>
    <w:rsid w:val="003F4CAF"/>
    <w:rsid w:val="00417AD6"/>
    <w:rsid w:val="00420D7B"/>
    <w:rsid w:val="00447B69"/>
    <w:rsid w:val="00450B21"/>
    <w:rsid w:val="00453B63"/>
    <w:rsid w:val="00455780"/>
    <w:rsid w:val="00462F28"/>
    <w:rsid w:val="00472BE8"/>
    <w:rsid w:val="004811D5"/>
    <w:rsid w:val="004956DC"/>
    <w:rsid w:val="004B0A1C"/>
    <w:rsid w:val="004D2177"/>
    <w:rsid w:val="004D298E"/>
    <w:rsid w:val="00531DEA"/>
    <w:rsid w:val="0054472E"/>
    <w:rsid w:val="005662A9"/>
    <w:rsid w:val="00575E9A"/>
    <w:rsid w:val="005827D4"/>
    <w:rsid w:val="00593BE6"/>
    <w:rsid w:val="00593FC6"/>
    <w:rsid w:val="0059622A"/>
    <w:rsid w:val="005971C3"/>
    <w:rsid w:val="005A3015"/>
    <w:rsid w:val="005C5878"/>
    <w:rsid w:val="005C7CEA"/>
    <w:rsid w:val="005D3C0B"/>
    <w:rsid w:val="005D73EA"/>
    <w:rsid w:val="005E23DF"/>
    <w:rsid w:val="005E5217"/>
    <w:rsid w:val="005F0FA4"/>
    <w:rsid w:val="005F30EE"/>
    <w:rsid w:val="005F6C8F"/>
    <w:rsid w:val="0060473A"/>
    <w:rsid w:val="00610963"/>
    <w:rsid w:val="00656392"/>
    <w:rsid w:val="006646E9"/>
    <w:rsid w:val="0068425A"/>
    <w:rsid w:val="0068781D"/>
    <w:rsid w:val="006959B0"/>
    <w:rsid w:val="006A24C5"/>
    <w:rsid w:val="006A4787"/>
    <w:rsid w:val="006B2A7F"/>
    <w:rsid w:val="006B3E27"/>
    <w:rsid w:val="006B6507"/>
    <w:rsid w:val="006C104C"/>
    <w:rsid w:val="006D05CB"/>
    <w:rsid w:val="00706DFD"/>
    <w:rsid w:val="00712059"/>
    <w:rsid w:val="007175B2"/>
    <w:rsid w:val="00733704"/>
    <w:rsid w:val="0074737D"/>
    <w:rsid w:val="00761849"/>
    <w:rsid w:val="0078071A"/>
    <w:rsid w:val="007A3847"/>
    <w:rsid w:val="007A5527"/>
    <w:rsid w:val="007B3582"/>
    <w:rsid w:val="007C0F74"/>
    <w:rsid w:val="007D56C1"/>
    <w:rsid w:val="00816FD6"/>
    <w:rsid w:val="00817373"/>
    <w:rsid w:val="00852A9A"/>
    <w:rsid w:val="00860491"/>
    <w:rsid w:val="00874514"/>
    <w:rsid w:val="00886D57"/>
    <w:rsid w:val="00893A8A"/>
    <w:rsid w:val="00897AA1"/>
    <w:rsid w:val="008B01C4"/>
    <w:rsid w:val="008C0B37"/>
    <w:rsid w:val="008F49E1"/>
    <w:rsid w:val="0090370F"/>
    <w:rsid w:val="00906A57"/>
    <w:rsid w:val="009269D2"/>
    <w:rsid w:val="00942135"/>
    <w:rsid w:val="009521B0"/>
    <w:rsid w:val="00967EB5"/>
    <w:rsid w:val="00972676"/>
    <w:rsid w:val="00981C12"/>
    <w:rsid w:val="009A7E9F"/>
    <w:rsid w:val="009B4AE7"/>
    <w:rsid w:val="009E4397"/>
    <w:rsid w:val="009E5018"/>
    <w:rsid w:val="009F09F5"/>
    <w:rsid w:val="00A12B37"/>
    <w:rsid w:val="00A34EA8"/>
    <w:rsid w:val="00A44D86"/>
    <w:rsid w:val="00A67AF5"/>
    <w:rsid w:val="00A94CA3"/>
    <w:rsid w:val="00AB2C0B"/>
    <w:rsid w:val="00AB6758"/>
    <w:rsid w:val="00AD6BCE"/>
    <w:rsid w:val="00B07715"/>
    <w:rsid w:val="00B10A0A"/>
    <w:rsid w:val="00B13763"/>
    <w:rsid w:val="00B456A0"/>
    <w:rsid w:val="00B477A4"/>
    <w:rsid w:val="00B54045"/>
    <w:rsid w:val="00B700B9"/>
    <w:rsid w:val="00B82677"/>
    <w:rsid w:val="00BA39D4"/>
    <w:rsid w:val="00BD0805"/>
    <w:rsid w:val="00C111C6"/>
    <w:rsid w:val="00C23A11"/>
    <w:rsid w:val="00C438D7"/>
    <w:rsid w:val="00C45316"/>
    <w:rsid w:val="00C62476"/>
    <w:rsid w:val="00C64C7B"/>
    <w:rsid w:val="00C81B50"/>
    <w:rsid w:val="00C87F1F"/>
    <w:rsid w:val="00C96AFF"/>
    <w:rsid w:val="00CA2103"/>
    <w:rsid w:val="00CA35DF"/>
    <w:rsid w:val="00CD1801"/>
    <w:rsid w:val="00CF25FC"/>
    <w:rsid w:val="00D10EF1"/>
    <w:rsid w:val="00D317F1"/>
    <w:rsid w:val="00D3653E"/>
    <w:rsid w:val="00D42810"/>
    <w:rsid w:val="00D914A7"/>
    <w:rsid w:val="00DB50A7"/>
    <w:rsid w:val="00DB56B9"/>
    <w:rsid w:val="00DB712F"/>
    <w:rsid w:val="00DC1D29"/>
    <w:rsid w:val="00DD13C3"/>
    <w:rsid w:val="00DD596E"/>
    <w:rsid w:val="00DD621E"/>
    <w:rsid w:val="00DF0575"/>
    <w:rsid w:val="00E2697F"/>
    <w:rsid w:val="00E64B72"/>
    <w:rsid w:val="00E70E04"/>
    <w:rsid w:val="00E76499"/>
    <w:rsid w:val="00E9731C"/>
    <w:rsid w:val="00EC05A7"/>
    <w:rsid w:val="00EC4B6B"/>
    <w:rsid w:val="00EE56C3"/>
    <w:rsid w:val="00EF1EE5"/>
    <w:rsid w:val="00F0121B"/>
    <w:rsid w:val="00F049F0"/>
    <w:rsid w:val="00F158EB"/>
    <w:rsid w:val="00F1695F"/>
    <w:rsid w:val="00F62057"/>
    <w:rsid w:val="00F763B4"/>
    <w:rsid w:val="00F81AF1"/>
    <w:rsid w:val="00F83617"/>
    <w:rsid w:val="00F900C3"/>
    <w:rsid w:val="00FF2AB2"/>
    <w:rsid w:val="00FF324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9B39EF5"/>
  <w15:docId w15:val="{C9C664D0-D4D7-416A-B074-1E7D94A1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E6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593BE6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593BE6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93BE6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93BE6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93BE6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93BE6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93BE6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93BE6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93BE6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A">
    <w:name w:val="_ H __M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593B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593BE6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593BE6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593BE6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593BE6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593BE6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593BE6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593BE6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593BE6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593BE6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593BE6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593BE6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593BE6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593BE6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593BE6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593BE6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593BE6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593BE6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593BE6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593BE6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593BE6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593BE6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593BE6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593BE6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593BE6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593BE6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593BE6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593BE6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593BE6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593BE6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3BE6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93BE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93BE6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uiPriority w:val="22"/>
    <w:rsid w:val="00593BE6"/>
    <w:rPr>
      <w:b/>
      <w:bCs/>
    </w:rPr>
  </w:style>
  <w:style w:type="table" w:styleId="TableGrid">
    <w:name w:val="Table Grid"/>
    <w:basedOn w:val="TableNormal"/>
    <w:rsid w:val="00593BE6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93BE6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593BE6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593BE6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593BE6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593BE6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593BE6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593BE6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593BE6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table" w:customStyle="1" w:styleId="TABLEA">
    <w:name w:val="TABLE_A"/>
    <w:basedOn w:val="TableNormal"/>
    <w:uiPriority w:val="99"/>
    <w:rsid w:val="00593BE6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593BE6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593BE6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593BE6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593BE6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593BE6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593BE6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593BE6"/>
    <w:rPr>
      <w:rFonts w:ascii="Times New Roman" w:eastAsia="PMingLiU" w:hAnsi="Times New Roman" w:cs="Simplified Arabic"/>
      <w:lang w:val="en-GB" w:eastAsia="en-US"/>
    </w:rPr>
  </w:style>
  <w:style w:type="paragraph" w:customStyle="1" w:styleId="NormalA">
    <w:name w:val="Normal_A"/>
    <w:basedOn w:val="Normal"/>
    <w:qFormat/>
    <w:rsid w:val="00593BE6"/>
  </w:style>
  <w:style w:type="paragraph" w:customStyle="1" w:styleId="FootnoteGA">
    <w:name w:val="_Footnote_GA"/>
    <w:basedOn w:val="Normal"/>
    <w:qFormat/>
    <w:rsid w:val="00593BE6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593BE6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593BE6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Small">
    <w:name w:val="Small"/>
    <w:basedOn w:val="Normal"/>
    <w:next w:val="Normal"/>
    <w:qFormat/>
    <w:rsid w:val="00593BE6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paragraph" w:customStyle="1" w:styleId="SmallX">
    <w:name w:val="SmallX"/>
    <w:basedOn w:val="Small"/>
    <w:next w:val="Normal"/>
    <w:qFormat/>
    <w:rsid w:val="00593BE6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Original">
    <w:name w:val="Original"/>
    <w:basedOn w:val="Normal"/>
    <w:next w:val="Normal"/>
    <w:qFormat/>
    <w:rsid w:val="00593B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Sponsors">
    <w:name w:val="Sponsors"/>
    <w:basedOn w:val="Normal"/>
    <w:next w:val="Normal"/>
    <w:qFormat/>
    <w:rsid w:val="00593BE6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</w:tabs>
      <w:suppressAutoHyphens/>
      <w:spacing w:after="120" w:line="360" w:lineRule="exact"/>
      <w:ind w:left="1267" w:right="1267" w:hanging="1267"/>
      <w:outlineLvl w:val="1"/>
    </w:pPr>
    <w:rPr>
      <w:b/>
      <w:bCs/>
      <w:spacing w:val="2"/>
      <w:kern w:val="14"/>
      <w:szCs w:val="28"/>
    </w:rPr>
  </w:style>
  <w:style w:type="paragraph" w:styleId="Revision">
    <w:name w:val="Revision"/>
    <w:hidden/>
    <w:uiPriority w:val="99"/>
    <w:semiHidden/>
    <w:rsid w:val="00593BE6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C64C7B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C64C7B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C64C7B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STitleLGA">
    <w:name w:val="S_Title_L_GA"/>
    <w:basedOn w:val="SLGA"/>
    <w:qFormat/>
    <w:rsid w:val="00593BE6"/>
    <w:rPr>
      <w:lang w:val="en-US" w:eastAsia="zh-TW"/>
    </w:rPr>
  </w:style>
  <w:style w:type="paragraph" w:customStyle="1" w:styleId="STitleMGA">
    <w:name w:val="S_Title_M_GA"/>
    <w:basedOn w:val="SMGA"/>
    <w:qFormat/>
    <w:rsid w:val="00593BE6"/>
    <w:rPr>
      <w:lang w:eastAsia="zh-TW"/>
    </w:rPr>
  </w:style>
  <w:style w:type="paragraph" w:customStyle="1" w:styleId="STitleSGA">
    <w:name w:val="S_Title_S_GA"/>
    <w:basedOn w:val="SSGA"/>
    <w:qFormat/>
    <w:rsid w:val="00593BE6"/>
    <w:rPr>
      <w:lang w:eastAsia="zh-TW"/>
    </w:rPr>
  </w:style>
  <w:style w:type="paragraph" w:customStyle="1" w:styleId="HChG">
    <w:name w:val="_ H _Ch_G"/>
    <w:basedOn w:val="Normal"/>
    <w:next w:val="Normal"/>
    <w:rsid w:val="00F049F0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  <w:outlineLvl w:val="1"/>
    </w:pPr>
    <w:rPr>
      <w:rFonts w:eastAsia="SimSun" w:hAnsiTheme="minorHAnsi" w:hint="cs"/>
      <w:b/>
      <w:sz w:val="28"/>
      <w:szCs w:val="30"/>
      <w:lang w:val="en-GB" w:eastAsia="zh-CN"/>
    </w:rPr>
  </w:style>
  <w:style w:type="paragraph" w:customStyle="1" w:styleId="H23G">
    <w:name w:val="_ H_2/3_G"/>
    <w:basedOn w:val="Normal"/>
    <w:next w:val="Normal"/>
    <w:rsid w:val="00F049F0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  <w:outlineLvl w:val="3"/>
    </w:pPr>
    <w:rPr>
      <w:rFonts w:eastAsia="SimSun" w:hAnsiTheme="minorHAnsi" w:hint="cs"/>
      <w:b/>
      <w:szCs w:val="30"/>
      <w:lang w:val="en-GB" w:eastAsia="zh-CN"/>
    </w:rPr>
  </w:style>
  <w:style w:type="paragraph" w:customStyle="1" w:styleId="H4G">
    <w:name w:val="_ H_4_G"/>
    <w:basedOn w:val="Normal"/>
    <w:next w:val="Normal"/>
    <w:rsid w:val="00F049F0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  <w:outlineLvl w:val="4"/>
    </w:pPr>
    <w:rPr>
      <w:rFonts w:eastAsia="SimSun" w:hAnsiTheme="minorHAnsi" w:hint="cs"/>
      <w:i/>
      <w:szCs w:val="30"/>
      <w:lang w:val="en-GB" w:eastAsia="zh-CN"/>
    </w:rPr>
  </w:style>
  <w:style w:type="paragraph" w:customStyle="1" w:styleId="SingleTxtG">
    <w:name w:val="_ Single Txt_G"/>
    <w:basedOn w:val="Normal"/>
    <w:link w:val="SingleTxtGChar"/>
    <w:rsid w:val="00F049F0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rFonts w:eastAsia="SimSun" w:hAnsiTheme="minorHAnsi"/>
      <w:szCs w:val="30"/>
      <w:lang w:val="en-GB" w:eastAsia="zh-CN"/>
    </w:rPr>
  </w:style>
  <w:style w:type="paragraph" w:styleId="FootnoteText">
    <w:name w:val="footnote text"/>
    <w:aliases w:val="5_G"/>
    <w:basedOn w:val="Normal"/>
    <w:link w:val="FootnoteTextChar"/>
    <w:rsid w:val="00F049F0"/>
    <w:pPr>
      <w:tabs>
        <w:tab w:val="right" w:pos="1021"/>
      </w:tabs>
      <w:suppressAutoHyphens/>
      <w:bidi w:val="0"/>
      <w:spacing w:line="220" w:lineRule="exact"/>
      <w:ind w:left="1134" w:right="1134" w:hanging="1134"/>
      <w:jc w:val="left"/>
    </w:pPr>
    <w:rPr>
      <w:rFonts w:eastAsia="SimSun" w:hAnsiTheme="minorHAnsi" w:hint="cs"/>
      <w:sz w:val="18"/>
      <w:szCs w:val="30"/>
      <w:lang w:val="en-GB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F049F0"/>
    <w:rPr>
      <w:rFonts w:ascii="Times New Roman" w:eastAsia="SimSun" w:hAnsiTheme="minorHAnsi" w:cs="Simplified Arabic"/>
      <w:sz w:val="18"/>
      <w:szCs w:val="30"/>
      <w:lang w:val="en-GB" w:eastAsia="zh-CN"/>
    </w:rPr>
  </w:style>
  <w:style w:type="character" w:styleId="FootnoteReference">
    <w:name w:val="footnote reference"/>
    <w:aliases w:val="4_G"/>
    <w:rsid w:val="00F049F0"/>
    <w:rPr>
      <w:rFonts w:ascii="Times New Roman" w:hAnsi="Times New Roman"/>
      <w:sz w:val="18"/>
      <w:vertAlign w:val="superscript"/>
    </w:rPr>
  </w:style>
  <w:style w:type="character" w:customStyle="1" w:styleId="SingleTxtGChar">
    <w:name w:val="_ Single Txt_G Char"/>
    <w:basedOn w:val="DefaultParagraphFont"/>
    <w:link w:val="SingleTxtG"/>
    <w:locked/>
    <w:rsid w:val="00F049F0"/>
    <w:rPr>
      <w:rFonts w:ascii="Times New Roman" w:eastAsia="SimSun" w:hAnsiTheme="minorHAnsi" w:cs="Simplified Arabic"/>
      <w:szCs w:val="30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83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r/CAT/C/73/D/914/2019" TargetMode="External"/><Relationship Id="rId3" Type="http://schemas.openxmlformats.org/officeDocument/2006/relationships/hyperlink" Target="https://www.aa.com.tr/en/europe/kosovo-minister-wants-feto-pkk-pyd-labeled-terrorists/2150030" TargetMode="External"/><Relationship Id="rId7" Type="http://schemas.openxmlformats.org/officeDocument/2006/relationships/hyperlink" Target="https://undocs.org/ar/A/HRC/37/50/Add.1" TargetMode="External"/><Relationship Id="rId2" Type="http://schemas.openxmlformats.org/officeDocument/2006/relationships/hyperlink" Target="https://www.aa.com.tr/en/europe/kosovo-bank-reportedly-freezes-feto-linked-accounts/1121303" TargetMode="External"/><Relationship Id="rId1" Type="http://schemas.openxmlformats.org/officeDocument/2006/relationships/hyperlink" Target="https://nordicmonitor.com/2020/07/erdogan-critics-kidnapped-by-turkish-intelligence-in-kosovo-included-in-terrorism-indictment/" TargetMode="External"/><Relationship Id="rId6" Type="http://schemas.openxmlformats.org/officeDocument/2006/relationships/hyperlink" Target="https://undocs.org/ar/CAT/C/66/D/846/2017" TargetMode="External"/><Relationship Id="rId11" Type="http://schemas.openxmlformats.org/officeDocument/2006/relationships/hyperlink" Target="https://www.hrw.org/world-report/2022/country-chapters/turkey" TargetMode="External"/><Relationship Id="rId5" Type="http://schemas.openxmlformats.org/officeDocument/2006/relationships/hyperlink" Target="https://undocs.org/ar/CAT/C/66/D/845/2017" TargetMode="External"/><Relationship Id="rId10" Type="http://schemas.openxmlformats.org/officeDocument/2006/relationships/hyperlink" Target="https://undocs.org/ar/A/HRC/37/50/Add.1" TargetMode="External"/><Relationship Id="rId4" Type="http://schemas.openxmlformats.org/officeDocument/2006/relationships/hyperlink" Target="https://undocs.org/ar/CAT/C/66/D/827/2017" TargetMode="External"/><Relationship Id="rId9" Type="http://schemas.openxmlformats.org/officeDocument/2006/relationships/hyperlink" Target="https://undocs.org/ar/CAT/C/65/D/801/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34A9-C71D-4C53-9B5B-07590E8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5553</Words>
  <Characters>29988</Characters>
  <Application>Microsoft Office Word</Application>
  <DocSecurity>0</DocSecurity>
  <Lines>434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CAT/C/75/D/1081/2021</vt:lpstr>
    </vt:vector>
  </TitlesOfParts>
  <Company>DCM</Company>
  <LinksUpToDate>false</LinksUpToDate>
  <CharactersWithSpaces>35468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CAT/C/75/D/1081/2021</dc:title>
  <dc:subject>GE.2300942(A)</dc:subject>
  <dc:creator>Muntaha BUHNAM - Abdelmajid ALAOUI</dc:creator>
  <cp:keywords>GE.2300772(A)</cp:keywords>
  <dc:description>General_x000d_
2023_x000d_
Arabic_x000d_
English</dc:description>
  <cp:lastModifiedBy>Jamila Chedad</cp:lastModifiedBy>
  <cp:revision>3</cp:revision>
  <cp:lastPrinted>2023-03-20T13:32:00Z</cp:lastPrinted>
  <dcterms:created xsi:type="dcterms:W3CDTF">2023-03-20T13:32:00Z</dcterms:created>
  <dcterms:modified xsi:type="dcterms:W3CDTF">2023-03-20T13:32:00Z</dcterms:modified>
  <cp:category>Final</cp:category>
</cp:coreProperties>
</file>