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941AB8D" w14:textId="77777777" w:rsidTr="00A704A8">
        <w:trPr>
          <w:trHeight w:hRule="exact" w:val="851"/>
        </w:trPr>
        <w:tc>
          <w:tcPr>
            <w:tcW w:w="1276" w:type="dxa"/>
            <w:tcBorders>
              <w:bottom w:val="single" w:sz="4" w:space="0" w:color="auto"/>
            </w:tcBorders>
          </w:tcPr>
          <w:p w14:paraId="480FB0B0" w14:textId="77777777" w:rsidR="00807D21" w:rsidRPr="00DB58B5" w:rsidRDefault="00807D21" w:rsidP="001D46CC"/>
        </w:tc>
        <w:tc>
          <w:tcPr>
            <w:tcW w:w="2268" w:type="dxa"/>
            <w:tcBorders>
              <w:bottom w:val="single" w:sz="4" w:space="0" w:color="auto"/>
            </w:tcBorders>
            <w:vAlign w:val="bottom"/>
          </w:tcPr>
          <w:p w14:paraId="1CFA1FE3"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A61A09" w14:textId="18F33B60" w:rsidR="00807D21" w:rsidRPr="00DB58B5" w:rsidRDefault="001D46CC" w:rsidP="001D46CC">
            <w:pPr>
              <w:jc w:val="right"/>
            </w:pPr>
            <w:r w:rsidRPr="001D46CC">
              <w:rPr>
                <w:sz w:val="40"/>
              </w:rPr>
              <w:t>CAT</w:t>
            </w:r>
            <w:r>
              <w:t>/C/75/D/962/2019</w:t>
            </w:r>
          </w:p>
        </w:tc>
      </w:tr>
      <w:tr w:rsidR="00807D21" w:rsidRPr="00DB58B5" w14:paraId="13E2B84B" w14:textId="77777777" w:rsidTr="00A704A8">
        <w:trPr>
          <w:trHeight w:hRule="exact" w:val="2835"/>
        </w:trPr>
        <w:tc>
          <w:tcPr>
            <w:tcW w:w="1276" w:type="dxa"/>
            <w:tcBorders>
              <w:top w:val="single" w:sz="4" w:space="0" w:color="auto"/>
              <w:bottom w:val="single" w:sz="12" w:space="0" w:color="auto"/>
            </w:tcBorders>
          </w:tcPr>
          <w:p w14:paraId="675F29B8" w14:textId="77777777" w:rsidR="00807D21" w:rsidRPr="00DB58B5" w:rsidRDefault="00807D21" w:rsidP="00A704A8">
            <w:pPr>
              <w:spacing w:before="120"/>
              <w:jc w:val="center"/>
            </w:pPr>
            <w:r>
              <w:rPr>
                <w:noProof/>
                <w:lang w:eastAsia="fr-CH"/>
              </w:rPr>
              <w:drawing>
                <wp:inline distT="0" distB="0" distL="0" distR="0" wp14:anchorId="18E01B9B" wp14:editId="688FC0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D06E74"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45C70FB" w14:textId="77777777" w:rsidR="00807D21" w:rsidRDefault="001D46CC" w:rsidP="00A704A8">
            <w:pPr>
              <w:spacing w:before="240"/>
            </w:pPr>
            <w:proofErr w:type="spellStart"/>
            <w:r>
              <w:t>Distr</w:t>
            </w:r>
            <w:proofErr w:type="spellEnd"/>
            <w:r>
              <w:t>. générale</w:t>
            </w:r>
          </w:p>
          <w:p w14:paraId="316066E0" w14:textId="77777777" w:rsidR="001D46CC" w:rsidRDefault="001D46CC" w:rsidP="001D46CC">
            <w:pPr>
              <w:spacing w:line="240" w:lineRule="exact"/>
            </w:pPr>
            <w:r>
              <w:t>16 février 2023</w:t>
            </w:r>
          </w:p>
          <w:p w14:paraId="7C24A8E9" w14:textId="77777777" w:rsidR="001D46CC" w:rsidRDefault="001D46CC" w:rsidP="001D46CC">
            <w:pPr>
              <w:spacing w:line="240" w:lineRule="exact"/>
            </w:pPr>
          </w:p>
          <w:p w14:paraId="7F2A4695" w14:textId="65700C30" w:rsidR="001D46CC" w:rsidRPr="00DB58B5" w:rsidRDefault="001D46CC" w:rsidP="001D46CC">
            <w:pPr>
              <w:spacing w:line="240" w:lineRule="exact"/>
            </w:pPr>
            <w:r>
              <w:t>Original : français</w:t>
            </w:r>
          </w:p>
        </w:tc>
      </w:tr>
    </w:tbl>
    <w:p w14:paraId="7BC4D9F4"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24E4FF9" w14:textId="77777777" w:rsidR="008144B4" w:rsidRPr="00F13354" w:rsidRDefault="008144B4" w:rsidP="008144B4">
      <w:pPr>
        <w:pStyle w:val="HChG"/>
        <w:rPr>
          <w:lang w:val="fr-FR"/>
        </w:rPr>
      </w:pPr>
      <w:r w:rsidRPr="00634EE5">
        <w:rPr>
          <w:lang w:val="fr-FR"/>
        </w:rPr>
        <w:tab/>
      </w:r>
      <w:r w:rsidRPr="00634EE5">
        <w:rPr>
          <w:lang w:val="fr-FR"/>
        </w:rPr>
        <w:tab/>
      </w:r>
      <w:r>
        <w:t xml:space="preserve">Décision adoptée par </w:t>
      </w:r>
      <w:r w:rsidRPr="00262C66">
        <w:t>le Comité au titre de l</w:t>
      </w:r>
      <w:r>
        <w:t>’</w:t>
      </w:r>
      <w:r w:rsidRPr="00262C66">
        <w:t>article 22 de la Convention, concernant  la c</w:t>
      </w:r>
      <w:proofErr w:type="spellStart"/>
      <w:r w:rsidRPr="00262C66">
        <w:rPr>
          <w:lang w:val="fr-FR"/>
        </w:rPr>
        <w:t>ommunication</w:t>
      </w:r>
      <w:proofErr w:type="spellEnd"/>
      <w:r w:rsidRPr="00262C66">
        <w:rPr>
          <w:lang w:val="fr-FR"/>
        </w:rPr>
        <w:t xml:space="preserve"> n</w:t>
      </w:r>
      <w:r w:rsidRPr="00262C66">
        <w:rPr>
          <w:vertAlign w:val="superscript"/>
          <w:lang w:val="fr-FR"/>
        </w:rPr>
        <w:t>o</w:t>
      </w:r>
      <w:r w:rsidRPr="00262C66">
        <w:rPr>
          <w:lang w:val="fr-FR"/>
        </w:rPr>
        <w:t> 962/2019</w:t>
      </w:r>
      <w:r w:rsidRPr="00F13354">
        <w:rPr>
          <w:rFonts w:eastAsia="MS Mincho"/>
          <w:b w:val="0"/>
          <w:bCs/>
          <w:sz w:val="20"/>
          <w:szCs w:val="28"/>
          <w:lang w:val="fr-FR"/>
        </w:rPr>
        <w:footnoteReference w:customMarkFollows="1" w:id="2"/>
        <w:t>*</w:t>
      </w:r>
      <w:r w:rsidRPr="00F13354">
        <w:rPr>
          <w:rFonts w:eastAsia="MS Mincho"/>
          <w:b w:val="0"/>
          <w:bCs/>
          <w:sz w:val="20"/>
          <w:szCs w:val="28"/>
          <w:vertAlign w:val="superscript"/>
          <w:lang w:val="fr-FR"/>
        </w:rPr>
        <w:t xml:space="preserve">, </w:t>
      </w:r>
      <w:r w:rsidRPr="00F13354">
        <w:rPr>
          <w:rFonts w:eastAsia="MS Mincho"/>
          <w:b w:val="0"/>
          <w:bCs/>
          <w:sz w:val="20"/>
          <w:szCs w:val="28"/>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8144B4" w14:paraId="13FB858A" w14:textId="77777777" w:rsidTr="00AD78E5">
        <w:tc>
          <w:tcPr>
            <w:tcW w:w="2639" w:type="dxa"/>
          </w:tcPr>
          <w:p w14:paraId="515ECA1D" w14:textId="77777777" w:rsidR="008144B4" w:rsidRDefault="008144B4" w:rsidP="00AD78E5">
            <w:pPr>
              <w:pStyle w:val="SingleTxtG"/>
              <w:ind w:left="0" w:right="0"/>
              <w:jc w:val="left"/>
              <w:rPr>
                <w:i/>
              </w:rPr>
            </w:pPr>
            <w:r>
              <w:rPr>
                <w:i/>
              </w:rPr>
              <w:t>Communication présentée par</w:t>
            </w:r>
            <w:r>
              <w:t> :</w:t>
            </w:r>
          </w:p>
        </w:tc>
        <w:tc>
          <w:tcPr>
            <w:tcW w:w="4166" w:type="dxa"/>
          </w:tcPr>
          <w:p w14:paraId="3C7C9F64" w14:textId="01910C8F" w:rsidR="008144B4" w:rsidRDefault="008144B4" w:rsidP="00AD78E5">
            <w:pPr>
              <w:pStyle w:val="SingleTxtG"/>
              <w:ind w:left="0" w:right="0"/>
              <w:jc w:val="left"/>
            </w:pPr>
            <w:r>
              <w:t>R</w:t>
            </w:r>
            <w:r w:rsidR="009E12FC" w:rsidRPr="009E12FC">
              <w:t>.</w:t>
            </w:r>
            <w:r>
              <w:t xml:space="preserve"> K</w:t>
            </w:r>
            <w:r w:rsidR="009E12FC" w:rsidRPr="009E12FC">
              <w:t>.</w:t>
            </w:r>
            <w:r>
              <w:t xml:space="preserve"> et L</w:t>
            </w:r>
            <w:r w:rsidR="009E12FC" w:rsidRPr="009E12FC">
              <w:t>.</w:t>
            </w:r>
            <w:r>
              <w:t xml:space="preserve"> B</w:t>
            </w:r>
            <w:r w:rsidR="009E12FC" w:rsidRPr="009E12FC">
              <w:t>.</w:t>
            </w:r>
            <w:r>
              <w:t xml:space="preserve"> M</w:t>
            </w:r>
            <w:r w:rsidR="009E12FC" w:rsidRPr="009E12FC">
              <w:t>.</w:t>
            </w:r>
            <w:r>
              <w:t xml:space="preserve"> (représentés par un conseil, Alfred </w:t>
            </w:r>
            <w:proofErr w:type="spellStart"/>
            <w:r>
              <w:t>Ngoyi</w:t>
            </w:r>
            <w:proofErr w:type="spellEnd"/>
            <w:r>
              <w:t xml:space="preserve"> Wa Mwanza)</w:t>
            </w:r>
          </w:p>
        </w:tc>
      </w:tr>
      <w:tr w:rsidR="008144B4" w14:paraId="2C17BC51" w14:textId="77777777" w:rsidTr="00AD78E5">
        <w:tc>
          <w:tcPr>
            <w:tcW w:w="2639" w:type="dxa"/>
          </w:tcPr>
          <w:p w14:paraId="333EBA2D" w14:textId="77777777" w:rsidR="008144B4" w:rsidRDefault="008144B4" w:rsidP="00AD78E5">
            <w:pPr>
              <w:pStyle w:val="SingleTxtG"/>
              <w:ind w:left="0" w:right="0"/>
              <w:jc w:val="left"/>
              <w:rPr>
                <w:i/>
              </w:rPr>
            </w:pPr>
            <w:r>
              <w:rPr>
                <w:i/>
              </w:rPr>
              <w:t>Victime(s) présumée(s)</w:t>
            </w:r>
            <w:r>
              <w:t> :</w:t>
            </w:r>
          </w:p>
        </w:tc>
        <w:tc>
          <w:tcPr>
            <w:tcW w:w="4166" w:type="dxa"/>
          </w:tcPr>
          <w:p w14:paraId="08792F49" w14:textId="77777777" w:rsidR="008144B4" w:rsidRDefault="008144B4" w:rsidP="00AD78E5">
            <w:pPr>
              <w:pStyle w:val="SingleTxtG"/>
              <w:ind w:left="0" w:right="0"/>
              <w:jc w:val="left"/>
            </w:pPr>
            <w:r w:rsidRPr="007D0F6F">
              <w:t>Le</w:t>
            </w:r>
            <w:r>
              <w:t>s</w:t>
            </w:r>
            <w:r w:rsidRPr="007D0F6F">
              <w:t xml:space="preserve"> requérant</w:t>
            </w:r>
            <w:r>
              <w:t>s</w:t>
            </w:r>
            <w:r w:rsidRPr="007D0F6F">
              <w:t xml:space="preserve"> </w:t>
            </w:r>
          </w:p>
        </w:tc>
      </w:tr>
      <w:tr w:rsidR="008144B4" w14:paraId="6BF244FA" w14:textId="77777777" w:rsidTr="00AD78E5">
        <w:tc>
          <w:tcPr>
            <w:tcW w:w="2639" w:type="dxa"/>
          </w:tcPr>
          <w:p w14:paraId="25A03D21" w14:textId="77777777" w:rsidR="008144B4" w:rsidRDefault="008144B4" w:rsidP="00AD78E5">
            <w:pPr>
              <w:pStyle w:val="SingleTxtG"/>
              <w:ind w:left="0" w:right="0"/>
              <w:jc w:val="left"/>
              <w:rPr>
                <w:i/>
              </w:rPr>
            </w:pPr>
            <w:r>
              <w:rPr>
                <w:i/>
              </w:rPr>
              <w:t>État partie</w:t>
            </w:r>
            <w:r>
              <w:t> :</w:t>
            </w:r>
          </w:p>
        </w:tc>
        <w:tc>
          <w:tcPr>
            <w:tcW w:w="4166" w:type="dxa"/>
          </w:tcPr>
          <w:p w14:paraId="0F55DC54" w14:textId="77777777" w:rsidR="008144B4" w:rsidRDefault="008144B4" w:rsidP="00AD78E5">
            <w:pPr>
              <w:pStyle w:val="SingleTxtG"/>
              <w:ind w:left="0" w:right="0"/>
              <w:jc w:val="left"/>
            </w:pPr>
            <w:r>
              <w:t>Suisse</w:t>
            </w:r>
          </w:p>
        </w:tc>
      </w:tr>
      <w:tr w:rsidR="008144B4" w14:paraId="281521DC" w14:textId="77777777" w:rsidTr="00AD78E5">
        <w:tc>
          <w:tcPr>
            <w:tcW w:w="2639" w:type="dxa"/>
          </w:tcPr>
          <w:p w14:paraId="484D0914" w14:textId="77777777" w:rsidR="008144B4" w:rsidRDefault="008144B4" w:rsidP="00AD78E5">
            <w:pPr>
              <w:pStyle w:val="SingleTxtG"/>
              <w:ind w:left="0" w:right="0"/>
              <w:jc w:val="left"/>
              <w:rPr>
                <w:i/>
              </w:rPr>
            </w:pPr>
            <w:r>
              <w:rPr>
                <w:i/>
              </w:rPr>
              <w:t>Date de la requête</w:t>
            </w:r>
            <w:r>
              <w:t> :</w:t>
            </w:r>
          </w:p>
        </w:tc>
        <w:tc>
          <w:tcPr>
            <w:tcW w:w="4166" w:type="dxa"/>
          </w:tcPr>
          <w:p w14:paraId="4E623196" w14:textId="77777777" w:rsidR="008144B4" w:rsidRDefault="008144B4" w:rsidP="00AD78E5">
            <w:pPr>
              <w:pStyle w:val="SingleTxtG"/>
              <w:ind w:left="0" w:right="0"/>
              <w:jc w:val="left"/>
            </w:pPr>
            <w:r w:rsidRPr="0080062C">
              <w:t>4 août 2019</w:t>
            </w:r>
            <w:r w:rsidRPr="00C00B62">
              <w:t xml:space="preserve"> (date de la lettre initiale)</w:t>
            </w:r>
          </w:p>
        </w:tc>
      </w:tr>
      <w:tr w:rsidR="008144B4" w14:paraId="2CC67BAE" w14:textId="77777777" w:rsidTr="00AD78E5">
        <w:tc>
          <w:tcPr>
            <w:tcW w:w="2639" w:type="dxa"/>
          </w:tcPr>
          <w:p w14:paraId="4DC0AAA5" w14:textId="77777777" w:rsidR="008144B4" w:rsidRPr="00262C66" w:rsidRDefault="008144B4" w:rsidP="00AD78E5">
            <w:pPr>
              <w:pStyle w:val="SingleTxtG"/>
              <w:ind w:left="0" w:right="0"/>
              <w:jc w:val="left"/>
            </w:pPr>
            <w:r w:rsidRPr="00262C66">
              <w:rPr>
                <w:i/>
              </w:rPr>
              <w:t>Références </w:t>
            </w:r>
            <w:r w:rsidRPr="00262C66">
              <w:t>:</w:t>
            </w:r>
          </w:p>
        </w:tc>
        <w:tc>
          <w:tcPr>
            <w:tcW w:w="4166" w:type="dxa"/>
          </w:tcPr>
          <w:p w14:paraId="735F5ED8" w14:textId="77777777" w:rsidR="008144B4" w:rsidRPr="00262C66" w:rsidRDefault="008144B4" w:rsidP="00AD78E5">
            <w:pPr>
              <w:pStyle w:val="SingleTxtG"/>
              <w:ind w:left="0" w:right="0"/>
              <w:jc w:val="left"/>
            </w:pPr>
            <w:r w:rsidRPr="00262C66">
              <w:t>Décision prise en application de l</w:t>
            </w:r>
            <w:r>
              <w:t>’</w:t>
            </w:r>
            <w:r w:rsidRPr="00262C66">
              <w:t>article 114 du Règlement intérieur du Comité, transmise à l</w:t>
            </w:r>
            <w:r>
              <w:t>’</w:t>
            </w:r>
            <w:r w:rsidRPr="00262C66">
              <w:t>État partie le 21 octobre 2019 (non publiée sous forme de document)</w:t>
            </w:r>
          </w:p>
        </w:tc>
      </w:tr>
      <w:tr w:rsidR="008144B4" w14:paraId="19F90485" w14:textId="77777777" w:rsidTr="00AD78E5">
        <w:tc>
          <w:tcPr>
            <w:tcW w:w="2639" w:type="dxa"/>
          </w:tcPr>
          <w:p w14:paraId="55839BC0" w14:textId="77777777" w:rsidR="008144B4" w:rsidRPr="00262C66" w:rsidRDefault="008144B4" w:rsidP="00AD78E5">
            <w:pPr>
              <w:pStyle w:val="SingleTxtG"/>
              <w:ind w:left="0" w:right="0"/>
              <w:jc w:val="left"/>
              <w:rPr>
                <w:i/>
              </w:rPr>
            </w:pPr>
            <w:r w:rsidRPr="00262C66">
              <w:rPr>
                <w:i/>
              </w:rPr>
              <w:t>Date de la présente décision</w:t>
            </w:r>
            <w:r w:rsidRPr="00262C66">
              <w:t> :</w:t>
            </w:r>
          </w:p>
        </w:tc>
        <w:tc>
          <w:tcPr>
            <w:tcW w:w="4166" w:type="dxa"/>
            <w:vAlign w:val="bottom"/>
          </w:tcPr>
          <w:p w14:paraId="34FAF0EA" w14:textId="77777777" w:rsidR="008144B4" w:rsidRPr="00262C66" w:rsidRDefault="008144B4" w:rsidP="00AD78E5">
            <w:pPr>
              <w:pStyle w:val="SingleTxtG"/>
              <w:ind w:left="0" w:right="0"/>
              <w:jc w:val="left"/>
            </w:pPr>
            <w:r w:rsidRPr="00262C66">
              <w:t>11 novembre 2022</w:t>
            </w:r>
          </w:p>
        </w:tc>
      </w:tr>
      <w:tr w:rsidR="008144B4" w14:paraId="6B09ED6A" w14:textId="77777777" w:rsidTr="00AD78E5">
        <w:tc>
          <w:tcPr>
            <w:tcW w:w="2639" w:type="dxa"/>
          </w:tcPr>
          <w:p w14:paraId="012F2F0C" w14:textId="77777777" w:rsidR="008144B4" w:rsidRPr="00262C66" w:rsidRDefault="008144B4" w:rsidP="00AD78E5">
            <w:pPr>
              <w:pStyle w:val="SingleTxtG"/>
              <w:ind w:left="0" w:right="0"/>
              <w:jc w:val="left"/>
            </w:pPr>
            <w:r w:rsidRPr="00262C66">
              <w:rPr>
                <w:i/>
              </w:rPr>
              <w:t>Objet</w:t>
            </w:r>
            <w:r w:rsidRPr="00262C66">
              <w:t> :</w:t>
            </w:r>
          </w:p>
        </w:tc>
        <w:tc>
          <w:tcPr>
            <w:tcW w:w="4166" w:type="dxa"/>
            <w:vAlign w:val="bottom"/>
          </w:tcPr>
          <w:p w14:paraId="0A2C92D7" w14:textId="1DDFBDAD" w:rsidR="008144B4" w:rsidRPr="00262C66" w:rsidRDefault="008144B4" w:rsidP="00AD78E5">
            <w:pPr>
              <w:pStyle w:val="SingleTxtG"/>
              <w:ind w:left="0" w:right="0"/>
              <w:jc w:val="left"/>
            </w:pPr>
            <w:r w:rsidRPr="00262C66">
              <w:t>Expulsion vers la République démocratique du</w:t>
            </w:r>
            <w:r w:rsidR="00602800">
              <w:t> </w:t>
            </w:r>
            <w:r w:rsidRPr="00262C66">
              <w:t>Congo</w:t>
            </w:r>
          </w:p>
        </w:tc>
      </w:tr>
      <w:tr w:rsidR="008144B4" w14:paraId="52C91781" w14:textId="77777777" w:rsidTr="00AD78E5">
        <w:tc>
          <w:tcPr>
            <w:tcW w:w="2639" w:type="dxa"/>
          </w:tcPr>
          <w:p w14:paraId="76E5E065" w14:textId="77777777" w:rsidR="008144B4" w:rsidRDefault="008144B4" w:rsidP="00AD78E5">
            <w:pPr>
              <w:pStyle w:val="SingleTxtG"/>
              <w:ind w:left="0" w:right="0"/>
              <w:jc w:val="left"/>
            </w:pPr>
            <w:r>
              <w:rPr>
                <w:i/>
              </w:rPr>
              <w:t>Question(s) de procédure</w:t>
            </w:r>
            <w:r>
              <w:t> :</w:t>
            </w:r>
          </w:p>
        </w:tc>
        <w:tc>
          <w:tcPr>
            <w:tcW w:w="4166" w:type="dxa"/>
            <w:vAlign w:val="bottom"/>
          </w:tcPr>
          <w:p w14:paraId="6BDE860A" w14:textId="77777777" w:rsidR="008144B4" w:rsidRDefault="008144B4" w:rsidP="00AD78E5">
            <w:pPr>
              <w:pStyle w:val="SingleTxtG"/>
              <w:ind w:left="0" w:right="0"/>
              <w:jc w:val="left"/>
            </w:pPr>
            <w:r w:rsidRPr="00C00B62">
              <w:t>N</w:t>
            </w:r>
            <w:r>
              <w:t>éant</w:t>
            </w:r>
          </w:p>
        </w:tc>
      </w:tr>
      <w:tr w:rsidR="008144B4" w14:paraId="06BD5E40" w14:textId="77777777" w:rsidTr="00AD78E5">
        <w:tc>
          <w:tcPr>
            <w:tcW w:w="2639" w:type="dxa"/>
          </w:tcPr>
          <w:p w14:paraId="0797A308" w14:textId="77777777" w:rsidR="008144B4" w:rsidRDefault="008144B4" w:rsidP="00AD78E5">
            <w:pPr>
              <w:pStyle w:val="SingleTxtG"/>
              <w:ind w:left="0" w:right="0"/>
              <w:jc w:val="left"/>
            </w:pPr>
            <w:r>
              <w:rPr>
                <w:i/>
              </w:rPr>
              <w:t>Question(s) de fond</w:t>
            </w:r>
            <w:r>
              <w:t> :</w:t>
            </w:r>
          </w:p>
        </w:tc>
        <w:tc>
          <w:tcPr>
            <w:tcW w:w="4166" w:type="dxa"/>
            <w:vAlign w:val="bottom"/>
          </w:tcPr>
          <w:p w14:paraId="5F562459" w14:textId="45525F76" w:rsidR="008144B4" w:rsidRDefault="008144B4" w:rsidP="00AD78E5">
            <w:pPr>
              <w:pStyle w:val="SingleTxtG"/>
              <w:ind w:left="0" w:right="0"/>
              <w:jc w:val="left"/>
            </w:pPr>
            <w:r w:rsidRPr="007D0F6F">
              <w:t xml:space="preserve">Risque </w:t>
            </w:r>
            <w:r w:rsidRPr="00C00B62">
              <w:t>de torture ou de traitement</w:t>
            </w:r>
            <w:r>
              <w:t>s</w:t>
            </w:r>
            <w:r w:rsidRPr="00C00B62">
              <w:t xml:space="preserve"> cruel</w:t>
            </w:r>
            <w:r>
              <w:t>s</w:t>
            </w:r>
            <w:r w:rsidRPr="00C00B62">
              <w:t>, inhumain</w:t>
            </w:r>
            <w:r>
              <w:t>s</w:t>
            </w:r>
            <w:r w:rsidRPr="00C00B62">
              <w:t xml:space="preserve"> ou dégradant</w:t>
            </w:r>
            <w:r>
              <w:t>s</w:t>
            </w:r>
            <w:r w:rsidRPr="00C00B62">
              <w:t xml:space="preserve"> en cas d</w:t>
            </w:r>
            <w:r>
              <w:t>’</w:t>
            </w:r>
            <w:r w:rsidRPr="00C00B62">
              <w:t xml:space="preserve">expulsion </w:t>
            </w:r>
            <w:r w:rsidR="00602800">
              <w:br/>
            </w:r>
            <w:r>
              <w:t>vers le pays d’origine</w:t>
            </w:r>
          </w:p>
        </w:tc>
      </w:tr>
      <w:tr w:rsidR="008144B4" w14:paraId="1122F707" w14:textId="77777777" w:rsidTr="00AD78E5">
        <w:tc>
          <w:tcPr>
            <w:tcW w:w="2639" w:type="dxa"/>
          </w:tcPr>
          <w:p w14:paraId="29D570A7" w14:textId="77777777" w:rsidR="008144B4" w:rsidRDefault="008144B4" w:rsidP="00AD78E5">
            <w:pPr>
              <w:pStyle w:val="SingleTxtG"/>
              <w:ind w:left="0" w:right="0"/>
              <w:jc w:val="left"/>
            </w:pPr>
            <w:r>
              <w:rPr>
                <w:i/>
              </w:rPr>
              <w:t>Article(s) de la Convention</w:t>
            </w:r>
            <w:r>
              <w:t> :</w:t>
            </w:r>
          </w:p>
        </w:tc>
        <w:tc>
          <w:tcPr>
            <w:tcW w:w="4166" w:type="dxa"/>
            <w:vAlign w:val="bottom"/>
          </w:tcPr>
          <w:p w14:paraId="7C4F815E" w14:textId="77777777" w:rsidR="008144B4" w:rsidRDefault="008144B4" w:rsidP="00AD78E5">
            <w:pPr>
              <w:pStyle w:val="SingleTxtG"/>
              <w:ind w:left="0" w:right="0"/>
              <w:jc w:val="left"/>
            </w:pPr>
            <w:r>
              <w:t>3</w:t>
            </w:r>
          </w:p>
        </w:tc>
      </w:tr>
    </w:tbl>
    <w:p w14:paraId="056B6F09" w14:textId="0D9FEDAD" w:rsidR="008144B4" w:rsidRDefault="008144B4" w:rsidP="00953817">
      <w:pPr>
        <w:pStyle w:val="SingleTxtG"/>
        <w:spacing w:before="120"/>
      </w:pPr>
      <w:r>
        <w:t>1</w:t>
      </w:r>
      <w:r w:rsidR="009E12FC" w:rsidRPr="009E12FC">
        <w:t>.</w:t>
      </w:r>
      <w:r>
        <w:t>1</w:t>
      </w:r>
      <w:r>
        <w:tab/>
        <w:t>Les requérants sont R</w:t>
      </w:r>
      <w:r w:rsidR="009E12FC" w:rsidRPr="009E12FC">
        <w:t>.</w:t>
      </w:r>
      <w:r>
        <w:t> K</w:t>
      </w:r>
      <w:r w:rsidR="009E12FC" w:rsidRPr="009E12FC">
        <w:t>.</w:t>
      </w:r>
      <w:r>
        <w:t>, né le 25 novembre 1952, et son épouse, L</w:t>
      </w:r>
      <w:r w:rsidR="009E12FC" w:rsidRPr="009E12FC">
        <w:t>.</w:t>
      </w:r>
      <w:r>
        <w:t> B</w:t>
      </w:r>
      <w:r w:rsidR="009E12FC" w:rsidRPr="009E12FC">
        <w:t>.</w:t>
      </w:r>
      <w:r>
        <w:t> M</w:t>
      </w:r>
      <w:r w:rsidR="009E12FC" w:rsidRPr="009E12FC">
        <w:t>.</w:t>
      </w:r>
      <w:r>
        <w:t>, née le 21 mars 1962, tous deux ressortissants de la République démocratique du Congo</w:t>
      </w:r>
      <w:r w:rsidR="009E12FC" w:rsidRPr="009E12FC">
        <w:t>.</w:t>
      </w:r>
      <w:r>
        <w:t xml:space="preserve"> À la suite du rejet de leur demande d’asile par la Suisse, ils ont fait l’objet d’une décision de renvoi vers la</w:t>
      </w:r>
      <w:r w:rsidRPr="007D0F6F">
        <w:t xml:space="preserve"> </w:t>
      </w:r>
      <w:r>
        <w:t>République démocratique du Congo</w:t>
      </w:r>
      <w:r w:rsidR="009E12FC" w:rsidRPr="009E12FC">
        <w:t>.</w:t>
      </w:r>
      <w:r>
        <w:t xml:space="preserve"> Ils considèrent qu’un tel renvoi constituerait une violation par l’État partie de leurs droits au titre de l’article 3 de la Convention</w:t>
      </w:r>
      <w:r w:rsidR="009E12FC" w:rsidRPr="009E12FC">
        <w:t>.</w:t>
      </w:r>
      <w:r>
        <w:t xml:space="preserve"> </w:t>
      </w:r>
    </w:p>
    <w:p w14:paraId="058F552F" w14:textId="3B610B54" w:rsidR="008144B4" w:rsidRPr="00F13354" w:rsidRDefault="008144B4" w:rsidP="008144B4">
      <w:pPr>
        <w:pStyle w:val="SingleTxtG"/>
        <w:rPr>
          <w:lang w:val="fr-FR"/>
        </w:rPr>
      </w:pPr>
      <w:r>
        <w:t>1</w:t>
      </w:r>
      <w:r w:rsidR="009E12FC" w:rsidRPr="009E12FC">
        <w:t>.</w:t>
      </w:r>
      <w:r>
        <w:t>2</w:t>
      </w:r>
      <w:r>
        <w:tab/>
        <w:t xml:space="preserve">Le 21 octobre 2019, le Comité, agissant par l’intermédiaire </w:t>
      </w:r>
      <w:r w:rsidRPr="00262C66">
        <w:t>de son Rapporteur chargé des nouvelles requêtes et des mesures provisoires de protection, a décidé de ne pas accéder à la demande de mesures provisoires des requérants</w:t>
      </w:r>
      <w:r w:rsidR="009E12FC" w:rsidRPr="009E12FC">
        <w:t>.</w:t>
      </w:r>
      <w:r w:rsidRPr="00262C66">
        <w:t xml:space="preserve"> </w:t>
      </w:r>
    </w:p>
    <w:p w14:paraId="66C3A64B" w14:textId="77777777" w:rsidR="008144B4" w:rsidRPr="00634EE5" w:rsidRDefault="008144B4" w:rsidP="008144B4">
      <w:pPr>
        <w:pStyle w:val="H23G"/>
        <w:rPr>
          <w:lang w:val="fr-FR"/>
        </w:rPr>
      </w:pPr>
      <w:r w:rsidRPr="00262C66">
        <w:rPr>
          <w:lang w:val="fr-FR"/>
        </w:rPr>
        <w:tab/>
      </w:r>
      <w:r w:rsidRPr="00262C66">
        <w:rPr>
          <w:lang w:val="fr-FR"/>
        </w:rPr>
        <w:tab/>
        <w:t>Rappel des faits présentés par les requérants</w:t>
      </w:r>
    </w:p>
    <w:p w14:paraId="7ACF6A40" w14:textId="05D1F0AA" w:rsidR="008144B4" w:rsidRPr="00E16E50" w:rsidRDefault="008144B4" w:rsidP="008144B4">
      <w:pPr>
        <w:pStyle w:val="SingleTxtG"/>
        <w:rPr>
          <w:lang w:val="fr-FR" w:eastAsia="en-GB"/>
        </w:rPr>
      </w:pPr>
      <w:r w:rsidRPr="007A7940">
        <w:rPr>
          <w:lang w:val="fr-FR" w:eastAsia="en-GB"/>
        </w:rPr>
        <w:t>2</w:t>
      </w:r>
      <w:r w:rsidR="009E12FC" w:rsidRPr="009E12FC">
        <w:rPr>
          <w:lang w:val="fr-FR" w:eastAsia="en-GB"/>
        </w:rPr>
        <w:t>.</w:t>
      </w:r>
      <w:r w:rsidRPr="007A7940">
        <w:rPr>
          <w:lang w:val="fr-FR" w:eastAsia="en-GB"/>
        </w:rPr>
        <w:t>1</w:t>
      </w:r>
      <w:r w:rsidRPr="007A7940">
        <w:rPr>
          <w:lang w:val="fr-FR" w:eastAsia="en-GB"/>
        </w:rPr>
        <w:tab/>
      </w:r>
      <w:r w:rsidRPr="00E16E50">
        <w:rPr>
          <w:lang w:val="fr-FR" w:eastAsia="en-GB"/>
        </w:rPr>
        <w:t xml:space="preserve">En novembre 2015, </w:t>
      </w:r>
      <w:r>
        <w:rPr>
          <w:lang w:val="fr-FR" w:eastAsia="en-GB"/>
        </w:rPr>
        <w:t>R</w:t>
      </w:r>
      <w:r w:rsidR="009E12FC" w:rsidRPr="009E12FC">
        <w:rPr>
          <w:lang w:val="fr-FR" w:eastAsia="en-GB"/>
        </w:rPr>
        <w:t>.</w:t>
      </w:r>
      <w:r>
        <w:rPr>
          <w:lang w:val="fr-FR" w:eastAsia="en-GB"/>
        </w:rPr>
        <w:t> K</w:t>
      </w:r>
      <w:r w:rsidR="009E12FC" w:rsidRPr="009E12FC">
        <w:rPr>
          <w:lang w:val="fr-FR" w:eastAsia="en-GB"/>
        </w:rPr>
        <w:t>.</w:t>
      </w:r>
      <w:r w:rsidRPr="00E16E50">
        <w:rPr>
          <w:lang w:val="fr-FR" w:eastAsia="en-GB"/>
        </w:rPr>
        <w:t xml:space="preserve">, </w:t>
      </w:r>
      <w:r>
        <w:rPr>
          <w:lang w:val="fr-FR" w:eastAsia="en-GB"/>
        </w:rPr>
        <w:t xml:space="preserve">le premier requérant, </w:t>
      </w:r>
      <w:r w:rsidRPr="00E16E50">
        <w:rPr>
          <w:lang w:val="fr-FR" w:eastAsia="en-GB"/>
        </w:rPr>
        <w:t>a appris l</w:t>
      </w:r>
      <w:r>
        <w:rPr>
          <w:lang w:val="fr-FR" w:eastAsia="en-GB"/>
        </w:rPr>
        <w:t>’</w:t>
      </w:r>
      <w:r w:rsidRPr="00E16E50">
        <w:rPr>
          <w:lang w:val="fr-FR" w:eastAsia="en-GB"/>
        </w:rPr>
        <w:t>arrestation de son neveu à Brazzaville par des agents de l</w:t>
      </w:r>
      <w:r>
        <w:rPr>
          <w:lang w:val="fr-FR" w:eastAsia="en-GB"/>
        </w:rPr>
        <w:t>’</w:t>
      </w:r>
      <w:r w:rsidRPr="00E16E50">
        <w:rPr>
          <w:lang w:val="fr-FR" w:eastAsia="en-GB"/>
        </w:rPr>
        <w:t xml:space="preserve">Agence nationale de renseignements </w:t>
      </w:r>
      <w:r>
        <w:rPr>
          <w:lang w:val="fr-FR" w:eastAsia="en-GB"/>
        </w:rPr>
        <w:t xml:space="preserve">à la </w:t>
      </w:r>
      <w:r w:rsidRPr="00E16E50">
        <w:rPr>
          <w:lang w:val="fr-FR" w:eastAsia="en-GB"/>
        </w:rPr>
        <w:t xml:space="preserve">suite </w:t>
      </w:r>
      <w:r>
        <w:rPr>
          <w:lang w:val="fr-FR" w:eastAsia="en-GB"/>
        </w:rPr>
        <w:t>d’</w:t>
      </w:r>
      <w:r w:rsidRPr="00E16E50">
        <w:rPr>
          <w:lang w:val="fr-FR" w:eastAsia="en-GB"/>
        </w:rPr>
        <w:t>un con</w:t>
      </w:r>
      <w:r>
        <w:rPr>
          <w:lang w:val="fr-FR" w:eastAsia="en-GB"/>
        </w:rPr>
        <w:t xml:space="preserve">flit </w:t>
      </w:r>
      <w:r>
        <w:rPr>
          <w:lang w:val="fr-FR" w:eastAsia="en-GB"/>
        </w:rPr>
        <w:lastRenderedPageBreak/>
        <w:t>l’opposant à son locataire</w:t>
      </w:r>
      <w:r w:rsidRPr="00E16E50">
        <w:rPr>
          <w:lang w:val="fr-FR" w:eastAsia="en-GB"/>
        </w:rPr>
        <w:t xml:space="preserve"> </w:t>
      </w:r>
      <w:r w:rsidRPr="00135BD0">
        <w:rPr>
          <w:lang w:val="fr-FR" w:eastAsia="en-GB"/>
        </w:rPr>
        <w:t>qui l</w:t>
      </w:r>
      <w:r>
        <w:rPr>
          <w:lang w:val="fr-FR" w:eastAsia="en-GB"/>
        </w:rPr>
        <w:t>’</w:t>
      </w:r>
      <w:r w:rsidRPr="00135BD0">
        <w:rPr>
          <w:lang w:val="fr-FR" w:eastAsia="en-GB"/>
        </w:rPr>
        <w:t>aurait dénoncé aux services de renseignement comme opposant au régime</w:t>
      </w:r>
      <w:r w:rsidR="009E12FC" w:rsidRPr="009E12FC">
        <w:rPr>
          <w:lang w:val="fr-FR" w:eastAsia="en-GB"/>
        </w:rPr>
        <w:t>.</w:t>
      </w:r>
      <w:r w:rsidRPr="00E16E50">
        <w:rPr>
          <w:lang w:val="fr-FR" w:eastAsia="en-GB"/>
        </w:rPr>
        <w:t xml:space="preserve"> </w:t>
      </w:r>
      <w:r>
        <w:rPr>
          <w:lang w:val="fr-FR" w:eastAsia="en-GB"/>
        </w:rPr>
        <w:t>L</w:t>
      </w:r>
      <w:r w:rsidRPr="00E16E50">
        <w:rPr>
          <w:lang w:val="fr-FR" w:eastAsia="en-GB"/>
        </w:rPr>
        <w:t xml:space="preserve">e </w:t>
      </w:r>
      <w:r>
        <w:rPr>
          <w:lang w:val="fr-FR" w:eastAsia="en-GB"/>
        </w:rPr>
        <w:t xml:space="preserve">premier </w:t>
      </w:r>
      <w:r w:rsidRPr="00E16E50">
        <w:rPr>
          <w:lang w:val="fr-FR" w:eastAsia="en-GB"/>
        </w:rPr>
        <w:t xml:space="preserve">requérant </w:t>
      </w:r>
      <w:r>
        <w:rPr>
          <w:lang w:val="fr-FR" w:eastAsia="en-GB"/>
        </w:rPr>
        <w:t>a fait appel à un ami qui était</w:t>
      </w:r>
      <w:r w:rsidRPr="00E16E50">
        <w:rPr>
          <w:lang w:val="fr-FR" w:eastAsia="en-GB"/>
        </w:rPr>
        <w:t xml:space="preserve"> co</w:t>
      </w:r>
      <w:r>
        <w:rPr>
          <w:lang w:val="fr-FR" w:eastAsia="en-GB"/>
        </w:rPr>
        <w:t xml:space="preserve">lonel de l’armée </w:t>
      </w:r>
      <w:r w:rsidRPr="005F317F">
        <w:rPr>
          <w:lang w:val="fr-FR" w:eastAsia="en-GB"/>
        </w:rPr>
        <w:t>congolaise</w:t>
      </w:r>
      <w:r w:rsidRPr="00E16E50">
        <w:rPr>
          <w:lang w:val="fr-FR" w:eastAsia="en-GB"/>
        </w:rPr>
        <w:t xml:space="preserve"> </w:t>
      </w:r>
      <w:r>
        <w:rPr>
          <w:lang w:val="fr-FR" w:eastAsia="en-GB"/>
        </w:rPr>
        <w:t xml:space="preserve">pour qu’il </w:t>
      </w:r>
      <w:r w:rsidRPr="00E16E50">
        <w:rPr>
          <w:lang w:val="fr-FR" w:eastAsia="en-GB"/>
        </w:rPr>
        <w:t>l</w:t>
      </w:r>
      <w:r>
        <w:rPr>
          <w:lang w:val="fr-FR" w:eastAsia="en-GB"/>
        </w:rPr>
        <w:t>’</w:t>
      </w:r>
      <w:r w:rsidRPr="00E16E50">
        <w:rPr>
          <w:lang w:val="fr-FR" w:eastAsia="en-GB"/>
        </w:rPr>
        <w:t>aide à retrouver la trace de son neveu</w:t>
      </w:r>
      <w:r w:rsidR="009E12FC" w:rsidRPr="009E12FC">
        <w:rPr>
          <w:lang w:val="fr-FR" w:eastAsia="en-GB"/>
        </w:rPr>
        <w:t>.</w:t>
      </w:r>
      <w:r w:rsidRPr="00E16E50">
        <w:rPr>
          <w:lang w:val="fr-FR" w:eastAsia="en-GB"/>
        </w:rPr>
        <w:t xml:space="preserve"> Grâce à </w:t>
      </w:r>
      <w:r>
        <w:rPr>
          <w:lang w:val="fr-FR" w:eastAsia="en-GB"/>
        </w:rPr>
        <w:t>lui</w:t>
      </w:r>
      <w:r w:rsidRPr="00E16E50">
        <w:rPr>
          <w:lang w:val="fr-FR" w:eastAsia="en-GB"/>
        </w:rPr>
        <w:t xml:space="preserve">, </w:t>
      </w:r>
      <w:r>
        <w:rPr>
          <w:lang w:val="fr-FR" w:eastAsia="en-GB"/>
        </w:rPr>
        <w:t>il</w:t>
      </w:r>
      <w:r w:rsidRPr="00E16E50">
        <w:rPr>
          <w:lang w:val="fr-FR" w:eastAsia="en-GB"/>
        </w:rPr>
        <w:t xml:space="preserve"> a appris que son neveu serait détenu dans un </w:t>
      </w:r>
      <w:r w:rsidRPr="005F6C2E">
        <w:rPr>
          <w:lang w:val="fr-FR" w:eastAsia="en-GB"/>
        </w:rPr>
        <w:t>cachot</w:t>
      </w:r>
      <w:r w:rsidRPr="00E16E50">
        <w:rPr>
          <w:lang w:val="fr-FR" w:eastAsia="en-GB"/>
        </w:rPr>
        <w:t xml:space="preserve"> de la Détection militaire des activités anti-patrie, accusé de collusion avec les forces extérieures pour déstabiliser le régime de la </w:t>
      </w:r>
      <w:r>
        <w:rPr>
          <w:lang w:val="fr-FR" w:eastAsia="en-GB"/>
        </w:rPr>
        <w:t>République démocratique du Congo</w:t>
      </w:r>
      <w:r w:rsidR="009E12FC" w:rsidRPr="009E12FC">
        <w:rPr>
          <w:lang w:val="fr-FR" w:eastAsia="en-GB"/>
        </w:rPr>
        <w:t>.</w:t>
      </w:r>
      <w:r w:rsidRPr="00E16E50">
        <w:rPr>
          <w:lang w:val="fr-FR" w:eastAsia="en-GB"/>
        </w:rPr>
        <w:t xml:space="preserve"> </w:t>
      </w:r>
      <w:r>
        <w:rPr>
          <w:lang w:val="fr-FR" w:eastAsia="en-GB"/>
        </w:rPr>
        <w:t xml:space="preserve">Compte tenu </w:t>
      </w:r>
      <w:r w:rsidRPr="00E16E50">
        <w:rPr>
          <w:lang w:val="fr-FR" w:eastAsia="en-GB"/>
        </w:rPr>
        <w:t>de la gravité de l</w:t>
      </w:r>
      <w:r>
        <w:rPr>
          <w:lang w:val="fr-FR" w:eastAsia="en-GB"/>
        </w:rPr>
        <w:t>’</w:t>
      </w:r>
      <w:r w:rsidRPr="00E16E50">
        <w:rPr>
          <w:lang w:val="fr-FR" w:eastAsia="en-GB"/>
        </w:rPr>
        <w:t xml:space="preserve">affaire et </w:t>
      </w:r>
      <w:r>
        <w:rPr>
          <w:lang w:val="fr-FR" w:eastAsia="en-GB"/>
        </w:rPr>
        <w:t>de l’impossibilité dans laquelle se trouvait son ami colonel de l’aider davantage</w:t>
      </w:r>
      <w:r w:rsidRPr="00E16E50">
        <w:rPr>
          <w:lang w:val="fr-FR" w:eastAsia="en-GB"/>
        </w:rPr>
        <w:t xml:space="preserve">, le </w:t>
      </w:r>
      <w:r>
        <w:rPr>
          <w:lang w:val="fr-FR" w:eastAsia="en-GB"/>
        </w:rPr>
        <w:t xml:space="preserve">premier </w:t>
      </w:r>
      <w:r w:rsidRPr="00E16E50">
        <w:rPr>
          <w:lang w:val="fr-FR" w:eastAsia="en-GB"/>
        </w:rPr>
        <w:t>requérant a entamé diverses démarches auprès d</w:t>
      </w:r>
      <w:r>
        <w:rPr>
          <w:lang w:val="fr-FR" w:eastAsia="en-GB"/>
        </w:rPr>
        <w:t>’</w:t>
      </w:r>
      <w:r w:rsidRPr="00E16E50">
        <w:rPr>
          <w:lang w:val="fr-FR" w:eastAsia="en-GB"/>
        </w:rPr>
        <w:t>un avocat et de l</w:t>
      </w:r>
      <w:r>
        <w:rPr>
          <w:lang w:val="fr-FR" w:eastAsia="en-GB"/>
        </w:rPr>
        <w:t>’organisation non gouvernementale</w:t>
      </w:r>
      <w:r w:rsidRPr="00E16E50">
        <w:rPr>
          <w:lang w:val="fr-FR" w:eastAsia="en-GB"/>
        </w:rPr>
        <w:t xml:space="preserve"> «</w:t>
      </w:r>
      <w:r>
        <w:rPr>
          <w:lang w:val="fr-FR" w:eastAsia="en-GB"/>
        </w:rPr>
        <w:t> </w:t>
      </w:r>
      <w:r w:rsidRPr="00E16E50">
        <w:rPr>
          <w:lang w:val="fr-FR" w:eastAsia="en-GB"/>
        </w:rPr>
        <w:t>La voix des sans voix pour les droits de l</w:t>
      </w:r>
      <w:r>
        <w:rPr>
          <w:lang w:val="fr-FR" w:eastAsia="en-GB"/>
        </w:rPr>
        <w:t>’</w:t>
      </w:r>
      <w:r w:rsidRPr="00E16E50">
        <w:rPr>
          <w:lang w:val="fr-FR" w:eastAsia="en-GB"/>
        </w:rPr>
        <w:t>homme</w:t>
      </w:r>
      <w:r>
        <w:rPr>
          <w:lang w:val="fr-FR" w:eastAsia="en-GB"/>
        </w:rPr>
        <w:t> </w:t>
      </w:r>
      <w:r w:rsidRPr="00E16E50">
        <w:rPr>
          <w:lang w:val="fr-FR" w:eastAsia="en-GB"/>
        </w:rPr>
        <w:t>», sans succès</w:t>
      </w:r>
      <w:r w:rsidR="009E12FC" w:rsidRPr="009E12FC">
        <w:rPr>
          <w:lang w:val="fr-FR" w:eastAsia="en-GB"/>
        </w:rPr>
        <w:t>.</w:t>
      </w:r>
      <w:r w:rsidRPr="00E16E50">
        <w:rPr>
          <w:lang w:val="fr-FR" w:eastAsia="en-GB"/>
        </w:rPr>
        <w:t xml:space="preserve"> Finalement, en décembre 2015, </w:t>
      </w:r>
      <w:r>
        <w:rPr>
          <w:lang w:val="fr-FR" w:eastAsia="en-GB"/>
        </w:rPr>
        <w:t>il</w:t>
      </w:r>
      <w:r w:rsidRPr="00E16E50">
        <w:rPr>
          <w:lang w:val="fr-FR" w:eastAsia="en-GB"/>
        </w:rPr>
        <w:t xml:space="preserve"> s</w:t>
      </w:r>
      <w:r>
        <w:rPr>
          <w:lang w:val="fr-FR" w:eastAsia="en-GB"/>
        </w:rPr>
        <w:t>’</w:t>
      </w:r>
      <w:r w:rsidRPr="00E16E50">
        <w:rPr>
          <w:lang w:val="fr-FR" w:eastAsia="en-GB"/>
        </w:rPr>
        <w:t xml:space="preserve">est adressé à la </w:t>
      </w:r>
      <w:r w:rsidRPr="00135BD0">
        <w:rPr>
          <w:lang w:val="fr-FR" w:eastAsia="en-GB"/>
        </w:rPr>
        <w:t>personne responsable de Human Rights Watch en République démocratique du Congo</w:t>
      </w:r>
      <w:r w:rsidR="009E12FC" w:rsidRPr="009E12FC">
        <w:rPr>
          <w:lang w:val="fr-FR" w:eastAsia="en-GB"/>
        </w:rPr>
        <w:t>.</w:t>
      </w:r>
      <w:r w:rsidRPr="00E16E50">
        <w:rPr>
          <w:lang w:val="fr-FR" w:eastAsia="en-GB"/>
        </w:rPr>
        <w:t xml:space="preserve"> </w:t>
      </w:r>
    </w:p>
    <w:p w14:paraId="022C25BF" w14:textId="579AD5DA"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2</w:t>
      </w:r>
      <w:r w:rsidRPr="00E16E50">
        <w:rPr>
          <w:lang w:val="fr-FR" w:eastAsia="en-GB"/>
        </w:rPr>
        <w:tab/>
      </w:r>
      <w:r>
        <w:rPr>
          <w:lang w:val="fr-FR" w:eastAsia="en-GB"/>
        </w:rPr>
        <w:t>À</w:t>
      </w:r>
      <w:r w:rsidRPr="00E16E50">
        <w:rPr>
          <w:lang w:val="fr-FR" w:eastAsia="en-GB"/>
        </w:rPr>
        <w:t xml:space="preserve"> la fin </w:t>
      </w:r>
      <w:r>
        <w:rPr>
          <w:lang w:val="fr-FR" w:eastAsia="en-GB"/>
        </w:rPr>
        <w:t xml:space="preserve">du mois </w:t>
      </w:r>
      <w:r w:rsidRPr="00E16E50">
        <w:rPr>
          <w:lang w:val="fr-FR" w:eastAsia="en-GB"/>
        </w:rPr>
        <w:t xml:space="preserve">de décembre 2015, </w:t>
      </w:r>
      <w:r>
        <w:rPr>
          <w:lang w:val="fr-FR" w:eastAsia="en-GB"/>
        </w:rPr>
        <w:t xml:space="preserve">le </w:t>
      </w:r>
      <w:r w:rsidRPr="00E16E50">
        <w:rPr>
          <w:lang w:val="fr-FR" w:eastAsia="en-GB"/>
        </w:rPr>
        <w:t>neveu</w:t>
      </w:r>
      <w:r>
        <w:rPr>
          <w:lang w:val="fr-FR" w:eastAsia="en-GB"/>
        </w:rPr>
        <w:t xml:space="preserve"> du premier requérant</w:t>
      </w:r>
      <w:r w:rsidRPr="00E16E50">
        <w:rPr>
          <w:lang w:val="fr-FR" w:eastAsia="en-GB"/>
        </w:rPr>
        <w:t xml:space="preserve"> a été libéré sans que des poursuites n</w:t>
      </w:r>
      <w:r>
        <w:rPr>
          <w:lang w:val="fr-FR" w:eastAsia="en-GB"/>
        </w:rPr>
        <w:t>’</w:t>
      </w:r>
      <w:r w:rsidRPr="00E16E50">
        <w:rPr>
          <w:lang w:val="fr-FR" w:eastAsia="en-GB"/>
        </w:rPr>
        <w:t>aient été engagées contre lui</w:t>
      </w:r>
      <w:r w:rsidR="009E12FC" w:rsidRPr="009E12FC">
        <w:rPr>
          <w:lang w:val="fr-FR" w:eastAsia="en-GB"/>
        </w:rPr>
        <w:t>.</w:t>
      </w:r>
      <w:r w:rsidRPr="00E16E50">
        <w:rPr>
          <w:lang w:val="fr-FR" w:eastAsia="en-GB"/>
        </w:rPr>
        <w:t xml:space="preserve"> De mars à mai 2016, les requérants ont voyagé en Afrique du Sud</w:t>
      </w:r>
      <w:r w:rsidR="009E12FC" w:rsidRPr="009E12FC">
        <w:rPr>
          <w:lang w:val="fr-FR" w:eastAsia="en-GB"/>
        </w:rPr>
        <w:t>.</w:t>
      </w:r>
      <w:r w:rsidRPr="00E16E50">
        <w:rPr>
          <w:lang w:val="fr-FR" w:eastAsia="en-GB"/>
        </w:rPr>
        <w:t xml:space="preserve"> </w:t>
      </w:r>
      <w:r>
        <w:rPr>
          <w:lang w:val="fr-FR" w:eastAsia="en-GB"/>
        </w:rPr>
        <w:t>À</w:t>
      </w:r>
      <w:r w:rsidRPr="00E16E50">
        <w:rPr>
          <w:lang w:val="fr-FR" w:eastAsia="en-GB"/>
        </w:rPr>
        <w:t xml:space="preserve"> leur retour, ils ont été avertis par leur ami colonel que le </w:t>
      </w:r>
      <w:r>
        <w:rPr>
          <w:lang w:val="fr-FR" w:eastAsia="en-GB"/>
        </w:rPr>
        <w:t xml:space="preserve">premier </w:t>
      </w:r>
      <w:r w:rsidRPr="00E16E50">
        <w:rPr>
          <w:lang w:val="fr-FR" w:eastAsia="en-GB"/>
        </w:rPr>
        <w:t xml:space="preserve">requérant aurait été fiché par les services de sécurité de la </w:t>
      </w:r>
      <w:r>
        <w:rPr>
          <w:lang w:val="fr-FR" w:eastAsia="en-GB"/>
        </w:rPr>
        <w:t>République démocratique du Congo</w:t>
      </w:r>
      <w:r w:rsidRPr="00E16E50">
        <w:rPr>
          <w:lang w:val="fr-FR" w:eastAsia="en-GB"/>
        </w:rPr>
        <w:t xml:space="preserve"> pour avoir porté l</w:t>
      </w:r>
      <w:r>
        <w:rPr>
          <w:lang w:val="fr-FR" w:eastAsia="en-GB"/>
        </w:rPr>
        <w:t>’</w:t>
      </w:r>
      <w:r w:rsidRPr="00E16E50">
        <w:rPr>
          <w:lang w:val="fr-FR" w:eastAsia="en-GB"/>
        </w:rPr>
        <w:t xml:space="preserve">affaire de son neveu devant </w:t>
      </w:r>
      <w:r>
        <w:rPr>
          <w:lang w:val="fr-FR" w:eastAsia="en-GB"/>
        </w:rPr>
        <w:t>Human Rights Watch, et que s</w:t>
      </w:r>
      <w:r w:rsidRPr="00E16E50">
        <w:rPr>
          <w:lang w:val="fr-FR" w:eastAsia="en-GB"/>
        </w:rPr>
        <w:t xml:space="preserve">on nom </w:t>
      </w:r>
      <w:r>
        <w:rPr>
          <w:lang w:val="fr-FR" w:eastAsia="en-GB"/>
        </w:rPr>
        <w:t xml:space="preserve">figurerait </w:t>
      </w:r>
      <w:r w:rsidRPr="00E16E50">
        <w:rPr>
          <w:lang w:val="fr-FR" w:eastAsia="en-GB"/>
        </w:rPr>
        <w:t xml:space="preserve">dans un rapport de juillet 2016 de </w:t>
      </w:r>
      <w:r>
        <w:rPr>
          <w:lang w:val="fr-FR" w:eastAsia="en-GB"/>
        </w:rPr>
        <w:t>l’organisation</w:t>
      </w:r>
      <w:r w:rsidR="009E12FC" w:rsidRPr="009E12FC">
        <w:rPr>
          <w:lang w:val="fr-FR" w:eastAsia="en-GB"/>
        </w:rPr>
        <w:t>.</w:t>
      </w:r>
      <w:r w:rsidRPr="00E16E50">
        <w:rPr>
          <w:lang w:val="fr-FR" w:eastAsia="en-GB"/>
        </w:rPr>
        <w:t xml:space="preserve"> </w:t>
      </w:r>
      <w:r>
        <w:rPr>
          <w:lang w:val="fr-FR" w:eastAsia="en-GB"/>
        </w:rPr>
        <w:t>De plus</w:t>
      </w:r>
      <w:r w:rsidRPr="00E16E50">
        <w:rPr>
          <w:lang w:val="fr-FR" w:eastAsia="en-GB"/>
        </w:rPr>
        <w:t xml:space="preserve">, </w:t>
      </w:r>
      <w:r w:rsidRPr="00BA1E6A">
        <w:rPr>
          <w:lang w:val="fr-FR" w:eastAsia="en-GB"/>
        </w:rPr>
        <w:t xml:space="preserve">la </w:t>
      </w:r>
      <w:r w:rsidRPr="00135BD0">
        <w:rPr>
          <w:lang w:val="fr-FR" w:eastAsia="en-GB"/>
        </w:rPr>
        <w:t xml:space="preserve">personne </w:t>
      </w:r>
      <w:r w:rsidRPr="00BA1E6A">
        <w:rPr>
          <w:lang w:val="fr-FR" w:eastAsia="en-GB"/>
        </w:rPr>
        <w:t>de Human Rights Watch à laquelle le premier requérant s</w:t>
      </w:r>
      <w:r>
        <w:rPr>
          <w:lang w:val="fr-FR" w:eastAsia="en-GB"/>
        </w:rPr>
        <w:t>’</w:t>
      </w:r>
      <w:r w:rsidRPr="00BA1E6A">
        <w:rPr>
          <w:lang w:val="fr-FR" w:eastAsia="en-GB"/>
        </w:rPr>
        <w:t>était adressé a été ex</w:t>
      </w:r>
      <w:r w:rsidRPr="00E16E50">
        <w:rPr>
          <w:lang w:val="fr-FR" w:eastAsia="en-GB"/>
        </w:rPr>
        <w:t xml:space="preserve">pulsée </w:t>
      </w:r>
      <w:r>
        <w:rPr>
          <w:lang w:val="fr-FR" w:eastAsia="en-GB"/>
        </w:rPr>
        <w:t>du pays</w:t>
      </w:r>
      <w:r w:rsidR="009E12FC" w:rsidRPr="009E12FC">
        <w:rPr>
          <w:lang w:val="fr-FR" w:eastAsia="en-GB"/>
        </w:rPr>
        <w:t>.</w:t>
      </w:r>
    </w:p>
    <w:p w14:paraId="72B0B3AD" w14:textId="4970470B"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3</w:t>
      </w:r>
      <w:r w:rsidRPr="00E16E50">
        <w:rPr>
          <w:lang w:val="fr-FR" w:eastAsia="en-GB"/>
        </w:rPr>
        <w:tab/>
      </w:r>
      <w:r>
        <w:rPr>
          <w:lang w:val="fr-FR" w:eastAsia="en-GB"/>
        </w:rPr>
        <w:t>À</w:t>
      </w:r>
      <w:r w:rsidRPr="00E16E50">
        <w:rPr>
          <w:lang w:val="fr-FR" w:eastAsia="en-GB"/>
        </w:rPr>
        <w:t xml:space="preserve"> leur retour d</w:t>
      </w:r>
      <w:r>
        <w:rPr>
          <w:lang w:val="fr-FR" w:eastAsia="en-GB"/>
        </w:rPr>
        <w:t>’</w:t>
      </w:r>
      <w:r w:rsidRPr="00E16E50">
        <w:rPr>
          <w:lang w:val="fr-FR" w:eastAsia="en-GB"/>
        </w:rPr>
        <w:t xml:space="preserve">un voyage en Europe en juillet 2016, les requérants ont été </w:t>
      </w:r>
      <w:r>
        <w:rPr>
          <w:lang w:val="fr-FR" w:eastAsia="en-GB"/>
        </w:rPr>
        <w:t>informés</w:t>
      </w:r>
      <w:r w:rsidRPr="00E16E50">
        <w:rPr>
          <w:lang w:val="fr-FR" w:eastAsia="en-GB"/>
        </w:rPr>
        <w:t xml:space="preserve"> par des voisins que des inconnus </w:t>
      </w:r>
      <w:r>
        <w:rPr>
          <w:lang w:val="fr-FR" w:eastAsia="en-GB"/>
        </w:rPr>
        <w:t>avaient cherché le premier requérant</w:t>
      </w:r>
      <w:r w:rsidRPr="00E16E50">
        <w:rPr>
          <w:lang w:val="fr-FR" w:eastAsia="en-GB"/>
        </w:rPr>
        <w:t xml:space="preserve"> à son domicile</w:t>
      </w:r>
      <w:r w:rsidR="009E12FC" w:rsidRPr="009E12FC">
        <w:rPr>
          <w:lang w:val="fr-FR" w:eastAsia="en-GB"/>
        </w:rPr>
        <w:t>.</w:t>
      </w:r>
      <w:r w:rsidRPr="00E16E50">
        <w:rPr>
          <w:lang w:val="fr-FR" w:eastAsia="en-GB"/>
        </w:rPr>
        <w:t xml:space="preserve"> </w:t>
      </w:r>
      <w:r>
        <w:rPr>
          <w:lang w:val="fr-FR" w:eastAsia="en-GB"/>
        </w:rPr>
        <w:t xml:space="preserve">Ce dernier aurait consulté son ami colonel qui lui aurait conseillé de ne pas </w:t>
      </w:r>
      <w:r w:rsidRPr="00E16E50">
        <w:rPr>
          <w:lang w:val="fr-FR" w:eastAsia="en-GB"/>
        </w:rPr>
        <w:t>retourner chez lui</w:t>
      </w:r>
      <w:r>
        <w:rPr>
          <w:lang w:val="fr-FR" w:eastAsia="en-GB"/>
        </w:rPr>
        <w:t> ; le requérant s’est donc</w:t>
      </w:r>
      <w:r w:rsidRPr="00E16E50">
        <w:rPr>
          <w:lang w:val="fr-FR" w:eastAsia="en-GB"/>
        </w:rPr>
        <w:t xml:space="preserve"> installé chez des amis</w:t>
      </w:r>
      <w:r w:rsidR="009E12FC" w:rsidRPr="009E12FC">
        <w:rPr>
          <w:lang w:val="fr-FR" w:eastAsia="en-GB"/>
        </w:rPr>
        <w:t>.</w:t>
      </w:r>
      <w:r w:rsidRPr="00E16E50">
        <w:rPr>
          <w:lang w:val="fr-FR" w:eastAsia="en-GB"/>
        </w:rPr>
        <w:t xml:space="preserve"> </w:t>
      </w:r>
    </w:p>
    <w:p w14:paraId="7FE9E2E4" w14:textId="3D342008" w:rsidR="008144B4" w:rsidRPr="00E16E50" w:rsidRDefault="008144B4" w:rsidP="008144B4">
      <w:pPr>
        <w:pStyle w:val="SingleTxtG"/>
        <w:rPr>
          <w:lang w:val="fr-FR" w:eastAsia="en-GB"/>
        </w:rPr>
      </w:pPr>
      <w:r>
        <w:rPr>
          <w:lang w:val="fr-FR" w:eastAsia="en-GB"/>
        </w:rPr>
        <w:t>2</w:t>
      </w:r>
      <w:r w:rsidR="009E12FC" w:rsidRPr="009E12FC">
        <w:rPr>
          <w:lang w:val="fr-FR" w:eastAsia="en-GB"/>
        </w:rPr>
        <w:t>.</w:t>
      </w:r>
      <w:r>
        <w:rPr>
          <w:lang w:val="fr-FR" w:eastAsia="en-GB"/>
        </w:rPr>
        <w:t>4</w:t>
      </w:r>
      <w:r>
        <w:rPr>
          <w:lang w:val="fr-FR" w:eastAsia="en-GB"/>
        </w:rPr>
        <w:tab/>
        <w:t xml:space="preserve">Le </w:t>
      </w:r>
      <w:r w:rsidRPr="0099298B">
        <w:rPr>
          <w:lang w:val="fr-FR" w:eastAsia="en-GB"/>
        </w:rPr>
        <w:t>10 mai 2016</w:t>
      </w:r>
      <w:r w:rsidRPr="00E16E50">
        <w:rPr>
          <w:lang w:val="fr-FR" w:eastAsia="en-GB"/>
        </w:rPr>
        <w:t xml:space="preserve">, </w:t>
      </w:r>
      <w:r>
        <w:rPr>
          <w:lang w:val="fr-FR" w:eastAsia="en-GB"/>
        </w:rPr>
        <w:t>le premier requérant</w:t>
      </w:r>
      <w:r w:rsidRPr="00E16E50">
        <w:rPr>
          <w:lang w:val="fr-FR" w:eastAsia="en-GB"/>
        </w:rPr>
        <w:t xml:space="preserve"> a reçu une conv</w:t>
      </w:r>
      <w:r>
        <w:rPr>
          <w:lang w:val="fr-FR" w:eastAsia="en-GB"/>
        </w:rPr>
        <w:t>ocation l’enjoignant de se présenter à l’</w:t>
      </w:r>
      <w:r w:rsidRPr="00E16E50">
        <w:rPr>
          <w:lang w:val="fr-FR" w:eastAsia="en-GB"/>
        </w:rPr>
        <w:t>Agence nationale de renseignements</w:t>
      </w:r>
      <w:r>
        <w:rPr>
          <w:lang w:val="fr-FR" w:eastAsia="en-GB"/>
        </w:rPr>
        <w:t xml:space="preserve"> </w:t>
      </w:r>
      <w:r w:rsidRPr="00E16E50">
        <w:rPr>
          <w:lang w:val="fr-FR" w:eastAsia="en-GB"/>
        </w:rPr>
        <w:t>pour des motifs qui lui</w:t>
      </w:r>
      <w:r>
        <w:rPr>
          <w:lang w:val="fr-FR" w:eastAsia="en-GB"/>
        </w:rPr>
        <w:t xml:space="preserve"> seraient communiqués sur place</w:t>
      </w:r>
      <w:r w:rsidR="009E12FC" w:rsidRPr="009E12FC">
        <w:rPr>
          <w:lang w:val="fr-FR" w:eastAsia="en-GB"/>
        </w:rPr>
        <w:t>.</w:t>
      </w:r>
      <w:r w:rsidRPr="00E16E50">
        <w:rPr>
          <w:lang w:val="fr-FR" w:eastAsia="en-GB"/>
        </w:rPr>
        <w:t xml:space="preserve"> </w:t>
      </w:r>
      <w:r>
        <w:rPr>
          <w:lang w:val="fr-FR" w:eastAsia="en-GB"/>
        </w:rPr>
        <w:t xml:space="preserve">Début septembre 2016, le premier requérant s’est rendu à </w:t>
      </w:r>
      <w:r w:rsidRPr="00262C66">
        <w:rPr>
          <w:lang w:val="fr-FR" w:eastAsia="en-GB"/>
        </w:rPr>
        <w:t>Rutshuru</w:t>
      </w:r>
      <w:r>
        <w:rPr>
          <w:lang w:val="fr-FR" w:eastAsia="en-GB"/>
        </w:rPr>
        <w:t xml:space="preserve"> </w:t>
      </w:r>
      <w:r w:rsidRPr="00E16E50">
        <w:rPr>
          <w:lang w:val="fr-FR" w:eastAsia="en-GB"/>
        </w:rPr>
        <w:t xml:space="preserve">craignant </w:t>
      </w:r>
      <w:r>
        <w:rPr>
          <w:lang w:val="fr-FR" w:eastAsia="en-GB"/>
        </w:rPr>
        <w:t>pour sa sécurité et pour sa vie</w:t>
      </w:r>
      <w:r w:rsidR="009E12FC" w:rsidRPr="009E12FC">
        <w:rPr>
          <w:lang w:val="fr-FR" w:eastAsia="en-GB"/>
        </w:rPr>
        <w:t>.</w:t>
      </w:r>
      <w:r w:rsidRPr="00E16E50">
        <w:rPr>
          <w:lang w:val="fr-FR" w:eastAsia="en-GB"/>
        </w:rPr>
        <w:t xml:space="preserve"> </w:t>
      </w:r>
      <w:r>
        <w:rPr>
          <w:lang w:val="fr-FR" w:eastAsia="en-GB"/>
        </w:rPr>
        <w:t>Le requérant n’ayant pas donné s</w:t>
      </w:r>
      <w:r w:rsidRPr="00E16E50">
        <w:rPr>
          <w:lang w:val="fr-FR" w:eastAsia="en-GB"/>
        </w:rPr>
        <w:t xml:space="preserve">uite à la convocation, </w:t>
      </w:r>
      <w:r>
        <w:rPr>
          <w:lang w:val="fr-FR" w:eastAsia="en-GB"/>
        </w:rPr>
        <w:t xml:space="preserve">les autorités </w:t>
      </w:r>
      <w:r w:rsidRPr="005F317F">
        <w:rPr>
          <w:lang w:val="fr-FR" w:eastAsia="en-GB"/>
        </w:rPr>
        <w:t>congolaises</w:t>
      </w:r>
      <w:r>
        <w:rPr>
          <w:lang w:val="fr-FR" w:eastAsia="en-GB"/>
        </w:rPr>
        <w:t xml:space="preserve"> ont établi </w:t>
      </w:r>
      <w:r w:rsidRPr="00E16E50">
        <w:rPr>
          <w:lang w:val="fr-FR" w:eastAsia="en-GB"/>
        </w:rPr>
        <w:t>un mandat d</w:t>
      </w:r>
      <w:r>
        <w:rPr>
          <w:lang w:val="fr-FR" w:eastAsia="en-GB"/>
        </w:rPr>
        <w:t>’</w:t>
      </w:r>
      <w:r w:rsidRPr="00E16E50">
        <w:rPr>
          <w:lang w:val="fr-FR" w:eastAsia="en-GB"/>
        </w:rPr>
        <w:t>amener à son encontre</w:t>
      </w:r>
      <w:r w:rsidR="009E12FC" w:rsidRPr="009E12FC">
        <w:rPr>
          <w:lang w:val="fr-FR" w:eastAsia="en-GB"/>
        </w:rPr>
        <w:t>.</w:t>
      </w:r>
      <w:r w:rsidRPr="00E16E50">
        <w:rPr>
          <w:lang w:val="fr-FR" w:eastAsia="en-GB"/>
        </w:rPr>
        <w:t xml:space="preserve"> La </w:t>
      </w:r>
      <w:r>
        <w:rPr>
          <w:lang w:val="fr-FR" w:eastAsia="en-GB"/>
        </w:rPr>
        <w:t xml:space="preserve">deuxième </w:t>
      </w:r>
      <w:r w:rsidRPr="00E16E50">
        <w:rPr>
          <w:lang w:val="fr-FR" w:eastAsia="en-GB"/>
        </w:rPr>
        <w:t>requérante est quant à elle restée à</w:t>
      </w:r>
      <w:r>
        <w:rPr>
          <w:lang w:val="fr-FR" w:eastAsia="en-GB"/>
        </w:rPr>
        <w:t xml:space="preserve"> Kinshasa dans un premier temps</w:t>
      </w:r>
      <w:r w:rsidRPr="00E16E50">
        <w:rPr>
          <w:lang w:val="fr-FR" w:eastAsia="en-GB"/>
        </w:rPr>
        <w:t xml:space="preserve"> avant de se rendre au Kasa</w:t>
      </w:r>
      <w:r>
        <w:rPr>
          <w:lang w:val="fr-FR" w:eastAsia="en-GB"/>
        </w:rPr>
        <w:t>ï</w:t>
      </w:r>
      <w:r w:rsidRPr="00E16E50">
        <w:rPr>
          <w:lang w:val="fr-FR" w:eastAsia="en-GB"/>
        </w:rPr>
        <w:t xml:space="preserve"> en raison de la mort de son père </w:t>
      </w:r>
      <w:r>
        <w:rPr>
          <w:lang w:val="fr-FR" w:eastAsia="en-GB"/>
        </w:rPr>
        <w:t>puis</w:t>
      </w:r>
      <w:r w:rsidRPr="00E16E50">
        <w:rPr>
          <w:lang w:val="fr-FR" w:eastAsia="en-GB"/>
        </w:rPr>
        <w:t xml:space="preserve"> de rejoindre son mari en décembre 2016</w:t>
      </w:r>
      <w:r w:rsidR="009E12FC" w:rsidRPr="009E12FC">
        <w:rPr>
          <w:lang w:val="fr-FR" w:eastAsia="en-GB"/>
        </w:rPr>
        <w:t>.</w:t>
      </w:r>
      <w:r w:rsidRPr="00E16E50">
        <w:rPr>
          <w:lang w:val="fr-FR" w:eastAsia="en-GB"/>
        </w:rPr>
        <w:t xml:space="preserve"> </w:t>
      </w:r>
    </w:p>
    <w:p w14:paraId="4AB23D16" w14:textId="2AB1999A"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5</w:t>
      </w:r>
      <w:r w:rsidRPr="00E16E50">
        <w:rPr>
          <w:lang w:val="fr-FR" w:eastAsia="en-GB"/>
        </w:rPr>
        <w:tab/>
        <w:t>Dans la nuit du 2</w:t>
      </w:r>
      <w:r>
        <w:rPr>
          <w:lang w:val="fr-FR" w:eastAsia="en-GB"/>
        </w:rPr>
        <w:t xml:space="preserve">3 décembre 2016, </w:t>
      </w:r>
      <w:r w:rsidRPr="00E16E50">
        <w:rPr>
          <w:lang w:val="fr-FR" w:eastAsia="en-GB"/>
        </w:rPr>
        <w:t>de</w:t>
      </w:r>
      <w:r>
        <w:rPr>
          <w:lang w:val="fr-FR" w:eastAsia="en-GB"/>
        </w:rPr>
        <w:t>s</w:t>
      </w:r>
      <w:r w:rsidRPr="00E16E50">
        <w:rPr>
          <w:lang w:val="fr-FR" w:eastAsia="en-GB"/>
        </w:rPr>
        <w:t xml:space="preserve"> militaires armés</w:t>
      </w:r>
      <w:r>
        <w:rPr>
          <w:lang w:val="fr-FR" w:eastAsia="en-GB"/>
        </w:rPr>
        <w:t xml:space="preserve"> se sont ren</w:t>
      </w:r>
      <w:r w:rsidRPr="005F317F">
        <w:rPr>
          <w:lang w:val="fr-FR" w:eastAsia="en-GB"/>
        </w:rPr>
        <w:t>dus</w:t>
      </w:r>
      <w:r>
        <w:rPr>
          <w:lang w:val="fr-FR" w:eastAsia="en-GB"/>
        </w:rPr>
        <w:t xml:space="preserve"> au domicile des requérants</w:t>
      </w:r>
      <w:r w:rsidRPr="00E16E50">
        <w:rPr>
          <w:lang w:val="fr-FR" w:eastAsia="en-GB"/>
        </w:rPr>
        <w:t xml:space="preserve"> </w:t>
      </w:r>
      <w:r>
        <w:rPr>
          <w:lang w:val="fr-FR" w:eastAsia="en-GB"/>
        </w:rPr>
        <w:t>et</w:t>
      </w:r>
      <w:r w:rsidRPr="00E16E50">
        <w:rPr>
          <w:lang w:val="fr-FR" w:eastAsia="en-GB"/>
        </w:rPr>
        <w:t xml:space="preserve"> les ont accusés de détention d</w:t>
      </w:r>
      <w:r>
        <w:rPr>
          <w:lang w:val="fr-FR" w:eastAsia="en-GB"/>
        </w:rPr>
        <w:t>’</w:t>
      </w:r>
      <w:r w:rsidRPr="00E16E50">
        <w:rPr>
          <w:lang w:val="fr-FR" w:eastAsia="en-GB"/>
        </w:rPr>
        <w:t>armes et d</w:t>
      </w:r>
      <w:r>
        <w:rPr>
          <w:lang w:val="fr-FR" w:eastAsia="en-GB"/>
        </w:rPr>
        <w:t>’</w:t>
      </w:r>
      <w:r w:rsidRPr="00E16E50">
        <w:rPr>
          <w:lang w:val="fr-FR" w:eastAsia="en-GB"/>
        </w:rPr>
        <w:t>espionnage contre l</w:t>
      </w:r>
      <w:r>
        <w:rPr>
          <w:lang w:val="fr-FR" w:eastAsia="en-GB"/>
        </w:rPr>
        <w:t>’É</w:t>
      </w:r>
      <w:r w:rsidRPr="00E16E50">
        <w:rPr>
          <w:lang w:val="fr-FR" w:eastAsia="en-GB"/>
        </w:rPr>
        <w:t xml:space="preserve">tat </w:t>
      </w:r>
      <w:r w:rsidRPr="00731EA9">
        <w:rPr>
          <w:lang w:val="fr-FR" w:eastAsia="en-GB"/>
        </w:rPr>
        <w:t>congolais</w:t>
      </w:r>
      <w:r>
        <w:rPr>
          <w:lang w:val="fr-FR" w:eastAsia="en-GB"/>
        </w:rPr>
        <w:t xml:space="preserve"> au profit des milices</w:t>
      </w:r>
      <w:r w:rsidR="009E12FC" w:rsidRPr="009E12FC">
        <w:rPr>
          <w:lang w:val="fr-FR" w:eastAsia="en-GB"/>
        </w:rPr>
        <w:t>.</w:t>
      </w:r>
      <w:r w:rsidRPr="00E16E50">
        <w:rPr>
          <w:lang w:val="fr-FR" w:eastAsia="en-GB"/>
        </w:rPr>
        <w:t xml:space="preserve"> Le </w:t>
      </w:r>
      <w:r>
        <w:rPr>
          <w:lang w:val="fr-FR" w:eastAsia="en-GB"/>
        </w:rPr>
        <w:t xml:space="preserve">premier </w:t>
      </w:r>
      <w:r w:rsidRPr="00E16E50">
        <w:rPr>
          <w:lang w:val="fr-FR" w:eastAsia="en-GB"/>
        </w:rPr>
        <w:t>requérant a été emmené dans un véhicule et frappé au point de perdre connaissance</w:t>
      </w:r>
      <w:r w:rsidR="009E12FC" w:rsidRPr="009E12FC">
        <w:rPr>
          <w:lang w:val="fr-FR" w:eastAsia="en-GB"/>
        </w:rPr>
        <w:t>.</w:t>
      </w:r>
      <w:r w:rsidRPr="00E16E50">
        <w:rPr>
          <w:lang w:val="fr-FR" w:eastAsia="en-GB"/>
        </w:rPr>
        <w:t xml:space="preserve"> Il </w:t>
      </w:r>
      <w:r>
        <w:rPr>
          <w:lang w:val="fr-FR" w:eastAsia="en-GB"/>
        </w:rPr>
        <w:t>a repris connaissance</w:t>
      </w:r>
      <w:r w:rsidRPr="00E16E50">
        <w:rPr>
          <w:lang w:val="fr-FR" w:eastAsia="en-GB"/>
        </w:rPr>
        <w:t xml:space="preserve"> en pleine nature et a été secouru par des villageois et des membres de la </w:t>
      </w:r>
      <w:r w:rsidRPr="00262C66">
        <w:rPr>
          <w:lang w:val="fr-FR" w:eastAsia="en-GB"/>
        </w:rPr>
        <w:t>Mission de l</w:t>
      </w:r>
      <w:r>
        <w:rPr>
          <w:lang w:val="fr-FR" w:eastAsia="en-GB"/>
        </w:rPr>
        <w:t>’</w:t>
      </w:r>
      <w:r w:rsidRPr="00262C66">
        <w:rPr>
          <w:lang w:val="fr-FR" w:eastAsia="en-GB"/>
        </w:rPr>
        <w:t>Organisation des Nations Unies pour la stabilisation en République démocratique du Congo</w:t>
      </w:r>
      <w:r>
        <w:rPr>
          <w:lang w:val="fr-FR" w:eastAsia="en-GB"/>
        </w:rPr>
        <w:t xml:space="preserve"> q</w:t>
      </w:r>
      <w:r w:rsidRPr="00E16E50">
        <w:rPr>
          <w:lang w:val="fr-FR" w:eastAsia="en-GB"/>
        </w:rPr>
        <w:t>ui l</w:t>
      </w:r>
      <w:r>
        <w:rPr>
          <w:lang w:val="fr-FR" w:eastAsia="en-GB"/>
        </w:rPr>
        <w:t>’</w:t>
      </w:r>
      <w:r w:rsidRPr="00E16E50">
        <w:rPr>
          <w:lang w:val="fr-FR" w:eastAsia="en-GB"/>
        </w:rPr>
        <w:t xml:space="preserve">ont conduit dans un centre hospitalier </w:t>
      </w:r>
      <w:r>
        <w:rPr>
          <w:lang w:val="fr-FR" w:eastAsia="en-GB"/>
        </w:rPr>
        <w:t>à</w:t>
      </w:r>
      <w:r w:rsidRPr="00E16E50">
        <w:rPr>
          <w:lang w:val="fr-FR" w:eastAsia="en-GB"/>
        </w:rPr>
        <w:t xml:space="preserve"> Rutshuru où il a passé plusieurs semaines</w:t>
      </w:r>
      <w:r w:rsidR="009E12FC" w:rsidRPr="009E12FC">
        <w:rPr>
          <w:lang w:val="fr-FR" w:eastAsia="en-GB"/>
        </w:rPr>
        <w:t>.</w:t>
      </w:r>
      <w:r w:rsidRPr="00E16E50">
        <w:rPr>
          <w:lang w:val="fr-FR" w:eastAsia="en-GB"/>
        </w:rPr>
        <w:t xml:space="preserve"> Fin janvier 2017, le </w:t>
      </w:r>
      <w:r>
        <w:rPr>
          <w:lang w:val="fr-FR" w:eastAsia="en-GB"/>
        </w:rPr>
        <w:t xml:space="preserve">premier </w:t>
      </w:r>
      <w:r w:rsidRPr="00E16E50">
        <w:rPr>
          <w:lang w:val="fr-FR" w:eastAsia="en-GB"/>
        </w:rPr>
        <w:t xml:space="preserve">requérant a atteint le centre de réfugiés de </w:t>
      </w:r>
      <w:proofErr w:type="spellStart"/>
      <w:r w:rsidRPr="00E16E50">
        <w:rPr>
          <w:lang w:val="fr-FR" w:eastAsia="en-GB"/>
        </w:rPr>
        <w:t>Bondeko</w:t>
      </w:r>
      <w:proofErr w:type="spellEnd"/>
      <w:r w:rsidRPr="00E16E50">
        <w:rPr>
          <w:lang w:val="fr-FR" w:eastAsia="en-GB"/>
        </w:rPr>
        <w:t xml:space="preserve">, en Ouganda, </w:t>
      </w:r>
      <w:r>
        <w:rPr>
          <w:lang w:val="fr-FR" w:eastAsia="en-GB"/>
        </w:rPr>
        <w:t xml:space="preserve">grâce à </w:t>
      </w:r>
      <w:r w:rsidRPr="00E16E50">
        <w:rPr>
          <w:lang w:val="fr-FR" w:eastAsia="en-GB"/>
        </w:rPr>
        <w:t>un prêtre rencontré dans le centre hospitalier</w:t>
      </w:r>
      <w:r w:rsidR="009E12FC" w:rsidRPr="009E12FC">
        <w:rPr>
          <w:lang w:val="fr-FR" w:eastAsia="en-GB"/>
        </w:rPr>
        <w:t>.</w:t>
      </w:r>
      <w:r w:rsidRPr="00E16E50">
        <w:rPr>
          <w:lang w:val="fr-FR" w:eastAsia="en-GB"/>
        </w:rPr>
        <w:t xml:space="preserve"> </w:t>
      </w:r>
      <w:r>
        <w:rPr>
          <w:lang w:val="fr-FR" w:eastAsia="en-GB"/>
        </w:rPr>
        <w:t>E</w:t>
      </w:r>
      <w:r w:rsidRPr="00E16E50">
        <w:rPr>
          <w:lang w:val="fr-FR" w:eastAsia="en-GB"/>
        </w:rPr>
        <w:t xml:space="preserve">n Ouganda, </w:t>
      </w:r>
      <w:r>
        <w:rPr>
          <w:lang w:val="fr-FR" w:eastAsia="en-GB"/>
        </w:rPr>
        <w:t xml:space="preserve">il a été informé par </w:t>
      </w:r>
      <w:r w:rsidRPr="00E16E50">
        <w:rPr>
          <w:lang w:val="fr-FR" w:eastAsia="en-GB"/>
        </w:rPr>
        <w:t xml:space="preserve">son ami </w:t>
      </w:r>
      <w:r>
        <w:rPr>
          <w:lang w:val="fr-FR" w:eastAsia="en-GB"/>
        </w:rPr>
        <w:t xml:space="preserve">colonel que, le 30 janvier 2017, </w:t>
      </w:r>
      <w:r w:rsidRPr="00E16E50">
        <w:rPr>
          <w:lang w:val="fr-FR" w:eastAsia="en-GB"/>
        </w:rPr>
        <w:t>un avis de recherche avait été émis contre lui pour haute trahison et atteinte à la sûreté nationale de l</w:t>
      </w:r>
      <w:r>
        <w:rPr>
          <w:lang w:val="fr-FR" w:eastAsia="en-GB"/>
        </w:rPr>
        <w:t>’É</w:t>
      </w:r>
      <w:r w:rsidRPr="00E16E50">
        <w:rPr>
          <w:lang w:val="fr-FR" w:eastAsia="en-GB"/>
        </w:rPr>
        <w:t>tat</w:t>
      </w:r>
      <w:r>
        <w:rPr>
          <w:lang w:val="fr-FR" w:eastAsia="en-GB"/>
        </w:rPr>
        <w:t xml:space="preserve"> par </w:t>
      </w:r>
      <w:r w:rsidRPr="00E16E50">
        <w:rPr>
          <w:lang w:val="fr-FR" w:eastAsia="en-GB"/>
        </w:rPr>
        <w:t>l</w:t>
      </w:r>
      <w:r>
        <w:rPr>
          <w:lang w:val="fr-FR" w:eastAsia="en-GB"/>
        </w:rPr>
        <w:t>’</w:t>
      </w:r>
      <w:r w:rsidRPr="00E16E50">
        <w:rPr>
          <w:lang w:val="fr-FR" w:eastAsia="en-GB"/>
        </w:rPr>
        <w:t>Agence nationale de renseignements</w:t>
      </w:r>
      <w:r w:rsidR="009E12FC" w:rsidRPr="009E12FC">
        <w:rPr>
          <w:lang w:val="fr-FR" w:eastAsia="en-GB"/>
        </w:rPr>
        <w:t>.</w:t>
      </w:r>
      <w:r w:rsidRPr="00E16E50">
        <w:rPr>
          <w:lang w:val="fr-FR" w:eastAsia="en-GB"/>
        </w:rPr>
        <w:t xml:space="preserve">  </w:t>
      </w:r>
    </w:p>
    <w:p w14:paraId="32DE635D" w14:textId="3F9F61F0"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6</w:t>
      </w:r>
      <w:r w:rsidRPr="00E16E50">
        <w:rPr>
          <w:lang w:val="fr-FR" w:eastAsia="en-GB"/>
        </w:rPr>
        <w:tab/>
        <w:t xml:space="preserve">Craignant pour sa vie et sa sécurité en Ouganda en raison </w:t>
      </w:r>
      <w:r>
        <w:rPr>
          <w:lang w:val="fr-FR" w:eastAsia="en-GB"/>
        </w:rPr>
        <w:t xml:space="preserve">de la proximité avec </w:t>
      </w:r>
      <w:r w:rsidRPr="00E16E50">
        <w:rPr>
          <w:lang w:val="fr-FR" w:eastAsia="en-GB"/>
        </w:rPr>
        <w:t xml:space="preserve">la </w:t>
      </w:r>
      <w:r>
        <w:rPr>
          <w:lang w:val="fr-FR" w:eastAsia="en-GB"/>
        </w:rPr>
        <w:t>République démocratique du Congo et des relations entre les deux pays</w:t>
      </w:r>
      <w:r w:rsidRPr="00E16E50">
        <w:rPr>
          <w:lang w:val="fr-FR" w:eastAsia="en-GB"/>
        </w:rPr>
        <w:t xml:space="preserve">, le requérant a rejoint la Suisse </w:t>
      </w:r>
      <w:r>
        <w:rPr>
          <w:lang w:val="fr-FR" w:eastAsia="en-GB"/>
        </w:rPr>
        <w:t xml:space="preserve">en passant par Istanbul </w:t>
      </w:r>
      <w:r w:rsidRPr="00E16E50">
        <w:rPr>
          <w:lang w:val="fr-FR" w:eastAsia="en-GB"/>
        </w:rPr>
        <w:t>le 15 mai 2017</w:t>
      </w:r>
      <w:r>
        <w:rPr>
          <w:lang w:val="fr-FR" w:eastAsia="en-GB"/>
        </w:rPr>
        <w:t xml:space="preserve"> grâce aux services d’un passeur et avec un passeport d’emprunt</w:t>
      </w:r>
      <w:r w:rsidR="009E12FC" w:rsidRPr="009E12FC">
        <w:rPr>
          <w:lang w:val="fr-FR" w:eastAsia="en-GB"/>
        </w:rPr>
        <w:t>.</w:t>
      </w:r>
      <w:r>
        <w:rPr>
          <w:lang w:val="fr-FR" w:eastAsia="en-GB"/>
        </w:rPr>
        <w:t xml:space="preserve"> Une fois arrivé en Suisse, où réside l’une de ses filles, i</w:t>
      </w:r>
      <w:r w:rsidRPr="00E16E50">
        <w:rPr>
          <w:lang w:val="fr-FR" w:eastAsia="en-GB"/>
        </w:rPr>
        <w:t>l a immédiatement déposé une demande d</w:t>
      </w:r>
      <w:r>
        <w:rPr>
          <w:lang w:val="fr-FR" w:eastAsia="en-GB"/>
        </w:rPr>
        <w:t>’</w:t>
      </w:r>
      <w:r w:rsidRPr="00E16E50">
        <w:rPr>
          <w:lang w:val="fr-FR" w:eastAsia="en-GB"/>
        </w:rPr>
        <w:t>asile</w:t>
      </w:r>
      <w:r w:rsidR="009E12FC" w:rsidRPr="009E12FC">
        <w:rPr>
          <w:lang w:val="fr-FR" w:eastAsia="en-GB"/>
        </w:rPr>
        <w:t>.</w:t>
      </w:r>
    </w:p>
    <w:p w14:paraId="1896AF9E" w14:textId="1A41ED05"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7</w:t>
      </w:r>
      <w:r w:rsidRPr="00E16E50">
        <w:rPr>
          <w:lang w:val="fr-FR" w:eastAsia="en-GB"/>
        </w:rPr>
        <w:tab/>
        <w:t xml:space="preserve">La </w:t>
      </w:r>
      <w:r>
        <w:rPr>
          <w:lang w:val="fr-FR" w:eastAsia="en-GB"/>
        </w:rPr>
        <w:t xml:space="preserve">deuxième requérante, séparée de son mari </w:t>
      </w:r>
      <w:r w:rsidRPr="00E16E50">
        <w:rPr>
          <w:lang w:val="fr-FR" w:eastAsia="en-GB"/>
        </w:rPr>
        <w:t xml:space="preserve">au moment </w:t>
      </w:r>
      <w:r>
        <w:rPr>
          <w:lang w:val="fr-FR" w:eastAsia="en-GB"/>
        </w:rPr>
        <w:t xml:space="preserve">où celui-ci avait été </w:t>
      </w:r>
      <w:r w:rsidRPr="00E16E50">
        <w:rPr>
          <w:lang w:val="fr-FR" w:eastAsia="en-GB"/>
        </w:rPr>
        <w:t>agress</w:t>
      </w:r>
      <w:r>
        <w:rPr>
          <w:lang w:val="fr-FR" w:eastAsia="en-GB"/>
        </w:rPr>
        <w:t>é</w:t>
      </w:r>
      <w:r w:rsidRPr="00E16E50">
        <w:rPr>
          <w:lang w:val="fr-FR" w:eastAsia="en-GB"/>
        </w:rPr>
        <w:t>, a été également abandonnée dans la nature par ses ravisseurs</w:t>
      </w:r>
      <w:r w:rsidR="009E12FC" w:rsidRPr="009E12FC">
        <w:rPr>
          <w:lang w:val="fr-FR" w:eastAsia="en-GB"/>
        </w:rPr>
        <w:t>.</w:t>
      </w:r>
      <w:r>
        <w:rPr>
          <w:lang w:val="fr-FR" w:eastAsia="en-GB"/>
        </w:rPr>
        <w:t xml:space="preserve"> Elle a ensuite été hébergée par des religieuses avant de se rendre, le 22 mai 2017, au </w:t>
      </w:r>
      <w:r w:rsidRPr="00E16E50">
        <w:rPr>
          <w:lang w:val="fr-FR" w:eastAsia="en-GB"/>
        </w:rPr>
        <w:t xml:space="preserve">centre </w:t>
      </w:r>
      <w:r>
        <w:rPr>
          <w:lang w:val="fr-FR" w:eastAsia="en-GB"/>
        </w:rPr>
        <w:t xml:space="preserve">de réfugiés de </w:t>
      </w:r>
      <w:proofErr w:type="spellStart"/>
      <w:r w:rsidRPr="00E16E50">
        <w:rPr>
          <w:lang w:val="fr-FR" w:eastAsia="en-GB"/>
        </w:rPr>
        <w:t>Bondeko</w:t>
      </w:r>
      <w:proofErr w:type="spellEnd"/>
      <w:r>
        <w:rPr>
          <w:lang w:val="fr-FR" w:eastAsia="en-GB"/>
        </w:rPr>
        <w:t>,</w:t>
      </w:r>
      <w:r w:rsidRPr="00E16E50">
        <w:rPr>
          <w:lang w:val="fr-FR" w:eastAsia="en-GB"/>
        </w:rPr>
        <w:t xml:space="preserve"> </w:t>
      </w:r>
      <w:r>
        <w:rPr>
          <w:lang w:val="fr-FR" w:eastAsia="en-GB"/>
        </w:rPr>
        <w:t xml:space="preserve">aidée </w:t>
      </w:r>
      <w:r w:rsidRPr="00E16E50">
        <w:rPr>
          <w:lang w:val="fr-FR" w:eastAsia="en-GB"/>
        </w:rPr>
        <w:t xml:space="preserve">par </w:t>
      </w:r>
      <w:r>
        <w:rPr>
          <w:lang w:val="fr-FR" w:eastAsia="en-GB"/>
        </w:rPr>
        <w:t xml:space="preserve">le </w:t>
      </w:r>
      <w:r w:rsidRPr="00E16E50">
        <w:rPr>
          <w:lang w:val="fr-FR" w:eastAsia="en-GB"/>
        </w:rPr>
        <w:t>même prêtre que son mari</w:t>
      </w:r>
      <w:r w:rsidR="009E12FC" w:rsidRPr="009E12FC">
        <w:rPr>
          <w:lang w:val="fr-FR" w:eastAsia="en-GB"/>
        </w:rPr>
        <w:t>.</w:t>
      </w:r>
      <w:r w:rsidRPr="00E16E50">
        <w:rPr>
          <w:lang w:val="fr-FR" w:eastAsia="en-GB"/>
        </w:rPr>
        <w:t xml:space="preserve"> Elle </w:t>
      </w:r>
      <w:r>
        <w:rPr>
          <w:lang w:val="fr-FR" w:eastAsia="en-GB"/>
        </w:rPr>
        <w:t xml:space="preserve">est arrivée en </w:t>
      </w:r>
      <w:r w:rsidRPr="00E16E50">
        <w:rPr>
          <w:lang w:val="fr-FR" w:eastAsia="en-GB"/>
        </w:rPr>
        <w:t>Suisse</w:t>
      </w:r>
      <w:r>
        <w:rPr>
          <w:lang w:val="fr-FR" w:eastAsia="en-GB"/>
        </w:rPr>
        <w:t xml:space="preserve"> le 3 juillet 2017</w:t>
      </w:r>
      <w:r w:rsidRPr="00E16E50">
        <w:rPr>
          <w:lang w:val="fr-FR" w:eastAsia="en-GB"/>
        </w:rPr>
        <w:t xml:space="preserve"> p</w:t>
      </w:r>
      <w:r>
        <w:rPr>
          <w:lang w:val="fr-FR" w:eastAsia="en-GB"/>
        </w:rPr>
        <w:t xml:space="preserve">ar le même chemin que son mari et </w:t>
      </w:r>
      <w:r w:rsidRPr="00E16E50">
        <w:rPr>
          <w:lang w:val="fr-FR" w:eastAsia="en-GB"/>
        </w:rPr>
        <w:t>avec l</w:t>
      </w:r>
      <w:r>
        <w:rPr>
          <w:lang w:val="fr-FR" w:eastAsia="en-GB"/>
        </w:rPr>
        <w:t>’</w:t>
      </w:r>
      <w:r w:rsidRPr="00E16E50">
        <w:rPr>
          <w:lang w:val="fr-FR" w:eastAsia="en-GB"/>
        </w:rPr>
        <w:t>assistance d</w:t>
      </w:r>
      <w:r>
        <w:rPr>
          <w:lang w:val="fr-FR" w:eastAsia="en-GB"/>
        </w:rPr>
        <w:t>’</w:t>
      </w:r>
      <w:r w:rsidRPr="00E16E50">
        <w:rPr>
          <w:lang w:val="fr-FR" w:eastAsia="en-GB"/>
        </w:rPr>
        <w:t>un passeur</w:t>
      </w:r>
      <w:r w:rsidR="009E12FC" w:rsidRPr="009E12FC">
        <w:rPr>
          <w:lang w:val="fr-FR" w:eastAsia="en-GB"/>
        </w:rPr>
        <w:t>.</w:t>
      </w:r>
      <w:r w:rsidRPr="00E16E50">
        <w:rPr>
          <w:lang w:val="fr-FR" w:eastAsia="en-GB"/>
        </w:rPr>
        <w:t xml:space="preserve"> </w:t>
      </w:r>
    </w:p>
    <w:p w14:paraId="67DC0927" w14:textId="11E93771"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8</w:t>
      </w:r>
      <w:r w:rsidRPr="00E16E50">
        <w:rPr>
          <w:lang w:val="fr-FR" w:eastAsia="en-GB"/>
        </w:rPr>
        <w:tab/>
      </w:r>
      <w:r>
        <w:rPr>
          <w:lang w:val="fr-FR" w:eastAsia="en-GB"/>
        </w:rPr>
        <w:t>Le premier requérant a fondé ses motifs de demande d’asile sur ses craintes d’être persécuté par les services de sécurité de la République démocratique du Congo en raison de la détention de son neveu et de ses comportements envers les autorités</w:t>
      </w:r>
      <w:r w:rsidR="009E12FC" w:rsidRPr="009E12FC">
        <w:rPr>
          <w:lang w:val="fr-FR" w:eastAsia="en-GB"/>
        </w:rPr>
        <w:t>.</w:t>
      </w:r>
      <w:r>
        <w:rPr>
          <w:lang w:val="fr-FR" w:eastAsia="en-GB"/>
        </w:rPr>
        <w:t xml:space="preserve"> </w:t>
      </w:r>
      <w:r w:rsidRPr="00E16E50">
        <w:rPr>
          <w:lang w:val="fr-FR" w:eastAsia="en-GB"/>
        </w:rPr>
        <w:t>Par une décision du 10 avril 2</w:t>
      </w:r>
      <w:r>
        <w:rPr>
          <w:lang w:val="fr-FR" w:eastAsia="en-GB"/>
        </w:rPr>
        <w:t>018, le Secrétariat d’État aux m</w:t>
      </w:r>
      <w:r w:rsidRPr="00E16E50">
        <w:rPr>
          <w:lang w:val="fr-FR" w:eastAsia="en-GB"/>
        </w:rPr>
        <w:t>igrations a rejeté la demande d</w:t>
      </w:r>
      <w:r>
        <w:rPr>
          <w:lang w:val="fr-FR" w:eastAsia="en-GB"/>
        </w:rPr>
        <w:t>’</w:t>
      </w:r>
      <w:r w:rsidRPr="00E16E50">
        <w:rPr>
          <w:lang w:val="fr-FR" w:eastAsia="en-GB"/>
        </w:rPr>
        <w:t>asile des requérants</w:t>
      </w:r>
      <w:r w:rsidR="009E12FC" w:rsidRPr="009E12FC">
        <w:rPr>
          <w:lang w:val="fr-FR" w:eastAsia="en-GB"/>
        </w:rPr>
        <w:t>.</w:t>
      </w:r>
      <w:r w:rsidRPr="00E16E50">
        <w:rPr>
          <w:lang w:val="fr-FR" w:eastAsia="en-GB"/>
        </w:rPr>
        <w:t xml:space="preserve"> Les requérants ont contesté cette décision auprès du Tribunal administratif fédéral suisse</w:t>
      </w:r>
      <w:r w:rsidR="009E12FC" w:rsidRPr="009E12FC">
        <w:rPr>
          <w:lang w:val="fr-FR" w:eastAsia="en-GB"/>
        </w:rPr>
        <w:t>.</w:t>
      </w:r>
      <w:r w:rsidRPr="00E16E50">
        <w:rPr>
          <w:lang w:val="fr-FR" w:eastAsia="en-GB"/>
        </w:rPr>
        <w:t xml:space="preserve"> Ce </w:t>
      </w:r>
      <w:r w:rsidRPr="00E16E50">
        <w:rPr>
          <w:lang w:val="fr-FR" w:eastAsia="en-GB"/>
        </w:rPr>
        <w:lastRenderedPageBreak/>
        <w:t>recours a été re</w:t>
      </w:r>
      <w:r>
        <w:rPr>
          <w:lang w:val="fr-FR" w:eastAsia="en-GB"/>
        </w:rPr>
        <w:t xml:space="preserve">jeté le 20 juin 2019 par le </w:t>
      </w:r>
      <w:r w:rsidRPr="00E16E50">
        <w:rPr>
          <w:lang w:val="fr-FR" w:eastAsia="en-GB"/>
        </w:rPr>
        <w:t xml:space="preserve">Tribunal administratif fédéral </w:t>
      </w:r>
      <w:r>
        <w:rPr>
          <w:lang w:val="fr-FR" w:eastAsia="en-GB"/>
        </w:rPr>
        <w:t xml:space="preserve">qui a </w:t>
      </w:r>
      <w:r w:rsidRPr="00E16E50">
        <w:rPr>
          <w:lang w:val="fr-FR" w:eastAsia="en-GB"/>
        </w:rPr>
        <w:t>souligné que le neveu du requérant avait été relâché au bout de quelques semaines sans que des poursuites ne soient engagées contre lui, ce qui ne paraît pas compatible avec l</w:t>
      </w:r>
      <w:r>
        <w:rPr>
          <w:lang w:val="fr-FR" w:eastAsia="en-GB"/>
        </w:rPr>
        <w:t>’</w:t>
      </w:r>
      <w:r w:rsidRPr="00E16E50">
        <w:rPr>
          <w:lang w:val="fr-FR" w:eastAsia="en-GB"/>
        </w:rPr>
        <w:t>accusation d</w:t>
      </w:r>
      <w:r>
        <w:rPr>
          <w:lang w:val="fr-FR" w:eastAsia="en-GB"/>
        </w:rPr>
        <w:t>’</w:t>
      </w:r>
      <w:r w:rsidRPr="00E16E50">
        <w:rPr>
          <w:lang w:val="fr-FR" w:eastAsia="en-GB"/>
        </w:rPr>
        <w:t>atteinte à la s</w:t>
      </w:r>
      <w:r>
        <w:rPr>
          <w:lang w:val="fr-FR" w:eastAsia="en-GB"/>
        </w:rPr>
        <w:t>û</w:t>
      </w:r>
      <w:r w:rsidRPr="00E16E50">
        <w:rPr>
          <w:lang w:val="fr-FR" w:eastAsia="en-GB"/>
        </w:rPr>
        <w:t>reté de l</w:t>
      </w:r>
      <w:r>
        <w:rPr>
          <w:lang w:val="fr-FR" w:eastAsia="en-GB"/>
        </w:rPr>
        <w:t>’</w:t>
      </w:r>
      <w:r w:rsidRPr="00E16E50">
        <w:rPr>
          <w:lang w:val="fr-FR" w:eastAsia="en-GB"/>
        </w:rPr>
        <w:t>État</w:t>
      </w:r>
      <w:r w:rsidR="009E12FC" w:rsidRPr="009E12FC">
        <w:rPr>
          <w:lang w:val="fr-FR" w:eastAsia="en-GB"/>
        </w:rPr>
        <w:t>.</w:t>
      </w:r>
      <w:r w:rsidRPr="00E16E50">
        <w:rPr>
          <w:lang w:val="fr-FR" w:eastAsia="en-GB"/>
        </w:rPr>
        <w:t xml:space="preserve"> Il </w:t>
      </w:r>
      <w:r>
        <w:rPr>
          <w:lang w:val="fr-FR" w:eastAsia="en-GB"/>
        </w:rPr>
        <w:t>était</w:t>
      </w:r>
      <w:r w:rsidRPr="00E16E50">
        <w:rPr>
          <w:lang w:val="fr-FR" w:eastAsia="en-GB"/>
        </w:rPr>
        <w:t xml:space="preserve"> dès lors improbable que le requérant soit inquiété par l</w:t>
      </w:r>
      <w:r>
        <w:rPr>
          <w:lang w:val="fr-FR" w:eastAsia="en-GB"/>
        </w:rPr>
        <w:t>’</w:t>
      </w:r>
      <w:r w:rsidRPr="00E16E50">
        <w:rPr>
          <w:lang w:val="fr-FR" w:eastAsia="en-GB"/>
        </w:rPr>
        <w:t>État pour s</w:t>
      </w:r>
      <w:r>
        <w:rPr>
          <w:lang w:val="fr-FR" w:eastAsia="en-GB"/>
        </w:rPr>
        <w:t>’</w:t>
      </w:r>
      <w:r w:rsidRPr="00E16E50">
        <w:rPr>
          <w:lang w:val="fr-FR" w:eastAsia="en-GB"/>
        </w:rPr>
        <w:t>être enquis de son neveu</w:t>
      </w:r>
      <w:r w:rsidR="009E12FC" w:rsidRPr="009E12FC">
        <w:rPr>
          <w:lang w:val="fr-FR" w:eastAsia="en-GB"/>
        </w:rPr>
        <w:t>.</w:t>
      </w:r>
      <w:r w:rsidRPr="00E16E50">
        <w:rPr>
          <w:lang w:val="fr-FR" w:eastAsia="en-GB"/>
        </w:rPr>
        <w:t xml:space="preserve"> </w:t>
      </w:r>
      <w:r>
        <w:rPr>
          <w:lang w:val="fr-FR" w:eastAsia="en-GB"/>
        </w:rPr>
        <w:t xml:space="preserve">Selon le </w:t>
      </w:r>
      <w:r w:rsidRPr="00E16E50">
        <w:rPr>
          <w:lang w:val="fr-FR" w:eastAsia="en-GB"/>
        </w:rPr>
        <w:t>Tribunal administratif fédéral</w:t>
      </w:r>
      <w:r>
        <w:rPr>
          <w:lang w:val="fr-FR" w:eastAsia="en-GB"/>
        </w:rPr>
        <w:t>, i</w:t>
      </w:r>
      <w:r w:rsidRPr="00E16E50">
        <w:rPr>
          <w:lang w:val="fr-FR" w:eastAsia="en-GB"/>
        </w:rPr>
        <w:t xml:space="preserve">l </w:t>
      </w:r>
      <w:r>
        <w:rPr>
          <w:lang w:val="fr-FR" w:eastAsia="en-GB"/>
        </w:rPr>
        <w:t xml:space="preserve">était </w:t>
      </w:r>
      <w:r w:rsidRPr="00E16E50">
        <w:rPr>
          <w:lang w:val="fr-FR" w:eastAsia="en-GB"/>
        </w:rPr>
        <w:t xml:space="preserve">aussi invraisemblable que le requérant ait été cité nommément dans le rapport de </w:t>
      </w:r>
      <w:r>
        <w:rPr>
          <w:lang w:val="fr-FR" w:eastAsia="en-GB"/>
        </w:rPr>
        <w:t>Human Rights Watch</w:t>
      </w:r>
      <w:r w:rsidR="009E12FC" w:rsidRPr="009E12FC">
        <w:rPr>
          <w:lang w:val="fr-FR" w:eastAsia="en-GB"/>
        </w:rPr>
        <w:t>.</w:t>
      </w:r>
      <w:r w:rsidRPr="00E16E50">
        <w:rPr>
          <w:lang w:val="fr-FR" w:eastAsia="en-GB"/>
        </w:rPr>
        <w:t xml:space="preserve"> Le Tribunal administratif fédéral </w:t>
      </w:r>
      <w:r>
        <w:rPr>
          <w:lang w:val="fr-FR" w:eastAsia="en-GB"/>
        </w:rPr>
        <w:t xml:space="preserve">a </w:t>
      </w:r>
      <w:r w:rsidRPr="00E16E50">
        <w:rPr>
          <w:lang w:val="fr-FR" w:eastAsia="en-GB"/>
        </w:rPr>
        <w:t>affirm</w:t>
      </w:r>
      <w:r>
        <w:rPr>
          <w:lang w:val="fr-FR" w:eastAsia="en-GB"/>
        </w:rPr>
        <w:t>é</w:t>
      </w:r>
      <w:r w:rsidRPr="00E16E50">
        <w:rPr>
          <w:lang w:val="fr-FR" w:eastAsia="en-GB"/>
        </w:rPr>
        <w:t xml:space="preserve"> qu</w:t>
      </w:r>
      <w:r>
        <w:rPr>
          <w:lang w:val="fr-FR" w:eastAsia="en-GB"/>
        </w:rPr>
        <w:t>’</w:t>
      </w:r>
      <w:r w:rsidRPr="00E16E50">
        <w:rPr>
          <w:lang w:val="fr-FR" w:eastAsia="en-GB"/>
        </w:rPr>
        <w:t>il n</w:t>
      </w:r>
      <w:r>
        <w:rPr>
          <w:lang w:val="fr-FR" w:eastAsia="en-GB"/>
        </w:rPr>
        <w:t>’</w:t>
      </w:r>
      <w:r w:rsidRPr="00E16E50">
        <w:rPr>
          <w:lang w:val="fr-FR" w:eastAsia="en-GB"/>
        </w:rPr>
        <w:t>ex</w:t>
      </w:r>
      <w:r>
        <w:rPr>
          <w:lang w:val="fr-FR" w:eastAsia="en-GB"/>
        </w:rPr>
        <w:t>istait</w:t>
      </w:r>
      <w:r w:rsidRPr="00E16E50">
        <w:rPr>
          <w:lang w:val="fr-FR" w:eastAsia="en-GB"/>
        </w:rPr>
        <w:t xml:space="preserve"> aucune preuve probante que le requérant soit recherché par les autorités </w:t>
      </w:r>
      <w:r w:rsidRPr="00731EA9">
        <w:rPr>
          <w:lang w:val="fr-FR" w:eastAsia="en-GB"/>
        </w:rPr>
        <w:t>congolaises</w:t>
      </w:r>
      <w:r w:rsidRPr="00E16E50">
        <w:rPr>
          <w:lang w:val="fr-FR" w:eastAsia="en-GB"/>
        </w:rPr>
        <w:t xml:space="preserve"> et </w:t>
      </w:r>
      <w:r>
        <w:rPr>
          <w:lang w:val="fr-FR" w:eastAsia="en-GB"/>
        </w:rPr>
        <w:t xml:space="preserve">a mis </w:t>
      </w:r>
      <w:r w:rsidRPr="00E16E50">
        <w:rPr>
          <w:lang w:val="fr-FR" w:eastAsia="en-GB"/>
        </w:rPr>
        <w:t>en doute l</w:t>
      </w:r>
      <w:r>
        <w:rPr>
          <w:lang w:val="fr-FR" w:eastAsia="en-GB"/>
        </w:rPr>
        <w:t>’</w:t>
      </w:r>
      <w:r w:rsidRPr="00E16E50">
        <w:rPr>
          <w:lang w:val="fr-FR" w:eastAsia="en-GB"/>
        </w:rPr>
        <w:t>authenticité des documents fournis par les requérants</w:t>
      </w:r>
      <w:r w:rsidR="009E12FC" w:rsidRPr="009E12FC">
        <w:rPr>
          <w:lang w:val="fr-FR" w:eastAsia="en-GB"/>
        </w:rPr>
        <w:t>.</w:t>
      </w:r>
      <w:r w:rsidRPr="00C93DE3">
        <w:rPr>
          <w:lang w:val="fr-FR" w:eastAsia="en-GB"/>
        </w:rPr>
        <w:t xml:space="preserve"> En particulier, les attestations fournies par </w:t>
      </w:r>
      <w:r w:rsidRPr="009D70A1">
        <w:rPr>
          <w:lang w:val="fr-FR" w:eastAsia="en-GB"/>
        </w:rPr>
        <w:t>les centres</w:t>
      </w:r>
      <w:r w:rsidRPr="00C93DE3">
        <w:rPr>
          <w:lang w:val="fr-FR" w:eastAsia="en-GB"/>
        </w:rPr>
        <w:t xml:space="preserve"> </w:t>
      </w:r>
      <w:proofErr w:type="spellStart"/>
      <w:r w:rsidRPr="00C93DE3">
        <w:rPr>
          <w:lang w:val="fr-FR" w:eastAsia="en-GB"/>
        </w:rPr>
        <w:t>Bondeko</w:t>
      </w:r>
      <w:proofErr w:type="spellEnd"/>
      <w:r w:rsidRPr="00C93DE3">
        <w:rPr>
          <w:lang w:val="fr-FR" w:eastAsia="en-GB"/>
        </w:rPr>
        <w:t xml:space="preserve"> et </w:t>
      </w:r>
      <w:proofErr w:type="spellStart"/>
      <w:r w:rsidRPr="00C93DE3">
        <w:rPr>
          <w:lang w:val="fr-FR" w:eastAsia="en-GB"/>
        </w:rPr>
        <w:t>Masaja</w:t>
      </w:r>
      <w:proofErr w:type="spellEnd"/>
      <w:r w:rsidRPr="00C93DE3">
        <w:rPr>
          <w:lang w:val="fr-FR" w:eastAsia="en-GB"/>
        </w:rPr>
        <w:t xml:space="preserve"> rapportent une version différente et nouvelle des faits, qui n</w:t>
      </w:r>
      <w:r>
        <w:rPr>
          <w:lang w:val="fr-FR" w:eastAsia="en-GB"/>
        </w:rPr>
        <w:t>’</w:t>
      </w:r>
      <w:r w:rsidRPr="00C93DE3">
        <w:rPr>
          <w:lang w:val="fr-FR" w:eastAsia="en-GB"/>
        </w:rPr>
        <w:t>avait jamais été mentionnée par les requérants</w:t>
      </w:r>
      <w:r w:rsidR="009E12FC" w:rsidRPr="009E12FC">
        <w:rPr>
          <w:lang w:val="fr-FR" w:eastAsia="en-GB"/>
        </w:rPr>
        <w:t>.</w:t>
      </w:r>
      <w:r w:rsidRPr="00C93DE3">
        <w:rPr>
          <w:lang w:val="fr-FR" w:eastAsia="en-GB"/>
        </w:rPr>
        <w:t xml:space="preserve"> Le fait qu</w:t>
      </w:r>
      <w:r>
        <w:rPr>
          <w:lang w:val="fr-FR" w:eastAsia="en-GB"/>
        </w:rPr>
        <w:t>’</w:t>
      </w:r>
      <w:r w:rsidRPr="00C93DE3">
        <w:rPr>
          <w:lang w:val="fr-FR" w:eastAsia="en-GB"/>
        </w:rPr>
        <w:t xml:space="preserve">elles ait été émises aux mêmes dates et que les attestations du centre </w:t>
      </w:r>
      <w:proofErr w:type="spellStart"/>
      <w:r w:rsidRPr="00C93DE3">
        <w:rPr>
          <w:lang w:val="fr-FR" w:eastAsia="en-GB"/>
        </w:rPr>
        <w:t>Bondeko</w:t>
      </w:r>
      <w:proofErr w:type="spellEnd"/>
      <w:r w:rsidRPr="00C93DE3">
        <w:rPr>
          <w:lang w:val="fr-FR" w:eastAsia="en-GB"/>
        </w:rPr>
        <w:t xml:space="preserve"> ai</w:t>
      </w:r>
      <w:r w:rsidR="00602800">
        <w:rPr>
          <w:lang w:val="fr-FR" w:eastAsia="en-GB"/>
        </w:rPr>
        <w:t>en</w:t>
      </w:r>
      <w:r w:rsidRPr="00C93DE3">
        <w:rPr>
          <w:lang w:val="fr-FR" w:eastAsia="en-GB"/>
        </w:rPr>
        <w:t>t été rédigées</w:t>
      </w:r>
      <w:r w:rsidRPr="00E16E50">
        <w:rPr>
          <w:lang w:val="fr-FR" w:eastAsia="en-GB"/>
        </w:rPr>
        <w:t xml:space="preserve"> en français et non en anglais,</w:t>
      </w:r>
      <w:r>
        <w:rPr>
          <w:lang w:val="fr-FR" w:eastAsia="en-GB"/>
        </w:rPr>
        <w:t xml:space="preserve"> qui est</w:t>
      </w:r>
      <w:r w:rsidRPr="00E16E50">
        <w:rPr>
          <w:lang w:val="fr-FR" w:eastAsia="en-GB"/>
        </w:rPr>
        <w:t xml:space="preserve"> la langue officielle de l</w:t>
      </w:r>
      <w:r>
        <w:rPr>
          <w:lang w:val="fr-FR" w:eastAsia="en-GB"/>
        </w:rPr>
        <w:t>’</w:t>
      </w:r>
      <w:r w:rsidRPr="00E16E50">
        <w:rPr>
          <w:lang w:val="fr-FR" w:eastAsia="en-GB"/>
        </w:rPr>
        <w:t xml:space="preserve">Ouganda, suggère également que ces documents ont été faits à la demande des </w:t>
      </w:r>
      <w:r>
        <w:rPr>
          <w:lang w:val="fr-FR" w:eastAsia="en-GB"/>
        </w:rPr>
        <w:t>requérants</w:t>
      </w:r>
      <w:r w:rsidR="009E12FC" w:rsidRPr="009E12FC">
        <w:rPr>
          <w:lang w:val="fr-FR" w:eastAsia="en-GB"/>
        </w:rPr>
        <w:t>.</w:t>
      </w:r>
    </w:p>
    <w:p w14:paraId="7F580551" w14:textId="7CD674F2" w:rsidR="008144B4" w:rsidRPr="00E16E50"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9</w:t>
      </w:r>
      <w:r w:rsidRPr="00E16E50">
        <w:rPr>
          <w:lang w:val="fr-FR" w:eastAsia="en-GB"/>
        </w:rPr>
        <w:tab/>
      </w:r>
      <w:r>
        <w:rPr>
          <w:lang w:val="fr-FR" w:eastAsia="en-GB"/>
        </w:rPr>
        <w:t>À la s</w:t>
      </w:r>
      <w:r w:rsidRPr="00E16E50">
        <w:rPr>
          <w:lang w:val="fr-FR" w:eastAsia="en-GB"/>
        </w:rPr>
        <w:t xml:space="preserve">uite </w:t>
      </w:r>
      <w:r>
        <w:rPr>
          <w:lang w:val="fr-FR" w:eastAsia="en-GB"/>
        </w:rPr>
        <w:t>de</w:t>
      </w:r>
      <w:r w:rsidRPr="00E16E50">
        <w:rPr>
          <w:lang w:val="fr-FR" w:eastAsia="en-GB"/>
        </w:rPr>
        <w:t xml:space="preserve"> la décision du Tribunal administratif fédéral, </w:t>
      </w:r>
      <w:r>
        <w:rPr>
          <w:lang w:val="fr-FR" w:eastAsia="en-GB"/>
        </w:rPr>
        <w:t>le délai imparti aux requérants pour quitter la Suisse était fixé au 5 août 2019</w:t>
      </w:r>
      <w:r w:rsidR="009E12FC" w:rsidRPr="009E12FC">
        <w:rPr>
          <w:lang w:val="fr-FR" w:eastAsia="en-GB"/>
        </w:rPr>
        <w:t>.</w:t>
      </w:r>
      <w:r>
        <w:rPr>
          <w:lang w:val="fr-FR" w:eastAsia="en-GB"/>
        </w:rPr>
        <w:t xml:space="preserve"> L</w:t>
      </w:r>
      <w:r w:rsidRPr="00E16E50">
        <w:rPr>
          <w:lang w:val="fr-FR" w:eastAsia="en-GB"/>
        </w:rPr>
        <w:t xml:space="preserve">es requérants </w:t>
      </w:r>
      <w:r>
        <w:rPr>
          <w:lang w:val="fr-FR" w:eastAsia="en-GB"/>
        </w:rPr>
        <w:t xml:space="preserve">se trouvent, toutefois, </w:t>
      </w:r>
      <w:r w:rsidRPr="00E16E50">
        <w:rPr>
          <w:lang w:val="fr-FR" w:eastAsia="en-GB"/>
        </w:rPr>
        <w:t>encore en Suisse à ce jour</w:t>
      </w:r>
      <w:r w:rsidR="009E12FC" w:rsidRPr="009E12FC">
        <w:rPr>
          <w:lang w:val="fr-FR" w:eastAsia="en-GB"/>
        </w:rPr>
        <w:t>.</w:t>
      </w:r>
      <w:r w:rsidRPr="00E16E50">
        <w:rPr>
          <w:lang w:val="fr-FR" w:eastAsia="en-GB"/>
        </w:rPr>
        <w:t xml:space="preserve"> Ils peuvent être placés en détention et renvoyés en </w:t>
      </w:r>
      <w:r>
        <w:rPr>
          <w:lang w:val="fr-FR" w:eastAsia="en-GB"/>
        </w:rPr>
        <w:t>République démocratique du Congo</w:t>
      </w:r>
      <w:r w:rsidRPr="00E16E50">
        <w:rPr>
          <w:lang w:val="fr-FR" w:eastAsia="en-GB"/>
        </w:rPr>
        <w:t xml:space="preserve"> à </w:t>
      </w:r>
      <w:r>
        <w:rPr>
          <w:lang w:val="fr-FR" w:eastAsia="en-GB"/>
        </w:rPr>
        <w:t xml:space="preserve">tout </w:t>
      </w:r>
      <w:r w:rsidRPr="00E16E50">
        <w:rPr>
          <w:lang w:val="fr-FR" w:eastAsia="en-GB"/>
        </w:rPr>
        <w:t>moment</w:t>
      </w:r>
      <w:r w:rsidR="009E12FC" w:rsidRPr="009E12FC">
        <w:rPr>
          <w:lang w:val="fr-FR" w:eastAsia="en-GB"/>
        </w:rPr>
        <w:t>.</w:t>
      </w:r>
      <w:r w:rsidRPr="00E16E50">
        <w:rPr>
          <w:lang w:val="fr-FR" w:eastAsia="en-GB"/>
        </w:rPr>
        <w:t xml:space="preserve"> </w:t>
      </w:r>
    </w:p>
    <w:p w14:paraId="6ED0E0B2" w14:textId="4FFEEA3E" w:rsidR="008144B4" w:rsidRDefault="008144B4" w:rsidP="008144B4">
      <w:pPr>
        <w:pStyle w:val="SingleTxtG"/>
        <w:rPr>
          <w:lang w:val="fr-FR" w:eastAsia="en-GB"/>
        </w:rPr>
      </w:pPr>
      <w:r w:rsidRPr="00E16E50">
        <w:rPr>
          <w:lang w:val="fr-FR" w:eastAsia="en-GB"/>
        </w:rPr>
        <w:t>2</w:t>
      </w:r>
      <w:r w:rsidR="009E12FC" w:rsidRPr="009E12FC">
        <w:rPr>
          <w:lang w:val="fr-FR" w:eastAsia="en-GB"/>
        </w:rPr>
        <w:t>.</w:t>
      </w:r>
      <w:r w:rsidRPr="00E16E50">
        <w:rPr>
          <w:lang w:val="fr-FR" w:eastAsia="en-GB"/>
        </w:rPr>
        <w:t>10</w:t>
      </w:r>
      <w:r w:rsidRPr="00E16E50">
        <w:rPr>
          <w:lang w:val="fr-FR" w:eastAsia="en-GB"/>
        </w:rPr>
        <w:tab/>
        <w:t>Les requérants allèguent qu</w:t>
      </w:r>
      <w:r>
        <w:rPr>
          <w:lang w:val="fr-FR" w:eastAsia="en-GB"/>
        </w:rPr>
        <w:t>’</w:t>
      </w:r>
      <w:r w:rsidRPr="00E16E50">
        <w:rPr>
          <w:lang w:val="fr-FR" w:eastAsia="en-GB"/>
        </w:rPr>
        <w:t>ils ont épuisé toutes les voies de recours internes</w:t>
      </w:r>
      <w:r w:rsidR="009E12FC" w:rsidRPr="009E12FC">
        <w:rPr>
          <w:lang w:val="fr-FR" w:eastAsia="en-GB"/>
        </w:rPr>
        <w:t>.</w:t>
      </w:r>
      <w:r>
        <w:rPr>
          <w:lang w:val="fr-FR" w:eastAsia="en-GB"/>
        </w:rPr>
        <w:t xml:space="preserve"> </w:t>
      </w:r>
    </w:p>
    <w:p w14:paraId="5E48F8A2" w14:textId="77777777" w:rsidR="008144B4" w:rsidRPr="00896127" w:rsidRDefault="008144B4" w:rsidP="008144B4">
      <w:pPr>
        <w:pStyle w:val="H23G"/>
        <w:rPr>
          <w:lang w:eastAsia="en-GB"/>
        </w:rPr>
      </w:pPr>
      <w:r w:rsidRPr="00C733AD">
        <w:rPr>
          <w:lang w:val="fr-FR" w:eastAsia="en-GB"/>
        </w:rPr>
        <w:tab/>
      </w:r>
      <w:r w:rsidRPr="00C733AD">
        <w:rPr>
          <w:lang w:val="fr-FR" w:eastAsia="en-GB"/>
        </w:rPr>
        <w:tab/>
      </w:r>
      <w:r w:rsidRPr="00262C66">
        <w:rPr>
          <w:lang w:eastAsia="en-GB"/>
        </w:rPr>
        <w:t>Teneur de la plainte</w:t>
      </w:r>
    </w:p>
    <w:p w14:paraId="30775551" w14:textId="01804CE0" w:rsidR="008144B4" w:rsidRDefault="008144B4" w:rsidP="008144B4">
      <w:pPr>
        <w:pStyle w:val="SingleTxtG"/>
        <w:rPr>
          <w:lang w:eastAsia="en-GB"/>
        </w:rPr>
      </w:pPr>
      <w:r w:rsidRPr="00896127">
        <w:rPr>
          <w:lang w:eastAsia="en-GB"/>
        </w:rPr>
        <w:t>3</w:t>
      </w:r>
      <w:r w:rsidR="009E12FC" w:rsidRPr="009E12FC">
        <w:rPr>
          <w:lang w:eastAsia="en-GB"/>
        </w:rPr>
        <w:t>.</w:t>
      </w:r>
      <w:r w:rsidRPr="00896127">
        <w:rPr>
          <w:lang w:eastAsia="en-GB"/>
        </w:rPr>
        <w:t>1</w:t>
      </w:r>
      <w:r w:rsidRPr="00896127">
        <w:rPr>
          <w:lang w:eastAsia="en-GB"/>
        </w:rPr>
        <w:tab/>
      </w:r>
      <w:r>
        <w:rPr>
          <w:lang w:eastAsia="en-GB"/>
        </w:rPr>
        <w:t xml:space="preserve">Les requérants soutiennent </w:t>
      </w:r>
      <w:r>
        <w:t xml:space="preserve">que leur renvoi vers la </w:t>
      </w:r>
      <w:r>
        <w:rPr>
          <w:lang w:val="fr-FR" w:eastAsia="en-GB"/>
        </w:rPr>
        <w:t>République démocratique du Congo</w:t>
      </w:r>
      <w:r>
        <w:t xml:space="preserve"> constituerait une violation de l’article 3 de la Convention </w:t>
      </w:r>
      <w:r>
        <w:rPr>
          <w:lang w:eastAsia="en-GB"/>
        </w:rPr>
        <w:t>en raison de l’existence d’un risque concret, personnel et sérieux de torture et de mauvais traitements sur la personne du premier requérant en cas de retour dans le pays</w:t>
      </w:r>
      <w:r w:rsidR="009E12FC" w:rsidRPr="009E12FC">
        <w:rPr>
          <w:lang w:eastAsia="en-GB"/>
        </w:rPr>
        <w:t>.</w:t>
      </w:r>
      <w:r>
        <w:rPr>
          <w:lang w:eastAsia="en-GB"/>
        </w:rPr>
        <w:t xml:space="preserve"> </w:t>
      </w:r>
    </w:p>
    <w:p w14:paraId="6D10BE91" w14:textId="11D05B9A" w:rsidR="008144B4" w:rsidRDefault="008144B4" w:rsidP="008144B4">
      <w:pPr>
        <w:pStyle w:val="SingleTxtG"/>
        <w:rPr>
          <w:lang w:eastAsia="en-GB"/>
        </w:rPr>
      </w:pPr>
      <w:r>
        <w:rPr>
          <w:lang w:eastAsia="en-GB"/>
        </w:rPr>
        <w:t>3</w:t>
      </w:r>
      <w:r w:rsidR="009E12FC" w:rsidRPr="009E12FC">
        <w:rPr>
          <w:lang w:eastAsia="en-GB"/>
        </w:rPr>
        <w:t>.</w:t>
      </w:r>
      <w:r>
        <w:rPr>
          <w:lang w:eastAsia="en-GB"/>
        </w:rPr>
        <w:t>2</w:t>
      </w:r>
      <w:r>
        <w:rPr>
          <w:lang w:eastAsia="en-GB"/>
        </w:rPr>
        <w:tab/>
        <w:t xml:space="preserve">Les requérants soulignent que l’avis de recherche émis contre le premier requérant aurait comme conséquence son arrestation dès son entrée sur le territoire </w:t>
      </w:r>
      <w:r w:rsidRPr="00731EA9">
        <w:rPr>
          <w:lang w:eastAsia="en-GB"/>
        </w:rPr>
        <w:t>congolais</w:t>
      </w:r>
      <w:r>
        <w:rPr>
          <w:lang w:eastAsia="en-GB"/>
        </w:rPr>
        <w:t xml:space="preserve"> et sa détention pour une durée indéterminée</w:t>
      </w:r>
      <w:r w:rsidR="009E12FC" w:rsidRPr="009E12FC">
        <w:rPr>
          <w:lang w:eastAsia="en-GB"/>
        </w:rPr>
        <w:t>.</w:t>
      </w:r>
      <w:r>
        <w:rPr>
          <w:lang w:eastAsia="en-GB"/>
        </w:rPr>
        <w:t xml:space="preserve"> Vu la nature politique des infractions d’atteintes à la sûreté de l’État et de trahison dont il serait accusé et les violations systématiques des droits de l’homme en </w:t>
      </w:r>
      <w:r>
        <w:rPr>
          <w:lang w:val="fr-FR" w:eastAsia="en-GB"/>
        </w:rPr>
        <w:t>République démocratique du Congo</w:t>
      </w:r>
      <w:r>
        <w:rPr>
          <w:lang w:eastAsia="en-GB"/>
        </w:rPr>
        <w:t xml:space="preserve">, en particulier en termes </w:t>
      </w:r>
      <w:r w:rsidRPr="00A00F37">
        <w:rPr>
          <w:lang w:eastAsia="en-GB"/>
        </w:rPr>
        <w:t>de procès équitable et de conditions de détention, et vu les pratiques de l</w:t>
      </w:r>
      <w:r>
        <w:rPr>
          <w:lang w:eastAsia="en-GB"/>
        </w:rPr>
        <w:t>’</w:t>
      </w:r>
      <w:r w:rsidRPr="00A00F37">
        <w:rPr>
          <w:lang w:val="fr-FR" w:eastAsia="en-GB"/>
        </w:rPr>
        <w:t>Agence nationale de renseignements</w:t>
      </w:r>
      <w:r w:rsidRPr="00A00F37">
        <w:rPr>
          <w:lang w:eastAsia="en-GB"/>
        </w:rPr>
        <w:t>, il existe un risque imminent de préjudice irréparable, réel et personnel, pour le premier requérant d</w:t>
      </w:r>
      <w:r>
        <w:rPr>
          <w:lang w:eastAsia="en-GB"/>
        </w:rPr>
        <w:t>’</w:t>
      </w:r>
      <w:r w:rsidRPr="00A00F37">
        <w:rPr>
          <w:lang w:eastAsia="en-GB"/>
        </w:rPr>
        <w:t>être soumis à la torture ou à des traitements inhumains et dégradants</w:t>
      </w:r>
      <w:r w:rsidR="009E12FC" w:rsidRPr="009E12FC">
        <w:rPr>
          <w:lang w:eastAsia="en-GB"/>
        </w:rPr>
        <w:t>.</w:t>
      </w:r>
      <w:r w:rsidRPr="00A00F37">
        <w:rPr>
          <w:lang w:eastAsia="en-GB"/>
        </w:rPr>
        <w:t xml:space="preserve"> Le premier requérant soutient qu</w:t>
      </w:r>
      <w:r>
        <w:rPr>
          <w:lang w:eastAsia="en-GB"/>
        </w:rPr>
        <w:t>’</w:t>
      </w:r>
      <w:r w:rsidRPr="00A00F37">
        <w:rPr>
          <w:lang w:eastAsia="en-GB"/>
        </w:rPr>
        <w:t>à la suite du changement de président, en décembre 2018, les services de sécurité sont restés les mêmes et qu</w:t>
      </w:r>
      <w:r>
        <w:rPr>
          <w:lang w:eastAsia="en-GB"/>
        </w:rPr>
        <w:t>’</w:t>
      </w:r>
      <w:r w:rsidRPr="00A00F37">
        <w:rPr>
          <w:lang w:eastAsia="en-GB"/>
        </w:rPr>
        <w:t>il n</w:t>
      </w:r>
      <w:r>
        <w:rPr>
          <w:lang w:eastAsia="en-GB"/>
        </w:rPr>
        <w:t>’</w:t>
      </w:r>
      <w:r w:rsidRPr="00A00F37">
        <w:rPr>
          <w:lang w:eastAsia="en-GB"/>
        </w:rPr>
        <w:t>existe pas de procès équitable en</w:t>
      </w:r>
      <w:r>
        <w:rPr>
          <w:lang w:eastAsia="en-GB"/>
        </w:rPr>
        <w:t xml:space="preserve"> cas d’infractions à caractère politique</w:t>
      </w:r>
      <w:r w:rsidR="009E12FC" w:rsidRPr="009E12FC">
        <w:rPr>
          <w:lang w:eastAsia="en-GB"/>
        </w:rPr>
        <w:t>.</w:t>
      </w:r>
      <w:r>
        <w:rPr>
          <w:lang w:eastAsia="en-GB"/>
        </w:rPr>
        <w:t xml:space="preserve"> Les requérants soutiennent également que les documents qu’ils présentent démontrent qu’ils </w:t>
      </w:r>
      <w:r w:rsidRPr="001E3FF9">
        <w:rPr>
          <w:lang w:eastAsia="en-GB"/>
        </w:rPr>
        <w:t>courent des risques</w:t>
      </w:r>
      <w:r>
        <w:rPr>
          <w:lang w:eastAsia="en-GB"/>
        </w:rPr>
        <w:t xml:space="preserve"> réels, actuels et personnels d’être soumis à </w:t>
      </w:r>
      <w:r w:rsidRPr="00BF3CD4">
        <w:rPr>
          <w:lang w:eastAsia="en-GB"/>
        </w:rPr>
        <w:t>la torture</w:t>
      </w:r>
      <w:r>
        <w:rPr>
          <w:lang w:eastAsia="en-GB"/>
        </w:rPr>
        <w:t xml:space="preserve"> et à des traitements inhumains et dégradants au sens de l’article 3 de la Convention</w:t>
      </w:r>
      <w:r w:rsidR="009E12FC" w:rsidRPr="009E12FC">
        <w:rPr>
          <w:lang w:eastAsia="en-GB"/>
        </w:rPr>
        <w:t>.</w:t>
      </w:r>
    </w:p>
    <w:p w14:paraId="366BBF15" w14:textId="3295F96D" w:rsidR="008144B4" w:rsidRDefault="008144B4" w:rsidP="008144B4">
      <w:pPr>
        <w:pStyle w:val="SingleTxtG"/>
        <w:rPr>
          <w:lang w:eastAsia="en-GB"/>
        </w:rPr>
      </w:pPr>
      <w:r>
        <w:rPr>
          <w:lang w:eastAsia="en-GB"/>
        </w:rPr>
        <w:t>3</w:t>
      </w:r>
      <w:r w:rsidR="009E12FC" w:rsidRPr="009E12FC">
        <w:rPr>
          <w:lang w:eastAsia="en-GB"/>
        </w:rPr>
        <w:t>.</w:t>
      </w:r>
      <w:r>
        <w:rPr>
          <w:lang w:eastAsia="en-GB"/>
        </w:rPr>
        <w:t>3</w:t>
      </w:r>
      <w:r>
        <w:rPr>
          <w:lang w:eastAsia="en-GB"/>
        </w:rPr>
        <w:tab/>
        <w:t xml:space="preserve">En conséquence, les requérants demandent au Comité d’adopter des mesures provisoires en leur faveur en demandant à l’État partie de ne pas les renvoyer vers la </w:t>
      </w:r>
      <w:r>
        <w:rPr>
          <w:lang w:val="fr-FR" w:eastAsia="en-GB"/>
        </w:rPr>
        <w:t>République démocratique du Congo</w:t>
      </w:r>
      <w:r>
        <w:rPr>
          <w:lang w:eastAsia="en-GB"/>
        </w:rPr>
        <w:t xml:space="preserve"> en attendant l’issue de l’affaire devant le Comité</w:t>
      </w:r>
      <w:r w:rsidR="009E12FC" w:rsidRPr="009E12FC">
        <w:rPr>
          <w:lang w:eastAsia="en-GB"/>
        </w:rPr>
        <w:t>.</w:t>
      </w:r>
      <w:r>
        <w:rPr>
          <w:lang w:eastAsia="en-GB"/>
        </w:rPr>
        <w:t xml:space="preserve"> </w:t>
      </w:r>
    </w:p>
    <w:p w14:paraId="5E8E4C96" w14:textId="77777777" w:rsidR="008144B4" w:rsidRPr="00634EE5" w:rsidRDefault="008144B4" w:rsidP="008144B4">
      <w:pPr>
        <w:pStyle w:val="H23G"/>
        <w:rPr>
          <w:lang w:val="fr-FR" w:eastAsia="en-GB"/>
        </w:rPr>
      </w:pPr>
      <w:r w:rsidRPr="00634EE5">
        <w:rPr>
          <w:lang w:val="fr-FR"/>
        </w:rPr>
        <w:tab/>
      </w:r>
      <w:r w:rsidRPr="00634EE5">
        <w:rPr>
          <w:lang w:val="fr-FR"/>
        </w:rPr>
        <w:tab/>
      </w:r>
      <w:r w:rsidRPr="00262C66">
        <w:rPr>
          <w:lang w:val="fr-FR"/>
        </w:rPr>
        <w:t>Observations de l</w:t>
      </w:r>
      <w:r>
        <w:rPr>
          <w:lang w:val="fr-FR"/>
        </w:rPr>
        <w:t>’</w:t>
      </w:r>
      <w:r w:rsidRPr="00262C66">
        <w:rPr>
          <w:lang w:val="fr-FR"/>
        </w:rPr>
        <w:t>État partie sur le fond</w:t>
      </w:r>
      <w:r>
        <w:rPr>
          <w:lang w:val="fr-FR"/>
        </w:rPr>
        <w:t xml:space="preserve"> </w:t>
      </w:r>
    </w:p>
    <w:p w14:paraId="141D0D08" w14:textId="29A91E73" w:rsidR="008144B4" w:rsidRPr="00F145AD" w:rsidRDefault="008144B4" w:rsidP="008144B4">
      <w:pPr>
        <w:pStyle w:val="SingleTxtG"/>
      </w:pPr>
      <w:r>
        <w:rPr>
          <w:lang w:val="fr-FR"/>
        </w:rPr>
        <w:t>4</w:t>
      </w:r>
      <w:r w:rsidR="009E12FC" w:rsidRPr="009E12FC">
        <w:rPr>
          <w:lang w:val="fr-FR"/>
        </w:rPr>
        <w:t>.</w:t>
      </w:r>
      <w:r>
        <w:rPr>
          <w:lang w:val="fr-FR"/>
        </w:rPr>
        <w:t>1</w:t>
      </w:r>
      <w:r>
        <w:rPr>
          <w:lang w:val="fr-FR"/>
        </w:rPr>
        <w:tab/>
      </w:r>
      <w:r w:rsidRPr="00A9667B">
        <w:rPr>
          <w:lang w:val="fr-FR"/>
        </w:rPr>
        <w:t xml:space="preserve">Le </w:t>
      </w:r>
      <w:r>
        <w:rPr>
          <w:lang w:val="fr-FR"/>
        </w:rPr>
        <w:t xml:space="preserve">7 avril 2020, </w:t>
      </w:r>
      <w:r w:rsidRPr="00255736">
        <w:t>l</w:t>
      </w:r>
      <w:r>
        <w:t>’</w:t>
      </w:r>
      <w:r w:rsidRPr="00255736">
        <w:t>État partie a soumis ses observations concernant le fond de la requête</w:t>
      </w:r>
      <w:r>
        <w:t xml:space="preserve">, soutenant que les auteurs n’avaient pas apporté d’éléments concrets pour étayer l’affirmation selon laquelle ils seraient exposés à des </w:t>
      </w:r>
      <w:r w:rsidRPr="00255736">
        <w:t xml:space="preserve">risques prévisibles, personnels et réels de torture ou de mauvais traitements en cas de retour </w:t>
      </w:r>
      <w:r>
        <w:t xml:space="preserve">en </w:t>
      </w:r>
      <w:r>
        <w:rPr>
          <w:lang w:val="fr-FR" w:eastAsia="en-GB"/>
        </w:rPr>
        <w:t>République démocratique du Congo</w:t>
      </w:r>
      <w:r w:rsidR="009E12FC" w:rsidRPr="009E12FC">
        <w:t>.</w:t>
      </w:r>
      <w:r>
        <w:t xml:space="preserve"> </w:t>
      </w:r>
      <w:r w:rsidRPr="00255736">
        <w:t>L</w:t>
      </w:r>
      <w:r>
        <w:t>’</w:t>
      </w:r>
      <w:r w:rsidRPr="00255736">
        <w:t xml:space="preserve">État partie demande </w:t>
      </w:r>
      <w:r>
        <w:t xml:space="preserve">donc </w:t>
      </w:r>
      <w:r w:rsidRPr="00255736">
        <w:t xml:space="preserve">au Comité de constater que le renvoi </w:t>
      </w:r>
      <w:r>
        <w:t>des requérants</w:t>
      </w:r>
      <w:r w:rsidRPr="00255736">
        <w:t xml:space="preserve"> vers ce pays ne constituerait pas une violation des engagements internationaux de la Suisse au titre de l</w:t>
      </w:r>
      <w:r>
        <w:t>’</w:t>
      </w:r>
      <w:r w:rsidRPr="00255736">
        <w:t>article 3 de la Convention</w:t>
      </w:r>
      <w:r w:rsidR="009E12FC" w:rsidRPr="009E12FC">
        <w:t>.</w:t>
      </w:r>
      <w:r w:rsidRPr="00255736">
        <w:t xml:space="preserve"> </w:t>
      </w:r>
    </w:p>
    <w:p w14:paraId="3989AD05" w14:textId="6ECE69A1" w:rsidR="008144B4" w:rsidRPr="00262C66" w:rsidRDefault="008144B4" w:rsidP="008144B4">
      <w:pPr>
        <w:pStyle w:val="SingleTxtG"/>
      </w:pPr>
      <w:r w:rsidRPr="00A9667B">
        <w:rPr>
          <w:lang w:val="fr-FR"/>
        </w:rPr>
        <w:t>4</w:t>
      </w:r>
      <w:r w:rsidR="009E12FC" w:rsidRPr="009E12FC">
        <w:rPr>
          <w:lang w:val="fr-FR"/>
        </w:rPr>
        <w:t>.</w:t>
      </w:r>
      <w:r w:rsidRPr="00A9667B">
        <w:rPr>
          <w:lang w:val="fr-FR"/>
        </w:rPr>
        <w:t>2</w:t>
      </w:r>
      <w:r w:rsidRPr="00A9667B">
        <w:rPr>
          <w:lang w:val="fr-FR"/>
        </w:rPr>
        <w:tab/>
      </w:r>
      <w:r w:rsidRPr="00255736">
        <w:t>L</w:t>
      </w:r>
      <w:r>
        <w:t>’</w:t>
      </w:r>
      <w:r w:rsidRPr="00255736">
        <w:t xml:space="preserve">État partie </w:t>
      </w:r>
      <w:r w:rsidRPr="00262C66">
        <w:t>mentionne l</w:t>
      </w:r>
      <w:r>
        <w:t>’</w:t>
      </w:r>
      <w:r w:rsidRPr="00262C66">
        <w:t>observation générale n</w:t>
      </w:r>
      <w:r w:rsidRPr="00262C66">
        <w:rPr>
          <w:vertAlign w:val="superscript"/>
        </w:rPr>
        <w:t>o</w:t>
      </w:r>
      <w:r w:rsidRPr="00262C66">
        <w:t> 4 (2017) du Comité sur l</w:t>
      </w:r>
      <w:r>
        <w:t>’</w:t>
      </w:r>
      <w:r w:rsidRPr="00262C66">
        <w:t>application de l</w:t>
      </w:r>
      <w:r>
        <w:t>’</w:t>
      </w:r>
      <w:r w:rsidRPr="00262C66">
        <w:t>article 3 dans le contexte de l</w:t>
      </w:r>
      <w:r>
        <w:t>’</w:t>
      </w:r>
      <w:r w:rsidRPr="00262C66">
        <w:t>article 22, qui prévoit que l</w:t>
      </w:r>
      <w:r>
        <w:t>’</w:t>
      </w:r>
      <w:r w:rsidRPr="00262C66">
        <w:t>auteur d</w:t>
      </w:r>
      <w:r>
        <w:t>’</w:t>
      </w:r>
      <w:r w:rsidRPr="00262C66">
        <w:t>une communication doit prouver qu</w:t>
      </w:r>
      <w:r>
        <w:t>’</w:t>
      </w:r>
      <w:r w:rsidRPr="00262C66">
        <w:t>il court un risque prévisible, actuel, personnel et réel d</w:t>
      </w:r>
      <w:r>
        <w:t>’</w:t>
      </w:r>
      <w:r w:rsidRPr="00262C66">
        <w:t>être soumis à la torture en cas d</w:t>
      </w:r>
      <w:r>
        <w:t>’</w:t>
      </w:r>
      <w:r w:rsidRPr="00262C66">
        <w:t>expulsion vers son pays d</w:t>
      </w:r>
      <w:r>
        <w:t>’</w:t>
      </w:r>
      <w:r w:rsidRPr="00262C66">
        <w:t>origine, et qu</w:t>
      </w:r>
      <w:r>
        <w:t>’</w:t>
      </w:r>
      <w:r w:rsidRPr="00262C66">
        <w:t>un tel risque doit apparaître comme sérieux, les allégations devant se baser sur des faits crédibles</w:t>
      </w:r>
      <w:r w:rsidR="009E12FC" w:rsidRPr="009E12FC">
        <w:t>.</w:t>
      </w:r>
      <w:r w:rsidRPr="00262C66">
        <w:t xml:space="preserve"> L</w:t>
      </w:r>
      <w:r>
        <w:t>’</w:t>
      </w:r>
      <w:r w:rsidRPr="00262C66">
        <w:t xml:space="preserve">État partie </w:t>
      </w:r>
      <w:r w:rsidRPr="00262C66">
        <w:lastRenderedPageBreak/>
        <w:t>se réfère par ailleurs aux éléments qui doivent être pris en compte par le Comité pour conclure à l</w:t>
      </w:r>
      <w:r>
        <w:t>’</w:t>
      </w:r>
      <w:r w:rsidRPr="00262C66">
        <w:t>existence d</w:t>
      </w:r>
      <w:r>
        <w:t>’</w:t>
      </w:r>
      <w:r w:rsidRPr="00262C66">
        <w:t>un tel risque, énoncés au paragraphe 49 de l</w:t>
      </w:r>
      <w:r>
        <w:t>’</w:t>
      </w:r>
      <w:r w:rsidRPr="00262C66">
        <w:t>observation générale n</w:t>
      </w:r>
      <w:r w:rsidRPr="00262C66">
        <w:rPr>
          <w:vertAlign w:val="superscript"/>
        </w:rPr>
        <w:t>o</w:t>
      </w:r>
      <w:r w:rsidRPr="00262C66">
        <w:t> 4 (2017)</w:t>
      </w:r>
      <w:r w:rsidR="009E12FC" w:rsidRPr="009E12FC">
        <w:t>.</w:t>
      </w:r>
    </w:p>
    <w:p w14:paraId="71BF6CBC" w14:textId="0D961AD3" w:rsidR="008144B4" w:rsidRDefault="008144B4" w:rsidP="008144B4">
      <w:pPr>
        <w:pStyle w:val="SingleTxtG"/>
      </w:pPr>
      <w:r w:rsidRPr="00262C66">
        <w:t>4</w:t>
      </w:r>
      <w:r w:rsidR="009E12FC" w:rsidRPr="009E12FC">
        <w:t>.</w:t>
      </w:r>
      <w:r w:rsidRPr="00262C66">
        <w:t>3</w:t>
      </w:r>
      <w:r w:rsidRPr="00262C66">
        <w:tab/>
        <w:t>En ce sens, en ce qui concerne les preuves de l</w:t>
      </w:r>
      <w:r>
        <w:t>’</w:t>
      </w:r>
      <w:r w:rsidRPr="00262C66">
        <w:t>existence dans l</w:t>
      </w:r>
      <w:r>
        <w:t>’</w:t>
      </w:r>
      <w:r w:rsidRPr="00262C66">
        <w:t>État concerné d</w:t>
      </w:r>
      <w:r>
        <w:t>’</w:t>
      </w:r>
      <w:r w:rsidRPr="00262C66">
        <w:t>un ensemble de violations systématiques des droits de l</w:t>
      </w:r>
      <w:r>
        <w:t>’</w:t>
      </w:r>
      <w:r w:rsidRPr="00262C66">
        <w:t>homme, graves, flagrantes ou massives, l</w:t>
      </w:r>
      <w:r>
        <w:t>’</w:t>
      </w:r>
      <w:r w:rsidRPr="00262C66">
        <w:t>État partie soutient qu</w:t>
      </w:r>
      <w:r>
        <w:t>’</w:t>
      </w:r>
      <w:r w:rsidRPr="00262C66">
        <w:t>il s</w:t>
      </w:r>
      <w:r>
        <w:t>’</w:t>
      </w:r>
      <w:r w:rsidRPr="00262C66">
        <w:t xml:space="preserve">agit toutefois, suivant la jurisprudence du Comité, de déterminer si les requérants risquent </w:t>
      </w:r>
      <w:r w:rsidRPr="00262C66">
        <w:rPr>
          <w:iCs/>
        </w:rPr>
        <w:t>personnellement</w:t>
      </w:r>
      <w:r w:rsidRPr="00262C66">
        <w:t xml:space="preserve"> d</w:t>
      </w:r>
      <w:r>
        <w:t>’</w:t>
      </w:r>
      <w:r w:rsidRPr="00262C66">
        <w:t>être soumis à la torture, car l</w:t>
      </w:r>
      <w:r>
        <w:t>’</w:t>
      </w:r>
      <w:r w:rsidRPr="00262C66">
        <w:t>existence d</w:t>
      </w:r>
      <w:r>
        <w:t>’</w:t>
      </w:r>
      <w:r w:rsidRPr="00262C66">
        <w:t>un ensemble de violations ne constitue pas un motif suffisant pour conclure qu</w:t>
      </w:r>
      <w:r>
        <w:t>’</w:t>
      </w:r>
      <w:r w:rsidRPr="00262C66">
        <w:t>un individu risquerait d</w:t>
      </w:r>
      <w:r>
        <w:t>’</w:t>
      </w:r>
      <w:r w:rsidRPr="00262C66">
        <w:t>être victime de torture à son retour dans son pays</w:t>
      </w:r>
      <w:r w:rsidR="009E12FC" w:rsidRPr="009E12FC">
        <w:t>.</w:t>
      </w:r>
      <w:r w:rsidRPr="00262C66">
        <w:t xml:space="preserve"> En l</w:t>
      </w:r>
      <w:r>
        <w:t>’</w:t>
      </w:r>
      <w:r w:rsidRPr="00262C66">
        <w:t>espèce, l</w:t>
      </w:r>
      <w:r>
        <w:t>’</w:t>
      </w:r>
      <w:r w:rsidRPr="00262C66">
        <w:t>État partie souligne que malgré les affrontements locaux qui surgissent sporadiquement et des tensions surtout dans l</w:t>
      </w:r>
      <w:r>
        <w:t>’</w:t>
      </w:r>
      <w:r w:rsidRPr="00262C66">
        <w:t>est du pays, il n</w:t>
      </w:r>
      <w:r>
        <w:t>’</w:t>
      </w:r>
      <w:r w:rsidRPr="00262C66">
        <w:t>existe pas sur l</w:t>
      </w:r>
      <w:r>
        <w:t>’</w:t>
      </w:r>
      <w:r w:rsidRPr="00262C66">
        <w:t xml:space="preserve">ensemble de la </w:t>
      </w:r>
      <w:r w:rsidRPr="00262C66">
        <w:rPr>
          <w:lang w:val="fr-FR" w:eastAsia="en-GB"/>
        </w:rPr>
        <w:t>République démocratique du Congo</w:t>
      </w:r>
      <w:r w:rsidRPr="00262C66">
        <w:t xml:space="preserve"> une situation de guerre, de guerre civile ou de violence généralisée</w:t>
      </w:r>
      <w:r w:rsidR="009E12FC" w:rsidRPr="009E12FC">
        <w:t>.</w:t>
      </w:r>
      <w:r w:rsidRPr="00262C66">
        <w:t xml:space="preserve"> L</w:t>
      </w:r>
      <w:r>
        <w:t>’</w:t>
      </w:r>
      <w:r w:rsidRPr="00262C66">
        <w:t>État partie soutient que les requérants n</w:t>
      </w:r>
      <w:r>
        <w:t>’</w:t>
      </w:r>
      <w:r w:rsidRPr="00262C66">
        <w:t>ont pas apporté d</w:t>
      </w:r>
      <w:r>
        <w:t>’</w:t>
      </w:r>
      <w:r w:rsidRPr="00262C66">
        <w:t>éléments, à ce titre, permettant de conclure qu</w:t>
      </w:r>
      <w:r>
        <w:t>’</w:t>
      </w:r>
      <w:r w:rsidRPr="00262C66">
        <w:t>ils courraient un risque prévisible, réel et personnel d</w:t>
      </w:r>
      <w:r>
        <w:t>’</w:t>
      </w:r>
      <w:r w:rsidRPr="00262C66">
        <w:t>être</w:t>
      </w:r>
      <w:r>
        <w:t xml:space="preserve"> soumis à la torture en cas de renvoi en </w:t>
      </w:r>
      <w:r>
        <w:rPr>
          <w:lang w:val="fr-FR" w:eastAsia="en-GB"/>
        </w:rPr>
        <w:t>République démocratique du Congo</w:t>
      </w:r>
      <w:r w:rsidR="009E12FC" w:rsidRPr="009E12FC">
        <w:t>.</w:t>
      </w:r>
      <w:r>
        <w:t xml:space="preserve"> </w:t>
      </w:r>
    </w:p>
    <w:p w14:paraId="57BB52EB" w14:textId="609C4AA0" w:rsidR="008144B4" w:rsidRDefault="008144B4" w:rsidP="008144B4">
      <w:pPr>
        <w:pStyle w:val="SingleTxtG"/>
      </w:pPr>
      <w:r>
        <w:t>4</w:t>
      </w:r>
      <w:r w:rsidR="009E12FC" w:rsidRPr="009E12FC">
        <w:t>.</w:t>
      </w:r>
      <w:r>
        <w:t>4</w:t>
      </w:r>
      <w:r>
        <w:tab/>
        <w:t>L’État partie soutient que la torture ou les mauvais traitements subis par le passé constituent des éléments à prendre en compte pour apprécier le risque d’être soumis à nouveau à la torture ou à des mauvais traitements en cas de retour dans son pays</w:t>
      </w:r>
      <w:r w:rsidR="009E12FC" w:rsidRPr="009E12FC">
        <w:t>.</w:t>
      </w:r>
      <w:r>
        <w:t xml:space="preserve"> En l’espèce, l’État partie soutient que les requérants n’ont jamais spécifié les mauvais traitements auxquels ils prétendent avoir été exposés ni apporté de preuves provenant de sources indépendantes permettant d’étayer leurs allégations</w:t>
      </w:r>
      <w:r w:rsidR="009E12FC" w:rsidRPr="009E12FC">
        <w:t>.</w:t>
      </w:r>
      <w:r>
        <w:t xml:space="preserve"> </w:t>
      </w:r>
    </w:p>
    <w:p w14:paraId="4868ED7E" w14:textId="71D348C7" w:rsidR="008144B4" w:rsidRDefault="008144B4" w:rsidP="008144B4">
      <w:pPr>
        <w:pStyle w:val="SingleTxtG"/>
      </w:pPr>
      <w:r>
        <w:t>4</w:t>
      </w:r>
      <w:r w:rsidR="009E12FC" w:rsidRPr="009E12FC">
        <w:t>.</w:t>
      </w:r>
      <w:r>
        <w:t>5</w:t>
      </w:r>
      <w:r>
        <w:tab/>
        <w:t xml:space="preserve">En ce qui concerne les activités politiques des requérants à l’intérieur ou hors de la </w:t>
      </w:r>
      <w:r>
        <w:rPr>
          <w:lang w:val="fr-FR" w:eastAsia="en-GB"/>
        </w:rPr>
        <w:t>République démocratique du Congo</w:t>
      </w:r>
      <w:r>
        <w:t>, comme élément à prendre en compte pour l’évaluation du risque d’être soumis à la torture en cas de retour, l’État partie considère qu’il ne ressort pas du dossier que les requérants se seraient livrés à des activités politiques</w:t>
      </w:r>
      <w:r w:rsidR="009E12FC" w:rsidRPr="009E12FC">
        <w:t>.</w:t>
      </w:r>
      <w:r>
        <w:t xml:space="preserve"> </w:t>
      </w:r>
    </w:p>
    <w:p w14:paraId="7C6BD8BB" w14:textId="3A9652D1" w:rsidR="008144B4" w:rsidRDefault="008144B4" w:rsidP="008144B4">
      <w:pPr>
        <w:pStyle w:val="SingleTxtG"/>
      </w:pPr>
      <w:r>
        <w:t>4</w:t>
      </w:r>
      <w:r w:rsidR="009E12FC" w:rsidRPr="009E12FC">
        <w:t>.</w:t>
      </w:r>
      <w:r>
        <w:t>6</w:t>
      </w:r>
      <w:r>
        <w:tab/>
        <w:t>Enfin</w:t>
      </w:r>
      <w:r w:rsidRPr="00255736">
        <w:t>, en ce qui concerne les preuves de crédibilité des allégations</w:t>
      </w:r>
      <w:r>
        <w:t xml:space="preserve">, l’État partie observe que tant le </w:t>
      </w:r>
      <w:r>
        <w:rPr>
          <w:lang w:val="fr-FR" w:eastAsia="en-GB"/>
        </w:rPr>
        <w:t>Secrétariat d’État aux m</w:t>
      </w:r>
      <w:r w:rsidRPr="00E16E50">
        <w:rPr>
          <w:lang w:val="fr-FR" w:eastAsia="en-GB"/>
        </w:rPr>
        <w:t xml:space="preserve">igrations </w:t>
      </w:r>
      <w:r>
        <w:t xml:space="preserve">que le </w:t>
      </w:r>
      <w:r w:rsidRPr="00E16E50">
        <w:rPr>
          <w:lang w:val="fr-FR" w:eastAsia="en-GB"/>
        </w:rPr>
        <w:t>Tribunal administratif fédéral</w:t>
      </w:r>
      <w:r>
        <w:t xml:space="preserve"> ont rejeté les motifs d’asile avancés par les requérants, considérant qu’ils avaient présenté un récit invraisemblable, artificiel et construit</w:t>
      </w:r>
      <w:r w:rsidR="009E12FC" w:rsidRPr="009E12FC">
        <w:t>.</w:t>
      </w:r>
      <w:r>
        <w:t xml:space="preserve"> En particulier, l’État partie soutient que les requérants n’ont pas étayé de façon convaincante l’affirmation selon laquelle le premier requérant était recherché pour avoir renseigné Human Rights Watch et l’accusation portée contre les autorités congolaises qui seraient responsables de l’enlèvement par une bande armée dont les requérants auraient été </w:t>
      </w:r>
      <w:r w:rsidRPr="00C93DE3">
        <w:t>victimes en décembre 2016</w:t>
      </w:r>
      <w:r w:rsidR="009E12FC" w:rsidRPr="009E12FC">
        <w:t>.</w:t>
      </w:r>
      <w:r w:rsidRPr="00C93DE3">
        <w:t xml:space="preserve"> Concernant les pr</w:t>
      </w:r>
      <w:r>
        <w:t>euves présentées par les requérants, l’État partie observe que la copie de la convocation par l’</w:t>
      </w:r>
      <w:r w:rsidRPr="00E16E50">
        <w:rPr>
          <w:lang w:val="fr-FR" w:eastAsia="en-GB"/>
        </w:rPr>
        <w:t>Agence nationale de renseignements</w:t>
      </w:r>
      <w:r>
        <w:rPr>
          <w:lang w:val="fr-FR" w:eastAsia="en-GB"/>
        </w:rPr>
        <w:t xml:space="preserve"> </w:t>
      </w:r>
      <w:r>
        <w:t xml:space="preserve">soumise au Comité est datée du 10 mai </w:t>
      </w:r>
      <w:r w:rsidRPr="00262C66">
        <w:t>2016</w:t>
      </w:r>
      <w:r>
        <w:t>, alors que celle remise aux autorités suisses est datée du 29 août 2016</w:t>
      </w:r>
      <w:r w:rsidR="009E12FC" w:rsidRPr="009E12FC">
        <w:t>.</w:t>
      </w:r>
      <w:r>
        <w:t xml:space="preserve"> Selon l’État partie, la version remise au Comité rend moins vraisemblable le fait que les requérants aient pu voyager en France puis revenir en </w:t>
      </w:r>
      <w:r>
        <w:rPr>
          <w:lang w:val="fr-FR" w:eastAsia="en-GB"/>
        </w:rPr>
        <w:t>République démocratique du Congo</w:t>
      </w:r>
      <w:r>
        <w:t xml:space="preserve"> sans rencontrer de problème en juillet 2016, bien que les requérants déclarent avoir reçu la convocation deux ou trois semaines après leur retour</w:t>
      </w:r>
      <w:r w:rsidR="009E12FC" w:rsidRPr="009E12FC">
        <w:t>.</w:t>
      </w:r>
      <w:r>
        <w:t xml:space="preserve"> L’État partie soulève également les doutes du </w:t>
      </w:r>
      <w:r w:rsidRPr="00E16E50">
        <w:rPr>
          <w:lang w:val="fr-FR" w:eastAsia="en-GB"/>
        </w:rPr>
        <w:t>Tribunal administratif fédéral</w:t>
      </w:r>
      <w:r>
        <w:t xml:space="preserve"> quant à l’authenticité de la convocation émise par les autorités nationales</w:t>
      </w:r>
      <w:r w:rsidR="009E12FC" w:rsidRPr="009E12FC">
        <w:t>.</w:t>
      </w:r>
      <w:r>
        <w:t xml:space="preserve"> En ce qui concerne l’avis de recherche, l’État partie se rallie aux conclusions du </w:t>
      </w:r>
      <w:r w:rsidRPr="00E16E50">
        <w:rPr>
          <w:lang w:val="fr-FR" w:eastAsia="en-GB"/>
        </w:rPr>
        <w:t>Tribunal administratif fédéral</w:t>
      </w:r>
      <w:r>
        <w:t xml:space="preserve"> et considère sa portée probatoire comme nulle, tout en soulignant que ledit document contient des erreurs d’orthographe</w:t>
      </w:r>
      <w:r w:rsidRPr="003E0897">
        <w:t xml:space="preserve"> </w:t>
      </w:r>
      <w:r>
        <w:t>surprenantes</w:t>
      </w:r>
      <w:r w:rsidR="009E12FC" w:rsidRPr="009E12FC">
        <w:t>.</w:t>
      </w:r>
      <w:r>
        <w:t xml:space="preserve"> L’État partie soutient que </w:t>
      </w:r>
      <w:r w:rsidRPr="00C93DE3">
        <w:t xml:space="preserve">les deux attestations concernant les séjours des requérants au centre de réfugiés de </w:t>
      </w:r>
      <w:proofErr w:type="spellStart"/>
      <w:r w:rsidRPr="00C93DE3">
        <w:t>Bondeko</w:t>
      </w:r>
      <w:proofErr w:type="spellEnd"/>
      <w:r w:rsidRPr="00C93DE3">
        <w:t xml:space="preserve"> ne sauraient être qualifiées d</w:t>
      </w:r>
      <w:r>
        <w:t>’</w:t>
      </w:r>
      <w:r w:rsidRPr="00C93DE3">
        <w:t xml:space="preserve">indices du risque de persécution en </w:t>
      </w:r>
      <w:r w:rsidRPr="00C93DE3">
        <w:rPr>
          <w:lang w:val="fr-FR" w:eastAsia="en-GB"/>
        </w:rPr>
        <w:t>République démocratique du Congo</w:t>
      </w:r>
      <w:r w:rsidR="009E12FC" w:rsidRPr="009E12FC">
        <w:t>.</w:t>
      </w:r>
      <w:r w:rsidRPr="00C93DE3">
        <w:t xml:space="preserve"> L</w:t>
      </w:r>
      <w:r>
        <w:t>’</w:t>
      </w:r>
      <w:r w:rsidRPr="00C93DE3">
        <w:t>État partie s</w:t>
      </w:r>
      <w:r>
        <w:t>’</w:t>
      </w:r>
      <w:r w:rsidRPr="00C93DE3">
        <w:t>étonne que les documents ne soient pas rédigés en anglais et qu</w:t>
      </w:r>
      <w:r>
        <w:t>’</w:t>
      </w:r>
      <w:r w:rsidRPr="00C93DE3">
        <w:t>ils mentionnent une attaque contre le premier requérant à Kampala qui n</w:t>
      </w:r>
      <w:r>
        <w:t>’</w:t>
      </w:r>
      <w:r w:rsidRPr="00C93DE3">
        <w:t>avait jamais été mentionné</w:t>
      </w:r>
      <w:r>
        <w:t>e</w:t>
      </w:r>
      <w:r w:rsidRPr="00C93DE3">
        <w:t xml:space="preserve"> par celui-ci</w:t>
      </w:r>
      <w:r w:rsidR="009E12FC" w:rsidRPr="009E12FC">
        <w:t>.</w:t>
      </w:r>
      <w:r w:rsidRPr="00C93DE3">
        <w:t xml:space="preserve"> De plus, il ressort du document que le premier requérant serait parti à l</w:t>
      </w:r>
      <w:r>
        <w:t>’</w:t>
      </w:r>
      <w:r w:rsidRPr="00C93DE3">
        <w:t>étranger le 29 avril 2017, alors qu</w:t>
      </w:r>
      <w:r>
        <w:t>’</w:t>
      </w:r>
      <w:r w:rsidRPr="00C93DE3">
        <w:t>il a quitté l</w:t>
      </w:r>
      <w:r>
        <w:t>’</w:t>
      </w:r>
      <w:r w:rsidRPr="00C93DE3">
        <w:t xml:space="preserve">Ouganda le 15 mai 2017 selon le procès-verbal de son audition devant le </w:t>
      </w:r>
      <w:r w:rsidRPr="00C93DE3">
        <w:rPr>
          <w:lang w:val="fr-FR" w:eastAsia="en-GB"/>
        </w:rPr>
        <w:t>Secrétariat d</w:t>
      </w:r>
      <w:r>
        <w:rPr>
          <w:lang w:val="fr-FR" w:eastAsia="en-GB"/>
        </w:rPr>
        <w:t>’</w:t>
      </w:r>
      <w:r w:rsidRPr="00C93DE3">
        <w:rPr>
          <w:lang w:val="fr-FR" w:eastAsia="en-GB"/>
        </w:rPr>
        <w:t>État aux migrations</w:t>
      </w:r>
      <w:r w:rsidR="009E12FC" w:rsidRPr="009E12FC">
        <w:t>.</w:t>
      </w:r>
      <w:r w:rsidRPr="00C93DE3">
        <w:t xml:space="preserve"> L</w:t>
      </w:r>
      <w:r>
        <w:t>’</w:t>
      </w:r>
      <w:r w:rsidRPr="00C93DE3">
        <w:t>État partie ajoute que l</w:t>
      </w:r>
      <w:r>
        <w:t>’</w:t>
      </w:r>
      <w:r w:rsidRPr="00C93DE3">
        <w:t>attestation concernant la deuxième requérante, établie le 24 juillet 2017, confirme son intention de partir le lendemain, alors qu</w:t>
      </w:r>
      <w:r>
        <w:t>’</w:t>
      </w:r>
      <w:r w:rsidRPr="00C93DE3">
        <w:t>elle était déjà arrivée en Suisse le 27</w:t>
      </w:r>
      <w:r>
        <w:t> </w:t>
      </w:r>
      <w:r w:rsidRPr="00C93DE3">
        <w:t>juin 2017</w:t>
      </w:r>
      <w:r w:rsidR="009E12FC" w:rsidRPr="009E12FC">
        <w:t>.</w:t>
      </w:r>
      <w:r w:rsidRPr="00C93DE3">
        <w:t xml:space="preserve"> L</w:t>
      </w:r>
      <w:r>
        <w:t>’</w:t>
      </w:r>
      <w:r w:rsidRPr="00C93DE3">
        <w:t>État partie souligne également l</w:t>
      </w:r>
      <w:r>
        <w:t>’</w:t>
      </w:r>
      <w:r w:rsidRPr="00C93DE3">
        <w:t xml:space="preserve">incohérence des lettres attestant les séjours des requérants au centre </w:t>
      </w:r>
      <w:proofErr w:type="spellStart"/>
      <w:r w:rsidRPr="00C93DE3">
        <w:t>Masaja</w:t>
      </w:r>
      <w:proofErr w:type="spellEnd"/>
      <w:r w:rsidRPr="00C93DE3">
        <w:t xml:space="preserve"> signé</w:t>
      </w:r>
      <w:r>
        <w:t>es le 28 avril 2017 et confirmant que le premier requérant avait quitté l’Ouganda le 29 avril 2019</w:t>
      </w:r>
      <w:r w:rsidR="009E12FC" w:rsidRPr="009E12FC">
        <w:t>.</w:t>
      </w:r>
      <w:r>
        <w:t xml:space="preserve"> </w:t>
      </w:r>
    </w:p>
    <w:p w14:paraId="50667598" w14:textId="7BF9E786" w:rsidR="008144B4" w:rsidRPr="00F45A0B" w:rsidRDefault="008144B4" w:rsidP="00297F29">
      <w:pPr>
        <w:pStyle w:val="SingleTxtG"/>
        <w:keepNext/>
        <w:keepLines/>
      </w:pPr>
      <w:r>
        <w:lastRenderedPageBreak/>
        <w:t>4</w:t>
      </w:r>
      <w:r w:rsidR="009E12FC" w:rsidRPr="009E12FC">
        <w:t>.</w:t>
      </w:r>
      <w:r>
        <w:t>7</w:t>
      </w:r>
      <w:r>
        <w:tab/>
        <w:t>L’État partie soutient que les copies des courriels que le premier requérant aurait envoyés à une collaboratrice de Human Rights Watch ne démontrent pas que l’organisation aurait mentionné le premier requérant dans un rapport établi par la suite</w:t>
      </w:r>
      <w:r w:rsidR="009E12FC" w:rsidRPr="009E12FC">
        <w:t>.</w:t>
      </w:r>
      <w:r>
        <w:t xml:space="preserve"> L’État partie observe que la mention du nom d’un indicateur dans un rapport serait totalement incompatible avec la pratique de Human Rights Watch et que le premier requérant n’a jamais présenté ledit rapport</w:t>
      </w:r>
      <w:r w:rsidR="009E12FC" w:rsidRPr="009E12FC">
        <w:t>.</w:t>
      </w:r>
      <w:r>
        <w:t xml:space="preserve"> Enfin, l’État partie note que les requérants n’ont jamais présenté devant les instances nationales ni devant le Comité la preuve d’un mandat d’amener qui aurait été établi à leur encontre</w:t>
      </w:r>
      <w:r w:rsidR="009E12FC" w:rsidRPr="009E12FC">
        <w:t>.</w:t>
      </w:r>
      <w:r>
        <w:t xml:space="preserve"> L’État partie souligne aussi que les requérants n’ont pas fourni de précision sur la date à laquelle ce mandat aurait été établi, sa teneur, ni sur les circonstances dans lesquelles ils en auraient eu connaissance</w:t>
      </w:r>
      <w:r w:rsidR="009E12FC" w:rsidRPr="009E12FC">
        <w:t>.</w:t>
      </w:r>
      <w:r>
        <w:t xml:space="preserve"> L’État partie considère que les allégations du premier requérant selon lesquelles il serait poursuivi en </w:t>
      </w:r>
      <w:r>
        <w:rPr>
          <w:lang w:val="fr-FR" w:eastAsia="en-GB"/>
        </w:rPr>
        <w:t>République démocratique du Congo</w:t>
      </w:r>
      <w:r>
        <w:t xml:space="preserve"> pour atteinte à la sûreté de l’État et haute trahison ne sont pas corroborées par des éléments de fait</w:t>
      </w:r>
      <w:r w:rsidR="009E12FC" w:rsidRPr="009E12FC">
        <w:t>.</w:t>
      </w:r>
      <w:r>
        <w:t xml:space="preserve"> </w:t>
      </w:r>
    </w:p>
    <w:p w14:paraId="05BA2535" w14:textId="77777777" w:rsidR="008144B4" w:rsidRPr="00262C66" w:rsidRDefault="008144B4" w:rsidP="008144B4">
      <w:pPr>
        <w:pStyle w:val="H23G"/>
        <w:rPr>
          <w:lang w:val="fr-FR"/>
        </w:rPr>
      </w:pPr>
      <w:r w:rsidRPr="00CE3AE4">
        <w:rPr>
          <w:lang w:val="fr-FR"/>
        </w:rPr>
        <w:tab/>
      </w:r>
      <w:r w:rsidRPr="00CE3AE4">
        <w:rPr>
          <w:lang w:val="fr-FR"/>
        </w:rPr>
        <w:tab/>
      </w:r>
      <w:r w:rsidRPr="00262C66">
        <w:rPr>
          <w:lang w:val="fr-FR"/>
        </w:rPr>
        <w:t>Délibérations du Comité</w:t>
      </w:r>
    </w:p>
    <w:p w14:paraId="513225B0" w14:textId="77777777" w:rsidR="008144B4" w:rsidRPr="00262C66" w:rsidRDefault="008144B4" w:rsidP="008144B4">
      <w:pPr>
        <w:pStyle w:val="H4G"/>
        <w:rPr>
          <w:lang w:val="fr-FR"/>
        </w:rPr>
      </w:pPr>
      <w:r w:rsidRPr="00262C66">
        <w:rPr>
          <w:lang w:val="fr-FR"/>
        </w:rPr>
        <w:tab/>
      </w:r>
      <w:r w:rsidRPr="00262C66">
        <w:rPr>
          <w:lang w:val="fr-FR"/>
        </w:rPr>
        <w:tab/>
      </w:r>
      <w:r w:rsidRPr="00262C66">
        <w:rPr>
          <w:lang w:val="fr-FR"/>
        </w:rPr>
        <w:tab/>
        <w:t>Examen de la recevabilité</w:t>
      </w:r>
    </w:p>
    <w:p w14:paraId="0BDCBD10" w14:textId="1C5C1A45" w:rsidR="008144B4" w:rsidRPr="00262C66" w:rsidRDefault="008144B4" w:rsidP="008144B4">
      <w:pPr>
        <w:pStyle w:val="SingleTxtG"/>
        <w:rPr>
          <w:lang w:val="fr-FR"/>
        </w:rPr>
      </w:pPr>
      <w:r w:rsidRPr="00262C66">
        <w:rPr>
          <w:lang w:val="fr-FR"/>
        </w:rPr>
        <w:t>5</w:t>
      </w:r>
      <w:r w:rsidR="009E12FC" w:rsidRPr="009E12FC">
        <w:rPr>
          <w:lang w:val="fr-FR"/>
        </w:rPr>
        <w:t>.</w:t>
      </w:r>
      <w:r w:rsidRPr="00262C66">
        <w:rPr>
          <w:lang w:val="fr-FR"/>
        </w:rPr>
        <w:t>1</w:t>
      </w:r>
      <w:r w:rsidRPr="00262C66">
        <w:rPr>
          <w:lang w:val="fr-FR"/>
        </w:rPr>
        <w:tab/>
        <w:t>Avant d</w:t>
      </w:r>
      <w:r>
        <w:rPr>
          <w:lang w:val="fr-FR"/>
        </w:rPr>
        <w:t>’</w:t>
      </w:r>
      <w:r w:rsidRPr="00262C66">
        <w:rPr>
          <w:lang w:val="fr-FR"/>
        </w:rPr>
        <w:t>examiner tout grief soumis dans une communication, le Comité doit déterminer s</w:t>
      </w:r>
      <w:r>
        <w:rPr>
          <w:lang w:val="fr-FR"/>
        </w:rPr>
        <w:t>’</w:t>
      </w:r>
      <w:r w:rsidRPr="00262C66">
        <w:rPr>
          <w:lang w:val="fr-FR"/>
        </w:rPr>
        <w:t>il est recevable au regard de l</w:t>
      </w:r>
      <w:r>
        <w:rPr>
          <w:lang w:val="fr-FR"/>
        </w:rPr>
        <w:t>’</w:t>
      </w:r>
      <w:r w:rsidRPr="00262C66">
        <w:rPr>
          <w:lang w:val="fr-FR"/>
        </w:rPr>
        <w:t>article 22 de la Convention</w:t>
      </w:r>
      <w:r w:rsidR="009E12FC" w:rsidRPr="009E12FC">
        <w:rPr>
          <w:lang w:val="fr-FR"/>
        </w:rPr>
        <w:t>.</w:t>
      </w:r>
      <w:r w:rsidRPr="00262C66">
        <w:rPr>
          <w:lang w:val="fr-FR"/>
        </w:rPr>
        <w:t xml:space="preserve"> Le Comité s</w:t>
      </w:r>
      <w:r>
        <w:rPr>
          <w:lang w:val="fr-FR"/>
        </w:rPr>
        <w:t>’</w:t>
      </w:r>
      <w:r w:rsidRPr="00262C66">
        <w:rPr>
          <w:lang w:val="fr-FR"/>
        </w:rPr>
        <w:t>est assuré, comme il est tenu de le faire conformément à l</w:t>
      </w:r>
      <w:r>
        <w:rPr>
          <w:lang w:val="fr-FR"/>
        </w:rPr>
        <w:t>’</w:t>
      </w:r>
      <w:r w:rsidRPr="00262C66">
        <w:rPr>
          <w:lang w:val="fr-FR"/>
        </w:rPr>
        <w:t>article 22 (par</w:t>
      </w:r>
      <w:r w:rsidR="009E12FC" w:rsidRPr="009E12FC">
        <w:rPr>
          <w:lang w:val="fr-FR"/>
        </w:rPr>
        <w:t>.</w:t>
      </w:r>
      <w:r w:rsidRPr="00262C66">
        <w:rPr>
          <w:lang w:val="fr-FR"/>
        </w:rPr>
        <w:t> 5 a)) de la Convention, que la même question n</w:t>
      </w:r>
      <w:r>
        <w:rPr>
          <w:lang w:val="fr-FR"/>
        </w:rPr>
        <w:t>’</w:t>
      </w:r>
      <w:r w:rsidRPr="00262C66">
        <w:rPr>
          <w:lang w:val="fr-FR"/>
        </w:rPr>
        <w:t>a pas été examinée et n</w:t>
      </w:r>
      <w:r>
        <w:rPr>
          <w:lang w:val="fr-FR"/>
        </w:rPr>
        <w:t>’</w:t>
      </w:r>
      <w:r w:rsidRPr="00262C66">
        <w:rPr>
          <w:lang w:val="fr-FR"/>
        </w:rPr>
        <w:t>est pas actuellement examinée par une autre instance internationale d</w:t>
      </w:r>
      <w:r>
        <w:rPr>
          <w:lang w:val="fr-FR"/>
        </w:rPr>
        <w:t>’</w:t>
      </w:r>
      <w:r w:rsidRPr="00262C66">
        <w:rPr>
          <w:lang w:val="fr-FR"/>
        </w:rPr>
        <w:t>enquête ou de règlement</w:t>
      </w:r>
      <w:r w:rsidR="009E12FC" w:rsidRPr="009E12FC">
        <w:rPr>
          <w:lang w:val="fr-FR"/>
        </w:rPr>
        <w:t>.</w:t>
      </w:r>
      <w:r w:rsidRPr="00262C66">
        <w:rPr>
          <w:lang w:val="fr-FR"/>
        </w:rPr>
        <w:t xml:space="preserve"> </w:t>
      </w:r>
    </w:p>
    <w:p w14:paraId="2E4DC669" w14:textId="68EA3096" w:rsidR="008144B4" w:rsidRPr="00262C66" w:rsidRDefault="008144B4" w:rsidP="008144B4">
      <w:pPr>
        <w:pStyle w:val="SingleTxtG"/>
        <w:rPr>
          <w:lang w:val="fr-FR"/>
        </w:rPr>
      </w:pPr>
      <w:r w:rsidRPr="00262C66">
        <w:rPr>
          <w:lang w:val="fr-FR"/>
        </w:rPr>
        <w:t>5</w:t>
      </w:r>
      <w:r w:rsidR="009E12FC" w:rsidRPr="009E12FC">
        <w:rPr>
          <w:lang w:val="fr-FR"/>
        </w:rPr>
        <w:t>.</w:t>
      </w:r>
      <w:r w:rsidRPr="00262C66">
        <w:rPr>
          <w:lang w:val="fr-FR"/>
        </w:rPr>
        <w:t>2</w:t>
      </w:r>
      <w:r w:rsidRPr="00262C66">
        <w:rPr>
          <w:lang w:val="fr-FR"/>
        </w:rPr>
        <w:tab/>
        <w:t>Le Comité rappelle que, conformément à l</w:t>
      </w:r>
      <w:r>
        <w:rPr>
          <w:lang w:val="fr-FR"/>
        </w:rPr>
        <w:t>’</w:t>
      </w:r>
      <w:r w:rsidRPr="00262C66">
        <w:rPr>
          <w:lang w:val="fr-FR"/>
        </w:rPr>
        <w:t>article 22 (par</w:t>
      </w:r>
      <w:r w:rsidR="009E12FC" w:rsidRPr="009E12FC">
        <w:rPr>
          <w:lang w:val="fr-FR"/>
        </w:rPr>
        <w:t>.</w:t>
      </w:r>
      <w:r w:rsidRPr="00262C66">
        <w:rPr>
          <w:lang w:val="fr-FR"/>
        </w:rPr>
        <w:t> 5 b)) de la Convention, il n</w:t>
      </w:r>
      <w:r>
        <w:rPr>
          <w:lang w:val="fr-FR"/>
        </w:rPr>
        <w:t>’</w:t>
      </w:r>
      <w:r w:rsidRPr="00262C66">
        <w:rPr>
          <w:lang w:val="fr-FR"/>
        </w:rPr>
        <w:t>examine aucune communication d</w:t>
      </w:r>
      <w:r>
        <w:rPr>
          <w:lang w:val="fr-FR"/>
        </w:rPr>
        <w:t>’</w:t>
      </w:r>
      <w:r w:rsidRPr="00262C66">
        <w:rPr>
          <w:lang w:val="fr-FR"/>
        </w:rPr>
        <w:t>un particulier sans s</w:t>
      </w:r>
      <w:r>
        <w:rPr>
          <w:lang w:val="fr-FR"/>
        </w:rPr>
        <w:t>’</w:t>
      </w:r>
      <w:r w:rsidRPr="00262C66">
        <w:rPr>
          <w:lang w:val="fr-FR"/>
        </w:rPr>
        <w:t>être assuré que celui-ci a épuisé tous les recours internes disponibles</w:t>
      </w:r>
      <w:r w:rsidR="009E12FC" w:rsidRPr="009E12FC">
        <w:rPr>
          <w:lang w:val="fr-FR"/>
        </w:rPr>
        <w:t>.</w:t>
      </w:r>
      <w:r w:rsidRPr="00262C66">
        <w:rPr>
          <w:lang w:val="fr-FR"/>
        </w:rPr>
        <w:t xml:space="preserve"> Cette règle ne s</w:t>
      </w:r>
      <w:r>
        <w:rPr>
          <w:lang w:val="fr-FR"/>
        </w:rPr>
        <w:t>’</w:t>
      </w:r>
      <w:r w:rsidRPr="00262C66">
        <w:rPr>
          <w:lang w:val="fr-FR"/>
        </w:rPr>
        <w:t>applique pas s</w:t>
      </w:r>
      <w:r>
        <w:rPr>
          <w:lang w:val="fr-FR"/>
        </w:rPr>
        <w:t>’</w:t>
      </w:r>
      <w:r w:rsidRPr="00262C66">
        <w:rPr>
          <w:lang w:val="fr-FR"/>
        </w:rPr>
        <w:t>il a été établi que les procédures de recours ont excédé des délais raisonnables ou s</w:t>
      </w:r>
      <w:r>
        <w:rPr>
          <w:lang w:val="fr-FR"/>
        </w:rPr>
        <w:t>’</w:t>
      </w:r>
      <w:r w:rsidRPr="00262C66">
        <w:rPr>
          <w:lang w:val="fr-FR"/>
        </w:rPr>
        <w:t>il est peu probable que le requérant obtienne réparation par ce moyen</w:t>
      </w:r>
      <w:r w:rsidRPr="00F13354">
        <w:rPr>
          <w:rStyle w:val="Appelnotedebasdep"/>
        </w:rPr>
        <w:footnoteReference w:id="4"/>
      </w:r>
      <w:r w:rsidR="009E12FC" w:rsidRPr="009E12FC">
        <w:rPr>
          <w:lang w:val="fr-FR"/>
        </w:rPr>
        <w:t>.</w:t>
      </w:r>
    </w:p>
    <w:p w14:paraId="78C17B70" w14:textId="69166C49" w:rsidR="008144B4" w:rsidRPr="00262C66" w:rsidRDefault="008144B4" w:rsidP="008144B4">
      <w:pPr>
        <w:pStyle w:val="SingleTxtG"/>
        <w:rPr>
          <w:bCs/>
        </w:rPr>
      </w:pPr>
      <w:r w:rsidRPr="00262C66">
        <w:rPr>
          <w:lang w:val="fr-FR"/>
        </w:rPr>
        <w:t>5</w:t>
      </w:r>
      <w:r w:rsidR="009E12FC" w:rsidRPr="009E12FC">
        <w:rPr>
          <w:lang w:val="fr-FR"/>
        </w:rPr>
        <w:t>.</w:t>
      </w:r>
      <w:r w:rsidRPr="00262C66">
        <w:rPr>
          <w:lang w:val="fr-FR"/>
        </w:rPr>
        <w:t>3</w:t>
      </w:r>
      <w:r w:rsidRPr="00262C66">
        <w:rPr>
          <w:lang w:val="fr-FR"/>
        </w:rPr>
        <w:tab/>
      </w:r>
      <w:r w:rsidRPr="00262C66">
        <w:t>Conformément à l</w:t>
      </w:r>
      <w:r>
        <w:t>’</w:t>
      </w:r>
      <w:r w:rsidRPr="00262C66">
        <w:t>article 22 (par</w:t>
      </w:r>
      <w:r w:rsidR="009E12FC" w:rsidRPr="009E12FC">
        <w:t>.</w:t>
      </w:r>
      <w:r w:rsidRPr="00262C66">
        <w:t xml:space="preserve"> 5b) de la Convention, le Comité doit s</w:t>
      </w:r>
      <w:r>
        <w:t>’</w:t>
      </w:r>
      <w:r w:rsidRPr="00262C66">
        <w:t>assurer que les requérants ont épuisé les recours internes disponibles, cette règle ne s</w:t>
      </w:r>
      <w:r>
        <w:t>’</w:t>
      </w:r>
      <w:r w:rsidRPr="00262C66">
        <w:t>appliquant pas lorsque les procédures de recours ont excédé des délais raisonnables</w:t>
      </w:r>
      <w:r w:rsidRPr="00F13354">
        <w:rPr>
          <w:rStyle w:val="Appelnotedebasdep"/>
        </w:rPr>
        <w:footnoteReference w:id="5"/>
      </w:r>
      <w:r w:rsidRPr="00262C66">
        <w:t xml:space="preserve"> ou s</w:t>
      </w:r>
      <w:r>
        <w:t>’</w:t>
      </w:r>
      <w:r w:rsidRPr="00262C66">
        <w:t>il est peu probable qu</w:t>
      </w:r>
      <w:r>
        <w:t>’</w:t>
      </w:r>
      <w:r w:rsidRPr="00262C66">
        <w:t>elles donneraient satisfaction à la victime présumée</w:t>
      </w:r>
      <w:r w:rsidR="009E12FC" w:rsidRPr="009E12FC">
        <w:t>.</w:t>
      </w:r>
      <w:r w:rsidRPr="00262C66">
        <w:t xml:space="preserve"> </w:t>
      </w:r>
      <w:r w:rsidRPr="00262C66">
        <w:rPr>
          <w:bCs/>
        </w:rPr>
        <w:t>Le Comité observe que l</w:t>
      </w:r>
      <w:r>
        <w:rPr>
          <w:bCs/>
        </w:rPr>
        <w:t>’</w:t>
      </w:r>
      <w:r w:rsidRPr="00262C66">
        <w:rPr>
          <w:bCs/>
        </w:rPr>
        <w:t>État partie n</w:t>
      </w:r>
      <w:r>
        <w:rPr>
          <w:bCs/>
        </w:rPr>
        <w:t>’</w:t>
      </w:r>
      <w:r w:rsidRPr="00262C66">
        <w:rPr>
          <w:bCs/>
        </w:rPr>
        <w:t>apporte aucune observation relative à la recevabilité de la présente requête</w:t>
      </w:r>
      <w:r w:rsidR="009E12FC" w:rsidRPr="009E12FC">
        <w:t>.</w:t>
      </w:r>
      <w:r w:rsidRPr="00262C66">
        <w:t xml:space="preserve"> Le Comité s</w:t>
      </w:r>
      <w:r>
        <w:t>’</w:t>
      </w:r>
      <w:r w:rsidRPr="00262C66">
        <w:t>est toutefois assuré que les requérants ont épuisé toutes les voies de recours internes disponibles</w:t>
      </w:r>
      <w:r w:rsidRPr="00262C66">
        <w:rPr>
          <w:bCs/>
        </w:rPr>
        <w:t>,</w:t>
      </w:r>
      <w:r w:rsidRPr="00262C66">
        <w:t xml:space="preserve"> il déclare donc la communication recevable au titre de l</w:t>
      </w:r>
      <w:r>
        <w:t>’</w:t>
      </w:r>
      <w:r w:rsidRPr="00262C66">
        <w:t>article 22 de la Convention et procède à son examen au fond, puisque, par ailleurs, les griefs que les requérants tirent de l</w:t>
      </w:r>
      <w:r>
        <w:t>’</w:t>
      </w:r>
      <w:r w:rsidRPr="00262C66">
        <w:t>article 3 de la Convention sont suffisamment étayés aux fins de la recevabilité</w:t>
      </w:r>
      <w:r w:rsidR="009E12FC" w:rsidRPr="009E12FC">
        <w:rPr>
          <w:bCs/>
        </w:rPr>
        <w:t>.</w:t>
      </w:r>
    </w:p>
    <w:p w14:paraId="31A97AF7" w14:textId="2D234EF0" w:rsidR="008144B4" w:rsidRPr="00E75029" w:rsidRDefault="008144B4" w:rsidP="008144B4">
      <w:pPr>
        <w:pStyle w:val="SingleTxtG"/>
      </w:pPr>
      <w:r w:rsidRPr="00262C66">
        <w:t>5</w:t>
      </w:r>
      <w:r w:rsidR="009E12FC" w:rsidRPr="009E12FC">
        <w:t>.</w:t>
      </w:r>
      <w:r w:rsidRPr="00262C66">
        <w:t>4</w:t>
      </w:r>
      <w:r w:rsidRPr="00262C66">
        <w:tab/>
        <w:t>Ne constatant aucun autre obstacle à la recevabilité, le Comité déclare la requête recevable au titre de l</w:t>
      </w:r>
      <w:r>
        <w:t>’</w:t>
      </w:r>
      <w:r w:rsidRPr="00262C66">
        <w:t xml:space="preserve">article 3 de la Convention et procède à son examen </w:t>
      </w:r>
      <w:r w:rsidRPr="007964E1">
        <w:t xml:space="preserve">quant </w:t>
      </w:r>
      <w:r w:rsidRPr="00262C66">
        <w:t>au fond</w:t>
      </w:r>
      <w:r w:rsidR="009E12FC" w:rsidRPr="009E12FC">
        <w:t>.</w:t>
      </w:r>
      <w:r w:rsidRPr="00E75029">
        <w:t xml:space="preserve"> </w:t>
      </w:r>
    </w:p>
    <w:p w14:paraId="4DDF1232" w14:textId="77777777" w:rsidR="008144B4" w:rsidRPr="00262C66" w:rsidRDefault="008144B4" w:rsidP="008144B4">
      <w:pPr>
        <w:pStyle w:val="H4G"/>
      </w:pPr>
      <w:r>
        <w:tab/>
      </w:r>
      <w:r>
        <w:tab/>
      </w:r>
      <w:r w:rsidRPr="00262C66">
        <w:t>Examen au fond</w:t>
      </w:r>
    </w:p>
    <w:p w14:paraId="01C9F869" w14:textId="272C69E6" w:rsidR="008144B4" w:rsidRPr="00262C66" w:rsidRDefault="008144B4" w:rsidP="008144B4">
      <w:pPr>
        <w:pStyle w:val="SingleTxtG"/>
      </w:pPr>
      <w:r w:rsidRPr="00262C66">
        <w:t>6</w:t>
      </w:r>
      <w:r w:rsidR="009E12FC" w:rsidRPr="009E12FC">
        <w:t>.</w:t>
      </w:r>
      <w:r w:rsidRPr="00262C66">
        <w:t>1</w:t>
      </w:r>
      <w:r w:rsidRPr="00262C66">
        <w:tab/>
        <w:t>Conformément à l</w:t>
      </w:r>
      <w:r>
        <w:t>’</w:t>
      </w:r>
      <w:r w:rsidRPr="00262C66">
        <w:t>article 22 (par</w:t>
      </w:r>
      <w:r w:rsidR="009E12FC" w:rsidRPr="009E12FC">
        <w:t>.</w:t>
      </w:r>
      <w:r w:rsidRPr="00262C66">
        <w:t> 4) de la Convention, le Comité a examiné la présente communication en tenant compte de toutes les informations que lui ont communiquées les parties</w:t>
      </w:r>
      <w:r w:rsidR="009E12FC" w:rsidRPr="009E12FC">
        <w:t>.</w:t>
      </w:r>
    </w:p>
    <w:p w14:paraId="3C4B8B5E" w14:textId="3576EE3A" w:rsidR="008144B4" w:rsidRPr="00262C66" w:rsidRDefault="008144B4" w:rsidP="008144B4">
      <w:pPr>
        <w:pStyle w:val="SingleTxtG"/>
      </w:pPr>
      <w:r w:rsidRPr="00262C66">
        <w:t>6</w:t>
      </w:r>
      <w:r w:rsidR="009E12FC" w:rsidRPr="009E12FC">
        <w:t>.</w:t>
      </w:r>
      <w:r w:rsidRPr="00262C66">
        <w:t>2</w:t>
      </w:r>
      <w:r w:rsidRPr="00262C66">
        <w:tab/>
        <w:t>En l</w:t>
      </w:r>
      <w:r>
        <w:t>’</w:t>
      </w:r>
      <w:r w:rsidRPr="00262C66">
        <w:t xml:space="preserve">espèce, le Comité doit déterminer si le renvoi des requérants vers la </w:t>
      </w:r>
      <w:r w:rsidRPr="00262C66">
        <w:rPr>
          <w:lang w:val="fr-FR" w:eastAsia="en-GB"/>
        </w:rPr>
        <w:t>République démocratique du Congo</w:t>
      </w:r>
      <w:r w:rsidRPr="00262C66">
        <w:t xml:space="preserve"> constituerait une violation de l</w:t>
      </w:r>
      <w:r>
        <w:t>’</w:t>
      </w:r>
      <w:r w:rsidRPr="00262C66">
        <w:t>obligation incombant à l</w:t>
      </w:r>
      <w:r>
        <w:t>’</w:t>
      </w:r>
      <w:r w:rsidRPr="00262C66">
        <w:t>État partie en vertu de l</w:t>
      </w:r>
      <w:r>
        <w:t>’</w:t>
      </w:r>
      <w:r w:rsidRPr="00262C66">
        <w:t>article 3 de la Convention de ne pas expulser ou refouler une personne vers un autre État où il y a des motifs de croire qu</w:t>
      </w:r>
      <w:r>
        <w:t>’</w:t>
      </w:r>
      <w:r w:rsidRPr="00262C66">
        <w:t>elle risquerait d</w:t>
      </w:r>
      <w:r>
        <w:t>’</w:t>
      </w:r>
      <w:r w:rsidRPr="00262C66">
        <w:t>être soumise à la torture ou à d</w:t>
      </w:r>
      <w:r>
        <w:t>’</w:t>
      </w:r>
      <w:r w:rsidRPr="00262C66">
        <w:t>autres peines ou traitement cruels, inhumains ou dégradants</w:t>
      </w:r>
      <w:r w:rsidR="009E12FC" w:rsidRPr="009E12FC">
        <w:t>.</w:t>
      </w:r>
      <w:r w:rsidRPr="00262C66">
        <w:t xml:space="preserve"> Le Comité rappelle avant tout que l</w:t>
      </w:r>
      <w:r>
        <w:t>’</w:t>
      </w:r>
      <w:r w:rsidRPr="00262C66">
        <w:t>interdiction de la torture est absolue et non susceptible de dérogation, et qu</w:t>
      </w:r>
      <w:r>
        <w:t>’</w:t>
      </w:r>
      <w:r w:rsidRPr="00262C66">
        <w:t>aucune circonstance exceptionnelle ne peut être invoquée par un État partie pour justifier des actes de torture</w:t>
      </w:r>
      <w:r w:rsidRPr="00F13354">
        <w:rPr>
          <w:rStyle w:val="Appelnotedebasdep"/>
        </w:rPr>
        <w:footnoteReference w:id="6"/>
      </w:r>
      <w:r w:rsidR="009E12FC" w:rsidRPr="009E12FC">
        <w:t>.</w:t>
      </w:r>
    </w:p>
    <w:p w14:paraId="392E69F8" w14:textId="78CCD399" w:rsidR="008144B4" w:rsidRPr="00262C66" w:rsidRDefault="008144B4" w:rsidP="008144B4">
      <w:pPr>
        <w:pStyle w:val="SingleTxtG"/>
      </w:pPr>
      <w:r w:rsidRPr="00262C66">
        <w:lastRenderedPageBreak/>
        <w:t>6</w:t>
      </w:r>
      <w:r w:rsidR="009E12FC" w:rsidRPr="009E12FC">
        <w:t>.</w:t>
      </w:r>
      <w:r w:rsidRPr="00262C66">
        <w:t>3</w:t>
      </w:r>
      <w:r w:rsidRPr="00262C66">
        <w:tab/>
      </w:r>
      <w:r w:rsidRPr="00262C66">
        <w:rPr>
          <w:lang w:val="fr-FR"/>
        </w:rPr>
        <w:t>Le Comité doit apprécier</w:t>
      </w:r>
      <w:r w:rsidRPr="00262C66">
        <w:t xml:space="preserve"> s</w:t>
      </w:r>
      <w:r>
        <w:t>’</w:t>
      </w:r>
      <w:r w:rsidRPr="00262C66">
        <w:t>il existe des motifs sérieux de croire que les requérants risquent personnellement d</w:t>
      </w:r>
      <w:r>
        <w:t>’</w:t>
      </w:r>
      <w:r w:rsidRPr="00262C66">
        <w:t xml:space="preserve">être soumis à la torture en cas de renvoi en </w:t>
      </w:r>
      <w:r w:rsidRPr="00262C66">
        <w:rPr>
          <w:lang w:val="fr-FR" w:eastAsia="en-GB"/>
        </w:rPr>
        <w:t>République démocratique du Congo</w:t>
      </w:r>
      <w:r w:rsidR="009E12FC" w:rsidRPr="009E12FC">
        <w:t>.</w:t>
      </w:r>
      <w:r w:rsidRPr="00262C66">
        <w:t xml:space="preserve"> Pour ce faire, conformément à l</w:t>
      </w:r>
      <w:r>
        <w:t>’</w:t>
      </w:r>
      <w:r w:rsidRPr="00262C66">
        <w:t>article 3 (par</w:t>
      </w:r>
      <w:r w:rsidR="009E12FC" w:rsidRPr="009E12FC">
        <w:t>.</w:t>
      </w:r>
      <w:r w:rsidRPr="00262C66">
        <w:t> 2) de la Convention, il doit tenir compte de tous les éléments pertinents, y compris l</w:t>
      </w:r>
      <w:r>
        <w:t>’</w:t>
      </w:r>
      <w:r w:rsidRPr="00262C66">
        <w:t>existence éventuelle d</w:t>
      </w:r>
      <w:r>
        <w:t>’</w:t>
      </w:r>
      <w:r w:rsidRPr="00262C66">
        <w:t>un ensemble de violations systématiques des droits de l</w:t>
      </w:r>
      <w:r>
        <w:t>’</w:t>
      </w:r>
      <w:r w:rsidRPr="00262C66">
        <w:t>homme graves, flagrantes ou massives</w:t>
      </w:r>
      <w:r w:rsidR="009E12FC" w:rsidRPr="009E12FC">
        <w:t>.</w:t>
      </w:r>
      <w:r w:rsidRPr="00262C66">
        <w:t xml:space="preserve"> </w:t>
      </w:r>
      <w:r w:rsidRPr="00262C66">
        <w:rPr>
          <w:lang w:val="fr-FR"/>
        </w:rPr>
        <w:t>Le Comité rappelle toutefois que le but de cette analyse est de déterminer si l</w:t>
      </w:r>
      <w:r>
        <w:rPr>
          <w:lang w:val="fr-FR"/>
        </w:rPr>
        <w:t>’</w:t>
      </w:r>
      <w:r w:rsidRPr="00262C66">
        <w:rPr>
          <w:lang w:val="fr-FR"/>
        </w:rPr>
        <w:t>intéressé court personnellement un risque prévisible et réel d</w:t>
      </w:r>
      <w:r>
        <w:rPr>
          <w:lang w:val="fr-FR"/>
        </w:rPr>
        <w:t>’</w:t>
      </w:r>
      <w:r w:rsidRPr="00262C66">
        <w:rPr>
          <w:lang w:val="fr-FR"/>
        </w:rPr>
        <w:t>être soumis à la torture dans le pays où il serait renvoyé</w:t>
      </w:r>
      <w:r w:rsidR="009E12FC" w:rsidRPr="009E12FC">
        <w:rPr>
          <w:lang w:val="fr-FR"/>
        </w:rPr>
        <w:t>.</w:t>
      </w:r>
      <w:r w:rsidRPr="00262C66">
        <w:rPr>
          <w:lang w:val="fr-FR"/>
        </w:rPr>
        <w:t xml:space="preserve"> Il s</w:t>
      </w:r>
      <w:r>
        <w:rPr>
          <w:lang w:val="fr-FR"/>
        </w:rPr>
        <w:t>’</w:t>
      </w:r>
      <w:r w:rsidRPr="00262C66">
        <w:rPr>
          <w:lang w:val="fr-FR"/>
        </w:rPr>
        <w:t xml:space="preserve">ensuit que </w:t>
      </w:r>
      <w:r w:rsidRPr="00262C66">
        <w:t>l</w:t>
      </w:r>
      <w:r>
        <w:t>’</w:t>
      </w:r>
      <w:r w:rsidRPr="00262C66">
        <w:t>existence, dans un pays, d</w:t>
      </w:r>
      <w:r>
        <w:t>’</w:t>
      </w:r>
      <w:r w:rsidRPr="00262C66">
        <w:t>un ensemble de violations systématiques des droits de l</w:t>
      </w:r>
      <w:r>
        <w:t>’</w:t>
      </w:r>
      <w:r w:rsidRPr="00262C66">
        <w:t>homme, graves, flagrantes ou massives ne constitue pas en soi une raison suffisante pour établir qu</w:t>
      </w:r>
      <w:r>
        <w:t>’</w:t>
      </w:r>
      <w:r w:rsidRPr="00262C66">
        <w:t>une personne donnée risquerait d</w:t>
      </w:r>
      <w:r>
        <w:t>’</w:t>
      </w:r>
      <w:r w:rsidRPr="00262C66">
        <w:t>être soumise à la torture à son retour dans ce pays</w:t>
      </w:r>
      <w:r w:rsidR="009E12FC" w:rsidRPr="009E12FC">
        <w:t>.</w:t>
      </w:r>
      <w:r w:rsidRPr="00262C66">
        <w:t xml:space="preserve"> Il doit exister des motifs supplémentaires donnant à penser que l</w:t>
      </w:r>
      <w:r>
        <w:t>’</w:t>
      </w:r>
      <w:r w:rsidRPr="00262C66">
        <w:t>intéressé court personnellement un risque</w:t>
      </w:r>
      <w:r w:rsidRPr="00F13354">
        <w:rPr>
          <w:rStyle w:val="Appelnotedebasdep"/>
        </w:rPr>
        <w:footnoteReference w:id="7"/>
      </w:r>
      <w:r w:rsidR="009E12FC" w:rsidRPr="009E12FC">
        <w:t>.</w:t>
      </w:r>
      <w:r w:rsidRPr="00262C66">
        <w:t xml:space="preserve"> Inversement, l</w:t>
      </w:r>
      <w:r>
        <w:t>’</w:t>
      </w:r>
      <w:r w:rsidRPr="00262C66">
        <w:t>absence d</w:t>
      </w:r>
      <w:r>
        <w:t>’</w:t>
      </w:r>
      <w:r w:rsidRPr="00262C66">
        <w:t>un ensemble de violations flagrantes et systématiques des droits de l</w:t>
      </w:r>
      <w:r>
        <w:t>’</w:t>
      </w:r>
      <w:r w:rsidRPr="00262C66">
        <w:t>homme ne signifie pas qu</w:t>
      </w:r>
      <w:r>
        <w:t>’</w:t>
      </w:r>
      <w:r w:rsidRPr="00262C66">
        <w:t>une personne ne puisse pas être soumise à la torture dans la situation particulière qui est la sienne</w:t>
      </w:r>
      <w:r w:rsidRPr="00F13354">
        <w:rPr>
          <w:rStyle w:val="Appelnotedebasdep"/>
        </w:rPr>
        <w:footnoteReference w:id="8"/>
      </w:r>
      <w:r w:rsidR="009E12FC" w:rsidRPr="009E12FC">
        <w:t>.</w:t>
      </w:r>
    </w:p>
    <w:p w14:paraId="44A43140" w14:textId="3822425B" w:rsidR="008144B4" w:rsidRPr="009F04FF" w:rsidRDefault="008144B4" w:rsidP="008144B4">
      <w:pPr>
        <w:pStyle w:val="SingleTxtG"/>
      </w:pPr>
      <w:r w:rsidRPr="00262C66">
        <w:rPr>
          <w:lang w:val="fr-FR"/>
        </w:rPr>
        <w:t>6</w:t>
      </w:r>
      <w:r w:rsidR="009E12FC" w:rsidRPr="009E12FC">
        <w:rPr>
          <w:lang w:val="fr-FR"/>
        </w:rPr>
        <w:t>.</w:t>
      </w:r>
      <w:r w:rsidRPr="00262C66">
        <w:rPr>
          <w:lang w:val="fr-FR"/>
        </w:rPr>
        <w:t>4</w:t>
      </w:r>
      <w:r w:rsidRPr="00262C66">
        <w:rPr>
          <w:lang w:val="fr-FR"/>
        </w:rPr>
        <w:tab/>
        <w:t>Le Comité rappelle également que la charge de la preuve incombe au requérant, qui doit présenter des arguments défendables</w:t>
      </w:r>
      <w:r w:rsidRPr="00BF4A42">
        <w:rPr>
          <w:lang w:val="fr-FR"/>
        </w:rPr>
        <w:t>, c</w:t>
      </w:r>
      <w:r>
        <w:rPr>
          <w:lang w:val="fr-FR"/>
        </w:rPr>
        <w:t>’</w:t>
      </w:r>
      <w:r w:rsidRPr="00BF4A42">
        <w:rPr>
          <w:lang w:val="fr-FR"/>
        </w:rPr>
        <w:t>est-à-dire des arguments circonstanciés montrant que le danger d</w:t>
      </w:r>
      <w:r>
        <w:rPr>
          <w:lang w:val="fr-FR"/>
        </w:rPr>
        <w:t>’</w:t>
      </w:r>
      <w:r w:rsidRPr="00BF4A42">
        <w:rPr>
          <w:lang w:val="fr-FR"/>
        </w:rPr>
        <w:t>être soumis à la torture est prévisible, actuel, personnel et réel</w:t>
      </w:r>
      <w:r w:rsidRPr="00F13354">
        <w:rPr>
          <w:rStyle w:val="Appelnotedebasdep"/>
        </w:rPr>
        <w:footnoteReference w:id="9"/>
      </w:r>
      <w:r w:rsidR="009E12FC" w:rsidRPr="009E12FC">
        <w:rPr>
          <w:lang w:val="fr-FR"/>
        </w:rPr>
        <w:t>.</w:t>
      </w:r>
      <w:r w:rsidRPr="009B747C">
        <w:rPr>
          <w:lang w:val="fr-FR"/>
        </w:rPr>
        <w:t xml:space="preserve"> </w:t>
      </w:r>
      <w:r w:rsidRPr="00262C66">
        <w:rPr>
          <w:lang w:val="fr-FR"/>
        </w:rPr>
        <w:t>Toutefois, lorsque le requérant se trouve dans une situation dans laquelle il n</w:t>
      </w:r>
      <w:r>
        <w:rPr>
          <w:lang w:val="fr-FR"/>
        </w:rPr>
        <w:t>’</w:t>
      </w:r>
      <w:r w:rsidRPr="00262C66">
        <w:rPr>
          <w:lang w:val="fr-FR"/>
        </w:rPr>
        <w:t>est pas en mesure de donner des précisions, par exemple lorsqu</w:t>
      </w:r>
      <w:r>
        <w:rPr>
          <w:lang w:val="fr-FR"/>
        </w:rPr>
        <w:t>’</w:t>
      </w:r>
      <w:r w:rsidRPr="00262C66">
        <w:rPr>
          <w:lang w:val="fr-FR"/>
        </w:rPr>
        <w:t>il a démontré qu</w:t>
      </w:r>
      <w:r>
        <w:rPr>
          <w:lang w:val="fr-FR"/>
        </w:rPr>
        <w:t>’</w:t>
      </w:r>
      <w:r w:rsidRPr="00262C66">
        <w:rPr>
          <w:lang w:val="fr-FR"/>
        </w:rPr>
        <w:t>il n</w:t>
      </w:r>
      <w:r>
        <w:rPr>
          <w:lang w:val="fr-FR"/>
        </w:rPr>
        <w:t>’</w:t>
      </w:r>
      <w:r w:rsidRPr="00262C66">
        <w:rPr>
          <w:lang w:val="fr-FR"/>
        </w:rPr>
        <w:t>avait pas de possibilité d</w:t>
      </w:r>
      <w:r>
        <w:rPr>
          <w:lang w:val="fr-FR"/>
        </w:rPr>
        <w:t>’</w:t>
      </w:r>
      <w:r w:rsidRPr="00262C66">
        <w:rPr>
          <w:lang w:val="fr-FR"/>
        </w:rPr>
        <w:t>obtenir les documents concernant ses allégations de torture ou lorsqu</w:t>
      </w:r>
      <w:r>
        <w:rPr>
          <w:lang w:val="fr-FR"/>
        </w:rPr>
        <w:t>’</w:t>
      </w:r>
      <w:r w:rsidRPr="00262C66">
        <w:rPr>
          <w:lang w:val="fr-FR"/>
        </w:rPr>
        <w:t>il est privé de sa liberté, la charge de la preuve est inversée et il incombe à l</w:t>
      </w:r>
      <w:r>
        <w:rPr>
          <w:lang w:val="fr-FR"/>
        </w:rPr>
        <w:t>’</w:t>
      </w:r>
      <w:r w:rsidRPr="00262C66">
        <w:rPr>
          <w:lang w:val="fr-FR"/>
        </w:rPr>
        <w:t>État partie concerné d</w:t>
      </w:r>
      <w:r>
        <w:rPr>
          <w:lang w:val="fr-FR"/>
        </w:rPr>
        <w:t>’</w:t>
      </w:r>
      <w:r w:rsidRPr="00262C66">
        <w:rPr>
          <w:lang w:val="fr-FR"/>
        </w:rPr>
        <w:t>enquêter sur les allégations et de vérifier les renseignements sur lesquels est fondée la communication</w:t>
      </w:r>
      <w:r w:rsidRPr="00F13354">
        <w:rPr>
          <w:rStyle w:val="Appelnotedebasdep"/>
        </w:rPr>
        <w:footnoteReference w:id="10"/>
      </w:r>
      <w:r w:rsidR="009E12FC" w:rsidRPr="009E12FC">
        <w:rPr>
          <w:lang w:val="fr-FR"/>
        </w:rPr>
        <w:t>.</w:t>
      </w:r>
      <w:r w:rsidRPr="00262C66">
        <w:rPr>
          <w:lang w:val="fr-FR"/>
        </w:rPr>
        <w:t xml:space="preserve"> Le Comité rappelle en outre qu</w:t>
      </w:r>
      <w:r>
        <w:rPr>
          <w:lang w:val="fr-FR"/>
        </w:rPr>
        <w:t>’</w:t>
      </w:r>
      <w:r w:rsidRPr="00262C66">
        <w:rPr>
          <w:lang w:val="fr-FR"/>
        </w:rPr>
        <w:t>il accorde un poids considérable aux constatations de fait des organes de l</w:t>
      </w:r>
      <w:r>
        <w:rPr>
          <w:lang w:val="fr-FR"/>
        </w:rPr>
        <w:t>’</w:t>
      </w:r>
      <w:r w:rsidRPr="00262C66">
        <w:rPr>
          <w:lang w:val="fr-FR"/>
        </w:rPr>
        <w:t>État partie concerné, mais qu</w:t>
      </w:r>
      <w:r>
        <w:rPr>
          <w:lang w:val="fr-FR"/>
        </w:rPr>
        <w:t>’</w:t>
      </w:r>
      <w:r w:rsidRPr="00262C66">
        <w:rPr>
          <w:lang w:val="fr-FR"/>
        </w:rPr>
        <w:t>il n</w:t>
      </w:r>
      <w:r>
        <w:rPr>
          <w:lang w:val="fr-FR"/>
        </w:rPr>
        <w:t>’</w:t>
      </w:r>
      <w:r w:rsidRPr="00262C66">
        <w:rPr>
          <w:lang w:val="fr-FR"/>
        </w:rPr>
        <w:t>est pas tenu par ces constatations et apprécie librement les informations dont il dispose, conformément à l</w:t>
      </w:r>
      <w:r>
        <w:rPr>
          <w:lang w:val="fr-FR"/>
        </w:rPr>
        <w:t>’</w:t>
      </w:r>
      <w:r w:rsidRPr="00262C66">
        <w:rPr>
          <w:lang w:val="fr-FR"/>
        </w:rPr>
        <w:t>article 22 (par</w:t>
      </w:r>
      <w:r w:rsidR="009E12FC" w:rsidRPr="009E12FC">
        <w:rPr>
          <w:lang w:val="fr-FR"/>
        </w:rPr>
        <w:t>.</w:t>
      </w:r>
      <w:r w:rsidRPr="00262C66">
        <w:rPr>
          <w:lang w:val="fr-FR"/>
        </w:rPr>
        <w:t xml:space="preserve"> 4) de la Convention, compte tenu de toutes les circonstances pertinentes pour chaque cas</w:t>
      </w:r>
      <w:r w:rsidRPr="00F13354">
        <w:rPr>
          <w:rStyle w:val="Appelnotedebasdep"/>
        </w:rPr>
        <w:footnoteReference w:id="11"/>
      </w:r>
      <w:r w:rsidR="009E12FC" w:rsidRPr="009E12FC">
        <w:rPr>
          <w:lang w:val="fr-FR"/>
        </w:rPr>
        <w:t>.</w:t>
      </w:r>
    </w:p>
    <w:p w14:paraId="6A023C23" w14:textId="1B24B03F" w:rsidR="008144B4" w:rsidRDefault="008144B4" w:rsidP="008144B4">
      <w:pPr>
        <w:pStyle w:val="SingleTxtG"/>
        <w:rPr>
          <w:lang w:eastAsia="en-GB"/>
        </w:rPr>
      </w:pPr>
      <w:r>
        <w:t>6</w:t>
      </w:r>
      <w:r w:rsidR="009E12FC" w:rsidRPr="009E12FC">
        <w:t>.</w:t>
      </w:r>
      <w:r>
        <w:t>5</w:t>
      </w:r>
      <w:r w:rsidRPr="00394BD0">
        <w:tab/>
        <w:t>En l</w:t>
      </w:r>
      <w:r>
        <w:t>’</w:t>
      </w:r>
      <w:r w:rsidRPr="00394BD0">
        <w:t>espè</w:t>
      </w:r>
      <w:r>
        <w:t>ce, le Comité note l’argument des</w:t>
      </w:r>
      <w:r w:rsidRPr="00394BD0">
        <w:t xml:space="preserve"> requérant</w:t>
      </w:r>
      <w:r>
        <w:t>s</w:t>
      </w:r>
      <w:r w:rsidRPr="00394BD0">
        <w:t xml:space="preserve"> selon lequel, en cas de renvoi en </w:t>
      </w:r>
      <w:r>
        <w:rPr>
          <w:lang w:val="fr-FR" w:eastAsia="en-GB"/>
        </w:rPr>
        <w:t>République démocratique du Congo</w:t>
      </w:r>
      <w:r w:rsidRPr="00394BD0">
        <w:t>, la Suisse agirait en violation des droits qu</w:t>
      </w:r>
      <w:r>
        <w:t>’</w:t>
      </w:r>
      <w:r w:rsidRPr="00394BD0">
        <w:t>il</w:t>
      </w:r>
      <w:r>
        <w:t>s tiennent</w:t>
      </w:r>
      <w:r w:rsidRPr="00394BD0">
        <w:t xml:space="preserve"> de l</w:t>
      </w:r>
      <w:r>
        <w:t>’</w:t>
      </w:r>
      <w:r w:rsidRPr="00394BD0">
        <w:t>article 3 de la Convention</w:t>
      </w:r>
      <w:r w:rsidR="009E12FC" w:rsidRPr="009E12FC">
        <w:t>.</w:t>
      </w:r>
      <w:r w:rsidRPr="00394BD0">
        <w:t xml:space="preserve"> </w:t>
      </w:r>
      <w:r>
        <w:t xml:space="preserve">Le Comité note que les requérants affirment craindre être arrêtés et détenus à leur entrée en </w:t>
      </w:r>
      <w:r>
        <w:rPr>
          <w:lang w:val="fr-FR" w:eastAsia="en-GB"/>
        </w:rPr>
        <w:t>République démocratique du Congo</w:t>
      </w:r>
      <w:r>
        <w:t xml:space="preserve"> pour une durée indéterminée compte tenu de l’avis de recherche émis contre le premier requérant</w:t>
      </w:r>
      <w:r w:rsidR="009E12FC" w:rsidRPr="009E12FC">
        <w:t>.</w:t>
      </w:r>
      <w:r>
        <w:t xml:space="preserve"> Le Comité prend note des allégations des requérants qui estiment, en </w:t>
      </w:r>
      <w:r w:rsidRPr="000C325E">
        <w:t>raison des violations</w:t>
      </w:r>
      <w:r>
        <w:t xml:space="preserve"> systématiques des droits de l’homme en </w:t>
      </w:r>
      <w:r>
        <w:rPr>
          <w:lang w:val="fr-FR" w:eastAsia="en-GB"/>
        </w:rPr>
        <w:t>République démocratique du Congo</w:t>
      </w:r>
      <w:r>
        <w:t xml:space="preserve">, en </w:t>
      </w:r>
      <w:r w:rsidRPr="00F60A4E">
        <w:t xml:space="preserve">termes </w:t>
      </w:r>
      <w:r w:rsidRPr="002413DE">
        <w:t xml:space="preserve">de procès équitable et de </w:t>
      </w:r>
      <w:r>
        <w:t xml:space="preserve">conditions de </w:t>
      </w:r>
      <w:r w:rsidRPr="002413DE">
        <w:t xml:space="preserve">détention, et </w:t>
      </w:r>
      <w:r w:rsidRPr="009B747C">
        <w:t xml:space="preserve">vu </w:t>
      </w:r>
      <w:r w:rsidRPr="002413DE">
        <w:t>les pratiques de l</w:t>
      </w:r>
      <w:r>
        <w:t>’</w:t>
      </w:r>
      <w:r w:rsidRPr="002413DE">
        <w:rPr>
          <w:lang w:val="fr-FR" w:eastAsia="en-GB"/>
        </w:rPr>
        <w:t>Agence nationale de renseigneme</w:t>
      </w:r>
      <w:r w:rsidRPr="00E16E50">
        <w:rPr>
          <w:lang w:val="fr-FR" w:eastAsia="en-GB"/>
        </w:rPr>
        <w:t>nts</w:t>
      </w:r>
      <w:r>
        <w:t>, qu’</w:t>
      </w:r>
      <w:r>
        <w:rPr>
          <w:lang w:eastAsia="en-GB"/>
        </w:rPr>
        <w:t>il existe un risque imminent de préjudice irréparable, réel et personnel pour le premier requérant d’être soumis à la torture ou à des traitements inhumains et dégradants</w:t>
      </w:r>
      <w:r w:rsidR="009E12FC" w:rsidRPr="009E12FC">
        <w:rPr>
          <w:lang w:eastAsia="en-GB"/>
        </w:rPr>
        <w:t>.</w:t>
      </w:r>
      <w:r>
        <w:rPr>
          <w:lang w:eastAsia="en-GB"/>
        </w:rPr>
        <w:t xml:space="preserve"> </w:t>
      </w:r>
    </w:p>
    <w:p w14:paraId="72CA0D63" w14:textId="3B375156" w:rsidR="008144B4" w:rsidRDefault="008144B4" w:rsidP="008144B4">
      <w:pPr>
        <w:pStyle w:val="SingleTxtG"/>
      </w:pPr>
      <w:r>
        <w:t>6</w:t>
      </w:r>
      <w:r w:rsidR="009E12FC" w:rsidRPr="009E12FC">
        <w:t>.</w:t>
      </w:r>
      <w:r>
        <w:t>6</w:t>
      </w:r>
      <w:r w:rsidRPr="00BF7A6C">
        <w:tab/>
        <w:t>Le Comité rappelle qu</w:t>
      </w:r>
      <w:r>
        <w:t>’</w:t>
      </w:r>
      <w:r w:rsidRPr="00BF7A6C">
        <w:t>il lui appartient de déterminer si le</w:t>
      </w:r>
      <w:r>
        <w:t>s</w:t>
      </w:r>
      <w:r w:rsidRPr="00BF7A6C">
        <w:t xml:space="preserve"> requérant</w:t>
      </w:r>
      <w:r>
        <w:t>s courent</w:t>
      </w:r>
      <w:r w:rsidRPr="00BF7A6C">
        <w:t xml:space="preserve"> actuellement le risque d</w:t>
      </w:r>
      <w:r>
        <w:t>’</w:t>
      </w:r>
      <w:r w:rsidRPr="00BF7A6C">
        <w:t xml:space="preserve">être soumis à la torture, en cas de renvoi en </w:t>
      </w:r>
      <w:r>
        <w:rPr>
          <w:lang w:val="fr-FR" w:eastAsia="en-GB"/>
        </w:rPr>
        <w:t>République démocratique du Congo</w:t>
      </w:r>
      <w:r w:rsidR="009E12FC" w:rsidRPr="009E12FC">
        <w:t>.</w:t>
      </w:r>
      <w:r w:rsidRPr="00BF7A6C">
        <w:t xml:space="preserve"> Il note que le</w:t>
      </w:r>
      <w:r>
        <w:t>s</w:t>
      </w:r>
      <w:r w:rsidRPr="00BF7A6C">
        <w:t xml:space="preserve"> requérant</w:t>
      </w:r>
      <w:r>
        <w:t>s ont</w:t>
      </w:r>
      <w:r w:rsidRPr="00BF7A6C">
        <w:t xml:space="preserve"> eu la possibi</w:t>
      </w:r>
      <w:r>
        <w:t>lité d’étayer et de préciser leurs</w:t>
      </w:r>
      <w:r w:rsidRPr="00BF7A6C">
        <w:t xml:space="preserve"> griefs, au niveau national, devant l</w:t>
      </w:r>
      <w:r>
        <w:t>’</w:t>
      </w:r>
      <w:r w:rsidRPr="00BF7A6C">
        <w:t>Office fédéral des migrations, puis le Secrétariat d</w:t>
      </w:r>
      <w:r>
        <w:t>’</w:t>
      </w:r>
      <w:r w:rsidRPr="00BF7A6C">
        <w:t>État aux migrations, et devant le Tribunal administratif fédéral, mais que les éléments apportés n</w:t>
      </w:r>
      <w:r>
        <w:t>’</w:t>
      </w:r>
      <w:r w:rsidRPr="00BF7A6C">
        <w:t>ont pas permis aux autorités nationales de conclure qu</w:t>
      </w:r>
      <w:r>
        <w:t>’</w:t>
      </w:r>
      <w:r w:rsidRPr="00BF7A6C">
        <w:t>il</w:t>
      </w:r>
      <w:r>
        <w:t>s</w:t>
      </w:r>
      <w:r w:rsidRPr="00BF7A6C">
        <w:t xml:space="preserve"> risquerai</w:t>
      </w:r>
      <w:r>
        <w:t>en</w:t>
      </w:r>
      <w:r w:rsidRPr="00BF7A6C">
        <w:t xml:space="preserve">t de subir des actes de torture ou des traitements cruels, inhumains ou dégradants à </w:t>
      </w:r>
      <w:r>
        <w:t xml:space="preserve">leur retour en </w:t>
      </w:r>
      <w:r>
        <w:rPr>
          <w:lang w:val="fr-FR" w:eastAsia="en-GB"/>
        </w:rPr>
        <w:t>République démocratique du Congo</w:t>
      </w:r>
      <w:r w:rsidR="009E12FC" w:rsidRPr="009E12FC">
        <w:t>.</w:t>
      </w:r>
      <w:r>
        <w:t xml:space="preserve"> Le Comité note que, selon l’État partie, il n’y a pas de situation de guerre, de guerre civile ou de violence généralisée sur l’ensemble du territoire de la </w:t>
      </w:r>
      <w:r>
        <w:rPr>
          <w:lang w:val="fr-FR" w:eastAsia="en-GB"/>
        </w:rPr>
        <w:t>République démocratique du Congo</w:t>
      </w:r>
      <w:r>
        <w:t>, malgré des troubles locaux et épisodiques dans l’est du pays</w:t>
      </w:r>
      <w:r w:rsidR="009E12FC" w:rsidRPr="009E12FC">
        <w:t>.</w:t>
      </w:r>
      <w:r>
        <w:t xml:space="preserve"> Il note que l’État partie fait valoir que les requérants n’ont jamais spécifié ni apporté des éléments de preuve pour étayer les allégations selon lesquelles ils avaient subi des mauvais traitements</w:t>
      </w:r>
      <w:r w:rsidR="009E12FC" w:rsidRPr="009E12FC">
        <w:t>.</w:t>
      </w:r>
      <w:r>
        <w:t xml:space="preserve"> Le Comité note également que l’État partie fait valoir que le récit présenté par les requérants tant devant les instances nationales que devant le Comité </w:t>
      </w:r>
      <w:r>
        <w:lastRenderedPageBreak/>
        <w:t>concernant leurs motifs d’asile était invraisemblable, artificiel et construit, et qu’il contenait des contradictions sur des points cruciaux</w:t>
      </w:r>
      <w:r w:rsidR="009E12FC" w:rsidRPr="009E12FC">
        <w:t>.</w:t>
      </w:r>
      <w:r>
        <w:t xml:space="preserve"> À cet égard, il note également que l’État partie fait observer que les requérants ont affirmé avoir quitté la </w:t>
      </w:r>
      <w:r>
        <w:rPr>
          <w:lang w:val="fr-FR" w:eastAsia="en-GB"/>
        </w:rPr>
        <w:t>République démocratique du Congo</w:t>
      </w:r>
      <w:r>
        <w:t xml:space="preserve"> en juillet 2016 et ont pu y revenir sans être inquiétés par les autorités alors qu’ils avaient reçu une convocation de l’</w:t>
      </w:r>
      <w:r w:rsidRPr="00E16E50">
        <w:rPr>
          <w:lang w:val="fr-FR" w:eastAsia="en-GB"/>
        </w:rPr>
        <w:t>Agence nationale de renseignements</w:t>
      </w:r>
      <w:r>
        <w:rPr>
          <w:lang w:val="fr-FR" w:eastAsia="en-GB"/>
        </w:rPr>
        <w:t xml:space="preserve"> </w:t>
      </w:r>
      <w:r w:rsidRPr="00262C66">
        <w:t>datée du 10 mai 2016</w:t>
      </w:r>
      <w:r w:rsidR="009E12FC" w:rsidRPr="009E12FC">
        <w:t>.</w:t>
      </w:r>
      <w:r w:rsidRPr="00262C66">
        <w:t xml:space="preserve"> Le Comité observe que la majorité des atteintes aux droits de l</w:t>
      </w:r>
      <w:r>
        <w:t>’</w:t>
      </w:r>
      <w:r w:rsidRPr="00262C66">
        <w:t>homme ainsi que les tensions et conflits intercommunautaires générant une situation sécuritaire alarmante se concentrent majoritairement à l</w:t>
      </w:r>
      <w:r>
        <w:t>’</w:t>
      </w:r>
      <w:r w:rsidRPr="00262C66">
        <w:t>est du pays, dans les zones de conflit armé, notamment dans les provinces de l</w:t>
      </w:r>
      <w:r>
        <w:t>’</w:t>
      </w:r>
      <w:r w:rsidRPr="00262C66">
        <w:t>Ituri, du Nord-Kivu et du Sud-Kivu</w:t>
      </w:r>
      <w:r w:rsidRPr="00F13354">
        <w:rPr>
          <w:rStyle w:val="Appelnotedebasdep"/>
        </w:rPr>
        <w:footnoteReference w:id="12"/>
      </w:r>
      <w:r w:rsidR="009E12FC" w:rsidRPr="009E12FC">
        <w:t>.</w:t>
      </w:r>
      <w:r w:rsidRPr="00262C66">
        <w:t xml:space="preserve"> Il prend aussi note que les requérants étaient installés à Kinshasa et n</w:t>
      </w:r>
      <w:r>
        <w:t>’</w:t>
      </w:r>
      <w:r w:rsidRPr="00262C66">
        <w:t>ont pas prétendu, ni devant les instances nationales</w:t>
      </w:r>
      <w:r>
        <w:t xml:space="preserve"> de l’État partie ni dans la requête qu’ils ont adressée au Comité avoir pris part à des activités politiques</w:t>
      </w:r>
      <w:r w:rsidR="009E12FC" w:rsidRPr="009E12FC">
        <w:t>.</w:t>
      </w:r>
      <w:r>
        <w:t xml:space="preserve"> Le Comité observe que les requérants ont pu voyager en Afrique du Sud et retourner en </w:t>
      </w:r>
      <w:r>
        <w:rPr>
          <w:lang w:val="fr-FR" w:eastAsia="en-GB"/>
        </w:rPr>
        <w:t>République démocratique du Congo</w:t>
      </w:r>
      <w:r>
        <w:t xml:space="preserve"> après avoir entrepris des démarches pour la libération du neveu du premier requérant sans être inquiétés par les autorités à leur retour</w:t>
      </w:r>
      <w:r w:rsidR="009E12FC" w:rsidRPr="009E12FC">
        <w:t>.</w:t>
      </w:r>
      <w:r>
        <w:t xml:space="preserve"> À cet égard, le Comité note également que les requérants joignent à leur requête une convocation de l’</w:t>
      </w:r>
      <w:r w:rsidRPr="00E16E50">
        <w:rPr>
          <w:lang w:val="fr-FR" w:eastAsia="en-GB"/>
        </w:rPr>
        <w:t>Agence nationale de renseignements</w:t>
      </w:r>
      <w:r>
        <w:rPr>
          <w:lang w:val="fr-FR" w:eastAsia="en-GB"/>
        </w:rPr>
        <w:t xml:space="preserve"> </w:t>
      </w:r>
      <w:r>
        <w:t xml:space="preserve">datée du 10 mai </w:t>
      </w:r>
      <w:r w:rsidRPr="00262C66">
        <w:t>2016</w:t>
      </w:r>
      <w:r>
        <w:t xml:space="preserve"> et avaient connaissance à cette époque qu’ils étaient fichés par les services de sécurité, mais ont néanmoins pu voyager en France en juillet 2016 et retourner en </w:t>
      </w:r>
      <w:r>
        <w:rPr>
          <w:lang w:val="fr-FR" w:eastAsia="en-GB"/>
        </w:rPr>
        <w:t>République démocratique du Congo</w:t>
      </w:r>
      <w:r>
        <w:t xml:space="preserve"> sans être arrêtés</w:t>
      </w:r>
      <w:r w:rsidR="009E12FC" w:rsidRPr="009E12FC">
        <w:t>.</w:t>
      </w:r>
      <w:r>
        <w:t xml:space="preserve"> </w:t>
      </w:r>
    </w:p>
    <w:p w14:paraId="4C7086C6" w14:textId="4F36DF93" w:rsidR="008144B4" w:rsidRPr="007221E3" w:rsidRDefault="008144B4" w:rsidP="008144B4">
      <w:pPr>
        <w:pStyle w:val="SingleTxtG"/>
      </w:pPr>
      <w:r>
        <w:t>6</w:t>
      </w:r>
      <w:r w:rsidR="009E12FC" w:rsidRPr="009E12FC">
        <w:t>.</w:t>
      </w:r>
      <w:r>
        <w:t>7</w:t>
      </w:r>
      <w:r w:rsidRPr="007221E3">
        <w:tab/>
      </w:r>
      <w:r>
        <w:t>Le Comité est préoccupé par les nombreuses informations faisant état de violations des droits de l’homme, notamment du recours à la torture et aux mauvais traitements en République démocratique du Congo, mais rappelle qu’aux fins de l’article</w:t>
      </w:r>
      <w:r w:rsidR="009E12FC">
        <w:t> </w:t>
      </w:r>
      <w:r>
        <w:t>3 de la Convention, les requérants doivent courir un risque prévisible, réel et personnel d’être torturés dans le pays vers lequel ils sont renvoyés</w:t>
      </w:r>
      <w:r w:rsidR="009E12FC" w:rsidRPr="009E12FC">
        <w:t>.</w:t>
      </w:r>
      <w:r>
        <w:t xml:space="preserve"> À la lumière de ce qui précède, le Comité estime qu’un tel risque n’a pas été établi</w:t>
      </w:r>
      <w:r w:rsidR="009E12FC" w:rsidRPr="009E12FC">
        <w:t>.</w:t>
      </w:r>
      <w:r>
        <w:t xml:space="preserve"> L</w:t>
      </w:r>
      <w:r w:rsidRPr="0052373F">
        <w:t xml:space="preserve">e Comité considère </w:t>
      </w:r>
      <w:r>
        <w:t xml:space="preserve">que les documents et informations soumis par les requérants </w:t>
      </w:r>
      <w:r w:rsidRPr="002740C3">
        <w:rPr>
          <w:lang w:val="fr-FR"/>
        </w:rPr>
        <w:t>ne sont pas de nature à faire tomber le doute exprimé par les autorités de l</w:t>
      </w:r>
      <w:r>
        <w:rPr>
          <w:lang w:val="fr-FR"/>
        </w:rPr>
        <w:t>’État</w:t>
      </w:r>
      <w:r w:rsidRPr="002740C3">
        <w:rPr>
          <w:lang w:val="fr-FR"/>
        </w:rPr>
        <w:t xml:space="preserve"> partie sur l</w:t>
      </w:r>
      <w:r>
        <w:rPr>
          <w:lang w:val="fr-FR"/>
        </w:rPr>
        <w:t>eur</w:t>
      </w:r>
      <w:r w:rsidRPr="002740C3">
        <w:rPr>
          <w:lang w:val="fr-FR"/>
        </w:rPr>
        <w:t xml:space="preserve"> fiabilité </w:t>
      </w:r>
      <w:r>
        <w:rPr>
          <w:lang w:val="fr-FR"/>
        </w:rPr>
        <w:t>et</w:t>
      </w:r>
      <w:r>
        <w:t xml:space="preserve"> ne sont pas suffisant</w:t>
      </w:r>
      <w:r w:rsidRPr="0052373F">
        <w:t>s pour établir qu</w:t>
      </w:r>
      <w:r>
        <w:t>’</w:t>
      </w:r>
      <w:r w:rsidRPr="0052373F">
        <w:t>il</w:t>
      </w:r>
      <w:r>
        <w:t>s</w:t>
      </w:r>
      <w:r w:rsidRPr="0052373F">
        <w:t xml:space="preserve"> courrai</w:t>
      </w:r>
      <w:r>
        <w:t>en</w:t>
      </w:r>
      <w:r w:rsidRPr="0052373F">
        <w:t>t personnellement un risque prévisible et réel d</w:t>
      </w:r>
      <w:r>
        <w:t>’</w:t>
      </w:r>
      <w:r w:rsidRPr="0052373F">
        <w:t>être soumis à la torture s</w:t>
      </w:r>
      <w:r>
        <w:t>’</w:t>
      </w:r>
      <w:r w:rsidRPr="0052373F">
        <w:t>il</w:t>
      </w:r>
      <w:r>
        <w:t>s étaient</w:t>
      </w:r>
      <w:r w:rsidRPr="0052373F">
        <w:t xml:space="preserve"> renvoyé</w:t>
      </w:r>
      <w:r>
        <w:t>s</w:t>
      </w:r>
      <w:r w:rsidRPr="0052373F">
        <w:t xml:space="preserve"> </w:t>
      </w:r>
      <w:r>
        <w:t xml:space="preserve">en </w:t>
      </w:r>
      <w:r>
        <w:rPr>
          <w:lang w:val="fr-FR" w:eastAsia="en-GB"/>
        </w:rPr>
        <w:t>République démocratique du Congo</w:t>
      </w:r>
      <w:r w:rsidR="009E12FC" w:rsidRPr="009E12FC">
        <w:t>.</w:t>
      </w:r>
    </w:p>
    <w:p w14:paraId="29E200F9" w14:textId="5FDEA23D" w:rsidR="001D14FC" w:rsidRDefault="008144B4" w:rsidP="008144B4">
      <w:pPr>
        <w:pStyle w:val="SingleTxtG"/>
      </w:pPr>
      <w:r>
        <w:t>7</w:t>
      </w:r>
      <w:r w:rsidR="009E12FC" w:rsidRPr="009E12FC">
        <w:t>.</w:t>
      </w:r>
      <w:r w:rsidRPr="007221E3">
        <w:tab/>
      </w:r>
      <w:r w:rsidRPr="00262C66">
        <w:t>Le Comité, agissant en vertu de l</w:t>
      </w:r>
      <w:r>
        <w:t>’</w:t>
      </w:r>
      <w:r w:rsidRPr="00262C66">
        <w:t>article 22 (par</w:t>
      </w:r>
      <w:r w:rsidR="009E12FC" w:rsidRPr="009E12FC">
        <w:t>.</w:t>
      </w:r>
      <w:r w:rsidRPr="00262C66">
        <w:t xml:space="preserve"> 7) de la Convention, conclut que</w:t>
      </w:r>
      <w:r>
        <w:t xml:space="preserve"> le renvoi des</w:t>
      </w:r>
      <w:r w:rsidRPr="0052373F">
        <w:t xml:space="preserve"> requérant</w:t>
      </w:r>
      <w:r>
        <w:t>s</w:t>
      </w:r>
      <w:r w:rsidRPr="0052373F">
        <w:t xml:space="preserve"> vers l</w:t>
      </w:r>
      <w:r>
        <w:t xml:space="preserve">a </w:t>
      </w:r>
      <w:r>
        <w:rPr>
          <w:lang w:val="fr-FR" w:eastAsia="en-GB"/>
        </w:rPr>
        <w:t>République démocratique du Congo</w:t>
      </w:r>
      <w:r w:rsidRPr="0052373F">
        <w:t xml:space="preserve"> ne constituerait pas une violation par l</w:t>
      </w:r>
      <w:r>
        <w:t>’</w:t>
      </w:r>
      <w:r w:rsidRPr="0052373F">
        <w:t>État partie de l</w:t>
      </w:r>
      <w:r>
        <w:t>’</w:t>
      </w:r>
      <w:r w:rsidRPr="0052373F">
        <w:t>article 3 de la Convention</w:t>
      </w:r>
      <w:r w:rsidR="009E12FC" w:rsidRPr="009E12FC">
        <w:t>.</w:t>
      </w:r>
    </w:p>
    <w:p w14:paraId="3037EAF9" w14:textId="6C3E2F4A" w:rsidR="008144B4" w:rsidRPr="008144B4" w:rsidRDefault="008144B4" w:rsidP="008144B4">
      <w:pPr>
        <w:pStyle w:val="SingleTxtG"/>
        <w:spacing w:before="240" w:after="0"/>
        <w:jc w:val="center"/>
        <w:rPr>
          <w:u w:val="single"/>
        </w:rPr>
      </w:pPr>
      <w:r>
        <w:rPr>
          <w:u w:val="single"/>
        </w:rPr>
        <w:tab/>
      </w:r>
      <w:r>
        <w:rPr>
          <w:u w:val="single"/>
        </w:rPr>
        <w:tab/>
      </w:r>
      <w:r>
        <w:rPr>
          <w:u w:val="single"/>
        </w:rPr>
        <w:tab/>
      </w:r>
    </w:p>
    <w:sectPr w:rsidR="008144B4" w:rsidRPr="008144B4" w:rsidSect="001D46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2C8E" w14:textId="77777777" w:rsidR="00174BA3" w:rsidRPr="009C4D45" w:rsidRDefault="00174BA3" w:rsidP="009C4D45">
      <w:pPr>
        <w:pStyle w:val="Pieddepage"/>
      </w:pPr>
    </w:p>
  </w:endnote>
  <w:endnote w:type="continuationSeparator" w:id="0">
    <w:p w14:paraId="6B759045" w14:textId="77777777" w:rsidR="00174BA3" w:rsidRPr="009C4D45" w:rsidRDefault="00174BA3" w:rsidP="009C4D45">
      <w:pPr>
        <w:pStyle w:val="Pieddepage"/>
      </w:pPr>
    </w:p>
  </w:endnote>
  <w:endnote w:type="continuationNotice" w:id="1">
    <w:p w14:paraId="0165130F" w14:textId="77777777" w:rsidR="00174BA3" w:rsidRDefault="00174B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FB6C" w14:textId="1825B586" w:rsidR="001D46CC" w:rsidRPr="001D46CC" w:rsidRDefault="001D46CC" w:rsidP="001D46CC">
    <w:pPr>
      <w:pStyle w:val="Pieddepage"/>
      <w:tabs>
        <w:tab w:val="right" w:pos="9638"/>
      </w:tabs>
    </w:pPr>
    <w:r w:rsidRPr="001D46CC">
      <w:rPr>
        <w:b/>
        <w:sz w:val="18"/>
      </w:rPr>
      <w:fldChar w:fldCharType="begin"/>
    </w:r>
    <w:r w:rsidRPr="001D46CC">
      <w:rPr>
        <w:b/>
        <w:sz w:val="18"/>
      </w:rPr>
      <w:instrText xml:space="preserve"> PAGE  \* MERGEFORMAT </w:instrText>
    </w:r>
    <w:r w:rsidRPr="001D46CC">
      <w:rPr>
        <w:b/>
        <w:sz w:val="18"/>
      </w:rPr>
      <w:fldChar w:fldCharType="separate"/>
    </w:r>
    <w:r w:rsidRPr="001D46CC">
      <w:rPr>
        <w:b/>
        <w:noProof/>
        <w:sz w:val="18"/>
      </w:rPr>
      <w:t>2</w:t>
    </w:r>
    <w:r w:rsidRPr="001D46CC">
      <w:rPr>
        <w:b/>
        <w:sz w:val="18"/>
      </w:rPr>
      <w:fldChar w:fldCharType="end"/>
    </w:r>
    <w:r>
      <w:rPr>
        <w:b/>
        <w:sz w:val="18"/>
      </w:rPr>
      <w:tab/>
    </w:r>
    <w:r>
      <w:t>GE.23-01702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F8C" w14:textId="4F8FA372" w:rsidR="001D46CC" w:rsidRPr="001D46CC" w:rsidRDefault="001D46CC" w:rsidP="001D46CC">
    <w:pPr>
      <w:pStyle w:val="Pieddepage"/>
      <w:tabs>
        <w:tab w:val="right" w:pos="9638"/>
      </w:tabs>
      <w:rPr>
        <w:b/>
        <w:sz w:val="18"/>
      </w:rPr>
    </w:pPr>
    <w:r>
      <w:t>GE.23-01702</w:t>
    </w:r>
    <w:r>
      <w:tab/>
    </w:r>
    <w:r w:rsidRPr="001D46CC">
      <w:rPr>
        <w:b/>
        <w:sz w:val="18"/>
      </w:rPr>
      <w:fldChar w:fldCharType="begin"/>
    </w:r>
    <w:r w:rsidRPr="001D46CC">
      <w:rPr>
        <w:b/>
        <w:sz w:val="18"/>
      </w:rPr>
      <w:instrText xml:space="preserve"> PAGE  \* MERGEFORMAT </w:instrText>
    </w:r>
    <w:r w:rsidRPr="001D46CC">
      <w:rPr>
        <w:b/>
        <w:sz w:val="18"/>
      </w:rPr>
      <w:fldChar w:fldCharType="separate"/>
    </w:r>
    <w:r w:rsidRPr="001D46CC">
      <w:rPr>
        <w:b/>
        <w:noProof/>
        <w:sz w:val="18"/>
      </w:rPr>
      <w:t>3</w:t>
    </w:r>
    <w:r w:rsidRPr="001D4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BADE" w14:textId="6FDB5301" w:rsidR="00621144" w:rsidRPr="001D46CC" w:rsidRDefault="001D46CC" w:rsidP="001D46CC">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46C8CCB" wp14:editId="236F62C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23-01702  (F)</w:t>
    </w:r>
    <w:r>
      <w:rPr>
        <w:noProof/>
        <w:sz w:val="20"/>
      </w:rPr>
      <w:drawing>
        <wp:anchor distT="0" distB="0" distL="114300" distR="114300" simplePos="0" relativeHeight="251660288" behindDoc="0" locked="0" layoutInCell="1" allowOverlap="1" wp14:anchorId="63D974AD" wp14:editId="376790A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160223    160223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95D6" w14:textId="77777777" w:rsidR="00174BA3" w:rsidRPr="009C4D45" w:rsidRDefault="00174BA3" w:rsidP="009C4D45">
      <w:pPr>
        <w:pStyle w:val="Pieddepage"/>
        <w:tabs>
          <w:tab w:val="right" w:pos="2155"/>
        </w:tabs>
        <w:spacing w:after="80" w:line="240" w:lineRule="atLeast"/>
        <w:ind w:left="680"/>
        <w:rPr>
          <w:u w:val="single"/>
        </w:rPr>
      </w:pPr>
      <w:r>
        <w:rPr>
          <w:u w:val="single"/>
        </w:rPr>
        <w:tab/>
      </w:r>
    </w:p>
  </w:footnote>
  <w:footnote w:type="continuationSeparator" w:id="0">
    <w:p w14:paraId="60F08E6C" w14:textId="77777777" w:rsidR="00174BA3" w:rsidRPr="00035AE4" w:rsidRDefault="00174BA3" w:rsidP="00035AE4">
      <w:pPr>
        <w:pStyle w:val="Pieddepage"/>
        <w:tabs>
          <w:tab w:val="right" w:pos="2155"/>
        </w:tabs>
        <w:spacing w:after="80" w:line="240" w:lineRule="atLeast"/>
        <w:ind w:left="680"/>
        <w:rPr>
          <w:u w:val="single"/>
        </w:rPr>
      </w:pPr>
      <w:r>
        <w:rPr>
          <w:u w:val="single"/>
        </w:rPr>
        <w:tab/>
      </w:r>
    </w:p>
  </w:footnote>
  <w:footnote w:type="continuationNotice" w:id="1">
    <w:p w14:paraId="6C6804E8" w14:textId="77777777" w:rsidR="00174BA3" w:rsidRPr="00035AE4" w:rsidRDefault="00174BA3">
      <w:pPr>
        <w:spacing w:line="240" w:lineRule="auto"/>
        <w:rPr>
          <w:sz w:val="2"/>
          <w:szCs w:val="2"/>
        </w:rPr>
      </w:pPr>
    </w:p>
  </w:footnote>
  <w:footnote w:id="2">
    <w:p w14:paraId="5D3140C0" w14:textId="38C91CBE" w:rsidR="008144B4" w:rsidRPr="00262C66" w:rsidRDefault="008144B4" w:rsidP="008144B4">
      <w:pPr>
        <w:pStyle w:val="Notedebasdepage"/>
        <w:rPr>
          <w:lang w:val="fr-FR"/>
        </w:rPr>
      </w:pPr>
      <w:r w:rsidRPr="00F13354">
        <w:rPr>
          <w:rStyle w:val="Appelnotedebasdep"/>
          <w:sz w:val="20"/>
          <w:vertAlign w:val="baseline"/>
          <w:lang w:val="fr-FR"/>
        </w:rPr>
        <w:tab/>
        <w:t>*</w:t>
      </w:r>
      <w:r w:rsidRPr="00F13354">
        <w:rPr>
          <w:rStyle w:val="Appelnotedebasdep"/>
          <w:sz w:val="20"/>
          <w:vertAlign w:val="baseline"/>
          <w:lang w:val="fr-FR"/>
        </w:rPr>
        <w:tab/>
      </w:r>
      <w:r w:rsidRPr="00262C66">
        <w:rPr>
          <w:lang w:val="fr-FR"/>
        </w:rPr>
        <w:t xml:space="preserve">Adoptée par le Comité </w:t>
      </w:r>
      <w:r w:rsidRPr="0080062C">
        <w:rPr>
          <w:lang w:val="fr-FR"/>
        </w:rPr>
        <w:t xml:space="preserve">à </w:t>
      </w:r>
      <w:r w:rsidRPr="00262C66">
        <w:rPr>
          <w:lang w:val="fr-FR"/>
        </w:rPr>
        <w:t>sa soixante-quinzième session (31 octobre-25 novembre 2022)</w:t>
      </w:r>
      <w:r w:rsidR="009E12FC" w:rsidRPr="009E12FC">
        <w:rPr>
          <w:lang w:val="fr-FR"/>
        </w:rPr>
        <w:t>.</w:t>
      </w:r>
    </w:p>
  </w:footnote>
  <w:footnote w:id="3">
    <w:p w14:paraId="458DF29F" w14:textId="0B88BD25" w:rsidR="008144B4" w:rsidRDefault="008144B4" w:rsidP="008144B4">
      <w:pPr>
        <w:pStyle w:val="Notedebasdepage"/>
        <w:rPr>
          <w:szCs w:val="18"/>
          <w:lang w:val="fr-FR"/>
        </w:rPr>
      </w:pPr>
      <w:r w:rsidRPr="00F13354">
        <w:rPr>
          <w:rStyle w:val="Appelnotedebasdep"/>
          <w:sz w:val="20"/>
          <w:vertAlign w:val="baseline"/>
          <w:lang w:val="fr-FR"/>
        </w:rPr>
        <w:tab/>
        <w:t>**</w:t>
      </w:r>
      <w:r w:rsidRPr="00F13354">
        <w:rPr>
          <w:rStyle w:val="Appelnotedebasdep"/>
          <w:sz w:val="20"/>
          <w:vertAlign w:val="baseline"/>
          <w:lang w:val="fr-FR"/>
        </w:rPr>
        <w:tab/>
      </w:r>
      <w:r w:rsidRPr="00262C66">
        <w:rPr>
          <w:szCs w:val="18"/>
          <w:lang w:val="fr-FR"/>
        </w:rPr>
        <w:t>Les membres suivants du Comité ont participé à l</w:t>
      </w:r>
      <w:r>
        <w:rPr>
          <w:szCs w:val="18"/>
          <w:lang w:val="fr-FR"/>
        </w:rPr>
        <w:t>’</w:t>
      </w:r>
      <w:r w:rsidRPr="00262C66">
        <w:rPr>
          <w:szCs w:val="18"/>
          <w:lang w:val="fr-FR"/>
        </w:rPr>
        <w:t xml:space="preserve">examen de la communication : Todd </w:t>
      </w:r>
      <w:proofErr w:type="spellStart"/>
      <w:r w:rsidRPr="00262C66">
        <w:rPr>
          <w:szCs w:val="18"/>
          <w:lang w:val="fr-FR"/>
        </w:rPr>
        <w:t>Buchwald</w:t>
      </w:r>
      <w:proofErr w:type="spellEnd"/>
      <w:r w:rsidRPr="00262C66">
        <w:rPr>
          <w:szCs w:val="18"/>
          <w:lang w:val="fr-FR"/>
        </w:rPr>
        <w:t xml:space="preserve">, Claude Heller, Erdogan </w:t>
      </w:r>
      <w:proofErr w:type="spellStart"/>
      <w:r w:rsidRPr="00262C66">
        <w:rPr>
          <w:szCs w:val="18"/>
          <w:lang w:val="fr-FR"/>
        </w:rPr>
        <w:t>Iscan</w:t>
      </w:r>
      <w:proofErr w:type="spellEnd"/>
      <w:r w:rsidRPr="00262C66">
        <w:rPr>
          <w:szCs w:val="18"/>
          <w:lang w:val="fr-FR"/>
        </w:rPr>
        <w:t xml:space="preserve">, Liu </w:t>
      </w:r>
      <w:proofErr w:type="spellStart"/>
      <w:r w:rsidRPr="00262C66">
        <w:rPr>
          <w:szCs w:val="18"/>
          <w:lang w:val="fr-FR"/>
        </w:rPr>
        <w:t>Huawen</w:t>
      </w:r>
      <w:proofErr w:type="spellEnd"/>
      <w:r w:rsidRPr="00262C66">
        <w:rPr>
          <w:szCs w:val="18"/>
          <w:lang w:val="fr-FR"/>
        </w:rPr>
        <w:t xml:space="preserve">, Maeda Naoko, </w:t>
      </w:r>
      <w:proofErr w:type="spellStart"/>
      <w:r w:rsidRPr="00262C66">
        <w:rPr>
          <w:szCs w:val="18"/>
          <w:lang w:val="fr-FR"/>
        </w:rPr>
        <w:t>Ilvija</w:t>
      </w:r>
      <w:proofErr w:type="spellEnd"/>
      <w:r w:rsidRPr="00262C66">
        <w:rPr>
          <w:szCs w:val="18"/>
          <w:lang w:val="fr-FR"/>
        </w:rPr>
        <w:t xml:space="preserve"> P</w:t>
      </w:r>
      <w:r w:rsidRPr="00262C66">
        <w:rPr>
          <w:snapToGrid w:val="0"/>
          <w:szCs w:val="24"/>
        </w:rPr>
        <w:t>ū</w:t>
      </w:r>
      <w:r w:rsidRPr="00262C66">
        <w:rPr>
          <w:szCs w:val="18"/>
          <w:lang w:val="fr-FR"/>
        </w:rPr>
        <w:t xml:space="preserve">ce, Ana </w:t>
      </w:r>
      <w:proofErr w:type="spellStart"/>
      <w:r w:rsidRPr="00262C66">
        <w:rPr>
          <w:szCs w:val="18"/>
          <w:lang w:val="fr-FR"/>
        </w:rPr>
        <w:t>Racu</w:t>
      </w:r>
      <w:proofErr w:type="spellEnd"/>
      <w:r w:rsidRPr="00262C66">
        <w:rPr>
          <w:szCs w:val="18"/>
          <w:lang w:val="fr-FR"/>
        </w:rPr>
        <w:t xml:space="preserve">, Abderrazak </w:t>
      </w:r>
      <w:proofErr w:type="spellStart"/>
      <w:r w:rsidRPr="00262C66">
        <w:rPr>
          <w:szCs w:val="18"/>
          <w:lang w:val="fr-FR"/>
        </w:rPr>
        <w:t>Rouwane</w:t>
      </w:r>
      <w:proofErr w:type="spellEnd"/>
      <w:r w:rsidRPr="00262C66">
        <w:rPr>
          <w:szCs w:val="18"/>
          <w:lang w:val="fr-FR"/>
        </w:rPr>
        <w:t xml:space="preserve">, Sébastien </w:t>
      </w:r>
      <w:proofErr w:type="spellStart"/>
      <w:r w:rsidRPr="00262C66">
        <w:rPr>
          <w:szCs w:val="18"/>
          <w:lang w:val="fr-FR"/>
        </w:rPr>
        <w:t>Touzé</w:t>
      </w:r>
      <w:proofErr w:type="spellEnd"/>
      <w:r w:rsidRPr="00262C66">
        <w:rPr>
          <w:szCs w:val="18"/>
          <w:lang w:val="fr-FR"/>
        </w:rPr>
        <w:t xml:space="preserve"> et </w:t>
      </w:r>
      <w:proofErr w:type="spellStart"/>
      <w:r w:rsidRPr="00262C66">
        <w:rPr>
          <w:szCs w:val="18"/>
          <w:lang w:val="fr-FR"/>
        </w:rPr>
        <w:t>Bakhtiyar</w:t>
      </w:r>
      <w:proofErr w:type="spellEnd"/>
      <w:r w:rsidRPr="00262C66">
        <w:rPr>
          <w:szCs w:val="18"/>
          <w:lang w:val="fr-FR"/>
        </w:rPr>
        <w:t xml:space="preserve"> </w:t>
      </w:r>
      <w:proofErr w:type="spellStart"/>
      <w:r w:rsidRPr="00262C66">
        <w:rPr>
          <w:szCs w:val="18"/>
          <w:lang w:val="fr-FR"/>
        </w:rPr>
        <w:t>Tuzmukhamedov</w:t>
      </w:r>
      <w:proofErr w:type="spellEnd"/>
      <w:r w:rsidR="009E12FC" w:rsidRPr="009E12FC">
        <w:rPr>
          <w:szCs w:val="18"/>
          <w:lang w:val="fr-FR"/>
        </w:rPr>
        <w:t>.</w:t>
      </w:r>
    </w:p>
    <w:p w14:paraId="5C744B89" w14:textId="77777777" w:rsidR="00602800" w:rsidRPr="00262C66" w:rsidRDefault="00602800" w:rsidP="008144B4">
      <w:pPr>
        <w:pStyle w:val="Notedebasdepage"/>
        <w:rPr>
          <w:lang w:val="fr-FR"/>
        </w:rPr>
      </w:pPr>
    </w:p>
  </w:footnote>
  <w:footnote w:id="4">
    <w:p w14:paraId="71A194AD" w14:textId="669DA898" w:rsidR="008144B4" w:rsidRPr="00262C66" w:rsidRDefault="008144B4" w:rsidP="008144B4">
      <w:pPr>
        <w:pStyle w:val="Notedebasdepage"/>
        <w:rPr>
          <w:szCs w:val="18"/>
          <w:lang w:val="fr-FR"/>
        </w:rPr>
      </w:pPr>
      <w:r w:rsidRPr="00634EE5">
        <w:rPr>
          <w:szCs w:val="18"/>
          <w:lang w:val="fr-FR"/>
        </w:rPr>
        <w:tab/>
      </w:r>
      <w:r w:rsidRPr="00F13354">
        <w:rPr>
          <w:rStyle w:val="Appelnotedebasdep"/>
        </w:rPr>
        <w:footnoteRef/>
      </w:r>
      <w:r w:rsidRPr="00634EE5">
        <w:rPr>
          <w:szCs w:val="18"/>
          <w:lang w:val="fr-FR"/>
        </w:rPr>
        <w:tab/>
      </w:r>
      <w:r w:rsidRPr="00262C66">
        <w:rPr>
          <w:szCs w:val="18"/>
          <w:lang w:val="fr-FR"/>
        </w:rPr>
        <w:t xml:space="preserve">Voir, par exemple, </w:t>
      </w:r>
      <w:r w:rsidRPr="00262C66">
        <w:rPr>
          <w:i/>
          <w:szCs w:val="18"/>
          <w:lang w:val="fr-FR"/>
        </w:rPr>
        <w:t>E</w:t>
      </w:r>
      <w:r w:rsidR="009E12FC" w:rsidRPr="009E12FC">
        <w:rPr>
          <w:i/>
          <w:szCs w:val="18"/>
          <w:lang w:val="fr-FR"/>
        </w:rPr>
        <w:t>.</w:t>
      </w:r>
      <w:r w:rsidRPr="00262C66">
        <w:rPr>
          <w:i/>
          <w:szCs w:val="18"/>
          <w:lang w:val="fr-FR"/>
        </w:rPr>
        <w:t> Y</w:t>
      </w:r>
      <w:r w:rsidR="009E12FC" w:rsidRPr="009E12FC">
        <w:rPr>
          <w:i/>
          <w:szCs w:val="18"/>
          <w:lang w:val="fr-FR"/>
        </w:rPr>
        <w:t>.</w:t>
      </w:r>
      <w:r w:rsidRPr="00262C66">
        <w:rPr>
          <w:i/>
          <w:szCs w:val="18"/>
          <w:lang w:val="fr-FR"/>
        </w:rPr>
        <w:t xml:space="preserve"> c</w:t>
      </w:r>
      <w:r w:rsidR="009E12FC" w:rsidRPr="009E12FC">
        <w:rPr>
          <w:i/>
          <w:szCs w:val="18"/>
          <w:lang w:val="fr-FR"/>
        </w:rPr>
        <w:t>.</w:t>
      </w:r>
      <w:r w:rsidRPr="00262C66">
        <w:rPr>
          <w:i/>
          <w:szCs w:val="18"/>
          <w:lang w:val="fr-FR"/>
        </w:rPr>
        <w:t xml:space="preserve"> Canada</w:t>
      </w:r>
      <w:r w:rsidRPr="00262C66">
        <w:rPr>
          <w:szCs w:val="18"/>
          <w:lang w:val="fr-FR"/>
        </w:rPr>
        <w:t xml:space="preserve"> (</w:t>
      </w:r>
      <w:hyperlink r:id="rId1" w:history="1">
        <w:r w:rsidRPr="00F13354">
          <w:rPr>
            <w:rStyle w:val="Lienhypertexte"/>
            <w:szCs w:val="18"/>
            <w:lang w:val="fr-FR"/>
          </w:rPr>
          <w:t>CAT/C/43/D/307/2006/Rev</w:t>
        </w:r>
        <w:r w:rsidR="009E12FC" w:rsidRPr="009E12FC">
          <w:rPr>
            <w:rStyle w:val="Lienhypertexte"/>
            <w:szCs w:val="18"/>
            <w:lang w:val="fr-FR"/>
          </w:rPr>
          <w:t>.</w:t>
        </w:r>
        <w:r w:rsidRPr="00F13354">
          <w:rPr>
            <w:rStyle w:val="Lienhypertexte"/>
            <w:szCs w:val="18"/>
            <w:lang w:val="fr-FR"/>
          </w:rPr>
          <w:t>1</w:t>
        </w:r>
      </w:hyperlink>
      <w:r w:rsidRPr="00262C66">
        <w:rPr>
          <w:szCs w:val="18"/>
          <w:lang w:val="fr-FR"/>
        </w:rPr>
        <w:t>), par</w:t>
      </w:r>
      <w:r w:rsidR="009E12FC" w:rsidRPr="009E12FC">
        <w:rPr>
          <w:szCs w:val="18"/>
          <w:lang w:val="fr-FR"/>
        </w:rPr>
        <w:t>.</w:t>
      </w:r>
      <w:r w:rsidRPr="00262C66">
        <w:rPr>
          <w:szCs w:val="18"/>
          <w:lang w:val="fr-FR"/>
        </w:rPr>
        <w:t> 9</w:t>
      </w:r>
      <w:r w:rsidR="009E12FC" w:rsidRPr="009E12FC">
        <w:rPr>
          <w:szCs w:val="18"/>
          <w:lang w:val="fr-FR"/>
        </w:rPr>
        <w:t>.</w:t>
      </w:r>
      <w:r w:rsidRPr="00262C66">
        <w:rPr>
          <w:szCs w:val="18"/>
          <w:lang w:val="fr-FR"/>
        </w:rPr>
        <w:t>2</w:t>
      </w:r>
      <w:r w:rsidR="009E12FC" w:rsidRPr="009E12FC">
        <w:rPr>
          <w:szCs w:val="18"/>
          <w:lang w:val="fr-FR"/>
        </w:rPr>
        <w:t>.</w:t>
      </w:r>
      <w:r w:rsidR="009E12FC">
        <w:rPr>
          <w:szCs w:val="18"/>
          <w:lang w:val="fr-FR"/>
        </w:rPr>
        <w:t xml:space="preserve"> </w:t>
      </w:r>
      <w:r w:rsidRPr="009B747C">
        <w:rPr>
          <w:szCs w:val="18"/>
          <w:lang w:val="fr-FR"/>
        </w:rPr>
        <w:t>V</w:t>
      </w:r>
      <w:r w:rsidRPr="00262C66">
        <w:rPr>
          <w:szCs w:val="18"/>
          <w:lang w:val="fr-FR"/>
        </w:rPr>
        <w:t>oir aussi Comité contre la torture, observation générale n</w:t>
      </w:r>
      <w:r w:rsidRPr="00262C66">
        <w:rPr>
          <w:szCs w:val="18"/>
          <w:vertAlign w:val="superscript"/>
          <w:lang w:val="fr-FR"/>
        </w:rPr>
        <w:t>o</w:t>
      </w:r>
      <w:r w:rsidRPr="00262C66">
        <w:rPr>
          <w:szCs w:val="18"/>
          <w:lang w:val="fr-FR"/>
        </w:rPr>
        <w:t> 4 (2017), par</w:t>
      </w:r>
      <w:r w:rsidR="009E12FC" w:rsidRPr="009E12FC">
        <w:rPr>
          <w:szCs w:val="18"/>
          <w:lang w:val="fr-FR"/>
        </w:rPr>
        <w:t>.</w:t>
      </w:r>
      <w:r w:rsidRPr="00262C66">
        <w:rPr>
          <w:szCs w:val="18"/>
          <w:lang w:val="fr-FR"/>
        </w:rPr>
        <w:t> 34</w:t>
      </w:r>
      <w:r w:rsidR="009E12FC" w:rsidRPr="009E12FC">
        <w:rPr>
          <w:szCs w:val="18"/>
          <w:lang w:val="fr-FR"/>
        </w:rPr>
        <w:t>.</w:t>
      </w:r>
    </w:p>
  </w:footnote>
  <w:footnote w:id="5">
    <w:p w14:paraId="5ED1A5A9" w14:textId="06EA07E1" w:rsidR="008144B4" w:rsidRPr="00262C66" w:rsidRDefault="008144B4" w:rsidP="008144B4">
      <w:pPr>
        <w:pStyle w:val="Notedebasdepage"/>
      </w:pPr>
      <w:r w:rsidRPr="00262C66">
        <w:rPr>
          <w:lang w:val="fr-FR"/>
        </w:rPr>
        <w:tab/>
      </w:r>
      <w:r w:rsidRPr="00F13354">
        <w:rPr>
          <w:rStyle w:val="Appelnotedebasdep"/>
        </w:rPr>
        <w:footnoteRef/>
      </w:r>
      <w:r w:rsidRPr="00262C66">
        <w:tab/>
      </w:r>
      <w:proofErr w:type="spellStart"/>
      <w:r w:rsidRPr="00262C66">
        <w:rPr>
          <w:i/>
        </w:rPr>
        <w:t>Asfari</w:t>
      </w:r>
      <w:proofErr w:type="spellEnd"/>
      <w:r w:rsidRPr="00262C66">
        <w:rPr>
          <w:i/>
        </w:rPr>
        <w:t xml:space="preserve"> c</w:t>
      </w:r>
      <w:r w:rsidR="009E12FC" w:rsidRPr="009E12FC">
        <w:rPr>
          <w:i/>
        </w:rPr>
        <w:t>.</w:t>
      </w:r>
      <w:r w:rsidRPr="00262C66">
        <w:rPr>
          <w:i/>
        </w:rPr>
        <w:t xml:space="preserve"> Maroc</w:t>
      </w:r>
      <w:r w:rsidRPr="00262C66">
        <w:t xml:space="preserve"> (</w:t>
      </w:r>
      <w:hyperlink r:id="rId2" w:history="1">
        <w:r w:rsidRPr="00F13354">
          <w:rPr>
            <w:rStyle w:val="Lienhypertexte"/>
          </w:rPr>
          <w:t>CAT/C/59/D/606/2014</w:t>
        </w:r>
      </w:hyperlink>
      <w:r w:rsidRPr="00262C66">
        <w:t>), par</w:t>
      </w:r>
      <w:r w:rsidR="009E12FC" w:rsidRPr="009E12FC">
        <w:t>.</w:t>
      </w:r>
      <w:r w:rsidRPr="00262C66">
        <w:t> 8</w:t>
      </w:r>
      <w:r w:rsidR="009E12FC" w:rsidRPr="009E12FC">
        <w:t>.</w:t>
      </w:r>
      <w:r w:rsidRPr="00262C66">
        <w:t>1, 8</w:t>
      </w:r>
      <w:r w:rsidR="009E12FC" w:rsidRPr="009E12FC">
        <w:t>.</w:t>
      </w:r>
      <w:r w:rsidRPr="00262C66">
        <w:t>2 et 12</w:t>
      </w:r>
      <w:r w:rsidR="009E12FC" w:rsidRPr="009E12FC">
        <w:t>.</w:t>
      </w:r>
      <w:r w:rsidRPr="00262C66">
        <w:t>2</w:t>
      </w:r>
      <w:r w:rsidR="009E12FC" w:rsidRPr="009E12FC">
        <w:t>.</w:t>
      </w:r>
    </w:p>
  </w:footnote>
  <w:footnote w:id="6">
    <w:p w14:paraId="2BCD2521" w14:textId="4A874ACE" w:rsidR="008144B4" w:rsidRPr="00262C66" w:rsidRDefault="008144B4" w:rsidP="008144B4">
      <w:pPr>
        <w:pStyle w:val="Notedebasdepage"/>
        <w:rPr>
          <w:lang w:val="fr-FR"/>
        </w:rPr>
      </w:pPr>
      <w:r w:rsidRPr="00262C66">
        <w:rPr>
          <w:lang w:val="fr-FR"/>
        </w:rPr>
        <w:tab/>
      </w:r>
      <w:r w:rsidRPr="00F13354">
        <w:rPr>
          <w:rStyle w:val="Appelnotedebasdep"/>
        </w:rPr>
        <w:footnoteRef/>
      </w:r>
      <w:r w:rsidRPr="00262C66">
        <w:tab/>
        <w:t xml:space="preserve">Comité contre la torture, </w:t>
      </w:r>
      <w:proofErr w:type="spellStart"/>
      <w:r w:rsidRPr="00262C66">
        <w:t>obs</w:t>
      </w:r>
      <w:r w:rsidRPr="00262C66">
        <w:rPr>
          <w:lang w:val="fr-FR"/>
        </w:rPr>
        <w:t>ervation</w:t>
      </w:r>
      <w:proofErr w:type="spellEnd"/>
      <w:r w:rsidRPr="00262C66">
        <w:rPr>
          <w:lang w:val="fr-FR"/>
        </w:rPr>
        <w:t xml:space="preserve"> générale n</w:t>
      </w:r>
      <w:r w:rsidRPr="00262C66">
        <w:rPr>
          <w:vertAlign w:val="superscript"/>
          <w:lang w:val="fr-FR"/>
        </w:rPr>
        <w:t>o</w:t>
      </w:r>
      <w:r w:rsidRPr="00262C66">
        <w:rPr>
          <w:lang w:val="fr-FR"/>
        </w:rPr>
        <w:t> 2 (2007), par</w:t>
      </w:r>
      <w:r w:rsidR="009E12FC" w:rsidRPr="009E12FC">
        <w:rPr>
          <w:lang w:val="fr-FR"/>
        </w:rPr>
        <w:t>.</w:t>
      </w:r>
      <w:r w:rsidRPr="00262C66">
        <w:rPr>
          <w:lang w:val="fr-FR"/>
        </w:rPr>
        <w:t xml:space="preserve"> 5</w:t>
      </w:r>
      <w:r w:rsidR="009E12FC" w:rsidRPr="009E12FC">
        <w:rPr>
          <w:lang w:val="fr-FR"/>
        </w:rPr>
        <w:t>.</w:t>
      </w:r>
      <w:r w:rsidRPr="00262C66">
        <w:rPr>
          <w:lang w:val="fr-FR"/>
        </w:rPr>
        <w:t xml:space="preserve"> </w:t>
      </w:r>
    </w:p>
  </w:footnote>
  <w:footnote w:id="7">
    <w:p w14:paraId="78162991" w14:textId="1D94C0DA" w:rsidR="008144B4" w:rsidRPr="00262C66" w:rsidRDefault="008144B4" w:rsidP="008144B4">
      <w:pPr>
        <w:pStyle w:val="Notedebasdepage"/>
        <w:rPr>
          <w:lang w:val="fr-FR"/>
        </w:rPr>
      </w:pPr>
      <w:r w:rsidRPr="00262C66">
        <w:rPr>
          <w:lang w:val="fr-FR"/>
        </w:rPr>
        <w:tab/>
      </w:r>
      <w:r w:rsidRPr="00F13354">
        <w:rPr>
          <w:rStyle w:val="Appelnotedebasdep"/>
        </w:rPr>
        <w:footnoteRef/>
      </w:r>
      <w:r w:rsidRPr="00262C66">
        <w:rPr>
          <w:lang w:val="fr-FR"/>
        </w:rPr>
        <w:tab/>
      </w:r>
      <w:proofErr w:type="spellStart"/>
      <w:r w:rsidRPr="00262C66">
        <w:rPr>
          <w:i/>
          <w:lang w:val="fr-FR"/>
        </w:rPr>
        <w:t>Alhaj</w:t>
      </w:r>
      <w:proofErr w:type="spellEnd"/>
      <w:r w:rsidRPr="00262C66">
        <w:rPr>
          <w:i/>
          <w:lang w:val="fr-FR"/>
        </w:rPr>
        <w:t xml:space="preserve"> Ali c</w:t>
      </w:r>
      <w:r w:rsidR="009E12FC" w:rsidRPr="009E12FC">
        <w:rPr>
          <w:i/>
          <w:lang w:val="fr-FR"/>
        </w:rPr>
        <w:t>.</w:t>
      </w:r>
      <w:r w:rsidRPr="00262C66">
        <w:rPr>
          <w:i/>
          <w:lang w:val="fr-FR"/>
        </w:rPr>
        <w:t xml:space="preserve"> Maroc</w:t>
      </w:r>
      <w:r w:rsidRPr="00262C66">
        <w:rPr>
          <w:lang w:val="fr-FR"/>
        </w:rPr>
        <w:t xml:space="preserve"> (</w:t>
      </w:r>
      <w:hyperlink r:id="rId3" w:history="1">
        <w:r w:rsidRPr="00F13354">
          <w:rPr>
            <w:rStyle w:val="Lienhypertexte"/>
            <w:lang w:val="fr-FR"/>
          </w:rPr>
          <w:t>CAT/C/58/D/682/2015</w:t>
        </w:r>
      </w:hyperlink>
      <w:r w:rsidRPr="00262C66">
        <w:rPr>
          <w:lang w:val="fr-FR"/>
        </w:rPr>
        <w:t>), par</w:t>
      </w:r>
      <w:r w:rsidR="009E12FC" w:rsidRPr="009E12FC">
        <w:rPr>
          <w:lang w:val="fr-FR"/>
        </w:rPr>
        <w:t>.</w:t>
      </w:r>
      <w:r w:rsidRPr="00262C66">
        <w:rPr>
          <w:lang w:val="fr-FR"/>
        </w:rPr>
        <w:t xml:space="preserve"> 8</w:t>
      </w:r>
      <w:r w:rsidR="009E12FC" w:rsidRPr="009E12FC">
        <w:rPr>
          <w:lang w:val="fr-FR"/>
        </w:rPr>
        <w:t>.</w:t>
      </w:r>
      <w:r w:rsidRPr="00262C66">
        <w:rPr>
          <w:lang w:val="fr-FR"/>
        </w:rPr>
        <w:t xml:space="preserve">3 ; </w:t>
      </w:r>
      <w:r w:rsidRPr="00262C66">
        <w:rPr>
          <w:i/>
          <w:lang w:val="fr-FR"/>
        </w:rPr>
        <w:t>R</w:t>
      </w:r>
      <w:r w:rsidR="009E12FC" w:rsidRPr="009E12FC">
        <w:rPr>
          <w:i/>
          <w:lang w:val="fr-FR"/>
        </w:rPr>
        <w:t>.</w:t>
      </w:r>
      <w:r w:rsidRPr="00262C66">
        <w:rPr>
          <w:i/>
          <w:lang w:val="fr-FR"/>
        </w:rPr>
        <w:t xml:space="preserve"> A</w:t>
      </w:r>
      <w:r w:rsidR="009E12FC" w:rsidRPr="009E12FC">
        <w:rPr>
          <w:i/>
          <w:lang w:val="fr-FR"/>
        </w:rPr>
        <w:t>.</w:t>
      </w:r>
      <w:r w:rsidRPr="00262C66">
        <w:rPr>
          <w:i/>
          <w:lang w:val="fr-FR"/>
        </w:rPr>
        <w:t xml:space="preserve"> Y</w:t>
      </w:r>
      <w:r w:rsidR="009E12FC" w:rsidRPr="009E12FC">
        <w:rPr>
          <w:i/>
          <w:lang w:val="fr-FR"/>
        </w:rPr>
        <w:t>.</w:t>
      </w:r>
      <w:r w:rsidRPr="00262C66">
        <w:rPr>
          <w:i/>
          <w:lang w:val="fr-FR"/>
        </w:rPr>
        <w:t xml:space="preserve"> c</w:t>
      </w:r>
      <w:r w:rsidR="009E12FC" w:rsidRPr="009E12FC">
        <w:rPr>
          <w:i/>
          <w:lang w:val="fr-FR"/>
        </w:rPr>
        <w:t>.</w:t>
      </w:r>
      <w:r w:rsidRPr="00262C66">
        <w:rPr>
          <w:i/>
          <w:lang w:val="fr-FR"/>
        </w:rPr>
        <w:t xml:space="preserve"> Maroc </w:t>
      </w:r>
      <w:r w:rsidRPr="00262C66">
        <w:rPr>
          <w:lang w:val="fr-FR"/>
        </w:rPr>
        <w:t>(</w:t>
      </w:r>
      <w:hyperlink r:id="rId4" w:history="1">
        <w:r w:rsidRPr="00F13354">
          <w:rPr>
            <w:rStyle w:val="Lienhypertexte"/>
            <w:lang w:val="fr-FR"/>
          </w:rPr>
          <w:t>CAT/C/52/D/525/2012</w:t>
        </w:r>
      </w:hyperlink>
      <w:r w:rsidRPr="00262C66">
        <w:rPr>
          <w:lang w:val="fr-FR"/>
        </w:rPr>
        <w:t>), par</w:t>
      </w:r>
      <w:r w:rsidR="009E12FC" w:rsidRPr="009E12FC">
        <w:rPr>
          <w:lang w:val="fr-FR"/>
        </w:rPr>
        <w:t>.</w:t>
      </w:r>
      <w:r w:rsidRPr="00262C66">
        <w:rPr>
          <w:lang w:val="fr-FR"/>
        </w:rPr>
        <w:t xml:space="preserve"> 7</w:t>
      </w:r>
      <w:r w:rsidR="009E12FC" w:rsidRPr="009E12FC">
        <w:rPr>
          <w:lang w:val="fr-FR"/>
        </w:rPr>
        <w:t>.</w:t>
      </w:r>
      <w:r w:rsidRPr="00262C66">
        <w:rPr>
          <w:lang w:val="fr-FR"/>
        </w:rPr>
        <w:t xml:space="preserve">2 ; </w:t>
      </w:r>
      <w:r w:rsidRPr="00262C66">
        <w:rPr>
          <w:i/>
          <w:lang w:val="fr-FR"/>
        </w:rPr>
        <w:t>L</w:t>
      </w:r>
      <w:r w:rsidR="009E12FC" w:rsidRPr="009E12FC">
        <w:rPr>
          <w:i/>
          <w:lang w:val="fr-FR"/>
        </w:rPr>
        <w:t>.</w:t>
      </w:r>
      <w:r w:rsidRPr="00262C66">
        <w:rPr>
          <w:i/>
          <w:lang w:val="fr-FR"/>
        </w:rPr>
        <w:t> M</w:t>
      </w:r>
      <w:r w:rsidR="009E12FC" w:rsidRPr="009E12FC">
        <w:rPr>
          <w:i/>
          <w:lang w:val="fr-FR"/>
        </w:rPr>
        <w:t>.</w:t>
      </w:r>
      <w:r w:rsidRPr="00262C66">
        <w:rPr>
          <w:i/>
          <w:lang w:val="fr-FR"/>
        </w:rPr>
        <w:t xml:space="preserve"> c</w:t>
      </w:r>
      <w:r w:rsidR="009E12FC" w:rsidRPr="009E12FC">
        <w:rPr>
          <w:i/>
          <w:lang w:val="fr-FR"/>
        </w:rPr>
        <w:t>.</w:t>
      </w:r>
      <w:r w:rsidRPr="00262C66">
        <w:rPr>
          <w:i/>
          <w:lang w:val="fr-FR"/>
        </w:rPr>
        <w:t> Canada</w:t>
      </w:r>
      <w:r w:rsidRPr="00262C66">
        <w:rPr>
          <w:lang w:val="fr-FR"/>
        </w:rPr>
        <w:t xml:space="preserve"> (</w:t>
      </w:r>
      <w:hyperlink r:id="rId5" w:history="1">
        <w:r w:rsidRPr="00F13354">
          <w:rPr>
            <w:rStyle w:val="Lienhypertexte"/>
            <w:lang w:val="fr-FR"/>
          </w:rPr>
          <w:t>CAT/C/63/D/488/2012</w:t>
        </w:r>
      </w:hyperlink>
      <w:r w:rsidRPr="00262C66">
        <w:rPr>
          <w:lang w:val="fr-FR"/>
        </w:rPr>
        <w:t>), par</w:t>
      </w:r>
      <w:r w:rsidR="009E12FC" w:rsidRPr="009E12FC">
        <w:rPr>
          <w:lang w:val="fr-FR"/>
        </w:rPr>
        <w:t>.</w:t>
      </w:r>
      <w:r w:rsidRPr="00262C66">
        <w:rPr>
          <w:lang w:val="fr-FR"/>
        </w:rPr>
        <w:t xml:space="preserve"> 11</w:t>
      </w:r>
      <w:r w:rsidR="009E12FC" w:rsidRPr="009E12FC">
        <w:rPr>
          <w:lang w:val="fr-FR"/>
        </w:rPr>
        <w:t>.</w:t>
      </w:r>
      <w:r w:rsidRPr="00262C66">
        <w:rPr>
          <w:lang w:val="fr-FR"/>
        </w:rPr>
        <w:t xml:space="preserve">3 ; et </w:t>
      </w:r>
      <w:r w:rsidRPr="00262C66">
        <w:rPr>
          <w:i/>
          <w:lang w:val="fr-FR"/>
        </w:rPr>
        <w:t>K</w:t>
      </w:r>
      <w:r w:rsidR="009E12FC" w:rsidRPr="009E12FC">
        <w:rPr>
          <w:i/>
          <w:lang w:val="fr-FR"/>
        </w:rPr>
        <w:t>.</w:t>
      </w:r>
      <w:r w:rsidRPr="00262C66">
        <w:rPr>
          <w:i/>
          <w:lang w:val="fr-FR"/>
        </w:rPr>
        <w:t xml:space="preserve"> M</w:t>
      </w:r>
      <w:r w:rsidR="009E12FC" w:rsidRPr="009E12FC">
        <w:rPr>
          <w:i/>
          <w:lang w:val="fr-FR"/>
        </w:rPr>
        <w:t>.</w:t>
      </w:r>
      <w:r w:rsidRPr="00262C66">
        <w:rPr>
          <w:i/>
          <w:lang w:val="fr-FR"/>
        </w:rPr>
        <w:t xml:space="preserve"> c</w:t>
      </w:r>
      <w:r w:rsidR="009E12FC" w:rsidRPr="009E12FC">
        <w:rPr>
          <w:i/>
          <w:lang w:val="fr-FR"/>
        </w:rPr>
        <w:t>.</w:t>
      </w:r>
      <w:r w:rsidRPr="00262C66">
        <w:rPr>
          <w:i/>
          <w:lang w:val="fr-FR"/>
        </w:rPr>
        <w:t xml:space="preserve"> Suisse</w:t>
      </w:r>
      <w:r w:rsidRPr="00262C66">
        <w:rPr>
          <w:lang w:val="fr-FR"/>
        </w:rPr>
        <w:t xml:space="preserve"> (</w:t>
      </w:r>
      <w:hyperlink r:id="rId6" w:history="1">
        <w:r w:rsidRPr="00F13354">
          <w:rPr>
            <w:rStyle w:val="Lienhypertexte"/>
            <w:lang w:val="fr-FR"/>
          </w:rPr>
          <w:t>CAT/</w:t>
        </w:r>
        <w:r w:rsidRPr="00F13354">
          <w:rPr>
            <w:rStyle w:val="Lienhypertexte"/>
          </w:rPr>
          <w:t>C/71/D/865/2018</w:t>
        </w:r>
      </w:hyperlink>
      <w:r w:rsidRPr="00262C66">
        <w:t>), par</w:t>
      </w:r>
      <w:r w:rsidR="009E12FC" w:rsidRPr="009E12FC">
        <w:rPr>
          <w:lang w:val="fr-FR"/>
        </w:rPr>
        <w:t>.</w:t>
      </w:r>
      <w:r w:rsidRPr="00262C66">
        <w:rPr>
          <w:lang w:val="fr-FR"/>
        </w:rPr>
        <w:t xml:space="preserve"> 7</w:t>
      </w:r>
      <w:r w:rsidR="009E12FC" w:rsidRPr="009E12FC">
        <w:rPr>
          <w:lang w:val="fr-FR"/>
        </w:rPr>
        <w:t>.</w:t>
      </w:r>
      <w:r w:rsidRPr="00262C66">
        <w:rPr>
          <w:lang w:val="fr-FR"/>
        </w:rPr>
        <w:t>3</w:t>
      </w:r>
      <w:r w:rsidR="009E12FC" w:rsidRPr="009E12FC">
        <w:rPr>
          <w:lang w:val="fr-FR"/>
        </w:rPr>
        <w:t>.</w:t>
      </w:r>
      <w:r w:rsidRPr="00262C66">
        <w:rPr>
          <w:lang w:val="fr-FR"/>
        </w:rPr>
        <w:t xml:space="preserve"> </w:t>
      </w:r>
    </w:p>
  </w:footnote>
  <w:footnote w:id="8">
    <w:p w14:paraId="0545A3EE" w14:textId="368CC04D" w:rsidR="008144B4" w:rsidRDefault="008144B4" w:rsidP="008144B4">
      <w:pPr>
        <w:pStyle w:val="Notedebasdepage"/>
        <w:rPr>
          <w:lang w:val="fr-FR"/>
        </w:rPr>
      </w:pPr>
      <w:r w:rsidRPr="00262C66">
        <w:rPr>
          <w:lang w:val="fr-FR"/>
        </w:rPr>
        <w:tab/>
      </w:r>
      <w:r w:rsidRPr="00F13354">
        <w:rPr>
          <w:rStyle w:val="Appelnotedebasdep"/>
        </w:rPr>
        <w:footnoteRef/>
      </w:r>
      <w:r w:rsidRPr="00262C66">
        <w:rPr>
          <w:lang w:val="fr-FR"/>
        </w:rPr>
        <w:tab/>
      </w:r>
      <w:proofErr w:type="spellStart"/>
      <w:r w:rsidRPr="00262C66">
        <w:rPr>
          <w:i/>
          <w:lang w:val="fr-FR"/>
        </w:rPr>
        <w:t>Kalinichenko</w:t>
      </w:r>
      <w:proofErr w:type="spellEnd"/>
      <w:r w:rsidRPr="00262C66">
        <w:rPr>
          <w:i/>
          <w:lang w:val="fr-FR"/>
        </w:rPr>
        <w:t xml:space="preserve"> c</w:t>
      </w:r>
      <w:r w:rsidR="009E12FC" w:rsidRPr="009E12FC">
        <w:rPr>
          <w:i/>
          <w:lang w:val="fr-FR"/>
        </w:rPr>
        <w:t>.</w:t>
      </w:r>
      <w:r w:rsidRPr="00262C66">
        <w:rPr>
          <w:i/>
          <w:lang w:val="fr-FR"/>
        </w:rPr>
        <w:t xml:space="preserve"> Maroc </w:t>
      </w:r>
      <w:r w:rsidRPr="00262C66">
        <w:rPr>
          <w:lang w:val="fr-FR"/>
        </w:rPr>
        <w:t>(</w:t>
      </w:r>
      <w:hyperlink r:id="rId7" w:history="1">
        <w:r w:rsidRPr="00F13354">
          <w:rPr>
            <w:rStyle w:val="Lienhypertexte"/>
            <w:lang w:val="fr-FR"/>
          </w:rPr>
          <w:t>CAT/C/47/D/428/2010</w:t>
        </w:r>
      </w:hyperlink>
      <w:r w:rsidRPr="00262C66">
        <w:rPr>
          <w:lang w:val="fr-FR"/>
        </w:rPr>
        <w:t>), par</w:t>
      </w:r>
      <w:r w:rsidR="009E12FC" w:rsidRPr="009E12FC">
        <w:rPr>
          <w:lang w:val="fr-FR"/>
        </w:rPr>
        <w:t>.</w:t>
      </w:r>
      <w:r w:rsidRPr="00262C66">
        <w:rPr>
          <w:lang w:val="fr-FR"/>
        </w:rPr>
        <w:t xml:space="preserve"> 15</w:t>
      </w:r>
      <w:r w:rsidR="009E12FC" w:rsidRPr="009E12FC">
        <w:rPr>
          <w:lang w:val="fr-FR"/>
        </w:rPr>
        <w:t>.</w:t>
      </w:r>
      <w:r w:rsidRPr="00262C66">
        <w:rPr>
          <w:lang w:val="fr-FR"/>
        </w:rPr>
        <w:t>3</w:t>
      </w:r>
      <w:r w:rsidR="009E12FC" w:rsidRPr="009E12FC">
        <w:rPr>
          <w:lang w:val="fr-FR"/>
        </w:rPr>
        <w:t>.</w:t>
      </w:r>
      <w:r w:rsidRPr="00262C66">
        <w:rPr>
          <w:lang w:val="fr-FR"/>
        </w:rPr>
        <w:t xml:space="preserve"> ; et </w:t>
      </w:r>
      <w:r w:rsidRPr="00262C66">
        <w:rPr>
          <w:i/>
          <w:lang w:val="fr-FR"/>
        </w:rPr>
        <w:t>K</w:t>
      </w:r>
      <w:r w:rsidR="009E12FC" w:rsidRPr="009E12FC">
        <w:rPr>
          <w:i/>
          <w:lang w:val="fr-FR"/>
        </w:rPr>
        <w:t>.</w:t>
      </w:r>
      <w:r w:rsidRPr="00262C66">
        <w:rPr>
          <w:i/>
          <w:lang w:val="fr-FR"/>
        </w:rPr>
        <w:t> M</w:t>
      </w:r>
      <w:r w:rsidR="009E12FC" w:rsidRPr="009E12FC">
        <w:rPr>
          <w:i/>
          <w:lang w:val="fr-FR"/>
        </w:rPr>
        <w:t>.</w:t>
      </w:r>
      <w:r w:rsidRPr="00262C66">
        <w:rPr>
          <w:i/>
          <w:lang w:val="fr-FR"/>
        </w:rPr>
        <w:t xml:space="preserve"> c</w:t>
      </w:r>
      <w:r w:rsidR="009E12FC" w:rsidRPr="009E12FC">
        <w:rPr>
          <w:i/>
          <w:lang w:val="fr-FR"/>
        </w:rPr>
        <w:t>.</w:t>
      </w:r>
      <w:r w:rsidRPr="00262C66">
        <w:rPr>
          <w:i/>
          <w:lang w:val="fr-FR"/>
        </w:rPr>
        <w:t xml:space="preserve"> Suisse</w:t>
      </w:r>
      <w:r w:rsidRPr="00262C66">
        <w:t>, par</w:t>
      </w:r>
      <w:r w:rsidR="009E12FC" w:rsidRPr="009E12FC">
        <w:rPr>
          <w:lang w:val="fr-FR"/>
        </w:rPr>
        <w:t>.</w:t>
      </w:r>
      <w:r w:rsidRPr="00262C66">
        <w:rPr>
          <w:lang w:val="fr-FR"/>
        </w:rPr>
        <w:t xml:space="preserve"> 7</w:t>
      </w:r>
      <w:r w:rsidR="009E12FC" w:rsidRPr="009E12FC">
        <w:rPr>
          <w:lang w:val="fr-FR"/>
        </w:rPr>
        <w:t>.</w:t>
      </w:r>
      <w:r w:rsidRPr="00262C66">
        <w:rPr>
          <w:lang w:val="fr-FR"/>
        </w:rPr>
        <w:t>3</w:t>
      </w:r>
      <w:r w:rsidR="009E12FC" w:rsidRPr="009E12FC">
        <w:rPr>
          <w:lang w:val="fr-FR"/>
        </w:rPr>
        <w:t>.</w:t>
      </w:r>
      <w:r w:rsidRPr="009F04FF">
        <w:rPr>
          <w:lang w:val="fr-FR"/>
        </w:rPr>
        <w:t xml:space="preserve"> </w:t>
      </w:r>
    </w:p>
  </w:footnote>
  <w:footnote w:id="9">
    <w:p w14:paraId="5BAE8580" w14:textId="7FAAB4A8" w:rsidR="008144B4" w:rsidRPr="000F39C0" w:rsidRDefault="008144B4" w:rsidP="008144B4">
      <w:pPr>
        <w:pStyle w:val="Notedebasdepage"/>
        <w:rPr>
          <w:lang w:val="fr-FR"/>
        </w:rPr>
      </w:pPr>
      <w:r w:rsidRPr="000F39C0">
        <w:rPr>
          <w:lang w:val="fr-FR"/>
        </w:rPr>
        <w:tab/>
      </w:r>
      <w:r w:rsidRPr="00F13354">
        <w:rPr>
          <w:rStyle w:val="Appelnotedebasdep"/>
        </w:rPr>
        <w:footnoteRef/>
      </w:r>
      <w:r w:rsidRPr="000F39C0">
        <w:rPr>
          <w:lang w:val="fr-FR"/>
        </w:rPr>
        <w:t xml:space="preserve"> </w:t>
      </w:r>
      <w:r w:rsidRPr="000F39C0">
        <w:rPr>
          <w:lang w:val="fr-FR"/>
        </w:rPr>
        <w:tab/>
        <w:t xml:space="preserve">Voir, entre autres, </w:t>
      </w:r>
      <w:r w:rsidRPr="00F13354">
        <w:rPr>
          <w:i/>
          <w:iCs/>
          <w:lang w:val="fr-FR"/>
        </w:rPr>
        <w:t>A</w:t>
      </w:r>
      <w:r w:rsidR="009E12FC" w:rsidRPr="009E12FC">
        <w:rPr>
          <w:i/>
          <w:iCs/>
          <w:lang w:val="fr-FR"/>
        </w:rPr>
        <w:t>.</w:t>
      </w:r>
      <w:r w:rsidRPr="00F13354">
        <w:rPr>
          <w:i/>
          <w:iCs/>
          <w:lang w:val="fr-FR"/>
        </w:rPr>
        <w:t> R</w:t>
      </w:r>
      <w:r w:rsidR="009E12FC" w:rsidRPr="009E12FC">
        <w:rPr>
          <w:i/>
          <w:iCs/>
          <w:lang w:val="fr-FR"/>
        </w:rPr>
        <w:t>.</w:t>
      </w:r>
      <w:r w:rsidRPr="00F13354">
        <w:rPr>
          <w:i/>
          <w:iCs/>
          <w:lang w:val="fr-FR"/>
        </w:rPr>
        <w:t xml:space="preserve"> c</w:t>
      </w:r>
      <w:r w:rsidR="009E12FC" w:rsidRPr="009E12FC">
        <w:rPr>
          <w:i/>
          <w:iCs/>
          <w:lang w:val="fr-FR"/>
        </w:rPr>
        <w:t>.</w:t>
      </w:r>
      <w:r w:rsidRPr="00F13354">
        <w:rPr>
          <w:i/>
          <w:iCs/>
          <w:lang w:val="fr-FR"/>
        </w:rPr>
        <w:t xml:space="preserve"> Pays-Bas</w:t>
      </w:r>
      <w:r>
        <w:rPr>
          <w:lang w:val="fr-FR"/>
        </w:rPr>
        <w:t xml:space="preserve"> (</w:t>
      </w:r>
      <w:hyperlink r:id="rId8" w:history="1">
        <w:r w:rsidRPr="00F13354">
          <w:rPr>
            <w:rStyle w:val="Lienhypertexte"/>
          </w:rPr>
          <w:t>CAT/C/31/D/203/2002</w:t>
        </w:r>
      </w:hyperlink>
      <w:r>
        <w:t>)</w:t>
      </w:r>
      <w:r w:rsidR="009E12FC" w:rsidRPr="009E12FC">
        <w:rPr>
          <w:lang w:val="fr-FR"/>
        </w:rPr>
        <w:t>.</w:t>
      </w:r>
      <w:r w:rsidRPr="000F39C0">
        <w:rPr>
          <w:lang w:val="fr-FR"/>
        </w:rPr>
        <w:t xml:space="preserve"> </w:t>
      </w:r>
    </w:p>
  </w:footnote>
  <w:footnote w:id="10">
    <w:p w14:paraId="51446780" w14:textId="6150F73D" w:rsidR="008144B4" w:rsidRPr="00262C66" w:rsidRDefault="008144B4" w:rsidP="008144B4">
      <w:pPr>
        <w:pStyle w:val="Notedebasdepage"/>
        <w:rPr>
          <w:lang w:val="fr-FR"/>
        </w:rPr>
      </w:pPr>
      <w:r w:rsidRPr="000F39C0">
        <w:rPr>
          <w:lang w:val="fr-FR"/>
        </w:rPr>
        <w:tab/>
      </w:r>
      <w:r w:rsidRPr="00F13354">
        <w:rPr>
          <w:rStyle w:val="Appelnotedebasdep"/>
        </w:rPr>
        <w:footnoteRef/>
      </w:r>
      <w:r w:rsidRPr="00262C66">
        <w:rPr>
          <w:lang w:val="fr-FR"/>
        </w:rPr>
        <w:tab/>
        <w:t>Observation générale n</w:t>
      </w:r>
      <w:r w:rsidRPr="00262C66">
        <w:rPr>
          <w:vertAlign w:val="superscript"/>
          <w:lang w:val="fr-FR"/>
        </w:rPr>
        <w:t>o</w:t>
      </w:r>
      <w:r w:rsidRPr="00262C66">
        <w:rPr>
          <w:lang w:val="fr-FR"/>
        </w:rPr>
        <w:t> 4 (2017), par</w:t>
      </w:r>
      <w:r w:rsidR="009E12FC" w:rsidRPr="009E12FC">
        <w:rPr>
          <w:lang w:val="fr-FR"/>
        </w:rPr>
        <w:t>.</w:t>
      </w:r>
      <w:r w:rsidRPr="00262C66">
        <w:rPr>
          <w:lang w:val="fr-FR"/>
        </w:rPr>
        <w:t> 38</w:t>
      </w:r>
      <w:r w:rsidR="009E12FC" w:rsidRPr="009E12FC">
        <w:rPr>
          <w:lang w:val="fr-FR"/>
        </w:rPr>
        <w:t>.</w:t>
      </w:r>
    </w:p>
  </w:footnote>
  <w:footnote w:id="11">
    <w:p w14:paraId="484377D6" w14:textId="4385755F" w:rsidR="008144B4" w:rsidRPr="00262C66" w:rsidRDefault="008144B4" w:rsidP="008144B4">
      <w:pPr>
        <w:pStyle w:val="Notedebasdepage"/>
        <w:rPr>
          <w:lang w:val="fr-FR"/>
        </w:rPr>
      </w:pPr>
      <w:r w:rsidRPr="00262C66">
        <w:rPr>
          <w:lang w:val="fr-FR"/>
        </w:rPr>
        <w:tab/>
      </w:r>
      <w:r w:rsidRPr="00F13354">
        <w:rPr>
          <w:rStyle w:val="Appelnotedebasdep"/>
        </w:rPr>
        <w:footnoteRef/>
      </w:r>
      <w:r w:rsidRPr="00262C66">
        <w:rPr>
          <w:lang w:val="fr-FR"/>
        </w:rPr>
        <w:tab/>
        <w:t>Ibid</w:t>
      </w:r>
      <w:r w:rsidR="009E12FC" w:rsidRPr="009E12FC">
        <w:rPr>
          <w:lang w:val="fr-FR"/>
        </w:rPr>
        <w:t>.</w:t>
      </w:r>
      <w:r w:rsidRPr="00262C66">
        <w:rPr>
          <w:lang w:val="fr-FR"/>
        </w:rPr>
        <w:t>, par</w:t>
      </w:r>
      <w:r w:rsidR="009E12FC" w:rsidRPr="009E12FC">
        <w:rPr>
          <w:lang w:val="fr-FR"/>
        </w:rPr>
        <w:t>.</w:t>
      </w:r>
      <w:r w:rsidRPr="00262C66">
        <w:rPr>
          <w:lang w:val="fr-FR"/>
        </w:rPr>
        <w:t> 50</w:t>
      </w:r>
      <w:r w:rsidR="009E12FC" w:rsidRPr="009E12FC">
        <w:rPr>
          <w:lang w:val="fr-FR"/>
        </w:rPr>
        <w:t>.</w:t>
      </w:r>
    </w:p>
  </w:footnote>
  <w:footnote w:id="12">
    <w:p w14:paraId="5F591A84" w14:textId="62C3B15F" w:rsidR="008144B4" w:rsidRPr="00F13354" w:rsidRDefault="008144B4" w:rsidP="008144B4">
      <w:pPr>
        <w:pStyle w:val="Notedebasdepage"/>
      </w:pPr>
      <w:r w:rsidRPr="00262C66">
        <w:tab/>
      </w:r>
      <w:r w:rsidRPr="00F13354">
        <w:rPr>
          <w:rStyle w:val="Appelnotedebasdep"/>
        </w:rPr>
        <w:footnoteRef/>
      </w:r>
      <w:r w:rsidRPr="00262C66">
        <w:t xml:space="preserve"> </w:t>
      </w:r>
      <w:r w:rsidRPr="00262C66">
        <w:tab/>
        <w:t xml:space="preserve">Voir le rapport de la </w:t>
      </w:r>
      <w:proofErr w:type="spellStart"/>
      <w:r w:rsidRPr="00262C66">
        <w:t>Haute-Commissaire</w:t>
      </w:r>
      <w:proofErr w:type="spellEnd"/>
      <w:r w:rsidRPr="00262C66">
        <w:t xml:space="preserve"> des Nations Unies aux droits de l</w:t>
      </w:r>
      <w:r>
        <w:t>’</w:t>
      </w:r>
      <w:r w:rsidRPr="00262C66">
        <w:t>homme sur la situation des droits de l</w:t>
      </w:r>
      <w:r>
        <w:t>’</w:t>
      </w:r>
      <w:r w:rsidRPr="00262C66">
        <w:t>homme et les activités du Bureau conjoint des Nations Unies pour les droits de l</w:t>
      </w:r>
      <w:r>
        <w:t>’</w:t>
      </w:r>
      <w:r w:rsidRPr="00262C66">
        <w:t>homme en République démocratique du Congo (</w:t>
      </w:r>
      <w:hyperlink r:id="rId9" w:history="1">
        <w:r w:rsidRPr="00F13354">
          <w:rPr>
            <w:rStyle w:val="Lienhypertexte"/>
          </w:rPr>
          <w:t>A/HRC/48/47</w:t>
        </w:r>
      </w:hyperlink>
      <w:r w:rsidRPr="00262C66">
        <w:t>), par</w:t>
      </w:r>
      <w:r w:rsidR="009E12FC" w:rsidRPr="009E12FC">
        <w:t>.</w:t>
      </w:r>
      <w:r w:rsidRPr="00262C66">
        <w:t xml:space="preserve"> 18 </w:t>
      </w:r>
      <w:r w:rsidRPr="00262C66">
        <w:rPr>
          <w:lang w:val="fr-FR"/>
        </w:rPr>
        <w:t>; et le r</w:t>
      </w:r>
      <w:r w:rsidRPr="00262C66">
        <w:t>apport de l</w:t>
      </w:r>
      <w:r>
        <w:t>’</w:t>
      </w:r>
      <w:r w:rsidRPr="00262C66">
        <w:t>Équipe d</w:t>
      </w:r>
      <w:r>
        <w:t>’</w:t>
      </w:r>
      <w:r w:rsidRPr="00262C66">
        <w:t>experts internationaux en République démocratique du Congo (</w:t>
      </w:r>
      <w:hyperlink r:id="rId10" w:history="1">
        <w:r w:rsidRPr="00F13354">
          <w:rPr>
            <w:rStyle w:val="Lienhypertexte"/>
          </w:rPr>
          <w:t>A/HRC/51/60</w:t>
        </w:r>
      </w:hyperlink>
      <w:r w:rsidRPr="00262C66">
        <w:t>),</w:t>
      </w:r>
      <w:r w:rsidRPr="00262C66">
        <w:rPr>
          <w:lang w:val="fr-FR"/>
        </w:rPr>
        <w:t xml:space="preserve"> par</w:t>
      </w:r>
      <w:r w:rsidR="009E12FC" w:rsidRPr="009E12FC">
        <w:rPr>
          <w:lang w:val="fr-FR"/>
        </w:rPr>
        <w:t>.</w:t>
      </w:r>
      <w:r w:rsidRPr="00262C66">
        <w:rPr>
          <w:lang w:val="fr-FR"/>
        </w:rPr>
        <w:t xml:space="preserve"> </w:t>
      </w:r>
      <w:r w:rsidRPr="00F13354">
        <w:t>22</w:t>
      </w:r>
      <w:r w:rsidR="009E12FC" w:rsidRPr="009E12FC">
        <w:t>.</w:t>
      </w:r>
      <w:r w:rsidRPr="00F1335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425" w14:textId="7FFA19EA" w:rsidR="001D46CC" w:rsidRPr="001D46CC" w:rsidRDefault="001D46CC">
    <w:pPr>
      <w:pStyle w:val="En-tte"/>
    </w:pPr>
    <w:fldSimple w:instr=" TITLE  \* MERGEFORMAT ">
      <w:r w:rsidR="004B74C7">
        <w:t>CAT/C/75/D/962/2019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6CD" w14:textId="65F4CB27" w:rsidR="001D46CC" w:rsidRPr="001D46CC" w:rsidRDefault="001D46CC" w:rsidP="001D46CC">
    <w:pPr>
      <w:pStyle w:val="En-tte"/>
      <w:jc w:val="right"/>
    </w:pPr>
    <w:fldSimple w:instr=" TITLE  \* MERGEFORMAT ">
      <w:r w:rsidR="004B74C7">
        <w:t>CAT/C/75/D/962/2019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D0255"/>
    <w:multiLevelType w:val="hybridMultilevel"/>
    <w:tmpl w:val="1880497A"/>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50A7ECA"/>
    <w:multiLevelType w:val="multilevel"/>
    <w:tmpl w:val="B7E666CE"/>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14"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BC66139"/>
    <w:multiLevelType w:val="hybridMultilevel"/>
    <w:tmpl w:val="6E7E3894"/>
    <w:lvl w:ilvl="0" w:tplc="18B05F74">
      <w:start w:val="1"/>
      <w:numFmt w:val="decimal"/>
      <w:lvlText w:val="%1."/>
      <w:lvlJc w:val="left"/>
      <w:pPr>
        <w:ind w:left="720" w:hanging="360"/>
      </w:pPr>
      <w:rPr>
        <w:b w:val="0"/>
        <w:sz w:val="24"/>
        <w:szCs w:val="24"/>
      </w:rPr>
    </w:lvl>
    <w:lvl w:ilvl="1" w:tplc="8536FC2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82681679">
    <w:abstractNumId w:val="17"/>
  </w:num>
  <w:num w:numId="2" w16cid:durableId="1615988390">
    <w:abstractNumId w:val="14"/>
  </w:num>
  <w:num w:numId="3" w16cid:durableId="1894927691">
    <w:abstractNumId w:val="12"/>
  </w:num>
  <w:num w:numId="4" w16cid:durableId="1211460857">
    <w:abstractNumId w:val="8"/>
  </w:num>
  <w:num w:numId="5" w16cid:durableId="1226453442">
    <w:abstractNumId w:val="3"/>
  </w:num>
  <w:num w:numId="6" w16cid:durableId="1601528710">
    <w:abstractNumId w:val="2"/>
  </w:num>
  <w:num w:numId="7" w16cid:durableId="352919361">
    <w:abstractNumId w:val="1"/>
  </w:num>
  <w:num w:numId="8" w16cid:durableId="519124603">
    <w:abstractNumId w:val="0"/>
  </w:num>
  <w:num w:numId="9" w16cid:durableId="1705902272">
    <w:abstractNumId w:val="9"/>
  </w:num>
  <w:num w:numId="10" w16cid:durableId="1932859500">
    <w:abstractNumId w:val="7"/>
  </w:num>
  <w:num w:numId="11" w16cid:durableId="1571116118">
    <w:abstractNumId w:val="6"/>
  </w:num>
  <w:num w:numId="12" w16cid:durableId="494804234">
    <w:abstractNumId w:val="5"/>
  </w:num>
  <w:num w:numId="13" w16cid:durableId="576523182">
    <w:abstractNumId w:val="4"/>
  </w:num>
  <w:num w:numId="14" w16cid:durableId="416220551">
    <w:abstractNumId w:val="17"/>
  </w:num>
  <w:num w:numId="15" w16cid:durableId="1196961948">
    <w:abstractNumId w:val="14"/>
  </w:num>
  <w:num w:numId="16" w16cid:durableId="752121261">
    <w:abstractNumId w:val="12"/>
  </w:num>
  <w:num w:numId="17" w16cid:durableId="469902630">
    <w:abstractNumId w:val="17"/>
  </w:num>
  <w:num w:numId="18" w16cid:durableId="1165903233">
    <w:abstractNumId w:val="14"/>
  </w:num>
  <w:num w:numId="19" w16cid:durableId="1176387031">
    <w:abstractNumId w:val="12"/>
  </w:num>
  <w:num w:numId="20" w16cid:durableId="690424068">
    <w:abstractNumId w:val="10"/>
  </w:num>
  <w:num w:numId="21" w16cid:durableId="361594262">
    <w:abstractNumId w:val="16"/>
  </w:num>
  <w:num w:numId="22" w16cid:durableId="788158022">
    <w:abstractNumId w:val="13"/>
  </w:num>
  <w:num w:numId="23" w16cid:durableId="1997373075">
    <w:abstractNumId w:val="11"/>
  </w:num>
  <w:num w:numId="24" w16cid:durableId="5498474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A3"/>
    <w:rsid w:val="00023842"/>
    <w:rsid w:val="00035AE4"/>
    <w:rsid w:val="00037DF1"/>
    <w:rsid w:val="0007796D"/>
    <w:rsid w:val="00101756"/>
    <w:rsid w:val="00111F2F"/>
    <w:rsid w:val="0014365E"/>
    <w:rsid w:val="00170375"/>
    <w:rsid w:val="00174BA3"/>
    <w:rsid w:val="00176178"/>
    <w:rsid w:val="001D14FC"/>
    <w:rsid w:val="001D46CC"/>
    <w:rsid w:val="001F525A"/>
    <w:rsid w:val="00287416"/>
    <w:rsid w:val="00297F29"/>
    <w:rsid w:val="002C1DA5"/>
    <w:rsid w:val="00446FE5"/>
    <w:rsid w:val="004B74C7"/>
    <w:rsid w:val="004D6539"/>
    <w:rsid w:val="004F046A"/>
    <w:rsid w:val="00553A1F"/>
    <w:rsid w:val="00573BE5"/>
    <w:rsid w:val="00586ED3"/>
    <w:rsid w:val="00587A52"/>
    <w:rsid w:val="005970D5"/>
    <w:rsid w:val="005A51D3"/>
    <w:rsid w:val="005B4E23"/>
    <w:rsid w:val="00602800"/>
    <w:rsid w:val="00616CB0"/>
    <w:rsid w:val="00621144"/>
    <w:rsid w:val="0071601D"/>
    <w:rsid w:val="007432FB"/>
    <w:rsid w:val="0080684C"/>
    <w:rsid w:val="00807D21"/>
    <w:rsid w:val="008144B4"/>
    <w:rsid w:val="00840C6C"/>
    <w:rsid w:val="00853AFA"/>
    <w:rsid w:val="00871C75"/>
    <w:rsid w:val="008776DC"/>
    <w:rsid w:val="00945222"/>
    <w:rsid w:val="00953817"/>
    <w:rsid w:val="009705C8"/>
    <w:rsid w:val="009C4D45"/>
    <w:rsid w:val="009E12FC"/>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D3BFD"/>
    <w:rsid w:val="00DF7D38"/>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647D"/>
  <w15:docId w15:val="{9B0361AE-F83B-445E-8B0D-3B3FF6B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SUPERS,Nota,Footnote Refernece"/>
    <w:basedOn w:val="Policepardfaut"/>
    <w:link w:val="4GCharChar"/>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Footnote Text Char Char Char Char Char Char Char,Footnote Text Char Char Char Char Char,Footnote Text Char Char Char Char Ch Char,Footnote Text Char2 Char1, Char1,Footnote Text Char Char Char Char,f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har Char Char Char Char Car,Footnote Text Char Char Char Char Char Car,Footnote Text Char Char Char Char Ch Char Car,Footnote Text Char2 Char1 Car, Char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unhideWhenUsed/>
    <w:rsid w:val="008144B4"/>
    <w:rPr>
      <w:sz w:val="16"/>
      <w:szCs w:val="16"/>
    </w:rPr>
  </w:style>
  <w:style w:type="paragraph" w:styleId="Rvision">
    <w:name w:val="Revision"/>
    <w:hidden/>
    <w:uiPriority w:val="99"/>
    <w:semiHidden/>
    <w:rsid w:val="008144B4"/>
    <w:pPr>
      <w:spacing w:after="0" w:line="240" w:lineRule="auto"/>
    </w:pPr>
    <w:rPr>
      <w:rFonts w:ascii="Times New Roman" w:eastAsia="Times New Roman" w:hAnsi="Times New Roman" w:cs="Times New Roman"/>
      <w:sz w:val="20"/>
      <w:szCs w:val="20"/>
      <w:lang w:val="en-GB" w:eastAsia="en-US"/>
    </w:rPr>
  </w:style>
  <w:style w:type="paragraph" w:styleId="Paragraphedeliste">
    <w:name w:val="List Paragraph"/>
    <w:basedOn w:val="Normal"/>
    <w:uiPriority w:val="34"/>
    <w:qFormat/>
    <w:rsid w:val="008144B4"/>
    <w:pPr>
      <w:suppressAutoHyphens w:val="0"/>
      <w:kinsoku/>
      <w:overflowPunct/>
      <w:autoSpaceDE/>
      <w:autoSpaceDN/>
      <w:adjustRightInd/>
      <w:snapToGrid/>
      <w:spacing w:line="240" w:lineRule="auto"/>
      <w:ind w:left="720"/>
      <w:contextualSpacing/>
    </w:pPr>
    <w:rPr>
      <w:rFonts w:eastAsia="Times New Roman"/>
      <w:sz w:val="24"/>
      <w:lang w:val="en-CA"/>
    </w:rPr>
  </w:style>
  <w:style w:type="paragraph" w:styleId="NormalWeb">
    <w:name w:val="Normal (Web)"/>
    <w:basedOn w:val="Normal"/>
    <w:uiPriority w:val="99"/>
    <w:semiHidden/>
    <w:unhideWhenUsed/>
    <w:rsid w:val="008144B4"/>
    <w:rPr>
      <w:sz w:val="24"/>
      <w:szCs w:val="24"/>
    </w:rPr>
  </w:style>
  <w:style w:type="paragraph" w:styleId="Commentaire">
    <w:name w:val="annotation text"/>
    <w:basedOn w:val="Normal"/>
    <w:link w:val="CommentaireCar"/>
    <w:uiPriority w:val="99"/>
    <w:unhideWhenUsed/>
    <w:rsid w:val="008144B4"/>
    <w:pPr>
      <w:spacing w:line="240" w:lineRule="auto"/>
    </w:pPr>
  </w:style>
  <w:style w:type="character" w:customStyle="1" w:styleId="CommentaireCar">
    <w:name w:val="Commentaire Car"/>
    <w:basedOn w:val="Policepardfaut"/>
    <w:link w:val="Commentaire"/>
    <w:uiPriority w:val="99"/>
    <w:rsid w:val="008144B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8144B4"/>
    <w:rPr>
      <w:b/>
      <w:bCs/>
    </w:rPr>
  </w:style>
  <w:style w:type="character" w:customStyle="1" w:styleId="ObjetducommentaireCar">
    <w:name w:val="Objet du commentaire Car"/>
    <w:basedOn w:val="CommentaireCar"/>
    <w:link w:val="Objetducommentaire"/>
    <w:uiPriority w:val="99"/>
    <w:semiHidden/>
    <w:rsid w:val="008144B4"/>
    <w:rPr>
      <w:rFonts w:ascii="Times New Roman" w:eastAsiaTheme="minorHAnsi" w:hAnsi="Times New Roman" w:cs="Times New Roman"/>
      <w:b/>
      <w:bCs/>
      <w:sz w:val="20"/>
      <w:szCs w:val="20"/>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Appelnotedebasdep"/>
    <w:rsid w:val="008144B4"/>
    <w:pPr>
      <w:suppressAutoHyphens w:val="0"/>
      <w:kinsoku/>
      <w:overflowPunct/>
      <w:adjustRightInd/>
      <w:snapToGrid/>
      <w:spacing w:line="240" w:lineRule="exact"/>
      <w:jc w:val="both"/>
    </w:pPr>
    <w:rPr>
      <w:rFonts w:eastAsiaTheme="minorEastAsia" w:cstheme="minorBidi"/>
      <w:sz w:val="18"/>
      <w:szCs w:val="22"/>
      <w:vertAlign w:val="superscript"/>
      <w:lang w:eastAsia="zh-CN"/>
    </w:rPr>
  </w:style>
  <w:style w:type="character" w:styleId="Mentionnonrsolue">
    <w:name w:val="Unresolved Mention"/>
    <w:basedOn w:val="Policepardfaut"/>
    <w:uiPriority w:val="99"/>
    <w:semiHidden/>
    <w:unhideWhenUsed/>
    <w:rsid w:val="0081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AT/C/31/D/203/2002" TargetMode="External"/><Relationship Id="rId3" Type="http://schemas.openxmlformats.org/officeDocument/2006/relationships/hyperlink" Target="https://undocs.org/fr/CAT/C/58/D/682/2015" TargetMode="External"/><Relationship Id="rId7" Type="http://schemas.openxmlformats.org/officeDocument/2006/relationships/hyperlink" Target="https://undocs.org/fr/CAT/C/47/D/428/2010" TargetMode="External"/><Relationship Id="rId2" Type="http://schemas.openxmlformats.org/officeDocument/2006/relationships/hyperlink" Target="https://undocs.org/fr/CAT/C/59/D/606/2014" TargetMode="External"/><Relationship Id="rId1" Type="http://schemas.openxmlformats.org/officeDocument/2006/relationships/hyperlink" Target="https://undocs.org/fr/CAT/C/43/D/307/2006/Rev.1" TargetMode="External"/><Relationship Id="rId6" Type="http://schemas.openxmlformats.org/officeDocument/2006/relationships/hyperlink" Target="https://undocs.org/fr/CAT/C/71/D/865/2018" TargetMode="External"/><Relationship Id="rId5" Type="http://schemas.openxmlformats.org/officeDocument/2006/relationships/hyperlink" Target="https://undocs.org/fr/CAT/C/63/D/488/2012" TargetMode="External"/><Relationship Id="rId10" Type="http://schemas.openxmlformats.org/officeDocument/2006/relationships/hyperlink" Target="https://undocs.org/fr/A/HRC/51/60" TargetMode="External"/><Relationship Id="rId4" Type="http://schemas.openxmlformats.org/officeDocument/2006/relationships/hyperlink" Target="https://undocs.org/fr/CAT/C/52/D/525/2012" TargetMode="External"/><Relationship Id="rId9" Type="http://schemas.openxmlformats.org/officeDocument/2006/relationships/hyperlink" Target="https://undocs.org/fr/A/HRC/48/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4125</Words>
  <Characters>23061</Characters>
  <Application>Microsoft Office Word</Application>
  <DocSecurity>0</DocSecurity>
  <Lines>2306</Lines>
  <Paragraphs>1087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CAT/C/75/D/962/2019</dc:title>
  <dc:subject/>
  <dc:creator>Maud DARICHE</dc:creator>
  <cp:keywords/>
  <cp:lastModifiedBy>Maud Dariche</cp:lastModifiedBy>
  <cp:revision>3</cp:revision>
  <cp:lastPrinted>2023-02-16T09:56:00Z</cp:lastPrinted>
  <dcterms:created xsi:type="dcterms:W3CDTF">2023-02-16T09:56:00Z</dcterms:created>
  <dcterms:modified xsi:type="dcterms:W3CDTF">2023-02-16T09:56:00Z</dcterms:modified>
</cp:coreProperties>
</file>