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14:paraId="6FEE796C" w14:textId="77777777" w:rsidTr="00B80413">
        <w:trPr>
          <w:trHeight w:hRule="exact" w:val="851"/>
        </w:trPr>
        <w:tc>
          <w:tcPr>
            <w:tcW w:w="1280" w:type="dxa"/>
            <w:tcBorders>
              <w:bottom w:val="single" w:sz="4" w:space="0" w:color="auto"/>
            </w:tcBorders>
          </w:tcPr>
          <w:p w14:paraId="277C1570" w14:textId="77777777" w:rsidR="002D5AAC" w:rsidRDefault="002D5AAC" w:rsidP="00B213D2"/>
        </w:tc>
        <w:tc>
          <w:tcPr>
            <w:tcW w:w="2273" w:type="dxa"/>
            <w:tcBorders>
              <w:bottom w:val="single" w:sz="4" w:space="0" w:color="auto"/>
            </w:tcBorders>
            <w:vAlign w:val="bottom"/>
          </w:tcPr>
          <w:p w14:paraId="5E4F3570" w14:textId="77777777" w:rsidR="002D5AAC" w:rsidRPr="00BD33EE" w:rsidRDefault="00BD33EE" w:rsidP="00B213D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1FC1FC08" w14:textId="7D1B7AEF" w:rsidR="002D5AAC" w:rsidRPr="00F46ADB" w:rsidRDefault="00F46ADB" w:rsidP="00F46ADB">
            <w:pPr>
              <w:jc w:val="right"/>
            </w:pPr>
            <w:r w:rsidRPr="00F46ADB">
              <w:rPr>
                <w:sz w:val="40"/>
              </w:rPr>
              <w:t>CAT</w:t>
            </w:r>
            <w:r>
              <w:t>/C/75/D/930/2019</w:t>
            </w:r>
          </w:p>
        </w:tc>
      </w:tr>
      <w:tr w:rsidR="002D5AAC" w14:paraId="104DB414" w14:textId="77777777" w:rsidTr="00B80413">
        <w:trPr>
          <w:trHeight w:hRule="exact" w:val="2835"/>
        </w:trPr>
        <w:tc>
          <w:tcPr>
            <w:tcW w:w="1280" w:type="dxa"/>
            <w:tcBorders>
              <w:top w:val="single" w:sz="4" w:space="0" w:color="auto"/>
              <w:bottom w:val="single" w:sz="12" w:space="0" w:color="auto"/>
            </w:tcBorders>
          </w:tcPr>
          <w:p w14:paraId="2AB51F1E" w14:textId="77777777" w:rsidR="002D5AAC" w:rsidRDefault="008D7A8B" w:rsidP="00B213D2">
            <w:pPr>
              <w:spacing w:before="120"/>
              <w:jc w:val="center"/>
            </w:pPr>
            <w:r>
              <w:rPr>
                <w:noProof/>
                <w:lang w:val="en-GB" w:eastAsia="en-GB"/>
              </w:rPr>
              <w:drawing>
                <wp:inline distT="0" distB="0" distL="0" distR="0" wp14:anchorId="7E2864E6" wp14:editId="6EB3CA42">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177978C" w14:textId="77777777" w:rsidR="002D5AAC" w:rsidRPr="00033EE1" w:rsidRDefault="00F94155" w:rsidP="00B213D2">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14:paraId="63FD7A93" w14:textId="57E05AA3" w:rsidR="002D5AAC" w:rsidRPr="00E47DFB" w:rsidRDefault="00B80413" w:rsidP="00B80413">
            <w:pPr>
              <w:spacing w:before="240" w:line="240" w:lineRule="exact"/>
            </w:pPr>
            <w:r>
              <w:t xml:space="preserve">Distr. </w:t>
            </w:r>
            <w:r w:rsidR="0080517B">
              <w:t>g</w:t>
            </w:r>
            <w:r w:rsidR="00EE2AA3">
              <w:t>eneral</w:t>
            </w:r>
          </w:p>
          <w:p w14:paraId="0E543365" w14:textId="7D36FBC4" w:rsidR="00B80413" w:rsidRDefault="00B72B46" w:rsidP="00B80413">
            <w:pPr>
              <w:spacing w:line="240" w:lineRule="exact"/>
            </w:pPr>
            <w:r>
              <w:t>1</w:t>
            </w:r>
            <w:r w:rsidR="00237FDE">
              <w:t>4</w:t>
            </w:r>
            <w:r w:rsidR="008304D2">
              <w:t xml:space="preserve"> de </w:t>
            </w:r>
            <w:r w:rsidR="001B1899">
              <w:t>febrero</w:t>
            </w:r>
            <w:r w:rsidR="00EE2AA3">
              <w:t xml:space="preserve"> </w:t>
            </w:r>
            <w:r w:rsidR="00B80413">
              <w:t>de 202</w:t>
            </w:r>
            <w:r w:rsidR="004670A3">
              <w:t>3</w:t>
            </w:r>
          </w:p>
          <w:p w14:paraId="4F446E66" w14:textId="77777777" w:rsidR="00B80413" w:rsidRDefault="00B80413" w:rsidP="00B80413">
            <w:pPr>
              <w:spacing w:line="240" w:lineRule="exact"/>
            </w:pPr>
          </w:p>
          <w:p w14:paraId="78A2957C" w14:textId="2701FA50" w:rsidR="00B80413" w:rsidRDefault="00B80413" w:rsidP="00091EFE">
            <w:pPr>
              <w:spacing w:line="240" w:lineRule="exact"/>
            </w:pPr>
            <w:r>
              <w:t>Original: español</w:t>
            </w:r>
          </w:p>
        </w:tc>
      </w:tr>
    </w:tbl>
    <w:p w14:paraId="10022AD3" w14:textId="77777777" w:rsidR="00B80413" w:rsidRPr="00B80413" w:rsidRDefault="00B80413" w:rsidP="00B80413">
      <w:pPr>
        <w:suppressAutoHyphens/>
        <w:kinsoku w:val="0"/>
        <w:overflowPunct w:val="0"/>
        <w:autoSpaceDE w:val="0"/>
        <w:autoSpaceDN w:val="0"/>
        <w:adjustRightInd w:val="0"/>
        <w:snapToGrid w:val="0"/>
        <w:spacing w:before="120" w:line="240" w:lineRule="exact"/>
        <w:rPr>
          <w:rFonts w:eastAsia="Calibri"/>
          <w:b/>
          <w:sz w:val="24"/>
          <w:szCs w:val="24"/>
          <w:lang w:eastAsia="en-US"/>
        </w:rPr>
      </w:pPr>
      <w:r w:rsidRPr="00B80413">
        <w:rPr>
          <w:rFonts w:eastAsia="Calibri"/>
          <w:b/>
          <w:sz w:val="24"/>
          <w:szCs w:val="24"/>
          <w:lang w:eastAsia="en-US"/>
        </w:rPr>
        <w:t>Comité contra la Tortura</w:t>
      </w:r>
    </w:p>
    <w:p w14:paraId="363095D5" w14:textId="1AD504AD" w:rsidR="00051A34" w:rsidRPr="00091EFE" w:rsidRDefault="00E47DFB" w:rsidP="006F68FF">
      <w:pPr>
        <w:pStyle w:val="HChG"/>
        <w:rPr>
          <w:bCs/>
          <w:sz w:val="20"/>
          <w:vertAlign w:val="superscript"/>
        </w:rPr>
      </w:pPr>
      <w:r>
        <w:rPr>
          <w:lang w:val="es-ES_tradnl"/>
        </w:rPr>
        <w:tab/>
      </w:r>
      <w:r>
        <w:rPr>
          <w:lang w:val="es-ES_tradnl"/>
        </w:rPr>
        <w:tab/>
      </w:r>
      <w:r w:rsidR="00EE2AA3" w:rsidRPr="00EE2AA3">
        <w:t>Decisión adoptada por el Comité en virtud del</w:t>
      </w:r>
      <w:r w:rsidR="00EE2AA3" w:rsidRPr="00EE2AA3">
        <w:br/>
        <w:t>artículo 22 de la Convención, respecto de la</w:t>
      </w:r>
      <w:r w:rsidR="00091EFE">
        <w:br/>
      </w:r>
      <w:r w:rsidR="00F823E7">
        <w:rPr>
          <w:lang w:val="es-ES_tradnl"/>
        </w:rPr>
        <w:t>c</w:t>
      </w:r>
      <w:r w:rsidR="00051A34" w:rsidRPr="00964A90">
        <w:rPr>
          <w:lang w:val="es-ES_tradnl"/>
        </w:rPr>
        <w:t>omunicación núm. 930/2019</w:t>
      </w:r>
      <w:r w:rsidR="00091EFE" w:rsidRPr="00091EFE">
        <w:rPr>
          <w:rStyle w:val="Refdenotaalpie"/>
          <w:sz w:val="20"/>
          <w:vertAlign w:val="baseline"/>
          <w:lang w:val="es-ES_tradnl"/>
        </w:rPr>
        <w:footnoteReference w:customMarkFollows="1" w:id="1"/>
        <w:t>*</w:t>
      </w:r>
      <w:r w:rsidR="00091EFE">
        <w:rPr>
          <w:rStyle w:val="Refdenotaalpie"/>
          <w:sz w:val="20"/>
          <w:vertAlign w:val="baseline"/>
          <w:lang w:val="es-ES_tradnl"/>
        </w:rPr>
        <w:t xml:space="preserve"> </w:t>
      </w:r>
      <w:r w:rsidR="00091EFE" w:rsidRPr="00091EFE">
        <w:rPr>
          <w:rStyle w:val="Refdenotaalpie"/>
          <w:sz w:val="20"/>
          <w:vertAlign w:val="baseline"/>
          <w:lang w:val="es-ES_tradnl"/>
        </w:rPr>
        <w:footnoteReference w:customMarkFollows="1" w:id="2"/>
        <w:t>**</w:t>
      </w:r>
    </w:p>
    <w:p w14:paraId="3089C2C5" w14:textId="4CBCE0C9" w:rsidR="00051A34" w:rsidRPr="005A6D85" w:rsidRDefault="00051A34" w:rsidP="00F8278C">
      <w:pPr>
        <w:pStyle w:val="SingleTxtG"/>
        <w:tabs>
          <w:tab w:val="clear" w:pos="1701"/>
          <w:tab w:val="clear" w:pos="2268"/>
          <w:tab w:val="clear" w:pos="2835"/>
        </w:tabs>
        <w:spacing w:line="276" w:lineRule="auto"/>
        <w:ind w:left="4536" w:hanging="2835"/>
        <w:jc w:val="left"/>
      </w:pPr>
      <w:r w:rsidRPr="005A6D85">
        <w:rPr>
          <w:i/>
        </w:rPr>
        <w:t>Comunicación presentada por:</w:t>
      </w:r>
      <w:r w:rsidRPr="005A6D85">
        <w:tab/>
        <w:t>T.</w:t>
      </w:r>
      <w:r w:rsidR="004670A3">
        <w:t xml:space="preserve"> </w:t>
      </w:r>
      <w:r w:rsidRPr="005A6D85">
        <w:t xml:space="preserve">C. (representado por Dania Coz Barón de la Comisión de Derechos </w:t>
      </w:r>
      <w:r w:rsidRPr="005879E3">
        <w:t>Humanos)</w:t>
      </w:r>
    </w:p>
    <w:p w14:paraId="3001DAE8" w14:textId="2A87E77D" w:rsidR="00051A34" w:rsidRPr="005A6D85" w:rsidRDefault="00051A34" w:rsidP="00F8278C">
      <w:pPr>
        <w:pStyle w:val="SingleTxtG"/>
        <w:tabs>
          <w:tab w:val="clear" w:pos="1701"/>
          <w:tab w:val="clear" w:pos="2268"/>
          <w:tab w:val="clear" w:pos="2835"/>
        </w:tabs>
        <w:spacing w:line="276" w:lineRule="auto"/>
        <w:ind w:left="4536" w:hanging="2835"/>
        <w:jc w:val="left"/>
      </w:pPr>
      <w:r w:rsidRPr="005A6D85">
        <w:rPr>
          <w:i/>
        </w:rPr>
        <w:t>Presunta víctima:</w:t>
      </w:r>
      <w:r w:rsidRPr="005A6D85">
        <w:tab/>
      </w:r>
      <w:r w:rsidR="005879E3">
        <w:t>El autor</w:t>
      </w:r>
    </w:p>
    <w:p w14:paraId="5237C55E" w14:textId="77777777" w:rsidR="00051A34" w:rsidRPr="005A6D85" w:rsidRDefault="00051A34" w:rsidP="00F8278C">
      <w:pPr>
        <w:pStyle w:val="SingleTxtG"/>
        <w:tabs>
          <w:tab w:val="clear" w:pos="1701"/>
          <w:tab w:val="clear" w:pos="2268"/>
          <w:tab w:val="clear" w:pos="2835"/>
        </w:tabs>
        <w:spacing w:line="276" w:lineRule="auto"/>
        <w:ind w:left="4536" w:hanging="2835"/>
        <w:jc w:val="left"/>
      </w:pPr>
      <w:r w:rsidRPr="005A6D85">
        <w:rPr>
          <w:i/>
        </w:rPr>
        <w:t>Estado parte:</w:t>
      </w:r>
      <w:r w:rsidRPr="005A6D85">
        <w:tab/>
        <w:t>Perú</w:t>
      </w:r>
    </w:p>
    <w:p w14:paraId="409B897E" w14:textId="3AC86341" w:rsidR="00051A34" w:rsidRPr="005A6D85" w:rsidRDefault="00051A34" w:rsidP="00F8278C">
      <w:pPr>
        <w:pStyle w:val="SingleTxtG"/>
        <w:tabs>
          <w:tab w:val="clear" w:pos="1701"/>
          <w:tab w:val="clear" w:pos="2268"/>
          <w:tab w:val="clear" w:pos="2835"/>
        </w:tabs>
        <w:spacing w:line="276" w:lineRule="auto"/>
        <w:ind w:left="4536" w:hanging="2835"/>
        <w:jc w:val="left"/>
      </w:pPr>
      <w:r w:rsidRPr="005A6D85">
        <w:rPr>
          <w:i/>
        </w:rPr>
        <w:t xml:space="preserve">Fecha de la </w:t>
      </w:r>
      <w:r w:rsidR="00721A9C">
        <w:rPr>
          <w:i/>
        </w:rPr>
        <w:t>queja</w:t>
      </w:r>
      <w:r w:rsidRPr="005A6D85">
        <w:rPr>
          <w:i/>
        </w:rPr>
        <w:t>:</w:t>
      </w:r>
      <w:r w:rsidRPr="005A6D85">
        <w:tab/>
        <w:t>31 de agosto de 2016 (presentación inicial)</w:t>
      </w:r>
    </w:p>
    <w:p w14:paraId="29F67CF1" w14:textId="77777777" w:rsidR="00051A34" w:rsidRPr="005A6D85" w:rsidRDefault="00051A34" w:rsidP="00F8278C">
      <w:pPr>
        <w:pStyle w:val="SingleTxtG"/>
        <w:tabs>
          <w:tab w:val="clear" w:pos="1701"/>
          <w:tab w:val="clear" w:pos="2268"/>
          <w:tab w:val="clear" w:pos="2835"/>
        </w:tabs>
        <w:spacing w:after="0" w:line="240" w:lineRule="auto"/>
        <w:ind w:left="4536" w:hanging="2835"/>
        <w:jc w:val="left"/>
        <w:rPr>
          <w:i/>
        </w:rPr>
      </w:pPr>
      <w:r w:rsidRPr="005A6D85">
        <w:rPr>
          <w:i/>
        </w:rPr>
        <w:t xml:space="preserve">Fecha de adopción </w:t>
      </w:r>
    </w:p>
    <w:p w14:paraId="7023FF0B" w14:textId="00903993" w:rsidR="00051A34" w:rsidRPr="005A6D85" w:rsidRDefault="00051A34" w:rsidP="00F5640D">
      <w:pPr>
        <w:pStyle w:val="SingleTxtG"/>
        <w:tabs>
          <w:tab w:val="clear" w:pos="1701"/>
          <w:tab w:val="clear" w:pos="2268"/>
          <w:tab w:val="clear" w:pos="2835"/>
        </w:tabs>
        <w:spacing w:line="276" w:lineRule="auto"/>
        <w:ind w:left="4536" w:hanging="2835"/>
        <w:jc w:val="left"/>
      </w:pPr>
      <w:r w:rsidRPr="005A6D85">
        <w:rPr>
          <w:i/>
        </w:rPr>
        <w:t>de</w:t>
      </w:r>
      <w:r w:rsidR="00F823E7">
        <w:rPr>
          <w:i/>
        </w:rPr>
        <w:t xml:space="preserve"> </w:t>
      </w:r>
      <w:r w:rsidRPr="005A6D85">
        <w:rPr>
          <w:i/>
        </w:rPr>
        <w:t>l</w:t>
      </w:r>
      <w:r w:rsidR="00F823E7">
        <w:rPr>
          <w:i/>
        </w:rPr>
        <w:t>a</w:t>
      </w:r>
      <w:r w:rsidRPr="005A6D85">
        <w:rPr>
          <w:i/>
        </w:rPr>
        <w:t xml:space="preserve"> </w:t>
      </w:r>
      <w:r w:rsidR="00F823E7">
        <w:rPr>
          <w:i/>
        </w:rPr>
        <w:t>decisión</w:t>
      </w:r>
      <w:r w:rsidRPr="005A6D85">
        <w:rPr>
          <w:i/>
        </w:rPr>
        <w:t>:</w:t>
      </w:r>
      <w:r>
        <w:tab/>
      </w:r>
      <w:r w:rsidR="00F5640D">
        <w:tab/>
      </w:r>
      <w:r w:rsidR="009564A9">
        <w:t>4</w:t>
      </w:r>
      <w:r w:rsidR="00A254AF">
        <w:t xml:space="preserve"> de </w:t>
      </w:r>
      <w:r w:rsidRPr="005A6D85">
        <w:t>noviembre de 2022</w:t>
      </w:r>
    </w:p>
    <w:p w14:paraId="2FFC2C81" w14:textId="066F966D" w:rsidR="00051A34" w:rsidRPr="005A6D85" w:rsidRDefault="00051A34" w:rsidP="00F8278C">
      <w:pPr>
        <w:pStyle w:val="SingleTxtG"/>
        <w:tabs>
          <w:tab w:val="clear" w:pos="1701"/>
          <w:tab w:val="clear" w:pos="2268"/>
          <w:tab w:val="clear" w:pos="2835"/>
        </w:tabs>
        <w:spacing w:line="276" w:lineRule="auto"/>
        <w:ind w:left="4536" w:hanging="2835"/>
        <w:jc w:val="left"/>
      </w:pPr>
      <w:r w:rsidRPr="005A6D85">
        <w:rPr>
          <w:i/>
        </w:rPr>
        <w:t>Asunto:</w:t>
      </w:r>
      <w:r w:rsidRPr="005A6D85">
        <w:tab/>
      </w:r>
      <w:r w:rsidR="00F8278C">
        <w:tab/>
      </w:r>
      <w:r w:rsidRPr="005A6D85">
        <w:t>Tortura y otros tratos o penas crueles, inhumanos o degradantes; falta de una investigación efectiva y de una reparación</w:t>
      </w:r>
    </w:p>
    <w:p w14:paraId="78440CBA" w14:textId="00128B77" w:rsidR="00051A34" w:rsidRPr="005A6D85" w:rsidRDefault="00051A34" w:rsidP="00F8278C">
      <w:pPr>
        <w:pStyle w:val="SingleTxtG"/>
        <w:tabs>
          <w:tab w:val="clear" w:pos="1701"/>
          <w:tab w:val="clear" w:pos="2268"/>
          <w:tab w:val="clear" w:pos="2835"/>
        </w:tabs>
        <w:spacing w:line="276" w:lineRule="auto"/>
        <w:ind w:left="4536" w:hanging="2835"/>
        <w:jc w:val="left"/>
      </w:pPr>
      <w:r w:rsidRPr="005A6D85">
        <w:rPr>
          <w:i/>
        </w:rPr>
        <w:t xml:space="preserve">Cuestiones </w:t>
      </w:r>
      <w:r w:rsidRPr="003462A4">
        <w:rPr>
          <w:i/>
        </w:rPr>
        <w:t>de procedimiento:</w:t>
      </w:r>
      <w:r w:rsidRPr="005A6D85">
        <w:tab/>
      </w:r>
      <w:r w:rsidRPr="00DA38EE">
        <w:t>Agotamiento de recursos internos</w:t>
      </w:r>
      <w:r w:rsidR="004670A3" w:rsidRPr="00091EFE">
        <w:t xml:space="preserve"> y</w:t>
      </w:r>
      <w:r w:rsidRPr="00DA38EE">
        <w:t xml:space="preserve"> competencia </w:t>
      </w:r>
      <w:r w:rsidRPr="00DA38EE">
        <w:rPr>
          <w:i/>
        </w:rPr>
        <w:t>ratione materiae</w:t>
      </w:r>
    </w:p>
    <w:p w14:paraId="65A940CA" w14:textId="627D12CB" w:rsidR="00051A34" w:rsidRPr="005A6D85" w:rsidRDefault="00051A34" w:rsidP="00F8278C">
      <w:pPr>
        <w:pStyle w:val="SingleTxtG"/>
        <w:tabs>
          <w:tab w:val="clear" w:pos="1701"/>
          <w:tab w:val="clear" w:pos="2268"/>
          <w:tab w:val="clear" w:pos="2835"/>
        </w:tabs>
        <w:spacing w:line="276" w:lineRule="auto"/>
        <w:ind w:left="4536" w:hanging="2835"/>
        <w:jc w:val="left"/>
      </w:pPr>
      <w:r w:rsidRPr="005A6D85">
        <w:rPr>
          <w:i/>
        </w:rPr>
        <w:t>Cuestiones de fondo:</w:t>
      </w:r>
      <w:r w:rsidR="00F8278C">
        <w:rPr>
          <w:i/>
        </w:rPr>
        <w:tab/>
      </w:r>
      <w:r w:rsidRPr="005A6D85">
        <w:t xml:space="preserve">Tortura y otros tratos o penas crueles, inhumanos o degradantes; </w:t>
      </w:r>
      <w:r w:rsidR="005879E3">
        <w:t>derecho</w:t>
      </w:r>
      <w:r w:rsidRPr="005A6D85">
        <w:t xml:space="preserve"> a una investigación pronta e imparcial; derecho a presentar una queja; derecho a obtener una reparación</w:t>
      </w:r>
    </w:p>
    <w:p w14:paraId="29278417" w14:textId="5AB0170D" w:rsidR="00051A34" w:rsidRDefault="00051A34" w:rsidP="00F8278C">
      <w:pPr>
        <w:pStyle w:val="SingleTxtG"/>
        <w:tabs>
          <w:tab w:val="clear" w:pos="1701"/>
          <w:tab w:val="clear" w:pos="2268"/>
          <w:tab w:val="clear" w:pos="2835"/>
        </w:tabs>
        <w:spacing w:line="276" w:lineRule="auto"/>
        <w:ind w:left="4536" w:hanging="2835"/>
        <w:jc w:val="left"/>
      </w:pPr>
      <w:r w:rsidRPr="005A6D85">
        <w:rPr>
          <w:i/>
        </w:rPr>
        <w:t>Artículos de la Convención:</w:t>
      </w:r>
      <w:r w:rsidR="00A254AF">
        <w:rPr>
          <w:i/>
        </w:rPr>
        <w:tab/>
      </w:r>
      <w:r w:rsidRPr="005A6D85">
        <w:t>2</w:t>
      </w:r>
      <w:r w:rsidR="001909A0">
        <w:t xml:space="preserve">, párr. </w:t>
      </w:r>
      <w:r w:rsidRPr="005A6D85">
        <w:t>1</w:t>
      </w:r>
      <w:r w:rsidR="001909A0">
        <w:t>;</w:t>
      </w:r>
      <w:r w:rsidRPr="005A6D85">
        <w:t xml:space="preserve"> 12</w:t>
      </w:r>
      <w:r w:rsidR="001909A0">
        <w:t>;</w:t>
      </w:r>
      <w:r w:rsidRPr="005A6D85">
        <w:t xml:space="preserve"> 13 y 14</w:t>
      </w:r>
    </w:p>
    <w:p w14:paraId="6C031FC0" w14:textId="7CA572D6" w:rsidR="00AF4E1E" w:rsidRPr="00AF4E1E" w:rsidRDefault="00AF4E1E" w:rsidP="00AF4E1E">
      <w:pPr>
        <w:pStyle w:val="SingleTxtG"/>
      </w:pPr>
      <w:r w:rsidRPr="00AF4E1E">
        <w:t xml:space="preserve">1.1 </w:t>
      </w:r>
      <w:r>
        <w:tab/>
      </w:r>
      <w:r w:rsidRPr="00AF4E1E">
        <w:t xml:space="preserve">El autor de la </w:t>
      </w:r>
      <w:r w:rsidR="00BA6ECA">
        <w:t>queja</w:t>
      </w:r>
      <w:r w:rsidR="00BA6ECA" w:rsidRPr="00AF4E1E">
        <w:t xml:space="preserve"> </w:t>
      </w:r>
      <w:r w:rsidRPr="00AF4E1E">
        <w:t>es T.</w:t>
      </w:r>
      <w:r w:rsidR="004670A3">
        <w:t xml:space="preserve"> </w:t>
      </w:r>
      <w:r w:rsidRPr="00AF4E1E">
        <w:t>C., nacional</w:t>
      </w:r>
      <w:r w:rsidR="001909A0">
        <w:t xml:space="preserve"> del</w:t>
      </w:r>
      <w:r w:rsidRPr="00AF4E1E">
        <w:t xml:space="preserve"> </w:t>
      </w:r>
      <w:r w:rsidR="001909A0">
        <w:t>Perú</w:t>
      </w:r>
      <w:r w:rsidRPr="00AF4E1E">
        <w:t>, nacido el 21 de agosto de 1990. Afirma</w:t>
      </w:r>
      <w:r w:rsidR="00FE166C">
        <w:t xml:space="preserve"> que</w:t>
      </w:r>
      <w:r w:rsidR="00FE166C" w:rsidRPr="00FE166C">
        <w:t xml:space="preserve"> </w:t>
      </w:r>
      <w:r w:rsidR="00FE166C" w:rsidRPr="00AF4E1E">
        <w:t>el Estado parte</w:t>
      </w:r>
      <w:r w:rsidRPr="00AF4E1E">
        <w:t xml:space="preserve"> </w:t>
      </w:r>
      <w:r w:rsidR="00FE166C">
        <w:t>ha</w:t>
      </w:r>
      <w:r w:rsidRPr="00AF4E1E">
        <w:t xml:space="preserve"> viola</w:t>
      </w:r>
      <w:r w:rsidR="00FE166C">
        <w:t>do</w:t>
      </w:r>
      <w:r w:rsidRPr="00AF4E1E">
        <w:t xml:space="preserve"> </w:t>
      </w:r>
      <w:r w:rsidR="00FE166C">
        <w:t>los</w:t>
      </w:r>
      <w:r w:rsidRPr="00AF4E1E">
        <w:t xml:space="preserve"> derechos </w:t>
      </w:r>
      <w:r w:rsidR="00FE166C">
        <w:t>que lo asisten en virtud de</w:t>
      </w:r>
      <w:r w:rsidRPr="00AF4E1E">
        <w:t xml:space="preserve"> los artículos 2</w:t>
      </w:r>
      <w:r w:rsidR="00FE166C">
        <w:t>, párrafo </w:t>
      </w:r>
      <w:r w:rsidRPr="00AF4E1E">
        <w:t xml:space="preserve">1, 12, 13 y 14 de la Convención. El autor está representado por </w:t>
      </w:r>
      <w:r w:rsidR="00FE166C">
        <w:t xml:space="preserve">una </w:t>
      </w:r>
      <w:r w:rsidRPr="00AF4E1E">
        <w:t xml:space="preserve">abogada. </w:t>
      </w:r>
    </w:p>
    <w:p w14:paraId="4EE5E7D5" w14:textId="60B19F91" w:rsidR="00AF4E1E" w:rsidRPr="00AF4E1E" w:rsidRDefault="00AF4E1E" w:rsidP="00AF4E1E">
      <w:pPr>
        <w:spacing w:after="120" w:line="276" w:lineRule="auto"/>
        <w:ind w:left="1134" w:right="1134"/>
        <w:jc w:val="both"/>
        <w:rPr>
          <w:spacing w:val="-2"/>
        </w:rPr>
      </w:pPr>
      <w:r w:rsidRPr="00AF4E1E">
        <w:rPr>
          <w:spacing w:val="-2"/>
        </w:rPr>
        <w:t>1.2</w:t>
      </w:r>
      <w:r w:rsidRPr="00AF4E1E">
        <w:rPr>
          <w:spacing w:val="-2"/>
        </w:rPr>
        <w:tab/>
        <w:t xml:space="preserve">El Estado parte </w:t>
      </w:r>
      <w:r w:rsidR="007D4101">
        <w:rPr>
          <w:spacing w:val="-2"/>
        </w:rPr>
        <w:t xml:space="preserve">ha formulado la </w:t>
      </w:r>
      <w:r w:rsidRPr="00AF4E1E">
        <w:rPr>
          <w:spacing w:val="-2"/>
        </w:rPr>
        <w:t>declar</w:t>
      </w:r>
      <w:r w:rsidR="007D4101">
        <w:rPr>
          <w:spacing w:val="-2"/>
        </w:rPr>
        <w:t xml:space="preserve">ación prevista en el </w:t>
      </w:r>
      <w:r w:rsidR="007D4101" w:rsidRPr="00AF4E1E">
        <w:rPr>
          <w:spacing w:val="-2"/>
        </w:rPr>
        <w:t>artículo 22</w:t>
      </w:r>
      <w:r w:rsidR="007D4101">
        <w:rPr>
          <w:spacing w:val="-2"/>
        </w:rPr>
        <w:t>, párrafo 1,</w:t>
      </w:r>
      <w:r w:rsidR="007D4101" w:rsidRPr="00AF4E1E">
        <w:rPr>
          <w:spacing w:val="-2"/>
        </w:rPr>
        <w:t xml:space="preserve"> de la Convención</w:t>
      </w:r>
      <w:r w:rsidR="007D4101">
        <w:rPr>
          <w:spacing w:val="-2"/>
        </w:rPr>
        <w:t>, con efectos a partir</w:t>
      </w:r>
      <w:r w:rsidR="007D4101" w:rsidRPr="00AF4E1E" w:rsidDel="007D4101">
        <w:rPr>
          <w:spacing w:val="-2"/>
        </w:rPr>
        <w:t xml:space="preserve"> </w:t>
      </w:r>
      <w:r w:rsidR="007D4101">
        <w:rPr>
          <w:spacing w:val="-2"/>
        </w:rPr>
        <w:t>d</w:t>
      </w:r>
      <w:r w:rsidRPr="00AF4E1E">
        <w:rPr>
          <w:spacing w:val="-2"/>
        </w:rPr>
        <w:t>el 7 de julio de 1988.</w:t>
      </w:r>
    </w:p>
    <w:p w14:paraId="64FBC38C" w14:textId="1943689A" w:rsidR="00AF4E1E" w:rsidRPr="00AF4E1E" w:rsidRDefault="00AF4E1E" w:rsidP="00AF4E1E">
      <w:pPr>
        <w:pStyle w:val="H23G"/>
      </w:pPr>
      <w:r>
        <w:tab/>
      </w:r>
      <w:r>
        <w:tab/>
      </w:r>
      <w:r w:rsidR="004670A3">
        <w:t>H</w:t>
      </w:r>
      <w:r w:rsidRPr="00AF4E1E">
        <w:t>echos expuestos por el autor</w:t>
      </w:r>
    </w:p>
    <w:p w14:paraId="2989C4A7" w14:textId="5A8EF950" w:rsidR="00AF4E1E" w:rsidRPr="00AF4E1E" w:rsidRDefault="00AF4E1E" w:rsidP="00AF4E1E">
      <w:pPr>
        <w:pStyle w:val="SingleTxtG"/>
      </w:pPr>
      <w:r w:rsidRPr="00AF4E1E">
        <w:t>2.1</w:t>
      </w:r>
      <w:r w:rsidRPr="00AF4E1E">
        <w:tab/>
        <w:t xml:space="preserve">El 8 de septiembre de 2007, se habría producido el hurto de un toro en el municipio de Uchumarca </w:t>
      </w:r>
      <w:r w:rsidR="00857454">
        <w:t>(</w:t>
      </w:r>
      <w:r w:rsidRPr="00AF4E1E">
        <w:t xml:space="preserve">distrito de Yanahuanca, </w:t>
      </w:r>
      <w:r w:rsidR="00857454">
        <w:t>p</w:t>
      </w:r>
      <w:r w:rsidRPr="00AF4E1E">
        <w:t xml:space="preserve">rovincia de Daniel Alcides Carrión, </w:t>
      </w:r>
      <w:r w:rsidR="00857454">
        <w:t>d</w:t>
      </w:r>
      <w:r w:rsidRPr="00AF4E1E">
        <w:t xml:space="preserve">epartamento </w:t>
      </w:r>
      <w:r w:rsidRPr="00AF4E1E">
        <w:lastRenderedPageBreak/>
        <w:t>de Pasco</w:t>
      </w:r>
      <w:r w:rsidR="00857454">
        <w:t>)</w:t>
      </w:r>
      <w:r w:rsidRPr="00AF4E1E">
        <w:t>. El 9 de septiembre de 2007, aproximadamente a las 20</w:t>
      </w:r>
      <w:r w:rsidR="00857454">
        <w:t>.</w:t>
      </w:r>
      <w:r w:rsidRPr="00AF4E1E">
        <w:t>30</w:t>
      </w:r>
      <w:r w:rsidR="005879E3">
        <w:t> horas</w:t>
      </w:r>
      <w:r w:rsidRPr="00AF4E1E">
        <w:t>, dos Tenientes Gobernadores, el Vicepresidente de la Junta Directiva y dos comuneros</w:t>
      </w:r>
      <w:r w:rsidR="00466A08">
        <w:t xml:space="preserve"> </w:t>
      </w:r>
      <w:r w:rsidRPr="00AF4E1E">
        <w:t xml:space="preserve">habrían acudido al domicilio del autor, quien entonces era menor de edad, y se habrían entrevistado con su padre, comunicándole que debían trasladar a su hijo a la </w:t>
      </w:r>
      <w:r w:rsidR="00DD1D33">
        <w:t>Di</w:t>
      </w:r>
      <w:r w:rsidR="009E183A">
        <w:t>rección</w:t>
      </w:r>
      <w:r w:rsidR="00DD1D33">
        <w:t xml:space="preserve"> de Investigación Criminal</w:t>
      </w:r>
      <w:r w:rsidRPr="00AF4E1E">
        <w:t xml:space="preserve"> de la Policía Nacional del Perú en Cerro de Pasco porque existía una denuncia contra él por abigeato</w:t>
      </w:r>
      <w:r w:rsidR="00DD1D33">
        <w:t>.</w:t>
      </w:r>
      <w:r w:rsidRPr="00AF4E1E">
        <w:t xml:space="preserve"> El autor habría sido trasladado al local de la Municipalidad de Uchumarca, en compañía de su padre, donde habrían firmado un “acta de intervención” indicando que sería conducido de forma pacífica a la </w:t>
      </w:r>
      <w:r w:rsidR="0016508C">
        <w:t>Di</w:t>
      </w:r>
      <w:r w:rsidR="009E183A">
        <w:t>rección</w:t>
      </w:r>
      <w:r w:rsidR="0016508C">
        <w:t xml:space="preserve"> de Investigación Criminal</w:t>
      </w:r>
      <w:r w:rsidRPr="00AF4E1E">
        <w:t>. Alrededor de las 22</w:t>
      </w:r>
      <w:r w:rsidR="0016508C">
        <w:t>.</w:t>
      </w:r>
      <w:r w:rsidRPr="00AF4E1E">
        <w:t>30</w:t>
      </w:r>
      <w:r w:rsidR="0016508C">
        <w:t> </w:t>
      </w:r>
      <w:r w:rsidRPr="00AF4E1E">
        <w:t xml:space="preserve">horas, los Tenientes Gobernadores habrían solicitado el apoyo del propietario de un vehículo </w:t>
      </w:r>
      <w:r w:rsidR="0016508C">
        <w:t>familiar</w:t>
      </w:r>
      <w:r w:rsidRPr="00AF4E1E">
        <w:t xml:space="preserve"> con el objetivo de trasladar al autor a la ciudad de Cerro de Pasco</w:t>
      </w:r>
      <w:r w:rsidR="009E183A">
        <w:t xml:space="preserve"> (capital de la región de Pasco)</w:t>
      </w:r>
      <w:r w:rsidRPr="00AF4E1E">
        <w:t>. El padre del autor habría sido obligado a permanecer en Uchumarca.</w:t>
      </w:r>
    </w:p>
    <w:p w14:paraId="2549F8A3" w14:textId="281C051D" w:rsidR="00AF4E1E" w:rsidRPr="00AF4E1E" w:rsidRDefault="00AF4E1E" w:rsidP="00AF4E1E">
      <w:pPr>
        <w:pStyle w:val="SingleTxtG"/>
      </w:pPr>
      <w:r w:rsidRPr="00AF4E1E">
        <w:t>2.2</w:t>
      </w:r>
      <w:r w:rsidRPr="00AF4E1E">
        <w:tab/>
        <w:t xml:space="preserve">Tras haber recorrido aproximadamente </w:t>
      </w:r>
      <w:r w:rsidR="0016508C">
        <w:t>2</w:t>
      </w:r>
      <w:r w:rsidR="0016508C" w:rsidRPr="00AF4E1E">
        <w:t xml:space="preserve"> </w:t>
      </w:r>
      <w:r w:rsidRPr="00AF4E1E">
        <w:t>k</w:t>
      </w:r>
      <w:r w:rsidR="00267884">
        <w:t>m</w:t>
      </w:r>
      <w:r w:rsidRPr="00AF4E1E">
        <w:t xml:space="preserve">, los agentes públicos mencionados habrían bajado al autor del vehículo y le habrían amenazado, increpándole </w:t>
      </w:r>
      <w:r w:rsidR="0016508C">
        <w:t xml:space="preserve">para </w:t>
      </w:r>
      <w:r w:rsidRPr="00AF4E1E">
        <w:t xml:space="preserve">que confesara su </w:t>
      </w:r>
      <w:r w:rsidR="00C223EB">
        <w:t>presunta</w:t>
      </w:r>
      <w:r w:rsidR="00C223EB" w:rsidRPr="00AF4E1E">
        <w:t xml:space="preserve"> </w:t>
      </w:r>
      <w:r w:rsidRPr="00AF4E1E">
        <w:t>autoría por el hurto del ganado. Posteriormente habrían regresado a Uchumarca, y en el camino, habrían bajado nuevamente del vehículo cerca de un riachuelo, donde obligaron al autor a desnudarse y caminar descalzo, a empujones y puntapiés, por un camino pedregoso durante aproximadamente 700 m, hasta un puente del río Chacaragra. Allí l</w:t>
      </w:r>
      <w:r w:rsidR="0016508C">
        <w:t>e</w:t>
      </w:r>
      <w:r w:rsidRPr="00AF4E1E">
        <w:t xml:space="preserve"> habrían amenazado que si no confesaba lo iban a matar. El Vicepresidente de la Junta Directiva le habría atado las manos con una cuerda y una soga a la cintura para que uno de los comuneros lo sumergiera en el agua helada del río por unos minutos y luego lo elevara. Dicha situación se habría prolongado por un lapso de aproximadamente media hora. El autor reconoció finalmente haber participado en el hurto de ganado, junto con los hermanos de apellido B.</w:t>
      </w:r>
      <w:r w:rsidR="0016508C">
        <w:t xml:space="preserve"> </w:t>
      </w:r>
      <w:r w:rsidRPr="00AF4E1E">
        <w:t>C. No obstante, habrían continuado sumergiéndolo en el río hasta que el autor perdió el conocimiento</w:t>
      </w:r>
      <w:r w:rsidRPr="00AF4E1E">
        <w:rPr>
          <w:rFonts w:eastAsiaTheme="majorEastAsia"/>
          <w:sz w:val="18"/>
          <w:vertAlign w:val="superscript"/>
        </w:rPr>
        <w:footnoteReference w:id="3"/>
      </w:r>
      <w:r w:rsidR="0016508C">
        <w:t>.</w:t>
      </w:r>
    </w:p>
    <w:p w14:paraId="21D44103" w14:textId="3DA56C66" w:rsidR="00AF4E1E" w:rsidRPr="00AF4E1E" w:rsidRDefault="00AF4E1E" w:rsidP="00AF4E1E">
      <w:pPr>
        <w:pStyle w:val="SingleTxtG"/>
      </w:pPr>
      <w:r w:rsidRPr="00AF4E1E">
        <w:t>2.3</w:t>
      </w:r>
      <w:r w:rsidRPr="00AF4E1E">
        <w:tab/>
        <w:t>El 10 de septiembre a las 3</w:t>
      </w:r>
      <w:r w:rsidR="0016508C">
        <w:t>.</w:t>
      </w:r>
      <w:r w:rsidRPr="00AF4E1E">
        <w:t>00 horas, el autor habría recuperado el conocimiento en la cama de uno de los trabajadores de la Municipalidad de Uchumarca, desde donde</w:t>
      </w:r>
      <w:r w:rsidR="00E45A0B">
        <w:t>,</w:t>
      </w:r>
      <w:r w:rsidRPr="00AF4E1E">
        <w:t xml:space="preserve"> sin alimentos y a las 10.30</w:t>
      </w:r>
      <w:r w:rsidR="009A03AC">
        <w:t xml:space="preserve"> horas</w:t>
      </w:r>
      <w:r w:rsidRPr="00AF4E1E">
        <w:t>, habría sido trasladado al local de la Municipalidad, donde se encontraban los hermanos B.</w:t>
      </w:r>
      <w:r w:rsidR="00E45A0B">
        <w:t xml:space="preserve"> </w:t>
      </w:r>
      <w:r w:rsidRPr="00AF4E1E">
        <w:t>C. El padre del autor fue informado que su hijo había regresado y que había confesado. Durante el tiempo que el autor y los hermanos B.</w:t>
      </w:r>
      <w:r w:rsidR="00E45A0B">
        <w:t xml:space="preserve"> </w:t>
      </w:r>
      <w:r w:rsidRPr="00AF4E1E">
        <w:t xml:space="preserve">C. permanecieron en la </w:t>
      </w:r>
      <w:r w:rsidR="00E45A0B">
        <w:t>M</w:t>
      </w:r>
      <w:r w:rsidRPr="00AF4E1E">
        <w:t>unicipalidad, habrían sido golpeados por el cuñado de los hermanos B.</w:t>
      </w:r>
      <w:r w:rsidR="00E45A0B">
        <w:t xml:space="preserve"> </w:t>
      </w:r>
      <w:r w:rsidRPr="00AF4E1E">
        <w:t>C. y el hijo del propietario del toro supuestamente robado, quienes les habrían propinado rodillazos y puntapiés en diversas partes del cuerpo, obligándoles a confesar la autoría del ilícito.</w:t>
      </w:r>
      <w:r w:rsidR="00466A08">
        <w:t xml:space="preserve"> </w:t>
      </w:r>
      <w:r w:rsidRPr="00AF4E1E">
        <w:t xml:space="preserve">En dicha circunstancia, un comunero habría ingresado a la oficina de la Municipalidad </w:t>
      </w:r>
      <w:r w:rsidR="00E45A0B">
        <w:t xml:space="preserve">y habría </w:t>
      </w:r>
      <w:r w:rsidRPr="00AF4E1E">
        <w:t>preguntado acerca de la razón de los maltratos. En ese momento, los agresores cesaron los golpes y llamaron a los familiares del autor y de los hermanos B.</w:t>
      </w:r>
      <w:r w:rsidR="00E45A0B">
        <w:t xml:space="preserve"> </w:t>
      </w:r>
      <w:r w:rsidRPr="00AF4E1E">
        <w:t>C. para llegar a un acuerdo y reponer el vacuno</w:t>
      </w:r>
      <w:r w:rsidRPr="00AF4E1E">
        <w:rPr>
          <w:rFonts w:eastAsiaTheme="majorEastAsia"/>
          <w:sz w:val="18"/>
          <w:vertAlign w:val="superscript"/>
        </w:rPr>
        <w:footnoteReference w:id="4"/>
      </w:r>
      <w:r w:rsidR="00E45A0B">
        <w:t>.</w:t>
      </w:r>
      <w:r w:rsidRPr="00AF4E1E">
        <w:t xml:space="preserve"> </w:t>
      </w:r>
    </w:p>
    <w:p w14:paraId="66CEC19E" w14:textId="70D78269" w:rsidR="00AF4E1E" w:rsidRPr="00AF4E1E" w:rsidRDefault="00AF4E1E" w:rsidP="00AF4E1E">
      <w:pPr>
        <w:pStyle w:val="SingleTxtG"/>
        <w:rPr>
          <w:spacing w:val="-2"/>
        </w:rPr>
      </w:pPr>
      <w:r w:rsidRPr="00AF4E1E">
        <w:rPr>
          <w:spacing w:val="-2"/>
        </w:rPr>
        <w:t>2.4</w:t>
      </w:r>
      <w:r w:rsidRPr="00AF4E1E">
        <w:rPr>
          <w:spacing w:val="-2"/>
        </w:rPr>
        <w:tab/>
        <w:t>El 12 de septiembre de 2007, el autor habría comunicado a su padre haber sido víctima de tortura</w:t>
      </w:r>
      <w:r w:rsidR="00E45A0B">
        <w:rPr>
          <w:spacing w:val="-2"/>
        </w:rPr>
        <w:t>.</w:t>
      </w:r>
      <w:r w:rsidRPr="00AF4E1E">
        <w:rPr>
          <w:spacing w:val="-2"/>
        </w:rPr>
        <w:t xml:space="preserve"> El 14 de septiembre de 2007 se emitió el “</w:t>
      </w:r>
      <w:r w:rsidR="009E183A" w:rsidRPr="00091EFE">
        <w:rPr>
          <w:spacing w:val="-2"/>
        </w:rPr>
        <w:t>p</w:t>
      </w:r>
      <w:r w:rsidRPr="009E183A">
        <w:rPr>
          <w:spacing w:val="-2"/>
        </w:rPr>
        <w:t xml:space="preserve">rotocolo de </w:t>
      </w:r>
      <w:r w:rsidR="009A03AC" w:rsidRPr="00091EFE">
        <w:rPr>
          <w:spacing w:val="-2"/>
        </w:rPr>
        <w:t>r</w:t>
      </w:r>
      <w:r w:rsidRPr="009E183A">
        <w:rPr>
          <w:spacing w:val="-2"/>
        </w:rPr>
        <w:t xml:space="preserve">econocimiento </w:t>
      </w:r>
      <w:r w:rsidR="009A03AC" w:rsidRPr="00091EFE">
        <w:rPr>
          <w:spacing w:val="-2"/>
        </w:rPr>
        <w:t>m</w:t>
      </w:r>
      <w:r w:rsidRPr="009E183A">
        <w:rPr>
          <w:spacing w:val="-2"/>
        </w:rPr>
        <w:t xml:space="preserve">édico </w:t>
      </w:r>
      <w:r w:rsidR="009E183A" w:rsidRPr="00091EFE">
        <w:rPr>
          <w:spacing w:val="-2"/>
        </w:rPr>
        <w:t>l</w:t>
      </w:r>
      <w:r w:rsidRPr="009E183A">
        <w:rPr>
          <w:spacing w:val="-2"/>
        </w:rPr>
        <w:t>egal para detección de lesiones o muerte resultante de tortura”</w:t>
      </w:r>
      <w:r w:rsidRPr="009E183A">
        <w:rPr>
          <w:rFonts w:eastAsiaTheme="majorEastAsia"/>
          <w:spacing w:val="-2"/>
          <w:sz w:val="18"/>
          <w:vertAlign w:val="superscript"/>
        </w:rPr>
        <w:footnoteReference w:id="5"/>
      </w:r>
      <w:r w:rsidR="00E45A0B" w:rsidRPr="009E183A">
        <w:rPr>
          <w:spacing w:val="-2"/>
        </w:rPr>
        <w:t xml:space="preserve">, </w:t>
      </w:r>
      <w:r w:rsidRPr="009E183A">
        <w:rPr>
          <w:spacing w:val="-2"/>
        </w:rPr>
        <w:t>en donde los peritos concluyeron la “existencia de lesiones”</w:t>
      </w:r>
      <w:r w:rsidRPr="009E183A">
        <w:rPr>
          <w:rFonts w:eastAsiaTheme="majorEastAsia"/>
          <w:spacing w:val="-2"/>
          <w:sz w:val="18"/>
          <w:vertAlign w:val="superscript"/>
        </w:rPr>
        <w:footnoteReference w:id="6"/>
      </w:r>
      <w:r w:rsidRPr="009E183A">
        <w:rPr>
          <w:spacing w:val="-2"/>
        </w:rPr>
        <w:t xml:space="preserve"> y “trastorno de estrés postraumático”</w:t>
      </w:r>
      <w:r w:rsidRPr="009E183A">
        <w:rPr>
          <w:rFonts w:eastAsiaTheme="majorEastAsia"/>
          <w:spacing w:val="-2"/>
          <w:sz w:val="18"/>
          <w:vertAlign w:val="superscript"/>
        </w:rPr>
        <w:footnoteReference w:id="7"/>
      </w:r>
      <w:r w:rsidR="00E45A0B" w:rsidRPr="009E183A">
        <w:rPr>
          <w:spacing w:val="-2"/>
        </w:rPr>
        <w:t>.</w:t>
      </w:r>
      <w:r w:rsidRPr="009E183A">
        <w:rPr>
          <w:spacing w:val="-2"/>
        </w:rPr>
        <w:t xml:space="preserve"> El 27 de septiembre de 2007</w:t>
      </w:r>
      <w:r w:rsidR="00F1017E">
        <w:rPr>
          <w:spacing w:val="-2"/>
        </w:rPr>
        <w:t>,</w:t>
      </w:r>
      <w:r w:rsidRPr="009E183A">
        <w:rPr>
          <w:spacing w:val="-2"/>
        </w:rPr>
        <w:t xml:space="preserve"> </w:t>
      </w:r>
      <w:r w:rsidR="00360C6B" w:rsidRPr="009E183A">
        <w:rPr>
          <w:spacing w:val="-2"/>
        </w:rPr>
        <w:t>el padre del autor interpuso</w:t>
      </w:r>
      <w:r w:rsidR="00360C6B">
        <w:rPr>
          <w:spacing w:val="-2"/>
        </w:rPr>
        <w:t xml:space="preserve"> una</w:t>
      </w:r>
      <w:r w:rsidRPr="00AF4E1E">
        <w:rPr>
          <w:spacing w:val="-2"/>
        </w:rPr>
        <w:t xml:space="preserve"> denuncia penal por el delito de tortura, secuestro y lesiones graves en agravio del autor</w:t>
      </w:r>
      <w:r w:rsidR="00360C6B">
        <w:rPr>
          <w:spacing w:val="-2"/>
        </w:rPr>
        <w:t xml:space="preserve"> </w:t>
      </w:r>
      <w:r w:rsidR="00360C6B" w:rsidRPr="002D405D">
        <w:rPr>
          <w:szCs w:val="18"/>
        </w:rPr>
        <w:t>ante la Fiscalía Provincial Mixta de Daniel Alcides Carrión</w:t>
      </w:r>
      <w:r w:rsidR="00360C6B">
        <w:rPr>
          <w:szCs w:val="18"/>
        </w:rPr>
        <w:t>.</w:t>
      </w:r>
      <w:r w:rsidRPr="00AF4E1E">
        <w:rPr>
          <w:spacing w:val="-2"/>
        </w:rPr>
        <w:t xml:space="preserve"> </w:t>
      </w:r>
    </w:p>
    <w:p w14:paraId="24E6A6B6" w14:textId="53BD3F74" w:rsidR="00AF4E1E" w:rsidRPr="00AF4E1E" w:rsidRDefault="00AF4E1E" w:rsidP="00AF4E1E">
      <w:pPr>
        <w:pStyle w:val="SingleTxtG"/>
        <w:rPr>
          <w:spacing w:val="-2"/>
        </w:rPr>
      </w:pPr>
      <w:r w:rsidRPr="00AF4E1E">
        <w:rPr>
          <w:spacing w:val="-2"/>
        </w:rPr>
        <w:t>2.5</w:t>
      </w:r>
      <w:r w:rsidRPr="00AF4E1E">
        <w:rPr>
          <w:spacing w:val="-2"/>
        </w:rPr>
        <w:tab/>
        <w:t xml:space="preserve">El 27 de septiembre de 2007, el padre del autor solicitó la inhibición del juzgado sosteniendo que el delito investigado era competencia de las Fiscalías Supraprovinciales de </w:t>
      </w:r>
      <w:r w:rsidRPr="00AF4E1E">
        <w:rPr>
          <w:spacing w:val="-2"/>
        </w:rPr>
        <w:lastRenderedPageBreak/>
        <w:t>Lima. Sin embargo, dicha solicitud fue declarada improcedente</w:t>
      </w:r>
      <w:r w:rsidRPr="00AF4E1E">
        <w:rPr>
          <w:rFonts w:eastAsiaTheme="majorEastAsia"/>
          <w:spacing w:val="-2"/>
          <w:sz w:val="18"/>
          <w:vertAlign w:val="superscript"/>
        </w:rPr>
        <w:footnoteReference w:id="8"/>
      </w:r>
      <w:r w:rsidR="00730BBE">
        <w:rPr>
          <w:spacing w:val="-2"/>
        </w:rPr>
        <w:t>,</w:t>
      </w:r>
      <w:r w:rsidRPr="00AF4E1E">
        <w:rPr>
          <w:spacing w:val="-2"/>
        </w:rPr>
        <w:t xml:space="preserve"> argumentándose que en los </w:t>
      </w:r>
      <w:r w:rsidR="00186696">
        <w:rPr>
          <w:spacing w:val="-2"/>
        </w:rPr>
        <w:t>d</w:t>
      </w:r>
      <w:r w:rsidRPr="00AF4E1E">
        <w:rPr>
          <w:spacing w:val="-2"/>
        </w:rPr>
        <w:t xml:space="preserve">istritos </w:t>
      </w:r>
      <w:r w:rsidR="00186696">
        <w:rPr>
          <w:spacing w:val="-2"/>
        </w:rPr>
        <w:t>j</w:t>
      </w:r>
      <w:r w:rsidRPr="00AF4E1E">
        <w:rPr>
          <w:spacing w:val="-2"/>
        </w:rPr>
        <w:t xml:space="preserve">udiciales donde no hubiera ninguna Fiscalía designada para el conocimiento de los delitos contra la </w:t>
      </w:r>
      <w:r w:rsidRPr="00186696">
        <w:rPr>
          <w:spacing w:val="-2"/>
        </w:rPr>
        <w:t xml:space="preserve">humanidad, asumirá el conocimiento de la investigación preliminar y las diligencias de la instrucción el Fiscal de </w:t>
      </w:r>
      <w:r w:rsidR="00186696" w:rsidRPr="00091EFE">
        <w:rPr>
          <w:spacing w:val="-2"/>
        </w:rPr>
        <w:t>t</w:t>
      </w:r>
      <w:r w:rsidRPr="00186696">
        <w:rPr>
          <w:spacing w:val="-2"/>
        </w:rPr>
        <w:t xml:space="preserve">urno de la fecha y solo en casos de extraordinaria complejidad se podrá transferir la competencia al Fiscal </w:t>
      </w:r>
      <w:r w:rsidR="00186696" w:rsidRPr="00091EFE">
        <w:rPr>
          <w:spacing w:val="-2"/>
        </w:rPr>
        <w:t>P</w:t>
      </w:r>
      <w:r w:rsidRPr="00186696">
        <w:rPr>
          <w:spacing w:val="-2"/>
        </w:rPr>
        <w:t>enal Supraprovincial de</w:t>
      </w:r>
      <w:r w:rsidRPr="00AF4E1E">
        <w:rPr>
          <w:spacing w:val="-2"/>
        </w:rPr>
        <w:t xml:space="preserve"> turno</w:t>
      </w:r>
      <w:r w:rsidR="00730BBE">
        <w:rPr>
          <w:spacing w:val="-2"/>
        </w:rPr>
        <w:t>.</w:t>
      </w:r>
    </w:p>
    <w:p w14:paraId="3F966591" w14:textId="1E381FE2" w:rsidR="00AF4E1E" w:rsidRPr="00AF4E1E" w:rsidRDefault="00F8278C" w:rsidP="00F8278C">
      <w:pPr>
        <w:pStyle w:val="H4G"/>
      </w:pPr>
      <w:r>
        <w:tab/>
      </w:r>
      <w:r>
        <w:tab/>
      </w:r>
      <w:r w:rsidR="006455BE">
        <w:t>P</w:t>
      </w:r>
      <w:r w:rsidR="00AF4E1E" w:rsidRPr="00B27FC2">
        <w:t>roceso penal en el sistema de justicia sumario</w:t>
      </w:r>
    </w:p>
    <w:p w14:paraId="07C3302A" w14:textId="56D4DAA7" w:rsidR="00AF4E1E" w:rsidRPr="00AF4E1E" w:rsidRDefault="00AF4E1E" w:rsidP="00AF4E1E">
      <w:pPr>
        <w:pStyle w:val="SingleTxtG"/>
      </w:pPr>
      <w:r w:rsidRPr="00AF4E1E">
        <w:t>2.6</w:t>
      </w:r>
      <w:r w:rsidRPr="00AF4E1E">
        <w:tab/>
        <w:t>El 9 de noviembre de 2007</w:t>
      </w:r>
      <w:r w:rsidR="005B4AB6">
        <w:t>,</w:t>
      </w:r>
      <w:r w:rsidRPr="00AF4E1E">
        <w:t xml:space="preserve"> la Fiscalía Provincial Mixta de Daniel A</w:t>
      </w:r>
      <w:r w:rsidR="004C0845">
        <w:t>lcides</w:t>
      </w:r>
      <w:r w:rsidRPr="00AF4E1E">
        <w:t xml:space="preserve"> Carrión formalizó la denuncia penal</w:t>
      </w:r>
      <w:r w:rsidRPr="00AF4E1E">
        <w:rPr>
          <w:rFonts w:eastAsiaTheme="majorEastAsia"/>
          <w:sz w:val="18"/>
          <w:vertAlign w:val="superscript"/>
        </w:rPr>
        <w:footnoteReference w:id="9"/>
      </w:r>
      <w:r w:rsidRPr="00AF4E1E">
        <w:t xml:space="preserve"> y, mediante</w:t>
      </w:r>
      <w:r w:rsidR="004C0845">
        <w:t xml:space="preserve"> la</w:t>
      </w:r>
      <w:r w:rsidRPr="00AF4E1E">
        <w:t xml:space="preserve"> </w:t>
      </w:r>
      <w:r w:rsidR="00B0161E">
        <w:t>r</w:t>
      </w:r>
      <w:r w:rsidRPr="000A0C9F">
        <w:t xml:space="preserve">esolución </w:t>
      </w:r>
      <w:r w:rsidR="004C0845" w:rsidRPr="000A0C9F">
        <w:t>núm</w:t>
      </w:r>
      <w:r w:rsidRPr="00AF4E1E">
        <w:t>.</w:t>
      </w:r>
      <w:r w:rsidR="000A0C9F">
        <w:t xml:space="preserve"> </w:t>
      </w:r>
      <w:r w:rsidRPr="00AF4E1E">
        <w:t xml:space="preserve">1 del 23 de noviembre de 2007, el Juzgado Mixto de Daniel </w:t>
      </w:r>
      <w:r w:rsidR="004C0845" w:rsidRPr="00AF4E1E">
        <w:t>A</w:t>
      </w:r>
      <w:r w:rsidR="004C0845">
        <w:t>lcides</w:t>
      </w:r>
      <w:r w:rsidR="004C0845" w:rsidRPr="00AF4E1E">
        <w:t xml:space="preserve"> </w:t>
      </w:r>
      <w:r w:rsidRPr="00AF4E1E">
        <w:t>Carrión emitió auto de apertura de instrucción por el delito de tortura</w:t>
      </w:r>
      <w:r w:rsidRPr="00AF4E1E">
        <w:rPr>
          <w:rFonts w:eastAsiaTheme="majorEastAsia"/>
          <w:sz w:val="18"/>
          <w:vertAlign w:val="superscript"/>
        </w:rPr>
        <w:footnoteReference w:id="10"/>
      </w:r>
      <w:r w:rsidR="009771C5">
        <w:t>.</w:t>
      </w:r>
      <w:r w:rsidRPr="00AF4E1E">
        <w:t xml:space="preserve"> El 2 de junio de 2008, la Fiscalía Provincial Mixta de Daniel </w:t>
      </w:r>
      <w:r w:rsidR="004C0845" w:rsidRPr="00AF4E1E">
        <w:t>A</w:t>
      </w:r>
      <w:r w:rsidR="004C0845">
        <w:t>lcides</w:t>
      </w:r>
      <w:r w:rsidR="004C0845" w:rsidRPr="00AF4E1E">
        <w:t xml:space="preserve"> </w:t>
      </w:r>
      <w:r w:rsidRPr="00AF4E1E">
        <w:t xml:space="preserve">Carrión emitió el dictamen acusatorio </w:t>
      </w:r>
      <w:r w:rsidR="004C0845">
        <w:t>núm</w:t>
      </w:r>
      <w:r w:rsidRPr="00AF4E1E">
        <w:t>.</w:t>
      </w:r>
      <w:r w:rsidR="00A256CE">
        <w:t> </w:t>
      </w:r>
      <w:r w:rsidRPr="00AF4E1E">
        <w:t>146-2008</w:t>
      </w:r>
      <w:r w:rsidR="00FC7787">
        <w:t>,</w:t>
      </w:r>
      <w:r w:rsidRPr="00AF4E1E">
        <w:t xml:space="preserve"> </w:t>
      </w:r>
      <w:r w:rsidR="00EF3F71">
        <w:t>por el que se solicitaba que se impusiera</w:t>
      </w:r>
      <w:r w:rsidR="00CD151C">
        <w:t xml:space="preserve"> a los acusados una pena privativa de la libertad de siete años </w:t>
      </w:r>
      <w:r w:rsidR="00F16433">
        <w:t xml:space="preserve">por la comisión del delito de tortura </w:t>
      </w:r>
      <w:r w:rsidR="00D67B4A">
        <w:t xml:space="preserve">y a que pagaran </w:t>
      </w:r>
      <w:r w:rsidR="00240F71">
        <w:t xml:space="preserve">solidariamente </w:t>
      </w:r>
      <w:r w:rsidR="00240F71" w:rsidRPr="002D405D">
        <w:rPr>
          <w:szCs w:val="18"/>
        </w:rPr>
        <w:t>una reparación civil ascendente a la suma de 6</w:t>
      </w:r>
      <w:r w:rsidR="00240F71">
        <w:rPr>
          <w:szCs w:val="18"/>
        </w:rPr>
        <w:t>.</w:t>
      </w:r>
      <w:r w:rsidR="00240F71" w:rsidRPr="002D405D">
        <w:rPr>
          <w:szCs w:val="18"/>
        </w:rPr>
        <w:t>000</w:t>
      </w:r>
      <w:r w:rsidR="00D14842">
        <w:rPr>
          <w:szCs w:val="18"/>
        </w:rPr>
        <w:t xml:space="preserve"> </w:t>
      </w:r>
      <w:r w:rsidR="000163A6">
        <w:rPr>
          <w:szCs w:val="18"/>
        </w:rPr>
        <w:t xml:space="preserve">nuevos soles </w:t>
      </w:r>
      <w:r w:rsidR="00D14842" w:rsidRPr="00AF4E1E">
        <w:t>(aproximadamente 1.800</w:t>
      </w:r>
      <w:r w:rsidR="00D14842">
        <w:t xml:space="preserve"> dólares de los Estados Unidos</w:t>
      </w:r>
      <w:r w:rsidR="00D14842" w:rsidRPr="00AF4E1E">
        <w:t>)</w:t>
      </w:r>
      <w:r w:rsidR="00D14842">
        <w:rPr>
          <w:szCs w:val="18"/>
        </w:rPr>
        <w:t>. E</w:t>
      </w:r>
      <w:r w:rsidRPr="00AF4E1E">
        <w:t xml:space="preserve">l 10 de julio de 2008, el Juzgado Mixto </w:t>
      </w:r>
      <w:r w:rsidRPr="0082760D">
        <w:t>de Daniel Alcides</w:t>
      </w:r>
      <w:r w:rsidRPr="00AF4E1E">
        <w:t xml:space="preserve"> Carrión condenó a los acusados como autores responsables del delito contra la humanidad en la modalidad de tortura a cuatro años de pena privativa de la libertad y al pago de una reparación civil de 6.000</w:t>
      </w:r>
      <w:r w:rsidR="007412D0">
        <w:t> </w:t>
      </w:r>
      <w:r w:rsidRPr="00AF4E1E">
        <w:t>nuevos soles</w:t>
      </w:r>
      <w:r w:rsidRPr="00AF4E1E">
        <w:rPr>
          <w:rFonts w:eastAsiaTheme="majorEastAsia"/>
          <w:sz w:val="18"/>
          <w:vertAlign w:val="superscript"/>
        </w:rPr>
        <w:footnoteReference w:id="11"/>
      </w:r>
      <w:r w:rsidR="004C0845">
        <w:t>.</w:t>
      </w:r>
    </w:p>
    <w:p w14:paraId="661B6F7B" w14:textId="37C76B87" w:rsidR="00AF4E1E" w:rsidRPr="00AF4E1E" w:rsidRDefault="00AF4E1E" w:rsidP="00AF4E1E">
      <w:pPr>
        <w:pStyle w:val="SingleTxtG"/>
      </w:pPr>
      <w:r w:rsidRPr="00AF4E1E">
        <w:t>2.7</w:t>
      </w:r>
      <w:r w:rsidRPr="00AF4E1E">
        <w:tab/>
        <w:t xml:space="preserve">El 14 de julio de 2008, la Fiscalía Provincial Titular de la Fiscalía Provincial Mixta de Daniel Alcides Carrión interpuso recurso de apelación </w:t>
      </w:r>
      <w:r w:rsidR="00113500">
        <w:t xml:space="preserve">en el que se </w:t>
      </w:r>
      <w:r w:rsidRPr="00AF4E1E">
        <w:t>cuestiona</w:t>
      </w:r>
      <w:r w:rsidR="00113500">
        <w:t>ba</w:t>
      </w:r>
      <w:r w:rsidRPr="00AF4E1E">
        <w:t xml:space="preserve"> el </w:t>
      </w:r>
      <w:r w:rsidRPr="00AF4E1E">
        <w:rPr>
          <w:i/>
          <w:iCs/>
        </w:rPr>
        <w:t>quantum</w:t>
      </w:r>
      <w:r w:rsidRPr="00AF4E1E">
        <w:t xml:space="preserve"> de la pena impuesta y </w:t>
      </w:r>
      <w:r w:rsidR="00113500">
        <w:t xml:space="preserve">se </w:t>
      </w:r>
      <w:r w:rsidRPr="00AF4E1E">
        <w:t>demanda</w:t>
      </w:r>
      <w:r w:rsidR="00113500">
        <w:t>ba</w:t>
      </w:r>
      <w:r w:rsidRPr="00AF4E1E">
        <w:t xml:space="preserve"> la nulidad de la sentencia</w:t>
      </w:r>
      <w:r w:rsidRPr="00AF4E1E">
        <w:rPr>
          <w:rFonts w:eastAsiaTheme="majorEastAsia"/>
          <w:sz w:val="18"/>
          <w:vertAlign w:val="superscript"/>
        </w:rPr>
        <w:footnoteReference w:id="12"/>
      </w:r>
      <w:r w:rsidR="004C0845">
        <w:t>.</w:t>
      </w:r>
      <w:r w:rsidRPr="00AF4E1E">
        <w:t xml:space="preserve"> El 30 de octubre de 2008</w:t>
      </w:r>
      <w:r w:rsidRPr="0082760D">
        <w:t xml:space="preserve">, la Sala Mixta </w:t>
      </w:r>
      <w:r w:rsidR="0082760D" w:rsidRPr="00091EFE">
        <w:t xml:space="preserve">de la Sede Central de Cerro </w:t>
      </w:r>
      <w:r w:rsidRPr="0082760D">
        <w:t xml:space="preserve">de Pasco declaró nula la sentencia y dispuso al Juez de origen que dictase una nueva sentencia motivando adecuadamente la imposición del </w:t>
      </w:r>
      <w:r w:rsidRPr="0082760D">
        <w:rPr>
          <w:i/>
          <w:iCs/>
        </w:rPr>
        <w:t>quantum</w:t>
      </w:r>
      <w:r w:rsidRPr="0082760D">
        <w:t xml:space="preserve"> de la pena</w:t>
      </w:r>
      <w:r w:rsidR="007412D0" w:rsidRPr="0082760D">
        <w:t>.</w:t>
      </w:r>
      <w:r w:rsidRPr="0082760D">
        <w:t xml:space="preserve"> El 8 de septiembre de 2009, la Sala Mixta de Pasco advirtió de oficio que, al ser un proceso penal por un delito contra la humanidad, </w:t>
      </w:r>
      <w:r w:rsidR="008445C4" w:rsidRPr="0082760D">
        <w:t>este</w:t>
      </w:r>
      <w:r w:rsidRPr="0082760D">
        <w:t xml:space="preserve"> debía estar sujeto al procedimiento ordinario</w:t>
      </w:r>
      <w:r w:rsidR="007412D0" w:rsidRPr="0082760D">
        <w:t>.</w:t>
      </w:r>
      <w:r w:rsidRPr="0082760D">
        <w:t xml:space="preserve"> El 27 de junio de 2011, el Juez de la Sala Mixta de Pasco declaró</w:t>
      </w:r>
      <w:r w:rsidR="00B0161E" w:rsidRPr="0082760D">
        <w:t xml:space="preserve"> en la resolución núm. 33</w:t>
      </w:r>
      <w:r w:rsidRPr="0082760D">
        <w:t xml:space="preserve"> que se había “incurrido en graves irregularidades que son materia de nulidad” al haberse</w:t>
      </w:r>
      <w:r w:rsidRPr="00AF4E1E">
        <w:t xml:space="preserve"> tramitado la causa ante un Juzgado que no tenía la competencia para casos de delitos contra la humanidad</w:t>
      </w:r>
      <w:r w:rsidR="008445C4">
        <w:t>.</w:t>
      </w:r>
    </w:p>
    <w:p w14:paraId="4590B2AD" w14:textId="7874DED3" w:rsidR="00AF4E1E" w:rsidRPr="00AF4E1E" w:rsidRDefault="00F8278C" w:rsidP="00F8278C">
      <w:pPr>
        <w:pStyle w:val="H4G"/>
      </w:pPr>
      <w:r>
        <w:tab/>
      </w:r>
      <w:r>
        <w:tab/>
      </w:r>
      <w:r w:rsidR="006455BE">
        <w:t>P</w:t>
      </w:r>
      <w:r w:rsidR="00AF4E1E" w:rsidRPr="00B27FC2">
        <w:t>roceso penal en el sistema de justicia ordinario</w:t>
      </w:r>
    </w:p>
    <w:p w14:paraId="5B236D63" w14:textId="79544E43" w:rsidR="00AF4E1E" w:rsidRPr="00AF4E1E" w:rsidRDefault="00AF4E1E" w:rsidP="00AF4E1E">
      <w:pPr>
        <w:pStyle w:val="SingleTxtG"/>
      </w:pPr>
      <w:r w:rsidRPr="00AF4E1E">
        <w:t>2.8</w:t>
      </w:r>
      <w:r w:rsidRPr="00AF4E1E">
        <w:tab/>
        <w:t>El 20 de septiembre de 2011</w:t>
      </w:r>
      <w:r w:rsidR="008445C4">
        <w:t>,</w:t>
      </w:r>
      <w:r w:rsidRPr="00AF4E1E">
        <w:t xml:space="preserve"> el Tercer Juzgado Penal </w:t>
      </w:r>
      <w:r w:rsidR="008955BE" w:rsidRPr="00AF4E1E">
        <w:t>Supraprovincial</w:t>
      </w:r>
      <w:r w:rsidRPr="00AF4E1E">
        <w:t xml:space="preserve"> de Lima se adjudicó la causa. El 6 de noviembre de 2012</w:t>
      </w:r>
      <w:r w:rsidR="0095506C">
        <w:t>,</w:t>
      </w:r>
      <w:r w:rsidRPr="00AF4E1E">
        <w:t xml:space="preserve"> la Primera Fiscalía Superior Penal Nacional emitió dictamen fiscal acusatorio contra los procesados por el delito de tortura, </w:t>
      </w:r>
      <w:r w:rsidR="0095506C">
        <w:t xml:space="preserve">por el que se </w:t>
      </w:r>
      <w:r w:rsidRPr="00AF4E1E">
        <w:t>solicita</w:t>
      </w:r>
      <w:r w:rsidR="0095506C">
        <w:t>ba</w:t>
      </w:r>
      <w:r w:rsidRPr="00AF4E1E">
        <w:t xml:space="preserve"> ocho años de pena privativa de libertad y el pago de 5</w:t>
      </w:r>
      <w:r w:rsidR="0095506C">
        <w:t>.</w:t>
      </w:r>
      <w:r w:rsidRPr="00AF4E1E">
        <w:t>000</w:t>
      </w:r>
      <w:r w:rsidR="0095506C">
        <w:t>,</w:t>
      </w:r>
      <w:r w:rsidRPr="00AF4E1E">
        <w:t>00 nuevos soles (aproximadamente 1.500</w:t>
      </w:r>
      <w:r w:rsidR="0095506C">
        <w:t xml:space="preserve"> dólares</w:t>
      </w:r>
      <w:r w:rsidR="001452AD">
        <w:t xml:space="preserve"> de los E</w:t>
      </w:r>
      <w:r w:rsidR="00267884">
        <w:t>stados</w:t>
      </w:r>
      <w:r w:rsidR="001452AD">
        <w:t xml:space="preserve"> U</w:t>
      </w:r>
      <w:r w:rsidR="00267884">
        <w:t>nidos</w:t>
      </w:r>
      <w:r w:rsidRPr="00AF4E1E">
        <w:t>)</w:t>
      </w:r>
      <w:r w:rsidR="0095506C">
        <w:t xml:space="preserve"> </w:t>
      </w:r>
      <w:r w:rsidR="0095506C" w:rsidRPr="00AF4E1E">
        <w:t xml:space="preserve">por </w:t>
      </w:r>
      <w:r w:rsidR="0095506C">
        <w:t xml:space="preserve">parte de </w:t>
      </w:r>
      <w:r w:rsidR="0095506C" w:rsidRPr="00AF4E1E">
        <w:t>cada uno de los acusados</w:t>
      </w:r>
      <w:r w:rsidRPr="00AF4E1E">
        <w:t xml:space="preserve"> </w:t>
      </w:r>
      <w:r w:rsidR="0095506C">
        <w:t>en</w:t>
      </w:r>
      <w:r w:rsidR="0095506C" w:rsidRPr="00AF4E1E">
        <w:t xml:space="preserve"> </w:t>
      </w:r>
      <w:r w:rsidRPr="00AF4E1E">
        <w:t>concepto de reparación civil</w:t>
      </w:r>
      <w:r w:rsidRPr="00AF4E1E">
        <w:rPr>
          <w:rFonts w:eastAsiaTheme="majorEastAsia"/>
          <w:sz w:val="18"/>
          <w:vertAlign w:val="superscript"/>
        </w:rPr>
        <w:footnoteReference w:id="13"/>
      </w:r>
      <w:r w:rsidR="0095506C">
        <w:t xml:space="preserve">. </w:t>
      </w:r>
      <w:r w:rsidRPr="00AF4E1E">
        <w:t>El 30 de septiembre de 2013, la Sala Penal Nacional falló absolviendo</w:t>
      </w:r>
      <w:r w:rsidR="0095506C">
        <w:t xml:space="preserve"> </w:t>
      </w:r>
      <w:r w:rsidRPr="00AF4E1E">
        <w:t xml:space="preserve">a los acusados por considerar que las pruebas actuadas en el proceso no constituían prueba suficiente ni idónea. La Sala determinó que no existían elementos probatorios suficientes sobre el grave sufrimiento al considerar que el hecho de que en un principio el autor no hubiese confesado era signo de que las amenazas no habían logrado intimidarlo; que los testimonios del padre del autor y del propietario del vehículo no eran pruebas directas; que la diligencia de inspección tenía un valor probatorio relativo, al haber sido practicada sin la presencia de una de las partes; que en el examen médico legal no </w:t>
      </w:r>
      <w:r w:rsidRPr="00AF4E1E">
        <w:lastRenderedPageBreak/>
        <w:t>se evidenciaban lesiones que corroborase</w:t>
      </w:r>
      <w:r w:rsidR="00C04CAE">
        <w:t>n</w:t>
      </w:r>
      <w:r w:rsidRPr="00AF4E1E">
        <w:t xml:space="preserve"> el relato del autor, en particular marcas en la cintura por la presión de la soga, y que las circunstancias en las que se realizó la evaluación psicológica restaban mérito probatorio, en particular porque la evaluación se había realizado por una psicóloga que no tenía </w:t>
      </w:r>
      <w:r w:rsidR="005138BC">
        <w:t xml:space="preserve">la </w:t>
      </w:r>
      <w:r w:rsidRPr="00AF4E1E">
        <w:t xml:space="preserve">especialidad </w:t>
      </w:r>
      <w:r w:rsidR="005138BC">
        <w:t xml:space="preserve">necesaria </w:t>
      </w:r>
      <w:r w:rsidRPr="00AF4E1E">
        <w:t xml:space="preserve">para establecer daños o secuelas de actos de tortura </w:t>
      </w:r>
      <w:r w:rsidR="005138BC">
        <w:t>sobre la</w:t>
      </w:r>
      <w:r w:rsidR="005138BC" w:rsidRPr="00AF4E1E">
        <w:t xml:space="preserve"> </w:t>
      </w:r>
      <w:r w:rsidRPr="00AF4E1E">
        <w:t xml:space="preserve">base </w:t>
      </w:r>
      <w:r w:rsidR="005138BC">
        <w:t>d</w:t>
      </w:r>
      <w:r w:rsidRPr="00AF4E1E">
        <w:t xml:space="preserve">el </w:t>
      </w:r>
      <w:r w:rsidR="009C5C8E" w:rsidRPr="009C5C8E">
        <w:t xml:space="preserve">Manual para la Investigación y Documentación Eficaces de la Tortura y Otros Tratos o Penas Crueles, Inhumanos o Degradantes </w:t>
      </w:r>
      <w:r w:rsidR="009C5C8E">
        <w:t>(</w:t>
      </w:r>
      <w:r w:rsidRPr="00AF4E1E">
        <w:t>Protocolo de Estambul</w:t>
      </w:r>
      <w:r w:rsidR="009C5C8E">
        <w:t>)</w:t>
      </w:r>
      <w:r w:rsidRPr="00AF4E1E">
        <w:t xml:space="preserve">. </w:t>
      </w:r>
    </w:p>
    <w:p w14:paraId="7928674C" w14:textId="56AF1A4E" w:rsidR="00AF4E1E" w:rsidRPr="00837137" w:rsidRDefault="00AF4E1E" w:rsidP="00AF4E1E">
      <w:pPr>
        <w:pStyle w:val="SingleTxtG"/>
        <w:rPr>
          <w:spacing w:val="-2"/>
        </w:rPr>
      </w:pPr>
      <w:r w:rsidRPr="00AF4E1E">
        <w:rPr>
          <w:spacing w:val="-2"/>
        </w:rPr>
        <w:t>2.9</w:t>
      </w:r>
      <w:r w:rsidRPr="00AF4E1E">
        <w:rPr>
          <w:spacing w:val="-2"/>
        </w:rPr>
        <w:tab/>
        <w:t xml:space="preserve">El 9 de octubre de 2013, el Fiscal Superior a cargo interpuso </w:t>
      </w:r>
      <w:r w:rsidR="005138BC">
        <w:rPr>
          <w:spacing w:val="-2"/>
        </w:rPr>
        <w:t xml:space="preserve">un </w:t>
      </w:r>
      <w:r w:rsidRPr="00AF4E1E">
        <w:rPr>
          <w:spacing w:val="-2"/>
        </w:rPr>
        <w:t xml:space="preserve">recurso de nulidad contra la sentencia. Sin embargo, el Fiscal Supremo dictaminó que no existían elementos de prueba que acreditaran la </w:t>
      </w:r>
      <w:r w:rsidRPr="0082760D">
        <w:rPr>
          <w:spacing w:val="-2"/>
        </w:rPr>
        <w:t xml:space="preserve">responsabilidad penal de los procesados, por lo que el 16 de junio de 2015, la Sala Penal </w:t>
      </w:r>
      <w:r w:rsidR="0082760D" w:rsidRPr="00091EFE">
        <w:rPr>
          <w:spacing w:val="-2"/>
        </w:rPr>
        <w:t>Transitoria</w:t>
      </w:r>
      <w:r w:rsidR="0082760D" w:rsidRPr="0082760D">
        <w:rPr>
          <w:spacing w:val="-2"/>
        </w:rPr>
        <w:t xml:space="preserve"> </w:t>
      </w:r>
      <w:r w:rsidRPr="0082760D">
        <w:rPr>
          <w:spacing w:val="-2"/>
        </w:rPr>
        <w:t>de la Corte Suprema de Justicia determinó</w:t>
      </w:r>
      <w:r w:rsidRPr="00AF4E1E">
        <w:rPr>
          <w:spacing w:val="-2"/>
        </w:rPr>
        <w:t xml:space="preserve"> sin lugar la nulidad en aplicación del principio de jerarquía, archivando la causa</w:t>
      </w:r>
      <w:r w:rsidRPr="00AF4E1E">
        <w:rPr>
          <w:rFonts w:eastAsiaTheme="majorEastAsia"/>
          <w:spacing w:val="-2"/>
          <w:sz w:val="18"/>
          <w:vertAlign w:val="superscript"/>
        </w:rPr>
        <w:footnoteReference w:id="14"/>
      </w:r>
      <w:r w:rsidR="00FD4352">
        <w:rPr>
          <w:rFonts w:eastAsiaTheme="majorEastAsia"/>
          <w:spacing w:val="-2"/>
          <w:sz w:val="18"/>
        </w:rPr>
        <w:t>.</w:t>
      </w:r>
    </w:p>
    <w:p w14:paraId="1E0FC3E0" w14:textId="563D9874" w:rsidR="00AF4E1E" w:rsidRPr="00AF4E1E" w:rsidRDefault="008955BE" w:rsidP="008955BE">
      <w:pPr>
        <w:pStyle w:val="H23G"/>
      </w:pPr>
      <w:r>
        <w:tab/>
      </w:r>
      <w:r>
        <w:tab/>
      </w:r>
      <w:r w:rsidR="00B96B69">
        <w:t>Q</w:t>
      </w:r>
      <w:r w:rsidR="00AF4E1E" w:rsidRPr="00AF4E1E">
        <w:t>ueja</w:t>
      </w:r>
    </w:p>
    <w:p w14:paraId="5DDA2630" w14:textId="438BA31E" w:rsidR="00AF4E1E" w:rsidRPr="00AF4E1E" w:rsidRDefault="00AF4E1E" w:rsidP="00AF4E1E">
      <w:pPr>
        <w:pStyle w:val="SingleTxtG"/>
        <w:rPr>
          <w:spacing w:val="-2"/>
        </w:rPr>
      </w:pPr>
      <w:r w:rsidRPr="00AF4E1E">
        <w:rPr>
          <w:spacing w:val="-2"/>
        </w:rPr>
        <w:t>3.1</w:t>
      </w:r>
      <w:r w:rsidRPr="00AF4E1E">
        <w:rPr>
          <w:spacing w:val="-2"/>
        </w:rPr>
        <w:tab/>
        <w:t xml:space="preserve">El autor afirma </w:t>
      </w:r>
      <w:r w:rsidR="008833AF">
        <w:rPr>
          <w:spacing w:val="-2"/>
        </w:rPr>
        <w:t>que el Estado parte ha</w:t>
      </w:r>
      <w:r w:rsidR="008833AF" w:rsidRPr="00AF4E1E">
        <w:rPr>
          <w:spacing w:val="-2"/>
        </w:rPr>
        <w:t xml:space="preserve"> </w:t>
      </w:r>
      <w:r w:rsidR="008833AF">
        <w:rPr>
          <w:spacing w:val="-2"/>
        </w:rPr>
        <w:t>violado</w:t>
      </w:r>
      <w:r w:rsidRPr="00AF4E1E">
        <w:rPr>
          <w:spacing w:val="-2"/>
        </w:rPr>
        <w:t xml:space="preserve"> sus derechos reconocidos en los artículos</w:t>
      </w:r>
      <w:r w:rsidR="00822228">
        <w:rPr>
          <w:spacing w:val="-2"/>
        </w:rPr>
        <w:t> </w:t>
      </w:r>
      <w:r w:rsidRPr="00AF4E1E">
        <w:rPr>
          <w:spacing w:val="-2"/>
        </w:rPr>
        <w:t>2</w:t>
      </w:r>
      <w:r w:rsidR="00822228">
        <w:rPr>
          <w:spacing w:val="-2"/>
        </w:rPr>
        <w:t>, párrafo </w:t>
      </w:r>
      <w:r w:rsidRPr="00AF4E1E">
        <w:rPr>
          <w:spacing w:val="-2"/>
        </w:rPr>
        <w:t>1, 12, 13 y 14 de la Convención.</w:t>
      </w:r>
    </w:p>
    <w:p w14:paraId="14F7FA06" w14:textId="62835CAA" w:rsidR="00AF4E1E" w:rsidRPr="00AF4E1E" w:rsidRDefault="00AF4E1E" w:rsidP="00AF4E1E">
      <w:pPr>
        <w:pStyle w:val="SingleTxtG"/>
        <w:rPr>
          <w:spacing w:val="-2"/>
        </w:rPr>
      </w:pPr>
      <w:r w:rsidRPr="00AF4E1E">
        <w:rPr>
          <w:spacing w:val="-2"/>
        </w:rPr>
        <w:t>3.2</w:t>
      </w:r>
      <w:r w:rsidRPr="00AF4E1E">
        <w:rPr>
          <w:spacing w:val="-2"/>
        </w:rPr>
        <w:tab/>
        <w:t>El autor sostiene que el Estado parte ha infringido sus obligaciones derivadas del artículo</w:t>
      </w:r>
      <w:r w:rsidR="00F8278C">
        <w:rPr>
          <w:spacing w:val="-2"/>
        </w:rPr>
        <w:t> </w:t>
      </w:r>
      <w:r w:rsidRPr="00AF4E1E">
        <w:rPr>
          <w:spacing w:val="-2"/>
        </w:rPr>
        <w:t>2 de la Convención al no haber adoptado medidas diligentes para prevenir los actos de tortura cometidos en su contra.</w:t>
      </w:r>
    </w:p>
    <w:p w14:paraId="083F71F4" w14:textId="3F5A0CFC" w:rsidR="00AF4E1E" w:rsidRPr="00AF4E1E" w:rsidRDefault="00AF4E1E" w:rsidP="00AF4E1E">
      <w:pPr>
        <w:pStyle w:val="SingleTxtG"/>
        <w:rPr>
          <w:spacing w:val="-2"/>
        </w:rPr>
      </w:pPr>
      <w:r w:rsidRPr="00AF4E1E">
        <w:rPr>
          <w:spacing w:val="-2"/>
        </w:rPr>
        <w:t>3.3</w:t>
      </w:r>
      <w:r w:rsidRPr="00AF4E1E">
        <w:rPr>
          <w:spacing w:val="-2"/>
        </w:rPr>
        <w:tab/>
        <w:t>Asimismo, el autor considera que el Estado parte violó los artículos 12 y 13 de la Convención pues, una vez realizadas las denuncias de tortura por</w:t>
      </w:r>
      <w:r w:rsidR="005138BC">
        <w:rPr>
          <w:spacing w:val="-2"/>
        </w:rPr>
        <w:t xml:space="preserve"> parte de</w:t>
      </w:r>
      <w:r w:rsidRPr="00AF4E1E">
        <w:rPr>
          <w:spacing w:val="-2"/>
        </w:rPr>
        <w:t xml:space="preserve"> su padre, los hechos fueron investigados por un órgano incompetente, a saber, </w:t>
      </w:r>
      <w:r w:rsidRPr="005138BC">
        <w:rPr>
          <w:spacing w:val="-2"/>
        </w:rPr>
        <w:t xml:space="preserve">el Juzgado Mixto de Daniel Alcides Carrión, lo cual no fue remediado sino hasta el 20 de septiembre de 2011, cuando el Tercer Juzgado Penal </w:t>
      </w:r>
      <w:r w:rsidR="008955BE" w:rsidRPr="005138BC">
        <w:rPr>
          <w:spacing w:val="-2"/>
        </w:rPr>
        <w:t>Supraprovincial</w:t>
      </w:r>
      <w:r w:rsidRPr="005138BC">
        <w:rPr>
          <w:spacing w:val="-2"/>
        </w:rPr>
        <w:t xml:space="preserve"> de Lima retomó la causa,</w:t>
      </w:r>
      <w:r w:rsidRPr="00AF4E1E">
        <w:rPr>
          <w:spacing w:val="-2"/>
        </w:rPr>
        <w:t xml:space="preserve"> ello a pesar del recurso de inhibición presentado por el padre del autor, que fue declarado infundado. Los hechos de tortura no fueron investigados por </w:t>
      </w:r>
      <w:r w:rsidR="00C7008A">
        <w:rPr>
          <w:spacing w:val="-2"/>
        </w:rPr>
        <w:t xml:space="preserve">una </w:t>
      </w:r>
      <w:r w:rsidRPr="00AF4E1E">
        <w:rPr>
          <w:spacing w:val="-2"/>
        </w:rPr>
        <w:t xml:space="preserve">autoridad competente sino hasta cuatro años después de ocurridos, </w:t>
      </w:r>
      <w:r w:rsidR="00521B7D">
        <w:rPr>
          <w:spacing w:val="-2"/>
        </w:rPr>
        <w:t xml:space="preserve">lo que </w:t>
      </w:r>
      <w:r w:rsidRPr="00AF4E1E">
        <w:rPr>
          <w:spacing w:val="-2"/>
        </w:rPr>
        <w:t>ocasion</w:t>
      </w:r>
      <w:r w:rsidR="00521B7D">
        <w:rPr>
          <w:spacing w:val="-2"/>
        </w:rPr>
        <w:t>ó</w:t>
      </w:r>
      <w:r w:rsidRPr="00AF4E1E">
        <w:rPr>
          <w:spacing w:val="-2"/>
        </w:rPr>
        <w:t xml:space="preserve"> una demora indebida en la investigación y posteriores fallas en </w:t>
      </w:r>
      <w:r w:rsidR="00C144CA">
        <w:rPr>
          <w:spacing w:val="-2"/>
        </w:rPr>
        <w:t>esta</w:t>
      </w:r>
      <w:r w:rsidRPr="00AF4E1E">
        <w:rPr>
          <w:spacing w:val="-2"/>
        </w:rPr>
        <w:t xml:space="preserve">, </w:t>
      </w:r>
      <w:r w:rsidR="00C144CA">
        <w:rPr>
          <w:spacing w:val="-2"/>
        </w:rPr>
        <w:t>que derivaron en</w:t>
      </w:r>
      <w:r w:rsidRPr="00AF4E1E">
        <w:rPr>
          <w:spacing w:val="-2"/>
        </w:rPr>
        <w:t xml:space="preserve"> una sentencia absolutoria. </w:t>
      </w:r>
      <w:r w:rsidRPr="00B06298">
        <w:rPr>
          <w:spacing w:val="-2"/>
        </w:rPr>
        <w:t>La Sala Penal Nacional, en</w:t>
      </w:r>
      <w:r w:rsidRPr="00AF4E1E">
        <w:rPr>
          <w:spacing w:val="-2"/>
        </w:rPr>
        <w:t xml:space="preserve"> su sentencia absolutoria de 30 de septiembre de 2013, a pesar de las pruebas existentes, estableció que no existían elementos probatorios suficientes. </w:t>
      </w:r>
    </w:p>
    <w:p w14:paraId="050352D8" w14:textId="77777777" w:rsidR="00AF4E1E" w:rsidRPr="00AF4E1E" w:rsidRDefault="00AF4E1E" w:rsidP="00AF4E1E">
      <w:pPr>
        <w:pStyle w:val="SingleTxtG"/>
        <w:rPr>
          <w:spacing w:val="-2"/>
        </w:rPr>
      </w:pPr>
      <w:r w:rsidRPr="00AF4E1E">
        <w:rPr>
          <w:spacing w:val="-2"/>
        </w:rPr>
        <w:t>3.4</w:t>
      </w:r>
      <w:r w:rsidRPr="00AF4E1E">
        <w:rPr>
          <w:spacing w:val="-2"/>
        </w:rPr>
        <w:tab/>
        <w:t>El autor también alega que el Estado parte violó el artículo 13 de la Convención al no haber tenido acceso a un medio efectivo que canalizara sus denuncias.</w:t>
      </w:r>
    </w:p>
    <w:p w14:paraId="6B8DDA98" w14:textId="55A55BF7" w:rsidR="00AF4E1E" w:rsidRPr="00AF4E1E" w:rsidRDefault="00AF4E1E" w:rsidP="00AF4E1E">
      <w:pPr>
        <w:pStyle w:val="SingleTxtG"/>
        <w:rPr>
          <w:spacing w:val="-2"/>
        </w:rPr>
      </w:pPr>
      <w:r w:rsidRPr="00AF4E1E">
        <w:rPr>
          <w:spacing w:val="-2"/>
        </w:rPr>
        <w:t>3.5</w:t>
      </w:r>
      <w:r w:rsidRPr="00AF4E1E">
        <w:rPr>
          <w:spacing w:val="-2"/>
        </w:rPr>
        <w:tab/>
        <w:t>Finalmente, el autor alega que el Estado parte ha violado el artículo 14 de la Convención pues</w:t>
      </w:r>
      <w:r w:rsidR="008D622A">
        <w:rPr>
          <w:spacing w:val="-2"/>
        </w:rPr>
        <w:t>,</w:t>
      </w:r>
      <w:r w:rsidRPr="00AF4E1E">
        <w:rPr>
          <w:spacing w:val="-2"/>
        </w:rPr>
        <w:t xml:space="preserve"> a la fecha, no ha recibido ningún tipo de reparación. En este sentido, el autor hace notar lo establecido por el Comité en </w:t>
      </w:r>
      <w:r w:rsidR="00481464">
        <w:rPr>
          <w:spacing w:val="-2"/>
        </w:rPr>
        <w:t xml:space="preserve">el párrafo 3 de </w:t>
      </w:r>
      <w:r w:rsidRPr="00AF4E1E">
        <w:rPr>
          <w:spacing w:val="-2"/>
        </w:rPr>
        <w:t xml:space="preserve">su </w:t>
      </w:r>
      <w:r w:rsidR="008D622A">
        <w:rPr>
          <w:spacing w:val="-2"/>
        </w:rPr>
        <w:t>o</w:t>
      </w:r>
      <w:r w:rsidRPr="00AF4E1E">
        <w:rPr>
          <w:spacing w:val="-2"/>
        </w:rPr>
        <w:t xml:space="preserve">bservación </w:t>
      </w:r>
      <w:r w:rsidR="008D622A">
        <w:rPr>
          <w:spacing w:val="-2"/>
        </w:rPr>
        <w:t>g</w:t>
      </w:r>
      <w:r w:rsidRPr="00AF4E1E">
        <w:rPr>
          <w:spacing w:val="-2"/>
        </w:rPr>
        <w:t xml:space="preserve">eneral </w:t>
      </w:r>
      <w:r w:rsidR="008D622A">
        <w:rPr>
          <w:spacing w:val="-2"/>
        </w:rPr>
        <w:t>núm</w:t>
      </w:r>
      <w:r w:rsidRPr="00AF4E1E">
        <w:rPr>
          <w:spacing w:val="-2"/>
        </w:rPr>
        <w:t>. 3</w:t>
      </w:r>
      <w:r w:rsidR="00FD4010">
        <w:rPr>
          <w:spacing w:val="-2"/>
        </w:rPr>
        <w:t xml:space="preserve"> (2012)</w:t>
      </w:r>
      <w:r w:rsidRPr="00AF4E1E">
        <w:rPr>
          <w:spacing w:val="-2"/>
        </w:rPr>
        <w:t xml:space="preserve">, </w:t>
      </w:r>
      <w:r w:rsidR="00481464">
        <w:rPr>
          <w:spacing w:val="-2"/>
        </w:rPr>
        <w:t>donde se</w:t>
      </w:r>
      <w:r w:rsidRPr="00AF4E1E">
        <w:rPr>
          <w:spacing w:val="-2"/>
        </w:rPr>
        <w:t xml:space="preserve"> establece que “una persona será considerada víctima con independencia de que el autor de la violación haya sido identificado, aprehendido, juzgado o condenado”</w:t>
      </w:r>
      <w:r w:rsidR="008D622A">
        <w:rPr>
          <w:spacing w:val="-2"/>
        </w:rPr>
        <w:t>.</w:t>
      </w:r>
    </w:p>
    <w:p w14:paraId="3C07E6EA" w14:textId="77777777" w:rsidR="00AF4E1E" w:rsidRPr="00AF4E1E" w:rsidRDefault="00AF4E1E" w:rsidP="00AF4E1E">
      <w:pPr>
        <w:pStyle w:val="H23G"/>
      </w:pPr>
      <w:r>
        <w:tab/>
      </w:r>
      <w:r>
        <w:tab/>
      </w:r>
      <w:r w:rsidRPr="00AF4E1E">
        <w:t xml:space="preserve">Observaciones del Estado parte sobre la admisibilidad y el fondo </w:t>
      </w:r>
    </w:p>
    <w:p w14:paraId="163275DA" w14:textId="77777777" w:rsidR="00AF4E1E" w:rsidRPr="00AF4E1E" w:rsidRDefault="00AF4E1E" w:rsidP="00AF4E1E">
      <w:pPr>
        <w:pStyle w:val="SingleTxtG"/>
      </w:pPr>
      <w:r w:rsidRPr="00AF4E1E">
        <w:t>4.1</w:t>
      </w:r>
      <w:r w:rsidRPr="00AF4E1E">
        <w:tab/>
        <w:t xml:space="preserve">En sus observaciones sobre la admisibilidad de 21 de julio de 2019, el Estado parte solicita que la comunicación se declare inadmisible por falta de agotamiento de los recursos internos y por constituir un abuso del derecho a presentar comunicaciones. En caso de que se declare admisible, el Estado parte solicita que sea rechazada por razones de fondo. </w:t>
      </w:r>
    </w:p>
    <w:p w14:paraId="28DFF3AE" w14:textId="25D1EAA6" w:rsidR="00AF4E1E" w:rsidRPr="00AF4E1E" w:rsidRDefault="00AF4E1E" w:rsidP="00AF4E1E">
      <w:pPr>
        <w:pStyle w:val="SingleTxtG"/>
      </w:pPr>
      <w:r w:rsidRPr="00AF4E1E">
        <w:t>4.2</w:t>
      </w:r>
      <w:r w:rsidRPr="00AF4E1E">
        <w:tab/>
        <w:t>El Estado parte argumenta que no se han agotado los recursos internos de conformidad con el artículo 22</w:t>
      </w:r>
      <w:r w:rsidR="001752EF">
        <w:t>, párrafo </w:t>
      </w:r>
      <w:r w:rsidRPr="00AF4E1E">
        <w:t>5</w:t>
      </w:r>
      <w:r w:rsidR="001752EF">
        <w:t>,</w:t>
      </w:r>
      <w:r w:rsidRPr="00AF4E1E">
        <w:t xml:space="preserve"> de la Convención, al no haberse iniciado acción judicial alguna para reclamar los presuntos derechos vulnerados con base en lo resuelto </w:t>
      </w:r>
      <w:r w:rsidRPr="00B06298">
        <w:t>por la Ejecutoria Suprema de 16 de junio de 2015. Al respecto, el Estado parte considera que e</w:t>
      </w:r>
      <w:r w:rsidRPr="00AF4E1E">
        <w:t>l autor tuvo la oportunidad de iniciar una acción de amparo</w:t>
      </w:r>
      <w:r w:rsidRPr="00AF4E1E">
        <w:rPr>
          <w:rFonts w:eastAsiaTheme="majorEastAsia"/>
          <w:sz w:val="18"/>
          <w:vertAlign w:val="superscript"/>
        </w:rPr>
        <w:footnoteReference w:id="15"/>
      </w:r>
      <w:r w:rsidR="0061207D">
        <w:t>,</w:t>
      </w:r>
      <w:r w:rsidRPr="00AF4E1E">
        <w:t xml:space="preserve"> de conformidad con el Código Procesal Constitucional </w:t>
      </w:r>
      <w:r w:rsidR="00F54E5C">
        <w:t>(</w:t>
      </w:r>
      <w:r w:rsidRPr="00AF4E1E">
        <w:t xml:space="preserve">Ley </w:t>
      </w:r>
      <w:r w:rsidR="00F54E5C">
        <w:t>núm</w:t>
      </w:r>
      <w:r w:rsidRPr="00AF4E1E">
        <w:t>. 28237</w:t>
      </w:r>
      <w:r w:rsidR="00F54E5C">
        <w:t>)</w:t>
      </w:r>
      <w:r w:rsidRPr="00AF4E1E">
        <w:t xml:space="preserve">, que en su artículo 1 establece que: “Los procesos a los que se refiere el presente título tienen por finalidad proteger los derechos constitucionales, </w:t>
      </w:r>
      <w:r w:rsidRPr="00AF4E1E">
        <w:lastRenderedPageBreak/>
        <w:t>reponiendo las cosas al estado anterior a la violación o amenaza de violación de un derecho constitucional”</w:t>
      </w:r>
      <w:r w:rsidRPr="00AF4E1E">
        <w:rPr>
          <w:rFonts w:eastAsiaTheme="majorEastAsia"/>
          <w:sz w:val="18"/>
          <w:vertAlign w:val="superscript"/>
        </w:rPr>
        <w:footnoteReference w:id="16"/>
      </w:r>
      <w:r w:rsidR="00DE5D17">
        <w:t>.</w:t>
      </w:r>
      <w:r w:rsidRPr="00AF4E1E">
        <w:t xml:space="preserve"> </w:t>
      </w:r>
    </w:p>
    <w:p w14:paraId="329418A1" w14:textId="3850C43F" w:rsidR="00AF4E1E" w:rsidRPr="00AF4E1E" w:rsidRDefault="00AF4E1E" w:rsidP="00AF4E1E">
      <w:pPr>
        <w:pStyle w:val="SingleTxtG"/>
      </w:pPr>
      <w:r w:rsidRPr="00AF4E1E">
        <w:t>4.3</w:t>
      </w:r>
      <w:r w:rsidRPr="00AF4E1E">
        <w:tab/>
        <w:t>El Estado parte manifiesta asimismo que la comunicación constituye un abuso del derecho a presentar comunicaciones y que debe declararse inadmisible con base en lo dispuesto por el artículo 22</w:t>
      </w:r>
      <w:r w:rsidR="00B05F16">
        <w:t>, párrafo </w:t>
      </w:r>
      <w:r w:rsidRPr="00AF4E1E">
        <w:t>2</w:t>
      </w:r>
      <w:r w:rsidR="00B05F16">
        <w:t>,</w:t>
      </w:r>
      <w:r w:rsidRPr="00AF4E1E">
        <w:t xml:space="preserve"> de la Convención. El Estado parte establece que los presuntos responsables del delito de tortura fueron absueltos y que el proceso penal seguido en su contra fue tramitado de conformidad con las normas preestablecidas en la legislación nacional y con respeto de las garantías del debido proceso</w:t>
      </w:r>
      <w:r w:rsidRPr="00AF4E1E">
        <w:rPr>
          <w:rFonts w:eastAsiaTheme="majorEastAsia"/>
          <w:sz w:val="18"/>
          <w:vertAlign w:val="superscript"/>
        </w:rPr>
        <w:footnoteReference w:id="17"/>
      </w:r>
      <w:r w:rsidR="00B5336A">
        <w:t>.</w:t>
      </w:r>
      <w:r w:rsidRPr="00AF4E1E">
        <w:t xml:space="preserve"> El Estado parte establece que, si bien el Fiscal interpuso un recurso de nulidad indicando, entre otras cosas, una indebida valoración del caudal probatorio, la </w:t>
      </w:r>
      <w:r w:rsidRPr="00B06298">
        <w:t>Corte Suprema de Justicia consideró</w:t>
      </w:r>
      <w:r w:rsidRPr="00AF4E1E">
        <w:t xml:space="preserve"> que no existían elementos de prueba que acreditasen la responsabilidad de los inculpados. El Estado parte también establece que el hecho </w:t>
      </w:r>
      <w:r w:rsidR="006F708A">
        <w:t xml:space="preserve">de </w:t>
      </w:r>
      <w:r w:rsidRPr="00AF4E1E">
        <w:t xml:space="preserve">que el autor no hubiera tenido un fallo condenatorio no implica la vulneración automática de su derecho a las garantías judiciales del debido proceso. Finalmente, el Estado parte manifiesta que las decisiones de los tribunales fueron adoptadas dentro de su propia competencia para interpretar la ley, y que el Comité no está habilitado </w:t>
      </w:r>
      <w:r w:rsidR="00977CF1">
        <w:t xml:space="preserve">para </w:t>
      </w:r>
      <w:r w:rsidRPr="00AF4E1E">
        <w:t>actuar como tribunal internacional de apelaciones o de revisión de tales decisiones, así como tampoco puede examinar supuestos errores de hecho que puedan haber cometido los tribunales nacionales que actuaron dentro de los límites de su competencia.</w:t>
      </w:r>
    </w:p>
    <w:p w14:paraId="768197BA" w14:textId="303042A0" w:rsidR="00AF4E1E" w:rsidRPr="00AF4E1E" w:rsidRDefault="00AF4E1E" w:rsidP="00AF4E1E">
      <w:pPr>
        <w:pStyle w:val="SingleTxtG"/>
      </w:pPr>
      <w:r w:rsidRPr="00AF4E1E">
        <w:t>4.4</w:t>
      </w:r>
      <w:r w:rsidRPr="00AF4E1E">
        <w:tab/>
        <w:t>El 26 de noviembre de 2019, el Estado parte presentó al Comité sus observaciones sobre el fondo de la comunicación. En lo que respecta a la alegada vulneración del artículo</w:t>
      </w:r>
      <w:r w:rsidR="00266984">
        <w:t> </w:t>
      </w:r>
      <w:r w:rsidRPr="00AF4E1E">
        <w:t>2</w:t>
      </w:r>
      <w:r w:rsidR="00266984">
        <w:t>,</w:t>
      </w:r>
      <w:r w:rsidRPr="00AF4E1E">
        <w:t xml:space="preserve"> párrafo 1</w:t>
      </w:r>
      <w:r w:rsidR="00266984">
        <w:t>,</w:t>
      </w:r>
      <w:r w:rsidRPr="00AF4E1E">
        <w:t xml:space="preserve"> de la Convención, el Estado parte sostiene que los Estados parte</w:t>
      </w:r>
      <w:r w:rsidR="00BF108A">
        <w:t>s</w:t>
      </w:r>
      <w:r w:rsidRPr="00AF4E1E">
        <w:t xml:space="preserve"> tienen la obligación de tipificar el delito de tortura en su legislación penal nacional y adoptar una definición de tortura. El Estado parte recuerda que en 1998 incorporó en su legislación el artículo 321 del Código Penal y que el 7 de enero de 2017, </w:t>
      </w:r>
      <w:r w:rsidR="00F71285">
        <w:t xml:space="preserve">dicho artículo </w:t>
      </w:r>
      <w:r w:rsidRPr="00AF4E1E">
        <w:t xml:space="preserve">fue modificado mediante el Decreto Legislativo </w:t>
      </w:r>
      <w:r w:rsidR="00F71285">
        <w:t>núm</w:t>
      </w:r>
      <w:r w:rsidRPr="00AF4E1E">
        <w:t>. 1351</w:t>
      </w:r>
      <w:r w:rsidR="00E8123F">
        <w:t>,</w:t>
      </w:r>
      <w:r w:rsidRPr="00AF4E1E">
        <w:t xml:space="preserve"> adoptando una definición de tortura que incorpora casi la totalidad del artículo 1 de la Convención</w:t>
      </w:r>
      <w:r w:rsidR="006455BE">
        <w:t xml:space="preserve"> </w:t>
      </w:r>
      <w:r w:rsidRPr="00AF4E1E">
        <w:t xml:space="preserve">y contempla penas más altas y tipos agravados. El nuevo tipo penal no menciona una causa o finalidad determinada en la tortura, </w:t>
      </w:r>
      <w:r w:rsidR="00541900">
        <w:t xml:space="preserve">lo que </w:t>
      </w:r>
      <w:r w:rsidRPr="00AF4E1E">
        <w:t>garantiz</w:t>
      </w:r>
      <w:r w:rsidR="00541900">
        <w:t>a</w:t>
      </w:r>
      <w:r w:rsidRPr="00AF4E1E">
        <w:t xml:space="preserve"> la amplitud de supuestos que pued</w:t>
      </w:r>
      <w:r w:rsidR="00541900">
        <w:t>e</w:t>
      </w:r>
      <w:r w:rsidRPr="00AF4E1E">
        <w:t>n considerarse tortura. Finalmente, el Estado parte señala que, directa o indirectamente, las obligaciones del Estado</w:t>
      </w:r>
      <w:r w:rsidR="00541900">
        <w:t xml:space="preserve"> parte</w:t>
      </w:r>
      <w:r w:rsidRPr="00AF4E1E">
        <w:t xml:space="preserve"> para prevenir, erradicar, juzgar y sancionar cualquier delito de tortura que se cometa en territorio nacional están establecidas en la Constitución y el Código Penal, sin que pueda por tanto justificarse una violación del artículo 2</w:t>
      </w:r>
      <w:r w:rsidR="00634448">
        <w:t>, párrafo </w:t>
      </w:r>
      <w:r w:rsidRPr="00AF4E1E">
        <w:t>1</w:t>
      </w:r>
      <w:r w:rsidR="00634448">
        <w:t>,</w:t>
      </w:r>
      <w:r w:rsidRPr="00AF4E1E">
        <w:t xml:space="preserve"> de la Convención.</w:t>
      </w:r>
    </w:p>
    <w:p w14:paraId="64A6A019" w14:textId="1F383FCF" w:rsidR="00AF4E1E" w:rsidRPr="00AF4E1E" w:rsidRDefault="00AF4E1E" w:rsidP="00AF4E1E">
      <w:pPr>
        <w:pStyle w:val="SingleTxtG"/>
      </w:pPr>
      <w:r w:rsidRPr="00AF4E1E">
        <w:t xml:space="preserve">4.5 </w:t>
      </w:r>
      <w:r w:rsidRPr="00AF4E1E">
        <w:tab/>
        <w:t>En relación con las alegaciones del autor respecto de los artículos 12 y 13 de la Convención, el Estado parte argumenta que los tribunales internos resolvieron de conformidad con las normas y los procedimientos establecidos en la jurisdicción interna que existieron elementos que absolvieron a los inculpados y que sus conductas no constituyeron ilícito penal previsto y sancionado por el Código Penal. Asimismo, el Estado parte agrega que en este caso no se ha vulnerado lo establecido por la Convención toda vez que, en el proceso judicial que se siguió en contra de los inculpados por el delito de tortura, el autor tuvo la oportunidad de ejercer su derecho de defensa y presentar los medios impugnatorios contra la sentencia que absolvió a los inculpados. El Estado parte reitera que el Comité no podría sustituir su propia evaluación de los hechos por la de los tribunales internos.</w:t>
      </w:r>
    </w:p>
    <w:p w14:paraId="6758BDB7" w14:textId="159F7F34" w:rsidR="00AF4E1E" w:rsidRPr="00AF4E1E" w:rsidRDefault="00AF4E1E" w:rsidP="00AF4E1E">
      <w:pPr>
        <w:pStyle w:val="SingleTxtG"/>
      </w:pPr>
      <w:r w:rsidRPr="00AF4E1E">
        <w:t>4.6</w:t>
      </w:r>
      <w:r w:rsidRPr="00AF4E1E">
        <w:tab/>
        <w:t>En relación con las alegaciones del autor respecto del artículo 14</w:t>
      </w:r>
      <w:r w:rsidR="006455BE">
        <w:t xml:space="preserve"> </w:t>
      </w:r>
      <w:r w:rsidRPr="00AF4E1E">
        <w:rPr>
          <w:lang w:val="es-419"/>
        </w:rPr>
        <w:t>de la Convención</w:t>
      </w:r>
      <w:r w:rsidRPr="00AF4E1E">
        <w:t xml:space="preserve">, el Estado parte manifiesta que su legislación interna asegura a las víctimas de actos de tortura el derecho a gozar de reparaciones y a una indemnización equitativa y adecuada. Sin embargo, el Estado parte establece que, en el presente caso, no se cuenta con una sentencia condenatoria y, por lo tanto, no existe vulneración </w:t>
      </w:r>
      <w:r w:rsidR="00FE645B">
        <w:t>de</w:t>
      </w:r>
      <w:r w:rsidRPr="00AF4E1E">
        <w:t>l artículo 14</w:t>
      </w:r>
      <w:r w:rsidR="006455BE">
        <w:t xml:space="preserve"> </w:t>
      </w:r>
      <w:r w:rsidRPr="00AF4E1E">
        <w:t>de la Convención.</w:t>
      </w:r>
    </w:p>
    <w:p w14:paraId="5272FF21" w14:textId="251BE0D3" w:rsidR="00AF4E1E" w:rsidRPr="00AF4E1E" w:rsidRDefault="008014A7" w:rsidP="008014A7">
      <w:pPr>
        <w:pStyle w:val="H23G"/>
      </w:pPr>
      <w:r>
        <w:tab/>
      </w:r>
      <w:r>
        <w:tab/>
      </w:r>
      <w:r w:rsidR="00AF4E1E" w:rsidRPr="00AF4E1E">
        <w:t>Comentarios del autor acerca de las observaciones del Estado parte</w:t>
      </w:r>
      <w:r w:rsidR="006455BE">
        <w:t xml:space="preserve"> sobre la admisibilidad y el fondo</w:t>
      </w:r>
    </w:p>
    <w:p w14:paraId="20B2732D" w14:textId="7DF2D3B7" w:rsidR="00AF4E1E" w:rsidRPr="00AF4E1E" w:rsidRDefault="00AF4E1E" w:rsidP="00AF4E1E">
      <w:pPr>
        <w:pStyle w:val="SingleTxtG"/>
      </w:pPr>
      <w:r w:rsidRPr="00AF4E1E">
        <w:t>5.1</w:t>
      </w:r>
      <w:r w:rsidRPr="00AF4E1E">
        <w:tab/>
        <w:t xml:space="preserve">En sus comentarios de 30 de junio de 2021, el autor sostiene que los recursos internos fueron agotados mediante </w:t>
      </w:r>
      <w:r w:rsidR="005F668D">
        <w:t xml:space="preserve">una </w:t>
      </w:r>
      <w:r w:rsidRPr="00AF4E1E">
        <w:t xml:space="preserve">sentencia emitida por la </w:t>
      </w:r>
      <w:r w:rsidRPr="00B06298">
        <w:t>Sala Penal Nacional y</w:t>
      </w:r>
      <w:r w:rsidRPr="00AF4E1E">
        <w:t xml:space="preserve"> la decisión de </w:t>
      </w:r>
      <w:r w:rsidRPr="00AF4E1E">
        <w:lastRenderedPageBreak/>
        <w:t>la Corte Suprema de Justicia, que resolvió el recurso de nulidad. Al respecto, el autor manifiesta que los órganos de tratado</w:t>
      </w:r>
      <w:r w:rsidR="00822E90">
        <w:t>s</w:t>
      </w:r>
      <w:r w:rsidRPr="00AF4E1E">
        <w:t xml:space="preserve"> s</w:t>
      </w:r>
      <w:r w:rsidR="00020B62">
        <w:t>o</w:t>
      </w:r>
      <w:r w:rsidRPr="00AF4E1E">
        <w:t>lo exigen a los denunciantes que agoten los recursos disponibles y efectivos y que, cuando se dispone de múltiples recursos, los denunciantes solo deben agotar uno de esos recursos que serían adecuados para remediar una infracción</w:t>
      </w:r>
      <w:r w:rsidRPr="00AF4E1E">
        <w:rPr>
          <w:rFonts w:eastAsiaTheme="majorEastAsia"/>
          <w:sz w:val="18"/>
          <w:vertAlign w:val="superscript"/>
        </w:rPr>
        <w:footnoteReference w:id="18"/>
      </w:r>
      <w:r w:rsidR="00AC40C6">
        <w:t>.</w:t>
      </w:r>
      <w:r w:rsidRPr="00AF4E1E">
        <w:t xml:space="preserve"> Asimismo, el autor establece que, con base </w:t>
      </w:r>
      <w:r w:rsidR="00941E4A">
        <w:t>en e</w:t>
      </w:r>
      <w:r w:rsidRPr="00AF4E1E">
        <w:t>l artículo 22</w:t>
      </w:r>
      <w:r w:rsidR="00941E4A">
        <w:t xml:space="preserve">, párrafo </w:t>
      </w:r>
      <w:r w:rsidRPr="00AF4E1E">
        <w:t>5 b)</w:t>
      </w:r>
      <w:r w:rsidR="004412FE">
        <w:t>,</w:t>
      </w:r>
      <w:r w:rsidRPr="00AF4E1E">
        <w:t xml:space="preserve"> de la Convención, la excepción a la regla de agotamiento de recursos en la jurisdicción interna es aplicable si la tramitación de los mencionados recursos se ha prolongado injustificadamente o no es probable que mejore realmente la situación de la presunta víctima. El autor sostiene que la vía adecuada en este caso es la penal, que ha sido agotada. El autor añade que la vía constitucional, a través del recurso de amparo, no constituye un recurso idóneo o adecuado para la determinación de responsabilidades de índole penal, ni para el otorgamiento de una reparación, debido a que </w:t>
      </w:r>
      <w:r w:rsidR="008959A1" w:rsidRPr="00AF4E1E">
        <w:t xml:space="preserve">los jueces constitucionales </w:t>
      </w:r>
      <w:r w:rsidR="008959A1">
        <w:t>no están</w:t>
      </w:r>
      <w:r w:rsidRPr="00AF4E1E">
        <w:t xml:space="preserve"> facultad</w:t>
      </w:r>
      <w:r w:rsidR="008959A1">
        <w:t>o</w:t>
      </w:r>
      <w:r w:rsidRPr="00AF4E1E">
        <w:t xml:space="preserve">s </w:t>
      </w:r>
      <w:r w:rsidR="008959A1">
        <w:t xml:space="preserve">para la determinación </w:t>
      </w:r>
      <w:r w:rsidRPr="00AF4E1E">
        <w:t>de</w:t>
      </w:r>
      <w:r w:rsidR="008959A1">
        <w:t xml:space="preserve"> los hechos denunciados, las responsabilidades penales ni las indemnizaciones que pudieran corresponder</w:t>
      </w:r>
      <w:r w:rsidRPr="00AF4E1E">
        <w:rPr>
          <w:rFonts w:eastAsiaTheme="majorEastAsia"/>
          <w:sz w:val="18"/>
          <w:vertAlign w:val="superscript"/>
        </w:rPr>
        <w:footnoteReference w:id="19"/>
      </w:r>
      <w:r w:rsidR="00CD448E">
        <w:t xml:space="preserve">. </w:t>
      </w:r>
      <w:r w:rsidRPr="00AF4E1E">
        <w:t xml:space="preserve">El autor alega a su vez que el recurso de amparo es un recurso de carácter extraordinario y que, en el presente caso, se cumplió con agotar todos los recursos ordinarios en el marco del proceso penal. El autor recuerda asimismo lo establecido por el Comité en el sentido </w:t>
      </w:r>
      <w:r w:rsidR="00CC7BD7">
        <w:t xml:space="preserve">de </w:t>
      </w:r>
      <w:r w:rsidRPr="00AF4E1E">
        <w:t>que “una vez que se ha agotado sin éxito un recurso, no debería exigirse, a efectos del artículo</w:t>
      </w:r>
      <w:r w:rsidR="00566F1D">
        <w:t> </w:t>
      </w:r>
      <w:r w:rsidRPr="00AF4E1E">
        <w:t xml:space="preserve">22, </w:t>
      </w:r>
      <w:r w:rsidR="00566F1D">
        <w:t>párrafo</w:t>
      </w:r>
      <w:r w:rsidR="00895873">
        <w:t> </w:t>
      </w:r>
      <w:r w:rsidRPr="00AF4E1E">
        <w:t>5 b)</w:t>
      </w:r>
      <w:r w:rsidR="00895873">
        <w:t>,</w:t>
      </w:r>
      <w:r w:rsidRPr="00AF4E1E">
        <w:t xml:space="preserve"> de la Convención, el agotamiento de vías legales alternativas que, en lo fundamental, habrían estado orientadas al mismo fin y, en todo caso, no habrían presentado mayores perspectivas de prosperar</w:t>
      </w:r>
      <w:r w:rsidRPr="00B06298">
        <w:t>”</w:t>
      </w:r>
      <w:r w:rsidRPr="00B06298">
        <w:rPr>
          <w:rFonts w:eastAsiaTheme="majorEastAsia"/>
          <w:sz w:val="18"/>
          <w:vertAlign w:val="superscript"/>
        </w:rPr>
        <w:footnoteReference w:id="20"/>
      </w:r>
      <w:r w:rsidR="000667DF" w:rsidRPr="00B06298">
        <w:t>.</w:t>
      </w:r>
      <w:r w:rsidRPr="00B06298">
        <w:t xml:space="preserve"> El autor sostiene que, en el </w:t>
      </w:r>
      <w:r w:rsidR="00561669" w:rsidRPr="00B06298">
        <w:t xml:space="preserve">presente </w:t>
      </w:r>
      <w:r w:rsidRPr="00B06298">
        <w:t>caso, el recurso de amparo no habría sido efectivo y no tenía perspectiva de prosperar, en tanto que la Corte Suprema de Justicia determinó</w:t>
      </w:r>
      <w:r w:rsidRPr="00AF4E1E">
        <w:t xml:space="preserve"> que la decisión de no acusar del Fiscal Supremo le impedía proseguir con la causa, en sujeción al principio de jerarquía. Asimismo, el autor manifestó que, de conformidad con </w:t>
      </w:r>
      <w:r w:rsidRPr="00B53A50">
        <w:t>la jurisprudencia</w:t>
      </w:r>
      <w:r w:rsidRPr="00AF4E1E">
        <w:t xml:space="preserve"> del Tribunal Constitucional, el amparo contra resoluciones judiciales, específicamente en casos penales, procede únicamente si se ha vulnerado en forma directa y manifiesta un principio constitucional o un derecho fundamental que lo convierta en una decisión judicial inconstitucional</w:t>
      </w:r>
      <w:r w:rsidR="008014A7">
        <w:rPr>
          <w:rStyle w:val="Refdenotaalpie"/>
        </w:rPr>
        <w:footnoteReference w:id="21"/>
      </w:r>
      <w:r w:rsidR="008D7F31">
        <w:t>,</w:t>
      </w:r>
      <w:r w:rsidR="008014A7" w:rsidRPr="00AF4E1E">
        <w:t xml:space="preserve"> </w:t>
      </w:r>
      <w:r w:rsidRPr="00AF4E1E">
        <w:t xml:space="preserve">y que las falencias en la investigación que ocasionaron que se absolviera a los presuntos responsables no </w:t>
      </w:r>
      <w:r w:rsidR="00E90908">
        <w:t>constituyen</w:t>
      </w:r>
      <w:r w:rsidR="00E90908" w:rsidRPr="00AF4E1E">
        <w:t xml:space="preserve"> </w:t>
      </w:r>
      <w:r w:rsidRPr="00AF4E1E">
        <w:t xml:space="preserve">un aspecto que pueda controvertirse a través de una acción de amparo, por lo que, en este caso, el recurso constitucional de amparo, además de ser un recurso extraordinario y no idóneo, no es efectivo. El autor recuerda que </w:t>
      </w:r>
      <w:r w:rsidRPr="00AF4E1E">
        <w:rPr>
          <w:lang w:val="es-BO"/>
        </w:rPr>
        <w:t>el Estado parte es quien tiene que demostrar que hay perspectivas razonables de que el recurso de amparo, tal y como está establecido en su legislación, vaya a constituir un recurso efectivo en las circunstancias del caso</w:t>
      </w:r>
      <w:r w:rsidRPr="00AF4E1E">
        <w:rPr>
          <w:rFonts w:eastAsiaTheme="majorEastAsia"/>
          <w:sz w:val="18"/>
          <w:vertAlign w:val="superscript"/>
        </w:rPr>
        <w:footnoteReference w:id="22"/>
      </w:r>
      <w:r w:rsidR="00814593">
        <w:rPr>
          <w:lang w:val="es-BO"/>
        </w:rPr>
        <w:t>.</w:t>
      </w:r>
      <w:r w:rsidRPr="00AF4E1E">
        <w:t xml:space="preserve"> El autor finalmente establece que el Estado parte tampoco ha señalado en sus observaciones la razón por la cual dicho recurso sería efectivo, más allá de la posibilidad de su interposición legal, y reitera que se ha cumplido con el agotamiento de los recursos de la jurisdicción interna.</w:t>
      </w:r>
    </w:p>
    <w:p w14:paraId="78F9452F" w14:textId="0EE2972F" w:rsidR="00AF4E1E" w:rsidRPr="00AF4E1E" w:rsidRDefault="00AF4E1E" w:rsidP="00AF4E1E">
      <w:pPr>
        <w:pStyle w:val="SingleTxtG"/>
      </w:pPr>
      <w:r w:rsidRPr="00AF4E1E">
        <w:t>5.2</w:t>
      </w:r>
      <w:r w:rsidRPr="00AF4E1E">
        <w:tab/>
        <w:t>En relación con el argumento del Estado parte basado en el artículo 22</w:t>
      </w:r>
      <w:r w:rsidR="00996351">
        <w:t>, párrafo </w:t>
      </w:r>
      <w:r w:rsidRPr="00AF4E1E">
        <w:t>2, el autor reitera la jurisprudencia del Comité que señala que la investigación en sí no basta para demostrar que el Estado parte respeta las obligaciones que le incumben con arreglo al artículo</w:t>
      </w:r>
      <w:r w:rsidR="00F8278C">
        <w:t> </w:t>
      </w:r>
      <w:r w:rsidRPr="00AF4E1E">
        <w:t>12 de la Convención</w:t>
      </w:r>
      <w:r w:rsidRPr="00AF4E1E">
        <w:rPr>
          <w:rFonts w:eastAsiaTheme="majorEastAsia"/>
          <w:sz w:val="18"/>
          <w:vertAlign w:val="superscript"/>
        </w:rPr>
        <w:footnoteReference w:id="23"/>
      </w:r>
      <w:r w:rsidR="00C9769E">
        <w:t xml:space="preserve"> </w:t>
      </w:r>
      <w:r w:rsidRPr="00AF4E1E">
        <w:t xml:space="preserve">y que dicha cuestión se encuentra estrechamente ligada a la evaluación sobre el fondo del asunto y a las alegaciones del autor respecto de los hechos y </w:t>
      </w:r>
      <w:r w:rsidRPr="00AF4E1E">
        <w:lastRenderedPageBreak/>
        <w:t>las falencias en la investigación, por lo que reitera que su comunicación no es manifiestamente infundada, ni constituye un abuso de derecho.</w:t>
      </w:r>
    </w:p>
    <w:p w14:paraId="0DE012FD" w14:textId="5B5C69EA" w:rsidR="00AF4E1E" w:rsidRPr="00AF4E1E" w:rsidRDefault="00AF4E1E" w:rsidP="00AF4E1E">
      <w:pPr>
        <w:pStyle w:val="SingleTxtG"/>
      </w:pPr>
      <w:r w:rsidRPr="00AF4E1E">
        <w:t>5.3</w:t>
      </w:r>
      <w:r w:rsidRPr="00AF4E1E">
        <w:tab/>
        <w:t>En relación con las observaciones del Estado</w:t>
      </w:r>
      <w:r w:rsidR="00C9769E">
        <w:t xml:space="preserve"> parte</w:t>
      </w:r>
      <w:r w:rsidRPr="00AF4E1E">
        <w:t xml:space="preserve"> respecto </w:t>
      </w:r>
      <w:r w:rsidR="00983FCD">
        <w:t>d</w:t>
      </w:r>
      <w:r w:rsidRPr="00AF4E1E">
        <w:t>el artículo 2</w:t>
      </w:r>
      <w:r w:rsidR="00C9769E">
        <w:t>, párrafo </w:t>
      </w:r>
      <w:r w:rsidRPr="00AF4E1E">
        <w:t>1</w:t>
      </w:r>
      <w:r w:rsidR="00C9769E">
        <w:t>,</w:t>
      </w:r>
      <w:r w:rsidRPr="00AF4E1E">
        <w:t xml:space="preserve"> de la Convención, el autor mantiene que el tipo penal de tortura aún no se encuentra conforme al estándar internacional de la Convención</w:t>
      </w:r>
      <w:r w:rsidRPr="00AF4E1E">
        <w:rPr>
          <w:rFonts w:eastAsiaTheme="majorEastAsia"/>
          <w:sz w:val="18"/>
          <w:vertAlign w:val="superscript"/>
        </w:rPr>
        <w:footnoteReference w:id="24"/>
      </w:r>
      <w:r w:rsidR="00996351">
        <w:t>.</w:t>
      </w:r>
      <w:r w:rsidRPr="00AF4E1E">
        <w:t xml:space="preserve"> Sostiene que, en todo caso,</w:t>
      </w:r>
      <w:r w:rsidR="00466A08">
        <w:t xml:space="preserve"> </w:t>
      </w:r>
      <w:r w:rsidRPr="00AF4E1E">
        <w:t>la violación del artículo 2</w:t>
      </w:r>
      <w:r w:rsidR="00C9769E">
        <w:t>, párrafo </w:t>
      </w:r>
      <w:r w:rsidRPr="00AF4E1E">
        <w:t>1</w:t>
      </w:r>
      <w:r w:rsidR="00C9769E">
        <w:t>,</w:t>
      </w:r>
      <w:r w:rsidRPr="00AF4E1E">
        <w:t xml:space="preserve"> de la Convención se sustenta en que los hechos a los que fue sometido constituyen actos de tortura conforme </w:t>
      </w:r>
      <w:r w:rsidR="00C9769E">
        <w:t xml:space="preserve">a </w:t>
      </w:r>
      <w:r w:rsidRPr="00AF4E1E">
        <w:t>la definición que se establece en el artículo</w:t>
      </w:r>
      <w:r w:rsidR="00F8278C">
        <w:t> </w:t>
      </w:r>
      <w:r w:rsidRPr="00AF4E1E">
        <w:t xml:space="preserve">1 de la Convención, en tanto que ha sido cometida por funcionarios públicos y por terceras personas con el consentimiento de estos, </w:t>
      </w:r>
      <w:r w:rsidR="00C9769E">
        <w:t xml:space="preserve">en </w:t>
      </w:r>
      <w:r w:rsidRPr="00AF4E1E">
        <w:t xml:space="preserve">que se trata de un acto grave y </w:t>
      </w:r>
      <w:r w:rsidR="00C9769E">
        <w:t xml:space="preserve">en </w:t>
      </w:r>
      <w:r w:rsidRPr="00AF4E1E">
        <w:t>que se ha cometido con la finalidad de extraer de la víctima una confesión. Respecto de la gravedad del acto</w:t>
      </w:r>
      <w:r w:rsidRPr="00AF4E1E">
        <w:rPr>
          <w:rFonts w:eastAsiaTheme="majorEastAsia"/>
          <w:sz w:val="18"/>
          <w:vertAlign w:val="superscript"/>
        </w:rPr>
        <w:footnoteReference w:id="25"/>
      </w:r>
      <w:r w:rsidRPr="00AF4E1E">
        <w:t xml:space="preserve">, recuerda lo establecido por el Relator </w:t>
      </w:r>
      <w:r w:rsidR="00C9769E" w:rsidRPr="00C9769E">
        <w:t xml:space="preserve">Especial sobre la tortura y otros tratos o penas crueles, inhumanos o degradantes </w:t>
      </w:r>
      <w:r w:rsidRPr="00AF4E1E">
        <w:t>respecto de que “el umbral agravado de tortura se alcanza en todas las situaciones cuando, además, se infligen dolor y sufrimiento grave</w:t>
      </w:r>
      <w:r w:rsidR="000D7E41">
        <w:t>s</w:t>
      </w:r>
      <w:r w:rsidRPr="00AF4E1E">
        <w:t xml:space="preserve"> a una persona indefensa de forma intencional y deliberada”</w:t>
      </w:r>
      <w:r w:rsidRPr="00AF4E1E">
        <w:rPr>
          <w:rFonts w:eastAsiaTheme="majorEastAsia"/>
          <w:sz w:val="18"/>
          <w:vertAlign w:val="superscript"/>
        </w:rPr>
        <w:footnoteReference w:id="26"/>
      </w:r>
      <w:r w:rsidR="00C9769E">
        <w:t>.</w:t>
      </w:r>
      <w:r w:rsidRPr="00AF4E1E">
        <w:t xml:space="preserve"> Reitera que, siendo menor de edad al momento de los hechos, fue torturado al haber sido desnudado, sumergido en agua helada y golpeado mientras se encontraba en completo estado de indefensión. El autor establece que dichos actos tuvieron como propósito que confesase la comisión de un hecho delictivo, lo cual finalmente hizo para evitar seguir siendo torturado.</w:t>
      </w:r>
    </w:p>
    <w:p w14:paraId="68453193" w14:textId="513DB5F0" w:rsidR="00AF4E1E" w:rsidRPr="00AF4E1E" w:rsidRDefault="00AF4E1E" w:rsidP="00AF4E1E">
      <w:pPr>
        <w:pStyle w:val="SingleTxtG"/>
      </w:pPr>
      <w:r w:rsidRPr="00AF4E1E">
        <w:t>5.4</w:t>
      </w:r>
      <w:r w:rsidRPr="00AF4E1E">
        <w:tab/>
        <w:t xml:space="preserve">En relación con la violación </w:t>
      </w:r>
      <w:r w:rsidR="000D7E41">
        <w:t>de</w:t>
      </w:r>
      <w:r w:rsidRPr="00AF4E1E">
        <w:t xml:space="preserve"> los artículos 12 y 13 de la Convención, el autor alega que los motivos que los tribunales internos emplearon para absolver a los procesados se fundamentaron en las falencias de la investigación en sus primeras etapas y que, dado el paso del tiempo, </w:t>
      </w:r>
      <w:r w:rsidR="00DA32CB">
        <w:t>estas</w:t>
      </w:r>
      <w:r w:rsidRPr="00AF4E1E">
        <w:t xml:space="preserve"> no son </w:t>
      </w:r>
      <w:r w:rsidRPr="00E27F81">
        <w:t>subsanables. La Sala Penal Nacional y la Fiscalía Suprema consideraron</w:t>
      </w:r>
      <w:r w:rsidRPr="00AF4E1E">
        <w:t xml:space="preserve"> que debía absolverse a los procesados por falta de pruebas que acreditasen su responsabilidad, ya que había deficiencias en las pericias médicas y psicológicas, en la realización de la diligencia de inspección </w:t>
      </w:r>
      <w:r w:rsidRPr="00CA6696">
        <w:t>judicial y porque, debido al paso del tiempo, los testigos habían variado su testimonio</w:t>
      </w:r>
      <w:r w:rsidRPr="00CA6696">
        <w:rPr>
          <w:rFonts w:eastAsiaTheme="majorEastAsia"/>
          <w:sz w:val="18"/>
          <w:vertAlign w:val="superscript"/>
        </w:rPr>
        <w:footnoteReference w:id="27"/>
      </w:r>
      <w:r w:rsidR="00673FF7" w:rsidRPr="00CA6696">
        <w:t xml:space="preserve">. </w:t>
      </w:r>
      <w:r w:rsidR="00DA32CB" w:rsidRPr="00091EFE">
        <w:t>El</w:t>
      </w:r>
      <w:r w:rsidR="00DA32CB" w:rsidRPr="00CA6696">
        <w:t xml:space="preserve"> </w:t>
      </w:r>
      <w:r w:rsidRPr="00CA6696">
        <w:t>autor agrega</w:t>
      </w:r>
      <w:r w:rsidRPr="00AF4E1E">
        <w:t xml:space="preserve"> que ello se debió en gran medida a un error procedimental que fue advertido al inicio de la investigación pero que no fue subsanado sino hasta cuatro años después de sucedidos los hechos. Asimismo, el autor alega que existieron otros defectos procesales atribuibles al Estado parte que ocasionaron la </w:t>
      </w:r>
      <w:r w:rsidRPr="00DA32CB">
        <w:t>dilación indebida de la causa, como la condena por debajo del mínimo legal y la tramitación de la causa en el procedimiento sumario cuando correspondía el ordinario</w:t>
      </w:r>
      <w:r w:rsidR="00DA32CB" w:rsidRPr="00DA32CB">
        <w:t xml:space="preserve"> (véanse los párrs.</w:t>
      </w:r>
      <w:r w:rsidR="00DA32CB">
        <w:t> </w:t>
      </w:r>
      <w:r w:rsidR="00DA32CB" w:rsidRPr="00091EFE">
        <w:rPr>
          <w:spacing w:val="-2"/>
          <w:szCs w:val="18"/>
        </w:rPr>
        <w:t>2.3, 2.6 y 2.7</w:t>
      </w:r>
      <w:r w:rsidR="00DA32CB" w:rsidRPr="00DA32CB">
        <w:rPr>
          <w:spacing w:val="-2"/>
          <w:szCs w:val="18"/>
        </w:rPr>
        <w:t>)</w:t>
      </w:r>
      <w:r w:rsidR="00DA32CB" w:rsidRPr="00DA32CB">
        <w:t>.</w:t>
      </w:r>
      <w:r w:rsidRPr="00AF4E1E">
        <w:t xml:space="preserve"> </w:t>
      </w:r>
    </w:p>
    <w:p w14:paraId="418BC10C" w14:textId="41209EAF" w:rsidR="00AF4E1E" w:rsidRPr="00AF4E1E" w:rsidRDefault="00AF4E1E" w:rsidP="00AF4E1E">
      <w:pPr>
        <w:pStyle w:val="SingleTxtG"/>
      </w:pPr>
      <w:r w:rsidRPr="00AF4E1E">
        <w:t>5.5</w:t>
      </w:r>
      <w:r w:rsidRPr="00AF4E1E">
        <w:tab/>
        <w:t>El autor señala que la pericia médica</w:t>
      </w:r>
      <w:r w:rsidRPr="00AF4E1E">
        <w:rPr>
          <w:rFonts w:eastAsiaTheme="majorEastAsia"/>
          <w:sz w:val="18"/>
          <w:vertAlign w:val="superscript"/>
        </w:rPr>
        <w:footnoteReference w:id="28"/>
      </w:r>
      <w:r w:rsidRPr="00AF4E1E">
        <w:t xml:space="preserve"> no se realizó tomando en consideración el Protocolo de Estambul</w:t>
      </w:r>
      <w:r w:rsidRPr="00AF4E1E">
        <w:rPr>
          <w:rFonts w:eastAsiaTheme="majorEastAsia"/>
          <w:sz w:val="18"/>
          <w:vertAlign w:val="superscript"/>
        </w:rPr>
        <w:footnoteReference w:id="29"/>
      </w:r>
      <w:r w:rsidRPr="00AF4E1E">
        <w:t xml:space="preserve">, y que, a pesar de haberse constatado diversas </w:t>
      </w:r>
      <w:r w:rsidRPr="002549F7">
        <w:t>lesiones, la Sala</w:t>
      </w:r>
      <w:r w:rsidR="00E27F81" w:rsidRPr="002549F7">
        <w:t xml:space="preserve"> Penal Nacional</w:t>
      </w:r>
      <w:r w:rsidRPr="002549F7">
        <w:t xml:space="preserve"> consideró que no se encontraba probada la imputación al no haberse certificado lesiones en lugares donde debieron haberse certificado, como los pies, la</w:t>
      </w:r>
      <w:r w:rsidRPr="00AF4E1E">
        <w:t xml:space="preserve"> cintura y las muñecas</w:t>
      </w:r>
      <w:r w:rsidRPr="00AF4E1E">
        <w:rPr>
          <w:rFonts w:eastAsiaTheme="majorEastAsia"/>
          <w:sz w:val="18"/>
          <w:vertAlign w:val="superscript"/>
        </w:rPr>
        <w:footnoteReference w:id="30"/>
      </w:r>
      <w:r w:rsidR="00183DE0">
        <w:t>.</w:t>
      </w:r>
      <w:r w:rsidRPr="00AF4E1E">
        <w:t xml:space="preserve"> A falta de profesionales contratados por el Estado parte, el examen psicológico fue realizado por una psicóloga, quien trabajaba en un hospital de la localidad, por lo que no firmó el </w:t>
      </w:r>
      <w:r w:rsidR="007837E1">
        <w:t>c</w:t>
      </w:r>
      <w:r w:rsidRPr="00AF4E1E">
        <w:t xml:space="preserve">ertificado </w:t>
      </w:r>
      <w:r w:rsidR="007837E1">
        <w:t>m</w:t>
      </w:r>
      <w:r w:rsidRPr="00AF4E1E">
        <w:t xml:space="preserve">édico </w:t>
      </w:r>
      <w:r w:rsidR="007837E1">
        <w:t>l</w:t>
      </w:r>
      <w:r w:rsidRPr="00AF4E1E">
        <w:t>egal, ocasionando que se descartara por completo la evaluación psicológica, en la que se había diagnosticado al autor “trastorno de estrés postraumático”</w:t>
      </w:r>
      <w:r w:rsidRPr="00AF4E1E">
        <w:rPr>
          <w:rFonts w:eastAsiaTheme="majorEastAsia"/>
          <w:sz w:val="18"/>
          <w:vertAlign w:val="superscript"/>
        </w:rPr>
        <w:footnoteReference w:id="31"/>
      </w:r>
      <w:r w:rsidR="00F6761A">
        <w:t>.</w:t>
      </w:r>
      <w:r w:rsidRPr="00AF4E1E">
        <w:t xml:space="preserve"> Respecto de la diligencia de inspección judicial, </w:t>
      </w:r>
      <w:r w:rsidR="00F6761A">
        <w:t>esta</w:t>
      </w:r>
      <w:r w:rsidRPr="00AF4E1E">
        <w:t xml:space="preserve"> no fue valorada por contar con defectos procesales atribuibles a los órganos jurisdiccionales. El autor alega que la falta de diligencia </w:t>
      </w:r>
      <w:r w:rsidRPr="00AF4E1E">
        <w:lastRenderedPageBreak/>
        <w:t xml:space="preserve">en la investigación ocasionó dilaciones indebidas de la causa y la nulidad de todo lo actuado en dos ocasiones, justificándose una violación </w:t>
      </w:r>
      <w:r w:rsidR="00675DC8">
        <w:t>de</w:t>
      </w:r>
      <w:r w:rsidRPr="00AF4E1E">
        <w:t xml:space="preserve"> los artículos 12 y 13 de la Convención.</w:t>
      </w:r>
    </w:p>
    <w:p w14:paraId="2979D1BC" w14:textId="3A5569F5" w:rsidR="00AF4E1E" w:rsidRPr="00AF4E1E" w:rsidRDefault="00AF4E1E" w:rsidP="00AF4E1E">
      <w:pPr>
        <w:pStyle w:val="SingleTxtG"/>
      </w:pPr>
      <w:r w:rsidRPr="00AF4E1E">
        <w:t>5.6</w:t>
      </w:r>
      <w:r w:rsidRPr="00AF4E1E">
        <w:tab/>
        <w:t xml:space="preserve">En relación con la violación </w:t>
      </w:r>
      <w:r w:rsidR="00675DC8">
        <w:t>de</w:t>
      </w:r>
      <w:r w:rsidRPr="00AF4E1E">
        <w:t>l artículo 14 de la Convención, el autor alega que, al no haberse determinado la responsabilidad penal de los acusados, se le impidió el acceso a una reparación e indemnización adecuada por los hechos denunciados y que los mecanismos de reparación para las víctimas de tortura no son los adecuados.</w:t>
      </w:r>
      <w:r w:rsidRPr="00AF4E1E">
        <w:rPr>
          <w:sz w:val="16"/>
          <w:szCs w:val="16"/>
        </w:rPr>
        <w:t xml:space="preserve"> </w:t>
      </w:r>
      <w:r w:rsidRPr="00AF4E1E">
        <w:t xml:space="preserve">El autor reitera lo establecido por el Comité en </w:t>
      </w:r>
      <w:r w:rsidR="00F67936">
        <w:t xml:space="preserve">el párrafo 3 de </w:t>
      </w:r>
      <w:r w:rsidRPr="00AF4E1E">
        <w:t xml:space="preserve">su </w:t>
      </w:r>
      <w:r w:rsidR="00F117AF">
        <w:t>o</w:t>
      </w:r>
      <w:r w:rsidRPr="00AF4E1E">
        <w:t xml:space="preserve">bservación </w:t>
      </w:r>
      <w:r w:rsidR="00F117AF">
        <w:t>g</w:t>
      </w:r>
      <w:r w:rsidRPr="00AF4E1E">
        <w:t xml:space="preserve">eneral </w:t>
      </w:r>
      <w:r w:rsidR="00F117AF">
        <w:t>núm</w:t>
      </w:r>
      <w:r w:rsidRPr="00AF4E1E">
        <w:t>.</w:t>
      </w:r>
      <w:r w:rsidR="00CA6696">
        <w:t> </w:t>
      </w:r>
      <w:r w:rsidRPr="00AF4E1E">
        <w:t>3</w:t>
      </w:r>
      <w:r w:rsidR="00F117AF">
        <w:t xml:space="preserve"> (2012)</w:t>
      </w:r>
      <w:r w:rsidRPr="00AF4E1E">
        <w:t xml:space="preserve"> y recuerda que en el Estado parte el único mecanismo existente</w:t>
      </w:r>
      <w:r w:rsidRPr="00AF4E1E">
        <w:rPr>
          <w:rFonts w:eastAsiaTheme="majorEastAsia"/>
          <w:sz w:val="18"/>
          <w:vertAlign w:val="superscript"/>
        </w:rPr>
        <w:footnoteReference w:id="32"/>
      </w:r>
      <w:r w:rsidRPr="00AF4E1E">
        <w:t xml:space="preserve"> para acceder a la reparación es la vía judicial</w:t>
      </w:r>
      <w:r w:rsidRPr="00AF4E1E">
        <w:rPr>
          <w:rFonts w:eastAsiaTheme="majorEastAsia"/>
          <w:sz w:val="18"/>
          <w:vertAlign w:val="superscript"/>
        </w:rPr>
        <w:footnoteReference w:id="33"/>
      </w:r>
      <w:r w:rsidR="00D37F03">
        <w:t>.</w:t>
      </w:r>
      <w:r w:rsidR="00466A08">
        <w:t xml:space="preserve"> </w:t>
      </w:r>
    </w:p>
    <w:p w14:paraId="416FF41C" w14:textId="07D2F0EC" w:rsidR="00AF4E1E" w:rsidRPr="00AF4E1E" w:rsidRDefault="00AF4E1E" w:rsidP="00AF4E1E">
      <w:pPr>
        <w:pStyle w:val="SingleTxtG"/>
      </w:pPr>
      <w:r w:rsidRPr="00AF4E1E">
        <w:t>5.7</w:t>
      </w:r>
      <w:r w:rsidRPr="00AF4E1E">
        <w:tab/>
        <w:t>El autor alega que, a raíz de la denuncia penal, su padre ha sufrido hostigamientos dentro de la comunidad, con el objetivo de expulsarlos</w:t>
      </w:r>
      <w:r w:rsidR="008E76B2">
        <w:t>,</w:t>
      </w:r>
      <w:r w:rsidRPr="00AF4E1E">
        <w:t xml:space="preserve"> y que </w:t>
      </w:r>
      <w:r w:rsidR="008E76B2">
        <w:t>dichos hostigamientos</w:t>
      </w:r>
      <w:r w:rsidRPr="00AF4E1E">
        <w:t xml:space="preserve"> se han intensificado con posterioridad a la sentencia absolutoria</w:t>
      </w:r>
      <w:r w:rsidR="008E76B2">
        <w:t>.</w:t>
      </w:r>
    </w:p>
    <w:p w14:paraId="7EF4B5B4" w14:textId="77777777" w:rsidR="00AF4E1E" w:rsidRPr="00AF4E1E" w:rsidRDefault="00AF4E1E" w:rsidP="00AF4E1E">
      <w:pPr>
        <w:pStyle w:val="H23G"/>
      </w:pPr>
      <w:r w:rsidRPr="00AF4E1E">
        <w:tab/>
      </w:r>
      <w:r w:rsidRPr="00AF4E1E">
        <w:tab/>
        <w:t>Deliberaciones del Comité</w:t>
      </w:r>
    </w:p>
    <w:p w14:paraId="0CEBAAF0" w14:textId="77777777" w:rsidR="00AF4E1E" w:rsidRPr="00AF4E1E" w:rsidRDefault="00AF4E1E" w:rsidP="00AF4E1E">
      <w:pPr>
        <w:keepNext/>
        <w:keepLines/>
        <w:tabs>
          <w:tab w:val="right" w:pos="851"/>
        </w:tabs>
        <w:suppressAutoHyphens/>
        <w:spacing w:before="240" w:after="120" w:line="276" w:lineRule="auto"/>
        <w:ind w:left="1134" w:right="1134" w:hanging="1134"/>
        <w:rPr>
          <w:i/>
        </w:rPr>
      </w:pPr>
      <w:r w:rsidRPr="00AF4E1E">
        <w:rPr>
          <w:i/>
        </w:rPr>
        <w:tab/>
      </w:r>
      <w:r w:rsidRPr="00AF4E1E">
        <w:rPr>
          <w:i/>
        </w:rPr>
        <w:tab/>
        <w:t>Examen de la admisibilidad</w:t>
      </w:r>
    </w:p>
    <w:p w14:paraId="48096612" w14:textId="22663E8C" w:rsidR="00AF4E1E" w:rsidRPr="00AF4E1E" w:rsidRDefault="00AF4E1E" w:rsidP="00AF4E1E">
      <w:pPr>
        <w:spacing w:after="120" w:line="276" w:lineRule="auto"/>
        <w:ind w:left="1134" w:right="1134"/>
      </w:pPr>
      <w:r w:rsidRPr="00AF4E1E">
        <w:t>6.1</w:t>
      </w:r>
      <w:r w:rsidRPr="00AF4E1E">
        <w:tab/>
        <w:t xml:space="preserve">Antes de examinar toda </w:t>
      </w:r>
      <w:r w:rsidR="00CA6696">
        <w:t>queja</w:t>
      </w:r>
      <w:r w:rsidR="00CA6696" w:rsidRPr="00AF4E1E">
        <w:t xml:space="preserve"> </w:t>
      </w:r>
      <w:r w:rsidRPr="00AF4E1E">
        <w:t xml:space="preserve">formulada en una </w:t>
      </w:r>
      <w:r w:rsidR="00CA6696">
        <w:t>comunicación</w:t>
      </w:r>
      <w:r w:rsidRPr="00AF4E1E">
        <w:t xml:space="preserve">, el Comité debe decidir si </w:t>
      </w:r>
      <w:r w:rsidR="00E45734">
        <w:t>e</w:t>
      </w:r>
      <w:r w:rsidRPr="00AF4E1E">
        <w:t xml:space="preserve">sta es admisible en virtud del artículo 22 de la Convención. </w:t>
      </w:r>
    </w:p>
    <w:p w14:paraId="2B9D92D0" w14:textId="10408662" w:rsidR="00AF4E1E" w:rsidRPr="00AF4E1E" w:rsidRDefault="00AF4E1E" w:rsidP="00AF4E1E">
      <w:pPr>
        <w:spacing w:after="120" w:line="276" w:lineRule="auto"/>
        <w:ind w:left="1134" w:right="1134"/>
        <w:jc w:val="both"/>
      </w:pPr>
      <w:r w:rsidRPr="00AF4E1E">
        <w:rPr>
          <w:lang w:val="es-ES_tradnl"/>
        </w:rPr>
        <w:t>6.2</w:t>
      </w:r>
      <w:r w:rsidRPr="00AF4E1E">
        <w:rPr>
          <w:lang w:val="es-ES_tradnl"/>
        </w:rPr>
        <w:tab/>
        <w:t>Por lo que se refiere a lo estipulado por el artículo 22</w:t>
      </w:r>
      <w:r w:rsidR="00E45734">
        <w:rPr>
          <w:lang w:val="es-ES_tradnl"/>
        </w:rPr>
        <w:t>, párrafo </w:t>
      </w:r>
      <w:r w:rsidRPr="00AF4E1E">
        <w:rPr>
          <w:lang w:val="es-ES_tradnl"/>
        </w:rPr>
        <w:t xml:space="preserve">5 a), de la Convención, el Comité se ha cerciorado de que el mismo asunto no está siendo examinado en el marco de otro procedimiento de examen o arreglo internacional. </w:t>
      </w:r>
    </w:p>
    <w:p w14:paraId="5715F9F9" w14:textId="65DB8BF6" w:rsidR="00AF4E1E" w:rsidRPr="00AF4E1E" w:rsidRDefault="00AF4E1E" w:rsidP="00AF4E1E">
      <w:pPr>
        <w:pStyle w:val="SingleTxtG"/>
        <w:rPr>
          <w:lang w:bidi="es-ES"/>
        </w:rPr>
      </w:pPr>
      <w:r w:rsidRPr="00AF4E1E">
        <w:t>6.3</w:t>
      </w:r>
      <w:r w:rsidRPr="00AF4E1E">
        <w:tab/>
      </w:r>
      <w:r w:rsidRPr="00AF4E1E">
        <w:rPr>
          <w:lang w:bidi="es-ES"/>
        </w:rPr>
        <w:t xml:space="preserve">El Comité recuerda que, de conformidad con el artículo 22, </w:t>
      </w:r>
      <w:r w:rsidR="00CE1C23">
        <w:rPr>
          <w:lang w:bidi="es-ES"/>
        </w:rPr>
        <w:t>párrafo </w:t>
      </w:r>
      <w:r w:rsidRPr="00AF4E1E">
        <w:rPr>
          <w:lang w:bidi="es-ES"/>
        </w:rPr>
        <w:t>5</w:t>
      </w:r>
      <w:r w:rsidR="00CE1C23">
        <w:rPr>
          <w:lang w:bidi="es-ES"/>
        </w:rPr>
        <w:t xml:space="preserve"> </w:t>
      </w:r>
      <w:r w:rsidRPr="00AF4E1E">
        <w:rPr>
          <w:lang w:bidi="es-ES"/>
        </w:rPr>
        <w:t xml:space="preserve">b), de la Convención, no examina ninguna queja a no ser que se haya cerciorado de que el autor ha agotado todos los recursos de la jurisdicción interna de que podía disponer. No se aplicará esta regla si se ha determinado que la tramitación de los mencionados recursos se ha prolongado injustificadamente o no es probable que, tras celebrarse un juicio imparcial, mejore realmente la situación de la presunta víctima. </w:t>
      </w:r>
    </w:p>
    <w:p w14:paraId="01239915" w14:textId="45E9A45C" w:rsidR="00AF4E1E" w:rsidRPr="00AF4E1E" w:rsidRDefault="00AF4E1E" w:rsidP="00AF4E1E">
      <w:pPr>
        <w:pStyle w:val="SingleTxtG"/>
        <w:rPr>
          <w:lang w:val="es-ES_tradnl"/>
        </w:rPr>
      </w:pPr>
      <w:r w:rsidRPr="00AF4E1E">
        <w:t>6.4</w:t>
      </w:r>
      <w:r w:rsidRPr="00AF4E1E">
        <w:tab/>
      </w:r>
      <w:r w:rsidRPr="00AF4E1E">
        <w:rPr>
          <w:lang w:bidi="es-ES"/>
        </w:rPr>
        <w:t>El Comité toma nota de</w:t>
      </w:r>
      <w:r w:rsidR="0005467D">
        <w:rPr>
          <w:lang w:bidi="es-ES"/>
        </w:rPr>
        <w:t>l</w:t>
      </w:r>
      <w:r w:rsidRPr="00AF4E1E">
        <w:rPr>
          <w:lang w:bidi="es-ES"/>
        </w:rPr>
        <w:t xml:space="preserve"> argumento del Estado </w:t>
      </w:r>
      <w:r w:rsidR="00FE0819">
        <w:rPr>
          <w:lang w:bidi="es-ES"/>
        </w:rPr>
        <w:t xml:space="preserve">parte </w:t>
      </w:r>
      <w:r w:rsidRPr="00AF4E1E">
        <w:rPr>
          <w:lang w:bidi="es-ES"/>
        </w:rPr>
        <w:t xml:space="preserve">según el cual la comunicación debe ser declarada inadmisible por falta de agotamiento de los recursos internos, al no haber </w:t>
      </w:r>
      <w:r w:rsidR="0005467D">
        <w:rPr>
          <w:lang w:bidi="es-ES"/>
        </w:rPr>
        <w:t>el</w:t>
      </w:r>
      <w:r w:rsidR="0005467D" w:rsidRPr="00AF4E1E">
        <w:rPr>
          <w:lang w:bidi="es-ES"/>
        </w:rPr>
        <w:t xml:space="preserve"> </w:t>
      </w:r>
      <w:r w:rsidRPr="00AF4E1E">
        <w:rPr>
          <w:lang w:bidi="es-ES"/>
        </w:rPr>
        <w:t>autor presentado un recurso constitucional de amparo en contra de la sentencia de</w:t>
      </w:r>
      <w:r w:rsidR="006024EF">
        <w:rPr>
          <w:lang w:bidi="es-ES"/>
        </w:rPr>
        <w:t xml:space="preserve"> </w:t>
      </w:r>
      <w:r w:rsidR="006024EF" w:rsidRPr="006024EF">
        <w:rPr>
          <w:lang w:bidi="es-ES"/>
        </w:rPr>
        <w:t>la</w:t>
      </w:r>
      <w:r w:rsidRPr="006024EF">
        <w:rPr>
          <w:lang w:bidi="es-ES"/>
        </w:rPr>
        <w:t xml:space="preserve"> Sala Penal </w:t>
      </w:r>
      <w:r w:rsidR="00FE5477">
        <w:rPr>
          <w:lang w:bidi="es-ES"/>
        </w:rPr>
        <w:t>Transitoria</w:t>
      </w:r>
      <w:r w:rsidR="00FE5477" w:rsidRPr="006024EF">
        <w:rPr>
          <w:lang w:bidi="es-ES"/>
        </w:rPr>
        <w:t xml:space="preserve"> </w:t>
      </w:r>
      <w:r w:rsidRPr="006024EF">
        <w:rPr>
          <w:lang w:bidi="es-ES"/>
        </w:rPr>
        <w:t>de la Corte Suprema de Justicia,</w:t>
      </w:r>
      <w:r w:rsidRPr="00AF4E1E">
        <w:rPr>
          <w:lang w:bidi="es-ES"/>
        </w:rPr>
        <w:t xml:space="preserve"> de conformidad con el Código Procesal Constitucional.</w:t>
      </w:r>
    </w:p>
    <w:p w14:paraId="4DB46304" w14:textId="678D28CB" w:rsidR="00AF4E1E" w:rsidRPr="00AF4E1E" w:rsidRDefault="00AF4E1E" w:rsidP="00AF4E1E">
      <w:pPr>
        <w:pStyle w:val="SingleTxtG"/>
        <w:rPr>
          <w:lang w:val="es-ES_tradnl"/>
        </w:rPr>
      </w:pPr>
      <w:r w:rsidRPr="00AF4E1E">
        <w:rPr>
          <w:lang w:val="es-ES_tradnl"/>
        </w:rPr>
        <w:t>6.5</w:t>
      </w:r>
      <w:r w:rsidRPr="00AF4E1E">
        <w:rPr>
          <w:lang w:val="es-ES_tradnl"/>
        </w:rPr>
        <w:tab/>
        <w:t>El Comité también toma nota del argumento del autor según el cual no tenía la obligación de presentar un recurso de amparo para agotar la vía interna, ya que el amparo no es una instancia adicional para revisar procesos ordinarios</w:t>
      </w:r>
      <w:r w:rsidR="00586B0E">
        <w:rPr>
          <w:lang w:val="es-ES_tradnl"/>
        </w:rPr>
        <w:t xml:space="preserve"> (véase el párr. 5.1).</w:t>
      </w:r>
      <w:r w:rsidRPr="00AF4E1E">
        <w:rPr>
          <w:lang w:val="es-ES_tradnl"/>
        </w:rPr>
        <w:t xml:space="preserve"> El autor ha señalado asimismo que el Código Procesal Constitucional establece que el amparo </w:t>
      </w:r>
      <w:r w:rsidRPr="00AF4E1E">
        <w:rPr>
          <w:spacing w:val="-2"/>
        </w:rPr>
        <w:t>contra resoluciones judiciales, específicamente en casos penales, procede únicamente si se ha vulnerado en forma directa y manifiesta un principio constitucional o un derecho fundamental que lo convierta en una decisión judicial inconstitucional, y que las falencias en la investigación que ocasionaron que se absolviera a los presuntos responsables no son un aspecto que pueda controvertirse a través de una acción de amparo</w:t>
      </w:r>
      <w:r w:rsidRPr="00AF4E1E">
        <w:rPr>
          <w:lang w:val="es-ES_tradnl"/>
        </w:rPr>
        <w:t xml:space="preserve">. </w:t>
      </w:r>
    </w:p>
    <w:p w14:paraId="1C4766A0" w14:textId="0229B1F4" w:rsidR="00AF4E1E" w:rsidRPr="00AF4E1E" w:rsidRDefault="00AF4E1E" w:rsidP="00AF4E1E">
      <w:pPr>
        <w:pStyle w:val="SingleTxtG"/>
        <w:rPr>
          <w:lang w:val="es-ES_tradnl"/>
        </w:rPr>
      </w:pPr>
      <w:r w:rsidRPr="00AF4E1E">
        <w:rPr>
          <w:lang w:val="es-ES_tradnl"/>
        </w:rPr>
        <w:t>6.</w:t>
      </w:r>
      <w:r w:rsidR="00312D6D">
        <w:rPr>
          <w:lang w:val="es-ES_tradnl"/>
        </w:rPr>
        <w:t>6</w:t>
      </w:r>
      <w:r w:rsidRPr="00AF4E1E">
        <w:rPr>
          <w:lang w:val="es-ES_tradnl"/>
        </w:rPr>
        <w:tab/>
        <w:t xml:space="preserve">El Comité recuerda que, </w:t>
      </w:r>
      <w:r w:rsidRPr="00AF4E1E">
        <w:rPr>
          <w:spacing w:val="-2"/>
        </w:rPr>
        <w:t xml:space="preserve">una vez que se ha agotado  un recurso, no debería exigirse, a efectos del artículo 22, </w:t>
      </w:r>
      <w:r w:rsidR="006024EF">
        <w:rPr>
          <w:spacing w:val="-2"/>
        </w:rPr>
        <w:t>párrafo </w:t>
      </w:r>
      <w:r w:rsidRPr="00AF4E1E">
        <w:rPr>
          <w:spacing w:val="-2"/>
        </w:rPr>
        <w:t xml:space="preserve">5 b), de la Convención, el agotamiento de vías legales alternativas que, en lo fundamental, habrían estado orientadas al mismo fin y, en todo caso, no habrían presentado mayores perspectivas de prosperar y que </w:t>
      </w:r>
      <w:r w:rsidRPr="00AF4E1E">
        <w:rPr>
          <w:lang w:val="es-ES_tradnl"/>
        </w:rPr>
        <w:t>solo se necesitan agotar aquellos recursos que tengan posibilidades reales de prosperar</w:t>
      </w:r>
      <w:r w:rsidRPr="00AF4E1E">
        <w:rPr>
          <w:rFonts w:eastAsiaTheme="majorEastAsia"/>
          <w:sz w:val="18"/>
          <w:vertAlign w:val="superscript"/>
          <w:lang w:val="es-ES_tradnl"/>
        </w:rPr>
        <w:footnoteReference w:id="34"/>
      </w:r>
      <w:r w:rsidR="006024EF">
        <w:rPr>
          <w:lang w:val="es-ES_tradnl"/>
        </w:rPr>
        <w:t>.</w:t>
      </w:r>
      <w:r w:rsidRPr="00AF4E1E">
        <w:rPr>
          <w:lang w:val="es-ES_tradnl"/>
        </w:rPr>
        <w:t xml:space="preserve"> El Comité recuerda asimismo que el propósito del requisito del agotamiento es que el propio Estado parte tenga la oportunidad de hacer efectivo su deber de proteger y garantizar los derechos consagrados en la Convención. El Comité observa que, en el presente caso y a la luz de las alegaciones del autor, el Estado </w:t>
      </w:r>
      <w:r w:rsidRPr="00AF4E1E">
        <w:rPr>
          <w:lang w:val="es-ES_tradnl"/>
        </w:rPr>
        <w:lastRenderedPageBreak/>
        <w:t>parte no ha justificado de qué forma dicho recurso habría sido efectivo</w:t>
      </w:r>
      <w:r w:rsidRPr="00AF4E1E">
        <w:rPr>
          <w:rFonts w:eastAsiaTheme="majorEastAsia"/>
          <w:sz w:val="18"/>
          <w:vertAlign w:val="superscript"/>
          <w:lang w:val="es-ES_tradnl"/>
        </w:rPr>
        <w:footnoteReference w:id="35"/>
      </w:r>
      <w:r w:rsidR="00F330EA">
        <w:rPr>
          <w:lang w:val="es-ES_tradnl"/>
        </w:rPr>
        <w:t>.</w:t>
      </w:r>
      <w:r w:rsidRPr="00AF4E1E">
        <w:rPr>
          <w:lang w:val="es-ES_tradnl"/>
        </w:rPr>
        <w:t xml:space="preserve"> El Comité concluye que, en el presente caso, no se ha demostrado de qué forma el amparo habría permitido remediar efectivamente las violaciones alegadas por el autor.</w:t>
      </w:r>
      <w:r w:rsidRPr="00AF4E1E">
        <w:t xml:space="preserve"> Por consiguiente, los requisitos establecidos en el artículo 22, </w:t>
      </w:r>
      <w:r w:rsidR="00F330EA">
        <w:t>párrafo </w:t>
      </w:r>
      <w:r w:rsidRPr="00AF4E1E">
        <w:t>5 b), de la Convención no impiden al Comité examinar la comunicación en cuanto al fondo.</w:t>
      </w:r>
      <w:r w:rsidR="00466A08">
        <w:t xml:space="preserve"> </w:t>
      </w:r>
    </w:p>
    <w:p w14:paraId="7A38C2B7" w14:textId="113B3978" w:rsidR="00AF4E1E" w:rsidRPr="00AF4E1E" w:rsidRDefault="00AF4E1E" w:rsidP="00AF4E1E">
      <w:pPr>
        <w:pStyle w:val="SingleTxtG"/>
        <w:rPr>
          <w:lang w:val="es-ES_tradnl"/>
        </w:rPr>
      </w:pPr>
      <w:r w:rsidRPr="00AF4E1E">
        <w:rPr>
          <w:lang w:val="es-CL"/>
        </w:rPr>
        <w:t>6.</w:t>
      </w:r>
      <w:r w:rsidR="00312D6D">
        <w:rPr>
          <w:lang w:val="es-CL"/>
        </w:rPr>
        <w:t>7</w:t>
      </w:r>
      <w:r w:rsidRPr="00AF4E1E">
        <w:rPr>
          <w:lang w:val="es-CL"/>
        </w:rPr>
        <w:tab/>
      </w:r>
      <w:r w:rsidRPr="00AF4E1E">
        <w:rPr>
          <w:lang w:val="es-ES_tradnl"/>
        </w:rPr>
        <w:t>Habiéndose cumplido todos los requisitos de admisibilidad, y observando que las quejas del autor basadas en los artículos 2, 12, 13 y 14 de la Convención y relacionadas con la falta de prevención de los actos de tortura a los que fue sometido, así como la falta de una investigación adecuada, garantías del debido proceso y de reparación han sido suficientemente fundamentadas a efectos de la admisibilidad, el Comité declara la comunicación admisible y procede a examinarla en cuanto al fondo.</w:t>
      </w:r>
    </w:p>
    <w:p w14:paraId="6E92E854" w14:textId="527E031F" w:rsidR="00AF4E1E" w:rsidRPr="00AF4E1E" w:rsidRDefault="00F8278C" w:rsidP="00F8278C">
      <w:pPr>
        <w:pStyle w:val="H4G"/>
        <w:rPr>
          <w:b/>
          <w:lang w:val="es-419"/>
        </w:rPr>
      </w:pPr>
      <w:r>
        <w:tab/>
      </w:r>
      <w:r w:rsidR="00AF4E1E" w:rsidRPr="00AF4E1E">
        <w:tab/>
        <w:t>Examen de la cuestión en cuanto al fondo</w:t>
      </w:r>
    </w:p>
    <w:p w14:paraId="14E7D67B" w14:textId="5FD08564" w:rsidR="00AF4E1E" w:rsidRPr="00AF4E1E" w:rsidRDefault="00AF4E1E" w:rsidP="00AF4E1E">
      <w:pPr>
        <w:pStyle w:val="SingleTxtG"/>
        <w:rPr>
          <w:lang w:val="es-ES_tradnl"/>
        </w:rPr>
      </w:pPr>
      <w:r w:rsidRPr="00AF4E1E">
        <w:t>7.1</w:t>
      </w:r>
      <w:r w:rsidRPr="00AF4E1E">
        <w:tab/>
      </w:r>
      <w:bookmarkStart w:id="0" w:name="_Hlk126247630"/>
      <w:r w:rsidRPr="00AF4E1E">
        <w:rPr>
          <w:lang w:val="es-ES_tradnl"/>
        </w:rPr>
        <w:t xml:space="preserve">El Comité ha examinado la </w:t>
      </w:r>
      <w:r w:rsidR="00E736EE">
        <w:rPr>
          <w:lang w:val="es-ES_tradnl"/>
        </w:rPr>
        <w:t>queja</w:t>
      </w:r>
      <w:r w:rsidR="00E736EE" w:rsidRPr="00AF4E1E">
        <w:rPr>
          <w:lang w:val="es-ES_tradnl"/>
        </w:rPr>
        <w:t xml:space="preserve"> </w:t>
      </w:r>
      <w:r w:rsidR="00E736EE">
        <w:rPr>
          <w:lang w:val="es-ES_tradnl"/>
        </w:rPr>
        <w:t>teniendo en cuenta</w:t>
      </w:r>
      <w:r w:rsidRPr="00AF4E1E">
        <w:rPr>
          <w:lang w:val="es-ES_tradnl"/>
        </w:rPr>
        <w:t xml:space="preserve"> toda la información que le han presentado las partes, </w:t>
      </w:r>
      <w:bookmarkEnd w:id="0"/>
      <w:r w:rsidRPr="00AF4E1E">
        <w:rPr>
          <w:lang w:val="es-ES_tradnl"/>
        </w:rPr>
        <w:t>de conformidad con el artículo 22</w:t>
      </w:r>
      <w:r w:rsidR="00F330EA">
        <w:rPr>
          <w:lang w:val="es-ES_tradnl"/>
        </w:rPr>
        <w:t>, párrafo </w:t>
      </w:r>
      <w:r w:rsidRPr="00AF4E1E">
        <w:rPr>
          <w:lang w:val="es-ES_tradnl"/>
        </w:rPr>
        <w:t>4, de la Convención.</w:t>
      </w:r>
    </w:p>
    <w:p w14:paraId="1D1BD8D2" w14:textId="2ECAFCEF" w:rsidR="00AF4E1E" w:rsidRPr="00AF4E1E" w:rsidRDefault="00AF4E1E" w:rsidP="00AF4E1E">
      <w:pPr>
        <w:pStyle w:val="SingleTxtG"/>
        <w:rPr>
          <w:lang w:val="es-ES_tradnl"/>
        </w:rPr>
      </w:pPr>
      <w:r w:rsidRPr="00AF4E1E">
        <w:rPr>
          <w:lang w:val="es-ES_tradnl"/>
        </w:rPr>
        <w:t>7.2</w:t>
      </w:r>
      <w:r w:rsidRPr="00AF4E1E">
        <w:rPr>
          <w:lang w:val="es-ES_tradnl"/>
        </w:rPr>
        <w:tab/>
        <w:t xml:space="preserve">Antes de examinar las alegaciones presentadas por el autor, el Comité debe determinar si los actos de los que fue objeto </w:t>
      </w:r>
      <w:r w:rsidR="008D62C4">
        <w:rPr>
          <w:lang w:val="es-ES_tradnl"/>
        </w:rPr>
        <w:t xml:space="preserve">el autor </w:t>
      </w:r>
      <w:r w:rsidRPr="00AF4E1E">
        <w:rPr>
          <w:lang w:val="es-ES_tradnl"/>
        </w:rPr>
        <w:t>constituyen actos de tortura, en el sentido del artículo</w:t>
      </w:r>
      <w:r w:rsidR="006024EF">
        <w:rPr>
          <w:lang w:val="es-ES_tradnl"/>
        </w:rPr>
        <w:t> </w:t>
      </w:r>
      <w:r w:rsidRPr="00AF4E1E">
        <w:rPr>
          <w:lang w:val="es-ES_tradnl"/>
        </w:rPr>
        <w:t xml:space="preserve">1 de la Convención. En este sentido, el Comité toma nota de las alegaciones del autor de que fue obligado por agentes públicos a desnudarse y caminar descalzo sobre piedras, </w:t>
      </w:r>
      <w:r w:rsidR="00A64B5A">
        <w:rPr>
          <w:lang w:val="es-ES_tradnl"/>
        </w:rPr>
        <w:t xml:space="preserve">fue </w:t>
      </w:r>
      <w:r w:rsidRPr="00AF4E1E">
        <w:rPr>
          <w:lang w:val="es-ES_tradnl"/>
        </w:rPr>
        <w:t xml:space="preserve">sumergido en agua helada con las manos atadas durante un tiempo prolongado y </w:t>
      </w:r>
      <w:r w:rsidR="00A64B5A">
        <w:rPr>
          <w:lang w:val="es-ES_tradnl"/>
        </w:rPr>
        <w:t xml:space="preserve">fue </w:t>
      </w:r>
      <w:r w:rsidRPr="00AF4E1E">
        <w:rPr>
          <w:lang w:val="es-ES_tradnl"/>
        </w:rPr>
        <w:t>sometido a golpes y puntapiés, todo lo anterior con el fin de que confesara la comisión de un delito. El Comité también toma nota de las alegaciones del Estado parte con respecto a que las pruebas ofrecidas durante el juicio no fueron suficientes para determinar la responsabilidad penal de los acusados. No obstante, el Comité observa que el Estado parte no proporciona información que permita concluir que la supuesta falta de pruebas inculpatorias se pueda interpretar como elemento suficiente para concluir que los actos de tortura descritos no tuvieron lugar</w:t>
      </w:r>
      <w:r w:rsidRPr="00AF4E1E">
        <w:rPr>
          <w:rFonts w:eastAsiaTheme="majorEastAsia"/>
          <w:sz w:val="18"/>
          <w:vertAlign w:val="superscript"/>
          <w:lang w:val="es-ES_tradnl"/>
        </w:rPr>
        <w:footnoteReference w:id="36"/>
      </w:r>
      <w:r w:rsidR="00EC2022">
        <w:rPr>
          <w:lang w:val="es-ES_tradnl"/>
        </w:rPr>
        <w:t>.</w:t>
      </w:r>
      <w:r w:rsidRPr="00AF4E1E">
        <w:rPr>
          <w:lang w:val="es-ES_tradnl"/>
        </w:rPr>
        <w:t xml:space="preserve"> </w:t>
      </w:r>
      <w:r w:rsidRPr="00AF4E1E">
        <w:t xml:space="preserve">En consecuencia, el Comité considera que los hechos relatados constituyen actos de tortura </w:t>
      </w:r>
      <w:r w:rsidR="00A64B5A">
        <w:t>con arreglo</w:t>
      </w:r>
      <w:r w:rsidR="00A64B5A" w:rsidRPr="00AF4E1E">
        <w:t xml:space="preserve"> </w:t>
      </w:r>
      <w:r w:rsidR="00A64B5A">
        <w:t>a</w:t>
      </w:r>
      <w:r w:rsidRPr="00AF4E1E">
        <w:t xml:space="preserve">l artículo 1 de la Convención. </w:t>
      </w:r>
    </w:p>
    <w:p w14:paraId="5059A33D" w14:textId="050C5442" w:rsidR="00AF4E1E" w:rsidRPr="00AF4E1E" w:rsidRDefault="00AF4E1E" w:rsidP="00AF4E1E">
      <w:pPr>
        <w:pStyle w:val="SingleTxtG"/>
        <w:rPr>
          <w:lang w:val="es-CL"/>
        </w:rPr>
      </w:pPr>
      <w:r w:rsidRPr="00AF4E1E">
        <w:rPr>
          <w:lang w:val="es-ES_tradnl"/>
        </w:rPr>
        <w:t>7.3</w:t>
      </w:r>
      <w:r w:rsidRPr="00AF4E1E">
        <w:rPr>
          <w:lang w:val="es-ES_tradnl"/>
        </w:rPr>
        <w:tab/>
      </w:r>
      <w:r w:rsidRPr="00AF4E1E">
        <w:t xml:space="preserve">El Comité toma nota de las alegaciones del autor basadas en el artículo 2 de la Convención y relacionadas con la falta de prevención por </w:t>
      </w:r>
      <w:r w:rsidR="006C0056">
        <w:t>parte d</w:t>
      </w:r>
      <w:r w:rsidRPr="00AF4E1E">
        <w:t>el Estado parte de los actos de tortura a los que fue sometido, en particular siendo</w:t>
      </w:r>
      <w:r w:rsidRPr="00AF4E1E">
        <w:rPr>
          <w:lang w:val="es-ES_tradnl"/>
        </w:rPr>
        <w:t xml:space="preserve"> menor de edad en el momento de los hechos. </w:t>
      </w:r>
      <w:r w:rsidRPr="00AF4E1E">
        <w:t xml:space="preserve">En este sentido, el Comité observa que el autor fue detenido sin orden judicial y trasladado, sin la presencia de su padre, hacia la </w:t>
      </w:r>
      <w:r w:rsidR="006C0056">
        <w:t>c</w:t>
      </w:r>
      <w:r w:rsidRPr="00AF4E1E">
        <w:t xml:space="preserve">iudad de Cerro de Pasco, </w:t>
      </w:r>
      <w:r w:rsidR="006C0056">
        <w:t xml:space="preserve">y que </w:t>
      </w:r>
      <w:r w:rsidRPr="00AF4E1E">
        <w:t>permaneci</w:t>
      </w:r>
      <w:r w:rsidR="006C0056">
        <w:t>ó</w:t>
      </w:r>
      <w:r w:rsidRPr="00AF4E1E">
        <w:t xml:space="preserve"> privado de su libertad, sin poder comunicarse con su familia y sin alimentos durante aproximadamente 18 horas, tiempo durante el cual fue sometido a actos de tortura. En las circunstancias descritas, el Comité considera que el Estado parte no ha cumplido con su obligación de tomar medidas eficaces para impedir los actos de tortura, establecida en el artículo 2</w:t>
      </w:r>
      <w:r w:rsidR="00C477D2">
        <w:t xml:space="preserve">, </w:t>
      </w:r>
      <w:r w:rsidR="00C477D2" w:rsidRPr="00AF4E1E">
        <w:t>párrafo 1</w:t>
      </w:r>
      <w:r w:rsidR="00C477D2">
        <w:t>,</w:t>
      </w:r>
      <w:r w:rsidRPr="00AF4E1E">
        <w:t xml:space="preserve"> de la Convención.</w:t>
      </w:r>
    </w:p>
    <w:p w14:paraId="19D848C8" w14:textId="1A975894" w:rsidR="00AF4E1E" w:rsidRPr="00AF4E1E" w:rsidRDefault="00AF4E1E" w:rsidP="00AF4E1E">
      <w:pPr>
        <w:pStyle w:val="SingleTxtG"/>
        <w:rPr>
          <w:lang w:val="es-419"/>
        </w:rPr>
      </w:pPr>
      <w:r w:rsidRPr="00AF4E1E">
        <w:rPr>
          <w:lang w:val="es-ES_tradnl"/>
        </w:rPr>
        <w:t>7.4</w:t>
      </w:r>
      <w:r w:rsidRPr="00AF4E1E">
        <w:rPr>
          <w:lang w:val="es-ES_tradnl"/>
        </w:rPr>
        <w:tab/>
      </w:r>
      <w:r w:rsidRPr="00AF4E1E">
        <w:t xml:space="preserve">El Comité toma nota de las alegaciones del autor basadas en el artículo 12 de la Convención y relacionadas con la falta de </w:t>
      </w:r>
      <w:r w:rsidRPr="006024EF">
        <w:t xml:space="preserve">debida diligencia en la investigación de los actos de tortura, al no haberse iniciado una investigación pronta e imparcial por </w:t>
      </w:r>
      <w:r w:rsidR="00C477D2" w:rsidRPr="006024EF">
        <w:t xml:space="preserve">parte de una </w:t>
      </w:r>
      <w:r w:rsidRPr="006024EF">
        <w:t>autoridad competente, y al haber</w:t>
      </w:r>
      <w:r w:rsidR="00C477D2" w:rsidRPr="006024EF">
        <w:t>se</w:t>
      </w:r>
      <w:r w:rsidRPr="006024EF">
        <w:t xml:space="preserve"> incurrido en serias irregularidades durante </w:t>
      </w:r>
      <w:r w:rsidR="00C477D2" w:rsidRPr="006024EF">
        <w:t>dicha investigación</w:t>
      </w:r>
      <w:r w:rsidR="00BB1F4F" w:rsidRPr="006024EF">
        <w:rPr>
          <w:rStyle w:val="Refdenotaalpie"/>
        </w:rPr>
        <w:footnoteReference w:id="37"/>
      </w:r>
      <w:r w:rsidR="00C477D2" w:rsidRPr="006024EF">
        <w:t>.</w:t>
      </w:r>
      <w:r w:rsidRPr="006024EF">
        <w:rPr>
          <w:lang w:val="es-ES_tradnl"/>
        </w:rPr>
        <w:t xml:space="preserve"> El Comité observa, en particular, las afirmaciones del autor, no refutadas por el Estado parte, en el sentido </w:t>
      </w:r>
      <w:r w:rsidR="0028229E">
        <w:rPr>
          <w:lang w:val="es-ES_tradnl"/>
        </w:rPr>
        <w:t xml:space="preserve">de </w:t>
      </w:r>
      <w:r w:rsidRPr="006024EF">
        <w:rPr>
          <w:lang w:val="es-ES_tradnl"/>
        </w:rPr>
        <w:t xml:space="preserve">que no se inició </w:t>
      </w:r>
      <w:r w:rsidR="0028229E">
        <w:rPr>
          <w:lang w:val="es-ES_tradnl"/>
        </w:rPr>
        <w:t xml:space="preserve">una </w:t>
      </w:r>
      <w:r w:rsidRPr="006024EF">
        <w:rPr>
          <w:lang w:val="es-ES_tradnl"/>
        </w:rPr>
        <w:t>investigación</w:t>
      </w:r>
      <w:r w:rsidRPr="00AF4E1E">
        <w:rPr>
          <w:lang w:val="es-ES_tradnl"/>
        </w:rPr>
        <w:t xml:space="preserve"> por parte de </w:t>
      </w:r>
      <w:r w:rsidR="0028229E">
        <w:rPr>
          <w:lang w:val="es-ES_tradnl"/>
        </w:rPr>
        <w:t xml:space="preserve">una </w:t>
      </w:r>
      <w:r w:rsidRPr="00AF4E1E">
        <w:rPr>
          <w:lang w:val="es-ES_tradnl"/>
        </w:rPr>
        <w:t xml:space="preserve">autoridad competente hasta cuatro años después de presentada la denuncia penal por tortura, y ello a pesar de que el padre del autor presentó </w:t>
      </w:r>
      <w:r w:rsidR="0028229E">
        <w:rPr>
          <w:lang w:val="es-ES_tradnl"/>
        </w:rPr>
        <w:t xml:space="preserve">un </w:t>
      </w:r>
      <w:r w:rsidRPr="00AF4E1E">
        <w:rPr>
          <w:lang w:val="es-ES_tradnl"/>
        </w:rPr>
        <w:t xml:space="preserve">recurso inhibitorio en contra del Juzgado Mixto de Daniel Alcides Carrión. El Comité también observa las afirmaciones del autor de que, transcurridos cuatro años de los hechos, la Primera Fiscalía Superior Penal Nacional omitió subsanar las fallas en la investigación llevada a cabo por la Fiscalía Provincial Mixta de Daniel Alcides Carrión, y que, </w:t>
      </w:r>
      <w:r w:rsidRPr="00AF4E1E">
        <w:t xml:space="preserve">al haber repetido el proceso, algunos de los testigos habrían modificado sus testimonios. A la luz de todo lo anterior, el Comité considera que el Estado </w:t>
      </w:r>
      <w:r w:rsidRPr="00AF4E1E">
        <w:lastRenderedPageBreak/>
        <w:t>parte no ha justificado que se desplegaran las diligencias pertinentes para llevar a cabo una investigación pronta e imparcial en el sentido requerido por el artículo 12 de la Convención.</w:t>
      </w:r>
      <w:r w:rsidRPr="00AF4E1E">
        <w:rPr>
          <w:lang w:val="es-419"/>
        </w:rPr>
        <w:t xml:space="preserve"> </w:t>
      </w:r>
    </w:p>
    <w:p w14:paraId="196CF088" w14:textId="44084F51" w:rsidR="00AF4E1E" w:rsidRPr="00AF4E1E" w:rsidRDefault="00312D6D" w:rsidP="00AF4E1E">
      <w:pPr>
        <w:pStyle w:val="SingleTxtG"/>
        <w:rPr>
          <w:lang w:val="es-CL"/>
        </w:rPr>
      </w:pPr>
      <w:r>
        <w:rPr>
          <w:lang w:val="es-CL"/>
        </w:rPr>
        <w:t>7.5</w:t>
      </w:r>
      <w:r w:rsidR="00AF4E1E" w:rsidRPr="00AF4E1E">
        <w:rPr>
          <w:lang w:val="es-CL"/>
        </w:rPr>
        <w:tab/>
        <w:t xml:space="preserve">El Comité toma nota de las afirmaciones del autor de que </w:t>
      </w:r>
      <w:r w:rsidR="00AF4E1E" w:rsidRPr="0028229E">
        <w:rPr>
          <w:lang w:val="es-CL"/>
        </w:rPr>
        <w:t xml:space="preserve">la Sala Penal Nacional consideró el </w:t>
      </w:r>
      <w:r w:rsidR="00041483">
        <w:rPr>
          <w:lang w:val="es-CL"/>
        </w:rPr>
        <w:t>c</w:t>
      </w:r>
      <w:r w:rsidR="00AF4E1E" w:rsidRPr="0028229E">
        <w:rPr>
          <w:lang w:val="es-CL"/>
        </w:rPr>
        <w:t xml:space="preserve">ertificado </w:t>
      </w:r>
      <w:r w:rsidR="00041483">
        <w:rPr>
          <w:lang w:val="es-CL"/>
        </w:rPr>
        <w:t>m</w:t>
      </w:r>
      <w:r w:rsidR="00AF4E1E" w:rsidRPr="0028229E">
        <w:rPr>
          <w:lang w:val="es-CL"/>
        </w:rPr>
        <w:t xml:space="preserve">édico </w:t>
      </w:r>
      <w:r w:rsidR="00041483">
        <w:rPr>
          <w:lang w:val="es-CL"/>
        </w:rPr>
        <w:t>l</w:t>
      </w:r>
      <w:r w:rsidR="00AF4E1E" w:rsidRPr="0028229E">
        <w:rPr>
          <w:lang w:val="es-CL"/>
        </w:rPr>
        <w:t xml:space="preserve">egal </w:t>
      </w:r>
      <w:r w:rsidR="000B74A6" w:rsidRPr="0028229E">
        <w:rPr>
          <w:lang w:val="es-CL"/>
        </w:rPr>
        <w:t>núm</w:t>
      </w:r>
      <w:r w:rsidR="00AF4E1E" w:rsidRPr="0028229E">
        <w:rPr>
          <w:lang w:val="es-CL"/>
        </w:rPr>
        <w:t>.</w:t>
      </w:r>
      <w:r w:rsidR="000B74A6" w:rsidRPr="0028229E">
        <w:rPr>
          <w:lang w:val="es-CL"/>
        </w:rPr>
        <w:t xml:space="preserve"> </w:t>
      </w:r>
      <w:r w:rsidR="00AF4E1E" w:rsidRPr="0028229E">
        <w:rPr>
          <w:lang w:val="es-CL"/>
        </w:rPr>
        <w:t>001852</w:t>
      </w:r>
      <w:r w:rsidR="00AF4E1E" w:rsidRPr="00AF4E1E">
        <w:rPr>
          <w:lang w:val="es-CL"/>
        </w:rPr>
        <w:t xml:space="preserve"> como la única prueba objetiva de los actos de tortura. Dicho </w:t>
      </w:r>
      <w:r w:rsidR="000B74A6">
        <w:rPr>
          <w:lang w:val="es-CL"/>
        </w:rPr>
        <w:t>c</w:t>
      </w:r>
      <w:r w:rsidR="00AF4E1E" w:rsidRPr="00AF4E1E">
        <w:rPr>
          <w:lang w:val="es-CL"/>
        </w:rPr>
        <w:t>ertificado constató la existencia de múltiples lesiones físicas consistentes en tumefacciones y escoriaciones, así como “trastorno de estrés post traumático”</w:t>
      </w:r>
      <w:r w:rsidR="002E0803">
        <w:rPr>
          <w:lang w:val="es-CL"/>
        </w:rPr>
        <w:t xml:space="preserve"> (véase el párr. 2.4)</w:t>
      </w:r>
      <w:r w:rsidR="00C12405">
        <w:rPr>
          <w:lang w:val="es-CL"/>
        </w:rPr>
        <w:t>.</w:t>
      </w:r>
      <w:r w:rsidR="00AF4E1E" w:rsidRPr="00AF4E1E">
        <w:rPr>
          <w:lang w:val="es-CL"/>
        </w:rPr>
        <w:t xml:space="preserve"> No obstante, el Comité toma nota de los argumentos del autor de que dicho </w:t>
      </w:r>
      <w:r w:rsidR="002E0803">
        <w:rPr>
          <w:lang w:val="es-CL"/>
        </w:rPr>
        <w:t>c</w:t>
      </w:r>
      <w:r w:rsidR="00AF4E1E" w:rsidRPr="00AF4E1E">
        <w:rPr>
          <w:lang w:val="es-CL"/>
        </w:rPr>
        <w:t xml:space="preserve">ertificado se realizó sin tomar en cuenta el Protocolo de Estambul, en particular lo que se refiere a la interpretación de </w:t>
      </w:r>
      <w:r w:rsidR="00B24496">
        <w:rPr>
          <w:lang w:val="es-CL"/>
        </w:rPr>
        <w:t xml:space="preserve">los </w:t>
      </w:r>
      <w:r w:rsidR="00AF4E1E" w:rsidRPr="00AF4E1E">
        <w:rPr>
          <w:lang w:val="es-CL"/>
        </w:rPr>
        <w:t xml:space="preserve">hallazgos, y que ello tuvo como consecuencia que </w:t>
      </w:r>
      <w:r w:rsidR="00AF4E1E" w:rsidRPr="0028229E">
        <w:rPr>
          <w:lang w:val="es-CL"/>
        </w:rPr>
        <w:t>la Sala realizara sus propias interpretaciones, como la supuesta falta de marcas en la cintura y los pies.</w:t>
      </w:r>
      <w:r w:rsidR="00AF4E1E" w:rsidRPr="0028229E">
        <w:rPr>
          <w:lang w:val="es-ES_tradnl"/>
        </w:rPr>
        <w:t xml:space="preserve"> Al respecto, el</w:t>
      </w:r>
      <w:r w:rsidR="00AF4E1E" w:rsidRPr="0028229E">
        <w:t xml:space="preserve"> Comité recuerda la jurisprudencia de la Corte Interamericana de</w:t>
      </w:r>
      <w:r w:rsidR="00AF4E1E" w:rsidRPr="00AF4E1E">
        <w:t xml:space="preserve"> Derechos Humanos respecto de que “la falta de realización de un examen médico</w:t>
      </w:r>
      <w:r w:rsidR="009A60EE">
        <w:t xml:space="preserve"> </w:t>
      </w:r>
      <w:r w:rsidR="00F909F2">
        <w:t>[</w:t>
      </w:r>
      <w:r w:rsidR="00AF4E1E" w:rsidRPr="00AF4E1E">
        <w:t>…</w:t>
      </w:r>
      <w:r w:rsidR="00F909F2">
        <w:t>]</w:t>
      </w:r>
      <w:r w:rsidR="009A60EE">
        <w:t xml:space="preserve"> </w:t>
      </w:r>
      <w:r w:rsidR="00AF4E1E" w:rsidRPr="00AF4E1E">
        <w:t>o la realización del mismo sin el cumplimiento de los estándares aplicables, no puede ser usado para cuestionar la veracidad de los alegatos de maltrato de la presunta víctima”</w:t>
      </w:r>
      <w:r w:rsidR="00AF4E1E" w:rsidRPr="00AF4E1E">
        <w:rPr>
          <w:rFonts w:eastAsiaTheme="majorEastAsia"/>
          <w:sz w:val="18"/>
          <w:vertAlign w:val="superscript"/>
        </w:rPr>
        <w:footnoteReference w:id="38"/>
      </w:r>
      <w:r w:rsidR="00F909F2">
        <w:t>,</w:t>
      </w:r>
      <w:r w:rsidR="00AF4E1E" w:rsidRPr="00AF4E1E">
        <w:t xml:space="preserve"> y que, “la falta de dictamen [médico] o su realización </w:t>
      </w:r>
      <w:r w:rsidR="00AF4E1E" w:rsidRPr="0028229E">
        <w:t xml:space="preserve">tardía dificultan o imposibilitan la determinación de la gravedad de los hechos, en particular </w:t>
      </w:r>
      <w:r w:rsidR="00034597" w:rsidRPr="0028229E">
        <w:t>[</w:t>
      </w:r>
      <w:r w:rsidR="00AF4E1E" w:rsidRPr="0028229E">
        <w:t>…</w:t>
      </w:r>
      <w:r w:rsidR="0000121D">
        <w:t>]</w:t>
      </w:r>
      <w:r w:rsidR="009A60EE" w:rsidRPr="0028229E">
        <w:t xml:space="preserve"> </w:t>
      </w:r>
      <w:r w:rsidR="00AF4E1E" w:rsidRPr="0028229E">
        <w:t>cuando no se cuenta con otras pruebas</w:t>
      </w:r>
      <w:r w:rsidR="00B00319" w:rsidRPr="0028229E">
        <w:t>”</w:t>
      </w:r>
      <w:r w:rsidR="00AF4E1E" w:rsidRPr="0028229E">
        <w:rPr>
          <w:rFonts w:eastAsiaTheme="majorEastAsia"/>
          <w:sz w:val="18"/>
          <w:vertAlign w:val="superscript"/>
        </w:rPr>
        <w:footnoteReference w:id="39"/>
      </w:r>
      <w:r w:rsidR="00F909F2" w:rsidRPr="0028229E">
        <w:t>.</w:t>
      </w:r>
      <w:r w:rsidR="00AF4E1E" w:rsidRPr="0028229E">
        <w:t xml:space="preserve"> El Comité toma nota de que el Instituto de Medicina </w:t>
      </w:r>
      <w:r w:rsidR="006C0186" w:rsidRPr="0028229E">
        <w:t>L</w:t>
      </w:r>
      <w:r w:rsidR="00AF4E1E" w:rsidRPr="0028229E">
        <w:t>egal en Cerro de Pas</w:t>
      </w:r>
      <w:r w:rsidR="00A737B5" w:rsidRPr="0028229E">
        <w:t>c</w:t>
      </w:r>
      <w:r w:rsidR="00AF4E1E" w:rsidRPr="0028229E">
        <w:t>o no contaba con psicólogos ni psiquiatras, por lo que el examen psicológico</w:t>
      </w:r>
      <w:r w:rsidR="00AF4E1E" w:rsidRPr="00AF4E1E">
        <w:t xml:space="preserve"> tuvo que ser elaborado con la colaboración de una psicóloga que trabajaba en el Hospital Daniel Alcides Carrión, la cual no contaba con especialidad en casos de tortura. El Comité no encuentra, en el expediente que tiene ante sí, una justificación suficiente para que las autoridades judiciales no hubiesen practicado pruebas adicionales al examen de los informes médico-forenses</w:t>
      </w:r>
      <w:r w:rsidR="00AF4E1E" w:rsidRPr="00AF4E1E">
        <w:rPr>
          <w:rFonts w:eastAsiaTheme="majorEastAsia"/>
          <w:sz w:val="18"/>
          <w:vertAlign w:val="superscript"/>
        </w:rPr>
        <w:footnoteReference w:id="40"/>
      </w:r>
      <w:r w:rsidR="007B1680">
        <w:t xml:space="preserve">. </w:t>
      </w:r>
      <w:r w:rsidR="00AF4E1E" w:rsidRPr="00AF4E1E">
        <w:t>El Comité considera que dichas pruebas adicionales habrían sido pertinentes, ya que, aunque en regla general los informes médico-forenses son importantes para probar la existencia de tortura, a menudo son insuficientes y deben ser comparados con información obtenida por otros medios</w:t>
      </w:r>
      <w:r w:rsidR="00AF4E1E" w:rsidRPr="00AF4E1E">
        <w:rPr>
          <w:rFonts w:eastAsiaTheme="majorEastAsia"/>
          <w:vertAlign w:val="superscript"/>
        </w:rPr>
        <w:footnoteReference w:id="41"/>
      </w:r>
      <w:r w:rsidR="007A6668">
        <w:t>.</w:t>
      </w:r>
      <w:r w:rsidR="00AF4E1E" w:rsidRPr="00AF4E1E">
        <w:t xml:space="preserve"> </w:t>
      </w:r>
    </w:p>
    <w:p w14:paraId="03545D03" w14:textId="57A09E18" w:rsidR="00AF4E1E" w:rsidRPr="00AF4E1E" w:rsidRDefault="00AF4E1E" w:rsidP="00AF4E1E">
      <w:pPr>
        <w:pStyle w:val="SingleTxtG"/>
      </w:pPr>
      <w:r w:rsidRPr="00AF4E1E">
        <w:t>7.6</w:t>
      </w:r>
      <w:r w:rsidRPr="00AF4E1E">
        <w:tab/>
        <w:t xml:space="preserve">El Comité recuerda que las autoridades deben tomar todos aquellos pasos necesarios para asegurar la evidencia incluidos, entre otros, los testimonios, evidencia forense, certificados médicos y todas aquellas diligencias necesarias para determinar un </w:t>
      </w:r>
      <w:r w:rsidR="007A6668">
        <w:t>registro</w:t>
      </w:r>
      <w:r w:rsidR="007A6668" w:rsidRPr="00AF4E1E">
        <w:t xml:space="preserve"> </w:t>
      </w:r>
      <w:r w:rsidRPr="00AF4E1E">
        <w:t>adecuado de las lesiones y los correspondientes hallazgos y que, cualquier deficiencia en la investigación que ponga en riesgo la determinación de responsabilidad, corre el riesgo de ser contraria a los estándares</w:t>
      </w:r>
      <w:r w:rsidR="007A6668">
        <w:t xml:space="preserve"> internacionales de derechos humanos</w:t>
      </w:r>
      <w:r w:rsidRPr="00AF4E1E">
        <w:rPr>
          <w:rFonts w:eastAsiaTheme="majorEastAsia"/>
          <w:sz w:val="18"/>
          <w:vertAlign w:val="superscript"/>
        </w:rPr>
        <w:footnoteReference w:id="42"/>
      </w:r>
      <w:r w:rsidR="009A60EE">
        <w:t>.</w:t>
      </w:r>
      <w:r w:rsidRPr="00AF4E1E">
        <w:t xml:space="preserve"> </w:t>
      </w:r>
      <w:r w:rsidRPr="00AF4E1E">
        <w:rPr>
          <w:lang w:val="es-ES_tradnl"/>
        </w:rPr>
        <w:t>E</w:t>
      </w:r>
      <w:r w:rsidRPr="00AF4E1E">
        <w:t>l Comité considera que</w:t>
      </w:r>
      <w:r w:rsidRPr="00AF4E1E">
        <w:rPr>
          <w:lang w:val="es-ES_tradnl"/>
        </w:rPr>
        <w:t xml:space="preserve"> </w:t>
      </w:r>
      <w:r w:rsidRPr="00AF4E1E">
        <w:t>las omisiones referidas en los párrafos que anteceden resultan incompatibles con la obligación de proceder a un examen imparcial de la queja presentado por el autor, en el sentido del artículo 13 de la Convención</w:t>
      </w:r>
      <w:r w:rsidRPr="00AF4E1E">
        <w:rPr>
          <w:rFonts w:eastAsiaTheme="majorEastAsia"/>
          <w:sz w:val="18"/>
          <w:vertAlign w:val="superscript"/>
        </w:rPr>
        <w:footnoteReference w:id="43"/>
      </w:r>
      <w:r w:rsidR="009A60EE">
        <w:t>.</w:t>
      </w:r>
    </w:p>
    <w:p w14:paraId="5680FA21" w14:textId="1A93D689" w:rsidR="00AF4E1E" w:rsidRPr="00AF4E1E" w:rsidRDefault="00AF4E1E" w:rsidP="00AF4E1E">
      <w:pPr>
        <w:pStyle w:val="SingleTxtG"/>
      </w:pPr>
      <w:r w:rsidRPr="00AF4E1E">
        <w:t>7.7</w:t>
      </w:r>
      <w:r w:rsidRPr="00AF4E1E">
        <w:tab/>
        <w:t xml:space="preserve">Con respecto a las alegaciones del autor relativas a su derecho a una reparación, garantizado </w:t>
      </w:r>
      <w:r w:rsidR="00420F03">
        <w:t xml:space="preserve">en </w:t>
      </w:r>
      <w:r w:rsidRPr="00AF4E1E">
        <w:t xml:space="preserve">el artículo 14 de la Convención, el Comité recuerda </w:t>
      </w:r>
      <w:r w:rsidR="0000121D">
        <w:t>que</w:t>
      </w:r>
      <w:r w:rsidRPr="00AF4E1E">
        <w:t xml:space="preserve"> en su </w:t>
      </w:r>
      <w:r w:rsidR="00420F03">
        <w:t>o</w:t>
      </w:r>
      <w:r w:rsidRPr="00AF4E1E">
        <w:t xml:space="preserve">bservación </w:t>
      </w:r>
      <w:r w:rsidR="00420F03">
        <w:t>g</w:t>
      </w:r>
      <w:r w:rsidRPr="00AF4E1E">
        <w:t>eneral núm. 3</w:t>
      </w:r>
      <w:r w:rsidR="00BF108A">
        <w:t xml:space="preserve"> (2012)</w:t>
      </w:r>
      <w:r w:rsidRPr="00AF4E1E">
        <w:t xml:space="preserve"> </w:t>
      </w:r>
      <w:r w:rsidR="0000121D">
        <w:t>señaló</w:t>
      </w:r>
      <w:r w:rsidRPr="00AF4E1E">
        <w:t xml:space="preserve"> que la investigación sobre alegaciones de tortura impone la obligación del Estado parte de verificar los hechos y revelar pública y completamente la verdad</w:t>
      </w:r>
      <w:r w:rsidR="0000121D">
        <w:t xml:space="preserve"> (párr. 16)</w:t>
      </w:r>
      <w:r w:rsidR="00BF108A">
        <w:t>.</w:t>
      </w:r>
      <w:r w:rsidRPr="00AF4E1E">
        <w:t xml:space="preserve"> Además, “[p]ara dar cumplimiento al artículo 14, los Estados parte</w:t>
      </w:r>
      <w:r w:rsidR="0000121D">
        <w:t>s</w:t>
      </w:r>
      <w:r w:rsidRPr="00AF4E1E">
        <w:t xml:space="preserve"> han de promulgar leyes que ofrezcan expresamente a las víctimas de tortura un recurso efectivo y reconozcan su derecho a obtener una reparación apropiada”</w:t>
      </w:r>
      <w:r w:rsidR="00BF108A">
        <w:t xml:space="preserve"> (párr.</w:t>
      </w:r>
      <w:r w:rsidR="0000121D">
        <w:t> </w:t>
      </w:r>
      <w:r w:rsidR="00BF108A">
        <w:t>20).</w:t>
      </w:r>
      <w:r w:rsidRPr="00AF4E1E">
        <w:t xml:space="preserve"> </w:t>
      </w:r>
      <w:r w:rsidRPr="00AF4E1E">
        <w:rPr>
          <w:spacing w:val="-2"/>
        </w:rPr>
        <w:t>El Comité</w:t>
      </w:r>
      <w:r w:rsidR="00466A08">
        <w:rPr>
          <w:spacing w:val="-2"/>
        </w:rPr>
        <w:t xml:space="preserve"> </w:t>
      </w:r>
      <w:r w:rsidRPr="00AF4E1E">
        <w:rPr>
          <w:spacing w:val="-2"/>
        </w:rPr>
        <w:t>también recuerda que, “una persona será considerada víctima con independencia de que el autor de la violación haya sido identificado, aprehendido, juzgado o condenado”</w:t>
      </w:r>
      <w:r w:rsidR="00BF108A">
        <w:rPr>
          <w:spacing w:val="-2"/>
        </w:rPr>
        <w:t xml:space="preserve"> (párr.</w:t>
      </w:r>
      <w:r w:rsidR="0000121D">
        <w:rPr>
          <w:spacing w:val="-2"/>
        </w:rPr>
        <w:t> </w:t>
      </w:r>
      <w:r w:rsidR="00BF108A">
        <w:rPr>
          <w:spacing w:val="-2"/>
        </w:rPr>
        <w:t>3)</w:t>
      </w:r>
      <w:r w:rsidRPr="00AF4E1E">
        <w:rPr>
          <w:spacing w:val="-2"/>
        </w:rPr>
        <w:t>.</w:t>
      </w:r>
      <w:r w:rsidR="00BF108A" w:rsidRPr="00AF4E1E" w:rsidDel="00BF108A">
        <w:rPr>
          <w:rFonts w:eastAsiaTheme="majorEastAsia"/>
          <w:spacing w:val="-2"/>
          <w:sz w:val="18"/>
          <w:vertAlign w:val="superscript"/>
        </w:rPr>
        <w:t xml:space="preserve"> </w:t>
      </w:r>
      <w:r w:rsidRPr="00AF4E1E">
        <w:t xml:space="preserve">Al respecto, el </w:t>
      </w:r>
      <w:r w:rsidRPr="00AF4E1E">
        <w:lastRenderedPageBreak/>
        <w:t>Comité observa que, de acuerdo con la información proporcionada al Comité, el derecho a la reparación del autor no ha sido garantizado por el Estado parte.</w:t>
      </w:r>
    </w:p>
    <w:p w14:paraId="2D08AD1E" w14:textId="4BDDCC35" w:rsidR="00AF4E1E" w:rsidRPr="00AF4E1E" w:rsidRDefault="00AF4E1E" w:rsidP="00AF4E1E">
      <w:pPr>
        <w:pStyle w:val="SingleTxtG"/>
      </w:pPr>
      <w:r w:rsidRPr="00AF4E1E">
        <w:rPr>
          <w:lang w:val="es-ES_tradnl"/>
        </w:rPr>
        <w:t>8.</w:t>
      </w:r>
      <w:r w:rsidRPr="00AF4E1E">
        <w:rPr>
          <w:lang w:val="es-ES_tradnl"/>
        </w:rPr>
        <w:tab/>
        <w:t>El Comité, actuando en virtud del artículo 22</w:t>
      </w:r>
      <w:r w:rsidR="00BF108A">
        <w:rPr>
          <w:lang w:val="es-ES_tradnl"/>
        </w:rPr>
        <w:t xml:space="preserve">, párrafo </w:t>
      </w:r>
      <w:r w:rsidRPr="00AF4E1E">
        <w:rPr>
          <w:lang w:val="es-ES_tradnl"/>
        </w:rPr>
        <w:t>7</w:t>
      </w:r>
      <w:r w:rsidR="00BF108A">
        <w:rPr>
          <w:lang w:val="es-ES_tradnl"/>
        </w:rPr>
        <w:t>,</w:t>
      </w:r>
      <w:r w:rsidRPr="00AF4E1E">
        <w:rPr>
          <w:lang w:val="es-ES_tradnl"/>
        </w:rPr>
        <w:t xml:space="preserve"> de la Convención, concluye que los hechos que tiene </w:t>
      </w:r>
      <w:r w:rsidR="00642DA2">
        <w:rPr>
          <w:lang w:val="es-ES_tradnl"/>
        </w:rPr>
        <w:t>ante sí</w:t>
      </w:r>
      <w:r w:rsidRPr="00AF4E1E">
        <w:rPr>
          <w:lang w:val="es-ES_tradnl"/>
        </w:rPr>
        <w:t xml:space="preserve"> ponen de manifiesto una </w:t>
      </w:r>
      <w:r w:rsidR="00642DA2">
        <w:rPr>
          <w:lang w:val="es-ES_tradnl"/>
        </w:rPr>
        <w:t>violación</w:t>
      </w:r>
      <w:r w:rsidR="00642DA2" w:rsidRPr="00AF4E1E">
        <w:rPr>
          <w:lang w:val="es-ES_tradnl"/>
        </w:rPr>
        <w:t xml:space="preserve"> </w:t>
      </w:r>
      <w:r w:rsidRPr="00AF4E1E">
        <w:rPr>
          <w:lang w:val="es-ES_tradnl"/>
        </w:rPr>
        <w:t>de los artículos 2</w:t>
      </w:r>
      <w:r w:rsidR="00642DA2">
        <w:rPr>
          <w:lang w:val="es-ES_tradnl"/>
        </w:rPr>
        <w:t>, párrafo </w:t>
      </w:r>
      <w:r w:rsidRPr="00AF4E1E">
        <w:rPr>
          <w:lang w:val="es-ES_tradnl"/>
        </w:rPr>
        <w:t>1, 12, 13 y 14 de la Convención, leídos conjuntamente con el artículo 1.</w:t>
      </w:r>
    </w:p>
    <w:p w14:paraId="1D0D424E" w14:textId="3585C101" w:rsidR="00AF4E1E" w:rsidRDefault="00AF4E1E" w:rsidP="00091EFE">
      <w:pPr>
        <w:pStyle w:val="SingleTxtG"/>
        <w:rPr>
          <w:lang w:val="es-ES_tradnl"/>
        </w:rPr>
      </w:pPr>
      <w:r w:rsidRPr="00AF4E1E">
        <w:rPr>
          <w:lang w:val="es-ES_tradnl"/>
        </w:rPr>
        <w:t>9.</w:t>
      </w:r>
      <w:r w:rsidR="00D8455A">
        <w:rPr>
          <w:lang w:val="es-ES_tradnl"/>
        </w:rPr>
        <w:t>1</w:t>
      </w:r>
      <w:r w:rsidRPr="00AF4E1E">
        <w:rPr>
          <w:lang w:val="es-ES_tradnl"/>
        </w:rPr>
        <w:tab/>
        <w:t>El Comité insta encarecidamente al Estado parte a que:</w:t>
      </w:r>
      <w:r w:rsidR="004A405E">
        <w:rPr>
          <w:lang w:val="es-ES_tradnl"/>
        </w:rPr>
        <w:t xml:space="preserve"> </w:t>
      </w:r>
      <w:r w:rsidRPr="00AF4E1E">
        <w:rPr>
          <w:lang w:val="es-ES_tradnl"/>
        </w:rPr>
        <w:t>a)</w:t>
      </w:r>
      <w:r w:rsidR="004A405E">
        <w:rPr>
          <w:lang w:val="es-ES_tradnl"/>
        </w:rPr>
        <w:t> r</w:t>
      </w:r>
      <w:r w:rsidRPr="00AF4E1E">
        <w:rPr>
          <w:lang w:val="es-ES_tradnl"/>
        </w:rPr>
        <w:t xml:space="preserve">ealice una investigación pronta, imparcial e independiente de las alegaciones de tortura formuladas por </w:t>
      </w:r>
      <w:r w:rsidR="00642DA2">
        <w:rPr>
          <w:lang w:val="es-ES_tradnl"/>
        </w:rPr>
        <w:t>el autor</w:t>
      </w:r>
      <w:r w:rsidR="002927F1">
        <w:rPr>
          <w:lang w:val="es-ES_tradnl"/>
        </w:rPr>
        <w:t>;</w:t>
      </w:r>
      <w:r w:rsidR="004A405E">
        <w:rPr>
          <w:lang w:val="es-ES_tradnl"/>
        </w:rPr>
        <w:t xml:space="preserve"> y </w:t>
      </w:r>
      <w:r w:rsidR="00D8455A">
        <w:rPr>
          <w:lang w:val="es-ES_tradnl"/>
        </w:rPr>
        <w:t>b</w:t>
      </w:r>
      <w:r w:rsidRPr="00AF4E1E">
        <w:rPr>
          <w:lang w:val="es-ES_tradnl"/>
        </w:rPr>
        <w:t>)</w:t>
      </w:r>
      <w:r w:rsidR="004A405E">
        <w:rPr>
          <w:lang w:val="es-ES_tradnl"/>
        </w:rPr>
        <w:t> c</w:t>
      </w:r>
      <w:r w:rsidRPr="00AF4E1E">
        <w:rPr>
          <w:lang w:val="es-ES_tradnl"/>
        </w:rPr>
        <w:t xml:space="preserve">onceda al autor una reparación integral apropiada, incluidas </w:t>
      </w:r>
      <w:r w:rsidR="00642DA2">
        <w:rPr>
          <w:lang w:val="es-ES_tradnl"/>
        </w:rPr>
        <w:t xml:space="preserve">las </w:t>
      </w:r>
      <w:r w:rsidRPr="00AF4E1E">
        <w:rPr>
          <w:lang w:val="es-ES_tradnl"/>
        </w:rPr>
        <w:t>medidas de indemnización adecuada, por el daño material y moral y la rehabilitación psicológica que pudiera requerir</w:t>
      </w:r>
      <w:r w:rsidR="00642DA2">
        <w:rPr>
          <w:lang w:val="es-ES_tradnl"/>
        </w:rPr>
        <w:t>.</w:t>
      </w:r>
      <w:r w:rsidR="00E736EE">
        <w:rPr>
          <w:lang w:val="es-ES_tradnl"/>
        </w:rPr>
        <w:t xml:space="preserve"> </w:t>
      </w:r>
    </w:p>
    <w:p w14:paraId="62F4B01E" w14:textId="6932633E" w:rsidR="00D9316B" w:rsidRPr="00AF4E1E" w:rsidRDefault="00D8455A" w:rsidP="00091EFE">
      <w:pPr>
        <w:pStyle w:val="SingleTxtG"/>
        <w:rPr>
          <w:lang w:val="es-ES_tradnl"/>
        </w:rPr>
      </w:pPr>
      <w:r>
        <w:rPr>
          <w:lang w:val="es-ES_tradnl"/>
        </w:rPr>
        <w:t>9.2</w:t>
      </w:r>
      <w:r>
        <w:rPr>
          <w:lang w:val="es-ES_tradnl"/>
        </w:rPr>
        <w:tab/>
        <w:t>En relación con las garantías de no repetición, el Comité insta al Estado parte a que</w:t>
      </w:r>
      <w:r w:rsidR="00D55E01">
        <w:rPr>
          <w:lang w:val="es-ES_tradnl"/>
        </w:rPr>
        <w:t xml:space="preserve"> adopte las medidas necesarias para capacitar</w:t>
      </w:r>
      <w:r>
        <w:rPr>
          <w:lang w:val="es-ES_tradnl"/>
        </w:rPr>
        <w:t>:</w:t>
      </w:r>
      <w:r w:rsidR="004A405E">
        <w:rPr>
          <w:lang w:val="es-ES_tradnl"/>
        </w:rPr>
        <w:t> </w:t>
      </w:r>
      <w:r>
        <w:rPr>
          <w:lang w:val="es-ES_tradnl"/>
        </w:rPr>
        <w:t>a</w:t>
      </w:r>
      <w:r w:rsidR="00AF4E1E" w:rsidRPr="00AF4E1E">
        <w:rPr>
          <w:lang w:val="es-ES_tradnl"/>
        </w:rPr>
        <w:t>)</w:t>
      </w:r>
      <w:r w:rsidR="004A405E">
        <w:rPr>
          <w:lang w:val="es-ES_tradnl"/>
        </w:rPr>
        <w:t xml:space="preserve"> a</w:t>
      </w:r>
      <w:r w:rsidR="00AF4E1E" w:rsidRPr="00AF4E1E">
        <w:rPr>
          <w:lang w:val="es-ES_tradnl"/>
        </w:rPr>
        <w:t xml:space="preserve">l personal médico y psicológico del Instituto de Medicina Legal en materia de documentación y determinación de </w:t>
      </w:r>
      <w:r w:rsidR="009A0783">
        <w:rPr>
          <w:lang w:val="es-ES_tradnl"/>
        </w:rPr>
        <w:t xml:space="preserve">la </w:t>
      </w:r>
      <w:r w:rsidR="00AF4E1E" w:rsidRPr="00AF4E1E">
        <w:rPr>
          <w:lang w:val="es-ES_tradnl"/>
        </w:rPr>
        <w:t xml:space="preserve">tortura, con base en los estándares establecidos por el </w:t>
      </w:r>
      <w:r w:rsidR="00AF4E1E" w:rsidRPr="009A0783">
        <w:rPr>
          <w:lang w:val="es-ES_tradnl"/>
        </w:rPr>
        <w:t>Protocolo de Estambul</w:t>
      </w:r>
      <w:r w:rsidR="00CB643E" w:rsidRPr="009A0783">
        <w:rPr>
          <w:lang w:val="es-ES_tradnl"/>
        </w:rPr>
        <w:t>;</w:t>
      </w:r>
      <w:r w:rsidR="004A405E">
        <w:rPr>
          <w:lang w:val="es-ES_tradnl"/>
        </w:rPr>
        <w:t xml:space="preserve"> </w:t>
      </w:r>
      <w:r>
        <w:rPr>
          <w:lang w:val="es-ES_tradnl"/>
        </w:rPr>
        <w:t>b)</w:t>
      </w:r>
      <w:r w:rsidR="004A405E">
        <w:rPr>
          <w:lang w:val="es-ES_tradnl"/>
        </w:rPr>
        <w:t xml:space="preserve"> a</w:t>
      </w:r>
      <w:r>
        <w:rPr>
          <w:lang w:val="es-ES_tradnl"/>
        </w:rPr>
        <w:t xml:space="preserve"> </w:t>
      </w:r>
      <w:r w:rsidR="00D9316B">
        <w:rPr>
          <w:lang w:val="es-ES_tradnl"/>
        </w:rPr>
        <w:t>las fuerzas de seguridad y a los fiscales en técnicas de investigación de casos de tortura con base en estándares internacionales</w:t>
      </w:r>
      <w:r w:rsidR="00D55E01">
        <w:rPr>
          <w:lang w:val="es-ES_tradnl"/>
        </w:rPr>
        <w:t>;</w:t>
      </w:r>
      <w:r w:rsidR="004A405E">
        <w:rPr>
          <w:lang w:val="es-ES_tradnl"/>
        </w:rPr>
        <w:t xml:space="preserve"> y </w:t>
      </w:r>
      <w:r w:rsidR="00D9316B">
        <w:rPr>
          <w:lang w:val="es-ES_tradnl"/>
        </w:rPr>
        <w:t>c)</w:t>
      </w:r>
      <w:r w:rsidR="004A405E">
        <w:rPr>
          <w:lang w:val="es-ES_tradnl"/>
        </w:rPr>
        <w:t> a</w:t>
      </w:r>
      <w:r w:rsidR="00D9316B">
        <w:rPr>
          <w:lang w:val="es-ES_tradnl"/>
        </w:rPr>
        <w:t xml:space="preserve"> las fuerzas de seguridad y autoridades gubernativas locales en técnicas de custodia o detención preventiva de menores de edad con base en estándares internacionales.</w:t>
      </w:r>
    </w:p>
    <w:p w14:paraId="7CB9C786" w14:textId="3A16D8EC" w:rsidR="00AF4E1E" w:rsidRDefault="00D9316B" w:rsidP="00267884">
      <w:pPr>
        <w:pStyle w:val="SingleTxtG"/>
        <w:rPr>
          <w:lang w:val="es-ES_tradnl"/>
        </w:rPr>
      </w:pPr>
      <w:r>
        <w:rPr>
          <w:lang w:val="es-ES_tradnl"/>
        </w:rPr>
        <w:t>9.</w:t>
      </w:r>
      <w:r w:rsidR="00A7065F">
        <w:rPr>
          <w:lang w:val="es-ES_tradnl"/>
        </w:rPr>
        <w:t>3</w:t>
      </w:r>
      <w:r w:rsidR="00D55E01">
        <w:rPr>
          <w:lang w:val="es-ES_tradnl"/>
        </w:rPr>
        <w:tab/>
      </w:r>
      <w:bookmarkStart w:id="1" w:name="_Hlk126314741"/>
      <w:r w:rsidR="00AF4E1E" w:rsidRPr="00AF4E1E">
        <w:rPr>
          <w:lang w:val="es-ES_tradnl"/>
        </w:rPr>
        <w:t>De conformidad con el artículo 118</w:t>
      </w:r>
      <w:r w:rsidR="004C0934">
        <w:rPr>
          <w:lang w:val="es-ES_tradnl"/>
        </w:rPr>
        <w:t>, párrafo </w:t>
      </w:r>
      <w:r w:rsidR="00AF4E1E" w:rsidRPr="00AF4E1E">
        <w:rPr>
          <w:lang w:val="es-ES_tradnl"/>
        </w:rPr>
        <w:t>5, de su reglamento, el Comité insta al Estado parte a que le informe, dentro de un plazo de 90 días a partir de la fecha de envío de la presente decisión, sobre las medidas que haya adoptado para dar curso a la presente decisión.</w:t>
      </w:r>
      <w:r w:rsidR="00D55E01">
        <w:rPr>
          <w:lang w:val="es-ES_tradnl"/>
        </w:rPr>
        <w:t xml:space="preserve"> </w:t>
      </w:r>
      <w:bookmarkEnd w:id="1"/>
      <w:r w:rsidR="00D55E01">
        <w:rPr>
          <w:lang w:val="es-ES_tradnl"/>
        </w:rPr>
        <w:t>Le insta, además, a que p</w:t>
      </w:r>
      <w:r w:rsidR="00D55E01" w:rsidRPr="00AF4E1E">
        <w:rPr>
          <w:lang w:val="es-ES_tradnl"/>
        </w:rPr>
        <w:t xml:space="preserve">ublique </w:t>
      </w:r>
      <w:r w:rsidR="00E329E2">
        <w:rPr>
          <w:lang w:val="es-ES_tradnl"/>
        </w:rPr>
        <w:t>la</w:t>
      </w:r>
      <w:r w:rsidR="00D55E01" w:rsidRPr="00AF4E1E">
        <w:rPr>
          <w:lang w:val="es-ES_tradnl"/>
        </w:rPr>
        <w:t xml:space="preserve"> presente </w:t>
      </w:r>
      <w:r w:rsidR="00E329E2">
        <w:rPr>
          <w:lang w:val="es-ES_tradnl"/>
        </w:rPr>
        <w:t>decisión</w:t>
      </w:r>
      <w:r w:rsidR="00D55E01" w:rsidRPr="00AF4E1E">
        <w:rPr>
          <w:lang w:val="es-ES_tradnl"/>
        </w:rPr>
        <w:t xml:space="preserve"> y difunda ampliamente su contenido.</w:t>
      </w:r>
    </w:p>
    <w:p w14:paraId="198C9773" w14:textId="419AD5B8" w:rsidR="00267884" w:rsidRPr="00267884" w:rsidRDefault="00267884" w:rsidP="00267884">
      <w:pPr>
        <w:pStyle w:val="SingleTxtG"/>
        <w:suppressAutoHyphens/>
        <w:spacing w:before="240" w:after="0"/>
        <w:jc w:val="center"/>
        <w:rPr>
          <w:u w:val="single"/>
        </w:rPr>
      </w:pPr>
      <w:r>
        <w:rPr>
          <w:u w:val="single"/>
        </w:rPr>
        <w:tab/>
      </w:r>
      <w:r>
        <w:rPr>
          <w:u w:val="single"/>
        </w:rPr>
        <w:tab/>
      </w:r>
      <w:r>
        <w:rPr>
          <w:u w:val="single"/>
        </w:rPr>
        <w:tab/>
      </w:r>
    </w:p>
    <w:sectPr w:rsidR="00267884" w:rsidRPr="00267884" w:rsidSect="00B80413">
      <w:headerReference w:type="even" r:id="rId12"/>
      <w:headerReference w:type="default" r:id="rId13"/>
      <w:footerReference w:type="even" r:id="rId14"/>
      <w:footerReference w:type="default" r:id="rId15"/>
      <w:footerReference w:type="first" r:id="rId16"/>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CFCCE" w14:textId="77777777" w:rsidR="00D416F0" w:rsidRDefault="00D416F0">
      <w:r>
        <w:separator/>
      </w:r>
    </w:p>
  </w:endnote>
  <w:endnote w:type="continuationSeparator" w:id="0">
    <w:p w14:paraId="62CDF844" w14:textId="77777777" w:rsidR="00D416F0" w:rsidRDefault="00D4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E13AF" w14:textId="33805963" w:rsidR="00B80413" w:rsidRPr="00B80413" w:rsidRDefault="00B80413" w:rsidP="00B80413">
    <w:pPr>
      <w:pStyle w:val="Piedepgina"/>
      <w:tabs>
        <w:tab w:val="right" w:pos="9638"/>
      </w:tabs>
    </w:pPr>
    <w:r w:rsidRPr="00B80413">
      <w:rPr>
        <w:b/>
        <w:sz w:val="18"/>
      </w:rPr>
      <w:fldChar w:fldCharType="begin"/>
    </w:r>
    <w:r w:rsidRPr="00B80413">
      <w:rPr>
        <w:b/>
        <w:sz w:val="18"/>
      </w:rPr>
      <w:instrText xml:space="preserve"> PAGE  \* MERGEFORMAT </w:instrText>
    </w:r>
    <w:r w:rsidRPr="00B80413">
      <w:rPr>
        <w:b/>
        <w:sz w:val="18"/>
      </w:rPr>
      <w:fldChar w:fldCharType="separate"/>
    </w:r>
    <w:r w:rsidR="0080517B">
      <w:rPr>
        <w:b/>
        <w:noProof/>
        <w:sz w:val="18"/>
      </w:rPr>
      <w:t>14</w:t>
    </w:r>
    <w:r w:rsidRPr="00B8041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E6B4" w14:textId="36182F6E" w:rsidR="00B80413" w:rsidRPr="00B80413" w:rsidRDefault="00B80413" w:rsidP="00B80413">
    <w:pPr>
      <w:pStyle w:val="Piedepgina"/>
      <w:tabs>
        <w:tab w:val="right" w:pos="9638"/>
      </w:tabs>
      <w:rPr>
        <w:b/>
        <w:sz w:val="18"/>
      </w:rPr>
    </w:pPr>
    <w:r>
      <w:tab/>
    </w:r>
    <w:r w:rsidRPr="00B80413">
      <w:rPr>
        <w:b/>
        <w:sz w:val="18"/>
      </w:rPr>
      <w:fldChar w:fldCharType="begin"/>
    </w:r>
    <w:r w:rsidRPr="00B80413">
      <w:rPr>
        <w:b/>
        <w:sz w:val="18"/>
      </w:rPr>
      <w:instrText xml:space="preserve"> PAGE  \* MERGEFORMAT </w:instrText>
    </w:r>
    <w:r w:rsidRPr="00B80413">
      <w:rPr>
        <w:b/>
        <w:sz w:val="18"/>
      </w:rPr>
      <w:fldChar w:fldCharType="separate"/>
    </w:r>
    <w:r w:rsidR="0080517B">
      <w:rPr>
        <w:b/>
        <w:noProof/>
        <w:sz w:val="18"/>
      </w:rPr>
      <w:t>13</w:t>
    </w:r>
    <w:r w:rsidRPr="00B8041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ECB08" w14:textId="5CD1B2C0" w:rsidR="00042B72" w:rsidRPr="00F46ADB" w:rsidRDefault="00F46ADB" w:rsidP="00F46ADB">
    <w:pPr>
      <w:pStyle w:val="Piedepgina"/>
      <w:tabs>
        <w:tab w:val="left" w:pos="6520"/>
        <w:tab w:val="right" w:pos="9638"/>
      </w:tabs>
      <w:spacing w:before="120" w:line="240" w:lineRule="auto"/>
      <w:rPr>
        <w:sz w:val="20"/>
      </w:rPr>
    </w:pPr>
    <w:r>
      <w:rPr>
        <w:sz w:val="20"/>
      </w:rPr>
      <w:t>GE.22-29193  (S)</w:t>
    </w:r>
    <w:bookmarkStart w:id="2" w:name="_GoBack"/>
    <w:bookmarkEnd w:id="2"/>
    <w:r>
      <w:rPr>
        <w:sz w:val="20"/>
      </w:rPr>
      <w:tab/>
    </w:r>
    <w:r w:rsidRPr="00F46ADB">
      <w:rPr>
        <w:noProof/>
        <w:sz w:val="20"/>
        <w:lang w:val="fr-CH" w:eastAsia="zh-CN"/>
      </w:rPr>
      <w:drawing>
        <wp:inline distT="0" distB="0" distL="0" distR="0" wp14:anchorId="4409B5CE" wp14:editId="43907913">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5243425B" wp14:editId="2D5EE3F5">
          <wp:extent cx="561975" cy="5619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740D0" w14:textId="77777777" w:rsidR="00D416F0" w:rsidRPr="001075E9" w:rsidRDefault="00D416F0" w:rsidP="001075E9">
      <w:pPr>
        <w:tabs>
          <w:tab w:val="right" w:pos="2155"/>
        </w:tabs>
        <w:spacing w:after="80" w:line="240" w:lineRule="auto"/>
        <w:ind w:left="680"/>
        <w:rPr>
          <w:u w:val="single"/>
        </w:rPr>
      </w:pPr>
      <w:r>
        <w:rPr>
          <w:u w:val="single"/>
        </w:rPr>
        <w:tab/>
      </w:r>
    </w:p>
  </w:footnote>
  <w:footnote w:type="continuationSeparator" w:id="0">
    <w:p w14:paraId="760631E7" w14:textId="77777777" w:rsidR="00D416F0" w:rsidRDefault="00D416F0" w:rsidP="00407B78">
      <w:pPr>
        <w:tabs>
          <w:tab w:val="right" w:pos="2155"/>
        </w:tabs>
        <w:spacing w:after="80"/>
        <w:ind w:left="680"/>
        <w:rPr>
          <w:u w:val="single"/>
        </w:rPr>
      </w:pPr>
      <w:r>
        <w:rPr>
          <w:u w:val="single"/>
        </w:rPr>
        <w:tab/>
      </w:r>
    </w:p>
  </w:footnote>
  <w:footnote w:id="1">
    <w:p w14:paraId="4CC46452" w14:textId="5AA57812" w:rsidR="00091EFE" w:rsidRPr="00091EFE" w:rsidRDefault="00091EFE">
      <w:pPr>
        <w:pStyle w:val="Textonotapie"/>
        <w:rPr>
          <w:sz w:val="20"/>
        </w:rPr>
      </w:pPr>
      <w:r>
        <w:tab/>
      </w:r>
      <w:r w:rsidRPr="00091EFE">
        <w:rPr>
          <w:rStyle w:val="Refdenotaalpie"/>
          <w:sz w:val="20"/>
          <w:vertAlign w:val="baseline"/>
        </w:rPr>
        <w:t>*</w:t>
      </w:r>
      <w:r w:rsidRPr="00091EFE">
        <w:rPr>
          <w:rStyle w:val="Refdenotaalpie"/>
          <w:vertAlign w:val="baseline"/>
        </w:rPr>
        <w:tab/>
      </w:r>
      <w:r w:rsidRPr="002566C4">
        <w:rPr>
          <w:szCs w:val="18"/>
          <w:lang w:val="es-419" w:eastAsia="en-GB"/>
        </w:rPr>
        <w:t xml:space="preserve">Adoptada por el Comité en su </w:t>
      </w:r>
      <w:r>
        <w:rPr>
          <w:szCs w:val="18"/>
          <w:lang w:val="es-419" w:eastAsia="en-GB"/>
        </w:rPr>
        <w:t>75º período de sesiones</w:t>
      </w:r>
      <w:r w:rsidRPr="002566C4">
        <w:rPr>
          <w:szCs w:val="18"/>
          <w:lang w:val="es-419" w:eastAsia="en-GB"/>
        </w:rPr>
        <w:t xml:space="preserve"> (31 de octubre a 25 de noviembre de 2022)</w:t>
      </w:r>
      <w:r>
        <w:rPr>
          <w:szCs w:val="18"/>
          <w:lang w:val="es-419" w:eastAsia="en-GB"/>
        </w:rPr>
        <w:t>.</w:t>
      </w:r>
    </w:p>
  </w:footnote>
  <w:footnote w:id="2">
    <w:p w14:paraId="0C9C40A1" w14:textId="6BC1DB24" w:rsidR="00091EFE" w:rsidRPr="00091EFE" w:rsidRDefault="00091EFE">
      <w:pPr>
        <w:pStyle w:val="Textonotapie"/>
        <w:rPr>
          <w:sz w:val="20"/>
        </w:rPr>
      </w:pPr>
      <w:r>
        <w:tab/>
      </w:r>
      <w:r w:rsidRPr="00091EFE">
        <w:rPr>
          <w:rStyle w:val="Refdenotaalpie"/>
          <w:sz w:val="20"/>
          <w:vertAlign w:val="baseline"/>
        </w:rPr>
        <w:t>**</w:t>
      </w:r>
      <w:r w:rsidRPr="00091EFE">
        <w:rPr>
          <w:rStyle w:val="Refdenotaalpie"/>
          <w:vertAlign w:val="baseline"/>
        </w:rPr>
        <w:tab/>
      </w:r>
      <w:r w:rsidRPr="002566C4">
        <w:rPr>
          <w:szCs w:val="18"/>
        </w:rPr>
        <w:t>Participaron en el examen de la comunicación los siguientes miembros del Comité</w:t>
      </w:r>
      <w:r w:rsidRPr="002566C4">
        <w:rPr>
          <w:szCs w:val="18"/>
          <w:lang w:val="es-419" w:eastAsia="en-GB"/>
        </w:rPr>
        <w:t>:</w:t>
      </w:r>
      <w:r w:rsidRPr="002566C4">
        <w:rPr>
          <w:color w:val="000000"/>
          <w:szCs w:val="18"/>
          <w:lang w:val="es-419" w:eastAsia="en-GB"/>
        </w:rPr>
        <w:t xml:space="preserve"> Todd Buchwald, </w:t>
      </w:r>
      <w:r w:rsidRPr="002566C4">
        <w:rPr>
          <w:snapToGrid w:val="0"/>
          <w:szCs w:val="18"/>
          <w:lang w:val="es-419" w:eastAsia="en-GB"/>
        </w:rPr>
        <w:t>Claude Heller,</w:t>
      </w:r>
      <w:r w:rsidRPr="002566C4">
        <w:rPr>
          <w:szCs w:val="18"/>
          <w:lang w:val="es-419" w:eastAsia="en-GB"/>
        </w:rPr>
        <w:t xml:space="preserve"> </w:t>
      </w:r>
      <w:r w:rsidRPr="00091EFE">
        <w:rPr>
          <w:szCs w:val="18"/>
          <w:lang w:val="es-419" w:eastAsia="en-GB"/>
        </w:rPr>
        <w:t>Erdogan Iscan</w:t>
      </w:r>
      <w:r w:rsidRPr="00F90271">
        <w:rPr>
          <w:szCs w:val="18"/>
          <w:lang w:val="es-419" w:eastAsia="en-GB"/>
        </w:rPr>
        <w:t>, Liu</w:t>
      </w:r>
      <w:r w:rsidRPr="002566C4">
        <w:rPr>
          <w:szCs w:val="18"/>
          <w:lang w:val="es-419" w:eastAsia="en-GB"/>
        </w:rPr>
        <w:t xml:space="preserve"> Huawen, Maeda Naoko, </w:t>
      </w:r>
      <w:r w:rsidRPr="002566C4">
        <w:rPr>
          <w:snapToGrid w:val="0"/>
          <w:szCs w:val="18"/>
          <w:lang w:val="es-419" w:eastAsia="en-GB"/>
        </w:rPr>
        <w:t xml:space="preserve">Ilvija P‎ūce, Ana Racu, Abderrazak Rouwane, Sébastien Touzé </w:t>
      </w:r>
      <w:r>
        <w:rPr>
          <w:snapToGrid w:val="0"/>
          <w:szCs w:val="18"/>
          <w:lang w:val="es-419" w:eastAsia="en-GB"/>
        </w:rPr>
        <w:t>y</w:t>
      </w:r>
      <w:r w:rsidRPr="002566C4">
        <w:rPr>
          <w:snapToGrid w:val="0"/>
          <w:szCs w:val="18"/>
          <w:lang w:val="es-419" w:eastAsia="en-GB"/>
        </w:rPr>
        <w:t xml:space="preserve"> Bakhtiyar Tuzmukhamedov.</w:t>
      </w:r>
    </w:p>
  </w:footnote>
  <w:footnote w:id="3">
    <w:p w14:paraId="4D1D30DF" w14:textId="360D3DCF" w:rsidR="00AF4E1E" w:rsidRPr="00B27FC2" w:rsidRDefault="00B87F84" w:rsidP="00F8278C">
      <w:pPr>
        <w:pStyle w:val="Textonotapie"/>
        <w:rPr>
          <w:szCs w:val="18"/>
        </w:rPr>
      </w:pPr>
      <w:r>
        <w:rPr>
          <w:szCs w:val="18"/>
        </w:rPr>
        <w:tab/>
      </w:r>
      <w:r w:rsidR="00AF4E1E" w:rsidRPr="002D405D">
        <w:rPr>
          <w:rStyle w:val="Refdenotaalpie"/>
          <w:szCs w:val="18"/>
        </w:rPr>
        <w:footnoteRef/>
      </w:r>
      <w:r w:rsidR="00AF4E1E" w:rsidRPr="002D405D">
        <w:rPr>
          <w:szCs w:val="18"/>
        </w:rPr>
        <w:t xml:space="preserve"> </w:t>
      </w:r>
      <w:r>
        <w:rPr>
          <w:szCs w:val="18"/>
        </w:rPr>
        <w:tab/>
      </w:r>
      <w:r w:rsidR="00AF4E1E" w:rsidRPr="009A03AC">
        <w:rPr>
          <w:szCs w:val="18"/>
        </w:rPr>
        <w:t xml:space="preserve">En la sentencia </w:t>
      </w:r>
      <w:r w:rsidR="009A03AC" w:rsidRPr="00091EFE">
        <w:rPr>
          <w:szCs w:val="18"/>
        </w:rPr>
        <w:t>núm</w:t>
      </w:r>
      <w:r w:rsidR="00AF4E1E" w:rsidRPr="009A03AC">
        <w:rPr>
          <w:szCs w:val="18"/>
        </w:rPr>
        <w:t xml:space="preserve">. 34-2008 se hace referencia al </w:t>
      </w:r>
      <w:r w:rsidR="009A03AC" w:rsidRPr="00091EFE">
        <w:rPr>
          <w:szCs w:val="18"/>
        </w:rPr>
        <w:t>a</w:t>
      </w:r>
      <w:r w:rsidR="00AF4E1E" w:rsidRPr="009A03AC">
        <w:rPr>
          <w:szCs w:val="18"/>
        </w:rPr>
        <w:t xml:space="preserve">cta de </w:t>
      </w:r>
      <w:r w:rsidR="009A03AC" w:rsidRPr="00091EFE">
        <w:rPr>
          <w:szCs w:val="18"/>
        </w:rPr>
        <w:t>d</w:t>
      </w:r>
      <w:r w:rsidR="00AF4E1E" w:rsidRPr="009A03AC">
        <w:rPr>
          <w:szCs w:val="18"/>
        </w:rPr>
        <w:t xml:space="preserve">iligencia de </w:t>
      </w:r>
      <w:r w:rsidR="009A03AC" w:rsidRPr="00091EFE">
        <w:rPr>
          <w:szCs w:val="18"/>
        </w:rPr>
        <w:t>i</w:t>
      </w:r>
      <w:r w:rsidR="00AF4E1E" w:rsidRPr="009A03AC">
        <w:rPr>
          <w:szCs w:val="18"/>
        </w:rPr>
        <w:t xml:space="preserve">nspección </w:t>
      </w:r>
      <w:r w:rsidR="009A03AC" w:rsidRPr="00091EFE">
        <w:rPr>
          <w:szCs w:val="18"/>
        </w:rPr>
        <w:t>j</w:t>
      </w:r>
      <w:r w:rsidR="00AF4E1E" w:rsidRPr="009A03AC">
        <w:rPr>
          <w:szCs w:val="18"/>
        </w:rPr>
        <w:t xml:space="preserve">udicial </w:t>
      </w:r>
      <w:r w:rsidR="00AF4E1E" w:rsidRPr="00B27FC2">
        <w:rPr>
          <w:szCs w:val="18"/>
        </w:rPr>
        <w:t>en la que el autor precisa los lugares en los que habría sido objeto de tortura</w:t>
      </w:r>
      <w:r w:rsidR="007A6370" w:rsidRPr="00B27FC2">
        <w:rPr>
          <w:szCs w:val="18"/>
        </w:rPr>
        <w:t>.</w:t>
      </w:r>
    </w:p>
  </w:footnote>
  <w:footnote w:id="4">
    <w:p w14:paraId="1F04B329" w14:textId="366A39ED" w:rsidR="00AF4E1E" w:rsidRPr="00983FCD" w:rsidRDefault="00B87F84" w:rsidP="00F8278C">
      <w:pPr>
        <w:pStyle w:val="Textonotapie"/>
        <w:rPr>
          <w:szCs w:val="18"/>
          <w:lang w:val="es-419"/>
        </w:rPr>
      </w:pPr>
      <w:r w:rsidRPr="00983FCD">
        <w:rPr>
          <w:szCs w:val="18"/>
        </w:rPr>
        <w:tab/>
      </w:r>
      <w:r w:rsidR="00AF4E1E" w:rsidRPr="00983FCD">
        <w:rPr>
          <w:rStyle w:val="Refdenotaalpie"/>
          <w:szCs w:val="18"/>
        </w:rPr>
        <w:footnoteRef/>
      </w:r>
      <w:r w:rsidR="00AF4E1E" w:rsidRPr="00983FCD">
        <w:rPr>
          <w:szCs w:val="18"/>
        </w:rPr>
        <w:t xml:space="preserve"> </w:t>
      </w:r>
      <w:r w:rsidRPr="00983FCD">
        <w:rPr>
          <w:szCs w:val="18"/>
        </w:rPr>
        <w:tab/>
      </w:r>
      <w:r w:rsidR="00AF4E1E" w:rsidRPr="00983FCD">
        <w:rPr>
          <w:szCs w:val="18"/>
        </w:rPr>
        <w:t xml:space="preserve">Con base en el </w:t>
      </w:r>
      <w:r w:rsidR="009A03AC" w:rsidRPr="00091EFE">
        <w:rPr>
          <w:szCs w:val="18"/>
        </w:rPr>
        <w:t>a</w:t>
      </w:r>
      <w:r w:rsidR="00AF4E1E" w:rsidRPr="00983FCD">
        <w:rPr>
          <w:szCs w:val="18"/>
        </w:rPr>
        <w:t xml:space="preserve">cta de </w:t>
      </w:r>
      <w:r w:rsidR="009A03AC" w:rsidRPr="00091EFE">
        <w:rPr>
          <w:szCs w:val="18"/>
        </w:rPr>
        <w:t>c</w:t>
      </w:r>
      <w:r w:rsidR="00AF4E1E" w:rsidRPr="00983FCD">
        <w:rPr>
          <w:szCs w:val="18"/>
        </w:rPr>
        <w:t xml:space="preserve">onciliación, </w:t>
      </w:r>
      <w:r w:rsidR="00AF4E1E" w:rsidRPr="00983FCD">
        <w:rPr>
          <w:szCs w:val="18"/>
          <w:lang w:val="es-419"/>
        </w:rPr>
        <w:t xml:space="preserve">los adolescentes fueron castigados a </w:t>
      </w:r>
      <w:r w:rsidR="00F1017E">
        <w:rPr>
          <w:szCs w:val="18"/>
          <w:lang w:val="es-419"/>
        </w:rPr>
        <w:t>tres</w:t>
      </w:r>
      <w:r w:rsidR="00AF4E1E" w:rsidRPr="00983FCD">
        <w:rPr>
          <w:szCs w:val="18"/>
          <w:lang w:val="es-419"/>
        </w:rPr>
        <w:t xml:space="preserve"> latigazos cada uno y luego se retiraron a sus domicilios. </w:t>
      </w:r>
    </w:p>
  </w:footnote>
  <w:footnote w:id="5">
    <w:p w14:paraId="1D764A34" w14:textId="64DB3F5C" w:rsidR="00AF4E1E" w:rsidRPr="00983FCD" w:rsidRDefault="00EF7D83" w:rsidP="00F8278C">
      <w:pPr>
        <w:pStyle w:val="Textonotapie"/>
        <w:rPr>
          <w:szCs w:val="18"/>
        </w:rPr>
      </w:pPr>
      <w:r w:rsidRPr="00983FCD">
        <w:rPr>
          <w:szCs w:val="18"/>
        </w:rPr>
        <w:tab/>
      </w:r>
      <w:r w:rsidR="00AF4E1E" w:rsidRPr="00983FCD">
        <w:rPr>
          <w:rStyle w:val="Refdenotaalpie"/>
          <w:szCs w:val="18"/>
        </w:rPr>
        <w:footnoteRef/>
      </w:r>
      <w:r w:rsidR="00AF4E1E" w:rsidRPr="00983FCD">
        <w:rPr>
          <w:szCs w:val="18"/>
        </w:rPr>
        <w:t xml:space="preserve"> </w:t>
      </w:r>
      <w:r w:rsidRPr="00983FCD">
        <w:rPr>
          <w:szCs w:val="18"/>
        </w:rPr>
        <w:tab/>
      </w:r>
      <w:r w:rsidR="00AF4E1E" w:rsidRPr="00983FCD">
        <w:rPr>
          <w:szCs w:val="18"/>
        </w:rPr>
        <w:t xml:space="preserve">Certificado </w:t>
      </w:r>
      <w:r w:rsidR="009A03AC" w:rsidRPr="00091EFE">
        <w:rPr>
          <w:szCs w:val="18"/>
        </w:rPr>
        <w:t>m</w:t>
      </w:r>
      <w:r w:rsidR="00AF4E1E" w:rsidRPr="00983FCD">
        <w:rPr>
          <w:szCs w:val="18"/>
        </w:rPr>
        <w:t xml:space="preserve">édico </w:t>
      </w:r>
      <w:r w:rsidR="009A03AC" w:rsidRPr="00091EFE">
        <w:rPr>
          <w:szCs w:val="18"/>
        </w:rPr>
        <w:t>l</w:t>
      </w:r>
      <w:r w:rsidR="00AF4E1E" w:rsidRPr="00983FCD">
        <w:rPr>
          <w:szCs w:val="18"/>
        </w:rPr>
        <w:t xml:space="preserve">egal </w:t>
      </w:r>
      <w:r w:rsidR="009A03AC" w:rsidRPr="00091EFE">
        <w:rPr>
          <w:szCs w:val="18"/>
        </w:rPr>
        <w:t>núm</w:t>
      </w:r>
      <w:r w:rsidR="00AF4E1E" w:rsidRPr="00983FCD">
        <w:rPr>
          <w:szCs w:val="18"/>
        </w:rPr>
        <w:t xml:space="preserve">. 001852-L, de 14 de septiembre de 2007. </w:t>
      </w:r>
    </w:p>
  </w:footnote>
  <w:footnote w:id="6">
    <w:p w14:paraId="5E09678F" w14:textId="79FBE336" w:rsidR="00AF4E1E" w:rsidRPr="0088287C" w:rsidRDefault="00EF7D83" w:rsidP="00F8278C">
      <w:pPr>
        <w:pStyle w:val="Textonotapie"/>
        <w:rPr>
          <w:szCs w:val="18"/>
          <w:lang w:val="es-419"/>
        </w:rPr>
      </w:pPr>
      <w:r w:rsidRPr="00983FCD">
        <w:rPr>
          <w:szCs w:val="18"/>
        </w:rPr>
        <w:tab/>
      </w:r>
      <w:r w:rsidR="00AF4E1E" w:rsidRPr="00983FCD">
        <w:rPr>
          <w:rStyle w:val="Refdenotaalpie"/>
          <w:szCs w:val="18"/>
        </w:rPr>
        <w:footnoteRef/>
      </w:r>
      <w:r w:rsidR="00AF4E1E" w:rsidRPr="00983FCD">
        <w:rPr>
          <w:szCs w:val="18"/>
        </w:rPr>
        <w:t xml:space="preserve"> </w:t>
      </w:r>
      <w:r w:rsidRPr="00983FCD">
        <w:rPr>
          <w:szCs w:val="18"/>
        </w:rPr>
        <w:tab/>
      </w:r>
      <w:r w:rsidR="00AF4E1E" w:rsidRPr="00983FCD">
        <w:rPr>
          <w:szCs w:val="18"/>
        </w:rPr>
        <w:t xml:space="preserve">Equimosis verdosa, </w:t>
      </w:r>
      <w:r w:rsidR="00AF4E1E" w:rsidRPr="007D4101">
        <w:rPr>
          <w:szCs w:val="18"/>
        </w:rPr>
        <w:t xml:space="preserve">tumefacción infraorbitaria y malar derecha, equimosis violácea en la cara anteroexterna del brazo derecho, tumefacción en el cuero cabelludo </w:t>
      </w:r>
      <w:r w:rsidR="009A03AC" w:rsidRPr="007D4101">
        <w:rPr>
          <w:szCs w:val="18"/>
        </w:rPr>
        <w:t xml:space="preserve">en la </w:t>
      </w:r>
      <w:r w:rsidR="00AF4E1E" w:rsidRPr="007D4101">
        <w:rPr>
          <w:szCs w:val="18"/>
        </w:rPr>
        <w:t>región frontal y occipital, tumefacción en resolución en el tercio</w:t>
      </w:r>
      <w:r w:rsidR="00AF4E1E" w:rsidRPr="009E183A">
        <w:rPr>
          <w:szCs w:val="18"/>
        </w:rPr>
        <w:t xml:space="preserve"> inferior</w:t>
      </w:r>
      <w:r w:rsidR="00AF4E1E" w:rsidRPr="009A03AC">
        <w:rPr>
          <w:szCs w:val="18"/>
        </w:rPr>
        <w:t xml:space="preserve"> esternal y epigastrio,</w:t>
      </w:r>
      <w:r w:rsidR="0088287C">
        <w:rPr>
          <w:szCs w:val="18"/>
        </w:rPr>
        <w:t xml:space="preserve"> y</w:t>
      </w:r>
      <w:r w:rsidR="00AF4E1E" w:rsidRPr="009A03AC">
        <w:rPr>
          <w:szCs w:val="18"/>
        </w:rPr>
        <w:t xml:space="preserve"> equimosis violácea y </w:t>
      </w:r>
      <w:r w:rsidR="00AF4E1E" w:rsidRPr="0088287C">
        <w:rPr>
          <w:szCs w:val="18"/>
        </w:rPr>
        <w:t>tumefacción en la región escapular bilateral.</w:t>
      </w:r>
    </w:p>
  </w:footnote>
  <w:footnote w:id="7">
    <w:p w14:paraId="29D6BB68" w14:textId="09960A90" w:rsidR="00AF4E1E" w:rsidRPr="002D405D" w:rsidRDefault="00EF7D83" w:rsidP="00F8278C">
      <w:pPr>
        <w:pStyle w:val="Textonotapie"/>
        <w:rPr>
          <w:szCs w:val="18"/>
          <w:lang w:val="es-419"/>
        </w:rPr>
      </w:pPr>
      <w:r w:rsidRPr="0088287C">
        <w:rPr>
          <w:szCs w:val="18"/>
        </w:rPr>
        <w:tab/>
      </w:r>
      <w:r w:rsidR="00AF4E1E" w:rsidRPr="0088287C">
        <w:rPr>
          <w:rStyle w:val="Refdenotaalpie"/>
          <w:szCs w:val="18"/>
        </w:rPr>
        <w:footnoteRef/>
      </w:r>
      <w:r w:rsidR="00AF4E1E" w:rsidRPr="0088287C">
        <w:rPr>
          <w:szCs w:val="18"/>
        </w:rPr>
        <w:t xml:space="preserve"> </w:t>
      </w:r>
      <w:r w:rsidRPr="0088287C">
        <w:rPr>
          <w:szCs w:val="18"/>
        </w:rPr>
        <w:tab/>
      </w:r>
      <w:r w:rsidRPr="0088287C">
        <w:rPr>
          <w:szCs w:val="18"/>
        </w:rPr>
        <w:tab/>
      </w:r>
      <w:r w:rsidR="0088287C" w:rsidRPr="00091EFE">
        <w:rPr>
          <w:szCs w:val="18"/>
        </w:rPr>
        <w:t xml:space="preserve">Fue una </w:t>
      </w:r>
      <w:r w:rsidR="00A3177A">
        <w:rPr>
          <w:szCs w:val="18"/>
        </w:rPr>
        <w:t>servidora</w:t>
      </w:r>
      <w:r w:rsidR="0088287C" w:rsidRPr="00091EFE">
        <w:rPr>
          <w:szCs w:val="18"/>
        </w:rPr>
        <w:t xml:space="preserve"> del Hospital </w:t>
      </w:r>
      <w:r w:rsidR="0088287C" w:rsidRPr="0088287C">
        <w:t xml:space="preserve">Daniel Alcides Carrión la que realizó </w:t>
      </w:r>
      <w:r w:rsidR="0088287C" w:rsidRPr="00091EFE">
        <w:rPr>
          <w:szCs w:val="18"/>
          <w:lang w:val="es-419"/>
        </w:rPr>
        <w:t>l</w:t>
      </w:r>
      <w:r w:rsidR="00AF4E1E" w:rsidRPr="0088287C">
        <w:rPr>
          <w:szCs w:val="18"/>
          <w:lang w:val="es-419"/>
        </w:rPr>
        <w:t>a evaluación psicológica ya que el Ministerio Público no contaba con dicha especialidad.</w:t>
      </w:r>
      <w:r w:rsidR="00AF4E1E" w:rsidRPr="002D405D">
        <w:rPr>
          <w:szCs w:val="18"/>
          <w:lang w:val="es-419"/>
        </w:rPr>
        <w:t xml:space="preserve"> </w:t>
      </w:r>
    </w:p>
  </w:footnote>
  <w:footnote w:id="8">
    <w:p w14:paraId="32D290DD" w14:textId="4D98503B" w:rsidR="00AF4E1E" w:rsidRPr="002D405D" w:rsidRDefault="00EF7D83" w:rsidP="00F8278C">
      <w:pPr>
        <w:pStyle w:val="Textonotapie"/>
        <w:spacing w:line="240" w:lineRule="auto"/>
        <w:rPr>
          <w:szCs w:val="18"/>
        </w:rPr>
      </w:pPr>
      <w:r>
        <w:rPr>
          <w:szCs w:val="18"/>
        </w:rPr>
        <w:tab/>
      </w:r>
      <w:r w:rsidR="00AF4E1E" w:rsidRPr="002D405D">
        <w:rPr>
          <w:rStyle w:val="Refdenotaalpie"/>
          <w:szCs w:val="18"/>
        </w:rPr>
        <w:footnoteRef/>
      </w:r>
      <w:r w:rsidR="00AF4E1E" w:rsidRPr="002D405D">
        <w:rPr>
          <w:szCs w:val="18"/>
        </w:rPr>
        <w:t xml:space="preserve"> </w:t>
      </w:r>
      <w:r>
        <w:rPr>
          <w:szCs w:val="18"/>
        </w:rPr>
        <w:tab/>
      </w:r>
      <w:r w:rsidR="00AF4E1E" w:rsidRPr="002D405D">
        <w:rPr>
          <w:szCs w:val="18"/>
        </w:rPr>
        <w:t xml:space="preserve">Resolución </w:t>
      </w:r>
      <w:r w:rsidR="00CB7A15">
        <w:rPr>
          <w:szCs w:val="18"/>
        </w:rPr>
        <w:t>núm.</w:t>
      </w:r>
      <w:r w:rsidR="00AF4E1E" w:rsidRPr="002D405D">
        <w:rPr>
          <w:szCs w:val="18"/>
        </w:rPr>
        <w:t xml:space="preserve"> 380-2007, de 7 de noviembre de 2007, emitida por la Fiscalía Provincial Mixta de Daniel </w:t>
      </w:r>
      <w:r w:rsidR="004C0845" w:rsidRPr="00AF4E1E">
        <w:t>A</w:t>
      </w:r>
      <w:r w:rsidR="004C0845">
        <w:t>lcides</w:t>
      </w:r>
      <w:r w:rsidR="004C0845" w:rsidRPr="00AF4E1E">
        <w:t xml:space="preserve"> </w:t>
      </w:r>
      <w:r w:rsidR="00AF4E1E" w:rsidRPr="002D405D">
        <w:rPr>
          <w:szCs w:val="18"/>
        </w:rPr>
        <w:t>Carrión.</w:t>
      </w:r>
      <w:r w:rsidR="00466A08">
        <w:rPr>
          <w:szCs w:val="18"/>
        </w:rPr>
        <w:t xml:space="preserve"> </w:t>
      </w:r>
    </w:p>
  </w:footnote>
  <w:footnote w:id="9">
    <w:p w14:paraId="19A7E041" w14:textId="0631E4E1" w:rsidR="00AF4E1E" w:rsidRPr="002D405D" w:rsidRDefault="00EF7D83" w:rsidP="00F8278C">
      <w:pPr>
        <w:pStyle w:val="Textonotapie"/>
        <w:spacing w:line="240" w:lineRule="auto"/>
        <w:rPr>
          <w:szCs w:val="18"/>
          <w:lang w:val="es-419"/>
        </w:rPr>
      </w:pPr>
      <w:r>
        <w:rPr>
          <w:szCs w:val="18"/>
        </w:rPr>
        <w:tab/>
      </w:r>
      <w:r w:rsidR="00AF4E1E" w:rsidRPr="002D405D">
        <w:rPr>
          <w:rStyle w:val="Refdenotaalpie"/>
          <w:szCs w:val="18"/>
        </w:rPr>
        <w:footnoteRef/>
      </w:r>
      <w:r w:rsidR="00AF4E1E" w:rsidRPr="002D405D">
        <w:rPr>
          <w:szCs w:val="18"/>
        </w:rPr>
        <w:t xml:space="preserve"> </w:t>
      </w:r>
      <w:r>
        <w:rPr>
          <w:szCs w:val="18"/>
        </w:rPr>
        <w:tab/>
      </w:r>
      <w:r w:rsidR="00AF4E1E" w:rsidRPr="002D405D">
        <w:rPr>
          <w:szCs w:val="18"/>
        </w:rPr>
        <w:t xml:space="preserve">Denuncia </w:t>
      </w:r>
      <w:r w:rsidR="00DE7915">
        <w:rPr>
          <w:szCs w:val="18"/>
        </w:rPr>
        <w:t>p</w:t>
      </w:r>
      <w:r w:rsidR="00AF4E1E" w:rsidRPr="002D405D">
        <w:rPr>
          <w:szCs w:val="18"/>
        </w:rPr>
        <w:t xml:space="preserve">enal </w:t>
      </w:r>
      <w:r w:rsidR="00DE7915">
        <w:rPr>
          <w:szCs w:val="18"/>
        </w:rPr>
        <w:t>núm. </w:t>
      </w:r>
      <w:r w:rsidR="00AF4E1E" w:rsidRPr="002D405D">
        <w:rPr>
          <w:szCs w:val="18"/>
        </w:rPr>
        <w:t xml:space="preserve"> 84-2007</w:t>
      </w:r>
      <w:r w:rsidR="00AF4E1E" w:rsidRPr="002D405D">
        <w:rPr>
          <w:spacing w:val="-2"/>
          <w:szCs w:val="18"/>
        </w:rPr>
        <w:t>.</w:t>
      </w:r>
    </w:p>
  </w:footnote>
  <w:footnote w:id="10">
    <w:p w14:paraId="5852EFBC" w14:textId="1F8EAC2D" w:rsidR="00AF4E1E" w:rsidRPr="002D405D" w:rsidRDefault="00EF7D83" w:rsidP="00F8278C">
      <w:pPr>
        <w:pStyle w:val="Textonotapie"/>
        <w:spacing w:line="240" w:lineRule="auto"/>
        <w:rPr>
          <w:szCs w:val="18"/>
          <w:lang w:val="es-419"/>
        </w:rPr>
      </w:pPr>
      <w:r>
        <w:rPr>
          <w:szCs w:val="18"/>
        </w:rPr>
        <w:tab/>
      </w:r>
      <w:r w:rsidR="00AF4E1E" w:rsidRPr="002D405D">
        <w:rPr>
          <w:rStyle w:val="Refdenotaalpie"/>
          <w:szCs w:val="18"/>
        </w:rPr>
        <w:footnoteRef/>
      </w:r>
      <w:r w:rsidR="00AF4E1E" w:rsidRPr="002D405D">
        <w:rPr>
          <w:szCs w:val="18"/>
        </w:rPr>
        <w:t xml:space="preserve"> </w:t>
      </w:r>
      <w:r>
        <w:rPr>
          <w:szCs w:val="18"/>
        </w:rPr>
        <w:tab/>
      </w:r>
      <w:r w:rsidR="00AF4E1E" w:rsidRPr="002D405D">
        <w:rPr>
          <w:szCs w:val="18"/>
        </w:rPr>
        <w:t>Expediente Penal</w:t>
      </w:r>
      <w:r w:rsidR="00485A8A">
        <w:rPr>
          <w:szCs w:val="18"/>
        </w:rPr>
        <w:t xml:space="preserve"> núm. </w:t>
      </w:r>
      <w:r w:rsidR="00AF4E1E" w:rsidRPr="002D405D">
        <w:rPr>
          <w:szCs w:val="18"/>
        </w:rPr>
        <w:t xml:space="preserve"> 89-2007.</w:t>
      </w:r>
      <w:r w:rsidR="00466A08">
        <w:rPr>
          <w:szCs w:val="18"/>
        </w:rPr>
        <w:t xml:space="preserve"> </w:t>
      </w:r>
    </w:p>
  </w:footnote>
  <w:footnote w:id="11">
    <w:p w14:paraId="74E0E036" w14:textId="51AA3447" w:rsidR="00AF4E1E" w:rsidRPr="002D405D" w:rsidRDefault="00EF7D83" w:rsidP="00F8278C">
      <w:pPr>
        <w:pStyle w:val="Textonotapie"/>
        <w:spacing w:line="240" w:lineRule="auto"/>
        <w:rPr>
          <w:szCs w:val="18"/>
          <w:lang w:val="es-419"/>
        </w:rPr>
      </w:pPr>
      <w:r>
        <w:rPr>
          <w:szCs w:val="18"/>
        </w:rPr>
        <w:tab/>
      </w:r>
      <w:r w:rsidR="00AF4E1E" w:rsidRPr="002D405D">
        <w:rPr>
          <w:rStyle w:val="Refdenotaalpie"/>
          <w:szCs w:val="18"/>
        </w:rPr>
        <w:footnoteRef/>
      </w:r>
      <w:r w:rsidR="00AF4E1E" w:rsidRPr="002D405D">
        <w:rPr>
          <w:szCs w:val="18"/>
        </w:rPr>
        <w:t xml:space="preserve"> </w:t>
      </w:r>
      <w:r>
        <w:rPr>
          <w:szCs w:val="18"/>
        </w:rPr>
        <w:tab/>
      </w:r>
      <w:r w:rsidR="00AF4E1E" w:rsidRPr="002D405D">
        <w:rPr>
          <w:szCs w:val="18"/>
        </w:rPr>
        <w:t xml:space="preserve">Sentencia </w:t>
      </w:r>
      <w:r w:rsidR="00D21F46">
        <w:rPr>
          <w:szCs w:val="18"/>
        </w:rPr>
        <w:t>núm.</w:t>
      </w:r>
      <w:r w:rsidR="009A46A3">
        <w:rPr>
          <w:szCs w:val="18"/>
        </w:rPr>
        <w:t> </w:t>
      </w:r>
      <w:r w:rsidR="00AF4E1E" w:rsidRPr="002D405D">
        <w:rPr>
          <w:szCs w:val="18"/>
        </w:rPr>
        <w:t>34-2008</w:t>
      </w:r>
      <w:r w:rsidR="009A46A3">
        <w:rPr>
          <w:szCs w:val="18"/>
        </w:rPr>
        <w:t>.</w:t>
      </w:r>
    </w:p>
  </w:footnote>
  <w:footnote w:id="12">
    <w:p w14:paraId="7B696501" w14:textId="2305C8C8" w:rsidR="00AF4E1E" w:rsidRPr="0082760D" w:rsidRDefault="00EF7D83" w:rsidP="00F8278C">
      <w:pPr>
        <w:pStyle w:val="Textonotapie"/>
        <w:spacing w:line="240" w:lineRule="auto"/>
        <w:rPr>
          <w:szCs w:val="18"/>
        </w:rPr>
      </w:pPr>
      <w:r>
        <w:rPr>
          <w:szCs w:val="18"/>
        </w:rPr>
        <w:tab/>
      </w:r>
      <w:r w:rsidR="00AF4E1E" w:rsidRPr="002D405D">
        <w:rPr>
          <w:rStyle w:val="Refdenotaalpie"/>
          <w:szCs w:val="18"/>
        </w:rPr>
        <w:footnoteRef/>
      </w:r>
      <w:r w:rsidR="00AF4E1E" w:rsidRPr="002D405D">
        <w:rPr>
          <w:szCs w:val="18"/>
        </w:rPr>
        <w:t xml:space="preserve"> </w:t>
      </w:r>
      <w:r>
        <w:rPr>
          <w:szCs w:val="18"/>
        </w:rPr>
        <w:tab/>
      </w:r>
      <w:r w:rsidR="00AF4E1E" w:rsidRPr="002D405D">
        <w:rPr>
          <w:szCs w:val="18"/>
          <w:lang w:val="es-419"/>
        </w:rPr>
        <w:t xml:space="preserve">La pena impuesta </w:t>
      </w:r>
      <w:r w:rsidR="000163A6">
        <w:rPr>
          <w:szCs w:val="18"/>
          <w:lang w:val="es-419"/>
        </w:rPr>
        <w:t>contaba con</w:t>
      </w:r>
      <w:r w:rsidR="000163A6" w:rsidRPr="002D405D">
        <w:rPr>
          <w:szCs w:val="18"/>
          <w:lang w:val="es-419"/>
        </w:rPr>
        <w:t xml:space="preserve"> </w:t>
      </w:r>
      <w:r w:rsidR="00AF4E1E" w:rsidRPr="002D405D">
        <w:rPr>
          <w:szCs w:val="18"/>
          <w:lang w:val="es-419"/>
        </w:rPr>
        <w:t xml:space="preserve">un año menos que </w:t>
      </w:r>
      <w:r w:rsidR="000365E1">
        <w:rPr>
          <w:szCs w:val="18"/>
          <w:lang w:val="es-419"/>
        </w:rPr>
        <w:t>la pena</w:t>
      </w:r>
      <w:r w:rsidR="000365E1" w:rsidRPr="002D405D">
        <w:rPr>
          <w:szCs w:val="18"/>
          <w:lang w:val="es-419"/>
        </w:rPr>
        <w:t xml:space="preserve"> </w:t>
      </w:r>
      <w:r w:rsidR="00AF4E1E" w:rsidRPr="002D405D">
        <w:rPr>
          <w:szCs w:val="18"/>
          <w:lang w:val="es-419"/>
        </w:rPr>
        <w:t>mínim</w:t>
      </w:r>
      <w:r w:rsidR="000365E1">
        <w:rPr>
          <w:szCs w:val="18"/>
          <w:lang w:val="es-419"/>
        </w:rPr>
        <w:t>a</w:t>
      </w:r>
      <w:r w:rsidR="00AF4E1E" w:rsidRPr="002D405D">
        <w:rPr>
          <w:szCs w:val="18"/>
          <w:lang w:val="es-419"/>
        </w:rPr>
        <w:t xml:space="preserve"> establecid</w:t>
      </w:r>
      <w:r w:rsidR="000365E1">
        <w:rPr>
          <w:szCs w:val="18"/>
          <w:lang w:val="es-419"/>
        </w:rPr>
        <w:t>a</w:t>
      </w:r>
      <w:r w:rsidR="00AF4E1E" w:rsidRPr="002D405D">
        <w:rPr>
          <w:szCs w:val="18"/>
          <w:lang w:val="es-419"/>
        </w:rPr>
        <w:t xml:space="preserve"> por la legislación penal</w:t>
      </w:r>
      <w:r w:rsidR="000365E1">
        <w:rPr>
          <w:szCs w:val="18"/>
          <w:lang w:val="es-419"/>
        </w:rPr>
        <w:t xml:space="preserve"> (</w:t>
      </w:r>
      <w:r w:rsidR="00AF4E1E" w:rsidRPr="002D405D">
        <w:rPr>
          <w:szCs w:val="18"/>
        </w:rPr>
        <w:t>Código Penal</w:t>
      </w:r>
      <w:r w:rsidR="006A066A">
        <w:rPr>
          <w:szCs w:val="18"/>
        </w:rPr>
        <w:t>, a</w:t>
      </w:r>
      <w:r w:rsidR="006A066A" w:rsidRPr="002D405D">
        <w:rPr>
          <w:szCs w:val="18"/>
        </w:rPr>
        <w:t>rt</w:t>
      </w:r>
      <w:r w:rsidR="006A066A">
        <w:rPr>
          <w:szCs w:val="18"/>
        </w:rPr>
        <w:t>.</w:t>
      </w:r>
      <w:r w:rsidR="006A066A" w:rsidRPr="002D405D">
        <w:rPr>
          <w:szCs w:val="18"/>
        </w:rPr>
        <w:t xml:space="preserve"> 321</w:t>
      </w:r>
      <w:r w:rsidR="006A066A">
        <w:rPr>
          <w:szCs w:val="18"/>
        </w:rPr>
        <w:t>)</w:t>
      </w:r>
      <w:r w:rsidR="00AF4E1E" w:rsidRPr="002D405D">
        <w:rPr>
          <w:szCs w:val="18"/>
        </w:rPr>
        <w:t>. El funcionario o servidor público o cualquier persona, con el consentimiento o aquiescencia de aqu</w:t>
      </w:r>
      <w:r w:rsidR="00FE645B">
        <w:rPr>
          <w:szCs w:val="18"/>
        </w:rPr>
        <w:t>e</w:t>
      </w:r>
      <w:r w:rsidR="00AF4E1E" w:rsidRPr="002D405D">
        <w:rPr>
          <w:szCs w:val="18"/>
        </w:rPr>
        <w:t xml:space="preserve">l, que inflija a otro dolores o sufrimientos graves, sean físicos o mentales, o lo someta a condiciones o métodos que anulen su personalidad o </w:t>
      </w:r>
      <w:r w:rsidR="00AF4E1E" w:rsidRPr="0082760D">
        <w:rPr>
          <w:szCs w:val="18"/>
        </w:rPr>
        <w:t xml:space="preserve">disminuyan su capacidad física o mental, aunque no causen dolor físico o aflicción psíquica, con el fin de obtener de la víctima o de un tercero una confesión o información, o de castigarla por cualquier hecho que haya cometido o se sospeche que ha cometido, o de intimidarla o de coaccionarla, será reprimido con pena privativa de libertad no menor de cinco ni mayor de diez años. </w:t>
      </w:r>
    </w:p>
  </w:footnote>
  <w:footnote w:id="13">
    <w:p w14:paraId="1BE95BC8" w14:textId="4BB3E95E" w:rsidR="00AF4E1E" w:rsidRPr="002D405D" w:rsidRDefault="008955BE" w:rsidP="00F8278C">
      <w:pPr>
        <w:pStyle w:val="Textonotapie"/>
        <w:spacing w:line="240" w:lineRule="auto"/>
        <w:rPr>
          <w:szCs w:val="18"/>
          <w:lang w:val="es-419"/>
        </w:rPr>
      </w:pPr>
      <w:r>
        <w:rPr>
          <w:szCs w:val="18"/>
        </w:rPr>
        <w:tab/>
      </w:r>
      <w:r w:rsidR="00AF4E1E" w:rsidRPr="002D405D">
        <w:rPr>
          <w:rStyle w:val="Refdenotaalpie"/>
          <w:szCs w:val="18"/>
        </w:rPr>
        <w:footnoteRef/>
      </w:r>
      <w:r w:rsidR="00AF4E1E" w:rsidRPr="002D405D">
        <w:rPr>
          <w:szCs w:val="18"/>
        </w:rPr>
        <w:t xml:space="preserve"> </w:t>
      </w:r>
      <w:r>
        <w:rPr>
          <w:szCs w:val="18"/>
        </w:rPr>
        <w:tab/>
      </w:r>
      <w:r w:rsidR="00AF4E1E" w:rsidRPr="002D405D">
        <w:rPr>
          <w:szCs w:val="18"/>
        </w:rPr>
        <w:t xml:space="preserve">Dictamen </w:t>
      </w:r>
      <w:r w:rsidR="00AC40F1">
        <w:rPr>
          <w:szCs w:val="18"/>
        </w:rPr>
        <w:t>núm</w:t>
      </w:r>
      <w:r w:rsidR="00AF4E1E" w:rsidRPr="002D405D">
        <w:rPr>
          <w:szCs w:val="18"/>
        </w:rPr>
        <w:t>. 71-2012</w:t>
      </w:r>
      <w:r w:rsidR="009A46A3">
        <w:rPr>
          <w:szCs w:val="18"/>
        </w:rPr>
        <w:t>.</w:t>
      </w:r>
      <w:r w:rsidR="00466A08">
        <w:rPr>
          <w:szCs w:val="18"/>
        </w:rPr>
        <w:t xml:space="preserve"> </w:t>
      </w:r>
    </w:p>
  </w:footnote>
  <w:footnote w:id="14">
    <w:p w14:paraId="69EE9194" w14:textId="77777777" w:rsidR="00AF4E1E" w:rsidRPr="002D405D" w:rsidRDefault="008955BE" w:rsidP="00F8278C">
      <w:pPr>
        <w:pStyle w:val="Textonotapie"/>
        <w:rPr>
          <w:szCs w:val="18"/>
          <w:lang w:val="es-419"/>
        </w:rPr>
      </w:pPr>
      <w:r>
        <w:rPr>
          <w:szCs w:val="18"/>
        </w:rPr>
        <w:tab/>
      </w:r>
      <w:r w:rsidR="00AF4E1E" w:rsidRPr="002D405D">
        <w:rPr>
          <w:rStyle w:val="Refdenotaalpie"/>
          <w:szCs w:val="18"/>
        </w:rPr>
        <w:footnoteRef/>
      </w:r>
      <w:r w:rsidR="00AF4E1E" w:rsidRPr="002D405D">
        <w:rPr>
          <w:szCs w:val="18"/>
        </w:rPr>
        <w:t xml:space="preserve"> </w:t>
      </w:r>
      <w:r>
        <w:rPr>
          <w:szCs w:val="18"/>
        </w:rPr>
        <w:tab/>
      </w:r>
      <w:r w:rsidR="00AF4E1E" w:rsidRPr="002D405D">
        <w:rPr>
          <w:szCs w:val="18"/>
        </w:rPr>
        <w:t xml:space="preserve">Resolución de 16 de junio de 2015 emitida por </w:t>
      </w:r>
      <w:r w:rsidR="00AF4E1E" w:rsidRPr="0082760D">
        <w:rPr>
          <w:szCs w:val="18"/>
        </w:rPr>
        <w:t>la Sala Penal Transitoria de la Corte Suprema de Justicia.</w:t>
      </w:r>
    </w:p>
  </w:footnote>
  <w:footnote w:id="15">
    <w:p w14:paraId="278F011C" w14:textId="391E9701" w:rsidR="00AF4E1E" w:rsidRPr="002D405D" w:rsidRDefault="008955BE" w:rsidP="00F8278C">
      <w:pPr>
        <w:pStyle w:val="Textonotapie"/>
        <w:spacing w:line="240" w:lineRule="auto"/>
        <w:rPr>
          <w:szCs w:val="18"/>
        </w:rPr>
      </w:pPr>
      <w:r>
        <w:rPr>
          <w:szCs w:val="18"/>
        </w:rPr>
        <w:tab/>
      </w:r>
      <w:r w:rsidR="00AF4E1E" w:rsidRPr="002D405D">
        <w:rPr>
          <w:rStyle w:val="Refdenotaalpie"/>
          <w:szCs w:val="18"/>
        </w:rPr>
        <w:footnoteRef/>
      </w:r>
      <w:r w:rsidR="00AF4E1E" w:rsidRPr="002D405D">
        <w:rPr>
          <w:szCs w:val="18"/>
        </w:rPr>
        <w:t xml:space="preserve"> </w:t>
      </w:r>
      <w:r>
        <w:rPr>
          <w:szCs w:val="18"/>
        </w:rPr>
        <w:tab/>
      </w:r>
      <w:r w:rsidR="00AF4E1E" w:rsidRPr="0082760D">
        <w:rPr>
          <w:szCs w:val="18"/>
        </w:rPr>
        <w:t>Código Procesal Constitucional</w:t>
      </w:r>
      <w:r w:rsidR="005138BC" w:rsidRPr="00091EFE">
        <w:rPr>
          <w:szCs w:val="18"/>
        </w:rPr>
        <w:t>, art. 4</w:t>
      </w:r>
      <w:r w:rsidR="00AF4E1E" w:rsidRPr="0082760D">
        <w:rPr>
          <w:szCs w:val="18"/>
        </w:rPr>
        <w:t>.</w:t>
      </w:r>
    </w:p>
  </w:footnote>
  <w:footnote w:id="16">
    <w:p w14:paraId="342A5B00" w14:textId="5CBCA895" w:rsidR="00AF4E1E" w:rsidRPr="00B06298" w:rsidRDefault="008955BE" w:rsidP="00F8278C">
      <w:pPr>
        <w:pStyle w:val="Textonotapie"/>
        <w:spacing w:line="240" w:lineRule="auto"/>
        <w:rPr>
          <w:szCs w:val="18"/>
        </w:rPr>
      </w:pPr>
      <w:r>
        <w:rPr>
          <w:szCs w:val="18"/>
        </w:rPr>
        <w:tab/>
      </w:r>
      <w:r w:rsidR="00AF4E1E" w:rsidRPr="002D405D">
        <w:rPr>
          <w:rStyle w:val="Refdenotaalpie"/>
          <w:szCs w:val="18"/>
        </w:rPr>
        <w:footnoteRef/>
      </w:r>
      <w:r w:rsidR="00AF4E1E" w:rsidRPr="002D405D">
        <w:rPr>
          <w:szCs w:val="18"/>
        </w:rPr>
        <w:t xml:space="preserve"> </w:t>
      </w:r>
      <w:r>
        <w:rPr>
          <w:szCs w:val="18"/>
        </w:rPr>
        <w:tab/>
      </w:r>
      <w:r w:rsidR="00B06298" w:rsidRPr="00091EFE">
        <w:rPr>
          <w:szCs w:val="18"/>
          <w:lang w:val="es-419"/>
        </w:rPr>
        <w:t>Tribunal Constitucional, s</w:t>
      </w:r>
      <w:r w:rsidR="00AF4E1E" w:rsidRPr="00B06298">
        <w:rPr>
          <w:szCs w:val="18"/>
          <w:lang w:val="es-419"/>
        </w:rPr>
        <w:t xml:space="preserve">entencia de 14 de marzo de 2006, </w:t>
      </w:r>
      <w:r w:rsidR="00B06298" w:rsidRPr="00091EFE">
        <w:rPr>
          <w:szCs w:val="18"/>
          <w:lang w:val="es-419"/>
        </w:rPr>
        <w:t>e</w:t>
      </w:r>
      <w:r w:rsidR="00AF4E1E" w:rsidRPr="00B06298">
        <w:rPr>
          <w:szCs w:val="18"/>
          <w:lang w:val="es-419"/>
        </w:rPr>
        <w:t xml:space="preserve">xpediente </w:t>
      </w:r>
      <w:r w:rsidR="00B06298" w:rsidRPr="00091EFE">
        <w:rPr>
          <w:szCs w:val="18"/>
          <w:lang w:val="es-419"/>
        </w:rPr>
        <w:t>núm</w:t>
      </w:r>
      <w:r w:rsidR="00AF4E1E" w:rsidRPr="00B06298">
        <w:rPr>
          <w:szCs w:val="18"/>
          <w:lang w:val="es-419"/>
        </w:rPr>
        <w:t>. 1209-2006-PA/TC, acción de amparo impuesta por la empresa Compañía Cervecera Ambev Perú, S.A.C.</w:t>
      </w:r>
      <w:r w:rsidR="00466A08" w:rsidRPr="00B06298">
        <w:rPr>
          <w:szCs w:val="18"/>
          <w:lang w:val="es-419"/>
        </w:rPr>
        <w:t xml:space="preserve"> </w:t>
      </w:r>
    </w:p>
  </w:footnote>
  <w:footnote w:id="17">
    <w:p w14:paraId="57F1F055" w14:textId="57887DFF" w:rsidR="00AF4E1E" w:rsidRPr="002D405D" w:rsidRDefault="008955BE" w:rsidP="00F8278C">
      <w:pPr>
        <w:pStyle w:val="Textonotapie"/>
        <w:spacing w:line="240" w:lineRule="auto"/>
        <w:rPr>
          <w:szCs w:val="18"/>
        </w:rPr>
      </w:pPr>
      <w:r w:rsidRPr="00B06298">
        <w:rPr>
          <w:szCs w:val="18"/>
        </w:rPr>
        <w:tab/>
      </w:r>
      <w:r w:rsidR="00AF4E1E" w:rsidRPr="00B06298">
        <w:rPr>
          <w:rStyle w:val="Refdenotaalpie"/>
          <w:szCs w:val="18"/>
        </w:rPr>
        <w:footnoteRef/>
      </w:r>
      <w:r w:rsidR="00AF4E1E" w:rsidRPr="00B06298">
        <w:rPr>
          <w:szCs w:val="18"/>
        </w:rPr>
        <w:t xml:space="preserve"> </w:t>
      </w:r>
      <w:r w:rsidRPr="00B06298">
        <w:rPr>
          <w:szCs w:val="18"/>
        </w:rPr>
        <w:tab/>
      </w:r>
      <w:r w:rsidR="00B06298" w:rsidRPr="00091EFE">
        <w:rPr>
          <w:szCs w:val="18"/>
          <w:lang w:val="es-419"/>
        </w:rPr>
        <w:t>Sala Penal Nacional, s</w:t>
      </w:r>
      <w:r w:rsidR="00AF4E1E" w:rsidRPr="00B06298">
        <w:rPr>
          <w:szCs w:val="18"/>
          <w:lang w:val="es-419"/>
        </w:rPr>
        <w:t>entencia de 30 de septiembre de 201</w:t>
      </w:r>
      <w:r w:rsidR="005138BC" w:rsidRPr="00091EFE">
        <w:rPr>
          <w:szCs w:val="18"/>
          <w:lang w:val="es-419"/>
        </w:rPr>
        <w:t>3</w:t>
      </w:r>
      <w:r w:rsidR="00B06298" w:rsidRPr="00091EFE">
        <w:rPr>
          <w:szCs w:val="18"/>
          <w:lang w:val="es-419"/>
        </w:rPr>
        <w:t>;</w:t>
      </w:r>
      <w:r w:rsidR="00AF4E1E" w:rsidRPr="00B06298">
        <w:rPr>
          <w:szCs w:val="18"/>
          <w:lang w:val="es-419"/>
        </w:rPr>
        <w:t xml:space="preserve"> y </w:t>
      </w:r>
      <w:r w:rsidR="00B06298" w:rsidRPr="00091EFE">
        <w:rPr>
          <w:szCs w:val="18"/>
          <w:lang w:val="es-419"/>
        </w:rPr>
        <w:t xml:space="preserve">Corte Suprema de Justicia, Sala Penal Transitoria, </w:t>
      </w:r>
      <w:r w:rsidR="00AF4E1E" w:rsidRPr="00B06298">
        <w:rPr>
          <w:szCs w:val="18"/>
          <w:lang w:val="es-419"/>
        </w:rPr>
        <w:t>Ejecutoria Suprema de 16 de junio de 2015.</w:t>
      </w:r>
    </w:p>
  </w:footnote>
  <w:footnote w:id="18">
    <w:p w14:paraId="06B8E813" w14:textId="48553445" w:rsidR="00AF4E1E" w:rsidRPr="00091EFE" w:rsidRDefault="008014A7" w:rsidP="00F8278C">
      <w:pPr>
        <w:pStyle w:val="Textonotapie"/>
        <w:spacing w:line="240" w:lineRule="auto"/>
        <w:rPr>
          <w:szCs w:val="18"/>
        </w:rPr>
      </w:pPr>
      <w:r>
        <w:rPr>
          <w:szCs w:val="18"/>
        </w:rPr>
        <w:tab/>
      </w:r>
      <w:r w:rsidR="00AF4E1E" w:rsidRPr="002D405D">
        <w:rPr>
          <w:rStyle w:val="Refdenotaalpie"/>
          <w:szCs w:val="18"/>
        </w:rPr>
        <w:footnoteRef/>
      </w:r>
      <w:r w:rsidR="00AF4E1E" w:rsidRPr="00091EFE">
        <w:rPr>
          <w:szCs w:val="18"/>
          <w:lang w:val="en-US"/>
        </w:rPr>
        <w:t xml:space="preserve"> </w:t>
      </w:r>
      <w:r w:rsidRPr="00091EFE">
        <w:rPr>
          <w:szCs w:val="18"/>
          <w:lang w:val="en-US"/>
        </w:rPr>
        <w:tab/>
      </w:r>
      <w:r w:rsidR="00FB1E17" w:rsidRPr="00091EFE">
        <w:rPr>
          <w:szCs w:val="18"/>
          <w:lang w:val="en-US"/>
        </w:rPr>
        <w:t>International Justice Resource Center, “E</w:t>
      </w:r>
      <w:r w:rsidR="007D4101">
        <w:rPr>
          <w:szCs w:val="18"/>
          <w:lang w:val="en-US"/>
        </w:rPr>
        <w:t>x</w:t>
      </w:r>
      <w:r w:rsidR="00FB1E17" w:rsidRPr="00091EFE">
        <w:rPr>
          <w:szCs w:val="18"/>
          <w:lang w:val="en-US"/>
        </w:rPr>
        <w:t>haustion of Domestic Remedies</w:t>
      </w:r>
      <w:r w:rsidR="00FB1E17">
        <w:rPr>
          <w:szCs w:val="18"/>
          <w:lang w:val="en-US"/>
        </w:rPr>
        <w:t xml:space="preserve"> in the United Nations System” (2017). </w:t>
      </w:r>
      <w:r w:rsidR="00FB1E17" w:rsidRPr="00091EFE">
        <w:rPr>
          <w:szCs w:val="18"/>
        </w:rPr>
        <w:t xml:space="preserve">Disponible en </w:t>
      </w:r>
      <w:hyperlink r:id="rId1" w:history="1">
        <w:r w:rsidR="00FB1E17" w:rsidRPr="00267884">
          <w:rPr>
            <w:rStyle w:val="Hipervnculo"/>
            <w:szCs w:val="18"/>
          </w:rPr>
          <w:t>https://ijrcenter.org/wp-content/uploads/2018/04/8.-Exhaustion-of-Domestic-Remedies-UN-Treaty-Bodies.pdf</w:t>
        </w:r>
      </w:hyperlink>
      <w:r w:rsidR="00FB1E17" w:rsidRPr="00091EFE">
        <w:rPr>
          <w:szCs w:val="18"/>
        </w:rPr>
        <w:t>.</w:t>
      </w:r>
    </w:p>
  </w:footnote>
  <w:footnote w:id="19">
    <w:p w14:paraId="7EABD473" w14:textId="6320AECB" w:rsidR="00AF4E1E" w:rsidRPr="002D405D" w:rsidRDefault="008014A7" w:rsidP="00F8278C">
      <w:pPr>
        <w:pStyle w:val="Textonotapie"/>
        <w:spacing w:line="240" w:lineRule="auto"/>
        <w:rPr>
          <w:szCs w:val="18"/>
          <w:lang w:val="es-419"/>
        </w:rPr>
      </w:pPr>
      <w:r w:rsidRPr="00091EFE">
        <w:rPr>
          <w:szCs w:val="18"/>
        </w:rPr>
        <w:tab/>
      </w:r>
      <w:r w:rsidR="00AF4E1E" w:rsidRPr="009C2672">
        <w:rPr>
          <w:rStyle w:val="Refdenotaalpie"/>
          <w:szCs w:val="18"/>
        </w:rPr>
        <w:footnoteRef/>
      </w:r>
      <w:r w:rsidR="00AF4E1E" w:rsidRPr="009C2672">
        <w:rPr>
          <w:szCs w:val="18"/>
        </w:rPr>
        <w:t xml:space="preserve"> </w:t>
      </w:r>
      <w:r w:rsidRPr="009C2672">
        <w:rPr>
          <w:szCs w:val="18"/>
        </w:rPr>
        <w:tab/>
      </w:r>
      <w:r w:rsidR="008959A1">
        <w:rPr>
          <w:szCs w:val="18"/>
        </w:rPr>
        <w:t xml:space="preserve">El autor cita a </w:t>
      </w:r>
      <w:r w:rsidR="00AF4E1E" w:rsidRPr="009C2672">
        <w:rPr>
          <w:szCs w:val="18"/>
        </w:rPr>
        <w:t>Héctor Fa</w:t>
      </w:r>
      <w:r w:rsidR="006455BE">
        <w:rPr>
          <w:szCs w:val="18"/>
        </w:rPr>
        <w:t>ú</w:t>
      </w:r>
      <w:r w:rsidR="00AF4E1E" w:rsidRPr="009C2672">
        <w:rPr>
          <w:szCs w:val="18"/>
        </w:rPr>
        <w:t xml:space="preserve">ndez Ledesma, </w:t>
      </w:r>
      <w:r w:rsidR="009C2672" w:rsidRPr="00091EFE">
        <w:rPr>
          <w:szCs w:val="18"/>
        </w:rPr>
        <w:t>“</w:t>
      </w:r>
      <w:r w:rsidR="00AF4E1E" w:rsidRPr="00091EFE">
        <w:rPr>
          <w:szCs w:val="18"/>
        </w:rPr>
        <w:t xml:space="preserve">El agotamiento de los recursos internos en el </w:t>
      </w:r>
      <w:r w:rsidR="006455BE">
        <w:rPr>
          <w:szCs w:val="18"/>
        </w:rPr>
        <w:t>s</w:t>
      </w:r>
      <w:r w:rsidR="00AF4E1E" w:rsidRPr="00091EFE">
        <w:rPr>
          <w:szCs w:val="18"/>
        </w:rPr>
        <w:t xml:space="preserve">istema </w:t>
      </w:r>
      <w:r w:rsidR="006455BE">
        <w:rPr>
          <w:szCs w:val="18"/>
        </w:rPr>
        <w:t>i</w:t>
      </w:r>
      <w:r w:rsidR="00AF4E1E" w:rsidRPr="00091EFE">
        <w:rPr>
          <w:szCs w:val="18"/>
        </w:rPr>
        <w:t xml:space="preserve">nteramericano de </w:t>
      </w:r>
      <w:r w:rsidR="006455BE">
        <w:rPr>
          <w:szCs w:val="18"/>
        </w:rPr>
        <w:t>p</w:t>
      </w:r>
      <w:r w:rsidR="00AF4E1E" w:rsidRPr="00091EFE">
        <w:rPr>
          <w:szCs w:val="18"/>
        </w:rPr>
        <w:t xml:space="preserve">rotección de </w:t>
      </w:r>
      <w:r w:rsidR="006455BE">
        <w:rPr>
          <w:szCs w:val="18"/>
        </w:rPr>
        <w:t>los d</w:t>
      </w:r>
      <w:r w:rsidR="00AF4E1E" w:rsidRPr="00091EFE">
        <w:rPr>
          <w:szCs w:val="18"/>
        </w:rPr>
        <w:t xml:space="preserve">erechos </w:t>
      </w:r>
      <w:r w:rsidR="006455BE">
        <w:rPr>
          <w:szCs w:val="18"/>
        </w:rPr>
        <w:t>h</w:t>
      </w:r>
      <w:r w:rsidR="00AF4E1E" w:rsidRPr="00091EFE">
        <w:rPr>
          <w:szCs w:val="18"/>
        </w:rPr>
        <w:t>umanos</w:t>
      </w:r>
      <w:r w:rsidR="009C2672" w:rsidRPr="00091EFE">
        <w:rPr>
          <w:szCs w:val="18"/>
        </w:rPr>
        <w:t>”</w:t>
      </w:r>
      <w:r w:rsidR="00AF4E1E" w:rsidRPr="009C2672">
        <w:rPr>
          <w:szCs w:val="18"/>
        </w:rPr>
        <w:t xml:space="preserve">, </w:t>
      </w:r>
      <w:r w:rsidR="009C2672" w:rsidRPr="00091EFE">
        <w:rPr>
          <w:i/>
          <w:iCs/>
          <w:szCs w:val="18"/>
        </w:rPr>
        <w:t>Revista IIDH</w:t>
      </w:r>
      <w:r w:rsidR="006455BE">
        <w:rPr>
          <w:i/>
          <w:iCs/>
          <w:szCs w:val="18"/>
        </w:rPr>
        <w:t>,</w:t>
      </w:r>
      <w:r w:rsidR="00AF4E1E" w:rsidRPr="009C2672">
        <w:rPr>
          <w:szCs w:val="18"/>
        </w:rPr>
        <w:t xml:space="preserve"> </w:t>
      </w:r>
      <w:r w:rsidR="006455BE">
        <w:rPr>
          <w:szCs w:val="18"/>
        </w:rPr>
        <w:t xml:space="preserve">vol. 46(julio-diciembre </w:t>
      </w:r>
      <w:r w:rsidR="00AF4E1E" w:rsidRPr="008959A1">
        <w:rPr>
          <w:szCs w:val="18"/>
        </w:rPr>
        <w:t>2007), pág. 78</w:t>
      </w:r>
      <w:r w:rsidR="000667DF" w:rsidRPr="008959A1">
        <w:rPr>
          <w:szCs w:val="18"/>
        </w:rPr>
        <w:t>.</w:t>
      </w:r>
    </w:p>
  </w:footnote>
  <w:footnote w:id="20">
    <w:p w14:paraId="21023EC8" w14:textId="790D2FC3" w:rsidR="00AF4E1E" w:rsidRPr="002D405D" w:rsidRDefault="008014A7" w:rsidP="00F8278C">
      <w:pPr>
        <w:pStyle w:val="Textonotapie"/>
        <w:spacing w:line="240" w:lineRule="auto"/>
        <w:rPr>
          <w:szCs w:val="18"/>
        </w:rPr>
      </w:pPr>
      <w:r>
        <w:rPr>
          <w:szCs w:val="18"/>
        </w:rPr>
        <w:tab/>
      </w:r>
      <w:r w:rsidR="00AF4E1E" w:rsidRPr="002D405D">
        <w:rPr>
          <w:rStyle w:val="Refdenotaalpie"/>
          <w:szCs w:val="18"/>
        </w:rPr>
        <w:footnoteRef/>
      </w:r>
      <w:r w:rsidR="00AF4E1E" w:rsidRPr="002D405D">
        <w:rPr>
          <w:szCs w:val="18"/>
        </w:rPr>
        <w:t xml:space="preserve"> </w:t>
      </w:r>
      <w:r>
        <w:rPr>
          <w:szCs w:val="18"/>
        </w:rPr>
        <w:tab/>
      </w:r>
      <w:r w:rsidR="00AF4E1E" w:rsidRPr="002D405D">
        <w:rPr>
          <w:i/>
          <w:iCs/>
          <w:szCs w:val="18"/>
        </w:rPr>
        <w:t xml:space="preserve">A. </w:t>
      </w:r>
      <w:r w:rsidR="006024EF">
        <w:rPr>
          <w:i/>
          <w:iCs/>
          <w:szCs w:val="18"/>
        </w:rPr>
        <w:t>c</w:t>
      </w:r>
      <w:r w:rsidR="00AF4E1E" w:rsidRPr="002D405D">
        <w:rPr>
          <w:i/>
          <w:iCs/>
          <w:szCs w:val="18"/>
        </w:rPr>
        <w:t>. Bosnia y Herzegovina</w:t>
      </w:r>
      <w:r w:rsidR="00AF4E1E" w:rsidRPr="002D405D">
        <w:rPr>
          <w:szCs w:val="18"/>
        </w:rPr>
        <w:t xml:space="preserve"> (CAT/C/67/D/854/2017), pá</w:t>
      </w:r>
      <w:r w:rsidR="008D0DC2">
        <w:rPr>
          <w:szCs w:val="18"/>
        </w:rPr>
        <w:t>r</w:t>
      </w:r>
      <w:r w:rsidR="00AF4E1E" w:rsidRPr="002D405D">
        <w:rPr>
          <w:szCs w:val="18"/>
        </w:rPr>
        <w:t>r. 6.4.</w:t>
      </w:r>
      <w:r w:rsidR="00466A08">
        <w:rPr>
          <w:szCs w:val="18"/>
        </w:rPr>
        <w:t xml:space="preserve"> </w:t>
      </w:r>
    </w:p>
  </w:footnote>
  <w:footnote w:id="21">
    <w:p w14:paraId="6E2F53FF" w14:textId="035CBFF6" w:rsidR="008014A7" w:rsidRPr="00E47DFB" w:rsidRDefault="008014A7" w:rsidP="00F8278C">
      <w:pPr>
        <w:pStyle w:val="Textonotapie"/>
        <w:widowControl w:val="0"/>
        <w:tabs>
          <w:tab w:val="clear" w:pos="1021"/>
          <w:tab w:val="right" w:pos="1020"/>
        </w:tabs>
        <w:suppressAutoHyphens/>
      </w:pPr>
      <w:r>
        <w:tab/>
      </w:r>
      <w:r>
        <w:rPr>
          <w:rStyle w:val="Refdenotaalpie"/>
        </w:rPr>
        <w:footnoteRef/>
      </w:r>
      <w:r>
        <w:tab/>
      </w:r>
      <w:r w:rsidRPr="007638EB">
        <w:rPr>
          <w:szCs w:val="18"/>
        </w:rPr>
        <w:t>Con base en los argumentos esgrimidos por el autor, frente a este tipo de decisiones, la jurisprudencia uniforme del Tribunal Constitucional ha establecido que se trata de un asunto que escapa de la competencia de los jueces constitucionales</w:t>
      </w:r>
      <w:r>
        <w:rPr>
          <w:szCs w:val="18"/>
        </w:rPr>
        <w:t>. El autor cita:</w:t>
      </w:r>
      <w:r w:rsidRPr="007638EB">
        <w:rPr>
          <w:szCs w:val="18"/>
        </w:rPr>
        <w:t xml:space="preserve"> Tribunal Constitucional</w:t>
      </w:r>
      <w:r w:rsidR="00A5734D">
        <w:rPr>
          <w:szCs w:val="18"/>
        </w:rPr>
        <w:t>,</w:t>
      </w:r>
      <w:r w:rsidRPr="007638EB">
        <w:rPr>
          <w:szCs w:val="18"/>
        </w:rPr>
        <w:t xml:space="preserve"> </w:t>
      </w:r>
      <w:r w:rsidR="00A5734D">
        <w:rPr>
          <w:szCs w:val="18"/>
        </w:rPr>
        <w:t>s</w:t>
      </w:r>
      <w:r w:rsidRPr="007638EB">
        <w:rPr>
          <w:szCs w:val="18"/>
        </w:rPr>
        <w:t xml:space="preserve">entencia interlocutoria denegatoria recaída en el </w:t>
      </w:r>
      <w:r w:rsidR="00A5734D">
        <w:rPr>
          <w:szCs w:val="18"/>
        </w:rPr>
        <w:t>expediente núm.</w:t>
      </w:r>
      <w:r w:rsidRPr="007638EB">
        <w:rPr>
          <w:szCs w:val="18"/>
        </w:rPr>
        <w:t xml:space="preserve"> 00214-2014-PA/TC, fundamento jurídico 5; </w:t>
      </w:r>
      <w:r w:rsidR="00A5734D">
        <w:rPr>
          <w:szCs w:val="18"/>
        </w:rPr>
        <w:t>s</w:t>
      </w:r>
      <w:r w:rsidRPr="007638EB">
        <w:rPr>
          <w:szCs w:val="18"/>
        </w:rPr>
        <w:t xml:space="preserve">entencia recaída </w:t>
      </w:r>
      <w:r w:rsidR="00A5734D" w:rsidRPr="007638EB">
        <w:rPr>
          <w:szCs w:val="18"/>
        </w:rPr>
        <w:t xml:space="preserve">en el </w:t>
      </w:r>
      <w:r w:rsidR="00A5734D">
        <w:rPr>
          <w:szCs w:val="18"/>
        </w:rPr>
        <w:t>expediente núm.</w:t>
      </w:r>
      <w:r w:rsidR="00A5734D" w:rsidRPr="007638EB">
        <w:rPr>
          <w:szCs w:val="18"/>
        </w:rPr>
        <w:t xml:space="preserve"> </w:t>
      </w:r>
      <w:r w:rsidRPr="007638EB">
        <w:rPr>
          <w:szCs w:val="18"/>
        </w:rPr>
        <w:t>02383-2010-PA/TC, fundamento jurídico 8;</w:t>
      </w:r>
      <w:r w:rsidR="00A5734D">
        <w:rPr>
          <w:szCs w:val="18"/>
        </w:rPr>
        <w:t xml:space="preserve"> s</w:t>
      </w:r>
      <w:r w:rsidRPr="007638EB">
        <w:rPr>
          <w:szCs w:val="18"/>
        </w:rPr>
        <w:t xml:space="preserve">entencia recaída </w:t>
      </w:r>
      <w:r w:rsidR="00A5734D" w:rsidRPr="007638EB">
        <w:rPr>
          <w:szCs w:val="18"/>
        </w:rPr>
        <w:t xml:space="preserve">en el </w:t>
      </w:r>
      <w:r w:rsidR="00A5734D">
        <w:rPr>
          <w:szCs w:val="18"/>
        </w:rPr>
        <w:t>expediente núm. </w:t>
      </w:r>
      <w:r w:rsidRPr="007638EB">
        <w:rPr>
          <w:szCs w:val="18"/>
        </w:rPr>
        <w:t xml:space="preserve">01196-2011-PA/TC, fundamento jurídico 4. </w:t>
      </w:r>
    </w:p>
  </w:footnote>
  <w:footnote w:id="22">
    <w:p w14:paraId="28B65992" w14:textId="0E1955F3" w:rsidR="00AF4E1E" w:rsidRPr="00983FCD" w:rsidRDefault="008014A7" w:rsidP="00F8278C">
      <w:pPr>
        <w:pStyle w:val="Textonotapie"/>
        <w:spacing w:line="240" w:lineRule="auto"/>
        <w:rPr>
          <w:szCs w:val="18"/>
        </w:rPr>
      </w:pPr>
      <w:r>
        <w:rPr>
          <w:szCs w:val="18"/>
        </w:rPr>
        <w:tab/>
      </w:r>
      <w:r w:rsidR="00AF4E1E" w:rsidRPr="00BD2005">
        <w:rPr>
          <w:rStyle w:val="Refdenotaalpie"/>
          <w:szCs w:val="18"/>
        </w:rPr>
        <w:footnoteRef/>
      </w:r>
      <w:r w:rsidR="00AF4E1E" w:rsidRPr="00BD2005">
        <w:rPr>
          <w:szCs w:val="18"/>
        </w:rPr>
        <w:t xml:space="preserve"> </w:t>
      </w:r>
      <w:r w:rsidRPr="00BD2005">
        <w:rPr>
          <w:szCs w:val="18"/>
        </w:rPr>
        <w:tab/>
      </w:r>
      <w:r w:rsidR="00AF4E1E" w:rsidRPr="00BD2005">
        <w:rPr>
          <w:i/>
          <w:iCs/>
          <w:szCs w:val="18"/>
        </w:rPr>
        <w:t>Akmatov c</w:t>
      </w:r>
      <w:r w:rsidR="006024EF" w:rsidRPr="00091EFE">
        <w:rPr>
          <w:i/>
          <w:iCs/>
          <w:szCs w:val="18"/>
        </w:rPr>
        <w:t>.</w:t>
      </w:r>
      <w:r w:rsidR="00AF4E1E" w:rsidRPr="00BD2005">
        <w:rPr>
          <w:i/>
          <w:iCs/>
          <w:szCs w:val="18"/>
        </w:rPr>
        <w:t xml:space="preserve"> Kirguistán</w:t>
      </w:r>
      <w:r w:rsidR="00AF4E1E" w:rsidRPr="00BD2005">
        <w:rPr>
          <w:szCs w:val="18"/>
        </w:rPr>
        <w:t xml:space="preserve"> (</w:t>
      </w:r>
      <w:proofErr w:type="spellStart"/>
      <w:r w:rsidR="00267884">
        <w:rPr>
          <w:szCs w:val="18"/>
        </w:rPr>
        <w:fldChar w:fldCharType="begin"/>
      </w:r>
      <w:r w:rsidR="00267884">
        <w:rPr>
          <w:szCs w:val="18"/>
        </w:rPr>
        <w:instrText xml:space="preserve"> HYPERLINK "https://undocs.org/es/CCPR/C/115/D/2052/2011" </w:instrText>
      </w:r>
      <w:r w:rsidR="00267884">
        <w:rPr>
          <w:szCs w:val="18"/>
        </w:rPr>
      </w:r>
      <w:r w:rsidR="00267884">
        <w:rPr>
          <w:szCs w:val="18"/>
        </w:rPr>
        <w:fldChar w:fldCharType="separate"/>
      </w:r>
      <w:r w:rsidR="00E73FCB" w:rsidRPr="00267884">
        <w:rPr>
          <w:rStyle w:val="Hipervnculo"/>
          <w:szCs w:val="18"/>
        </w:rPr>
        <w:t>CCPR</w:t>
      </w:r>
      <w:proofErr w:type="spellEnd"/>
      <w:r w:rsidR="00E73FCB" w:rsidRPr="00267884">
        <w:rPr>
          <w:rStyle w:val="Hipervnculo"/>
          <w:szCs w:val="18"/>
        </w:rPr>
        <w:t>/C/115/D/2052/2011</w:t>
      </w:r>
      <w:r w:rsidR="00267884">
        <w:rPr>
          <w:szCs w:val="18"/>
        </w:rPr>
        <w:fldChar w:fldCharType="end"/>
      </w:r>
      <w:r w:rsidR="00AF4E1E" w:rsidRPr="00983FCD">
        <w:t>)</w:t>
      </w:r>
      <w:r w:rsidR="00E73FCB" w:rsidRPr="00091EFE">
        <w:t>,</w:t>
      </w:r>
      <w:r w:rsidR="00AF4E1E" w:rsidRPr="00983FCD">
        <w:t xml:space="preserve"> </w:t>
      </w:r>
      <w:r w:rsidR="00AF4E1E" w:rsidRPr="00983FCD">
        <w:rPr>
          <w:szCs w:val="18"/>
        </w:rPr>
        <w:t>párr.</w:t>
      </w:r>
      <w:r w:rsidR="006024EF" w:rsidRPr="00091EFE">
        <w:rPr>
          <w:szCs w:val="18"/>
        </w:rPr>
        <w:t> </w:t>
      </w:r>
      <w:r w:rsidR="00AF4E1E" w:rsidRPr="00983FCD">
        <w:rPr>
          <w:szCs w:val="18"/>
        </w:rPr>
        <w:t>7.3.</w:t>
      </w:r>
      <w:r w:rsidR="00466A08" w:rsidRPr="00983FCD">
        <w:rPr>
          <w:szCs w:val="18"/>
        </w:rPr>
        <w:t xml:space="preserve"> </w:t>
      </w:r>
    </w:p>
  </w:footnote>
  <w:footnote w:id="23">
    <w:p w14:paraId="7696FA4C" w14:textId="4AD35D75" w:rsidR="00AF4E1E" w:rsidRPr="00091EFE" w:rsidRDefault="008014A7" w:rsidP="00F8278C">
      <w:pPr>
        <w:pStyle w:val="Textonotapie"/>
        <w:spacing w:line="240" w:lineRule="auto"/>
        <w:rPr>
          <w:szCs w:val="18"/>
        </w:rPr>
      </w:pPr>
      <w:r w:rsidRPr="00983FCD">
        <w:rPr>
          <w:szCs w:val="18"/>
        </w:rPr>
        <w:tab/>
      </w:r>
      <w:r w:rsidR="00AF4E1E" w:rsidRPr="00983FCD">
        <w:rPr>
          <w:rStyle w:val="Refdenotaalpie"/>
          <w:szCs w:val="18"/>
        </w:rPr>
        <w:footnoteRef/>
      </w:r>
      <w:r w:rsidR="00AF4E1E" w:rsidRPr="00983FCD">
        <w:rPr>
          <w:szCs w:val="18"/>
        </w:rPr>
        <w:t xml:space="preserve"> </w:t>
      </w:r>
      <w:r w:rsidRPr="00983FCD">
        <w:rPr>
          <w:szCs w:val="18"/>
        </w:rPr>
        <w:tab/>
      </w:r>
      <w:r w:rsidR="00AF4E1E" w:rsidRPr="00983FCD">
        <w:rPr>
          <w:i/>
          <w:iCs/>
          <w:szCs w:val="18"/>
        </w:rPr>
        <w:t>Rakishev c. Kazajstán</w:t>
      </w:r>
      <w:r w:rsidR="00AF4E1E" w:rsidRPr="00983FCD">
        <w:rPr>
          <w:szCs w:val="18"/>
        </w:rPr>
        <w:t xml:space="preserve"> (</w:t>
      </w:r>
      <w:hyperlink r:id="rId2" w:history="1">
        <w:r w:rsidR="00AF4E1E" w:rsidRPr="00267884">
          <w:rPr>
            <w:rStyle w:val="Hipervnculo"/>
            <w:szCs w:val="18"/>
          </w:rPr>
          <w:t>CAT/C/61/D/661/2015</w:t>
        </w:r>
      </w:hyperlink>
      <w:r w:rsidR="00AF4E1E" w:rsidRPr="00983FCD">
        <w:rPr>
          <w:szCs w:val="18"/>
        </w:rPr>
        <w:t xml:space="preserve">), párr. 8.7; y </w:t>
      </w:r>
      <w:r w:rsidR="00AF4E1E" w:rsidRPr="00983FCD">
        <w:rPr>
          <w:i/>
          <w:iCs/>
          <w:szCs w:val="18"/>
        </w:rPr>
        <w:t>Ushenin c. Kazajstán</w:t>
      </w:r>
      <w:r w:rsidR="00AF4E1E" w:rsidRPr="00983FCD">
        <w:rPr>
          <w:szCs w:val="18"/>
        </w:rPr>
        <w:t xml:space="preserve"> (</w:t>
      </w:r>
      <w:hyperlink r:id="rId3" w:history="1">
        <w:r w:rsidR="00AF4E1E" w:rsidRPr="00267884">
          <w:rPr>
            <w:rStyle w:val="Hipervnculo"/>
            <w:szCs w:val="18"/>
          </w:rPr>
          <w:t>CAT/C/60/D/651/2015</w:t>
        </w:r>
      </w:hyperlink>
      <w:r w:rsidR="00AF4E1E" w:rsidRPr="00983FCD">
        <w:rPr>
          <w:szCs w:val="18"/>
        </w:rPr>
        <w:t>), párr. 7.5.</w:t>
      </w:r>
      <w:r w:rsidR="00466A08" w:rsidRPr="00983FCD">
        <w:rPr>
          <w:szCs w:val="18"/>
        </w:rPr>
        <w:t xml:space="preserve"> </w:t>
      </w:r>
    </w:p>
  </w:footnote>
  <w:footnote w:id="24">
    <w:p w14:paraId="190D21A9" w14:textId="2D7B2026" w:rsidR="00AF4E1E" w:rsidRPr="002D405D" w:rsidRDefault="008014A7" w:rsidP="00F8278C">
      <w:pPr>
        <w:pStyle w:val="Textonotapie"/>
        <w:spacing w:line="240" w:lineRule="auto"/>
        <w:rPr>
          <w:szCs w:val="18"/>
        </w:rPr>
      </w:pPr>
      <w:r w:rsidRPr="00983FCD">
        <w:rPr>
          <w:szCs w:val="18"/>
        </w:rPr>
        <w:tab/>
      </w:r>
      <w:r w:rsidR="00AF4E1E" w:rsidRPr="00983FCD">
        <w:rPr>
          <w:rStyle w:val="Refdenotaalpie"/>
          <w:szCs w:val="18"/>
        </w:rPr>
        <w:footnoteRef/>
      </w:r>
      <w:r w:rsidR="00AF4E1E" w:rsidRPr="00983FCD">
        <w:rPr>
          <w:szCs w:val="18"/>
        </w:rPr>
        <w:t xml:space="preserve"> </w:t>
      </w:r>
      <w:r w:rsidRPr="00983FCD">
        <w:rPr>
          <w:szCs w:val="18"/>
        </w:rPr>
        <w:tab/>
      </w:r>
      <w:hyperlink r:id="rId4" w:history="1">
        <w:r w:rsidR="00AF4E1E" w:rsidRPr="00267884">
          <w:rPr>
            <w:rStyle w:val="Hipervnculo"/>
            <w:szCs w:val="18"/>
          </w:rPr>
          <w:t>CAT/C/PER/CO/7</w:t>
        </w:r>
      </w:hyperlink>
      <w:r w:rsidR="00AF4E1E" w:rsidRPr="00983FCD">
        <w:rPr>
          <w:szCs w:val="18"/>
        </w:rPr>
        <w:t>, pár</w:t>
      </w:r>
      <w:r w:rsidR="00F8278C" w:rsidRPr="00983FCD">
        <w:rPr>
          <w:szCs w:val="18"/>
        </w:rPr>
        <w:t>rs</w:t>
      </w:r>
      <w:r w:rsidR="00AF4E1E" w:rsidRPr="00983FCD">
        <w:rPr>
          <w:szCs w:val="18"/>
        </w:rPr>
        <w:t>.</w:t>
      </w:r>
      <w:r w:rsidR="00F8278C" w:rsidRPr="00983FCD">
        <w:rPr>
          <w:szCs w:val="18"/>
        </w:rPr>
        <w:t> </w:t>
      </w:r>
      <w:r w:rsidR="00AF4E1E" w:rsidRPr="00983FCD">
        <w:rPr>
          <w:szCs w:val="18"/>
        </w:rPr>
        <w:t xml:space="preserve">10 y 11. </w:t>
      </w:r>
    </w:p>
  </w:footnote>
  <w:footnote w:id="25">
    <w:p w14:paraId="27D1012D" w14:textId="393C7CC4" w:rsidR="00AF4E1E" w:rsidRPr="005E2465" w:rsidRDefault="008014A7" w:rsidP="00F8278C">
      <w:pPr>
        <w:pStyle w:val="Textonotapie"/>
        <w:spacing w:line="240" w:lineRule="auto"/>
        <w:rPr>
          <w:szCs w:val="18"/>
        </w:rPr>
      </w:pPr>
      <w:r>
        <w:rPr>
          <w:szCs w:val="18"/>
        </w:rPr>
        <w:tab/>
      </w:r>
      <w:r w:rsidR="00AF4E1E" w:rsidRPr="002D405D">
        <w:rPr>
          <w:rStyle w:val="Refdenotaalpie"/>
          <w:szCs w:val="18"/>
        </w:rPr>
        <w:footnoteRef/>
      </w:r>
      <w:r w:rsidR="00AF4E1E" w:rsidRPr="002D405D">
        <w:rPr>
          <w:szCs w:val="18"/>
        </w:rPr>
        <w:t xml:space="preserve"> </w:t>
      </w:r>
      <w:r>
        <w:rPr>
          <w:szCs w:val="18"/>
        </w:rPr>
        <w:tab/>
      </w:r>
      <w:r w:rsidR="00AF4E1E" w:rsidRPr="005E2465">
        <w:rPr>
          <w:szCs w:val="18"/>
        </w:rPr>
        <w:t xml:space="preserve">Comisión Interamericana de Derechos Humanos, informe núm. 92/05, </w:t>
      </w:r>
      <w:r w:rsidR="005E2465" w:rsidRPr="00091EFE">
        <w:rPr>
          <w:szCs w:val="18"/>
        </w:rPr>
        <w:t xml:space="preserve">caso </w:t>
      </w:r>
      <w:r w:rsidR="00AF4E1E" w:rsidRPr="00091EFE">
        <w:rPr>
          <w:szCs w:val="18"/>
        </w:rPr>
        <w:t>12.418</w:t>
      </w:r>
      <w:r w:rsidR="00AF4E1E" w:rsidRPr="005E2465">
        <w:rPr>
          <w:szCs w:val="18"/>
        </w:rPr>
        <w:t xml:space="preserve">, </w:t>
      </w:r>
      <w:r w:rsidR="005E2465">
        <w:rPr>
          <w:szCs w:val="18"/>
        </w:rPr>
        <w:t xml:space="preserve">24 de octubre de 2005, </w:t>
      </w:r>
      <w:r w:rsidR="00AF4E1E" w:rsidRPr="005E2465">
        <w:rPr>
          <w:szCs w:val="18"/>
        </w:rPr>
        <w:t>párr.</w:t>
      </w:r>
      <w:r w:rsidR="00F8278C" w:rsidRPr="005E2465">
        <w:rPr>
          <w:szCs w:val="18"/>
        </w:rPr>
        <w:t> </w:t>
      </w:r>
      <w:r w:rsidR="00AF4E1E" w:rsidRPr="005E2465">
        <w:rPr>
          <w:szCs w:val="18"/>
        </w:rPr>
        <w:t xml:space="preserve">62; y Tribunal Europeo de Derechos Humanos, </w:t>
      </w:r>
      <w:r w:rsidR="00AF4E1E" w:rsidRPr="005E2465">
        <w:rPr>
          <w:i/>
          <w:iCs/>
          <w:szCs w:val="18"/>
        </w:rPr>
        <w:t xml:space="preserve">Selmouni </w:t>
      </w:r>
      <w:r w:rsidR="005E2465">
        <w:rPr>
          <w:i/>
          <w:iCs/>
          <w:szCs w:val="18"/>
        </w:rPr>
        <w:t>v</w:t>
      </w:r>
      <w:r w:rsidR="00AF4E1E" w:rsidRPr="005E2465">
        <w:rPr>
          <w:i/>
          <w:iCs/>
          <w:szCs w:val="18"/>
        </w:rPr>
        <w:t>. Franc</w:t>
      </w:r>
      <w:r w:rsidR="005E2465">
        <w:rPr>
          <w:i/>
          <w:iCs/>
          <w:szCs w:val="18"/>
        </w:rPr>
        <w:t>e</w:t>
      </w:r>
      <w:r w:rsidR="00AF4E1E" w:rsidRPr="005E2465">
        <w:rPr>
          <w:szCs w:val="18"/>
        </w:rPr>
        <w:t xml:space="preserve">, sentencia de 28 de julio de 1999, </w:t>
      </w:r>
      <w:r w:rsidR="005E2465">
        <w:rPr>
          <w:szCs w:val="18"/>
        </w:rPr>
        <w:t>demanda</w:t>
      </w:r>
      <w:r w:rsidR="005E2465" w:rsidRPr="005E2465">
        <w:rPr>
          <w:szCs w:val="18"/>
        </w:rPr>
        <w:t xml:space="preserve"> núm. 25803/94</w:t>
      </w:r>
      <w:r w:rsidR="005E2465">
        <w:rPr>
          <w:szCs w:val="18"/>
        </w:rPr>
        <w:t xml:space="preserve">, </w:t>
      </w:r>
      <w:r w:rsidR="00AF4E1E" w:rsidRPr="005E2465">
        <w:rPr>
          <w:szCs w:val="18"/>
        </w:rPr>
        <w:t>párr. 96.</w:t>
      </w:r>
      <w:r w:rsidR="00466A08" w:rsidRPr="005E2465">
        <w:rPr>
          <w:szCs w:val="18"/>
        </w:rPr>
        <w:t xml:space="preserve"> </w:t>
      </w:r>
    </w:p>
  </w:footnote>
  <w:footnote w:id="26">
    <w:p w14:paraId="1826D858" w14:textId="440980A1" w:rsidR="00AF4E1E" w:rsidRPr="005E2465" w:rsidRDefault="008014A7" w:rsidP="00F8278C">
      <w:pPr>
        <w:pStyle w:val="Textonotapie"/>
        <w:spacing w:line="240" w:lineRule="auto"/>
        <w:rPr>
          <w:szCs w:val="18"/>
        </w:rPr>
      </w:pPr>
      <w:r w:rsidRPr="005E2465">
        <w:rPr>
          <w:szCs w:val="18"/>
        </w:rPr>
        <w:tab/>
      </w:r>
      <w:r w:rsidR="00AF4E1E" w:rsidRPr="005E2465">
        <w:rPr>
          <w:rStyle w:val="Refdenotaalpie"/>
          <w:szCs w:val="18"/>
        </w:rPr>
        <w:footnoteRef/>
      </w:r>
      <w:r w:rsidR="00AF4E1E" w:rsidRPr="005E2465">
        <w:rPr>
          <w:szCs w:val="18"/>
        </w:rPr>
        <w:t xml:space="preserve"> </w:t>
      </w:r>
      <w:r w:rsidRPr="005E2465">
        <w:rPr>
          <w:szCs w:val="18"/>
        </w:rPr>
        <w:tab/>
      </w:r>
      <w:r w:rsidR="00AF4E1E" w:rsidRPr="005E2465">
        <w:rPr>
          <w:szCs w:val="18"/>
        </w:rPr>
        <w:t>A/72/178, pár</w:t>
      </w:r>
      <w:r w:rsidR="008D0DC2" w:rsidRPr="005E2465">
        <w:rPr>
          <w:szCs w:val="18"/>
        </w:rPr>
        <w:t>r</w:t>
      </w:r>
      <w:r w:rsidR="00AF4E1E" w:rsidRPr="005E2465">
        <w:rPr>
          <w:szCs w:val="18"/>
        </w:rPr>
        <w:t xml:space="preserve">. 33; Tribunal Europeo de Derechos Humanos, </w:t>
      </w:r>
      <w:r w:rsidR="00AF4E1E" w:rsidRPr="005E2465">
        <w:rPr>
          <w:i/>
          <w:iCs/>
          <w:szCs w:val="18"/>
        </w:rPr>
        <w:t>Selmouni c. Francia</w:t>
      </w:r>
      <w:r w:rsidR="00AF4E1E" w:rsidRPr="005E2465">
        <w:rPr>
          <w:szCs w:val="18"/>
        </w:rPr>
        <w:t xml:space="preserve">, párr. 101; y Corte Interamericana de Derechos Humanos, </w:t>
      </w:r>
      <w:r w:rsidR="00AF4E1E" w:rsidRPr="005E2465">
        <w:rPr>
          <w:i/>
          <w:iCs/>
          <w:szCs w:val="18"/>
        </w:rPr>
        <w:t xml:space="preserve">Cantoral-Benavides </w:t>
      </w:r>
      <w:r w:rsidR="00636023">
        <w:rPr>
          <w:i/>
          <w:iCs/>
          <w:szCs w:val="18"/>
        </w:rPr>
        <w:t>vs</w:t>
      </w:r>
      <w:r w:rsidR="00AF4E1E" w:rsidRPr="005E2465">
        <w:rPr>
          <w:i/>
          <w:iCs/>
          <w:szCs w:val="18"/>
        </w:rPr>
        <w:t>. Perú</w:t>
      </w:r>
      <w:r w:rsidR="00AF4E1E" w:rsidRPr="005E2465">
        <w:rPr>
          <w:szCs w:val="18"/>
        </w:rPr>
        <w:t>; sentencia de 18 de agosto de 2000, párr. 99.</w:t>
      </w:r>
      <w:r w:rsidR="00466A08" w:rsidRPr="005E2465">
        <w:rPr>
          <w:szCs w:val="18"/>
        </w:rPr>
        <w:t xml:space="preserve"> </w:t>
      </w:r>
    </w:p>
  </w:footnote>
  <w:footnote w:id="27">
    <w:p w14:paraId="254655E7" w14:textId="06D9D554" w:rsidR="00AF4E1E" w:rsidRPr="00CA6696" w:rsidRDefault="008014A7" w:rsidP="00F8278C">
      <w:pPr>
        <w:pStyle w:val="Textonotapie"/>
        <w:rPr>
          <w:szCs w:val="18"/>
        </w:rPr>
      </w:pPr>
      <w:r w:rsidRPr="005E2465">
        <w:rPr>
          <w:szCs w:val="18"/>
        </w:rPr>
        <w:tab/>
      </w:r>
      <w:r w:rsidR="00AF4E1E" w:rsidRPr="005E2465">
        <w:rPr>
          <w:rStyle w:val="Refdenotaalpie"/>
          <w:szCs w:val="18"/>
        </w:rPr>
        <w:footnoteRef/>
      </w:r>
      <w:r w:rsidR="00AF4E1E" w:rsidRPr="005E2465">
        <w:rPr>
          <w:szCs w:val="18"/>
        </w:rPr>
        <w:t xml:space="preserve"> </w:t>
      </w:r>
      <w:r w:rsidRPr="005E2465">
        <w:rPr>
          <w:szCs w:val="18"/>
        </w:rPr>
        <w:tab/>
      </w:r>
      <w:r w:rsidR="00636023" w:rsidRPr="005E2465">
        <w:rPr>
          <w:szCs w:val="18"/>
        </w:rPr>
        <w:t>Sala Penal Nacional</w:t>
      </w:r>
      <w:r w:rsidR="00636023">
        <w:rPr>
          <w:szCs w:val="18"/>
        </w:rPr>
        <w:t>,</w:t>
      </w:r>
      <w:r w:rsidR="00636023" w:rsidRPr="005E2465">
        <w:rPr>
          <w:szCs w:val="18"/>
        </w:rPr>
        <w:t xml:space="preserve"> </w:t>
      </w:r>
      <w:r w:rsidR="00636023">
        <w:rPr>
          <w:szCs w:val="18"/>
        </w:rPr>
        <w:t>s</w:t>
      </w:r>
      <w:r w:rsidR="00AF4E1E" w:rsidRPr="005E2465">
        <w:rPr>
          <w:szCs w:val="18"/>
        </w:rPr>
        <w:t xml:space="preserve">entencia de 30 de septiembre de 2013, pág. 65. </w:t>
      </w:r>
      <w:r w:rsidR="00AF4E1E" w:rsidRPr="00CA6696">
        <w:rPr>
          <w:szCs w:val="18"/>
        </w:rPr>
        <w:t xml:space="preserve">Anexo </w:t>
      </w:r>
      <w:r w:rsidR="00636023" w:rsidRPr="00CA6696">
        <w:rPr>
          <w:szCs w:val="18"/>
        </w:rPr>
        <w:t>núm. </w:t>
      </w:r>
      <w:r w:rsidR="00AF4E1E" w:rsidRPr="00CA6696">
        <w:rPr>
          <w:szCs w:val="18"/>
        </w:rPr>
        <w:t>15 del escrito de queja.</w:t>
      </w:r>
      <w:r w:rsidR="00466A08" w:rsidRPr="00CA6696">
        <w:rPr>
          <w:szCs w:val="18"/>
        </w:rPr>
        <w:t xml:space="preserve"> </w:t>
      </w:r>
    </w:p>
  </w:footnote>
  <w:footnote w:id="28">
    <w:p w14:paraId="1F48E77A" w14:textId="5D14923A" w:rsidR="00AF4E1E" w:rsidRPr="00CA6696" w:rsidRDefault="008014A7" w:rsidP="00F8278C">
      <w:pPr>
        <w:pStyle w:val="Textonotapie"/>
        <w:rPr>
          <w:szCs w:val="18"/>
        </w:rPr>
      </w:pPr>
      <w:r w:rsidRPr="00CA6696">
        <w:rPr>
          <w:szCs w:val="18"/>
        </w:rPr>
        <w:tab/>
      </w:r>
      <w:r w:rsidR="00AF4E1E" w:rsidRPr="00CA6696">
        <w:rPr>
          <w:rStyle w:val="Refdenotaalpie"/>
          <w:szCs w:val="18"/>
        </w:rPr>
        <w:footnoteRef/>
      </w:r>
      <w:r w:rsidR="00AF4E1E" w:rsidRPr="00CA6696">
        <w:rPr>
          <w:szCs w:val="18"/>
        </w:rPr>
        <w:t xml:space="preserve"> </w:t>
      </w:r>
      <w:r w:rsidRPr="00CA6696">
        <w:rPr>
          <w:szCs w:val="18"/>
        </w:rPr>
        <w:tab/>
      </w:r>
      <w:r w:rsidR="00AF4E1E" w:rsidRPr="00CA6696">
        <w:rPr>
          <w:szCs w:val="18"/>
        </w:rPr>
        <w:t xml:space="preserve">Certificado </w:t>
      </w:r>
      <w:r w:rsidR="00041483">
        <w:rPr>
          <w:szCs w:val="18"/>
        </w:rPr>
        <w:t>m</w:t>
      </w:r>
      <w:r w:rsidR="00AF4E1E" w:rsidRPr="00CA6696">
        <w:rPr>
          <w:szCs w:val="18"/>
        </w:rPr>
        <w:t xml:space="preserve">édico </w:t>
      </w:r>
      <w:r w:rsidR="00041483">
        <w:rPr>
          <w:szCs w:val="18"/>
        </w:rPr>
        <w:t>l</w:t>
      </w:r>
      <w:r w:rsidR="00AF4E1E" w:rsidRPr="00CA6696">
        <w:rPr>
          <w:szCs w:val="18"/>
        </w:rPr>
        <w:t xml:space="preserve">egal </w:t>
      </w:r>
      <w:r w:rsidR="00636023" w:rsidRPr="00CA6696">
        <w:rPr>
          <w:szCs w:val="18"/>
        </w:rPr>
        <w:t>núm.</w:t>
      </w:r>
      <w:r w:rsidR="00AF4E1E" w:rsidRPr="00CA6696">
        <w:rPr>
          <w:szCs w:val="18"/>
        </w:rPr>
        <w:t xml:space="preserve"> 001852-L</w:t>
      </w:r>
      <w:r w:rsidR="00636023" w:rsidRPr="00CA6696">
        <w:rPr>
          <w:szCs w:val="18"/>
        </w:rPr>
        <w:t>,</w:t>
      </w:r>
      <w:r w:rsidR="00AF4E1E" w:rsidRPr="00CA6696">
        <w:rPr>
          <w:szCs w:val="18"/>
        </w:rPr>
        <w:t xml:space="preserve"> de 14 de septiembre de 2007. Anexo </w:t>
      </w:r>
      <w:r w:rsidR="00636023" w:rsidRPr="00CA6696">
        <w:rPr>
          <w:szCs w:val="18"/>
        </w:rPr>
        <w:t>núm. </w:t>
      </w:r>
      <w:r w:rsidR="00AF4E1E" w:rsidRPr="00CA6696">
        <w:rPr>
          <w:szCs w:val="18"/>
        </w:rPr>
        <w:t>17 del escrito de queja.</w:t>
      </w:r>
      <w:r w:rsidR="00466A08" w:rsidRPr="00CA6696">
        <w:rPr>
          <w:szCs w:val="18"/>
        </w:rPr>
        <w:t xml:space="preserve"> </w:t>
      </w:r>
    </w:p>
  </w:footnote>
  <w:footnote w:id="29">
    <w:p w14:paraId="4AE4E5D2" w14:textId="5AFBD773" w:rsidR="00AF4E1E" w:rsidRPr="00CA6696" w:rsidRDefault="008014A7" w:rsidP="00F8278C">
      <w:pPr>
        <w:pStyle w:val="Textonotapie"/>
        <w:rPr>
          <w:szCs w:val="18"/>
        </w:rPr>
      </w:pPr>
      <w:r w:rsidRPr="00CA6696">
        <w:rPr>
          <w:szCs w:val="18"/>
        </w:rPr>
        <w:tab/>
      </w:r>
      <w:r w:rsidR="00AF4E1E" w:rsidRPr="00CA6696">
        <w:rPr>
          <w:rStyle w:val="Refdenotaalpie"/>
          <w:szCs w:val="18"/>
        </w:rPr>
        <w:footnoteRef/>
      </w:r>
      <w:r w:rsidR="00AF4E1E" w:rsidRPr="00CA6696">
        <w:rPr>
          <w:szCs w:val="18"/>
        </w:rPr>
        <w:t xml:space="preserve"> </w:t>
      </w:r>
      <w:r w:rsidRPr="00CA6696">
        <w:rPr>
          <w:szCs w:val="18"/>
        </w:rPr>
        <w:tab/>
      </w:r>
      <w:r w:rsidR="0098723E" w:rsidRPr="00CA6696">
        <w:rPr>
          <w:szCs w:val="18"/>
        </w:rPr>
        <w:t xml:space="preserve">Manual para la Investigación y Documentación Eficaces de la Tortura y Otros Tratos o Penas Crueles, Inhumanos o Degradantes (Protocolo de Estambul), </w:t>
      </w:r>
      <w:r w:rsidR="0098723E" w:rsidRPr="00CA6696">
        <w:rPr>
          <w:color w:val="000000"/>
          <w:szCs w:val="18"/>
          <w:lang w:val="es-419" w:eastAsia="fr-FR"/>
        </w:rPr>
        <w:t>a</w:t>
      </w:r>
      <w:r w:rsidR="00AF4E1E" w:rsidRPr="00CA6696">
        <w:rPr>
          <w:color w:val="000000"/>
          <w:szCs w:val="18"/>
          <w:lang w:val="es-419" w:eastAsia="fr-FR"/>
        </w:rPr>
        <w:t>nexo IV</w:t>
      </w:r>
      <w:r w:rsidR="0098723E" w:rsidRPr="00CA6696">
        <w:rPr>
          <w:color w:val="000000"/>
          <w:szCs w:val="18"/>
          <w:lang w:val="es-419" w:eastAsia="fr-FR"/>
        </w:rPr>
        <w:t>.</w:t>
      </w:r>
    </w:p>
  </w:footnote>
  <w:footnote w:id="30">
    <w:p w14:paraId="4A519376" w14:textId="77562285" w:rsidR="00AF4E1E" w:rsidRPr="002D405D" w:rsidRDefault="008014A7" w:rsidP="00F8278C">
      <w:pPr>
        <w:pStyle w:val="Textonotapie"/>
        <w:rPr>
          <w:szCs w:val="18"/>
        </w:rPr>
      </w:pPr>
      <w:r w:rsidRPr="00CA6696">
        <w:rPr>
          <w:szCs w:val="18"/>
        </w:rPr>
        <w:tab/>
      </w:r>
      <w:r w:rsidR="00AF4E1E" w:rsidRPr="00CA6696">
        <w:rPr>
          <w:rStyle w:val="Refdenotaalpie"/>
          <w:szCs w:val="18"/>
        </w:rPr>
        <w:footnoteRef/>
      </w:r>
      <w:r w:rsidR="00AF4E1E" w:rsidRPr="00CA6696">
        <w:rPr>
          <w:szCs w:val="18"/>
        </w:rPr>
        <w:t xml:space="preserve"> </w:t>
      </w:r>
      <w:r w:rsidRPr="00CA6696">
        <w:rPr>
          <w:szCs w:val="18"/>
        </w:rPr>
        <w:tab/>
      </w:r>
      <w:r w:rsidR="005369CE" w:rsidRPr="00CA6696">
        <w:rPr>
          <w:szCs w:val="18"/>
        </w:rPr>
        <w:t>Sala Penal Nacional, s</w:t>
      </w:r>
      <w:r w:rsidR="00AF4E1E" w:rsidRPr="00CA6696">
        <w:rPr>
          <w:szCs w:val="18"/>
        </w:rPr>
        <w:t>entencia de 30 de septiembre de 2013, pág</w:t>
      </w:r>
      <w:r w:rsidR="005369CE" w:rsidRPr="00CA6696">
        <w:rPr>
          <w:szCs w:val="18"/>
        </w:rPr>
        <w:t>s</w:t>
      </w:r>
      <w:r w:rsidR="00AF4E1E" w:rsidRPr="00CA6696">
        <w:rPr>
          <w:szCs w:val="18"/>
        </w:rPr>
        <w:t xml:space="preserve">. 72 y 73. Anexo </w:t>
      </w:r>
      <w:r w:rsidR="006024EF" w:rsidRPr="00091EFE">
        <w:rPr>
          <w:szCs w:val="18"/>
        </w:rPr>
        <w:t>núm. </w:t>
      </w:r>
      <w:r w:rsidR="00AF4E1E" w:rsidRPr="00CA6696">
        <w:rPr>
          <w:szCs w:val="18"/>
        </w:rPr>
        <w:t>15 del escrito de queja.</w:t>
      </w:r>
      <w:r w:rsidR="00466A08" w:rsidRPr="00CA6696">
        <w:rPr>
          <w:szCs w:val="18"/>
        </w:rPr>
        <w:t xml:space="preserve"> </w:t>
      </w:r>
    </w:p>
  </w:footnote>
  <w:footnote w:id="31">
    <w:p w14:paraId="3692FE78" w14:textId="4A942A61" w:rsidR="00AF4E1E" w:rsidRPr="002D405D" w:rsidRDefault="008014A7" w:rsidP="00F8278C">
      <w:pPr>
        <w:pStyle w:val="Textonotapie"/>
        <w:rPr>
          <w:szCs w:val="18"/>
        </w:rPr>
      </w:pPr>
      <w:r>
        <w:rPr>
          <w:szCs w:val="18"/>
        </w:rPr>
        <w:tab/>
      </w:r>
      <w:r w:rsidR="00AF4E1E" w:rsidRPr="002D405D">
        <w:rPr>
          <w:rStyle w:val="Refdenotaalpie"/>
          <w:szCs w:val="18"/>
        </w:rPr>
        <w:footnoteRef/>
      </w:r>
      <w:r w:rsidR="00AF4E1E" w:rsidRPr="002D405D">
        <w:rPr>
          <w:szCs w:val="18"/>
        </w:rPr>
        <w:t xml:space="preserve"> </w:t>
      </w:r>
      <w:r>
        <w:rPr>
          <w:szCs w:val="18"/>
        </w:rPr>
        <w:tab/>
      </w:r>
      <w:r w:rsidR="005369CE" w:rsidRPr="00091EFE">
        <w:rPr>
          <w:i/>
          <w:iCs/>
          <w:szCs w:val="18"/>
        </w:rPr>
        <w:t>Ibid.</w:t>
      </w:r>
      <w:r w:rsidR="00AF4E1E" w:rsidRPr="002D405D">
        <w:rPr>
          <w:szCs w:val="18"/>
        </w:rPr>
        <w:t>, pág</w:t>
      </w:r>
      <w:r w:rsidR="005369CE">
        <w:rPr>
          <w:szCs w:val="18"/>
        </w:rPr>
        <w:t>s</w:t>
      </w:r>
      <w:r w:rsidR="00AF4E1E" w:rsidRPr="002D405D">
        <w:rPr>
          <w:szCs w:val="18"/>
        </w:rPr>
        <w:t xml:space="preserve">. 74 y 75. </w:t>
      </w:r>
    </w:p>
  </w:footnote>
  <w:footnote w:id="32">
    <w:p w14:paraId="6765DF72" w14:textId="4BDDC402" w:rsidR="00AF4E1E" w:rsidRPr="002D405D" w:rsidRDefault="008014A7" w:rsidP="00F8278C">
      <w:pPr>
        <w:pStyle w:val="Textonotapie"/>
        <w:rPr>
          <w:szCs w:val="18"/>
          <w:lang w:val="es-419"/>
        </w:rPr>
      </w:pPr>
      <w:r>
        <w:rPr>
          <w:szCs w:val="18"/>
        </w:rPr>
        <w:tab/>
      </w:r>
      <w:r w:rsidR="00AF4E1E" w:rsidRPr="002D405D">
        <w:rPr>
          <w:rStyle w:val="Refdenotaalpie"/>
          <w:szCs w:val="18"/>
        </w:rPr>
        <w:footnoteRef/>
      </w:r>
      <w:r w:rsidR="00AF4E1E" w:rsidRPr="002D405D">
        <w:rPr>
          <w:szCs w:val="18"/>
        </w:rPr>
        <w:t xml:space="preserve"> </w:t>
      </w:r>
      <w:r w:rsidR="00BB1F4F">
        <w:rPr>
          <w:szCs w:val="18"/>
        </w:rPr>
        <w:tab/>
      </w:r>
      <w:r w:rsidR="00AF4E1E" w:rsidRPr="002D405D">
        <w:rPr>
          <w:spacing w:val="-2"/>
          <w:szCs w:val="18"/>
        </w:rPr>
        <w:t xml:space="preserve">Únicamente se prevén mecanismos especializados de reparación para los hechos acontecidos en el marco del conflicto armado interno, a través del Plan </w:t>
      </w:r>
      <w:r w:rsidR="006024EF">
        <w:rPr>
          <w:spacing w:val="-2"/>
          <w:szCs w:val="18"/>
        </w:rPr>
        <w:t>I</w:t>
      </w:r>
      <w:r w:rsidR="00AF4E1E" w:rsidRPr="002D405D">
        <w:rPr>
          <w:spacing w:val="-2"/>
          <w:szCs w:val="18"/>
        </w:rPr>
        <w:t xml:space="preserve">ntegral de </w:t>
      </w:r>
      <w:r w:rsidR="006024EF">
        <w:rPr>
          <w:spacing w:val="-2"/>
          <w:szCs w:val="18"/>
        </w:rPr>
        <w:t>R</w:t>
      </w:r>
      <w:r w:rsidR="00AF4E1E" w:rsidRPr="002D405D">
        <w:rPr>
          <w:spacing w:val="-2"/>
          <w:szCs w:val="18"/>
        </w:rPr>
        <w:t>eparaciones</w:t>
      </w:r>
      <w:r w:rsidR="00AF4E1E">
        <w:rPr>
          <w:spacing w:val="-2"/>
          <w:szCs w:val="18"/>
        </w:rPr>
        <w:t>.</w:t>
      </w:r>
    </w:p>
  </w:footnote>
  <w:footnote w:id="33">
    <w:p w14:paraId="4A3A0A14" w14:textId="343952E1" w:rsidR="00AF4E1E" w:rsidRPr="002D405D" w:rsidRDefault="00BB1F4F" w:rsidP="00F8278C">
      <w:pPr>
        <w:pStyle w:val="Textonotapie"/>
        <w:spacing w:line="240" w:lineRule="auto"/>
        <w:rPr>
          <w:szCs w:val="18"/>
          <w:lang w:val="es-419"/>
        </w:rPr>
      </w:pPr>
      <w:r>
        <w:rPr>
          <w:szCs w:val="18"/>
        </w:rPr>
        <w:tab/>
      </w:r>
      <w:r w:rsidR="00AF4E1E" w:rsidRPr="002D405D">
        <w:rPr>
          <w:rStyle w:val="Refdenotaalpie"/>
          <w:szCs w:val="18"/>
        </w:rPr>
        <w:footnoteRef/>
      </w:r>
      <w:r w:rsidR="00AF4E1E" w:rsidRPr="00091EFE">
        <w:rPr>
          <w:szCs w:val="18"/>
          <w:lang w:val="en-GB"/>
        </w:rPr>
        <w:t xml:space="preserve"> </w:t>
      </w:r>
      <w:r w:rsidRPr="00091EFE">
        <w:rPr>
          <w:szCs w:val="18"/>
          <w:lang w:val="en-GB"/>
        </w:rPr>
        <w:tab/>
      </w:r>
      <w:hyperlink r:id="rId5" w:history="1">
        <w:r w:rsidR="00AF4E1E" w:rsidRPr="00267884">
          <w:rPr>
            <w:rStyle w:val="Hipervnculo"/>
            <w:szCs w:val="18"/>
            <w:lang w:val="en-GB"/>
          </w:rPr>
          <w:t>CAT/C/PER/CO/7</w:t>
        </w:r>
      </w:hyperlink>
      <w:r w:rsidR="00AF4E1E" w:rsidRPr="00091EFE">
        <w:rPr>
          <w:szCs w:val="18"/>
          <w:lang w:val="en-GB"/>
        </w:rPr>
        <w:t>, párr.</w:t>
      </w:r>
      <w:r w:rsidR="00F8278C" w:rsidRPr="00091EFE">
        <w:rPr>
          <w:szCs w:val="18"/>
          <w:lang w:val="en-GB"/>
        </w:rPr>
        <w:t> </w:t>
      </w:r>
      <w:r w:rsidR="00AF4E1E" w:rsidRPr="002D405D">
        <w:rPr>
          <w:szCs w:val="18"/>
        </w:rPr>
        <w:t>34.</w:t>
      </w:r>
      <w:r w:rsidR="00466A08">
        <w:rPr>
          <w:szCs w:val="18"/>
        </w:rPr>
        <w:t xml:space="preserve"> </w:t>
      </w:r>
    </w:p>
  </w:footnote>
  <w:footnote w:id="34">
    <w:p w14:paraId="5EF05F59" w14:textId="4675AFD1" w:rsidR="00AF4E1E" w:rsidRPr="002D405D" w:rsidRDefault="00BB1F4F" w:rsidP="00F8278C">
      <w:pPr>
        <w:pStyle w:val="Textonotapie"/>
        <w:rPr>
          <w:szCs w:val="18"/>
        </w:rPr>
      </w:pPr>
      <w:r>
        <w:rPr>
          <w:szCs w:val="18"/>
        </w:rPr>
        <w:tab/>
      </w:r>
      <w:r w:rsidR="00AF4E1E" w:rsidRPr="002D405D">
        <w:rPr>
          <w:rStyle w:val="Refdenotaalpie"/>
          <w:szCs w:val="18"/>
        </w:rPr>
        <w:footnoteRef/>
      </w:r>
      <w:r w:rsidR="00AF4E1E" w:rsidRPr="002D405D">
        <w:rPr>
          <w:szCs w:val="18"/>
        </w:rPr>
        <w:t xml:space="preserve"> </w:t>
      </w:r>
      <w:r>
        <w:rPr>
          <w:szCs w:val="18"/>
        </w:rPr>
        <w:tab/>
      </w:r>
      <w:r w:rsidR="00AF4E1E" w:rsidRPr="002D405D">
        <w:rPr>
          <w:i/>
          <w:iCs/>
          <w:szCs w:val="18"/>
          <w:lang w:val="es-419" w:eastAsia="fr-FR"/>
        </w:rPr>
        <w:t xml:space="preserve">Osmani </w:t>
      </w:r>
      <w:r w:rsidR="00AF4E1E">
        <w:rPr>
          <w:i/>
          <w:iCs/>
          <w:szCs w:val="18"/>
          <w:lang w:val="es-419" w:eastAsia="fr-FR"/>
        </w:rPr>
        <w:t>c. Serbia</w:t>
      </w:r>
      <w:r w:rsidR="00AF4E1E" w:rsidRPr="002D405D">
        <w:rPr>
          <w:szCs w:val="18"/>
          <w:lang w:val="es-419" w:eastAsia="fr-FR"/>
        </w:rPr>
        <w:t xml:space="preserve"> </w:t>
      </w:r>
      <w:r w:rsidR="00AF4E1E">
        <w:rPr>
          <w:szCs w:val="18"/>
          <w:lang w:val="es-419" w:eastAsia="fr-FR"/>
        </w:rPr>
        <w:t>(</w:t>
      </w:r>
      <w:hyperlink r:id="rId6" w:history="1">
        <w:r w:rsidR="00AF4E1E" w:rsidRPr="00267884">
          <w:rPr>
            <w:rStyle w:val="Hipervnculo"/>
            <w:szCs w:val="18"/>
            <w:lang w:val="es-419" w:eastAsia="fr-FR"/>
          </w:rPr>
          <w:t>CAT/C/42/D/261/2005</w:t>
        </w:r>
      </w:hyperlink>
      <w:r w:rsidR="00AF4E1E">
        <w:rPr>
          <w:szCs w:val="18"/>
          <w:lang w:val="es-419" w:eastAsia="fr-FR"/>
        </w:rPr>
        <w:t>)</w:t>
      </w:r>
      <w:r w:rsidR="00AF4E1E" w:rsidRPr="002D405D">
        <w:rPr>
          <w:szCs w:val="18"/>
          <w:lang w:val="es-419" w:eastAsia="fr-FR"/>
        </w:rPr>
        <w:t>, p</w:t>
      </w:r>
      <w:r w:rsidR="00AF4E1E">
        <w:rPr>
          <w:szCs w:val="18"/>
          <w:lang w:val="es-419" w:eastAsia="fr-FR"/>
        </w:rPr>
        <w:t>ár</w:t>
      </w:r>
      <w:r w:rsidR="00AF4E1E" w:rsidRPr="002D405D">
        <w:rPr>
          <w:szCs w:val="18"/>
          <w:lang w:val="es-419" w:eastAsia="fr-FR"/>
        </w:rPr>
        <w:t>r</w:t>
      </w:r>
      <w:r w:rsidR="00AF4E1E">
        <w:rPr>
          <w:szCs w:val="18"/>
          <w:lang w:val="es-419" w:eastAsia="fr-FR"/>
        </w:rPr>
        <w:t>.</w:t>
      </w:r>
      <w:r w:rsidR="00AF4E1E" w:rsidRPr="002D405D">
        <w:rPr>
          <w:szCs w:val="18"/>
          <w:lang w:val="es-419" w:eastAsia="fr-FR"/>
        </w:rPr>
        <w:t xml:space="preserve"> 7.1.</w:t>
      </w:r>
    </w:p>
  </w:footnote>
  <w:footnote w:id="35">
    <w:p w14:paraId="3B1E136E" w14:textId="2F43ED49" w:rsidR="00AF4E1E" w:rsidRPr="002D405D" w:rsidRDefault="00AF4E1E" w:rsidP="008D62C4">
      <w:pPr>
        <w:pStyle w:val="Textonotapie"/>
        <w:rPr>
          <w:szCs w:val="18"/>
          <w:lang w:val="es-AR"/>
        </w:rPr>
      </w:pPr>
      <w:r w:rsidRPr="002D405D">
        <w:rPr>
          <w:szCs w:val="18"/>
          <w:lang w:val="es-AR"/>
        </w:rPr>
        <w:tab/>
      </w:r>
      <w:r w:rsidRPr="002D405D">
        <w:rPr>
          <w:rStyle w:val="Refdenotaalpie"/>
          <w:szCs w:val="18"/>
        </w:rPr>
        <w:footnoteRef/>
      </w:r>
      <w:r w:rsidRPr="002D405D">
        <w:rPr>
          <w:szCs w:val="18"/>
          <w:lang w:val="es-AR"/>
        </w:rPr>
        <w:t xml:space="preserve"> </w:t>
      </w:r>
      <w:r w:rsidR="00BB1F4F">
        <w:rPr>
          <w:szCs w:val="18"/>
          <w:lang w:val="es-AR"/>
        </w:rPr>
        <w:tab/>
      </w:r>
      <w:r w:rsidRPr="002D405D">
        <w:rPr>
          <w:szCs w:val="18"/>
          <w:lang w:val="es-AR"/>
        </w:rPr>
        <w:t>Véase asimismo la Ley núm. 23.5</w:t>
      </w:r>
      <w:r w:rsidRPr="00FE5477">
        <w:rPr>
          <w:szCs w:val="18"/>
          <w:lang w:val="es-AR"/>
        </w:rPr>
        <w:t xml:space="preserve">06 de </w:t>
      </w:r>
      <w:r w:rsidRPr="00091EFE">
        <w:rPr>
          <w:i/>
          <w:iCs/>
          <w:szCs w:val="18"/>
          <w:lang w:val="es-AR"/>
        </w:rPr>
        <w:t>Habeas Corpus</w:t>
      </w:r>
      <w:r w:rsidRPr="00FE5477">
        <w:rPr>
          <w:szCs w:val="18"/>
          <w:lang w:val="es-AR"/>
        </w:rPr>
        <w:t xml:space="preserve"> y </w:t>
      </w:r>
      <w:r w:rsidR="00A7065F">
        <w:rPr>
          <w:szCs w:val="18"/>
          <w:lang w:val="es-AR"/>
        </w:rPr>
        <w:t>a</w:t>
      </w:r>
      <w:r w:rsidRPr="00FE5477">
        <w:rPr>
          <w:szCs w:val="18"/>
          <w:lang w:val="es-AR"/>
        </w:rPr>
        <w:t>mparo, art. 1.</w:t>
      </w:r>
      <w:r w:rsidR="006024EF" w:rsidRPr="00FE5477">
        <w:rPr>
          <w:szCs w:val="18"/>
          <w:lang w:val="es-AR"/>
        </w:rPr>
        <w:t xml:space="preserve"> </w:t>
      </w:r>
      <w:r w:rsidRPr="00FE5477">
        <w:rPr>
          <w:szCs w:val="18"/>
          <w:lang w:val="es-AR"/>
        </w:rPr>
        <w:t>V</w:t>
      </w:r>
      <w:r w:rsidR="008D62C4" w:rsidRPr="00FE5477">
        <w:rPr>
          <w:szCs w:val="18"/>
          <w:lang w:val="es-AR"/>
        </w:rPr>
        <w:t>éase</w:t>
      </w:r>
      <w:r w:rsidRPr="00FE5477">
        <w:rPr>
          <w:szCs w:val="18"/>
          <w:lang w:val="es-AR"/>
        </w:rPr>
        <w:t xml:space="preserve"> también </w:t>
      </w:r>
      <w:r w:rsidRPr="00FE5477">
        <w:rPr>
          <w:i/>
          <w:iCs/>
          <w:szCs w:val="18"/>
        </w:rPr>
        <w:t>Akmatov c. Kirguistán</w:t>
      </w:r>
      <w:r w:rsidRPr="00FE5477">
        <w:rPr>
          <w:szCs w:val="18"/>
        </w:rPr>
        <w:t>, párr.</w:t>
      </w:r>
      <w:r w:rsidR="006024EF" w:rsidRPr="00091EFE">
        <w:rPr>
          <w:szCs w:val="18"/>
        </w:rPr>
        <w:t> </w:t>
      </w:r>
      <w:r w:rsidRPr="00FE5477">
        <w:rPr>
          <w:szCs w:val="18"/>
        </w:rPr>
        <w:t>7.3.</w:t>
      </w:r>
      <w:r w:rsidR="00466A08">
        <w:rPr>
          <w:szCs w:val="18"/>
        </w:rPr>
        <w:t xml:space="preserve"> </w:t>
      </w:r>
    </w:p>
  </w:footnote>
  <w:footnote w:id="36">
    <w:p w14:paraId="0BDC31B7" w14:textId="56FB35A4" w:rsidR="00AF4E1E" w:rsidRPr="00F80661" w:rsidRDefault="00BB1F4F" w:rsidP="00F8278C">
      <w:pPr>
        <w:pStyle w:val="Textonotapie"/>
        <w:rPr>
          <w:lang w:val="es-419"/>
        </w:rPr>
      </w:pPr>
      <w:r>
        <w:tab/>
      </w:r>
      <w:r w:rsidR="00AF4E1E">
        <w:rPr>
          <w:rStyle w:val="Refdenotaalpie"/>
        </w:rPr>
        <w:footnoteRef/>
      </w:r>
      <w:r w:rsidR="00AF4E1E">
        <w:t xml:space="preserve"> </w:t>
      </w:r>
      <w:r>
        <w:tab/>
      </w:r>
      <w:r w:rsidR="00AF4E1E" w:rsidRPr="00F80661">
        <w:rPr>
          <w:i/>
          <w:iCs/>
        </w:rPr>
        <w:t xml:space="preserve">Yrusta </w:t>
      </w:r>
      <w:r w:rsidR="008D62C4">
        <w:rPr>
          <w:i/>
          <w:iCs/>
        </w:rPr>
        <w:t xml:space="preserve">y del Valle </w:t>
      </w:r>
      <w:r w:rsidR="00CA6696">
        <w:rPr>
          <w:i/>
          <w:iCs/>
        </w:rPr>
        <w:t xml:space="preserve">Yrusta </w:t>
      </w:r>
      <w:r w:rsidR="00AF4E1E">
        <w:rPr>
          <w:i/>
          <w:iCs/>
        </w:rPr>
        <w:t>c</w:t>
      </w:r>
      <w:r w:rsidR="00AF4E1E" w:rsidRPr="00F80661">
        <w:rPr>
          <w:i/>
          <w:iCs/>
        </w:rPr>
        <w:t>. Argentina</w:t>
      </w:r>
      <w:r w:rsidR="00AF4E1E">
        <w:t xml:space="preserve"> (</w:t>
      </w:r>
      <w:hyperlink r:id="rId7" w:history="1">
        <w:r w:rsidR="00AF4E1E" w:rsidRPr="00267884">
          <w:rPr>
            <w:rStyle w:val="Hipervnculo"/>
          </w:rPr>
          <w:t>CAT/C/65/D/778/2016</w:t>
        </w:r>
      </w:hyperlink>
      <w:r w:rsidR="00AF4E1E">
        <w:t>), párr. 7.2</w:t>
      </w:r>
      <w:r>
        <w:t>.</w:t>
      </w:r>
    </w:p>
  </w:footnote>
  <w:footnote w:id="37">
    <w:p w14:paraId="71D33598" w14:textId="272A5AFD" w:rsidR="00BB1F4F" w:rsidRPr="00E47DFB" w:rsidRDefault="00312D6D" w:rsidP="00F8278C">
      <w:pPr>
        <w:pStyle w:val="Textonotapie"/>
        <w:tabs>
          <w:tab w:val="clear" w:pos="1021"/>
          <w:tab w:val="right" w:pos="1020"/>
        </w:tabs>
      </w:pPr>
      <w:r>
        <w:tab/>
      </w:r>
      <w:r w:rsidR="00BB1F4F">
        <w:rPr>
          <w:rStyle w:val="Refdenotaalpie"/>
        </w:rPr>
        <w:footnoteRef/>
      </w:r>
      <w:r w:rsidR="00BB1F4F">
        <w:tab/>
      </w:r>
      <w:r w:rsidR="00BB1F4F" w:rsidRPr="002D405D">
        <w:rPr>
          <w:i/>
          <w:iCs/>
          <w:szCs w:val="18"/>
          <w:lang w:val="es-419" w:eastAsia="fr-FR"/>
        </w:rPr>
        <w:t xml:space="preserve">Evloev </w:t>
      </w:r>
      <w:r w:rsidR="00BB1F4F">
        <w:rPr>
          <w:i/>
          <w:iCs/>
          <w:szCs w:val="18"/>
          <w:lang w:val="es-419" w:eastAsia="fr-FR"/>
        </w:rPr>
        <w:t>c.</w:t>
      </w:r>
      <w:r w:rsidR="00BB1F4F" w:rsidRPr="002D405D">
        <w:rPr>
          <w:i/>
          <w:iCs/>
          <w:szCs w:val="18"/>
          <w:lang w:val="es-419" w:eastAsia="fr-FR"/>
        </w:rPr>
        <w:t xml:space="preserve"> Kaza</w:t>
      </w:r>
      <w:r w:rsidR="00BB1F4F">
        <w:rPr>
          <w:i/>
          <w:iCs/>
          <w:szCs w:val="18"/>
          <w:lang w:val="es-419" w:eastAsia="fr-FR"/>
        </w:rPr>
        <w:t>jstán</w:t>
      </w:r>
      <w:r w:rsidR="00BB1F4F" w:rsidRPr="002D405D">
        <w:rPr>
          <w:szCs w:val="18"/>
          <w:lang w:val="es-419" w:eastAsia="fr-FR"/>
        </w:rPr>
        <w:t xml:space="preserve"> </w:t>
      </w:r>
      <w:r w:rsidR="00BB1F4F">
        <w:rPr>
          <w:szCs w:val="18"/>
          <w:lang w:val="es-419" w:eastAsia="fr-FR"/>
        </w:rPr>
        <w:t>(</w:t>
      </w:r>
      <w:hyperlink r:id="rId8" w:history="1">
        <w:r w:rsidR="00BB1F4F" w:rsidRPr="00267884">
          <w:rPr>
            <w:rStyle w:val="Hipervnculo"/>
            <w:szCs w:val="18"/>
            <w:lang w:val="es-419" w:eastAsia="fr-FR"/>
          </w:rPr>
          <w:t>CAT/C/51/D/441/2010</w:t>
        </w:r>
      </w:hyperlink>
      <w:r w:rsidR="00BB1F4F">
        <w:rPr>
          <w:szCs w:val="18"/>
          <w:lang w:val="es-419" w:eastAsia="fr-FR"/>
        </w:rPr>
        <w:t>)</w:t>
      </w:r>
      <w:r w:rsidR="00BB1F4F" w:rsidRPr="002D405D">
        <w:rPr>
          <w:szCs w:val="18"/>
          <w:lang w:val="es-419" w:eastAsia="fr-FR"/>
        </w:rPr>
        <w:t>, p</w:t>
      </w:r>
      <w:r w:rsidR="00BB1F4F">
        <w:rPr>
          <w:szCs w:val="18"/>
          <w:lang w:val="es-419" w:eastAsia="fr-FR"/>
        </w:rPr>
        <w:t>árr.</w:t>
      </w:r>
      <w:r w:rsidR="00F8278C">
        <w:rPr>
          <w:szCs w:val="18"/>
          <w:lang w:val="es-419" w:eastAsia="fr-FR"/>
        </w:rPr>
        <w:t> </w:t>
      </w:r>
      <w:r w:rsidR="00BB1F4F" w:rsidRPr="002D405D">
        <w:rPr>
          <w:szCs w:val="18"/>
          <w:lang w:val="es-419" w:eastAsia="fr-FR"/>
        </w:rPr>
        <w:t xml:space="preserve">9.5; </w:t>
      </w:r>
      <w:r w:rsidR="00BB1F4F" w:rsidRPr="007638EB">
        <w:rPr>
          <w:i/>
          <w:iCs/>
          <w:szCs w:val="18"/>
          <w:lang w:val="es-419" w:eastAsia="fr-FR"/>
        </w:rPr>
        <w:t>Bairamov c. Kazajstán</w:t>
      </w:r>
      <w:r w:rsidR="00BB1F4F" w:rsidRPr="007638EB">
        <w:rPr>
          <w:szCs w:val="18"/>
          <w:lang w:val="es-419" w:eastAsia="fr-FR"/>
        </w:rPr>
        <w:t xml:space="preserve"> (</w:t>
      </w:r>
      <w:hyperlink r:id="rId9" w:history="1">
        <w:r w:rsidR="00BB1F4F" w:rsidRPr="00267884">
          <w:rPr>
            <w:rStyle w:val="Hipervnculo"/>
            <w:szCs w:val="18"/>
            <w:shd w:val="clear" w:color="auto" w:fill="FFFFFF"/>
          </w:rPr>
          <w:t>CAT/C/52/D/497/2012</w:t>
        </w:r>
      </w:hyperlink>
      <w:r w:rsidR="00BB1F4F" w:rsidRPr="007638EB">
        <w:rPr>
          <w:szCs w:val="18"/>
          <w:shd w:val="clear" w:color="auto" w:fill="FFFFFF"/>
        </w:rPr>
        <w:t>),</w:t>
      </w:r>
      <w:r w:rsidR="00BB1F4F" w:rsidRPr="007638EB">
        <w:rPr>
          <w:szCs w:val="18"/>
          <w:lang w:val="es-419" w:eastAsia="fr-FR"/>
        </w:rPr>
        <w:t xml:space="preserve"> párr. 8.7; y </w:t>
      </w:r>
      <w:r w:rsidR="00BB1F4F" w:rsidRPr="007638EB">
        <w:rPr>
          <w:i/>
          <w:iCs/>
          <w:szCs w:val="18"/>
          <w:lang w:val="es-419" w:eastAsia="fr-FR"/>
        </w:rPr>
        <w:t>Gerasimov c. Kazajstán</w:t>
      </w:r>
      <w:r w:rsidR="00BB1F4F" w:rsidRPr="007638EB">
        <w:rPr>
          <w:szCs w:val="18"/>
          <w:lang w:val="es-419" w:eastAsia="fr-FR"/>
        </w:rPr>
        <w:t xml:space="preserve"> (</w:t>
      </w:r>
      <w:hyperlink r:id="rId10" w:history="1">
        <w:r w:rsidR="00BB1F4F" w:rsidRPr="00267884">
          <w:rPr>
            <w:rStyle w:val="Hipervnculo"/>
            <w:szCs w:val="18"/>
            <w:lang w:val="es-419" w:eastAsia="fr-FR"/>
          </w:rPr>
          <w:t>CAT/C/48/D/433/2010</w:t>
        </w:r>
      </w:hyperlink>
      <w:r w:rsidR="00BB1F4F" w:rsidRPr="007638EB">
        <w:rPr>
          <w:szCs w:val="18"/>
          <w:lang w:val="es-419" w:eastAsia="fr-FR"/>
        </w:rPr>
        <w:t>), párr. 12.5.</w:t>
      </w:r>
      <w:r w:rsidR="00BB1F4F">
        <w:t xml:space="preserve"> </w:t>
      </w:r>
    </w:p>
  </w:footnote>
  <w:footnote w:id="38">
    <w:p w14:paraId="1A1E1CB7" w14:textId="6A4006FB" w:rsidR="00AF4E1E" w:rsidRPr="002D405D" w:rsidRDefault="00285B13" w:rsidP="00F8278C">
      <w:pPr>
        <w:pStyle w:val="Textonotapie"/>
        <w:rPr>
          <w:szCs w:val="18"/>
          <w:lang w:val="es-419"/>
        </w:rPr>
      </w:pPr>
      <w:r>
        <w:rPr>
          <w:szCs w:val="18"/>
        </w:rPr>
        <w:tab/>
      </w:r>
      <w:r w:rsidR="00AF4E1E" w:rsidRPr="002D405D">
        <w:rPr>
          <w:rStyle w:val="Refdenotaalpie"/>
          <w:szCs w:val="18"/>
        </w:rPr>
        <w:footnoteRef/>
      </w:r>
      <w:r w:rsidR="00AF4E1E" w:rsidRPr="002D405D">
        <w:rPr>
          <w:szCs w:val="18"/>
        </w:rPr>
        <w:t xml:space="preserve"> </w:t>
      </w:r>
      <w:r>
        <w:rPr>
          <w:szCs w:val="18"/>
        </w:rPr>
        <w:tab/>
      </w:r>
      <w:r w:rsidR="00AF4E1E" w:rsidRPr="00091EFE">
        <w:rPr>
          <w:szCs w:val="18"/>
        </w:rPr>
        <w:t>Caso</w:t>
      </w:r>
      <w:r w:rsidR="00AF4E1E" w:rsidRPr="00BD009C">
        <w:rPr>
          <w:i/>
          <w:iCs/>
          <w:szCs w:val="18"/>
        </w:rPr>
        <w:t xml:space="preserve"> J. </w:t>
      </w:r>
      <w:r w:rsidR="001D51E9">
        <w:rPr>
          <w:i/>
          <w:iCs/>
          <w:szCs w:val="18"/>
        </w:rPr>
        <w:t>vs</w:t>
      </w:r>
      <w:r w:rsidR="00AF4E1E">
        <w:rPr>
          <w:i/>
          <w:iCs/>
          <w:szCs w:val="18"/>
        </w:rPr>
        <w:t>.</w:t>
      </w:r>
      <w:r w:rsidR="00AF4E1E" w:rsidRPr="00BD009C">
        <w:rPr>
          <w:i/>
          <w:iCs/>
          <w:szCs w:val="18"/>
        </w:rPr>
        <w:t xml:space="preserve"> Perú</w:t>
      </w:r>
      <w:r w:rsidR="001D51E9">
        <w:rPr>
          <w:szCs w:val="18"/>
        </w:rPr>
        <w:t>,</w:t>
      </w:r>
      <w:r w:rsidR="00AF4E1E" w:rsidRPr="002D405D">
        <w:rPr>
          <w:szCs w:val="18"/>
        </w:rPr>
        <w:t xml:space="preserve"> </w:t>
      </w:r>
      <w:r w:rsidR="00A32D23">
        <w:rPr>
          <w:szCs w:val="18"/>
        </w:rPr>
        <w:t>s</w:t>
      </w:r>
      <w:r w:rsidR="00AF4E1E" w:rsidRPr="002D405D">
        <w:rPr>
          <w:szCs w:val="18"/>
        </w:rPr>
        <w:t>entencia de 27 de noviembre de 2013</w:t>
      </w:r>
      <w:r w:rsidR="00AF4E1E">
        <w:rPr>
          <w:szCs w:val="18"/>
        </w:rPr>
        <w:t>,</w:t>
      </w:r>
      <w:r w:rsidR="00AF4E1E" w:rsidRPr="0074135B">
        <w:rPr>
          <w:szCs w:val="18"/>
          <w:lang w:val="es-419"/>
        </w:rPr>
        <w:t xml:space="preserve"> </w:t>
      </w:r>
      <w:r w:rsidR="007F3DD2">
        <w:rPr>
          <w:szCs w:val="18"/>
          <w:lang w:val="es-419"/>
        </w:rPr>
        <w:t xml:space="preserve">Serie C núm. 275, </w:t>
      </w:r>
      <w:r w:rsidR="00AF4E1E" w:rsidRPr="002D405D">
        <w:rPr>
          <w:szCs w:val="18"/>
          <w:lang w:val="es-419"/>
        </w:rPr>
        <w:t>p</w:t>
      </w:r>
      <w:r w:rsidR="00AF4E1E">
        <w:rPr>
          <w:szCs w:val="18"/>
          <w:lang w:val="es-419"/>
        </w:rPr>
        <w:t>ár</w:t>
      </w:r>
      <w:r w:rsidR="00AF4E1E" w:rsidRPr="002D405D">
        <w:rPr>
          <w:szCs w:val="18"/>
          <w:lang w:val="es-419"/>
        </w:rPr>
        <w:t>r. 333</w:t>
      </w:r>
      <w:r w:rsidR="00A32D23">
        <w:rPr>
          <w:szCs w:val="18"/>
          <w:lang w:val="es-419"/>
        </w:rPr>
        <w:t>.</w:t>
      </w:r>
    </w:p>
  </w:footnote>
  <w:footnote w:id="39">
    <w:p w14:paraId="10405148" w14:textId="68968A41" w:rsidR="00AF4E1E" w:rsidRPr="002D405D" w:rsidRDefault="000F4E04" w:rsidP="00F8278C">
      <w:pPr>
        <w:pStyle w:val="Textonotapie"/>
        <w:rPr>
          <w:szCs w:val="18"/>
        </w:rPr>
      </w:pPr>
      <w:r>
        <w:rPr>
          <w:szCs w:val="18"/>
        </w:rPr>
        <w:tab/>
      </w:r>
      <w:r w:rsidR="00AF4E1E" w:rsidRPr="002D405D">
        <w:rPr>
          <w:rStyle w:val="Refdenotaalpie"/>
          <w:szCs w:val="18"/>
        </w:rPr>
        <w:footnoteRef/>
      </w:r>
      <w:r w:rsidR="00AF4E1E">
        <w:rPr>
          <w:szCs w:val="18"/>
        </w:rPr>
        <w:t xml:space="preserve"> </w:t>
      </w:r>
      <w:r>
        <w:rPr>
          <w:szCs w:val="18"/>
        </w:rPr>
        <w:tab/>
      </w:r>
      <w:r w:rsidR="00AF4E1E" w:rsidRPr="00091EFE">
        <w:rPr>
          <w:szCs w:val="18"/>
        </w:rPr>
        <w:t>Caso</w:t>
      </w:r>
      <w:r w:rsidR="00AF4E1E" w:rsidRPr="00BD009C">
        <w:rPr>
          <w:i/>
          <w:iCs/>
          <w:szCs w:val="18"/>
        </w:rPr>
        <w:t xml:space="preserve"> Ríos</w:t>
      </w:r>
      <w:r w:rsidR="00D8455A">
        <w:rPr>
          <w:i/>
          <w:iCs/>
          <w:szCs w:val="18"/>
        </w:rPr>
        <w:t xml:space="preserve"> y otros</w:t>
      </w:r>
      <w:r w:rsidR="00AF4E1E" w:rsidRPr="00BD009C">
        <w:rPr>
          <w:i/>
          <w:iCs/>
          <w:szCs w:val="18"/>
        </w:rPr>
        <w:t xml:space="preserve"> </w:t>
      </w:r>
      <w:r w:rsidR="00955034">
        <w:rPr>
          <w:i/>
          <w:iCs/>
          <w:szCs w:val="18"/>
        </w:rPr>
        <w:t>vs</w:t>
      </w:r>
      <w:r w:rsidR="00AF4E1E">
        <w:rPr>
          <w:i/>
          <w:iCs/>
          <w:szCs w:val="18"/>
        </w:rPr>
        <w:t>.</w:t>
      </w:r>
      <w:r w:rsidR="00AF4E1E" w:rsidRPr="00BD009C">
        <w:rPr>
          <w:i/>
          <w:iCs/>
          <w:szCs w:val="18"/>
        </w:rPr>
        <w:t xml:space="preserve"> Venezuela</w:t>
      </w:r>
      <w:r w:rsidR="00955034">
        <w:rPr>
          <w:szCs w:val="18"/>
        </w:rPr>
        <w:t>,</w:t>
      </w:r>
      <w:r w:rsidR="00AF4E1E" w:rsidRPr="002D405D">
        <w:rPr>
          <w:szCs w:val="18"/>
        </w:rPr>
        <w:t xml:space="preserve"> </w:t>
      </w:r>
      <w:r w:rsidR="00955034">
        <w:rPr>
          <w:szCs w:val="18"/>
        </w:rPr>
        <w:t>s</w:t>
      </w:r>
      <w:r w:rsidR="00AF4E1E" w:rsidRPr="002D405D">
        <w:rPr>
          <w:szCs w:val="18"/>
        </w:rPr>
        <w:t>entencia de 28 de enero de</w:t>
      </w:r>
      <w:r w:rsidR="00F8278C">
        <w:rPr>
          <w:szCs w:val="18"/>
        </w:rPr>
        <w:t> </w:t>
      </w:r>
      <w:r w:rsidR="00AF4E1E" w:rsidRPr="002D405D">
        <w:rPr>
          <w:szCs w:val="18"/>
        </w:rPr>
        <w:t>2009</w:t>
      </w:r>
      <w:r w:rsidR="00955034">
        <w:rPr>
          <w:szCs w:val="18"/>
        </w:rPr>
        <w:t>, Serie C núm. 194,</w:t>
      </w:r>
      <w:r w:rsidR="00AF4E1E" w:rsidRPr="002D405D">
        <w:rPr>
          <w:szCs w:val="18"/>
        </w:rPr>
        <w:t xml:space="preserve"> </w:t>
      </w:r>
      <w:r w:rsidR="00955034">
        <w:rPr>
          <w:szCs w:val="18"/>
        </w:rPr>
        <w:t>pá</w:t>
      </w:r>
      <w:r w:rsidR="00AF4E1E" w:rsidRPr="002D405D">
        <w:rPr>
          <w:szCs w:val="18"/>
        </w:rPr>
        <w:t>rr. 321.</w:t>
      </w:r>
    </w:p>
  </w:footnote>
  <w:footnote w:id="40">
    <w:p w14:paraId="0E7ADE7F" w14:textId="1AE38B91" w:rsidR="00AF4E1E" w:rsidRPr="00BD009C" w:rsidRDefault="000F4E04" w:rsidP="00F8278C">
      <w:pPr>
        <w:pStyle w:val="Textonotapie"/>
        <w:rPr>
          <w:lang w:val="es-419"/>
        </w:rPr>
      </w:pPr>
      <w:r>
        <w:tab/>
      </w:r>
      <w:r w:rsidR="00AF4E1E">
        <w:rPr>
          <w:rStyle w:val="Refdenotaalpie"/>
        </w:rPr>
        <w:footnoteRef/>
      </w:r>
      <w:r w:rsidR="00AF4E1E">
        <w:t xml:space="preserve"> </w:t>
      </w:r>
      <w:r>
        <w:tab/>
      </w:r>
      <w:r w:rsidR="004F6B02" w:rsidRPr="00091EFE">
        <w:rPr>
          <w:i/>
          <w:iCs/>
        </w:rPr>
        <w:t>Gallastegi</w:t>
      </w:r>
      <w:r w:rsidR="004F6B02">
        <w:t xml:space="preserve"> </w:t>
      </w:r>
      <w:r w:rsidR="00AF4E1E" w:rsidRPr="00BD009C">
        <w:rPr>
          <w:i/>
          <w:iCs/>
          <w:lang w:val="es-419"/>
        </w:rPr>
        <w:t>Sodupe c. España</w:t>
      </w:r>
      <w:r w:rsidR="00AF4E1E">
        <w:rPr>
          <w:lang w:val="es-419"/>
        </w:rPr>
        <w:t xml:space="preserve"> (</w:t>
      </w:r>
      <w:hyperlink r:id="rId11" w:history="1">
        <w:r w:rsidR="00AF4E1E" w:rsidRPr="00267884">
          <w:rPr>
            <w:rStyle w:val="Hipervnculo"/>
            <w:lang w:val="es-419"/>
          </w:rPr>
          <w:t>CAT/C/48/D/453/2011</w:t>
        </w:r>
      </w:hyperlink>
      <w:r w:rsidR="00AF4E1E">
        <w:rPr>
          <w:lang w:val="es-419"/>
        </w:rPr>
        <w:t>), párr. 7.3</w:t>
      </w:r>
      <w:r w:rsidR="004F6B02">
        <w:rPr>
          <w:lang w:val="es-419"/>
        </w:rPr>
        <w:t>.</w:t>
      </w:r>
    </w:p>
  </w:footnote>
  <w:footnote w:id="41">
    <w:p w14:paraId="1AB66F7A" w14:textId="755A9473" w:rsidR="00AF4E1E" w:rsidRPr="00964A90" w:rsidRDefault="00AF4E1E" w:rsidP="00F8278C">
      <w:pPr>
        <w:pStyle w:val="Textonotapie"/>
      </w:pPr>
      <w:r>
        <w:tab/>
      </w:r>
      <w:r>
        <w:rPr>
          <w:rStyle w:val="Refdenotaalpie"/>
        </w:rPr>
        <w:footnoteRef/>
      </w:r>
      <w:r>
        <w:t xml:space="preserve"> </w:t>
      </w:r>
      <w:r w:rsidR="000F4E04">
        <w:tab/>
      </w:r>
      <w:r w:rsidRPr="00C71E51">
        <w:rPr>
          <w:i/>
          <w:lang w:val="es-ES_tradnl"/>
        </w:rPr>
        <w:t>Blanco Abad c. España</w:t>
      </w:r>
      <w:r>
        <w:rPr>
          <w:lang w:val="es-ES_tradnl"/>
        </w:rPr>
        <w:t xml:space="preserve"> (</w:t>
      </w:r>
      <w:hyperlink r:id="rId12" w:history="1">
        <w:r w:rsidRPr="00267884">
          <w:rPr>
            <w:rStyle w:val="Hipervnculo"/>
            <w:lang w:val="es-ES_tradnl"/>
          </w:rPr>
          <w:t>CAT/C/20/D/59/1996</w:t>
        </w:r>
      </w:hyperlink>
      <w:r>
        <w:rPr>
          <w:lang w:val="es-ES_tradnl"/>
        </w:rPr>
        <w:t xml:space="preserve">), párr. 8.8. Véase también </w:t>
      </w:r>
      <w:r w:rsidR="00420F03">
        <w:rPr>
          <w:lang w:val="es-ES_tradnl"/>
        </w:rPr>
        <w:t xml:space="preserve">Comité de Derechos Humanos, </w:t>
      </w:r>
      <w:r w:rsidR="007A6668">
        <w:rPr>
          <w:lang w:val="es-ES_tradnl"/>
        </w:rPr>
        <w:t>o</w:t>
      </w:r>
      <w:r>
        <w:rPr>
          <w:lang w:val="es-ES_tradnl"/>
        </w:rPr>
        <w:t xml:space="preserve">bservación general </w:t>
      </w:r>
      <w:r w:rsidR="007A6668">
        <w:rPr>
          <w:lang w:val="es-ES_tradnl"/>
        </w:rPr>
        <w:t>núm. </w:t>
      </w:r>
      <w:r>
        <w:rPr>
          <w:lang w:val="es-ES_tradnl"/>
        </w:rPr>
        <w:t>32 (2007) sobre el derecho a un juicio imparcial y a la igualdad ante los tribunales y cortes de justicia</w:t>
      </w:r>
      <w:r w:rsidR="00420F03">
        <w:rPr>
          <w:lang w:val="es-ES_tradnl"/>
        </w:rPr>
        <w:t xml:space="preserve">, </w:t>
      </w:r>
      <w:r w:rsidRPr="00964A90">
        <w:t>párr. 41.</w:t>
      </w:r>
    </w:p>
  </w:footnote>
  <w:footnote w:id="42">
    <w:p w14:paraId="63DF5DC8" w14:textId="60C0FD6F" w:rsidR="00AF4E1E" w:rsidRPr="00E7246D" w:rsidRDefault="000F4E04" w:rsidP="00F8278C">
      <w:pPr>
        <w:pStyle w:val="Textonotapie"/>
        <w:rPr>
          <w:szCs w:val="18"/>
          <w:lang w:val="es-419" w:eastAsia="fr-FR"/>
        </w:rPr>
      </w:pPr>
      <w:r>
        <w:rPr>
          <w:szCs w:val="18"/>
        </w:rPr>
        <w:tab/>
      </w:r>
      <w:r w:rsidR="00AF4E1E" w:rsidRPr="002D405D">
        <w:rPr>
          <w:rStyle w:val="Refdenotaalpie"/>
          <w:szCs w:val="18"/>
        </w:rPr>
        <w:footnoteRef/>
      </w:r>
      <w:r w:rsidR="00AF4E1E" w:rsidRPr="00964A90">
        <w:rPr>
          <w:szCs w:val="18"/>
        </w:rPr>
        <w:t xml:space="preserve"> </w:t>
      </w:r>
      <w:r>
        <w:rPr>
          <w:szCs w:val="18"/>
        </w:rPr>
        <w:tab/>
      </w:r>
      <w:r w:rsidR="00E329E2">
        <w:rPr>
          <w:szCs w:val="18"/>
          <w:lang w:eastAsia="fr-FR"/>
        </w:rPr>
        <w:t>Tribunal Europeo de Derechos Humanos,</w:t>
      </w:r>
      <w:r w:rsidR="00E329E2" w:rsidRPr="00964A90">
        <w:rPr>
          <w:szCs w:val="18"/>
          <w:lang w:eastAsia="fr-FR"/>
        </w:rPr>
        <w:t xml:space="preserve"> </w:t>
      </w:r>
      <w:r w:rsidR="00AF4E1E" w:rsidRPr="00964A90">
        <w:rPr>
          <w:i/>
          <w:iCs/>
          <w:szCs w:val="18"/>
          <w:lang w:eastAsia="fr-FR"/>
        </w:rPr>
        <w:t xml:space="preserve">Bati </w:t>
      </w:r>
      <w:r w:rsidR="00E329E2">
        <w:rPr>
          <w:i/>
          <w:iCs/>
          <w:szCs w:val="18"/>
          <w:lang w:eastAsia="fr-FR"/>
        </w:rPr>
        <w:t>and Others v</w:t>
      </w:r>
      <w:r w:rsidR="00AF4E1E" w:rsidRPr="00964A90">
        <w:rPr>
          <w:i/>
          <w:iCs/>
          <w:szCs w:val="18"/>
          <w:lang w:eastAsia="fr-FR"/>
        </w:rPr>
        <w:t xml:space="preserve">. </w:t>
      </w:r>
      <w:r w:rsidR="00E329E2">
        <w:rPr>
          <w:i/>
          <w:iCs/>
          <w:szCs w:val="18"/>
          <w:lang w:eastAsia="fr-FR"/>
        </w:rPr>
        <w:t>Turkey</w:t>
      </w:r>
      <w:r w:rsidR="00AF4E1E" w:rsidRPr="00964A90">
        <w:rPr>
          <w:szCs w:val="18"/>
          <w:lang w:eastAsia="fr-FR"/>
        </w:rPr>
        <w:t xml:space="preserve">, </w:t>
      </w:r>
      <w:r w:rsidR="00AF4E1E">
        <w:rPr>
          <w:szCs w:val="18"/>
          <w:lang w:eastAsia="fr-FR"/>
        </w:rPr>
        <w:t>sentencia</w:t>
      </w:r>
      <w:r w:rsidR="0028229E">
        <w:rPr>
          <w:szCs w:val="18"/>
          <w:lang w:eastAsia="fr-FR"/>
        </w:rPr>
        <w:t xml:space="preserve"> de</w:t>
      </w:r>
      <w:r w:rsidR="00E329E2">
        <w:rPr>
          <w:szCs w:val="18"/>
          <w:lang w:eastAsia="fr-FR"/>
        </w:rPr>
        <w:t xml:space="preserve"> 3 de junio de 2004,</w:t>
      </w:r>
      <w:r w:rsidR="00AF4E1E">
        <w:rPr>
          <w:szCs w:val="18"/>
          <w:lang w:eastAsia="fr-FR"/>
        </w:rPr>
        <w:t xml:space="preserve"> </w:t>
      </w:r>
      <w:r w:rsidR="00E329E2">
        <w:rPr>
          <w:szCs w:val="18"/>
          <w:lang w:eastAsia="fr-FR"/>
        </w:rPr>
        <w:t>demandas 33097/96 y 57834/00,</w:t>
      </w:r>
      <w:r w:rsidR="00AF4E1E" w:rsidRPr="00964A90">
        <w:rPr>
          <w:szCs w:val="18"/>
          <w:lang w:eastAsia="fr-FR"/>
        </w:rPr>
        <w:t xml:space="preserve"> p</w:t>
      </w:r>
      <w:r w:rsidR="00AF4E1E">
        <w:rPr>
          <w:szCs w:val="18"/>
          <w:lang w:eastAsia="fr-FR"/>
        </w:rPr>
        <w:t>árr.</w:t>
      </w:r>
      <w:r w:rsidR="00F8278C">
        <w:rPr>
          <w:szCs w:val="18"/>
          <w:lang w:eastAsia="fr-FR"/>
        </w:rPr>
        <w:t> </w:t>
      </w:r>
      <w:r w:rsidR="00AF4E1E" w:rsidRPr="00964A90">
        <w:rPr>
          <w:szCs w:val="18"/>
          <w:lang w:eastAsia="fr-FR"/>
        </w:rPr>
        <w:t xml:space="preserve">134. </w:t>
      </w:r>
      <w:r w:rsidR="00AF4E1E" w:rsidRPr="00E7246D">
        <w:rPr>
          <w:szCs w:val="18"/>
          <w:lang w:val="es-419" w:eastAsia="fr-FR"/>
        </w:rPr>
        <w:t>V</w:t>
      </w:r>
      <w:r w:rsidR="002C2571">
        <w:rPr>
          <w:szCs w:val="18"/>
          <w:lang w:val="es-419" w:eastAsia="fr-FR"/>
        </w:rPr>
        <w:t>éase</w:t>
      </w:r>
      <w:r w:rsidR="00AF4E1E" w:rsidRPr="00E7246D">
        <w:rPr>
          <w:szCs w:val="18"/>
          <w:lang w:val="es-419" w:eastAsia="fr-FR"/>
        </w:rPr>
        <w:t xml:space="preserve"> también </w:t>
      </w:r>
      <w:r w:rsidR="002C2571">
        <w:rPr>
          <w:szCs w:val="18"/>
          <w:lang w:val="es-419" w:eastAsia="fr-FR"/>
        </w:rPr>
        <w:t xml:space="preserve">Corte Interamericana de Derechos Humanos, caso </w:t>
      </w:r>
      <w:r w:rsidR="00AF4E1E" w:rsidRPr="00E7246D">
        <w:rPr>
          <w:i/>
          <w:iCs/>
          <w:szCs w:val="18"/>
          <w:lang w:val="es-419" w:eastAsia="fr-FR"/>
        </w:rPr>
        <w:t>Cabrera Garc</w:t>
      </w:r>
      <w:r w:rsidR="002C2571">
        <w:rPr>
          <w:i/>
          <w:iCs/>
          <w:szCs w:val="18"/>
          <w:lang w:val="es-419" w:eastAsia="fr-FR"/>
        </w:rPr>
        <w:t>í</w:t>
      </w:r>
      <w:r w:rsidR="00AF4E1E" w:rsidRPr="00E7246D">
        <w:rPr>
          <w:i/>
          <w:iCs/>
          <w:szCs w:val="18"/>
          <w:lang w:val="es-419" w:eastAsia="fr-FR"/>
        </w:rPr>
        <w:t xml:space="preserve">a </w:t>
      </w:r>
      <w:r w:rsidR="002C2571">
        <w:rPr>
          <w:i/>
          <w:iCs/>
          <w:szCs w:val="18"/>
          <w:lang w:val="es-419" w:eastAsia="fr-FR"/>
        </w:rPr>
        <w:t>y</w:t>
      </w:r>
      <w:r w:rsidR="002C2571" w:rsidRPr="00E7246D">
        <w:rPr>
          <w:i/>
          <w:iCs/>
          <w:szCs w:val="18"/>
          <w:lang w:val="es-419" w:eastAsia="fr-FR"/>
        </w:rPr>
        <w:t xml:space="preserve"> </w:t>
      </w:r>
      <w:r w:rsidR="00AF4E1E" w:rsidRPr="00E7246D">
        <w:rPr>
          <w:i/>
          <w:iCs/>
          <w:szCs w:val="18"/>
          <w:lang w:val="es-419" w:eastAsia="fr-FR"/>
        </w:rPr>
        <w:t>Montiel Flores v</w:t>
      </w:r>
      <w:r w:rsidR="002C2571">
        <w:rPr>
          <w:i/>
          <w:iCs/>
          <w:szCs w:val="18"/>
          <w:lang w:val="es-419" w:eastAsia="fr-FR"/>
        </w:rPr>
        <w:t>s.</w:t>
      </w:r>
      <w:r w:rsidR="00AF4E1E" w:rsidRPr="00E7246D">
        <w:rPr>
          <w:i/>
          <w:iCs/>
          <w:szCs w:val="18"/>
          <w:lang w:val="es-419" w:eastAsia="fr-FR"/>
        </w:rPr>
        <w:t xml:space="preserve"> M</w:t>
      </w:r>
      <w:r w:rsidR="002C2571">
        <w:rPr>
          <w:i/>
          <w:iCs/>
          <w:szCs w:val="18"/>
          <w:lang w:val="es-419" w:eastAsia="fr-FR"/>
        </w:rPr>
        <w:t>é</w:t>
      </w:r>
      <w:r w:rsidR="00AF4E1E" w:rsidRPr="00E7246D">
        <w:rPr>
          <w:i/>
          <w:iCs/>
          <w:szCs w:val="18"/>
          <w:lang w:val="es-419" w:eastAsia="fr-FR"/>
        </w:rPr>
        <w:t>xico</w:t>
      </w:r>
      <w:r w:rsidR="00AF4E1E" w:rsidRPr="00E7246D">
        <w:rPr>
          <w:szCs w:val="18"/>
          <w:lang w:val="es-419" w:eastAsia="fr-FR"/>
        </w:rPr>
        <w:t xml:space="preserve">, </w:t>
      </w:r>
      <w:r w:rsidR="002C2571">
        <w:rPr>
          <w:szCs w:val="18"/>
          <w:lang w:val="es-419" w:eastAsia="fr-FR"/>
        </w:rPr>
        <w:t xml:space="preserve">sentencia de </w:t>
      </w:r>
      <w:r w:rsidR="002C2571" w:rsidRPr="00E7246D">
        <w:rPr>
          <w:szCs w:val="18"/>
          <w:lang w:val="es-419" w:eastAsia="fr-FR"/>
        </w:rPr>
        <w:t>26</w:t>
      </w:r>
      <w:r w:rsidR="002C2571">
        <w:rPr>
          <w:szCs w:val="18"/>
          <w:lang w:val="es-419" w:eastAsia="fr-FR"/>
        </w:rPr>
        <w:t> de noviembre de</w:t>
      </w:r>
      <w:r w:rsidR="002C2571" w:rsidRPr="00E7246D">
        <w:rPr>
          <w:szCs w:val="18"/>
          <w:lang w:val="es-419" w:eastAsia="fr-FR"/>
        </w:rPr>
        <w:t xml:space="preserve"> 2010</w:t>
      </w:r>
      <w:r w:rsidR="002C2571">
        <w:rPr>
          <w:szCs w:val="18"/>
          <w:lang w:val="es-419" w:eastAsia="fr-FR"/>
        </w:rPr>
        <w:t xml:space="preserve">, </w:t>
      </w:r>
      <w:r w:rsidR="00AF4E1E" w:rsidRPr="00E7246D">
        <w:rPr>
          <w:szCs w:val="18"/>
          <w:lang w:val="es-419" w:eastAsia="fr-FR"/>
        </w:rPr>
        <w:t>Serie</w:t>
      </w:r>
      <w:r w:rsidR="002C2571">
        <w:rPr>
          <w:szCs w:val="18"/>
          <w:lang w:val="es-419" w:eastAsia="fr-FR"/>
        </w:rPr>
        <w:t> </w:t>
      </w:r>
      <w:r w:rsidR="00AF4E1E" w:rsidRPr="00E7246D">
        <w:rPr>
          <w:szCs w:val="18"/>
          <w:lang w:val="es-419" w:eastAsia="fr-FR"/>
        </w:rPr>
        <w:t xml:space="preserve">C </w:t>
      </w:r>
      <w:r w:rsidR="002C2571">
        <w:rPr>
          <w:szCs w:val="18"/>
          <w:lang w:val="es-419" w:eastAsia="fr-FR"/>
        </w:rPr>
        <w:t>núm.</w:t>
      </w:r>
      <w:r w:rsidR="00AF4E1E" w:rsidRPr="00E7246D">
        <w:rPr>
          <w:szCs w:val="18"/>
          <w:lang w:val="es-419" w:eastAsia="fr-FR"/>
        </w:rPr>
        <w:t xml:space="preserve"> 220 </w:t>
      </w:r>
      <w:r w:rsidR="002C2571">
        <w:rPr>
          <w:szCs w:val="18"/>
          <w:lang w:val="es-419" w:eastAsia="fr-FR"/>
        </w:rPr>
        <w:t>,</w:t>
      </w:r>
      <w:r w:rsidR="00AF4E1E" w:rsidRPr="00E7246D">
        <w:rPr>
          <w:szCs w:val="18"/>
          <w:lang w:val="es-419" w:eastAsia="fr-FR"/>
        </w:rPr>
        <w:t xml:space="preserve"> p</w:t>
      </w:r>
      <w:r w:rsidR="00AF4E1E">
        <w:rPr>
          <w:szCs w:val="18"/>
          <w:lang w:val="es-419" w:eastAsia="fr-FR"/>
        </w:rPr>
        <w:t>árr.</w:t>
      </w:r>
      <w:r w:rsidR="00AF4E1E" w:rsidRPr="00E7246D">
        <w:rPr>
          <w:szCs w:val="18"/>
          <w:lang w:val="es-419" w:eastAsia="fr-FR"/>
        </w:rPr>
        <w:t xml:space="preserve"> 135</w:t>
      </w:r>
      <w:r w:rsidR="002C2571">
        <w:rPr>
          <w:szCs w:val="18"/>
          <w:lang w:val="es-419" w:eastAsia="fr-FR"/>
        </w:rPr>
        <w:t>, y</w:t>
      </w:r>
      <w:r w:rsidR="00AF4E1E" w:rsidRPr="00E7246D">
        <w:rPr>
          <w:szCs w:val="18"/>
          <w:lang w:val="es-419" w:eastAsia="fr-FR"/>
        </w:rPr>
        <w:t xml:space="preserve"> </w:t>
      </w:r>
      <w:r w:rsidR="002C2571">
        <w:rPr>
          <w:szCs w:val="18"/>
          <w:lang w:val="es-419" w:eastAsia="fr-FR"/>
        </w:rPr>
        <w:t xml:space="preserve">caso </w:t>
      </w:r>
      <w:r w:rsidR="00AF4E1E" w:rsidRPr="00E7246D">
        <w:rPr>
          <w:i/>
          <w:iCs/>
          <w:szCs w:val="18"/>
          <w:lang w:val="es-419" w:eastAsia="fr-FR"/>
        </w:rPr>
        <w:t>Maldonado Vargas y otros v</w:t>
      </w:r>
      <w:r w:rsidR="002C2571">
        <w:rPr>
          <w:i/>
          <w:iCs/>
          <w:szCs w:val="18"/>
          <w:lang w:val="es-419" w:eastAsia="fr-FR"/>
        </w:rPr>
        <w:t>s.</w:t>
      </w:r>
      <w:r w:rsidR="00AF4E1E" w:rsidRPr="00E7246D">
        <w:rPr>
          <w:szCs w:val="18"/>
          <w:lang w:val="es-419" w:eastAsia="fr-FR"/>
        </w:rPr>
        <w:t xml:space="preserve"> </w:t>
      </w:r>
      <w:r w:rsidR="00AF4E1E" w:rsidRPr="00E7246D">
        <w:rPr>
          <w:i/>
          <w:iCs/>
          <w:szCs w:val="18"/>
          <w:lang w:val="es-419" w:eastAsia="fr-FR"/>
        </w:rPr>
        <w:t>Chile</w:t>
      </w:r>
      <w:r w:rsidR="002C2571">
        <w:rPr>
          <w:i/>
          <w:iCs/>
          <w:szCs w:val="18"/>
          <w:lang w:val="es-419" w:eastAsia="fr-FR"/>
        </w:rPr>
        <w:t xml:space="preserve">, </w:t>
      </w:r>
      <w:r w:rsidR="002C2571">
        <w:rPr>
          <w:szCs w:val="18"/>
          <w:lang w:val="es-419" w:eastAsia="fr-FR"/>
        </w:rPr>
        <w:t xml:space="preserve">sentencia de 2 de septiembre de 2015, Serie C núm. 300, </w:t>
      </w:r>
      <w:r w:rsidR="00AF4E1E" w:rsidRPr="00E7246D">
        <w:rPr>
          <w:szCs w:val="18"/>
          <w:lang w:val="es-419" w:eastAsia="fr-FR"/>
        </w:rPr>
        <w:t>p</w:t>
      </w:r>
      <w:r w:rsidR="00AF4E1E">
        <w:rPr>
          <w:szCs w:val="18"/>
          <w:lang w:val="es-419" w:eastAsia="fr-FR"/>
        </w:rPr>
        <w:t>árr.</w:t>
      </w:r>
      <w:r w:rsidR="00AF4E1E" w:rsidRPr="00E7246D">
        <w:rPr>
          <w:szCs w:val="18"/>
          <w:lang w:val="es-419" w:eastAsia="fr-FR"/>
        </w:rPr>
        <w:t xml:space="preserve"> 76</w:t>
      </w:r>
      <w:r w:rsidR="002C2571">
        <w:rPr>
          <w:szCs w:val="18"/>
          <w:lang w:val="es-419" w:eastAsia="fr-FR"/>
        </w:rPr>
        <w:t>.</w:t>
      </w:r>
    </w:p>
  </w:footnote>
  <w:footnote w:id="43">
    <w:p w14:paraId="0B1D9FEB" w14:textId="179A1C32" w:rsidR="00AF4E1E" w:rsidRPr="002D405D" w:rsidRDefault="000F4E04" w:rsidP="00F8278C">
      <w:pPr>
        <w:pStyle w:val="Textonotapie"/>
        <w:rPr>
          <w:szCs w:val="18"/>
          <w:lang w:val="es-419"/>
        </w:rPr>
      </w:pPr>
      <w:r>
        <w:rPr>
          <w:szCs w:val="18"/>
          <w:lang w:val="es-419"/>
        </w:rPr>
        <w:tab/>
      </w:r>
      <w:r w:rsidR="00AF4E1E" w:rsidRPr="002D405D">
        <w:rPr>
          <w:rStyle w:val="Refdenotaalpie"/>
          <w:szCs w:val="18"/>
        </w:rPr>
        <w:footnoteRef/>
      </w:r>
      <w:r w:rsidR="00AF4E1E" w:rsidRPr="002D405D">
        <w:rPr>
          <w:szCs w:val="18"/>
          <w:lang w:val="es-419"/>
        </w:rPr>
        <w:t xml:space="preserve"> </w:t>
      </w:r>
      <w:r>
        <w:rPr>
          <w:szCs w:val="18"/>
          <w:lang w:val="es-419"/>
        </w:rPr>
        <w:tab/>
      </w:r>
      <w:r w:rsidR="00AF4E1E" w:rsidRPr="002D405D">
        <w:rPr>
          <w:i/>
          <w:iCs/>
          <w:szCs w:val="18"/>
          <w:lang w:val="es-419" w:eastAsia="fr-FR"/>
        </w:rPr>
        <w:t xml:space="preserve">Blanco Abad </w:t>
      </w:r>
      <w:r w:rsidR="00AF4E1E">
        <w:rPr>
          <w:i/>
          <w:iCs/>
          <w:szCs w:val="18"/>
          <w:lang w:val="es-419" w:eastAsia="fr-FR"/>
        </w:rPr>
        <w:t>c. España</w:t>
      </w:r>
      <w:r w:rsidR="00AF4E1E" w:rsidRPr="002D405D">
        <w:rPr>
          <w:szCs w:val="18"/>
          <w:lang w:val="es-419" w:eastAsia="fr-FR"/>
        </w:rPr>
        <w:t>, p</w:t>
      </w:r>
      <w:r w:rsidR="00AF4E1E">
        <w:rPr>
          <w:szCs w:val="18"/>
          <w:lang w:val="es-419" w:eastAsia="fr-FR"/>
        </w:rPr>
        <w:t>árr.</w:t>
      </w:r>
      <w:r w:rsidR="00466A08">
        <w:rPr>
          <w:szCs w:val="18"/>
          <w:lang w:val="es-419" w:eastAsia="fr-FR"/>
        </w:rPr>
        <w:t xml:space="preserve"> </w:t>
      </w:r>
      <w:r w:rsidR="00AF4E1E" w:rsidRPr="002D405D">
        <w:rPr>
          <w:szCs w:val="18"/>
          <w:lang w:val="es-419" w:eastAsia="fr-FR"/>
        </w:rPr>
        <w:t>8.5</w:t>
      </w:r>
      <w:r w:rsidR="002C2571">
        <w:rPr>
          <w:szCs w:val="18"/>
          <w:lang w:val="es-419" w:eastAsia="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B7C4" w14:textId="3142736A" w:rsidR="00B80413" w:rsidRPr="00B80413" w:rsidRDefault="00041483">
    <w:pPr>
      <w:pStyle w:val="Encabezado"/>
    </w:pPr>
    <w:fldSimple w:instr=" TITLE  \* MERGEFORMAT ">
      <w:r w:rsidR="00EB0DC3">
        <w:t>CAT/C/75/D/930/2019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0720" w14:textId="411E43A9" w:rsidR="00B80413" w:rsidRPr="00B80413" w:rsidRDefault="00041483" w:rsidP="00B80413">
    <w:pPr>
      <w:pStyle w:val="Encabezado"/>
      <w:jc w:val="right"/>
    </w:pPr>
    <w:fldSimple w:instr=" TITLE  \* MERGEFORMAT ">
      <w:r w:rsidR="00EB0DC3">
        <w:t>CAT/C/75/D/930/2019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2153243">
    <w:abstractNumId w:val="13"/>
  </w:num>
  <w:num w:numId="2" w16cid:durableId="1045787672">
    <w:abstractNumId w:val="11"/>
  </w:num>
  <w:num w:numId="3" w16cid:durableId="173541808">
    <w:abstractNumId w:val="15"/>
  </w:num>
  <w:num w:numId="4" w16cid:durableId="1139494142">
    <w:abstractNumId w:val="14"/>
  </w:num>
  <w:num w:numId="5" w16cid:durableId="1433285438">
    <w:abstractNumId w:val="12"/>
  </w:num>
  <w:num w:numId="6" w16cid:durableId="1860046766">
    <w:abstractNumId w:val="8"/>
  </w:num>
  <w:num w:numId="7" w16cid:durableId="2030443686">
    <w:abstractNumId w:val="3"/>
  </w:num>
  <w:num w:numId="8" w16cid:durableId="1424766304">
    <w:abstractNumId w:val="2"/>
  </w:num>
  <w:num w:numId="9" w16cid:durableId="1717654098">
    <w:abstractNumId w:val="1"/>
  </w:num>
  <w:num w:numId="10" w16cid:durableId="1216969075">
    <w:abstractNumId w:val="0"/>
  </w:num>
  <w:num w:numId="11" w16cid:durableId="1590774433">
    <w:abstractNumId w:val="9"/>
  </w:num>
  <w:num w:numId="12" w16cid:durableId="647200621">
    <w:abstractNumId w:val="7"/>
  </w:num>
  <w:num w:numId="13" w16cid:durableId="1198346810">
    <w:abstractNumId w:val="6"/>
  </w:num>
  <w:num w:numId="14" w16cid:durableId="74596950">
    <w:abstractNumId w:val="5"/>
  </w:num>
  <w:num w:numId="15" w16cid:durableId="1140999017">
    <w:abstractNumId w:val="4"/>
  </w:num>
  <w:num w:numId="16" w16cid:durableId="1222786057">
    <w:abstractNumId w:val="10"/>
  </w:num>
  <w:num w:numId="17" w16cid:durableId="24380067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413"/>
    <w:rsid w:val="0000121D"/>
    <w:rsid w:val="00006678"/>
    <w:rsid w:val="000163A6"/>
    <w:rsid w:val="00020B62"/>
    <w:rsid w:val="00033EE1"/>
    <w:rsid w:val="00034597"/>
    <w:rsid w:val="000365E1"/>
    <w:rsid w:val="00040CB4"/>
    <w:rsid w:val="00041483"/>
    <w:rsid w:val="00042B72"/>
    <w:rsid w:val="00051A34"/>
    <w:rsid w:val="0005455D"/>
    <w:rsid w:val="0005467D"/>
    <w:rsid w:val="000558BD"/>
    <w:rsid w:val="000667DF"/>
    <w:rsid w:val="00075174"/>
    <w:rsid w:val="00091EFE"/>
    <w:rsid w:val="000931E8"/>
    <w:rsid w:val="000A0C9F"/>
    <w:rsid w:val="000B33E7"/>
    <w:rsid w:val="000B57E7"/>
    <w:rsid w:val="000B74A6"/>
    <w:rsid w:val="000C66DA"/>
    <w:rsid w:val="000D7E41"/>
    <w:rsid w:val="000E1FCF"/>
    <w:rsid w:val="000F09DF"/>
    <w:rsid w:val="000F4E04"/>
    <w:rsid w:val="000F61B2"/>
    <w:rsid w:val="001075E9"/>
    <w:rsid w:val="00113500"/>
    <w:rsid w:val="0014400E"/>
    <w:rsid w:val="001452AD"/>
    <w:rsid w:val="001541A7"/>
    <w:rsid w:val="00154364"/>
    <w:rsid w:val="0016508C"/>
    <w:rsid w:val="001651EC"/>
    <w:rsid w:val="001752EF"/>
    <w:rsid w:val="00177C5E"/>
    <w:rsid w:val="00180183"/>
    <w:rsid w:val="00183DE0"/>
    <w:rsid w:val="0018649F"/>
    <w:rsid w:val="00186696"/>
    <w:rsid w:val="001909A0"/>
    <w:rsid w:val="00196389"/>
    <w:rsid w:val="001A6C0B"/>
    <w:rsid w:val="001B1899"/>
    <w:rsid w:val="001B3EF6"/>
    <w:rsid w:val="001B4A09"/>
    <w:rsid w:val="001B57FA"/>
    <w:rsid w:val="001C7A89"/>
    <w:rsid w:val="001D0912"/>
    <w:rsid w:val="001D51E9"/>
    <w:rsid w:val="001E172D"/>
    <w:rsid w:val="00200C3A"/>
    <w:rsid w:val="00215BE3"/>
    <w:rsid w:val="002334E9"/>
    <w:rsid w:val="00237FDE"/>
    <w:rsid w:val="00240F71"/>
    <w:rsid w:val="00246463"/>
    <w:rsid w:val="002549F7"/>
    <w:rsid w:val="00266984"/>
    <w:rsid w:val="00267884"/>
    <w:rsid w:val="00271EDB"/>
    <w:rsid w:val="0027251D"/>
    <w:rsid w:val="0028229E"/>
    <w:rsid w:val="00285B13"/>
    <w:rsid w:val="00291A9B"/>
    <w:rsid w:val="002927F1"/>
    <w:rsid w:val="002A2EFC"/>
    <w:rsid w:val="002A5CBC"/>
    <w:rsid w:val="002C0E18"/>
    <w:rsid w:val="002C2571"/>
    <w:rsid w:val="002C7888"/>
    <w:rsid w:val="002D5AAC"/>
    <w:rsid w:val="002D68AF"/>
    <w:rsid w:val="002E0803"/>
    <w:rsid w:val="00301299"/>
    <w:rsid w:val="00301CCD"/>
    <w:rsid w:val="00302174"/>
    <w:rsid w:val="00303AEC"/>
    <w:rsid w:val="00304429"/>
    <w:rsid w:val="00307FB6"/>
    <w:rsid w:val="00312D6D"/>
    <w:rsid w:val="00317339"/>
    <w:rsid w:val="003207B8"/>
    <w:rsid w:val="00322004"/>
    <w:rsid w:val="003402C2"/>
    <w:rsid w:val="003462A4"/>
    <w:rsid w:val="00360C6B"/>
    <w:rsid w:val="00364AEE"/>
    <w:rsid w:val="003664D3"/>
    <w:rsid w:val="00381C24"/>
    <w:rsid w:val="00391B2E"/>
    <w:rsid w:val="003958D0"/>
    <w:rsid w:val="003B00E5"/>
    <w:rsid w:val="003B3136"/>
    <w:rsid w:val="003D3C7C"/>
    <w:rsid w:val="00407B78"/>
    <w:rsid w:val="00420F03"/>
    <w:rsid w:val="00424203"/>
    <w:rsid w:val="004412FE"/>
    <w:rsid w:val="00444979"/>
    <w:rsid w:val="00454E07"/>
    <w:rsid w:val="004618DA"/>
    <w:rsid w:val="00466A08"/>
    <w:rsid w:val="004670A3"/>
    <w:rsid w:val="00471AD5"/>
    <w:rsid w:val="00481464"/>
    <w:rsid w:val="00485A8A"/>
    <w:rsid w:val="004A405E"/>
    <w:rsid w:val="004C04E4"/>
    <w:rsid w:val="004C0845"/>
    <w:rsid w:val="004C0934"/>
    <w:rsid w:val="004C554D"/>
    <w:rsid w:val="004E67EF"/>
    <w:rsid w:val="004F0FEB"/>
    <w:rsid w:val="004F2E9A"/>
    <w:rsid w:val="004F6B02"/>
    <w:rsid w:val="0050108D"/>
    <w:rsid w:val="00513081"/>
    <w:rsid w:val="005138BC"/>
    <w:rsid w:val="00517901"/>
    <w:rsid w:val="00521B7D"/>
    <w:rsid w:val="00526683"/>
    <w:rsid w:val="005369CE"/>
    <w:rsid w:val="00541900"/>
    <w:rsid w:val="00545D78"/>
    <w:rsid w:val="00553CB9"/>
    <w:rsid w:val="00561669"/>
    <w:rsid w:val="00566F1D"/>
    <w:rsid w:val="005709E0"/>
    <w:rsid w:val="00572E19"/>
    <w:rsid w:val="0057370D"/>
    <w:rsid w:val="005818E0"/>
    <w:rsid w:val="00586B0E"/>
    <w:rsid w:val="005879E3"/>
    <w:rsid w:val="005961C8"/>
    <w:rsid w:val="005B4477"/>
    <w:rsid w:val="005B4AB6"/>
    <w:rsid w:val="005D0741"/>
    <w:rsid w:val="005D7914"/>
    <w:rsid w:val="005E2465"/>
    <w:rsid w:val="005F0B42"/>
    <w:rsid w:val="005F668D"/>
    <w:rsid w:val="006024EF"/>
    <w:rsid w:val="0061207D"/>
    <w:rsid w:val="00624587"/>
    <w:rsid w:val="00632417"/>
    <w:rsid w:val="00634448"/>
    <w:rsid w:val="00636023"/>
    <w:rsid w:val="00637323"/>
    <w:rsid w:val="00642DA2"/>
    <w:rsid w:val="006438E7"/>
    <w:rsid w:val="006455BE"/>
    <w:rsid w:val="006608D1"/>
    <w:rsid w:val="00670FBC"/>
    <w:rsid w:val="00672BD8"/>
    <w:rsid w:val="00673FF7"/>
    <w:rsid w:val="00675DC8"/>
    <w:rsid w:val="00681A10"/>
    <w:rsid w:val="006A066A"/>
    <w:rsid w:val="006A36B0"/>
    <w:rsid w:val="006B0C42"/>
    <w:rsid w:val="006B461D"/>
    <w:rsid w:val="006B79F1"/>
    <w:rsid w:val="006C0056"/>
    <w:rsid w:val="006C0186"/>
    <w:rsid w:val="006C0309"/>
    <w:rsid w:val="006C2031"/>
    <w:rsid w:val="006D062F"/>
    <w:rsid w:val="006D461A"/>
    <w:rsid w:val="006F35EE"/>
    <w:rsid w:val="006F53A3"/>
    <w:rsid w:val="006F5D53"/>
    <w:rsid w:val="006F68FF"/>
    <w:rsid w:val="006F708A"/>
    <w:rsid w:val="007021FF"/>
    <w:rsid w:val="00704502"/>
    <w:rsid w:val="00721A9C"/>
    <w:rsid w:val="00726CAD"/>
    <w:rsid w:val="00730BBE"/>
    <w:rsid w:val="0074048A"/>
    <w:rsid w:val="007412D0"/>
    <w:rsid w:val="007422E2"/>
    <w:rsid w:val="00757357"/>
    <w:rsid w:val="00761CA2"/>
    <w:rsid w:val="00770BE9"/>
    <w:rsid w:val="00774C62"/>
    <w:rsid w:val="00775FFD"/>
    <w:rsid w:val="007837E1"/>
    <w:rsid w:val="00787424"/>
    <w:rsid w:val="007A6370"/>
    <w:rsid w:val="007A6668"/>
    <w:rsid w:val="007B1680"/>
    <w:rsid w:val="007B52C2"/>
    <w:rsid w:val="007D4101"/>
    <w:rsid w:val="007E21B8"/>
    <w:rsid w:val="007F3DD2"/>
    <w:rsid w:val="008014A7"/>
    <w:rsid w:val="0080517B"/>
    <w:rsid w:val="00814593"/>
    <w:rsid w:val="00817787"/>
    <w:rsid w:val="008218A0"/>
    <w:rsid w:val="00821C82"/>
    <w:rsid w:val="00822228"/>
    <w:rsid w:val="00822E90"/>
    <w:rsid w:val="00824B23"/>
    <w:rsid w:val="00825F8D"/>
    <w:rsid w:val="0082760D"/>
    <w:rsid w:val="008304D2"/>
    <w:rsid w:val="00834B71"/>
    <w:rsid w:val="00837137"/>
    <w:rsid w:val="008445C4"/>
    <w:rsid w:val="00844BD5"/>
    <w:rsid w:val="00850474"/>
    <w:rsid w:val="00857454"/>
    <w:rsid w:val="0086445C"/>
    <w:rsid w:val="0087408C"/>
    <w:rsid w:val="0088287C"/>
    <w:rsid w:val="008833AF"/>
    <w:rsid w:val="008849E3"/>
    <w:rsid w:val="00894693"/>
    <w:rsid w:val="008955BE"/>
    <w:rsid w:val="00895873"/>
    <w:rsid w:val="008959A1"/>
    <w:rsid w:val="008A08D7"/>
    <w:rsid w:val="008A68A0"/>
    <w:rsid w:val="008B6909"/>
    <w:rsid w:val="008D0DC2"/>
    <w:rsid w:val="008D5FB2"/>
    <w:rsid w:val="008D622A"/>
    <w:rsid w:val="008D62C4"/>
    <w:rsid w:val="008D7A8B"/>
    <w:rsid w:val="008D7F31"/>
    <w:rsid w:val="008E76B2"/>
    <w:rsid w:val="008F3701"/>
    <w:rsid w:val="008F47CC"/>
    <w:rsid w:val="00906890"/>
    <w:rsid w:val="00907A15"/>
    <w:rsid w:val="00911BE4"/>
    <w:rsid w:val="0091507A"/>
    <w:rsid w:val="00941E4A"/>
    <w:rsid w:val="009422DC"/>
    <w:rsid w:val="0094721B"/>
    <w:rsid w:val="00951972"/>
    <w:rsid w:val="00955034"/>
    <w:rsid w:val="0095506C"/>
    <w:rsid w:val="009564A9"/>
    <w:rsid w:val="00967E49"/>
    <w:rsid w:val="009771C5"/>
    <w:rsid w:val="00977CF1"/>
    <w:rsid w:val="00983FCD"/>
    <w:rsid w:val="009860EA"/>
    <w:rsid w:val="0098723E"/>
    <w:rsid w:val="00996351"/>
    <w:rsid w:val="009A03AC"/>
    <w:rsid w:val="009A0783"/>
    <w:rsid w:val="009A32FB"/>
    <w:rsid w:val="009A46A3"/>
    <w:rsid w:val="009A60EE"/>
    <w:rsid w:val="009C2672"/>
    <w:rsid w:val="009C5C8E"/>
    <w:rsid w:val="009D5CC5"/>
    <w:rsid w:val="009E183A"/>
    <w:rsid w:val="009E3969"/>
    <w:rsid w:val="009E7D0C"/>
    <w:rsid w:val="009F335E"/>
    <w:rsid w:val="009F7062"/>
    <w:rsid w:val="00A000B2"/>
    <w:rsid w:val="00A14216"/>
    <w:rsid w:val="00A14913"/>
    <w:rsid w:val="00A149A1"/>
    <w:rsid w:val="00A160B2"/>
    <w:rsid w:val="00A2093E"/>
    <w:rsid w:val="00A220E7"/>
    <w:rsid w:val="00A254AF"/>
    <w:rsid w:val="00A256CE"/>
    <w:rsid w:val="00A3177A"/>
    <w:rsid w:val="00A32D23"/>
    <w:rsid w:val="00A41449"/>
    <w:rsid w:val="00A5734D"/>
    <w:rsid w:val="00A64911"/>
    <w:rsid w:val="00A64B5A"/>
    <w:rsid w:val="00A7065F"/>
    <w:rsid w:val="00A737B5"/>
    <w:rsid w:val="00A76F81"/>
    <w:rsid w:val="00A84021"/>
    <w:rsid w:val="00A917B3"/>
    <w:rsid w:val="00AA7385"/>
    <w:rsid w:val="00AB4B51"/>
    <w:rsid w:val="00AC05B6"/>
    <w:rsid w:val="00AC40C6"/>
    <w:rsid w:val="00AC40F1"/>
    <w:rsid w:val="00AC6999"/>
    <w:rsid w:val="00AF4E1E"/>
    <w:rsid w:val="00AF5AC8"/>
    <w:rsid w:val="00B00319"/>
    <w:rsid w:val="00B0161E"/>
    <w:rsid w:val="00B05F16"/>
    <w:rsid w:val="00B06298"/>
    <w:rsid w:val="00B10CC7"/>
    <w:rsid w:val="00B213D2"/>
    <w:rsid w:val="00B24496"/>
    <w:rsid w:val="00B27FC2"/>
    <w:rsid w:val="00B335C1"/>
    <w:rsid w:val="00B5336A"/>
    <w:rsid w:val="00B539E7"/>
    <w:rsid w:val="00B53A50"/>
    <w:rsid w:val="00B62458"/>
    <w:rsid w:val="00B62EF4"/>
    <w:rsid w:val="00B72B46"/>
    <w:rsid w:val="00B80413"/>
    <w:rsid w:val="00B8572D"/>
    <w:rsid w:val="00B85754"/>
    <w:rsid w:val="00B87F84"/>
    <w:rsid w:val="00B96B69"/>
    <w:rsid w:val="00BA6ECA"/>
    <w:rsid w:val="00BB1F4F"/>
    <w:rsid w:val="00BC61E0"/>
    <w:rsid w:val="00BD2005"/>
    <w:rsid w:val="00BD33EE"/>
    <w:rsid w:val="00BD6DA1"/>
    <w:rsid w:val="00BF108A"/>
    <w:rsid w:val="00BF41DE"/>
    <w:rsid w:val="00C03E98"/>
    <w:rsid w:val="00C04CAE"/>
    <w:rsid w:val="00C12405"/>
    <w:rsid w:val="00C144CA"/>
    <w:rsid w:val="00C223EB"/>
    <w:rsid w:val="00C2373A"/>
    <w:rsid w:val="00C323C4"/>
    <w:rsid w:val="00C477D2"/>
    <w:rsid w:val="00C60F0C"/>
    <w:rsid w:val="00C7008A"/>
    <w:rsid w:val="00C74CF8"/>
    <w:rsid w:val="00C805C9"/>
    <w:rsid w:val="00C82292"/>
    <w:rsid w:val="00C86B6F"/>
    <w:rsid w:val="00C92939"/>
    <w:rsid w:val="00C9769E"/>
    <w:rsid w:val="00CA1679"/>
    <w:rsid w:val="00CA37CB"/>
    <w:rsid w:val="00CA6696"/>
    <w:rsid w:val="00CB05C5"/>
    <w:rsid w:val="00CB643E"/>
    <w:rsid w:val="00CB7A15"/>
    <w:rsid w:val="00CC77CB"/>
    <w:rsid w:val="00CC7BD7"/>
    <w:rsid w:val="00CD151C"/>
    <w:rsid w:val="00CD448E"/>
    <w:rsid w:val="00CE1C23"/>
    <w:rsid w:val="00CE5A1A"/>
    <w:rsid w:val="00CF55F6"/>
    <w:rsid w:val="00D14842"/>
    <w:rsid w:val="00D170CB"/>
    <w:rsid w:val="00D20B19"/>
    <w:rsid w:val="00D21F46"/>
    <w:rsid w:val="00D33D63"/>
    <w:rsid w:val="00D37F03"/>
    <w:rsid w:val="00D416F0"/>
    <w:rsid w:val="00D55E01"/>
    <w:rsid w:val="00D61452"/>
    <w:rsid w:val="00D67B4A"/>
    <w:rsid w:val="00D73798"/>
    <w:rsid w:val="00D73E0E"/>
    <w:rsid w:val="00D747DA"/>
    <w:rsid w:val="00D805C2"/>
    <w:rsid w:val="00D8455A"/>
    <w:rsid w:val="00D90138"/>
    <w:rsid w:val="00D9316B"/>
    <w:rsid w:val="00DA32CB"/>
    <w:rsid w:val="00DA38EE"/>
    <w:rsid w:val="00DC3353"/>
    <w:rsid w:val="00DD1D33"/>
    <w:rsid w:val="00DE5D17"/>
    <w:rsid w:val="00DE7915"/>
    <w:rsid w:val="00E0083B"/>
    <w:rsid w:val="00E00EB6"/>
    <w:rsid w:val="00E22433"/>
    <w:rsid w:val="00E27F81"/>
    <w:rsid w:val="00E329E2"/>
    <w:rsid w:val="00E34E64"/>
    <w:rsid w:val="00E40AF9"/>
    <w:rsid w:val="00E43640"/>
    <w:rsid w:val="00E45734"/>
    <w:rsid w:val="00E45A0B"/>
    <w:rsid w:val="00E47DFB"/>
    <w:rsid w:val="00E736EE"/>
    <w:rsid w:val="00E73F76"/>
    <w:rsid w:val="00E73FCB"/>
    <w:rsid w:val="00E8123F"/>
    <w:rsid w:val="00E90908"/>
    <w:rsid w:val="00EB0DC3"/>
    <w:rsid w:val="00EC2022"/>
    <w:rsid w:val="00EE2AA3"/>
    <w:rsid w:val="00EF1360"/>
    <w:rsid w:val="00EF3220"/>
    <w:rsid w:val="00EF3F71"/>
    <w:rsid w:val="00EF7D83"/>
    <w:rsid w:val="00F017A4"/>
    <w:rsid w:val="00F1017E"/>
    <w:rsid w:val="00F117AF"/>
    <w:rsid w:val="00F16433"/>
    <w:rsid w:val="00F221DB"/>
    <w:rsid w:val="00F25FE3"/>
    <w:rsid w:val="00F330EA"/>
    <w:rsid w:val="00F43721"/>
    <w:rsid w:val="00F46ADB"/>
    <w:rsid w:val="00F54E5C"/>
    <w:rsid w:val="00F5640D"/>
    <w:rsid w:val="00F6084E"/>
    <w:rsid w:val="00F6761A"/>
    <w:rsid w:val="00F67936"/>
    <w:rsid w:val="00F71285"/>
    <w:rsid w:val="00F823E7"/>
    <w:rsid w:val="00F8278C"/>
    <w:rsid w:val="00F90271"/>
    <w:rsid w:val="00F909F2"/>
    <w:rsid w:val="00F91BE0"/>
    <w:rsid w:val="00F94155"/>
    <w:rsid w:val="00F956C5"/>
    <w:rsid w:val="00FA4B5D"/>
    <w:rsid w:val="00FB1E17"/>
    <w:rsid w:val="00FB454D"/>
    <w:rsid w:val="00FC7787"/>
    <w:rsid w:val="00FD1CD1"/>
    <w:rsid w:val="00FD2EF7"/>
    <w:rsid w:val="00FD4010"/>
    <w:rsid w:val="00FD4352"/>
    <w:rsid w:val="00FE0819"/>
    <w:rsid w:val="00FE166C"/>
    <w:rsid w:val="00FE447E"/>
    <w:rsid w:val="00FE5477"/>
    <w:rsid w:val="00FE645B"/>
    <w:rsid w:val="00FE722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1B0C3"/>
  <w15:docId w15:val="{D8FBFF56-2EBE-4CA8-A538-80317BC6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8E0"/>
    <w:pPr>
      <w:spacing w:line="240" w:lineRule="atLeast"/>
    </w:pPr>
    <w:rPr>
      <w:lang w:val="es-ES" w:eastAsia="es-ES"/>
    </w:rPr>
  </w:style>
  <w:style w:type="paragraph" w:styleId="Ttulo1">
    <w:name w:val="heading 1"/>
    <w:aliases w:val="Table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link w:val="Ttulo2Car"/>
    <w:semiHidden/>
    <w:qFormat/>
    <w:rsid w:val="00681A10"/>
    <w:pPr>
      <w:keepNext/>
      <w:outlineLvl w:val="1"/>
    </w:pPr>
    <w:rPr>
      <w:rFonts w:cs="Arial"/>
      <w:bCs/>
      <w:iCs/>
      <w:szCs w:val="28"/>
    </w:rPr>
  </w:style>
  <w:style w:type="paragraph" w:styleId="Ttulo3">
    <w:name w:val="heading 3"/>
    <w:basedOn w:val="Normal"/>
    <w:next w:val="Normal"/>
    <w:link w:val="Ttulo3Car"/>
    <w:semiHidden/>
    <w:qFormat/>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qFormat/>
    <w:rsid w:val="00681A10"/>
    <w:pPr>
      <w:keepNext/>
      <w:spacing w:before="240" w:after="60"/>
      <w:outlineLvl w:val="3"/>
    </w:pPr>
    <w:rPr>
      <w:b/>
      <w:bCs/>
      <w:sz w:val="28"/>
      <w:szCs w:val="28"/>
    </w:rPr>
  </w:style>
  <w:style w:type="paragraph" w:styleId="Ttulo5">
    <w:name w:val="heading 5"/>
    <w:basedOn w:val="Normal"/>
    <w:next w:val="Normal"/>
    <w:link w:val="Ttulo5Car"/>
    <w:semiHidden/>
    <w:qFormat/>
    <w:rsid w:val="00681A10"/>
    <w:pPr>
      <w:spacing w:before="240" w:after="60"/>
      <w:outlineLvl w:val="4"/>
    </w:pPr>
    <w:rPr>
      <w:b/>
      <w:bCs/>
      <w:i/>
      <w:iCs/>
      <w:sz w:val="26"/>
      <w:szCs w:val="26"/>
    </w:rPr>
  </w:style>
  <w:style w:type="paragraph" w:styleId="Ttulo6">
    <w:name w:val="heading 6"/>
    <w:basedOn w:val="Normal"/>
    <w:next w:val="Normal"/>
    <w:link w:val="Ttulo6Car"/>
    <w:semiHidden/>
    <w:qFormat/>
    <w:rsid w:val="00681A10"/>
    <w:pPr>
      <w:spacing w:before="240" w:after="60"/>
      <w:outlineLvl w:val="5"/>
    </w:pPr>
    <w:rPr>
      <w:b/>
      <w:bCs/>
      <w:sz w:val="22"/>
      <w:szCs w:val="22"/>
    </w:rPr>
  </w:style>
  <w:style w:type="paragraph" w:styleId="Ttulo7">
    <w:name w:val="heading 7"/>
    <w:basedOn w:val="Normal"/>
    <w:next w:val="Normal"/>
    <w:link w:val="Ttulo7Car"/>
    <w:semiHidden/>
    <w:qFormat/>
    <w:rsid w:val="00681A10"/>
    <w:pPr>
      <w:spacing w:before="240" w:after="60"/>
      <w:outlineLvl w:val="6"/>
    </w:pPr>
    <w:rPr>
      <w:sz w:val="24"/>
      <w:szCs w:val="24"/>
    </w:rPr>
  </w:style>
  <w:style w:type="paragraph" w:styleId="Ttulo8">
    <w:name w:val="heading 8"/>
    <w:basedOn w:val="Normal"/>
    <w:next w:val="Normal"/>
    <w:link w:val="Ttulo8Car"/>
    <w:semiHidden/>
    <w:qFormat/>
    <w:rsid w:val="00681A10"/>
    <w:pPr>
      <w:spacing w:before="240" w:after="60"/>
      <w:outlineLvl w:val="7"/>
    </w:pPr>
    <w:rPr>
      <w:i/>
      <w:iCs/>
      <w:sz w:val="24"/>
      <w:szCs w:val="24"/>
    </w:rPr>
  </w:style>
  <w:style w:type="paragraph" w:styleId="Ttulo9">
    <w:name w:val="heading 9"/>
    <w:basedOn w:val="Normal"/>
    <w:next w:val="Normal"/>
    <w:link w:val="Ttulo9Car"/>
    <w:semiHidden/>
    <w:qFormat/>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Appel note de bas de p.,referencia nota al pie,BVI fnr,Footnote text,4_Footnote text,callout,Fago Fußnotenzeichen,16 Point,Superscript 6 Point,Footnote,Footnote symbol,f,Ref,callou"/>
    <w:basedOn w:val="Fuentedeprrafopredeter"/>
    <w:link w:val="4GCha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outlineLvl w:val="1"/>
    </w:pPr>
    <w:rPr>
      <w:b/>
      <w:sz w:val="28"/>
    </w:rPr>
  </w:style>
  <w:style w:type="paragraph" w:styleId="Textodeglobo">
    <w:name w:val="Balloon Text"/>
    <w:basedOn w:val="Normal"/>
    <w:link w:val="TextodegloboCar"/>
    <w:semiHidden/>
    <w:rsid w:val="005818E0"/>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5818E0"/>
    <w:rPr>
      <w:rFonts w:ascii="Tahoma" w:hAnsi="Tahoma" w:cs="Tahoma"/>
      <w:sz w:val="16"/>
      <w:szCs w:val="16"/>
      <w:lang w:val="es-ES" w:eastAsia="es-ES"/>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tabs>
        <w:tab w:val="left" w:pos="1701"/>
        <w:tab w:val="left" w:pos="2268"/>
        <w:tab w:val="left" w:pos="2835"/>
      </w:tabs>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reference,FA Fu,Footnote Text Char Char Char,Footnote Text Cha,FA Fußnotentext,FA Fuﬂnotentext,Footnote Text Char Char,FA Fu?notentext,Ca, Char,ft"/>
    <w:basedOn w:val="Normal"/>
    <w:link w:val="TextonotapieCar"/>
    <w:uiPriority w:val="3"/>
    <w:qFormat/>
    <w:rsid w:val="00681A10"/>
    <w:pPr>
      <w:tabs>
        <w:tab w:val="right" w:pos="1021"/>
      </w:tabs>
      <w:spacing w:line="220" w:lineRule="exact"/>
      <w:ind w:left="1134" w:right="1134" w:hanging="1134"/>
    </w:pPr>
    <w:rPr>
      <w:sz w:val="18"/>
    </w:rPr>
  </w:style>
  <w:style w:type="table" w:styleId="Tablaconcuadrcula">
    <w:name w:val="Table Grid"/>
    <w:basedOn w:val="Tablanormal"/>
    <w:rsid w:val="00C74CF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link w:val="CierreCar"/>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link w:val="DireccinHTMLCar"/>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link w:val="EncabezadodemensajeCar"/>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81A10"/>
  </w:style>
  <w:style w:type="character" w:styleId="nfasis">
    <w:name w:val="Emphasis"/>
    <w:basedOn w:val="Fuentedeprrafopredeter"/>
    <w:uiPriority w:val="20"/>
    <w:qFormat/>
    <w:rsid w:val="00681A10"/>
    <w:rPr>
      <w:i/>
      <w:iCs/>
    </w:rPr>
  </w:style>
  <w:style w:type="paragraph" w:styleId="Fecha">
    <w:name w:val="Date"/>
    <w:basedOn w:val="Normal"/>
    <w:next w:val="Normal"/>
    <w:link w:val="FechaCar"/>
    <w:semiHidden/>
    <w:rsid w:val="00681A10"/>
  </w:style>
  <w:style w:type="paragraph" w:styleId="Firma">
    <w:name w:val="Signature"/>
    <w:basedOn w:val="Normal"/>
    <w:link w:val="FirmaCar"/>
    <w:semiHidden/>
    <w:rsid w:val="00681A10"/>
    <w:pPr>
      <w:ind w:left="4252"/>
    </w:pPr>
  </w:style>
  <w:style w:type="paragraph" w:styleId="Firmadecorreoelectrnico">
    <w:name w:val="E-mail Signature"/>
    <w:basedOn w:val="Normal"/>
    <w:link w:val="FirmadecorreoelectrnicoCar"/>
    <w:semiHidden/>
    <w:rsid w:val="00681A10"/>
  </w:style>
  <w:style w:type="character" w:styleId="Hipervnculo">
    <w:name w:val="Hyperlink"/>
    <w:basedOn w:val="Fuentedeprrafopredeter"/>
    <w:semiHidden/>
    <w:rsid w:val="00C74CF8"/>
    <w:rPr>
      <w:color w:val="auto"/>
      <w:u w:val="none"/>
    </w:rPr>
  </w:style>
  <w:style w:type="character" w:styleId="Hipervnculovisitado">
    <w:name w:val="FollowedHyperlink"/>
    <w:basedOn w:val="Fuentedeprrafopredeter"/>
    <w:semiHidden/>
    <w:rsid w:val="00C74CF8"/>
    <w:rPr>
      <w:color w:val="auto"/>
      <w:u w:val="none"/>
    </w:rPr>
  </w:style>
  <w:style w:type="paragraph" w:styleId="HTMLconformatoprevio">
    <w:name w:val="HTML Preformatted"/>
    <w:basedOn w:val="Normal"/>
    <w:link w:val="HTMLconformatoprevioCar"/>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link w:val="SaludoCar"/>
    <w:semiHidden/>
    <w:rsid w:val="00681A10"/>
  </w:style>
  <w:style w:type="paragraph" w:styleId="Sangra2detindependiente">
    <w:name w:val="Body Text Indent 2"/>
    <w:basedOn w:val="Normal"/>
    <w:link w:val="Sangra2detindependienteCar"/>
    <w:semiHidden/>
    <w:rsid w:val="00681A10"/>
    <w:pPr>
      <w:spacing w:after="120" w:line="480" w:lineRule="auto"/>
      <w:ind w:left="283"/>
    </w:pPr>
  </w:style>
  <w:style w:type="paragraph" w:styleId="Sangra3detindependiente">
    <w:name w:val="Body Text Indent 3"/>
    <w:basedOn w:val="Normal"/>
    <w:link w:val="Sangra3detindependienteCar"/>
    <w:semiHidden/>
    <w:rsid w:val="00681A10"/>
    <w:pPr>
      <w:spacing w:after="120"/>
      <w:ind w:left="283"/>
    </w:pPr>
    <w:rPr>
      <w:sz w:val="16"/>
      <w:szCs w:val="16"/>
    </w:rPr>
  </w:style>
  <w:style w:type="paragraph" w:styleId="Sangradetextonormal">
    <w:name w:val="Body Text Indent"/>
    <w:basedOn w:val="Normal"/>
    <w:link w:val="SangradetextonormalCar"/>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link w:val="SubttuloCar"/>
    <w:qFormat/>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qFormat/>
    <w:rsid w:val="00681A10"/>
    <w:rPr>
      <w:b/>
      <w:bCs/>
    </w:rPr>
  </w:style>
  <w:style w:type="paragraph" w:styleId="Textoindependiente">
    <w:name w:val="Body Text"/>
    <w:basedOn w:val="Normal"/>
    <w:link w:val="TextoindependienteCar"/>
    <w:semiHidden/>
    <w:rsid w:val="00681A10"/>
    <w:pPr>
      <w:spacing w:after="120"/>
    </w:pPr>
  </w:style>
  <w:style w:type="paragraph" w:styleId="Textoindependiente2">
    <w:name w:val="Body Text 2"/>
    <w:basedOn w:val="Normal"/>
    <w:link w:val="Textoindependiente2Car"/>
    <w:semiHidden/>
    <w:rsid w:val="00681A10"/>
    <w:pPr>
      <w:spacing w:after="120" w:line="480" w:lineRule="auto"/>
    </w:pPr>
  </w:style>
  <w:style w:type="paragraph" w:styleId="Textoindependiente3">
    <w:name w:val="Body Text 3"/>
    <w:basedOn w:val="Normal"/>
    <w:link w:val="Textoindependiente3Car"/>
    <w:semiHidden/>
    <w:rsid w:val="00681A10"/>
    <w:pPr>
      <w:spacing w:after="120"/>
    </w:pPr>
    <w:rPr>
      <w:sz w:val="16"/>
      <w:szCs w:val="16"/>
    </w:rPr>
  </w:style>
  <w:style w:type="paragraph" w:styleId="Textoindependienteprimerasangra">
    <w:name w:val="Body Text First Indent"/>
    <w:basedOn w:val="Textoindependiente"/>
    <w:link w:val="TextoindependienteprimerasangraCar"/>
    <w:semiHidden/>
    <w:rsid w:val="00681A10"/>
    <w:pPr>
      <w:ind w:firstLine="210"/>
    </w:pPr>
  </w:style>
  <w:style w:type="paragraph" w:styleId="Textoindependienteprimerasangra2">
    <w:name w:val="Body Text First Indent 2"/>
    <w:basedOn w:val="Sangradetextonormal"/>
    <w:link w:val="Textoindependienteprimerasangra2Car"/>
    <w:semiHidden/>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link w:val="TextosinformatoCar"/>
    <w:semiHidden/>
    <w:rsid w:val="00681A10"/>
    <w:rPr>
      <w:rFonts w:ascii="Courier New" w:hAnsi="Courier New" w:cs="Courier New"/>
    </w:rPr>
  </w:style>
  <w:style w:type="paragraph" w:styleId="Ttulo">
    <w:name w:val="Title"/>
    <w:basedOn w:val="Normal"/>
    <w:link w:val="TtuloCar"/>
    <w:qFormat/>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customStyle="1" w:styleId="ParNoG">
    <w:name w:val="_ParNo_G"/>
    <w:basedOn w:val="Normal"/>
    <w:qFormat/>
    <w:rsid w:val="00850474"/>
    <w:pPr>
      <w:numPr>
        <w:numId w:val="17"/>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lang w:eastAsia="en-US"/>
    </w:rPr>
  </w:style>
  <w:style w:type="character" w:customStyle="1" w:styleId="SingleTxtGChar">
    <w:name w:val="_ Single Txt_G Char"/>
    <w:link w:val="SingleTxtG"/>
    <w:rsid w:val="00051A34"/>
    <w:rPr>
      <w:lang w:val="es-ES" w:eastAsia="es-ES"/>
    </w:rPr>
  </w:style>
  <w:style w:type="character" w:customStyle="1" w:styleId="TextonotapieCar">
    <w:name w:val="Texto nota pie Car"/>
    <w:aliases w:val="5_G Car,Footnote Text Char Char Char Char Char Car,Footnote Text Char Char Char Char Car,Footnote reference Car,FA Fu Car,Footnote Text Char Char Char Car,Footnote Text Cha Car,FA Fußnotentext Car,FA Fuﬂnotentext Car,Ca Car, Char Car"/>
    <w:basedOn w:val="Fuentedeprrafopredeter"/>
    <w:link w:val="Textonotapie"/>
    <w:uiPriority w:val="3"/>
    <w:rsid w:val="00051A34"/>
    <w:rPr>
      <w:sz w:val="18"/>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051A34"/>
    <w:pPr>
      <w:spacing w:line="240" w:lineRule="auto"/>
      <w:jc w:val="both"/>
    </w:pPr>
    <w:rPr>
      <w:sz w:val="18"/>
      <w:vertAlign w:val="superscript"/>
      <w:lang w:val="fr-FR" w:eastAsia="fr-FR"/>
    </w:rPr>
  </w:style>
  <w:style w:type="character" w:customStyle="1" w:styleId="Ttulo1Car">
    <w:name w:val="Título 1 Car"/>
    <w:aliases w:val="Table_G Car"/>
    <w:basedOn w:val="Fuentedeprrafopredeter"/>
    <w:link w:val="Ttulo1"/>
    <w:rsid w:val="00AF4E1E"/>
    <w:rPr>
      <w:rFonts w:cs="Arial"/>
      <w:bCs/>
      <w:szCs w:val="32"/>
      <w:lang w:val="es-ES" w:eastAsia="es-ES"/>
    </w:rPr>
  </w:style>
  <w:style w:type="character" w:customStyle="1" w:styleId="Ttulo2Car">
    <w:name w:val="Título 2 Car"/>
    <w:basedOn w:val="Fuentedeprrafopredeter"/>
    <w:link w:val="Ttulo2"/>
    <w:semiHidden/>
    <w:rsid w:val="00AF4E1E"/>
    <w:rPr>
      <w:rFonts w:cs="Arial"/>
      <w:bCs/>
      <w:iCs/>
      <w:szCs w:val="28"/>
      <w:lang w:val="es-ES" w:eastAsia="es-ES"/>
    </w:rPr>
  </w:style>
  <w:style w:type="character" w:customStyle="1" w:styleId="Ttulo3Car">
    <w:name w:val="Título 3 Car"/>
    <w:basedOn w:val="Fuentedeprrafopredeter"/>
    <w:link w:val="Ttulo3"/>
    <w:semiHidden/>
    <w:rsid w:val="00AF4E1E"/>
    <w:rPr>
      <w:rFonts w:ascii="Arial" w:hAnsi="Arial" w:cs="Arial"/>
      <w:b/>
      <w:bCs/>
      <w:sz w:val="26"/>
      <w:szCs w:val="26"/>
      <w:lang w:val="es-ES" w:eastAsia="es-ES"/>
    </w:rPr>
  </w:style>
  <w:style w:type="character" w:customStyle="1" w:styleId="Ttulo4Car">
    <w:name w:val="Título 4 Car"/>
    <w:basedOn w:val="Fuentedeprrafopredeter"/>
    <w:link w:val="Ttulo4"/>
    <w:semiHidden/>
    <w:rsid w:val="00AF4E1E"/>
    <w:rPr>
      <w:b/>
      <w:bCs/>
      <w:sz w:val="28"/>
      <w:szCs w:val="28"/>
      <w:lang w:val="es-ES" w:eastAsia="es-ES"/>
    </w:rPr>
  </w:style>
  <w:style w:type="character" w:customStyle="1" w:styleId="Ttulo5Car">
    <w:name w:val="Título 5 Car"/>
    <w:basedOn w:val="Fuentedeprrafopredeter"/>
    <w:link w:val="Ttulo5"/>
    <w:semiHidden/>
    <w:rsid w:val="00AF4E1E"/>
    <w:rPr>
      <w:b/>
      <w:bCs/>
      <w:i/>
      <w:iCs/>
      <w:sz w:val="26"/>
      <w:szCs w:val="26"/>
      <w:lang w:val="es-ES" w:eastAsia="es-ES"/>
    </w:rPr>
  </w:style>
  <w:style w:type="character" w:customStyle="1" w:styleId="Ttulo6Car">
    <w:name w:val="Título 6 Car"/>
    <w:basedOn w:val="Fuentedeprrafopredeter"/>
    <w:link w:val="Ttulo6"/>
    <w:semiHidden/>
    <w:rsid w:val="00AF4E1E"/>
    <w:rPr>
      <w:b/>
      <w:bCs/>
      <w:sz w:val="22"/>
      <w:szCs w:val="22"/>
      <w:lang w:val="es-ES" w:eastAsia="es-ES"/>
    </w:rPr>
  </w:style>
  <w:style w:type="character" w:customStyle="1" w:styleId="Ttulo7Car">
    <w:name w:val="Título 7 Car"/>
    <w:basedOn w:val="Fuentedeprrafopredeter"/>
    <w:link w:val="Ttulo7"/>
    <w:semiHidden/>
    <w:rsid w:val="00AF4E1E"/>
    <w:rPr>
      <w:sz w:val="24"/>
      <w:szCs w:val="24"/>
      <w:lang w:val="es-ES" w:eastAsia="es-ES"/>
    </w:rPr>
  </w:style>
  <w:style w:type="character" w:customStyle="1" w:styleId="Ttulo8Car">
    <w:name w:val="Título 8 Car"/>
    <w:basedOn w:val="Fuentedeprrafopredeter"/>
    <w:link w:val="Ttulo8"/>
    <w:semiHidden/>
    <w:rsid w:val="00AF4E1E"/>
    <w:rPr>
      <w:i/>
      <w:iCs/>
      <w:sz w:val="24"/>
      <w:szCs w:val="24"/>
      <w:lang w:val="es-ES" w:eastAsia="es-ES"/>
    </w:rPr>
  </w:style>
  <w:style w:type="character" w:customStyle="1" w:styleId="Ttulo9Car">
    <w:name w:val="Título 9 Car"/>
    <w:basedOn w:val="Fuentedeprrafopredeter"/>
    <w:link w:val="Ttulo9"/>
    <w:semiHidden/>
    <w:rsid w:val="00AF4E1E"/>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AF4E1E"/>
    <w:rPr>
      <w:b/>
      <w:sz w:val="18"/>
      <w:lang w:val="es-ES" w:eastAsia="es-ES"/>
    </w:rPr>
  </w:style>
  <w:style w:type="character" w:customStyle="1" w:styleId="PiedepginaCar">
    <w:name w:val="Pie de página Car"/>
    <w:aliases w:val="3_G Car"/>
    <w:basedOn w:val="Fuentedeprrafopredeter"/>
    <w:link w:val="Piedepgina"/>
    <w:rsid w:val="00AF4E1E"/>
    <w:rPr>
      <w:sz w:val="16"/>
      <w:lang w:val="es-ES" w:eastAsia="es-ES"/>
    </w:rPr>
  </w:style>
  <w:style w:type="numbering" w:customStyle="1" w:styleId="1111111">
    <w:name w:val="1 / 1.1 / 1.1.11"/>
    <w:basedOn w:val="Sinlista"/>
    <w:next w:val="111111"/>
    <w:semiHidden/>
    <w:rsid w:val="00AF4E1E"/>
  </w:style>
  <w:style w:type="numbering" w:customStyle="1" w:styleId="1ai1">
    <w:name w:val="1 / a / i1"/>
    <w:basedOn w:val="Sinlista"/>
    <w:next w:val="1ai"/>
    <w:semiHidden/>
    <w:rsid w:val="00AF4E1E"/>
  </w:style>
  <w:style w:type="numbering" w:customStyle="1" w:styleId="ArticleSection1">
    <w:name w:val="Article / Section1"/>
    <w:basedOn w:val="Sinlista"/>
    <w:next w:val="ArtculoSeccin"/>
    <w:semiHidden/>
    <w:rsid w:val="00AF4E1E"/>
  </w:style>
  <w:style w:type="character" w:customStyle="1" w:styleId="CierreCar">
    <w:name w:val="Cierre Car"/>
    <w:basedOn w:val="Fuentedeprrafopredeter"/>
    <w:link w:val="Cierre"/>
    <w:semiHidden/>
    <w:rsid w:val="00AF4E1E"/>
    <w:rPr>
      <w:lang w:val="es-ES" w:eastAsia="es-ES"/>
    </w:rPr>
  </w:style>
  <w:style w:type="character" w:customStyle="1" w:styleId="DireccinHTMLCar">
    <w:name w:val="Dirección HTML Car"/>
    <w:basedOn w:val="Fuentedeprrafopredeter"/>
    <w:link w:val="DireccinHTML"/>
    <w:semiHidden/>
    <w:rsid w:val="00AF4E1E"/>
    <w:rPr>
      <w:i/>
      <w:iCs/>
      <w:lang w:val="es-ES" w:eastAsia="es-ES"/>
    </w:rPr>
  </w:style>
  <w:style w:type="character" w:customStyle="1" w:styleId="EncabezadodemensajeCar">
    <w:name w:val="Encabezado de mensaje Car"/>
    <w:basedOn w:val="Fuentedeprrafopredeter"/>
    <w:link w:val="Encabezadodemensaje"/>
    <w:semiHidden/>
    <w:rsid w:val="00AF4E1E"/>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AF4E1E"/>
    <w:rPr>
      <w:lang w:val="es-ES" w:eastAsia="es-ES"/>
    </w:rPr>
  </w:style>
  <w:style w:type="character" w:customStyle="1" w:styleId="FechaCar">
    <w:name w:val="Fecha Car"/>
    <w:basedOn w:val="Fuentedeprrafopredeter"/>
    <w:link w:val="Fecha"/>
    <w:semiHidden/>
    <w:rsid w:val="00AF4E1E"/>
    <w:rPr>
      <w:lang w:val="es-ES" w:eastAsia="es-ES"/>
    </w:rPr>
  </w:style>
  <w:style w:type="character" w:customStyle="1" w:styleId="FirmaCar">
    <w:name w:val="Firma Car"/>
    <w:basedOn w:val="Fuentedeprrafopredeter"/>
    <w:link w:val="Firma"/>
    <w:semiHidden/>
    <w:rsid w:val="00AF4E1E"/>
    <w:rPr>
      <w:lang w:val="es-ES" w:eastAsia="es-ES"/>
    </w:rPr>
  </w:style>
  <w:style w:type="character" w:customStyle="1" w:styleId="FirmadecorreoelectrnicoCar">
    <w:name w:val="Firma de correo electrónico Car"/>
    <w:basedOn w:val="Fuentedeprrafopredeter"/>
    <w:link w:val="Firmadecorreoelectrnico"/>
    <w:semiHidden/>
    <w:rsid w:val="00AF4E1E"/>
    <w:rPr>
      <w:lang w:val="es-ES" w:eastAsia="es-ES"/>
    </w:rPr>
  </w:style>
  <w:style w:type="character" w:customStyle="1" w:styleId="HTMLconformatoprevioCar">
    <w:name w:val="HTML con formato previo Car"/>
    <w:basedOn w:val="Fuentedeprrafopredeter"/>
    <w:link w:val="HTMLconformatoprevio"/>
    <w:semiHidden/>
    <w:rsid w:val="00AF4E1E"/>
    <w:rPr>
      <w:rFonts w:ascii="Courier New" w:hAnsi="Courier New" w:cs="Courier New"/>
      <w:lang w:val="es-ES" w:eastAsia="es-ES"/>
    </w:rPr>
  </w:style>
  <w:style w:type="character" w:customStyle="1" w:styleId="SaludoCar">
    <w:name w:val="Saludo Car"/>
    <w:basedOn w:val="Fuentedeprrafopredeter"/>
    <w:link w:val="Saludo"/>
    <w:semiHidden/>
    <w:rsid w:val="00AF4E1E"/>
    <w:rPr>
      <w:lang w:val="es-ES" w:eastAsia="es-ES"/>
    </w:rPr>
  </w:style>
  <w:style w:type="character" w:customStyle="1" w:styleId="Sangra2detindependienteCar">
    <w:name w:val="Sangría 2 de t. independiente Car"/>
    <w:basedOn w:val="Fuentedeprrafopredeter"/>
    <w:link w:val="Sangra2detindependiente"/>
    <w:semiHidden/>
    <w:rsid w:val="00AF4E1E"/>
    <w:rPr>
      <w:lang w:val="es-ES" w:eastAsia="es-ES"/>
    </w:rPr>
  </w:style>
  <w:style w:type="character" w:customStyle="1" w:styleId="Sangra3detindependienteCar">
    <w:name w:val="Sangría 3 de t. independiente Car"/>
    <w:basedOn w:val="Fuentedeprrafopredeter"/>
    <w:link w:val="Sangra3detindependiente"/>
    <w:semiHidden/>
    <w:rsid w:val="00AF4E1E"/>
    <w:rPr>
      <w:sz w:val="16"/>
      <w:szCs w:val="16"/>
      <w:lang w:val="es-ES" w:eastAsia="es-ES"/>
    </w:rPr>
  </w:style>
  <w:style w:type="character" w:customStyle="1" w:styleId="SangradetextonormalCar">
    <w:name w:val="Sangría de texto normal Car"/>
    <w:basedOn w:val="Fuentedeprrafopredeter"/>
    <w:link w:val="Sangradetextonormal"/>
    <w:semiHidden/>
    <w:rsid w:val="00AF4E1E"/>
    <w:rPr>
      <w:lang w:val="es-ES" w:eastAsia="es-ES"/>
    </w:rPr>
  </w:style>
  <w:style w:type="character" w:customStyle="1" w:styleId="SubttuloCar">
    <w:name w:val="Subtítulo Car"/>
    <w:basedOn w:val="Fuentedeprrafopredeter"/>
    <w:link w:val="Subttulo"/>
    <w:rsid w:val="00AF4E1E"/>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AF4E1E"/>
    <w:rPr>
      <w:lang w:val="es-ES" w:eastAsia="es-ES"/>
    </w:rPr>
  </w:style>
  <w:style w:type="character" w:customStyle="1" w:styleId="Textoindependiente2Car">
    <w:name w:val="Texto independiente 2 Car"/>
    <w:basedOn w:val="Fuentedeprrafopredeter"/>
    <w:link w:val="Textoindependiente2"/>
    <w:semiHidden/>
    <w:rsid w:val="00AF4E1E"/>
    <w:rPr>
      <w:lang w:val="es-ES" w:eastAsia="es-ES"/>
    </w:rPr>
  </w:style>
  <w:style w:type="character" w:customStyle="1" w:styleId="Textoindependiente3Car">
    <w:name w:val="Texto independiente 3 Car"/>
    <w:basedOn w:val="Fuentedeprrafopredeter"/>
    <w:link w:val="Textoindependiente3"/>
    <w:semiHidden/>
    <w:rsid w:val="00AF4E1E"/>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AF4E1E"/>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AF4E1E"/>
    <w:rPr>
      <w:lang w:val="es-ES" w:eastAsia="es-ES"/>
    </w:rPr>
  </w:style>
  <w:style w:type="character" w:customStyle="1" w:styleId="TextonotaalfinalCar">
    <w:name w:val="Texto nota al final Car"/>
    <w:aliases w:val="2_G Car"/>
    <w:basedOn w:val="Fuentedeprrafopredeter"/>
    <w:link w:val="Textonotaalfinal"/>
    <w:rsid w:val="00AF4E1E"/>
    <w:rPr>
      <w:sz w:val="18"/>
      <w:lang w:val="es-ES" w:eastAsia="es-ES"/>
    </w:rPr>
  </w:style>
  <w:style w:type="character" w:customStyle="1" w:styleId="TextosinformatoCar">
    <w:name w:val="Texto sin formato Car"/>
    <w:basedOn w:val="Fuentedeprrafopredeter"/>
    <w:link w:val="Textosinformato"/>
    <w:semiHidden/>
    <w:rsid w:val="00AF4E1E"/>
    <w:rPr>
      <w:rFonts w:ascii="Courier New" w:hAnsi="Courier New" w:cs="Courier New"/>
      <w:lang w:val="es-ES" w:eastAsia="es-ES"/>
    </w:rPr>
  </w:style>
  <w:style w:type="character" w:customStyle="1" w:styleId="TtuloCar">
    <w:name w:val="Título Car"/>
    <w:basedOn w:val="Fuentedeprrafopredeter"/>
    <w:link w:val="Ttulo"/>
    <w:rsid w:val="00AF4E1E"/>
    <w:rPr>
      <w:rFonts w:ascii="Arial" w:hAnsi="Arial" w:cs="Arial"/>
      <w:b/>
      <w:bCs/>
      <w:kern w:val="28"/>
      <w:sz w:val="32"/>
      <w:szCs w:val="32"/>
      <w:lang w:val="es-ES" w:eastAsia="es-ES"/>
    </w:rPr>
  </w:style>
  <w:style w:type="character" w:styleId="Refdecomentario">
    <w:name w:val="annotation reference"/>
    <w:basedOn w:val="Fuentedeprrafopredeter"/>
    <w:uiPriority w:val="99"/>
    <w:semiHidden/>
    <w:unhideWhenUsed/>
    <w:rsid w:val="00AF4E1E"/>
    <w:rPr>
      <w:sz w:val="16"/>
      <w:szCs w:val="16"/>
    </w:rPr>
  </w:style>
  <w:style w:type="paragraph" w:styleId="Textocomentario">
    <w:name w:val="annotation text"/>
    <w:basedOn w:val="Normal"/>
    <w:link w:val="TextocomentarioCar"/>
    <w:uiPriority w:val="99"/>
    <w:unhideWhenUsed/>
    <w:rsid w:val="00AF4E1E"/>
    <w:pPr>
      <w:spacing w:line="240" w:lineRule="auto"/>
    </w:pPr>
  </w:style>
  <w:style w:type="character" w:customStyle="1" w:styleId="TextocomentarioCar">
    <w:name w:val="Texto comentario Car"/>
    <w:basedOn w:val="Fuentedeprrafopredeter"/>
    <w:link w:val="Textocomentario"/>
    <w:uiPriority w:val="99"/>
    <w:rsid w:val="00AF4E1E"/>
    <w:rPr>
      <w:lang w:val="es-ES" w:eastAsia="es-ES"/>
    </w:rPr>
  </w:style>
  <w:style w:type="paragraph" w:styleId="Asuntodelcomentario">
    <w:name w:val="annotation subject"/>
    <w:basedOn w:val="Textocomentario"/>
    <w:next w:val="Textocomentario"/>
    <w:link w:val="AsuntodelcomentarioCar"/>
    <w:semiHidden/>
    <w:unhideWhenUsed/>
    <w:rsid w:val="00AF4E1E"/>
    <w:rPr>
      <w:b/>
      <w:bCs/>
    </w:rPr>
  </w:style>
  <w:style w:type="character" w:customStyle="1" w:styleId="AsuntodelcomentarioCar">
    <w:name w:val="Asunto del comentario Car"/>
    <w:basedOn w:val="TextocomentarioCar"/>
    <w:link w:val="Asuntodelcomentario"/>
    <w:semiHidden/>
    <w:rsid w:val="00AF4E1E"/>
    <w:rPr>
      <w:b/>
      <w:bCs/>
      <w:lang w:val="es-ES" w:eastAsia="es-ES"/>
    </w:rPr>
  </w:style>
  <w:style w:type="paragraph" w:styleId="Revisin">
    <w:name w:val="Revision"/>
    <w:hidden/>
    <w:uiPriority w:val="99"/>
    <w:semiHidden/>
    <w:rsid w:val="00AF4E1E"/>
    <w:rPr>
      <w:lang w:val="es-ES" w:eastAsia="es-ES"/>
    </w:rPr>
  </w:style>
  <w:style w:type="paragraph" w:customStyle="1" w:styleId="Default">
    <w:name w:val="Default"/>
    <w:rsid w:val="00AF4E1E"/>
    <w:pPr>
      <w:autoSpaceDE w:val="0"/>
      <w:autoSpaceDN w:val="0"/>
      <w:adjustRightInd w:val="0"/>
    </w:pPr>
    <w:rPr>
      <w:rFonts w:ascii="Palatino Linotype" w:hAnsi="Palatino Linotype" w:cs="Palatino Linotype"/>
      <w:color w:val="000000"/>
      <w:sz w:val="24"/>
      <w:szCs w:val="24"/>
      <w:lang w:val="en-GB"/>
    </w:rPr>
  </w:style>
  <w:style w:type="character" w:styleId="Mencinsinresolver">
    <w:name w:val="Unresolved Mention"/>
    <w:basedOn w:val="Fuentedeprrafopredeter"/>
    <w:uiPriority w:val="99"/>
    <w:semiHidden/>
    <w:unhideWhenUsed/>
    <w:rsid w:val="00DD1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1322809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es/CAT/C/51/D/441/2010" TargetMode="External"/><Relationship Id="rId3" Type="http://schemas.openxmlformats.org/officeDocument/2006/relationships/hyperlink" Target="https://undocs.org/es/CAT/C/60/D/651/2015" TargetMode="External"/><Relationship Id="rId7" Type="http://schemas.openxmlformats.org/officeDocument/2006/relationships/hyperlink" Target="https://undocs.org/es/CAT/C/65/D/778/2016" TargetMode="External"/><Relationship Id="rId12" Type="http://schemas.openxmlformats.org/officeDocument/2006/relationships/hyperlink" Target="https://undocs.org/es/CAT/C/20/D/59/1996" TargetMode="External"/><Relationship Id="rId2" Type="http://schemas.openxmlformats.org/officeDocument/2006/relationships/hyperlink" Target="https://undocs.org/es/CAT/C/61/D/661/2015" TargetMode="External"/><Relationship Id="rId1" Type="http://schemas.openxmlformats.org/officeDocument/2006/relationships/hyperlink" Target="https://ijrcenter.org/wp-content/uploads/2018/04/8.-Exhaustion-of-Domestic-Remedies-UN-Treaty-Bodies.pdf" TargetMode="External"/><Relationship Id="rId6" Type="http://schemas.openxmlformats.org/officeDocument/2006/relationships/hyperlink" Target="https://undocs.org/es/CAT/C/42/D/261/2005" TargetMode="External"/><Relationship Id="rId11" Type="http://schemas.openxmlformats.org/officeDocument/2006/relationships/hyperlink" Target="https://undocs.org/es/CAT/C/48/D/453/2011" TargetMode="External"/><Relationship Id="rId5" Type="http://schemas.openxmlformats.org/officeDocument/2006/relationships/hyperlink" Target="https://undocs.org/es/CAT/C/PER/CO/7" TargetMode="External"/><Relationship Id="rId10" Type="http://schemas.openxmlformats.org/officeDocument/2006/relationships/hyperlink" Target="https://undocs.org/es/CAT/C/48/D/433/2010" TargetMode="External"/><Relationship Id="rId4" Type="http://schemas.openxmlformats.org/officeDocument/2006/relationships/hyperlink" Target="https://undocs.org/es/CAT/C/PER/CO/7" TargetMode="External"/><Relationship Id="rId9" Type="http://schemas.openxmlformats.org/officeDocument/2006/relationships/hyperlink" Target="https://undocs.org/es/CAT/C/52/D/497/2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AT\CAT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BC87C544B3A740AFAF4FC20E28FA99" ma:contentTypeVersion="3" ma:contentTypeDescription="Create a new document." ma:contentTypeScope="" ma:versionID="a0509d5239b9feb2847a71fc1b32fd3f">
  <xsd:schema xmlns:xsd="http://www.w3.org/2001/XMLSchema" xmlns:xs="http://www.w3.org/2001/XMLSchema" xmlns:p="http://schemas.microsoft.com/office/2006/metadata/properties" xmlns:ns2="843519ee-602c-4a77-9f98-e0b2d1df032d" targetNamespace="http://schemas.microsoft.com/office/2006/metadata/properties" ma:root="true" ma:fieldsID="b752b85c3d6d2dfc10b8f217117af5c7" ns2:_="">
    <xsd:import namespace="843519ee-602c-4a77-9f98-e0b2d1df032d"/>
    <xsd:element name="properties">
      <xsd:complexType>
        <xsd:sequence>
          <xsd:element name="documentManagement">
            <xsd:complexType>
              <xsd:all>
                <xsd:element ref="ns2:Case" minOccurs="0"/>
                <xsd:element ref="ns2:Case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519ee-602c-4a77-9f98-e0b2d1df032d" elementFormDefault="qualified">
    <xsd:import namespace="http://schemas.microsoft.com/office/2006/documentManagement/types"/>
    <xsd:import namespace="http://schemas.microsoft.com/office/infopath/2007/PartnerControls"/>
    <xsd:element name="Case" ma:index="8" nillable="true" ma:displayName="Case" ma:decimals="0" ma:internalName="Case">
      <xsd:simpleType>
        <xsd:restriction base="dms:Number">
          <xsd:maxInclusive value="10000"/>
          <xsd:minInclusive value="1"/>
        </xsd:restriction>
      </xsd:simpleType>
    </xsd:element>
    <xsd:element name="Case_Year" ma:index="9" nillable="true" ma:displayName="Case_Year" ma:decimals="0" ma:internalName="Case_Year">
      <xsd:simpleType>
        <xsd:restriction base="dms:Number">
          <xsd:maxInclusive value="2099"/>
          <xsd:minInclusive value="199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se_Year xmlns="843519ee-602c-4a77-9f98-e0b2d1df032d">2019</Case_Year>
    <Case xmlns="843519ee-602c-4a77-9f98-e0b2d1df032d">930</Case>
  </documentManagement>
</p:properties>
</file>

<file path=customXml/itemProps1.xml><?xml version="1.0" encoding="utf-8"?>
<ds:datastoreItem xmlns:ds="http://schemas.openxmlformats.org/officeDocument/2006/customXml" ds:itemID="{3268E223-0B28-40A9-B5AD-586318875E5C}">
  <ds:schemaRefs>
    <ds:schemaRef ds:uri="http://schemas.microsoft.com/sharepoint/v3/contenttype/forms"/>
  </ds:schemaRefs>
</ds:datastoreItem>
</file>

<file path=customXml/itemProps2.xml><?xml version="1.0" encoding="utf-8"?>
<ds:datastoreItem xmlns:ds="http://schemas.openxmlformats.org/officeDocument/2006/customXml" ds:itemID="{3006CEFD-1AB2-42DC-BB40-59C43D6E93EA}">
  <ds:schemaRefs>
    <ds:schemaRef ds:uri="http://schemas.openxmlformats.org/officeDocument/2006/bibliography"/>
  </ds:schemaRefs>
</ds:datastoreItem>
</file>

<file path=customXml/itemProps3.xml><?xml version="1.0" encoding="utf-8"?>
<ds:datastoreItem xmlns:ds="http://schemas.openxmlformats.org/officeDocument/2006/customXml" ds:itemID="{BD42F666-CC65-4791-ACBF-79A75383A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519ee-602c-4a77-9f98-e0b2d1df0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E5AA9D-B35A-442A-8A8C-6BDBE007BF81}">
  <ds:schemaRefs>
    <ds:schemaRef ds:uri="http://schemas.microsoft.com/office/2006/metadata/properties"/>
    <ds:schemaRef ds:uri="http://schemas.microsoft.com/office/infopath/2007/PartnerControls"/>
    <ds:schemaRef ds:uri="843519ee-602c-4a77-9f98-e0b2d1df032d"/>
  </ds:schemaRefs>
</ds:datastoreItem>
</file>

<file path=docProps/app.xml><?xml version="1.0" encoding="utf-8"?>
<Properties xmlns="http://schemas.openxmlformats.org/officeDocument/2006/extended-properties" xmlns:vt="http://schemas.openxmlformats.org/officeDocument/2006/docPropsVTypes">
  <Template>CAT_S.dotm</Template>
  <TotalTime>3</TotalTime>
  <Pages>11</Pages>
  <Words>6392</Words>
  <Characters>32349</Characters>
  <Application>Microsoft Office Word</Application>
  <DocSecurity>0</DocSecurity>
  <Lines>475</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CAT/C/75/DR/930/2019</vt:lpstr>
      <vt:lpstr>Naciones Unidas</vt:lpstr>
    </vt:vector>
  </TitlesOfParts>
  <Company>DCM</Company>
  <LinksUpToDate>false</LinksUpToDate>
  <CharactersWithSpaces>38653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CAT/C/75/D/930/2019</dc:title>
  <dc:subject/>
  <dc:creator>KAWUKI Anne</dc:creator>
  <cp:keywords/>
  <cp:lastModifiedBy>Romina Merino Mac-Kay</cp:lastModifiedBy>
  <cp:revision>3</cp:revision>
  <cp:lastPrinted>2023-02-14T09:18:00Z</cp:lastPrinted>
  <dcterms:created xsi:type="dcterms:W3CDTF">2023-02-14T09:18:00Z</dcterms:created>
  <dcterms:modified xsi:type="dcterms:W3CDTF">2023-02-14T09:20:00Z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0x01010037BC87C544B3A740AFAF4FC20E28FA99</vt:lpwstr>
  </property>
  <property fmtid="{D5CDD505-2E9C-101B-9397-08002B2CF9AE}" pid="3" name="GrammarlyDocumentId">
    <vt:lpwstr>87190c0aa1815ed8c23e853fec5ac0f2841fcb6dad69535610c3b1661967ad19</vt:lpwstr>
  </property>
</Properties>
</file>