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RPr="00A035D0" w14:paraId="01ADF772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809165" w14:textId="444FA604" w:rsidR="00165C15" w:rsidRPr="00A035D0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56BD77" w14:textId="425046C5" w:rsidR="00165C15" w:rsidRPr="00A035D0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035D0">
              <w:rPr>
                <w:sz w:val="28"/>
                <w:szCs w:val="28"/>
              </w:rPr>
              <w:t>United</w:t>
            </w:r>
            <w:r w:rsidR="00FE6B8B" w:rsidRPr="00A035D0">
              <w:rPr>
                <w:sz w:val="28"/>
                <w:szCs w:val="28"/>
              </w:rPr>
              <w:t xml:space="preserve"> </w:t>
            </w:r>
            <w:r w:rsidRPr="00A035D0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9AF35C0" w14:textId="77777777" w:rsidR="00165C15" w:rsidRPr="00A035D0" w:rsidRDefault="00BF1AE5" w:rsidP="00BF1AE5">
            <w:pPr>
              <w:suppressAutoHyphens w:val="0"/>
              <w:spacing w:after="20"/>
              <w:jc w:val="right"/>
            </w:pPr>
            <w:r w:rsidRPr="00A035D0">
              <w:rPr>
                <w:sz w:val="40"/>
              </w:rPr>
              <w:t>CCPR</w:t>
            </w:r>
            <w:r w:rsidRPr="00A035D0">
              <w:t>/C/PHL/RQ/5</w:t>
            </w:r>
          </w:p>
        </w:tc>
      </w:tr>
      <w:tr w:rsidR="00165C15" w:rsidRPr="00A035D0" w14:paraId="35196608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9FA8B16" w14:textId="77777777" w:rsidR="00165C15" w:rsidRPr="00A035D0" w:rsidRDefault="00165C15" w:rsidP="00CA1AEA">
            <w:pPr>
              <w:spacing w:before="120"/>
            </w:pPr>
            <w:r w:rsidRPr="00A035D0">
              <w:rPr>
                <w:noProof/>
                <w:lang w:eastAsia="en-GB"/>
              </w:rPr>
              <w:drawing>
                <wp:inline distT="0" distB="0" distL="0" distR="0" wp14:anchorId="138BBF94" wp14:editId="73414849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B68716" w14:textId="1527BD4E" w:rsidR="00165C15" w:rsidRPr="00A035D0" w:rsidRDefault="00165C15" w:rsidP="00CA1AEA">
            <w:pPr>
              <w:spacing w:before="120" w:line="380" w:lineRule="exact"/>
              <w:rPr>
                <w:sz w:val="34"/>
              </w:rPr>
            </w:pPr>
            <w:r w:rsidRPr="00A035D0">
              <w:rPr>
                <w:b/>
                <w:sz w:val="34"/>
                <w:szCs w:val="40"/>
              </w:rPr>
              <w:t>International</w:t>
            </w:r>
            <w:r w:rsidR="00FE6B8B" w:rsidRPr="00A035D0">
              <w:rPr>
                <w:b/>
                <w:sz w:val="34"/>
                <w:szCs w:val="40"/>
              </w:rPr>
              <w:t xml:space="preserve"> </w:t>
            </w:r>
            <w:r w:rsidRPr="00A035D0">
              <w:rPr>
                <w:b/>
                <w:sz w:val="34"/>
                <w:szCs w:val="40"/>
              </w:rPr>
              <w:t>Covenant</w:t>
            </w:r>
            <w:r w:rsidR="00FE6B8B" w:rsidRPr="00A035D0">
              <w:rPr>
                <w:b/>
                <w:sz w:val="34"/>
                <w:szCs w:val="40"/>
              </w:rPr>
              <w:t xml:space="preserve"> </w:t>
            </w:r>
            <w:r w:rsidRPr="00A035D0">
              <w:rPr>
                <w:b/>
                <w:sz w:val="34"/>
                <w:szCs w:val="40"/>
              </w:rPr>
              <w:t>on</w:t>
            </w:r>
            <w:r w:rsidRPr="00A035D0">
              <w:rPr>
                <w:b/>
                <w:sz w:val="34"/>
                <w:szCs w:val="40"/>
              </w:rPr>
              <w:br/>
              <w:t>Civil</w:t>
            </w:r>
            <w:r w:rsidR="00FE6B8B" w:rsidRPr="00A035D0">
              <w:rPr>
                <w:b/>
                <w:sz w:val="34"/>
                <w:szCs w:val="40"/>
              </w:rPr>
              <w:t xml:space="preserve"> </w:t>
            </w:r>
            <w:r w:rsidRPr="00A035D0">
              <w:rPr>
                <w:b/>
                <w:sz w:val="34"/>
                <w:szCs w:val="40"/>
              </w:rPr>
              <w:t>and</w:t>
            </w:r>
            <w:r w:rsidR="00FE6B8B" w:rsidRPr="00A035D0">
              <w:rPr>
                <w:b/>
                <w:sz w:val="34"/>
                <w:szCs w:val="40"/>
              </w:rPr>
              <w:t xml:space="preserve"> </w:t>
            </w:r>
            <w:r w:rsidRPr="00A035D0">
              <w:rPr>
                <w:b/>
                <w:sz w:val="34"/>
                <w:szCs w:val="40"/>
              </w:rPr>
              <w:t>Political</w:t>
            </w:r>
            <w:r w:rsidR="00FE6B8B" w:rsidRPr="00A035D0">
              <w:rPr>
                <w:b/>
                <w:sz w:val="34"/>
                <w:szCs w:val="40"/>
              </w:rPr>
              <w:t xml:space="preserve"> </w:t>
            </w:r>
            <w:r w:rsidRPr="00A035D0">
              <w:rPr>
                <w:b/>
                <w:sz w:val="34"/>
                <w:szCs w:val="40"/>
              </w:rPr>
              <w:t>Rights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693B63" w14:textId="08848D15" w:rsidR="00165C15" w:rsidRPr="00A035D0" w:rsidRDefault="00BF1AE5" w:rsidP="00BF1AE5">
            <w:pPr>
              <w:suppressAutoHyphens w:val="0"/>
              <w:spacing w:before="240"/>
            </w:pPr>
            <w:r w:rsidRPr="00A035D0">
              <w:t>Distr.:</w:t>
            </w:r>
            <w:r w:rsidR="00FE6B8B" w:rsidRPr="00A035D0">
              <w:t xml:space="preserve"> </w:t>
            </w:r>
            <w:r w:rsidRPr="00A035D0">
              <w:t>General</w:t>
            </w:r>
          </w:p>
          <w:p w14:paraId="64181EF4" w14:textId="64A470E5" w:rsidR="00BF1AE5" w:rsidRPr="00A035D0" w:rsidRDefault="00BF1AE5" w:rsidP="00BF1AE5">
            <w:pPr>
              <w:suppressAutoHyphens w:val="0"/>
            </w:pPr>
            <w:r w:rsidRPr="00A035D0">
              <w:t>1</w:t>
            </w:r>
            <w:r w:rsidR="00FF3013">
              <w:t>8</w:t>
            </w:r>
            <w:r w:rsidR="00FE6B8B" w:rsidRPr="00A035D0">
              <w:t xml:space="preserve"> </w:t>
            </w:r>
            <w:r w:rsidRPr="00A035D0">
              <w:t>March</w:t>
            </w:r>
            <w:r w:rsidR="00FE6B8B" w:rsidRPr="00A035D0">
              <w:t xml:space="preserve"> </w:t>
            </w:r>
            <w:r w:rsidRPr="00A035D0">
              <w:t>2022</w:t>
            </w:r>
          </w:p>
          <w:p w14:paraId="0C685641" w14:textId="77777777" w:rsidR="00BF1AE5" w:rsidRPr="00A035D0" w:rsidRDefault="00BF1AE5" w:rsidP="00BF1AE5">
            <w:pPr>
              <w:suppressAutoHyphens w:val="0"/>
            </w:pPr>
          </w:p>
          <w:p w14:paraId="4EB79F29" w14:textId="6BF4E93D" w:rsidR="00BF1AE5" w:rsidRPr="00A035D0" w:rsidRDefault="00BF1AE5" w:rsidP="00BF1AE5">
            <w:pPr>
              <w:suppressAutoHyphens w:val="0"/>
            </w:pPr>
            <w:r w:rsidRPr="00A035D0">
              <w:t>Original:</w:t>
            </w:r>
            <w:r w:rsidR="00FE6B8B" w:rsidRPr="00A035D0">
              <w:t xml:space="preserve"> </w:t>
            </w:r>
            <w:r w:rsidRPr="00A035D0">
              <w:t>English</w:t>
            </w:r>
          </w:p>
          <w:p w14:paraId="19C1A666" w14:textId="680802DE" w:rsidR="00BF1AE5" w:rsidRPr="00A035D0" w:rsidRDefault="00BF1AE5" w:rsidP="00BF1AE5">
            <w:pPr>
              <w:suppressAutoHyphens w:val="0"/>
            </w:pPr>
            <w:r w:rsidRPr="00A035D0">
              <w:t>English,</w:t>
            </w:r>
            <w:r w:rsidR="00FE6B8B" w:rsidRPr="00A035D0">
              <w:t xml:space="preserve"> </w:t>
            </w:r>
            <w:r w:rsidRPr="00A035D0">
              <w:t>French</w:t>
            </w:r>
            <w:r w:rsidR="00FE6B8B" w:rsidRPr="00A035D0">
              <w:t xml:space="preserve"> </w:t>
            </w:r>
            <w:r w:rsidRPr="00A035D0">
              <w:t>and</w:t>
            </w:r>
            <w:r w:rsidR="00FE6B8B" w:rsidRPr="00A035D0">
              <w:t xml:space="preserve"> </w:t>
            </w:r>
            <w:r w:rsidRPr="00A035D0">
              <w:t>Spanish</w:t>
            </w:r>
            <w:r w:rsidR="00FE6B8B" w:rsidRPr="00A035D0">
              <w:t xml:space="preserve"> </w:t>
            </w:r>
            <w:r w:rsidRPr="00A035D0">
              <w:t>only</w:t>
            </w:r>
          </w:p>
        </w:tc>
      </w:tr>
    </w:tbl>
    <w:p w14:paraId="0D48670B" w14:textId="39701BB4" w:rsidR="0087402A" w:rsidRPr="00A035D0" w:rsidRDefault="0087402A" w:rsidP="0087402A">
      <w:pPr>
        <w:spacing w:before="120"/>
        <w:rPr>
          <w:b/>
          <w:sz w:val="24"/>
        </w:rPr>
      </w:pPr>
      <w:r w:rsidRPr="00A035D0">
        <w:rPr>
          <w:b/>
          <w:sz w:val="24"/>
        </w:rPr>
        <w:t>Human</w:t>
      </w:r>
      <w:r w:rsidR="00FE6B8B" w:rsidRPr="00A035D0">
        <w:rPr>
          <w:b/>
          <w:sz w:val="24"/>
        </w:rPr>
        <w:t xml:space="preserve"> </w:t>
      </w:r>
      <w:r w:rsidRPr="00A035D0">
        <w:rPr>
          <w:b/>
          <w:sz w:val="24"/>
        </w:rPr>
        <w:t>Rights</w:t>
      </w:r>
      <w:r w:rsidR="00FE6B8B" w:rsidRPr="00A035D0">
        <w:rPr>
          <w:b/>
          <w:sz w:val="24"/>
        </w:rPr>
        <w:t xml:space="preserve"> </w:t>
      </w:r>
      <w:r w:rsidRPr="00A035D0">
        <w:rPr>
          <w:b/>
          <w:sz w:val="24"/>
        </w:rPr>
        <w:t>Committee</w:t>
      </w:r>
    </w:p>
    <w:p w14:paraId="2DA5DC13" w14:textId="60CE45E4" w:rsidR="0087402A" w:rsidRPr="00A035D0" w:rsidRDefault="0087402A" w:rsidP="0087402A">
      <w:pPr>
        <w:rPr>
          <w:b/>
        </w:rPr>
      </w:pPr>
      <w:r w:rsidRPr="00A035D0">
        <w:rPr>
          <w:b/>
        </w:rPr>
        <w:t>136th</w:t>
      </w:r>
      <w:r w:rsidR="00FE6B8B" w:rsidRPr="00A035D0">
        <w:rPr>
          <w:b/>
        </w:rPr>
        <w:t xml:space="preserve"> </w:t>
      </w:r>
      <w:r w:rsidRPr="00A035D0">
        <w:rPr>
          <w:b/>
        </w:rPr>
        <w:t>session</w:t>
      </w:r>
    </w:p>
    <w:p w14:paraId="4EF89EE4" w14:textId="28B3FCEF" w:rsidR="0087402A" w:rsidRPr="00A035D0" w:rsidRDefault="0087402A" w:rsidP="0087402A">
      <w:r w:rsidRPr="00A035D0">
        <w:t>10</w:t>
      </w:r>
      <w:r w:rsidR="00FE6B8B" w:rsidRPr="00A035D0">
        <w:t xml:space="preserve"> </w:t>
      </w:r>
      <w:r w:rsidRPr="00A035D0">
        <w:t>October–4</w:t>
      </w:r>
      <w:r w:rsidR="00FE6B8B" w:rsidRPr="00A035D0">
        <w:t xml:space="preserve"> </w:t>
      </w:r>
      <w:r w:rsidRPr="00A035D0">
        <w:t>November</w:t>
      </w:r>
      <w:r w:rsidR="00FE6B8B" w:rsidRPr="00A035D0">
        <w:t xml:space="preserve"> </w:t>
      </w:r>
      <w:r w:rsidRPr="00A035D0">
        <w:t>2022</w:t>
      </w:r>
    </w:p>
    <w:p w14:paraId="32F47070" w14:textId="4EC816A2" w:rsidR="0087402A" w:rsidRPr="00A035D0" w:rsidRDefault="0087402A" w:rsidP="0087402A">
      <w:pPr>
        <w:rPr>
          <w:b/>
        </w:rPr>
      </w:pPr>
      <w:r w:rsidRPr="00A035D0">
        <w:rPr>
          <w:b/>
        </w:rPr>
        <w:t>Consideration</w:t>
      </w:r>
      <w:r w:rsidR="00FE6B8B" w:rsidRPr="00A035D0">
        <w:rPr>
          <w:b/>
        </w:rPr>
        <w:t xml:space="preserve"> </w:t>
      </w:r>
      <w:r w:rsidRPr="00A035D0">
        <w:rPr>
          <w:b/>
        </w:rPr>
        <w:t>of</w:t>
      </w:r>
      <w:r w:rsidR="00FE6B8B" w:rsidRPr="00A035D0">
        <w:rPr>
          <w:b/>
        </w:rPr>
        <w:t xml:space="preserve"> </w:t>
      </w:r>
      <w:r w:rsidRPr="00A035D0">
        <w:rPr>
          <w:b/>
        </w:rPr>
        <w:t>reports</w:t>
      </w:r>
      <w:r w:rsidR="00FE6B8B" w:rsidRPr="00A035D0">
        <w:rPr>
          <w:b/>
        </w:rPr>
        <w:t xml:space="preserve"> </w:t>
      </w:r>
      <w:r w:rsidRPr="00A035D0">
        <w:rPr>
          <w:b/>
        </w:rPr>
        <w:t>submitted</w:t>
      </w:r>
      <w:r w:rsidR="00FE6B8B" w:rsidRPr="00A035D0">
        <w:rPr>
          <w:b/>
        </w:rPr>
        <w:t xml:space="preserve"> </w:t>
      </w:r>
      <w:r w:rsidRPr="00A035D0">
        <w:rPr>
          <w:b/>
        </w:rPr>
        <w:t>by</w:t>
      </w:r>
      <w:r w:rsidR="00FE6B8B" w:rsidRPr="00A035D0">
        <w:rPr>
          <w:b/>
        </w:rPr>
        <w:t xml:space="preserve"> </w:t>
      </w:r>
      <w:r w:rsidRPr="00A035D0">
        <w:rPr>
          <w:b/>
        </w:rPr>
        <w:t>States</w:t>
      </w:r>
      <w:r w:rsidR="00FE6B8B" w:rsidRPr="00A035D0">
        <w:rPr>
          <w:b/>
        </w:rPr>
        <w:t xml:space="preserve"> </w:t>
      </w:r>
      <w:r w:rsidRPr="00A035D0">
        <w:rPr>
          <w:b/>
        </w:rPr>
        <w:t>parties</w:t>
      </w:r>
      <w:r w:rsidR="00FE6B8B" w:rsidRPr="00A035D0">
        <w:rPr>
          <w:b/>
        </w:rPr>
        <w:t xml:space="preserve"> </w:t>
      </w:r>
      <w:r w:rsidRPr="00A035D0">
        <w:rPr>
          <w:b/>
        </w:rPr>
        <w:br/>
        <w:t>under</w:t>
      </w:r>
      <w:r w:rsidR="00FE6B8B" w:rsidRPr="00A035D0">
        <w:rPr>
          <w:b/>
        </w:rPr>
        <w:t xml:space="preserve"> </w:t>
      </w:r>
      <w:r w:rsidRPr="00A035D0">
        <w:rPr>
          <w:b/>
        </w:rPr>
        <w:t>article</w:t>
      </w:r>
      <w:r w:rsidR="00FE6B8B" w:rsidRPr="00A035D0">
        <w:rPr>
          <w:b/>
        </w:rPr>
        <w:t xml:space="preserve"> </w:t>
      </w:r>
      <w:r w:rsidRPr="00A035D0">
        <w:rPr>
          <w:b/>
        </w:rPr>
        <w:t>40</w:t>
      </w:r>
      <w:r w:rsidR="00FE6B8B" w:rsidRPr="00A035D0">
        <w:rPr>
          <w:b/>
        </w:rPr>
        <w:t xml:space="preserve"> </w:t>
      </w:r>
      <w:r w:rsidRPr="00A035D0">
        <w:rPr>
          <w:b/>
        </w:rPr>
        <w:t>of</w:t>
      </w:r>
      <w:r w:rsidR="00FE6B8B" w:rsidRPr="00A035D0">
        <w:rPr>
          <w:b/>
        </w:rPr>
        <w:t xml:space="preserve"> </w:t>
      </w:r>
      <w:r w:rsidRPr="00A035D0">
        <w:rPr>
          <w:b/>
        </w:rPr>
        <w:t>the</w:t>
      </w:r>
      <w:r w:rsidR="00FE6B8B" w:rsidRPr="00A035D0">
        <w:rPr>
          <w:b/>
        </w:rPr>
        <w:t xml:space="preserve"> </w:t>
      </w:r>
      <w:r w:rsidRPr="00A035D0">
        <w:rPr>
          <w:b/>
        </w:rPr>
        <w:t>Covenant</w:t>
      </w:r>
    </w:p>
    <w:p w14:paraId="668A49D5" w14:textId="222D3D7E" w:rsidR="0087402A" w:rsidRPr="00A035D0" w:rsidRDefault="0087402A" w:rsidP="00BF16DB">
      <w:pPr>
        <w:pStyle w:val="HChG"/>
        <w:rPr>
          <w:vertAlign w:val="superscript"/>
        </w:rPr>
      </w:pPr>
      <w:r w:rsidRPr="00A035D0">
        <w:tab/>
      </w:r>
      <w:r w:rsidRPr="00A035D0">
        <w:tab/>
      </w:r>
      <w:r w:rsidRPr="00A035D0">
        <w:tab/>
        <w:t>Replies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Philippines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relation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its</w:t>
      </w:r>
      <w:r w:rsidR="00FE6B8B" w:rsidRPr="00A035D0">
        <w:t xml:space="preserve"> </w:t>
      </w:r>
      <w:r w:rsidRPr="00A035D0">
        <w:t>fifth</w:t>
      </w:r>
      <w:r w:rsidR="00FE6B8B" w:rsidRPr="00A035D0">
        <w:t xml:space="preserve"> </w:t>
      </w:r>
      <w:r w:rsidRPr="00A035D0">
        <w:t>periodic</w:t>
      </w:r>
      <w:r w:rsidR="00FE6B8B" w:rsidRPr="00A035D0">
        <w:t xml:space="preserve"> </w:t>
      </w:r>
      <w:r w:rsidRPr="00A035D0">
        <w:t>report</w:t>
      </w:r>
      <w:r w:rsidR="00BF16DB" w:rsidRPr="00A035D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623F65B7" w14:textId="7E67F76E" w:rsidR="0087402A" w:rsidRPr="00A035D0" w:rsidRDefault="0087402A" w:rsidP="00BF16DB">
      <w:pPr>
        <w:pStyle w:val="SingleTxtG"/>
        <w:jc w:val="right"/>
      </w:pPr>
      <w:r w:rsidRPr="00A035D0">
        <w:t>[Date</w:t>
      </w:r>
      <w:r w:rsidR="00FE6B8B" w:rsidRPr="00A035D0">
        <w:t xml:space="preserve"> </w:t>
      </w:r>
      <w:r w:rsidRPr="00A035D0">
        <w:t>received:</w:t>
      </w:r>
      <w:r w:rsidR="00FE6B8B" w:rsidRPr="00A035D0">
        <w:t xml:space="preserve"> </w:t>
      </w:r>
      <w:r w:rsidRPr="00A035D0">
        <w:t>12</w:t>
      </w:r>
      <w:r w:rsidR="00FE6B8B" w:rsidRPr="00A035D0">
        <w:t xml:space="preserve"> </w:t>
      </w:r>
      <w:r w:rsidRPr="00A035D0">
        <w:t>January</w:t>
      </w:r>
      <w:r w:rsidR="00FE6B8B" w:rsidRPr="00A035D0">
        <w:t xml:space="preserve"> </w:t>
      </w:r>
      <w:r w:rsidRPr="00A035D0">
        <w:t>2022]</w:t>
      </w:r>
    </w:p>
    <w:p w14:paraId="352E088E" w14:textId="77777777" w:rsidR="0087402A" w:rsidRPr="00A035D0" w:rsidRDefault="0087402A" w:rsidP="0087402A">
      <w:pPr>
        <w:jc w:val="right"/>
      </w:pPr>
    </w:p>
    <w:p w14:paraId="420AF8B7" w14:textId="77777777" w:rsidR="0087402A" w:rsidRPr="00A035D0" w:rsidRDefault="0087402A" w:rsidP="0087402A">
      <w:pPr>
        <w:suppressAutoHyphens w:val="0"/>
        <w:spacing w:after="200" w:line="276" w:lineRule="auto"/>
        <w:rPr>
          <w:rFonts w:eastAsiaTheme="minorHAnsi"/>
        </w:rPr>
      </w:pPr>
      <w:r w:rsidRPr="00A035D0">
        <w:br w:type="page"/>
      </w:r>
    </w:p>
    <w:p w14:paraId="39F4691C" w14:textId="15176B36" w:rsidR="0087402A" w:rsidRPr="00A035D0" w:rsidRDefault="0087402A" w:rsidP="00BF16DB">
      <w:pPr>
        <w:pStyle w:val="H1G"/>
      </w:pPr>
      <w:r w:rsidRPr="00A035D0">
        <w:rPr>
          <w:lang w:val="en-US"/>
        </w:rPr>
        <w:lastRenderedPageBreak/>
        <w:tab/>
      </w:r>
      <w:r w:rsidRPr="00A035D0">
        <w:rPr>
          <w:lang w:val="en-US"/>
        </w:rPr>
        <w:tab/>
      </w:r>
      <w:r w:rsidRPr="00A035D0">
        <w:t>Specific</w:t>
      </w:r>
      <w:r w:rsidR="00FE6B8B" w:rsidRPr="00A035D0">
        <w:t xml:space="preserve"> </w:t>
      </w:r>
      <w:r w:rsidRPr="00A035D0">
        <w:t>information</w:t>
      </w:r>
      <w:r w:rsidR="00FE6B8B" w:rsidRPr="00A035D0">
        <w:t xml:space="preserve"> </w:t>
      </w:r>
      <w:r w:rsidRPr="00A035D0">
        <w:t>on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implementation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articles</w:t>
      </w:r>
      <w:r w:rsidR="00FE6B8B" w:rsidRPr="00A035D0">
        <w:t xml:space="preserve"> </w:t>
      </w:r>
      <w:r w:rsidRPr="00A035D0">
        <w:t>1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27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Covenant,</w:t>
      </w:r>
      <w:r w:rsidR="00FE6B8B" w:rsidRPr="00A035D0">
        <w:t xml:space="preserve"> </w:t>
      </w:r>
      <w:r w:rsidRPr="00A035D0">
        <w:t>including</w:t>
      </w:r>
      <w:r w:rsidR="00FE6B8B" w:rsidRPr="00A035D0">
        <w:t xml:space="preserve"> </w:t>
      </w:r>
      <w:r w:rsidRPr="00A035D0">
        <w:t>with</w:t>
      </w:r>
      <w:r w:rsidR="00FE6B8B" w:rsidRPr="00A035D0">
        <w:t xml:space="preserve"> </w:t>
      </w:r>
      <w:r w:rsidRPr="00A035D0">
        <w:t>regard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additional</w:t>
      </w:r>
      <w:r w:rsidR="00FE6B8B" w:rsidRPr="00A035D0">
        <w:t xml:space="preserve"> </w:t>
      </w:r>
      <w:r w:rsidRPr="00A035D0">
        <w:t>previous</w:t>
      </w:r>
      <w:r w:rsidR="00FE6B8B" w:rsidRPr="00A035D0">
        <w:t xml:space="preserve"> </w:t>
      </w:r>
      <w:r w:rsidRPr="00A035D0">
        <w:t>recommendations</w:t>
      </w:r>
    </w:p>
    <w:p w14:paraId="70712ED6" w14:textId="473F6E52" w:rsidR="0087402A" w:rsidRPr="00A035D0" w:rsidRDefault="00FE6B8B" w:rsidP="00BF16DB">
      <w:pPr>
        <w:pStyle w:val="H1G"/>
      </w:pPr>
      <w:r w:rsidRPr="00A035D0">
        <w:t xml:space="preserve"> </w:t>
      </w:r>
      <w:r w:rsidR="0087402A" w:rsidRPr="00A035D0">
        <w:tab/>
      </w:r>
      <w:r w:rsidR="0087402A" w:rsidRPr="00A035D0">
        <w:tab/>
        <w:t>Constitutional</w:t>
      </w:r>
      <w:r w:rsidRPr="00A035D0">
        <w:t xml:space="preserve"> </w:t>
      </w:r>
      <w:r w:rsidR="0087402A" w:rsidRPr="00A035D0">
        <w:t>and</w:t>
      </w:r>
      <w:r w:rsidRPr="00A035D0">
        <w:t xml:space="preserve"> </w:t>
      </w:r>
      <w:r w:rsidR="0087402A" w:rsidRPr="00A035D0">
        <w:t>legal</w:t>
      </w:r>
      <w:r w:rsidRPr="00A035D0">
        <w:t xml:space="preserve"> </w:t>
      </w:r>
      <w:r w:rsidR="0087402A" w:rsidRPr="00A035D0">
        <w:t>framework</w:t>
      </w:r>
      <w:r w:rsidRPr="00A035D0">
        <w:t xml:space="preserve"> </w:t>
      </w:r>
      <w:r w:rsidR="0087402A" w:rsidRPr="00A035D0">
        <w:t>within</w:t>
      </w:r>
      <w:r w:rsidRPr="00A035D0">
        <w:t xml:space="preserve"> </w:t>
      </w:r>
      <w:r w:rsidR="0087402A" w:rsidRPr="00A035D0">
        <w:t>which</w:t>
      </w:r>
      <w:r w:rsidRPr="00A035D0">
        <w:t xml:space="preserve"> </w:t>
      </w:r>
      <w:r w:rsidR="0087402A" w:rsidRPr="00A035D0">
        <w:t>the</w:t>
      </w:r>
      <w:r w:rsidRPr="00A035D0">
        <w:t xml:space="preserve"> </w:t>
      </w:r>
      <w:r w:rsidR="0087402A" w:rsidRPr="00A035D0">
        <w:t>Covenant</w:t>
      </w:r>
      <w:r w:rsidRPr="00A035D0">
        <w:t xml:space="preserve"> </w:t>
      </w:r>
      <w:r w:rsidR="0087402A" w:rsidRPr="00A035D0">
        <w:t>is</w:t>
      </w:r>
      <w:r w:rsidRPr="00A035D0">
        <w:t xml:space="preserve"> </w:t>
      </w:r>
      <w:r w:rsidR="0087402A" w:rsidRPr="00A035D0">
        <w:t>implemented</w:t>
      </w:r>
      <w:r w:rsidRPr="00A035D0">
        <w:t xml:space="preserve"> </w:t>
      </w:r>
      <w:r w:rsidR="0087402A" w:rsidRPr="00A035D0">
        <w:t>(art.</w:t>
      </w:r>
      <w:r w:rsidRPr="00A035D0">
        <w:t xml:space="preserve"> </w:t>
      </w:r>
      <w:r w:rsidR="0087402A" w:rsidRPr="00A035D0">
        <w:t>2)</w:t>
      </w:r>
    </w:p>
    <w:p w14:paraId="411EB583" w14:textId="3BAF0495" w:rsidR="0087402A" w:rsidRPr="00A035D0" w:rsidRDefault="00FE6B8B" w:rsidP="00BF16DB">
      <w:pPr>
        <w:pStyle w:val="H23G"/>
      </w:pPr>
      <w:r w:rsidRPr="00A035D0">
        <w:t xml:space="preserve"> </w:t>
      </w:r>
      <w:r w:rsidR="0087402A" w:rsidRPr="00A035D0">
        <w:tab/>
      </w:r>
      <w:r w:rsidR="0087402A" w:rsidRPr="00A035D0">
        <w:tab/>
        <w:t>Reply</w:t>
      </w:r>
      <w:r w:rsidRPr="00A035D0">
        <w:t xml:space="preserve"> </w:t>
      </w:r>
      <w:r w:rsidR="0087402A" w:rsidRPr="00A035D0">
        <w:t>to</w:t>
      </w:r>
      <w:r w:rsidRPr="00A035D0">
        <w:t xml:space="preserve"> </w:t>
      </w:r>
      <w:r w:rsidR="0087402A" w:rsidRPr="00A035D0">
        <w:t>paragraph</w:t>
      </w:r>
      <w:r w:rsidRPr="00A035D0">
        <w:t xml:space="preserve"> </w:t>
      </w:r>
      <w:r w:rsidR="0087402A" w:rsidRPr="00A035D0">
        <w:t>3</w:t>
      </w:r>
      <w:r w:rsidRPr="00A035D0">
        <w:t xml:space="preserve"> </w:t>
      </w:r>
      <w:r w:rsidR="0087402A" w:rsidRPr="00A035D0">
        <w:t>of</w:t>
      </w:r>
      <w:r w:rsidRPr="00A035D0">
        <w:t xml:space="preserve"> </w:t>
      </w:r>
      <w:r w:rsidR="0087402A" w:rsidRPr="00A035D0">
        <w:t>the</w:t>
      </w:r>
      <w:r w:rsidRPr="00A035D0">
        <w:t xml:space="preserve"> </w:t>
      </w:r>
      <w:r w:rsidR="0087402A" w:rsidRPr="00A035D0">
        <w:t>list</w:t>
      </w:r>
      <w:r w:rsidRPr="00A035D0">
        <w:t xml:space="preserve"> </w:t>
      </w:r>
      <w:r w:rsidR="0087402A" w:rsidRPr="00A035D0">
        <w:t>of</w:t>
      </w:r>
      <w:r w:rsidRPr="00A035D0">
        <w:t xml:space="preserve"> </w:t>
      </w:r>
      <w:r w:rsidR="0087402A" w:rsidRPr="00A035D0">
        <w:t>issues</w:t>
      </w:r>
      <w:r w:rsidRPr="00A035D0">
        <w:t xml:space="preserve"> </w:t>
      </w:r>
      <w:r w:rsidR="0087402A" w:rsidRPr="00A035D0">
        <w:t>(</w:t>
      </w:r>
      <w:hyperlink r:id="rId9" w:history="1">
        <w:r w:rsidR="0087402A" w:rsidRPr="00A035D0">
          <w:rPr>
            <w:rStyle w:val="Hyperlink"/>
          </w:rPr>
          <w:t>CCPR/C/PHL/Q/5</w:t>
        </w:r>
      </w:hyperlink>
      <w:r w:rsidR="0087402A" w:rsidRPr="00A035D0">
        <w:t>)</w:t>
      </w:r>
    </w:p>
    <w:p w14:paraId="52264079" w14:textId="2AF6C13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highlight w:val="white"/>
        </w:rPr>
      </w:pPr>
      <w:r w:rsidRPr="00A035D0">
        <w:rPr>
          <w:highlight w:val="whit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 w:rsidRPr="00A035D0">
        <w:rPr>
          <w:highlight w:val="whit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highlight w:val="white"/>
        </w:rPr>
        <w:t>There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three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draft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bills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House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Representatives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regarding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Charter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Commission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Human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Rights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(CHR)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filed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three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separate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members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Congress,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namely:</w:t>
      </w:r>
    </w:p>
    <w:p w14:paraId="208452A7" w14:textId="0926A78F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highlight w:val="white"/>
        </w:rPr>
      </w:pPr>
      <w:r w:rsidRPr="00A035D0">
        <w:rPr>
          <w:highlight w:val="white"/>
        </w:rPr>
        <w:t>•</w:t>
      </w:r>
      <w:r w:rsidRPr="00A035D0">
        <w:rPr>
          <w:highlight w:val="white"/>
        </w:rPr>
        <w:tab/>
      </w:r>
      <w:r w:rsidR="0087402A" w:rsidRPr="00A035D0">
        <w:rPr>
          <w:highlight w:val="white"/>
        </w:rPr>
        <w:t>House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Bill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882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introduced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Cong.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Manuel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Cabochan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III;</w:t>
      </w:r>
    </w:p>
    <w:p w14:paraId="0F638B57" w14:textId="266844DD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highlight w:val="white"/>
        </w:rPr>
      </w:pPr>
      <w:r w:rsidRPr="00A035D0">
        <w:rPr>
          <w:highlight w:val="white"/>
        </w:rPr>
        <w:t>•</w:t>
      </w:r>
      <w:r w:rsidRPr="00A035D0">
        <w:rPr>
          <w:highlight w:val="white"/>
        </w:rPr>
        <w:tab/>
      </w:r>
      <w:r w:rsidR="0087402A" w:rsidRPr="00A035D0">
        <w:rPr>
          <w:highlight w:val="white"/>
        </w:rPr>
        <w:t>House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Bill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2144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introduced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Cong.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Lawrence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Lemuel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Fortun;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and,</w:t>
      </w:r>
    </w:p>
    <w:p w14:paraId="5EBBAD37" w14:textId="6404C78C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Style w:val="FootnoteReference"/>
          <w:highlight w:val="white"/>
        </w:rPr>
      </w:pPr>
      <w:r w:rsidRPr="00A035D0">
        <w:rPr>
          <w:rStyle w:val="FootnoteReference"/>
          <w:sz w:val="20"/>
          <w:highlight w:val="white"/>
        </w:rPr>
        <w:t>•</w:t>
      </w:r>
      <w:r w:rsidRPr="00A035D0">
        <w:rPr>
          <w:rStyle w:val="FootnoteReference"/>
          <w:sz w:val="20"/>
          <w:highlight w:val="white"/>
        </w:rPr>
        <w:tab/>
      </w:r>
      <w:r w:rsidR="0087402A" w:rsidRPr="00A035D0">
        <w:rPr>
          <w:highlight w:val="white"/>
        </w:rPr>
        <w:t>House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Bill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3716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introduced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Cong.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Myrna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Joy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Tambunting</w:t>
      </w:r>
      <w:r w:rsidR="0087402A" w:rsidRPr="00A035D0">
        <w:rPr>
          <w:rStyle w:val="FootnoteReference"/>
          <w:highlight w:val="white"/>
        </w:rPr>
        <w:footnoteReference w:id="2"/>
      </w:r>
    </w:p>
    <w:p w14:paraId="0E89546E" w14:textId="12AF240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highlight w:val="white"/>
        </w:rPr>
      </w:pPr>
      <w:r w:rsidRPr="00A035D0">
        <w:rPr>
          <w:highlight w:val="whit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 w:rsidRPr="00A035D0">
        <w:rPr>
          <w:highlight w:val="whit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Philippine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Congress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awaiting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final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position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paper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CHR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before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formal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discussions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votes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commence.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least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sitting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Senator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expressed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willingness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sponsor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proposed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Charter.</w:t>
      </w:r>
    </w:p>
    <w:p w14:paraId="4578CBDD" w14:textId="598306F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yearly</w:t>
      </w:r>
      <w:r w:rsidR="00FE6B8B" w:rsidRPr="00A035D0">
        <w:t xml:space="preserve"> </w:t>
      </w:r>
      <w:r w:rsidR="0087402A" w:rsidRPr="00A035D0">
        <w:t>budget</w:t>
      </w:r>
      <w:r w:rsidR="00FE6B8B" w:rsidRPr="00A035D0">
        <w:t xml:space="preserve"> </w:t>
      </w:r>
      <w:r w:rsidR="0087402A" w:rsidRPr="00A035D0">
        <w:t>allocations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CHR</w:t>
      </w:r>
      <w:r w:rsidR="00FE6B8B" w:rsidRPr="00A035D0">
        <w:t xml:space="preserve"> </w:t>
      </w:r>
      <w:r w:rsidR="0087402A" w:rsidRPr="00A035D0">
        <w:t>starting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doubled:</w:t>
      </w:r>
    </w:p>
    <w:p w14:paraId="4631B733" w14:textId="253BD687" w:rsidR="0087402A" w:rsidRPr="00A035D0" w:rsidRDefault="0087402A" w:rsidP="00BF16DB">
      <w:pPr>
        <w:pStyle w:val="SingleTxtG"/>
        <w:tabs>
          <w:tab w:val="clear" w:pos="1701"/>
          <w:tab w:val="clear" w:pos="2268"/>
        </w:tabs>
        <w:ind w:left="3969" w:hanging="2268"/>
      </w:pPr>
      <w:r w:rsidRPr="00A035D0">
        <w:t>Fiscal</w:t>
      </w:r>
      <w:r w:rsidR="00FE6B8B" w:rsidRPr="00A035D0">
        <w:t xml:space="preserve"> </w:t>
      </w:r>
      <w:r w:rsidRPr="00A035D0">
        <w:t>year</w:t>
      </w:r>
      <w:r w:rsidR="00FE6B8B" w:rsidRPr="00A035D0">
        <w:t xml:space="preserve"> </w:t>
      </w:r>
      <w:r w:rsidRPr="00A035D0">
        <w:t>(FY)</w:t>
      </w:r>
      <w:r w:rsidR="00FE6B8B" w:rsidRPr="00A035D0">
        <w:t xml:space="preserve"> </w:t>
      </w:r>
      <w:r w:rsidRPr="00A035D0">
        <w:t>2016</w:t>
      </w:r>
      <w:r w:rsidR="00BF16DB" w:rsidRPr="00A035D0">
        <w:tab/>
      </w:r>
      <w:r w:rsidRPr="00A035D0">
        <w:t>-</w:t>
      </w:r>
      <w:r w:rsidR="00FE6B8B" w:rsidRPr="00A035D0">
        <w:t xml:space="preserve"> </w:t>
      </w:r>
      <w:r w:rsidRPr="00A035D0">
        <w:t>Php</w:t>
      </w:r>
      <w:r w:rsidR="00FE6B8B" w:rsidRPr="00A035D0">
        <w:t xml:space="preserve"> </w:t>
      </w:r>
      <w:r w:rsidRPr="00A035D0">
        <w:t>439.7</w:t>
      </w:r>
      <w:r w:rsidR="00FE6B8B" w:rsidRPr="00A035D0">
        <w:t xml:space="preserve"> </w:t>
      </w:r>
      <w:r w:rsidRPr="00A035D0">
        <w:t>million</w:t>
      </w:r>
    </w:p>
    <w:p w14:paraId="7C4DF82A" w14:textId="28D6B4DD" w:rsidR="0087402A" w:rsidRPr="00A035D0" w:rsidRDefault="0087402A" w:rsidP="00BF16DB">
      <w:pPr>
        <w:pStyle w:val="SingleTxtG"/>
        <w:tabs>
          <w:tab w:val="clear" w:pos="1701"/>
          <w:tab w:val="clear" w:pos="2268"/>
        </w:tabs>
        <w:ind w:left="3969" w:hanging="2268"/>
        <w:rPr>
          <w:highlight w:val="white"/>
        </w:rPr>
      </w:pPr>
      <w:r w:rsidRPr="00A035D0">
        <w:t>FY</w:t>
      </w:r>
      <w:r w:rsidR="00FE6B8B" w:rsidRPr="00A035D0">
        <w:t xml:space="preserve"> </w:t>
      </w:r>
      <w:r w:rsidRPr="00A035D0">
        <w:t>2017</w:t>
      </w:r>
      <w:r w:rsidRPr="00A035D0">
        <w:tab/>
      </w:r>
      <w:r w:rsidR="00BF16DB" w:rsidRPr="00A035D0">
        <w:tab/>
      </w:r>
      <w:r w:rsidRPr="00A035D0">
        <w:t>-</w:t>
      </w:r>
      <w:r w:rsidR="00FE6B8B" w:rsidRPr="00A035D0">
        <w:t xml:space="preserve"> </w:t>
      </w:r>
      <w:r w:rsidRPr="00A035D0">
        <w:rPr>
          <w:highlight w:val="white"/>
        </w:rPr>
        <w:t>Php</w:t>
      </w:r>
      <w:r w:rsidR="00FE6B8B" w:rsidRPr="00A035D0">
        <w:rPr>
          <w:highlight w:val="white"/>
        </w:rPr>
        <w:t xml:space="preserve"> </w:t>
      </w:r>
      <w:r w:rsidRPr="00A035D0">
        <w:rPr>
          <w:highlight w:val="white"/>
        </w:rPr>
        <w:t>724.9</w:t>
      </w:r>
      <w:r w:rsidR="00FE6B8B" w:rsidRPr="00A035D0">
        <w:rPr>
          <w:highlight w:val="white"/>
        </w:rPr>
        <w:t xml:space="preserve"> </w:t>
      </w:r>
      <w:r w:rsidRPr="00A035D0">
        <w:rPr>
          <w:highlight w:val="white"/>
        </w:rPr>
        <w:t>million</w:t>
      </w:r>
    </w:p>
    <w:p w14:paraId="56365EE3" w14:textId="0157A7B8" w:rsidR="0087402A" w:rsidRPr="00A035D0" w:rsidRDefault="0087402A" w:rsidP="00BF16DB">
      <w:pPr>
        <w:pStyle w:val="SingleTxtG"/>
        <w:tabs>
          <w:tab w:val="clear" w:pos="1701"/>
          <w:tab w:val="clear" w:pos="2268"/>
        </w:tabs>
        <w:ind w:left="3969" w:hanging="2268"/>
      </w:pPr>
      <w:r w:rsidRPr="00A035D0">
        <w:rPr>
          <w:highlight w:val="white"/>
        </w:rPr>
        <w:t>FY</w:t>
      </w:r>
      <w:r w:rsidR="00FE6B8B" w:rsidRPr="00A035D0">
        <w:rPr>
          <w:highlight w:val="white"/>
        </w:rPr>
        <w:t xml:space="preserve"> </w:t>
      </w:r>
      <w:r w:rsidRPr="00A035D0">
        <w:rPr>
          <w:highlight w:val="white"/>
        </w:rPr>
        <w:t>2018</w:t>
      </w:r>
      <w:r w:rsidRPr="00A035D0">
        <w:rPr>
          <w:highlight w:val="white"/>
        </w:rPr>
        <w:tab/>
      </w:r>
      <w:r w:rsidR="00BF16DB" w:rsidRPr="00A035D0">
        <w:rPr>
          <w:highlight w:val="white"/>
        </w:rPr>
        <w:tab/>
      </w:r>
      <w:r w:rsidRPr="00A035D0">
        <w:rPr>
          <w:highlight w:val="white"/>
        </w:rPr>
        <w:t>-</w:t>
      </w:r>
      <w:r w:rsidR="00FE6B8B" w:rsidRPr="00A035D0">
        <w:rPr>
          <w:highlight w:val="white"/>
        </w:rPr>
        <w:t xml:space="preserve"> </w:t>
      </w:r>
      <w:r w:rsidRPr="00A035D0">
        <w:t>Php</w:t>
      </w:r>
      <w:r w:rsidR="00FE6B8B" w:rsidRPr="00A035D0">
        <w:t xml:space="preserve"> </w:t>
      </w:r>
      <w:r w:rsidRPr="00A035D0">
        <w:t>666.9</w:t>
      </w:r>
      <w:r w:rsidR="00FE6B8B" w:rsidRPr="00A035D0">
        <w:t xml:space="preserve"> </w:t>
      </w:r>
      <w:r w:rsidRPr="00A035D0">
        <w:t>million</w:t>
      </w:r>
    </w:p>
    <w:p w14:paraId="7EE31F93" w14:textId="736C8059" w:rsidR="0087402A" w:rsidRPr="00A035D0" w:rsidRDefault="0087402A" w:rsidP="00BF16DB">
      <w:pPr>
        <w:pStyle w:val="SingleTxtG"/>
        <w:tabs>
          <w:tab w:val="clear" w:pos="1701"/>
          <w:tab w:val="clear" w:pos="2268"/>
        </w:tabs>
        <w:ind w:left="3969" w:hanging="2268"/>
      </w:pPr>
      <w:r w:rsidRPr="00A035D0">
        <w:t>FY</w:t>
      </w:r>
      <w:r w:rsidR="00FE6B8B" w:rsidRPr="00A035D0">
        <w:t xml:space="preserve"> </w:t>
      </w:r>
      <w:r w:rsidRPr="00A035D0">
        <w:t>2019</w:t>
      </w:r>
      <w:r w:rsidRPr="00A035D0">
        <w:tab/>
      </w:r>
      <w:r w:rsidR="00BF16DB" w:rsidRPr="00A035D0">
        <w:tab/>
      </w:r>
      <w:r w:rsidRPr="00A035D0">
        <w:t>-</w:t>
      </w:r>
      <w:r w:rsidR="00FE6B8B" w:rsidRPr="00A035D0">
        <w:t xml:space="preserve"> </w:t>
      </w:r>
      <w:r w:rsidRPr="00A035D0">
        <w:t>Php</w:t>
      </w:r>
      <w:r w:rsidR="00FE6B8B" w:rsidRPr="00A035D0">
        <w:t xml:space="preserve"> </w:t>
      </w:r>
      <w:r w:rsidRPr="00A035D0">
        <w:t>799.5</w:t>
      </w:r>
      <w:r w:rsidR="00FE6B8B" w:rsidRPr="00A035D0">
        <w:t xml:space="preserve"> </w:t>
      </w:r>
      <w:r w:rsidRPr="00A035D0">
        <w:t>million</w:t>
      </w:r>
    </w:p>
    <w:p w14:paraId="6A3F46EE" w14:textId="107EE7BC" w:rsidR="0087402A" w:rsidRPr="00A035D0" w:rsidRDefault="0087402A" w:rsidP="00BF16DB">
      <w:pPr>
        <w:pStyle w:val="SingleTxtG"/>
        <w:tabs>
          <w:tab w:val="clear" w:pos="1701"/>
          <w:tab w:val="clear" w:pos="2268"/>
        </w:tabs>
        <w:ind w:left="3969" w:hanging="2268"/>
        <w:rPr>
          <w:rStyle w:val="FootnoteReference"/>
          <w:highlight w:val="white"/>
        </w:rPr>
      </w:pPr>
      <w:r w:rsidRPr="00A035D0">
        <w:t>FY</w:t>
      </w:r>
      <w:r w:rsidR="00FE6B8B" w:rsidRPr="00A035D0">
        <w:t xml:space="preserve"> </w:t>
      </w:r>
      <w:r w:rsidRPr="00A035D0">
        <w:t>2020</w:t>
      </w:r>
      <w:r w:rsidRPr="00A035D0">
        <w:tab/>
      </w:r>
      <w:r w:rsidR="00BF16DB" w:rsidRPr="00A035D0">
        <w:tab/>
      </w:r>
      <w:r w:rsidRPr="00A035D0">
        <w:t>-</w:t>
      </w:r>
      <w:r w:rsidR="00FE6B8B" w:rsidRPr="00A035D0">
        <w:t xml:space="preserve"> </w:t>
      </w:r>
      <w:r w:rsidRPr="00A035D0">
        <w:t>Php</w:t>
      </w:r>
      <w:r w:rsidR="00FE6B8B" w:rsidRPr="00A035D0">
        <w:t xml:space="preserve"> </w:t>
      </w:r>
      <w:r w:rsidRPr="00A035D0">
        <w:t>888.8</w:t>
      </w:r>
      <w:r w:rsidR="00FE6B8B" w:rsidRPr="00A035D0">
        <w:t xml:space="preserve"> </w:t>
      </w:r>
      <w:r w:rsidRPr="00A035D0">
        <w:t>million</w:t>
      </w:r>
      <w:r w:rsidRPr="00A035D0">
        <w:rPr>
          <w:rStyle w:val="FootnoteReference"/>
        </w:rPr>
        <w:footnoteReference w:id="3"/>
      </w:r>
    </w:p>
    <w:p w14:paraId="18911478" w14:textId="2D6EF1BF" w:rsidR="0087402A" w:rsidRPr="00A035D0" w:rsidRDefault="0087402A" w:rsidP="00BF16DB">
      <w:pPr>
        <w:pStyle w:val="H1G"/>
      </w:pPr>
      <w:r w:rsidRPr="00A035D0">
        <w:tab/>
      </w:r>
      <w:r w:rsidRPr="00A035D0">
        <w:tab/>
        <w:t>Anti-corruption</w:t>
      </w:r>
      <w:r w:rsidR="00FE6B8B" w:rsidRPr="00A035D0">
        <w:t xml:space="preserve"> </w:t>
      </w:r>
      <w:r w:rsidRPr="00A035D0">
        <w:t>measures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25)</w:t>
      </w:r>
    </w:p>
    <w:p w14:paraId="10CB0AAD" w14:textId="03085D50" w:rsidR="0087402A" w:rsidRPr="00A035D0" w:rsidRDefault="0087402A" w:rsidP="00BF16DB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4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58654279" w14:textId="157235B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State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accessible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Citizen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Complaint</w:t>
      </w:r>
      <w:r w:rsidR="00FE6B8B" w:rsidRPr="00A035D0">
        <w:t xml:space="preserve"> </w:t>
      </w:r>
      <w:r w:rsidR="0087402A" w:rsidRPr="00A035D0">
        <w:t>Hotline</w:t>
      </w:r>
      <w:r w:rsidR="00FE6B8B" w:rsidRPr="00A035D0">
        <w:t xml:space="preserve"> </w:t>
      </w:r>
      <w:r w:rsidR="0087402A" w:rsidRPr="00A035D0">
        <w:t>(dial</w:t>
      </w:r>
      <w:r w:rsidR="00FE6B8B" w:rsidRPr="00A035D0">
        <w:t xml:space="preserve"> “</w:t>
      </w:r>
      <w:r w:rsidR="0087402A" w:rsidRPr="00A035D0">
        <w:t>8888</w:t>
      </w:r>
      <w:r w:rsidR="00FE6B8B" w:rsidRPr="00A035D0">
        <w:t>”</w:t>
      </w:r>
      <w:r w:rsidR="0087402A" w:rsidRPr="00A035D0">
        <w:t>)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accessible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whole</w:t>
      </w:r>
      <w:r w:rsidR="00FE6B8B" w:rsidRPr="00A035D0">
        <w:t xml:space="preserve"> </w:t>
      </w:r>
      <w:r w:rsidR="0087402A" w:rsidRPr="00A035D0">
        <w:t>day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whole</w:t>
      </w:r>
      <w:r w:rsidR="00FE6B8B" w:rsidRPr="00A035D0">
        <w:t xml:space="preserve"> </w:t>
      </w:r>
      <w:r w:rsidR="0087402A" w:rsidRPr="00A035D0">
        <w:t>week,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weekends</w:t>
      </w:r>
      <w:r w:rsidR="00FE6B8B" w:rsidRPr="00A035D0">
        <w:t xml:space="preserve"> </w:t>
      </w:r>
      <w:r w:rsidR="0087402A" w:rsidRPr="00A035D0">
        <w:t>(24/7)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1</w:t>
      </w:r>
      <w:r w:rsidR="00FE6B8B" w:rsidRPr="00A035D0">
        <w:t xml:space="preserve"> </w:t>
      </w:r>
      <w:r w:rsidR="0087402A" w:rsidRPr="00A035D0">
        <w:t>August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allows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anonymously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corrupt</w:t>
      </w:r>
      <w:r w:rsidR="00FE6B8B" w:rsidRPr="00A035D0">
        <w:t xml:space="preserve"> </w:t>
      </w:r>
      <w:r w:rsidR="0087402A" w:rsidRPr="00A035D0">
        <w:t>practices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poor</w:t>
      </w:r>
      <w:r w:rsidR="00FE6B8B" w:rsidRPr="00A035D0">
        <w:t xml:space="preserve"> </w:t>
      </w:r>
      <w:r w:rsidR="0087402A" w:rsidRPr="00A035D0">
        <w:t>front-line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State,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agencies,</w:t>
      </w:r>
      <w:r w:rsidR="00FE6B8B" w:rsidRPr="00A035D0">
        <w:t xml:space="preserve"> </w:t>
      </w:r>
      <w:r w:rsidR="0087402A" w:rsidRPr="00A035D0">
        <w:t>government-owned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controlled</w:t>
      </w:r>
      <w:r w:rsidR="00FE6B8B" w:rsidRPr="00A035D0">
        <w:t xml:space="preserve"> </w:t>
      </w:r>
      <w:r w:rsidR="0087402A" w:rsidRPr="00A035D0">
        <w:t>corporations,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financial</w:t>
      </w:r>
      <w:r w:rsidR="00FE6B8B" w:rsidRPr="00A035D0">
        <w:t xml:space="preserve"> </w:t>
      </w:r>
      <w:r w:rsidR="0087402A" w:rsidRPr="00A035D0">
        <w:t>institutions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instrumentalities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government.</w:t>
      </w:r>
      <w:r w:rsidR="0087402A" w:rsidRPr="00A035D0">
        <w:rPr>
          <w:rStyle w:val="FootnoteReference"/>
        </w:rPr>
        <w:footnoteReference w:id="4"/>
      </w:r>
    </w:p>
    <w:p w14:paraId="3FB3FB91" w14:textId="3067B40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Creation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Presidential</w:t>
      </w:r>
      <w:r w:rsidR="00FE6B8B" w:rsidRPr="00A035D0">
        <w:t xml:space="preserve"> </w:t>
      </w:r>
      <w:r w:rsidR="0087402A" w:rsidRPr="00A035D0">
        <w:t>Anti-Corruption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4</w:t>
      </w:r>
      <w:r w:rsidR="00FE6B8B" w:rsidRPr="00A035D0">
        <w:t xml:space="preserve"> </w:t>
      </w:r>
      <w:r w:rsidR="0087402A" w:rsidRPr="00A035D0">
        <w:t>October</w:t>
      </w:r>
      <w:r w:rsidR="00FE6B8B" w:rsidRPr="00A035D0">
        <w:t xml:space="preserve"> </w:t>
      </w:r>
      <w:r w:rsidR="0087402A" w:rsidRPr="00A035D0">
        <w:t>2017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Executive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43</w:t>
      </w:r>
      <w:r w:rsidR="00FE6B8B" w:rsidRPr="00A035D0">
        <w:t xml:space="preserve"> </w:t>
      </w:r>
      <w:r w:rsidR="0087402A" w:rsidRPr="00A035D0">
        <w:t>s.</w:t>
      </w:r>
      <w:r w:rsidR="00FE6B8B" w:rsidRPr="00A035D0">
        <w:t xml:space="preserve"> </w:t>
      </w:r>
      <w:r w:rsidR="0087402A" w:rsidRPr="00A035D0">
        <w:t>2017.</w:t>
      </w:r>
    </w:p>
    <w:p w14:paraId="76C6BAD2" w14:textId="7BCE322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Based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Annual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Ombudsman,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workload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Ombudsman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3,947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2,791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carry-over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2018.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workload,</w:t>
      </w:r>
      <w:r w:rsidR="00FE6B8B" w:rsidRPr="00A035D0">
        <w:t xml:space="preserve"> </w:t>
      </w:r>
      <w:r w:rsidR="0087402A" w:rsidRPr="00A035D0">
        <w:t>617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disposed</w:t>
      </w:r>
      <w:r w:rsidR="00FE6B8B" w:rsidRPr="00A035D0">
        <w:t xml:space="preserve"> </w:t>
      </w:r>
      <w:r w:rsidR="0087402A" w:rsidRPr="00A035D0">
        <w:t>of.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617</w:t>
      </w:r>
      <w:r w:rsidR="00FE6B8B" w:rsidRPr="00A035D0">
        <w:t xml:space="preserve"> </w:t>
      </w:r>
      <w:r w:rsidR="0087402A" w:rsidRPr="00A035D0">
        <w:t>disposed</w:t>
      </w:r>
      <w:r w:rsidR="00FE6B8B" w:rsidRPr="00A035D0">
        <w:t xml:space="preserve"> </w:t>
      </w:r>
      <w:r w:rsidR="0087402A" w:rsidRPr="00A035D0">
        <w:t>cases,</w:t>
      </w:r>
      <w:r w:rsidR="00FE6B8B" w:rsidRPr="00A035D0">
        <w:t xml:space="preserve"> </w:t>
      </w:r>
      <w:r w:rsidR="0087402A" w:rsidRPr="00A035D0">
        <w:t>83</w:t>
      </w:r>
      <w:r w:rsidR="00FE6B8B" w:rsidRPr="00A035D0">
        <w:t xml:space="preserve"> </w:t>
      </w:r>
      <w:r w:rsidR="0087402A" w:rsidRPr="00A035D0">
        <w:t>resulted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courts.</w:t>
      </w:r>
      <w:r w:rsidR="00FE6B8B" w:rsidRPr="00A035D0">
        <w:t xml:space="preserve"> </w:t>
      </w:r>
      <w:r w:rsidR="0087402A" w:rsidRPr="00A035D0">
        <w:t>Conviction</w:t>
      </w:r>
      <w:r w:rsidR="00FE6B8B" w:rsidRPr="00A035D0">
        <w:t xml:space="preserve"> </w:t>
      </w:r>
      <w:r w:rsidR="0087402A" w:rsidRPr="00A035D0">
        <w:t>rate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decided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56%.</w:t>
      </w:r>
    </w:p>
    <w:p w14:paraId="19E590D7" w14:textId="0AC67DA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308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rPr>
          <w:i/>
        </w:rPr>
        <w:t>Sandiganbayan</w:t>
      </w:r>
      <w:r w:rsidR="00FE6B8B" w:rsidRPr="00A035D0">
        <w:t xml:space="preserve"> </w:t>
      </w:r>
      <w:r w:rsidR="0087402A" w:rsidRPr="00A035D0">
        <w:t>(or</w:t>
      </w:r>
      <w:r w:rsidR="00FE6B8B" w:rsidRPr="00A035D0">
        <w:t xml:space="preserve"> </w:t>
      </w:r>
      <w:r w:rsidR="0087402A" w:rsidRPr="00A035D0">
        <w:t>graft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corruption</w:t>
      </w:r>
      <w:r w:rsidR="00FE6B8B" w:rsidRPr="00A035D0">
        <w:t xml:space="preserve"> </w:t>
      </w:r>
      <w:r w:rsidR="0087402A" w:rsidRPr="00A035D0">
        <w:t>court)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ranking</w:t>
      </w:r>
      <w:r w:rsidR="00FE6B8B" w:rsidRPr="00A035D0">
        <w:t xml:space="preserve"> </w:t>
      </w:r>
      <w:r w:rsidR="0087402A" w:rsidRPr="00A035D0">
        <w:t>officials.</w:t>
      </w:r>
      <w:r w:rsidR="0087402A" w:rsidRPr="00A035D0">
        <w:rPr>
          <w:rStyle w:val="FootnoteReference"/>
        </w:rPr>
        <w:footnoteReference w:id="5"/>
      </w:r>
    </w:p>
    <w:p w14:paraId="51D08859" w14:textId="60F108A5" w:rsidR="0087402A" w:rsidRPr="00A035D0" w:rsidRDefault="0087402A" w:rsidP="00BF16DB">
      <w:pPr>
        <w:pStyle w:val="H1G"/>
      </w:pPr>
      <w:r w:rsidRPr="00A035D0">
        <w:lastRenderedPageBreak/>
        <w:tab/>
      </w:r>
      <w:r w:rsidRPr="00A035D0">
        <w:tab/>
        <w:t>The</w:t>
      </w:r>
      <w:r w:rsidR="00FE6B8B" w:rsidRPr="00A035D0">
        <w:t xml:space="preserve"> </w:t>
      </w:r>
      <w:r w:rsidRPr="00A035D0">
        <w:t>fight</w:t>
      </w:r>
      <w:r w:rsidR="00FE6B8B" w:rsidRPr="00A035D0">
        <w:t xml:space="preserve"> </w:t>
      </w:r>
      <w:r w:rsidRPr="00A035D0">
        <w:t>against</w:t>
      </w:r>
      <w:r w:rsidR="00FE6B8B" w:rsidRPr="00A035D0">
        <w:t xml:space="preserve"> </w:t>
      </w:r>
      <w:r w:rsidRPr="00A035D0">
        <w:t>impunity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past</w:t>
      </w:r>
      <w:r w:rsidR="00FE6B8B" w:rsidRPr="00A035D0">
        <w:t xml:space="preserve"> </w:t>
      </w:r>
      <w:r w:rsidRPr="00A035D0">
        <w:t>human</w:t>
      </w:r>
      <w:r w:rsidR="00FE6B8B" w:rsidRPr="00A035D0">
        <w:t xml:space="preserve"> </w:t>
      </w:r>
      <w:r w:rsidRPr="00A035D0">
        <w:t>rights</w:t>
      </w:r>
      <w:r w:rsidR="00FE6B8B" w:rsidRPr="00A035D0">
        <w:t xml:space="preserve"> </w:t>
      </w:r>
      <w:r w:rsidRPr="00A035D0">
        <w:t>violations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2,</w:t>
      </w:r>
      <w:r w:rsidR="00FE6B8B" w:rsidRPr="00A035D0">
        <w:t xml:space="preserve"> </w:t>
      </w:r>
      <w:r w:rsidRPr="00A035D0">
        <w:t>6,</w:t>
      </w:r>
      <w:r w:rsidR="00FE6B8B" w:rsidRPr="00A035D0">
        <w:t xml:space="preserve"> </w:t>
      </w:r>
      <w:r w:rsidRPr="00A035D0">
        <w:t>7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14)</w:t>
      </w:r>
    </w:p>
    <w:p w14:paraId="480B9566" w14:textId="4F06AB79" w:rsidR="0087402A" w:rsidRPr="00A035D0" w:rsidRDefault="0087402A" w:rsidP="00BF16DB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5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7F6F4670" w14:textId="7EFB53B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Enactment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Reparation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Recognition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creating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rPr>
          <w:highlight w:val="white"/>
        </w:rPr>
        <w:t>Human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Rights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Victims</w:t>
      </w:r>
      <w:r w:rsidR="00FE6B8B" w:rsidRPr="00A035D0">
        <w:rPr>
          <w:highlight w:val="white"/>
        </w:rPr>
        <w:t xml:space="preserve">’ </w:t>
      </w:r>
      <w:r w:rsidR="0087402A" w:rsidRPr="00A035D0">
        <w:rPr>
          <w:highlight w:val="white"/>
        </w:rPr>
        <w:t>Claims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Board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through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Republic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10368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which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shall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attached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State</w:t>
      </w:r>
      <w:r w:rsidR="00FE6B8B" w:rsidRPr="00A035D0">
        <w:rPr>
          <w:highlight w:val="white"/>
        </w:rPr>
        <w:t>’</w:t>
      </w:r>
      <w:r w:rsidR="0087402A" w:rsidRPr="00A035D0">
        <w:rPr>
          <w:highlight w:val="white"/>
        </w:rPr>
        <w:t>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independent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National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Human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Rights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Institution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(NHRI)</w:t>
      </w:r>
      <w:r w:rsidR="00FE6B8B" w:rsidRPr="00A035D0">
        <w:rPr>
          <w:highlight w:val="white"/>
        </w:rPr>
        <w:t xml:space="preserve"> – </w:t>
      </w:r>
      <w:r w:rsidR="0087402A" w:rsidRPr="00A035D0">
        <w:rPr>
          <w:highlight w:val="white"/>
        </w:rPr>
        <w:t>Commission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Human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Rights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(CHR)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facilitating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claims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11,103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victims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past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human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rights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violations.</w:t>
      </w:r>
      <w:r w:rsidR="0087402A" w:rsidRPr="00A035D0">
        <w:rPr>
          <w:rStyle w:val="FootnoteReference"/>
          <w:highlight w:val="white"/>
        </w:rPr>
        <w:footnoteReference w:id="6"/>
      </w:r>
    </w:p>
    <w:p w14:paraId="64E7A02E" w14:textId="77777777" w:rsidR="00FE6B8B" w:rsidRPr="00A035D0" w:rsidRDefault="0087402A" w:rsidP="00BF16DB">
      <w:pPr>
        <w:pStyle w:val="H4G"/>
      </w:pPr>
      <w:r w:rsidRPr="00A035D0">
        <w:tab/>
      </w:r>
      <w:r w:rsidRPr="00A035D0">
        <w:tab/>
        <w:t>Transitional</w:t>
      </w:r>
      <w:r w:rsidR="00FE6B8B" w:rsidRPr="00A035D0">
        <w:t xml:space="preserve"> </w:t>
      </w:r>
      <w:r w:rsidRPr="00A035D0">
        <w:t>Justice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Reconciliation</w:t>
      </w:r>
      <w:r w:rsidR="00FE6B8B" w:rsidRPr="00A035D0">
        <w:t xml:space="preserve"> </w:t>
      </w:r>
      <w:r w:rsidRPr="00A035D0">
        <w:t>Commission</w:t>
      </w:r>
    </w:p>
    <w:p w14:paraId="4F85FCF5" w14:textId="5012DED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enactment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Organic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Bangsamoro</w:t>
      </w:r>
      <w:r w:rsidR="00FE6B8B" w:rsidRPr="00A035D0">
        <w:t xml:space="preserve"> </w:t>
      </w:r>
      <w:r w:rsidR="0087402A" w:rsidRPr="00A035D0">
        <w:t>Autonomous</w:t>
      </w:r>
      <w:r w:rsidR="00FE6B8B" w:rsidRPr="00A035D0">
        <w:t xml:space="preserve"> </w:t>
      </w:r>
      <w:r w:rsidR="0087402A" w:rsidRPr="00A035D0">
        <w:t>Region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Muslim</w:t>
      </w:r>
      <w:r w:rsidR="00FE6B8B" w:rsidRPr="00A035D0">
        <w:t xml:space="preserve"> </w:t>
      </w:r>
      <w:r w:rsidR="0087402A" w:rsidRPr="00A035D0">
        <w:t>Mindanao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17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(RA)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11054</w:t>
      </w:r>
      <w:r w:rsidR="00FE6B8B" w:rsidRPr="00A035D0">
        <w:t xml:space="preserve"> </w:t>
      </w:r>
      <w:r w:rsidR="0087402A" w:rsidRPr="00A035D0">
        <w:t>takes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account</w:t>
      </w:r>
      <w:r w:rsidR="00FE6B8B" w:rsidRPr="00A035D0">
        <w:t xml:space="preserve"> </w:t>
      </w:r>
      <w:r w:rsidR="0087402A" w:rsidRPr="00A035D0">
        <w:t>recommendations</w:t>
      </w:r>
      <w:r w:rsidR="00FE6B8B" w:rsidRPr="00A035D0">
        <w:t xml:space="preserve"> </w:t>
      </w:r>
      <w:r w:rsidR="0087402A" w:rsidRPr="00A035D0">
        <w:t>found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Transitional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Reconciliation</w:t>
      </w:r>
      <w:r w:rsidR="00FE6B8B" w:rsidRPr="00A035D0">
        <w:t xml:space="preserve"> </w:t>
      </w:r>
      <w:r w:rsidR="0087402A" w:rsidRPr="00A035D0">
        <w:t>Commission</w:t>
      </w:r>
      <w:r w:rsidR="0087402A" w:rsidRPr="00A035D0">
        <w:rPr>
          <w:rStyle w:val="FootnoteReference"/>
        </w:rPr>
        <w:footnoteReference w:id="7"/>
      </w:r>
      <w:r w:rsidR="00FE6B8B" w:rsidRPr="00A035D0">
        <w:rPr>
          <w:rStyle w:val="FootnoteReference"/>
        </w:rPr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establishing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transitional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mechanism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grievances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Bangsamoro</w:t>
      </w:r>
      <w:r w:rsidR="00FE6B8B" w:rsidRPr="00A035D0">
        <w:t xml:space="preserve"> </w:t>
      </w:r>
      <w:r w:rsidR="0087402A" w:rsidRPr="00A035D0">
        <w:t>people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injustices,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violations,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marginalization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unjust</w:t>
      </w:r>
      <w:r w:rsidR="00FE6B8B" w:rsidRPr="00A035D0">
        <w:t xml:space="preserve"> </w:t>
      </w:r>
      <w:r w:rsidR="0087402A" w:rsidRPr="00A035D0">
        <w:t>dispossession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territorial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propriety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customary</w:t>
      </w:r>
      <w:r w:rsidR="00FE6B8B" w:rsidRPr="00A035D0">
        <w:t xml:space="preserve"> </w:t>
      </w:r>
      <w:r w:rsidR="0087402A" w:rsidRPr="00A035D0">
        <w:t>tenure.</w:t>
      </w:r>
    </w:p>
    <w:p w14:paraId="7D083BAA" w14:textId="77777777" w:rsidR="00FE6B8B" w:rsidRPr="00A035D0" w:rsidRDefault="0087402A" w:rsidP="00BF16DB">
      <w:pPr>
        <w:pStyle w:val="H1G"/>
      </w:pPr>
      <w:r w:rsidRPr="00A035D0">
        <w:tab/>
      </w:r>
      <w:r w:rsidRPr="00A035D0">
        <w:tab/>
        <w:t>Non-discrimination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25)</w:t>
      </w:r>
    </w:p>
    <w:p w14:paraId="36FB5A12" w14:textId="24F8EF7C" w:rsidR="0087402A" w:rsidRPr="00A035D0" w:rsidRDefault="0087402A" w:rsidP="00BF16DB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6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63BB48B7" w14:textId="05BA1DB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18th</w:t>
      </w:r>
      <w:r w:rsidR="00FE6B8B" w:rsidRPr="00A035D0">
        <w:t xml:space="preserve"> </w:t>
      </w:r>
      <w:r w:rsidR="0087402A" w:rsidRPr="00A035D0">
        <w:t>Congress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institution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advocates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promotes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suffrage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sectors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diverse</w:t>
      </w:r>
      <w:r w:rsidR="00FE6B8B" w:rsidRPr="00A035D0">
        <w:t xml:space="preserve"> </w:t>
      </w:r>
      <w:r w:rsidR="0087402A" w:rsidRPr="00A035D0">
        <w:t>membership.</w:t>
      </w:r>
      <w:r w:rsidR="00FE6B8B" w:rsidRPr="00A035D0">
        <w:t xml:space="preserve"> </w:t>
      </w:r>
      <w:r w:rsidR="0087402A" w:rsidRPr="00A035D0">
        <w:t>Hon.</w:t>
      </w:r>
      <w:r w:rsidR="00FE6B8B" w:rsidRPr="00A035D0">
        <w:t xml:space="preserve"> </w:t>
      </w:r>
      <w:r w:rsidR="0087402A" w:rsidRPr="00A035D0">
        <w:t>Geraldine</w:t>
      </w:r>
      <w:r w:rsidR="00FE6B8B" w:rsidRPr="00A035D0">
        <w:t xml:space="preserve"> </w:t>
      </w:r>
      <w:r w:rsidR="0087402A" w:rsidRPr="00A035D0">
        <w:t>B.</w:t>
      </w:r>
      <w:r w:rsidR="00FE6B8B" w:rsidRPr="00A035D0">
        <w:t xml:space="preserve"> </w:t>
      </w:r>
      <w:r w:rsidR="0087402A" w:rsidRPr="00A035D0">
        <w:t>Roman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1st</w:t>
      </w:r>
      <w:r w:rsidR="00FE6B8B" w:rsidRPr="00A035D0">
        <w:t xml:space="preserve"> </w:t>
      </w:r>
      <w:r w:rsidR="0087402A" w:rsidRPr="00A035D0">
        <w:t>District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Bataan</w:t>
      </w:r>
      <w:r w:rsidR="00FE6B8B" w:rsidRPr="00A035D0">
        <w:t xml:space="preserve"> </w:t>
      </w:r>
      <w:r w:rsidR="0087402A" w:rsidRPr="00A035D0">
        <w:t>Province</w:t>
      </w:r>
      <w:r w:rsidR="0087402A" w:rsidRPr="00A035D0">
        <w:rPr>
          <w:rStyle w:val="FootnoteReference"/>
        </w:rPr>
        <w:footnoteReference w:id="8"/>
      </w:r>
      <w:r w:rsidR="00FE6B8B" w:rsidRPr="00A035D0">
        <w:rPr>
          <w:rStyle w:val="FootnoteReference"/>
        </w:rPr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openly</w:t>
      </w:r>
      <w:r w:rsidR="00FE6B8B" w:rsidRPr="00A035D0">
        <w:t xml:space="preserve"> </w:t>
      </w:r>
      <w:r w:rsidR="0087402A" w:rsidRPr="00A035D0">
        <w:t>transgendered</w:t>
      </w:r>
      <w:r w:rsidR="00FE6B8B" w:rsidRPr="00A035D0">
        <w:t xml:space="preserve"> </w:t>
      </w:r>
      <w:r w:rsidR="0087402A" w:rsidRPr="00A035D0">
        <w:t>elected</w:t>
      </w:r>
      <w:r w:rsidR="00FE6B8B" w:rsidRPr="00A035D0">
        <w:t xml:space="preserve"> </w:t>
      </w:r>
      <w:r w:rsidR="0087402A" w:rsidRPr="00A035D0">
        <w:t>official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Congress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LGBTQ</w:t>
      </w:r>
      <w:r w:rsidR="00FE6B8B" w:rsidRPr="00A035D0">
        <w:t xml:space="preserve"> </w:t>
      </w:r>
      <w:r w:rsidR="0087402A" w:rsidRPr="00A035D0">
        <w:t>community.</w:t>
      </w:r>
    </w:p>
    <w:p w14:paraId="707D8A40" w14:textId="5B0FBC5D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Twelve</w:t>
      </w:r>
      <w:r w:rsidR="00FE6B8B" w:rsidRPr="00A035D0">
        <w:t xml:space="preserve"> </w:t>
      </w:r>
      <w:r w:rsidR="0087402A" w:rsidRPr="00A035D0">
        <w:t>bills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seek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prohibit</w:t>
      </w:r>
      <w:r w:rsidR="00FE6B8B" w:rsidRPr="00A035D0">
        <w:t xml:space="preserve"> </w:t>
      </w:r>
      <w:r w:rsidR="0087402A" w:rsidRPr="00A035D0">
        <w:t>discrimination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basis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sexual</w:t>
      </w:r>
      <w:r w:rsidR="00FE6B8B" w:rsidRPr="00A035D0">
        <w:t xml:space="preserve"> </w:t>
      </w:r>
      <w:r w:rsidR="0087402A" w:rsidRPr="00A035D0">
        <w:t>orientation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identity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expression</w:t>
      </w:r>
      <w:r w:rsidR="00FE6B8B" w:rsidRPr="00A035D0">
        <w:t xml:space="preserve"> </w:t>
      </w:r>
      <w:r w:rsidR="0087402A" w:rsidRPr="00A035D0">
        <w:t>(SOGIE)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Representatives.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currently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Equality.</w:t>
      </w:r>
    </w:p>
    <w:p w14:paraId="423A38F2" w14:textId="18A3B2D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Four</w:t>
      </w:r>
      <w:r w:rsidR="00FE6B8B" w:rsidRPr="00A035D0">
        <w:t xml:space="preserve"> </w:t>
      </w:r>
      <w:r w:rsidR="0087402A" w:rsidRPr="00A035D0">
        <w:t>bills</w:t>
      </w:r>
      <w:r w:rsidR="00FE6B8B" w:rsidRPr="00A035D0">
        <w:t xml:space="preserve"> </w:t>
      </w:r>
      <w:r w:rsidR="0087402A" w:rsidRPr="00A035D0">
        <w:t>involving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proposal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currently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reviewed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Women,</w:t>
      </w:r>
      <w:r w:rsidR="00FE6B8B" w:rsidRPr="00A035D0">
        <w:t xml:space="preserve"> </w:t>
      </w:r>
      <w:r w:rsidR="0087402A" w:rsidRPr="00A035D0">
        <w:t>Children,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Relations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Equality.</w:t>
      </w:r>
      <w:r w:rsidR="0087402A" w:rsidRPr="00A035D0">
        <w:rPr>
          <w:rStyle w:val="FootnoteReference"/>
        </w:rPr>
        <w:footnoteReference w:id="9"/>
      </w:r>
    </w:p>
    <w:p w14:paraId="44950470" w14:textId="77777777" w:rsidR="00FE6B8B" w:rsidRPr="00A035D0" w:rsidRDefault="0087402A" w:rsidP="00BF16DB">
      <w:pPr>
        <w:pStyle w:val="H1G"/>
      </w:pPr>
      <w:r w:rsidRPr="00A035D0">
        <w:tab/>
      </w:r>
      <w:r w:rsidRPr="00A035D0">
        <w:tab/>
        <w:t>Counter-terrorism</w:t>
      </w:r>
      <w:r w:rsidR="00FE6B8B" w:rsidRPr="00A035D0">
        <w:t xml:space="preserve"> </w:t>
      </w:r>
      <w:r w:rsidRPr="00A035D0">
        <w:t>measures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2,</w:t>
      </w:r>
      <w:r w:rsidR="00FE6B8B" w:rsidRPr="00A035D0">
        <w:t xml:space="preserve"> </w:t>
      </w:r>
      <w:r w:rsidRPr="00A035D0">
        <w:t>4,</w:t>
      </w:r>
      <w:r w:rsidR="00FE6B8B" w:rsidRPr="00A035D0">
        <w:t xml:space="preserve"> </w:t>
      </w:r>
      <w:r w:rsidRPr="00A035D0">
        <w:t>7,</w:t>
      </w:r>
      <w:r w:rsidR="00FE6B8B" w:rsidRPr="00A035D0">
        <w:t xml:space="preserve"> </w:t>
      </w:r>
      <w:r w:rsidRPr="00A035D0">
        <w:t>9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14)</w:t>
      </w:r>
    </w:p>
    <w:p w14:paraId="318C45BF" w14:textId="77777777" w:rsidR="00FE6B8B" w:rsidRPr="00A035D0" w:rsidRDefault="0087402A" w:rsidP="00BF16DB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7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419201E5" w14:textId="23D806DE" w:rsidR="0087402A" w:rsidRPr="00A035D0" w:rsidRDefault="0087402A" w:rsidP="00BF16DB">
      <w:pPr>
        <w:pStyle w:val="H4G"/>
      </w:pPr>
      <w:r w:rsidRPr="00A035D0">
        <w:tab/>
      </w:r>
      <w:r w:rsidRPr="00A035D0">
        <w:tab/>
        <w:t>Inclusive</w:t>
      </w:r>
      <w:r w:rsidR="00FE6B8B" w:rsidRPr="00A035D0">
        <w:t xml:space="preserve"> </w:t>
      </w:r>
      <w:r w:rsidRPr="00A035D0">
        <w:t>national</w:t>
      </w:r>
      <w:r w:rsidR="00FE6B8B" w:rsidRPr="00A035D0">
        <w:t xml:space="preserve"> </w:t>
      </w:r>
      <w:r w:rsidRPr="00A035D0">
        <w:t>deliberation</w:t>
      </w:r>
    </w:p>
    <w:p w14:paraId="195F8509" w14:textId="14B9028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Global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Index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consistently</w:t>
      </w:r>
      <w:r w:rsidR="00FE6B8B" w:rsidRPr="00A035D0">
        <w:t xml:space="preserve"> </w:t>
      </w:r>
      <w:r w:rsidR="0087402A" w:rsidRPr="00A035D0">
        <w:t>ranked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top</w:t>
      </w:r>
      <w:r w:rsidR="00FE6B8B" w:rsidRPr="00A035D0">
        <w:t xml:space="preserve"> </w:t>
      </w:r>
      <w:r w:rsidR="0087402A" w:rsidRPr="00A035D0">
        <w:t>ten</w:t>
      </w:r>
      <w:r w:rsidR="00FE6B8B" w:rsidRPr="00A035D0">
        <w:t xml:space="preserve"> </w:t>
      </w:r>
      <w:r w:rsidR="0087402A" w:rsidRPr="00A035D0">
        <w:t>countries</w:t>
      </w:r>
      <w:r w:rsidR="00FE6B8B" w:rsidRPr="00A035D0">
        <w:t xml:space="preserve"> </w:t>
      </w:r>
      <w:r w:rsidR="0087402A" w:rsidRPr="00A035D0">
        <w:t>most</w:t>
      </w:r>
      <w:r w:rsidR="00FE6B8B" w:rsidRPr="00A035D0">
        <w:t xml:space="preserve"> </w:t>
      </w:r>
      <w:r w:rsidR="0087402A" w:rsidRPr="00A035D0">
        <w:t>impacted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past</w:t>
      </w:r>
      <w:r w:rsidR="00FE6B8B" w:rsidRPr="00A035D0">
        <w:t xml:space="preserve"> </w:t>
      </w:r>
      <w:r w:rsidR="0087402A" w:rsidRPr="00A035D0">
        <w:t>decades.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states</w:t>
      </w:r>
      <w:r w:rsidR="00FE6B8B" w:rsidRPr="00A035D0">
        <w:t xml:space="preserve"> </w:t>
      </w:r>
      <w:r w:rsidR="0087402A" w:rsidRPr="00A035D0">
        <w:t>across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globe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starting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see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downtrend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deaths</w:t>
      </w:r>
      <w:r w:rsidR="00FE6B8B" w:rsidRPr="00A035D0">
        <w:t xml:space="preserve"> </w:t>
      </w:r>
      <w:r w:rsidR="0087402A" w:rsidRPr="00A035D0">
        <w:t>due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terrorism,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continues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included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top</w:t>
      </w:r>
      <w:r w:rsidR="00FE6B8B" w:rsidRPr="00A035D0">
        <w:t xml:space="preserve"> </w:t>
      </w:r>
      <w:r w:rsidR="0087402A" w:rsidRPr="00A035D0">
        <w:t>countries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largest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terrorism.</w:t>
      </w:r>
    </w:p>
    <w:p w14:paraId="0EF6A9DD" w14:textId="34CF6DE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Parliament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amended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2007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legislation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Anti-Terrorism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(ATA</w:t>
      </w:r>
      <w:r w:rsidR="00FE6B8B" w:rsidRPr="00A035D0">
        <w:t xml:space="preserve"> </w:t>
      </w:r>
      <w:r w:rsidR="0087402A" w:rsidRPr="00A035D0">
        <w:t>2020)</w:t>
      </w:r>
      <w:r w:rsidR="00FE6B8B" w:rsidRPr="00A035D0">
        <w:t xml:space="preserve"> </w:t>
      </w:r>
      <w:r w:rsidR="0087402A" w:rsidRPr="00A035D0">
        <w:t>incorporating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rights-based</w:t>
      </w:r>
      <w:r w:rsidR="00FE6B8B" w:rsidRPr="00A035D0">
        <w:t xml:space="preserve"> </w:t>
      </w:r>
      <w:r w:rsidR="0087402A" w:rsidRPr="00A035D0">
        <w:t>inputs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Institution</w:t>
      </w:r>
      <w:r w:rsidR="00FE6B8B" w:rsidRPr="00A035D0">
        <w:t xml:space="preserve"> </w:t>
      </w:r>
      <w:r w:rsidR="0087402A" w:rsidRPr="00A035D0">
        <w:t>(NHRI)</w:t>
      </w:r>
      <w:r w:rsidR="00FE6B8B" w:rsidRPr="00A035D0">
        <w:t xml:space="preserve"> </w:t>
      </w:r>
      <w:r w:rsidR="0087402A" w:rsidRPr="00A035D0">
        <w:t>–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Rights,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defenders</w:t>
      </w:r>
      <w:r w:rsidR="00FE6B8B" w:rsidRPr="00A035D0">
        <w:t xml:space="preserve"> </w:t>
      </w:r>
      <w:r w:rsidR="0087402A" w:rsidRPr="00A035D0">
        <w:t>(HRDs)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drafting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legislation.</w:t>
      </w:r>
      <w:r w:rsidR="00FE6B8B" w:rsidRPr="00A035D0">
        <w:t xml:space="preserve"> </w:t>
      </w:r>
      <w:r w:rsidR="0087402A" w:rsidRPr="00A035D0">
        <w:t>173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204</w:t>
      </w:r>
      <w:r w:rsidR="00FE6B8B" w:rsidRPr="00A035D0">
        <w:t xml:space="preserve"> </w:t>
      </w:r>
      <w:r w:rsidR="0087402A" w:rsidRPr="00A035D0">
        <w:t>votes</w:t>
      </w:r>
      <w:r w:rsidR="00FE6B8B" w:rsidRPr="00A035D0">
        <w:t xml:space="preserve"> </w:t>
      </w:r>
      <w:r w:rsidR="0087402A" w:rsidRPr="00A035D0">
        <w:t>cast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Parliament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favor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passing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legislation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2020.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173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voted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favor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25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elected</w:t>
      </w:r>
      <w:r w:rsidR="00FE6B8B" w:rsidRPr="00A035D0">
        <w:t xml:space="preserve"> </w:t>
      </w:r>
      <w:r w:rsidR="0087402A" w:rsidRPr="00A035D0">
        <w:t>parliamentarians</w:t>
      </w:r>
      <w:r w:rsidR="00FE6B8B" w:rsidRPr="00A035D0">
        <w:t xml:space="preserve"> </w:t>
      </w:r>
      <w:r w:rsidR="0087402A" w:rsidRPr="00A035D0">
        <w:t>representing</w:t>
      </w:r>
      <w:r w:rsidR="00FE6B8B" w:rsidRPr="00A035D0">
        <w:t xml:space="preserve"> </w:t>
      </w:r>
      <w:r w:rsidR="0087402A" w:rsidRPr="00A035D0">
        <w:t>vulnerable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marginalized</w:t>
      </w:r>
      <w:r w:rsidR="00FE6B8B" w:rsidRPr="00A035D0">
        <w:t xml:space="preserve"> </w:t>
      </w:r>
      <w:r w:rsidR="0087402A" w:rsidRPr="00A035D0">
        <w:t>sectors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lastRenderedPageBreak/>
        <w:t>students,</w:t>
      </w:r>
      <w:r w:rsidR="00FE6B8B" w:rsidRPr="00A035D0">
        <w:t xml:space="preserve"> </w:t>
      </w:r>
      <w:r w:rsidR="0087402A" w:rsidRPr="00A035D0">
        <w:t>youth,</w:t>
      </w:r>
      <w:r w:rsidR="00FE6B8B" w:rsidRPr="00A035D0">
        <w:t xml:space="preserve"> </w:t>
      </w:r>
      <w:r w:rsidR="0087402A" w:rsidRPr="00A035D0">
        <w:t>teachers,</w:t>
      </w:r>
      <w:r w:rsidR="00FE6B8B" w:rsidRPr="00A035D0">
        <w:t xml:space="preserve"> </w:t>
      </w:r>
      <w:r w:rsidR="0087402A" w:rsidRPr="00A035D0">
        <w:t>academe,</w:t>
      </w:r>
      <w:r w:rsidR="00FE6B8B" w:rsidRPr="00A035D0">
        <w:t xml:space="preserve"> </w:t>
      </w:r>
      <w:r w:rsidR="0087402A" w:rsidRPr="00A035D0">
        <w:t>urban</w:t>
      </w:r>
      <w:r w:rsidR="00FE6B8B" w:rsidRPr="00A035D0">
        <w:t xml:space="preserve"> </w:t>
      </w:r>
      <w:r w:rsidR="0087402A" w:rsidRPr="00A035D0">
        <w:t>poor,</w:t>
      </w:r>
      <w:r w:rsidR="00FE6B8B" w:rsidRPr="00A035D0">
        <w:t xml:space="preserve"> </w:t>
      </w:r>
      <w:r w:rsidR="0087402A" w:rsidRPr="00A035D0">
        <w:t>worker-laborers,</w:t>
      </w:r>
      <w:r w:rsidR="00FE6B8B" w:rsidRPr="00A035D0">
        <w:t xml:space="preserve"> </w:t>
      </w:r>
      <w:r w:rsidR="0087402A" w:rsidRPr="00A035D0">
        <w:t>peasant</w:t>
      </w:r>
      <w:r w:rsidR="00FE6B8B" w:rsidRPr="00A035D0">
        <w:t xml:space="preserve"> </w:t>
      </w:r>
      <w:r w:rsidR="0087402A" w:rsidRPr="00A035D0">
        <w:t>farmers,</w:t>
      </w:r>
      <w:r w:rsidR="00FE6B8B" w:rsidRPr="00A035D0">
        <w:t xml:space="preserve"> </w:t>
      </w:r>
      <w:r w:rsidR="0087402A" w:rsidRPr="00A035D0">
        <w:t>agricultural</w:t>
      </w:r>
      <w:r w:rsidR="00FE6B8B" w:rsidRPr="00A035D0">
        <w:t xml:space="preserve"> </w:t>
      </w:r>
      <w:r w:rsidR="0087402A" w:rsidRPr="00A035D0">
        <w:t>workers,</w:t>
      </w:r>
      <w:r w:rsidR="00FE6B8B" w:rsidRPr="00A035D0">
        <w:t xml:space="preserve"> </w:t>
      </w:r>
      <w:r w:rsidR="0087402A" w:rsidRPr="00A035D0">
        <w:t>fisher</w:t>
      </w:r>
      <w:r w:rsidR="00FE6B8B" w:rsidRPr="00A035D0">
        <w:t xml:space="preserve"> </w:t>
      </w:r>
      <w:r w:rsidR="0087402A" w:rsidRPr="00A035D0">
        <w:t>folks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persons.</w:t>
      </w:r>
    </w:p>
    <w:p w14:paraId="383C3469" w14:textId="2DA52D8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intends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give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authorities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much-needed</w:t>
      </w:r>
      <w:r w:rsidR="00FE6B8B" w:rsidRPr="00A035D0">
        <w:t xml:space="preserve"> </w:t>
      </w:r>
      <w:r w:rsidR="0087402A" w:rsidRPr="00A035D0">
        <w:t>strong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backbone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preventing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prosecuting</w:t>
      </w:r>
      <w:r w:rsidR="00FE6B8B" w:rsidRPr="00A035D0">
        <w:t xml:space="preserve"> </w:t>
      </w:r>
      <w:r w:rsidR="0087402A" w:rsidRPr="00A035D0">
        <w:t>those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involved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terror</w:t>
      </w:r>
      <w:r w:rsidR="00FE6B8B" w:rsidRPr="00A035D0">
        <w:t xml:space="preserve"> </w:t>
      </w:r>
      <w:r w:rsidR="0087402A" w:rsidRPr="00A035D0">
        <w:t>acts.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evolving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threats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ever-changing</w:t>
      </w:r>
      <w:r w:rsidR="00FE6B8B" w:rsidRPr="00A035D0">
        <w:t xml:space="preserve"> </w:t>
      </w:r>
      <w:r w:rsidR="0087402A" w:rsidRPr="00A035D0">
        <w:t>tactics,</w:t>
      </w:r>
      <w:r w:rsidR="00FE6B8B" w:rsidRPr="00A035D0">
        <w:t xml:space="preserve"> </w:t>
      </w:r>
      <w:r w:rsidR="0087402A" w:rsidRPr="00A035D0">
        <w:t>terrorists</w:t>
      </w:r>
      <w:r w:rsidR="00FE6B8B" w:rsidRPr="00A035D0">
        <w:t xml:space="preserve"> </w:t>
      </w:r>
      <w:r w:rsidR="0087402A" w:rsidRPr="00A035D0">
        <w:t>perpetrate</w:t>
      </w:r>
      <w:r w:rsidR="00FE6B8B" w:rsidRPr="00A035D0">
        <w:t xml:space="preserve"> </w:t>
      </w:r>
      <w:r w:rsidR="0087402A" w:rsidRPr="00A035D0">
        <w:t>insidious</w:t>
      </w:r>
      <w:r w:rsidR="00FE6B8B" w:rsidRPr="00A035D0">
        <w:t xml:space="preserve"> </w:t>
      </w:r>
      <w:r w:rsidR="0087402A" w:rsidRPr="00A035D0">
        <w:t>acts.</w:t>
      </w:r>
      <w:r w:rsidR="00FE6B8B" w:rsidRPr="00A035D0">
        <w:t xml:space="preserve"> </w:t>
      </w:r>
      <w:r w:rsidR="0087402A" w:rsidRPr="00A035D0">
        <w:t>Therefore,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strong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needed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exact</w:t>
      </w:r>
      <w:r w:rsidR="00FE6B8B" w:rsidRPr="00A035D0">
        <w:t xml:space="preserve"> </w:t>
      </w:r>
      <w:r w:rsidR="0087402A" w:rsidRPr="00A035D0">
        <w:t>accountability,</w:t>
      </w:r>
      <w:r w:rsidR="00FE6B8B" w:rsidRPr="00A035D0">
        <w:t xml:space="preserve"> </w:t>
      </w:r>
      <w:r w:rsidR="0087402A" w:rsidRPr="00A035D0">
        <w:t>liability,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responsibility,</w:t>
      </w:r>
      <w:r w:rsidR="00FE6B8B" w:rsidRPr="00A035D0">
        <w:t xml:space="preserve"> </w:t>
      </w:r>
      <w:r w:rsidR="0087402A" w:rsidRPr="00A035D0">
        <w:t>recalling</w:t>
      </w:r>
      <w:r w:rsidR="00FE6B8B" w:rsidRPr="00A035D0">
        <w:t xml:space="preserve"> </w:t>
      </w:r>
      <w:r w:rsidR="0087402A" w:rsidRPr="00A035D0">
        <w:t>United</w:t>
      </w:r>
      <w:r w:rsidR="00FE6B8B" w:rsidRPr="00A035D0">
        <w:t xml:space="preserve"> </w:t>
      </w:r>
      <w:r w:rsidR="0087402A" w:rsidRPr="00A035D0">
        <w:t>Nations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(UNSCR)</w:t>
      </w:r>
      <w:r w:rsidR="00FE6B8B" w:rsidRPr="00A035D0">
        <w:t xml:space="preserve"> </w:t>
      </w:r>
      <w:r w:rsidR="0087402A" w:rsidRPr="00A035D0">
        <w:t>1624,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maintaining</w:t>
      </w:r>
      <w:r w:rsidR="00FE6B8B" w:rsidRPr="00A035D0">
        <w:t xml:space="preserve"> </w:t>
      </w:r>
      <w:r w:rsidR="0087402A" w:rsidRPr="00A035D0">
        <w:t>respect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liberties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upholding</w:t>
      </w:r>
      <w:r w:rsidR="00FE6B8B" w:rsidRPr="00A035D0">
        <w:t xml:space="preserve"> </w:t>
      </w:r>
      <w:r w:rsidR="0087402A" w:rsidRPr="00A035D0">
        <w:t>fundamentally</w:t>
      </w:r>
      <w:r w:rsidR="00FE6B8B" w:rsidRPr="00A035D0">
        <w:t xml:space="preserve"> </w:t>
      </w:r>
      <w:r w:rsidR="0087402A" w:rsidRPr="00A035D0">
        <w:t>guaranteed</w:t>
      </w:r>
      <w:r w:rsidR="00FE6B8B" w:rsidRPr="00A035D0">
        <w:t xml:space="preserve"> </w:t>
      </w:r>
      <w:r w:rsidR="0087402A" w:rsidRPr="00A035D0">
        <w:t>rights.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replete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safeguard</w:t>
      </w:r>
      <w:r w:rsidR="00FE6B8B" w:rsidRPr="00A035D0">
        <w:t xml:space="preserve"> </w:t>
      </w:r>
      <w:r w:rsidR="0087402A" w:rsidRPr="00A035D0">
        <w:t>provisions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guarantee</w:t>
      </w:r>
      <w:r w:rsidR="00FE6B8B" w:rsidRPr="00A035D0">
        <w:t xml:space="preserve"> </w:t>
      </w:r>
      <w:r w:rsidR="0087402A" w:rsidRPr="00A035D0">
        <w:t>respect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itself</w:t>
      </w:r>
      <w:r w:rsidR="00FE6B8B" w:rsidRPr="00A035D0">
        <w:t xml:space="preserve"> </w:t>
      </w:r>
      <w:r w:rsidR="0087402A" w:rsidRPr="00A035D0">
        <w:t>ensures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“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absolute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protected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times</w:t>
      </w:r>
      <w:r w:rsidR="00FE6B8B" w:rsidRPr="00A035D0">
        <w:t>”</w:t>
      </w:r>
      <w:r w:rsidR="0087402A" w:rsidRPr="00A035D0">
        <w:t>.</w:t>
      </w:r>
      <w:r w:rsidR="00FE6B8B" w:rsidRPr="00A035D0">
        <w:t xml:space="preserve"> </w:t>
      </w:r>
      <w:r w:rsidR="0087402A" w:rsidRPr="00A035D0">
        <w:t>Moreover,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provisions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crafted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vacuum,</w:t>
      </w:r>
      <w:r w:rsidR="00FE6B8B" w:rsidRPr="00A035D0">
        <w:t xml:space="preserve"> </w:t>
      </w:r>
      <w:r w:rsidR="0087402A" w:rsidRPr="00A035D0">
        <w:t>but</w:t>
      </w:r>
      <w:r w:rsidR="00FE6B8B" w:rsidRPr="00A035D0">
        <w:t xml:space="preserve"> </w:t>
      </w:r>
      <w:r w:rsidR="0087402A" w:rsidRPr="00A035D0">
        <w:t>rather</w:t>
      </w:r>
      <w:r w:rsidR="00FE6B8B" w:rsidRPr="00A035D0">
        <w:t xml:space="preserve"> </w:t>
      </w:r>
      <w:r w:rsidR="0087402A" w:rsidRPr="00A035D0">
        <w:t>accounted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lessons</w:t>
      </w:r>
      <w:r w:rsidR="00FE6B8B" w:rsidRPr="00A035D0">
        <w:t xml:space="preserve"> </w:t>
      </w:r>
      <w:r w:rsidR="0087402A" w:rsidRPr="00A035D0">
        <w:t>learned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2007,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Resolutions</w:t>
      </w:r>
      <w:r w:rsidR="00FE6B8B" w:rsidRPr="00A035D0">
        <w:t xml:space="preserve"> </w:t>
      </w:r>
      <w:r w:rsidR="0087402A" w:rsidRPr="00A035D0">
        <w:t>concerning</w:t>
      </w:r>
      <w:r w:rsidR="00FE6B8B" w:rsidRPr="00A035D0">
        <w:t xml:space="preserve"> </w:t>
      </w:r>
      <w:r w:rsidR="0087402A" w:rsidRPr="00A035D0">
        <w:t>counter-terrorism,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standards</w:t>
      </w:r>
      <w:r w:rsidR="00FE6B8B" w:rsidRPr="00A035D0">
        <w:t xml:space="preserve"> </w:t>
      </w:r>
      <w:r w:rsidR="0087402A" w:rsidRPr="00A035D0">
        <w:t>set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jurisdictions,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supranational</w:t>
      </w:r>
      <w:r w:rsidR="00FE6B8B" w:rsidRPr="00A035D0">
        <w:t xml:space="preserve"> </w:t>
      </w:r>
      <w:r w:rsidR="0087402A" w:rsidRPr="00A035D0">
        <w:t>organizations,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framework.</w:t>
      </w:r>
    </w:p>
    <w:p w14:paraId="71FC9BA5" w14:textId="27DF2FDF" w:rsidR="0087402A" w:rsidRPr="00A035D0" w:rsidRDefault="0087402A" w:rsidP="00BF16DB">
      <w:pPr>
        <w:pStyle w:val="H4G"/>
      </w:pPr>
      <w:r w:rsidRPr="00A035D0">
        <w:tab/>
      </w:r>
      <w:r w:rsidRPr="00A035D0">
        <w:tab/>
        <w:t>Definition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terrorism</w:t>
      </w:r>
    </w:p>
    <w:p w14:paraId="02EBF9FA" w14:textId="2AEBA85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considered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terrorism,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taken</w:t>
      </w:r>
      <w:r w:rsidR="00FE6B8B" w:rsidRPr="00A035D0">
        <w:t xml:space="preserve"> </w:t>
      </w:r>
      <w:r w:rsidR="0087402A" w:rsidRPr="00A035D0">
        <w:t>together</w:t>
      </w:r>
      <w:r w:rsidR="00FE6B8B" w:rsidRPr="00A035D0">
        <w:t xml:space="preserve"> </w:t>
      </w:r>
      <w:r w:rsidR="0087402A" w:rsidRPr="00A035D0">
        <w:t>must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established.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erroneous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say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mere</w:t>
      </w:r>
      <w:r w:rsidR="00FE6B8B" w:rsidRPr="00A035D0">
        <w:t xml:space="preserve"> </w:t>
      </w:r>
      <w:r w:rsidR="0087402A" w:rsidRPr="00A035D0">
        <w:t>performance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enumerated</w:t>
      </w:r>
      <w:r w:rsidR="00FE6B8B" w:rsidRPr="00A035D0">
        <w:t xml:space="preserve"> </w:t>
      </w:r>
      <w:r w:rsidR="0087402A" w:rsidRPr="00A035D0">
        <w:t>constitutes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terrorism.</w:t>
      </w:r>
      <w:r w:rsidR="00FE6B8B" w:rsidRPr="00A035D0">
        <w:t xml:space="preserve"> </w:t>
      </w:r>
      <w:r w:rsidR="0087402A" w:rsidRPr="00A035D0">
        <w:t>Performance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without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underlying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considered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violations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Penal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Laws,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terrorism.</w:t>
      </w:r>
    </w:p>
    <w:p w14:paraId="179DD2C2" w14:textId="4B8AE7C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Section</w:t>
      </w:r>
      <w:r w:rsidR="00FE6B8B" w:rsidRPr="00A035D0">
        <w:t xml:space="preserve"> </w:t>
      </w:r>
      <w:r w:rsidR="0087402A" w:rsidRPr="00A035D0">
        <w:t>4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clear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precise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what</w:t>
      </w:r>
      <w:r w:rsidR="00FE6B8B" w:rsidRPr="00A035D0">
        <w:t xml:space="preserve"> </w:t>
      </w:r>
      <w:r w:rsidR="0087402A" w:rsidRPr="00A035D0">
        <w:t>constitutes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critical</w:t>
      </w:r>
      <w:r w:rsidR="00FE6B8B" w:rsidRPr="00A035D0">
        <w:t xml:space="preserve"> </w:t>
      </w:r>
      <w:r w:rsidR="0087402A" w:rsidRPr="00A035D0">
        <w:t>elements,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bar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application.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belies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concern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possible</w:t>
      </w:r>
      <w:r w:rsidR="00FE6B8B" w:rsidRPr="00A035D0">
        <w:t xml:space="preserve"> </w:t>
      </w:r>
      <w:r w:rsidR="0087402A" w:rsidRPr="00A035D0">
        <w:t>abuse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arbitrariness.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sections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– </w:t>
      </w:r>
      <w:r w:rsidR="0087402A" w:rsidRPr="00A035D0">
        <w:t>Sections</w:t>
      </w:r>
      <w:r w:rsidR="00FE6B8B" w:rsidRPr="00A035D0">
        <w:t xml:space="preserve"> </w:t>
      </w:r>
      <w:r w:rsidR="0087402A" w:rsidRPr="00A035D0">
        <w:t>5,6,7,8,9,10,11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12</w:t>
      </w:r>
      <w:r w:rsidR="00FE6B8B" w:rsidRPr="00A035D0">
        <w:t xml:space="preserve"> –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taken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context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4,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thus</w:t>
      </w:r>
      <w:r w:rsidR="00FE6B8B" w:rsidRPr="00A035D0">
        <w:t xml:space="preserve"> </w:t>
      </w:r>
      <w:r w:rsidR="0087402A" w:rsidRPr="00A035D0">
        <w:t>cannot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considered</w:t>
      </w:r>
      <w:r w:rsidR="00FE6B8B" w:rsidRPr="00A035D0">
        <w:t xml:space="preserve"> </w:t>
      </w:r>
      <w:r w:rsidR="0087402A" w:rsidRPr="00A035D0">
        <w:t>ambiguous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without</w:t>
      </w:r>
      <w:r w:rsidR="00FE6B8B" w:rsidRPr="00A035D0">
        <w:t xml:space="preserve"> </w:t>
      </w:r>
      <w:r w:rsidR="0087402A" w:rsidRPr="00A035D0">
        <w:t>sufficient</w:t>
      </w:r>
      <w:r w:rsidR="00FE6B8B" w:rsidRPr="00A035D0">
        <w:t xml:space="preserve"> </w:t>
      </w:r>
      <w:r w:rsidR="0087402A" w:rsidRPr="00A035D0">
        <w:t>basis.</w:t>
      </w:r>
    </w:p>
    <w:p w14:paraId="34D498E0" w14:textId="12CC880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last</w:t>
      </w:r>
      <w:r w:rsidR="00FE6B8B" w:rsidRPr="00A035D0">
        <w:t xml:space="preserve"> </w:t>
      </w:r>
      <w:r w:rsidR="0087402A" w:rsidRPr="00A035D0">
        <w:t>paragraph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4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defining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incorporated</w:t>
      </w:r>
      <w:r w:rsidR="00FE6B8B" w:rsidRPr="00A035D0">
        <w:t xml:space="preserve"> </w:t>
      </w:r>
      <w:r w:rsidR="0087402A" w:rsidRPr="00A035D0">
        <w:t>inputs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NHRI</w:t>
      </w:r>
      <w:r w:rsidR="00FE6B8B" w:rsidRPr="00A035D0">
        <w:t xml:space="preserve"> – </w:t>
      </w:r>
      <w:r w:rsidR="0087402A" w:rsidRPr="00A035D0">
        <w:t>CHR,</w:t>
      </w:r>
      <w:r w:rsidR="00FE6B8B" w:rsidRPr="00A035D0">
        <w:t xml:space="preserve"> </w:t>
      </w:r>
      <w:r w:rsidR="0087402A" w:rsidRPr="00A035D0">
        <w:t>HRDs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CSOs.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clearly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explicit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unequivocal</w:t>
      </w:r>
      <w:r w:rsidR="00FE6B8B" w:rsidRPr="00A035D0">
        <w:t xml:space="preserve"> </w:t>
      </w:r>
      <w:r w:rsidR="0087402A" w:rsidRPr="00A035D0">
        <w:t>manner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“</w:t>
      </w:r>
      <w:r w:rsidR="0087402A" w:rsidRPr="00A035D0">
        <w:t>advocacy,</w:t>
      </w:r>
      <w:r w:rsidR="00FE6B8B" w:rsidRPr="00A035D0">
        <w:t xml:space="preserve"> </w:t>
      </w:r>
      <w:r w:rsidR="0087402A" w:rsidRPr="00A035D0">
        <w:t>protest,</w:t>
      </w:r>
      <w:r w:rsidR="00FE6B8B" w:rsidRPr="00A035D0">
        <w:t xml:space="preserve"> </w:t>
      </w:r>
      <w:r w:rsidR="0087402A" w:rsidRPr="00A035D0">
        <w:t>dissent,</w:t>
      </w:r>
      <w:r w:rsidR="00FE6B8B" w:rsidRPr="00A035D0">
        <w:t xml:space="preserve"> </w:t>
      </w:r>
      <w:r w:rsidR="0087402A" w:rsidRPr="00A035D0">
        <w:t>stoppage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work,</w:t>
      </w:r>
      <w:r w:rsidR="00FE6B8B" w:rsidRPr="00A035D0">
        <w:t xml:space="preserve"> </w:t>
      </w:r>
      <w:r w:rsidR="0087402A" w:rsidRPr="00A035D0">
        <w:t>industrial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mass</w:t>
      </w:r>
      <w:r w:rsidR="00FE6B8B" w:rsidRPr="00A035D0">
        <w:t xml:space="preserve"> </w:t>
      </w:r>
      <w:r w:rsidR="0087402A" w:rsidRPr="00A035D0">
        <w:t>action,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similar</w:t>
      </w:r>
      <w:r w:rsidR="00FE6B8B" w:rsidRPr="00A035D0">
        <w:t xml:space="preserve"> </w:t>
      </w:r>
      <w:r w:rsidR="0087402A" w:rsidRPr="00A035D0">
        <w:t>exercises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political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intended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cause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serious</w:t>
      </w:r>
      <w:r w:rsidR="00FE6B8B" w:rsidRPr="00A035D0">
        <w:t xml:space="preserve"> </w:t>
      </w:r>
      <w:r w:rsidR="0087402A" w:rsidRPr="00A035D0">
        <w:t>physical</w:t>
      </w:r>
      <w:r w:rsidR="00FE6B8B" w:rsidRPr="00A035D0">
        <w:t xml:space="preserve"> </w:t>
      </w:r>
      <w:r w:rsidR="0087402A" w:rsidRPr="00A035D0">
        <w:t>harm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person,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endanger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life,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create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serious</w:t>
      </w:r>
      <w:r w:rsidR="00FE6B8B" w:rsidRPr="00A035D0">
        <w:t xml:space="preserve"> </w:t>
      </w:r>
      <w:r w:rsidR="0087402A" w:rsidRPr="00A035D0">
        <w:t>risk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safety,</w:t>
      </w:r>
      <w:r w:rsidR="00FE6B8B" w:rsidRPr="00A035D0">
        <w:t xml:space="preserve"> </w:t>
      </w:r>
      <w:r w:rsidR="0087402A" w:rsidRPr="00A035D0">
        <w:t>does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constitute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act.</w:t>
      </w:r>
      <w:r w:rsidR="00FE6B8B" w:rsidRPr="00A035D0">
        <w:t>”</w:t>
      </w:r>
    </w:p>
    <w:p w14:paraId="5AF9961A" w14:textId="48BD1279" w:rsidR="0087402A" w:rsidRPr="00A035D0" w:rsidRDefault="0087402A" w:rsidP="00BF16DB">
      <w:pPr>
        <w:pStyle w:val="H4G"/>
      </w:pPr>
      <w:r w:rsidRPr="00A035D0">
        <w:tab/>
      </w:r>
      <w:r w:rsidRPr="00A035D0">
        <w:tab/>
        <w:t>Period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detention</w:t>
      </w:r>
      <w:r w:rsidR="00FE6B8B" w:rsidRPr="00A035D0">
        <w:t xml:space="preserve"> </w:t>
      </w:r>
      <w:r w:rsidRPr="00A035D0">
        <w:t>without</w:t>
      </w:r>
      <w:r w:rsidR="00FE6B8B" w:rsidRPr="00A035D0">
        <w:t xml:space="preserve"> </w:t>
      </w:r>
      <w:r w:rsidRPr="00A035D0">
        <w:t>a</w:t>
      </w:r>
      <w:r w:rsidR="00FE6B8B" w:rsidRPr="00A035D0">
        <w:t xml:space="preserve"> </w:t>
      </w:r>
      <w:r w:rsidRPr="00A035D0">
        <w:t>warrant</w:t>
      </w:r>
    </w:p>
    <w:p w14:paraId="6A02D023" w14:textId="29934BB8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fourteen</w:t>
      </w:r>
      <w:r w:rsidR="00FE6B8B" w:rsidRPr="00A035D0">
        <w:t xml:space="preserve"> </w:t>
      </w:r>
      <w:r w:rsidR="0087402A" w:rsidRPr="00A035D0">
        <w:t>(14)</w:t>
      </w:r>
      <w:r w:rsidR="00FE6B8B" w:rsidRPr="00A035D0">
        <w:t xml:space="preserve"> </w:t>
      </w:r>
      <w:r w:rsidR="0087402A" w:rsidRPr="00A035D0">
        <w:t>day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period</w:t>
      </w:r>
      <w:r w:rsidR="00FE6B8B" w:rsidRPr="00A035D0">
        <w:t xml:space="preserve"> </w:t>
      </w:r>
      <w:r w:rsidR="0087402A" w:rsidRPr="00A035D0">
        <w:t>extendible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ten</w:t>
      </w:r>
      <w:r w:rsidR="00FE6B8B" w:rsidRPr="00A035D0">
        <w:t xml:space="preserve"> </w:t>
      </w:r>
      <w:r w:rsidR="0087402A" w:rsidRPr="00A035D0">
        <w:t>(10)</w:t>
      </w:r>
      <w:r w:rsidR="00FE6B8B" w:rsidRPr="00A035D0">
        <w:t xml:space="preserve"> </w:t>
      </w:r>
      <w:r w:rsidR="0087402A" w:rsidRPr="00A035D0">
        <w:t>days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relatively</w:t>
      </w:r>
      <w:r w:rsidR="00FE6B8B" w:rsidRPr="00A035D0">
        <w:t xml:space="preserve"> </w:t>
      </w:r>
      <w:r w:rsidR="0087402A" w:rsidRPr="00A035D0">
        <w:t>conservative</w:t>
      </w:r>
      <w:r w:rsidR="00FE6B8B" w:rsidRPr="00A035D0">
        <w:t xml:space="preserve"> </w:t>
      </w:r>
      <w:r w:rsidR="0087402A" w:rsidRPr="00A035D0">
        <w:t>measure,</w:t>
      </w:r>
      <w:r w:rsidR="00FE6B8B" w:rsidRPr="00A035D0">
        <w:t xml:space="preserve"> </w:t>
      </w:r>
      <w:r w:rsidR="0087402A" w:rsidRPr="00A035D0">
        <w:t>compared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legislated</w:t>
      </w:r>
      <w:r w:rsidR="00FE6B8B" w:rsidRPr="00A035D0">
        <w:t xml:space="preserve"> </w:t>
      </w:r>
      <w:r w:rsidR="0087402A" w:rsidRPr="00A035D0">
        <w:t>periods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preventive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jurisdictions,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range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thirty</w:t>
      </w:r>
      <w:r w:rsidR="00FE6B8B" w:rsidRPr="00A035D0">
        <w:t xml:space="preserve"> </w:t>
      </w:r>
      <w:r w:rsidR="0087402A" w:rsidRPr="00A035D0">
        <w:t>(30)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seven</w:t>
      </w:r>
      <w:r w:rsidR="00FE6B8B" w:rsidRPr="00A035D0">
        <w:t xml:space="preserve"> </w:t>
      </w:r>
      <w:r w:rsidR="0087402A" w:rsidRPr="00A035D0">
        <w:t>hundred</w:t>
      </w:r>
      <w:r w:rsidR="00FE6B8B" w:rsidRPr="00A035D0">
        <w:t xml:space="preserve"> </w:t>
      </w:r>
      <w:r w:rsidR="0087402A" w:rsidRPr="00A035D0">
        <w:t>twenty</w:t>
      </w:r>
      <w:r w:rsidR="00FE6B8B" w:rsidRPr="00A035D0">
        <w:t xml:space="preserve"> </w:t>
      </w:r>
      <w:r w:rsidR="0087402A" w:rsidRPr="00A035D0">
        <w:t>(720)</w:t>
      </w:r>
      <w:r w:rsidR="00FE6B8B" w:rsidRPr="00A035D0">
        <w:t xml:space="preserve"> </w:t>
      </w:r>
      <w:r w:rsidR="0087402A" w:rsidRPr="00A035D0">
        <w:t>days.</w:t>
      </w:r>
    </w:p>
    <w:p w14:paraId="2403B37A" w14:textId="179AD2BD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believes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necessary,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promptness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appearance</w:t>
      </w:r>
      <w:r w:rsidR="00FE6B8B" w:rsidRPr="00A035D0">
        <w:t xml:space="preserve"> </w:t>
      </w:r>
      <w:r w:rsidR="0087402A" w:rsidRPr="00A035D0">
        <w:t>before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judicial</w:t>
      </w:r>
      <w:r w:rsidR="00FE6B8B" w:rsidRPr="00A035D0">
        <w:t xml:space="preserve"> </w:t>
      </w:r>
      <w:r w:rsidR="0087402A" w:rsidRPr="00A035D0">
        <w:t>authority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reasonable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weighed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real</w:t>
      </w:r>
      <w:r w:rsidR="00FE6B8B" w:rsidRPr="00A035D0">
        <w:t xml:space="preserve"> </w:t>
      </w:r>
      <w:r w:rsidR="0087402A" w:rsidRPr="00A035D0">
        <w:t>necessities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abating</w:t>
      </w:r>
      <w:r w:rsidR="00FE6B8B" w:rsidRPr="00A035D0">
        <w:t xml:space="preserve"> </w:t>
      </w:r>
      <w:r w:rsidR="0087402A" w:rsidRPr="00A035D0">
        <w:t>terrorism,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gathering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intelligence,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arrested</w:t>
      </w:r>
      <w:r w:rsidR="00FE6B8B" w:rsidRPr="00A035D0">
        <w:t xml:space="preserve"> </w:t>
      </w:r>
      <w:r w:rsidR="0087402A" w:rsidRPr="00A035D0">
        <w:t>individual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retaliation,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coordination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jurisdictions.</w:t>
      </w:r>
    </w:p>
    <w:p w14:paraId="23435E28" w14:textId="2232F2D6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Sufficient</w:t>
      </w:r>
      <w:r w:rsidR="00FE6B8B" w:rsidRPr="00A035D0">
        <w:t xml:space="preserve"> </w:t>
      </w:r>
      <w:r w:rsidR="0087402A" w:rsidRPr="00A035D0">
        <w:t>safeguards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present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arbitrary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29,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requirement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arresting</w:t>
      </w:r>
      <w:r w:rsidR="00FE6B8B" w:rsidRPr="00A035D0">
        <w:t xml:space="preserve"> </w:t>
      </w:r>
      <w:r w:rsidR="0087402A" w:rsidRPr="00A035D0">
        <w:t>agent/officer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secure</w:t>
      </w:r>
      <w:r w:rsidR="00FE6B8B" w:rsidRPr="00A035D0">
        <w:t xml:space="preserve"> </w:t>
      </w:r>
      <w:r w:rsidR="0087402A" w:rsidRPr="00A035D0">
        <w:t>authorization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Anti-Terrorism</w:t>
      </w:r>
      <w:r w:rsidR="00FE6B8B" w:rsidRPr="00A035D0">
        <w:t xml:space="preserve"> </w:t>
      </w:r>
      <w:r w:rsidR="0087402A" w:rsidRPr="00A035D0">
        <w:t>Council,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requirement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immediately</w:t>
      </w:r>
      <w:r w:rsidR="00FE6B8B" w:rsidRPr="00A035D0">
        <w:t xml:space="preserve"> </w:t>
      </w:r>
      <w:r w:rsidR="0087402A" w:rsidRPr="00A035D0">
        <w:t>submit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notice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nearest</w:t>
      </w:r>
      <w:r w:rsidR="00FE6B8B" w:rsidRPr="00A035D0">
        <w:t xml:space="preserve"> </w:t>
      </w:r>
      <w:r w:rsidR="0087402A" w:rsidRPr="00A035D0">
        <w:t>judge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detailing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time,</w:t>
      </w:r>
      <w:r w:rsidR="00FE6B8B" w:rsidRPr="00A035D0">
        <w:t xml:space="preserve"> </w:t>
      </w:r>
      <w:r w:rsidR="0087402A" w:rsidRPr="00A035D0">
        <w:t>date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manner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arrest,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location,</w:t>
      </w:r>
      <w:r w:rsidR="00FE6B8B" w:rsidRPr="00A035D0">
        <w:t xml:space="preserve"> </w:t>
      </w:r>
      <w:r w:rsidR="0087402A" w:rsidRPr="00A035D0">
        <w:t>physical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mental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arrested</w:t>
      </w:r>
      <w:r w:rsidR="00FE6B8B" w:rsidRPr="00A035D0">
        <w:t xml:space="preserve"> </w:t>
      </w:r>
      <w:r w:rsidR="0087402A" w:rsidRPr="00A035D0">
        <w:t>person/s,</w:t>
      </w:r>
      <w:r w:rsidR="00FE6B8B" w:rsidRPr="00A035D0">
        <w:t xml:space="preserve"> </w:t>
      </w:r>
      <w:r w:rsidR="0087402A" w:rsidRPr="00A035D0">
        <w:t>copy</w:t>
      </w:r>
      <w:r w:rsidR="00FE6B8B" w:rsidRPr="00A035D0">
        <w:t xml:space="preserve"> </w:t>
      </w:r>
      <w:r w:rsidR="0087402A" w:rsidRPr="00A035D0">
        <w:t>furnished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(CHR).</w:t>
      </w:r>
      <w:r w:rsidR="00FE6B8B" w:rsidRPr="00A035D0">
        <w:t xml:space="preserve"> </w:t>
      </w:r>
      <w:r w:rsidR="0087402A" w:rsidRPr="00A035D0">
        <w:t>Failure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notify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judge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nearest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merit</w:t>
      </w:r>
      <w:r w:rsidR="00FE6B8B" w:rsidRPr="00A035D0">
        <w:t xml:space="preserve"> </w:t>
      </w:r>
      <w:r w:rsidR="0087402A" w:rsidRPr="00A035D0">
        <w:t>imprisonment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ten</w:t>
      </w:r>
      <w:r w:rsidR="00FE6B8B" w:rsidRPr="00A035D0">
        <w:t xml:space="preserve"> </w:t>
      </w:r>
      <w:r w:rsidR="0087402A" w:rsidRPr="00A035D0">
        <w:t>(10)</w:t>
      </w:r>
      <w:r w:rsidR="00FE6B8B" w:rsidRPr="00A035D0">
        <w:t xml:space="preserve"> </w:t>
      </w:r>
      <w:r w:rsidR="0087402A" w:rsidRPr="00A035D0">
        <w:t>years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dismissal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erring</w:t>
      </w:r>
      <w:r w:rsidR="00FE6B8B" w:rsidRPr="00A035D0">
        <w:t xml:space="preserve"> </w:t>
      </w:r>
      <w:r w:rsidR="0087402A" w:rsidRPr="00A035D0">
        <w:t>agent/officer.</w:t>
      </w:r>
    </w:p>
    <w:p w14:paraId="4657CD58" w14:textId="7DA0F063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Section</w:t>
      </w:r>
      <w:r w:rsidR="00FE6B8B" w:rsidRPr="00A035D0">
        <w:t xml:space="preserve"> </w:t>
      </w:r>
      <w:r w:rsidR="0087402A" w:rsidRPr="00A035D0">
        <w:t>30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arresting</w:t>
      </w:r>
      <w:r w:rsidR="00FE6B8B" w:rsidRPr="00A035D0">
        <w:t xml:space="preserve"> </w:t>
      </w:r>
      <w:r w:rsidR="0087402A" w:rsidRPr="00A035D0">
        <w:t>agent/officer</w:t>
      </w:r>
      <w:r w:rsidR="00FE6B8B" w:rsidRPr="00A035D0">
        <w:t xml:space="preserve"> </w:t>
      </w:r>
      <w:r w:rsidR="0087402A" w:rsidRPr="00A035D0">
        <w:t>inform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arrested</w:t>
      </w:r>
      <w:r w:rsidR="00FE6B8B" w:rsidRPr="00A035D0">
        <w:t xml:space="preserve"> </w:t>
      </w:r>
      <w:r w:rsidR="0087402A" w:rsidRPr="00A035D0">
        <w:t>person/s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custodial</w:t>
      </w:r>
      <w:r w:rsidR="00FE6B8B" w:rsidRPr="00A035D0">
        <w:t xml:space="preserve"> </w:t>
      </w:r>
      <w:r w:rsidR="0087402A" w:rsidRPr="00A035D0">
        <w:t>detention,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informed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arrest,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remain</w:t>
      </w:r>
      <w:r w:rsidR="00FE6B8B" w:rsidRPr="00A035D0">
        <w:t xml:space="preserve"> </w:t>
      </w:r>
      <w:r w:rsidR="0087402A" w:rsidRPr="00A035D0">
        <w:t>silent,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competent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independent</w:t>
      </w:r>
      <w:r w:rsidR="00FE6B8B" w:rsidRPr="00A035D0">
        <w:t xml:space="preserve"> </w:t>
      </w:r>
      <w:r w:rsidR="0087402A" w:rsidRPr="00A035D0">
        <w:t>counsel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choice,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communication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visited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nearest</w:t>
      </w:r>
      <w:r w:rsidR="00FE6B8B" w:rsidRPr="00A035D0">
        <w:t xml:space="preserve"> </w:t>
      </w:r>
      <w:r w:rsidR="0087402A" w:rsidRPr="00A035D0">
        <w:t>relatives,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lastRenderedPageBreak/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avail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physician/s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choice.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preceding</w:t>
      </w:r>
      <w:r w:rsidR="00FE6B8B" w:rsidRPr="00A035D0">
        <w:t xml:space="preserve"> </w:t>
      </w:r>
      <w:r w:rsidR="0087402A" w:rsidRPr="00A035D0">
        <w:t>paragraph,</w:t>
      </w:r>
      <w:r w:rsidR="00FE6B8B" w:rsidRPr="00A035D0">
        <w:t xml:space="preserve"> </w:t>
      </w:r>
      <w:r w:rsidR="0087402A" w:rsidRPr="00A035D0">
        <w:t>violation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detainee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carries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penalty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ten</w:t>
      </w:r>
      <w:r w:rsidR="00FE6B8B" w:rsidRPr="00A035D0">
        <w:t xml:space="preserve"> </w:t>
      </w:r>
      <w:r w:rsidR="0087402A" w:rsidRPr="00A035D0">
        <w:t>(10)</w:t>
      </w:r>
      <w:r w:rsidR="00FE6B8B" w:rsidRPr="00A035D0">
        <w:t xml:space="preserve"> </w:t>
      </w:r>
      <w:r w:rsidR="0087402A" w:rsidRPr="00A035D0">
        <w:t>years</w:t>
      </w:r>
      <w:r w:rsidR="00FE6B8B" w:rsidRPr="00A035D0">
        <w:t xml:space="preserve"> </w:t>
      </w:r>
      <w:r w:rsidR="0087402A" w:rsidRPr="00A035D0">
        <w:t>imprisonment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dismissal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erring</w:t>
      </w:r>
      <w:r w:rsidR="00FE6B8B" w:rsidRPr="00A035D0">
        <w:t xml:space="preserve"> </w:t>
      </w:r>
      <w:r w:rsidR="0087402A" w:rsidRPr="00A035D0">
        <w:t>agent/officer.</w:t>
      </w:r>
    </w:p>
    <w:p w14:paraId="53F1F1D5" w14:textId="40B512D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Nothing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ATA</w:t>
      </w:r>
      <w:r w:rsidR="00FE6B8B" w:rsidRPr="00A035D0">
        <w:t xml:space="preserve"> </w:t>
      </w:r>
      <w:r w:rsidR="0087402A" w:rsidRPr="00A035D0">
        <w:t>impairs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pursuing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valid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remedies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Habeas</w:t>
      </w:r>
      <w:r w:rsidR="00FE6B8B" w:rsidRPr="00A035D0">
        <w:t xml:space="preserve"> </w:t>
      </w:r>
      <w:r w:rsidR="0087402A" w:rsidRPr="00A035D0">
        <w:t>Corpus</w:t>
      </w:r>
      <w:r w:rsidR="00FE6B8B" w:rsidRPr="00A035D0">
        <w:t xml:space="preserve"> </w:t>
      </w:r>
      <w:r w:rsidR="0087402A" w:rsidRPr="00A035D0">
        <w:t>and/or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Amparo.</w:t>
      </w:r>
    </w:p>
    <w:p w14:paraId="5F344DA9" w14:textId="316D94CB" w:rsidR="0087402A" w:rsidRPr="00A035D0" w:rsidRDefault="0087402A" w:rsidP="00BF16DB">
      <w:pPr>
        <w:pStyle w:val="H4G"/>
      </w:pPr>
      <w:r w:rsidRPr="00A035D0">
        <w:tab/>
      </w:r>
      <w:r w:rsidRPr="00A035D0">
        <w:tab/>
        <w:t>Designation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NPA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CPP</w:t>
      </w:r>
      <w:r w:rsidR="00FE6B8B" w:rsidRPr="00A035D0">
        <w:t xml:space="preserve"> </w:t>
      </w:r>
      <w:r w:rsidRPr="00A035D0">
        <w:t>as</w:t>
      </w:r>
      <w:r w:rsidR="00FE6B8B" w:rsidRPr="00A035D0">
        <w:t xml:space="preserve"> </w:t>
      </w:r>
      <w:r w:rsidRPr="00A035D0">
        <w:t>terrorist</w:t>
      </w:r>
      <w:r w:rsidR="00FE6B8B" w:rsidRPr="00A035D0">
        <w:t xml:space="preserve"> </w:t>
      </w:r>
      <w:r w:rsidRPr="00A035D0">
        <w:t>group</w:t>
      </w:r>
    </w:p>
    <w:p w14:paraId="77AAB24E" w14:textId="22B2CED2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’ </w:t>
      </w:r>
      <w:r w:rsidR="0087402A" w:rsidRPr="00A035D0">
        <w:t>Army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groups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founder</w:t>
      </w:r>
      <w:r w:rsidR="00FE6B8B" w:rsidRPr="00A035D0">
        <w:t xml:space="preserve"> </w:t>
      </w:r>
      <w:r w:rsidR="0087402A" w:rsidRPr="00A035D0">
        <w:t>Jose</w:t>
      </w:r>
      <w:r w:rsidR="00FE6B8B" w:rsidRPr="00A035D0">
        <w:t xml:space="preserve"> </w:t>
      </w:r>
      <w:r w:rsidR="0087402A" w:rsidRPr="00A035D0">
        <w:t>Maria</w:t>
      </w:r>
      <w:r w:rsidR="00FE6B8B" w:rsidRPr="00A035D0">
        <w:t xml:space="preserve"> “</w:t>
      </w:r>
      <w:r w:rsidR="0087402A" w:rsidRPr="00A035D0">
        <w:t>Joma</w:t>
      </w:r>
      <w:r w:rsidR="00FE6B8B" w:rsidRPr="00A035D0">
        <w:t xml:space="preserve">” </w:t>
      </w:r>
      <w:r w:rsidR="0087402A" w:rsidRPr="00A035D0">
        <w:t>Sison</w:t>
      </w:r>
      <w:r w:rsidR="00FE6B8B" w:rsidRPr="00A035D0">
        <w:t xml:space="preserve"> </w:t>
      </w:r>
      <w:r w:rsidR="0087402A" w:rsidRPr="00A035D0">
        <w:t>alias</w:t>
      </w:r>
      <w:r w:rsidR="00FE6B8B" w:rsidRPr="00A035D0">
        <w:t xml:space="preserve"> </w:t>
      </w:r>
      <w:r w:rsidR="0087402A" w:rsidRPr="00A035D0">
        <w:t>Armando</w:t>
      </w:r>
      <w:r w:rsidR="00FE6B8B" w:rsidRPr="00A035D0">
        <w:t xml:space="preserve"> </w:t>
      </w:r>
      <w:r w:rsidR="0087402A" w:rsidRPr="00A035D0">
        <w:t>Liwanag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United</w:t>
      </w:r>
      <w:r w:rsidR="00FE6B8B" w:rsidRPr="00A035D0">
        <w:t xml:space="preserve"> </w:t>
      </w:r>
      <w:r w:rsidR="0087402A" w:rsidRPr="00A035D0">
        <w:t>States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Executive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13224.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European</w:t>
      </w:r>
      <w:r w:rsidR="00FE6B8B" w:rsidRPr="00A035D0">
        <w:t xml:space="preserve"> </w:t>
      </w:r>
      <w:r w:rsidR="0087402A" w:rsidRPr="00A035D0">
        <w:t>Union</w:t>
      </w:r>
      <w:r w:rsidR="00FE6B8B" w:rsidRPr="00A035D0">
        <w:t xml:space="preserve"> </w:t>
      </w:r>
      <w:r w:rsidR="0087402A" w:rsidRPr="00A035D0">
        <w:t>(EU)</w:t>
      </w:r>
      <w:r w:rsidR="00FE6B8B" w:rsidRPr="00A035D0">
        <w:t xml:space="preserve"> </w:t>
      </w:r>
      <w:r w:rsidR="0087402A" w:rsidRPr="00A035D0">
        <w:t>renewed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terror</w:t>
      </w:r>
      <w:r w:rsidR="00FE6B8B" w:rsidRPr="00A035D0">
        <w:t xml:space="preserve"> </w:t>
      </w:r>
      <w:r w:rsidR="0087402A" w:rsidRPr="00A035D0">
        <w:t>designation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’ </w:t>
      </w:r>
      <w:r w:rsidR="0087402A" w:rsidRPr="00A035D0">
        <w:t>Army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EU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Implementing</w:t>
      </w:r>
      <w:r w:rsidR="00FE6B8B" w:rsidRPr="00A035D0">
        <w:t xml:space="preserve"> </w:t>
      </w:r>
      <w:r w:rsidR="0087402A" w:rsidRPr="00A035D0">
        <w:t>Regulation</w:t>
      </w:r>
      <w:r w:rsidR="00FE6B8B" w:rsidRPr="00A035D0">
        <w:t xml:space="preserve"> </w:t>
      </w:r>
      <w:r w:rsidR="0087402A" w:rsidRPr="00A035D0">
        <w:t>138</w:t>
      </w:r>
      <w:r w:rsidR="00FE6B8B" w:rsidRPr="00A035D0">
        <w:t xml:space="preserve"> </w:t>
      </w:r>
      <w:r w:rsidR="0087402A" w:rsidRPr="00A035D0">
        <w:t>dated</w:t>
      </w:r>
      <w:r w:rsidR="00FE6B8B" w:rsidRPr="00A035D0">
        <w:t xml:space="preserve"> </w:t>
      </w:r>
      <w:r w:rsidR="0087402A" w:rsidRPr="00A035D0">
        <w:t>5</w:t>
      </w:r>
      <w:r w:rsidR="00FE6B8B" w:rsidRPr="00A035D0">
        <w:t xml:space="preserve"> </w:t>
      </w:r>
      <w:r w:rsidR="0087402A" w:rsidRPr="00A035D0">
        <w:t>February</w:t>
      </w:r>
      <w:r w:rsidR="00FE6B8B" w:rsidRPr="00A035D0">
        <w:t xml:space="preserve"> </w:t>
      </w:r>
      <w:r w:rsidR="0087402A" w:rsidRPr="00A035D0">
        <w:t>2021.</w:t>
      </w:r>
    </w:p>
    <w:p w14:paraId="74A52548" w14:textId="3E3F6FD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Secretary</w:t>
      </w:r>
      <w:r w:rsidR="00FE6B8B" w:rsidRPr="00A035D0">
        <w:t xml:space="preserve"> </w:t>
      </w:r>
      <w:r w:rsidR="0087402A" w:rsidRPr="00A035D0">
        <w:t>General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dated</w:t>
      </w:r>
      <w:r w:rsidR="00FE6B8B" w:rsidRPr="00A035D0">
        <w:t xml:space="preserve"> </w:t>
      </w:r>
      <w:r w:rsidR="0087402A" w:rsidRPr="00A035D0">
        <w:t>20</w:t>
      </w:r>
      <w:r w:rsidR="00FE6B8B" w:rsidRPr="00A035D0">
        <w:t xml:space="preserve"> </w:t>
      </w:r>
      <w:r w:rsidR="0087402A" w:rsidRPr="00A035D0">
        <w:t>June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(</w:t>
      </w:r>
      <w:hyperlink r:id="rId10" w:history="1">
        <w:r w:rsidR="0087402A" w:rsidRPr="00A035D0">
          <w:rPr>
            <w:rStyle w:val="Hyperlink"/>
          </w:rPr>
          <w:t>A/73/907–S/2019/509</w:t>
        </w:r>
      </w:hyperlink>
      <w:r w:rsidR="0087402A" w:rsidRPr="00A035D0">
        <w:t>)</w:t>
      </w:r>
      <w:r w:rsidR="00FE6B8B" w:rsidRPr="00A035D0">
        <w:t xml:space="preserve"> </w:t>
      </w:r>
      <w:r w:rsidR="0087402A" w:rsidRPr="00A035D0">
        <w:t>lists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’ </w:t>
      </w:r>
      <w:r w:rsidR="0087402A" w:rsidRPr="00A035D0">
        <w:t>Army</w:t>
      </w:r>
      <w:r w:rsidR="00FE6B8B" w:rsidRPr="00A035D0">
        <w:t xml:space="preserve"> </w:t>
      </w:r>
      <w:r w:rsidR="0087402A" w:rsidRPr="00A035D0">
        <w:t>together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ISIS,</w:t>
      </w:r>
      <w:r w:rsidR="00FE6B8B" w:rsidRPr="00A035D0">
        <w:t xml:space="preserve"> </w:t>
      </w:r>
      <w:r w:rsidR="0087402A" w:rsidRPr="00A035D0">
        <w:t>Daesh,</w:t>
      </w:r>
      <w:r w:rsidR="00FE6B8B" w:rsidRPr="00A035D0">
        <w:t xml:space="preserve"> </w:t>
      </w:r>
      <w:r w:rsidR="0087402A" w:rsidRPr="00A035D0">
        <w:t>al-Qaeda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Boko</w:t>
      </w:r>
      <w:r w:rsidR="00FE6B8B" w:rsidRPr="00A035D0">
        <w:t xml:space="preserve"> </w:t>
      </w:r>
      <w:r w:rsidR="0087402A" w:rsidRPr="00A035D0">
        <w:t>Haram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“</w:t>
      </w:r>
      <w:r w:rsidR="0087402A" w:rsidRPr="00A035D0">
        <w:t>parties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commit</w:t>
      </w:r>
      <w:r w:rsidR="00FE6B8B" w:rsidRPr="00A035D0">
        <w:t xml:space="preserve"> </w:t>
      </w:r>
      <w:r w:rsidR="0087402A" w:rsidRPr="00A035D0">
        <w:t>grave</w:t>
      </w:r>
      <w:r w:rsidR="00FE6B8B" w:rsidRPr="00A035D0">
        <w:t xml:space="preserve"> </w:t>
      </w:r>
      <w:r w:rsidR="0087402A" w:rsidRPr="00A035D0">
        <w:t>violations</w:t>
      </w:r>
      <w:r w:rsidR="00FE6B8B" w:rsidRPr="00A035D0">
        <w:t xml:space="preserve"> </w:t>
      </w:r>
      <w:r w:rsidR="0087402A" w:rsidRPr="00A035D0">
        <w:t>affecting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>”</w:t>
      </w:r>
      <w:r w:rsidR="0087402A" w:rsidRPr="00A035D0">
        <w:t>.</w:t>
      </w:r>
    </w:p>
    <w:p w14:paraId="7E94379C" w14:textId="03D9B170" w:rsidR="0087402A" w:rsidRPr="00A035D0" w:rsidRDefault="0087402A" w:rsidP="00BF16DB">
      <w:pPr>
        <w:pStyle w:val="H1G"/>
      </w:pPr>
      <w:r w:rsidRPr="00A035D0">
        <w:tab/>
      </w:r>
      <w:r w:rsidRPr="00A035D0">
        <w:tab/>
        <w:t>Violence</w:t>
      </w:r>
      <w:r w:rsidR="00FE6B8B" w:rsidRPr="00A035D0">
        <w:t xml:space="preserve"> </w:t>
      </w:r>
      <w:r w:rsidRPr="00A035D0">
        <w:t>against</w:t>
      </w:r>
      <w:r w:rsidR="00FE6B8B" w:rsidRPr="00A035D0">
        <w:t xml:space="preserve"> </w:t>
      </w:r>
      <w:r w:rsidRPr="00A035D0">
        <w:t>women,</w:t>
      </w:r>
      <w:r w:rsidR="00FE6B8B" w:rsidRPr="00A035D0">
        <w:t xml:space="preserve"> </w:t>
      </w:r>
      <w:r w:rsidRPr="00A035D0">
        <w:t>including</w:t>
      </w:r>
      <w:r w:rsidR="00FE6B8B" w:rsidRPr="00A035D0">
        <w:t xml:space="preserve"> </w:t>
      </w:r>
      <w:r w:rsidRPr="00A035D0">
        <w:t>domestic</w:t>
      </w:r>
      <w:r w:rsidR="00FE6B8B" w:rsidRPr="00A035D0">
        <w:t xml:space="preserve"> </w:t>
      </w:r>
      <w:r w:rsidRPr="00A035D0">
        <w:t>violence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2,</w:t>
      </w:r>
      <w:r w:rsidR="00FE6B8B" w:rsidRPr="00A035D0">
        <w:t xml:space="preserve"> </w:t>
      </w:r>
      <w:r w:rsidRPr="00A035D0">
        <w:t>3,</w:t>
      </w:r>
      <w:r w:rsidR="00FE6B8B" w:rsidRPr="00A035D0">
        <w:t xml:space="preserve"> </w:t>
      </w:r>
      <w:r w:rsidRPr="00A035D0">
        <w:t>6,</w:t>
      </w:r>
      <w:r w:rsidR="00FE6B8B" w:rsidRPr="00A035D0">
        <w:t xml:space="preserve"> </w:t>
      </w:r>
      <w:r w:rsidRPr="00A035D0">
        <w:t>7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26)</w:t>
      </w:r>
    </w:p>
    <w:p w14:paraId="172650A3" w14:textId="5605D911" w:rsidR="0087402A" w:rsidRPr="00A035D0" w:rsidRDefault="0087402A" w:rsidP="00BF16DB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8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33F04586" w14:textId="4041FAC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Primary</w:t>
      </w:r>
      <w:r w:rsidR="00FE6B8B" w:rsidRPr="00A035D0">
        <w:t xml:space="preserve"> </w:t>
      </w:r>
      <w:r w:rsidR="0087402A" w:rsidRPr="00A035D0">
        <w:t>barriers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seeking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stakeholders:</w:t>
      </w:r>
    </w:p>
    <w:p w14:paraId="23A7E406" w14:textId="53996EF1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Fear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personal</w:t>
      </w:r>
      <w:r w:rsidR="00FE6B8B" w:rsidRPr="00A035D0">
        <w:t xml:space="preserve"> </w:t>
      </w:r>
      <w:r w:rsidR="0087402A" w:rsidRPr="00A035D0">
        <w:t>safety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ruining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reputation.</w:t>
      </w:r>
    </w:p>
    <w:p w14:paraId="7AE37273" w14:textId="044B30BD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Economic</w:t>
      </w:r>
      <w:r w:rsidR="00FE6B8B" w:rsidRPr="00A035D0">
        <w:t xml:space="preserve"> </w:t>
      </w:r>
      <w:r w:rsidR="0087402A" w:rsidRPr="00A035D0">
        <w:t>dependence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victim/s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perpetrator.</w:t>
      </w:r>
    </w:p>
    <w:p w14:paraId="02AA8F6E" w14:textId="7113164B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Cultural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expectation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“</w:t>
      </w:r>
      <w:r w:rsidR="0087402A" w:rsidRPr="00A035D0">
        <w:t>suffer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silence</w:t>
      </w:r>
      <w:r w:rsidR="00FE6B8B" w:rsidRPr="00A035D0">
        <w:t xml:space="preserve">”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sake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maintaining</w:t>
      </w:r>
      <w:r w:rsidR="00FE6B8B" w:rsidRPr="00A035D0">
        <w:t xml:space="preserve"> </w:t>
      </w:r>
      <w:r w:rsidR="0087402A" w:rsidRPr="00A035D0">
        <w:t>harmony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family.</w:t>
      </w:r>
    </w:p>
    <w:p w14:paraId="644D26EE" w14:textId="1C6BDD3C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Lack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confidence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duty</w:t>
      </w:r>
      <w:r w:rsidR="00FE6B8B" w:rsidRPr="00A035D0">
        <w:t xml:space="preserve"> </w:t>
      </w:r>
      <w:r w:rsidR="0087402A" w:rsidRPr="00A035D0">
        <w:t>bearers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providers.</w:t>
      </w:r>
    </w:p>
    <w:p w14:paraId="635ECC43" w14:textId="14E12597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Lack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available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protective</w:t>
      </w:r>
      <w:r w:rsidR="00FE6B8B" w:rsidRPr="00A035D0">
        <w:t xml:space="preserve"> </w:t>
      </w:r>
      <w:r w:rsidR="0087402A" w:rsidRPr="00A035D0">
        <w:t>mechanisms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avail</w:t>
      </w:r>
      <w:r w:rsidR="00FE6B8B" w:rsidRPr="00A035D0">
        <w:t xml:space="preserve"> </w:t>
      </w:r>
      <w:r w:rsidR="0087402A" w:rsidRPr="00A035D0">
        <w:t>of.</w:t>
      </w:r>
    </w:p>
    <w:p w14:paraId="42E22F41" w14:textId="6A874B40" w:rsidR="0087402A" w:rsidRPr="00A035D0" w:rsidRDefault="0087402A" w:rsidP="00BF16DB">
      <w:pPr>
        <w:pStyle w:val="H4G"/>
      </w:pPr>
      <w:r w:rsidRPr="00A035D0">
        <w:tab/>
      </w:r>
      <w:r w:rsidRPr="00A035D0">
        <w:tab/>
        <w:t>Initiatives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Increase</w:t>
      </w:r>
      <w:r w:rsidR="00FE6B8B" w:rsidRPr="00A035D0">
        <w:t xml:space="preserve"> </w:t>
      </w:r>
      <w:r w:rsidRPr="00A035D0">
        <w:t>Reporting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VAW</w:t>
      </w:r>
      <w:r w:rsidR="00FE6B8B" w:rsidRPr="00A035D0">
        <w:t xml:space="preserve"> </w:t>
      </w:r>
      <w:r w:rsidRPr="00A035D0">
        <w:t>Victim-Survivors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Strengthening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Local</w:t>
      </w:r>
      <w:r w:rsidR="00FE6B8B" w:rsidRPr="00A035D0">
        <w:t xml:space="preserve"> </w:t>
      </w:r>
      <w:r w:rsidRPr="00A035D0">
        <w:t>Mechanisms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Implement</w:t>
      </w:r>
      <w:r w:rsidR="00FE6B8B" w:rsidRPr="00A035D0">
        <w:t xml:space="preserve"> </w:t>
      </w:r>
      <w:r w:rsidRPr="00A035D0">
        <w:t>Anti-VAWC</w:t>
      </w:r>
      <w:r w:rsidR="00FE6B8B" w:rsidRPr="00A035D0">
        <w:t xml:space="preserve"> </w:t>
      </w:r>
      <w:r w:rsidRPr="00A035D0">
        <w:t>Act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2004</w:t>
      </w:r>
    </w:p>
    <w:p w14:paraId="7A3BAC3F" w14:textId="278E305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(IACVAWC)</w:t>
      </w:r>
      <w:r w:rsidR="00FE6B8B" w:rsidRPr="00A035D0">
        <w:t xml:space="preserve"> </w:t>
      </w:r>
      <w:r w:rsidR="0087402A" w:rsidRPr="00A035D0">
        <w:t>created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Committees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VAWC</w:t>
      </w:r>
      <w:r w:rsidR="00FE6B8B" w:rsidRPr="00A035D0">
        <w:t xml:space="preserve"> </w:t>
      </w:r>
      <w:r w:rsidR="0087402A" w:rsidRPr="00A035D0">
        <w:t>(RCAT-VAWC)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proper</w:t>
      </w:r>
      <w:r w:rsidR="00FE6B8B" w:rsidRPr="00A035D0">
        <w:t xml:space="preserve"> </w:t>
      </w:r>
      <w:r w:rsidR="0087402A" w:rsidRPr="00A035D0">
        <w:t>cascading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regions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localizing</w:t>
      </w:r>
      <w:r w:rsidR="00FE6B8B" w:rsidRPr="00A035D0">
        <w:t xml:space="preserve"> </w:t>
      </w:r>
      <w:r w:rsidR="0087402A" w:rsidRPr="00A035D0">
        <w:t>anti-VAW</w:t>
      </w:r>
      <w:r w:rsidR="00FE6B8B" w:rsidRPr="00A035D0">
        <w:t xml:space="preserve"> </w:t>
      </w:r>
      <w:r w:rsidR="0087402A" w:rsidRPr="00A035D0">
        <w:t>laws,</w:t>
      </w:r>
      <w:r w:rsidR="00FE6B8B" w:rsidRPr="00A035D0">
        <w:t xml:space="preserve"> </w:t>
      </w:r>
      <w:r w:rsidR="0087402A" w:rsidRPr="00A035D0">
        <w:t>directives,</w:t>
      </w:r>
      <w:r w:rsidR="00FE6B8B" w:rsidRPr="00A035D0">
        <w:t xml:space="preserve"> </w:t>
      </w:r>
      <w:r w:rsidR="0087402A" w:rsidRPr="00A035D0">
        <w:t>programs,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mobilizing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units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partner</w:t>
      </w:r>
      <w:r w:rsidR="00FE6B8B" w:rsidRPr="00A035D0">
        <w:t xml:space="preserve"> </w:t>
      </w:r>
      <w:r w:rsidR="0087402A" w:rsidRPr="00A035D0">
        <w:t>organizations.</w:t>
      </w:r>
    </w:p>
    <w:p w14:paraId="0EC250D3" w14:textId="6B61F202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further</w:t>
      </w:r>
      <w:r w:rsidR="00FE6B8B" w:rsidRPr="00A035D0">
        <w:t xml:space="preserve"> </w:t>
      </w:r>
      <w:r w:rsidR="0087402A" w:rsidRPr="00A035D0">
        <w:t>devolve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responsibilities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implementing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2010-1</w:t>
      </w:r>
      <w:r w:rsidR="00FE6B8B" w:rsidRPr="00A035D0">
        <w:t xml:space="preserve"> </w:t>
      </w:r>
      <w:r w:rsidR="0087402A" w:rsidRPr="00A035D0">
        <w:t>formalizing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creation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operational</w:t>
      </w:r>
      <w:r w:rsidR="00FE6B8B" w:rsidRPr="00A035D0">
        <w:t xml:space="preserve"> </w:t>
      </w:r>
      <w:r w:rsidR="0087402A" w:rsidRPr="00A035D0">
        <w:t>standards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Committees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(LCAT-VAWC).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committees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directed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collaboratively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VAWC-related</w:t>
      </w:r>
      <w:r w:rsidR="00FE6B8B" w:rsidRPr="00A035D0">
        <w:t xml:space="preserve"> </w:t>
      </w:r>
      <w:r w:rsidR="0087402A" w:rsidRPr="00A035D0">
        <w:t>concerns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provincial,</w:t>
      </w:r>
      <w:r w:rsidR="00FE6B8B" w:rsidRPr="00A035D0">
        <w:t xml:space="preserve"> </w:t>
      </w:r>
      <w:r w:rsidR="0087402A" w:rsidRPr="00A035D0">
        <w:t>municipal,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levels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TIP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victim-survivors.</w:t>
      </w:r>
    </w:p>
    <w:p w14:paraId="22AAF37B" w14:textId="46CF0367" w:rsidR="0087402A" w:rsidRPr="00A035D0" w:rsidRDefault="0087402A" w:rsidP="00BF16DB">
      <w:pPr>
        <w:pStyle w:val="H4G"/>
      </w:pPr>
      <w:r w:rsidRPr="00A035D0">
        <w:tab/>
      </w:r>
      <w:r w:rsidRPr="00A035D0">
        <w:tab/>
        <w:t>Local</w:t>
      </w:r>
      <w:r w:rsidR="00FE6B8B" w:rsidRPr="00A035D0">
        <w:t xml:space="preserve"> </w:t>
      </w:r>
      <w:r w:rsidRPr="00A035D0">
        <w:t>Committee</w:t>
      </w:r>
      <w:r w:rsidR="00FE6B8B" w:rsidRPr="00A035D0">
        <w:t xml:space="preserve"> </w:t>
      </w:r>
      <w:r w:rsidRPr="00A035D0">
        <w:t>on</w:t>
      </w:r>
      <w:r w:rsidR="00FE6B8B" w:rsidRPr="00A035D0">
        <w:t xml:space="preserve"> </w:t>
      </w:r>
      <w:r w:rsidRPr="00A035D0">
        <w:t>Anti-Trafficking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VAWC</w:t>
      </w:r>
      <w:r w:rsidR="00FE6B8B" w:rsidRPr="00A035D0">
        <w:t xml:space="preserve"> </w:t>
      </w:r>
      <w:r w:rsidRPr="00A035D0">
        <w:t>(LCAT-VAWC)</w:t>
      </w:r>
    </w:p>
    <w:p w14:paraId="4C17A538" w14:textId="7616FFD8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Majority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provinces,</w:t>
      </w:r>
      <w:r w:rsidR="00FE6B8B" w:rsidRPr="00A035D0">
        <w:t xml:space="preserve"> </w:t>
      </w:r>
      <w:r w:rsidR="0087402A" w:rsidRPr="00A035D0">
        <w:t>cities,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municipalities,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already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respective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mechanisms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handle</w:t>
      </w:r>
      <w:r w:rsidR="00FE6B8B" w:rsidRPr="00A035D0">
        <w:t xml:space="preserve"> </w:t>
      </w:r>
      <w:r w:rsidR="0087402A" w:rsidRPr="00A035D0">
        <w:t>related</w:t>
      </w:r>
      <w:r w:rsidR="00FE6B8B" w:rsidRPr="00A035D0">
        <w:t xml:space="preserve"> </w:t>
      </w:r>
      <w:r w:rsidR="0087402A" w:rsidRPr="00A035D0">
        <w:t>concerns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respective</w:t>
      </w:r>
      <w:r w:rsidR="00FE6B8B" w:rsidRPr="00A035D0">
        <w:t xml:space="preserve"> </w:t>
      </w:r>
      <w:r w:rsidR="0087402A" w:rsidRPr="00A035D0">
        <w:t>localities.</w:t>
      </w:r>
      <w:r w:rsidR="00FE6B8B" w:rsidRPr="00A035D0">
        <w:t xml:space="preserve"> </w:t>
      </w:r>
      <w:r w:rsidR="0087402A" w:rsidRPr="00A035D0">
        <w:t>However,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need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determine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level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functionality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mechanisms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quality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TIP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victim-survivors.</w:t>
      </w:r>
    </w:p>
    <w:p w14:paraId="65922491" w14:textId="34E5FC90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Based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report,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1,715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(Province,</w:t>
      </w:r>
      <w:r w:rsidR="00FE6B8B" w:rsidRPr="00A035D0">
        <w:t xml:space="preserve"> </w:t>
      </w:r>
      <w:r w:rsidR="0087402A" w:rsidRPr="00A035D0">
        <w:t>City,</w:t>
      </w:r>
      <w:r w:rsidR="00FE6B8B" w:rsidRPr="00A035D0">
        <w:t xml:space="preserve"> </w:t>
      </w:r>
      <w:r w:rsidR="0087402A" w:rsidRPr="00A035D0">
        <w:t>Municipality),</w:t>
      </w:r>
      <w:r w:rsidR="00FE6B8B" w:rsidRPr="00A035D0">
        <w:t xml:space="preserve"> </w:t>
      </w:r>
      <w:r w:rsidR="0087402A" w:rsidRPr="00A035D0">
        <w:t>1,421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82%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LCAT-VAWC.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81</w:t>
      </w:r>
      <w:r w:rsidR="00FE6B8B" w:rsidRPr="00A035D0">
        <w:t xml:space="preserve"> </w:t>
      </w:r>
      <w:r w:rsidR="0087402A" w:rsidRPr="00A035D0">
        <w:t>Provincial</w:t>
      </w:r>
      <w:r w:rsidR="00FE6B8B" w:rsidRPr="00A035D0">
        <w:t xml:space="preserve"> </w:t>
      </w:r>
      <w:r w:rsidR="0087402A" w:rsidRPr="00A035D0">
        <w:t>LGUs,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57</w:t>
      </w:r>
      <w:r w:rsidR="00FE6B8B" w:rsidRPr="00A035D0">
        <w:t xml:space="preserve"> </w:t>
      </w:r>
      <w:r w:rsidR="0087402A" w:rsidRPr="00A035D0">
        <w:t>(50%)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PCAT-VAWC.</w:t>
      </w:r>
      <w:r w:rsidR="00FE6B8B" w:rsidRPr="00A035D0">
        <w:t xml:space="preserve"> </w:t>
      </w:r>
      <w:r w:rsidR="0087402A" w:rsidRPr="00A035D0">
        <w:t>127</w:t>
      </w:r>
      <w:r w:rsidR="00FE6B8B" w:rsidRPr="00A035D0">
        <w:t xml:space="preserve"> </w:t>
      </w:r>
      <w:r w:rsidR="0087402A" w:rsidRPr="00A035D0">
        <w:t>(87%)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145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Governments</w:t>
      </w:r>
      <w:r w:rsidR="00FE6B8B" w:rsidRPr="00A035D0">
        <w:t xml:space="preserve"> </w:t>
      </w:r>
      <w:r w:rsidR="0087402A" w:rsidRPr="00A035D0">
        <w:lastRenderedPageBreak/>
        <w:t>have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CCAT-VAWC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1,237</w:t>
      </w:r>
      <w:r w:rsidR="00FE6B8B" w:rsidRPr="00A035D0">
        <w:t xml:space="preserve"> </w:t>
      </w:r>
      <w:r w:rsidR="0087402A" w:rsidRPr="00A035D0">
        <w:t>(83%)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1,489</w:t>
      </w:r>
      <w:r w:rsidR="00FE6B8B" w:rsidRPr="00A035D0">
        <w:t xml:space="preserve"> </w:t>
      </w:r>
      <w:r w:rsidR="0087402A" w:rsidRPr="00A035D0">
        <w:t>Municipalities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MCAT-VAWC.</w:t>
      </w:r>
    </w:p>
    <w:p w14:paraId="76CCD88D" w14:textId="75861BD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2020-006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functionality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Committees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(LCAT-VAWC)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provincial,</w:t>
      </w:r>
      <w:r w:rsidR="00FE6B8B" w:rsidRPr="00A035D0">
        <w:t xml:space="preserve"> </w:t>
      </w:r>
      <w:r w:rsidR="0087402A" w:rsidRPr="00A035D0">
        <w:t>city,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municipal</w:t>
      </w:r>
      <w:r w:rsidR="00FE6B8B" w:rsidRPr="00A035D0">
        <w:t xml:space="preserve"> </w:t>
      </w:r>
      <w:r w:rsidR="0087402A" w:rsidRPr="00A035D0">
        <w:t>levels.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LCAT-VAWCs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assessed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indicators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organization,</w:t>
      </w:r>
      <w:r w:rsidR="00FE6B8B" w:rsidRPr="00A035D0">
        <w:t xml:space="preserve"> </w:t>
      </w:r>
      <w:r w:rsidR="0087402A" w:rsidRPr="00A035D0">
        <w:t>meetings,</w:t>
      </w:r>
      <w:r w:rsidR="00FE6B8B" w:rsidRPr="00A035D0">
        <w:t xml:space="preserve"> </w:t>
      </w:r>
      <w:r w:rsidR="0087402A" w:rsidRPr="00A035D0">
        <w:t>policies,</w:t>
      </w:r>
      <w:r w:rsidR="00FE6B8B" w:rsidRPr="00A035D0">
        <w:t xml:space="preserve"> </w:t>
      </w:r>
      <w:r w:rsidR="0087402A" w:rsidRPr="00A035D0">
        <w:t>plan,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budget,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accomplishments.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tool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levels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functionality:</w:t>
      </w:r>
    </w:p>
    <w:p w14:paraId="2B9CA005" w14:textId="1E62761B" w:rsidR="0087402A" w:rsidRPr="00A035D0" w:rsidRDefault="0087402A" w:rsidP="00BF16DB">
      <w:pPr>
        <w:pStyle w:val="SingleTxtG"/>
        <w:ind w:left="1701"/>
      </w:pPr>
      <w:r w:rsidRPr="00A035D0">
        <w:t>1.</w:t>
      </w:r>
      <w:r w:rsidRPr="00A035D0">
        <w:tab/>
        <w:t>Basic</w:t>
      </w:r>
      <w:r w:rsidR="00FE6B8B" w:rsidRPr="00A035D0">
        <w:t xml:space="preserve"> – </w:t>
      </w:r>
      <w:r w:rsidRPr="00A035D0">
        <w:t>LCAT-VAWC</w:t>
      </w:r>
      <w:r w:rsidR="00FE6B8B" w:rsidRPr="00A035D0">
        <w:t xml:space="preserve"> </w:t>
      </w:r>
      <w:r w:rsidRPr="00A035D0">
        <w:t>obtained</w:t>
      </w:r>
      <w:r w:rsidR="00FE6B8B" w:rsidRPr="00A035D0">
        <w:t xml:space="preserve"> </w:t>
      </w:r>
      <w:r w:rsidRPr="00A035D0">
        <w:t>a</w:t>
      </w:r>
      <w:r w:rsidR="00FE6B8B" w:rsidRPr="00A035D0">
        <w:t xml:space="preserve"> </w:t>
      </w:r>
      <w:r w:rsidRPr="00A035D0">
        <w:t>rating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20%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below</w:t>
      </w:r>
    </w:p>
    <w:p w14:paraId="32B3B0F7" w14:textId="04092E2F" w:rsidR="0087402A" w:rsidRPr="00A035D0" w:rsidRDefault="0087402A" w:rsidP="00BF16DB">
      <w:pPr>
        <w:pStyle w:val="SingleTxtG"/>
        <w:ind w:left="1701"/>
      </w:pPr>
      <w:r w:rsidRPr="00A035D0">
        <w:t>2.</w:t>
      </w:r>
      <w:r w:rsidRPr="00A035D0">
        <w:tab/>
        <w:t>Progressive</w:t>
      </w:r>
      <w:r w:rsidR="00FE6B8B" w:rsidRPr="00A035D0">
        <w:t xml:space="preserve"> – </w:t>
      </w:r>
      <w:r w:rsidRPr="00A035D0">
        <w:t>LCAT-VAWC</w:t>
      </w:r>
      <w:r w:rsidR="00FE6B8B" w:rsidRPr="00A035D0">
        <w:t xml:space="preserve"> </w:t>
      </w:r>
      <w:r w:rsidRPr="00A035D0">
        <w:t>obtained</w:t>
      </w:r>
      <w:r w:rsidR="00FE6B8B" w:rsidRPr="00A035D0">
        <w:t xml:space="preserve"> </w:t>
      </w:r>
      <w:r w:rsidRPr="00A035D0">
        <w:t>a</w:t>
      </w:r>
      <w:r w:rsidR="00FE6B8B" w:rsidRPr="00A035D0">
        <w:t xml:space="preserve"> </w:t>
      </w:r>
      <w:r w:rsidRPr="00A035D0">
        <w:t>rating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21%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50%</w:t>
      </w:r>
    </w:p>
    <w:p w14:paraId="3298C2B5" w14:textId="5BF21099" w:rsidR="0087402A" w:rsidRPr="00A035D0" w:rsidRDefault="0087402A" w:rsidP="00BF16DB">
      <w:pPr>
        <w:pStyle w:val="SingleTxtG"/>
        <w:ind w:left="1701"/>
      </w:pPr>
      <w:r w:rsidRPr="00A035D0">
        <w:t>3.</w:t>
      </w:r>
      <w:r w:rsidRPr="00A035D0">
        <w:tab/>
        <w:t>Mature</w:t>
      </w:r>
      <w:r w:rsidR="00FE6B8B" w:rsidRPr="00A035D0">
        <w:t xml:space="preserve"> – </w:t>
      </w:r>
      <w:r w:rsidRPr="00A035D0">
        <w:t>LCAT-VAWC</w:t>
      </w:r>
      <w:r w:rsidR="00FE6B8B" w:rsidRPr="00A035D0">
        <w:t xml:space="preserve"> </w:t>
      </w:r>
      <w:r w:rsidRPr="00A035D0">
        <w:t>obtained</w:t>
      </w:r>
      <w:r w:rsidR="00FE6B8B" w:rsidRPr="00A035D0">
        <w:t xml:space="preserve"> </w:t>
      </w:r>
      <w:r w:rsidRPr="00A035D0">
        <w:t>a</w:t>
      </w:r>
      <w:r w:rsidR="00FE6B8B" w:rsidRPr="00A035D0">
        <w:t xml:space="preserve"> </w:t>
      </w:r>
      <w:r w:rsidRPr="00A035D0">
        <w:t>rating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51%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80%</w:t>
      </w:r>
    </w:p>
    <w:p w14:paraId="29725E77" w14:textId="4D97292D" w:rsidR="0087402A" w:rsidRPr="00A035D0" w:rsidRDefault="0087402A" w:rsidP="00BF16DB">
      <w:pPr>
        <w:pStyle w:val="SingleTxtG"/>
        <w:ind w:left="1701"/>
      </w:pPr>
      <w:r w:rsidRPr="00A035D0">
        <w:t>4.</w:t>
      </w:r>
      <w:r w:rsidRPr="00A035D0">
        <w:tab/>
        <w:t>Ideal</w:t>
      </w:r>
      <w:r w:rsidR="00FE6B8B" w:rsidRPr="00A035D0">
        <w:t xml:space="preserve"> – </w:t>
      </w:r>
      <w:r w:rsidRPr="00A035D0">
        <w:t>LCAT-VAWC</w:t>
      </w:r>
      <w:r w:rsidR="00FE6B8B" w:rsidRPr="00A035D0">
        <w:t xml:space="preserve"> </w:t>
      </w:r>
      <w:r w:rsidRPr="00A035D0">
        <w:t>obtained</w:t>
      </w:r>
      <w:r w:rsidR="00FE6B8B" w:rsidRPr="00A035D0">
        <w:t xml:space="preserve"> </w:t>
      </w:r>
      <w:r w:rsidRPr="00A035D0">
        <w:t>a</w:t>
      </w:r>
      <w:r w:rsidR="00FE6B8B" w:rsidRPr="00A035D0">
        <w:t xml:space="preserve"> </w:t>
      </w:r>
      <w:r w:rsidRPr="00A035D0">
        <w:t>rating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81%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above</w:t>
      </w:r>
    </w:p>
    <w:p w14:paraId="1A9B6EE0" w14:textId="1385226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DILG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start</w:t>
      </w:r>
      <w:r w:rsidR="00FE6B8B" w:rsidRPr="00A035D0">
        <w:t xml:space="preserve"> </w:t>
      </w:r>
      <w:r w:rsidR="0087402A" w:rsidRPr="00A035D0">
        <w:t>conducting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assessment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functionality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LCAT-VAWCs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2021.</w:t>
      </w:r>
      <w:r w:rsidR="00FE6B8B" w:rsidRPr="00A035D0">
        <w:t xml:space="preserve"> </w:t>
      </w:r>
      <w:r w:rsidR="0087402A" w:rsidRPr="00A035D0">
        <w:t>Originally,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scheduled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but</w:t>
      </w:r>
      <w:r w:rsidR="00FE6B8B" w:rsidRPr="00A035D0">
        <w:t xml:space="preserve"> </w:t>
      </w:r>
      <w:r w:rsidR="0087402A" w:rsidRPr="00A035D0">
        <w:t>due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COVID-19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restrictions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convening</w:t>
      </w:r>
      <w:r w:rsidR="00FE6B8B" w:rsidRPr="00A035D0">
        <w:t xml:space="preserve"> </w:t>
      </w:r>
      <w:r w:rsidR="0087402A" w:rsidRPr="00A035D0">
        <w:t>workshops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similar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10</w:t>
      </w:r>
      <w:r w:rsidR="00FE6B8B" w:rsidRPr="00A035D0">
        <w:t xml:space="preserve"> </w:t>
      </w:r>
      <w:r w:rsidR="0087402A" w:rsidRPr="00A035D0">
        <w:t>participants,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moved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2021.</w:t>
      </w:r>
    </w:p>
    <w:p w14:paraId="1CDFE20E" w14:textId="3291B361" w:rsidR="0087402A" w:rsidRPr="00A035D0" w:rsidRDefault="0087402A" w:rsidP="00BF16DB">
      <w:pPr>
        <w:pStyle w:val="H4G"/>
      </w:pPr>
      <w:r w:rsidRPr="00A035D0">
        <w:tab/>
      </w:r>
      <w:r w:rsidRPr="00A035D0">
        <w:tab/>
        <w:t>Barangay</w:t>
      </w:r>
      <w:r w:rsidR="00FE6B8B" w:rsidRPr="00A035D0">
        <w:t xml:space="preserve"> </w:t>
      </w:r>
      <w:r w:rsidRPr="00A035D0">
        <w:t>VAW</w:t>
      </w:r>
      <w:r w:rsidR="00FE6B8B" w:rsidRPr="00A035D0">
        <w:t xml:space="preserve"> </w:t>
      </w:r>
      <w:r w:rsidRPr="00A035D0">
        <w:t>Desks</w:t>
      </w:r>
    </w:p>
    <w:p w14:paraId="53EFE463" w14:textId="13C8A59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assessment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shows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38,824</w:t>
      </w:r>
      <w:r w:rsidR="00FE6B8B" w:rsidRPr="00A035D0">
        <w:t xml:space="preserve"> </w:t>
      </w:r>
      <w:r w:rsidR="0087402A" w:rsidRPr="00A035D0">
        <w:t>(92%)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42,045</w:t>
      </w:r>
      <w:r w:rsidR="00FE6B8B" w:rsidRPr="00A035D0">
        <w:t xml:space="preserve"> </w:t>
      </w:r>
      <w:r w:rsidR="0087402A" w:rsidRPr="00A035D0">
        <w:t>barangays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Barangay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Desk,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big</w:t>
      </w:r>
      <w:r w:rsidR="00FE6B8B" w:rsidRPr="00A035D0">
        <w:t xml:space="preserve"> </w:t>
      </w:r>
      <w:r w:rsidR="0087402A" w:rsidRPr="00A035D0">
        <w:t>leap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wherein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29,929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71%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barangays</w:t>
      </w:r>
      <w:r w:rsidR="00FE6B8B" w:rsidRPr="00A035D0">
        <w:t xml:space="preserve"> </w:t>
      </w:r>
      <w:r w:rsidR="0087402A" w:rsidRPr="00A035D0">
        <w:t>had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desk.</w:t>
      </w:r>
    </w:p>
    <w:p w14:paraId="351997BC" w14:textId="7DD5F29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For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38,824</w:t>
      </w:r>
      <w:r w:rsidR="00FE6B8B" w:rsidRPr="00A035D0">
        <w:t xml:space="preserve"> </w:t>
      </w:r>
      <w:r w:rsidR="0087402A" w:rsidRPr="00A035D0">
        <w:t>barangays</w:t>
      </w:r>
      <w:r w:rsidR="00FE6B8B" w:rsidRPr="00A035D0">
        <w:t xml:space="preserve"> </w:t>
      </w:r>
      <w:r w:rsidR="0087402A" w:rsidRPr="00A035D0">
        <w:t>assessed,</w:t>
      </w:r>
      <w:r w:rsidR="00FE6B8B" w:rsidRPr="00A035D0">
        <w:t xml:space="preserve"> </w:t>
      </w:r>
      <w:r w:rsidR="0087402A" w:rsidRPr="00A035D0">
        <w:t>7,553</w:t>
      </w:r>
      <w:r w:rsidR="00FE6B8B" w:rsidRPr="00A035D0">
        <w:t xml:space="preserve"> </w:t>
      </w:r>
      <w:r w:rsidR="0087402A" w:rsidRPr="00A035D0">
        <w:t>(19%)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categorized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Ideal</w:t>
      </w:r>
      <w:r w:rsidR="00FE6B8B" w:rsidRPr="00A035D0">
        <w:t xml:space="preserve"> </w:t>
      </w:r>
      <w:r w:rsidR="0087402A" w:rsidRPr="00A035D0">
        <w:t>level;</w:t>
      </w:r>
      <w:r w:rsidR="00FE6B8B" w:rsidRPr="00A035D0">
        <w:t xml:space="preserve"> </w:t>
      </w:r>
      <w:r w:rsidR="0087402A" w:rsidRPr="00A035D0">
        <w:t>20,739</w:t>
      </w:r>
      <w:r w:rsidR="00FE6B8B" w:rsidRPr="00A035D0">
        <w:t xml:space="preserve"> </w:t>
      </w:r>
      <w:r w:rsidR="0087402A" w:rsidRPr="00A035D0">
        <w:t>(53%)</w:t>
      </w:r>
      <w:r w:rsidR="00FE6B8B" w:rsidRPr="00A035D0">
        <w:t xml:space="preserve"> </w:t>
      </w:r>
      <w:r w:rsidR="0087402A" w:rsidRPr="00A035D0">
        <w:t>fall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Mature</w:t>
      </w:r>
      <w:r w:rsidR="00FE6B8B" w:rsidRPr="00A035D0">
        <w:t xml:space="preserve"> </w:t>
      </w:r>
      <w:r w:rsidR="0087402A" w:rsidRPr="00A035D0">
        <w:t>level;</w:t>
      </w:r>
      <w:r w:rsidR="00FE6B8B" w:rsidRPr="00A035D0">
        <w:t xml:space="preserve"> </w:t>
      </w:r>
      <w:r w:rsidR="0087402A" w:rsidRPr="00A035D0">
        <w:t>8,677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22%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barangays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Progressive</w:t>
      </w:r>
      <w:r w:rsidR="00FE6B8B" w:rsidRPr="00A035D0">
        <w:t xml:space="preserve"> </w:t>
      </w:r>
      <w:r w:rsidR="0087402A" w:rsidRPr="00A035D0">
        <w:t>level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1,855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5%</w:t>
      </w:r>
      <w:r w:rsidR="00FE6B8B" w:rsidRPr="00A035D0">
        <w:t xml:space="preserve"> </w:t>
      </w:r>
      <w:r w:rsidR="0087402A" w:rsidRPr="00A035D0">
        <w:t>belong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category.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2018,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29,929</w:t>
      </w:r>
      <w:r w:rsidR="00FE6B8B" w:rsidRPr="00A035D0">
        <w:t xml:space="preserve"> </w:t>
      </w:r>
      <w:r w:rsidR="0087402A" w:rsidRPr="00A035D0">
        <w:t>barangays,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5,197</w:t>
      </w:r>
      <w:r w:rsidR="00FE6B8B" w:rsidRPr="00A035D0">
        <w:t xml:space="preserve"> </w:t>
      </w:r>
      <w:r w:rsidR="0087402A" w:rsidRPr="00A035D0">
        <w:t>(17%)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Ideal;</w:t>
      </w:r>
      <w:r w:rsidR="00FE6B8B" w:rsidRPr="00A035D0">
        <w:t xml:space="preserve"> </w:t>
      </w:r>
      <w:r w:rsidR="0087402A" w:rsidRPr="00A035D0">
        <w:t>16,490</w:t>
      </w:r>
      <w:r w:rsidR="00FE6B8B" w:rsidRPr="00A035D0">
        <w:t xml:space="preserve"> </w:t>
      </w:r>
      <w:r w:rsidR="0087402A" w:rsidRPr="00A035D0">
        <w:t>(55%)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considered</w:t>
      </w:r>
      <w:r w:rsidR="00FE6B8B" w:rsidRPr="00A035D0">
        <w:t xml:space="preserve"> </w:t>
      </w:r>
      <w:r w:rsidR="0087402A" w:rsidRPr="00A035D0">
        <w:t>mature;</w:t>
      </w:r>
      <w:r w:rsidR="00FE6B8B" w:rsidRPr="00A035D0">
        <w:t xml:space="preserve"> </w:t>
      </w:r>
      <w:r w:rsidR="0087402A" w:rsidRPr="00A035D0">
        <w:t>6,708</w:t>
      </w:r>
      <w:r w:rsidR="00FE6B8B" w:rsidRPr="00A035D0">
        <w:t xml:space="preserve"> </w:t>
      </w:r>
      <w:r w:rsidR="0087402A" w:rsidRPr="00A035D0">
        <w:t>(22%)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progressive;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1,534</w:t>
      </w:r>
      <w:r w:rsidR="00FE6B8B" w:rsidRPr="00A035D0">
        <w:t xml:space="preserve"> </w:t>
      </w:r>
      <w:r w:rsidR="0087402A" w:rsidRPr="00A035D0">
        <w:t>(5%)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category.</w:t>
      </w:r>
    </w:p>
    <w:p w14:paraId="11B21395" w14:textId="77777777" w:rsidR="00FE6B8B" w:rsidRPr="00A035D0" w:rsidRDefault="0087402A" w:rsidP="00BF16DB">
      <w:pPr>
        <w:pStyle w:val="H4G"/>
      </w:pPr>
      <w:r w:rsidRPr="00A035D0">
        <w:tab/>
      </w:r>
      <w:r w:rsidRPr="00A035D0">
        <w:tab/>
        <w:t>Capacity</w:t>
      </w:r>
      <w:r w:rsidR="00FE6B8B" w:rsidRPr="00A035D0">
        <w:t xml:space="preserve"> </w:t>
      </w:r>
      <w:r w:rsidRPr="00A035D0">
        <w:t>Building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Service</w:t>
      </w:r>
      <w:r w:rsidR="00FE6B8B" w:rsidRPr="00A035D0">
        <w:t xml:space="preserve"> </w:t>
      </w:r>
      <w:r w:rsidRPr="00A035D0">
        <w:t>Providers</w:t>
      </w:r>
    </w:p>
    <w:p w14:paraId="3599CCA5" w14:textId="124F0DED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modules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IACVAWC</w:t>
      </w:r>
      <w:r w:rsidR="00FE6B8B" w:rsidRPr="00A035D0">
        <w:t xml:space="preserve"> </w:t>
      </w:r>
      <w:r w:rsidR="0087402A" w:rsidRPr="00A035D0">
        <w:t>members.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Manual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Strengthening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Capacities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Direct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Providers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Handling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(VAW)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2016.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part,</w:t>
      </w:r>
      <w:r w:rsidR="00FE6B8B" w:rsidRPr="00A035D0">
        <w:t xml:space="preserve"> </w:t>
      </w:r>
      <w:r w:rsidR="0087402A" w:rsidRPr="00A035D0">
        <w:t>DSWD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Trainer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Manual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Responsive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incorporated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session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Avoiding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Home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Module</w:t>
      </w:r>
      <w:r w:rsidR="00FE6B8B" w:rsidRPr="00A035D0">
        <w:t xml:space="preserve"> </w:t>
      </w:r>
      <w:r w:rsidR="0087402A" w:rsidRPr="00A035D0">
        <w:t>2:</w:t>
      </w:r>
      <w:r w:rsidR="00FE6B8B" w:rsidRPr="00A035D0">
        <w:t xml:space="preserve"> </w:t>
      </w:r>
      <w:r w:rsidR="0087402A" w:rsidRPr="00A035D0">
        <w:t>Preparing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Nurturing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Filipino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Guide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Filipino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Development.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held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Specialized</w:t>
      </w:r>
      <w:r w:rsidR="00FE6B8B" w:rsidRPr="00A035D0">
        <w:t xml:space="preserve"> </w:t>
      </w:r>
      <w:r w:rsidR="0087402A" w:rsidRPr="00A035D0">
        <w:t>Course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Investigation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Crime</w:t>
      </w:r>
      <w:r w:rsidR="00FE6B8B" w:rsidRPr="00A035D0">
        <w:t xml:space="preserve"> </w:t>
      </w:r>
      <w:r w:rsidR="0087402A" w:rsidRPr="00A035D0">
        <w:t>Involving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PNP-WCPD</w:t>
      </w:r>
      <w:r w:rsidR="00FE6B8B" w:rsidRPr="00A035D0">
        <w:t xml:space="preserve"> </w:t>
      </w:r>
      <w:r w:rsidR="0087402A" w:rsidRPr="00A035D0">
        <w:t>Officers.</w:t>
      </w:r>
    </w:p>
    <w:p w14:paraId="5CC78DF4" w14:textId="2D9A44D3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Barangay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(VAW)</w:t>
      </w:r>
      <w:r w:rsidR="00FE6B8B" w:rsidRPr="00A035D0">
        <w:t xml:space="preserve"> </w:t>
      </w:r>
      <w:r w:rsidR="0087402A" w:rsidRPr="00A035D0">
        <w:t>Desk</w:t>
      </w:r>
      <w:r w:rsidR="00FE6B8B" w:rsidRPr="00A035D0">
        <w:t xml:space="preserve"> </w:t>
      </w:r>
      <w:r w:rsidR="0087402A" w:rsidRPr="00A035D0">
        <w:t>Handbook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resource</w:t>
      </w:r>
      <w:r w:rsidR="00FE6B8B" w:rsidRPr="00A035D0">
        <w:t xml:space="preserve"> </w:t>
      </w:r>
      <w:r w:rsidR="0087402A" w:rsidRPr="00A035D0">
        <w:t>material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guide</w:t>
      </w:r>
      <w:r w:rsidR="00FE6B8B" w:rsidRPr="00A035D0">
        <w:t xml:space="preserve"> </w:t>
      </w:r>
      <w:r w:rsidR="0087402A" w:rsidRPr="00A035D0">
        <w:t>barangay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responding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related</w:t>
      </w:r>
      <w:r w:rsidR="00FE6B8B" w:rsidRPr="00A035D0">
        <w:t xml:space="preserve"> </w:t>
      </w:r>
      <w:r w:rsidR="0087402A" w:rsidRPr="00A035D0">
        <w:t>concerns.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detailed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setting</w:t>
      </w:r>
      <w:r w:rsidR="00FE6B8B" w:rsidRPr="00A035D0">
        <w:t xml:space="preserve"> </w:t>
      </w:r>
      <w:r w:rsidR="0087402A" w:rsidRPr="00A035D0">
        <w:t>up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maintaining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Desk,</w:t>
      </w:r>
      <w:r w:rsidR="00FE6B8B" w:rsidRPr="00A035D0">
        <w:t xml:space="preserve"> </w:t>
      </w:r>
      <w:r w:rsidR="0087402A" w:rsidRPr="00A035D0">
        <w:t>designating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Desk</w:t>
      </w:r>
      <w:r w:rsidR="00FE6B8B" w:rsidRPr="00A035D0">
        <w:t xml:space="preserve"> </w:t>
      </w:r>
      <w:r w:rsidR="0087402A" w:rsidRPr="00A035D0">
        <w:t>Officer,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ensuring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proper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timely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victim-survivors.</w:t>
      </w:r>
    </w:p>
    <w:p w14:paraId="52109408" w14:textId="684C939B" w:rsidR="0087402A" w:rsidRPr="00A035D0" w:rsidRDefault="0087402A" w:rsidP="00BF16DB">
      <w:pPr>
        <w:pStyle w:val="H4G"/>
      </w:pPr>
      <w:r w:rsidRPr="00A035D0">
        <w:tab/>
      </w:r>
      <w:r w:rsidRPr="00A035D0">
        <w:tab/>
        <w:t>Advocacy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Awareness</w:t>
      </w:r>
    </w:p>
    <w:p w14:paraId="610BC7D4" w14:textId="0032880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PCW,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coordination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IACVAWC,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tasked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lead,</w:t>
      </w:r>
      <w:r w:rsidR="00FE6B8B" w:rsidRPr="00A035D0">
        <w:t xml:space="preserve"> </w:t>
      </w:r>
      <w:r w:rsidR="0087402A" w:rsidRPr="00A035D0">
        <w:t>monitor,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evaluate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annual</w:t>
      </w:r>
      <w:r w:rsidR="00FE6B8B" w:rsidRPr="00A035D0">
        <w:t xml:space="preserve"> </w:t>
      </w:r>
      <w:r w:rsidR="0087402A" w:rsidRPr="00A035D0">
        <w:t>nationwide</w:t>
      </w:r>
      <w:r w:rsidR="00FE6B8B" w:rsidRPr="00A035D0">
        <w:t xml:space="preserve"> </w:t>
      </w:r>
      <w:r w:rsidR="0087402A" w:rsidRPr="00A035D0">
        <w:t>observance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18-Day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VAW.</w:t>
      </w:r>
      <w:r w:rsidR="00FE6B8B" w:rsidRPr="00A035D0">
        <w:t xml:space="preserve"> </w:t>
      </w:r>
      <w:r w:rsidR="0087402A" w:rsidRPr="00A035D0">
        <w:t>Adopting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theme</w:t>
      </w:r>
      <w:r w:rsidR="00FE6B8B" w:rsidRPr="00A035D0">
        <w:t xml:space="preserve"> “</w:t>
      </w:r>
      <w:r w:rsidR="0087402A" w:rsidRPr="00A035D0">
        <w:t>VAW-free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starts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Me</w:t>
      </w:r>
      <w:r w:rsidR="00FE6B8B" w:rsidRPr="00A035D0">
        <w:t xml:space="preserve">”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year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2021,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emphasizes</w:t>
      </w:r>
      <w:r w:rsidR="00FE6B8B" w:rsidRPr="00A035D0">
        <w:t xml:space="preserve"> </w:t>
      </w:r>
      <w:r w:rsidR="0087402A" w:rsidRPr="00A035D0">
        <w:t>everyone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commitment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contributions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ending</w:t>
      </w:r>
      <w:r w:rsidR="00FE6B8B" w:rsidRPr="00A035D0">
        <w:t xml:space="preserve"> </w:t>
      </w:r>
      <w:r w:rsidR="0087402A" w:rsidRPr="00A035D0">
        <w:t>VAW,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presents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ideal</w:t>
      </w:r>
      <w:r w:rsidR="00FE6B8B" w:rsidRPr="00A035D0">
        <w:t xml:space="preserve"> </w:t>
      </w:r>
      <w:r w:rsidR="0087402A" w:rsidRPr="00A035D0">
        <w:t>picture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VAW-free</w:t>
      </w:r>
      <w:r w:rsidR="00FE6B8B" w:rsidRPr="00A035D0">
        <w:t xml:space="preserve"> </w:t>
      </w:r>
      <w:r w:rsidR="0087402A" w:rsidRPr="00A035D0">
        <w:t>community,</w:t>
      </w:r>
      <w:r w:rsidR="00FE6B8B" w:rsidRPr="00A035D0">
        <w:t xml:space="preserve"> </w:t>
      </w:r>
      <w:r w:rsidR="0087402A" w:rsidRPr="00A035D0">
        <w:t>thus</w:t>
      </w:r>
      <w:r w:rsidR="00FE6B8B" w:rsidRPr="00A035D0">
        <w:t xml:space="preserve"> </w:t>
      </w:r>
      <w:r w:rsidR="0087402A" w:rsidRPr="00A035D0">
        <w:t>inspiring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general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make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personal</w:t>
      </w:r>
      <w:r w:rsidR="00FE6B8B" w:rsidRPr="00A035D0">
        <w:t xml:space="preserve"> </w:t>
      </w:r>
      <w:r w:rsidR="0087402A" w:rsidRPr="00A035D0">
        <w:t>commitment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children.</w:t>
      </w:r>
    </w:p>
    <w:p w14:paraId="32C31E44" w14:textId="3B53280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For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continued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underscore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significant</w:t>
      </w:r>
      <w:r w:rsidR="00FE6B8B" w:rsidRPr="00A035D0">
        <w:t xml:space="preserve"> </w:t>
      </w:r>
      <w:r w:rsidR="0087402A" w:rsidRPr="00A035D0">
        <w:t>roles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individuals</w:t>
      </w:r>
      <w:r w:rsidR="00FE6B8B" w:rsidRPr="00A035D0">
        <w:t xml:space="preserve"> </w:t>
      </w:r>
      <w:r w:rsidR="0087402A" w:rsidRPr="00A035D0">
        <w:t>especially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girls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institutions.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promoting</w:t>
      </w:r>
      <w:r w:rsidR="00FE6B8B" w:rsidRPr="00A035D0">
        <w:t xml:space="preserve"> </w:t>
      </w:r>
      <w:r w:rsidR="0087402A" w:rsidRPr="00A035D0">
        <w:t>primary</w:t>
      </w:r>
      <w:r w:rsidR="00FE6B8B" w:rsidRPr="00A035D0">
        <w:t xml:space="preserve"> </w:t>
      </w:r>
      <w:r w:rsidR="0087402A" w:rsidRPr="00A035D0">
        <w:t>prevention,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highlighted</w:t>
      </w:r>
      <w:r w:rsidR="00FE6B8B" w:rsidRPr="00A035D0">
        <w:t xml:space="preserve"> </w:t>
      </w:r>
      <w:r w:rsidR="0087402A" w:rsidRPr="00A035D0">
        <w:lastRenderedPageBreak/>
        <w:t>the</w:t>
      </w:r>
      <w:r w:rsidR="00FE6B8B" w:rsidRPr="00A035D0">
        <w:t xml:space="preserve"> </w:t>
      </w:r>
      <w:r w:rsidR="0087402A" w:rsidRPr="00A035D0">
        <w:t>empowerment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individuals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know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claim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educate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seek</w:t>
      </w:r>
      <w:r w:rsidR="00FE6B8B" w:rsidRPr="00A035D0">
        <w:t xml:space="preserve"> </w:t>
      </w:r>
      <w:r w:rsidR="0087402A" w:rsidRPr="00A035D0">
        <w:t>help.</w:t>
      </w:r>
    </w:p>
    <w:p w14:paraId="77FE3CD9" w14:textId="750AD32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(RCAT)-VAWCs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provinces</w:t>
      </w:r>
      <w:r w:rsidR="00FE6B8B" w:rsidRPr="00A035D0">
        <w:t xml:space="preserve"> </w:t>
      </w:r>
      <w:r w:rsidR="0087402A" w:rsidRPr="00A035D0">
        <w:t>held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kick-off</w:t>
      </w:r>
      <w:r w:rsidR="00FE6B8B" w:rsidRPr="00A035D0">
        <w:t xml:space="preserve"> </w:t>
      </w:r>
      <w:r w:rsidR="0087402A" w:rsidRPr="00A035D0">
        <w:t>ceremonies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commemorate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campaign.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13</w:t>
      </w:r>
      <w:r w:rsidR="00FE6B8B" w:rsidRPr="00A035D0">
        <w:t xml:space="preserve"> </w:t>
      </w:r>
      <w:r w:rsidR="0087402A" w:rsidRPr="00A035D0">
        <w:t>regions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 xml:space="preserve"> </w:t>
      </w:r>
      <w:r w:rsidR="0087402A" w:rsidRPr="00A035D0">
        <w:t>(Regions</w:t>
      </w:r>
      <w:r w:rsidR="00FE6B8B" w:rsidRPr="00A035D0">
        <w:t xml:space="preserve"> </w:t>
      </w:r>
      <w:r w:rsidR="0087402A" w:rsidRPr="00A035D0">
        <w:t>I,</w:t>
      </w:r>
      <w:r w:rsidR="00FE6B8B" w:rsidRPr="00A035D0">
        <w:t xml:space="preserve"> </w:t>
      </w:r>
      <w:r w:rsidR="0087402A" w:rsidRPr="00A035D0">
        <w:t>II,</w:t>
      </w:r>
      <w:r w:rsidR="00FE6B8B" w:rsidRPr="00A035D0">
        <w:t xml:space="preserve"> </w:t>
      </w:r>
      <w:r w:rsidR="0087402A" w:rsidRPr="00A035D0">
        <w:t>III,</w:t>
      </w:r>
      <w:r w:rsidR="00FE6B8B" w:rsidRPr="00A035D0">
        <w:t xml:space="preserve"> </w:t>
      </w:r>
      <w:r w:rsidR="0087402A" w:rsidRPr="00A035D0">
        <w:t>IV-A,</w:t>
      </w:r>
      <w:r w:rsidR="00FE6B8B" w:rsidRPr="00A035D0">
        <w:t xml:space="preserve"> </w:t>
      </w:r>
      <w:r w:rsidR="0087402A" w:rsidRPr="00A035D0">
        <w:t>IV-B,</w:t>
      </w:r>
      <w:r w:rsidR="00FE6B8B" w:rsidRPr="00A035D0">
        <w:t xml:space="preserve"> </w:t>
      </w:r>
      <w:r w:rsidR="0087402A" w:rsidRPr="00A035D0">
        <w:t>V,</w:t>
      </w:r>
      <w:r w:rsidR="00FE6B8B" w:rsidRPr="00A035D0">
        <w:t xml:space="preserve"> </w:t>
      </w:r>
      <w:r w:rsidR="0087402A" w:rsidRPr="00A035D0">
        <w:t>VI,</w:t>
      </w:r>
      <w:r w:rsidR="00FE6B8B" w:rsidRPr="00A035D0">
        <w:t xml:space="preserve"> </w:t>
      </w:r>
      <w:r w:rsidR="0087402A" w:rsidRPr="00A035D0">
        <w:t>VII,</w:t>
      </w:r>
      <w:r w:rsidR="00FE6B8B" w:rsidRPr="00A035D0">
        <w:t xml:space="preserve"> </w:t>
      </w:r>
      <w:r w:rsidR="0087402A" w:rsidRPr="00A035D0">
        <w:t>IX,</w:t>
      </w:r>
      <w:r w:rsidR="00FE6B8B" w:rsidRPr="00A035D0">
        <w:t xml:space="preserve"> </w:t>
      </w:r>
      <w:r w:rsidR="0087402A" w:rsidRPr="00A035D0">
        <w:t>X,</w:t>
      </w:r>
      <w:r w:rsidR="00FE6B8B" w:rsidRPr="00A035D0">
        <w:t xml:space="preserve"> </w:t>
      </w:r>
      <w:r w:rsidR="0087402A" w:rsidRPr="00A035D0">
        <w:t>XI,</w:t>
      </w:r>
      <w:r w:rsidR="00FE6B8B" w:rsidRPr="00A035D0">
        <w:t xml:space="preserve"> </w:t>
      </w:r>
      <w:r w:rsidR="0087402A" w:rsidRPr="00A035D0">
        <w:t>XIII,</w:t>
      </w:r>
      <w:r w:rsidR="00FE6B8B" w:rsidRPr="00A035D0">
        <w:t xml:space="preserve"> </w:t>
      </w:r>
      <w:r w:rsidR="0087402A" w:rsidRPr="00A035D0">
        <w:t>CAR).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regions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distribution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IEC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VAW,</w:t>
      </w:r>
      <w:r w:rsidR="00FE6B8B" w:rsidRPr="00A035D0">
        <w:t xml:space="preserve"> </w:t>
      </w:r>
      <w:r w:rsidR="0087402A" w:rsidRPr="00A035D0">
        <w:t>seminars/orientations/fora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R.A.</w:t>
      </w:r>
      <w:r w:rsidR="00FE6B8B" w:rsidRPr="00A035D0">
        <w:t xml:space="preserve"> </w:t>
      </w:r>
      <w:r w:rsidR="0087402A" w:rsidRPr="00A035D0">
        <w:t>9262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laws,</w:t>
      </w:r>
      <w:r w:rsidR="00FE6B8B" w:rsidRPr="00A035D0">
        <w:t xml:space="preserve"> </w:t>
      </w:r>
      <w:r w:rsidR="0087402A" w:rsidRPr="00A035D0">
        <w:t>fora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men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involvement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VAW,</w:t>
      </w:r>
      <w:r w:rsidR="00FE6B8B" w:rsidRPr="00A035D0">
        <w:t xml:space="preserve"> </w:t>
      </w:r>
      <w:r w:rsidR="0087402A" w:rsidRPr="00A035D0">
        <w:t>motorcades,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hanging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tarpaulins/posters.</w:t>
      </w:r>
    </w:p>
    <w:p w14:paraId="6F713F33" w14:textId="26F7F42D" w:rsidR="0087402A" w:rsidRPr="00A035D0" w:rsidRDefault="0087402A" w:rsidP="00BF16DB">
      <w:pPr>
        <w:pStyle w:val="H4G"/>
      </w:pPr>
      <w:r w:rsidRPr="00A035D0">
        <w:tab/>
      </w:r>
      <w:r w:rsidRPr="00A035D0">
        <w:tab/>
        <w:t>Youth</w:t>
      </w:r>
      <w:r w:rsidR="00FE6B8B" w:rsidRPr="00A035D0">
        <w:t xml:space="preserve"> </w:t>
      </w:r>
      <w:r w:rsidRPr="00A035D0">
        <w:t>Forum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End</w:t>
      </w:r>
      <w:r w:rsidR="00FE6B8B" w:rsidRPr="00A035D0">
        <w:t xml:space="preserve"> </w:t>
      </w:r>
      <w:r w:rsidRPr="00A035D0">
        <w:t>VAW</w:t>
      </w:r>
      <w:r w:rsidR="00FE6B8B" w:rsidRPr="00A035D0">
        <w:t xml:space="preserve"> </w:t>
      </w:r>
      <w:r w:rsidRPr="00A035D0">
        <w:t>2019</w:t>
      </w:r>
    </w:p>
    <w:p w14:paraId="669276CB" w14:textId="134FBCC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forum</w:t>
      </w:r>
      <w:r w:rsidR="00FE6B8B" w:rsidRPr="00A035D0">
        <w:t xml:space="preserve"> </w:t>
      </w:r>
      <w:r w:rsidR="0087402A" w:rsidRPr="00A035D0">
        <w:t>held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November</w:t>
      </w:r>
      <w:r w:rsidR="00FE6B8B" w:rsidRPr="00A035D0">
        <w:t xml:space="preserve"> </w:t>
      </w:r>
      <w:r w:rsidR="0087402A" w:rsidRPr="00A035D0">
        <w:t>25,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served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kick-off</w:t>
      </w:r>
      <w:r w:rsidR="00FE6B8B" w:rsidRPr="00A035D0">
        <w:t xml:space="preserve"> </w:t>
      </w:r>
      <w:r w:rsidR="0087402A" w:rsidRPr="00A035D0">
        <w:t>event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18-Day</w:t>
      </w:r>
      <w:r w:rsidR="00FE6B8B" w:rsidRPr="00A035D0">
        <w:t xml:space="preserve"> </w:t>
      </w:r>
      <w:r w:rsidR="0087402A" w:rsidRPr="00A035D0">
        <w:t>Campaign.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attended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506</w:t>
      </w:r>
      <w:r w:rsidR="00FE6B8B" w:rsidRPr="00A035D0">
        <w:t xml:space="preserve"> </w:t>
      </w:r>
      <w:r w:rsidR="0087402A" w:rsidRPr="00A035D0">
        <w:t>participants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junior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senior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school</w:t>
      </w:r>
      <w:r w:rsidR="00FE6B8B" w:rsidRPr="00A035D0">
        <w:t xml:space="preserve"> </w:t>
      </w:r>
      <w:r w:rsidR="0087402A" w:rsidRPr="00A035D0">
        <w:t>students,</w:t>
      </w:r>
      <w:r w:rsidR="00FE6B8B" w:rsidRPr="00A035D0">
        <w:t xml:space="preserve"> </w:t>
      </w:r>
      <w:r w:rsidR="0087402A" w:rsidRPr="00A035D0">
        <w:t>Sangguniang</w:t>
      </w:r>
      <w:r w:rsidR="00FE6B8B" w:rsidRPr="00A035D0">
        <w:t xml:space="preserve"> </w:t>
      </w:r>
      <w:r w:rsidR="0087402A" w:rsidRPr="00A035D0">
        <w:t>Kabataan</w:t>
      </w:r>
      <w:r w:rsidR="00FE6B8B" w:rsidRPr="00A035D0">
        <w:t xml:space="preserve"> </w:t>
      </w:r>
      <w:r w:rsidR="0087402A" w:rsidRPr="00A035D0">
        <w:t>Officers,</w:t>
      </w:r>
      <w:r w:rsidR="00FE6B8B" w:rsidRPr="00A035D0">
        <w:t xml:space="preserve"> </w:t>
      </w:r>
      <w:r w:rsidR="0087402A" w:rsidRPr="00A035D0">
        <w:t>boy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girl</w:t>
      </w:r>
      <w:r w:rsidR="00FE6B8B" w:rsidRPr="00A035D0">
        <w:t xml:space="preserve"> </w:t>
      </w:r>
      <w:r w:rsidR="0087402A" w:rsidRPr="00A035D0">
        <w:t>scouts,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participants.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year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focused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creating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specific</w:t>
      </w:r>
      <w:r w:rsidR="00FE6B8B" w:rsidRPr="00A035D0">
        <w:t xml:space="preserve"> </w:t>
      </w:r>
      <w:r w:rsidR="0087402A" w:rsidRPr="00A035D0">
        <w:t>roles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combating</w:t>
      </w:r>
      <w:r w:rsidR="00FE6B8B" w:rsidRPr="00A035D0">
        <w:t xml:space="preserve"> </w:t>
      </w:r>
      <w:r w:rsidR="0087402A" w:rsidRPr="00A035D0">
        <w:t>violence.</w:t>
      </w:r>
      <w:r w:rsidR="00FE6B8B" w:rsidRPr="00A035D0">
        <w:t xml:space="preserve"> </w:t>
      </w:r>
      <w:r w:rsidR="0087402A" w:rsidRPr="00A035D0">
        <w:t>Topics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plenary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breakout</w:t>
      </w:r>
      <w:r w:rsidR="00FE6B8B" w:rsidRPr="00A035D0">
        <w:t xml:space="preserve"> </w:t>
      </w:r>
      <w:r w:rsidR="0087402A" w:rsidRPr="00A035D0">
        <w:t>sessions</w:t>
      </w:r>
      <w:r w:rsidR="00FE6B8B" w:rsidRPr="00A035D0">
        <w:t xml:space="preserve"> </w:t>
      </w:r>
      <w:r w:rsidR="0087402A" w:rsidRPr="00A035D0">
        <w:t>included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following:</w:t>
      </w:r>
    </w:p>
    <w:p w14:paraId="1BE43FE9" w14:textId="34253ADB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Mental</w:t>
      </w:r>
      <w:r w:rsidR="00FE6B8B" w:rsidRPr="00A035D0">
        <w:t xml:space="preserve"> </w:t>
      </w:r>
      <w:r w:rsidR="0087402A" w:rsidRPr="00A035D0">
        <w:t>health</w:t>
      </w:r>
    </w:p>
    <w:p w14:paraId="1E749248" w14:textId="00255B1E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Digital</w:t>
      </w:r>
      <w:r w:rsidR="00FE6B8B" w:rsidRPr="00A035D0">
        <w:t xml:space="preserve"> </w:t>
      </w:r>
      <w:r w:rsidR="0087402A" w:rsidRPr="00A035D0">
        <w:t>literacy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responsibility</w:t>
      </w:r>
    </w:p>
    <w:p w14:paraId="791C9651" w14:textId="3E2DDA88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Provisions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R.A.</w:t>
      </w:r>
      <w:r w:rsidR="00FE6B8B" w:rsidRPr="00A035D0">
        <w:t xml:space="preserve"> </w:t>
      </w:r>
      <w:r w:rsidR="0087402A" w:rsidRPr="00A035D0">
        <w:t>9262</w:t>
      </w:r>
    </w:p>
    <w:p w14:paraId="58BF8A2D" w14:textId="55F54A3D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Identifying</w:t>
      </w:r>
      <w:r w:rsidR="00FE6B8B" w:rsidRPr="00A035D0">
        <w:t xml:space="preserve"> </w:t>
      </w:r>
      <w:r w:rsidR="0087402A" w:rsidRPr="00A035D0">
        <w:t>signs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abuse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knowing</w:t>
      </w:r>
      <w:r w:rsidR="00FE6B8B" w:rsidRPr="00A035D0">
        <w:t xml:space="preserve"> </w:t>
      </w:r>
      <w:r w:rsidR="0087402A" w:rsidRPr="00A035D0">
        <w:t>what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do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violence</w:t>
      </w:r>
    </w:p>
    <w:p w14:paraId="4724B7CA" w14:textId="57078139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Positive</w:t>
      </w:r>
      <w:r w:rsidR="00FE6B8B" w:rsidRPr="00A035D0">
        <w:t xml:space="preserve"> </w:t>
      </w:r>
      <w:r w:rsidR="0087402A" w:rsidRPr="00A035D0">
        <w:t>masculinity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role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young</w:t>
      </w:r>
      <w:r w:rsidR="00FE6B8B" w:rsidRPr="00A035D0">
        <w:t xml:space="preserve"> </w:t>
      </w:r>
      <w:r w:rsidR="0087402A" w:rsidRPr="00A035D0">
        <w:t>boys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fighting</w:t>
      </w:r>
      <w:r w:rsidR="00FE6B8B" w:rsidRPr="00A035D0">
        <w:t xml:space="preserve"> </w:t>
      </w:r>
      <w:r w:rsidR="0087402A" w:rsidRPr="00A035D0">
        <w:t>VAW</w:t>
      </w:r>
    </w:p>
    <w:p w14:paraId="66AB993F" w14:textId="14608CD5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role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VAW-free</w:t>
      </w:r>
      <w:r w:rsidR="00FE6B8B" w:rsidRPr="00A035D0">
        <w:t xml:space="preserve"> </w:t>
      </w:r>
      <w:r w:rsidR="0087402A" w:rsidRPr="00A035D0">
        <w:t>community</w:t>
      </w:r>
    </w:p>
    <w:p w14:paraId="292F4C57" w14:textId="77777777" w:rsidR="00FE6B8B" w:rsidRPr="00A035D0" w:rsidRDefault="0087402A" w:rsidP="00BF16DB">
      <w:pPr>
        <w:pStyle w:val="H4G"/>
      </w:pPr>
      <w:r w:rsidRPr="00A035D0">
        <w:tab/>
      </w:r>
      <w:r w:rsidRPr="00A035D0">
        <w:tab/>
        <w:t>Development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Launching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new</w:t>
      </w:r>
      <w:r w:rsidR="00FE6B8B" w:rsidRPr="00A035D0">
        <w:t xml:space="preserve"> </w:t>
      </w:r>
      <w:r w:rsidRPr="00A035D0">
        <w:t>IEC</w:t>
      </w:r>
      <w:r w:rsidR="00FE6B8B" w:rsidRPr="00A035D0">
        <w:t xml:space="preserve"> </w:t>
      </w:r>
      <w:r w:rsidRPr="00A035D0">
        <w:t>materials</w:t>
      </w:r>
    </w:p>
    <w:p w14:paraId="3F736CBB" w14:textId="5BC44A3A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</w:t>
      </w:r>
      <w:r w:rsidR="00FE6B8B" w:rsidRPr="00A035D0">
        <w:t xml:space="preserve"> </w:t>
      </w:r>
      <w:r w:rsidR="0087402A" w:rsidRPr="00A035D0">
        <w:t>rapid</w:t>
      </w:r>
      <w:r w:rsidR="00FE6B8B" w:rsidRPr="00A035D0">
        <w:t xml:space="preserve"> </w:t>
      </w:r>
      <w:r w:rsidR="0087402A" w:rsidRPr="00A035D0">
        <w:t>review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existing</w:t>
      </w:r>
      <w:r w:rsidR="00FE6B8B" w:rsidRPr="00A035D0">
        <w:t xml:space="preserve"> </w:t>
      </w:r>
      <w:r w:rsidR="0087402A" w:rsidRPr="00A035D0">
        <w:t>information,</w:t>
      </w:r>
      <w:r w:rsidR="00FE6B8B" w:rsidRPr="00A035D0">
        <w:t xml:space="preserve"> </w:t>
      </w:r>
      <w:r w:rsidR="0087402A" w:rsidRPr="00A035D0">
        <w:t>education,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communication</w:t>
      </w:r>
      <w:r w:rsidR="00FE6B8B" w:rsidRPr="00A035D0">
        <w:t xml:space="preserve"> </w:t>
      </w:r>
      <w:r w:rsidR="0087402A" w:rsidRPr="00A035D0">
        <w:t>(IEC)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produced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IACVAWC</w:t>
      </w:r>
      <w:r w:rsidR="00FE6B8B" w:rsidRPr="00A035D0">
        <w:t xml:space="preserve"> </w:t>
      </w:r>
      <w:r w:rsidR="0087402A" w:rsidRPr="00A035D0">
        <w:t>member-agencies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last</w:t>
      </w:r>
      <w:r w:rsidR="00FE6B8B" w:rsidRPr="00A035D0">
        <w:t xml:space="preserve"> </w:t>
      </w:r>
      <w:r w:rsidR="0087402A" w:rsidRPr="00A035D0">
        <w:t>five</w:t>
      </w:r>
      <w:r w:rsidR="00FE6B8B" w:rsidRPr="00A035D0">
        <w:t xml:space="preserve"> </w:t>
      </w:r>
      <w:r w:rsidR="0087402A" w:rsidRPr="00A035D0">
        <w:t>years</w:t>
      </w:r>
      <w:r w:rsidR="00FE6B8B" w:rsidRPr="00A035D0">
        <w:t xml:space="preserve"> </w:t>
      </w:r>
      <w:r w:rsidR="0087402A" w:rsidRPr="00A035D0">
        <w:t>validate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lack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customized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specific</w:t>
      </w:r>
      <w:r w:rsidR="00FE6B8B" w:rsidRPr="00A035D0">
        <w:t xml:space="preserve"> </w:t>
      </w:r>
      <w:r w:rsidR="0087402A" w:rsidRPr="00A035D0">
        <w:t>audience</w:t>
      </w:r>
      <w:r w:rsidR="00FE6B8B" w:rsidRPr="00A035D0">
        <w:t xml:space="preserve"> </w:t>
      </w:r>
      <w:r w:rsidR="0087402A" w:rsidRPr="00A035D0">
        <w:t>segments.</w:t>
      </w:r>
      <w:r w:rsidR="00FE6B8B" w:rsidRPr="00A035D0">
        <w:t xml:space="preserve"> </w:t>
      </w:r>
      <w:r w:rsidR="0087402A" w:rsidRPr="00A035D0">
        <w:t>Based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NDHS</w:t>
      </w:r>
      <w:r w:rsidR="00FE6B8B" w:rsidRPr="00A035D0">
        <w:t xml:space="preserve"> </w:t>
      </w:r>
      <w:r w:rsidR="0087402A" w:rsidRPr="00A035D0">
        <w:t>2017,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34%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victim-survivors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abuse</w:t>
      </w:r>
      <w:r w:rsidR="00FE6B8B" w:rsidRPr="00A035D0">
        <w:t xml:space="preserve"> </w:t>
      </w:r>
      <w:r w:rsidR="0087402A" w:rsidRPr="00A035D0">
        <w:t>because</w:t>
      </w:r>
      <w:r w:rsidR="00FE6B8B" w:rsidRPr="00A035D0">
        <w:t xml:space="preserve"> </w:t>
      </w:r>
      <w:r w:rsidR="0087402A" w:rsidRPr="00A035D0">
        <w:t>most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afraid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repercussions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affect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families.</w:t>
      </w:r>
      <w:r w:rsidR="00FE6B8B" w:rsidRPr="00A035D0">
        <w:t xml:space="preserve"> </w:t>
      </w:r>
      <w:r w:rsidR="0087402A" w:rsidRPr="00A035D0">
        <w:t>Many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still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aware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available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programs,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institutions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them.</w:t>
      </w:r>
    </w:p>
    <w:p w14:paraId="061EB415" w14:textId="283D892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Given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lack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target-specific</w:t>
      </w:r>
      <w:r w:rsidR="00FE6B8B" w:rsidRPr="00A035D0">
        <w:t xml:space="preserve"> </w:t>
      </w:r>
      <w:r w:rsidR="0087402A" w:rsidRPr="00A035D0">
        <w:t>materials,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IACVAWC</w:t>
      </w:r>
      <w:r w:rsidR="00FE6B8B" w:rsidRPr="00A035D0">
        <w:t xml:space="preserve"> </w:t>
      </w:r>
      <w:r w:rsidR="0087402A" w:rsidRPr="00A035D0">
        <w:t>find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focus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primary</w:t>
      </w:r>
      <w:r w:rsidR="00FE6B8B" w:rsidRPr="00A035D0">
        <w:t xml:space="preserve"> </w:t>
      </w:r>
      <w:r w:rsidR="0087402A" w:rsidRPr="00A035D0">
        <w:t>target</w:t>
      </w:r>
      <w:r w:rsidR="00FE6B8B" w:rsidRPr="00A035D0">
        <w:t xml:space="preserve"> </w:t>
      </w:r>
      <w:r w:rsidR="0087402A" w:rsidRPr="00A035D0">
        <w:t>audience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IEC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2019.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IEC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intend</w:t>
      </w:r>
      <w:r w:rsidR="00FE6B8B" w:rsidRPr="00A035D0">
        <w:t xml:space="preserve"> </w:t>
      </w:r>
      <w:r w:rsidR="0087402A" w:rsidRPr="00A035D0">
        <w:t>to:</w:t>
      </w:r>
    </w:p>
    <w:p w14:paraId="23239303" w14:textId="77777777" w:rsidR="00FE6B8B" w:rsidRPr="00A035D0" w:rsidRDefault="00BF16DB" w:rsidP="00BF16DB">
      <w:pPr>
        <w:pStyle w:val="SingleTxtG"/>
      </w:pPr>
      <w:r w:rsidRPr="00A035D0">
        <w:tab/>
      </w:r>
      <w:r w:rsidR="0087402A" w:rsidRPr="00A035D0">
        <w:t>(a)</w:t>
      </w:r>
      <w:r w:rsidR="0087402A" w:rsidRPr="00A035D0">
        <w:tab/>
        <w:t>Build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young</w:t>
      </w:r>
      <w:r w:rsidR="00FE6B8B" w:rsidRPr="00A035D0">
        <w:t xml:space="preserve"> </w:t>
      </w:r>
      <w:r w:rsidR="0087402A" w:rsidRPr="00A035D0">
        <w:t>boys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young</w:t>
      </w:r>
      <w:r w:rsidR="00FE6B8B" w:rsidRPr="00A035D0">
        <w:t xml:space="preserve"> </w:t>
      </w:r>
      <w:r w:rsidR="0087402A" w:rsidRPr="00A035D0">
        <w:t>girls</w:t>
      </w:r>
      <w:r w:rsidR="00FE6B8B" w:rsidRPr="00A035D0">
        <w:t xml:space="preserve"> </w:t>
      </w:r>
      <w:r w:rsidR="0087402A" w:rsidRPr="00A035D0">
        <w:t>about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rights,</w:t>
      </w:r>
      <w:r w:rsidR="00FE6B8B" w:rsidRPr="00A035D0">
        <w:t xml:space="preserve"> </w:t>
      </w:r>
      <w:r w:rsidR="0087402A" w:rsidRPr="00A035D0">
        <w:t>positive</w:t>
      </w:r>
      <w:r w:rsidR="00FE6B8B" w:rsidRPr="00A035D0">
        <w:t xml:space="preserve"> </w:t>
      </w:r>
      <w:r w:rsidR="0087402A" w:rsidRPr="00A035D0">
        <w:t>involvement,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importance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seeking</w:t>
      </w:r>
      <w:r w:rsidR="00FE6B8B" w:rsidRPr="00A035D0">
        <w:t xml:space="preserve"> </w:t>
      </w:r>
      <w:r w:rsidR="0087402A" w:rsidRPr="00A035D0">
        <w:t>help;</w:t>
      </w:r>
    </w:p>
    <w:p w14:paraId="6F246A3E" w14:textId="77777777" w:rsidR="00FE6B8B" w:rsidRPr="00A035D0" w:rsidRDefault="00BF16DB" w:rsidP="00BF16DB">
      <w:pPr>
        <w:pStyle w:val="SingleTxtG"/>
      </w:pPr>
      <w:r w:rsidRPr="00A035D0">
        <w:tab/>
      </w:r>
      <w:r w:rsidR="0087402A" w:rsidRPr="00A035D0">
        <w:t>(b)</w:t>
      </w:r>
      <w:r w:rsidR="0087402A" w:rsidRPr="00A035D0">
        <w:tab/>
        <w:t>Reinforce</w:t>
      </w:r>
      <w:r w:rsidR="00FE6B8B" w:rsidRPr="00A035D0">
        <w:t xml:space="preserve"> </w:t>
      </w:r>
      <w:r w:rsidR="0087402A" w:rsidRPr="00A035D0">
        <w:t>positive</w:t>
      </w:r>
      <w:r w:rsidR="00FE6B8B" w:rsidRPr="00A035D0">
        <w:t xml:space="preserve"> </w:t>
      </w:r>
      <w:r w:rsidR="0087402A" w:rsidRPr="00A035D0">
        <w:t>masculinity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boys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empowerment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girls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relevant,</w:t>
      </w:r>
      <w:r w:rsidR="00FE6B8B" w:rsidRPr="00A035D0">
        <w:t xml:space="preserve"> </w:t>
      </w:r>
      <w:r w:rsidR="0087402A" w:rsidRPr="00A035D0">
        <w:t>relatable,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engaging</w:t>
      </w:r>
      <w:r w:rsidR="00FE6B8B" w:rsidRPr="00A035D0">
        <w:t xml:space="preserve"> </w:t>
      </w:r>
      <w:r w:rsidR="0087402A" w:rsidRPr="00A035D0">
        <w:t>content;</w:t>
      </w:r>
      <w:r w:rsidR="00FE6B8B" w:rsidRPr="00A035D0">
        <w:t xml:space="preserve"> </w:t>
      </w:r>
      <w:r w:rsidR="0087402A" w:rsidRPr="00A035D0">
        <w:t>and</w:t>
      </w:r>
    </w:p>
    <w:p w14:paraId="6B72A5CD" w14:textId="26CBAFCF" w:rsidR="0087402A" w:rsidRPr="00A035D0" w:rsidRDefault="00BF16DB" w:rsidP="00BF16DB">
      <w:pPr>
        <w:pStyle w:val="SingleTxtG"/>
      </w:pPr>
      <w:r w:rsidRPr="00A035D0">
        <w:tab/>
      </w:r>
      <w:r w:rsidR="0087402A" w:rsidRPr="00A035D0">
        <w:t>(c)</w:t>
      </w:r>
      <w:r w:rsidR="0087402A" w:rsidRPr="00A035D0">
        <w:tab/>
        <w:t>Inform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general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R.A.</w:t>
      </w:r>
      <w:r w:rsidR="00FE6B8B" w:rsidRPr="00A035D0">
        <w:t xml:space="preserve"> </w:t>
      </w:r>
      <w:r w:rsidR="0087402A" w:rsidRPr="00A035D0">
        <w:t>9262.</w:t>
      </w:r>
    </w:p>
    <w:p w14:paraId="7C7E743E" w14:textId="5BF384E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effectively</w:t>
      </w:r>
      <w:r w:rsidR="00FE6B8B" w:rsidRPr="00A035D0">
        <w:t xml:space="preserve"> </w:t>
      </w:r>
      <w:r w:rsidR="0087402A" w:rsidRPr="00A035D0">
        <w:t>execute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materials,</w:t>
      </w:r>
      <w:r w:rsidR="00FE6B8B" w:rsidRPr="00A035D0">
        <w:t xml:space="preserve"> </w:t>
      </w:r>
      <w:r w:rsidR="0087402A" w:rsidRPr="00A035D0">
        <w:t>IACVAWC</w:t>
      </w:r>
      <w:r w:rsidR="00FE6B8B" w:rsidRPr="00A035D0">
        <w:t xml:space="preserve"> </w:t>
      </w:r>
      <w:r w:rsidR="0087402A" w:rsidRPr="00A035D0">
        <w:t>engaged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Adrow</w:t>
      </w:r>
      <w:r w:rsidR="00FE6B8B" w:rsidRPr="00A035D0">
        <w:t xml:space="preserve"> </w:t>
      </w:r>
      <w:r w:rsidR="0087402A" w:rsidRPr="00A035D0">
        <w:t>Creatives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conceptualize,</w:t>
      </w:r>
      <w:r w:rsidR="00FE6B8B" w:rsidRPr="00A035D0">
        <w:t xml:space="preserve"> </w:t>
      </w:r>
      <w:r w:rsidR="0087402A" w:rsidRPr="00A035D0">
        <w:t>design,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produce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effective</w:t>
      </w:r>
      <w:r w:rsidR="00FE6B8B" w:rsidRPr="00A035D0">
        <w:t xml:space="preserve"> </w:t>
      </w:r>
      <w:r w:rsidR="0087402A" w:rsidRPr="00A035D0">
        <w:t>IEC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forms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videos,</w:t>
      </w:r>
      <w:r w:rsidR="00FE6B8B" w:rsidRPr="00A035D0">
        <w:t xml:space="preserve"> </w:t>
      </w:r>
      <w:r w:rsidR="0087402A" w:rsidRPr="00A035D0">
        <w:t>posters,</w:t>
      </w:r>
      <w:r w:rsidR="00FE6B8B" w:rsidRPr="00A035D0">
        <w:t xml:space="preserve"> </w:t>
      </w:r>
      <w:r w:rsidR="0087402A" w:rsidRPr="00A035D0">
        <w:t>stickers,</w:t>
      </w:r>
      <w:r w:rsidR="00FE6B8B" w:rsidRPr="00A035D0">
        <w:t xml:space="preserve"> </w:t>
      </w:r>
      <w:r w:rsidR="0087402A" w:rsidRPr="00A035D0">
        <w:t>brochures,</w:t>
      </w:r>
      <w:r w:rsidR="00FE6B8B" w:rsidRPr="00A035D0">
        <w:t xml:space="preserve"> </w:t>
      </w:r>
      <w:r w:rsidR="0087402A" w:rsidRPr="00A035D0">
        <w:t>tarpaulins,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media</w:t>
      </w:r>
      <w:r w:rsidR="00FE6B8B" w:rsidRPr="00A035D0">
        <w:t xml:space="preserve"> </w:t>
      </w:r>
      <w:r w:rsidR="0087402A" w:rsidRPr="00A035D0">
        <w:t>materials.</w:t>
      </w:r>
    </w:p>
    <w:p w14:paraId="12302EFA" w14:textId="60EC152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IEC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launched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Forum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last</w:t>
      </w:r>
      <w:r w:rsidR="00FE6B8B" w:rsidRPr="00A035D0">
        <w:t xml:space="preserve"> </w:t>
      </w:r>
      <w:r w:rsidR="0087402A" w:rsidRPr="00A035D0">
        <w:t>November</w:t>
      </w:r>
      <w:r w:rsidR="00FE6B8B" w:rsidRPr="00A035D0">
        <w:t xml:space="preserve"> </w:t>
      </w:r>
      <w:r w:rsidR="0087402A" w:rsidRPr="00A035D0">
        <w:t>25,</w:t>
      </w:r>
      <w:r w:rsidR="00FE6B8B" w:rsidRPr="00A035D0">
        <w:t xml:space="preserve"> </w:t>
      </w:r>
      <w:r w:rsidR="0087402A" w:rsidRPr="00A035D0">
        <w:t>2019.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deemed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launch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event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participants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primary</w:t>
      </w:r>
      <w:r w:rsidR="00FE6B8B" w:rsidRPr="00A035D0">
        <w:t xml:space="preserve"> </w:t>
      </w:r>
      <w:r w:rsidR="0087402A" w:rsidRPr="00A035D0">
        <w:t>target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IEC</w:t>
      </w:r>
      <w:r w:rsidR="00FE6B8B" w:rsidRPr="00A035D0">
        <w:t xml:space="preserve"> </w:t>
      </w:r>
      <w:r w:rsidR="0087402A" w:rsidRPr="00A035D0">
        <w:t>materials.</w:t>
      </w:r>
    </w:p>
    <w:p w14:paraId="5D86F832" w14:textId="2C3DC78E" w:rsidR="0087402A" w:rsidRPr="00A035D0" w:rsidRDefault="0087402A" w:rsidP="00BF16DB">
      <w:pPr>
        <w:pStyle w:val="H4G"/>
      </w:pPr>
      <w:r w:rsidRPr="00A035D0">
        <w:tab/>
      </w:r>
      <w:r w:rsidRPr="00A035D0">
        <w:tab/>
        <w:t>Cine</w:t>
      </w:r>
      <w:r w:rsidR="00FE6B8B" w:rsidRPr="00A035D0">
        <w:t xml:space="preserve"> </w:t>
      </w:r>
      <w:r w:rsidRPr="00A035D0">
        <w:t>Juana</w:t>
      </w:r>
      <w:r w:rsidR="00FE6B8B" w:rsidRPr="00A035D0">
        <w:t xml:space="preserve"> </w:t>
      </w:r>
      <w:r w:rsidRPr="00A035D0">
        <w:t>Digital</w:t>
      </w:r>
      <w:r w:rsidR="00FE6B8B" w:rsidRPr="00A035D0">
        <w:t xml:space="preserve"> </w:t>
      </w:r>
      <w:r w:rsidRPr="00A035D0">
        <w:t>Shorts</w:t>
      </w:r>
      <w:r w:rsidR="00FE6B8B" w:rsidRPr="00A035D0">
        <w:t xml:space="preserve"> </w:t>
      </w:r>
      <w:r w:rsidRPr="00A035D0">
        <w:t>Competition</w:t>
      </w:r>
    </w:p>
    <w:p w14:paraId="1DEC8C07" w14:textId="3F4F513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competition</w:t>
      </w:r>
      <w:r w:rsidR="00FE6B8B" w:rsidRPr="00A035D0">
        <w:t xml:space="preserve"> </w:t>
      </w:r>
      <w:r w:rsidR="0087402A" w:rsidRPr="00A035D0">
        <w:t>recognizes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power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film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raising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inspiring</w:t>
      </w:r>
      <w:r w:rsidR="00FE6B8B" w:rsidRPr="00A035D0">
        <w:t xml:space="preserve"> </w:t>
      </w:r>
      <w:r w:rsidR="0087402A" w:rsidRPr="00A035D0">
        <w:t>actions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especially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school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college</w:t>
      </w:r>
      <w:r w:rsidR="00FE6B8B" w:rsidRPr="00A035D0">
        <w:t xml:space="preserve"> </w:t>
      </w:r>
      <w:r w:rsidR="0087402A" w:rsidRPr="00A035D0">
        <w:t>students.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PCW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fifty-four</w:t>
      </w:r>
      <w:r w:rsidR="00FE6B8B" w:rsidRPr="00A035D0">
        <w:t xml:space="preserve"> </w:t>
      </w:r>
      <w:r w:rsidR="0087402A" w:rsidRPr="00A035D0">
        <w:t>(54)</w:t>
      </w:r>
      <w:r w:rsidR="00FE6B8B" w:rsidRPr="00A035D0">
        <w:t xml:space="preserve"> </w:t>
      </w:r>
      <w:r w:rsidR="0087402A" w:rsidRPr="00A035D0">
        <w:t>entries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parts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categories:</w:t>
      </w:r>
      <w:r w:rsidR="00FE6B8B" w:rsidRPr="00A035D0">
        <w:t xml:space="preserve"> </w:t>
      </w:r>
      <w:r w:rsidR="0087402A" w:rsidRPr="00A035D0">
        <w:t>#JuanParaKayJuana</w:t>
      </w:r>
      <w:r w:rsidR="00FE6B8B" w:rsidRPr="00A035D0">
        <w:t xml:space="preserve"> </w:t>
      </w:r>
      <w:r w:rsidR="0087402A" w:rsidRPr="00A035D0">
        <w:t>(Juan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Juana),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highlights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role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boys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reducing</w:t>
      </w:r>
      <w:r w:rsidR="00FE6B8B" w:rsidRPr="00A035D0">
        <w:t xml:space="preserve"> </w:t>
      </w:r>
      <w:r w:rsidR="0087402A" w:rsidRPr="00A035D0">
        <w:lastRenderedPageBreak/>
        <w:t>VAW;</w:t>
      </w:r>
      <w:r w:rsidR="00FE6B8B" w:rsidRPr="00A035D0">
        <w:t xml:space="preserve"> </w:t>
      </w:r>
      <w:r w:rsidR="0087402A" w:rsidRPr="00A035D0">
        <w:t>#LabanJuana</w:t>
      </w:r>
      <w:r w:rsidR="00FE6B8B" w:rsidRPr="00A035D0">
        <w:t xml:space="preserve"> </w:t>
      </w:r>
      <w:r w:rsidR="0087402A" w:rsidRPr="00A035D0">
        <w:t>(Fight</w:t>
      </w:r>
      <w:r w:rsidR="00FE6B8B" w:rsidRPr="00A035D0">
        <w:t xml:space="preserve"> </w:t>
      </w:r>
      <w:r w:rsidR="0087402A" w:rsidRPr="00A035D0">
        <w:t>Juana),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features</w:t>
      </w:r>
      <w:r w:rsidR="00FE6B8B" w:rsidRPr="00A035D0">
        <w:t xml:space="preserve"> </w:t>
      </w:r>
      <w:r w:rsidR="0087402A" w:rsidRPr="00A035D0">
        <w:t>empowering</w:t>
      </w:r>
      <w:r w:rsidR="00FE6B8B" w:rsidRPr="00A035D0">
        <w:t xml:space="preserve"> </w:t>
      </w:r>
      <w:r w:rsidR="0087402A" w:rsidRPr="00A035D0">
        <w:t>stories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encourage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seek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break</w:t>
      </w:r>
      <w:r w:rsidR="00FE6B8B" w:rsidRPr="00A035D0">
        <w:t xml:space="preserve"> </w:t>
      </w:r>
      <w:r w:rsidR="0087402A" w:rsidRPr="00A035D0">
        <w:t>free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cycle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violence;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#LigtasJuana</w:t>
      </w:r>
      <w:r w:rsidR="00FE6B8B" w:rsidRPr="00A035D0">
        <w:t xml:space="preserve"> </w:t>
      </w:r>
      <w:r w:rsidR="0087402A" w:rsidRPr="00A035D0">
        <w:t>(Safe</w:t>
      </w:r>
      <w:r w:rsidR="00FE6B8B" w:rsidRPr="00A035D0">
        <w:t xml:space="preserve"> </w:t>
      </w:r>
      <w:r w:rsidR="0087402A" w:rsidRPr="00A035D0">
        <w:t>Juana),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focuses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important</w:t>
      </w:r>
      <w:r w:rsidR="00FE6B8B" w:rsidRPr="00A035D0">
        <w:t xml:space="preserve"> </w:t>
      </w:r>
      <w:r w:rsidR="0087402A" w:rsidRPr="00A035D0">
        <w:t>provisions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Safe</w:t>
      </w:r>
      <w:r w:rsidR="00FE6B8B" w:rsidRPr="00A035D0">
        <w:t xml:space="preserve"> </w:t>
      </w:r>
      <w:r w:rsidR="0087402A" w:rsidRPr="00A035D0">
        <w:t>Spaces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11313).</w:t>
      </w:r>
    </w:p>
    <w:p w14:paraId="686CC46A" w14:textId="77777777" w:rsidR="00FE6B8B" w:rsidRPr="00A035D0" w:rsidRDefault="0087402A" w:rsidP="008350CC">
      <w:pPr>
        <w:pStyle w:val="H4G"/>
      </w:pPr>
      <w:r w:rsidRPr="00A035D0">
        <w:tab/>
      </w:r>
      <w:r w:rsidRPr="00A035D0">
        <w:tab/>
        <w:t>Anti-VAW</w:t>
      </w:r>
      <w:r w:rsidR="00FE6B8B" w:rsidRPr="00A035D0">
        <w:t xml:space="preserve"> </w:t>
      </w:r>
      <w:r w:rsidRPr="00A035D0">
        <w:t>Expo</w:t>
      </w:r>
    </w:p>
    <w:p w14:paraId="439CBDAE" w14:textId="26705A92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major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three-day</w:t>
      </w:r>
      <w:r w:rsidR="00FE6B8B" w:rsidRPr="00A035D0">
        <w:t xml:space="preserve"> </w:t>
      </w:r>
      <w:r w:rsidR="0087402A" w:rsidRPr="00A035D0">
        <w:t>Anti</w:t>
      </w:r>
      <w:r w:rsidR="00FE6B8B" w:rsidRPr="00A035D0">
        <w:t>-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expo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held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November</w:t>
      </w:r>
      <w:r w:rsidR="00FE6B8B" w:rsidRPr="00A035D0">
        <w:t xml:space="preserve"> </w:t>
      </w:r>
      <w:r w:rsidR="0087402A" w:rsidRPr="00A035D0">
        <w:t>27</w:t>
      </w:r>
      <w:r w:rsidR="00FE6B8B" w:rsidRPr="00A035D0">
        <w:t>–</w:t>
      </w:r>
      <w:r w:rsidR="0087402A" w:rsidRPr="00A035D0">
        <w:t>29,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University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Diliman.</w:t>
      </w:r>
      <w:r w:rsidR="00FE6B8B" w:rsidRPr="00A035D0">
        <w:t xml:space="preserve"> </w:t>
      </w:r>
      <w:r w:rsidR="0087402A" w:rsidRPr="00A035D0">
        <w:t>Attendees</w:t>
      </w:r>
      <w:r w:rsidR="00FE6B8B" w:rsidRPr="00A035D0">
        <w:t xml:space="preserve"> </w:t>
      </w:r>
      <w:r w:rsidR="0087402A" w:rsidRPr="00A035D0">
        <w:t>participated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five</w:t>
      </w:r>
      <w:r w:rsidR="00FE6B8B" w:rsidRPr="00A035D0">
        <w:t xml:space="preserve"> </w:t>
      </w:r>
      <w:r w:rsidR="0087402A" w:rsidRPr="00A035D0">
        <w:t>interactive</w:t>
      </w:r>
      <w:r w:rsidR="00FE6B8B" w:rsidRPr="00A035D0">
        <w:t xml:space="preserve"> </w:t>
      </w:r>
      <w:r w:rsidR="0087402A" w:rsidRPr="00A035D0">
        <w:t>booths</w:t>
      </w:r>
      <w:r w:rsidR="00FE6B8B" w:rsidRPr="00A035D0">
        <w:t xml:space="preserve"> </w:t>
      </w:r>
      <w:r w:rsidR="0087402A" w:rsidRPr="00A035D0">
        <w:t>aimed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raising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anti-VAW</w:t>
      </w:r>
      <w:r w:rsidR="00FE6B8B" w:rsidRPr="00A035D0">
        <w:t xml:space="preserve"> </w:t>
      </w:r>
      <w:r w:rsidR="0087402A" w:rsidRPr="00A035D0">
        <w:t>laws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encouraged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commit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promoting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VAW-free</w:t>
      </w:r>
      <w:r w:rsidR="00FE6B8B" w:rsidRPr="00A035D0">
        <w:t xml:space="preserve"> </w:t>
      </w:r>
      <w:r w:rsidR="0087402A" w:rsidRPr="00A035D0">
        <w:t>Philippines.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309</w:t>
      </w:r>
      <w:r w:rsidR="00FE6B8B" w:rsidRPr="00A035D0">
        <w:t xml:space="preserve"> </w:t>
      </w:r>
      <w:r w:rsidR="0087402A" w:rsidRPr="00A035D0">
        <w:t>participants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agencies,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visited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Expo.</w:t>
      </w:r>
    </w:p>
    <w:p w14:paraId="519C5F74" w14:textId="2FB81224" w:rsidR="0087402A" w:rsidRPr="00A035D0" w:rsidRDefault="0087402A" w:rsidP="008350CC">
      <w:pPr>
        <w:pStyle w:val="H4G"/>
      </w:pPr>
      <w:r w:rsidRPr="00A035D0">
        <w:tab/>
      </w:r>
      <w:r w:rsidRPr="00A035D0">
        <w:tab/>
        <w:t>Solidarity</w:t>
      </w:r>
      <w:r w:rsidR="00FE6B8B" w:rsidRPr="00A035D0">
        <w:t xml:space="preserve"> </w:t>
      </w:r>
      <w:r w:rsidRPr="00A035D0">
        <w:t>Walk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End</w:t>
      </w:r>
      <w:r w:rsidR="00FE6B8B" w:rsidRPr="00A035D0">
        <w:t xml:space="preserve"> </w:t>
      </w:r>
      <w:r w:rsidRPr="00A035D0">
        <w:t>VAW</w:t>
      </w:r>
    </w:p>
    <w:p w14:paraId="7706CA84" w14:textId="5B1DEF4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Solidarity</w:t>
      </w:r>
      <w:r w:rsidR="00FE6B8B" w:rsidRPr="00A035D0">
        <w:t xml:space="preserve"> </w:t>
      </w:r>
      <w:r w:rsidR="0087402A" w:rsidRPr="00A035D0">
        <w:t>Walk</w:t>
      </w:r>
      <w:r w:rsidR="00FE6B8B" w:rsidRPr="00A035D0">
        <w:t xml:space="preserve"> </w:t>
      </w:r>
      <w:r w:rsidR="0087402A" w:rsidRPr="00A035D0">
        <w:t>served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closing</w:t>
      </w:r>
      <w:r w:rsidR="00FE6B8B" w:rsidRPr="00A035D0">
        <w:t xml:space="preserve"> </w:t>
      </w:r>
      <w:r w:rsidR="0087402A" w:rsidRPr="00A035D0">
        <w:t>activity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observance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18-Day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hosted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DND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AFP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cooperation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PCW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MOVE</w:t>
      </w:r>
      <w:r w:rsidR="00FE6B8B" w:rsidRPr="00A035D0">
        <w:t xml:space="preserve"> </w:t>
      </w:r>
      <w:r w:rsidR="0087402A" w:rsidRPr="00A035D0">
        <w:t>(Men</w:t>
      </w:r>
      <w:r w:rsidR="00FE6B8B" w:rsidRPr="00A035D0">
        <w:t xml:space="preserve"> </w:t>
      </w:r>
      <w:r w:rsidR="0087402A" w:rsidRPr="00A035D0">
        <w:t>Opposed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Everywhere)</w:t>
      </w:r>
      <w:r w:rsidR="00FE6B8B" w:rsidRPr="00A035D0">
        <w:t xml:space="preserve"> </w:t>
      </w:r>
      <w:r w:rsidR="0087402A" w:rsidRPr="00A035D0">
        <w:t>Philippines.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919</w:t>
      </w:r>
      <w:r w:rsidR="00FE6B8B" w:rsidRPr="00A035D0">
        <w:t xml:space="preserve"> </w:t>
      </w:r>
      <w:r w:rsidR="0087402A" w:rsidRPr="00A035D0">
        <w:t>individuals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41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participated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walked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3-KM</w:t>
      </w:r>
      <w:r w:rsidR="00FE6B8B" w:rsidRPr="00A035D0">
        <w:t xml:space="preserve"> </w:t>
      </w:r>
      <w:r w:rsidR="0087402A" w:rsidRPr="00A035D0">
        <w:t>route.</w:t>
      </w:r>
    </w:p>
    <w:p w14:paraId="0D56C0CA" w14:textId="76F61F5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Dubbed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“</w:t>
      </w:r>
      <w:r w:rsidR="0087402A" w:rsidRPr="00A035D0">
        <w:t>Kilos</w:t>
      </w:r>
      <w:r w:rsidR="00FE6B8B" w:rsidRPr="00A035D0">
        <w:t xml:space="preserve"> </w:t>
      </w:r>
      <w:r w:rsidR="0087402A" w:rsidRPr="00A035D0">
        <w:t>Lakad:</w:t>
      </w:r>
      <w:r w:rsidR="00FE6B8B" w:rsidRPr="00A035D0">
        <w:t xml:space="preserve"> </w:t>
      </w:r>
      <w:r w:rsidR="0087402A" w:rsidRPr="00A035D0">
        <w:t>Wakasan</w:t>
      </w:r>
      <w:r w:rsidR="00FE6B8B" w:rsidRPr="00A035D0">
        <w:t xml:space="preserve"> </w:t>
      </w:r>
      <w:r w:rsidR="0087402A" w:rsidRPr="00A035D0">
        <w:t>ang</w:t>
      </w:r>
      <w:r w:rsidR="00FE6B8B" w:rsidRPr="00A035D0">
        <w:t xml:space="preserve"> </w:t>
      </w:r>
      <w:r w:rsidR="0087402A" w:rsidRPr="00A035D0">
        <w:t>Karahasan</w:t>
      </w:r>
      <w:r w:rsidR="00FE6B8B" w:rsidRPr="00A035D0">
        <w:t xml:space="preserve"> </w:t>
      </w:r>
      <w:r w:rsidR="0087402A" w:rsidRPr="00A035D0">
        <w:t>sa</w:t>
      </w:r>
      <w:r w:rsidR="00FE6B8B" w:rsidRPr="00A035D0">
        <w:t xml:space="preserve"> </w:t>
      </w:r>
      <w:r w:rsidR="0087402A" w:rsidRPr="00A035D0">
        <w:t>Kababaihan</w:t>
      </w:r>
      <w:r w:rsidR="00FE6B8B" w:rsidRPr="00A035D0">
        <w:t xml:space="preserve">” </w:t>
      </w:r>
      <w:r w:rsidR="0087402A" w:rsidRPr="00A035D0">
        <w:t>(Move</w:t>
      </w:r>
      <w:r w:rsidR="00FE6B8B" w:rsidRPr="00A035D0">
        <w:t xml:space="preserve"> </w:t>
      </w:r>
      <w:r w:rsidR="0087402A" w:rsidRPr="00A035D0">
        <w:t>Walk: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Women),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solidarity</w:t>
      </w:r>
      <w:r w:rsidR="00FE6B8B" w:rsidRPr="00A035D0">
        <w:t xml:space="preserve"> </w:t>
      </w:r>
      <w:r w:rsidR="0087402A" w:rsidRPr="00A035D0">
        <w:t>walk</w:t>
      </w:r>
      <w:r w:rsidR="00FE6B8B" w:rsidRPr="00A035D0">
        <w:t xml:space="preserve"> </w:t>
      </w:r>
      <w:r w:rsidR="0087402A" w:rsidRPr="00A035D0">
        <w:t>highlighted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role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problem.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walk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aimed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raise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anti-VAWC</w:t>
      </w:r>
      <w:r w:rsidR="00FE6B8B" w:rsidRPr="00A035D0">
        <w:t xml:space="preserve"> </w:t>
      </w:r>
      <w:r w:rsidR="0087402A" w:rsidRPr="00A035D0">
        <w:t>advocacy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showcase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solidarity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defense</w:t>
      </w:r>
      <w:r w:rsidR="00FE6B8B" w:rsidRPr="00A035D0">
        <w:t xml:space="preserve"> </w:t>
      </w:r>
      <w:r w:rsidR="0087402A" w:rsidRPr="00A035D0">
        <w:t>forces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fighting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forms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VAWC.</w:t>
      </w:r>
    </w:p>
    <w:p w14:paraId="7FC0821B" w14:textId="6F258470" w:rsidR="0087402A" w:rsidRPr="00A035D0" w:rsidRDefault="0087402A" w:rsidP="008350CC">
      <w:pPr>
        <w:pStyle w:val="H4G"/>
      </w:pPr>
      <w:r w:rsidRPr="00A035D0">
        <w:tab/>
      </w:r>
      <w:r w:rsidRPr="00A035D0">
        <w:tab/>
        <w:t>National</w:t>
      </w:r>
      <w:r w:rsidR="00FE6B8B" w:rsidRPr="00A035D0">
        <w:t xml:space="preserve"> </w:t>
      </w:r>
      <w:r w:rsidRPr="00A035D0">
        <w:t>Mapping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Available</w:t>
      </w:r>
      <w:r w:rsidR="00FE6B8B" w:rsidRPr="00A035D0">
        <w:t xml:space="preserve"> </w:t>
      </w:r>
      <w:r w:rsidRPr="00A035D0">
        <w:t>VAW</w:t>
      </w:r>
      <w:r w:rsidR="00FE6B8B" w:rsidRPr="00A035D0">
        <w:t xml:space="preserve"> </w:t>
      </w:r>
      <w:r w:rsidRPr="00A035D0">
        <w:t>Services</w:t>
      </w:r>
    </w:p>
    <w:p w14:paraId="20CF9214" w14:textId="04ACDF10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IACVAWC</w:t>
      </w:r>
      <w:r w:rsidR="00FE6B8B" w:rsidRPr="00A035D0">
        <w:t xml:space="preserve"> </w:t>
      </w:r>
      <w:r w:rsidR="0087402A" w:rsidRPr="00A035D0">
        <w:t>Secretariat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conducting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mapping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key</w:t>
      </w:r>
      <w:r w:rsidR="00FE6B8B" w:rsidRPr="00A035D0">
        <w:t xml:space="preserve"> </w:t>
      </w:r>
      <w:r w:rsidR="0087402A" w:rsidRPr="00A035D0">
        <w:t>component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establishment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well-coordinated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Referral</w:t>
      </w:r>
      <w:r w:rsidR="00FE6B8B" w:rsidRPr="00A035D0">
        <w:t xml:space="preserve"> </w:t>
      </w:r>
      <w:r w:rsidR="0087402A" w:rsidRPr="00A035D0">
        <w:t>System.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Directory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produced</w:t>
      </w:r>
      <w:r w:rsidR="00FE6B8B" w:rsidRPr="00A035D0">
        <w:t xml:space="preserve"> </w:t>
      </w:r>
      <w:r w:rsidR="0087402A" w:rsidRPr="00A035D0">
        <w:t>(provincial,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municipality)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reflect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available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victim-survivors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government,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sector,</w:t>
      </w:r>
      <w:r w:rsidR="00FE6B8B" w:rsidRPr="00A035D0">
        <w:t xml:space="preserve"> </w:t>
      </w:r>
      <w:r w:rsidR="0087402A" w:rsidRPr="00A035D0">
        <w:t>faith-based</w:t>
      </w:r>
      <w:r w:rsidR="00FE6B8B" w:rsidRPr="00A035D0">
        <w:t xml:space="preserve"> </w:t>
      </w:r>
      <w:r w:rsidR="0087402A" w:rsidRPr="00A035D0">
        <w:t>organizations,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non-government</w:t>
      </w:r>
      <w:r w:rsidR="00FE6B8B" w:rsidRPr="00A035D0">
        <w:t xml:space="preserve"> </w:t>
      </w:r>
      <w:r w:rsidR="0087402A" w:rsidRPr="00A035D0">
        <w:t>organizations.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serve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source</w:t>
      </w:r>
      <w:r w:rsidR="00FE6B8B" w:rsidRPr="00A035D0">
        <w:t xml:space="preserve"> </w:t>
      </w:r>
      <w:r w:rsidR="0087402A" w:rsidRPr="00A035D0">
        <w:t>document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concerned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use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referring</w:t>
      </w:r>
      <w:r w:rsidR="00FE6B8B" w:rsidRPr="00A035D0">
        <w:t xml:space="preserve"> </w:t>
      </w:r>
      <w:r w:rsidR="0087402A" w:rsidRPr="00A035D0">
        <w:t>VAW</w:t>
      </w:r>
      <w:r w:rsidR="00FE6B8B" w:rsidRPr="00A035D0">
        <w:t xml:space="preserve"> </w:t>
      </w:r>
      <w:r w:rsidR="0087402A" w:rsidRPr="00A035D0">
        <w:t>victim-survivors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institutions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assistance.</w:t>
      </w:r>
    </w:p>
    <w:p w14:paraId="349C503B" w14:textId="137182A0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IACVAWC</w:t>
      </w:r>
      <w:r w:rsidR="00FE6B8B" w:rsidRPr="00A035D0">
        <w:t xml:space="preserve"> </w:t>
      </w:r>
      <w:r w:rsidR="0087402A" w:rsidRPr="00A035D0">
        <w:t>Secretariat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coordination</w:t>
      </w:r>
      <w:r w:rsidR="00FE6B8B" w:rsidRPr="00A035D0">
        <w:t xml:space="preserve"> </w:t>
      </w:r>
      <w:r w:rsidR="0087402A" w:rsidRPr="00A035D0">
        <w:t>meetings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(LCAT-VAWC)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representatives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provincial</w:t>
      </w:r>
      <w:r w:rsidR="00FE6B8B" w:rsidRPr="00A035D0">
        <w:t xml:space="preserve"> </w:t>
      </w:r>
      <w:r w:rsidR="0087402A" w:rsidRPr="00A035D0">
        <w:t>GAD</w:t>
      </w:r>
      <w:r w:rsidR="00FE6B8B" w:rsidRPr="00A035D0">
        <w:t xml:space="preserve"> </w:t>
      </w:r>
      <w:r w:rsidR="0087402A" w:rsidRPr="00A035D0">
        <w:t>Focal</w:t>
      </w:r>
      <w:r w:rsidR="00FE6B8B" w:rsidRPr="00A035D0">
        <w:t xml:space="preserve"> </w:t>
      </w:r>
      <w:r w:rsidR="0087402A" w:rsidRPr="00A035D0">
        <w:t>Points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27</w:t>
      </w:r>
      <w:r w:rsidR="00FE6B8B" w:rsidRPr="00A035D0">
        <w:t xml:space="preserve"> </w:t>
      </w:r>
      <w:r w:rsidR="0087402A" w:rsidRPr="00A035D0">
        <w:t>provinces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14</w:t>
      </w:r>
      <w:r w:rsidR="00FE6B8B" w:rsidRPr="00A035D0">
        <w:t xml:space="preserve"> </w:t>
      </w:r>
      <w:r w:rsidR="0087402A" w:rsidRPr="00A035D0">
        <w:t>highly</w:t>
      </w:r>
      <w:r w:rsidR="00FE6B8B" w:rsidRPr="00A035D0">
        <w:t xml:space="preserve"> </w:t>
      </w:r>
      <w:r w:rsidR="0087402A" w:rsidRPr="00A035D0">
        <w:t>urbanized</w:t>
      </w:r>
      <w:r w:rsidR="00FE6B8B" w:rsidRPr="00A035D0">
        <w:t xml:space="preserve"> </w:t>
      </w:r>
      <w:r w:rsidR="0087402A" w:rsidRPr="00A035D0">
        <w:t>cities</w:t>
      </w:r>
      <w:r w:rsidR="00FE6B8B" w:rsidRPr="00A035D0">
        <w:t xml:space="preserve"> </w:t>
      </w:r>
      <w:r w:rsidR="0087402A" w:rsidRPr="00A035D0">
        <w:t>(HUCs).</w:t>
      </w:r>
      <w:r w:rsidR="0087402A" w:rsidRPr="00A035D0">
        <w:rPr>
          <w:rStyle w:val="FootnoteReference"/>
        </w:rPr>
        <w:footnoteReference w:id="10"/>
      </w:r>
    </w:p>
    <w:p w14:paraId="0DD60574" w14:textId="77777777" w:rsidR="00FE6B8B" w:rsidRPr="00A035D0" w:rsidRDefault="0087402A" w:rsidP="008350CC">
      <w:pPr>
        <w:pStyle w:val="H1G"/>
      </w:pPr>
      <w:r w:rsidRPr="00A035D0">
        <w:tab/>
      </w:r>
      <w:r w:rsidRPr="00A035D0">
        <w:tab/>
        <w:t>Reproductive</w:t>
      </w:r>
      <w:r w:rsidR="00FE6B8B" w:rsidRPr="00A035D0">
        <w:t xml:space="preserve"> </w:t>
      </w:r>
      <w:r w:rsidRPr="00A035D0">
        <w:t>health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6,</w:t>
      </w:r>
      <w:r w:rsidR="00FE6B8B" w:rsidRPr="00A035D0">
        <w:t xml:space="preserve"> </w:t>
      </w:r>
      <w:r w:rsidRPr="00A035D0">
        <w:t>7,</w:t>
      </w:r>
      <w:r w:rsidR="00FE6B8B" w:rsidRPr="00A035D0">
        <w:t xml:space="preserve"> </w:t>
      </w:r>
      <w:r w:rsidRPr="00A035D0">
        <w:t>17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26)</w:t>
      </w:r>
    </w:p>
    <w:p w14:paraId="6A170A53" w14:textId="6BBEB296" w:rsidR="0087402A" w:rsidRPr="00A035D0" w:rsidRDefault="0087402A" w:rsidP="008350CC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9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0F3F390" w14:textId="1E007AB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State,</w:t>
      </w:r>
      <w:r w:rsidR="00FE6B8B" w:rsidRPr="00A035D0">
        <w:t xml:space="preserve"> </w:t>
      </w:r>
      <w:r w:rsidR="0087402A" w:rsidRPr="00A035D0">
        <w:t>valuing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importance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accessible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safe</w:t>
      </w:r>
      <w:r w:rsidR="00FE6B8B" w:rsidRPr="00A035D0">
        <w:t xml:space="preserve"> </w:t>
      </w:r>
      <w:r w:rsidR="0087402A" w:rsidRPr="00A035D0">
        <w:t>reproductive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adopted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policies:</w:t>
      </w:r>
    </w:p>
    <w:p w14:paraId="063009F8" w14:textId="77777777" w:rsidR="00FE6B8B" w:rsidRPr="00A035D0" w:rsidRDefault="008350CC" w:rsidP="008350CC">
      <w:pPr>
        <w:pStyle w:val="SingleTxtG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I.</w:t>
      </w:r>
      <w:r w:rsidR="0087402A" w:rsidRPr="00A035D0">
        <w:rPr>
          <w:highlight w:val="white"/>
        </w:rPr>
        <w:tab/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enactment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Universal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2018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assures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access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women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girls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including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sexual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(SRH)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these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automatically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covered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under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National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Insurance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Program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(NHIP).</w:t>
      </w:r>
    </w:p>
    <w:p w14:paraId="44DD2443" w14:textId="669BE86A" w:rsidR="0087402A" w:rsidRPr="00A035D0" w:rsidRDefault="008350CC" w:rsidP="008350CC">
      <w:pPr>
        <w:pStyle w:val="SingleTxtG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II.</w:t>
      </w:r>
      <w:r w:rsidR="0087402A" w:rsidRPr="00A035D0">
        <w:rPr>
          <w:highlight w:val="white"/>
        </w:rPr>
        <w:tab/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Magna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Carta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Women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2009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(RA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9710)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Responsible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Parenthood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2012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(RPRH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10354)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provides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that</w:t>
      </w:r>
      <w:r w:rsidR="00FE6B8B" w:rsidRPr="00A035D0">
        <w:rPr>
          <w:highlight w:val="white"/>
        </w:rPr>
        <w:t xml:space="preserve"> “</w:t>
      </w:r>
      <w:r w:rsidR="0087402A" w:rsidRPr="00A035D0">
        <w:rPr>
          <w:highlight w:val="white"/>
        </w:rPr>
        <w:t>there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should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timely,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adequate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culturally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appropriate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provision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comprehensive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including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Minimum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Initial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Package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Sexual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(MISP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SRH)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early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stage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crises</w:t>
      </w:r>
      <w:r w:rsidR="00FE6B8B" w:rsidRPr="00A035D0">
        <w:rPr>
          <w:highlight w:val="white"/>
        </w:rPr>
        <w:t>”</w:t>
      </w:r>
      <w:r w:rsidR="0087402A" w:rsidRPr="00A035D0">
        <w:rPr>
          <w:highlight w:val="white"/>
        </w:rPr>
        <w:t>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priority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activities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onset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crisis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defines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which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most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important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saving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lives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onset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emergency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with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lastRenderedPageBreak/>
        <w:t>following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components: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Safe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Motherhood,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Family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Planning,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STI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HIV,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Sexual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Gender-based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Violence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Adolescent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Health.</w:t>
      </w:r>
    </w:p>
    <w:p w14:paraId="6EC5B18D" w14:textId="77777777" w:rsidR="00FE6B8B" w:rsidRPr="00A035D0" w:rsidRDefault="008350CC" w:rsidP="008350CC">
      <w:pPr>
        <w:pStyle w:val="SingleTxtG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III.</w:t>
      </w:r>
      <w:r w:rsidR="0087402A" w:rsidRPr="00A035D0">
        <w:rPr>
          <w:highlight w:val="white"/>
        </w:rPr>
        <w:tab/>
        <w:t>Recognizing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importance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full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RPRH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addressing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needs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women,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included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10-Point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Socioeconomic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Agenda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State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which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requires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strengthened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enable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couples,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especially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poor,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make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informed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choices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financial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family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planning.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Moreover,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State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displayed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firm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support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issuing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Executive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Order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(EO)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12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Attaining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Sustaining</w:t>
      </w:r>
      <w:r w:rsidR="00FE6B8B" w:rsidRPr="00A035D0">
        <w:rPr>
          <w:highlight w:val="white"/>
        </w:rPr>
        <w:t xml:space="preserve"> “</w:t>
      </w:r>
      <w:r w:rsidR="0087402A" w:rsidRPr="00A035D0">
        <w:rPr>
          <w:highlight w:val="white"/>
        </w:rPr>
        <w:t>Zero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Unmet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Need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Modern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Family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Planning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(FP)</w:t>
      </w:r>
      <w:r w:rsidR="00FE6B8B" w:rsidRPr="00A035D0">
        <w:rPr>
          <w:highlight w:val="white"/>
        </w:rPr>
        <w:t xml:space="preserve">” </w:t>
      </w:r>
      <w:r w:rsidR="0087402A" w:rsidRPr="00A035D0">
        <w:rPr>
          <w:highlight w:val="white"/>
        </w:rPr>
        <w:t>through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Strict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RPRH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Act.</w:t>
      </w:r>
    </w:p>
    <w:p w14:paraId="07A5E314" w14:textId="7BFB324D" w:rsidR="0087402A" w:rsidRPr="00A035D0" w:rsidRDefault="008350CC" w:rsidP="008350CC">
      <w:pPr>
        <w:pStyle w:val="SingleTxtG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IV.</w:t>
      </w:r>
      <w:r w:rsidR="0087402A" w:rsidRPr="00A035D0">
        <w:rPr>
          <w:highlight w:val="white"/>
        </w:rPr>
        <w:tab/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2017,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Temporary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Restraining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Order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(TRO)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Supreme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Court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DOH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Food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Drug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Administration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(FDA),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particularly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DOH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from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utilizing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progestin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subdermal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implant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supplies</w:t>
      </w:r>
      <w:r w:rsidR="00FE6B8B" w:rsidRPr="00A035D0">
        <w:rPr>
          <w:highlight w:val="white"/>
        </w:rPr>
        <w:t xml:space="preserve"> – </w:t>
      </w:r>
      <w:r w:rsidR="0087402A" w:rsidRPr="00A035D0">
        <w:rPr>
          <w:highlight w:val="white"/>
        </w:rPr>
        <w:t>Implanon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Implanon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NXT,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FDA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from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issuing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certificates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product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registration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contraceptives.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TRO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lifted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Nov.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10,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2017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when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DOH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promulgated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revised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Rules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Regulations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RPRH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FDA,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through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Resolution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2017-302,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re-certified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51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contraceptive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products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non-abortifacient,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including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subdermal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implants</w:t>
      </w:r>
      <w:r w:rsidR="00FE6B8B" w:rsidRPr="00A035D0">
        <w:rPr>
          <w:highlight w:val="white"/>
        </w:rPr>
        <w:t xml:space="preserve"> – </w:t>
      </w:r>
      <w:r w:rsidR="0087402A" w:rsidRPr="00A035D0">
        <w:rPr>
          <w:highlight w:val="white"/>
        </w:rPr>
        <w:t>Implanon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Implanon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NXT.</w:t>
      </w:r>
    </w:p>
    <w:p w14:paraId="020530A4" w14:textId="4786031D" w:rsidR="0087402A" w:rsidRPr="00A035D0" w:rsidRDefault="008350CC" w:rsidP="008350CC">
      <w:pPr>
        <w:pStyle w:val="SingleTxtG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V.</w:t>
      </w:r>
      <w:r w:rsidR="0087402A" w:rsidRPr="00A035D0">
        <w:rPr>
          <w:highlight w:val="white"/>
        </w:rPr>
        <w:tab/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access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contraceptives,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RPRH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Law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mandates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DOH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provide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sexual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including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contraception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all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persons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age.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adolescents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though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need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parental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guardian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consent</w:t>
      </w:r>
      <w:r w:rsidR="00FE6B8B" w:rsidRPr="00A035D0">
        <w:rPr>
          <w:highlight w:val="white"/>
        </w:rPr>
        <w:t xml:space="preserve"> – </w:t>
      </w:r>
      <w:r w:rsidR="0087402A" w:rsidRPr="00A035D0">
        <w:rPr>
          <w:highlight w:val="white"/>
        </w:rPr>
        <w:t>There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should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contradiction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influenced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culture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value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system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countries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differ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regard;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something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that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even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must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respect.</w:t>
      </w:r>
    </w:p>
    <w:p w14:paraId="1C27A3CD" w14:textId="4FE4041F" w:rsidR="0087402A" w:rsidRPr="00A035D0" w:rsidRDefault="008350CC" w:rsidP="008350CC">
      <w:pPr>
        <w:pStyle w:val="SingleTxtG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VI.</w:t>
      </w:r>
      <w:r w:rsidR="0087402A" w:rsidRPr="00A035D0">
        <w:rPr>
          <w:highlight w:val="white"/>
        </w:rPr>
        <w:tab/>
        <w:t>Administrative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order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2016-0005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National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Policy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Minimum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Initial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Package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Sexual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Reproductive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(MISP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SRH)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since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Medical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Public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sub-cluster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under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Cluster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NDRRMC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structure.</w:t>
      </w:r>
    </w:p>
    <w:p w14:paraId="0006C31D" w14:textId="77777777" w:rsidR="00FE6B8B" w:rsidRPr="00A035D0" w:rsidRDefault="008350CC" w:rsidP="008350CC">
      <w:pPr>
        <w:pStyle w:val="SingleTxtG"/>
        <w:ind w:left="1701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A.</w:t>
      </w:r>
      <w:r w:rsidR="0087402A" w:rsidRPr="00A035D0">
        <w:rPr>
          <w:highlight w:val="white"/>
        </w:rPr>
        <w:tab/>
        <w:t>Through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its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initiatives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being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partnership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with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key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agencies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stakeholders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both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government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non-government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achieve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following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objectives:</w:t>
      </w:r>
    </w:p>
    <w:p w14:paraId="75A37A69" w14:textId="77777777" w:rsidR="00FE6B8B" w:rsidRPr="00A035D0" w:rsidRDefault="008350CC" w:rsidP="007459FE">
      <w:pPr>
        <w:pStyle w:val="SingleTxtG"/>
        <w:ind w:left="2268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1.</w:t>
      </w:r>
      <w:r w:rsidR="0087402A" w:rsidRPr="00A035D0">
        <w:rPr>
          <w:highlight w:val="white"/>
        </w:rPr>
        <w:tab/>
        <w:t>Ensure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Sector/Cluster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identifies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organization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lead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implementation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MISP</w:t>
      </w:r>
    </w:p>
    <w:p w14:paraId="2656B310" w14:textId="1E77D141" w:rsidR="0087402A" w:rsidRPr="00A035D0" w:rsidRDefault="008350CC" w:rsidP="007459FE">
      <w:pPr>
        <w:pStyle w:val="SingleTxtG"/>
        <w:ind w:left="2268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2.</w:t>
      </w:r>
      <w:r w:rsidR="0087402A" w:rsidRPr="00A035D0">
        <w:rPr>
          <w:highlight w:val="white"/>
        </w:rPr>
        <w:tab/>
        <w:t>Prevent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sexual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violence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respond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needs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survivors</w:t>
      </w:r>
    </w:p>
    <w:p w14:paraId="672029BA" w14:textId="13398DFE" w:rsidR="0087402A" w:rsidRPr="00A035D0" w:rsidRDefault="008350CC" w:rsidP="007459FE">
      <w:pPr>
        <w:pStyle w:val="SingleTxtG"/>
        <w:ind w:left="2268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3.</w:t>
      </w:r>
      <w:r w:rsidR="0087402A" w:rsidRPr="00A035D0">
        <w:rPr>
          <w:highlight w:val="white"/>
        </w:rPr>
        <w:tab/>
        <w:t>Prevent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transmission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reduce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morbidity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mortality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due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HIV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other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STIs</w:t>
      </w:r>
    </w:p>
    <w:p w14:paraId="57EDB842" w14:textId="3D228ACE" w:rsidR="0087402A" w:rsidRPr="00A035D0" w:rsidRDefault="008350CC" w:rsidP="007459FE">
      <w:pPr>
        <w:pStyle w:val="SingleTxtG"/>
        <w:ind w:left="2268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4.</w:t>
      </w:r>
      <w:r w:rsidR="0087402A" w:rsidRPr="00A035D0">
        <w:rPr>
          <w:highlight w:val="white"/>
        </w:rPr>
        <w:tab/>
        <w:t>Prevent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excess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maternal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newborn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morbidity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mortality</w:t>
      </w:r>
    </w:p>
    <w:p w14:paraId="55C2A733" w14:textId="1B2011F5" w:rsidR="0087402A" w:rsidRPr="00A035D0" w:rsidRDefault="008350CC" w:rsidP="007459FE">
      <w:pPr>
        <w:pStyle w:val="SingleTxtG"/>
        <w:ind w:left="2268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5.</w:t>
      </w:r>
      <w:r w:rsidR="0087402A" w:rsidRPr="00A035D0">
        <w:rPr>
          <w:highlight w:val="white"/>
        </w:rPr>
        <w:tab/>
        <w:t>Prevent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unintended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pregnancies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and;</w:t>
      </w:r>
    </w:p>
    <w:p w14:paraId="27952699" w14:textId="54047E72" w:rsidR="0087402A" w:rsidRPr="00A035D0" w:rsidRDefault="008350CC" w:rsidP="007459FE">
      <w:pPr>
        <w:pStyle w:val="SingleTxtG"/>
        <w:ind w:left="2268"/>
        <w:rPr>
          <w:highlight w:val="white"/>
        </w:rPr>
      </w:pPr>
      <w:r w:rsidRPr="00A035D0">
        <w:rPr>
          <w:highlight w:val="white"/>
        </w:rPr>
        <w:tab/>
      </w:r>
      <w:r w:rsidR="0087402A" w:rsidRPr="00A035D0">
        <w:rPr>
          <w:highlight w:val="white"/>
        </w:rPr>
        <w:t>6.</w:t>
      </w:r>
      <w:r w:rsidR="0087402A" w:rsidRPr="00A035D0">
        <w:rPr>
          <w:highlight w:val="white"/>
        </w:rPr>
        <w:tab/>
        <w:t>Plan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for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comprehensive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SRH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services,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integrated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into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primary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care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soon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possible.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Work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with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Sector/Cluster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partners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address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six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health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system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building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blocks.</w:t>
      </w:r>
    </w:p>
    <w:p w14:paraId="1FF6719C" w14:textId="2813E33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Paragraph</w:t>
      </w:r>
      <w:r w:rsidR="00FE6B8B" w:rsidRPr="00A035D0">
        <w:t xml:space="preserve"> </w:t>
      </w:r>
      <w:r w:rsidR="0087402A" w:rsidRPr="00A035D0">
        <w:t>4,</w:t>
      </w:r>
      <w:r w:rsidR="00FE6B8B" w:rsidRPr="00A035D0">
        <w:t xml:space="preserve"> </w:t>
      </w:r>
      <w:r w:rsidR="0087402A" w:rsidRPr="00A035D0">
        <w:t>Article</w:t>
      </w:r>
      <w:r w:rsidR="00FE6B8B" w:rsidRPr="00A035D0">
        <w:t xml:space="preserve"> </w:t>
      </w:r>
      <w:r w:rsidR="0087402A" w:rsidRPr="00A035D0">
        <w:t>11,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Penal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(RPC)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justify</w:t>
      </w:r>
      <w:r w:rsidR="00FE6B8B" w:rsidRPr="00A035D0">
        <w:t xml:space="preserve"> </w:t>
      </w:r>
      <w:r w:rsidR="0087402A" w:rsidRPr="00A035D0">
        <w:t>abortion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pregnant</w:t>
      </w:r>
      <w:r w:rsidR="00FE6B8B" w:rsidRPr="00A035D0">
        <w:t xml:space="preserve"> </w:t>
      </w:r>
      <w:r w:rsidR="0087402A" w:rsidRPr="00A035D0">
        <w:t>women.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date,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prosecuted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taken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because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abortion.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hand,</w:t>
      </w:r>
      <w:r w:rsidR="00FE6B8B" w:rsidRPr="00A035D0">
        <w:t xml:space="preserve"> </w:t>
      </w:r>
      <w:r w:rsidR="0087402A" w:rsidRPr="00A035D0">
        <w:t>religious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recriminations</w:t>
      </w:r>
      <w:r w:rsidR="00FE6B8B" w:rsidRPr="00A035D0">
        <w:t xml:space="preserve"> </w:t>
      </w:r>
      <w:r w:rsidR="0087402A" w:rsidRPr="00A035D0">
        <w:t>do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routine</w:t>
      </w:r>
      <w:r w:rsidR="00FE6B8B" w:rsidRPr="00A035D0">
        <w:t xml:space="preserve"> </w:t>
      </w:r>
      <w:r w:rsidR="0087402A" w:rsidRPr="00A035D0">
        <w:t>reporting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quasi-government</w:t>
      </w:r>
      <w:r w:rsidR="00FE6B8B" w:rsidRPr="00A035D0">
        <w:t xml:space="preserve"> </w:t>
      </w:r>
      <w:r w:rsidR="0087402A" w:rsidRPr="00A035D0">
        <w:t>agency.</w:t>
      </w:r>
    </w:p>
    <w:p w14:paraId="4BBCEB37" w14:textId="11273473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Supreme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ruled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Imbong</w:t>
      </w:r>
      <w:r w:rsidR="00FE6B8B" w:rsidRPr="00A035D0">
        <w:t xml:space="preserve"> </w:t>
      </w:r>
      <w:r w:rsidR="0087402A" w:rsidRPr="00A035D0">
        <w:t>vs.</w:t>
      </w:r>
      <w:r w:rsidR="00FE6B8B" w:rsidRPr="00A035D0">
        <w:t xml:space="preserve"> </w:t>
      </w:r>
      <w:r w:rsidR="0087402A" w:rsidRPr="00A035D0">
        <w:t>Ochoa</w:t>
      </w:r>
      <w:r w:rsidR="00FE6B8B" w:rsidRPr="00A035D0">
        <w:t xml:space="preserve"> </w:t>
      </w:r>
      <w:r w:rsidR="0087402A" w:rsidRPr="00A035D0">
        <w:t>(G.R.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204819,</w:t>
      </w:r>
      <w:r w:rsidR="00FE6B8B" w:rsidRPr="00A035D0">
        <w:t xml:space="preserve"> </w:t>
      </w:r>
      <w:r w:rsidR="0087402A" w:rsidRPr="00A035D0">
        <w:t>April</w:t>
      </w:r>
      <w:r w:rsidR="00FE6B8B" w:rsidRPr="00A035D0">
        <w:t xml:space="preserve"> </w:t>
      </w:r>
      <w:r w:rsidR="0087402A" w:rsidRPr="00A035D0">
        <w:t>8,</w:t>
      </w:r>
      <w:r w:rsidR="00FE6B8B" w:rsidRPr="00A035D0">
        <w:t xml:space="preserve"> </w:t>
      </w:r>
      <w:r w:rsidR="0087402A" w:rsidRPr="00A035D0">
        <w:t>2014)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“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situation</w:t>
      </w:r>
      <w:r w:rsidR="00FE6B8B" w:rsidRPr="00A035D0">
        <w:t xml:space="preserve"> </w:t>
      </w:r>
      <w:r w:rsidR="0087402A" w:rsidRPr="00A035D0">
        <w:t>between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mother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child,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doctor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morally</w:t>
      </w:r>
      <w:r w:rsidR="00FE6B8B" w:rsidRPr="00A035D0">
        <w:t xml:space="preserve"> </w:t>
      </w:r>
      <w:r w:rsidR="0087402A" w:rsidRPr="00A035D0">
        <w:t>obliged</w:t>
      </w:r>
      <w:r w:rsidR="00FE6B8B" w:rsidRPr="00A035D0">
        <w:t xml:space="preserve"> </w:t>
      </w:r>
      <w:r w:rsidR="0087402A" w:rsidRPr="00A035D0">
        <w:t>always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try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save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lives.</w:t>
      </w:r>
      <w:r w:rsidR="00FE6B8B" w:rsidRPr="00A035D0">
        <w:t xml:space="preserve">” </w:t>
      </w:r>
      <w:r w:rsidR="0087402A" w:rsidRPr="00A035D0">
        <w:t>Hence,</w:t>
      </w:r>
      <w:r w:rsidR="00FE6B8B" w:rsidRPr="00A035D0">
        <w:t xml:space="preserve"> “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necessary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save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mother,</w:t>
      </w:r>
      <w:r w:rsidR="00FE6B8B" w:rsidRPr="00A035D0">
        <w:t xml:space="preserve"> </w:t>
      </w:r>
      <w:r w:rsidR="0087402A" w:rsidRPr="00A035D0">
        <w:t>procedures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endanger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child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resorted</w:t>
      </w:r>
      <w:r w:rsidR="00FE6B8B" w:rsidRPr="00A035D0">
        <w:t xml:space="preserve"> </w:t>
      </w:r>
      <w:r w:rsidR="0087402A" w:rsidRPr="00A035D0">
        <w:t>to,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religious</w:t>
      </w:r>
      <w:r w:rsidR="00FE6B8B" w:rsidRPr="00A035D0">
        <w:t xml:space="preserve"> </w:t>
      </w:r>
      <w:r w:rsidR="0087402A" w:rsidRPr="00A035D0">
        <w:t>sentiments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practitioner.</w:t>
      </w:r>
    </w:p>
    <w:p w14:paraId="2ADAE2EF" w14:textId="656C91E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Discussions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decriminalizing</w:t>
      </w:r>
      <w:r w:rsidR="00FE6B8B" w:rsidRPr="00A035D0">
        <w:t xml:space="preserve"> </w:t>
      </w:r>
      <w:r w:rsidR="0087402A" w:rsidRPr="00A035D0">
        <w:t>abortion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certain</w:t>
      </w:r>
      <w:r w:rsidR="00FE6B8B" w:rsidRPr="00A035D0">
        <w:t xml:space="preserve"> </w:t>
      </w:r>
      <w:r w:rsidR="0087402A" w:rsidRPr="00A035D0">
        <w:t>circumstances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on-going.</w:t>
      </w:r>
      <w:r w:rsidR="00FE6B8B" w:rsidRPr="00A035D0">
        <w:t xml:space="preserve"> </w:t>
      </w:r>
      <w:r w:rsidR="0087402A" w:rsidRPr="00A035D0">
        <w:t>And,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supports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participates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on-going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(CSO)-initiated</w:t>
      </w:r>
      <w:r w:rsidR="00FE6B8B" w:rsidRPr="00A035D0">
        <w:t xml:space="preserve"> </w:t>
      </w:r>
      <w:r w:rsidR="0087402A" w:rsidRPr="00A035D0">
        <w:t>consultations/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discussions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decriminalization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abortion,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must</w:t>
      </w:r>
      <w:r w:rsidR="00FE6B8B" w:rsidRPr="00A035D0">
        <w:t xml:space="preserve"> </w:t>
      </w:r>
      <w:r w:rsidR="0087402A" w:rsidRPr="00A035D0">
        <w:lastRenderedPageBreak/>
        <w:t>be</w:t>
      </w:r>
      <w:r w:rsidR="00FE6B8B" w:rsidRPr="00A035D0">
        <w:t xml:space="preserve"> </w:t>
      </w:r>
      <w:r w:rsidR="0087402A" w:rsidRPr="00A035D0">
        <w:t>stressed</w:t>
      </w:r>
      <w:r w:rsidR="00FE6B8B" w:rsidRPr="00A035D0">
        <w:t xml:space="preserve"> </w:t>
      </w:r>
      <w:r w:rsidR="0087402A" w:rsidRPr="00A035D0">
        <w:t>however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advocates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disabilities</w:t>
      </w:r>
      <w:r w:rsidR="00FE6B8B" w:rsidRPr="00A035D0">
        <w:t xml:space="preserve"> </w:t>
      </w:r>
      <w:r w:rsidR="0087402A" w:rsidRPr="00A035D0">
        <w:t>(PWDs)</w:t>
      </w:r>
      <w:r w:rsidR="00FE6B8B" w:rsidRPr="00A035D0">
        <w:t xml:space="preserve"> </w:t>
      </w:r>
      <w:r w:rsidR="0087402A" w:rsidRPr="00A035D0">
        <w:t>object</w:t>
      </w:r>
      <w:r w:rsidR="00FE6B8B" w:rsidRPr="00A035D0">
        <w:t xml:space="preserve"> </w:t>
      </w:r>
      <w:r w:rsidR="0087402A" w:rsidRPr="00A035D0">
        <w:t>thereto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when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fetus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found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seriously</w:t>
      </w:r>
      <w:r w:rsidR="00FE6B8B" w:rsidRPr="00A035D0">
        <w:t xml:space="preserve"> </w:t>
      </w:r>
      <w:r w:rsidR="0087402A" w:rsidRPr="00A035D0">
        <w:t>malformed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goes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principles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non-discrimination,</w:t>
      </w:r>
      <w:r w:rsidR="00FE6B8B" w:rsidRPr="00A035D0">
        <w:t xml:space="preserve"> </w:t>
      </w:r>
      <w:r w:rsidR="0087402A" w:rsidRPr="00A035D0">
        <w:t>respect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difference,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acceptance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PWDs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humanity/human</w:t>
      </w:r>
      <w:r w:rsidR="00FE6B8B" w:rsidRPr="00A035D0">
        <w:t xml:space="preserve"> </w:t>
      </w:r>
      <w:r w:rsidR="0087402A" w:rsidRPr="00A035D0">
        <w:t>diversity,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keeping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United</w:t>
      </w:r>
      <w:r w:rsidR="00FE6B8B" w:rsidRPr="00A035D0">
        <w:t xml:space="preserve"> </w:t>
      </w:r>
      <w:r w:rsidR="0087402A" w:rsidRPr="00A035D0">
        <w:t>Nations</w:t>
      </w:r>
      <w:r w:rsidR="00FE6B8B" w:rsidRPr="00A035D0">
        <w:t xml:space="preserve"> </w:t>
      </w:r>
      <w:r w:rsidR="0087402A" w:rsidRPr="00A035D0">
        <w:t>Convention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PWD.</w:t>
      </w:r>
    </w:p>
    <w:p w14:paraId="2A40C5CA" w14:textId="4E7B25F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But,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still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decriminalizing</w:t>
      </w:r>
      <w:r w:rsidR="00FE6B8B" w:rsidRPr="00A035D0">
        <w:t xml:space="preserve"> </w:t>
      </w:r>
      <w:r w:rsidR="0087402A" w:rsidRPr="00A035D0">
        <w:t>abortion,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(DOH),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years,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orders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Filipino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ill</w:t>
      </w:r>
      <w:r w:rsidR="00FE6B8B" w:rsidRPr="00A035D0">
        <w:t xml:space="preserve"> </w:t>
      </w:r>
      <w:r w:rsidR="0087402A" w:rsidRPr="00A035D0">
        <w:t>effects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abortion,</w:t>
      </w:r>
      <w:r w:rsidR="00FE6B8B" w:rsidRPr="00A035D0">
        <w:t xml:space="preserve"> </w:t>
      </w:r>
      <w:r w:rsidR="0087402A" w:rsidRPr="00A035D0">
        <w:t>specifically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unsafe</w:t>
      </w:r>
      <w:r w:rsidR="00FE6B8B" w:rsidRPr="00A035D0">
        <w:t xml:space="preserve"> </w:t>
      </w:r>
      <w:r w:rsidR="0087402A" w:rsidRPr="00A035D0">
        <w:t>abortion.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fact,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Responsible</w:t>
      </w:r>
      <w:r w:rsidR="00FE6B8B" w:rsidRPr="00A035D0">
        <w:t xml:space="preserve"> </w:t>
      </w:r>
      <w:r w:rsidR="0087402A" w:rsidRPr="00A035D0">
        <w:t>Parenthood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Reproductive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2012,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simply</w:t>
      </w:r>
      <w:r w:rsidR="00FE6B8B" w:rsidRPr="00A035D0">
        <w:t xml:space="preserve"> </w:t>
      </w:r>
      <w:r w:rsidR="0087402A" w:rsidRPr="00A035D0">
        <w:t>Reproductive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(RA</w:t>
      </w:r>
      <w:r w:rsidR="00FE6B8B" w:rsidRPr="00A035D0">
        <w:t xml:space="preserve"> </w:t>
      </w:r>
      <w:r w:rsidR="0087402A" w:rsidRPr="00A035D0">
        <w:t>10354),</w:t>
      </w:r>
      <w:r w:rsidR="00FE6B8B" w:rsidRPr="00A035D0">
        <w:t xml:space="preserve"> </w:t>
      </w:r>
      <w:r w:rsidR="0087402A" w:rsidRPr="00A035D0">
        <w:t>directs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needing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post-abortion</w:t>
      </w:r>
      <w:r w:rsidR="00FE6B8B" w:rsidRPr="00A035D0">
        <w:t xml:space="preserve"> </w:t>
      </w:r>
      <w:r w:rsidR="0087402A" w:rsidRPr="00A035D0">
        <w:t>complications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treated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counselled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humane,</w:t>
      </w:r>
      <w:r w:rsidR="00FE6B8B" w:rsidRPr="00A035D0">
        <w:t xml:space="preserve"> </w:t>
      </w:r>
      <w:r w:rsidR="0087402A" w:rsidRPr="00A035D0">
        <w:t>non-judgmental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compassionate</w:t>
      </w:r>
      <w:r w:rsidR="00FE6B8B" w:rsidRPr="00A035D0">
        <w:t xml:space="preserve"> </w:t>
      </w:r>
      <w:r w:rsidR="0087402A" w:rsidRPr="00A035D0">
        <w:t>manner.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recognizes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indications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abortion</w:t>
      </w:r>
      <w:r w:rsidR="00FE6B8B" w:rsidRPr="00A035D0">
        <w:t xml:space="preserve"> </w:t>
      </w:r>
      <w:r w:rsidR="0087402A" w:rsidRPr="00A035D0">
        <w:t>performed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extreme</w:t>
      </w:r>
      <w:r w:rsidR="00FE6B8B" w:rsidRPr="00A035D0">
        <w:t xml:space="preserve"> </w:t>
      </w:r>
      <w:r w:rsidR="0087402A" w:rsidRPr="00A035D0">
        <w:t>situations</w:t>
      </w:r>
      <w:r w:rsidR="00FE6B8B" w:rsidRPr="00A035D0">
        <w:t xml:space="preserve"> </w:t>
      </w:r>
      <w:r w:rsidR="0087402A" w:rsidRPr="00A035D0">
        <w:t>when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woman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risk.</w:t>
      </w:r>
    </w:p>
    <w:p w14:paraId="5A3B3AA4" w14:textId="2D8B279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Recently,</w:t>
      </w:r>
      <w:r w:rsidR="00FE6B8B" w:rsidRPr="00A035D0">
        <w:t xml:space="preserve"> </w:t>
      </w:r>
      <w:r w:rsidR="0087402A" w:rsidRPr="00A035D0">
        <w:t>DOH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(AO)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2018-0003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allows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initial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abortion</w:t>
      </w:r>
      <w:r w:rsidR="00FE6B8B" w:rsidRPr="00A035D0">
        <w:t xml:space="preserve"> </w:t>
      </w:r>
      <w:r w:rsidR="0087402A" w:rsidRPr="00A035D0">
        <w:t>clients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primary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providers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allowed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initially</w:t>
      </w:r>
      <w:r w:rsidR="00FE6B8B" w:rsidRPr="00A035D0">
        <w:t xml:space="preserve"> </w:t>
      </w:r>
      <w:r w:rsidR="0087402A" w:rsidRPr="00A035D0">
        <w:t>manage</w:t>
      </w:r>
      <w:r w:rsidR="00FE6B8B" w:rsidRPr="00A035D0">
        <w:t xml:space="preserve"> </w:t>
      </w:r>
      <w:r w:rsidR="0087402A" w:rsidRPr="00A035D0">
        <w:t>post-abortion</w:t>
      </w:r>
      <w:r w:rsidR="00FE6B8B" w:rsidRPr="00A035D0">
        <w:t xml:space="preserve"> </w:t>
      </w:r>
      <w:r w:rsidR="0087402A" w:rsidRPr="00A035D0">
        <w:t>cases,</w:t>
      </w:r>
      <w:r w:rsidR="00FE6B8B" w:rsidRPr="00A035D0">
        <w:t xml:space="preserve"> </w:t>
      </w:r>
      <w:r w:rsidR="0087402A" w:rsidRPr="00A035D0">
        <w:t>administer</w:t>
      </w:r>
      <w:r w:rsidR="00FE6B8B" w:rsidRPr="00A035D0">
        <w:t xml:space="preserve"> </w:t>
      </w:r>
      <w:r w:rsidR="0087402A" w:rsidRPr="00A035D0">
        <w:t>life-saving</w:t>
      </w:r>
      <w:r w:rsidR="00FE6B8B" w:rsidRPr="00A035D0">
        <w:t xml:space="preserve"> </w:t>
      </w:r>
      <w:r w:rsidR="0087402A" w:rsidRPr="00A035D0">
        <w:t>drugs,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required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make</w:t>
      </w:r>
      <w:r w:rsidR="00FE6B8B" w:rsidRPr="00A035D0">
        <w:t xml:space="preserve"> </w:t>
      </w:r>
      <w:r w:rsidR="0087402A" w:rsidRPr="00A035D0">
        <w:t>prompt</w:t>
      </w:r>
      <w:r w:rsidR="00FE6B8B" w:rsidRPr="00A035D0">
        <w:t xml:space="preserve"> </w:t>
      </w:r>
      <w:r w:rsidR="0087402A" w:rsidRPr="00A035D0">
        <w:t>referral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arrange</w:t>
      </w:r>
      <w:r w:rsidR="00FE6B8B" w:rsidRPr="00A035D0">
        <w:t xml:space="preserve"> </w:t>
      </w:r>
      <w:r w:rsidR="0087402A" w:rsidRPr="00A035D0">
        <w:t>transportation</w:t>
      </w:r>
      <w:r w:rsidR="00FE6B8B" w:rsidRPr="00A035D0">
        <w:t xml:space="preserve"> </w:t>
      </w:r>
      <w:r w:rsidR="0087402A" w:rsidRPr="00A035D0">
        <w:t>mechanism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referral</w:t>
      </w:r>
      <w:r w:rsidR="00FE6B8B" w:rsidRPr="00A035D0">
        <w:t xml:space="preserve"> </w:t>
      </w:r>
      <w:r w:rsidR="0087402A" w:rsidRPr="00A035D0">
        <w:t>hospitals,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others.</w:t>
      </w:r>
      <w:r w:rsidR="00FE6B8B" w:rsidRPr="00A035D0">
        <w:t xml:space="preserve"> </w:t>
      </w:r>
      <w:r w:rsidR="0087402A" w:rsidRPr="00A035D0">
        <w:t>AO</w:t>
      </w:r>
      <w:r w:rsidR="00FE6B8B" w:rsidRPr="00A035D0">
        <w:t xml:space="preserve"> </w:t>
      </w:r>
      <w:r w:rsidR="0087402A" w:rsidRPr="00A035D0">
        <w:t>2018-0003</w:t>
      </w:r>
      <w:r w:rsidR="00FE6B8B" w:rsidRPr="00A035D0">
        <w:t xml:space="preserve"> </w:t>
      </w:r>
      <w:r w:rsidR="0087402A" w:rsidRPr="00A035D0">
        <w:t>likewise</w:t>
      </w:r>
      <w:r w:rsidR="00FE6B8B" w:rsidRPr="00A035D0">
        <w:t xml:space="preserve"> </w:t>
      </w:r>
      <w:r w:rsidR="0087402A" w:rsidRPr="00A035D0">
        <w:t>strengthens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future</w:t>
      </w:r>
      <w:r w:rsidR="00FE6B8B" w:rsidRPr="00A035D0">
        <w:t xml:space="preserve"> </w:t>
      </w:r>
      <w:r w:rsidR="0087402A" w:rsidRPr="00A035D0">
        <w:t>unintended</w:t>
      </w:r>
      <w:r w:rsidR="00FE6B8B" w:rsidRPr="00A035D0">
        <w:t xml:space="preserve"> </w:t>
      </w:r>
      <w:r w:rsidR="0087402A" w:rsidRPr="00A035D0">
        <w:t>pregnancies.</w:t>
      </w:r>
    </w:p>
    <w:p w14:paraId="56D6ACB6" w14:textId="7315FCA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57.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hand,</w:t>
      </w:r>
      <w:r w:rsidR="00FE6B8B" w:rsidRPr="00A035D0">
        <w:t xml:space="preserve"> </w:t>
      </w:r>
      <w:r w:rsidR="0087402A" w:rsidRPr="00A035D0">
        <w:t>coordination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facilitation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Mental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Psychosocial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(MHPSS)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Mental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Program,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Emergency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(HEMB),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MHPSS</w:t>
      </w:r>
      <w:r w:rsidR="00FE6B8B" w:rsidRPr="00A035D0">
        <w:t xml:space="preserve"> </w:t>
      </w:r>
      <w:r w:rsidR="0087402A" w:rsidRPr="00A035D0">
        <w:t>Cluster</w:t>
      </w:r>
      <w:r w:rsidR="00FE6B8B" w:rsidRPr="00A035D0">
        <w:t xml:space="preserve"> </w:t>
      </w:r>
      <w:r w:rsidR="0087402A" w:rsidRPr="00A035D0">
        <w:t>(e.g.</w:t>
      </w:r>
      <w:r w:rsidR="00FE6B8B" w:rsidRPr="00A035D0">
        <w:t xml:space="preserve"> </w:t>
      </w:r>
      <w:r w:rsidR="0087402A" w:rsidRPr="00A035D0">
        <w:t>DSWD,</w:t>
      </w:r>
      <w:r w:rsidR="00FE6B8B" w:rsidRPr="00A035D0">
        <w:t xml:space="preserve"> </w:t>
      </w:r>
      <w:r w:rsidR="0087402A" w:rsidRPr="00A035D0">
        <w:t>NCMH,</w:t>
      </w:r>
      <w:r w:rsidR="00FE6B8B" w:rsidRPr="00A035D0">
        <w:t xml:space="preserve"> </w:t>
      </w:r>
      <w:r w:rsidR="0087402A" w:rsidRPr="00A035D0">
        <w:t>Red</w:t>
      </w:r>
      <w:r w:rsidR="00FE6B8B" w:rsidRPr="00A035D0">
        <w:t xml:space="preserve"> </w:t>
      </w:r>
      <w:r w:rsidR="0087402A" w:rsidRPr="00A035D0">
        <w:t>Cross,</w:t>
      </w:r>
      <w:r w:rsidR="00FE6B8B" w:rsidRPr="00A035D0">
        <w:t xml:space="preserve"> </w:t>
      </w:r>
      <w:r w:rsidR="0087402A" w:rsidRPr="00A035D0">
        <w:t>PPA,</w:t>
      </w:r>
      <w:r w:rsidR="00FE6B8B" w:rsidRPr="00A035D0">
        <w:t xml:space="preserve"> </w:t>
      </w:r>
      <w:r w:rsidR="0087402A" w:rsidRPr="00A035D0">
        <w:t>PAP,</w:t>
      </w:r>
      <w:r w:rsidR="00FE6B8B" w:rsidRPr="00A035D0">
        <w:t xml:space="preserve"> </w:t>
      </w:r>
      <w:r w:rsidR="0087402A" w:rsidRPr="00A035D0">
        <w:t>etc.)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issues.</w:t>
      </w:r>
      <w:r w:rsidR="0087402A" w:rsidRPr="00A035D0">
        <w:rPr>
          <w:rStyle w:val="FootnoteReference"/>
        </w:rPr>
        <w:footnoteReference w:id="11"/>
      </w:r>
    </w:p>
    <w:p w14:paraId="04AC95F7" w14:textId="669F11FB" w:rsidR="0087402A" w:rsidRPr="00A035D0" w:rsidRDefault="0087402A" w:rsidP="008350CC">
      <w:pPr>
        <w:pStyle w:val="H1G"/>
      </w:pPr>
      <w:r w:rsidRPr="00A035D0">
        <w:tab/>
      </w:r>
      <w:r w:rsidRPr="00A035D0">
        <w:tab/>
        <w:t>Right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life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6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24)</w:t>
      </w:r>
    </w:p>
    <w:p w14:paraId="5DC5E296" w14:textId="77777777" w:rsidR="00FE6B8B" w:rsidRPr="00A035D0" w:rsidRDefault="0087402A" w:rsidP="008350CC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10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F48C9FD" w14:textId="2D457C7F" w:rsidR="0087402A" w:rsidRPr="00A035D0" w:rsidRDefault="0087402A" w:rsidP="008350CC">
      <w:pPr>
        <w:pStyle w:val="H4G"/>
      </w:pPr>
      <w:r w:rsidRPr="00A035D0">
        <w:tab/>
        <w:t>(a)</w:t>
      </w:r>
      <w:r w:rsidR="00FE6B8B" w:rsidRPr="00A035D0">
        <w:t xml:space="preserve"> </w:t>
      </w:r>
      <w:r w:rsidRPr="00A035D0">
        <w:tab/>
        <w:t>Efforts</w:t>
      </w:r>
      <w:r w:rsidR="00FE6B8B" w:rsidRPr="00A035D0">
        <w:t xml:space="preserve"> </w:t>
      </w:r>
      <w:r w:rsidRPr="00A035D0">
        <w:t>investigations,</w:t>
      </w:r>
      <w:r w:rsidR="00FE6B8B" w:rsidRPr="00A035D0">
        <w:t xml:space="preserve"> </w:t>
      </w:r>
      <w:r w:rsidRPr="00A035D0">
        <w:t>prosecutions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convictions</w:t>
      </w:r>
      <w:r w:rsidR="00FE6B8B" w:rsidRPr="00A035D0">
        <w:t xml:space="preserve"> </w:t>
      </w:r>
      <w:r w:rsidRPr="00A035D0">
        <w:t>for</w:t>
      </w:r>
      <w:r w:rsidR="00FE6B8B" w:rsidRPr="00A035D0">
        <w:t xml:space="preserve"> </w:t>
      </w:r>
      <w:r w:rsidRPr="00A035D0">
        <w:t>extrajudicial</w:t>
      </w:r>
      <w:r w:rsidR="00FE6B8B" w:rsidRPr="00A035D0">
        <w:t xml:space="preserve"> </w:t>
      </w:r>
      <w:r w:rsidRPr="00A035D0">
        <w:t>killings</w:t>
      </w:r>
    </w:p>
    <w:p w14:paraId="0CA518C9" w14:textId="218E81C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Investigation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prosecution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resulted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convictions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Ampatuan-Maguindanao</w:t>
      </w:r>
      <w:r w:rsidR="00FE6B8B" w:rsidRPr="00A035D0">
        <w:t xml:space="preserve"> </w:t>
      </w:r>
      <w:r w:rsidR="0087402A" w:rsidRPr="00A035D0">
        <w:t>Massacre</w:t>
      </w:r>
      <w:r w:rsidR="00FE6B8B" w:rsidRPr="00A035D0">
        <w:t xml:space="preserve"> </w:t>
      </w:r>
      <w:r w:rsidR="0087402A" w:rsidRPr="00A035D0">
        <w:t>verdict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19</w:t>
      </w:r>
      <w:r w:rsidR="00FE6B8B" w:rsidRPr="00A035D0">
        <w:t xml:space="preserve"> </w:t>
      </w:r>
      <w:r w:rsidR="0087402A" w:rsidRPr="00A035D0">
        <w:t>December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convicted</w:t>
      </w:r>
      <w:r w:rsidR="00FE6B8B" w:rsidRPr="00A035D0">
        <w:t xml:space="preserve"> </w:t>
      </w:r>
      <w:r w:rsidR="0087402A" w:rsidRPr="00A035D0">
        <w:t>43</w:t>
      </w:r>
      <w:r w:rsidR="00FE6B8B" w:rsidRPr="00A035D0">
        <w:t xml:space="preserve"> </w:t>
      </w:r>
      <w:r w:rsidR="0087402A" w:rsidRPr="00A035D0">
        <w:t>individuals.</w:t>
      </w:r>
    </w:p>
    <w:p w14:paraId="42DEC712" w14:textId="597CBDE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43</w:t>
      </w:r>
      <w:r w:rsidR="00FE6B8B" w:rsidRPr="00A035D0">
        <w:t xml:space="preserve"> </w:t>
      </w:r>
      <w:r w:rsidR="0087402A" w:rsidRPr="00A035D0">
        <w:t>individuals</w:t>
      </w:r>
      <w:r w:rsidR="00FE6B8B" w:rsidRPr="00A035D0">
        <w:t xml:space="preserve"> </w:t>
      </w:r>
      <w:r w:rsidR="0087402A" w:rsidRPr="00A035D0">
        <w:t>convicted</w:t>
      </w:r>
      <w:r w:rsidR="00FE6B8B" w:rsidRPr="00A035D0">
        <w:t xml:space="preserve"> </w:t>
      </w:r>
      <w:r w:rsidR="0087402A" w:rsidRPr="00A035D0">
        <w:t>25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officials,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25,</w:t>
      </w:r>
      <w:r w:rsidR="00FE6B8B" w:rsidRPr="00A035D0">
        <w:t xml:space="preserve"> </w:t>
      </w:r>
      <w:r w:rsidR="0087402A" w:rsidRPr="00A035D0">
        <w:t>6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high-ranking</w:t>
      </w:r>
      <w:r w:rsidR="00FE6B8B" w:rsidRPr="00A035D0">
        <w:t xml:space="preserve"> </w:t>
      </w:r>
      <w:r w:rsidR="0087402A" w:rsidRPr="00A035D0">
        <w:t>elected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19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officers.</w:t>
      </w:r>
    </w:p>
    <w:p w14:paraId="7787C432" w14:textId="550C71F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lead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disbandment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disarming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groups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(PNP)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Executive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(EO)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546.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clearly</w:t>
      </w:r>
      <w:r w:rsidR="00FE6B8B" w:rsidRPr="00A035D0">
        <w:t xml:space="preserve"> </w:t>
      </w:r>
      <w:r w:rsidR="0087402A" w:rsidRPr="00A035D0">
        <w:t>delegates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authority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go</w:t>
      </w:r>
      <w:r w:rsidR="00FE6B8B" w:rsidRPr="00A035D0">
        <w:t xml:space="preserve"> </w:t>
      </w:r>
      <w:r w:rsidR="0087402A" w:rsidRPr="00A035D0">
        <w:t>after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armies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syndicates,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maintenance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peace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order.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AFP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(PNP)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armies.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Letter</w:t>
      </w:r>
      <w:r w:rsidR="00FE6B8B" w:rsidRPr="00A035D0">
        <w:t xml:space="preserve"> </w:t>
      </w:r>
      <w:r w:rsidR="0087402A" w:rsidRPr="00A035D0">
        <w:t>Directive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issued,</w:t>
      </w:r>
      <w:r w:rsidR="00FE6B8B" w:rsidRPr="00A035D0">
        <w:t xml:space="preserve"> </w:t>
      </w:r>
      <w:r w:rsidR="0087402A" w:rsidRPr="00A035D0">
        <w:t>delineating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respective</w:t>
      </w:r>
      <w:r w:rsidR="00FE6B8B" w:rsidRPr="00A035D0">
        <w:t xml:space="preserve"> </w:t>
      </w:r>
      <w:r w:rsidR="0087402A" w:rsidRPr="00A035D0">
        <w:t>functions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AFP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conducting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operations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so-called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armies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proliferation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vigilante</w:t>
      </w:r>
      <w:r w:rsidR="00FE6B8B" w:rsidRPr="00A035D0">
        <w:t xml:space="preserve"> </w:t>
      </w:r>
      <w:r w:rsidR="0087402A" w:rsidRPr="00A035D0">
        <w:t>groups.</w:t>
      </w:r>
      <w:r w:rsidR="0087402A" w:rsidRPr="00A035D0">
        <w:rPr>
          <w:rStyle w:val="FootnoteReference"/>
        </w:rPr>
        <w:footnoteReference w:id="12"/>
      </w:r>
    </w:p>
    <w:p w14:paraId="0E6B4DB7" w14:textId="77777777" w:rsidR="00FE6B8B" w:rsidRPr="00A035D0" w:rsidRDefault="0087402A" w:rsidP="008350CC">
      <w:pPr>
        <w:pStyle w:val="H4G"/>
      </w:pPr>
      <w:r w:rsidRPr="00A035D0">
        <w:tab/>
        <w:t>(b)</w:t>
      </w:r>
      <w:r w:rsidR="00FE6B8B" w:rsidRPr="00A035D0">
        <w:t xml:space="preserve"> </w:t>
      </w:r>
      <w:r w:rsidRPr="00A035D0">
        <w:tab/>
        <w:t>Reports</w:t>
      </w:r>
      <w:r w:rsidR="00FE6B8B" w:rsidRPr="00A035D0">
        <w:t xml:space="preserve"> </w:t>
      </w:r>
      <w:r w:rsidRPr="00A035D0">
        <w:t>that</w:t>
      </w:r>
      <w:r w:rsidR="00FE6B8B" w:rsidRPr="00A035D0">
        <w:t xml:space="preserve"> </w:t>
      </w:r>
      <w:r w:rsidRPr="00A035D0">
        <w:t>law</w:t>
      </w:r>
      <w:r w:rsidR="00FE6B8B" w:rsidRPr="00A035D0">
        <w:t xml:space="preserve"> </w:t>
      </w:r>
      <w:r w:rsidRPr="00A035D0">
        <w:t>enforcement</w:t>
      </w:r>
      <w:r w:rsidR="00FE6B8B" w:rsidRPr="00A035D0">
        <w:t xml:space="preserve"> </w:t>
      </w:r>
      <w:r w:rsidRPr="00A035D0">
        <w:t>agencies</w:t>
      </w:r>
      <w:r w:rsidR="00FE6B8B" w:rsidRPr="00A035D0">
        <w:t xml:space="preserve"> </w:t>
      </w:r>
      <w:r w:rsidRPr="00A035D0">
        <w:t>have</w:t>
      </w:r>
      <w:r w:rsidR="00FE6B8B" w:rsidRPr="00A035D0">
        <w:t xml:space="preserve"> </w:t>
      </w:r>
      <w:r w:rsidRPr="00A035D0">
        <w:t>killed</w:t>
      </w:r>
      <w:r w:rsidR="00FE6B8B" w:rsidRPr="00A035D0">
        <w:t xml:space="preserve"> </w:t>
      </w:r>
      <w:r w:rsidRPr="00A035D0">
        <w:t>persons</w:t>
      </w:r>
      <w:r w:rsidR="00FE6B8B" w:rsidRPr="00A035D0">
        <w:t xml:space="preserve"> </w:t>
      </w:r>
      <w:r w:rsidRPr="00A035D0">
        <w:t>suspected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drug-related</w:t>
      </w:r>
      <w:r w:rsidR="00FE6B8B" w:rsidRPr="00A035D0">
        <w:t xml:space="preserve"> </w:t>
      </w:r>
      <w:r w:rsidRPr="00A035D0">
        <w:t>offences,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persons</w:t>
      </w:r>
      <w:r w:rsidR="00FE6B8B" w:rsidRPr="00A035D0">
        <w:t xml:space="preserve"> </w:t>
      </w:r>
      <w:r w:rsidRPr="00A035D0">
        <w:t>who</w:t>
      </w:r>
      <w:r w:rsidR="00FE6B8B" w:rsidRPr="00A035D0">
        <w:t xml:space="preserve"> </w:t>
      </w:r>
      <w:r w:rsidRPr="00A035D0">
        <w:t>have</w:t>
      </w:r>
      <w:r w:rsidR="00FE6B8B" w:rsidRPr="00A035D0">
        <w:t xml:space="preserve"> </w:t>
      </w:r>
      <w:r w:rsidRPr="00A035D0">
        <w:t>been</w:t>
      </w:r>
      <w:r w:rsidR="00FE6B8B" w:rsidRPr="00A035D0">
        <w:t xml:space="preserve"> “</w:t>
      </w:r>
      <w:r w:rsidRPr="00A035D0">
        <w:t>red-tagged</w:t>
      </w:r>
      <w:r w:rsidR="00FE6B8B" w:rsidRPr="00A035D0">
        <w:t xml:space="preserve">” </w:t>
      </w:r>
      <w:r w:rsidRPr="00A035D0">
        <w:t>as</w:t>
      </w:r>
      <w:r w:rsidR="00FE6B8B" w:rsidRPr="00A035D0">
        <w:t xml:space="preserve"> </w:t>
      </w:r>
      <w:r w:rsidRPr="00A035D0">
        <w:t>radical</w:t>
      </w:r>
      <w:r w:rsidR="00FE6B8B" w:rsidRPr="00A035D0">
        <w:t xml:space="preserve"> </w:t>
      </w:r>
      <w:r w:rsidRPr="00A035D0">
        <w:t>political</w:t>
      </w:r>
      <w:r w:rsidR="00FE6B8B" w:rsidRPr="00A035D0">
        <w:t xml:space="preserve"> </w:t>
      </w:r>
      <w:r w:rsidRPr="00A035D0">
        <w:t>activists</w:t>
      </w:r>
    </w:p>
    <w:p w14:paraId="6C124E2E" w14:textId="5746E00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vertAlign w:val="superscript"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Supreme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already</w:t>
      </w:r>
      <w:r w:rsidR="00FE6B8B" w:rsidRPr="00A035D0">
        <w:t xml:space="preserve"> </w:t>
      </w:r>
      <w:r w:rsidR="0087402A" w:rsidRPr="00A035D0">
        <w:t>made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ruling</w:t>
      </w:r>
      <w:r w:rsidR="00FE6B8B" w:rsidRPr="00A035D0">
        <w:t xml:space="preserve"> </w:t>
      </w:r>
      <w:r w:rsidR="0087402A" w:rsidRPr="00A035D0">
        <w:t>dismissing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“</w:t>
      </w:r>
      <w:r w:rsidR="0087402A" w:rsidRPr="00A035D0">
        <w:t>extrajudicial</w:t>
      </w:r>
      <w:r w:rsidR="00FE6B8B" w:rsidRPr="00A035D0">
        <w:t xml:space="preserve"> </w:t>
      </w:r>
      <w:r w:rsidR="0087402A" w:rsidRPr="00A035D0">
        <w:t>killings</w:t>
      </w:r>
      <w:r w:rsidR="00FE6B8B" w:rsidRPr="00A035D0">
        <w:t xml:space="preserve"> </w:t>
      </w:r>
      <w:r w:rsidR="0087402A" w:rsidRPr="00A035D0">
        <w:t>committed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anti-drug</w:t>
      </w:r>
      <w:r w:rsidR="00FE6B8B" w:rsidRPr="00A035D0">
        <w:t xml:space="preserve"> </w:t>
      </w:r>
      <w:r w:rsidR="0087402A" w:rsidRPr="00A035D0">
        <w:t>operations,</w:t>
      </w:r>
      <w:r w:rsidR="00FE6B8B" w:rsidRPr="00A035D0">
        <w:t xml:space="preserve"> “</w:t>
      </w:r>
      <w:r w:rsidR="0087402A" w:rsidRPr="00A035D0">
        <w:t>red-tagging</w:t>
      </w:r>
      <w:r w:rsidR="00FE6B8B" w:rsidRPr="00A035D0">
        <w:t xml:space="preserve">”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acquiescence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”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28</w:t>
      </w:r>
      <w:r w:rsidR="00FE6B8B" w:rsidRPr="00A035D0">
        <w:t xml:space="preserve"> </w:t>
      </w:r>
      <w:r w:rsidR="0087402A" w:rsidRPr="00A035D0">
        <w:t>June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result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non-government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(Karapatan,</w:t>
      </w:r>
      <w:r w:rsidR="00FE6B8B" w:rsidRPr="00A035D0">
        <w:t xml:space="preserve"> </w:t>
      </w:r>
      <w:r w:rsidR="0087402A" w:rsidRPr="00A035D0">
        <w:t>Rural</w:t>
      </w:r>
      <w:r w:rsidR="00FE6B8B" w:rsidRPr="00A035D0">
        <w:t xml:space="preserve"> </w:t>
      </w:r>
      <w:r w:rsidR="0087402A" w:rsidRPr="00A035D0">
        <w:t>Missionaries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Gabriela)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Amparo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Habeas</w:t>
      </w:r>
      <w:r w:rsidR="00FE6B8B" w:rsidRPr="00A035D0">
        <w:t xml:space="preserve"> </w:t>
      </w:r>
      <w:r w:rsidR="0087402A" w:rsidRPr="00A035D0">
        <w:t>Data.</w:t>
      </w:r>
    </w:p>
    <w:p w14:paraId="10C0C455" w14:textId="4A73CB3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62.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dismissed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petitioners</w:t>
      </w:r>
      <w:r w:rsidR="00FE6B8B" w:rsidRPr="00A035D0">
        <w:t xml:space="preserve"> </w:t>
      </w:r>
      <w:r w:rsidR="0087402A" w:rsidRPr="00A035D0">
        <w:t>failed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submit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comply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minimum</w:t>
      </w:r>
      <w:r w:rsidR="00FE6B8B" w:rsidRPr="00A035D0">
        <w:t xml:space="preserve"> </w:t>
      </w:r>
      <w:r w:rsidR="0087402A" w:rsidRPr="00A035D0">
        <w:t>quantum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proof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allegation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noted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Petitioners</w:t>
      </w:r>
      <w:r w:rsidR="00FE6B8B" w:rsidRPr="00A035D0">
        <w:t xml:space="preserve"> </w:t>
      </w:r>
      <w:r w:rsidR="0087402A" w:rsidRPr="00A035D0">
        <w:t>submitted</w:t>
      </w:r>
      <w:r w:rsidR="00FE6B8B" w:rsidRPr="00A035D0">
        <w:t xml:space="preserve"> </w:t>
      </w:r>
      <w:r w:rsidR="0087402A" w:rsidRPr="00A035D0">
        <w:t>mere</w:t>
      </w:r>
      <w:r w:rsidR="00FE6B8B" w:rsidRPr="00A035D0">
        <w:t xml:space="preserve"> </w:t>
      </w:r>
      <w:r w:rsidR="0087402A" w:rsidRPr="00A035D0">
        <w:t>newspaper</w:t>
      </w:r>
      <w:r w:rsidR="00FE6B8B" w:rsidRPr="00A035D0">
        <w:t xml:space="preserve"> </w:t>
      </w:r>
      <w:r w:rsidR="0087402A" w:rsidRPr="00A035D0">
        <w:t>clippings</w:t>
      </w:r>
      <w:r w:rsidR="00FE6B8B" w:rsidRPr="00A035D0">
        <w:t xml:space="preserve"> </w:t>
      </w:r>
      <w:r w:rsidR="0087402A" w:rsidRPr="00A035D0">
        <w:t>and/or</w:t>
      </w:r>
      <w:r w:rsidR="00FE6B8B" w:rsidRPr="00A035D0">
        <w:t xml:space="preserve"> </w:t>
      </w:r>
      <w:r w:rsidR="0087402A" w:rsidRPr="00A035D0">
        <w:t>articles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prove</w:t>
      </w:r>
      <w:r w:rsidR="00FE6B8B" w:rsidRPr="00A035D0">
        <w:t xml:space="preserve"> “</w:t>
      </w:r>
      <w:r w:rsidR="0087402A" w:rsidRPr="00A035D0">
        <w:t>extremely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extrajudicial</w:t>
      </w:r>
      <w:r w:rsidR="00FE6B8B" w:rsidRPr="00A035D0">
        <w:t xml:space="preserve"> </w:t>
      </w:r>
      <w:r w:rsidR="0087402A" w:rsidRPr="00A035D0">
        <w:t>killings</w:t>
      </w:r>
      <w:r w:rsidR="00FE6B8B" w:rsidRPr="00A035D0">
        <w:t xml:space="preserve"> </w:t>
      </w:r>
      <w:r w:rsidR="0087402A" w:rsidRPr="00A035D0">
        <w:t>committed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anti-drug</w:t>
      </w:r>
      <w:r w:rsidR="00FE6B8B" w:rsidRPr="00A035D0">
        <w:t xml:space="preserve"> </w:t>
      </w:r>
      <w:r w:rsidR="0087402A" w:rsidRPr="00A035D0">
        <w:t>operations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acquiescence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act</w:t>
      </w:r>
      <w:r w:rsidR="00FE6B8B" w:rsidRPr="00A035D0">
        <w:t>”</w:t>
      </w:r>
      <w:r w:rsidR="007459FE">
        <w:t>.</w:t>
      </w:r>
    </w:p>
    <w:p w14:paraId="4E38A135" w14:textId="047653A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FE6B8B" w:rsidRPr="00A035D0">
        <w:t>“</w:t>
      </w:r>
      <w:r w:rsidR="0087402A" w:rsidRPr="00A035D0">
        <w:t>First,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petitioners</w:t>
      </w:r>
      <w:r w:rsidR="00FE6B8B" w:rsidRPr="00A035D0">
        <w:t xml:space="preserve">’ </w:t>
      </w:r>
      <w:r w:rsidR="0087402A" w:rsidRPr="00A035D0">
        <w:t>general</w:t>
      </w:r>
      <w:r w:rsidR="00FE6B8B" w:rsidRPr="00A035D0">
        <w:t xml:space="preserve"> </w:t>
      </w:r>
      <w:r w:rsidR="0087402A" w:rsidRPr="00A035D0">
        <w:t>statements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some</w:t>
      </w:r>
      <w:r w:rsidR="00FE6B8B" w:rsidRPr="00A035D0">
        <w:t xml:space="preserve"> </w:t>
      </w:r>
      <w:r w:rsidR="0087402A" w:rsidRPr="00A035D0">
        <w:t>incidents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extrajudicial</w:t>
      </w:r>
      <w:r w:rsidR="00FE6B8B" w:rsidRPr="00A035D0">
        <w:t xml:space="preserve"> </w:t>
      </w:r>
      <w:r w:rsidR="0087402A" w:rsidRPr="00A035D0">
        <w:t>killings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enforced</w:t>
      </w:r>
      <w:r w:rsidR="00FE6B8B" w:rsidRPr="00A035D0">
        <w:t xml:space="preserve"> </w:t>
      </w:r>
      <w:r w:rsidR="0087402A" w:rsidRPr="00A035D0">
        <w:t>disappearances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workers</w:t>
      </w:r>
      <w:r w:rsidR="00FE6B8B" w:rsidRPr="00A035D0">
        <w:t xml:space="preserve"> </w:t>
      </w:r>
      <w:r w:rsidR="0087402A" w:rsidRPr="00A035D0">
        <w:t>happened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present</w:t>
      </w:r>
      <w:r w:rsidR="00FE6B8B" w:rsidRPr="00A035D0">
        <w:t xml:space="preserve"> </w:t>
      </w:r>
      <w:r w:rsidR="0087402A" w:rsidRPr="00A035D0">
        <w:t>administration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empty</w:t>
      </w:r>
      <w:r w:rsidR="00FE6B8B" w:rsidRPr="00A035D0">
        <w:t xml:space="preserve"> </w:t>
      </w:r>
      <w:r w:rsidR="0087402A" w:rsidRPr="00A035D0">
        <w:t>averments.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briefs</w:t>
      </w:r>
      <w:r w:rsidR="00FE6B8B" w:rsidRPr="00A035D0">
        <w:t xml:space="preserve"> </w:t>
      </w:r>
      <w:r w:rsidR="0087402A" w:rsidRPr="00A035D0">
        <w:t>attached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self-serving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entirely</w:t>
      </w:r>
      <w:r w:rsidR="00FE6B8B" w:rsidRPr="00A035D0">
        <w:t xml:space="preserve"> </w:t>
      </w:r>
      <w:r w:rsidR="0087402A" w:rsidRPr="00A035D0">
        <w:t>prepared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organizations.</w:t>
      </w:r>
      <w:r w:rsidR="00FE6B8B" w:rsidRPr="00A035D0">
        <w:t xml:space="preserve"> </w:t>
      </w:r>
      <w:r w:rsidR="0087402A" w:rsidRPr="00A035D0">
        <w:t>Verily,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petitioners</w:t>
      </w:r>
      <w:r w:rsidR="00FE6B8B" w:rsidRPr="00A035D0">
        <w:t xml:space="preserve">’ </w:t>
      </w:r>
      <w:r w:rsidR="0087402A" w:rsidRPr="00A035D0">
        <w:t>bare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facts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do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probative</w:t>
      </w:r>
      <w:r w:rsidR="00FE6B8B" w:rsidRPr="00A035D0">
        <w:t xml:space="preserve"> </w:t>
      </w:r>
      <w:r w:rsidR="0087402A" w:rsidRPr="00A035D0">
        <w:t>value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justify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extraordinary</w:t>
      </w:r>
      <w:r w:rsidR="00FE6B8B" w:rsidRPr="00A035D0">
        <w:t xml:space="preserve"> </w:t>
      </w:r>
      <w:r w:rsidR="0087402A" w:rsidRPr="00A035D0">
        <w:t>writs.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broad</w:t>
      </w:r>
      <w:r w:rsidR="00FE6B8B" w:rsidRPr="00A035D0">
        <w:t xml:space="preserve"> </w:t>
      </w:r>
      <w:r w:rsidR="0087402A" w:rsidRPr="00A035D0">
        <w:t>generalizations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threats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violations</w:t>
      </w:r>
      <w:r w:rsidR="00FE6B8B" w:rsidRPr="00A035D0">
        <w:t xml:space="preserve"> </w:t>
      </w:r>
      <w:r w:rsidR="0087402A" w:rsidRPr="00A035D0">
        <w:t>border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contemptuous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do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deserve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judicial</w:t>
      </w:r>
      <w:r w:rsidR="00FE6B8B" w:rsidRPr="00A035D0">
        <w:t xml:space="preserve"> </w:t>
      </w:r>
      <w:r w:rsidR="0087402A" w:rsidRPr="00A035D0">
        <w:t>action.</w:t>
      </w:r>
      <w:r w:rsidR="00FE6B8B" w:rsidRPr="00A035D0">
        <w:t>”</w:t>
      </w:r>
    </w:p>
    <w:p w14:paraId="6D8D4E29" w14:textId="55E31A5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courts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Judiciary,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independent</w:t>
      </w:r>
      <w:r w:rsidR="00FE6B8B" w:rsidRPr="00A035D0">
        <w:t xml:space="preserve"> </w:t>
      </w:r>
      <w:r w:rsidR="0087402A" w:rsidRPr="00A035D0">
        <w:t>co-equal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long</w:t>
      </w:r>
      <w:r w:rsidR="00FE6B8B" w:rsidRPr="00A035D0">
        <w:t xml:space="preserve"> </w:t>
      </w:r>
      <w:r w:rsidR="0087402A" w:rsidRPr="00A035D0">
        <w:t>history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holding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high-ranking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accountable.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example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independence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Ampatuan-Maguindanao</w:t>
      </w:r>
      <w:r w:rsidR="00FE6B8B" w:rsidRPr="00A035D0">
        <w:t xml:space="preserve"> </w:t>
      </w:r>
      <w:r w:rsidR="0087402A" w:rsidRPr="00A035D0">
        <w:t>Massacre</w:t>
      </w:r>
      <w:r w:rsidR="00FE6B8B" w:rsidRPr="00A035D0">
        <w:t xml:space="preserve"> </w:t>
      </w:r>
      <w:r w:rsidR="0087402A" w:rsidRPr="00A035D0">
        <w:t>verdict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held</w:t>
      </w:r>
      <w:r w:rsidR="00FE6B8B" w:rsidRPr="00A035D0">
        <w:t xml:space="preserve"> </w:t>
      </w:r>
      <w:r w:rsidR="0087402A" w:rsidRPr="00A035D0">
        <w:t>43</w:t>
      </w:r>
      <w:r w:rsidR="00FE6B8B" w:rsidRPr="00A035D0">
        <w:t xml:space="preserve"> </w:t>
      </w:r>
      <w:r w:rsidR="0087402A" w:rsidRPr="00A035D0">
        <w:t>perpetrators,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25</w:t>
      </w:r>
      <w:r w:rsidR="00FE6B8B" w:rsidRPr="00A035D0">
        <w:t xml:space="preserve"> </w:t>
      </w:r>
      <w:r w:rsidR="0087402A" w:rsidRPr="00A035D0">
        <w:t>high-ranking</w:t>
      </w:r>
      <w:r w:rsidR="00FE6B8B" w:rsidRPr="00A035D0">
        <w:t xml:space="preserve"> </w:t>
      </w:r>
      <w:r w:rsidR="0087402A" w:rsidRPr="00A035D0">
        <w:t>officials,</w:t>
      </w:r>
      <w:r w:rsidR="00FE6B8B" w:rsidRPr="00A035D0">
        <w:t xml:space="preserve"> </w:t>
      </w:r>
      <w:r w:rsidR="0087402A" w:rsidRPr="00A035D0">
        <w:t>guilty.</w:t>
      </w:r>
    </w:p>
    <w:p w14:paraId="60FC67EA" w14:textId="7EFD48E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date,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beyond</w:t>
      </w:r>
      <w:r w:rsidR="00FE6B8B" w:rsidRPr="00A035D0">
        <w:t xml:space="preserve"> </w:t>
      </w:r>
      <w:r w:rsidR="0087402A" w:rsidRPr="00A035D0">
        <w:t>newspaper</w:t>
      </w:r>
      <w:r w:rsidR="00FE6B8B" w:rsidRPr="00A035D0">
        <w:t xml:space="preserve"> </w:t>
      </w:r>
      <w:r w:rsidR="0087402A" w:rsidRPr="00A035D0">
        <w:t>clippings/</w:t>
      </w:r>
      <w:r w:rsidR="00FE6B8B" w:rsidRPr="00A035D0">
        <w:t xml:space="preserve"> </w:t>
      </w:r>
      <w:r w:rsidR="0087402A" w:rsidRPr="00A035D0">
        <w:t>articles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allow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conclude,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alleged,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“</w:t>
      </w:r>
      <w:r w:rsidR="0087402A" w:rsidRPr="00A035D0">
        <w:t>extremely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extrajudicial</w:t>
      </w:r>
      <w:r w:rsidR="00FE6B8B" w:rsidRPr="00A035D0">
        <w:t xml:space="preserve"> </w:t>
      </w:r>
      <w:r w:rsidR="0087402A" w:rsidRPr="00A035D0">
        <w:t>killings</w:t>
      </w:r>
      <w:r w:rsidR="00FE6B8B" w:rsidRPr="00A035D0">
        <w:t xml:space="preserve"> </w:t>
      </w:r>
      <w:r w:rsidR="0087402A" w:rsidRPr="00A035D0">
        <w:t>committed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anti-drug</w:t>
      </w:r>
      <w:r w:rsidR="00FE6B8B" w:rsidRPr="00A035D0">
        <w:t xml:space="preserve"> </w:t>
      </w:r>
      <w:r w:rsidR="0087402A" w:rsidRPr="00A035D0">
        <w:t>operations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acquiescence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>”</w:t>
      </w:r>
      <w:r w:rsidR="007459FE">
        <w:t>.</w:t>
      </w:r>
    </w:p>
    <w:p w14:paraId="4E2B60F0" w14:textId="32EE674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66.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Said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subject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numerous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dialogues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actively</w:t>
      </w:r>
      <w:r w:rsidR="00FE6B8B" w:rsidRPr="00A035D0">
        <w:t xml:space="preserve"> </w:t>
      </w:r>
      <w:r w:rsidR="0087402A" w:rsidRPr="00A035D0">
        <w:t>participated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officially</w:t>
      </w:r>
      <w:r w:rsidR="00FE6B8B" w:rsidRPr="00A035D0">
        <w:t xml:space="preserve"> </w:t>
      </w:r>
      <w:r w:rsidR="0087402A" w:rsidRPr="00A035D0">
        <w:t>repudiated.</w:t>
      </w:r>
      <w:r w:rsidR="0087402A" w:rsidRPr="00A035D0">
        <w:rPr>
          <w:rStyle w:val="FootnoteReference"/>
        </w:rPr>
        <w:footnoteReference w:id="13"/>
      </w:r>
    </w:p>
    <w:p w14:paraId="7311ED61" w14:textId="77777777" w:rsidR="00FE6B8B" w:rsidRPr="00A035D0" w:rsidRDefault="0087402A" w:rsidP="008350CC">
      <w:pPr>
        <w:pStyle w:val="H4G"/>
      </w:pPr>
      <w:r w:rsidRPr="00A035D0">
        <w:tab/>
        <w:t>(c)</w:t>
      </w:r>
      <w:r w:rsidR="00FE6B8B" w:rsidRPr="00A035D0">
        <w:t xml:space="preserve"> </w:t>
      </w:r>
      <w:r w:rsidRPr="00A035D0">
        <w:tab/>
        <w:t>Reports</w:t>
      </w:r>
      <w:r w:rsidR="00FE6B8B" w:rsidRPr="00A035D0">
        <w:t xml:space="preserve"> </w:t>
      </w:r>
      <w:r w:rsidRPr="00A035D0">
        <w:t>that</w:t>
      </w:r>
      <w:r w:rsidR="00FE6B8B" w:rsidRPr="00A035D0">
        <w:t xml:space="preserve"> </w:t>
      </w:r>
      <w:r w:rsidRPr="00A035D0">
        <w:t>children</w:t>
      </w:r>
      <w:r w:rsidR="00FE6B8B" w:rsidRPr="00A035D0">
        <w:t xml:space="preserve"> </w:t>
      </w:r>
      <w:r w:rsidRPr="00A035D0">
        <w:t>have</w:t>
      </w:r>
      <w:r w:rsidR="00FE6B8B" w:rsidRPr="00A035D0">
        <w:t xml:space="preserve"> </w:t>
      </w:r>
      <w:r w:rsidRPr="00A035D0">
        <w:t>been</w:t>
      </w:r>
      <w:r w:rsidR="00FE6B8B" w:rsidRPr="00A035D0">
        <w:t xml:space="preserve"> </w:t>
      </w:r>
      <w:r w:rsidRPr="00A035D0">
        <w:t>killed</w:t>
      </w:r>
      <w:r w:rsidR="00FE6B8B" w:rsidRPr="00A035D0">
        <w:t xml:space="preserve"> </w:t>
      </w:r>
      <w:r w:rsidRPr="00A035D0">
        <w:t>during</w:t>
      </w:r>
      <w:r w:rsidR="00FE6B8B" w:rsidRPr="00A035D0">
        <w:t xml:space="preserve"> </w:t>
      </w:r>
      <w:r w:rsidRPr="00A035D0">
        <w:t>anti-drug</w:t>
      </w:r>
      <w:r w:rsidR="00FE6B8B" w:rsidRPr="00A035D0">
        <w:t xml:space="preserve"> </w:t>
      </w:r>
      <w:r w:rsidRPr="00A035D0">
        <w:t>operations</w:t>
      </w:r>
      <w:r w:rsidR="00FE6B8B" w:rsidRPr="00A035D0">
        <w:t xml:space="preserve"> </w:t>
      </w:r>
      <w:r w:rsidRPr="00A035D0">
        <w:t>targeting</w:t>
      </w:r>
      <w:r w:rsidR="00FE6B8B" w:rsidRPr="00A035D0">
        <w:t xml:space="preserve"> </w:t>
      </w:r>
      <w:r w:rsidRPr="00A035D0">
        <w:t>their</w:t>
      </w:r>
      <w:r w:rsidR="00FE6B8B" w:rsidRPr="00A035D0">
        <w:t xml:space="preserve"> </w:t>
      </w:r>
      <w:r w:rsidRPr="00A035D0">
        <w:t>family</w:t>
      </w:r>
      <w:r w:rsidR="00FE6B8B" w:rsidRPr="00A035D0">
        <w:t xml:space="preserve"> </w:t>
      </w:r>
      <w:r w:rsidRPr="00A035D0">
        <w:t>members</w:t>
      </w:r>
      <w:r w:rsidR="00FE6B8B" w:rsidRPr="00A035D0">
        <w:t xml:space="preserve"> </w:t>
      </w:r>
      <w:r w:rsidRPr="00A035D0">
        <w:t>and/or</w:t>
      </w:r>
      <w:r w:rsidR="00FE6B8B" w:rsidRPr="00A035D0">
        <w:t xml:space="preserve"> </w:t>
      </w:r>
      <w:r w:rsidRPr="00A035D0">
        <w:t>have</w:t>
      </w:r>
      <w:r w:rsidR="00FE6B8B" w:rsidRPr="00A035D0">
        <w:t xml:space="preserve"> </w:t>
      </w:r>
      <w:r w:rsidRPr="00A035D0">
        <w:t>witnessed</w:t>
      </w:r>
      <w:r w:rsidR="00FE6B8B" w:rsidRPr="00A035D0">
        <w:t xml:space="preserve"> </w:t>
      </w:r>
      <w:r w:rsidRPr="00A035D0">
        <w:t>killings</w:t>
      </w:r>
    </w:p>
    <w:p w14:paraId="3ED86112" w14:textId="2BC8018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Contradictory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killed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anti-drug</w:t>
      </w:r>
      <w:r w:rsidR="00FE6B8B" w:rsidRPr="00A035D0">
        <w:t xml:space="preserve"> </w:t>
      </w:r>
      <w:r w:rsidR="0087402A" w:rsidRPr="00A035D0">
        <w:t>operations.</w:t>
      </w:r>
    </w:p>
    <w:p w14:paraId="0E10CEED" w14:textId="4600E7C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3,978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rescued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anti-illegal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2021</w:t>
      </w:r>
      <w:r w:rsidR="00FE6B8B" w:rsidRPr="00A035D0">
        <w:t xml:space="preserve"> </w:t>
      </w:r>
      <w:r w:rsidR="0087402A" w:rsidRPr="00A035D0">
        <w:t>broken</w:t>
      </w:r>
      <w:r w:rsidR="00FE6B8B" w:rsidRPr="00A035D0">
        <w:t xml:space="preserve"> </w:t>
      </w:r>
      <w:r w:rsidR="0087402A" w:rsidRPr="00A035D0">
        <w:t>down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follows</w:t>
      </w:r>
    </w:p>
    <w:p w14:paraId="6FA95B97" w14:textId="0638A43A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2,346</w:t>
      </w:r>
      <w:r w:rsidR="00FE6B8B" w:rsidRPr="00A035D0">
        <w:t xml:space="preserve"> </w:t>
      </w:r>
      <w:r w:rsidR="0087402A" w:rsidRPr="00A035D0">
        <w:t>illegal-drug</w:t>
      </w:r>
      <w:r w:rsidR="00FE6B8B" w:rsidRPr="00A035D0">
        <w:t xml:space="preserve"> </w:t>
      </w:r>
      <w:r w:rsidR="0087402A" w:rsidRPr="00A035D0">
        <w:t>pushers,</w:t>
      </w:r>
    </w:p>
    <w:p w14:paraId="57594070" w14:textId="38EA0E70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951</w:t>
      </w:r>
      <w:r w:rsidR="00FE6B8B" w:rsidRPr="00A035D0">
        <w:t xml:space="preserve"> </w:t>
      </w:r>
      <w:r w:rsidR="0087402A" w:rsidRPr="00A035D0">
        <w:t>illegal-drug</w:t>
      </w:r>
      <w:r w:rsidR="00FE6B8B" w:rsidRPr="00A035D0">
        <w:t xml:space="preserve"> </w:t>
      </w:r>
      <w:r w:rsidR="0087402A" w:rsidRPr="00A035D0">
        <w:t>possessors,</w:t>
      </w:r>
    </w:p>
    <w:p w14:paraId="34D72180" w14:textId="2009F433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429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users</w:t>
      </w:r>
    </w:p>
    <w:p w14:paraId="3C2CFF32" w14:textId="341EE37D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222</w:t>
      </w:r>
      <w:r w:rsidR="00FE6B8B" w:rsidRPr="00A035D0">
        <w:t xml:space="preserve"> </w:t>
      </w:r>
      <w:r w:rsidR="0087402A" w:rsidRPr="00A035D0">
        <w:t>illegal-drug</w:t>
      </w:r>
      <w:r w:rsidR="00FE6B8B" w:rsidRPr="00A035D0">
        <w:t xml:space="preserve"> </w:t>
      </w:r>
      <w:r w:rsidR="0087402A" w:rsidRPr="00A035D0">
        <w:t>den</w:t>
      </w:r>
      <w:r w:rsidR="00FE6B8B" w:rsidRPr="00A035D0">
        <w:t xml:space="preserve"> </w:t>
      </w:r>
      <w:r w:rsidR="0087402A" w:rsidRPr="00A035D0">
        <w:t>visitors</w:t>
      </w:r>
    </w:p>
    <w:p w14:paraId="2546F6E2" w14:textId="3EC203F7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16</w:t>
      </w:r>
      <w:r w:rsidR="00FE6B8B" w:rsidRPr="00A035D0">
        <w:t xml:space="preserve"> </w:t>
      </w:r>
      <w:r w:rsidR="0087402A" w:rsidRPr="00A035D0">
        <w:t>illegal-drug</w:t>
      </w:r>
      <w:r w:rsidR="00FE6B8B" w:rsidRPr="00A035D0">
        <w:t xml:space="preserve"> </w:t>
      </w:r>
      <w:r w:rsidR="0087402A" w:rsidRPr="00A035D0">
        <w:t>den</w:t>
      </w:r>
      <w:r w:rsidR="00FE6B8B" w:rsidRPr="00A035D0">
        <w:t xml:space="preserve"> </w:t>
      </w:r>
      <w:r w:rsidR="0087402A" w:rsidRPr="00A035D0">
        <w:t>employees</w:t>
      </w:r>
    </w:p>
    <w:p w14:paraId="15A5B6D0" w14:textId="7C36009A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9</w:t>
      </w:r>
      <w:r w:rsidR="00FE6B8B" w:rsidRPr="00A035D0">
        <w:t xml:space="preserve"> </w:t>
      </w:r>
      <w:r w:rsidR="0087402A" w:rsidRPr="00A035D0">
        <w:t>illegal-drug</w:t>
      </w:r>
      <w:r w:rsidR="00FE6B8B" w:rsidRPr="00A035D0">
        <w:t xml:space="preserve"> </w:t>
      </w:r>
      <w:r w:rsidR="0087402A" w:rsidRPr="00A035D0">
        <w:t>maintainers</w:t>
      </w:r>
    </w:p>
    <w:p w14:paraId="1B7D9DAD" w14:textId="6E9599B1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2</w:t>
      </w:r>
      <w:r w:rsidR="00FE6B8B" w:rsidRPr="00A035D0">
        <w:t xml:space="preserve"> </w:t>
      </w:r>
      <w:r w:rsidR="0087402A" w:rsidRPr="00A035D0">
        <w:t>illegal-drug</w:t>
      </w:r>
      <w:r w:rsidR="00FE6B8B" w:rsidRPr="00A035D0">
        <w:t xml:space="preserve"> </w:t>
      </w:r>
      <w:r w:rsidR="0087402A" w:rsidRPr="00A035D0">
        <w:t>cultivator</w:t>
      </w:r>
    </w:p>
    <w:p w14:paraId="3D16AF78" w14:textId="49056236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2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runners</w:t>
      </w:r>
    </w:p>
    <w:p w14:paraId="2A565C39" w14:textId="789A0D83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Style w:val="FootnoteReference"/>
        </w:rPr>
      </w:pPr>
      <w:r w:rsidRPr="00A035D0">
        <w:rPr>
          <w:rStyle w:val="FootnoteReference"/>
          <w:sz w:val="20"/>
        </w:rPr>
        <w:t>•</w:t>
      </w:r>
      <w:r w:rsidRPr="00A035D0">
        <w:rPr>
          <w:rStyle w:val="FootnoteReference"/>
          <w:sz w:val="20"/>
        </w:rPr>
        <w:tab/>
      </w:r>
      <w:r w:rsidR="0087402A" w:rsidRPr="00A035D0">
        <w:t>1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clan</w:t>
      </w:r>
      <w:r w:rsidR="00FE6B8B" w:rsidRPr="00A035D0">
        <w:t xml:space="preserve"> </w:t>
      </w:r>
      <w:r w:rsidR="0087402A" w:rsidRPr="00A035D0">
        <w:t>laboratory</w:t>
      </w:r>
      <w:r w:rsidR="00FE6B8B" w:rsidRPr="00A035D0">
        <w:t xml:space="preserve"> </w:t>
      </w:r>
      <w:r w:rsidR="0087402A" w:rsidRPr="00A035D0">
        <w:t>employee</w:t>
      </w:r>
      <w:r w:rsidR="0087402A" w:rsidRPr="00A035D0">
        <w:rPr>
          <w:rStyle w:val="FootnoteReference"/>
        </w:rPr>
        <w:footnoteReference w:id="14"/>
      </w:r>
    </w:p>
    <w:p w14:paraId="4E1CB113" w14:textId="6CFFC4F3" w:rsidR="0087402A" w:rsidRPr="00A035D0" w:rsidRDefault="0087402A" w:rsidP="008350CC">
      <w:pPr>
        <w:pStyle w:val="H4G"/>
      </w:pPr>
      <w:r w:rsidRPr="00A035D0">
        <w:tab/>
        <w:t>(d)</w:t>
      </w:r>
      <w:r w:rsidR="00FE6B8B" w:rsidRPr="00A035D0">
        <w:t xml:space="preserve"> </w:t>
      </w:r>
      <w:r w:rsidRPr="00A035D0">
        <w:tab/>
        <w:t>Publicly</w:t>
      </w:r>
      <w:r w:rsidR="00FE6B8B" w:rsidRPr="00A035D0">
        <w:t xml:space="preserve"> </w:t>
      </w:r>
      <w:r w:rsidRPr="00A035D0">
        <w:t>encouraged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extrajudicial</w:t>
      </w:r>
      <w:r w:rsidR="00FE6B8B" w:rsidRPr="00A035D0">
        <w:t xml:space="preserve"> </w:t>
      </w:r>
      <w:r w:rsidRPr="00A035D0">
        <w:t>killing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persons</w:t>
      </w:r>
      <w:r w:rsidR="00FE6B8B" w:rsidRPr="00A035D0">
        <w:t xml:space="preserve"> </w:t>
      </w:r>
      <w:r w:rsidRPr="00A035D0">
        <w:t>suspected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using</w:t>
      </w:r>
      <w:r w:rsidR="00FE6B8B" w:rsidRPr="00A035D0">
        <w:t xml:space="preserve"> </w:t>
      </w:r>
      <w:r w:rsidRPr="00A035D0">
        <w:t>or</w:t>
      </w:r>
      <w:r w:rsidR="00FE6B8B" w:rsidRPr="00A035D0">
        <w:t xml:space="preserve"> </w:t>
      </w:r>
      <w:r w:rsidRPr="00A035D0">
        <w:t>selling</w:t>
      </w:r>
      <w:r w:rsidR="00FE6B8B" w:rsidRPr="00A035D0">
        <w:t xml:space="preserve"> </w:t>
      </w:r>
      <w:r w:rsidRPr="00A035D0">
        <w:t>illegal</w:t>
      </w:r>
      <w:r w:rsidR="00FE6B8B" w:rsidRPr="00A035D0">
        <w:t xml:space="preserve"> </w:t>
      </w:r>
      <w:r w:rsidRPr="00A035D0">
        <w:t>drugs</w:t>
      </w:r>
    </w:p>
    <w:p w14:paraId="1C47A92E" w14:textId="01DF8FB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Head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consistently</w:t>
      </w:r>
      <w:r w:rsidR="00FE6B8B" w:rsidRPr="00A035D0">
        <w:t xml:space="preserve"> </w:t>
      </w:r>
      <w:r w:rsidR="0087402A" w:rsidRPr="00A035D0">
        <w:t>orders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enforcement</w:t>
      </w:r>
      <w:r w:rsidR="00FE6B8B" w:rsidRPr="00A035D0">
        <w:t xml:space="preserve"> </w:t>
      </w:r>
      <w:r w:rsidR="0087402A" w:rsidRPr="00A035D0">
        <w:t>bodies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stop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drugs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means,</w:t>
      </w:r>
      <w:r w:rsidR="00FE6B8B" w:rsidRPr="00A035D0">
        <w:t xml:space="preserve"> </w:t>
      </w:r>
      <w:r w:rsidR="0087402A" w:rsidRPr="00A035D0">
        <w:t>acknowledges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should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carried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bounds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due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law.</w:t>
      </w:r>
    </w:p>
    <w:p w14:paraId="5959ECB7" w14:textId="7B0B76F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70.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arrest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273,014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result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188,603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enforcement</w:t>
      </w:r>
      <w:r w:rsidR="00FE6B8B" w:rsidRPr="00A035D0">
        <w:t xml:space="preserve"> </w:t>
      </w:r>
      <w:r w:rsidR="0087402A" w:rsidRPr="00A035D0">
        <w:t>operations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testimony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respect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rule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repudiating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encouragement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killings.</w:t>
      </w:r>
      <w:r w:rsidR="0087402A" w:rsidRPr="00A035D0">
        <w:rPr>
          <w:rStyle w:val="FootnoteReference"/>
        </w:rPr>
        <w:footnoteReference w:id="15"/>
      </w:r>
    </w:p>
    <w:p w14:paraId="69DB192C" w14:textId="4375034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Existing</w:t>
      </w:r>
      <w:r w:rsidR="00FE6B8B" w:rsidRPr="00A035D0">
        <w:t xml:space="preserve"> </w:t>
      </w:r>
      <w:r w:rsidR="0087402A" w:rsidRPr="00A035D0">
        <w:t>mechanisms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place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put</w:t>
      </w:r>
      <w:r w:rsidR="00FE6B8B" w:rsidRPr="00A035D0">
        <w:t xml:space="preserve"> </w:t>
      </w:r>
      <w:r w:rsidR="0087402A" w:rsidRPr="00A035D0">
        <w:t>premium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conducting</w:t>
      </w:r>
      <w:r w:rsidR="00FE6B8B" w:rsidRPr="00A035D0">
        <w:t xml:space="preserve"> </w:t>
      </w:r>
      <w:r w:rsidR="0087402A" w:rsidRPr="00A035D0">
        <w:t>investigations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violations.</w:t>
      </w:r>
      <w:r w:rsidR="00FE6B8B" w:rsidRPr="00A035D0">
        <w:t xml:space="preserve"> </w:t>
      </w:r>
      <w:r w:rsidR="0087402A" w:rsidRPr="00A035D0">
        <w:t>Noteworthy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mention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automatic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investigation,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motu</w:t>
      </w:r>
      <w:r w:rsidR="00FE6B8B" w:rsidRPr="00A035D0">
        <w:t xml:space="preserve"> </w:t>
      </w:r>
      <w:r w:rsidR="0087402A" w:rsidRPr="00A035D0">
        <w:t>proprio</w:t>
      </w:r>
      <w:r w:rsidR="00FE6B8B" w:rsidRPr="00A035D0">
        <w:t xml:space="preserve"> </w:t>
      </w:r>
      <w:r w:rsidR="0087402A" w:rsidRPr="00A035D0">
        <w:t>investigation,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enforcement</w:t>
      </w:r>
      <w:r w:rsidR="00FE6B8B" w:rsidRPr="00A035D0">
        <w:t xml:space="preserve"> </w:t>
      </w:r>
      <w:r w:rsidR="0087402A" w:rsidRPr="00A035D0">
        <w:t>agencies.</w:t>
      </w:r>
    </w:p>
    <w:p w14:paraId="15618E05" w14:textId="66E03C4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promote</w:t>
      </w:r>
      <w:r w:rsidR="00FE6B8B" w:rsidRPr="00A035D0">
        <w:t xml:space="preserve"> </w:t>
      </w:r>
      <w:r w:rsidR="0087402A" w:rsidRPr="00A035D0">
        <w:t>integrity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anti-illegal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operations,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Enforcement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(PDEA)</w:t>
      </w:r>
      <w:r w:rsidR="00FE6B8B" w:rsidRPr="00A035D0">
        <w:t xml:space="preserve"> </w:t>
      </w:r>
      <w:r w:rsidR="0087402A" w:rsidRPr="00A035D0">
        <w:t>requires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operatives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wear</w:t>
      </w:r>
      <w:r w:rsidR="00FE6B8B" w:rsidRPr="00A035D0">
        <w:t xml:space="preserve"> </w:t>
      </w:r>
      <w:r w:rsidR="0087402A" w:rsidRPr="00A035D0">
        <w:t>body</w:t>
      </w:r>
      <w:r w:rsidR="00FE6B8B" w:rsidRPr="00A035D0">
        <w:t xml:space="preserve"> </w:t>
      </w:r>
      <w:r w:rsidR="0087402A" w:rsidRPr="00A035D0">
        <w:t>cameras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anti-drug</w:t>
      </w:r>
      <w:r w:rsidR="00FE6B8B" w:rsidRPr="00A035D0">
        <w:t xml:space="preserve"> </w:t>
      </w:r>
      <w:r w:rsidR="0087402A" w:rsidRPr="00A035D0">
        <w:t>operations.</w:t>
      </w:r>
      <w:r w:rsidR="00FE6B8B" w:rsidRPr="00A035D0">
        <w:t xml:space="preserve"> </w:t>
      </w:r>
      <w:r w:rsidR="0087402A" w:rsidRPr="00A035D0">
        <w:t>Further,</w:t>
      </w:r>
      <w:r w:rsidR="00FE6B8B" w:rsidRPr="00A035D0">
        <w:t xml:space="preserve"> </w:t>
      </w:r>
      <w:r w:rsidR="0087402A" w:rsidRPr="00A035D0">
        <w:t>PDEA</w:t>
      </w:r>
      <w:r w:rsidR="00FE6B8B" w:rsidRPr="00A035D0">
        <w:t xml:space="preserve"> </w:t>
      </w:r>
      <w:r w:rsidR="0087402A" w:rsidRPr="00A035D0">
        <w:t>immediately</w:t>
      </w:r>
      <w:r w:rsidR="00FE6B8B" w:rsidRPr="00A035D0">
        <w:t xml:space="preserve"> </w:t>
      </w:r>
      <w:r w:rsidR="0087402A" w:rsidRPr="00A035D0">
        <w:t>investigates</w:t>
      </w:r>
      <w:r w:rsidR="00FE6B8B" w:rsidRPr="00A035D0">
        <w:t xml:space="preserve"> </w:t>
      </w:r>
      <w:r w:rsidR="0087402A" w:rsidRPr="00A035D0">
        <w:t>reports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violations.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31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investigated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determined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absence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violations.</w:t>
      </w:r>
    </w:p>
    <w:p w14:paraId="5A9211E8" w14:textId="5FBCBE5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73.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For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part,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(PNP)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publicly</w:t>
      </w:r>
      <w:r w:rsidR="00FE6B8B" w:rsidRPr="00A035D0">
        <w:t xml:space="preserve"> </w:t>
      </w:r>
      <w:r w:rsidR="0087402A" w:rsidRPr="00A035D0">
        <w:t>underscored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killing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never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never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organization.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leadership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firm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uncompromising</w:t>
      </w:r>
      <w:r w:rsidR="00FE6B8B" w:rsidRPr="00A035D0">
        <w:t xml:space="preserve"> </w:t>
      </w:r>
      <w:r w:rsidR="0087402A" w:rsidRPr="00A035D0">
        <w:t>stand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unequivocally</w:t>
      </w:r>
      <w:r w:rsidR="00FE6B8B" w:rsidRPr="00A035D0">
        <w:t xml:space="preserve"> </w:t>
      </w:r>
      <w:r w:rsidR="0087402A" w:rsidRPr="00A035D0">
        <w:t>condemn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unlawful</w:t>
      </w:r>
      <w:r w:rsidR="00FE6B8B" w:rsidRPr="00A035D0">
        <w:t xml:space="preserve"> </w:t>
      </w:r>
      <w:r w:rsidR="0087402A" w:rsidRPr="00A035D0">
        <w:t>killings.</w:t>
      </w:r>
      <w:r w:rsidR="00FE6B8B" w:rsidRPr="00A035D0">
        <w:t xml:space="preserve"> </w:t>
      </w:r>
      <w:r w:rsidR="0087402A" w:rsidRPr="00A035D0">
        <w:t>Worthy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emphasize</w:t>
      </w:r>
      <w:r w:rsidR="00FE6B8B" w:rsidRPr="00A035D0">
        <w:t xml:space="preserve"> </w:t>
      </w:r>
      <w:r w:rsidR="0087402A" w:rsidRPr="00A035D0">
        <w:t>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operations,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serving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search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arrest</w:t>
      </w:r>
      <w:r w:rsidR="00FE6B8B" w:rsidRPr="00A035D0">
        <w:t xml:space="preserve"> </w:t>
      </w:r>
      <w:r w:rsidR="0087402A" w:rsidRPr="00A035D0">
        <w:t>warrant,</w:t>
      </w:r>
      <w:r w:rsidR="00FE6B8B" w:rsidRPr="00A035D0">
        <w:t xml:space="preserve"> </w:t>
      </w:r>
      <w:r w:rsidR="0087402A" w:rsidRPr="00A035D0">
        <w:t>buy</w:t>
      </w:r>
      <w:r w:rsidR="00FE6B8B" w:rsidRPr="00A035D0">
        <w:t xml:space="preserve"> </w:t>
      </w:r>
      <w:r w:rsidR="0087402A" w:rsidRPr="00A035D0">
        <w:t>bust</w:t>
      </w:r>
      <w:r w:rsidR="00FE6B8B" w:rsidRPr="00A035D0">
        <w:t xml:space="preserve"> </w:t>
      </w:r>
      <w:r w:rsidR="0087402A" w:rsidRPr="00A035D0">
        <w:t>operations,</w:t>
      </w:r>
      <w:r w:rsidR="00FE6B8B" w:rsidRPr="00A035D0">
        <w:t xml:space="preserve"> </w:t>
      </w:r>
      <w:r w:rsidR="0087402A" w:rsidRPr="00A035D0">
        <w:t>patrolling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checkpoints,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objective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kill</w:t>
      </w:r>
      <w:r w:rsidR="00FE6B8B" w:rsidRPr="00A035D0">
        <w:t xml:space="preserve"> </w:t>
      </w:r>
      <w:r w:rsidR="0087402A" w:rsidRPr="00A035D0">
        <w:t>anyone</w:t>
      </w:r>
      <w:r w:rsidR="00FE6B8B" w:rsidRPr="00A035D0">
        <w:t xml:space="preserve"> </w:t>
      </w:r>
      <w:r w:rsidR="0087402A" w:rsidRPr="00A035D0">
        <w:t>but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arrest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suspect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crimes.</w:t>
      </w:r>
      <w:r w:rsidR="0087402A" w:rsidRPr="00A035D0">
        <w:rPr>
          <w:rStyle w:val="FootnoteReference"/>
        </w:rPr>
        <w:footnoteReference w:id="16"/>
      </w:r>
    </w:p>
    <w:p w14:paraId="30C5E50C" w14:textId="04CDA19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74.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Ampatuan</w:t>
      </w:r>
      <w:r w:rsidR="00FE6B8B" w:rsidRPr="00A035D0">
        <w:t xml:space="preserve"> </w:t>
      </w:r>
      <w:r w:rsidR="0087402A" w:rsidRPr="00A035D0">
        <w:t>Maguindanao</w:t>
      </w:r>
      <w:r w:rsidR="00FE6B8B" w:rsidRPr="00A035D0">
        <w:t xml:space="preserve"> </w:t>
      </w:r>
      <w:r w:rsidR="0087402A" w:rsidRPr="00A035D0">
        <w:t>Massacre</w:t>
      </w:r>
      <w:r w:rsidR="00FE6B8B" w:rsidRPr="00A035D0">
        <w:t xml:space="preserve"> </w:t>
      </w:r>
      <w:r w:rsidR="0087402A" w:rsidRPr="00A035D0">
        <w:t>Verdict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19</w:t>
      </w:r>
      <w:r w:rsidR="00FE6B8B" w:rsidRPr="00A035D0">
        <w:t xml:space="preserve"> </w:t>
      </w:r>
      <w:r w:rsidR="0087402A" w:rsidRPr="00A035D0">
        <w:t>December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convicting</w:t>
      </w:r>
      <w:r w:rsidR="00FE6B8B" w:rsidRPr="00A035D0">
        <w:t xml:space="preserve"> </w:t>
      </w:r>
      <w:r w:rsidR="0087402A" w:rsidRPr="00A035D0">
        <w:t>43</w:t>
      </w:r>
      <w:r w:rsidR="00FE6B8B" w:rsidRPr="00A035D0">
        <w:t xml:space="preserve"> </w:t>
      </w:r>
      <w:r w:rsidR="0087402A" w:rsidRPr="00A035D0">
        <w:t>perpetrators</w:t>
      </w:r>
      <w:r w:rsidR="00FE6B8B" w:rsidRPr="00A035D0">
        <w:t xml:space="preserve"> </w:t>
      </w:r>
      <w:r w:rsidR="0087402A" w:rsidRPr="00A035D0">
        <w:t>together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accomplices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statement</w:t>
      </w:r>
      <w:r w:rsidR="00FE6B8B" w:rsidRPr="00A035D0">
        <w:t xml:space="preserve"> </w:t>
      </w:r>
      <w:r w:rsidR="0087402A" w:rsidRPr="00A035D0">
        <w:t>unambiguously</w:t>
      </w:r>
      <w:r w:rsidR="00FE6B8B" w:rsidRPr="00A035D0">
        <w:t xml:space="preserve"> </w:t>
      </w:r>
      <w:r w:rsidR="0087402A" w:rsidRPr="00A035D0">
        <w:t>affirming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extrajudicial</w:t>
      </w:r>
      <w:r w:rsidR="00FE6B8B" w:rsidRPr="00A035D0">
        <w:t xml:space="preserve"> </w:t>
      </w:r>
      <w:r w:rsidR="0087402A" w:rsidRPr="00A035D0">
        <w:t>killings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encouraged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committing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participating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acting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accomplice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held</w:t>
      </w:r>
      <w:r w:rsidR="00FE6B8B" w:rsidRPr="00A035D0">
        <w:t xml:space="preserve"> </w:t>
      </w:r>
      <w:r w:rsidR="0087402A" w:rsidRPr="00A035D0">
        <w:t>personally</w:t>
      </w:r>
      <w:r w:rsidR="00FE6B8B" w:rsidRPr="00A035D0">
        <w:t xml:space="preserve"> </w:t>
      </w:r>
      <w:r w:rsidR="0087402A" w:rsidRPr="00A035D0">
        <w:t>accountable</w:t>
      </w:r>
      <w:r w:rsidR="00FE6B8B" w:rsidRPr="00A035D0">
        <w:t xml:space="preserve"> </w:t>
      </w:r>
      <w:r w:rsidR="0087402A" w:rsidRPr="00A035D0">
        <w:t>before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liable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penalties.</w:t>
      </w:r>
      <w:r w:rsidR="0087402A" w:rsidRPr="00A035D0">
        <w:rPr>
          <w:rStyle w:val="FootnoteReference"/>
        </w:rPr>
        <w:footnoteReference w:id="17"/>
      </w:r>
    </w:p>
    <w:p w14:paraId="32F0C930" w14:textId="571CDE31" w:rsidR="0087402A" w:rsidRPr="00A035D0" w:rsidRDefault="0087402A" w:rsidP="008E2D49">
      <w:pPr>
        <w:pStyle w:val="H4G"/>
      </w:pPr>
      <w:r w:rsidRPr="00A035D0">
        <w:tab/>
        <w:t>(e)</w:t>
      </w:r>
      <w:r w:rsidR="00FE6B8B" w:rsidRPr="00A035D0">
        <w:t xml:space="preserve"> </w:t>
      </w:r>
      <w:r w:rsidRPr="00A035D0">
        <w:tab/>
        <w:t>Reports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obstacles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filing</w:t>
      </w:r>
      <w:r w:rsidR="00FE6B8B" w:rsidRPr="00A035D0">
        <w:t xml:space="preserve"> </w:t>
      </w:r>
      <w:r w:rsidRPr="00A035D0">
        <w:t>cases</w:t>
      </w:r>
      <w:r w:rsidR="00FE6B8B" w:rsidRPr="00A035D0">
        <w:t xml:space="preserve"> </w:t>
      </w:r>
      <w:r w:rsidRPr="00A035D0">
        <w:t>against</w:t>
      </w:r>
      <w:r w:rsidR="00FE6B8B" w:rsidRPr="00A035D0">
        <w:t xml:space="preserve"> </w:t>
      </w:r>
      <w:r w:rsidRPr="00A035D0">
        <w:t>perpetrators</w:t>
      </w:r>
    </w:p>
    <w:p w14:paraId="0EC1F57B" w14:textId="5636865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Actions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Head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visiting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perpetrators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documented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covered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independent</w:t>
      </w:r>
      <w:r w:rsidR="00FE6B8B" w:rsidRPr="00A035D0">
        <w:t xml:space="preserve"> </w:t>
      </w:r>
      <w:r w:rsidR="0087402A" w:rsidRPr="00A035D0">
        <w:t>media</w:t>
      </w:r>
      <w:r w:rsidR="00FE6B8B" w:rsidRPr="00A035D0">
        <w:t xml:space="preserve"> </w:t>
      </w:r>
      <w:r w:rsidR="0087402A" w:rsidRPr="00A035D0">
        <w:t>companies.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led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dismissals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convictions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erring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officers.</w:t>
      </w:r>
    </w:p>
    <w:p w14:paraId="246BD15D" w14:textId="6E0879D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76.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No</w:t>
      </w:r>
      <w:r w:rsidR="00FE6B8B" w:rsidRPr="00A035D0">
        <w:t xml:space="preserve"> </w:t>
      </w:r>
      <w:r w:rsidR="0087402A" w:rsidRPr="00A035D0">
        <w:t>less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himself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publicly</w:t>
      </w:r>
      <w:r w:rsidR="00FE6B8B" w:rsidRPr="00A035D0">
        <w:t xml:space="preserve"> </w:t>
      </w:r>
      <w:r w:rsidR="0087402A" w:rsidRPr="00A035D0">
        <w:t>condemned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killing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minor</w:t>
      </w:r>
      <w:r w:rsidR="00FE6B8B" w:rsidRPr="00A035D0">
        <w:t xml:space="preserve"> </w:t>
      </w:r>
      <w:r w:rsidR="0087402A" w:rsidRPr="00A035D0">
        <w:t>Kian</w:t>
      </w:r>
      <w:r w:rsidR="00FE6B8B" w:rsidRPr="00A035D0">
        <w:t xml:space="preserve"> </w:t>
      </w:r>
      <w:r w:rsidR="0087402A" w:rsidRPr="00A035D0">
        <w:t>delos</w:t>
      </w:r>
      <w:r w:rsidR="00FE6B8B" w:rsidRPr="00A035D0">
        <w:t xml:space="preserve"> </w:t>
      </w:r>
      <w:r w:rsidR="0087402A" w:rsidRPr="00A035D0">
        <w:t>Santos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ordered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thorough</w:t>
      </w:r>
      <w:r w:rsidR="00FE6B8B" w:rsidRPr="00A035D0">
        <w:t xml:space="preserve"> </w:t>
      </w:r>
      <w:r w:rsidR="0087402A" w:rsidRPr="00A035D0">
        <w:t>investigation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killing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21</w:t>
      </w:r>
      <w:r w:rsidR="00FE6B8B" w:rsidRPr="00A035D0">
        <w:t xml:space="preserve"> </w:t>
      </w:r>
      <w:r w:rsidR="0087402A" w:rsidRPr="00A035D0">
        <w:t>August</w:t>
      </w:r>
      <w:r w:rsidR="00FE6B8B" w:rsidRPr="00A035D0">
        <w:t xml:space="preserve"> </w:t>
      </w:r>
      <w:r w:rsidR="0087402A" w:rsidRPr="00A035D0">
        <w:t>2017</w:t>
      </w:r>
      <w:r w:rsidR="00FE6B8B" w:rsidRPr="00A035D0">
        <w:t xml:space="preserve"> </w:t>
      </w:r>
      <w:r w:rsidR="0087402A" w:rsidRPr="00A035D0">
        <w:t>after</w:t>
      </w:r>
      <w:r w:rsidR="00FE6B8B" w:rsidRPr="00A035D0">
        <w:t xml:space="preserve"> </w:t>
      </w:r>
      <w:r w:rsidR="0087402A" w:rsidRPr="00A035D0">
        <w:t>personally</w:t>
      </w:r>
      <w:r w:rsidR="00FE6B8B" w:rsidRPr="00A035D0">
        <w:t xml:space="preserve"> </w:t>
      </w:r>
      <w:r w:rsidR="0087402A" w:rsidRPr="00A035D0">
        <w:t>meeting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victim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parents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28</w:t>
      </w:r>
      <w:r w:rsidR="00FE6B8B" w:rsidRPr="00A035D0">
        <w:t xml:space="preserve"> </w:t>
      </w:r>
      <w:r w:rsidR="0087402A" w:rsidRPr="00A035D0">
        <w:t>August</w:t>
      </w:r>
      <w:r w:rsidR="00FE6B8B" w:rsidRPr="00A035D0">
        <w:t xml:space="preserve"> </w:t>
      </w:r>
      <w:r w:rsidR="0087402A" w:rsidRPr="00A035D0">
        <w:t>2017.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investigation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prosecution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suspects</w:t>
      </w:r>
      <w:r w:rsidR="00FE6B8B" w:rsidRPr="00A035D0">
        <w:t xml:space="preserve"> </w:t>
      </w:r>
      <w:r w:rsidR="0087402A" w:rsidRPr="00A035D0">
        <w:t>resulted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conviction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officers</w:t>
      </w:r>
      <w:r w:rsidR="00FE6B8B" w:rsidRPr="00A035D0">
        <w:t xml:space="preserve"> </w:t>
      </w:r>
      <w:r w:rsidR="0087402A" w:rsidRPr="00A035D0">
        <w:t>directly</w:t>
      </w:r>
      <w:r w:rsidR="00FE6B8B" w:rsidRPr="00A035D0">
        <w:t xml:space="preserve"> </w:t>
      </w:r>
      <w:r w:rsidR="0087402A" w:rsidRPr="00A035D0">
        <w:t>responsible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his</w:t>
      </w:r>
      <w:r w:rsidR="00FE6B8B" w:rsidRPr="00A035D0">
        <w:t xml:space="preserve"> </w:t>
      </w:r>
      <w:r w:rsidR="0087402A" w:rsidRPr="00A035D0">
        <w:t>killing.</w:t>
      </w:r>
      <w:r w:rsidR="0087402A" w:rsidRPr="00A035D0">
        <w:rPr>
          <w:rStyle w:val="FootnoteReference"/>
        </w:rPr>
        <w:footnoteReference w:id="18"/>
      </w:r>
    </w:p>
    <w:p w14:paraId="28AF8106" w14:textId="77777777" w:rsidR="00FE6B8B" w:rsidRPr="00A035D0" w:rsidRDefault="0087402A" w:rsidP="008E2D49">
      <w:pPr>
        <w:pStyle w:val="H23G"/>
      </w:pPr>
      <w:r w:rsidRPr="00A035D0">
        <w:tab/>
      </w: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11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3A1A5712" w14:textId="07A8B3DA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one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two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member</w:t>
      </w:r>
      <w:r w:rsidR="00FE6B8B" w:rsidRPr="00A035D0">
        <w:t xml:space="preserve"> </w:t>
      </w:r>
      <w:r w:rsidR="0087402A" w:rsidRPr="00A035D0">
        <w:t>States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region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South-East</w:t>
      </w:r>
      <w:r w:rsidR="00FE6B8B" w:rsidRPr="00A035D0">
        <w:t xml:space="preserve"> </w:t>
      </w:r>
      <w:r w:rsidR="0087402A" w:rsidRPr="00A035D0">
        <w:t>Asia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abolished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penalty.</w:t>
      </w:r>
    </w:p>
    <w:p w14:paraId="36E5D7C2" w14:textId="2A0B1EC8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Inclusive</w:t>
      </w:r>
      <w:r w:rsidR="00FE6B8B" w:rsidRPr="00A035D0">
        <w:t xml:space="preserve"> </w:t>
      </w:r>
      <w:r w:rsidR="0087402A" w:rsidRPr="00A035D0">
        <w:t>legislative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stakeholder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dialogues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constituents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Parliament</w:t>
      </w:r>
      <w:r w:rsidR="00FE6B8B" w:rsidRPr="00A035D0">
        <w:t xml:space="preserve"> </w:t>
      </w:r>
      <w:r w:rsidR="0087402A" w:rsidRPr="00A035D0">
        <w:t>and/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regarding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penalty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prohibited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Covenant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Second</w:t>
      </w:r>
      <w:r w:rsidR="00FE6B8B" w:rsidRPr="00A035D0">
        <w:t xml:space="preserve"> </w:t>
      </w:r>
      <w:r w:rsidR="0087402A" w:rsidRPr="00A035D0">
        <w:t>Protocol.</w:t>
      </w:r>
    </w:p>
    <w:p w14:paraId="5D881F57" w14:textId="0A60438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State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respects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independence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Parliament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legislating</w:t>
      </w:r>
      <w:r w:rsidR="00FE6B8B" w:rsidRPr="00A035D0">
        <w:t xml:space="preserve"> </w:t>
      </w:r>
      <w:r w:rsidR="0087402A" w:rsidRPr="00A035D0">
        <w:t>laws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co-equal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branch</w:t>
      </w:r>
      <w:r w:rsidR="00FE6B8B" w:rsidRPr="00A035D0">
        <w:t xml:space="preserve"> </w:t>
      </w:r>
      <w:r w:rsidR="0087402A" w:rsidRPr="00A035D0">
        <w:t>government.</w:t>
      </w:r>
    </w:p>
    <w:p w14:paraId="64788C83" w14:textId="77777777" w:rsidR="00FE6B8B" w:rsidRPr="00A035D0" w:rsidRDefault="0087402A" w:rsidP="008E2D4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12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FE894B8" w14:textId="22073A9C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(CCC)</w:t>
      </w:r>
      <w:r w:rsidR="00FE6B8B" w:rsidRPr="00A035D0">
        <w:t xml:space="preserve"> </w:t>
      </w:r>
      <w:r w:rsidR="0087402A" w:rsidRPr="00A035D0">
        <w:t>deepened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synergies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sector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promote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transition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climate-resilient,</w:t>
      </w:r>
      <w:r w:rsidR="00FE6B8B" w:rsidRPr="00A035D0">
        <w:t xml:space="preserve"> </w:t>
      </w:r>
      <w:r w:rsidR="0087402A" w:rsidRPr="00A035D0">
        <w:t>sustainable,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1.5C-compatible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pathway.</w:t>
      </w:r>
    </w:p>
    <w:p w14:paraId="5C6053AD" w14:textId="3C80534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Intensifying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assist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impacts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continued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lead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policies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strengthen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enabling</w:t>
      </w:r>
      <w:r w:rsidR="00FE6B8B" w:rsidRPr="00A035D0">
        <w:t xml:space="preserve"> </w:t>
      </w:r>
      <w:r w:rsidR="0087402A" w:rsidRPr="00A035D0">
        <w:lastRenderedPageBreak/>
        <w:t>platforms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risk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management,</w:t>
      </w:r>
      <w:r w:rsidR="00FE6B8B" w:rsidRPr="00A035D0">
        <w:t xml:space="preserve"> </w:t>
      </w:r>
      <w:r w:rsidR="0087402A" w:rsidRPr="00A035D0">
        <w:t>mainstreaming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policies,</w:t>
      </w:r>
      <w:r w:rsidR="00FE6B8B" w:rsidRPr="00A035D0">
        <w:t xml:space="preserve"> </w:t>
      </w:r>
      <w:r w:rsidR="0087402A" w:rsidRPr="00A035D0">
        <w:t>plans,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incorporating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science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processes.</w:t>
      </w:r>
    </w:p>
    <w:p w14:paraId="7676F39A" w14:textId="5603A1E0" w:rsidR="0087402A" w:rsidRPr="00A035D0" w:rsidRDefault="0087402A" w:rsidP="006D7DE0">
      <w:pPr>
        <w:pStyle w:val="H4G"/>
      </w:pPr>
      <w:r w:rsidRPr="00A035D0">
        <w:tab/>
      </w:r>
      <w:r w:rsidRPr="00A035D0">
        <w:tab/>
        <w:t>Mainstreaming</w:t>
      </w:r>
      <w:r w:rsidR="00FE6B8B" w:rsidRPr="00A035D0">
        <w:t xml:space="preserve"> </w:t>
      </w:r>
      <w:r w:rsidRPr="00A035D0">
        <w:t>climate</w:t>
      </w:r>
      <w:r w:rsidR="00FE6B8B" w:rsidRPr="00A035D0">
        <w:t xml:space="preserve"> </w:t>
      </w:r>
      <w:r w:rsidRPr="00A035D0">
        <w:t>action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national</w:t>
      </w:r>
      <w:r w:rsidR="00FE6B8B" w:rsidRPr="00A035D0">
        <w:t xml:space="preserve"> </w:t>
      </w:r>
      <w:r w:rsidRPr="00A035D0">
        <w:t>development</w:t>
      </w:r>
      <w:r w:rsidR="00FE6B8B" w:rsidRPr="00A035D0">
        <w:t xml:space="preserve"> </w:t>
      </w:r>
      <w:r w:rsidRPr="00A035D0">
        <w:t>planning</w:t>
      </w:r>
      <w:r w:rsidR="00FE6B8B" w:rsidRPr="00A035D0">
        <w:t xml:space="preserve"> </w:t>
      </w:r>
      <w:r w:rsidRPr="00A035D0">
        <w:t>processes</w:t>
      </w:r>
    </w:p>
    <w:p w14:paraId="4C6C6064" w14:textId="5AD1C50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governance,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made</w:t>
      </w:r>
      <w:r w:rsidR="00FE6B8B" w:rsidRPr="00A035D0">
        <w:t xml:space="preserve"> </w:t>
      </w:r>
      <w:r w:rsidR="0087402A" w:rsidRPr="00A035D0">
        <w:t>significant</w:t>
      </w:r>
      <w:r w:rsidR="00FE6B8B" w:rsidRPr="00A035D0">
        <w:t xml:space="preserve"> </w:t>
      </w:r>
      <w:r w:rsidR="0087402A" w:rsidRPr="00A035D0">
        <w:t>strides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updating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</w:t>
      </w:r>
      <w:r w:rsidR="00FE6B8B" w:rsidRPr="00A035D0">
        <w:t xml:space="preserve"> </w:t>
      </w:r>
      <w:r w:rsidR="0087402A" w:rsidRPr="00A035D0">
        <w:t>(NCCAP)</w:t>
      </w:r>
      <w:r w:rsidR="00FE6B8B" w:rsidRPr="00A035D0">
        <w:t xml:space="preserve"> </w:t>
      </w:r>
      <w:r w:rsidR="0087402A" w:rsidRPr="00A035D0">
        <w:t>2011</w:t>
      </w:r>
      <w:r w:rsidR="00FE6B8B" w:rsidRPr="00A035D0">
        <w:t>–</w:t>
      </w:r>
      <w:r w:rsidR="0087402A" w:rsidRPr="00A035D0">
        <w:t>2028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align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latest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science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priorities.</w:t>
      </w:r>
    </w:p>
    <w:p w14:paraId="74BAC97F" w14:textId="0F9178B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line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obligation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Paris</w:t>
      </w:r>
      <w:r w:rsidR="00FE6B8B" w:rsidRPr="00A035D0">
        <w:t xml:space="preserve"> </w:t>
      </w:r>
      <w:r w:rsidR="0087402A" w:rsidRPr="00A035D0">
        <w:t>Agreement,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led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working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first</w:t>
      </w:r>
      <w:r w:rsidR="00FE6B8B" w:rsidRPr="00A035D0">
        <w:t xml:space="preserve"> </w:t>
      </w:r>
      <w:r w:rsidR="0087402A" w:rsidRPr="00A035D0">
        <w:t>Nationally</w:t>
      </w:r>
      <w:r w:rsidR="00FE6B8B" w:rsidRPr="00A035D0">
        <w:t xml:space="preserve"> </w:t>
      </w:r>
      <w:r w:rsidR="0087402A" w:rsidRPr="00A035D0">
        <w:t>Determined</w:t>
      </w:r>
      <w:r w:rsidR="00FE6B8B" w:rsidRPr="00A035D0">
        <w:t xml:space="preserve"> </w:t>
      </w:r>
      <w:r w:rsidR="0087402A" w:rsidRPr="00A035D0">
        <w:t>Contribution</w:t>
      </w:r>
      <w:r w:rsidR="00FE6B8B" w:rsidRPr="00A035D0">
        <w:t xml:space="preserve"> </w:t>
      </w:r>
      <w:r w:rsidR="0087402A" w:rsidRPr="00A035D0">
        <w:t>(NDC),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envisioned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investment</w:t>
      </w:r>
      <w:r w:rsidR="00FE6B8B" w:rsidRPr="00A035D0">
        <w:t xml:space="preserve"> </w:t>
      </w:r>
      <w:r w:rsidR="0087402A" w:rsidRPr="00A035D0">
        <w:t>blueprint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innovative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transformative</w:t>
      </w:r>
      <w:r w:rsidR="00FE6B8B" w:rsidRPr="00A035D0">
        <w:t xml:space="preserve"> </w:t>
      </w:r>
      <w:r w:rsidR="0087402A" w:rsidRPr="00A035D0">
        <w:t>low-carbon</w:t>
      </w:r>
      <w:r w:rsidR="00FE6B8B" w:rsidRPr="00A035D0">
        <w:t xml:space="preserve"> </w:t>
      </w:r>
      <w:r w:rsidR="0087402A" w:rsidRPr="00A035D0">
        <w:t>projects.</w:t>
      </w:r>
    </w:p>
    <w:p w14:paraId="3CD0FFED" w14:textId="293FCC6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continuing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link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energy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study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Renewable</w:t>
      </w:r>
      <w:r w:rsidR="00FE6B8B" w:rsidRPr="00A035D0">
        <w:t xml:space="preserve"> </w:t>
      </w:r>
      <w:r w:rsidR="0087402A" w:rsidRPr="00A035D0">
        <w:t>Energy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policies</w:t>
      </w:r>
      <w:r w:rsidR="00FE6B8B" w:rsidRPr="00A035D0">
        <w:t xml:space="preserve"> </w:t>
      </w:r>
      <w:r w:rsidR="0087402A" w:rsidRPr="00A035D0">
        <w:t>supporting</w:t>
      </w:r>
      <w:r w:rsidR="00FE6B8B" w:rsidRPr="00A035D0">
        <w:t xml:space="preserve"> </w:t>
      </w:r>
      <w:r w:rsidR="0087402A" w:rsidRPr="00A035D0">
        <w:t>reduction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carbon</w:t>
      </w:r>
      <w:r w:rsidR="00FE6B8B" w:rsidRPr="00A035D0">
        <w:t xml:space="preserve"> </w:t>
      </w:r>
      <w:r w:rsidR="0087402A" w:rsidRPr="00A035D0">
        <w:t>emissions,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embarked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assessment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related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regulations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UP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Engineering</w:t>
      </w:r>
      <w:r w:rsidR="00FE6B8B" w:rsidRPr="00A035D0">
        <w:t xml:space="preserve"> </w:t>
      </w:r>
      <w:r w:rsidR="0087402A" w:rsidRPr="00A035D0">
        <w:t>Center.</w:t>
      </w:r>
      <w:r w:rsidR="00FE6B8B" w:rsidRPr="00A035D0">
        <w:t xml:space="preserve"> </w:t>
      </w:r>
      <w:r w:rsidR="0087402A" w:rsidRPr="00A035D0">
        <w:t>Once</w:t>
      </w:r>
      <w:r w:rsidR="00FE6B8B" w:rsidRPr="00A035D0">
        <w:t xml:space="preserve"> </w:t>
      </w:r>
      <w:r w:rsidR="0087402A" w:rsidRPr="00A035D0">
        <w:t>finalized,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NPRE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guidance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designing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coal-fired</w:t>
      </w:r>
      <w:r w:rsidR="00FE6B8B" w:rsidRPr="00A035D0">
        <w:t xml:space="preserve"> </w:t>
      </w:r>
      <w:r w:rsidR="0087402A" w:rsidRPr="00A035D0">
        <w:t>power</w:t>
      </w:r>
      <w:r w:rsidR="00FE6B8B" w:rsidRPr="00A035D0">
        <w:t xml:space="preserve"> </w:t>
      </w:r>
      <w:r w:rsidR="0087402A" w:rsidRPr="00A035D0">
        <w:t>plants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fossil</w:t>
      </w:r>
      <w:r w:rsidR="00FE6B8B" w:rsidRPr="00A035D0">
        <w:t xml:space="preserve"> </w:t>
      </w:r>
      <w:r w:rsidR="0087402A" w:rsidRPr="00A035D0">
        <w:t>fuel-based</w:t>
      </w:r>
      <w:r w:rsidR="00FE6B8B" w:rsidRPr="00A035D0">
        <w:t xml:space="preserve"> </w:t>
      </w:r>
      <w:r w:rsidR="0087402A" w:rsidRPr="00A035D0">
        <w:t>energy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pursuit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low-carbon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pathway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Philippines.</w:t>
      </w:r>
    </w:p>
    <w:p w14:paraId="38F70B6D" w14:textId="7F02CB5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response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growing</w:t>
      </w:r>
      <w:r w:rsidR="00FE6B8B" w:rsidRPr="00A035D0">
        <w:t xml:space="preserve"> </w:t>
      </w:r>
      <w:r w:rsidR="0087402A" w:rsidRPr="00A035D0">
        <w:t>threat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decrease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water</w:t>
      </w:r>
      <w:r w:rsidR="00FE6B8B" w:rsidRPr="00A035D0">
        <w:t xml:space="preserve"> </w:t>
      </w:r>
      <w:r w:rsidR="0087402A" w:rsidRPr="00A035D0">
        <w:t>supply,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embarked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review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water</w:t>
      </w:r>
      <w:r w:rsidR="00FE6B8B" w:rsidRPr="00A035D0">
        <w:t xml:space="preserve"> </w:t>
      </w:r>
      <w:r w:rsidR="0087402A" w:rsidRPr="00A035D0">
        <w:t>policies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water-related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amid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threats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change.</w:t>
      </w:r>
    </w:p>
    <w:p w14:paraId="787E36C0" w14:textId="21F6400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Pursuant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mandate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Green</w:t>
      </w:r>
      <w:r w:rsidR="00FE6B8B" w:rsidRPr="00A035D0">
        <w:t xml:space="preserve"> </w:t>
      </w:r>
      <w:r w:rsidR="0087402A" w:rsidRPr="00A035D0">
        <w:t>Jobs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line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pave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way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just</w:t>
      </w:r>
      <w:r w:rsidR="00FE6B8B" w:rsidRPr="00A035D0">
        <w:t xml:space="preserve"> </w:t>
      </w:r>
      <w:r w:rsidR="0087402A" w:rsidRPr="00A035D0">
        <w:t>transition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sustainable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climate-friendly</w:t>
      </w:r>
      <w:r w:rsidR="00FE6B8B" w:rsidRPr="00A035D0">
        <w:t xml:space="preserve"> </w:t>
      </w:r>
      <w:r w:rsidR="0087402A" w:rsidRPr="00A035D0">
        <w:t>economy,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initiated</w:t>
      </w:r>
      <w:r w:rsidR="00FE6B8B" w:rsidRPr="00A035D0">
        <w:t xml:space="preserve"> </w:t>
      </w:r>
      <w:r w:rsidR="0087402A" w:rsidRPr="00A035D0">
        <w:t>several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consultation</w:t>
      </w:r>
      <w:r w:rsidR="00FE6B8B" w:rsidRPr="00A035D0">
        <w:t xml:space="preserve"> </w:t>
      </w:r>
      <w:r w:rsidR="0087402A" w:rsidRPr="00A035D0">
        <w:t>meetings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finalization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(1)</w:t>
      </w:r>
      <w:r w:rsidR="00FE6B8B" w:rsidRPr="00A035D0">
        <w:t xml:space="preserve"> </w:t>
      </w:r>
      <w:r w:rsidR="0087402A" w:rsidRPr="00A035D0">
        <w:t>approaches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assessment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certification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green</w:t>
      </w:r>
      <w:r w:rsidR="00FE6B8B" w:rsidRPr="00A035D0">
        <w:t xml:space="preserve"> </w:t>
      </w:r>
      <w:r w:rsidR="0087402A" w:rsidRPr="00A035D0">
        <w:t>jobs</w:t>
      </w:r>
      <w:r w:rsidR="00FE6B8B" w:rsidRPr="00A035D0">
        <w:t xml:space="preserve"> </w:t>
      </w:r>
      <w:r w:rsidR="0087402A" w:rsidRPr="00A035D0">
        <w:t>accounting;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(2)</w:t>
      </w:r>
      <w:r w:rsidR="00FE6B8B" w:rsidRPr="00A035D0">
        <w:t xml:space="preserve"> </w:t>
      </w:r>
      <w:r w:rsidR="0087402A" w:rsidRPr="00A035D0">
        <w:t>green</w:t>
      </w:r>
      <w:r w:rsidR="00FE6B8B" w:rsidRPr="00A035D0">
        <w:t xml:space="preserve"> </w:t>
      </w:r>
      <w:r w:rsidR="0087402A" w:rsidRPr="00A035D0">
        <w:t>thresholds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measuring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greenness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industry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company.</w:t>
      </w:r>
    </w:p>
    <w:p w14:paraId="1D076202" w14:textId="0F93537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guidance</w:t>
      </w:r>
      <w:r w:rsidR="00FE6B8B" w:rsidRPr="00A035D0">
        <w:t xml:space="preserve"> </w:t>
      </w:r>
      <w:r w:rsidR="0087402A" w:rsidRPr="00A035D0">
        <w:t>document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manual</w:t>
      </w:r>
      <w:r w:rsidR="00FE6B8B" w:rsidRPr="00A035D0">
        <w:t xml:space="preserve"> </w:t>
      </w:r>
      <w:r w:rsidR="0087402A" w:rsidRPr="00A035D0">
        <w:t>pilot</w:t>
      </w:r>
      <w:r w:rsidR="00FE6B8B" w:rsidRPr="00A035D0">
        <w:t xml:space="preserve"> </w:t>
      </w:r>
      <w:r w:rsidR="0087402A" w:rsidRPr="00A035D0">
        <w:t>testing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products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draft</w:t>
      </w:r>
      <w:r w:rsidR="00FE6B8B" w:rsidRPr="00A035D0">
        <w:t xml:space="preserve"> </w:t>
      </w:r>
      <w:r w:rsidR="0087402A" w:rsidRPr="00A035D0">
        <w:t>green</w:t>
      </w:r>
      <w:r w:rsidR="00FE6B8B" w:rsidRPr="00A035D0">
        <w:t xml:space="preserve"> </w:t>
      </w:r>
      <w:r w:rsidR="0087402A" w:rsidRPr="00A035D0">
        <w:t>jobs</w:t>
      </w:r>
      <w:r w:rsidR="00FE6B8B" w:rsidRPr="00A035D0">
        <w:t xml:space="preserve"> </w:t>
      </w:r>
      <w:r w:rsidR="0087402A" w:rsidRPr="00A035D0">
        <w:t>assessment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certification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guidelines,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set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rollout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year.</w:t>
      </w:r>
    </w:p>
    <w:p w14:paraId="3F479CC0" w14:textId="00E0640A" w:rsidR="0087402A" w:rsidRPr="00A035D0" w:rsidRDefault="0087402A" w:rsidP="006D7DE0">
      <w:pPr>
        <w:pStyle w:val="H4G"/>
      </w:pPr>
      <w:r w:rsidRPr="00A035D0">
        <w:tab/>
      </w:r>
      <w:r w:rsidRPr="00A035D0">
        <w:tab/>
        <w:t>Mainstreaming</w:t>
      </w:r>
      <w:r w:rsidR="00FE6B8B" w:rsidRPr="00A035D0">
        <w:t xml:space="preserve"> </w:t>
      </w:r>
      <w:r w:rsidRPr="00A035D0">
        <w:t>climate</w:t>
      </w:r>
      <w:r w:rsidR="00FE6B8B" w:rsidRPr="00A035D0">
        <w:t xml:space="preserve"> </w:t>
      </w:r>
      <w:r w:rsidRPr="00A035D0">
        <w:t>action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local</w:t>
      </w:r>
      <w:r w:rsidR="00FE6B8B" w:rsidRPr="00A035D0">
        <w:t xml:space="preserve"> </w:t>
      </w:r>
      <w:r w:rsidRPr="00A035D0">
        <w:t>development</w:t>
      </w:r>
      <w:r w:rsidR="00FE6B8B" w:rsidRPr="00A035D0">
        <w:t xml:space="preserve"> </w:t>
      </w:r>
      <w:r w:rsidRPr="00A035D0">
        <w:t>planning</w:t>
      </w:r>
      <w:r w:rsidR="00FE6B8B" w:rsidRPr="00A035D0">
        <w:t xml:space="preserve"> </w:t>
      </w:r>
      <w:r w:rsidRPr="00A035D0">
        <w:t>processes</w:t>
      </w:r>
    </w:p>
    <w:p w14:paraId="39554A2B" w14:textId="70ABF2E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mainstreaming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processes,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delivered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units</w:t>
      </w:r>
      <w:r w:rsidR="00FE6B8B" w:rsidRPr="00A035D0">
        <w:t xml:space="preserve"> </w:t>
      </w:r>
      <w:r w:rsidR="0087402A" w:rsidRPr="00A035D0">
        <w:t>(LGUs)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science-based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risk-informed.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Communities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Resilience</w:t>
      </w:r>
      <w:r w:rsidR="00FE6B8B" w:rsidRPr="00A035D0">
        <w:t xml:space="preserve"> </w:t>
      </w:r>
      <w:r w:rsidR="0087402A" w:rsidRPr="00A035D0">
        <w:t>(CORE)</w:t>
      </w:r>
      <w:r w:rsidR="00FE6B8B" w:rsidRPr="00A035D0">
        <w:t xml:space="preserve"> </w:t>
      </w:r>
      <w:r w:rsidR="0087402A" w:rsidRPr="00A035D0">
        <w:t>Program,</w:t>
      </w:r>
      <w:r w:rsidR="00FE6B8B" w:rsidRPr="00A035D0">
        <w:t xml:space="preserve"> </w:t>
      </w:r>
      <w:r w:rsidR="0087402A" w:rsidRPr="00A035D0">
        <w:t>submission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Plans</w:t>
      </w:r>
      <w:r w:rsidR="00FE6B8B" w:rsidRPr="00A035D0">
        <w:t xml:space="preserve"> </w:t>
      </w:r>
      <w:r w:rsidR="0087402A" w:rsidRPr="00A035D0">
        <w:t>(LCCAPs)</w:t>
      </w:r>
      <w:r w:rsidR="00FE6B8B" w:rsidRPr="00A035D0">
        <w:t xml:space="preserve"> </w:t>
      </w:r>
      <w:r w:rsidR="0087402A" w:rsidRPr="00A035D0">
        <w:t>increased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137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2015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1,267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2019.</w:t>
      </w:r>
    </w:p>
    <w:p w14:paraId="180B13FD" w14:textId="752D94A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Furthermore,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embarked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courses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aim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increase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mentors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transfer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community.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laid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foundation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ACT-Local</w:t>
      </w:r>
      <w:r w:rsidR="00FE6B8B" w:rsidRPr="00A035D0">
        <w:t xml:space="preserve"> </w:t>
      </w:r>
      <w:r w:rsidR="0087402A" w:rsidRPr="00A035D0">
        <w:t>Certification</w:t>
      </w:r>
      <w:r w:rsidR="00FE6B8B" w:rsidRPr="00A035D0">
        <w:t xml:space="preserve"> </w:t>
      </w:r>
      <w:r w:rsidR="0087402A" w:rsidRPr="00A035D0">
        <w:t>Course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Upscaled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Resiliency</w:t>
      </w:r>
      <w:r w:rsidR="00FE6B8B" w:rsidRPr="00A035D0">
        <w:t xml:space="preserve"> </w:t>
      </w:r>
      <w:r w:rsidR="0087402A" w:rsidRPr="00A035D0">
        <w:t>Field</w:t>
      </w:r>
      <w:r w:rsidR="00FE6B8B" w:rsidRPr="00A035D0">
        <w:t xml:space="preserve"> </w:t>
      </w:r>
      <w:r w:rsidR="0087402A" w:rsidRPr="00A035D0">
        <w:t>School.</w:t>
      </w:r>
    </w:p>
    <w:p w14:paraId="7C0A8582" w14:textId="110ED683" w:rsidR="0087402A" w:rsidRPr="00A035D0" w:rsidRDefault="0087402A" w:rsidP="006D7DE0">
      <w:pPr>
        <w:pStyle w:val="H4G"/>
      </w:pPr>
      <w:r w:rsidRPr="00A035D0">
        <w:tab/>
      </w:r>
      <w:r w:rsidRPr="00A035D0">
        <w:tab/>
        <w:t>Addressing</w:t>
      </w:r>
      <w:r w:rsidR="00FE6B8B" w:rsidRPr="00A035D0">
        <w:t xml:space="preserve"> </w:t>
      </w:r>
      <w:r w:rsidRPr="00A035D0">
        <w:t>gaps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climate</w:t>
      </w:r>
      <w:r w:rsidR="00FE6B8B" w:rsidRPr="00A035D0">
        <w:t xml:space="preserve"> </w:t>
      </w:r>
      <w:r w:rsidRPr="00A035D0">
        <w:t>financing</w:t>
      </w:r>
    </w:p>
    <w:p w14:paraId="3AB0B9B3" w14:textId="6ED1797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Authority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Green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Fund</w:t>
      </w:r>
      <w:r w:rsidR="00FE6B8B" w:rsidRPr="00A035D0">
        <w:t xml:space="preserve"> </w:t>
      </w:r>
      <w:r w:rsidR="0087402A" w:rsidRPr="00A035D0">
        <w:t>(GCF),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helped</w:t>
      </w:r>
      <w:r w:rsidR="00FE6B8B" w:rsidRPr="00A035D0">
        <w:t xml:space="preserve"> </w:t>
      </w:r>
      <w:r w:rsidR="0087402A" w:rsidRPr="00A035D0">
        <w:t>secure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USD</w:t>
      </w:r>
      <w:r w:rsidR="00FE6B8B" w:rsidRPr="00A035D0">
        <w:t xml:space="preserve"> </w:t>
      </w:r>
      <w:r w:rsidR="0087402A" w:rsidRPr="00A035D0">
        <w:t>10-million</w:t>
      </w:r>
      <w:r w:rsidR="00FE6B8B" w:rsidRPr="00A035D0">
        <w:t xml:space="preserve"> </w:t>
      </w:r>
      <w:r w:rsidR="0087402A" w:rsidRPr="00A035D0">
        <w:t>grant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establishment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multi-hazard</w:t>
      </w:r>
      <w:r w:rsidR="00FE6B8B" w:rsidRPr="00A035D0">
        <w:t xml:space="preserve"> </w:t>
      </w:r>
      <w:r w:rsidR="0087402A" w:rsidRPr="00A035D0">
        <w:t>impact-based</w:t>
      </w:r>
      <w:r w:rsidR="00FE6B8B" w:rsidRPr="00A035D0">
        <w:t xml:space="preserve"> </w:t>
      </w:r>
      <w:r w:rsidR="0087402A" w:rsidRPr="00A035D0">
        <w:t>forecasting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early</w:t>
      </w:r>
      <w:r w:rsidR="00FE6B8B" w:rsidRPr="00A035D0">
        <w:t xml:space="preserve"> </w:t>
      </w:r>
      <w:r w:rsidR="0087402A" w:rsidRPr="00A035D0">
        <w:t>warning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country,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first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four</w:t>
      </w:r>
      <w:r w:rsidR="00FE6B8B" w:rsidRPr="00A035D0">
        <w:t xml:space="preserve"> </w:t>
      </w:r>
      <w:r w:rsidR="0087402A" w:rsidRPr="00A035D0">
        <w:t>selected</w:t>
      </w:r>
      <w:r w:rsidR="00FE6B8B" w:rsidRPr="00A035D0">
        <w:t xml:space="preserve"> </w:t>
      </w:r>
      <w:r w:rsidR="0087402A" w:rsidRPr="00A035D0">
        <w:t>pilot</w:t>
      </w:r>
      <w:r w:rsidR="00FE6B8B" w:rsidRPr="00A035D0">
        <w:t xml:space="preserve"> </w:t>
      </w:r>
      <w:r w:rsidR="0087402A" w:rsidRPr="00A035D0">
        <w:t>sites—a</w:t>
      </w:r>
      <w:r w:rsidR="00FE6B8B" w:rsidRPr="00A035D0">
        <w:t xml:space="preserve"> </w:t>
      </w:r>
      <w:r w:rsidR="0087402A" w:rsidRPr="00A035D0">
        <w:t>welcome</w:t>
      </w:r>
      <w:r w:rsidR="00FE6B8B" w:rsidRPr="00A035D0">
        <w:t xml:space="preserve"> </w:t>
      </w:r>
      <w:r w:rsidR="0087402A" w:rsidRPr="00A035D0">
        <w:t>innovation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benefit</w:t>
      </w:r>
      <w:r w:rsidR="00FE6B8B" w:rsidRPr="00A035D0">
        <w:t xml:space="preserve"> </w:t>
      </w:r>
      <w:r w:rsidR="0087402A" w:rsidRPr="00A035D0">
        <w:t>initially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least</w:t>
      </w:r>
      <w:r w:rsidR="00FE6B8B" w:rsidRPr="00A035D0">
        <w:t xml:space="preserve"> </w:t>
      </w:r>
      <w:r w:rsidR="0087402A" w:rsidRPr="00A035D0">
        <w:t>8.5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Filipinos.</w:t>
      </w:r>
    </w:p>
    <w:p w14:paraId="28D0CA0A" w14:textId="41B5999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Pursuant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mandate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People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Survival</w:t>
      </w:r>
      <w:r w:rsidR="00FE6B8B" w:rsidRPr="00A035D0">
        <w:t xml:space="preserve"> </w:t>
      </w:r>
      <w:r w:rsidR="0087402A" w:rsidRPr="00A035D0">
        <w:t>Fund</w:t>
      </w:r>
      <w:r w:rsidR="00FE6B8B" w:rsidRPr="00A035D0">
        <w:t xml:space="preserve"> </w:t>
      </w:r>
      <w:r w:rsidR="0087402A" w:rsidRPr="00A035D0">
        <w:t>(PSF)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completed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review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evaluation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PSF</w:t>
      </w:r>
      <w:r w:rsidR="00FE6B8B" w:rsidRPr="00A035D0">
        <w:t xml:space="preserve"> </w:t>
      </w:r>
      <w:r w:rsidR="0087402A" w:rsidRPr="00A035D0">
        <w:t>project</w:t>
      </w:r>
      <w:r w:rsidR="00FE6B8B" w:rsidRPr="00A035D0">
        <w:t xml:space="preserve"> </w:t>
      </w:r>
      <w:r w:rsidR="0087402A" w:rsidRPr="00A035D0">
        <w:t>proposals,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led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approval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project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grants</w:t>
      </w:r>
      <w:r w:rsidR="00FE6B8B" w:rsidRPr="00A035D0">
        <w:t xml:space="preserve"> </w:t>
      </w:r>
      <w:r w:rsidR="0087402A" w:rsidRPr="00A035D0">
        <w:t>worth</w:t>
      </w:r>
      <w:r w:rsidR="00FE6B8B" w:rsidRPr="00A035D0">
        <w:t xml:space="preserve"> </w:t>
      </w:r>
      <w:r w:rsidR="0087402A" w:rsidRPr="00A035D0">
        <w:t>PHP</w:t>
      </w:r>
      <w:r w:rsidR="00FE6B8B" w:rsidRPr="00A035D0">
        <w:t xml:space="preserve"> </w:t>
      </w:r>
      <w:r w:rsidR="0087402A" w:rsidRPr="00A035D0">
        <w:t>6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(3)</w:t>
      </w:r>
      <w:r w:rsidR="00FE6B8B" w:rsidRPr="00A035D0">
        <w:t xml:space="preserve"> </w:t>
      </w:r>
      <w:r w:rsidR="0087402A" w:rsidRPr="00A035D0">
        <w:t>projects.</w:t>
      </w:r>
    </w:p>
    <w:p w14:paraId="6CE3BC72" w14:textId="0627D8D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92.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Moreover,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working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develop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online</w:t>
      </w:r>
      <w:r w:rsidR="00FE6B8B" w:rsidRPr="00A035D0">
        <w:t xml:space="preserve"> </w:t>
      </w:r>
      <w:r w:rsidR="0087402A" w:rsidRPr="00A035D0">
        <w:t>platform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PSF</w:t>
      </w:r>
      <w:r w:rsidR="00FE6B8B" w:rsidRPr="00A035D0">
        <w:t xml:space="preserve"> </w:t>
      </w:r>
      <w:r w:rsidR="0087402A" w:rsidRPr="00A035D0">
        <w:t>wherein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can:</w:t>
      </w:r>
      <w:r w:rsidR="00FE6B8B" w:rsidRPr="00A035D0">
        <w:t xml:space="preserve"> </w:t>
      </w:r>
      <w:r w:rsidR="0087402A" w:rsidRPr="00A035D0">
        <w:t>(1)</w:t>
      </w:r>
      <w:r w:rsidR="00FE6B8B" w:rsidRPr="00A035D0">
        <w:t xml:space="preserve"> </w:t>
      </w:r>
      <w:r w:rsidR="0087402A" w:rsidRPr="00A035D0">
        <w:t>submit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track</w:t>
      </w:r>
      <w:r w:rsidR="00FE6B8B" w:rsidRPr="00A035D0">
        <w:t xml:space="preserve"> </w:t>
      </w:r>
      <w:r w:rsidR="0087402A" w:rsidRPr="00A035D0">
        <w:t>PSF</w:t>
      </w:r>
      <w:r w:rsidR="00FE6B8B" w:rsidRPr="00A035D0">
        <w:t xml:space="preserve"> </w:t>
      </w:r>
      <w:r w:rsidR="0087402A" w:rsidRPr="00A035D0">
        <w:t>project</w:t>
      </w:r>
      <w:r w:rsidR="00FE6B8B" w:rsidRPr="00A035D0">
        <w:t xml:space="preserve"> </w:t>
      </w:r>
      <w:r w:rsidR="0087402A" w:rsidRPr="00A035D0">
        <w:t>proposals;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(2)</w:t>
      </w:r>
      <w:r w:rsidR="00FE6B8B" w:rsidRPr="00A035D0">
        <w:t xml:space="preserve"> </w:t>
      </w:r>
      <w:r w:rsidR="0087402A" w:rsidRPr="00A035D0">
        <w:t>learn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access</w:t>
      </w:r>
      <w:r w:rsidR="00FE6B8B" w:rsidRPr="00A035D0">
        <w:t xml:space="preserve"> </w:t>
      </w:r>
      <w:r w:rsidR="0087402A" w:rsidRPr="00A035D0">
        <w:t>PSF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e-learning</w:t>
      </w:r>
      <w:r w:rsidR="00FE6B8B" w:rsidRPr="00A035D0">
        <w:t xml:space="preserve"> </w:t>
      </w:r>
      <w:r w:rsidR="0087402A" w:rsidRPr="00A035D0">
        <w:t>portal.</w:t>
      </w:r>
    </w:p>
    <w:p w14:paraId="77C140F2" w14:textId="7AED8C2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Expenditure</w:t>
      </w:r>
      <w:r w:rsidR="00FE6B8B" w:rsidRPr="00A035D0">
        <w:t xml:space="preserve"> </w:t>
      </w:r>
      <w:r w:rsidR="0087402A" w:rsidRPr="00A035D0">
        <w:t>Tagging</w:t>
      </w:r>
      <w:r w:rsidR="00FE6B8B" w:rsidRPr="00A035D0">
        <w:t xml:space="preserve"> </w:t>
      </w:r>
      <w:r w:rsidR="0087402A" w:rsidRPr="00A035D0">
        <w:t>system,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quality</w:t>
      </w:r>
      <w:r w:rsidR="00FE6B8B" w:rsidRPr="00A035D0">
        <w:t xml:space="preserve"> </w:t>
      </w:r>
      <w:r w:rsidR="0087402A" w:rsidRPr="00A035D0">
        <w:t>assurance</w:t>
      </w:r>
      <w:r w:rsidR="00FE6B8B" w:rsidRPr="00A035D0">
        <w:t xml:space="preserve"> </w:t>
      </w:r>
      <w:r w:rsidR="0087402A" w:rsidRPr="00A035D0">
        <w:t>reviews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budget-tagged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PHP</w:t>
      </w:r>
      <w:r w:rsidR="00FE6B8B" w:rsidRPr="00A035D0">
        <w:t xml:space="preserve"> </w:t>
      </w:r>
      <w:r w:rsidR="0087402A" w:rsidRPr="00A035D0">
        <w:t>205.1</w:t>
      </w:r>
      <w:r w:rsidR="00FE6B8B" w:rsidRPr="00A035D0">
        <w:t xml:space="preserve"> </w:t>
      </w:r>
      <w:r w:rsidR="0087402A" w:rsidRPr="00A035D0">
        <w:t>billion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tagged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adaptation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PHP</w:t>
      </w:r>
      <w:r w:rsidR="00FE6B8B" w:rsidRPr="00A035D0">
        <w:t xml:space="preserve"> </w:t>
      </w:r>
      <w:r w:rsidR="0087402A" w:rsidRPr="00A035D0">
        <w:t>5.5</w:t>
      </w:r>
      <w:r w:rsidR="00FE6B8B" w:rsidRPr="00A035D0">
        <w:t xml:space="preserve"> </w:t>
      </w:r>
      <w:r w:rsidR="0087402A" w:rsidRPr="00A035D0">
        <w:t>billion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mitigation.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year,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monitored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32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related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provisions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implemented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25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agencies.</w:t>
      </w:r>
    </w:p>
    <w:p w14:paraId="4BE57488" w14:textId="3002BC8F" w:rsidR="0087402A" w:rsidRPr="00A035D0" w:rsidRDefault="0087402A" w:rsidP="006D7DE0">
      <w:pPr>
        <w:pStyle w:val="H4G"/>
      </w:pPr>
      <w:r w:rsidRPr="00A035D0">
        <w:tab/>
      </w:r>
      <w:r w:rsidRPr="00A035D0">
        <w:tab/>
        <w:t>Linking</w:t>
      </w:r>
      <w:r w:rsidR="00FE6B8B" w:rsidRPr="00A035D0">
        <w:t xml:space="preserve"> </w:t>
      </w:r>
      <w:r w:rsidRPr="00A035D0">
        <w:t>science,</w:t>
      </w:r>
      <w:r w:rsidR="00FE6B8B" w:rsidRPr="00A035D0">
        <w:t xml:space="preserve"> </w:t>
      </w:r>
      <w:r w:rsidRPr="00A035D0">
        <w:t>policy,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action</w:t>
      </w:r>
    </w:p>
    <w:p w14:paraId="3CB45F8C" w14:textId="4D7775C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dissemination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information,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continued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increase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adaptation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mitigation</w:t>
      </w:r>
      <w:r w:rsidR="00FE6B8B" w:rsidRPr="00A035D0">
        <w:t xml:space="preserve"> </w:t>
      </w:r>
      <w:r w:rsidR="0087402A" w:rsidRPr="00A035D0">
        <w:t>actions</w:t>
      </w:r>
      <w:r w:rsidR="00FE6B8B" w:rsidRPr="00A035D0">
        <w:t xml:space="preserve"> </w:t>
      </w:r>
      <w:r w:rsidR="0087402A" w:rsidRPr="00A035D0">
        <w:t>through:</w:t>
      </w:r>
      <w:r w:rsidR="00FE6B8B" w:rsidRPr="00A035D0">
        <w:t xml:space="preserve"> </w:t>
      </w:r>
      <w:r w:rsidR="0087402A" w:rsidRPr="00A035D0">
        <w:t>(1)</w:t>
      </w:r>
      <w:r w:rsidR="00FE6B8B" w:rsidRPr="00A035D0">
        <w:t xml:space="preserve"> </w:t>
      </w:r>
      <w:r w:rsidR="0087402A" w:rsidRPr="00A035D0">
        <w:t>rollout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Field</w:t>
      </w:r>
      <w:r w:rsidR="00FE6B8B" w:rsidRPr="00A035D0">
        <w:t xml:space="preserve"> </w:t>
      </w:r>
      <w:r w:rsidR="0087402A" w:rsidRPr="00A035D0">
        <w:t>Schools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farmers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fisherfolks;</w:t>
      </w:r>
      <w:r w:rsidR="00FE6B8B" w:rsidRPr="00A035D0">
        <w:t xml:space="preserve"> </w:t>
      </w:r>
      <w:r w:rsidR="0087402A" w:rsidRPr="00A035D0">
        <w:t>(2)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Congress;</w:t>
      </w:r>
      <w:r w:rsidR="00FE6B8B" w:rsidRPr="00A035D0">
        <w:t xml:space="preserve"> </w:t>
      </w:r>
      <w:r w:rsidR="0087402A" w:rsidRPr="00A035D0">
        <w:t>(3)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1st</w:t>
      </w:r>
      <w:r w:rsidR="00FE6B8B" w:rsidRPr="00A035D0">
        <w:t xml:space="preserve"> </w:t>
      </w:r>
      <w:r w:rsidR="0087402A" w:rsidRPr="00A035D0">
        <w:t>Provincial</w:t>
      </w:r>
      <w:r w:rsidR="00FE6B8B" w:rsidRPr="00A035D0">
        <w:t xml:space="preserve"> </w:t>
      </w:r>
      <w:r w:rsidR="0087402A" w:rsidRPr="00A035D0">
        <w:t>Summit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CCA-DRR;</w:t>
      </w:r>
      <w:r w:rsidR="00FE6B8B" w:rsidRPr="00A035D0">
        <w:t xml:space="preserve"> </w:t>
      </w:r>
      <w:r w:rsidR="0087402A" w:rsidRPr="00A035D0">
        <w:t>(4)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Panel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Experts</w:t>
      </w:r>
      <w:r w:rsidR="00FE6B8B" w:rsidRPr="00A035D0">
        <w:t xml:space="preserve"> </w:t>
      </w:r>
      <w:r w:rsidR="0087402A" w:rsidRPr="00A035D0">
        <w:t>(NPTE)</w:t>
      </w:r>
      <w:r w:rsidR="00FE6B8B" w:rsidRPr="00A035D0">
        <w:t xml:space="preserve"> </w:t>
      </w:r>
      <w:r w:rsidR="0087402A" w:rsidRPr="00A035D0">
        <w:t>Forums;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(5)</w:t>
      </w:r>
      <w:r w:rsidR="00FE6B8B" w:rsidRPr="00A035D0">
        <w:t xml:space="preserve"> </w:t>
      </w:r>
      <w:r w:rsidR="0087402A" w:rsidRPr="00A035D0">
        <w:t>forum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Intergovernmental</w:t>
      </w:r>
      <w:r w:rsidR="00FE6B8B" w:rsidRPr="00A035D0">
        <w:t xml:space="preserve"> </w:t>
      </w:r>
      <w:r w:rsidR="0087402A" w:rsidRPr="00A035D0">
        <w:t>Panel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(IPCC)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Reports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a)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Land,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b)</w:t>
      </w:r>
      <w:r w:rsidR="00FE6B8B" w:rsidRPr="00A035D0">
        <w:t xml:space="preserve"> </w:t>
      </w:r>
      <w:r w:rsidR="0087402A" w:rsidRPr="00A035D0">
        <w:t>Ocean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Cryosphere.</w:t>
      </w:r>
    </w:p>
    <w:p w14:paraId="6EC2450A" w14:textId="13876D4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portals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News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contains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latest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articles,</w:t>
      </w:r>
      <w:r w:rsidR="00FE6B8B" w:rsidRPr="00A035D0">
        <w:t xml:space="preserve"> </w:t>
      </w:r>
      <w:r w:rsidR="0087402A" w:rsidRPr="00A035D0">
        <w:t>opinion</w:t>
      </w:r>
      <w:r w:rsidR="00FE6B8B" w:rsidRPr="00A035D0">
        <w:t xml:space="preserve"> </w:t>
      </w:r>
      <w:r w:rsidR="0087402A" w:rsidRPr="00A035D0">
        <w:t>pieces,</w:t>
      </w:r>
      <w:r w:rsidR="00FE6B8B" w:rsidRPr="00A035D0">
        <w:t xml:space="preserve"> </w:t>
      </w:r>
      <w:r w:rsidR="0087402A" w:rsidRPr="00A035D0">
        <w:t>commentaries,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journals;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Integrated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Database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Exchange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(NICCDIES)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houses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greenhouse</w:t>
      </w:r>
      <w:r w:rsidR="00FE6B8B" w:rsidRPr="00A035D0">
        <w:t xml:space="preserve"> </w:t>
      </w:r>
      <w:r w:rsidR="0087402A" w:rsidRPr="00A035D0">
        <w:t>gas</w:t>
      </w:r>
      <w:r w:rsidR="00FE6B8B" w:rsidRPr="00A035D0">
        <w:t xml:space="preserve"> </w:t>
      </w:r>
      <w:r w:rsidR="0087402A" w:rsidRPr="00A035D0">
        <w:t>(GHG)</w:t>
      </w:r>
      <w:r w:rsidR="00FE6B8B" w:rsidRPr="00A035D0">
        <w:t xml:space="preserve"> </w:t>
      </w:r>
      <w:r w:rsidR="0087402A" w:rsidRPr="00A035D0">
        <w:t>inventory,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actions,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finance,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reports.</w:t>
      </w:r>
    </w:p>
    <w:p w14:paraId="2DDF7FE7" w14:textId="64B6C668" w:rsidR="0087402A" w:rsidRPr="00A035D0" w:rsidRDefault="0087402A" w:rsidP="006D7DE0">
      <w:pPr>
        <w:pStyle w:val="H4G"/>
      </w:pPr>
      <w:r w:rsidRPr="00A035D0">
        <w:tab/>
      </w:r>
      <w:r w:rsidRPr="00A035D0">
        <w:tab/>
        <w:t>Facilitating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convergence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synergy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government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nongovernment</w:t>
      </w:r>
      <w:r w:rsidR="00FE6B8B" w:rsidRPr="00A035D0">
        <w:t xml:space="preserve"> </w:t>
      </w:r>
      <w:r w:rsidRPr="00A035D0">
        <w:t>climate</w:t>
      </w:r>
      <w:r w:rsidR="00FE6B8B" w:rsidRPr="00A035D0">
        <w:t xml:space="preserve"> </w:t>
      </w:r>
      <w:r w:rsidRPr="00A035D0">
        <w:t>actions</w:t>
      </w:r>
    </w:p>
    <w:p w14:paraId="723A90B7" w14:textId="1422BBB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Partnerships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vital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risks</w:t>
      </w:r>
      <w:r w:rsidR="00FE6B8B" w:rsidRPr="00A035D0">
        <w:t xml:space="preserve"> </w:t>
      </w:r>
      <w:r w:rsidR="0087402A" w:rsidRPr="00A035D0">
        <w:t>posed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mainstreaming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levels.</w:t>
      </w:r>
      <w:r w:rsidR="00FE6B8B" w:rsidRPr="00A035D0">
        <w:t xml:space="preserve"> </w:t>
      </w:r>
      <w:r w:rsidR="0087402A" w:rsidRPr="00A035D0">
        <w:t>Hence,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forged</w:t>
      </w:r>
      <w:r w:rsidR="00FE6B8B" w:rsidRPr="00A035D0">
        <w:t xml:space="preserve"> </w:t>
      </w:r>
      <w:r w:rsidR="0087402A" w:rsidRPr="00A035D0">
        <w:t>thirteen</w:t>
      </w:r>
      <w:r w:rsidR="00FE6B8B" w:rsidRPr="00A035D0">
        <w:t xml:space="preserve"> </w:t>
      </w:r>
      <w:r w:rsidR="0087402A" w:rsidRPr="00A035D0">
        <w:t>(13)</w:t>
      </w:r>
      <w:r w:rsidR="00FE6B8B" w:rsidRPr="00A035D0">
        <w:t xml:space="preserve"> </w:t>
      </w:r>
      <w:r w:rsidR="0087402A" w:rsidRPr="00A035D0">
        <w:t>agreements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LGUs,</w:t>
      </w:r>
      <w:r w:rsidR="00FE6B8B" w:rsidRPr="00A035D0">
        <w:t xml:space="preserve"> </w:t>
      </w:r>
      <w:r w:rsidR="0087402A" w:rsidRPr="00A035D0">
        <w:t>academic</w:t>
      </w:r>
      <w:r w:rsidR="00FE6B8B" w:rsidRPr="00A035D0">
        <w:t xml:space="preserve"> </w:t>
      </w:r>
      <w:r w:rsidR="0087402A" w:rsidRPr="00A035D0">
        <w:t>institutions,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business</w:t>
      </w:r>
      <w:r w:rsidR="00FE6B8B" w:rsidRPr="00A035D0">
        <w:t xml:space="preserve"> </w:t>
      </w:r>
      <w:r w:rsidR="0087402A" w:rsidRPr="00A035D0">
        <w:t>sectors,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partners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scale-up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actions.</w:t>
      </w:r>
    </w:p>
    <w:p w14:paraId="4BCEA77A" w14:textId="08D826EC" w:rsidR="0087402A" w:rsidRPr="00A035D0" w:rsidRDefault="0087402A" w:rsidP="00602998">
      <w:pPr>
        <w:pStyle w:val="H4G"/>
      </w:pPr>
      <w:r w:rsidRPr="00A035D0">
        <w:tab/>
      </w:r>
      <w:r w:rsidRPr="00A035D0">
        <w:tab/>
        <w:t>Ensuring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gender</w:t>
      </w:r>
      <w:r w:rsidR="00FE6B8B" w:rsidRPr="00A035D0">
        <w:t xml:space="preserve"> </w:t>
      </w:r>
      <w:r w:rsidRPr="00A035D0">
        <w:t>responsiveness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climate</w:t>
      </w:r>
      <w:r w:rsidR="00FE6B8B" w:rsidRPr="00A035D0">
        <w:t xml:space="preserve"> </w:t>
      </w:r>
      <w:r w:rsidRPr="00A035D0">
        <w:t>actions</w:t>
      </w:r>
    </w:p>
    <w:p w14:paraId="51FBDBD8" w14:textId="253C44A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role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equal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meaningful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pivotal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achieving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inclusive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action.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collaboration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(PCW)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stakeholders,</w:t>
      </w:r>
      <w:r w:rsidR="00FE6B8B" w:rsidRPr="00A035D0">
        <w:t xml:space="preserve"> </w:t>
      </w:r>
      <w:r w:rsidR="0087402A" w:rsidRPr="00A035D0">
        <w:t>reviewed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Environment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component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Beijing</w:t>
      </w:r>
      <w:r w:rsidR="00FE6B8B" w:rsidRPr="00A035D0">
        <w:t xml:space="preserve"> </w:t>
      </w:r>
      <w:r w:rsidR="0087402A" w:rsidRPr="00A035D0">
        <w:t>Declaration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Platform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Action.</w:t>
      </w:r>
    </w:p>
    <w:p w14:paraId="462DD638" w14:textId="4EF1970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Moving</w:t>
      </w:r>
      <w:r w:rsidR="00FE6B8B" w:rsidRPr="00A035D0">
        <w:t xml:space="preserve"> </w:t>
      </w:r>
      <w:r w:rsidR="0087402A" w:rsidRPr="00A035D0">
        <w:t>forward,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strive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remain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key</w:t>
      </w:r>
      <w:r w:rsidR="00FE6B8B" w:rsidRPr="00A035D0">
        <w:t xml:space="preserve"> </w:t>
      </w:r>
      <w:r w:rsidR="0087402A" w:rsidRPr="00A035D0">
        <w:t>player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nation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mainstreaming</w:t>
      </w:r>
      <w:r w:rsidR="00FE6B8B" w:rsidRPr="00A035D0">
        <w:t xml:space="preserve"> </w:t>
      </w:r>
      <w:r w:rsidR="0087402A" w:rsidRPr="00A035D0">
        <w:t>people-centered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meant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welfare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men,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practice,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pursuit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climate-resilient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low-carbon</w:t>
      </w:r>
      <w:r w:rsidR="00FE6B8B" w:rsidRPr="00A035D0">
        <w:t xml:space="preserve"> </w:t>
      </w:r>
      <w:r w:rsidR="0087402A" w:rsidRPr="00A035D0">
        <w:t>Philippines.</w:t>
      </w:r>
    </w:p>
    <w:p w14:paraId="677FF9A2" w14:textId="6B14D8A3" w:rsidR="0087402A" w:rsidRPr="00A035D0" w:rsidRDefault="0087402A" w:rsidP="00602998">
      <w:pPr>
        <w:pStyle w:val="H4G"/>
      </w:pPr>
      <w:r w:rsidRPr="00A035D0">
        <w:tab/>
      </w:r>
      <w:r w:rsidRPr="00A035D0">
        <w:tab/>
        <w:t>Progress</w:t>
      </w:r>
      <w:r w:rsidR="00FE6B8B" w:rsidRPr="00A035D0">
        <w:t xml:space="preserve"> </w:t>
      </w:r>
      <w:r w:rsidRPr="00A035D0">
        <w:t>that</w:t>
      </w:r>
      <w:r w:rsidR="00FE6B8B" w:rsidRPr="00A035D0">
        <w:t xml:space="preserve"> </w:t>
      </w:r>
      <w:r w:rsidRPr="00A035D0">
        <w:t>has</w:t>
      </w:r>
      <w:r w:rsidR="00FE6B8B" w:rsidRPr="00A035D0">
        <w:t xml:space="preserve"> </w:t>
      </w:r>
      <w:r w:rsidRPr="00A035D0">
        <w:t>been</w:t>
      </w:r>
      <w:r w:rsidR="00FE6B8B" w:rsidRPr="00A035D0">
        <w:t xml:space="preserve"> </w:t>
      </w:r>
      <w:r w:rsidRPr="00A035D0">
        <w:t>made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implementing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2011–2028</w:t>
      </w:r>
      <w:r w:rsidR="00FE6B8B" w:rsidRPr="00A035D0">
        <w:t xml:space="preserve"> </w:t>
      </w:r>
      <w:r w:rsidRPr="00A035D0">
        <w:t>National</w:t>
      </w:r>
      <w:r w:rsidR="00FE6B8B" w:rsidRPr="00A035D0">
        <w:t xml:space="preserve"> </w:t>
      </w:r>
      <w:r w:rsidRPr="00A035D0">
        <w:t>Climate</w:t>
      </w:r>
      <w:r w:rsidR="00FE6B8B" w:rsidRPr="00A035D0">
        <w:t xml:space="preserve"> </w:t>
      </w:r>
      <w:r w:rsidRPr="00A035D0">
        <w:t>Change</w:t>
      </w:r>
      <w:r w:rsidR="00FE6B8B" w:rsidRPr="00A035D0">
        <w:t xml:space="preserve"> </w:t>
      </w:r>
      <w:r w:rsidRPr="00A035D0">
        <w:t>Action</w:t>
      </w:r>
      <w:r w:rsidR="00FE6B8B" w:rsidRPr="00A035D0">
        <w:t xml:space="preserve"> </w:t>
      </w:r>
      <w:r w:rsidRPr="00A035D0">
        <w:t>Plan</w:t>
      </w:r>
    </w:p>
    <w:p w14:paraId="248E1FFA" w14:textId="184FF834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NCCAP</w:t>
      </w:r>
      <w:r w:rsidR="00FE6B8B" w:rsidRPr="00A035D0">
        <w:t xml:space="preserve"> </w:t>
      </w:r>
      <w:r w:rsidR="0087402A" w:rsidRPr="00A035D0">
        <w:t>outlines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change</w:t>
      </w:r>
      <w:r w:rsidR="00FE6B8B" w:rsidRPr="00A035D0">
        <w:t xml:space="preserve"> </w:t>
      </w:r>
      <w:r w:rsidR="0087402A" w:rsidRPr="00A035D0">
        <w:t>adaptation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mitigation</w:t>
      </w:r>
      <w:r w:rsidR="00FE6B8B" w:rsidRPr="00A035D0">
        <w:t xml:space="preserve"> </w:t>
      </w:r>
      <w:r w:rsidR="0087402A" w:rsidRPr="00A035D0">
        <w:t>agenda.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CCC</w:t>
      </w:r>
      <w:r w:rsidR="00FE6B8B" w:rsidRPr="00A035D0">
        <w:t xml:space="preserve"> </w:t>
      </w:r>
      <w:r w:rsidR="0087402A" w:rsidRPr="00A035D0">
        <w:t>reviewed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evaluated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NCCAP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2011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2016,</w:t>
      </w:r>
      <w:r w:rsidR="00FE6B8B" w:rsidRPr="00A035D0">
        <w:t xml:space="preserve"> </w:t>
      </w:r>
      <w:r w:rsidR="0087402A" w:rsidRPr="00A035D0">
        <w:t>toward</w:t>
      </w:r>
      <w:r w:rsidR="00FE6B8B" w:rsidRPr="00A035D0">
        <w:t xml:space="preserve"> </w:t>
      </w:r>
      <w:r w:rsidR="0087402A" w:rsidRPr="00A035D0">
        <w:t>providing</w:t>
      </w:r>
      <w:r w:rsidR="00FE6B8B" w:rsidRPr="00A035D0">
        <w:t xml:space="preserve"> </w:t>
      </w:r>
      <w:r w:rsidR="0087402A" w:rsidRPr="00A035D0">
        <w:t>baselines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sectoral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actions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security,</w:t>
      </w:r>
      <w:r w:rsidR="00FE6B8B" w:rsidRPr="00A035D0">
        <w:t xml:space="preserve"> </w:t>
      </w:r>
      <w:r w:rsidR="0087402A" w:rsidRPr="00A035D0">
        <w:t>water</w:t>
      </w:r>
      <w:r w:rsidR="00FE6B8B" w:rsidRPr="00A035D0">
        <w:t xml:space="preserve"> </w:t>
      </w:r>
      <w:r w:rsidR="0087402A" w:rsidRPr="00A035D0">
        <w:t>sufficiency,</w:t>
      </w:r>
      <w:r w:rsidR="00FE6B8B" w:rsidRPr="00A035D0">
        <w:t xml:space="preserve"> </w:t>
      </w:r>
      <w:r w:rsidR="0087402A" w:rsidRPr="00A035D0">
        <w:t>ecosystem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environmental</w:t>
      </w:r>
      <w:r w:rsidR="00FE6B8B" w:rsidRPr="00A035D0">
        <w:t xml:space="preserve"> </w:t>
      </w:r>
      <w:r w:rsidR="0087402A" w:rsidRPr="00A035D0">
        <w:t>stability,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security,</w:t>
      </w:r>
      <w:r w:rsidR="00FE6B8B" w:rsidRPr="00A035D0">
        <w:t xml:space="preserve"> </w:t>
      </w:r>
      <w:r w:rsidR="0087402A" w:rsidRPr="00A035D0">
        <w:t>climate-smart</w:t>
      </w:r>
      <w:r w:rsidR="00FE6B8B" w:rsidRPr="00A035D0">
        <w:t xml:space="preserve"> </w:t>
      </w:r>
      <w:r w:rsidR="0087402A" w:rsidRPr="00A035D0">
        <w:t>industries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sustainable</w:t>
      </w:r>
      <w:r w:rsidR="00FE6B8B" w:rsidRPr="00A035D0">
        <w:t xml:space="preserve"> </w:t>
      </w:r>
      <w:r w:rsidR="0087402A" w:rsidRPr="00A035D0">
        <w:t>energy,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development.</w:t>
      </w:r>
    </w:p>
    <w:p w14:paraId="0337307F" w14:textId="0AA2883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main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instrument</w:t>
      </w:r>
      <w:r w:rsidR="00FE6B8B" w:rsidRPr="00A035D0">
        <w:t xml:space="preserve"> </w:t>
      </w:r>
      <w:r w:rsidR="0087402A" w:rsidRPr="00A035D0">
        <w:t>plan</w:t>
      </w:r>
      <w:r w:rsidR="00FE6B8B" w:rsidRPr="00A035D0">
        <w:t xml:space="preserve"> </w:t>
      </w:r>
      <w:r w:rsidR="0087402A" w:rsidRPr="00A035D0">
        <w:t>across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bureaucracy,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NCCAP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updated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correspond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latest</w:t>
      </w:r>
      <w:r w:rsidR="00FE6B8B" w:rsidRPr="00A035D0">
        <w:t xml:space="preserve"> </w:t>
      </w:r>
      <w:r w:rsidR="0087402A" w:rsidRPr="00A035D0">
        <w:t>trends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climate</w:t>
      </w:r>
      <w:r w:rsidR="00FE6B8B" w:rsidRPr="00A035D0">
        <w:t xml:space="preserve"> </w:t>
      </w:r>
      <w:r w:rsidR="0087402A" w:rsidRPr="00A035D0">
        <w:t>science.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series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high-level</w:t>
      </w:r>
      <w:r w:rsidR="00FE6B8B" w:rsidRPr="00A035D0">
        <w:t xml:space="preserve"> </w:t>
      </w:r>
      <w:r w:rsidR="0087402A" w:rsidRPr="00A035D0">
        <w:lastRenderedPageBreak/>
        <w:t>consultations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year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level-off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stakeholders</w:t>
      </w:r>
      <w:r w:rsidR="00FE6B8B" w:rsidRPr="00A035D0">
        <w:t xml:space="preserve"> </w:t>
      </w:r>
      <w:r w:rsidR="0087402A" w:rsidRPr="00A035D0">
        <w:t>concerned.</w:t>
      </w:r>
      <w:r w:rsidR="0087402A" w:rsidRPr="00A035D0">
        <w:rPr>
          <w:rStyle w:val="FootnoteReference"/>
        </w:rPr>
        <w:footnoteReference w:id="19"/>
      </w:r>
    </w:p>
    <w:p w14:paraId="32E0ED6F" w14:textId="77777777" w:rsidR="00FE6B8B" w:rsidRPr="00A035D0" w:rsidRDefault="0087402A" w:rsidP="00602998">
      <w:pPr>
        <w:pStyle w:val="H1G"/>
      </w:pPr>
      <w:r w:rsidRPr="00A035D0">
        <w:tab/>
      </w:r>
      <w:r w:rsidRPr="00A035D0">
        <w:tab/>
        <w:t>Prohibition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torture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other</w:t>
      </w:r>
      <w:r w:rsidR="00FE6B8B" w:rsidRPr="00A035D0">
        <w:t xml:space="preserve"> </w:t>
      </w:r>
      <w:r w:rsidRPr="00A035D0">
        <w:t>cruel,</w:t>
      </w:r>
      <w:r w:rsidR="00FE6B8B" w:rsidRPr="00A035D0">
        <w:t xml:space="preserve"> </w:t>
      </w:r>
      <w:r w:rsidRPr="00A035D0">
        <w:t>inhuman</w:t>
      </w:r>
      <w:r w:rsidR="00FE6B8B" w:rsidRPr="00A035D0">
        <w:t xml:space="preserve"> </w:t>
      </w:r>
      <w:r w:rsidRPr="00A035D0">
        <w:t>or</w:t>
      </w:r>
      <w:r w:rsidR="00FE6B8B" w:rsidRPr="00A035D0">
        <w:t xml:space="preserve"> </w:t>
      </w:r>
      <w:r w:rsidRPr="00A035D0">
        <w:t>degrading</w:t>
      </w:r>
      <w:r w:rsidR="00FE6B8B" w:rsidRPr="00A035D0">
        <w:t xml:space="preserve"> </w:t>
      </w:r>
      <w:r w:rsidRPr="00A035D0">
        <w:t>treatment</w:t>
      </w:r>
      <w:r w:rsidR="00FE6B8B" w:rsidRPr="00A035D0">
        <w:t xml:space="preserve"> </w:t>
      </w:r>
      <w:r w:rsidRPr="00A035D0">
        <w:t>or</w:t>
      </w:r>
      <w:r w:rsidR="00FE6B8B" w:rsidRPr="00A035D0">
        <w:t xml:space="preserve"> </w:t>
      </w:r>
      <w:r w:rsidRPr="00A035D0">
        <w:t>punishment,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treatment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persons</w:t>
      </w:r>
      <w:r w:rsidR="00FE6B8B" w:rsidRPr="00A035D0">
        <w:t xml:space="preserve"> </w:t>
      </w:r>
      <w:r w:rsidRPr="00A035D0">
        <w:t>deprived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their</w:t>
      </w:r>
      <w:r w:rsidR="00FE6B8B" w:rsidRPr="00A035D0">
        <w:t xml:space="preserve"> </w:t>
      </w:r>
      <w:r w:rsidRPr="00A035D0">
        <w:t>liberty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6,</w:t>
      </w:r>
      <w:r w:rsidR="00FE6B8B" w:rsidRPr="00A035D0">
        <w:t xml:space="preserve"> </w:t>
      </w:r>
      <w:r w:rsidRPr="00A035D0">
        <w:t>7,</w:t>
      </w:r>
      <w:r w:rsidR="00FE6B8B" w:rsidRPr="00A035D0">
        <w:t xml:space="preserve"> </w:t>
      </w:r>
      <w:r w:rsidRPr="00A035D0">
        <w:t>9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10)</w:t>
      </w:r>
    </w:p>
    <w:p w14:paraId="424B7F87" w14:textId="7B6D8053" w:rsidR="0087402A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13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280F5197" w14:textId="77777777" w:rsidR="00FE6B8B" w:rsidRPr="00A035D0" w:rsidRDefault="0087402A" w:rsidP="00602998">
      <w:pPr>
        <w:pStyle w:val="H4G"/>
      </w:pPr>
      <w:r w:rsidRPr="00A035D0">
        <w:tab/>
        <w:t>(a)</w:t>
      </w:r>
      <w:r w:rsidRPr="00A035D0">
        <w:tab/>
        <w:t>Alleged</w:t>
      </w:r>
      <w:r w:rsidR="00FE6B8B" w:rsidRPr="00A035D0">
        <w:t xml:space="preserve"> </w:t>
      </w:r>
      <w:r w:rsidRPr="00A035D0">
        <w:t>reports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widespread</w:t>
      </w:r>
      <w:r w:rsidR="00FE6B8B" w:rsidRPr="00A035D0">
        <w:t xml:space="preserve"> </w:t>
      </w:r>
      <w:r w:rsidRPr="00A035D0">
        <w:t>use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torture</w:t>
      </w:r>
    </w:p>
    <w:p w14:paraId="6754CBE1" w14:textId="3E7ADDF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vertAlign w:val="superscript"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Penology</w:t>
      </w:r>
      <w:r w:rsidR="00FE6B8B" w:rsidRPr="00A035D0">
        <w:t xml:space="preserve"> </w:t>
      </w:r>
      <w:r w:rsidR="0087402A" w:rsidRPr="00A035D0">
        <w:t>(BJMP)</w:t>
      </w:r>
      <w:r w:rsidR="00FE6B8B" w:rsidRPr="00A035D0">
        <w:t xml:space="preserve"> </w:t>
      </w:r>
      <w:r w:rsidR="0087402A" w:rsidRPr="00A035D0">
        <w:t>assesses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effectiveness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trainings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educational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preventing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ill-treatment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decrease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incident</w:t>
      </w:r>
      <w:r w:rsidR="00FE6B8B" w:rsidRPr="00A035D0">
        <w:t xml:space="preserve"> </w:t>
      </w:r>
      <w:r w:rsidR="0087402A" w:rsidRPr="00A035D0">
        <w:t>reports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ill-treatment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committed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deprived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(PDL)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jurisdiction.</w:t>
      </w:r>
    </w:p>
    <w:p w14:paraId="3B1E634F" w14:textId="554E78B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measured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zero</w:t>
      </w:r>
      <w:r w:rsidR="00FE6B8B" w:rsidRPr="00A035D0">
        <w:t xml:space="preserve"> </w:t>
      </w:r>
      <w:r w:rsidR="0087402A" w:rsidRPr="00A035D0">
        <w:t>(0)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incidents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ill-treatment</w:t>
      </w:r>
      <w:r w:rsidR="00FE6B8B" w:rsidRPr="00A035D0">
        <w:t xml:space="preserve"> </w:t>
      </w:r>
      <w:r w:rsidR="0087402A" w:rsidRPr="00A035D0">
        <w:t>committed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jurisdiction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CY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>–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per</w:t>
      </w:r>
      <w:r w:rsidR="00FE6B8B" w:rsidRPr="00A035D0">
        <w:t xml:space="preserve"> </w:t>
      </w:r>
      <w:r w:rsidR="0087402A" w:rsidRPr="00A035D0">
        <w:t>available</w:t>
      </w:r>
      <w:r w:rsidR="00FE6B8B" w:rsidRPr="00A035D0">
        <w:t xml:space="preserve"> </w:t>
      </w:r>
      <w:r w:rsidR="0087402A" w:rsidRPr="00A035D0">
        <w:t>record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Affairs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(BJMP-HRAO).</w:t>
      </w:r>
    </w:p>
    <w:p w14:paraId="17D4AF1C" w14:textId="4DAF334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103.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evaluation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reaction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participants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learnings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used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indicators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AO35</w:t>
      </w:r>
      <w:r w:rsidR="00FE6B8B" w:rsidRPr="00A035D0">
        <w:t xml:space="preserve"> </w:t>
      </w:r>
      <w:r w:rsidR="0087402A" w:rsidRPr="00A035D0">
        <w:t>secretariat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does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resources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evaluation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matter.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this,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–</w:t>
      </w:r>
      <w:r w:rsidR="00FE6B8B" w:rsidRPr="00A035D0">
        <w:t xml:space="preserve"> </w:t>
      </w:r>
      <w:r w:rsidR="0087402A" w:rsidRPr="00A035D0">
        <w:t>United</w:t>
      </w:r>
      <w:r w:rsidR="00FE6B8B" w:rsidRPr="00A035D0">
        <w:t xml:space="preserve"> </w:t>
      </w:r>
      <w:r w:rsidR="0087402A" w:rsidRPr="00A035D0">
        <w:t>Nations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Rights,</w:t>
      </w:r>
      <w:r w:rsidR="00FE6B8B" w:rsidRPr="00A035D0">
        <w:t xml:space="preserve"> </w:t>
      </w:r>
      <w:r w:rsidR="0087402A" w:rsidRPr="00A035D0">
        <w:t>proposed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AO35</w:t>
      </w:r>
      <w:r w:rsidR="00FE6B8B" w:rsidRPr="00A035D0">
        <w:t xml:space="preserve"> </w:t>
      </w:r>
      <w:r w:rsidR="0087402A" w:rsidRPr="00A035D0">
        <w:t>Secretariat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upgraded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allow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real-time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status.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accurate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basis,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effectiveness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educational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reducing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ill-treatment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better</w:t>
      </w:r>
      <w:r w:rsidR="00FE6B8B" w:rsidRPr="00A035D0">
        <w:t xml:space="preserve"> </w:t>
      </w:r>
      <w:r w:rsidR="0087402A" w:rsidRPr="00A035D0">
        <w:t>assessed.</w:t>
      </w:r>
      <w:r w:rsidR="0087402A" w:rsidRPr="00A035D0">
        <w:rPr>
          <w:rStyle w:val="FootnoteReference"/>
        </w:rPr>
        <w:footnoteReference w:id="20"/>
      </w:r>
    </w:p>
    <w:p w14:paraId="554E7DBE" w14:textId="5BB19B44" w:rsidR="0087402A" w:rsidRPr="00A035D0" w:rsidRDefault="0087402A" w:rsidP="00602998">
      <w:pPr>
        <w:pStyle w:val="H4G"/>
      </w:pPr>
      <w:r w:rsidRPr="00A035D0">
        <w:tab/>
        <w:t>(b)</w:t>
      </w:r>
      <w:r w:rsidR="00FE6B8B" w:rsidRPr="00A035D0">
        <w:t xml:space="preserve"> </w:t>
      </w:r>
      <w:r w:rsidRPr="00A035D0">
        <w:tab/>
        <w:t>Steps</w:t>
      </w:r>
      <w:r w:rsidR="00FE6B8B" w:rsidRPr="00A035D0">
        <w:t xml:space="preserve"> </w:t>
      </w:r>
      <w:r w:rsidRPr="00A035D0">
        <w:t>taken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prevent</w:t>
      </w:r>
      <w:r w:rsidR="00FE6B8B" w:rsidRPr="00A035D0">
        <w:t xml:space="preserve"> </w:t>
      </w:r>
      <w:r w:rsidRPr="00A035D0">
        <w:t>such</w:t>
      </w:r>
      <w:r w:rsidR="00FE6B8B" w:rsidRPr="00A035D0">
        <w:t xml:space="preserve"> </w:t>
      </w:r>
      <w:r w:rsidRPr="00A035D0">
        <w:t>practices</w:t>
      </w:r>
    </w:p>
    <w:p w14:paraId="69121657" w14:textId="0E00BF15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Any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cruel,</w:t>
      </w:r>
      <w:r w:rsidR="00FE6B8B" w:rsidRPr="00A035D0">
        <w:t xml:space="preserve"> </w:t>
      </w:r>
      <w:r w:rsidR="0087402A" w:rsidRPr="00A035D0">
        <w:t>inhuman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degrading</w:t>
      </w:r>
      <w:r w:rsidR="00FE6B8B" w:rsidRPr="00A035D0">
        <w:t xml:space="preserve"> </w:t>
      </w:r>
      <w:r w:rsidR="0087402A" w:rsidRPr="00A035D0">
        <w:t>treatment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punishment,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includes</w:t>
      </w:r>
      <w:r w:rsidR="00FE6B8B" w:rsidRPr="00A035D0">
        <w:t xml:space="preserve"> </w:t>
      </w:r>
      <w:r w:rsidR="0087402A" w:rsidRPr="00A035D0">
        <w:t>blindfolding</w:t>
      </w:r>
      <w:r w:rsidR="00FE6B8B" w:rsidRPr="00A035D0">
        <w:t xml:space="preserve"> </w:t>
      </w:r>
      <w:r w:rsidR="0087402A" w:rsidRPr="00A035D0">
        <w:t>detainees,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included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implemented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enforcement</w:t>
      </w:r>
      <w:r w:rsidR="00FE6B8B" w:rsidRPr="00A035D0">
        <w:t xml:space="preserve"> </w:t>
      </w:r>
      <w:r w:rsidR="0087402A" w:rsidRPr="00A035D0">
        <w:t>polices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State.</w:t>
      </w:r>
    </w:p>
    <w:p w14:paraId="4C11F5C6" w14:textId="157393F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Advisory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Prohibition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Blind-Folding</w:t>
      </w:r>
      <w:r w:rsidR="00FE6B8B" w:rsidRPr="00A035D0">
        <w:t xml:space="preserve"> </w:t>
      </w:r>
      <w:r w:rsidR="0087402A" w:rsidRPr="00A035D0">
        <w:t>and/or</w:t>
      </w:r>
      <w:r w:rsidR="00FE6B8B" w:rsidRPr="00A035D0">
        <w:t xml:space="preserve"> “</w:t>
      </w:r>
      <w:r w:rsidR="0087402A" w:rsidRPr="00A035D0">
        <w:t>Hooding</w:t>
      </w:r>
      <w:r w:rsidR="00FE6B8B" w:rsidRPr="00A035D0">
        <w:t xml:space="preserve">”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Arrested</w:t>
      </w:r>
      <w:r w:rsidR="00FE6B8B" w:rsidRPr="00A035D0">
        <w:t xml:space="preserve"> </w:t>
      </w:r>
      <w:r w:rsidR="0087402A" w:rsidRPr="00A035D0">
        <w:t>Persons/Detainees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Media</w:t>
      </w:r>
      <w:r w:rsidR="00FE6B8B" w:rsidRPr="00A035D0">
        <w:t xml:space="preserve"> </w:t>
      </w:r>
      <w:r w:rsidR="0087402A" w:rsidRPr="00A035D0">
        <w:t>Presentation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Suspect/s</w:t>
      </w:r>
      <w:r w:rsidR="00FE6B8B" w:rsidRPr="00A035D0">
        <w:t xml:space="preserve"> </w:t>
      </w:r>
      <w:r w:rsidR="0087402A" w:rsidRPr="00A035D0">
        <w:t>dated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13,</w:t>
      </w:r>
      <w:r w:rsidR="00FE6B8B" w:rsidRPr="00A035D0">
        <w:t xml:space="preserve"> </w:t>
      </w:r>
      <w:r w:rsidR="0087402A" w:rsidRPr="00A035D0">
        <w:t>2016.</w:t>
      </w:r>
      <w:r w:rsidR="00FE6B8B" w:rsidRPr="00A035D0">
        <w:t xml:space="preserve"> </w:t>
      </w:r>
      <w:r w:rsidR="0087402A" w:rsidRPr="00A035D0">
        <w:t>Likewise,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2011-02,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created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Affairs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(HRAO)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BJMP-DWD-SOP-002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Mandatory</w:t>
      </w:r>
      <w:r w:rsidR="00FE6B8B" w:rsidRPr="00A035D0">
        <w:t xml:space="preserve"> </w:t>
      </w:r>
      <w:r w:rsidR="0087402A" w:rsidRPr="00A035D0">
        <w:t>Reporting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uniform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screening,</w:t>
      </w:r>
      <w:r w:rsidR="00FE6B8B" w:rsidRPr="00A035D0">
        <w:t xml:space="preserve"> </w:t>
      </w:r>
      <w:r w:rsidR="0087402A" w:rsidRPr="00A035D0">
        <w:t>documentation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reporting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manned</w:t>
      </w:r>
      <w:r w:rsidR="00FE6B8B" w:rsidRPr="00A035D0">
        <w:t xml:space="preserve"> </w:t>
      </w:r>
      <w:r w:rsidR="0087402A" w:rsidRPr="00A035D0">
        <w:t>jails.</w:t>
      </w:r>
    </w:p>
    <w:p w14:paraId="680E94A1" w14:textId="56D71CA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106.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addition,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implemented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regularly</w:t>
      </w:r>
      <w:r w:rsidR="00FE6B8B" w:rsidRPr="00A035D0">
        <w:t xml:space="preserve"> </w:t>
      </w:r>
      <w:r w:rsidR="0087402A" w:rsidRPr="00A035D0">
        <w:t>subjecting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skills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development.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2017</w:t>
      </w:r>
      <w:r w:rsidR="00FE6B8B" w:rsidRPr="00A035D0">
        <w:t xml:space="preserve"> </w:t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Disciplinary</w:t>
      </w:r>
      <w:r w:rsidR="00FE6B8B" w:rsidRPr="00A035D0">
        <w:t xml:space="preserve"> </w:t>
      </w:r>
      <w:r w:rsidR="0087402A" w:rsidRPr="00A035D0">
        <w:t>Machinery,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committing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administratively</w:t>
      </w:r>
      <w:r w:rsidR="00FE6B8B" w:rsidRPr="00A035D0">
        <w:t xml:space="preserve"> </w:t>
      </w:r>
      <w:r w:rsidR="0087402A" w:rsidRPr="00A035D0">
        <w:t>charged</w:t>
      </w:r>
      <w:r w:rsidR="00FE6B8B" w:rsidRPr="00A035D0">
        <w:t xml:space="preserve"> </w:t>
      </w:r>
      <w:r w:rsidR="0087402A" w:rsidRPr="00A035D0">
        <w:t>without</w:t>
      </w:r>
      <w:r w:rsidR="00FE6B8B" w:rsidRPr="00A035D0">
        <w:t xml:space="preserve"> </w:t>
      </w:r>
      <w:r w:rsidR="0087402A" w:rsidRPr="00A035D0">
        <w:t>prejudice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charges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violation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law.</w:t>
      </w:r>
      <w:r w:rsidR="0087402A" w:rsidRPr="00A035D0">
        <w:rPr>
          <w:rStyle w:val="FootnoteReference"/>
        </w:rPr>
        <w:footnoteReference w:id="21"/>
      </w:r>
    </w:p>
    <w:p w14:paraId="1268CD51" w14:textId="4E20AE9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Penology</w:t>
      </w:r>
      <w:r w:rsidR="00FE6B8B" w:rsidRPr="00A035D0">
        <w:t xml:space="preserve"> </w:t>
      </w:r>
      <w:r w:rsidR="0087402A" w:rsidRPr="00A035D0">
        <w:t>(BJMP)</w:t>
      </w:r>
      <w:r w:rsidR="00FE6B8B" w:rsidRPr="00A035D0">
        <w:t xml:space="preserve"> </w:t>
      </w:r>
      <w:r w:rsidR="0087402A" w:rsidRPr="00A035D0">
        <w:t>regularly</w:t>
      </w:r>
      <w:r w:rsidR="00FE6B8B" w:rsidRPr="00A035D0">
        <w:t xml:space="preserve"> </w:t>
      </w:r>
      <w:r w:rsidR="0087402A" w:rsidRPr="00A035D0">
        <w:t>trains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skills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deprived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(PDL),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prevailing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laws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advocate</w:t>
      </w:r>
      <w:r w:rsidR="00FE6B8B" w:rsidRPr="00A035D0">
        <w:t xml:space="preserve"> </w:t>
      </w:r>
      <w:r w:rsidR="0087402A" w:rsidRPr="00A035D0">
        <w:t>respect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rights.</w:t>
      </w:r>
      <w:r w:rsidR="00FE6B8B" w:rsidRPr="00A035D0">
        <w:t xml:space="preserve"> </w:t>
      </w:r>
      <w:r w:rsidR="0087402A" w:rsidRPr="00A035D0">
        <w:t>13,993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14,824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94.39%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completed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online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Mandela</w:t>
      </w:r>
      <w:r w:rsidR="00FE6B8B" w:rsidRPr="00A035D0">
        <w:t xml:space="preserve"> </w:t>
      </w:r>
      <w:r w:rsidR="0087402A" w:rsidRPr="00A035D0">
        <w:t>Rules.</w:t>
      </w:r>
    </w:p>
    <w:p w14:paraId="59995452" w14:textId="255522B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108.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Affairs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conducting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Deepening</w:t>
      </w:r>
      <w:r w:rsidR="00FE6B8B" w:rsidRPr="00A035D0">
        <w:t xml:space="preserve"> </w:t>
      </w:r>
      <w:r w:rsidR="0087402A" w:rsidRPr="00A035D0">
        <w:t>Webinar</w:t>
      </w:r>
      <w:r w:rsidR="00FE6B8B" w:rsidRPr="00A035D0">
        <w:t xml:space="preserve"> </w:t>
      </w:r>
      <w:r w:rsidR="0087402A" w:rsidRPr="00A035D0">
        <w:t>regularly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includes</w:t>
      </w:r>
      <w:r w:rsidR="00FE6B8B" w:rsidRPr="00A035D0">
        <w:t xml:space="preserve"> </w:t>
      </w:r>
      <w:r w:rsidR="0087402A" w:rsidRPr="00A035D0">
        <w:t>topics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Anti-Torture</w:t>
      </w:r>
      <w:r w:rsidR="00FE6B8B" w:rsidRPr="00A035D0">
        <w:t xml:space="preserve"> </w:t>
      </w:r>
      <w:r w:rsidR="0087402A" w:rsidRPr="00A035D0">
        <w:t>Act.</w:t>
      </w:r>
    </w:p>
    <w:p w14:paraId="6A44BAF5" w14:textId="454C90A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109.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DOJ,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AO35</w:t>
      </w:r>
      <w:r w:rsidR="00FE6B8B" w:rsidRPr="00A035D0">
        <w:t xml:space="preserve"> </w:t>
      </w:r>
      <w:r w:rsidR="0087402A" w:rsidRPr="00A035D0">
        <w:t>Secretariat,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GOJUST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Ateneo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Center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conducting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Trainings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AO35</w:t>
      </w:r>
      <w:r w:rsidR="00FE6B8B" w:rsidRPr="00A035D0">
        <w:t xml:space="preserve"> </w:t>
      </w:r>
      <w:r w:rsidR="0087402A" w:rsidRPr="00A035D0">
        <w:t>prosecutors,</w:t>
      </w:r>
      <w:r w:rsidR="00FE6B8B" w:rsidRPr="00A035D0">
        <w:t xml:space="preserve"> </w:t>
      </w:r>
      <w:r w:rsidR="0087402A" w:rsidRPr="00A035D0">
        <w:t>PNP,</w:t>
      </w:r>
      <w:r w:rsidR="00FE6B8B" w:rsidRPr="00A035D0">
        <w:t xml:space="preserve"> </w:t>
      </w:r>
      <w:r w:rsidR="0087402A" w:rsidRPr="00A035D0">
        <w:t>NBI,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agencies.</w:t>
      </w:r>
      <w:r w:rsidR="00FE6B8B" w:rsidRPr="00A035D0">
        <w:t xml:space="preserve"> </w:t>
      </w:r>
      <w:r w:rsidR="0087402A" w:rsidRPr="00A035D0">
        <w:t>Additional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planned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Philippines-United</w:t>
      </w:r>
      <w:r w:rsidR="00FE6B8B" w:rsidRPr="00A035D0">
        <w:t xml:space="preserve"> </w:t>
      </w:r>
      <w:r w:rsidR="0087402A" w:rsidRPr="00A035D0">
        <w:t>Nations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Rights.</w:t>
      </w:r>
      <w:r w:rsidR="0087402A" w:rsidRPr="00A035D0">
        <w:rPr>
          <w:rStyle w:val="FootnoteReference"/>
        </w:rPr>
        <w:footnoteReference w:id="22"/>
      </w:r>
    </w:p>
    <w:p w14:paraId="69C53BCB" w14:textId="10B1373D" w:rsidR="0087402A" w:rsidRPr="00A035D0" w:rsidRDefault="0087402A" w:rsidP="00602998">
      <w:pPr>
        <w:pStyle w:val="H4G"/>
      </w:pPr>
      <w:r w:rsidRPr="00A035D0">
        <w:tab/>
        <w:t>(c)</w:t>
      </w:r>
      <w:r w:rsidR="00FE6B8B" w:rsidRPr="00A035D0">
        <w:t xml:space="preserve"> </w:t>
      </w:r>
      <w:r w:rsidRPr="00A035D0">
        <w:tab/>
        <w:t>Number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punishments</w:t>
      </w:r>
      <w:r w:rsidR="00FE6B8B" w:rsidRPr="00A035D0">
        <w:t xml:space="preserve"> </w:t>
      </w:r>
      <w:r w:rsidRPr="00A035D0">
        <w:t>meted</w:t>
      </w:r>
      <w:r w:rsidR="00FE6B8B" w:rsidRPr="00A035D0">
        <w:t xml:space="preserve"> </w:t>
      </w:r>
      <w:r w:rsidRPr="00A035D0">
        <w:t>out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perpetrators</w:t>
      </w:r>
    </w:p>
    <w:p w14:paraId="4E93BF13" w14:textId="6481093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Penology</w:t>
      </w:r>
      <w:r w:rsidR="00FE6B8B" w:rsidRPr="00A035D0">
        <w:t xml:space="preserve"> </w:t>
      </w:r>
      <w:r w:rsidR="0087402A" w:rsidRPr="00A035D0">
        <w:t>reports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inhuman,</w:t>
      </w:r>
      <w:r w:rsidR="00FE6B8B" w:rsidRPr="00A035D0">
        <w:t xml:space="preserve"> </w:t>
      </w:r>
      <w:r w:rsidR="0087402A" w:rsidRPr="00A035D0">
        <w:t>degrading,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cruel</w:t>
      </w:r>
      <w:r w:rsidR="00FE6B8B" w:rsidRPr="00A035D0">
        <w:t xml:space="preserve"> </w:t>
      </w:r>
      <w:r w:rsidR="0087402A" w:rsidRPr="00A035D0">
        <w:t>treatment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reported.</w:t>
      </w:r>
    </w:p>
    <w:p w14:paraId="15161E10" w14:textId="772F168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From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June</w:t>
      </w:r>
      <w:r w:rsidR="00FE6B8B" w:rsidRPr="00A035D0">
        <w:t xml:space="preserve"> </w:t>
      </w:r>
      <w:r w:rsidR="0087402A" w:rsidRPr="00A035D0">
        <w:t>15,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records</w:t>
      </w:r>
      <w:r w:rsidR="00FE6B8B" w:rsidRPr="00A035D0">
        <w:t xml:space="preserve"> </w:t>
      </w:r>
      <w:r w:rsidR="0087402A" w:rsidRPr="00A035D0">
        <w:t>show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4,208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7,376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dismissed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suspended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offenses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Chief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14,523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respondents</w:t>
      </w:r>
      <w:r w:rsidR="00FE6B8B" w:rsidRPr="00A035D0">
        <w:t xml:space="preserve"> </w:t>
      </w:r>
      <w:r w:rsidR="0087402A" w:rsidRPr="00A035D0">
        <w:t>(following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recommendations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IAS).</w:t>
      </w:r>
    </w:p>
    <w:p w14:paraId="0C8BFD58" w14:textId="3D62179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112.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Likewise,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period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review,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incident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ill-treatment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AO35</w:t>
      </w:r>
      <w:r w:rsidR="00FE6B8B" w:rsidRPr="00A035D0">
        <w:t xml:space="preserve"> </w:t>
      </w:r>
      <w:r w:rsidR="0087402A" w:rsidRPr="00A035D0">
        <w:t>Secretariat</w:t>
      </w:r>
      <w:r w:rsidR="0087402A" w:rsidRPr="00A035D0">
        <w:rPr>
          <w:rStyle w:val="FootnoteReference"/>
        </w:rPr>
        <w:footnoteReference w:id="23"/>
      </w:r>
    </w:p>
    <w:p w14:paraId="7182CEEA" w14:textId="098E911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Corrections</w:t>
      </w:r>
      <w:r w:rsidR="00FE6B8B" w:rsidRPr="00A035D0">
        <w:t xml:space="preserve"> </w:t>
      </w:r>
      <w:r w:rsidR="0087402A" w:rsidRPr="00A035D0">
        <w:t>(BuCor)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regarding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strip</w:t>
      </w:r>
      <w:r w:rsidR="00FE6B8B" w:rsidRPr="00A035D0">
        <w:t xml:space="preserve"> </w:t>
      </w:r>
      <w:r w:rsidR="0087402A" w:rsidRPr="00A035D0">
        <w:t>searches,</w:t>
      </w:r>
      <w:r w:rsidR="00FE6B8B" w:rsidRPr="00A035D0">
        <w:t xml:space="preserve"> </w:t>
      </w:r>
      <w:r w:rsidR="0087402A" w:rsidRPr="00A035D0">
        <w:t>blindfolding,</w:t>
      </w:r>
      <w:r w:rsidR="00FE6B8B" w:rsidRPr="00A035D0">
        <w:t xml:space="preserve"> </w:t>
      </w:r>
      <w:r w:rsidR="0087402A" w:rsidRPr="00A035D0">
        <w:t>paddling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physical</w:t>
      </w:r>
      <w:r w:rsidR="00FE6B8B" w:rsidRPr="00A035D0">
        <w:t xml:space="preserve"> </w:t>
      </w:r>
      <w:r w:rsidR="0087402A" w:rsidRPr="00A035D0">
        <w:t>punishment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extract</w:t>
      </w:r>
      <w:r w:rsidR="00FE6B8B" w:rsidRPr="00A035D0">
        <w:t xml:space="preserve"> </w:t>
      </w:r>
      <w:r w:rsidR="0087402A" w:rsidRPr="00A035D0">
        <w:t>confessions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PDL.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BuCor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recognizes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freedom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cruel,</w:t>
      </w:r>
      <w:r w:rsidR="00FE6B8B" w:rsidRPr="00A035D0">
        <w:t xml:space="preserve"> </w:t>
      </w:r>
      <w:r w:rsidR="0087402A" w:rsidRPr="00A035D0">
        <w:t>inhuman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degrading</w:t>
      </w:r>
      <w:r w:rsidR="00FE6B8B" w:rsidRPr="00A035D0">
        <w:t xml:space="preserve"> </w:t>
      </w:r>
      <w:r w:rsidR="0087402A" w:rsidRPr="00A035D0">
        <w:t>treatment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punishment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absolute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every</w:t>
      </w:r>
      <w:r w:rsidR="00FE6B8B" w:rsidRPr="00A035D0">
        <w:t xml:space="preserve"> </w:t>
      </w:r>
      <w:r w:rsidR="0087402A" w:rsidRPr="00A035D0">
        <w:t>person,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convicted</w:t>
      </w:r>
      <w:r w:rsidR="00FE6B8B" w:rsidRPr="00A035D0">
        <w:t xml:space="preserve"> </w:t>
      </w:r>
      <w:r w:rsidR="0087402A" w:rsidRPr="00A035D0">
        <w:t>individuals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PDLs.</w:t>
      </w:r>
    </w:p>
    <w:p w14:paraId="4248DED1" w14:textId="70084D6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Reports</w:t>
      </w:r>
      <w:r w:rsidR="00FE6B8B" w:rsidRPr="00A035D0">
        <w:t xml:space="preserve"> </w:t>
      </w:r>
      <w:r w:rsidR="0087402A" w:rsidRPr="00A035D0">
        <w:t>circulating</w:t>
      </w:r>
      <w:r w:rsidR="00FE6B8B" w:rsidRPr="00A035D0">
        <w:t xml:space="preserve"> </w:t>
      </w:r>
      <w:r w:rsidR="0087402A" w:rsidRPr="00A035D0">
        <w:t>about</w:t>
      </w:r>
      <w:r w:rsidR="00FE6B8B" w:rsidRPr="00A035D0">
        <w:t xml:space="preserve"> </w:t>
      </w:r>
      <w:r w:rsidR="0087402A" w:rsidRPr="00A035D0">
        <w:t>widespread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ill-treatment</w:t>
      </w:r>
      <w:r w:rsidR="00FE6B8B" w:rsidRPr="00A035D0">
        <w:t xml:space="preserve"> </w:t>
      </w:r>
      <w:r w:rsidR="0087402A" w:rsidRPr="00A035D0">
        <w:t>committed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sector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mere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intended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vilify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before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community.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Anti-Torture</w:t>
      </w:r>
      <w:r w:rsidR="00FE6B8B" w:rsidRPr="00A035D0">
        <w:t xml:space="preserve"> </w:t>
      </w:r>
      <w:r w:rsidR="0087402A" w:rsidRPr="00A035D0">
        <w:t>Law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(RA</w:t>
      </w:r>
      <w:r w:rsidR="00FE6B8B" w:rsidRPr="00A035D0">
        <w:t xml:space="preserve"> </w:t>
      </w:r>
      <w:r w:rsidR="0087402A" w:rsidRPr="00A035D0">
        <w:t>9745)</w:t>
      </w:r>
      <w:r w:rsidR="00FE6B8B" w:rsidRPr="00A035D0">
        <w:t xml:space="preserve"> </w:t>
      </w:r>
      <w:r w:rsidR="0087402A" w:rsidRPr="00A035D0">
        <w:t>strict</w:t>
      </w:r>
      <w:r w:rsidR="00FE6B8B" w:rsidRPr="00A035D0">
        <w:t xml:space="preserve"> </w:t>
      </w:r>
      <w:r w:rsidR="0087402A" w:rsidRPr="00A035D0">
        <w:t>provisions</w:t>
      </w:r>
      <w:r w:rsidR="00FE6B8B" w:rsidRPr="00A035D0">
        <w:t xml:space="preserve"> </w:t>
      </w:r>
      <w:r w:rsidR="0087402A" w:rsidRPr="00A035D0">
        <w:t>empower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file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perpetrators</w:t>
      </w:r>
      <w:r w:rsidR="00FE6B8B" w:rsidRPr="00A035D0">
        <w:t xml:space="preserve"> </w:t>
      </w:r>
      <w:r w:rsidR="0087402A" w:rsidRPr="00A035D0">
        <w:t>coming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mechanisms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compliance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law.</w:t>
      </w:r>
    </w:p>
    <w:p w14:paraId="10D08B42" w14:textId="1E1D95C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Forces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complaint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military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committing</w:t>
      </w:r>
      <w:r w:rsidR="00FE6B8B" w:rsidRPr="00A035D0">
        <w:t xml:space="preserve"> </w:t>
      </w:r>
      <w:r w:rsidR="0087402A" w:rsidRPr="00A035D0">
        <w:t>torture.</w:t>
      </w:r>
    </w:p>
    <w:p w14:paraId="04438065" w14:textId="0088E09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116.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If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violations,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perpetrators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rPr>
          <w:highlight w:val="white"/>
        </w:rPr>
        <w:t>inter-agency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committee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on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extra-legal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killings,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enforced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disappearances,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torture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other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grave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violations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the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right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to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life,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liberty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and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security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of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persons</w:t>
      </w:r>
      <w:r w:rsidR="00FE6B8B" w:rsidRPr="00A035D0">
        <w:rPr>
          <w:highlight w:val="white"/>
        </w:rPr>
        <w:t xml:space="preserve"> </w:t>
      </w:r>
      <w:r w:rsidR="0087402A" w:rsidRPr="00A035D0">
        <w:rPr>
          <w:highlight w:val="white"/>
        </w:rPr>
        <w:t>through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35</w:t>
      </w:r>
      <w:r w:rsidR="00FE6B8B" w:rsidRPr="00A035D0">
        <w:t xml:space="preserve"> </w:t>
      </w:r>
      <w:r w:rsidR="0087402A" w:rsidRPr="00A035D0">
        <w:t>series</w:t>
      </w:r>
      <w:r w:rsidR="00FE6B8B" w:rsidRPr="00A035D0">
        <w:t xml:space="preserve"> </w:t>
      </w:r>
      <w:r w:rsidR="0087402A" w:rsidRPr="00A035D0">
        <w:t>2012</w:t>
      </w:r>
      <w:r w:rsidR="00FE6B8B" w:rsidRPr="00A035D0">
        <w:t xml:space="preserve"> </w:t>
      </w:r>
      <w:r w:rsidR="0087402A" w:rsidRPr="00A035D0">
        <w:t>(AO35)</w:t>
      </w:r>
      <w:r w:rsidR="00FE6B8B" w:rsidRPr="00A035D0">
        <w:t xml:space="preserve"> </w:t>
      </w:r>
      <w:r w:rsidR="0087402A" w:rsidRPr="00A035D0">
        <w:t>mechanism</w:t>
      </w:r>
      <w:r w:rsidR="00FE6B8B" w:rsidRPr="00A035D0">
        <w:t xml:space="preserve"> </w:t>
      </w:r>
      <w:r w:rsidR="0087402A" w:rsidRPr="00A035D0">
        <w:t>led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Justice.</w:t>
      </w:r>
      <w:r w:rsidR="00FE6B8B" w:rsidRPr="00A035D0">
        <w:t xml:space="preserve"> </w:t>
      </w:r>
      <w:r w:rsidR="0087402A" w:rsidRPr="00A035D0">
        <w:t>Also,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(CHR)</w:t>
      </w:r>
      <w:r w:rsidR="00FE6B8B" w:rsidRPr="00A035D0">
        <w:t xml:space="preserve"> </w:t>
      </w:r>
      <w:r w:rsidR="0087402A" w:rsidRPr="00A035D0">
        <w:t>monitors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Institution</w:t>
      </w:r>
      <w:r w:rsidR="00FE6B8B" w:rsidRPr="00A035D0">
        <w:t xml:space="preserve"> </w:t>
      </w:r>
      <w:r w:rsidR="0087402A" w:rsidRPr="00A035D0">
        <w:t>(NHRI),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conducts</w:t>
      </w:r>
      <w:r w:rsidR="00FE6B8B" w:rsidRPr="00A035D0">
        <w:t xml:space="preserve"> </w:t>
      </w:r>
      <w:r w:rsidR="0087402A" w:rsidRPr="00A035D0">
        <w:t>unannounced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unrestricted</w:t>
      </w:r>
      <w:r w:rsidR="00FE6B8B" w:rsidRPr="00A035D0">
        <w:t xml:space="preserve"> </w:t>
      </w:r>
      <w:r w:rsidR="0087402A" w:rsidRPr="00A035D0">
        <w:t>spot</w:t>
      </w:r>
      <w:r w:rsidR="00FE6B8B" w:rsidRPr="00A035D0">
        <w:t xml:space="preserve"> </w:t>
      </w:r>
      <w:r w:rsidR="0087402A" w:rsidRPr="00A035D0">
        <w:t>visits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facilities,</w:t>
      </w:r>
      <w:r w:rsidR="00FE6B8B" w:rsidRPr="00A035D0">
        <w:t xml:space="preserve"> </w:t>
      </w:r>
      <w:r w:rsidR="0087402A" w:rsidRPr="00A035D0">
        <w:t>aside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maintaining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detained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custodial</w:t>
      </w:r>
      <w:r w:rsidR="00FE6B8B" w:rsidRPr="00A035D0">
        <w:t xml:space="preserve"> </w:t>
      </w:r>
      <w:r w:rsidR="0087402A" w:rsidRPr="00A035D0">
        <w:t>facilities.</w:t>
      </w:r>
      <w:r w:rsidR="0087402A" w:rsidRPr="00A035D0">
        <w:rPr>
          <w:rStyle w:val="FootnoteReference"/>
        </w:rPr>
        <w:footnoteReference w:id="24"/>
      </w:r>
    </w:p>
    <w:p w14:paraId="2E359980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14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418DEE28" w14:textId="5538D67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03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twenty-two</w:t>
      </w:r>
      <w:r w:rsidR="00FE6B8B" w:rsidRPr="00A035D0">
        <w:t xml:space="preserve"> </w:t>
      </w:r>
      <w:r w:rsidR="0087402A" w:rsidRPr="00A035D0">
        <w:t>(22)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buildings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already</w:t>
      </w:r>
      <w:r w:rsidR="00FE6B8B" w:rsidRPr="00A035D0">
        <w:t xml:space="preserve"> </w:t>
      </w:r>
      <w:r w:rsidR="0087402A" w:rsidRPr="00A035D0">
        <w:t>finished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eighty-two</w:t>
      </w:r>
      <w:r w:rsidR="00FE6B8B" w:rsidRPr="00A035D0">
        <w:t xml:space="preserve"> </w:t>
      </w:r>
      <w:r w:rsidR="0087402A" w:rsidRPr="00A035D0">
        <w:t>(82)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still</w:t>
      </w:r>
      <w:r w:rsidR="00FE6B8B" w:rsidRPr="00A035D0">
        <w:t xml:space="preserve"> </w:t>
      </w:r>
      <w:r w:rsidR="0087402A" w:rsidRPr="00A035D0">
        <w:t>on-going</w:t>
      </w:r>
      <w:r w:rsidR="00FE6B8B" w:rsidRPr="00A035D0">
        <w:t xml:space="preserve"> </w:t>
      </w:r>
      <w:r w:rsidR="0087402A" w:rsidRPr="00A035D0">
        <w:t>construction.</w:t>
      </w:r>
      <w:r w:rsidR="00FE6B8B" w:rsidRPr="00A035D0">
        <w:t xml:space="preserve"> </w:t>
      </w:r>
      <w:r w:rsidR="0087402A" w:rsidRPr="00A035D0">
        <w:t>Also,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annual</w:t>
      </w:r>
      <w:r w:rsidR="00FE6B8B" w:rsidRPr="00A035D0">
        <w:t xml:space="preserve"> </w:t>
      </w:r>
      <w:r w:rsidR="0087402A" w:rsidRPr="00A035D0">
        <w:t>infrastructure</w:t>
      </w:r>
      <w:r w:rsidR="00FE6B8B" w:rsidRPr="00A035D0">
        <w:t xml:space="preserve"> </w:t>
      </w:r>
      <w:r w:rsidR="0087402A" w:rsidRPr="00A035D0">
        <w:t>appropriation</w:t>
      </w:r>
      <w:r w:rsidR="00FE6B8B" w:rsidRPr="00A035D0">
        <w:t xml:space="preserve"> </w:t>
      </w:r>
      <w:r w:rsidR="0087402A" w:rsidRPr="00A035D0">
        <w:t>intended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build,</w:t>
      </w:r>
      <w:r w:rsidR="00FE6B8B" w:rsidRPr="00A035D0">
        <w:t xml:space="preserve"> </w:t>
      </w:r>
      <w:r w:rsidR="0087402A" w:rsidRPr="00A035D0">
        <w:t>modify,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repair</w:t>
      </w:r>
      <w:r w:rsidR="00FE6B8B" w:rsidRPr="00A035D0">
        <w:t xml:space="preserve"> </w:t>
      </w:r>
      <w:r w:rsidR="0087402A" w:rsidRPr="00A035D0">
        <w:t>jails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cater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lessen</w:t>
      </w:r>
      <w:r w:rsidR="00FE6B8B" w:rsidRPr="00A035D0">
        <w:t xml:space="preserve"> </w:t>
      </w:r>
      <w:r w:rsidR="0087402A" w:rsidRPr="00A035D0">
        <w:t>congestion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jails.</w:t>
      </w:r>
    </w:p>
    <w:p w14:paraId="36C631FD" w14:textId="554BBA5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118.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further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congestion,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Agreement</w:t>
      </w:r>
      <w:r w:rsidR="00FE6B8B" w:rsidRPr="00A035D0">
        <w:t xml:space="preserve"> </w:t>
      </w:r>
      <w:r w:rsidR="0087402A" w:rsidRPr="00A035D0">
        <w:t>between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Interior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(DILG)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Environment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Natural</w:t>
      </w:r>
      <w:r w:rsidR="00FE6B8B" w:rsidRPr="00A035D0">
        <w:t xml:space="preserve"> </w:t>
      </w:r>
      <w:r w:rsidR="0087402A" w:rsidRPr="00A035D0">
        <w:t>Resources</w:t>
      </w:r>
      <w:r w:rsidR="00FE6B8B" w:rsidRPr="00A035D0">
        <w:t xml:space="preserve"> </w:t>
      </w:r>
      <w:r w:rsidR="0087402A" w:rsidRPr="00A035D0">
        <w:t>(DENR)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facilitate</w:t>
      </w:r>
      <w:r w:rsidR="00FE6B8B" w:rsidRPr="00A035D0">
        <w:t xml:space="preserve"> </w:t>
      </w:r>
      <w:r w:rsidR="0087402A" w:rsidRPr="00A035D0">
        <w:t>lot</w:t>
      </w:r>
      <w:r w:rsidR="00FE6B8B" w:rsidRPr="00A035D0">
        <w:t xml:space="preserve"> </w:t>
      </w:r>
      <w:r w:rsidR="0087402A" w:rsidRPr="00A035D0">
        <w:t>donation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High-Risk</w:t>
      </w:r>
      <w:r w:rsidR="00FE6B8B" w:rsidRPr="00A035D0">
        <w:t xml:space="preserve"> </w:t>
      </w:r>
      <w:r w:rsidR="0087402A" w:rsidRPr="00A035D0">
        <w:t>Facility</w:t>
      </w:r>
      <w:r w:rsidR="00FE6B8B" w:rsidRPr="00A035D0">
        <w:t xml:space="preserve"> </w:t>
      </w:r>
      <w:r w:rsidR="0087402A" w:rsidRPr="00A035D0">
        <w:t>site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Luzon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finalized.</w:t>
      </w:r>
      <w:r w:rsidR="0087402A" w:rsidRPr="00A035D0">
        <w:rPr>
          <w:rStyle w:val="FootnoteReference"/>
        </w:rPr>
        <w:footnoteReference w:id="25"/>
      </w:r>
    </w:p>
    <w:p w14:paraId="64BE10CE" w14:textId="3080B926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119.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Due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speedy</w:t>
      </w:r>
      <w:r w:rsidR="00FE6B8B" w:rsidRPr="00A035D0">
        <w:t xml:space="preserve"> </w:t>
      </w:r>
      <w:r w:rsidR="0087402A" w:rsidRPr="00A035D0">
        <w:t>resolution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courts,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congestion</w:t>
      </w:r>
      <w:r w:rsidR="00FE6B8B" w:rsidRPr="00A035D0">
        <w:t xml:space="preserve"> </w:t>
      </w:r>
      <w:r w:rsidR="0087402A" w:rsidRPr="00A035D0">
        <w:t>rate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Corrections</w:t>
      </w:r>
      <w:r w:rsidR="00FE6B8B" w:rsidRPr="00A035D0">
        <w:t xml:space="preserve"> </w:t>
      </w:r>
      <w:r w:rsidR="0087402A" w:rsidRPr="00A035D0">
        <w:t>(BuCor)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nationwide</w:t>
      </w:r>
      <w:r w:rsidR="00FE6B8B" w:rsidRPr="00A035D0">
        <w:t xml:space="preserve"> </w:t>
      </w:r>
      <w:r w:rsidR="0087402A" w:rsidRPr="00A035D0">
        <w:t>reached</w:t>
      </w:r>
      <w:r w:rsidR="00FE6B8B" w:rsidRPr="00A035D0">
        <w:t xml:space="preserve"> </w:t>
      </w:r>
      <w:r w:rsidR="0087402A" w:rsidRPr="00A035D0">
        <w:t>136</w:t>
      </w:r>
      <w:r w:rsidR="00FE6B8B" w:rsidRPr="00A035D0">
        <w:t xml:space="preserve"> </w:t>
      </w:r>
      <w:r w:rsidR="0087402A" w:rsidRPr="00A035D0">
        <w:t>percent.</w:t>
      </w:r>
      <w:r w:rsidR="0087402A" w:rsidRPr="00A035D0">
        <w:rPr>
          <w:rStyle w:val="FootnoteReference"/>
        </w:rPr>
        <w:footnoteReference w:id="26"/>
      </w:r>
    </w:p>
    <w:p w14:paraId="6BDF75F1" w14:textId="603370F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full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Expanded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Allowance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(GCTA)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10592</w:t>
      </w:r>
      <w:r w:rsidR="00FE6B8B" w:rsidRPr="00A035D0">
        <w:t xml:space="preserve"> </w:t>
      </w:r>
      <w:r w:rsidR="0087402A" w:rsidRPr="00A035D0">
        <w:t>(RA</w:t>
      </w:r>
      <w:r w:rsidR="00FE6B8B" w:rsidRPr="00A035D0">
        <w:t xml:space="preserve"> </w:t>
      </w:r>
      <w:r w:rsidR="0087402A" w:rsidRPr="00A035D0">
        <w:t>10592)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implementing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regulations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expected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bring</w:t>
      </w:r>
      <w:r w:rsidR="00FE6B8B" w:rsidRPr="00A035D0">
        <w:t xml:space="preserve"> </w:t>
      </w:r>
      <w:r w:rsidR="0087402A" w:rsidRPr="00A035D0">
        <w:t>down</w:t>
      </w:r>
      <w:r w:rsidR="00FE6B8B" w:rsidRPr="00A035D0">
        <w:t xml:space="preserve"> </w:t>
      </w:r>
      <w:r w:rsidR="0087402A" w:rsidRPr="00A035D0">
        <w:t>congestion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about</w:t>
      </w:r>
      <w:r w:rsidR="00FE6B8B" w:rsidRPr="00A035D0">
        <w:t xml:space="preserve"> </w:t>
      </w:r>
      <w:r w:rsidR="0087402A" w:rsidRPr="00A035D0">
        <w:t>76</w:t>
      </w:r>
      <w:r w:rsidR="00FE6B8B" w:rsidRPr="00A035D0">
        <w:t xml:space="preserve"> </w:t>
      </w:r>
      <w:r w:rsidR="0087402A" w:rsidRPr="00A035D0">
        <w:t>percent</w:t>
      </w:r>
      <w:r w:rsidR="00FE6B8B" w:rsidRPr="00A035D0">
        <w:t xml:space="preserve"> </w:t>
      </w:r>
      <w:r w:rsidR="0087402A" w:rsidRPr="00A035D0">
        <w:t>after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</w:t>
      </w:r>
      <w:r w:rsidR="00FE6B8B" w:rsidRPr="00A035D0">
        <w:t xml:space="preserve"> </w:t>
      </w:r>
      <w:r w:rsidR="0087402A" w:rsidRPr="00A035D0">
        <w:t>population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reduced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some</w:t>
      </w:r>
      <w:r w:rsidR="00FE6B8B" w:rsidRPr="00A035D0">
        <w:t xml:space="preserve"> </w:t>
      </w:r>
      <w:r w:rsidR="0087402A" w:rsidRPr="00A035D0">
        <w:t>11</w:t>
      </w:r>
      <w:r w:rsidR="00FE6B8B" w:rsidRPr="00A035D0">
        <w:t xml:space="preserve"> </w:t>
      </w:r>
      <w:r w:rsidR="0087402A" w:rsidRPr="00A035D0">
        <w:t>thousand.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34,000</w:t>
      </w:r>
      <w:r w:rsidR="00FE6B8B" w:rsidRPr="00A035D0">
        <w:t xml:space="preserve"> </w:t>
      </w:r>
      <w:r w:rsidR="0087402A" w:rsidRPr="00A035D0">
        <w:t>prisoners,</w:t>
      </w:r>
      <w:r w:rsidR="00FE6B8B" w:rsidRPr="00A035D0">
        <w:t xml:space="preserve"> </w:t>
      </w:r>
      <w:r w:rsidR="0087402A" w:rsidRPr="00A035D0">
        <w:t>conditions</w:t>
      </w:r>
      <w:r w:rsidR="00FE6B8B" w:rsidRPr="00A035D0">
        <w:t xml:space="preserve"> </w:t>
      </w:r>
      <w:r w:rsidR="0087402A" w:rsidRPr="00A035D0">
        <w:t>inside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OPPFs</w:t>
      </w:r>
      <w:r w:rsidR="00FE6B8B" w:rsidRPr="00A035D0">
        <w:t xml:space="preserve"> </w:t>
      </w:r>
      <w:r w:rsidR="0087402A" w:rsidRPr="00A035D0">
        <w:t>would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conducive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reform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chances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released</w:t>
      </w:r>
      <w:r w:rsidR="00FE6B8B" w:rsidRPr="00A035D0">
        <w:t xml:space="preserve"> </w:t>
      </w:r>
      <w:r w:rsidR="0087402A" w:rsidRPr="00A035D0">
        <w:t>prisoners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renewed</w:t>
      </w:r>
      <w:r w:rsidR="00FE6B8B" w:rsidRPr="00A035D0">
        <w:t xml:space="preserve"> </w:t>
      </w:r>
      <w:r w:rsidR="0087402A" w:rsidRPr="00A035D0">
        <w:t>lives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mainstream</w:t>
      </w:r>
      <w:r w:rsidR="00FE6B8B" w:rsidRPr="00A035D0">
        <w:t xml:space="preserve"> </w:t>
      </w:r>
      <w:r w:rsidR="0087402A" w:rsidRPr="00A035D0">
        <w:t>society.</w:t>
      </w:r>
      <w:r w:rsidR="0087402A" w:rsidRPr="00A035D0">
        <w:rPr>
          <w:rStyle w:val="FootnoteReference"/>
        </w:rPr>
        <w:footnoteReference w:id="27"/>
      </w:r>
    </w:p>
    <w:p w14:paraId="547F8E35" w14:textId="40E9B0E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121.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DOJ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jointly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adopted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2017</w:t>
      </w:r>
      <w:r w:rsidR="00FE6B8B" w:rsidRPr="00A035D0">
        <w:t xml:space="preserve"> </w:t>
      </w:r>
      <w:r w:rsidR="0087402A" w:rsidRPr="00A035D0">
        <w:t>Uniform</w:t>
      </w:r>
      <w:r w:rsidR="00FE6B8B" w:rsidRPr="00A035D0">
        <w:t xml:space="preserve"> </w:t>
      </w:r>
      <w:r w:rsidR="0087402A" w:rsidRPr="00A035D0">
        <w:t>Manual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Allowances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Sentence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standardize</w:t>
      </w:r>
      <w:r w:rsidR="00FE6B8B" w:rsidRPr="00A035D0">
        <w:t xml:space="preserve"> </w:t>
      </w:r>
      <w:r w:rsidR="0087402A" w:rsidRPr="00A035D0">
        <w:t>procedures</w:t>
      </w:r>
      <w:r w:rsidR="00FE6B8B" w:rsidRPr="00A035D0">
        <w:t xml:space="preserve"> </w:t>
      </w:r>
      <w:r w:rsidR="0087402A" w:rsidRPr="00A035D0">
        <w:t>relative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allowances</w:t>
      </w:r>
      <w:r w:rsidR="00FE6B8B" w:rsidRPr="00A035D0">
        <w:t xml:space="preserve"> </w:t>
      </w:r>
      <w:r w:rsidR="0087402A" w:rsidRPr="00A035D0">
        <w:t>pursuant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GCTA.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incentivizing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behavior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PDL,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rehabilitation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documenting/applying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allowances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better</w:t>
      </w:r>
      <w:r w:rsidR="00FE6B8B" w:rsidRPr="00A035D0">
        <w:t xml:space="preserve"> </w:t>
      </w:r>
      <w:r w:rsidR="0087402A" w:rsidRPr="00A035D0">
        <w:t>preparing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return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facilitating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timely</w:t>
      </w:r>
      <w:r w:rsidR="00FE6B8B" w:rsidRPr="00A035D0">
        <w:t xml:space="preserve"> </w:t>
      </w:r>
      <w:r w:rsidR="0087402A" w:rsidRPr="00A035D0">
        <w:t>release.</w:t>
      </w:r>
      <w:r w:rsidR="0087402A" w:rsidRPr="00A035D0">
        <w:rPr>
          <w:rStyle w:val="FootnoteReference"/>
        </w:rPr>
        <w:footnoteReference w:id="28"/>
      </w:r>
    </w:p>
    <w:p w14:paraId="3CC44834" w14:textId="771A242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122.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Moreover,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passage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11362</w:t>
      </w:r>
      <w:r w:rsidR="00FE6B8B" w:rsidRPr="00A035D0">
        <w:t xml:space="preserve"> </w:t>
      </w:r>
      <w:r w:rsidR="0087402A" w:rsidRPr="00A035D0">
        <w:t>(RA</w:t>
      </w:r>
      <w:r w:rsidR="00FE6B8B" w:rsidRPr="00A035D0">
        <w:t xml:space="preserve"> </w:t>
      </w:r>
      <w:r w:rsidR="0087402A" w:rsidRPr="00A035D0">
        <w:t>11362)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“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”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aims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promote</w:t>
      </w:r>
      <w:r w:rsidR="00FE6B8B" w:rsidRPr="00A035D0">
        <w:t xml:space="preserve"> </w:t>
      </w:r>
      <w:r w:rsidR="0087402A" w:rsidRPr="00A035D0">
        <w:t>restorative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contribute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decongestion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jails.</w:t>
      </w:r>
      <w:r w:rsidR="0087402A" w:rsidRPr="00A035D0">
        <w:rPr>
          <w:rStyle w:val="FootnoteReference"/>
        </w:rPr>
        <w:footnoteReference w:id="29"/>
      </w:r>
    </w:p>
    <w:p w14:paraId="5112C8D5" w14:textId="0ED75D1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123.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With</w:t>
      </w:r>
      <w:r w:rsidR="00FE6B8B" w:rsidRPr="00A035D0">
        <w:t xml:space="preserve"> </w:t>
      </w:r>
      <w:r w:rsidR="0087402A" w:rsidRPr="00A035D0">
        <w:t>regard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catering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JJWC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working</w:t>
      </w:r>
      <w:r w:rsidR="00FE6B8B" w:rsidRPr="00A035D0">
        <w:t xml:space="preserve"> </w:t>
      </w:r>
      <w:r w:rsidR="0087402A" w:rsidRPr="00A035D0">
        <w:t>towards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decongestion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rehabilitation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coordination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courts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expedite</w:t>
      </w:r>
      <w:r w:rsidR="00FE6B8B" w:rsidRPr="00A035D0">
        <w:t xml:space="preserve"> </w:t>
      </w:r>
      <w:r w:rsidR="0087402A" w:rsidRPr="00A035D0">
        <w:t>disposition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cases.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needing</w:t>
      </w:r>
      <w:r w:rsidR="00FE6B8B" w:rsidRPr="00A035D0">
        <w:t xml:space="preserve"> </w:t>
      </w:r>
      <w:r w:rsidR="0087402A" w:rsidRPr="00A035D0">
        <w:t>improvement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meet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standards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identified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BPA</w:t>
      </w:r>
      <w:r w:rsidR="00FE6B8B" w:rsidRPr="00A035D0">
        <w:t xml:space="preserve"> </w:t>
      </w:r>
      <w:r w:rsidR="0087402A" w:rsidRPr="00A035D0">
        <w:t>profiling</w:t>
      </w:r>
      <w:r w:rsidR="00FE6B8B" w:rsidRPr="00A035D0">
        <w:t xml:space="preserve"> </w:t>
      </w:r>
      <w:r w:rsidR="0087402A" w:rsidRPr="00A035D0">
        <w:t>across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Juvenile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Welfare</w:t>
      </w:r>
      <w:r w:rsidR="00FE6B8B" w:rsidRPr="00A035D0">
        <w:t xml:space="preserve"> </w:t>
      </w:r>
      <w:r w:rsidR="0087402A" w:rsidRPr="00A035D0">
        <w:t>Committees,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JJWC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subnational</w:t>
      </w:r>
      <w:r w:rsidR="00FE6B8B" w:rsidRPr="00A035D0">
        <w:t xml:space="preserve"> </w:t>
      </w:r>
      <w:r w:rsidR="0087402A" w:rsidRPr="00A035D0">
        <w:t>extension,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continuously</w:t>
      </w:r>
      <w:r w:rsidR="00FE6B8B" w:rsidRPr="00A035D0">
        <w:t xml:space="preserve"> </w:t>
      </w:r>
      <w:r w:rsidR="0087402A" w:rsidRPr="00A035D0">
        <w:t>providing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accreditation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comply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operation.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set</w:t>
      </w:r>
      <w:r w:rsidR="00FE6B8B" w:rsidRPr="00A035D0">
        <w:t xml:space="preserve"> </w:t>
      </w:r>
      <w:r w:rsidR="0087402A" w:rsidRPr="00A035D0">
        <w:t>standards</w:t>
      </w:r>
      <w:r w:rsidR="00FE6B8B" w:rsidRPr="00A035D0">
        <w:t xml:space="preserve"> </w:t>
      </w:r>
      <w:r w:rsidR="0087402A" w:rsidRPr="00A035D0">
        <w:t>along</w:t>
      </w:r>
      <w:r w:rsidR="00FE6B8B" w:rsidRPr="00A035D0">
        <w:t xml:space="preserve"> </w:t>
      </w:r>
      <w:r w:rsidR="0087402A" w:rsidRPr="00A035D0">
        <w:t>program,</w:t>
      </w:r>
      <w:r w:rsidR="00FE6B8B" w:rsidRPr="00A035D0">
        <w:t xml:space="preserve"> </w:t>
      </w:r>
      <w:r w:rsidR="0087402A" w:rsidRPr="00A035D0">
        <w:t>physical</w:t>
      </w:r>
      <w:r w:rsidR="00FE6B8B" w:rsidRPr="00A035D0">
        <w:t xml:space="preserve"> </w:t>
      </w:r>
      <w:r w:rsidR="0087402A" w:rsidRPr="00A035D0">
        <w:t>structure,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safety,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budget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operations,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maintenance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’ </w:t>
      </w:r>
      <w:r w:rsidR="0087402A" w:rsidRPr="00A035D0">
        <w:t>care.</w:t>
      </w:r>
      <w:r w:rsidR="0087402A" w:rsidRPr="00A035D0">
        <w:rPr>
          <w:rStyle w:val="FootnoteReference"/>
        </w:rPr>
        <w:footnoteReference w:id="30"/>
      </w:r>
    </w:p>
    <w:p w14:paraId="58AF7A54" w14:textId="562CC6E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Penology</w:t>
      </w:r>
      <w:r w:rsidR="00FE6B8B" w:rsidRPr="00A035D0">
        <w:t xml:space="preserve"> </w:t>
      </w:r>
      <w:r w:rsidR="0087402A" w:rsidRPr="00A035D0">
        <w:t>(BJMP)</w:t>
      </w:r>
      <w:r w:rsidR="00FE6B8B" w:rsidRPr="00A035D0">
        <w:t xml:space="preserve"> </w:t>
      </w:r>
      <w:r w:rsidR="0087402A" w:rsidRPr="00A035D0">
        <w:t>addresses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problem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prison</w:t>
      </w:r>
      <w:r w:rsidR="00FE6B8B" w:rsidRPr="00A035D0">
        <w:t xml:space="preserve"> </w:t>
      </w:r>
      <w:r w:rsidR="0087402A" w:rsidRPr="00A035D0">
        <w:t>overcrowding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improvement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construction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facilities,</w:t>
      </w:r>
      <w:r w:rsidR="00FE6B8B" w:rsidRPr="00A035D0">
        <w:t xml:space="preserve"> </w:t>
      </w:r>
      <w:r w:rsidR="0087402A" w:rsidRPr="00A035D0">
        <w:t>funded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Government,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help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non-governmental</w:t>
      </w:r>
      <w:r w:rsidR="00FE6B8B" w:rsidRPr="00A035D0">
        <w:t xml:space="preserve"> </w:t>
      </w:r>
      <w:r w:rsidR="0087402A" w:rsidRPr="00A035D0">
        <w:t>organizations.</w:t>
      </w:r>
      <w:r w:rsidR="00FE6B8B" w:rsidRPr="00A035D0">
        <w:t xml:space="preserve"> </w:t>
      </w:r>
      <w:r w:rsidR="0087402A" w:rsidRPr="00A035D0">
        <w:t>Some</w:t>
      </w:r>
      <w:r w:rsidR="00FE6B8B" w:rsidRPr="00A035D0">
        <w:t xml:space="preserve"> </w:t>
      </w:r>
      <w:r w:rsidR="0087402A" w:rsidRPr="00A035D0">
        <w:t>examples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construction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Quezon</w:t>
      </w:r>
      <w:r w:rsidR="00FE6B8B" w:rsidRPr="00A035D0">
        <w:t xml:space="preserve"> </w:t>
      </w:r>
      <w:r w:rsidR="0087402A" w:rsidRPr="00A035D0">
        <w:t>District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531</w:t>
      </w:r>
      <w:r w:rsidR="00FE6B8B" w:rsidRPr="00A035D0">
        <w:t xml:space="preserve"> </w:t>
      </w:r>
      <w:r w:rsidR="0087402A" w:rsidRPr="00A035D0">
        <w:t>PDLs,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construction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Mandaluyong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Male</w:t>
      </w:r>
      <w:r w:rsidR="00FE6B8B" w:rsidRPr="00A035D0">
        <w:t xml:space="preserve"> </w:t>
      </w:r>
      <w:r w:rsidR="0087402A" w:rsidRPr="00A035D0">
        <w:t>dorm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2017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449</w:t>
      </w:r>
      <w:r w:rsidR="00FE6B8B" w:rsidRPr="00A035D0">
        <w:t xml:space="preserve"> </w:t>
      </w:r>
      <w:r w:rsidR="0087402A" w:rsidRPr="00A035D0">
        <w:t>PDLs,</w:t>
      </w:r>
      <w:r w:rsidR="00FE6B8B" w:rsidRPr="00A035D0">
        <w:t xml:space="preserve"> </w:t>
      </w:r>
      <w:r w:rsidR="0087402A" w:rsidRPr="00A035D0">
        <w:t>Cebu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Male</w:t>
      </w:r>
      <w:r w:rsidR="00FE6B8B" w:rsidRPr="00A035D0">
        <w:t xml:space="preserve"> </w:t>
      </w:r>
      <w:r w:rsidR="0087402A" w:rsidRPr="00A035D0">
        <w:t>Dorm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ideal</w:t>
      </w:r>
      <w:r w:rsidR="00FE6B8B" w:rsidRPr="00A035D0">
        <w:t xml:space="preserve"> </w:t>
      </w:r>
      <w:r w:rsidR="0087402A" w:rsidRPr="00A035D0">
        <w:t>540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capacity,</w:t>
      </w:r>
      <w:r w:rsidR="00FE6B8B" w:rsidRPr="00A035D0">
        <w:t xml:space="preserve"> </w:t>
      </w:r>
      <w:r w:rsidR="0087402A" w:rsidRPr="00A035D0">
        <w:t>Cabanatuan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District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ideal</w:t>
      </w:r>
      <w:r w:rsidR="00FE6B8B" w:rsidRPr="00A035D0">
        <w:t xml:space="preserve"> </w:t>
      </w:r>
      <w:r w:rsidR="0087402A" w:rsidRPr="00A035D0">
        <w:t>470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capacity,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Bataan</w:t>
      </w:r>
      <w:r w:rsidR="00FE6B8B" w:rsidRPr="00A035D0">
        <w:t xml:space="preserve"> </w:t>
      </w:r>
      <w:r w:rsidR="0087402A" w:rsidRPr="00A035D0">
        <w:t>District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480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capacity.</w:t>
      </w:r>
    </w:p>
    <w:p w14:paraId="5EF4D862" w14:textId="3A1F19C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125.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Moreover,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paralegal</w:t>
      </w:r>
      <w:r w:rsidR="00FE6B8B" w:rsidRPr="00A035D0">
        <w:t xml:space="preserve"> </w:t>
      </w:r>
      <w:r w:rsidR="0087402A" w:rsidRPr="00A035D0">
        <w:t>program,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eligible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qualified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deprived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(PDL)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avail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early</w:t>
      </w:r>
      <w:r w:rsidR="00FE6B8B" w:rsidRPr="00A035D0">
        <w:t xml:space="preserve"> </w:t>
      </w:r>
      <w:r w:rsidR="0087402A" w:rsidRPr="00A035D0">
        <w:t>modes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paralegal</w:t>
      </w:r>
      <w:r w:rsidR="00FE6B8B" w:rsidRPr="00A035D0">
        <w:t xml:space="preserve"> </w:t>
      </w:r>
      <w:r w:rsidR="0087402A" w:rsidRPr="00A035D0">
        <w:t>release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bail,</w:t>
      </w:r>
      <w:r w:rsidR="00FE6B8B" w:rsidRPr="00A035D0">
        <w:t xml:space="preserve"> </w:t>
      </w:r>
      <w:r w:rsidR="0087402A" w:rsidRPr="00A035D0">
        <w:t>release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recognizance,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provisional/</w:t>
      </w:r>
      <w:r w:rsidR="00FE6B8B" w:rsidRPr="00A035D0">
        <w:t xml:space="preserve"> </w:t>
      </w:r>
      <w:r w:rsidR="0087402A" w:rsidRPr="00A035D0">
        <w:t>permanent</w:t>
      </w:r>
      <w:r w:rsidR="00FE6B8B" w:rsidRPr="00A035D0">
        <w:t xml:space="preserve"> </w:t>
      </w:r>
      <w:r w:rsidR="0087402A" w:rsidRPr="00A035D0">
        <w:t>dismissal,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others,</w:t>
      </w:r>
      <w:r w:rsidR="00FE6B8B" w:rsidRPr="00A035D0">
        <w:t xml:space="preserve"> </w:t>
      </w:r>
      <w:r w:rsidR="0087402A" w:rsidRPr="00A035D0">
        <w:t>thereby</w:t>
      </w:r>
      <w:r w:rsidR="00FE6B8B" w:rsidRPr="00A035D0">
        <w:t xml:space="preserve"> </w:t>
      </w:r>
      <w:r w:rsidR="0087402A" w:rsidRPr="00A035D0">
        <w:t>shortening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length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stay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jail.</w:t>
      </w:r>
      <w:r w:rsidR="0087402A" w:rsidRPr="00A035D0">
        <w:rPr>
          <w:rStyle w:val="FootnoteReference"/>
        </w:rPr>
        <w:footnoteReference w:id="31"/>
      </w:r>
    </w:p>
    <w:p w14:paraId="7C8BF519" w14:textId="0C126E53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adheres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United</w:t>
      </w:r>
      <w:r w:rsidR="00FE6B8B" w:rsidRPr="00A035D0">
        <w:t xml:space="preserve"> </w:t>
      </w:r>
      <w:r w:rsidR="0087402A" w:rsidRPr="00A035D0">
        <w:t>Nations</w:t>
      </w:r>
      <w:r w:rsidR="00FE6B8B" w:rsidRPr="00A035D0">
        <w:t xml:space="preserve"> </w:t>
      </w:r>
      <w:r w:rsidR="0087402A" w:rsidRPr="00A035D0">
        <w:t>Standard</w:t>
      </w:r>
      <w:r w:rsidR="00FE6B8B" w:rsidRPr="00A035D0">
        <w:t xml:space="preserve"> </w:t>
      </w:r>
      <w:r w:rsidR="0087402A" w:rsidRPr="00A035D0">
        <w:t>Minimum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Treatment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Prisoners</w:t>
      </w:r>
      <w:r w:rsidR="00FE6B8B" w:rsidRPr="00A035D0">
        <w:t xml:space="preserve"> </w:t>
      </w:r>
      <w:r w:rsidR="0087402A" w:rsidRPr="00A035D0">
        <w:t>(the</w:t>
      </w:r>
      <w:r w:rsidR="00FE6B8B" w:rsidRPr="00A035D0">
        <w:t xml:space="preserve"> </w:t>
      </w:r>
      <w:r w:rsidR="0087402A" w:rsidRPr="00A035D0">
        <w:t>Nelson</w:t>
      </w:r>
      <w:r w:rsidR="00FE6B8B" w:rsidRPr="00A035D0">
        <w:t xml:space="preserve"> </w:t>
      </w:r>
      <w:r w:rsidR="0087402A" w:rsidRPr="00A035D0">
        <w:t>Mandela</w:t>
      </w:r>
      <w:r w:rsidR="00FE6B8B" w:rsidRPr="00A035D0">
        <w:t xml:space="preserve"> </w:t>
      </w:r>
      <w:r w:rsidR="0087402A" w:rsidRPr="00A035D0">
        <w:t>Rules).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Directorate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Service,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preserving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advocating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they</w:t>
      </w:r>
      <w:r w:rsidR="00FE6B8B" w:rsidRPr="00A035D0">
        <w:t xml:space="preserve"> </w:t>
      </w:r>
      <w:r w:rsidR="0087402A" w:rsidRPr="00A035D0">
        <w:t>should</w:t>
      </w:r>
      <w:r w:rsidR="00FE6B8B" w:rsidRPr="00A035D0">
        <w:t xml:space="preserve"> </w:t>
      </w:r>
      <w:r w:rsidR="0087402A" w:rsidRPr="00A035D0">
        <w:t>equally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equitably</w:t>
      </w:r>
      <w:r w:rsidR="00FE6B8B" w:rsidRPr="00A035D0">
        <w:t xml:space="preserve"> </w:t>
      </w:r>
      <w:r w:rsidR="0087402A" w:rsidRPr="00A035D0">
        <w:t>receive</w:t>
      </w:r>
      <w:r w:rsidR="00FE6B8B" w:rsidRPr="00A035D0">
        <w:t xml:space="preserve"> </w:t>
      </w:r>
      <w:r w:rsidR="0087402A" w:rsidRPr="00A035D0">
        <w:t>whatever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community.</w:t>
      </w:r>
    </w:p>
    <w:p w14:paraId="51B3ABA6" w14:textId="1BCFC056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adopts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TB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HIV/AIDS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(DOH)</w:t>
      </w:r>
      <w:r w:rsidR="00FE6B8B" w:rsidRPr="00A035D0">
        <w:t xml:space="preserve"> </w:t>
      </w:r>
      <w:r w:rsidR="0087402A" w:rsidRPr="00A035D0">
        <w:t>formed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PDLs.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communicable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non-communicable</w:t>
      </w:r>
      <w:r w:rsidR="00FE6B8B" w:rsidRPr="00A035D0">
        <w:t xml:space="preserve"> </w:t>
      </w:r>
      <w:r w:rsidR="0087402A" w:rsidRPr="00A035D0">
        <w:t>diseases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implemented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strong</w:t>
      </w:r>
      <w:r w:rsidR="00FE6B8B" w:rsidRPr="00A035D0">
        <w:t xml:space="preserve"> </w:t>
      </w:r>
      <w:r w:rsidR="0087402A" w:rsidRPr="00A035D0">
        <w:t>linkages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DOH,</w:t>
      </w:r>
      <w:r w:rsidR="00FE6B8B" w:rsidRPr="00A035D0">
        <w:t xml:space="preserve"> </w:t>
      </w:r>
      <w:r w:rsidR="0087402A" w:rsidRPr="00A035D0">
        <w:t>respective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units,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non-government</w:t>
      </w:r>
      <w:r w:rsidR="00FE6B8B" w:rsidRPr="00A035D0">
        <w:t xml:space="preserve"> </w:t>
      </w:r>
      <w:r w:rsidR="0087402A" w:rsidRPr="00A035D0">
        <w:t>organizations.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continuously</w:t>
      </w:r>
      <w:r w:rsidR="00FE6B8B" w:rsidRPr="00A035D0">
        <w:t xml:space="preserve"> </w:t>
      </w:r>
      <w:r w:rsidR="0087402A" w:rsidRPr="00A035D0">
        <w:t>enhancing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documentation,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forms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lastRenderedPageBreak/>
        <w:t>information</w:t>
      </w:r>
      <w:r w:rsidR="00FE6B8B" w:rsidRPr="00A035D0">
        <w:t xml:space="preserve"> </w:t>
      </w:r>
      <w:r w:rsidR="0087402A" w:rsidRPr="00A035D0">
        <w:t>system.</w:t>
      </w:r>
      <w:r w:rsidR="00FE6B8B" w:rsidRPr="00A035D0">
        <w:t xml:space="preserve"> </w:t>
      </w:r>
      <w:r w:rsidR="0087402A" w:rsidRPr="00A035D0">
        <w:t>Currently,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13</w:t>
      </w:r>
      <w:r w:rsidR="00FE6B8B" w:rsidRPr="00A035D0">
        <w:t xml:space="preserve"> </w:t>
      </w:r>
      <w:r w:rsidR="0087402A" w:rsidRPr="00A035D0">
        <w:t>uniformed</w:t>
      </w:r>
      <w:r w:rsidR="00FE6B8B" w:rsidRPr="00A035D0">
        <w:t xml:space="preserve"> </w:t>
      </w:r>
      <w:r w:rsidR="0087402A" w:rsidRPr="00A035D0">
        <w:t>physicians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</w:t>
      </w:r>
      <w:r w:rsidR="00FE6B8B" w:rsidRPr="00A035D0">
        <w:t xml:space="preserve"> </w:t>
      </w:r>
      <w:r w:rsidR="0087402A" w:rsidRPr="00A035D0">
        <w:t>civilian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officer,</w:t>
      </w:r>
      <w:r w:rsidR="00FE6B8B" w:rsidRPr="00A035D0">
        <w:t xml:space="preserve"> </w:t>
      </w:r>
      <w:r w:rsidR="0087402A" w:rsidRPr="00A035D0">
        <w:t>3</w:t>
      </w:r>
      <w:r w:rsidR="00FE6B8B" w:rsidRPr="00A035D0">
        <w:t xml:space="preserve"> </w:t>
      </w:r>
      <w:r w:rsidR="0087402A" w:rsidRPr="00A035D0">
        <w:t>psychiatrists,</w:t>
      </w:r>
      <w:r w:rsidR="00FE6B8B" w:rsidRPr="00A035D0">
        <w:t xml:space="preserve"> </w:t>
      </w:r>
      <w:r w:rsidR="0087402A" w:rsidRPr="00A035D0">
        <w:t>30</w:t>
      </w:r>
      <w:r w:rsidR="00FE6B8B" w:rsidRPr="00A035D0">
        <w:t xml:space="preserve"> </w:t>
      </w:r>
      <w:r w:rsidR="0087402A" w:rsidRPr="00A035D0">
        <w:t>dentists,</w:t>
      </w:r>
      <w:r w:rsidR="00FE6B8B" w:rsidRPr="00A035D0">
        <w:t xml:space="preserve"> </w:t>
      </w:r>
      <w:r w:rsidR="0087402A" w:rsidRPr="00A035D0">
        <w:t>1,123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nurses,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45</w:t>
      </w:r>
      <w:r w:rsidR="00FE6B8B" w:rsidRPr="00A035D0">
        <w:t xml:space="preserve"> </w:t>
      </w:r>
      <w:r w:rsidR="0087402A" w:rsidRPr="00A035D0">
        <w:t>allied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professionals.</w:t>
      </w:r>
    </w:p>
    <w:p w14:paraId="27713B11" w14:textId="27B6686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mortality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deaths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PDL,</w:t>
      </w:r>
      <w:r w:rsidR="00FE6B8B" w:rsidRPr="00A035D0">
        <w:t xml:space="preserve"> </w:t>
      </w:r>
      <w:r w:rsidR="0087402A" w:rsidRPr="00A035D0">
        <w:t>majority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acquired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prior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commitment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majority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non-communicable</w:t>
      </w:r>
      <w:r w:rsidR="00FE6B8B" w:rsidRPr="00A035D0">
        <w:t xml:space="preserve"> </w:t>
      </w:r>
      <w:r w:rsidR="0087402A" w:rsidRPr="00A035D0">
        <w:t>disease.</w:t>
      </w:r>
    </w:p>
    <w:p w14:paraId="3DF3CE59" w14:textId="1AD2E56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enhancement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timely</w:t>
      </w:r>
      <w:r w:rsidR="00FE6B8B" w:rsidRPr="00A035D0">
        <w:t xml:space="preserve"> </w:t>
      </w:r>
      <w:r w:rsidR="0087402A" w:rsidRPr="00A035D0">
        <w:t>referral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officers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strong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institutions,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efficiently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effectively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PDL.</w:t>
      </w:r>
    </w:p>
    <w:p w14:paraId="4D3FF7A2" w14:textId="0721129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31,</w:t>
      </w:r>
      <w:r w:rsidR="00FE6B8B" w:rsidRPr="00A035D0">
        <w:t xml:space="preserve"> </w:t>
      </w:r>
      <w:r w:rsidR="0087402A" w:rsidRPr="00A035D0">
        <w:t>2021,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1,145</w:t>
      </w:r>
      <w:r w:rsidR="00FE6B8B" w:rsidRPr="00A035D0">
        <w:t xml:space="preserve"> </w:t>
      </w:r>
      <w:r w:rsidR="0087402A" w:rsidRPr="00A035D0">
        <w:t>nurses</w:t>
      </w:r>
      <w:r w:rsidR="00FE6B8B" w:rsidRPr="00A035D0">
        <w:t xml:space="preserve"> </w:t>
      </w:r>
      <w:r w:rsidR="0087402A" w:rsidRPr="00A035D0">
        <w:t>(1:102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Ratio),</w:t>
      </w:r>
      <w:r w:rsidR="00FE6B8B" w:rsidRPr="00A035D0">
        <w:t xml:space="preserve"> </w:t>
      </w:r>
      <w:r w:rsidR="0087402A" w:rsidRPr="00A035D0">
        <w:t>14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officers</w:t>
      </w:r>
      <w:r w:rsidR="00FE6B8B" w:rsidRPr="00A035D0">
        <w:t xml:space="preserve"> </w:t>
      </w:r>
      <w:r w:rsidR="0087402A" w:rsidRPr="00A035D0">
        <w:t>(1:</w:t>
      </w:r>
      <w:r w:rsidR="00FE6B8B" w:rsidRPr="00A035D0">
        <w:t xml:space="preserve"> </w:t>
      </w:r>
      <w:r w:rsidR="0087402A" w:rsidRPr="00A035D0">
        <w:t>8,379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Ratio),</w:t>
      </w:r>
      <w:r w:rsidR="00FE6B8B" w:rsidRPr="00A035D0">
        <w:t xml:space="preserve"> </w:t>
      </w:r>
      <w:r w:rsidR="0087402A" w:rsidRPr="00A035D0">
        <w:t>28</w:t>
      </w:r>
      <w:r w:rsidR="00FE6B8B" w:rsidRPr="00A035D0">
        <w:t xml:space="preserve"> </w:t>
      </w:r>
      <w:r w:rsidR="0087402A" w:rsidRPr="00A035D0">
        <w:t>Dentists</w:t>
      </w:r>
      <w:r w:rsidR="00FE6B8B" w:rsidRPr="00A035D0">
        <w:t xml:space="preserve"> </w:t>
      </w:r>
      <w:r w:rsidR="0087402A" w:rsidRPr="00A035D0">
        <w:t>(1:</w:t>
      </w:r>
      <w:r w:rsidR="00FE6B8B" w:rsidRPr="00A035D0">
        <w:t xml:space="preserve"> </w:t>
      </w:r>
      <w:r w:rsidR="0087402A" w:rsidRPr="00A035D0">
        <w:t>4,189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Ratio),</w:t>
      </w:r>
      <w:r w:rsidR="00FE6B8B" w:rsidRPr="00A035D0">
        <w:t xml:space="preserve"> </w:t>
      </w:r>
      <w:r w:rsidR="0087402A" w:rsidRPr="00A035D0">
        <w:t>3</w:t>
      </w:r>
      <w:r w:rsidR="00FE6B8B" w:rsidRPr="00A035D0">
        <w:t xml:space="preserve"> </w:t>
      </w:r>
      <w:r w:rsidR="0087402A" w:rsidRPr="00A035D0">
        <w:t>psychiatrists</w:t>
      </w:r>
      <w:r w:rsidR="00FE6B8B" w:rsidRPr="00A035D0">
        <w:t xml:space="preserve"> </w:t>
      </w:r>
      <w:r w:rsidR="0087402A" w:rsidRPr="00A035D0">
        <w:t>(1:</w:t>
      </w:r>
      <w:r w:rsidR="00FE6B8B" w:rsidRPr="00A035D0">
        <w:t xml:space="preserve"> </w:t>
      </w:r>
      <w:r w:rsidR="0087402A" w:rsidRPr="00A035D0">
        <w:t>39,100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Ratio),</w:t>
      </w:r>
      <w:r w:rsidR="00FE6B8B" w:rsidRPr="00A035D0">
        <w:t xml:space="preserve"> </w:t>
      </w:r>
      <w:r w:rsidR="0087402A" w:rsidRPr="00A035D0">
        <w:t>5</w:t>
      </w:r>
      <w:r w:rsidR="00FE6B8B" w:rsidRPr="00A035D0">
        <w:t xml:space="preserve"> </w:t>
      </w:r>
      <w:r w:rsidR="0087402A" w:rsidRPr="00A035D0">
        <w:t>psychologists</w:t>
      </w:r>
      <w:r w:rsidR="00FE6B8B" w:rsidRPr="00A035D0">
        <w:t xml:space="preserve"> </w:t>
      </w:r>
      <w:r w:rsidR="0087402A" w:rsidRPr="00A035D0">
        <w:t>(1:</w:t>
      </w:r>
      <w:r w:rsidR="00FE6B8B" w:rsidRPr="00A035D0">
        <w:t xml:space="preserve"> </w:t>
      </w:r>
      <w:r w:rsidR="0087402A" w:rsidRPr="00A035D0">
        <w:t>23,460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Ratio),</w:t>
      </w:r>
      <w:r w:rsidR="00FE6B8B" w:rsidRPr="00A035D0">
        <w:t xml:space="preserve"> </w:t>
      </w:r>
      <w:r w:rsidR="0087402A" w:rsidRPr="00A035D0">
        <w:t>20</w:t>
      </w:r>
      <w:r w:rsidR="00FE6B8B" w:rsidRPr="00A035D0">
        <w:t xml:space="preserve"> </w:t>
      </w:r>
      <w:r w:rsidR="0087402A" w:rsidRPr="00A035D0">
        <w:t>psychometricians</w:t>
      </w:r>
      <w:r w:rsidR="00FE6B8B" w:rsidRPr="00A035D0">
        <w:t xml:space="preserve"> </w:t>
      </w:r>
      <w:r w:rsidR="0087402A" w:rsidRPr="00A035D0">
        <w:t>(1:</w:t>
      </w:r>
      <w:r w:rsidR="00FE6B8B" w:rsidRPr="00A035D0">
        <w:t xml:space="preserve"> </w:t>
      </w:r>
      <w:r w:rsidR="0087402A" w:rsidRPr="00A035D0">
        <w:t>5,865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Ratio),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26</w:t>
      </w:r>
      <w:r w:rsidR="00FE6B8B" w:rsidRPr="00A035D0">
        <w:t xml:space="preserve"> </w:t>
      </w:r>
      <w:r w:rsidR="0087402A" w:rsidRPr="00A035D0">
        <w:t>allied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professionals.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continues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increase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forces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regular</w:t>
      </w:r>
      <w:r w:rsidR="00FE6B8B" w:rsidRPr="00A035D0">
        <w:t xml:space="preserve"> </w:t>
      </w:r>
      <w:r w:rsidR="0087402A" w:rsidRPr="00A035D0">
        <w:t>recruitment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professionals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rank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Officer</w:t>
      </w:r>
      <w:r w:rsidR="00FE6B8B" w:rsidRPr="00A035D0">
        <w:t xml:space="preserve"> </w:t>
      </w:r>
      <w:r w:rsidR="0087402A" w:rsidRPr="00A035D0">
        <w:t>1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doctors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psychiatrists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rank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Senior</w:t>
      </w:r>
      <w:r w:rsidR="00FE6B8B" w:rsidRPr="00A035D0">
        <w:t xml:space="preserve"> </w:t>
      </w:r>
      <w:r w:rsidR="0087402A" w:rsidRPr="00A035D0">
        <w:t>Inspector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lateral</w:t>
      </w:r>
      <w:r w:rsidR="00FE6B8B" w:rsidRPr="00A035D0">
        <w:t xml:space="preserve"> </w:t>
      </w:r>
      <w:r w:rsidR="0087402A" w:rsidRPr="00A035D0">
        <w:t>entry.</w:t>
      </w:r>
    </w:p>
    <w:p w14:paraId="2A0BF0BF" w14:textId="704E4E5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hand,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recorded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444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deaths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January</w:t>
      </w:r>
      <w:r w:rsidR="00FE6B8B" w:rsidRPr="00A035D0">
        <w:t>–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2021.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highest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cardiovascular</w:t>
      </w:r>
      <w:r w:rsidR="00FE6B8B" w:rsidRPr="00A035D0">
        <w:t xml:space="preserve"> </w:t>
      </w:r>
      <w:r w:rsidR="0087402A" w:rsidRPr="00A035D0">
        <w:t>diseases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115,</w:t>
      </w:r>
      <w:r w:rsidR="00FE6B8B" w:rsidRPr="00A035D0">
        <w:t xml:space="preserve"> </w:t>
      </w:r>
      <w:r w:rsidR="0087402A" w:rsidRPr="00A035D0">
        <w:t>Septic</w:t>
      </w:r>
      <w:r w:rsidR="00FE6B8B" w:rsidRPr="00A035D0">
        <w:t xml:space="preserve"> </w:t>
      </w:r>
      <w:r w:rsidR="0087402A" w:rsidRPr="00A035D0">
        <w:t>shock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76,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cardiorespiratory</w:t>
      </w:r>
      <w:r w:rsidR="00FE6B8B" w:rsidRPr="00A035D0">
        <w:t xml:space="preserve"> </w:t>
      </w:r>
      <w:r w:rsidR="0087402A" w:rsidRPr="00A035D0">
        <w:t>arrest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38.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mortality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reported</w:t>
      </w:r>
      <w:r w:rsidR="00FE6B8B" w:rsidRPr="00A035D0">
        <w:t xml:space="preserve"> </w:t>
      </w:r>
      <w:r w:rsidR="0087402A" w:rsidRPr="00A035D0">
        <w:t>deaths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PDL,</w:t>
      </w:r>
      <w:r w:rsidR="00FE6B8B" w:rsidRPr="00A035D0">
        <w:t xml:space="preserve"> </w:t>
      </w:r>
      <w:r w:rsidR="0087402A" w:rsidRPr="00A035D0">
        <w:t>majority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acquired</w:t>
      </w:r>
      <w:r w:rsidR="00FE6B8B" w:rsidRPr="00A035D0">
        <w:t xml:space="preserve"> </w:t>
      </w:r>
      <w:r w:rsidR="0087402A" w:rsidRPr="00A035D0">
        <w:t>even</w:t>
      </w:r>
      <w:r w:rsidR="00FE6B8B" w:rsidRPr="00A035D0">
        <w:t xml:space="preserve"> </w:t>
      </w:r>
      <w:r w:rsidR="0087402A" w:rsidRPr="00A035D0">
        <w:t>prior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commitment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majority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death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non-communicable</w:t>
      </w:r>
      <w:r w:rsidR="00FE6B8B" w:rsidRPr="00A035D0">
        <w:t xml:space="preserve"> </w:t>
      </w:r>
      <w:r w:rsidR="0087402A" w:rsidRPr="00A035D0">
        <w:t>diseases.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enhancement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timely</w:t>
      </w:r>
      <w:r w:rsidR="00FE6B8B" w:rsidRPr="00A035D0">
        <w:t xml:space="preserve"> </w:t>
      </w:r>
      <w:r w:rsidR="0087402A" w:rsidRPr="00A035D0">
        <w:t>referral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our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officers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strong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institutions,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efficiently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effectively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PDL.</w:t>
      </w:r>
    </w:p>
    <w:p w14:paraId="271FA2A2" w14:textId="075C059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132.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From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>–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2021,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237,163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benefiting</w:t>
      </w:r>
      <w:r w:rsidR="00FE6B8B" w:rsidRPr="00A035D0">
        <w:t xml:space="preserve"> </w:t>
      </w:r>
      <w:r w:rsidR="0087402A" w:rsidRPr="00A035D0">
        <w:t>108,924</w:t>
      </w:r>
      <w:r w:rsidR="00FE6B8B" w:rsidRPr="00A035D0">
        <w:t xml:space="preserve"> </w:t>
      </w:r>
      <w:r w:rsidR="0087402A" w:rsidRPr="00A035D0">
        <w:t>PDL,</w:t>
      </w:r>
      <w:r w:rsidR="00FE6B8B" w:rsidRPr="00A035D0">
        <w:t xml:space="preserve"> </w:t>
      </w:r>
      <w:r w:rsidR="0087402A" w:rsidRPr="00A035D0">
        <w:t>20,534</w:t>
      </w:r>
      <w:r w:rsidR="00FE6B8B" w:rsidRPr="00A035D0">
        <w:t xml:space="preserve"> </w:t>
      </w:r>
      <w:r w:rsidR="0087402A" w:rsidRPr="00A035D0">
        <w:t>dental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benefiting</w:t>
      </w:r>
      <w:r w:rsidR="00FE6B8B" w:rsidRPr="00A035D0">
        <w:t xml:space="preserve"> </w:t>
      </w:r>
      <w:r w:rsidR="0087402A" w:rsidRPr="00A035D0">
        <w:t>16,929</w:t>
      </w:r>
      <w:r w:rsidR="00FE6B8B" w:rsidRPr="00A035D0">
        <w:t xml:space="preserve"> </w:t>
      </w:r>
      <w:r w:rsidR="0087402A" w:rsidRPr="00A035D0">
        <w:t>PDL.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telemedicine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benefited</w:t>
      </w:r>
      <w:r w:rsidR="00FE6B8B" w:rsidRPr="00A035D0">
        <w:t xml:space="preserve"> </w:t>
      </w:r>
      <w:r w:rsidR="0087402A" w:rsidRPr="00A035D0">
        <w:t>11,960</w:t>
      </w:r>
      <w:r w:rsidR="00FE6B8B" w:rsidRPr="00A035D0">
        <w:t xml:space="preserve"> </w:t>
      </w:r>
      <w:r w:rsidR="0087402A" w:rsidRPr="00A035D0">
        <w:t>PDL;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psychoeducation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benefited</w:t>
      </w:r>
      <w:r w:rsidR="00FE6B8B" w:rsidRPr="00A035D0">
        <w:t xml:space="preserve"> </w:t>
      </w:r>
      <w:r w:rsidR="0087402A" w:rsidRPr="00A035D0">
        <w:t>95,652</w:t>
      </w:r>
      <w:r w:rsidR="00FE6B8B" w:rsidRPr="00A035D0">
        <w:t xml:space="preserve"> </w:t>
      </w:r>
      <w:r w:rsidR="0087402A" w:rsidRPr="00A035D0">
        <w:t>PDL;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individual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 xml:space="preserve"> </w:t>
      </w:r>
      <w:r w:rsidR="0087402A" w:rsidRPr="00A035D0">
        <w:t>counseling</w:t>
      </w:r>
      <w:r w:rsidR="00FE6B8B" w:rsidRPr="00A035D0">
        <w:t xml:space="preserve"> </w:t>
      </w:r>
      <w:r w:rsidR="0087402A" w:rsidRPr="00A035D0">
        <w:t>psychosocial</w:t>
      </w:r>
      <w:r w:rsidR="00FE6B8B" w:rsidRPr="00A035D0">
        <w:t xml:space="preserve"> </w:t>
      </w:r>
      <w:r w:rsidR="0087402A" w:rsidRPr="00A035D0">
        <w:t>processing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benefited</w:t>
      </w:r>
      <w:r w:rsidR="00FE6B8B" w:rsidRPr="00A035D0">
        <w:t xml:space="preserve"> </w:t>
      </w:r>
      <w:r w:rsidR="0087402A" w:rsidRPr="00A035D0">
        <w:t>302,836</w:t>
      </w:r>
      <w:r w:rsidR="00FE6B8B" w:rsidRPr="00A035D0">
        <w:t xml:space="preserve"> </w:t>
      </w:r>
      <w:r w:rsidR="0087402A" w:rsidRPr="00A035D0">
        <w:t>PDL;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telepsychology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benefited</w:t>
      </w:r>
      <w:r w:rsidR="00FE6B8B" w:rsidRPr="00A035D0">
        <w:t xml:space="preserve"> </w:t>
      </w:r>
      <w:r w:rsidR="0087402A" w:rsidRPr="00A035D0">
        <w:t>39,029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period.</w:t>
      </w:r>
      <w:r w:rsidR="0087402A" w:rsidRPr="00A035D0">
        <w:rPr>
          <w:rStyle w:val="FootnoteReference"/>
        </w:rPr>
        <w:footnoteReference w:id="32"/>
      </w:r>
    </w:p>
    <w:p w14:paraId="74D52E07" w14:textId="77777777" w:rsidR="00FE6B8B" w:rsidRPr="00A035D0" w:rsidRDefault="0087402A" w:rsidP="00602998">
      <w:pPr>
        <w:pStyle w:val="H1G"/>
      </w:pPr>
      <w:r w:rsidRPr="00A035D0">
        <w:tab/>
      </w:r>
      <w:r w:rsidRPr="00A035D0">
        <w:tab/>
        <w:t>Deprivation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liberty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9,</w:t>
      </w:r>
      <w:r w:rsidR="00FE6B8B" w:rsidRPr="00A035D0">
        <w:t xml:space="preserve"> </w:t>
      </w:r>
      <w:r w:rsidRPr="00A035D0">
        <w:t>10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14)</w:t>
      </w:r>
    </w:p>
    <w:p w14:paraId="757FA9D6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15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43A3CD40" w14:textId="443A304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current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anti-illegal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drug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campaign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complimented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wellness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recovery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efforts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through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holistic-approach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Community-Based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Rehabilitation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Program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(CBRP)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facilitated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network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volunteer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experts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community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called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Community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Rehabilitation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Network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(CRN).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composed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volunteers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who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experts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medical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psycho-social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fields;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namely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doctors,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psychologists,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psychiatrists,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teachers,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guidance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counselors,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members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faith-based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organizations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anyone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who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shall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willing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able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facilitate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CBRP.</w:t>
      </w:r>
    </w:p>
    <w:p w14:paraId="3B39C494" w14:textId="79621E8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wellness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recovery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through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CBRP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adheres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12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principles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prescribed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United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Nations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Office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Drugs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(UNODC)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Department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Health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(DOH)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which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assures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following:</w:t>
      </w:r>
    </w:p>
    <w:p w14:paraId="323737EF" w14:textId="51DA03A0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1)</w:t>
      </w:r>
      <w:r w:rsidR="0087402A" w:rsidRPr="00A035D0">
        <w:rPr>
          <w:lang w:val="en-US"/>
        </w:rPr>
        <w:tab/>
      </w:r>
      <w:r w:rsidR="0087402A" w:rsidRPr="00A035D0">
        <w:t>Continuum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outreach,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reducing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harm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use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reintegration,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door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entry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system</w:t>
      </w:r>
    </w:p>
    <w:p w14:paraId="0B69A152" w14:textId="02696757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2)</w:t>
      </w:r>
      <w:r w:rsidR="0087402A" w:rsidRPr="00A035D0">
        <w:rPr>
          <w:lang w:val="en-US"/>
        </w:rPr>
        <w:tab/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–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close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possible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users</w:t>
      </w:r>
      <w:r w:rsidR="00FE6B8B" w:rsidRPr="00A035D0">
        <w:t xml:space="preserve"> </w:t>
      </w:r>
      <w:r w:rsidR="0087402A" w:rsidRPr="00A035D0">
        <w:t>live</w:t>
      </w:r>
    </w:p>
    <w:p w14:paraId="6E5E83EE" w14:textId="267C1041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3)</w:t>
      </w:r>
      <w:r w:rsidR="0087402A" w:rsidRPr="00A035D0">
        <w:rPr>
          <w:lang w:val="en-US"/>
        </w:rPr>
        <w:tab/>
      </w:r>
      <w:r w:rsidR="0087402A" w:rsidRPr="00A035D0">
        <w:t>Minimal</w:t>
      </w:r>
      <w:r w:rsidR="00FE6B8B" w:rsidRPr="00A035D0">
        <w:t xml:space="preserve"> </w:t>
      </w:r>
      <w:r w:rsidR="0087402A" w:rsidRPr="00A035D0">
        <w:t>disruption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links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employment</w:t>
      </w:r>
    </w:p>
    <w:p w14:paraId="3AF823B1" w14:textId="3DE1ADCB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4)</w:t>
      </w:r>
      <w:r w:rsidR="0087402A" w:rsidRPr="00A035D0">
        <w:rPr>
          <w:lang w:val="en-US"/>
        </w:rPr>
        <w:tab/>
      </w:r>
      <w:r w:rsidR="0087402A" w:rsidRPr="00A035D0">
        <w:t>Integration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existing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services;</w:t>
      </w:r>
    </w:p>
    <w:p w14:paraId="5C7E1C3C" w14:textId="5E405CB2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5)</w:t>
      </w:r>
      <w:r w:rsidR="0087402A" w:rsidRPr="00A035D0">
        <w:rPr>
          <w:lang w:val="en-US"/>
        </w:rPr>
        <w:tab/>
      </w:r>
      <w:r w:rsidR="0087402A" w:rsidRPr="00A035D0">
        <w:t>Involve</w:t>
      </w:r>
      <w:r w:rsidR="00FE6B8B" w:rsidRPr="00A035D0">
        <w:t xml:space="preserve"> </w:t>
      </w:r>
      <w:r w:rsidR="0087402A" w:rsidRPr="00A035D0">
        <w:t>communities,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build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resources,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families;</w:t>
      </w:r>
    </w:p>
    <w:p w14:paraId="6D0E08F4" w14:textId="07A85FEF" w:rsidR="0087402A" w:rsidRPr="00A035D0" w:rsidRDefault="00602998" w:rsidP="00602998">
      <w:pPr>
        <w:pStyle w:val="SingleTxtG"/>
      </w:pPr>
      <w:r w:rsidRPr="00A035D0">
        <w:rPr>
          <w:lang w:val="en-US"/>
        </w:rPr>
        <w:lastRenderedPageBreak/>
        <w:tab/>
      </w:r>
      <w:r w:rsidR="0087402A" w:rsidRPr="00A035D0">
        <w:rPr>
          <w:lang w:val="en-US"/>
        </w:rPr>
        <w:t>6)</w:t>
      </w:r>
      <w:r w:rsidR="0087402A" w:rsidRPr="00A035D0">
        <w:rPr>
          <w:lang w:val="en-US"/>
        </w:rPr>
        <w:tab/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people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affected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use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dependence,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wider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delivery</w:t>
      </w:r>
      <w:r w:rsidR="00B71BF0">
        <w:t>;</w:t>
      </w:r>
    </w:p>
    <w:p w14:paraId="4E7A6CB4" w14:textId="18D5A27A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7)</w:t>
      </w:r>
      <w:r w:rsidR="0087402A" w:rsidRPr="00A035D0">
        <w:rPr>
          <w:lang w:val="en-US"/>
        </w:rPr>
        <w:tab/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approach,</w:t>
      </w:r>
      <w:r w:rsidR="00FE6B8B" w:rsidRPr="00A035D0">
        <w:t xml:space="preserve"> </w:t>
      </w:r>
      <w:r w:rsidR="0087402A" w:rsidRPr="00A035D0">
        <w:t>taking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account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(health,</w:t>
      </w:r>
      <w:r w:rsidR="00FE6B8B" w:rsidRPr="00A035D0">
        <w:t xml:space="preserve"> </w:t>
      </w:r>
      <w:r w:rsidR="0087402A" w:rsidRPr="00A035D0">
        <w:t>family,</w:t>
      </w:r>
      <w:r w:rsidR="00FE6B8B" w:rsidRPr="00A035D0">
        <w:t xml:space="preserve"> </w:t>
      </w:r>
      <w:r w:rsidR="0087402A" w:rsidRPr="00A035D0">
        <w:t>education,</w:t>
      </w:r>
      <w:r w:rsidR="00FE6B8B" w:rsidRPr="00A035D0">
        <w:t xml:space="preserve"> </w:t>
      </w:r>
      <w:r w:rsidR="0087402A" w:rsidRPr="00A035D0">
        <w:t>employment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housing)</w:t>
      </w:r>
      <w:r w:rsidR="00B71BF0">
        <w:t>;</w:t>
      </w:r>
    </w:p>
    <w:p w14:paraId="425CF843" w14:textId="27D36474" w:rsidR="00FE6B8B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8)</w:t>
      </w:r>
      <w:r w:rsidR="0087402A" w:rsidRPr="00A035D0">
        <w:rPr>
          <w:lang w:val="en-US"/>
        </w:rPr>
        <w:tab/>
      </w:r>
      <w:r w:rsidR="0087402A" w:rsidRPr="00A035D0">
        <w:t>Close</w:t>
      </w:r>
      <w:r w:rsidR="00FE6B8B" w:rsidRPr="00A035D0">
        <w:t xml:space="preserve"> </w:t>
      </w:r>
      <w:r w:rsidR="0087402A" w:rsidRPr="00A035D0">
        <w:t>collaboration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society,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enforcement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sector</w:t>
      </w:r>
      <w:r w:rsidR="00B71BF0">
        <w:t>;</w:t>
      </w:r>
    </w:p>
    <w:p w14:paraId="77D0C40C" w14:textId="73C16EB5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9)</w:t>
      </w:r>
      <w:r w:rsidR="0087402A" w:rsidRPr="00A035D0">
        <w:rPr>
          <w:lang w:val="en-US"/>
        </w:rPr>
        <w:tab/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evidence-based</w:t>
      </w:r>
      <w:r w:rsidR="00FE6B8B" w:rsidRPr="00A035D0">
        <w:t xml:space="preserve"> </w:t>
      </w:r>
      <w:r w:rsidR="0087402A" w:rsidRPr="00A035D0">
        <w:t>interventions</w:t>
      </w:r>
      <w:r w:rsidR="00B71BF0">
        <w:t>;</w:t>
      </w:r>
    </w:p>
    <w:p w14:paraId="1EFE00DD" w14:textId="5EC11B46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10)</w:t>
      </w:r>
      <w:r w:rsidR="0087402A" w:rsidRPr="00A035D0">
        <w:rPr>
          <w:lang w:val="en-US"/>
        </w:rPr>
        <w:tab/>
      </w:r>
      <w:r w:rsidR="0087402A" w:rsidRPr="00A035D0">
        <w:t>Informed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voluntary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treatment</w:t>
      </w:r>
      <w:r w:rsidR="00B71BF0">
        <w:t>;</w:t>
      </w:r>
    </w:p>
    <w:p w14:paraId="1173E58C" w14:textId="42140BF7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11)</w:t>
      </w:r>
      <w:r w:rsidR="0087402A" w:rsidRPr="00A035D0">
        <w:rPr>
          <w:lang w:val="en-US"/>
        </w:rPr>
        <w:tab/>
      </w:r>
      <w:r w:rsidR="0087402A" w:rsidRPr="00A035D0">
        <w:t>Respect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dignity,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confidentiality;</w:t>
      </w:r>
    </w:p>
    <w:p w14:paraId="2639D55F" w14:textId="08FCC938" w:rsidR="0087402A" w:rsidRPr="00A035D0" w:rsidRDefault="00602998" w:rsidP="00602998">
      <w:pPr>
        <w:pStyle w:val="SingleTxtG"/>
      </w:pPr>
      <w:r w:rsidRPr="00A035D0">
        <w:rPr>
          <w:lang w:val="en-US"/>
        </w:rPr>
        <w:tab/>
      </w:r>
      <w:r w:rsidR="0087402A" w:rsidRPr="00A035D0">
        <w:rPr>
          <w:lang w:val="en-US"/>
        </w:rPr>
        <w:t>12)</w:t>
      </w:r>
      <w:r w:rsidR="0087402A" w:rsidRPr="00A035D0">
        <w:rPr>
          <w:lang w:val="en-US"/>
        </w:rPr>
        <w:tab/>
      </w:r>
      <w:r w:rsidR="0087402A" w:rsidRPr="00A035D0">
        <w:t>Acceptance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relapse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spart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treatment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stop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individual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re-accessing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treatment</w:t>
      </w:r>
      <w:r w:rsidR="00FE6B8B" w:rsidRPr="00A035D0">
        <w:t xml:space="preserve"> </w:t>
      </w:r>
      <w:r w:rsidR="0087402A" w:rsidRPr="00A035D0">
        <w:t>process</w:t>
      </w:r>
      <w:r w:rsidR="00B71BF0">
        <w:t>.</w:t>
      </w:r>
      <w:r w:rsidR="0087402A" w:rsidRPr="00A035D0">
        <w:rPr>
          <w:rStyle w:val="FootnoteReference"/>
        </w:rPr>
        <w:footnoteReference w:id="33"/>
      </w:r>
    </w:p>
    <w:p w14:paraId="1F1C7955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16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765A06B0" w14:textId="3B424BC8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pretrial</w:t>
      </w:r>
      <w:r w:rsidR="00FE6B8B" w:rsidRPr="00A035D0">
        <w:t xml:space="preserve"> </w:t>
      </w:r>
      <w:r w:rsidR="0087402A" w:rsidRPr="00A035D0">
        <w:t>detention,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paralegal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facilitates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availment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deprived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(PDL)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early</w:t>
      </w:r>
      <w:r w:rsidR="00FE6B8B" w:rsidRPr="00A035D0">
        <w:t xml:space="preserve"> </w:t>
      </w:r>
      <w:r w:rsidR="0087402A" w:rsidRPr="00A035D0">
        <w:t>modes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release,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bail,</w:t>
      </w:r>
      <w:r w:rsidR="00FE6B8B" w:rsidRPr="00A035D0">
        <w:t xml:space="preserve"> </w:t>
      </w:r>
      <w:r w:rsidR="0087402A" w:rsidRPr="00A035D0">
        <w:t>release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recognizance,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provisional/permanent</w:t>
      </w:r>
      <w:r w:rsidR="00FE6B8B" w:rsidRPr="00A035D0">
        <w:t xml:space="preserve"> </w:t>
      </w:r>
      <w:r w:rsidR="0087402A" w:rsidRPr="00A035D0">
        <w:t>dismissal,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others.</w:t>
      </w:r>
    </w:p>
    <w:p w14:paraId="31061D50" w14:textId="1DB170D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Penology</w:t>
      </w:r>
      <w:r w:rsidR="00FE6B8B" w:rsidRPr="00A035D0">
        <w:t xml:space="preserve"> </w:t>
      </w:r>
      <w:r w:rsidR="0087402A" w:rsidRPr="00A035D0">
        <w:t>(BJMP)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paralegal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facilitates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availment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early</w:t>
      </w:r>
      <w:r w:rsidR="00FE6B8B" w:rsidRPr="00A035D0">
        <w:t xml:space="preserve"> </w:t>
      </w:r>
      <w:r w:rsidR="0087402A" w:rsidRPr="00A035D0">
        <w:t>modes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release,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bail,</w:t>
      </w:r>
      <w:r w:rsidR="00FE6B8B" w:rsidRPr="00A035D0">
        <w:t xml:space="preserve"> </w:t>
      </w:r>
      <w:r w:rsidR="0087402A" w:rsidRPr="00A035D0">
        <w:t>release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recognizance,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provisional/permanent</w:t>
      </w:r>
      <w:r w:rsidR="00FE6B8B" w:rsidRPr="00A035D0">
        <w:t xml:space="preserve"> </w:t>
      </w:r>
      <w:r w:rsidR="0087402A" w:rsidRPr="00A035D0">
        <w:t>dismissal,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others.</w:t>
      </w:r>
    </w:p>
    <w:p w14:paraId="2EED7F1E" w14:textId="305DE89C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BJMP</w:t>
      </w:r>
      <w:r w:rsidR="00FE6B8B" w:rsidRPr="00A035D0">
        <w:t xml:space="preserve"> </w:t>
      </w:r>
      <w:r w:rsidR="0087402A" w:rsidRPr="00A035D0">
        <w:t>strictly</w:t>
      </w:r>
      <w:r w:rsidR="00FE6B8B" w:rsidRPr="00A035D0">
        <w:t xml:space="preserve"> </w:t>
      </w:r>
      <w:r w:rsidR="0087402A" w:rsidRPr="00A035D0">
        <w:t>implements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prevention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overstay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jails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application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(RA)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10592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whenever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undergone</w:t>
      </w:r>
      <w:r w:rsidR="00FE6B8B" w:rsidRPr="00A035D0">
        <w:t xml:space="preserve"> </w:t>
      </w:r>
      <w:r w:rsidR="0087402A" w:rsidRPr="00A035D0">
        <w:t>preventive</w:t>
      </w:r>
      <w:r w:rsidR="00FE6B8B" w:rsidRPr="00A035D0">
        <w:t xml:space="preserve"> </w:t>
      </w:r>
      <w:r w:rsidR="0087402A" w:rsidRPr="00A035D0">
        <w:t>imprisonment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period</w:t>
      </w:r>
      <w:r w:rsidR="00FE6B8B" w:rsidRPr="00A035D0">
        <w:t xml:space="preserve"> </w:t>
      </w:r>
      <w:r w:rsidR="0087402A" w:rsidRPr="00A035D0">
        <w:t>equal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possible</w:t>
      </w:r>
      <w:r w:rsidR="00FE6B8B" w:rsidRPr="00A035D0">
        <w:t xml:space="preserve"> </w:t>
      </w:r>
      <w:r w:rsidR="0087402A" w:rsidRPr="00A035D0">
        <w:t>maximum</w:t>
      </w:r>
      <w:r w:rsidR="00FE6B8B" w:rsidRPr="00A035D0">
        <w:t xml:space="preserve"> </w:t>
      </w:r>
      <w:r w:rsidR="0087402A" w:rsidRPr="00A035D0">
        <w:t>imprisonment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offense</w:t>
      </w:r>
      <w:r w:rsidR="00FE6B8B" w:rsidRPr="00A035D0">
        <w:t xml:space="preserve"> </w:t>
      </w:r>
      <w:r w:rsidR="0087402A" w:rsidRPr="00A035D0">
        <w:t>charged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he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sentenced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his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yet</w:t>
      </w:r>
      <w:r w:rsidR="00FE6B8B" w:rsidRPr="00A035D0">
        <w:t xml:space="preserve"> </w:t>
      </w:r>
      <w:r w:rsidR="0087402A" w:rsidRPr="00A035D0">
        <w:t>terminated,</w:t>
      </w:r>
      <w:r w:rsidR="00FE6B8B" w:rsidRPr="00A035D0">
        <w:t xml:space="preserve"> </w:t>
      </w:r>
      <w:r w:rsidR="0087402A" w:rsidRPr="00A035D0">
        <w:t>he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released</w:t>
      </w:r>
      <w:r w:rsidR="00FE6B8B" w:rsidRPr="00A035D0">
        <w:t xml:space="preserve"> </w:t>
      </w:r>
      <w:r w:rsidR="0087402A" w:rsidRPr="00A035D0">
        <w:t>immediately</w:t>
      </w:r>
      <w:r w:rsidR="00FE6B8B" w:rsidRPr="00A035D0">
        <w:t xml:space="preserve"> </w:t>
      </w:r>
      <w:r w:rsidR="0087402A" w:rsidRPr="00A035D0">
        <w:t>without</w:t>
      </w:r>
      <w:r w:rsidR="00FE6B8B" w:rsidRPr="00A035D0">
        <w:t xml:space="preserve"> </w:t>
      </w:r>
      <w:r w:rsidR="0087402A" w:rsidRPr="00A035D0">
        <w:t>prejudice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continuation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thereof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proceeding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appeal,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review.</w:t>
      </w:r>
    </w:p>
    <w:p w14:paraId="46461D11" w14:textId="48A9ACF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138.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Pursuant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paralegal</w:t>
      </w:r>
      <w:r w:rsidR="00FE6B8B" w:rsidRPr="00A035D0">
        <w:t xml:space="preserve"> </w:t>
      </w:r>
      <w:r w:rsidR="0087402A" w:rsidRPr="00A035D0">
        <w:t>officers</w:t>
      </w:r>
      <w:r w:rsidR="00FE6B8B" w:rsidRPr="00A035D0">
        <w:t xml:space="preserve"> </w:t>
      </w:r>
      <w:r w:rsidR="0087402A" w:rsidRPr="00A035D0">
        <w:t>nationwide,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closely</w:t>
      </w:r>
      <w:r w:rsidR="00FE6B8B" w:rsidRPr="00A035D0">
        <w:t xml:space="preserve"> </w:t>
      </w:r>
      <w:r w:rsidR="0087402A" w:rsidRPr="00A035D0">
        <w:t>monitor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period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they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detained</w:t>
      </w:r>
      <w:r w:rsidR="00FE6B8B" w:rsidRPr="00A035D0">
        <w:t xml:space="preserve"> </w:t>
      </w:r>
      <w:r w:rsidR="0087402A" w:rsidRPr="00A035D0">
        <w:t>longer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period</w:t>
      </w:r>
      <w:r w:rsidR="00FE6B8B" w:rsidRPr="00A035D0">
        <w:t xml:space="preserve"> </w:t>
      </w:r>
      <w:r w:rsidR="0087402A" w:rsidRPr="00A035D0">
        <w:t>allowed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detained</w:t>
      </w:r>
      <w:r w:rsidR="00FE6B8B" w:rsidRPr="00A035D0">
        <w:t xml:space="preserve"> </w:t>
      </w:r>
      <w:r w:rsidR="0087402A" w:rsidRPr="00A035D0">
        <w:t>longer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period</w:t>
      </w:r>
      <w:r w:rsidR="00FE6B8B" w:rsidRPr="00A035D0">
        <w:t xml:space="preserve"> </w:t>
      </w:r>
      <w:r w:rsidR="0087402A" w:rsidRPr="00A035D0">
        <w:t>allowed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jurisdiction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BJMP.</w:t>
      </w:r>
      <w:r w:rsidR="0087402A" w:rsidRPr="00A035D0">
        <w:rPr>
          <w:rStyle w:val="FootnoteReference"/>
        </w:rPr>
        <w:footnoteReference w:id="34"/>
      </w:r>
    </w:p>
    <w:p w14:paraId="7285A18E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17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4A7632B0" w14:textId="2915E97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8493</w:t>
      </w:r>
      <w:r w:rsidR="00FE6B8B" w:rsidRPr="00A035D0">
        <w:t xml:space="preserve"> </w:t>
      </w:r>
      <w:r w:rsidR="0087402A" w:rsidRPr="00A035D0">
        <w:t>otherwise</w:t>
      </w:r>
      <w:r w:rsidR="00FE6B8B" w:rsidRPr="00A035D0">
        <w:t xml:space="preserve"> </w:t>
      </w:r>
      <w:r w:rsidR="0087402A" w:rsidRPr="00A035D0">
        <w:t>known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‘</w:t>
      </w:r>
      <w:r w:rsidR="0087402A" w:rsidRPr="00A035D0">
        <w:t>Speedy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1998</w:t>
      </w:r>
      <w:r w:rsidR="00FE6B8B" w:rsidRPr="00A035D0">
        <w:t xml:space="preserve">’ </w:t>
      </w:r>
      <w:r w:rsidR="0087402A" w:rsidRPr="00A035D0">
        <w:t>provides:</w:t>
      </w:r>
    </w:p>
    <w:p w14:paraId="33836666" w14:textId="064BE828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Section</w:t>
      </w:r>
      <w:r w:rsidR="00FE6B8B" w:rsidRPr="00A035D0">
        <w:t xml:space="preserve"> </w:t>
      </w:r>
      <w:r w:rsidR="0087402A" w:rsidRPr="00A035D0">
        <w:t>12.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Duties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imprisoned.</w:t>
      </w:r>
      <w:r w:rsidR="00FE6B8B" w:rsidRPr="00A035D0">
        <w:t xml:space="preserve"> –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</w:t>
      </w:r>
      <w:r w:rsidR="00FE6B8B" w:rsidRPr="00A035D0">
        <w:t xml:space="preserve"> </w:t>
      </w:r>
      <w:r w:rsidR="0087402A" w:rsidRPr="00A035D0">
        <w:t>knows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charged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crime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preventively</w:t>
      </w:r>
      <w:r w:rsidR="00FE6B8B" w:rsidRPr="00A035D0">
        <w:t xml:space="preserve"> </w:t>
      </w:r>
      <w:r w:rsidR="0087402A" w:rsidRPr="00A035D0">
        <w:t>detained,</w:t>
      </w:r>
      <w:r w:rsidR="00FE6B8B" w:rsidRPr="00A035D0">
        <w:t xml:space="preserve"> </w:t>
      </w:r>
      <w:r w:rsidR="0087402A" w:rsidRPr="00A035D0">
        <w:t>either</w:t>
      </w:r>
      <w:r w:rsidR="00FE6B8B" w:rsidRPr="00A035D0">
        <w:t xml:space="preserve"> </w:t>
      </w:r>
      <w:r w:rsidR="0087402A" w:rsidRPr="00A035D0">
        <w:t>because</w:t>
      </w:r>
      <w:r w:rsidR="00FE6B8B" w:rsidRPr="00A035D0">
        <w:t xml:space="preserve"> </w:t>
      </w:r>
      <w:r w:rsidR="0087402A" w:rsidRPr="00A035D0">
        <w:t>he/she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charged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bailable</w:t>
      </w:r>
      <w:r w:rsidR="00FE6B8B" w:rsidRPr="00A035D0">
        <w:t xml:space="preserve"> </w:t>
      </w:r>
      <w:r w:rsidR="0087402A" w:rsidRPr="00A035D0">
        <w:t>crime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means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post</w:t>
      </w:r>
      <w:r w:rsidR="00FE6B8B" w:rsidRPr="00A035D0">
        <w:t xml:space="preserve"> </w:t>
      </w:r>
      <w:r w:rsidR="0087402A" w:rsidRPr="00A035D0">
        <w:t>bail,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charged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non-bailable</w:t>
      </w:r>
      <w:r w:rsidR="00FE6B8B" w:rsidRPr="00A035D0">
        <w:t xml:space="preserve"> </w:t>
      </w:r>
      <w:r w:rsidR="0087402A" w:rsidRPr="00A035D0">
        <w:t>crime,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serving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term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imprisonment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penal</w:t>
      </w:r>
      <w:r w:rsidR="00FE6B8B" w:rsidRPr="00A035D0">
        <w:t xml:space="preserve"> </w:t>
      </w:r>
      <w:r w:rsidR="0087402A" w:rsidRPr="00A035D0">
        <w:t>institution,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promptly:</w:t>
      </w:r>
    </w:p>
    <w:p w14:paraId="52FC3670" w14:textId="04A58F60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(a)</w:t>
      </w:r>
      <w:r w:rsidR="00FE6B8B" w:rsidRPr="00A035D0">
        <w:t xml:space="preserve"> </w:t>
      </w:r>
      <w:r w:rsidR="0087402A" w:rsidRPr="00A035D0">
        <w:tab/>
        <w:t>Undertake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obtain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trial,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cause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notice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served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custody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mandating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so</w:t>
      </w:r>
      <w:r w:rsidR="00FE6B8B" w:rsidRPr="00A035D0">
        <w:t xml:space="preserve"> </w:t>
      </w:r>
      <w:r w:rsidR="0087402A" w:rsidRPr="00A035D0">
        <w:t>advise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his/her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demand</w:t>
      </w:r>
      <w:r w:rsidR="00FE6B8B" w:rsidRPr="00A035D0">
        <w:t xml:space="preserve"> </w:t>
      </w:r>
      <w:r w:rsidR="0087402A" w:rsidRPr="00A035D0">
        <w:t>trial.</w:t>
      </w:r>
    </w:p>
    <w:p w14:paraId="30C1494B" w14:textId="6D593C62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(b)</w:t>
      </w:r>
      <w:r w:rsidR="00FE6B8B" w:rsidRPr="00A035D0">
        <w:t xml:space="preserve"> </w:t>
      </w:r>
      <w:r w:rsidR="0087402A" w:rsidRPr="00A035D0">
        <w:tab/>
        <w:t>Upon</w:t>
      </w:r>
      <w:r w:rsidR="00FE6B8B" w:rsidRPr="00A035D0">
        <w:t xml:space="preserve"> </w:t>
      </w:r>
      <w:r w:rsidR="0087402A" w:rsidRPr="00A035D0">
        <w:t>receipt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notice,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custody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promptly</w:t>
      </w:r>
      <w:r w:rsidR="00FE6B8B" w:rsidRPr="00A035D0">
        <w:t xml:space="preserve"> </w:t>
      </w:r>
      <w:r w:rsidR="0087402A" w:rsidRPr="00A035D0">
        <w:t>advise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charge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his/her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demand</w:t>
      </w:r>
      <w:r w:rsidR="00FE6B8B" w:rsidRPr="00A035D0">
        <w:t xml:space="preserve"> </w:t>
      </w:r>
      <w:r w:rsidR="0087402A" w:rsidRPr="00A035D0">
        <w:t>trial.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thereafter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informs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custody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he/she</w:t>
      </w:r>
      <w:r w:rsidR="00FE6B8B" w:rsidRPr="00A035D0">
        <w:t xml:space="preserve"> </w:t>
      </w:r>
      <w:r w:rsidR="0087402A" w:rsidRPr="00A035D0">
        <w:t>demands</w:t>
      </w:r>
      <w:r w:rsidR="00FE6B8B" w:rsidRPr="00A035D0">
        <w:t xml:space="preserve"> </w:t>
      </w:r>
      <w:r w:rsidR="0087402A" w:rsidRPr="00A035D0">
        <w:t>trial,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cause</w:t>
      </w:r>
      <w:r w:rsidR="00FE6B8B" w:rsidRPr="00A035D0">
        <w:t xml:space="preserve"> </w:t>
      </w:r>
      <w:r w:rsidR="0087402A" w:rsidRPr="00A035D0">
        <w:t>notice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effect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sent</w:t>
      </w:r>
      <w:r w:rsidR="00FE6B8B" w:rsidRPr="00A035D0">
        <w:t xml:space="preserve"> </w:t>
      </w:r>
      <w:r w:rsidR="0087402A" w:rsidRPr="00A035D0">
        <w:t>promptly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attorney.</w:t>
      </w:r>
    </w:p>
    <w:p w14:paraId="02259D96" w14:textId="7B3E9C53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(c)</w:t>
      </w:r>
      <w:r w:rsidR="00FE6B8B" w:rsidRPr="00A035D0">
        <w:t xml:space="preserve"> </w:t>
      </w:r>
      <w:r w:rsidR="0087402A" w:rsidRPr="00A035D0">
        <w:tab/>
        <w:t>Upon</w:t>
      </w:r>
      <w:r w:rsidR="00FE6B8B" w:rsidRPr="00A035D0">
        <w:t xml:space="preserve"> </w:t>
      </w:r>
      <w:r w:rsidR="0087402A" w:rsidRPr="00A035D0">
        <w:t>receipt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notice,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promptly</w:t>
      </w:r>
      <w:r w:rsidR="00FE6B8B" w:rsidRPr="00A035D0">
        <w:t xml:space="preserve"> </w:t>
      </w:r>
      <w:r w:rsidR="0087402A" w:rsidRPr="00A035D0">
        <w:t>seek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obtain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trial.</w:t>
      </w:r>
    </w:p>
    <w:p w14:paraId="781B4713" w14:textId="25ECED14" w:rsidR="0087402A" w:rsidRPr="00A035D0" w:rsidRDefault="00602998" w:rsidP="00602998">
      <w:pPr>
        <w:pStyle w:val="SingleTxtG"/>
      </w:pPr>
      <w:r w:rsidRPr="00A035D0">
        <w:lastRenderedPageBreak/>
        <w:tab/>
      </w:r>
      <w:r w:rsidR="0087402A" w:rsidRPr="00A035D0">
        <w:t>(d)</w:t>
      </w:r>
      <w:r w:rsidR="00FE6B8B" w:rsidRPr="00A035D0">
        <w:t xml:space="preserve"> </w:t>
      </w:r>
      <w:r w:rsidR="0087402A" w:rsidRPr="00A035D0">
        <w:tab/>
        <w:t>When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custody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receives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properly</w:t>
      </w:r>
      <w:r w:rsidR="00FE6B8B" w:rsidRPr="00A035D0">
        <w:t xml:space="preserve"> </w:t>
      </w:r>
      <w:r w:rsidR="0087402A" w:rsidRPr="00A035D0">
        <w:t>supported</w:t>
      </w:r>
      <w:r w:rsidR="00FE6B8B" w:rsidRPr="00A035D0">
        <w:t xml:space="preserve"> </w:t>
      </w:r>
      <w:r w:rsidR="0087402A" w:rsidRPr="00A035D0">
        <w:t>request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temporary</w:t>
      </w:r>
      <w:r w:rsidR="00FE6B8B" w:rsidRPr="00A035D0">
        <w:t xml:space="preserve"> </w:t>
      </w:r>
      <w:r w:rsidR="0087402A" w:rsidRPr="00A035D0">
        <w:t>custody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trial,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prisoner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made</w:t>
      </w:r>
      <w:r w:rsidR="00FE6B8B" w:rsidRPr="00A035D0">
        <w:t xml:space="preserve"> </w:t>
      </w:r>
      <w:r w:rsidR="0087402A" w:rsidRPr="00A035D0">
        <w:t>available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attorney.</w:t>
      </w:r>
    </w:p>
    <w:p w14:paraId="49829DF6" w14:textId="34AA5A0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Section</w:t>
      </w:r>
      <w:r w:rsidR="00FE6B8B" w:rsidRPr="00A035D0">
        <w:t xml:space="preserve"> </w:t>
      </w:r>
      <w:r w:rsidR="0087402A" w:rsidRPr="00A035D0">
        <w:t>13.</w:t>
      </w:r>
      <w:r w:rsidR="00FE6B8B" w:rsidRPr="00A035D0">
        <w:t xml:space="preserve"> </w:t>
      </w:r>
      <w:r w:rsidR="0087402A" w:rsidRPr="00A035D0">
        <w:t>Remedy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Brought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Limit.</w:t>
      </w:r>
      <w:r w:rsidR="00FE6B8B" w:rsidRPr="00A035D0">
        <w:t xml:space="preserve"> –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brought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limit</w:t>
      </w:r>
      <w:r w:rsidR="00FE6B8B" w:rsidRPr="00A035D0">
        <w:t xml:space="preserve"> </w:t>
      </w:r>
      <w:r w:rsidR="0087402A" w:rsidRPr="00A035D0">
        <w:t>required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7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extended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dismissed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motion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accused.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burden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proof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supporting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motion</w:t>
      </w:r>
      <w:r w:rsidR="00FE6B8B" w:rsidRPr="00A035D0">
        <w:t xml:space="preserve"> </w:t>
      </w:r>
      <w:r w:rsidR="0087402A" w:rsidRPr="00A035D0">
        <w:t>but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prosecution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burden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going</w:t>
      </w:r>
      <w:r w:rsidR="00FE6B8B" w:rsidRPr="00A035D0">
        <w:t xml:space="preserve"> </w:t>
      </w:r>
      <w:r w:rsidR="0087402A" w:rsidRPr="00A035D0">
        <w:t>forward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connection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exclusion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10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Act.</w:t>
      </w:r>
    </w:p>
    <w:p w14:paraId="32F2D317" w14:textId="79F12F2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141.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determining</w:t>
      </w:r>
      <w:r w:rsidR="00FE6B8B" w:rsidRPr="00A035D0">
        <w:t xml:space="preserve"> </w:t>
      </w:r>
      <w:r w:rsidR="0087402A" w:rsidRPr="00A035D0">
        <w:t>whether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dismiss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without</w:t>
      </w:r>
      <w:r w:rsidR="00FE6B8B" w:rsidRPr="00A035D0">
        <w:t xml:space="preserve"> </w:t>
      </w:r>
      <w:r w:rsidR="0087402A" w:rsidRPr="00A035D0">
        <w:t>prejudice,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consider,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factors,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seriousness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offense,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facts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circumstances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led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dismissal,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reprosecution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administration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justice.</w:t>
      </w:r>
      <w:r w:rsidR="00FE6B8B" w:rsidRPr="00A035D0">
        <w:t xml:space="preserve"> </w:t>
      </w:r>
      <w:r w:rsidR="0087402A" w:rsidRPr="00A035D0">
        <w:t>Failure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accused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move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dismissal</w:t>
      </w:r>
      <w:r w:rsidR="00FE6B8B" w:rsidRPr="00A035D0">
        <w:t xml:space="preserve"> </w:t>
      </w:r>
      <w:r w:rsidR="0087402A" w:rsidRPr="00A035D0">
        <w:t>prior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entry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plea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guilty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constitute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waiver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dismissal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section.</w:t>
      </w:r>
      <w:r w:rsidR="0087402A" w:rsidRPr="00A035D0">
        <w:rPr>
          <w:rStyle w:val="FootnoteReference"/>
        </w:rPr>
        <w:footnoteReference w:id="35"/>
      </w:r>
    </w:p>
    <w:p w14:paraId="2898E256" w14:textId="2C63564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Standard</w:t>
      </w:r>
      <w:r w:rsidR="00FE6B8B" w:rsidRPr="00A035D0">
        <w:t xml:space="preserve"> </w:t>
      </w:r>
      <w:r w:rsidR="0087402A" w:rsidRPr="00A035D0">
        <w:t>Operating</w:t>
      </w:r>
      <w:r w:rsidR="00FE6B8B" w:rsidRPr="00A035D0">
        <w:t xml:space="preserve"> </w:t>
      </w:r>
      <w:r w:rsidR="0087402A" w:rsidRPr="00A035D0">
        <w:t>Procedures</w:t>
      </w:r>
      <w:r w:rsidR="00FE6B8B" w:rsidRPr="00A035D0">
        <w:t xml:space="preserve"> </w:t>
      </w:r>
      <w:r w:rsidR="0087402A" w:rsidRPr="00A035D0">
        <w:t>(SOP)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Bureau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Penology</w:t>
      </w:r>
      <w:r w:rsidR="00FE6B8B" w:rsidRPr="00A035D0">
        <w:t xml:space="preserve"> </w:t>
      </w:r>
      <w:r w:rsidR="0087402A" w:rsidRPr="00A035D0">
        <w:t>(BJMP),</w:t>
      </w:r>
      <w:r w:rsidR="00FE6B8B" w:rsidRPr="00A035D0">
        <w:t xml:space="preserve"> </w:t>
      </w:r>
      <w:r w:rsidR="0087402A" w:rsidRPr="00A035D0">
        <w:t>upon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deprived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(PDL),</w:t>
      </w:r>
      <w:r w:rsidR="00FE6B8B" w:rsidRPr="00A035D0">
        <w:t xml:space="preserve"> </w:t>
      </w:r>
      <w:r w:rsidR="0087402A" w:rsidRPr="00A035D0">
        <w:t>he/she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oriented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regulations,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would</w:t>
      </w:r>
      <w:r w:rsidR="00FE6B8B" w:rsidRPr="00A035D0">
        <w:t xml:space="preserve"> </w:t>
      </w:r>
      <w:r w:rsidR="0087402A" w:rsidRPr="00A035D0">
        <w:t>best</w:t>
      </w:r>
      <w:r w:rsidR="00FE6B8B" w:rsidRPr="00A035D0">
        <w:t xml:space="preserve"> </w:t>
      </w:r>
      <w:r w:rsidR="0087402A" w:rsidRPr="00A035D0">
        <w:t>promote</w:t>
      </w:r>
      <w:r w:rsidR="00FE6B8B" w:rsidRPr="00A035D0">
        <w:t xml:space="preserve"> </w:t>
      </w:r>
      <w:r w:rsidR="0087402A" w:rsidRPr="00A035D0">
        <w:t>his/her</w:t>
      </w:r>
      <w:r w:rsidR="00FE6B8B" w:rsidRPr="00A035D0">
        <w:t xml:space="preserve"> </w:t>
      </w:r>
      <w:r w:rsidR="0087402A" w:rsidRPr="00A035D0">
        <w:t>personal</w:t>
      </w:r>
      <w:r w:rsidR="00FE6B8B" w:rsidRPr="00A035D0">
        <w:t xml:space="preserve"> </w:t>
      </w:r>
      <w:r w:rsidR="0087402A" w:rsidRPr="00A035D0">
        <w:t>growth,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undergoes</w:t>
      </w:r>
      <w:r w:rsidR="00FE6B8B" w:rsidRPr="00A035D0">
        <w:t xml:space="preserve"> </w:t>
      </w:r>
      <w:r w:rsidR="0087402A" w:rsidRPr="00A035D0">
        <w:t>counseling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develop</w:t>
      </w:r>
      <w:r w:rsidR="00FE6B8B" w:rsidRPr="00A035D0">
        <w:t xml:space="preserve"> </w:t>
      </w:r>
      <w:r w:rsidR="0087402A" w:rsidRPr="00A035D0">
        <w:t>better</w:t>
      </w:r>
      <w:r w:rsidR="00FE6B8B" w:rsidRPr="00A035D0">
        <w:t xml:space="preserve"> </w:t>
      </w:r>
      <w:r w:rsidR="0087402A" w:rsidRPr="00A035D0">
        <w:t>coping</w:t>
      </w:r>
      <w:r w:rsidR="00FE6B8B" w:rsidRPr="00A035D0">
        <w:t xml:space="preserve"> </w:t>
      </w:r>
      <w:r w:rsidR="0087402A" w:rsidRPr="00A035D0">
        <w:t>skills,</w:t>
      </w:r>
      <w:r w:rsidR="00FE6B8B" w:rsidRPr="00A035D0">
        <w:t xml:space="preserve"> </w:t>
      </w:r>
      <w:r w:rsidR="0087402A" w:rsidRPr="00A035D0">
        <w:t>thereby</w:t>
      </w:r>
      <w:r w:rsidR="00FE6B8B" w:rsidRPr="00A035D0">
        <w:t xml:space="preserve"> </w:t>
      </w:r>
      <w:r w:rsidR="0087402A" w:rsidRPr="00A035D0">
        <w:t>preventing</w:t>
      </w:r>
      <w:r w:rsidR="00FE6B8B" w:rsidRPr="00A035D0">
        <w:t xml:space="preserve"> </w:t>
      </w:r>
      <w:r w:rsidR="0087402A" w:rsidRPr="00A035D0">
        <w:t>psychological</w:t>
      </w:r>
      <w:r w:rsidR="00FE6B8B" w:rsidRPr="00A035D0">
        <w:t xml:space="preserve"> </w:t>
      </w:r>
      <w:r w:rsidR="0087402A" w:rsidRPr="00A035D0">
        <w:t>imbalance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early</w:t>
      </w:r>
      <w:r w:rsidR="00FE6B8B" w:rsidRPr="00A035D0">
        <w:t xml:space="preserve"> </w:t>
      </w:r>
      <w:r w:rsidR="0087402A" w:rsidRPr="00A035D0">
        <w:t>phase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incarceration.</w:t>
      </w:r>
    </w:p>
    <w:p w14:paraId="0C2FD3F0" w14:textId="5C4DB69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apprised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privileges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incarceration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as:</w:t>
      </w:r>
    </w:p>
    <w:p w14:paraId="21E257BC" w14:textId="33BFB349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Receiving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sending</w:t>
      </w:r>
      <w:r w:rsidR="00FE6B8B" w:rsidRPr="00A035D0">
        <w:t xml:space="preserve"> </w:t>
      </w:r>
      <w:r w:rsidR="0087402A" w:rsidRPr="00A035D0">
        <w:t>correspondences</w:t>
      </w:r>
      <w:r w:rsidR="00FE6B8B" w:rsidRPr="00A035D0">
        <w:t xml:space="preserve"> </w:t>
      </w:r>
      <w:r w:rsidR="0087402A" w:rsidRPr="00A035D0">
        <w:t>subject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censorship,</w:t>
      </w:r>
      <w:r w:rsidR="00FE6B8B" w:rsidRPr="00A035D0">
        <w:t xml:space="preserve"> </w:t>
      </w:r>
      <w:r w:rsidR="0087402A" w:rsidRPr="00A035D0">
        <w:t>except</w:t>
      </w:r>
      <w:r w:rsidR="00FE6B8B" w:rsidRPr="00A035D0">
        <w:t xml:space="preserve"> </w:t>
      </w:r>
      <w:r w:rsidR="0087402A" w:rsidRPr="00A035D0">
        <w:t>confidential</w:t>
      </w:r>
      <w:r w:rsidR="00FE6B8B" w:rsidRPr="00A035D0">
        <w:t xml:space="preserve"> </w:t>
      </w:r>
      <w:r w:rsidR="0087402A" w:rsidRPr="00A035D0">
        <w:t>mail</w:t>
      </w:r>
      <w:r w:rsidR="00FE6B8B" w:rsidRPr="00A035D0">
        <w:t xml:space="preserve"> </w:t>
      </w:r>
      <w:r w:rsidR="0087402A" w:rsidRPr="00A035D0">
        <w:t>due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lawyer-client</w:t>
      </w:r>
      <w:r w:rsidR="00FE6B8B" w:rsidRPr="00A035D0">
        <w:t xml:space="preserve"> </w:t>
      </w:r>
      <w:r w:rsidR="0087402A" w:rsidRPr="00A035D0">
        <w:t>privilege;</w:t>
      </w:r>
    </w:p>
    <w:p w14:paraId="034C8DF5" w14:textId="0B721C98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Receiving</w:t>
      </w:r>
      <w:r w:rsidR="00FE6B8B" w:rsidRPr="00A035D0">
        <w:t xml:space="preserve"> </w:t>
      </w:r>
      <w:r w:rsidR="0087402A" w:rsidRPr="00A035D0">
        <w:t>authorized</w:t>
      </w:r>
      <w:r w:rsidR="00FE6B8B" w:rsidRPr="00A035D0">
        <w:t xml:space="preserve"> </w:t>
      </w:r>
      <w:r w:rsidR="0087402A" w:rsidRPr="00A035D0">
        <w:t>books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reading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jails;</w:t>
      </w:r>
    </w:p>
    <w:p w14:paraId="2AEEAE7F" w14:textId="72AA5454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Availing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Allowances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accordance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law;</w:t>
      </w:r>
      <w:r w:rsidR="00FE6B8B" w:rsidRPr="00A035D0">
        <w:t xml:space="preserve"> </w:t>
      </w:r>
      <w:r w:rsidR="0087402A" w:rsidRPr="00A035D0">
        <w:t>and</w:t>
      </w:r>
    </w:p>
    <w:p w14:paraId="21A90459" w14:textId="37271DAD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Participating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religious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recreational</w:t>
      </w:r>
      <w:r w:rsidR="00FE6B8B" w:rsidRPr="00A035D0">
        <w:t xml:space="preserve"> </w:t>
      </w:r>
      <w:r w:rsidR="0087402A" w:rsidRPr="00A035D0">
        <w:t>activities,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others.</w:t>
      </w:r>
    </w:p>
    <w:p w14:paraId="6C189C60" w14:textId="0FCC997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PDL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following:</w:t>
      </w:r>
    </w:p>
    <w:p w14:paraId="07340B1C" w14:textId="59B8561E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protected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acts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torture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subjection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corporal</w:t>
      </w:r>
      <w:r w:rsidR="00FE6B8B" w:rsidRPr="00A035D0">
        <w:t xml:space="preserve"> </w:t>
      </w:r>
      <w:r w:rsidR="0087402A" w:rsidRPr="00A035D0">
        <w:t>punishment;</w:t>
      </w:r>
    </w:p>
    <w:p w14:paraId="729AEAF0" w14:textId="2E8FB24F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informed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regulations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jail</w:t>
      </w:r>
      <w:r w:rsidR="00FE6B8B" w:rsidRPr="00A035D0">
        <w:t xml:space="preserve"> </w:t>
      </w:r>
      <w:r w:rsidR="0087402A" w:rsidRPr="00A035D0">
        <w:t>facility;</w:t>
      </w:r>
    </w:p>
    <w:p w14:paraId="3C33FB1D" w14:textId="28C1D185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receive</w:t>
      </w:r>
      <w:r w:rsidR="00FE6B8B" w:rsidRPr="00A035D0">
        <w:t xml:space="preserve"> </w:t>
      </w:r>
      <w:r w:rsidR="0087402A" w:rsidRPr="00A035D0">
        <w:t>regular</w:t>
      </w:r>
      <w:r w:rsidR="00FE6B8B" w:rsidRPr="00A035D0">
        <w:t xml:space="preserve"> </w:t>
      </w:r>
      <w:r w:rsidR="0087402A" w:rsidRPr="00A035D0">
        <w:t>meals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least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(3)</w:t>
      </w:r>
      <w:r w:rsidR="00FE6B8B" w:rsidRPr="00A035D0">
        <w:t xml:space="preserve"> </w:t>
      </w:r>
      <w:r w:rsidR="0087402A" w:rsidRPr="00A035D0">
        <w:t>times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day;</w:t>
      </w:r>
    </w:p>
    <w:p w14:paraId="3135602D" w14:textId="329211CE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exercise</w:t>
      </w:r>
      <w:r w:rsidR="00FE6B8B" w:rsidRPr="00A035D0">
        <w:t xml:space="preserve"> </w:t>
      </w:r>
      <w:r w:rsidR="0087402A" w:rsidRPr="00A035D0">
        <w:t>religious</w:t>
      </w:r>
      <w:r w:rsidR="00FE6B8B" w:rsidRPr="00A035D0">
        <w:t xml:space="preserve"> </w:t>
      </w:r>
      <w:r w:rsidR="0087402A" w:rsidRPr="00A035D0">
        <w:t>worship;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avail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medical,</w:t>
      </w:r>
      <w:r w:rsidR="00FE6B8B" w:rsidRPr="00A035D0">
        <w:t xml:space="preserve"> </w:t>
      </w:r>
      <w:r w:rsidR="0087402A" w:rsidRPr="00A035D0">
        <w:t>dental,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services;</w:t>
      </w:r>
      <w:r w:rsidR="00FE6B8B" w:rsidRPr="00A035D0">
        <w:t xml:space="preserve"> </w:t>
      </w:r>
      <w:r w:rsidR="0087402A" w:rsidRPr="00A035D0">
        <w:t>and</w:t>
      </w:r>
    </w:p>
    <w:p w14:paraId="67B7739D" w14:textId="4EAF3506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contact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visited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immediate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members,</w:t>
      </w:r>
      <w:r w:rsidR="00FE6B8B" w:rsidRPr="00A035D0">
        <w:t xml:space="preserve"> </w:t>
      </w:r>
      <w:r w:rsidR="0087402A" w:rsidRPr="00A035D0">
        <w:t>lawyers,</w:t>
      </w:r>
      <w:r w:rsidR="00FE6B8B" w:rsidRPr="00A035D0">
        <w:t xml:space="preserve"> </w:t>
      </w:r>
      <w:r w:rsidR="0087402A" w:rsidRPr="00A035D0">
        <w:t>doctors,</w:t>
      </w:r>
      <w:r w:rsidR="00FE6B8B" w:rsidRPr="00A035D0">
        <w:t xml:space="preserve"> </w:t>
      </w:r>
      <w:r w:rsidR="0087402A" w:rsidRPr="00A035D0">
        <w:t>priest,</w:t>
      </w:r>
      <w:r w:rsidR="00FE6B8B" w:rsidRPr="00A035D0">
        <w:t xml:space="preserve"> </w:t>
      </w:r>
      <w:r w:rsidR="0087402A" w:rsidRPr="00A035D0">
        <w:t>religious</w:t>
      </w:r>
      <w:r w:rsidR="00FE6B8B" w:rsidRPr="00A035D0">
        <w:t xml:space="preserve"> </w:t>
      </w:r>
      <w:r w:rsidR="0087402A" w:rsidRPr="00A035D0">
        <w:t>mister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Imam,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</w:t>
      </w:r>
      <w:r w:rsidR="00FE6B8B" w:rsidRPr="00A035D0">
        <w:rPr>
          <w:vertAlign w:val="superscript"/>
        </w:rPr>
        <w:t xml:space="preserve"> </w:t>
      </w:r>
      <w:r w:rsidR="0087402A" w:rsidRPr="00A035D0">
        <w:rPr>
          <w:vertAlign w:val="superscript"/>
        </w:rPr>
        <w:t>[1]</w:t>
      </w:r>
      <w:r w:rsidR="0087402A" w:rsidRPr="00A035D0">
        <w:t>.</w:t>
      </w:r>
    </w:p>
    <w:p w14:paraId="03DB4301" w14:textId="6BA25BF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(PNP)</w:t>
      </w:r>
      <w:r w:rsidR="00FE6B8B" w:rsidRPr="00A035D0">
        <w:t xml:space="preserve"> </w:t>
      </w:r>
      <w:r w:rsidR="0087402A" w:rsidRPr="00A035D0">
        <w:t>likewise</w:t>
      </w:r>
      <w:r w:rsidR="00FE6B8B" w:rsidRPr="00A035D0">
        <w:t xml:space="preserve"> </w:t>
      </w:r>
      <w:r w:rsidR="0087402A" w:rsidRPr="00A035D0">
        <w:t>strictly</w:t>
      </w:r>
      <w:r w:rsidR="00FE6B8B" w:rsidRPr="00A035D0">
        <w:t xml:space="preserve"> </w:t>
      </w:r>
      <w:r w:rsidR="0087402A" w:rsidRPr="00A035D0">
        <w:t>adheres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2018-027</w:t>
      </w:r>
      <w:r w:rsidR="00FE6B8B" w:rsidRPr="00A035D0">
        <w:t xml:space="preserve"> </w:t>
      </w:r>
      <w:r w:rsidR="0087402A" w:rsidRPr="00A035D0">
        <w:t>dated</w:t>
      </w:r>
      <w:r w:rsidR="00FE6B8B" w:rsidRPr="00A035D0">
        <w:t xml:space="preserve"> </w:t>
      </w:r>
      <w:r w:rsidR="0087402A" w:rsidRPr="00A035D0">
        <w:t>28</w:t>
      </w:r>
      <w:r w:rsidR="00FE6B8B" w:rsidRPr="00A035D0">
        <w:t xml:space="preserve"> </w:t>
      </w:r>
      <w:r w:rsidR="0087402A" w:rsidRPr="00A035D0">
        <w:t>June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sets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procedures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supervision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custodial</w:t>
      </w:r>
      <w:r w:rsidR="00FE6B8B" w:rsidRPr="00A035D0">
        <w:t xml:space="preserve"> </w:t>
      </w:r>
      <w:r w:rsidR="0087402A" w:rsidRPr="00A035D0">
        <w:t>facilities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Custody</w:t>
      </w:r>
      <w:r w:rsidR="00FE6B8B" w:rsidRPr="00A035D0">
        <w:t xml:space="preserve"> </w:t>
      </w:r>
      <w:r w:rsidR="0087402A" w:rsidRPr="00A035D0">
        <w:t>(PUPC).</w:t>
      </w:r>
    </w:p>
    <w:p w14:paraId="0DA61F3C" w14:textId="3AD3D51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146.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implements</w:t>
      </w:r>
      <w:r w:rsidR="00FE6B8B" w:rsidRPr="00A035D0">
        <w:t xml:space="preserve"> “</w:t>
      </w:r>
      <w:r w:rsidR="0087402A" w:rsidRPr="00A035D0">
        <w:t>Online</w:t>
      </w:r>
      <w:r w:rsidR="00FE6B8B" w:rsidRPr="00A035D0">
        <w:t xml:space="preserve"> </w:t>
      </w:r>
      <w:r w:rsidR="0087402A" w:rsidRPr="00A035D0">
        <w:t>Bisita</w:t>
      </w:r>
      <w:r w:rsidR="00FE6B8B" w:rsidRPr="00A035D0">
        <w:t xml:space="preserve"> </w:t>
      </w:r>
      <w:r w:rsidR="0087402A" w:rsidRPr="00A035D0">
        <w:t>(Visitor)</w:t>
      </w:r>
      <w:r w:rsidR="00FE6B8B" w:rsidRPr="00A035D0">
        <w:t xml:space="preserve">”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PUPCs</w:t>
      </w:r>
      <w:r w:rsidR="00FE6B8B" w:rsidRPr="00A035D0">
        <w:t xml:space="preserve"> </w:t>
      </w:r>
      <w:r w:rsidR="0087402A" w:rsidRPr="00A035D0">
        <w:t>virtual</w:t>
      </w:r>
      <w:r w:rsidR="00FE6B8B" w:rsidRPr="00A035D0">
        <w:t xml:space="preserve"> </w:t>
      </w:r>
      <w:r w:rsidR="0087402A" w:rsidRPr="00A035D0">
        <w:t>visiting</w:t>
      </w:r>
      <w:r w:rsidR="00FE6B8B" w:rsidRPr="00A035D0">
        <w:t xml:space="preserve"> </w:t>
      </w:r>
      <w:r w:rsidR="0087402A" w:rsidRPr="00A035D0">
        <w:t>system</w:t>
      </w:r>
      <w:r w:rsidR="00FE6B8B" w:rsidRPr="00A035D0">
        <w:t xml:space="preserve"> </w:t>
      </w:r>
      <w:r w:rsidR="0087402A" w:rsidRPr="00A035D0">
        <w:t>made</w:t>
      </w:r>
      <w:r w:rsidR="00FE6B8B" w:rsidRPr="00A035D0">
        <w:t xml:space="preserve"> </w:t>
      </w:r>
      <w:r w:rsidR="0087402A" w:rsidRPr="00A035D0">
        <w:t>operational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response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CHR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request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PUPCs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chance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engage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technology.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PNP</w:t>
      </w:r>
      <w:r w:rsidR="00FE6B8B" w:rsidRPr="00A035D0">
        <w:t xml:space="preserve"> </w:t>
      </w:r>
      <w:r w:rsidR="0087402A" w:rsidRPr="00A035D0">
        <w:t>enables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PUPCs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safely</w:t>
      </w:r>
      <w:r w:rsidR="00FE6B8B" w:rsidRPr="00A035D0">
        <w:t xml:space="preserve"> </w:t>
      </w:r>
      <w:r w:rsidR="0087402A" w:rsidRPr="00A035D0">
        <w:t>exercise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constitutional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interact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relatives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online</w:t>
      </w:r>
      <w:r w:rsidR="00FE6B8B" w:rsidRPr="00A035D0">
        <w:t xml:space="preserve"> </w:t>
      </w:r>
      <w:r w:rsidR="0087402A" w:rsidRPr="00A035D0">
        <w:t>means</w:t>
      </w:r>
      <w:r w:rsidR="0087402A" w:rsidRPr="00A035D0">
        <w:rPr>
          <w:rStyle w:val="FootnoteReference"/>
        </w:rPr>
        <w:footnoteReference w:id="36"/>
      </w:r>
    </w:p>
    <w:p w14:paraId="3DD1D810" w14:textId="77777777" w:rsidR="00FE6B8B" w:rsidRPr="00A035D0" w:rsidRDefault="0087402A" w:rsidP="00602998">
      <w:pPr>
        <w:pStyle w:val="H1G"/>
      </w:pPr>
      <w:r w:rsidRPr="00A035D0">
        <w:lastRenderedPageBreak/>
        <w:tab/>
      </w:r>
      <w:r w:rsidRPr="00A035D0">
        <w:tab/>
        <w:t>Elimination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slavery,</w:t>
      </w:r>
      <w:r w:rsidR="00FE6B8B" w:rsidRPr="00A035D0">
        <w:t xml:space="preserve"> </w:t>
      </w:r>
      <w:r w:rsidRPr="00A035D0">
        <w:t>servitude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trafficking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persons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2,</w:t>
      </w:r>
      <w:r w:rsidR="00FE6B8B" w:rsidRPr="00A035D0">
        <w:t xml:space="preserve"> </w:t>
      </w:r>
      <w:r w:rsidRPr="00A035D0">
        <w:t>7,</w:t>
      </w:r>
      <w:r w:rsidR="00FE6B8B" w:rsidRPr="00A035D0">
        <w:t xml:space="preserve"> </w:t>
      </w:r>
      <w:r w:rsidRPr="00A035D0">
        <w:t>8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26)</w:t>
      </w:r>
    </w:p>
    <w:p w14:paraId="50C2F929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18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3EBB8826" w14:textId="365AB448" w:rsidR="0087402A" w:rsidRPr="00A035D0" w:rsidRDefault="0087402A" w:rsidP="00602998">
      <w:pPr>
        <w:pStyle w:val="H4G"/>
      </w:pPr>
      <w:r w:rsidRPr="00A035D0">
        <w:tab/>
        <w:t>(a)</w:t>
      </w:r>
      <w:r w:rsidR="00FE6B8B" w:rsidRPr="00A035D0">
        <w:t xml:space="preserve"> </w:t>
      </w:r>
      <w:r w:rsidRPr="00A035D0">
        <w:tab/>
        <w:t>Efficacy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measures</w:t>
      </w:r>
      <w:r w:rsidR="00FE6B8B" w:rsidRPr="00A035D0">
        <w:t xml:space="preserve"> </w:t>
      </w:r>
      <w:r w:rsidRPr="00A035D0">
        <w:t>implemented</w:t>
      </w:r>
    </w:p>
    <w:p w14:paraId="3B62FB83" w14:textId="56D8161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147.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From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until</w:t>
      </w:r>
      <w:r w:rsidR="00FE6B8B" w:rsidRPr="00A035D0">
        <w:t xml:space="preserve"> </w:t>
      </w:r>
      <w:r w:rsidR="0087402A" w:rsidRPr="00A035D0">
        <w:t>2021,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achieved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highest</w:t>
      </w:r>
      <w:r w:rsidR="00FE6B8B" w:rsidRPr="00A035D0">
        <w:t xml:space="preserve"> </w:t>
      </w:r>
      <w:r w:rsidR="0087402A" w:rsidRPr="00A035D0">
        <w:t>attainable</w:t>
      </w:r>
      <w:r w:rsidR="00FE6B8B" w:rsidRPr="00A035D0">
        <w:t xml:space="preserve"> </w:t>
      </w:r>
      <w:r w:rsidR="0087402A" w:rsidRPr="00A035D0">
        <w:t>ranking,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Tier</w:t>
      </w:r>
      <w:r w:rsidR="00FE6B8B" w:rsidRPr="00A035D0">
        <w:t xml:space="preserve"> </w:t>
      </w:r>
      <w:r w:rsidR="0087402A" w:rsidRPr="00A035D0">
        <w:t>1</w:t>
      </w:r>
      <w:r w:rsidR="00FE6B8B" w:rsidRPr="00A035D0">
        <w:t xml:space="preserve"> </w:t>
      </w:r>
      <w:r w:rsidR="0087402A" w:rsidRPr="00A035D0">
        <w:t>classification,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US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occurrence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(including</w:t>
      </w:r>
      <w:r w:rsidR="00FE6B8B" w:rsidRPr="00A035D0">
        <w:t xml:space="preserve"> </w:t>
      </w:r>
      <w:r w:rsidR="0087402A" w:rsidRPr="00A035D0">
        <w:t>those</w:t>
      </w:r>
      <w:r w:rsidR="00FE6B8B" w:rsidRPr="00A035D0">
        <w:t xml:space="preserve"> </w:t>
      </w:r>
      <w:r w:rsidR="0087402A" w:rsidRPr="00A035D0">
        <w:t>involving</w:t>
      </w:r>
      <w:r w:rsidR="00FE6B8B" w:rsidRPr="00A035D0">
        <w:t xml:space="preserve"> </w:t>
      </w:r>
      <w:r w:rsidR="0087402A" w:rsidRPr="00A035D0">
        <w:t>Filipina</w:t>
      </w:r>
      <w:r w:rsidR="00FE6B8B" w:rsidRPr="00A035D0">
        <w:t xml:space="preserve"> </w:t>
      </w:r>
      <w:r w:rsidR="0087402A" w:rsidRPr="00A035D0">
        <w:t>female</w:t>
      </w:r>
      <w:r w:rsidR="00FE6B8B" w:rsidRPr="00A035D0">
        <w:t xml:space="preserve"> </w:t>
      </w:r>
      <w:r w:rsidR="0087402A" w:rsidRPr="00A035D0">
        <w:t>domestic</w:t>
      </w:r>
      <w:r w:rsidR="00FE6B8B" w:rsidRPr="00A035D0">
        <w:t xml:space="preserve"> </w:t>
      </w:r>
      <w:r w:rsidR="0087402A" w:rsidRPr="00A035D0">
        <w:t>workers).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one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33</w:t>
      </w:r>
      <w:r w:rsidR="00FE6B8B" w:rsidRPr="00A035D0">
        <w:t xml:space="preserve"> </w:t>
      </w:r>
      <w:r w:rsidR="0087402A" w:rsidRPr="00A035D0">
        <w:t>States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attained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highest</w:t>
      </w:r>
      <w:r w:rsidR="00FE6B8B" w:rsidRPr="00A035D0">
        <w:t xml:space="preserve"> </w:t>
      </w:r>
      <w:r w:rsidR="0087402A" w:rsidRPr="00A035D0">
        <w:t>possible</w:t>
      </w:r>
      <w:r w:rsidR="00FE6B8B" w:rsidRPr="00A035D0">
        <w:t xml:space="preserve"> </w:t>
      </w:r>
      <w:r w:rsidR="0087402A" w:rsidRPr="00A035D0">
        <w:t>status</w:t>
      </w:r>
      <w:r w:rsidR="00FE6B8B" w:rsidRPr="00A035D0">
        <w:t xml:space="preserve"> </w:t>
      </w:r>
      <w:r w:rsidR="0087402A" w:rsidRPr="00A035D0">
        <w:t>resulting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effective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combat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persons.</w:t>
      </w:r>
      <w:r w:rsidR="0087402A" w:rsidRPr="00A035D0">
        <w:rPr>
          <w:rStyle w:val="FootnoteReference"/>
        </w:rPr>
        <w:footnoteReference w:id="37"/>
      </w:r>
    </w:p>
    <w:p w14:paraId="5F57A508" w14:textId="49E38A67" w:rsidR="0087402A" w:rsidRPr="00A035D0" w:rsidRDefault="0087402A" w:rsidP="00602998">
      <w:pPr>
        <w:pStyle w:val="H4G"/>
      </w:pPr>
      <w:r w:rsidRPr="00A035D0">
        <w:tab/>
        <w:t>(b)</w:t>
      </w:r>
      <w:r w:rsidR="00FE6B8B" w:rsidRPr="00A035D0">
        <w:t xml:space="preserve"> </w:t>
      </w:r>
      <w:r w:rsidRPr="00A035D0">
        <w:tab/>
        <w:t>Efforts</w:t>
      </w:r>
      <w:r w:rsidR="00FE6B8B" w:rsidRPr="00A035D0">
        <w:t xml:space="preserve"> </w:t>
      </w:r>
      <w:r w:rsidRPr="00A035D0">
        <w:t>made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address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root</w:t>
      </w:r>
      <w:r w:rsidR="00FE6B8B" w:rsidRPr="00A035D0">
        <w:t xml:space="preserve"> </w:t>
      </w:r>
      <w:r w:rsidRPr="00A035D0">
        <w:t>causes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vulnerability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exploitation,</w:t>
      </w:r>
      <w:r w:rsidR="00FE6B8B" w:rsidRPr="00A035D0">
        <w:t xml:space="preserve"> </w:t>
      </w:r>
      <w:r w:rsidRPr="00A035D0">
        <w:t>including</w:t>
      </w:r>
      <w:r w:rsidR="00FE6B8B" w:rsidRPr="00A035D0">
        <w:t xml:space="preserve"> </w:t>
      </w:r>
      <w:r w:rsidRPr="00A035D0">
        <w:t>poverty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family</w:t>
      </w:r>
      <w:r w:rsidR="00FE6B8B" w:rsidRPr="00A035D0">
        <w:t xml:space="preserve"> </w:t>
      </w:r>
      <w:r w:rsidRPr="00A035D0">
        <w:t>breakdown</w:t>
      </w:r>
    </w:p>
    <w:p w14:paraId="406318F2" w14:textId="288D7BE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DSWD</w:t>
      </w:r>
      <w:r w:rsidR="00FE6B8B" w:rsidRPr="00A035D0">
        <w:t xml:space="preserve"> </w:t>
      </w:r>
      <w:r w:rsidR="0087402A" w:rsidRPr="00A035D0">
        <w:t>implements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Recovery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Reintegration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Trafficked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(RRPTP)</w:t>
      </w:r>
      <w:r w:rsidR="00FE6B8B" w:rsidRPr="00A035D0">
        <w:t xml:space="preserve"> </w:t>
      </w:r>
      <w:r w:rsidR="0087402A" w:rsidRPr="00A035D0">
        <w:t>offers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package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ensures</w:t>
      </w:r>
      <w:r w:rsidR="00FE6B8B" w:rsidRPr="00A035D0">
        <w:t xml:space="preserve"> </w:t>
      </w:r>
      <w:r w:rsidR="0087402A" w:rsidRPr="00A035D0">
        <w:t>adequate</w:t>
      </w:r>
      <w:r w:rsidR="00FE6B8B" w:rsidRPr="00A035D0">
        <w:t xml:space="preserve"> </w:t>
      </w:r>
      <w:r w:rsidR="0087402A" w:rsidRPr="00A035D0">
        <w:t>recovery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reintegration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trafficking.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RRPTP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following:</w:t>
      </w:r>
    </w:p>
    <w:p w14:paraId="34C0CB1D" w14:textId="4A3684B2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Case</w:t>
      </w:r>
      <w:r w:rsidR="00FE6B8B" w:rsidRPr="00A035D0">
        <w:t xml:space="preserve"> </w:t>
      </w:r>
      <w:r w:rsidR="0087402A" w:rsidRPr="00A035D0">
        <w:t>Management,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involves</w:t>
      </w:r>
      <w:r w:rsidR="00FE6B8B" w:rsidRPr="00A035D0">
        <w:t xml:space="preserve"> </w:t>
      </w:r>
      <w:r w:rsidR="0087402A" w:rsidRPr="00A035D0">
        <w:t>analyzing</w:t>
      </w:r>
      <w:r w:rsidR="00FE6B8B" w:rsidRPr="00A035D0">
        <w:t xml:space="preserve"> </w:t>
      </w:r>
      <w:r w:rsidR="0087402A" w:rsidRPr="00A035D0">
        <w:t>problems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needs,</w:t>
      </w:r>
      <w:r w:rsidR="00FE6B8B" w:rsidRPr="00A035D0">
        <w:t xml:space="preserve"> </w:t>
      </w:r>
      <w:r w:rsidR="0087402A" w:rsidRPr="00A035D0">
        <w:t>implementing</w:t>
      </w:r>
      <w:r w:rsidR="00FE6B8B" w:rsidRPr="00A035D0">
        <w:t xml:space="preserve"> </w:t>
      </w:r>
      <w:r w:rsidR="0087402A" w:rsidRPr="00A035D0">
        <w:t>interventions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evaluating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progress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trafficked</w:t>
      </w:r>
      <w:r w:rsidR="00FE6B8B" w:rsidRPr="00A035D0">
        <w:t xml:space="preserve"> </w:t>
      </w:r>
      <w:r w:rsidR="0087402A" w:rsidRPr="00A035D0">
        <w:t>persons;</w:t>
      </w:r>
    </w:p>
    <w:p w14:paraId="633CF126" w14:textId="5BD30A14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Direct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Assistance,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includes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hygiene</w:t>
      </w:r>
      <w:r w:rsidR="00FE6B8B" w:rsidRPr="00A035D0">
        <w:t xml:space="preserve"> </w:t>
      </w:r>
      <w:r w:rsidR="0087402A" w:rsidRPr="00A035D0">
        <w:t>kit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food,</w:t>
      </w:r>
      <w:r w:rsidR="00FE6B8B" w:rsidRPr="00A035D0">
        <w:t xml:space="preserve"> </w:t>
      </w:r>
      <w:r w:rsidR="0087402A" w:rsidRPr="00A035D0">
        <w:t>financial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awaiting</w:t>
      </w:r>
      <w:r w:rsidR="00FE6B8B" w:rsidRPr="00A035D0">
        <w:t xml:space="preserve"> </w:t>
      </w:r>
      <w:r w:rsidR="0087402A" w:rsidRPr="00A035D0">
        <w:t>employment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undergoing</w:t>
      </w:r>
      <w:r w:rsidR="00FE6B8B" w:rsidRPr="00A035D0">
        <w:t xml:space="preserve"> </w:t>
      </w:r>
      <w:r w:rsidR="0087402A" w:rsidRPr="00A035D0">
        <w:t>training,</w:t>
      </w:r>
      <w:r w:rsidR="00FE6B8B" w:rsidRPr="00A035D0">
        <w:t xml:space="preserve"> </w:t>
      </w:r>
      <w:r w:rsidR="0087402A" w:rsidRPr="00A035D0">
        <w:t>capital</w:t>
      </w:r>
      <w:r w:rsidR="00FE6B8B" w:rsidRPr="00A035D0">
        <w:t xml:space="preserve"> </w:t>
      </w:r>
      <w:r w:rsidR="0087402A" w:rsidRPr="00A035D0">
        <w:t>assistance,</w:t>
      </w:r>
      <w:r w:rsidR="00FE6B8B" w:rsidRPr="00A035D0">
        <w:t xml:space="preserve"> </w:t>
      </w:r>
      <w:r w:rsidR="0087402A" w:rsidRPr="00A035D0">
        <w:t>educational</w:t>
      </w:r>
      <w:r w:rsidR="00FE6B8B" w:rsidRPr="00A035D0">
        <w:t xml:space="preserve"> </w:t>
      </w:r>
      <w:r w:rsidR="0087402A" w:rsidRPr="00A035D0">
        <w:t>assistance,</w:t>
      </w:r>
      <w:r w:rsidR="00FE6B8B" w:rsidRPr="00A035D0">
        <w:t xml:space="preserve"> </w:t>
      </w:r>
      <w:r w:rsidR="0087402A" w:rsidRPr="00A035D0">
        <w:t>medical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referral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potential</w:t>
      </w:r>
      <w:r w:rsidR="00FE6B8B" w:rsidRPr="00A035D0">
        <w:t xml:space="preserve"> </w:t>
      </w:r>
      <w:r w:rsidR="0087402A" w:rsidRPr="00A035D0">
        <w:t>employers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business</w:t>
      </w:r>
      <w:r w:rsidR="00FE6B8B" w:rsidRPr="00A035D0">
        <w:t xml:space="preserve"> </w:t>
      </w:r>
      <w:r w:rsidR="0087402A" w:rsidRPr="00A035D0">
        <w:t>partners;</w:t>
      </w:r>
    </w:p>
    <w:p w14:paraId="33FC21F0" w14:textId="4FC1E09F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Training,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covers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computer</w:t>
      </w:r>
      <w:r w:rsidR="00FE6B8B" w:rsidRPr="00A035D0">
        <w:t xml:space="preserve"> </w:t>
      </w:r>
      <w:r w:rsidR="0087402A" w:rsidRPr="00A035D0">
        <w:t>literacy</w:t>
      </w:r>
      <w:r w:rsidR="00FE6B8B" w:rsidRPr="00A035D0">
        <w:t xml:space="preserve"> </w:t>
      </w:r>
      <w:r w:rsidR="0087402A" w:rsidRPr="00A035D0">
        <w:t>course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interested</w:t>
      </w:r>
      <w:r w:rsidR="00FE6B8B" w:rsidRPr="00A035D0">
        <w:t xml:space="preserve"> </w:t>
      </w:r>
      <w:r w:rsidR="0087402A" w:rsidRPr="00A035D0">
        <w:t>trafficked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enhance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skills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facilitate</w:t>
      </w:r>
      <w:r w:rsidR="00FE6B8B" w:rsidRPr="00A035D0">
        <w:t xml:space="preserve"> </w:t>
      </w:r>
      <w:r w:rsidR="0087402A" w:rsidRPr="00A035D0">
        <w:t>employment;</w:t>
      </w:r>
    </w:p>
    <w:p w14:paraId="6AAEB393" w14:textId="60A25C75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Support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Witnesses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Trafficking,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includes</w:t>
      </w:r>
      <w:r w:rsidR="00FE6B8B" w:rsidRPr="00A035D0">
        <w:t xml:space="preserve"> </w:t>
      </w:r>
      <w:r w:rsidR="0087402A" w:rsidRPr="00A035D0">
        <w:t>auxiliary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trafficked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ongoing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(i.e.,</w:t>
      </w:r>
      <w:r w:rsidR="00FE6B8B" w:rsidRPr="00A035D0">
        <w:t xml:space="preserve"> </w:t>
      </w:r>
      <w:r w:rsidR="0087402A" w:rsidRPr="00A035D0">
        <w:t>board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lodging,</w:t>
      </w:r>
      <w:r w:rsidR="00FE6B8B" w:rsidRPr="00A035D0">
        <w:t xml:space="preserve"> </w:t>
      </w:r>
      <w:r w:rsidR="0087402A" w:rsidRPr="00A035D0">
        <w:t>documentation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incidental</w:t>
      </w:r>
      <w:r w:rsidR="00FE6B8B" w:rsidRPr="00A035D0">
        <w:t xml:space="preserve"> </w:t>
      </w:r>
      <w:r w:rsidR="0087402A" w:rsidRPr="00A035D0">
        <w:t>expenses);</w:t>
      </w:r>
      <w:r w:rsidR="00FE6B8B" w:rsidRPr="00A035D0">
        <w:t xml:space="preserve"> </w:t>
      </w:r>
      <w:r w:rsidR="0087402A" w:rsidRPr="00A035D0">
        <w:t>and,</w:t>
      </w:r>
    </w:p>
    <w:p w14:paraId="4B2C01DE" w14:textId="023FB228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Shelter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Trafficking,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existing</w:t>
      </w:r>
      <w:r w:rsidR="00FE6B8B" w:rsidRPr="00A035D0">
        <w:t xml:space="preserve"> </w:t>
      </w:r>
      <w:r w:rsidR="0087402A" w:rsidRPr="00A035D0">
        <w:t>centers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search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temporary</w:t>
      </w:r>
      <w:r w:rsidR="00FE6B8B" w:rsidRPr="00A035D0">
        <w:t xml:space="preserve"> </w:t>
      </w:r>
      <w:r w:rsidR="0087402A" w:rsidRPr="00A035D0">
        <w:t>shelter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cope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traumatic</w:t>
      </w:r>
      <w:r w:rsidR="00FE6B8B" w:rsidRPr="00A035D0">
        <w:t xml:space="preserve"> </w:t>
      </w:r>
      <w:r w:rsidR="0087402A" w:rsidRPr="00A035D0">
        <w:t>experience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those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ongoing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cases.</w:t>
      </w:r>
    </w:p>
    <w:p w14:paraId="725077F7" w14:textId="028D4FE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forced</w:t>
      </w:r>
      <w:r w:rsidR="00FE6B8B" w:rsidRPr="00A035D0">
        <w:t xml:space="preserve"> </w:t>
      </w:r>
      <w:r w:rsidR="0087402A" w:rsidRPr="00A035D0">
        <w:t>labor,</w:t>
      </w:r>
      <w:r w:rsidR="00FE6B8B" w:rsidRPr="00A035D0">
        <w:t xml:space="preserve"> </w:t>
      </w:r>
      <w:r w:rsidR="0087402A" w:rsidRPr="00A035D0">
        <w:t>sexual</w:t>
      </w:r>
      <w:r w:rsidR="00FE6B8B" w:rsidRPr="00A035D0">
        <w:t xml:space="preserve"> </w:t>
      </w:r>
      <w:r w:rsidR="0087402A" w:rsidRPr="00A035D0">
        <w:t>exploitation,</w:t>
      </w:r>
      <w:r w:rsidR="00FE6B8B" w:rsidRPr="00A035D0">
        <w:t xml:space="preserve"> </w:t>
      </w:r>
      <w:r w:rsidR="0087402A" w:rsidRPr="00A035D0">
        <w:t>prostitution,</w:t>
      </w:r>
      <w:r w:rsidR="00FE6B8B" w:rsidRPr="00A035D0">
        <w:t xml:space="preserve"> </w:t>
      </w:r>
      <w:r w:rsidR="0087402A" w:rsidRPr="00A035D0">
        <w:t>slavery,</w:t>
      </w:r>
      <w:r w:rsidR="00FE6B8B" w:rsidRPr="00A035D0">
        <w:t xml:space="preserve"> </w:t>
      </w:r>
      <w:r w:rsidR="0087402A" w:rsidRPr="00A035D0">
        <w:t>adoption,</w:t>
      </w:r>
      <w:r w:rsidR="00FE6B8B" w:rsidRPr="00A035D0">
        <w:t xml:space="preserve"> </w:t>
      </w:r>
      <w:r w:rsidR="0087402A" w:rsidRPr="00A035D0">
        <w:t>pornography,</w:t>
      </w:r>
      <w:r w:rsidR="00FE6B8B" w:rsidRPr="00A035D0">
        <w:t xml:space="preserve"> </w:t>
      </w:r>
      <w:r w:rsidR="0087402A" w:rsidRPr="00A035D0">
        <w:t>removal/sale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organs,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recruitment,</w:t>
      </w:r>
      <w:r w:rsidR="00FE6B8B" w:rsidRPr="00A035D0">
        <w:t xml:space="preserve"> </w:t>
      </w:r>
      <w:r w:rsidR="0087402A" w:rsidRPr="00A035D0">
        <w:t>child</w:t>
      </w:r>
      <w:r w:rsidR="00FE6B8B" w:rsidRPr="00A035D0">
        <w:t xml:space="preserve"> </w:t>
      </w:r>
      <w:r w:rsidR="0087402A" w:rsidRPr="00A035D0">
        <w:t>trafficking,</w:t>
      </w:r>
      <w:r w:rsidR="00FE6B8B" w:rsidRPr="00A035D0">
        <w:t xml:space="preserve"> </w:t>
      </w:r>
      <w:r w:rsidR="0087402A" w:rsidRPr="00A035D0">
        <w:t>repatriation,</w:t>
      </w:r>
      <w:r w:rsidR="00FE6B8B" w:rsidRPr="00A035D0">
        <w:t xml:space="preserve"> </w:t>
      </w:r>
      <w:r w:rsidR="0087402A" w:rsidRPr="00A035D0">
        <w:t>involuntary</w:t>
      </w:r>
      <w:r w:rsidR="00FE6B8B" w:rsidRPr="00A035D0">
        <w:t xml:space="preserve"> </w:t>
      </w:r>
      <w:r w:rsidR="0087402A" w:rsidRPr="00A035D0">
        <w:t>servitude,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trafficking,</w:t>
      </w:r>
      <w:r w:rsidR="00FE6B8B" w:rsidRPr="00A035D0">
        <w:t xml:space="preserve"> </w:t>
      </w:r>
      <w:r w:rsidR="0087402A" w:rsidRPr="00A035D0">
        <w:t>intercepted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others.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2,041</w:t>
      </w:r>
      <w:r w:rsidR="00FE6B8B" w:rsidRPr="00A035D0">
        <w:t xml:space="preserve"> </w:t>
      </w:r>
      <w:r w:rsidR="0087402A" w:rsidRPr="00A035D0">
        <w:t>trafficked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assisted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RRPTP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102.10%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1,999</w:t>
      </w:r>
      <w:r w:rsidR="00FE6B8B" w:rsidRPr="00A035D0">
        <w:t xml:space="preserve"> </w:t>
      </w:r>
      <w:r w:rsidR="0087402A" w:rsidRPr="00A035D0">
        <w:t>target</w:t>
      </w:r>
      <w:r w:rsidR="00FE6B8B" w:rsidRPr="00A035D0">
        <w:t xml:space="preserve"> </w:t>
      </w:r>
      <w:r w:rsidR="0087402A" w:rsidRPr="00A035D0">
        <w:t>clients.</w:t>
      </w:r>
    </w:p>
    <w:p w14:paraId="63A830BC" w14:textId="15D409EC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Summary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Accomplishments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Committees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(LCAT)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December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shows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initiatives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interventions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issues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(TIP),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categorized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four</w:t>
      </w:r>
      <w:r w:rsidR="00FE6B8B" w:rsidRPr="00A035D0">
        <w:t xml:space="preserve"> </w:t>
      </w:r>
      <w:r w:rsidR="0087402A" w:rsidRPr="00A035D0">
        <w:t>(4)</w:t>
      </w:r>
      <w:r w:rsidR="00FE6B8B" w:rsidRPr="00A035D0">
        <w:t xml:space="preserve"> </w:t>
      </w:r>
      <w:r w:rsidR="0087402A" w:rsidRPr="00A035D0">
        <w:t>strategies:</w:t>
      </w:r>
    </w:p>
    <w:p w14:paraId="56865A3B" w14:textId="62DD6CEA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1)</w:t>
      </w:r>
      <w:r w:rsidR="00FE6B8B" w:rsidRPr="00A035D0">
        <w:t xml:space="preserve"> </w:t>
      </w:r>
      <w:r w:rsidR="0087402A" w:rsidRPr="00A035D0">
        <w:tab/>
        <w:t>prevention</w:t>
      </w:r>
    </w:p>
    <w:p w14:paraId="7B407361" w14:textId="4B3BF91E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2)</w:t>
      </w:r>
      <w:r w:rsidR="00FE6B8B" w:rsidRPr="00A035D0">
        <w:t xml:space="preserve"> </w:t>
      </w:r>
      <w:r w:rsidR="0087402A" w:rsidRPr="00A035D0">
        <w:tab/>
        <w:t>protection</w:t>
      </w:r>
    </w:p>
    <w:p w14:paraId="4EBEDBD2" w14:textId="3A212A52" w:rsidR="00FE6B8B" w:rsidRPr="00A035D0" w:rsidRDefault="00602998" w:rsidP="00602998">
      <w:pPr>
        <w:pStyle w:val="SingleTxtG"/>
      </w:pPr>
      <w:r w:rsidRPr="00A035D0">
        <w:tab/>
      </w:r>
      <w:r w:rsidR="0087402A" w:rsidRPr="00A035D0">
        <w:t>3)</w:t>
      </w:r>
      <w:r w:rsidR="00FE6B8B" w:rsidRPr="00A035D0">
        <w:t xml:space="preserve"> </w:t>
      </w:r>
      <w:r w:rsidR="0087402A" w:rsidRPr="00A035D0">
        <w:tab/>
        <w:t>recovery/rehabilitation;</w:t>
      </w:r>
      <w:r w:rsidR="00FE6B8B" w:rsidRPr="00A035D0">
        <w:t xml:space="preserve"> </w:t>
      </w:r>
      <w:r w:rsidR="0087402A" w:rsidRPr="00A035D0">
        <w:t>and</w:t>
      </w:r>
    </w:p>
    <w:p w14:paraId="310A1B67" w14:textId="4662936F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4)</w:t>
      </w:r>
      <w:r w:rsidR="00FE6B8B" w:rsidRPr="00A035D0">
        <w:t xml:space="preserve"> </w:t>
      </w:r>
      <w:r w:rsidR="0087402A" w:rsidRPr="00A035D0">
        <w:tab/>
        <w:t>reintegration.</w:t>
      </w:r>
    </w:p>
    <w:p w14:paraId="6BCA1781" w14:textId="7EA4DD8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LCAT</w:t>
      </w:r>
      <w:r w:rsidR="00FE6B8B" w:rsidRPr="00A035D0">
        <w:t xml:space="preserve"> </w:t>
      </w:r>
      <w:r w:rsidR="0087402A" w:rsidRPr="00A035D0">
        <w:t>Accomplishments,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every</w:t>
      </w:r>
      <w:r w:rsidR="00FE6B8B" w:rsidRPr="00A035D0">
        <w:t xml:space="preserve"> </w:t>
      </w:r>
      <w:r w:rsidR="0087402A" w:rsidRPr="00A035D0">
        <w:t>January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July,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based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(RA)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9208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amended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RA</w:t>
      </w:r>
      <w:r w:rsidR="00FE6B8B" w:rsidRPr="00A035D0">
        <w:t xml:space="preserve"> </w:t>
      </w:r>
      <w:r w:rsidR="0087402A" w:rsidRPr="00A035D0">
        <w:t>10364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Expanded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DILG-DOJ-DSWD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(JMC)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2010-1</w:t>
      </w:r>
      <w:r w:rsidR="00FE6B8B" w:rsidRPr="00A035D0">
        <w:t xml:space="preserve"> </w:t>
      </w:r>
      <w:r w:rsidR="0087402A" w:rsidRPr="00A035D0">
        <w:t>[Creation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Committees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(LCAT-VAWC)].</w:t>
      </w:r>
    </w:p>
    <w:p w14:paraId="42F4AEF1" w14:textId="325EEC8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152.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While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accomplishments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temporarily</w:t>
      </w:r>
      <w:r w:rsidR="00FE6B8B" w:rsidRPr="00A035D0">
        <w:t xml:space="preserve"> </w:t>
      </w:r>
      <w:r w:rsidR="0087402A" w:rsidRPr="00A035D0">
        <w:t>suspended</w:t>
      </w:r>
      <w:r w:rsidR="00FE6B8B" w:rsidRPr="00A035D0">
        <w:t xml:space="preserve"> </w:t>
      </w:r>
      <w:r w:rsidR="0087402A" w:rsidRPr="00A035D0">
        <w:t>due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COVID-19</w:t>
      </w:r>
      <w:r w:rsidR="00FE6B8B" w:rsidRPr="00A035D0">
        <w:t xml:space="preserve"> </w:t>
      </w:r>
      <w:r w:rsidR="0087402A" w:rsidRPr="00A035D0">
        <w:t>pandemic,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(IACAT</w:t>
      </w:r>
      <w:r w:rsidR="0087402A" w:rsidRPr="00A035D0">
        <w:rPr>
          <w:rStyle w:val="FootnoteReference"/>
        </w:rPr>
        <w:footnoteReference w:id="38"/>
      </w:r>
      <w:r w:rsidR="0087402A" w:rsidRPr="00A035D0">
        <w:t>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DOJ</w:t>
      </w:r>
      <w:r w:rsidR="00FE6B8B" w:rsidRPr="00A035D0">
        <w:t xml:space="preserve"> </w:t>
      </w:r>
      <w:r w:rsidR="0087402A" w:rsidRPr="00A035D0">
        <w:t>continue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“</w:t>
      </w:r>
      <w:r w:rsidR="0087402A" w:rsidRPr="00A035D0">
        <w:t>LGU</w:t>
      </w:r>
      <w:r w:rsidR="00FE6B8B" w:rsidRPr="00A035D0">
        <w:t xml:space="preserve"> </w:t>
      </w:r>
      <w:r w:rsidR="0087402A" w:rsidRPr="00A035D0">
        <w:t>Roadshows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Ordinance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Combat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” </w:t>
      </w:r>
      <w:r w:rsidR="0087402A" w:rsidRPr="00A035D0">
        <w:t>via</w:t>
      </w:r>
      <w:r w:rsidR="00FE6B8B" w:rsidRPr="00A035D0">
        <w:t xml:space="preserve"> </w:t>
      </w:r>
      <w:r w:rsidR="0087402A" w:rsidRPr="00A035D0">
        <w:t>online</w:t>
      </w:r>
      <w:r w:rsidR="00FE6B8B" w:rsidRPr="00A035D0">
        <w:t xml:space="preserve"> </w:t>
      </w:r>
      <w:r w:rsidR="0087402A" w:rsidRPr="00A035D0">
        <w:t>platform.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activity</w:t>
      </w:r>
      <w:r w:rsidR="00FE6B8B" w:rsidRPr="00A035D0">
        <w:t xml:space="preserve"> </w:t>
      </w:r>
      <w:r w:rsidR="0087402A" w:rsidRPr="00A035D0">
        <w:t>aims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raise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awareness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how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TIP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community,</w:t>
      </w:r>
      <w:r w:rsidR="00FE6B8B" w:rsidRPr="00A035D0">
        <w:t xml:space="preserve"> </w:t>
      </w:r>
      <w:r w:rsidR="0087402A" w:rsidRPr="00A035D0">
        <w:t>especially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crisis.</w:t>
      </w:r>
    </w:p>
    <w:p w14:paraId="3FE82FCA" w14:textId="57E975F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DILG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recently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2020-103</w:t>
      </w:r>
      <w:r w:rsidR="00FE6B8B" w:rsidRPr="00A035D0">
        <w:t xml:space="preserve"> </w:t>
      </w:r>
      <w:r w:rsidR="0087402A" w:rsidRPr="00A035D0">
        <w:t>[(Observance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World</w:t>
      </w:r>
      <w:r w:rsidR="00FE6B8B" w:rsidRPr="00A035D0">
        <w:t xml:space="preserve"> </w:t>
      </w:r>
      <w:r w:rsidR="0087402A" w:rsidRPr="00A035D0">
        <w:t>Day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(WDAT)],</w:t>
      </w:r>
      <w:r w:rsidR="00FE6B8B" w:rsidRPr="00A035D0">
        <w:t xml:space="preserve"> </w:t>
      </w:r>
      <w:r w:rsidR="0087402A" w:rsidRPr="00A035D0">
        <w:t>encouraging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relevant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observance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WDAT.</w:t>
      </w:r>
      <w:r w:rsidR="00FE6B8B" w:rsidRPr="00A035D0">
        <w:t xml:space="preserve"> </w:t>
      </w:r>
      <w:r w:rsidR="0087402A" w:rsidRPr="00A035D0">
        <w:t>Print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digital-copy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information,</w:t>
      </w:r>
      <w:r w:rsidR="00FE6B8B" w:rsidRPr="00A035D0">
        <w:t xml:space="preserve"> </w:t>
      </w:r>
      <w:r w:rsidR="0087402A" w:rsidRPr="00A035D0">
        <w:t>education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communication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anti-TIP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partner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NGOs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shared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references.</w:t>
      </w:r>
    </w:p>
    <w:p w14:paraId="497E22DC" w14:textId="338A339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</w:t>
      </w:r>
      <w:r w:rsidR="00FE6B8B" w:rsidRPr="00A035D0">
        <w:t xml:space="preserve"> </w:t>
      </w:r>
      <w:r w:rsidR="0087402A" w:rsidRPr="00A035D0">
        <w:t>intensify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TIP,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collaborated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Association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South</w:t>
      </w:r>
      <w:r w:rsidR="00FE6B8B" w:rsidRPr="00A035D0">
        <w:t xml:space="preserve"> </w:t>
      </w:r>
      <w:r w:rsidR="0087402A" w:rsidRPr="00A035D0">
        <w:t>East</w:t>
      </w:r>
      <w:r w:rsidR="00FE6B8B" w:rsidRPr="00A035D0">
        <w:t xml:space="preserve"> </w:t>
      </w:r>
      <w:r w:rsidR="0087402A" w:rsidRPr="00A035D0">
        <w:t>Asian</w:t>
      </w:r>
      <w:r w:rsidR="00FE6B8B" w:rsidRPr="00A035D0">
        <w:t xml:space="preserve"> </w:t>
      </w:r>
      <w:r w:rsidR="0087402A" w:rsidRPr="00A035D0">
        <w:t>Nations-Australia</w:t>
      </w:r>
      <w:r w:rsidR="00FE6B8B" w:rsidRPr="00A035D0">
        <w:t xml:space="preserve"> </w:t>
      </w:r>
      <w:r w:rsidR="0087402A" w:rsidRPr="00A035D0">
        <w:t>Counter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(ASEAN-ACT)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advocacy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materials:</w:t>
      </w:r>
    </w:p>
    <w:p w14:paraId="070C40E5" w14:textId="1480FD82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Participant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Manual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LGU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Roadshow;</w:t>
      </w:r>
    </w:p>
    <w:p w14:paraId="7C22450A" w14:textId="072794B8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Trainer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Handbook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LGU</w:t>
      </w:r>
      <w:r w:rsidR="00FE6B8B" w:rsidRPr="00A035D0">
        <w:t xml:space="preserve"> </w:t>
      </w:r>
      <w:r w:rsidR="0087402A" w:rsidRPr="00A035D0">
        <w:t>Anti-Trafficking</w:t>
      </w:r>
      <w:r w:rsidR="00FE6B8B" w:rsidRPr="00A035D0">
        <w:t xml:space="preserve"> </w:t>
      </w:r>
      <w:r w:rsidR="0087402A" w:rsidRPr="00A035D0">
        <w:t>Roadshow;</w:t>
      </w:r>
    </w:p>
    <w:p w14:paraId="2ECC6191" w14:textId="639FDE7F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Guidebook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“</w:t>
      </w:r>
      <w:r w:rsidR="0087402A" w:rsidRPr="00A035D0">
        <w:t>How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Develop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Counter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Ordinance;</w:t>
      </w:r>
      <w:r w:rsidR="00FE6B8B" w:rsidRPr="00A035D0">
        <w:t xml:space="preserve"> </w:t>
      </w:r>
      <w:r w:rsidR="0087402A" w:rsidRPr="00A035D0">
        <w:t>and</w:t>
      </w:r>
    </w:p>
    <w:p w14:paraId="5363C7AA" w14:textId="4216113B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Localised</w:t>
      </w:r>
      <w:r w:rsidR="00FE6B8B" w:rsidRPr="00A035D0">
        <w:t xml:space="preserve"> </w:t>
      </w:r>
      <w:r w:rsidR="0087402A" w:rsidRPr="00A035D0">
        <w:t>information,</w:t>
      </w:r>
      <w:r w:rsidR="00FE6B8B" w:rsidRPr="00A035D0">
        <w:t xml:space="preserve"> </w:t>
      </w:r>
      <w:r w:rsidR="0087402A" w:rsidRPr="00A035D0">
        <w:t>education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communications</w:t>
      </w:r>
      <w:r w:rsidR="00FE6B8B" w:rsidRPr="00A035D0">
        <w:t xml:space="preserve"> </w:t>
      </w:r>
      <w:r w:rsidR="0087402A" w:rsidRPr="00A035D0">
        <w:t>materials.</w:t>
      </w:r>
    </w:p>
    <w:p w14:paraId="35EF9BD3" w14:textId="4DE0BF4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155.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above</w:t>
      </w:r>
      <w:r w:rsidR="00FE6B8B" w:rsidRPr="00A035D0">
        <w:t xml:space="preserve"> </w:t>
      </w:r>
      <w:r w:rsidR="0087402A" w:rsidRPr="00A035D0">
        <w:t>materials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expected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completed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distributed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LGUs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used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anti-TIP</w:t>
      </w:r>
      <w:r w:rsidR="00FE6B8B" w:rsidRPr="00A035D0">
        <w:t xml:space="preserve"> </w:t>
      </w:r>
      <w:r w:rsidR="0087402A" w:rsidRPr="00A035D0">
        <w:t>roadshows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DILG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ASEAN-ACT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2021.</w:t>
      </w:r>
      <w:r w:rsidR="0087402A" w:rsidRPr="00A035D0">
        <w:rPr>
          <w:rStyle w:val="FootnoteReference"/>
        </w:rPr>
        <w:footnoteReference w:id="39"/>
      </w:r>
    </w:p>
    <w:p w14:paraId="4439CA0A" w14:textId="193BFB26" w:rsidR="0087402A" w:rsidRPr="00A035D0" w:rsidRDefault="0087402A" w:rsidP="00602998">
      <w:pPr>
        <w:pStyle w:val="H4G"/>
      </w:pPr>
      <w:r w:rsidRPr="00A035D0">
        <w:tab/>
        <w:t>(c)</w:t>
      </w:r>
      <w:r w:rsidR="00FE6B8B" w:rsidRPr="00A035D0">
        <w:t xml:space="preserve"> </w:t>
      </w:r>
      <w:r w:rsidRPr="00A035D0">
        <w:tab/>
        <w:t>Planned</w:t>
      </w:r>
      <w:r w:rsidR="00FE6B8B" w:rsidRPr="00A035D0">
        <w:t xml:space="preserve"> </w:t>
      </w:r>
      <w:r w:rsidRPr="00A035D0">
        <w:t>steps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increase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investigations,</w:t>
      </w:r>
      <w:r w:rsidR="00FE6B8B" w:rsidRPr="00A035D0">
        <w:t xml:space="preserve"> </w:t>
      </w:r>
      <w:r w:rsidRPr="00A035D0">
        <w:t>prosecutions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convictions</w:t>
      </w:r>
    </w:p>
    <w:p w14:paraId="183F37D4" w14:textId="4CAAC1FC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actively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trafficking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involved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trafficking,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officials,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promptly</w:t>
      </w:r>
      <w:r w:rsidR="00FE6B8B" w:rsidRPr="00A035D0">
        <w:t xml:space="preserve"> </w:t>
      </w:r>
      <w:r w:rsidR="0087402A" w:rsidRPr="00A035D0">
        <w:t>investigated,</w:t>
      </w:r>
      <w:r w:rsidR="00FE6B8B" w:rsidRPr="00A035D0">
        <w:t xml:space="preserve"> </w:t>
      </w:r>
      <w:r w:rsidR="0087402A" w:rsidRPr="00A035D0">
        <w:t>charged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prosecuted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warrants.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proven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Tier</w:t>
      </w:r>
      <w:r w:rsidR="00FE6B8B" w:rsidRPr="00A035D0">
        <w:t xml:space="preserve"> </w:t>
      </w:r>
      <w:r w:rsidR="0087402A" w:rsidRPr="00A035D0">
        <w:t>1</w:t>
      </w:r>
      <w:r w:rsidR="00FE6B8B" w:rsidRPr="00A035D0">
        <w:t xml:space="preserve"> </w:t>
      </w:r>
      <w:r w:rsidR="0087402A" w:rsidRPr="00A035D0">
        <w:t>classification</w:t>
      </w:r>
      <w:r w:rsidR="00FE6B8B" w:rsidRPr="00A035D0">
        <w:t xml:space="preserve"> </w:t>
      </w:r>
      <w:r w:rsidR="0087402A" w:rsidRPr="00A035D0">
        <w:t>given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United</w:t>
      </w:r>
      <w:r w:rsidR="00FE6B8B" w:rsidRPr="00A035D0">
        <w:t xml:space="preserve"> </w:t>
      </w:r>
      <w:r w:rsidR="0087402A" w:rsidRPr="00A035D0">
        <w:t>States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Department.</w:t>
      </w:r>
    </w:p>
    <w:p w14:paraId="01D64517" w14:textId="71C7C78C" w:rsidR="0087402A" w:rsidRPr="00A035D0" w:rsidRDefault="0087402A" w:rsidP="00602998">
      <w:pPr>
        <w:pStyle w:val="H1G"/>
      </w:pPr>
      <w:r w:rsidRPr="00A035D0">
        <w:tab/>
      </w:r>
      <w:r w:rsidRPr="00A035D0">
        <w:tab/>
        <w:t>Internally</w:t>
      </w:r>
      <w:r w:rsidR="00FE6B8B" w:rsidRPr="00A035D0">
        <w:t xml:space="preserve"> </w:t>
      </w:r>
      <w:r w:rsidRPr="00A035D0">
        <w:t>displaced</w:t>
      </w:r>
      <w:r w:rsidR="00FE6B8B" w:rsidRPr="00A035D0">
        <w:t xml:space="preserve"> </w:t>
      </w:r>
      <w:r w:rsidRPr="00A035D0">
        <w:t>persons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12,</w:t>
      </w:r>
      <w:r w:rsidR="00FE6B8B" w:rsidRPr="00A035D0">
        <w:t xml:space="preserve"> </w:t>
      </w:r>
      <w:r w:rsidRPr="00A035D0">
        <w:t>17,</w:t>
      </w:r>
      <w:r w:rsidR="00FE6B8B" w:rsidRPr="00A035D0">
        <w:t xml:space="preserve"> </w:t>
      </w:r>
      <w:r w:rsidRPr="00A035D0">
        <w:t>24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27)</w:t>
      </w:r>
    </w:p>
    <w:p w14:paraId="14253808" w14:textId="09C421DC" w:rsidR="0087402A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19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72E358FB" w14:textId="3B8DDED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developments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issues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displacement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cultural</w:t>
      </w:r>
      <w:r w:rsidR="00FE6B8B" w:rsidRPr="00A035D0">
        <w:t xml:space="preserve"> </w:t>
      </w:r>
      <w:r w:rsidR="0087402A" w:rsidRPr="00A035D0">
        <w:t>communities</w:t>
      </w:r>
      <w:r w:rsidR="00FE6B8B" w:rsidRPr="00A035D0">
        <w:t xml:space="preserve"> </w:t>
      </w:r>
      <w:r w:rsidR="0087402A" w:rsidRPr="00A035D0">
        <w:t>and/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(ICCs/IPs):</w:t>
      </w:r>
    </w:p>
    <w:p w14:paraId="16D9905E" w14:textId="79F445CB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05,</w:t>
      </w:r>
      <w:r w:rsidR="00FE6B8B" w:rsidRPr="00A035D0">
        <w:t xml:space="preserve"> </w:t>
      </w:r>
      <w:r w:rsidR="0087402A" w:rsidRPr="00A035D0">
        <w:t>Series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–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restore</w:t>
      </w:r>
      <w:r w:rsidR="00FE6B8B" w:rsidRPr="00A035D0">
        <w:t xml:space="preserve"> </w:t>
      </w:r>
      <w:r w:rsidR="0087402A" w:rsidRPr="00A035D0">
        <w:t>normalcy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Most</w:t>
      </w:r>
      <w:r w:rsidR="00FE6B8B" w:rsidRPr="00A035D0">
        <w:t xml:space="preserve"> </w:t>
      </w:r>
      <w:r w:rsidR="0087402A" w:rsidRPr="00A035D0">
        <w:t>Affected</w:t>
      </w:r>
      <w:r w:rsidR="00FE6B8B" w:rsidRPr="00A035D0">
        <w:t xml:space="preserve"> </w:t>
      </w:r>
      <w:r w:rsidR="0087402A" w:rsidRPr="00A035D0">
        <w:t>Areas,</w:t>
      </w:r>
      <w:r w:rsidR="00FE6B8B" w:rsidRPr="00A035D0">
        <w:t xml:space="preserve"> </w:t>
      </w:r>
      <w:r w:rsidR="0087402A" w:rsidRPr="00A035D0">
        <w:t>Barangay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City.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struggle</w:t>
      </w:r>
      <w:r w:rsidR="00FE6B8B" w:rsidRPr="00A035D0">
        <w:t xml:space="preserve"> </w:t>
      </w:r>
      <w:r w:rsidR="0087402A" w:rsidRPr="00A035D0">
        <w:t>between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(GPH)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forces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terrorists</w:t>
      </w:r>
      <w:r w:rsidR="00FE6B8B" w:rsidRPr="00A035D0">
        <w:t xml:space="preserve"> </w:t>
      </w:r>
      <w:r w:rsidR="0087402A" w:rsidRPr="00A035D0">
        <w:t>associated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Islamic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Iraq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Levant</w:t>
      </w:r>
      <w:r w:rsidR="00FE6B8B" w:rsidRPr="00A035D0">
        <w:t xml:space="preserve"> </w:t>
      </w:r>
      <w:r w:rsidR="0087402A" w:rsidRPr="00A035D0">
        <w:t>(ISIL)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Maute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Abu</w:t>
      </w:r>
      <w:r w:rsidR="00FE6B8B" w:rsidRPr="00A035D0">
        <w:t xml:space="preserve"> </w:t>
      </w:r>
      <w:r w:rsidR="0087402A" w:rsidRPr="00A035D0">
        <w:t>Sayyaf</w:t>
      </w:r>
      <w:r w:rsidR="00FE6B8B" w:rsidRPr="00A035D0">
        <w:t xml:space="preserve"> </w:t>
      </w:r>
      <w:r w:rsidR="0087402A" w:rsidRPr="00A035D0">
        <w:t>Salafi</w:t>
      </w:r>
      <w:r w:rsidR="00FE6B8B" w:rsidRPr="00A035D0">
        <w:t xml:space="preserve"> </w:t>
      </w:r>
      <w:r w:rsidR="0087402A" w:rsidRPr="00A035D0">
        <w:t>extremist</w:t>
      </w:r>
      <w:r w:rsidR="00FE6B8B" w:rsidRPr="00A035D0">
        <w:t xml:space="preserve"> </w:t>
      </w:r>
      <w:r w:rsidR="0087402A" w:rsidRPr="00A035D0">
        <w:t>groups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2017,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</w:t>
      </w:r>
      <w:r w:rsidR="00FE6B8B" w:rsidRPr="00A035D0">
        <w:t xml:space="preserve"> </w:t>
      </w:r>
      <w:r w:rsidR="0087402A" w:rsidRPr="00A035D0">
        <w:t>Bangon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created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restore</w:t>
      </w:r>
      <w:r w:rsidR="00FE6B8B" w:rsidRPr="00A035D0">
        <w:t xml:space="preserve"> </w:t>
      </w:r>
      <w:r w:rsidR="0087402A" w:rsidRPr="00A035D0">
        <w:t>normalcy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affected</w:t>
      </w:r>
      <w:r w:rsidR="00FE6B8B" w:rsidRPr="00A035D0">
        <w:t xml:space="preserve"> </w:t>
      </w:r>
      <w:r w:rsidR="0087402A" w:rsidRPr="00A035D0">
        <w:t>77,170</w:t>
      </w:r>
      <w:r w:rsidR="00FE6B8B" w:rsidRPr="00A035D0">
        <w:t xml:space="preserve"> </w:t>
      </w:r>
      <w:r w:rsidR="0087402A" w:rsidRPr="00A035D0">
        <w:t>families,</w:t>
      </w:r>
      <w:r w:rsidR="00FE6B8B" w:rsidRPr="00A035D0">
        <w:t xml:space="preserve"> </w:t>
      </w:r>
      <w:r w:rsidR="0087402A" w:rsidRPr="00A035D0">
        <w:t>rebuild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restore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affected</w:t>
      </w:r>
      <w:r w:rsidR="00FE6B8B" w:rsidRPr="00A035D0">
        <w:t xml:space="preserve"> </w:t>
      </w:r>
      <w:r w:rsidR="0087402A" w:rsidRPr="00A035D0">
        <w:t>localities.</w:t>
      </w:r>
    </w:p>
    <w:p w14:paraId="53ECA815" w14:textId="429A7BD8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Transitory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Packages</w:t>
      </w:r>
      <w:r w:rsidR="00FE6B8B" w:rsidRPr="00A035D0">
        <w:t xml:space="preserve"> </w:t>
      </w:r>
      <w:r w:rsidR="0087402A" w:rsidRPr="00A035D0">
        <w:t>(TFSP)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integral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holistic</w:t>
      </w:r>
      <w:r w:rsidR="00FE6B8B" w:rsidRPr="00A035D0">
        <w:t xml:space="preserve"> </w:t>
      </w:r>
      <w:r w:rsidR="0087402A" w:rsidRPr="00A035D0">
        <w:t>psychosocial</w:t>
      </w:r>
      <w:r w:rsidR="00FE6B8B" w:rsidRPr="00A035D0">
        <w:t xml:space="preserve"> </w:t>
      </w:r>
      <w:r w:rsidR="0087402A" w:rsidRPr="00A035D0">
        <w:t>aid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IDPs.</w:t>
      </w:r>
      <w:r w:rsidR="00FE6B8B" w:rsidRPr="00A035D0">
        <w:t xml:space="preserve"> </w:t>
      </w:r>
      <w:r w:rsidR="0087402A" w:rsidRPr="00A035D0">
        <w:t>TFSP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one-time</w:t>
      </w:r>
      <w:r w:rsidR="00FE6B8B" w:rsidRPr="00A035D0">
        <w:t xml:space="preserve"> </w:t>
      </w:r>
      <w:r w:rsidR="0087402A" w:rsidRPr="00A035D0">
        <w:t>cash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intervention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continuing</w:t>
      </w:r>
      <w:r w:rsidR="00FE6B8B" w:rsidRPr="00A035D0">
        <w:t xml:space="preserve"> </w:t>
      </w:r>
      <w:r w:rsidR="0087402A" w:rsidRPr="00A035D0">
        <w:t>need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necessities,</w:t>
      </w:r>
      <w:r w:rsidR="00FE6B8B" w:rsidRPr="00A035D0">
        <w:t xml:space="preserve"> </w:t>
      </w:r>
      <w:r w:rsidR="0087402A" w:rsidRPr="00A035D0">
        <w:t>bridging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transition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response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recovery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rehabilitation.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intervention</w:t>
      </w:r>
      <w:r w:rsidR="00FE6B8B" w:rsidRPr="00A035D0">
        <w:t xml:space="preserve"> </w:t>
      </w:r>
      <w:r w:rsidR="0087402A" w:rsidRPr="00A035D0">
        <w:t>institutes</w:t>
      </w:r>
      <w:r w:rsidR="00FE6B8B" w:rsidRPr="00A035D0">
        <w:t xml:space="preserve"> </w:t>
      </w:r>
      <w:r w:rsidR="0087402A" w:rsidRPr="00A035D0">
        <w:t>unconditional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intervention</w:t>
      </w:r>
      <w:r w:rsidR="00FE6B8B" w:rsidRPr="00A035D0">
        <w:t xml:space="preserve"> </w:t>
      </w:r>
      <w:r w:rsidR="0087402A" w:rsidRPr="00A035D0">
        <w:t>providing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(IDPs)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flexibility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choose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priority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lastRenderedPageBreak/>
        <w:t>shelter,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non-food</w:t>
      </w:r>
      <w:r w:rsidR="00FE6B8B" w:rsidRPr="00A035D0">
        <w:t xml:space="preserve"> </w:t>
      </w:r>
      <w:r w:rsidR="0087402A" w:rsidRPr="00A035D0">
        <w:t>items</w:t>
      </w:r>
      <w:r w:rsidR="00FE6B8B" w:rsidRPr="00A035D0">
        <w:t xml:space="preserve"> </w:t>
      </w:r>
      <w:r w:rsidR="0087402A" w:rsidRPr="00A035D0">
        <w:t>(NFI)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consideration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socio-cultural</w:t>
      </w:r>
      <w:r w:rsidR="00FE6B8B" w:rsidRPr="00A035D0">
        <w:t xml:space="preserve"> </w:t>
      </w:r>
      <w:r w:rsidR="0087402A" w:rsidRPr="00A035D0">
        <w:t>background.</w:t>
      </w:r>
    </w:p>
    <w:p w14:paraId="431969DB" w14:textId="77777777" w:rsidR="00FE6B8B" w:rsidRPr="00A035D0" w:rsidRDefault="00602998" w:rsidP="00602998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</w:r>
      <w:r w:rsidR="0087402A" w:rsidRPr="00A035D0">
        <w:tab/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</w:t>
      </w:r>
      <w:r w:rsidR="00FE6B8B" w:rsidRPr="00A035D0">
        <w:t xml:space="preserve"> </w:t>
      </w:r>
      <w:r w:rsidR="0087402A" w:rsidRPr="00A035D0">
        <w:t>Series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–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Mainstreaming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Modified</w:t>
      </w:r>
      <w:r w:rsidR="00FE6B8B" w:rsidRPr="00A035D0">
        <w:t xml:space="preserve"> </w:t>
      </w:r>
      <w:r w:rsidR="0087402A" w:rsidRPr="00A035D0">
        <w:t>Conditional</w:t>
      </w:r>
      <w:r w:rsidR="00FE6B8B" w:rsidRPr="00A035D0">
        <w:t xml:space="preserve"> </w:t>
      </w:r>
      <w:r w:rsidR="0087402A" w:rsidRPr="00A035D0">
        <w:t>Cash</w:t>
      </w:r>
      <w:r w:rsidR="00FE6B8B" w:rsidRPr="00A035D0">
        <w:t xml:space="preserve"> </w:t>
      </w:r>
      <w:r w:rsidR="0087402A" w:rsidRPr="00A035D0">
        <w:t>Transfer</w:t>
      </w:r>
      <w:r w:rsidR="00FE6B8B" w:rsidRPr="00A035D0">
        <w:t xml:space="preserve"> </w:t>
      </w:r>
      <w:r w:rsidR="0087402A" w:rsidRPr="00A035D0">
        <w:t>(RCCT)</w:t>
      </w:r>
      <w:r w:rsidR="00FE6B8B" w:rsidRPr="00A035D0">
        <w:t xml:space="preserve"> </w:t>
      </w:r>
      <w:r w:rsidR="0087402A" w:rsidRPr="00A035D0">
        <w:t>Program.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sub-component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Pantawid</w:t>
      </w:r>
      <w:r w:rsidR="00FE6B8B" w:rsidRPr="00A035D0">
        <w:t xml:space="preserve"> </w:t>
      </w:r>
      <w:r w:rsidR="0087402A" w:rsidRPr="00A035D0">
        <w:t>Pamilyang</w:t>
      </w:r>
      <w:r w:rsidR="00FE6B8B" w:rsidRPr="00A035D0">
        <w:t xml:space="preserve"> </w:t>
      </w:r>
      <w:r w:rsidR="0087402A" w:rsidRPr="00A035D0">
        <w:t>Pilipino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uses</w:t>
      </w:r>
      <w:r w:rsidR="00FE6B8B" w:rsidRPr="00A035D0">
        <w:t xml:space="preserve"> </w:t>
      </w:r>
      <w:r w:rsidR="0087402A" w:rsidRPr="00A035D0">
        <w:t>modified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implementing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CCT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poor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Homeless</w:t>
      </w:r>
      <w:r w:rsidR="00FE6B8B" w:rsidRPr="00A035D0">
        <w:t xml:space="preserve"> </w:t>
      </w:r>
      <w:r w:rsidR="0087402A" w:rsidRPr="00A035D0">
        <w:t>Street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Need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Protection,</w:t>
      </w:r>
      <w:r w:rsidR="00FE6B8B" w:rsidRPr="00A035D0">
        <w:t xml:space="preserve"> </w:t>
      </w:r>
      <w:r w:rsidR="0087402A" w:rsidRPr="00A035D0">
        <w:t>RCCT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modified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reach</w:t>
      </w:r>
      <w:r w:rsidR="00FE6B8B" w:rsidRPr="00A035D0">
        <w:t xml:space="preserve"> </w:t>
      </w:r>
      <w:r w:rsidR="0087402A" w:rsidRPr="00A035D0">
        <w:t>marginalized,</w:t>
      </w:r>
      <w:r w:rsidR="00FE6B8B" w:rsidRPr="00A035D0">
        <w:t xml:space="preserve"> </w:t>
      </w:r>
      <w:r w:rsidR="0087402A" w:rsidRPr="00A035D0">
        <w:t>disadvantaged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registered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regular</w:t>
      </w:r>
      <w:r w:rsidR="00FE6B8B" w:rsidRPr="00A035D0">
        <w:t xml:space="preserve"> </w:t>
      </w:r>
      <w:r w:rsidR="0087402A" w:rsidRPr="00A035D0">
        <w:t>Conditional</w:t>
      </w:r>
      <w:r w:rsidR="00FE6B8B" w:rsidRPr="00A035D0">
        <w:t xml:space="preserve"> </w:t>
      </w:r>
      <w:r w:rsidR="0087402A" w:rsidRPr="00A035D0">
        <w:t>Cash</w:t>
      </w:r>
      <w:r w:rsidR="00FE6B8B" w:rsidRPr="00A035D0">
        <w:t xml:space="preserve"> </w:t>
      </w:r>
      <w:r w:rsidR="0087402A" w:rsidRPr="00A035D0">
        <w:t>Transfer</w:t>
      </w:r>
      <w:r w:rsidR="00FE6B8B" w:rsidRPr="00A035D0">
        <w:t xml:space="preserve"> </w:t>
      </w:r>
      <w:r w:rsidR="0087402A" w:rsidRPr="00A035D0">
        <w:t>(CCT)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due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situation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lack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physical</w:t>
      </w:r>
      <w:r w:rsidR="00FE6B8B" w:rsidRPr="00A035D0">
        <w:t xml:space="preserve"> </w:t>
      </w:r>
      <w:r w:rsidR="0087402A" w:rsidRPr="00A035D0">
        <w:t>structures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mobility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excluded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registration,</w:t>
      </w:r>
      <w:r w:rsidR="00FE6B8B" w:rsidRPr="00A035D0">
        <w:t xml:space="preserve"> </w:t>
      </w:r>
      <w:r w:rsidR="0087402A" w:rsidRPr="00A035D0">
        <w:t>resulting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non-inclusion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regular</w:t>
      </w:r>
      <w:r w:rsidR="00FE6B8B" w:rsidRPr="00A035D0">
        <w:t xml:space="preserve"> </w:t>
      </w:r>
      <w:r w:rsidR="0087402A" w:rsidRPr="00A035D0">
        <w:t>CCT.</w:t>
      </w:r>
    </w:p>
    <w:p w14:paraId="083D855F" w14:textId="77777777" w:rsidR="00FE6B8B" w:rsidRPr="00A035D0" w:rsidRDefault="00602998" w:rsidP="00602998">
      <w:pPr>
        <w:pStyle w:val="SingleTxtG"/>
      </w:pPr>
      <w:r w:rsidRPr="00A035D0">
        <w:tab/>
      </w:r>
      <w:r w:rsidR="0087402A" w:rsidRPr="00A035D0">
        <w:t>3.</w:t>
      </w:r>
      <w:r w:rsidR="0087402A" w:rsidRPr="00A035D0">
        <w:tab/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7,</w:t>
      </w:r>
      <w:r w:rsidR="00FE6B8B" w:rsidRPr="00A035D0">
        <w:t xml:space="preserve"> </w:t>
      </w:r>
      <w:r w:rsidR="0087402A" w:rsidRPr="00A035D0">
        <w:t>Series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–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Strengthening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Interventions</w:t>
      </w:r>
      <w:r w:rsidR="00FE6B8B" w:rsidRPr="00A035D0">
        <w:t xml:space="preserve"> </w:t>
      </w:r>
      <w:r w:rsidR="0087402A" w:rsidRPr="00A035D0">
        <w:t>(SSI)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Modified</w:t>
      </w:r>
      <w:r w:rsidR="00FE6B8B" w:rsidRPr="00A035D0">
        <w:t xml:space="preserve"> </w:t>
      </w:r>
      <w:r w:rsidR="0087402A" w:rsidRPr="00A035D0">
        <w:t>Conditional</w:t>
      </w:r>
      <w:r w:rsidR="00FE6B8B" w:rsidRPr="00A035D0">
        <w:t xml:space="preserve"> </w:t>
      </w:r>
      <w:r w:rsidR="0087402A" w:rsidRPr="00A035D0">
        <w:t>Cash</w:t>
      </w:r>
      <w:r w:rsidR="00FE6B8B" w:rsidRPr="00A035D0">
        <w:t xml:space="preserve"> </w:t>
      </w:r>
      <w:r w:rsidR="0087402A" w:rsidRPr="00A035D0">
        <w:t>Transfer</w:t>
      </w:r>
      <w:r w:rsidR="00FE6B8B" w:rsidRPr="00A035D0">
        <w:t xml:space="preserve"> </w:t>
      </w:r>
      <w:r w:rsidR="0087402A" w:rsidRPr="00A035D0">
        <w:t>(MCCT)</w:t>
      </w:r>
      <w:r w:rsidR="00FE6B8B" w:rsidRPr="00A035D0">
        <w:t xml:space="preserve"> </w:t>
      </w:r>
      <w:r w:rsidR="0087402A" w:rsidRPr="00A035D0">
        <w:t>Beneficiaries.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Pantawid-MCCT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SSI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uplift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socio-economic</w:t>
      </w:r>
      <w:r w:rsidR="00FE6B8B" w:rsidRPr="00A035D0">
        <w:t xml:space="preserve"> </w:t>
      </w:r>
      <w:r w:rsidR="0087402A" w:rsidRPr="00A035D0">
        <w:t>status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MCCT</w:t>
      </w:r>
      <w:r w:rsidR="00FE6B8B" w:rsidRPr="00A035D0">
        <w:t xml:space="preserve"> </w:t>
      </w:r>
      <w:r w:rsidR="0087402A" w:rsidRPr="00A035D0">
        <w:t>beneficiaries.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included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cash-for-work</w:t>
      </w:r>
      <w:r w:rsidR="00FE6B8B" w:rsidRPr="00A035D0">
        <w:t xml:space="preserve"> </w:t>
      </w:r>
      <w:r w:rsidR="0087402A" w:rsidRPr="00A035D0">
        <w:t>(CFW)</w:t>
      </w:r>
      <w:r w:rsidR="00FE6B8B" w:rsidRPr="00A035D0">
        <w:t xml:space="preserve"> </w:t>
      </w:r>
      <w:r w:rsidR="0087402A" w:rsidRPr="00A035D0">
        <w:t>micro-enterprise/livelihood</w:t>
      </w:r>
      <w:r w:rsidR="00FE6B8B" w:rsidRPr="00A035D0">
        <w:t xml:space="preserve"> </w:t>
      </w:r>
      <w:r w:rsidR="0087402A" w:rsidRPr="00A035D0">
        <w:t>assistance,</w:t>
      </w:r>
      <w:r w:rsidR="00FE6B8B" w:rsidRPr="00A035D0">
        <w:t xml:space="preserve"> </w:t>
      </w:r>
      <w:r w:rsidR="0087402A" w:rsidRPr="00A035D0">
        <w:t>income-generating</w:t>
      </w:r>
      <w:r w:rsidR="00FE6B8B" w:rsidRPr="00A035D0">
        <w:t xml:space="preserve"> </w:t>
      </w:r>
      <w:r w:rsidR="0087402A" w:rsidRPr="00A035D0">
        <w:t>projects</w:t>
      </w:r>
      <w:r w:rsidR="00FE6B8B" w:rsidRPr="00A035D0">
        <w:t xml:space="preserve"> </w:t>
      </w:r>
      <w:r w:rsidR="0087402A" w:rsidRPr="00A035D0">
        <w:t>(IGPs)</w:t>
      </w:r>
      <w:r w:rsidR="00FE6B8B" w:rsidRPr="00A035D0">
        <w:t xml:space="preserve"> </w:t>
      </w:r>
      <w:r w:rsidR="0087402A" w:rsidRPr="00A035D0">
        <w:t>MCCT</w:t>
      </w:r>
      <w:r w:rsidR="00FE6B8B" w:rsidRPr="00A035D0">
        <w:t xml:space="preserve"> </w:t>
      </w:r>
      <w:r w:rsidR="0087402A" w:rsidRPr="00A035D0">
        <w:t>feeding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camp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SSI.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SSI</w:t>
      </w:r>
      <w:r w:rsidR="00FE6B8B" w:rsidRPr="00A035D0">
        <w:t xml:space="preserve"> </w:t>
      </w:r>
      <w:r w:rsidR="0087402A" w:rsidRPr="00A035D0">
        <w:t>covers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menu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protective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marginalized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disadvantaged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MCCT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particularly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Homeless</w:t>
      </w:r>
      <w:r w:rsidR="00FE6B8B" w:rsidRPr="00A035D0">
        <w:t xml:space="preserve"> </w:t>
      </w:r>
      <w:r w:rsidR="0087402A" w:rsidRPr="00A035D0">
        <w:t>Street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Street,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Need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beneficiaries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situations</w:t>
      </w:r>
      <w:r w:rsidR="00FE6B8B" w:rsidRPr="00A035D0">
        <w:t xml:space="preserve"> </w:t>
      </w:r>
      <w:r w:rsidR="0087402A" w:rsidRPr="00A035D0">
        <w:t>along</w:t>
      </w:r>
      <w:r w:rsidR="00FE6B8B" w:rsidRPr="00A035D0">
        <w:t xml:space="preserve"> </w:t>
      </w:r>
      <w:r w:rsidR="0087402A" w:rsidRPr="00A035D0">
        <w:t>health,</w:t>
      </w:r>
      <w:r w:rsidR="00FE6B8B" w:rsidRPr="00A035D0">
        <w:t xml:space="preserve"> </w:t>
      </w:r>
      <w:r w:rsidR="0087402A" w:rsidRPr="00A035D0">
        <w:t>sanitation,</w:t>
      </w:r>
      <w:r w:rsidR="00FE6B8B" w:rsidRPr="00A035D0">
        <w:t xml:space="preserve"> </w:t>
      </w:r>
      <w:r w:rsidR="0087402A" w:rsidRPr="00A035D0">
        <w:t>education</w:t>
      </w:r>
      <w:r w:rsidR="00FE6B8B" w:rsidRPr="00A035D0">
        <w:t xml:space="preserve"> </w:t>
      </w:r>
      <w:r w:rsidR="0087402A" w:rsidRPr="00A035D0">
        <w:t>livelihood,</w:t>
      </w:r>
      <w:r w:rsidR="00FE6B8B" w:rsidRPr="00A035D0">
        <w:t xml:space="preserve"> </w:t>
      </w:r>
      <w:r w:rsidR="0087402A" w:rsidRPr="00A035D0">
        <w:t>capability</w:t>
      </w:r>
      <w:r w:rsidR="00FE6B8B" w:rsidRPr="00A035D0">
        <w:t xml:space="preserve"> </w:t>
      </w:r>
      <w:r w:rsidR="0087402A" w:rsidRPr="00A035D0">
        <w:t>building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interventions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complement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quality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life.</w:t>
      </w:r>
    </w:p>
    <w:p w14:paraId="12A073D3" w14:textId="77777777" w:rsidR="00FE6B8B" w:rsidRPr="00A035D0" w:rsidRDefault="00602998" w:rsidP="00602998">
      <w:pPr>
        <w:pStyle w:val="SingleTxtG"/>
      </w:pPr>
      <w:r w:rsidRPr="00A035D0">
        <w:tab/>
      </w:r>
      <w:r w:rsidR="0087402A" w:rsidRPr="00A035D0">
        <w:t>4.</w:t>
      </w:r>
      <w:r w:rsidR="0087402A" w:rsidRPr="00A035D0">
        <w:tab/>
        <w:t>Bills</w:t>
      </w:r>
      <w:r w:rsidR="00FE6B8B" w:rsidRPr="00A035D0">
        <w:t xml:space="preserve"> </w:t>
      </w:r>
      <w:r w:rsidR="0087402A" w:rsidRPr="00A035D0">
        <w:t>concerning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consistently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taken</w:t>
      </w:r>
      <w:r w:rsidR="00FE6B8B" w:rsidRPr="00A035D0">
        <w:t xml:space="preserve"> </w:t>
      </w:r>
      <w:r w:rsidR="0087402A" w:rsidRPr="00A035D0">
        <w:t>up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Representatives.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15th</w:t>
      </w:r>
      <w:r w:rsidR="00FE6B8B" w:rsidRPr="00A035D0">
        <w:t xml:space="preserve"> </w:t>
      </w:r>
      <w:r w:rsidR="0087402A" w:rsidRPr="00A035D0">
        <w:t>Congress,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3317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5627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“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” </w:t>
      </w:r>
      <w:r w:rsidR="0087402A" w:rsidRPr="00A035D0">
        <w:t>mandating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establishment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mechanism</w:t>
      </w:r>
      <w:r w:rsidR="00FE6B8B" w:rsidRPr="00A035D0">
        <w:t xml:space="preserve"> </w:t>
      </w:r>
      <w:r w:rsidR="0087402A" w:rsidRPr="00A035D0">
        <w:t>preventing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occurrence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internal</w:t>
      </w:r>
      <w:r w:rsidR="00FE6B8B" w:rsidRPr="00A035D0">
        <w:t xml:space="preserve"> </w:t>
      </w:r>
      <w:r w:rsidR="0087402A" w:rsidRPr="00A035D0">
        <w:t>displacement,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persons,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continuing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resettlement,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others,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passed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Houses.</w:t>
      </w:r>
      <w:r w:rsidR="00FE6B8B" w:rsidRPr="00A035D0">
        <w:t xml:space="preserve"> </w:t>
      </w:r>
      <w:r w:rsidR="0087402A" w:rsidRPr="00A035D0">
        <w:t>However,</w:t>
      </w:r>
      <w:r w:rsidR="00FE6B8B" w:rsidRPr="00A035D0">
        <w:t xml:space="preserve"> </w:t>
      </w:r>
      <w:r w:rsidR="0087402A" w:rsidRPr="00A035D0">
        <w:t>then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Aquino,</w:t>
      </w:r>
      <w:r w:rsidR="00FE6B8B" w:rsidRPr="00A035D0">
        <w:t xml:space="preserve"> </w:t>
      </w:r>
      <w:r w:rsidR="0087402A" w:rsidRPr="00A035D0">
        <w:t>vetoed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objecting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allowing</w:t>
      </w:r>
      <w:r w:rsidR="00FE6B8B" w:rsidRPr="00A035D0">
        <w:t xml:space="preserve"> </w:t>
      </w:r>
      <w:r w:rsidR="0087402A" w:rsidRPr="00A035D0">
        <w:t>IDPs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claim</w:t>
      </w:r>
      <w:r w:rsidR="00FE6B8B" w:rsidRPr="00A035D0">
        <w:t xml:space="preserve"> </w:t>
      </w:r>
      <w:r w:rsidR="0087402A" w:rsidRPr="00A035D0">
        <w:t>financial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open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door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slew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claims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goes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‘</w:t>
      </w:r>
      <w:r w:rsidR="0087402A" w:rsidRPr="00A035D0">
        <w:t>non-suability</w:t>
      </w:r>
      <w:r w:rsidR="00FE6B8B" w:rsidRPr="00A035D0">
        <w:t xml:space="preserve">’ </w:t>
      </w:r>
      <w:r w:rsidR="0087402A" w:rsidRPr="00A035D0">
        <w:t>character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”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damages</w:t>
      </w:r>
      <w:r w:rsidR="00FE6B8B" w:rsidRPr="00A035D0">
        <w:t xml:space="preserve"> “</w:t>
      </w:r>
      <w:r w:rsidR="0087402A" w:rsidRPr="00A035D0">
        <w:t>unlawfully</w:t>
      </w:r>
      <w:r w:rsidR="00FE6B8B" w:rsidRPr="00A035D0">
        <w:t xml:space="preserve"> </w:t>
      </w:r>
      <w:r w:rsidR="0087402A" w:rsidRPr="00A035D0">
        <w:t>differentiates</w:t>
      </w:r>
      <w:r w:rsidR="00FE6B8B" w:rsidRPr="00A035D0">
        <w:t xml:space="preserve"> </w:t>
      </w:r>
      <w:r w:rsidR="0087402A" w:rsidRPr="00A035D0">
        <w:t>between</w:t>
      </w:r>
      <w:r w:rsidR="00FE6B8B" w:rsidRPr="00A035D0">
        <w:t xml:space="preserve"> </w:t>
      </w:r>
      <w:r w:rsidR="0087402A" w:rsidRPr="00A035D0">
        <w:t>displacements</w:t>
      </w:r>
      <w:r w:rsidR="00FE6B8B" w:rsidRPr="00A035D0">
        <w:t xml:space="preserve"> </w:t>
      </w:r>
      <w:r w:rsidR="0087402A" w:rsidRPr="00A035D0">
        <w:t>caused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agents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entities.</w:t>
      </w:r>
      <w:r w:rsidR="00FE6B8B" w:rsidRPr="00A035D0">
        <w:t xml:space="preserve">” </w:t>
      </w:r>
      <w:r w:rsidR="0087402A" w:rsidRPr="00A035D0">
        <w:t>Then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Aquino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raised</w:t>
      </w:r>
      <w:r w:rsidR="00FE6B8B" w:rsidRPr="00A035D0">
        <w:t xml:space="preserve"> </w:t>
      </w:r>
      <w:r w:rsidR="0087402A" w:rsidRPr="00A035D0">
        <w:t>concerns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constitutionality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additional</w:t>
      </w:r>
      <w:r w:rsidR="00FE6B8B" w:rsidRPr="00A035D0">
        <w:t xml:space="preserve"> </w:t>
      </w:r>
      <w:r w:rsidR="0087402A" w:rsidRPr="00A035D0">
        <w:t>powers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(CHR),</w:t>
      </w:r>
      <w:r w:rsidR="00FE6B8B" w:rsidRPr="00A035D0">
        <w:t xml:space="preserve"> </w:t>
      </w:r>
      <w:r w:rsidR="0087402A" w:rsidRPr="00A035D0">
        <w:t>saying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power</w:t>
      </w:r>
      <w:r w:rsidR="00FE6B8B" w:rsidRPr="00A035D0">
        <w:t xml:space="preserve"> </w:t>
      </w:r>
      <w:r w:rsidR="0087402A" w:rsidRPr="00A035D0">
        <w:t>granted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determine</w:t>
      </w:r>
      <w:r w:rsidR="00FE6B8B" w:rsidRPr="00A035D0">
        <w:t xml:space="preserve"> </w:t>
      </w:r>
      <w:r w:rsidR="0087402A" w:rsidRPr="00A035D0">
        <w:t>damages</w:t>
      </w:r>
      <w:r w:rsidR="00FE6B8B" w:rsidRPr="00A035D0">
        <w:t xml:space="preserve"> </w:t>
      </w:r>
      <w:r w:rsidR="0087402A" w:rsidRPr="00A035D0">
        <w:t>incurred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IDPs</w:t>
      </w:r>
      <w:r w:rsidR="00FE6B8B" w:rsidRPr="00A035D0">
        <w:t xml:space="preserve"> </w:t>
      </w:r>
      <w:r w:rsidR="0087402A" w:rsidRPr="00A035D0">
        <w:t>impinges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judiciary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exclusive</w:t>
      </w:r>
      <w:r w:rsidR="00FE6B8B" w:rsidRPr="00A035D0">
        <w:t xml:space="preserve"> </w:t>
      </w:r>
      <w:r w:rsidR="0087402A" w:rsidRPr="00A035D0">
        <w:t>power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facilitate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award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claims.</w:t>
      </w:r>
    </w:p>
    <w:p w14:paraId="080952CD" w14:textId="3B32457C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5.</w:t>
      </w:r>
      <w:r w:rsidR="0087402A" w:rsidRPr="00A035D0">
        <w:tab/>
        <w:t>Modified</w:t>
      </w:r>
      <w:r w:rsidR="00FE6B8B" w:rsidRPr="00A035D0">
        <w:t xml:space="preserve"> </w:t>
      </w:r>
      <w:r w:rsidR="0087402A" w:rsidRPr="00A035D0">
        <w:t>bills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16th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17th</w:t>
      </w:r>
      <w:r w:rsidR="00FE6B8B" w:rsidRPr="00A035D0">
        <w:t xml:space="preserve"> </w:t>
      </w:r>
      <w:r w:rsidR="0087402A" w:rsidRPr="00A035D0">
        <w:t>Congress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refiled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present</w:t>
      </w:r>
      <w:r w:rsidR="00FE6B8B" w:rsidRPr="00A035D0">
        <w:t xml:space="preserve"> </w:t>
      </w:r>
      <w:r w:rsidR="0087402A" w:rsidRPr="00A035D0">
        <w:t>18th</w:t>
      </w:r>
      <w:r w:rsidR="00FE6B8B" w:rsidRPr="00A035D0">
        <w:t xml:space="preserve"> </w:t>
      </w:r>
      <w:r w:rsidR="0087402A" w:rsidRPr="00A035D0">
        <w:t>Congress.</w:t>
      </w:r>
    </w:p>
    <w:p w14:paraId="68BA2E74" w14:textId="48A0243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Another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Kapit-Bisig</w:t>
      </w:r>
      <w:r w:rsidR="00FE6B8B" w:rsidRPr="00A035D0">
        <w:t xml:space="preserve"> </w:t>
      </w:r>
      <w:r w:rsidR="0087402A" w:rsidRPr="00A035D0">
        <w:t>Laban</w:t>
      </w:r>
      <w:r w:rsidR="00FE6B8B" w:rsidRPr="00A035D0">
        <w:t xml:space="preserve"> </w:t>
      </w:r>
      <w:r w:rsidR="0087402A" w:rsidRPr="00A035D0">
        <w:t>sa</w:t>
      </w:r>
      <w:r w:rsidR="00FE6B8B" w:rsidRPr="00A035D0">
        <w:t xml:space="preserve"> </w:t>
      </w:r>
      <w:r w:rsidR="0087402A" w:rsidRPr="00A035D0">
        <w:t>Kahirapan</w:t>
      </w:r>
      <w:r w:rsidR="00FE6B8B" w:rsidRPr="00A035D0">
        <w:t xml:space="preserve"> </w:t>
      </w:r>
      <w:r w:rsidR="0087402A" w:rsidRPr="00A035D0">
        <w:t>(Linking-Arms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Poverty)</w:t>
      </w:r>
      <w:r w:rsidR="00FE6B8B" w:rsidRPr="00A035D0">
        <w:t xml:space="preserve"> </w:t>
      </w:r>
      <w:r w:rsidR="0087402A" w:rsidRPr="00A035D0">
        <w:t>–</w:t>
      </w:r>
      <w:r w:rsidR="00FE6B8B" w:rsidRPr="00A035D0">
        <w:t xml:space="preserve"> </w:t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Integrated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(KALAHI-CIDSS).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driven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seeking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empower</w:t>
      </w:r>
      <w:r w:rsidR="00FE6B8B" w:rsidRPr="00A035D0">
        <w:t xml:space="preserve"> </w:t>
      </w:r>
      <w:r w:rsidR="0087402A" w:rsidRPr="00A035D0">
        <w:t>communities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enhanced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governance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projects.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aimed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reducing</w:t>
      </w:r>
      <w:r w:rsidR="00FE6B8B" w:rsidRPr="00A035D0">
        <w:t xml:space="preserve"> </w:t>
      </w:r>
      <w:r w:rsidR="0087402A" w:rsidRPr="00A035D0">
        <w:t>poverty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empowering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poor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meaningful</w:t>
      </w:r>
      <w:r w:rsidR="00FE6B8B" w:rsidRPr="00A035D0">
        <w:t xml:space="preserve"> </w:t>
      </w:r>
      <w:r w:rsidR="0087402A" w:rsidRPr="00A035D0">
        <w:t>involvement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make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initiatives</w:t>
      </w:r>
      <w:r w:rsidR="00FE6B8B" w:rsidRPr="00A035D0">
        <w:t xml:space="preserve"> </w:t>
      </w:r>
      <w:r w:rsidR="0087402A" w:rsidRPr="00A035D0">
        <w:t>responsive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needs.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KALAHI-CIDSS</w:t>
      </w:r>
      <w:r w:rsidR="00FE6B8B" w:rsidRPr="00A035D0">
        <w:t xml:space="preserve"> </w:t>
      </w:r>
      <w:r w:rsidR="0087402A" w:rsidRPr="00A035D0">
        <w:t>targets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poor</w:t>
      </w:r>
      <w:r w:rsidR="00FE6B8B" w:rsidRPr="00A035D0">
        <w:t xml:space="preserve"> </w:t>
      </w:r>
      <w:r w:rsidR="0087402A" w:rsidRPr="00A035D0">
        <w:t>municipalities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identified</w:t>
      </w:r>
      <w:r w:rsidR="00FE6B8B" w:rsidRPr="00A035D0">
        <w:t xml:space="preserve"> </w:t>
      </w:r>
      <w:r w:rsidR="0087402A" w:rsidRPr="00A035D0">
        <w:t>poorest</w:t>
      </w:r>
      <w:r w:rsidR="00FE6B8B" w:rsidRPr="00A035D0">
        <w:t xml:space="preserve"> </w:t>
      </w:r>
      <w:r w:rsidR="0087402A" w:rsidRPr="00A035D0">
        <w:t>provinces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constitute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poorest</w:t>
      </w:r>
      <w:r w:rsidR="00FE6B8B" w:rsidRPr="00A035D0">
        <w:t xml:space="preserve"> </w:t>
      </w:r>
      <w:r w:rsidR="0087402A" w:rsidRPr="00A035D0">
        <w:t>25%</w:t>
      </w:r>
      <w:r w:rsidR="00FE6B8B" w:rsidRPr="00A035D0">
        <w:t xml:space="preserve"> </w:t>
      </w:r>
      <w:r w:rsidR="0087402A" w:rsidRPr="00A035D0">
        <w:t>municipalities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42</w:t>
      </w:r>
      <w:r w:rsidR="00FE6B8B" w:rsidRPr="00A035D0">
        <w:t xml:space="preserve"> </w:t>
      </w:r>
      <w:r w:rsidR="0087402A" w:rsidRPr="00A035D0">
        <w:t>poorest</w:t>
      </w:r>
      <w:r w:rsidR="00FE6B8B" w:rsidRPr="00A035D0">
        <w:t xml:space="preserve"> </w:t>
      </w:r>
      <w:r w:rsidR="0087402A" w:rsidRPr="00A035D0">
        <w:t>provinces.</w:t>
      </w:r>
    </w:p>
    <w:p w14:paraId="499509E2" w14:textId="5FAE9BE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Aligned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KALAHI-CIDSS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KALAHI-Comprehensive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Integrated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PAyapa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MAsaganang</w:t>
      </w:r>
      <w:r w:rsidR="00FE6B8B" w:rsidRPr="00A035D0">
        <w:t xml:space="preserve"> </w:t>
      </w:r>
      <w:r w:rsidR="0087402A" w:rsidRPr="00A035D0">
        <w:t>PamayaNAn</w:t>
      </w:r>
      <w:r w:rsidR="00FE6B8B" w:rsidRPr="00A035D0">
        <w:t xml:space="preserve"> </w:t>
      </w:r>
      <w:r w:rsidR="0087402A" w:rsidRPr="00A035D0">
        <w:t>(Peaceful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Flourishing</w:t>
      </w:r>
      <w:r w:rsidR="00FE6B8B" w:rsidRPr="00A035D0">
        <w:t xml:space="preserve"> </w:t>
      </w:r>
      <w:r w:rsidR="0087402A" w:rsidRPr="00A035D0">
        <w:t>Society)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KC</w:t>
      </w:r>
      <w:r w:rsidR="00FE6B8B" w:rsidRPr="00A035D0">
        <w:t xml:space="preserve"> </w:t>
      </w:r>
      <w:r w:rsidR="0087402A" w:rsidRPr="00A035D0">
        <w:t>PAMANA.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latter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component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KALAHI-CIDSS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aims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access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conflict-affected</w:t>
      </w:r>
      <w:r w:rsidR="00FE6B8B" w:rsidRPr="00A035D0">
        <w:t xml:space="preserve"> </w:t>
      </w:r>
      <w:r w:rsidR="0087402A" w:rsidRPr="00A035D0">
        <w:t>barangays</w:t>
      </w:r>
      <w:r w:rsidR="00FE6B8B" w:rsidRPr="00A035D0">
        <w:t xml:space="preserve"> </w:t>
      </w:r>
      <w:r w:rsidR="0087402A" w:rsidRPr="00A035D0">
        <w:t>(CABs)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residents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quality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responsive,</w:t>
      </w:r>
      <w:r w:rsidR="00FE6B8B" w:rsidRPr="00A035D0">
        <w:t xml:space="preserve"> </w:t>
      </w:r>
      <w:r w:rsidR="0087402A" w:rsidRPr="00A035D0">
        <w:t>transparent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accountable</w:t>
      </w:r>
      <w:r w:rsidR="00FE6B8B" w:rsidRPr="00A035D0">
        <w:t xml:space="preserve"> </w:t>
      </w:r>
      <w:r w:rsidR="0087402A" w:rsidRPr="00A035D0">
        <w:t>government.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run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years.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result,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2011</w:t>
      </w:r>
      <w:r w:rsidR="00FE6B8B" w:rsidRPr="00A035D0">
        <w:t>–</w:t>
      </w:r>
      <w:r w:rsidR="0087402A" w:rsidRPr="00A035D0">
        <w:t>2013,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KC</w:t>
      </w:r>
      <w:r w:rsidR="00FE6B8B" w:rsidRPr="00A035D0">
        <w:t xml:space="preserve"> </w:t>
      </w:r>
      <w:r w:rsidR="0087402A" w:rsidRPr="00A035D0">
        <w:t>PAMANA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implemented</w:t>
      </w:r>
      <w:r w:rsidR="00FE6B8B" w:rsidRPr="00A035D0">
        <w:t xml:space="preserve"> </w:t>
      </w:r>
      <w:r w:rsidR="0087402A" w:rsidRPr="00A035D0">
        <w:t>487</w:t>
      </w:r>
      <w:r w:rsidR="00FE6B8B" w:rsidRPr="00A035D0">
        <w:t xml:space="preserve"> </w:t>
      </w:r>
      <w:r w:rsidR="0087402A" w:rsidRPr="00A035D0">
        <w:t>sub-projects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99%,</w:t>
      </w:r>
      <w:r w:rsidR="00FE6B8B" w:rsidRPr="00A035D0">
        <w:t xml:space="preserve"> </w:t>
      </w:r>
      <w:r w:rsidR="0087402A" w:rsidRPr="00A035D0">
        <w:t>93%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26%</w:t>
      </w:r>
      <w:r w:rsidR="00FE6B8B" w:rsidRPr="00A035D0">
        <w:t xml:space="preserve"> </w:t>
      </w:r>
      <w:r w:rsidR="0087402A" w:rsidRPr="00A035D0">
        <w:t>percentage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accomplishment</w:t>
      </w:r>
      <w:r w:rsidR="00FE6B8B" w:rsidRPr="00A035D0">
        <w:t xml:space="preserve"> </w:t>
      </w:r>
      <w:r w:rsidR="0087402A" w:rsidRPr="00A035D0">
        <w:t>across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years.</w:t>
      </w:r>
      <w:r w:rsidR="00FE6B8B" w:rsidRPr="00A035D0">
        <w:t xml:space="preserve"> </w:t>
      </w:r>
      <w:r w:rsidR="0087402A" w:rsidRPr="00A035D0">
        <w:t>Corollary,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Php179,332,894.98</w:t>
      </w:r>
      <w:r w:rsidR="00FE6B8B" w:rsidRPr="00A035D0">
        <w:t xml:space="preserve"> </w:t>
      </w:r>
      <w:r w:rsidR="0087402A" w:rsidRPr="00A035D0">
        <w:t>sub-project</w:t>
      </w:r>
      <w:r w:rsidR="00FE6B8B" w:rsidRPr="00A035D0">
        <w:t xml:space="preserve"> </w:t>
      </w:r>
      <w:r w:rsidR="0087402A" w:rsidRPr="00A035D0">
        <w:t>funds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utilized</w:t>
      </w:r>
      <w:r w:rsidR="00FE6B8B" w:rsidRPr="00A035D0">
        <w:t xml:space="preserve"> </w:t>
      </w:r>
      <w:r w:rsidR="0087402A" w:rsidRPr="00A035D0">
        <w:t>throughout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3</w:t>
      </w:r>
      <w:r w:rsidR="00FE6B8B" w:rsidRPr="00A035D0">
        <w:t xml:space="preserve"> </w:t>
      </w:r>
      <w:r w:rsidR="0087402A" w:rsidRPr="00A035D0">
        <w:t>years.</w:t>
      </w:r>
    </w:p>
    <w:p w14:paraId="75A8F299" w14:textId="02BE758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160.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Construction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shelters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initiated.</w:t>
      </w:r>
      <w:r w:rsidR="00FE6B8B" w:rsidRPr="00A035D0">
        <w:t xml:space="preserve"> </w:t>
      </w:r>
      <w:r w:rsidR="0087402A" w:rsidRPr="00A035D0">
        <w:t>Four</w:t>
      </w:r>
      <w:r w:rsidR="00FE6B8B" w:rsidRPr="00A035D0">
        <w:t xml:space="preserve"> </w:t>
      </w:r>
      <w:r w:rsidR="0087402A" w:rsidRPr="00A035D0">
        <w:t>hundred</w:t>
      </w:r>
      <w:r w:rsidR="00FE6B8B" w:rsidRPr="00A035D0">
        <w:t xml:space="preserve"> </w:t>
      </w:r>
      <w:r w:rsidR="0087402A" w:rsidRPr="00A035D0">
        <w:t>seventy-five</w:t>
      </w:r>
      <w:r w:rsidR="00FE6B8B" w:rsidRPr="00A035D0">
        <w:t xml:space="preserve"> </w:t>
      </w:r>
      <w:r w:rsidR="0087402A" w:rsidRPr="00A035D0">
        <w:t>(475)</w:t>
      </w:r>
      <w:r w:rsidR="00FE6B8B" w:rsidRPr="00A035D0">
        <w:t xml:space="preserve"> </w:t>
      </w:r>
      <w:r w:rsidR="0087402A" w:rsidRPr="00A035D0">
        <w:t>core</w:t>
      </w:r>
      <w:r w:rsidR="00FE6B8B" w:rsidRPr="00A035D0">
        <w:t xml:space="preserve"> </w:t>
      </w:r>
      <w:r w:rsidR="0087402A" w:rsidRPr="00A035D0">
        <w:t>shelters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constructed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IDPs.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shelters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constructed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thirteen</w:t>
      </w:r>
      <w:r w:rsidR="00FE6B8B" w:rsidRPr="00A035D0">
        <w:t xml:space="preserve"> </w:t>
      </w:r>
      <w:r w:rsidR="0087402A" w:rsidRPr="00A035D0">
        <w:t>(13)</w:t>
      </w:r>
      <w:r w:rsidR="00FE6B8B" w:rsidRPr="00A035D0">
        <w:t xml:space="preserve"> </w:t>
      </w:r>
      <w:r w:rsidR="0087402A" w:rsidRPr="00A035D0">
        <w:t>barangays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Mindanao.</w:t>
      </w:r>
    </w:p>
    <w:p w14:paraId="6D6FCD11" w14:textId="0914EC6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place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natural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human-induced</w:t>
      </w:r>
      <w:r w:rsidR="00FE6B8B" w:rsidRPr="00A035D0">
        <w:t xml:space="preserve"> </w:t>
      </w:r>
      <w:r w:rsidR="0087402A" w:rsidRPr="00A035D0">
        <w:t>disaster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emergency.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Cash/Food-For-Work</w:t>
      </w:r>
      <w:r w:rsidR="00FE6B8B" w:rsidRPr="00A035D0">
        <w:t xml:space="preserve"> </w:t>
      </w:r>
      <w:r w:rsidR="0087402A" w:rsidRPr="00A035D0">
        <w:t>Project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component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PAMANA</w:t>
      </w:r>
      <w:r w:rsidR="00FE6B8B" w:rsidRPr="00A035D0">
        <w:t xml:space="preserve"> </w:t>
      </w:r>
      <w:r w:rsidR="0087402A" w:rsidRPr="00A035D0">
        <w:t>program.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short-term</w:t>
      </w:r>
      <w:r w:rsidR="00FE6B8B" w:rsidRPr="00A035D0">
        <w:t xml:space="preserve"> </w:t>
      </w:r>
      <w:r w:rsidR="0087402A" w:rsidRPr="00A035D0">
        <w:t>intervention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aimed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providing</w:t>
      </w:r>
      <w:r w:rsidR="00FE6B8B" w:rsidRPr="00A035D0">
        <w:t xml:space="preserve"> </w:t>
      </w:r>
      <w:r w:rsidR="0087402A" w:rsidRPr="00A035D0">
        <w:t>temporary</w:t>
      </w:r>
      <w:r w:rsidR="00FE6B8B" w:rsidRPr="00A035D0">
        <w:t xml:space="preserve"> </w:t>
      </w:r>
      <w:r w:rsidR="0087402A" w:rsidRPr="00A035D0">
        <w:t>employment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distressed/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individuals,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men,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times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disaster.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wage</w:t>
      </w:r>
      <w:r w:rsidR="00FE6B8B" w:rsidRPr="00A035D0">
        <w:t xml:space="preserve"> </w:t>
      </w:r>
      <w:r w:rsidR="0087402A" w:rsidRPr="00A035D0">
        <w:t>they</w:t>
      </w:r>
      <w:r w:rsidR="00FE6B8B" w:rsidRPr="00A035D0">
        <w:t xml:space="preserve"> </w:t>
      </w:r>
      <w:r w:rsidR="0087402A" w:rsidRPr="00A035D0">
        <w:t>receive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work</w:t>
      </w:r>
      <w:r w:rsidR="00FE6B8B" w:rsidRPr="00A035D0">
        <w:t xml:space="preserve"> </w:t>
      </w:r>
      <w:r w:rsidR="0087402A" w:rsidRPr="00A035D0">
        <w:t>rendered</w:t>
      </w:r>
      <w:r w:rsidR="00FE6B8B" w:rsidRPr="00A035D0">
        <w:t xml:space="preserve"> </w:t>
      </w:r>
      <w:r w:rsidR="0087402A" w:rsidRPr="00A035D0">
        <w:t>augments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basic</w:t>
      </w:r>
      <w:r w:rsidR="00FE6B8B" w:rsidRPr="00A035D0">
        <w:t xml:space="preserve"> </w:t>
      </w:r>
      <w:r w:rsidR="0087402A" w:rsidRPr="00A035D0">
        <w:t>necessities.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livelihood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productivity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projects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construction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repair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small</w:t>
      </w:r>
      <w:r w:rsidR="00FE6B8B" w:rsidRPr="00A035D0">
        <w:t xml:space="preserve"> </w:t>
      </w:r>
      <w:r w:rsidR="0087402A" w:rsidRPr="00A035D0">
        <w:t>infrastructure</w:t>
      </w:r>
      <w:r w:rsidR="00FE6B8B" w:rsidRPr="00A035D0">
        <w:t xml:space="preserve"> </w:t>
      </w:r>
      <w:r w:rsidR="0087402A" w:rsidRPr="00A035D0">
        <w:t>facilities,</w:t>
      </w:r>
      <w:r w:rsidR="00FE6B8B" w:rsidRPr="00A035D0">
        <w:t xml:space="preserve"> </w:t>
      </w:r>
      <w:r w:rsidR="0087402A" w:rsidRPr="00A035D0">
        <w:t>reconstruction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rehabilitation</w:t>
      </w:r>
      <w:r w:rsidR="00FE6B8B" w:rsidRPr="00A035D0">
        <w:t xml:space="preserve"> </w:t>
      </w:r>
      <w:r w:rsidR="0087402A" w:rsidRPr="00A035D0">
        <w:t>projects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activities,</w:t>
      </w:r>
      <w:r w:rsidR="00FE6B8B" w:rsidRPr="00A035D0">
        <w:t xml:space="preserve"> </w:t>
      </w:r>
      <w:r w:rsidR="0087402A" w:rsidRPr="00A035D0">
        <w:t>disaster</w:t>
      </w:r>
      <w:r w:rsidR="00FE6B8B" w:rsidRPr="00A035D0">
        <w:t xml:space="preserve"> </w:t>
      </w:r>
      <w:r w:rsidR="0087402A" w:rsidRPr="00A035D0">
        <w:t>preparedness,</w:t>
      </w:r>
      <w:r w:rsidR="00FE6B8B" w:rsidRPr="00A035D0">
        <w:t xml:space="preserve"> </w:t>
      </w:r>
      <w:r w:rsidR="0087402A" w:rsidRPr="00A035D0">
        <w:t>mitigation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environment</w:t>
      </w:r>
      <w:r w:rsidR="00FE6B8B" w:rsidRPr="00A035D0">
        <w:t xml:space="preserve"> </w:t>
      </w:r>
      <w:r w:rsidR="0087402A" w:rsidRPr="00A035D0">
        <w:t>related</w:t>
      </w:r>
      <w:r w:rsidR="00FE6B8B" w:rsidRPr="00A035D0">
        <w:t xml:space="preserve"> </w:t>
      </w:r>
      <w:r w:rsidR="0087402A" w:rsidRPr="00A035D0">
        <w:t>projects,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hunger</w:t>
      </w:r>
      <w:r w:rsidR="00FE6B8B" w:rsidRPr="00A035D0">
        <w:t xml:space="preserve"> </w:t>
      </w:r>
      <w:r w:rsidR="0087402A" w:rsidRPr="00A035D0">
        <w:t>mitigation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projects.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date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216,321</w:t>
      </w:r>
      <w:r w:rsidR="00FE6B8B" w:rsidRPr="00A035D0">
        <w:t xml:space="preserve"> </w:t>
      </w:r>
      <w:r w:rsidR="0087402A" w:rsidRPr="00A035D0">
        <w:t>IDPs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served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program.</w:t>
      </w:r>
    </w:p>
    <w:p w14:paraId="7357F4B4" w14:textId="02977FF8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Added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emergency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services,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relief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disaster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typhoon,</w:t>
      </w:r>
      <w:r w:rsidR="00FE6B8B" w:rsidRPr="00A035D0">
        <w:t xml:space="preserve"> </w:t>
      </w:r>
      <w:r w:rsidR="0087402A" w:rsidRPr="00A035D0">
        <w:t>flooding,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conflict,</w:t>
      </w:r>
      <w:r w:rsidR="00FE6B8B" w:rsidRPr="00A035D0">
        <w:t xml:space="preserve"> </w:t>
      </w:r>
      <w:r w:rsidR="0087402A" w:rsidRPr="00A035D0">
        <w:t>fire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displacement.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food,</w:t>
      </w:r>
      <w:r w:rsidR="00FE6B8B" w:rsidRPr="00A035D0">
        <w:t xml:space="preserve"> </w:t>
      </w:r>
      <w:r w:rsidR="0087402A" w:rsidRPr="00A035D0">
        <w:t>psychosocial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resource</w:t>
      </w:r>
      <w:r w:rsidR="00FE6B8B" w:rsidRPr="00A035D0">
        <w:t xml:space="preserve"> </w:t>
      </w:r>
      <w:r w:rsidR="0087402A" w:rsidRPr="00A035D0">
        <w:t>augmentation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transportation,</w:t>
      </w:r>
      <w:r w:rsidR="00FE6B8B" w:rsidRPr="00A035D0">
        <w:t xml:space="preserve"> </w:t>
      </w:r>
      <w:r w:rsidR="0087402A" w:rsidRPr="00A035D0">
        <w:t>hospitalization,</w:t>
      </w:r>
      <w:r w:rsidR="00FE6B8B" w:rsidRPr="00A035D0">
        <w:t xml:space="preserve"> </w:t>
      </w:r>
      <w:r w:rsidR="0087402A" w:rsidRPr="00A035D0">
        <w:t>medicines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shelter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totally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partially</w:t>
      </w:r>
      <w:r w:rsidR="00FE6B8B" w:rsidRPr="00A035D0">
        <w:t xml:space="preserve"> </w:t>
      </w:r>
      <w:r w:rsidR="0087402A" w:rsidRPr="00A035D0">
        <w:t>damaged</w:t>
      </w:r>
      <w:r w:rsidR="00FE6B8B" w:rsidRPr="00A035D0">
        <w:t xml:space="preserve"> </w:t>
      </w:r>
      <w:r w:rsidR="0087402A" w:rsidRPr="00A035D0">
        <w:t>houses.</w:t>
      </w:r>
      <w:r w:rsidR="00FE6B8B" w:rsidRPr="00A035D0">
        <w:t xml:space="preserve"> </w:t>
      </w:r>
      <w:r w:rsidR="0087402A" w:rsidRPr="00A035D0">
        <w:rPr>
          <w:b/>
        </w:rPr>
        <w:t>From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January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to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September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2013</w:t>
      </w:r>
      <w:r w:rsidR="0087402A" w:rsidRPr="00A035D0">
        <w:t>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2,930,532</w:t>
      </w:r>
      <w:r w:rsidR="00FE6B8B" w:rsidRPr="00A035D0">
        <w:t xml:space="preserve"> </w:t>
      </w:r>
      <w:r w:rsidR="0087402A" w:rsidRPr="00A035D0">
        <w:t>individual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calamities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9</w:t>
      </w:r>
      <w:r w:rsidR="00FE6B8B" w:rsidRPr="00A035D0">
        <w:t xml:space="preserve"> </w:t>
      </w:r>
      <w:r w:rsidR="0087402A" w:rsidRPr="00A035D0">
        <w:t>typhoons</w:t>
      </w:r>
      <w:r w:rsidR="00FE6B8B" w:rsidRPr="00A035D0">
        <w:t xml:space="preserve"> </w:t>
      </w:r>
      <w:r w:rsidR="0087402A" w:rsidRPr="00A035D0">
        <w:t>(2013</w:t>
      </w:r>
      <w:r w:rsidR="00FE6B8B" w:rsidRPr="00A035D0">
        <w:t xml:space="preserve"> </w:t>
      </w:r>
      <w:r w:rsidR="0087402A" w:rsidRPr="00A035D0">
        <w:t>typhoon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names:</w:t>
      </w:r>
      <w:r w:rsidR="00FE6B8B" w:rsidRPr="00A035D0">
        <w:t xml:space="preserve"> </w:t>
      </w:r>
      <w:r w:rsidR="0087402A" w:rsidRPr="00A035D0">
        <w:t>Auring,</w:t>
      </w:r>
      <w:r w:rsidR="00FE6B8B" w:rsidRPr="00A035D0">
        <w:t xml:space="preserve"> </w:t>
      </w:r>
      <w:r w:rsidR="0087402A" w:rsidRPr="00A035D0">
        <w:t>Crising,</w:t>
      </w:r>
      <w:r w:rsidR="00FE6B8B" w:rsidRPr="00A035D0">
        <w:t xml:space="preserve"> </w:t>
      </w:r>
      <w:r w:rsidR="0087402A" w:rsidRPr="00A035D0">
        <w:t>Emong,</w:t>
      </w:r>
      <w:r w:rsidR="00FE6B8B" w:rsidRPr="00A035D0">
        <w:t xml:space="preserve"> </w:t>
      </w:r>
      <w:r w:rsidR="0087402A" w:rsidRPr="00A035D0">
        <w:t>Fabian,</w:t>
      </w:r>
      <w:r w:rsidR="00FE6B8B" w:rsidRPr="00A035D0">
        <w:t xml:space="preserve"> </w:t>
      </w:r>
      <w:r w:rsidR="0087402A" w:rsidRPr="00A035D0">
        <w:t>Gorio,</w:t>
      </w:r>
      <w:r w:rsidR="00FE6B8B" w:rsidRPr="00A035D0">
        <w:t xml:space="preserve"> </w:t>
      </w:r>
      <w:r w:rsidR="0087402A" w:rsidRPr="00A035D0">
        <w:t>Labuyo,</w:t>
      </w:r>
      <w:r w:rsidR="00FE6B8B" w:rsidRPr="00A035D0">
        <w:t xml:space="preserve"> </w:t>
      </w:r>
      <w:r w:rsidR="0087402A" w:rsidRPr="00A035D0">
        <w:t>Maring,</w:t>
      </w:r>
      <w:r w:rsidR="00FE6B8B" w:rsidRPr="00A035D0">
        <w:t xml:space="preserve"> </w:t>
      </w:r>
      <w:r w:rsidR="0087402A" w:rsidRPr="00A035D0">
        <w:t>Nando,</w:t>
      </w:r>
      <w:r w:rsidR="00FE6B8B" w:rsidRPr="00A035D0">
        <w:t xml:space="preserve"> </w:t>
      </w:r>
      <w:r w:rsidR="0087402A" w:rsidRPr="00A035D0">
        <w:t>Odette),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conflict,</w:t>
      </w:r>
      <w:r w:rsidR="00FE6B8B" w:rsidRPr="00A035D0">
        <w:t xml:space="preserve"> </w:t>
      </w:r>
      <w:r w:rsidR="0087402A" w:rsidRPr="00A035D0">
        <w:t>fire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displacement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Sabah.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regions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cost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Php198,987,993.00.</w:t>
      </w:r>
    </w:p>
    <w:p w14:paraId="27963867" w14:textId="3104074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addition,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implements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Supplementary</w:t>
      </w:r>
      <w:r w:rsidR="00FE6B8B" w:rsidRPr="00A035D0">
        <w:t xml:space="preserve"> </w:t>
      </w:r>
      <w:r w:rsidR="0087402A" w:rsidRPr="00A035D0">
        <w:t>Feeding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(SFP)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center-based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community-based</w:t>
      </w:r>
      <w:r w:rsidR="00FE6B8B" w:rsidRPr="00A035D0">
        <w:t xml:space="preserve"> </w:t>
      </w:r>
      <w:r w:rsidR="0087402A" w:rsidRPr="00A035D0">
        <w:t>services.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seeks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enhance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intake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aged</w:t>
      </w:r>
      <w:r w:rsidR="00FE6B8B" w:rsidRPr="00A035D0">
        <w:t xml:space="preserve"> </w:t>
      </w:r>
      <w:r w:rsidR="0087402A" w:rsidRPr="00A035D0">
        <w:t>3</w:t>
      </w:r>
      <w:r w:rsidR="00FE6B8B" w:rsidRPr="00A035D0">
        <w:t>–</w:t>
      </w:r>
      <w:r w:rsidR="0087402A" w:rsidRPr="00A035D0">
        <w:t>12.</w:t>
      </w:r>
      <w:r w:rsidR="00FE6B8B" w:rsidRPr="00A035D0">
        <w:t xml:space="preserve"> </w:t>
      </w:r>
      <w:r w:rsidR="0087402A" w:rsidRPr="00A035D0">
        <w:t>Supplementary</w:t>
      </w:r>
      <w:r w:rsidR="00FE6B8B" w:rsidRPr="00A035D0">
        <w:t xml:space="preserve"> </w:t>
      </w:r>
      <w:r w:rsidR="0087402A" w:rsidRPr="00A035D0">
        <w:t>food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provided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attending</w:t>
      </w:r>
      <w:r w:rsidR="00FE6B8B" w:rsidRPr="00A035D0">
        <w:t xml:space="preserve"> </w:t>
      </w:r>
      <w:r w:rsidR="0087402A" w:rsidRPr="00A035D0">
        <w:t>day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sessions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supervised</w:t>
      </w:r>
      <w:r w:rsidR="00FE6B8B" w:rsidRPr="00A035D0">
        <w:t xml:space="preserve"> </w:t>
      </w:r>
      <w:r w:rsidR="0087402A" w:rsidRPr="00A035D0">
        <w:t>neighborhood</w:t>
      </w:r>
      <w:r w:rsidR="00FE6B8B" w:rsidRPr="00A035D0">
        <w:t xml:space="preserve"> </w:t>
      </w:r>
      <w:r w:rsidR="0087402A" w:rsidRPr="00A035D0">
        <w:t>play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addition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regular</w:t>
      </w:r>
      <w:r w:rsidR="00FE6B8B" w:rsidRPr="00A035D0">
        <w:t xml:space="preserve"> </w:t>
      </w:r>
      <w:r w:rsidR="0087402A" w:rsidRPr="00A035D0">
        <w:t>meals</w:t>
      </w:r>
      <w:r w:rsidR="00FE6B8B" w:rsidRPr="00A035D0">
        <w:t xml:space="preserve"> </w:t>
      </w:r>
      <w:r w:rsidR="0087402A" w:rsidRPr="00A035D0">
        <w:t>they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home.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supplemental</w:t>
      </w:r>
      <w:r w:rsidR="00FE6B8B" w:rsidRPr="00A035D0">
        <w:t xml:space="preserve"> </w:t>
      </w:r>
      <w:r w:rsidR="0087402A" w:rsidRPr="00A035D0">
        <w:t>hot</w:t>
      </w:r>
      <w:r w:rsidR="00FE6B8B" w:rsidRPr="00A035D0">
        <w:t xml:space="preserve"> </w:t>
      </w:r>
      <w:r w:rsidR="0087402A" w:rsidRPr="00A035D0">
        <w:t>meals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served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snack/meal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beneficiaries</w:t>
      </w:r>
      <w:r w:rsidR="00FE6B8B" w:rsidRPr="00A035D0">
        <w:t xml:space="preserve"> </w:t>
      </w:r>
      <w:r w:rsidR="0087402A" w:rsidRPr="00A035D0">
        <w:t>five</w:t>
      </w:r>
      <w:r w:rsidR="00FE6B8B" w:rsidRPr="00A035D0">
        <w:t xml:space="preserve"> </w:t>
      </w:r>
      <w:r w:rsidR="0087402A" w:rsidRPr="00A035D0">
        <w:t>days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week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120</w:t>
      </w:r>
      <w:r w:rsidR="00FE6B8B" w:rsidRPr="00A035D0">
        <w:t xml:space="preserve"> </w:t>
      </w:r>
      <w:r w:rsidR="0087402A" w:rsidRPr="00A035D0">
        <w:t>days.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SFP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augmentation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feeding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</w:t>
      </w:r>
      <w:r w:rsidR="00FE6B8B" w:rsidRPr="00A035D0">
        <w:t xml:space="preserve"> </w:t>
      </w:r>
      <w:r w:rsidR="0087402A" w:rsidRPr="00A035D0">
        <w:t>(LGU)-managed</w:t>
      </w:r>
      <w:r w:rsidR="00FE6B8B" w:rsidRPr="00A035D0">
        <w:t xml:space="preserve"> </w:t>
      </w:r>
      <w:r w:rsidR="0087402A" w:rsidRPr="00A035D0">
        <w:t>areas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communities.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focuses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using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foods</w:t>
      </w:r>
      <w:r w:rsidR="00FE6B8B" w:rsidRPr="00A035D0">
        <w:t xml:space="preserve"> </w:t>
      </w:r>
      <w:r w:rsidR="0087402A" w:rsidRPr="00A035D0">
        <w:t>and/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locally</w:t>
      </w:r>
      <w:r w:rsidR="00FE6B8B" w:rsidRPr="00A035D0">
        <w:t xml:space="preserve"> </w:t>
      </w:r>
      <w:r w:rsidR="0087402A" w:rsidRPr="00A035D0">
        <w:t>processed</w:t>
      </w:r>
      <w:r w:rsidR="00FE6B8B" w:rsidRPr="00A035D0">
        <w:t xml:space="preserve"> </w:t>
      </w:r>
      <w:r w:rsidR="0087402A" w:rsidRPr="00A035D0">
        <w:t>foods</w:t>
      </w:r>
      <w:r w:rsidR="00FE6B8B" w:rsidRPr="00A035D0">
        <w:t xml:space="preserve"> </w:t>
      </w:r>
      <w:r w:rsidR="0087402A" w:rsidRPr="00A035D0">
        <w:t>equivalent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1/3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Recommended</w:t>
      </w:r>
      <w:r w:rsidR="00FE6B8B" w:rsidRPr="00A035D0">
        <w:t xml:space="preserve"> </w:t>
      </w:r>
      <w:r w:rsidR="0087402A" w:rsidRPr="00A035D0">
        <w:t>Energy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Nutrient</w:t>
      </w:r>
      <w:r w:rsidR="00FE6B8B" w:rsidRPr="00A035D0">
        <w:t xml:space="preserve"> </w:t>
      </w:r>
      <w:r w:rsidR="0087402A" w:rsidRPr="00A035D0">
        <w:t>Intake</w:t>
      </w:r>
      <w:r w:rsidR="00FE6B8B" w:rsidRPr="00A035D0">
        <w:t xml:space="preserve"> </w:t>
      </w:r>
      <w:r w:rsidR="0087402A" w:rsidRPr="00A035D0">
        <w:t>(RENI);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knowledge,</w:t>
      </w:r>
      <w:r w:rsidR="00FE6B8B" w:rsidRPr="00A035D0">
        <w:t xml:space="preserve"> </w:t>
      </w:r>
      <w:r w:rsidR="0087402A" w:rsidRPr="00A035D0">
        <w:t>attitude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practices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children,</w:t>
      </w:r>
      <w:r w:rsidR="00FE6B8B" w:rsidRPr="00A035D0">
        <w:t xml:space="preserve"> </w:t>
      </w:r>
      <w:r w:rsidR="0087402A" w:rsidRPr="00A035D0">
        <w:t>parents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caregivers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intensified</w:t>
      </w:r>
      <w:r w:rsidR="00FE6B8B" w:rsidRPr="00A035D0">
        <w:t xml:space="preserve"> </w:t>
      </w:r>
      <w:r w:rsidR="0087402A" w:rsidRPr="00A035D0">
        <w:t>nutrition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health</w:t>
      </w:r>
      <w:r w:rsidR="00FE6B8B" w:rsidRPr="00A035D0">
        <w:t xml:space="preserve"> </w:t>
      </w:r>
      <w:r w:rsidR="0087402A" w:rsidRPr="00A035D0">
        <w:t>education;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improve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sustain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nutritional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target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children.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30</w:t>
      </w:r>
      <w:r w:rsidR="00FE6B8B" w:rsidRPr="00A035D0">
        <w:t xml:space="preserve"> </w:t>
      </w:r>
      <w:r w:rsidR="0087402A" w:rsidRPr="00A035D0">
        <w:t>September</w:t>
      </w:r>
      <w:r w:rsidR="00FE6B8B" w:rsidRPr="00A035D0">
        <w:t xml:space="preserve"> </w:t>
      </w:r>
      <w:r w:rsidR="0087402A" w:rsidRPr="00A035D0">
        <w:t>2013,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1,000,911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56%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1,778,274</w:t>
      </w:r>
      <w:r w:rsidR="00FE6B8B" w:rsidRPr="00A035D0">
        <w:t xml:space="preserve"> </w:t>
      </w:r>
      <w:r w:rsidR="0087402A" w:rsidRPr="00A035D0">
        <w:t>target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served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program.</w:t>
      </w:r>
    </w:p>
    <w:p w14:paraId="738999B0" w14:textId="72152A48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</w:t>
      </w:r>
      <w:r w:rsidR="00FE6B8B" w:rsidRPr="00A035D0">
        <w:t xml:space="preserve"> </w:t>
      </w:r>
      <w:r w:rsidR="0087402A" w:rsidRPr="00A035D0">
        <w:t>comprehensive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street</w:t>
      </w:r>
      <w:r w:rsidR="00FE6B8B" w:rsidRPr="00A035D0">
        <w:t xml:space="preserve"> </w:t>
      </w:r>
      <w:r w:rsidR="0087402A" w:rsidRPr="00A035D0">
        <w:t>children,</w:t>
      </w:r>
      <w:r w:rsidR="00FE6B8B" w:rsidRPr="00A035D0">
        <w:t xml:space="preserve"> </w:t>
      </w:r>
      <w:r w:rsidR="0087402A" w:rsidRPr="00A035D0">
        <w:t>street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especially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Badjao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cultural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package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interventions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respond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opportunities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street</w:t>
      </w:r>
      <w:r w:rsidR="00FE6B8B" w:rsidRPr="00A035D0">
        <w:t xml:space="preserve"> </w:t>
      </w:r>
      <w:r w:rsidR="0087402A" w:rsidRPr="00A035D0">
        <w:t>children,</w:t>
      </w:r>
      <w:r w:rsidR="00FE6B8B" w:rsidRPr="00A035D0">
        <w:t xml:space="preserve"> </w:t>
      </w:r>
      <w:r w:rsidR="0087402A" w:rsidRPr="00A035D0">
        <w:t>street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Badjaos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live</w:t>
      </w:r>
      <w:r w:rsidR="00FE6B8B" w:rsidRPr="00A035D0">
        <w:t xml:space="preserve"> </w:t>
      </w:r>
      <w:r w:rsidR="0087402A" w:rsidRPr="00A035D0">
        <w:t>productively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safe</w:t>
      </w:r>
      <w:r w:rsidR="00FE6B8B" w:rsidRPr="00A035D0">
        <w:t xml:space="preserve"> </w:t>
      </w:r>
      <w:r w:rsidR="0087402A" w:rsidRPr="00A035D0">
        <w:t>environment.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Core</w:t>
      </w:r>
      <w:r w:rsidR="00FE6B8B" w:rsidRPr="00A035D0">
        <w:t xml:space="preserve"> </w:t>
      </w:r>
      <w:r w:rsidR="0087402A" w:rsidRPr="00A035D0">
        <w:t>Shelter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implemented</w:t>
      </w:r>
      <w:r w:rsidR="00FE6B8B" w:rsidRPr="00A035D0">
        <w:t xml:space="preserve"> </w:t>
      </w:r>
      <w:r w:rsidR="0087402A" w:rsidRPr="00A035D0">
        <w:t>meant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assist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disaster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acquire</w:t>
      </w:r>
      <w:r w:rsidR="00FE6B8B" w:rsidRPr="00A035D0">
        <w:t xml:space="preserve"> </w:t>
      </w:r>
      <w:r w:rsidR="0087402A" w:rsidRPr="00A035D0">
        <w:t>decent</w:t>
      </w:r>
      <w:r w:rsidR="00FE6B8B" w:rsidRPr="00A035D0">
        <w:t xml:space="preserve"> </w:t>
      </w:r>
      <w:r w:rsidR="0087402A" w:rsidRPr="00A035D0">
        <w:t>shelters.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2013</w:t>
      </w:r>
      <w:r w:rsidR="00FE6B8B" w:rsidRPr="00A035D0">
        <w:t>–</w:t>
      </w:r>
      <w:r w:rsidR="0087402A" w:rsidRPr="00A035D0">
        <w:t>2018,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8478</w:t>
      </w:r>
      <w:r w:rsidR="00FE6B8B" w:rsidRPr="00A035D0">
        <w:t xml:space="preserve"> </w:t>
      </w:r>
      <w:r w:rsidR="0087402A" w:rsidRPr="00A035D0">
        <w:t>shelter</w:t>
      </w:r>
      <w:r w:rsidR="00FE6B8B" w:rsidRPr="00A035D0">
        <w:t xml:space="preserve"> </w:t>
      </w:r>
      <w:r w:rsidR="0087402A" w:rsidRPr="00A035D0">
        <w:t>units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homeless</w:t>
      </w:r>
      <w:r w:rsidR="00FE6B8B" w:rsidRPr="00A035D0">
        <w:t xml:space="preserve"> </w:t>
      </w:r>
      <w:r w:rsidR="0087402A" w:rsidRPr="00A035D0">
        <w:t>families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funded</w:t>
      </w:r>
      <w:r w:rsidR="00FE6B8B" w:rsidRPr="00A035D0">
        <w:t xml:space="preserve"> </w:t>
      </w:r>
      <w:r w:rsidR="0087402A" w:rsidRPr="00A035D0">
        <w:t>amounting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Php605.6</w:t>
      </w:r>
      <w:r w:rsidR="00FE6B8B" w:rsidRPr="00A035D0">
        <w:t xml:space="preserve"> </w:t>
      </w:r>
      <w:r w:rsidR="0087402A" w:rsidRPr="00A035D0">
        <w:t>million.</w:t>
      </w:r>
    </w:p>
    <w:p w14:paraId="688654CA" w14:textId="7DFD1B8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far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evacuation</w:t>
      </w:r>
      <w:r w:rsidR="00FE6B8B" w:rsidRPr="00A035D0">
        <w:t xml:space="preserve"> </w:t>
      </w:r>
      <w:r w:rsidR="0087402A" w:rsidRPr="00A035D0">
        <w:t>centers,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creation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</w:t>
      </w:r>
      <w:r w:rsidR="00FE6B8B" w:rsidRPr="00A035D0">
        <w:t xml:space="preserve"> </w:t>
      </w:r>
      <w:r w:rsidR="0087402A" w:rsidRPr="00A035D0">
        <w:t>Friendly</w:t>
      </w:r>
      <w:r w:rsidR="00FE6B8B" w:rsidRPr="00A035D0">
        <w:t xml:space="preserve"> </w:t>
      </w:r>
      <w:r w:rsidR="0087402A" w:rsidRPr="00A035D0">
        <w:t>Spaces</w:t>
      </w:r>
      <w:r w:rsidR="00FE6B8B" w:rsidRPr="00A035D0">
        <w:t xml:space="preserve"> </w:t>
      </w:r>
      <w:r w:rsidR="0087402A" w:rsidRPr="00A035D0">
        <w:t>(CFS)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resumption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Early</w:t>
      </w:r>
      <w:r w:rsidR="00FE6B8B" w:rsidRPr="00A035D0">
        <w:t xml:space="preserve"> </w:t>
      </w:r>
      <w:r w:rsidR="0087402A" w:rsidRPr="00A035D0">
        <w:t>Childhood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(ECD)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friendly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established.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CFS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immediate</w:t>
      </w:r>
      <w:r w:rsidR="00FE6B8B" w:rsidRPr="00A035D0">
        <w:t xml:space="preserve"> </w:t>
      </w:r>
      <w:r w:rsidR="0087402A" w:rsidRPr="00A035D0">
        <w:t>response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serving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entry</w:t>
      </w:r>
      <w:r w:rsidR="00FE6B8B" w:rsidRPr="00A035D0">
        <w:t xml:space="preserve"> </w:t>
      </w:r>
      <w:r w:rsidR="0087402A" w:rsidRPr="00A035D0">
        <w:t>point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working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affected</w:t>
      </w:r>
      <w:r w:rsidR="00FE6B8B" w:rsidRPr="00A035D0">
        <w:t xml:space="preserve"> </w:t>
      </w:r>
      <w:r w:rsidR="0087402A" w:rsidRPr="00A035D0">
        <w:t>communities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provisional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contributing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care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emergencies.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aimed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supporting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resilience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well-being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young</w:t>
      </w:r>
      <w:r w:rsidR="00FE6B8B" w:rsidRPr="00A035D0">
        <w:t xml:space="preserve"> </w:t>
      </w:r>
      <w:r w:rsidR="0087402A" w:rsidRPr="00A035D0">
        <w:t>people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organized,</w:t>
      </w:r>
      <w:r w:rsidR="00FE6B8B" w:rsidRPr="00A035D0">
        <w:t xml:space="preserve"> </w:t>
      </w:r>
      <w:r w:rsidR="0087402A" w:rsidRPr="00A035D0">
        <w:t>structured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safe,</w:t>
      </w:r>
      <w:r w:rsidR="00FE6B8B" w:rsidRPr="00A035D0">
        <w:t xml:space="preserve"> </w:t>
      </w:r>
      <w:r w:rsidR="0087402A" w:rsidRPr="00A035D0">
        <w:t>child-friendly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stimulating</w:t>
      </w:r>
      <w:r w:rsidR="00FE6B8B" w:rsidRPr="00A035D0">
        <w:t xml:space="preserve"> </w:t>
      </w:r>
      <w:r w:rsidR="0087402A" w:rsidRPr="00A035D0">
        <w:t>environment.</w:t>
      </w:r>
    </w:p>
    <w:p w14:paraId="046FB090" w14:textId="205F2AE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Friendly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(WFS)12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facility/structure</w:t>
      </w:r>
      <w:r w:rsidR="00FE6B8B" w:rsidRPr="00A035D0">
        <w:t xml:space="preserve"> </w:t>
      </w:r>
      <w:r w:rsidR="0087402A" w:rsidRPr="00A035D0">
        <w:t>established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evacuation</w:t>
      </w:r>
      <w:r w:rsidR="00FE6B8B" w:rsidRPr="00A035D0">
        <w:t xml:space="preserve"> </w:t>
      </w:r>
      <w:r w:rsidR="0087402A" w:rsidRPr="00A035D0">
        <w:t>camps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practical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strategic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needs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women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crisis</w:t>
      </w:r>
      <w:r w:rsidR="00FE6B8B" w:rsidRPr="00A035D0">
        <w:t xml:space="preserve"> </w:t>
      </w:r>
      <w:r w:rsidR="0087402A" w:rsidRPr="00A035D0">
        <w:t>situation</w:t>
      </w:r>
      <w:r w:rsidR="00FE6B8B" w:rsidRPr="00A035D0">
        <w:t xml:space="preserve"> </w:t>
      </w:r>
      <w:r w:rsidR="0087402A" w:rsidRPr="00A035D0">
        <w:t>brought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natural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manmade</w:t>
      </w:r>
      <w:r w:rsidR="00FE6B8B" w:rsidRPr="00A035D0">
        <w:t xml:space="preserve"> </w:t>
      </w:r>
      <w:r w:rsidR="0087402A" w:rsidRPr="00A035D0">
        <w:t>calamities.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serves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venue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systematic,</w:t>
      </w:r>
      <w:r w:rsidR="00FE6B8B" w:rsidRPr="00A035D0">
        <w:t xml:space="preserve"> </w:t>
      </w:r>
      <w:r w:rsidR="0087402A" w:rsidRPr="00A035D0">
        <w:t>organized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gender-responsive</w:t>
      </w:r>
      <w:r w:rsidR="00FE6B8B" w:rsidRPr="00A035D0">
        <w:t xml:space="preserve"> </w:t>
      </w:r>
      <w:r w:rsidR="0087402A" w:rsidRPr="00A035D0">
        <w:t>way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delivering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internally</w:t>
      </w:r>
      <w:r w:rsidR="00FE6B8B" w:rsidRPr="00A035D0">
        <w:t xml:space="preserve"> </w:t>
      </w:r>
      <w:r w:rsidR="0087402A" w:rsidRPr="00A035D0">
        <w:t>displaced</w:t>
      </w:r>
      <w:r w:rsidR="00FE6B8B" w:rsidRPr="00A035D0">
        <w:t xml:space="preserve"> </w:t>
      </w:r>
      <w:r w:rsidR="0087402A" w:rsidRPr="00A035D0">
        <w:t>women.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setting-up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WFS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five</w:t>
      </w:r>
      <w:r w:rsidR="00FE6B8B" w:rsidRPr="00A035D0">
        <w:t xml:space="preserve"> </w:t>
      </w:r>
      <w:r w:rsidR="0087402A" w:rsidRPr="00A035D0">
        <w:t>components: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preparation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advocacy;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dissemination;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delivery;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evaluation</w:t>
      </w:r>
      <w:r w:rsidR="00FE6B8B" w:rsidRPr="00A035D0">
        <w:t xml:space="preserve"> </w:t>
      </w:r>
      <w:r w:rsidR="0087402A" w:rsidRPr="00A035D0">
        <w:t>and;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networking.</w:t>
      </w:r>
      <w:r w:rsidR="00FE6B8B" w:rsidRPr="00A035D0">
        <w:t xml:space="preserve"> </w:t>
      </w:r>
      <w:r w:rsidR="0087402A" w:rsidRPr="00A035D0">
        <w:lastRenderedPageBreak/>
        <w:t>All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components</w:t>
      </w:r>
      <w:r w:rsidR="00FE6B8B" w:rsidRPr="00A035D0">
        <w:t xml:space="preserve"> </w:t>
      </w:r>
      <w:r w:rsidR="0087402A" w:rsidRPr="00A035D0">
        <w:t>involve</w:t>
      </w:r>
      <w:r w:rsidR="00FE6B8B" w:rsidRPr="00A035D0">
        <w:t xml:space="preserve"> </w:t>
      </w:r>
      <w:r w:rsidR="0087402A" w:rsidRPr="00A035D0">
        <w:t>close</w:t>
      </w:r>
      <w:r w:rsidR="00FE6B8B" w:rsidRPr="00A035D0">
        <w:t xml:space="preserve"> </w:t>
      </w:r>
      <w:r w:rsidR="0087402A" w:rsidRPr="00A035D0">
        <w:t>coordination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partnership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Gender-Based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Sub-Cluster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Unit.</w:t>
      </w:r>
    </w:p>
    <w:p w14:paraId="4BD53C5C" w14:textId="75AA467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Consultations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stakeholders,</w:t>
      </w:r>
      <w:r w:rsidR="00FE6B8B" w:rsidRPr="00A035D0">
        <w:t xml:space="preserve"> </w:t>
      </w:r>
      <w:r w:rsidR="0087402A" w:rsidRPr="00A035D0">
        <w:t>elders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leaders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revealed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updates:</w:t>
      </w:r>
    </w:p>
    <w:p w14:paraId="4E796A2A" w14:textId="11E0BC7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Displacement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caused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intrusion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group/entity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communities.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front</w:t>
      </w:r>
      <w:r w:rsidR="00FE6B8B" w:rsidRPr="00A035D0">
        <w:t xml:space="preserve"> </w:t>
      </w:r>
      <w:r w:rsidR="0087402A" w:rsidRPr="00A035D0">
        <w:t>organization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introduction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invasive</w:t>
      </w:r>
      <w:r w:rsidR="00FE6B8B" w:rsidRPr="00A035D0">
        <w:t xml:space="preserve"> </w:t>
      </w:r>
      <w:r w:rsidR="0087402A" w:rsidRPr="00A035D0">
        <w:t>extremist</w:t>
      </w:r>
      <w:r w:rsidR="00FE6B8B" w:rsidRPr="00A035D0">
        <w:t xml:space="preserve"> </w:t>
      </w:r>
      <w:r w:rsidR="0087402A" w:rsidRPr="00A035D0">
        <w:t>ideology</w:t>
      </w:r>
      <w:r w:rsidR="00FE6B8B" w:rsidRPr="00A035D0">
        <w:t xml:space="preserve"> </w:t>
      </w:r>
      <w:r w:rsidR="0087402A" w:rsidRPr="00A035D0">
        <w:t>inciting</w:t>
      </w:r>
      <w:r w:rsidR="00FE6B8B" w:rsidRPr="00A035D0">
        <w:t xml:space="preserve"> </w:t>
      </w:r>
      <w:r w:rsidR="0087402A" w:rsidRPr="00A035D0">
        <w:t>hate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violence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intertribal</w:t>
      </w:r>
      <w:r w:rsidR="00FE6B8B" w:rsidRPr="00A035D0">
        <w:t xml:space="preserve"> </w:t>
      </w:r>
      <w:r w:rsidR="0087402A" w:rsidRPr="00A035D0">
        <w:t>conflict.</w:t>
      </w:r>
    </w:p>
    <w:p w14:paraId="40908696" w14:textId="7EE77E2F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–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Army</w:t>
      </w:r>
      <w:r w:rsidR="00FE6B8B" w:rsidRPr="00A035D0">
        <w:t xml:space="preserve"> </w:t>
      </w:r>
      <w:r w:rsidR="0087402A" w:rsidRPr="00A035D0">
        <w:t>(CPP-NPA)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group/</w:t>
      </w:r>
      <w:r w:rsidR="00FE6B8B" w:rsidRPr="00A035D0">
        <w:t xml:space="preserve"> </w:t>
      </w:r>
      <w:r w:rsidR="0087402A" w:rsidRPr="00A035D0">
        <w:t>entity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EU,</w:t>
      </w:r>
      <w:r w:rsidR="00FE6B8B" w:rsidRPr="00A035D0">
        <w:t xml:space="preserve"> </w:t>
      </w:r>
      <w:r w:rsidR="0087402A" w:rsidRPr="00A035D0">
        <w:t>USA</w:t>
      </w:r>
      <w:r w:rsidR="0087402A" w:rsidRPr="00A035D0">
        <w:rPr>
          <w:rStyle w:val="FootnoteReference"/>
        </w:rPr>
        <w:footnoteReference w:id="40"/>
      </w:r>
      <w:r w:rsidR="0087402A" w:rsidRPr="00A035D0">
        <w:t>,</w:t>
      </w:r>
      <w:r w:rsidR="00FE6B8B" w:rsidRPr="00A035D0">
        <w:t xml:space="preserve"> </w:t>
      </w:r>
      <w:r w:rsidR="0087402A" w:rsidRPr="00A035D0">
        <w:t>UK,</w:t>
      </w:r>
      <w:r w:rsidR="00FE6B8B" w:rsidRPr="00A035D0">
        <w:t xml:space="preserve"> </w:t>
      </w:r>
      <w:r w:rsidR="0087402A" w:rsidRPr="00A035D0">
        <w:t>Canada,</w:t>
      </w:r>
      <w:r w:rsidR="00FE6B8B" w:rsidRPr="00A035D0">
        <w:t xml:space="preserve"> </w:t>
      </w:r>
      <w:r w:rsidR="0087402A" w:rsidRPr="00A035D0">
        <w:t>Australia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Zealand.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formally</w:t>
      </w:r>
      <w:r w:rsidR="00FE6B8B" w:rsidRPr="00A035D0">
        <w:t xml:space="preserve"> </w:t>
      </w:r>
      <w:r w:rsidR="0087402A" w:rsidRPr="00A035D0">
        <w:t>declared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CPP-NPA</w:t>
      </w:r>
      <w:r w:rsidR="00FE6B8B" w:rsidRPr="00A035D0">
        <w:t xml:space="preserve"> </w:t>
      </w:r>
      <w:r w:rsidR="0087402A" w:rsidRPr="00A035D0">
        <w:t>terror</w:t>
      </w:r>
      <w:r w:rsidR="00FE6B8B" w:rsidRPr="00A035D0">
        <w:t xml:space="preserve"> </w:t>
      </w:r>
      <w:r w:rsidR="0087402A" w:rsidRPr="00A035D0">
        <w:t>group/</w:t>
      </w:r>
      <w:r w:rsidR="00FE6B8B" w:rsidRPr="00A035D0">
        <w:t xml:space="preserve"> </w:t>
      </w:r>
      <w:r w:rsidR="0087402A" w:rsidRPr="00A035D0">
        <w:t>entity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responsible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committing</w:t>
      </w:r>
      <w:r w:rsidR="00FE6B8B" w:rsidRPr="00A035D0">
        <w:t xml:space="preserve"> </w:t>
      </w:r>
      <w:r w:rsidR="0087402A" w:rsidRPr="00A035D0">
        <w:t>grave</w:t>
      </w:r>
      <w:r w:rsidR="00FE6B8B" w:rsidRPr="00A035D0">
        <w:t xml:space="preserve"> </w:t>
      </w:r>
      <w:r w:rsidR="0087402A" w:rsidRPr="00A035D0">
        <w:t>violations</w:t>
      </w:r>
      <w:r w:rsidR="00FE6B8B" w:rsidRPr="00A035D0">
        <w:t xml:space="preserve"> </w:t>
      </w:r>
      <w:r w:rsidR="0087402A" w:rsidRPr="00A035D0">
        <w:t>affecting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situations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numerous</w:t>
      </w:r>
      <w:r w:rsidR="00FE6B8B" w:rsidRPr="00A035D0">
        <w:t xml:space="preserve"> </w:t>
      </w:r>
      <w:r w:rsidR="0087402A" w:rsidRPr="00A035D0">
        <w:t>Resolutions.</w:t>
      </w:r>
    </w:p>
    <w:p w14:paraId="219A3EEB" w14:textId="66A9106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IP</w:t>
      </w:r>
      <w:r w:rsidR="00FE6B8B" w:rsidRPr="00A035D0">
        <w:t xml:space="preserve"> </w:t>
      </w:r>
      <w:r w:rsidR="0087402A" w:rsidRPr="00A035D0">
        <w:t>communities,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elders,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(CSOs)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units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numerous</w:t>
      </w:r>
      <w:r w:rsidR="00FE6B8B" w:rsidRPr="00A035D0">
        <w:t xml:space="preserve"> </w:t>
      </w:r>
      <w:r w:rsidR="0087402A" w:rsidRPr="00A035D0">
        <w:t>resolutions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prevent</w:t>
      </w:r>
      <w:r w:rsidR="00FE6B8B" w:rsidRPr="00A035D0">
        <w:t xml:space="preserve"> </w:t>
      </w:r>
      <w:r w:rsidR="0087402A" w:rsidRPr="00A035D0">
        <w:t>intrusions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CPP-NPA</w:t>
      </w:r>
      <w:r w:rsidR="00FE6B8B" w:rsidRPr="00A035D0">
        <w:t xml:space="preserve"> </w:t>
      </w:r>
      <w:r w:rsidR="0087402A" w:rsidRPr="00A035D0">
        <w:t>terror/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children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introduction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invasive</w:t>
      </w:r>
      <w:r w:rsidR="00FE6B8B" w:rsidRPr="00A035D0">
        <w:t xml:space="preserve"> </w:t>
      </w:r>
      <w:r w:rsidR="0087402A" w:rsidRPr="00A035D0">
        <w:t>extremist</w:t>
      </w:r>
      <w:r w:rsidR="00FE6B8B" w:rsidRPr="00A035D0">
        <w:t xml:space="preserve"> </w:t>
      </w:r>
      <w:r w:rsidR="0087402A" w:rsidRPr="00A035D0">
        <w:t>ideology</w:t>
      </w:r>
      <w:r w:rsidR="00FE6B8B" w:rsidRPr="00A035D0">
        <w:t xml:space="preserve"> </w:t>
      </w:r>
      <w:r w:rsidR="0087402A" w:rsidRPr="00A035D0">
        <w:t>inciting</w:t>
      </w:r>
      <w:r w:rsidR="00FE6B8B" w:rsidRPr="00A035D0">
        <w:t xml:space="preserve"> </w:t>
      </w:r>
      <w:r w:rsidR="0087402A" w:rsidRPr="00A035D0">
        <w:t>hate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violence.</w:t>
      </w:r>
      <w:r w:rsidR="0087402A" w:rsidRPr="00A035D0">
        <w:rPr>
          <w:rStyle w:val="FootnoteReference"/>
        </w:rPr>
        <w:footnoteReference w:id="41"/>
      </w:r>
    </w:p>
    <w:p w14:paraId="356C721F" w14:textId="5AB4D70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Executive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70</w:t>
      </w:r>
      <w:r w:rsidR="00FE6B8B" w:rsidRPr="00A035D0">
        <w:t xml:space="preserve"> </w:t>
      </w:r>
      <w:r w:rsidR="0087402A" w:rsidRPr="00A035D0">
        <w:t>s.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creating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Congresses</w:t>
      </w:r>
      <w:r w:rsidR="00FE6B8B" w:rsidRPr="00A035D0">
        <w:t xml:space="preserve"> </w:t>
      </w:r>
      <w:r w:rsidR="0087402A" w:rsidRPr="00A035D0">
        <w:t>passing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Anti-Terrorism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seeks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redress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problems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whole-of-nation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particularly</w:t>
      </w:r>
      <w:r w:rsidR="00FE6B8B" w:rsidRPr="00A035D0">
        <w:t xml:space="preserve"> </w:t>
      </w:r>
      <w:r w:rsidR="0087402A" w:rsidRPr="00A035D0">
        <w:t>focusing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communities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process.</w:t>
      </w:r>
    </w:p>
    <w:p w14:paraId="1C62E44F" w14:textId="050281C5" w:rsidR="0087402A" w:rsidRPr="00A035D0" w:rsidRDefault="0087402A" w:rsidP="00602998">
      <w:pPr>
        <w:pStyle w:val="H4G"/>
      </w:pPr>
      <w:r w:rsidRPr="00A035D0">
        <w:tab/>
      </w:r>
      <w:r w:rsidRPr="00A035D0">
        <w:tab/>
        <w:t>Update</w:t>
      </w:r>
      <w:r w:rsidR="00FE6B8B" w:rsidRPr="00A035D0">
        <w:t xml:space="preserve"> </w:t>
      </w:r>
      <w:r w:rsidRPr="00A035D0">
        <w:t>on</w:t>
      </w:r>
      <w:r w:rsidR="00FE6B8B" w:rsidRPr="00A035D0">
        <w:t xml:space="preserve"> </w:t>
      </w:r>
      <w:r w:rsidRPr="00A035D0">
        <w:t>Status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Marawi</w:t>
      </w:r>
      <w:r w:rsidR="00FE6B8B" w:rsidRPr="00A035D0">
        <w:t xml:space="preserve"> </w:t>
      </w:r>
      <w:r w:rsidRPr="00A035D0">
        <w:t>Compensation</w:t>
      </w:r>
      <w:r w:rsidR="00FE6B8B" w:rsidRPr="00A035D0">
        <w:t xml:space="preserve"> </w:t>
      </w:r>
      <w:r w:rsidRPr="00A035D0">
        <w:t>Bill</w:t>
      </w:r>
    </w:p>
    <w:p w14:paraId="18DD6466" w14:textId="42809A8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bills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Representatives</w:t>
      </w:r>
      <w:r w:rsidR="00FE6B8B" w:rsidRPr="00A035D0">
        <w:t xml:space="preserve"> </w:t>
      </w:r>
      <w:r w:rsidR="0087402A" w:rsidRPr="00A035D0">
        <w:t>(HoR):</w:t>
      </w:r>
    </w:p>
    <w:p w14:paraId="00614B4A" w14:textId="08B03AE1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(HB)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03418</w:t>
      </w:r>
      <w:r w:rsidR="0087402A" w:rsidRPr="00A035D0">
        <w:rPr>
          <w:rStyle w:val="FootnoteReference"/>
        </w:rPr>
        <w:footnoteReference w:id="42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Siege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Ansaruddin</w:t>
      </w:r>
      <w:r w:rsidR="00FE6B8B" w:rsidRPr="00A035D0">
        <w:t xml:space="preserve"> </w:t>
      </w:r>
      <w:r w:rsidR="0087402A" w:rsidRPr="00A035D0">
        <w:t>Abdul</w:t>
      </w:r>
      <w:r w:rsidR="00FE6B8B" w:rsidRPr="00A035D0">
        <w:t xml:space="preserve"> </w:t>
      </w:r>
      <w:r w:rsidR="0087402A" w:rsidRPr="00A035D0">
        <w:t>Malik</w:t>
      </w:r>
      <w:r w:rsidR="00FE6B8B" w:rsidRPr="00A035D0">
        <w:t xml:space="preserve"> </w:t>
      </w:r>
      <w:r w:rsidR="0087402A" w:rsidRPr="00A035D0">
        <w:t>Adiong;</w:t>
      </w:r>
    </w:p>
    <w:p w14:paraId="2F920C22" w14:textId="203460B1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03543</w:t>
      </w:r>
      <w:r w:rsidR="0087402A" w:rsidRPr="00A035D0">
        <w:rPr>
          <w:rStyle w:val="FootnoteReference"/>
        </w:rPr>
        <w:footnoteReference w:id="43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Siege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Reps.</w:t>
      </w:r>
      <w:r w:rsidR="00FE6B8B" w:rsidRPr="00A035D0">
        <w:t xml:space="preserve"> </w:t>
      </w:r>
      <w:r w:rsidR="0087402A" w:rsidRPr="00A035D0">
        <w:t>Mujiv</w:t>
      </w:r>
      <w:r w:rsidR="00FE6B8B" w:rsidRPr="00A035D0">
        <w:t xml:space="preserve"> </w:t>
      </w:r>
      <w:r w:rsidR="0087402A" w:rsidRPr="00A035D0">
        <w:t>Hataman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Amihilda</w:t>
      </w:r>
      <w:r w:rsidR="00FE6B8B" w:rsidRPr="00A035D0">
        <w:t xml:space="preserve"> </w:t>
      </w:r>
      <w:r w:rsidR="0087402A" w:rsidRPr="00A035D0">
        <w:t>Sangcopan;</w:t>
      </w:r>
      <w:r w:rsidR="00FE6B8B" w:rsidRPr="00A035D0">
        <w:t xml:space="preserve"> </w:t>
      </w:r>
      <w:r w:rsidR="0087402A" w:rsidRPr="00A035D0">
        <w:t>and</w:t>
      </w:r>
    </w:p>
    <w:p w14:paraId="10E83B50" w14:textId="1BE7C6C4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3.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07503</w:t>
      </w:r>
      <w:r w:rsidR="0087402A" w:rsidRPr="00A035D0">
        <w:rPr>
          <w:rStyle w:val="FootnoteReference"/>
        </w:rPr>
        <w:footnoteReference w:id="44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Siege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Mohamad</w:t>
      </w:r>
      <w:r w:rsidR="00FE6B8B" w:rsidRPr="00A035D0">
        <w:t xml:space="preserve"> </w:t>
      </w:r>
      <w:r w:rsidR="0087402A" w:rsidRPr="00A035D0">
        <w:t>Khalid</w:t>
      </w:r>
      <w:r w:rsidR="00FE6B8B" w:rsidRPr="00A035D0">
        <w:t xml:space="preserve"> </w:t>
      </w:r>
      <w:r w:rsidR="0087402A" w:rsidRPr="00A035D0">
        <w:t>Dimaporo.</w:t>
      </w:r>
    </w:p>
    <w:p w14:paraId="38382E73" w14:textId="4CFA89A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HB</w:t>
      </w:r>
      <w:r w:rsidR="00FE6B8B" w:rsidRPr="00A035D0">
        <w:t xml:space="preserve"> </w:t>
      </w:r>
      <w:r w:rsidR="0087402A" w:rsidRPr="00A035D0">
        <w:t>Nos.</w:t>
      </w:r>
      <w:r w:rsidR="00FE6B8B" w:rsidRPr="00A035D0">
        <w:t xml:space="preserve"> </w:t>
      </w:r>
      <w:r w:rsidR="0087402A" w:rsidRPr="00A035D0">
        <w:t>03418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03543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Mindanao</w:t>
      </w:r>
      <w:r w:rsidR="00FE6B8B" w:rsidRPr="00A035D0">
        <w:t xml:space="preserve"> </w:t>
      </w:r>
      <w:r w:rsidR="0087402A" w:rsidRPr="00A035D0">
        <w:t>Affairs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01</w:t>
      </w:r>
      <w:r w:rsidR="00FE6B8B" w:rsidRPr="00A035D0">
        <w:t xml:space="preserve"> </w:t>
      </w:r>
      <w:r w:rsidR="0087402A" w:rsidRPr="00A035D0">
        <w:t>September</w:t>
      </w:r>
      <w:r w:rsidR="00FE6B8B" w:rsidRPr="00A035D0">
        <w:t xml:space="preserve"> </w:t>
      </w:r>
      <w:r w:rsidR="0087402A" w:rsidRPr="00A035D0">
        <w:t>2021.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HBs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substituted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HB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09925</w:t>
      </w:r>
      <w:r w:rsidR="0087402A" w:rsidRPr="00A035D0">
        <w:rPr>
          <w:rStyle w:val="FootnoteReference"/>
        </w:rPr>
        <w:footnoteReference w:id="45"/>
      </w:r>
      <w:r w:rsidR="00FE6B8B" w:rsidRPr="00A035D0">
        <w:t xml:space="preserve"> </w:t>
      </w:r>
      <w:r w:rsidR="0087402A" w:rsidRPr="00A035D0">
        <w:t>otherwise</w:t>
      </w:r>
      <w:r w:rsidR="00FE6B8B" w:rsidRPr="00A035D0">
        <w:t xml:space="preserve"> </w:t>
      </w:r>
      <w:r w:rsidR="0087402A" w:rsidRPr="00A035D0">
        <w:t>known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Act,</w:t>
      </w:r>
      <w:r w:rsidR="00FE6B8B" w:rsidRPr="00A035D0">
        <w:t xml:space="preserve"> </w:t>
      </w:r>
      <w:r w:rsidR="0087402A" w:rsidRPr="00A035D0">
        <w:t>authored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representing</w:t>
      </w:r>
      <w:r w:rsidR="00FE6B8B" w:rsidRPr="00A035D0">
        <w:t xml:space="preserve"> </w:t>
      </w:r>
      <w:r w:rsidR="0087402A" w:rsidRPr="00A035D0">
        <w:t>multi-sectoral</w:t>
      </w:r>
      <w:r w:rsidR="00FE6B8B" w:rsidRPr="00A035D0">
        <w:t xml:space="preserve"> </w:t>
      </w:r>
      <w:r w:rsidR="0087402A" w:rsidRPr="00A035D0">
        <w:t>groups.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received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07</w:t>
      </w:r>
      <w:r w:rsidR="00FE6B8B" w:rsidRPr="00A035D0">
        <w:t xml:space="preserve"> </w:t>
      </w:r>
      <w:r w:rsidR="0087402A" w:rsidRPr="00A035D0">
        <w:t>September</w:t>
      </w:r>
      <w:r w:rsidR="00FE6B8B" w:rsidRPr="00A035D0">
        <w:t xml:space="preserve"> </w:t>
      </w:r>
      <w:r w:rsidR="0087402A" w:rsidRPr="00A035D0">
        <w:t>2021.</w:t>
      </w:r>
    </w:p>
    <w:p w14:paraId="5E5AC911" w14:textId="6E7D037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Similar</w:t>
      </w:r>
      <w:r w:rsidR="00FE6B8B" w:rsidRPr="00A035D0">
        <w:t xml:space="preserve"> </w:t>
      </w:r>
      <w:r w:rsidR="0087402A" w:rsidRPr="00A035D0">
        <w:t>bills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follows:</w:t>
      </w:r>
    </w:p>
    <w:p w14:paraId="5BE08277" w14:textId="7B190096" w:rsidR="0087402A" w:rsidRPr="00A035D0" w:rsidRDefault="00602998" w:rsidP="00602998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Senate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(SB)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1395</w:t>
      </w:r>
      <w:r w:rsidR="0087402A" w:rsidRPr="00A035D0">
        <w:rPr>
          <w:rStyle w:val="FootnoteReference"/>
        </w:rPr>
        <w:footnoteReference w:id="46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Senators</w:t>
      </w:r>
      <w:r w:rsidR="00FE6B8B" w:rsidRPr="00A035D0">
        <w:t xml:space="preserve"> </w:t>
      </w:r>
      <w:r w:rsidR="0087402A" w:rsidRPr="00A035D0">
        <w:t>Juan</w:t>
      </w:r>
      <w:r w:rsidR="00FE6B8B" w:rsidRPr="00A035D0">
        <w:t xml:space="preserve"> </w:t>
      </w:r>
      <w:r w:rsidR="0087402A" w:rsidRPr="00A035D0">
        <w:t>Miguel</w:t>
      </w:r>
      <w:r w:rsidR="00FE6B8B" w:rsidRPr="00A035D0">
        <w:t xml:space="preserve"> “</w:t>
      </w:r>
      <w:r w:rsidR="0087402A" w:rsidRPr="00A035D0">
        <w:t>Migz</w:t>
      </w:r>
      <w:r w:rsidR="00FE6B8B" w:rsidRPr="00A035D0">
        <w:t xml:space="preserve">” </w:t>
      </w:r>
      <w:r w:rsidR="0087402A" w:rsidRPr="00A035D0">
        <w:t>Zubiri;</w:t>
      </w:r>
      <w:r w:rsidR="00FE6B8B" w:rsidRPr="00A035D0">
        <w:t xml:space="preserve"> </w:t>
      </w:r>
      <w:r w:rsidR="0087402A" w:rsidRPr="00A035D0">
        <w:t>Ronald</w:t>
      </w:r>
      <w:r w:rsidR="00FE6B8B" w:rsidRPr="00A035D0">
        <w:t xml:space="preserve"> “</w:t>
      </w:r>
      <w:r w:rsidR="0087402A" w:rsidRPr="00A035D0">
        <w:t>Bato</w:t>
      </w:r>
      <w:r w:rsidR="00FE6B8B" w:rsidRPr="00A035D0">
        <w:t xml:space="preserve">” </w:t>
      </w:r>
      <w:r w:rsidR="0087402A" w:rsidRPr="00A035D0">
        <w:t>Dela</w:t>
      </w:r>
      <w:r w:rsidR="00FE6B8B" w:rsidRPr="00A035D0">
        <w:t xml:space="preserve"> </w:t>
      </w:r>
      <w:r w:rsidR="0087402A" w:rsidRPr="00A035D0">
        <w:t>Rosa;</w:t>
      </w:r>
      <w:r w:rsidR="00FE6B8B" w:rsidRPr="00A035D0">
        <w:t xml:space="preserve"> </w:t>
      </w:r>
      <w:r w:rsidR="0087402A" w:rsidRPr="00A035D0">
        <w:t>Francis</w:t>
      </w:r>
      <w:r w:rsidR="00FE6B8B" w:rsidRPr="00A035D0">
        <w:t xml:space="preserve"> “</w:t>
      </w:r>
      <w:r w:rsidR="0087402A" w:rsidRPr="00A035D0">
        <w:t>Tol</w:t>
      </w:r>
      <w:r w:rsidR="00FE6B8B" w:rsidRPr="00A035D0">
        <w:t xml:space="preserve">” </w:t>
      </w:r>
      <w:r w:rsidR="0087402A" w:rsidRPr="00A035D0">
        <w:t>Tolentino;</w:t>
      </w:r>
      <w:r w:rsidR="00FE6B8B" w:rsidRPr="00A035D0">
        <w:t xml:space="preserve"> </w:t>
      </w:r>
      <w:r w:rsidR="0087402A" w:rsidRPr="00A035D0">
        <w:t>Christopher</w:t>
      </w:r>
      <w:r w:rsidR="00FE6B8B" w:rsidRPr="00A035D0">
        <w:t xml:space="preserve"> </w:t>
      </w:r>
      <w:r w:rsidR="0087402A" w:rsidRPr="00A035D0">
        <w:t>Lawrence</w:t>
      </w:r>
      <w:r w:rsidR="00FE6B8B" w:rsidRPr="00A035D0">
        <w:t xml:space="preserve"> </w:t>
      </w:r>
      <w:r w:rsidR="0087402A" w:rsidRPr="00A035D0">
        <w:t>Go;</w:t>
      </w:r>
      <w:r w:rsidR="00FE6B8B" w:rsidRPr="00A035D0">
        <w:t xml:space="preserve"> </w:t>
      </w:r>
      <w:r w:rsidR="0087402A" w:rsidRPr="00A035D0">
        <w:t>Imee</w:t>
      </w:r>
      <w:r w:rsidR="00FE6B8B" w:rsidRPr="00A035D0">
        <w:t xml:space="preserve"> </w:t>
      </w:r>
      <w:r w:rsidR="0087402A" w:rsidRPr="00A035D0">
        <w:t>Marcos;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Francis</w:t>
      </w:r>
      <w:r w:rsidR="00FE6B8B" w:rsidRPr="00A035D0">
        <w:t xml:space="preserve"> “</w:t>
      </w:r>
      <w:r w:rsidR="0087402A" w:rsidRPr="00A035D0">
        <w:t>Kiko</w:t>
      </w:r>
      <w:r w:rsidR="00FE6B8B" w:rsidRPr="00A035D0">
        <w:t xml:space="preserve">” </w:t>
      </w:r>
      <w:r w:rsidR="0087402A" w:rsidRPr="00A035D0">
        <w:t>Pangilinan;</w:t>
      </w:r>
      <w:r w:rsidR="00FE6B8B" w:rsidRPr="00A035D0">
        <w:t xml:space="preserve"> </w:t>
      </w:r>
      <w:r w:rsidR="0087402A" w:rsidRPr="00A035D0">
        <w:t>and</w:t>
      </w:r>
    </w:p>
    <w:p w14:paraId="148EEB5A" w14:textId="77777777" w:rsidR="00FE6B8B" w:rsidRPr="00A035D0" w:rsidRDefault="00602998" w:rsidP="00602998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  <w:t>SB</w:t>
      </w:r>
      <w:r w:rsidR="00FE6B8B" w:rsidRPr="00A035D0">
        <w:t xml:space="preserve"> </w:t>
      </w:r>
      <w:r w:rsidR="0087402A" w:rsidRPr="00A035D0">
        <w:t>2394</w:t>
      </w:r>
      <w:r w:rsidR="0087402A" w:rsidRPr="00A035D0">
        <w:rPr>
          <w:rStyle w:val="FootnoteReference"/>
        </w:rPr>
        <w:footnoteReference w:id="47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Sen.</w:t>
      </w:r>
      <w:r w:rsidR="00FE6B8B" w:rsidRPr="00A035D0">
        <w:t xml:space="preserve"> </w:t>
      </w:r>
      <w:r w:rsidR="0087402A" w:rsidRPr="00A035D0">
        <w:t>Risa</w:t>
      </w:r>
      <w:r w:rsidR="00FE6B8B" w:rsidRPr="00A035D0">
        <w:t xml:space="preserve"> </w:t>
      </w:r>
      <w:r w:rsidR="0087402A" w:rsidRPr="00A035D0">
        <w:t>Hontiveros;</w:t>
      </w:r>
    </w:p>
    <w:p w14:paraId="681DFECA" w14:textId="66B5FB7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above-mentioned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Bills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consideration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HB</w:t>
      </w:r>
      <w:r w:rsidR="00FE6B8B" w:rsidRPr="00A035D0">
        <w:t xml:space="preserve"> </w:t>
      </w:r>
      <w:r w:rsidR="0087402A" w:rsidRPr="00A035D0">
        <w:t>09925,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substituted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consolidated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SB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2420</w:t>
      </w:r>
      <w:r w:rsidR="0087402A" w:rsidRPr="00A035D0">
        <w:rPr>
          <w:rStyle w:val="FootnoteReference"/>
        </w:rPr>
        <w:footnoteReference w:id="48"/>
      </w:r>
      <w:r w:rsidR="00FE6B8B" w:rsidRPr="00A035D0">
        <w:t xml:space="preserve"> </w:t>
      </w:r>
      <w:r w:rsidR="0087402A" w:rsidRPr="00A035D0">
        <w:t>otherwise</w:t>
      </w:r>
      <w:r w:rsidR="00FE6B8B" w:rsidRPr="00A035D0">
        <w:t xml:space="preserve"> </w:t>
      </w:r>
      <w:r w:rsidR="0087402A" w:rsidRPr="00A035D0">
        <w:t>known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Siege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lastRenderedPageBreak/>
        <w:t>Compensation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2021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324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Finance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Marawi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Rehabilitation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29</w:t>
      </w:r>
      <w:r w:rsidR="00FE6B8B" w:rsidRPr="00A035D0">
        <w:t xml:space="preserve"> </w:t>
      </w:r>
      <w:r w:rsidR="0087402A" w:rsidRPr="00A035D0">
        <w:t>September</w:t>
      </w:r>
      <w:r w:rsidR="00FE6B8B" w:rsidRPr="00A035D0">
        <w:t xml:space="preserve"> </w:t>
      </w:r>
      <w:r w:rsidR="0087402A" w:rsidRPr="00A035D0">
        <w:t>2019.</w:t>
      </w:r>
    </w:p>
    <w:p w14:paraId="61C48224" w14:textId="13E7C765" w:rsidR="0087402A" w:rsidRPr="00A035D0" w:rsidRDefault="0087402A" w:rsidP="00602998">
      <w:pPr>
        <w:pStyle w:val="H1G"/>
      </w:pPr>
      <w:r w:rsidRPr="00A035D0">
        <w:tab/>
      </w:r>
      <w:r w:rsidRPr="00A035D0">
        <w:tab/>
        <w:t>Right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privacy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17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24)</w:t>
      </w:r>
    </w:p>
    <w:p w14:paraId="56C4F61E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20</w:t>
      </w:r>
      <w:r w:rsidR="00FE6B8B" w:rsidRPr="00A035D0">
        <w:t xml:space="preserve"> </w:t>
      </w:r>
      <w:r w:rsidRPr="00A035D0">
        <w:t>(a</w:t>
      </w:r>
      <w:r w:rsidR="00FE6B8B" w:rsidRPr="00A035D0">
        <w:t>–</w:t>
      </w:r>
      <w:r w:rsidRPr="00A035D0">
        <w:t>d)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0075C56E" w14:textId="5C2085B3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Fonts w:eastAsia="Times New Roman"/>
          <w:b/>
        </w:rPr>
      </w:pPr>
      <w:r w:rsidRPr="00A035D0">
        <w:rPr>
          <w:rFonts w:eastAsia="Times New Roma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176.</w:t>
      </w:r>
      <w:r w:rsidRPr="00A035D0">
        <w:rPr>
          <w:rFonts w:eastAsia="Times New Roman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Accomplishments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anti-illegal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attributable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community-driven</w:t>
      </w:r>
      <w:r w:rsidR="00FE6B8B" w:rsidRPr="00A035D0">
        <w:t xml:space="preserve"> </w:t>
      </w:r>
      <w:r w:rsidR="0087402A" w:rsidRPr="00A035D0">
        <w:t>initiatives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encourages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involvement</w:t>
      </w:r>
      <w:r w:rsidR="00FE6B8B" w:rsidRPr="00A035D0">
        <w:t xml:space="preserve"> </w:t>
      </w:r>
      <w:r w:rsidR="0087402A" w:rsidRPr="00A035D0">
        <w:t>multi-sectoral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mass-based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MASA</w:t>
      </w:r>
      <w:r w:rsidR="00FE6B8B" w:rsidRPr="00A035D0">
        <w:t xml:space="preserve"> </w:t>
      </w:r>
      <w:r w:rsidR="0087402A" w:rsidRPr="00A035D0">
        <w:t>MASID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Mamayanan</w:t>
      </w:r>
      <w:r w:rsidR="00FE6B8B" w:rsidRPr="00A035D0">
        <w:t xml:space="preserve"> </w:t>
      </w:r>
      <w:r w:rsidR="0087402A" w:rsidRPr="00A035D0">
        <w:t>Ayaw</w:t>
      </w:r>
      <w:r w:rsidR="00FE6B8B" w:rsidRPr="00A035D0">
        <w:t xml:space="preserve"> </w:t>
      </w:r>
      <w:r w:rsidR="0087402A" w:rsidRPr="00A035D0">
        <w:t>sa</w:t>
      </w:r>
      <w:r w:rsidR="00FE6B8B" w:rsidRPr="00A035D0">
        <w:t xml:space="preserve"> </w:t>
      </w:r>
      <w:r w:rsidR="0087402A" w:rsidRPr="00A035D0">
        <w:t>Anomalya,</w:t>
      </w:r>
      <w:r w:rsidR="00FE6B8B" w:rsidRPr="00A035D0">
        <w:t xml:space="preserve"> </w:t>
      </w:r>
      <w:r w:rsidR="0087402A" w:rsidRPr="00A035D0">
        <w:t>Mamayanan</w:t>
      </w:r>
      <w:r w:rsidR="00FE6B8B" w:rsidRPr="00A035D0">
        <w:t xml:space="preserve"> </w:t>
      </w:r>
      <w:r w:rsidR="0087402A" w:rsidRPr="00A035D0">
        <w:t>Ayaw</w:t>
      </w:r>
      <w:r w:rsidR="00FE6B8B" w:rsidRPr="00A035D0">
        <w:t xml:space="preserve"> </w:t>
      </w:r>
      <w:r w:rsidR="0087402A" w:rsidRPr="00A035D0">
        <w:t>sa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na</w:t>
      </w:r>
      <w:r w:rsidR="00FE6B8B" w:rsidRPr="00A035D0">
        <w:t xml:space="preserve"> </w:t>
      </w:r>
      <w:r w:rsidR="0087402A" w:rsidRPr="00A035D0">
        <w:t>Droga</w:t>
      </w:r>
      <w:r w:rsidR="00FE6B8B" w:rsidRPr="00A035D0">
        <w:t xml:space="preserve"> </w:t>
      </w:r>
      <w:r w:rsidR="0087402A" w:rsidRPr="00A035D0">
        <w:t>(Citizens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Anomalies,</w:t>
      </w:r>
      <w:r w:rsidR="00FE6B8B" w:rsidRPr="00A035D0">
        <w:t xml:space="preserve"> </w:t>
      </w:r>
      <w:r w:rsidR="0087402A" w:rsidRPr="00A035D0">
        <w:t>Citizens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Drugs).</w:t>
      </w:r>
    </w:p>
    <w:p w14:paraId="17A6C3E3" w14:textId="77777777" w:rsidR="00FE6B8B" w:rsidRPr="00A035D0" w:rsidRDefault="0087402A" w:rsidP="00602998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20</w:t>
      </w:r>
      <w:r w:rsidR="00FE6B8B" w:rsidRPr="00A035D0">
        <w:t xml:space="preserve"> </w:t>
      </w:r>
      <w:r w:rsidRPr="00A035D0">
        <w:t>(e)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8D1B2DC" w14:textId="70D5FB8F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names,</w:t>
      </w:r>
      <w:r w:rsidR="00FE6B8B" w:rsidRPr="00A035D0">
        <w:t xml:space="preserve"> </w:t>
      </w:r>
      <w:r w:rsidR="0087402A" w:rsidRPr="00A035D0">
        <w:t>address,</w:t>
      </w:r>
      <w:r w:rsidR="00FE6B8B" w:rsidRPr="00A035D0">
        <w:t xml:space="preserve"> </w:t>
      </w:r>
      <w:r w:rsidR="0087402A" w:rsidRPr="00A035D0">
        <w:t>contact</w:t>
      </w:r>
      <w:r w:rsidR="00FE6B8B" w:rsidRPr="00A035D0">
        <w:t xml:space="preserve"> </w:t>
      </w:r>
      <w:r w:rsidR="0087402A" w:rsidRPr="00A035D0">
        <w:t>numbers,</w:t>
      </w:r>
      <w:r w:rsidR="00FE6B8B" w:rsidRPr="00A035D0">
        <w:t xml:space="preserve"> </w:t>
      </w:r>
      <w:r w:rsidR="0087402A" w:rsidRPr="00A035D0">
        <w:t>religious</w:t>
      </w:r>
      <w:r w:rsidR="00FE6B8B" w:rsidRPr="00A035D0">
        <w:t xml:space="preserve"> </w:t>
      </w:r>
      <w:r w:rsidR="0087402A" w:rsidRPr="00A035D0">
        <w:t>affiliation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gender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obtained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purposes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compliance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prescribed</w:t>
      </w:r>
      <w:r w:rsidR="00FE6B8B" w:rsidRPr="00A035D0">
        <w:t xml:space="preserve"> </w:t>
      </w:r>
      <w:r w:rsidR="0087402A" w:rsidRPr="00A035D0">
        <w:t>program,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activity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covered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video</w:t>
      </w:r>
      <w:r w:rsidR="00FE6B8B" w:rsidRPr="00A035D0">
        <w:t xml:space="preserve"> </w:t>
      </w:r>
      <w:r w:rsidR="0087402A" w:rsidRPr="00A035D0">
        <w:t>recording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conformity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those</w:t>
      </w:r>
      <w:r w:rsidR="00FE6B8B" w:rsidRPr="00A035D0">
        <w:t xml:space="preserve"> </w:t>
      </w:r>
      <w:r w:rsidR="0087402A" w:rsidRPr="00A035D0">
        <w:t>availing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program.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placed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record</w:t>
      </w:r>
      <w:r w:rsidR="00FE6B8B" w:rsidRPr="00A035D0">
        <w:t xml:space="preserve"> </w:t>
      </w:r>
      <w:r w:rsidR="0087402A" w:rsidRPr="00A035D0">
        <w:t>book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compliance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Privacy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2012</w:t>
      </w:r>
      <w:r w:rsidR="00FE6B8B" w:rsidRPr="00A035D0">
        <w:t xml:space="preserve"> </w:t>
      </w:r>
      <w:r w:rsidR="0087402A" w:rsidRPr="00A035D0">
        <w:t>(Section</w:t>
      </w:r>
      <w:r w:rsidR="00FE6B8B" w:rsidRPr="00A035D0">
        <w:t xml:space="preserve"> </w:t>
      </w:r>
      <w:r w:rsidR="0087402A" w:rsidRPr="00A035D0">
        <w:t>12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10173)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treated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utmost</w:t>
      </w:r>
      <w:r w:rsidR="00FE6B8B" w:rsidRPr="00A035D0">
        <w:t xml:space="preserve"> </w:t>
      </w:r>
      <w:r w:rsidR="0087402A" w:rsidRPr="00A035D0">
        <w:t>confidentiality.</w:t>
      </w:r>
    </w:p>
    <w:p w14:paraId="0A727421" w14:textId="73B59994" w:rsidR="0087402A" w:rsidRPr="00A035D0" w:rsidRDefault="0087402A" w:rsidP="00602998">
      <w:pPr>
        <w:pStyle w:val="H23G"/>
        <w:rPr>
          <w:sz w:val="23"/>
          <w:szCs w:val="23"/>
        </w:rPr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20</w:t>
      </w:r>
      <w:r w:rsidR="00FE6B8B" w:rsidRPr="00A035D0">
        <w:t xml:space="preserve"> </w:t>
      </w:r>
      <w:r w:rsidRPr="00A035D0">
        <w:t>(f)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615CCB19" w14:textId="54C6FC9D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No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plans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reintroduce</w:t>
      </w:r>
      <w:r w:rsidR="00FE6B8B" w:rsidRPr="00A035D0">
        <w:t xml:space="preserve"> </w:t>
      </w:r>
      <w:r w:rsidR="0087402A" w:rsidRPr="00A035D0">
        <w:t>drug</w:t>
      </w:r>
      <w:r w:rsidR="00FE6B8B" w:rsidRPr="00A035D0">
        <w:t xml:space="preserve"> </w:t>
      </w:r>
      <w:r w:rsidR="0087402A" w:rsidRPr="00A035D0">
        <w:t>testing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teachers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students</w:t>
      </w:r>
      <w:r w:rsidR="00B71BF0">
        <w:t>.</w:t>
      </w:r>
    </w:p>
    <w:p w14:paraId="52F162D5" w14:textId="77777777" w:rsidR="00FE6B8B" w:rsidRPr="00A035D0" w:rsidRDefault="0087402A" w:rsidP="004D42E9">
      <w:pPr>
        <w:pStyle w:val="H1G"/>
      </w:pPr>
      <w:r w:rsidRPr="00A035D0">
        <w:tab/>
      </w:r>
      <w:r w:rsidRPr="00A035D0">
        <w:tab/>
        <w:t>Human</w:t>
      </w:r>
      <w:r w:rsidR="00FE6B8B" w:rsidRPr="00A035D0">
        <w:t xml:space="preserve"> </w:t>
      </w:r>
      <w:r w:rsidRPr="00A035D0">
        <w:t>rights</w:t>
      </w:r>
      <w:r w:rsidR="00FE6B8B" w:rsidRPr="00A035D0">
        <w:t xml:space="preserve"> </w:t>
      </w:r>
      <w:r w:rsidRPr="00A035D0">
        <w:t>defenders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6,</w:t>
      </w:r>
      <w:r w:rsidR="00FE6B8B" w:rsidRPr="00A035D0">
        <w:t xml:space="preserve"> </w:t>
      </w:r>
      <w:r w:rsidRPr="00A035D0">
        <w:t>17,</w:t>
      </w:r>
      <w:r w:rsidR="00FE6B8B" w:rsidRPr="00A035D0">
        <w:t xml:space="preserve"> </w:t>
      </w:r>
      <w:r w:rsidRPr="00A035D0">
        <w:t>19,</w:t>
      </w:r>
      <w:r w:rsidR="00FE6B8B" w:rsidRPr="00A035D0">
        <w:t xml:space="preserve"> </w:t>
      </w:r>
      <w:r w:rsidRPr="00A035D0">
        <w:t>20,</w:t>
      </w:r>
      <w:r w:rsidR="00FE6B8B" w:rsidRPr="00A035D0">
        <w:t xml:space="preserve"> </w:t>
      </w:r>
      <w:r w:rsidRPr="00A035D0">
        <w:t>21,</w:t>
      </w:r>
      <w:r w:rsidR="00FE6B8B" w:rsidRPr="00A035D0">
        <w:t xml:space="preserve"> </w:t>
      </w:r>
      <w:r w:rsidRPr="00A035D0">
        <w:t>22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26)</w:t>
      </w:r>
    </w:p>
    <w:p w14:paraId="13233142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21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03DBA07A" w14:textId="116963B7" w:rsidR="0087402A" w:rsidRPr="00A035D0" w:rsidRDefault="0087402A" w:rsidP="004D42E9">
      <w:pPr>
        <w:pStyle w:val="H4G"/>
      </w:pPr>
      <w:r w:rsidRPr="00A035D0">
        <w:tab/>
      </w:r>
      <w:r w:rsidRPr="00A035D0">
        <w:tab/>
        <w:t>Reports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reprisals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surveillance</w:t>
      </w:r>
    </w:p>
    <w:p w14:paraId="60AAA3DC" w14:textId="16264237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Contrary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shrinking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space,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expanding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steadfast</w:t>
      </w:r>
      <w:r w:rsidR="00FE6B8B" w:rsidRPr="00A035D0">
        <w:t xml:space="preserve"> </w:t>
      </w:r>
      <w:r w:rsidR="0087402A" w:rsidRPr="00A035D0">
        <w:t>advocacy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empowerment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greater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multiplicity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actors</w:t>
      </w:r>
      <w:r w:rsidR="00FE6B8B" w:rsidRPr="00A035D0">
        <w:t xml:space="preserve"> </w:t>
      </w:r>
      <w:r w:rsidR="0087402A" w:rsidRPr="00A035D0">
        <w:t>especially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less-resourced</w:t>
      </w:r>
      <w:r w:rsidR="00FE6B8B" w:rsidRPr="00A035D0">
        <w:t xml:space="preserve"> </w:t>
      </w:r>
      <w:r w:rsidR="0087402A" w:rsidRPr="00A035D0">
        <w:t>grassroots</w:t>
      </w:r>
      <w:r w:rsidR="00FE6B8B" w:rsidRPr="00A035D0">
        <w:t xml:space="preserve"> </w:t>
      </w:r>
      <w:r w:rsidR="0087402A" w:rsidRPr="00A035D0">
        <w:t>community-based</w:t>
      </w:r>
      <w:r w:rsidR="00FE6B8B" w:rsidRPr="00A035D0">
        <w:t xml:space="preserve"> </w:t>
      </w:r>
      <w:r w:rsidR="0087402A" w:rsidRPr="00A035D0">
        <w:t>organizations,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defenders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peoples,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Party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Philippines-New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Army-National</w:t>
      </w:r>
      <w:r w:rsidR="00FE6B8B" w:rsidRPr="00A035D0">
        <w:t xml:space="preserve"> </w:t>
      </w:r>
      <w:r w:rsidR="0087402A" w:rsidRPr="00A035D0">
        <w:t>Democratic</w:t>
      </w:r>
      <w:r w:rsidR="00FE6B8B" w:rsidRPr="00A035D0">
        <w:t xml:space="preserve"> </w:t>
      </w:r>
      <w:r w:rsidR="0087402A" w:rsidRPr="00A035D0">
        <w:t>Front</w:t>
      </w:r>
      <w:r w:rsidR="00FE6B8B" w:rsidRPr="00A035D0">
        <w:t xml:space="preserve"> </w:t>
      </w:r>
      <w:r w:rsidR="0087402A" w:rsidRPr="00A035D0">
        <w:t>(CPP-NPA-NDF)</w:t>
      </w:r>
      <w:r w:rsidR="00FE6B8B" w:rsidRPr="00A035D0">
        <w:t xml:space="preserve"> </w:t>
      </w:r>
      <w:r w:rsidR="0087402A" w:rsidRPr="00A035D0">
        <w:t>returnees</w:t>
      </w:r>
      <w:r w:rsidR="00FE6B8B" w:rsidRPr="00A035D0">
        <w:t xml:space="preserve"> </w:t>
      </w:r>
      <w:r w:rsidR="0087402A" w:rsidRPr="00A035D0">
        <w:t>reintegrated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society,</w:t>
      </w:r>
      <w:r w:rsidR="00FE6B8B" w:rsidRPr="00A035D0">
        <w:t xml:space="preserve"> </w:t>
      </w:r>
      <w:r w:rsidR="0087402A" w:rsidRPr="00A035D0">
        <w:t>parents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child</w:t>
      </w:r>
      <w:r w:rsidR="00FE6B8B" w:rsidRPr="00A035D0">
        <w:t xml:space="preserve"> </w:t>
      </w:r>
      <w:r w:rsidR="0087402A" w:rsidRPr="00A035D0">
        <w:t>combatants,</w:t>
      </w:r>
      <w:r w:rsidR="00FE6B8B" w:rsidRPr="00A035D0">
        <w:t xml:space="preserve"> </w:t>
      </w:r>
      <w:r w:rsidR="0087402A" w:rsidRPr="00A035D0">
        <w:t>rescued</w:t>
      </w:r>
      <w:r w:rsidR="00FE6B8B" w:rsidRPr="00A035D0">
        <w:t xml:space="preserve"> </w:t>
      </w:r>
      <w:r w:rsidR="0087402A" w:rsidRPr="00A035D0">
        <w:t>child</w:t>
      </w:r>
      <w:r w:rsidR="00FE6B8B" w:rsidRPr="00A035D0">
        <w:t xml:space="preserve"> </w:t>
      </w:r>
      <w:r w:rsidR="0087402A" w:rsidRPr="00A035D0">
        <w:t>combatants,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CPP-NPA-NDF</w:t>
      </w:r>
      <w:r w:rsidR="00FE6B8B" w:rsidRPr="00A035D0">
        <w:t xml:space="preserve"> </w:t>
      </w:r>
      <w:r w:rsidR="0087402A" w:rsidRPr="00A035D0">
        <w:t>atrocities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families.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consistent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advocacy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democratization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discourse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reprisals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shaped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agenda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loudest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most</w:t>
      </w:r>
      <w:r w:rsidR="00FE6B8B" w:rsidRPr="00A035D0">
        <w:t xml:space="preserve"> </w:t>
      </w:r>
      <w:r w:rsidR="0087402A" w:rsidRPr="00A035D0">
        <w:t>resourced</w:t>
      </w:r>
      <w:r w:rsidR="00FE6B8B" w:rsidRPr="00A035D0">
        <w:t xml:space="preserve"> </w:t>
      </w:r>
      <w:r w:rsidR="0087402A" w:rsidRPr="00A035D0">
        <w:t>but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grassroot</w:t>
      </w:r>
      <w:r w:rsidR="00FE6B8B" w:rsidRPr="00A035D0">
        <w:t xml:space="preserve"> </w:t>
      </w:r>
      <w:r w:rsidR="0087402A" w:rsidRPr="00A035D0">
        <w:t>voices.</w:t>
      </w:r>
    </w:p>
    <w:p w14:paraId="1B2DF38F" w14:textId="48257948" w:rsidR="0087402A" w:rsidRPr="00A035D0" w:rsidRDefault="0087402A" w:rsidP="004D42E9">
      <w:pPr>
        <w:pStyle w:val="H56G"/>
      </w:pPr>
      <w:r w:rsidRPr="00A035D0">
        <w:tab/>
      </w:r>
      <w:r w:rsidRPr="00A035D0">
        <w:tab/>
        <w:t>Legal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judicial</w:t>
      </w:r>
      <w:r w:rsidR="00FE6B8B" w:rsidRPr="00A035D0">
        <w:t xml:space="preserve"> </w:t>
      </w:r>
      <w:r w:rsidRPr="00A035D0">
        <w:t>remedies</w:t>
      </w:r>
    </w:p>
    <w:p w14:paraId="45DDEA3C" w14:textId="344A0172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so-called</w:t>
      </w:r>
      <w:r w:rsidR="00FE6B8B" w:rsidRPr="00A035D0">
        <w:t xml:space="preserve"> </w:t>
      </w:r>
      <w:r w:rsidR="0087402A" w:rsidRPr="00A035D0">
        <w:t>issue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“</w:t>
      </w:r>
      <w:r w:rsidR="0087402A" w:rsidRPr="00A035D0">
        <w:t>red-tagging</w:t>
      </w:r>
      <w:r w:rsidR="00FE6B8B" w:rsidRPr="00A035D0">
        <w:t xml:space="preserve">”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determined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sufficient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remedies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already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place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supposed</w:t>
      </w:r>
      <w:r w:rsidR="00FE6B8B" w:rsidRPr="00A035D0">
        <w:t xml:space="preserve"> </w:t>
      </w:r>
      <w:r w:rsidR="0087402A" w:rsidRPr="00A035D0">
        <w:t>aggrieved</w:t>
      </w:r>
      <w:r w:rsidR="00FE6B8B" w:rsidRPr="00A035D0">
        <w:t xml:space="preserve"> </w:t>
      </w:r>
      <w:r w:rsidR="0087402A" w:rsidRPr="00A035D0">
        <w:t>parties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avail</w:t>
      </w:r>
      <w:r w:rsidR="00FE6B8B" w:rsidRPr="00A035D0">
        <w:t xml:space="preserve"> </w:t>
      </w:r>
      <w:r w:rsidR="0087402A" w:rsidRPr="00A035D0">
        <w:t>themselves.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could</w:t>
      </w:r>
      <w:r w:rsidR="00FE6B8B" w:rsidRPr="00A035D0">
        <w:t xml:space="preserve"> </w:t>
      </w:r>
      <w:r w:rsidR="0087402A" w:rsidRPr="00A035D0">
        <w:t>file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complaints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following:</w:t>
      </w:r>
    </w:p>
    <w:p w14:paraId="1B87455F" w14:textId="70B03E11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libel,</w:t>
      </w:r>
      <w:r w:rsidR="00FE6B8B" w:rsidRPr="00A035D0">
        <w:t xml:space="preserve"> </w:t>
      </w:r>
      <w:r w:rsidR="0087402A" w:rsidRPr="00A035D0">
        <w:t>slander,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cyber-libel;</w:t>
      </w:r>
    </w:p>
    <w:p w14:paraId="2F7D0808" w14:textId="2995BE3F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acts</w:t>
      </w:r>
      <w:r w:rsidR="00FE6B8B" w:rsidRPr="00A035D0">
        <w:t xml:space="preserve"> </w:t>
      </w:r>
      <w:r w:rsidR="0087402A" w:rsidRPr="00A035D0">
        <w:t>defined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punished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Penal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grave</w:t>
      </w:r>
      <w:r w:rsidR="00FE6B8B" w:rsidRPr="00A035D0">
        <w:t xml:space="preserve"> </w:t>
      </w:r>
      <w:r w:rsidR="0087402A" w:rsidRPr="00A035D0">
        <w:t>threats,</w:t>
      </w:r>
      <w:r w:rsidR="00FE6B8B" w:rsidRPr="00A035D0">
        <w:t xml:space="preserve"> </w:t>
      </w:r>
      <w:r w:rsidR="0087402A" w:rsidRPr="00A035D0">
        <w:t>arbitrary</w:t>
      </w:r>
      <w:r w:rsidR="00FE6B8B" w:rsidRPr="00A035D0">
        <w:t xml:space="preserve"> </w:t>
      </w:r>
      <w:r w:rsidR="0087402A" w:rsidRPr="00A035D0">
        <w:t>detention,</w:t>
      </w:r>
      <w:r w:rsidR="00FE6B8B" w:rsidRPr="00A035D0">
        <w:t xml:space="preserve"> </w:t>
      </w:r>
      <w:r w:rsidR="0087402A" w:rsidRPr="00A035D0">
        <w:t>delay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detained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proper</w:t>
      </w:r>
      <w:r w:rsidR="00FE6B8B" w:rsidRPr="00A035D0">
        <w:t xml:space="preserve"> </w:t>
      </w:r>
      <w:r w:rsidR="0087402A" w:rsidRPr="00A035D0">
        <w:t>judicial</w:t>
      </w:r>
      <w:r w:rsidR="00FE6B8B" w:rsidRPr="00A035D0">
        <w:t xml:space="preserve"> </w:t>
      </w:r>
      <w:r w:rsidR="0087402A" w:rsidRPr="00A035D0">
        <w:t>authorities,</w:t>
      </w:r>
      <w:r w:rsidR="00FE6B8B" w:rsidRPr="00A035D0">
        <w:t xml:space="preserve"> </w:t>
      </w:r>
      <w:r w:rsidR="0087402A" w:rsidRPr="00A035D0">
        <w:t>among</w:t>
      </w:r>
      <w:r w:rsidR="00FE6B8B" w:rsidRPr="00A035D0">
        <w:t xml:space="preserve"> </w:t>
      </w:r>
      <w:r w:rsidR="0087402A" w:rsidRPr="00A035D0">
        <w:t>others;</w:t>
      </w:r>
    </w:p>
    <w:p w14:paraId="6AA9EF6C" w14:textId="52A89CD7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Crimes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Humanitarian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Genocide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Crimes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Humanity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R.A.</w:t>
      </w:r>
      <w:r w:rsidR="00FE6B8B" w:rsidRPr="00A035D0">
        <w:t xml:space="preserve"> </w:t>
      </w:r>
      <w:r w:rsidR="0087402A" w:rsidRPr="00A035D0">
        <w:t>9851;</w:t>
      </w:r>
    </w:p>
    <w:p w14:paraId="1452FE3E" w14:textId="74C2078D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violation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Anti-Graft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Corrupt</w:t>
      </w:r>
      <w:r w:rsidR="00FE6B8B" w:rsidRPr="00A035D0">
        <w:t xml:space="preserve"> </w:t>
      </w:r>
      <w:r w:rsidR="0087402A" w:rsidRPr="00A035D0">
        <w:t>Practices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RA</w:t>
      </w:r>
      <w:r w:rsidR="00FE6B8B" w:rsidRPr="00A035D0">
        <w:t xml:space="preserve"> </w:t>
      </w:r>
      <w:r w:rsidR="0087402A" w:rsidRPr="00A035D0">
        <w:t>3019.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considers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corrupt</w:t>
      </w:r>
      <w:r w:rsidR="00FE6B8B" w:rsidRPr="00A035D0">
        <w:t xml:space="preserve"> </w:t>
      </w:r>
      <w:r w:rsidR="0087402A" w:rsidRPr="00A035D0">
        <w:t>practice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causes</w:t>
      </w:r>
      <w:r w:rsidR="00FE6B8B" w:rsidRPr="00A035D0">
        <w:t xml:space="preserve"> </w:t>
      </w:r>
      <w:r w:rsidR="0087402A" w:rsidRPr="00A035D0">
        <w:t>undue</w:t>
      </w:r>
      <w:r w:rsidR="00FE6B8B" w:rsidRPr="00A035D0">
        <w:t xml:space="preserve"> </w:t>
      </w:r>
      <w:r w:rsidR="0087402A" w:rsidRPr="00A035D0">
        <w:t>injury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discharge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official</w:t>
      </w:r>
      <w:r w:rsidR="00FE6B8B" w:rsidRPr="00A035D0">
        <w:t xml:space="preserve"> </w:t>
      </w:r>
      <w:r w:rsidR="0087402A" w:rsidRPr="00A035D0">
        <w:t>functions,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entity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manifest</w:t>
      </w:r>
      <w:r w:rsidR="00FE6B8B" w:rsidRPr="00A035D0">
        <w:t xml:space="preserve"> </w:t>
      </w:r>
      <w:r w:rsidR="0087402A" w:rsidRPr="00A035D0">
        <w:t>partiality,</w:t>
      </w:r>
      <w:r w:rsidR="00FE6B8B" w:rsidRPr="00A035D0">
        <w:t xml:space="preserve"> </w:t>
      </w:r>
      <w:r w:rsidR="0087402A" w:rsidRPr="00A035D0">
        <w:t>evident</w:t>
      </w:r>
      <w:r w:rsidR="00FE6B8B" w:rsidRPr="00A035D0">
        <w:t xml:space="preserve"> </w:t>
      </w:r>
      <w:r w:rsidR="0087402A" w:rsidRPr="00A035D0">
        <w:t>bad</w:t>
      </w:r>
      <w:r w:rsidR="00FE6B8B" w:rsidRPr="00A035D0">
        <w:t xml:space="preserve"> </w:t>
      </w:r>
      <w:r w:rsidR="0087402A" w:rsidRPr="00A035D0">
        <w:t>faith,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gross</w:t>
      </w:r>
      <w:r w:rsidR="00FE6B8B" w:rsidRPr="00A035D0">
        <w:t xml:space="preserve"> </w:t>
      </w:r>
      <w:r w:rsidR="0087402A" w:rsidRPr="00A035D0">
        <w:t>inexcusable</w:t>
      </w:r>
      <w:r w:rsidR="00FE6B8B" w:rsidRPr="00A035D0">
        <w:t xml:space="preserve"> </w:t>
      </w:r>
      <w:r w:rsidR="0087402A" w:rsidRPr="00A035D0">
        <w:t>negligence;</w:t>
      </w:r>
    </w:p>
    <w:p w14:paraId="4EF05B9A" w14:textId="2C7A8EB9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lastRenderedPageBreak/>
        <w:t>•</w:t>
      </w:r>
      <w:r w:rsidRPr="00A035D0">
        <w:tab/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charges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Ethical</w:t>
      </w:r>
      <w:r w:rsidR="00FE6B8B" w:rsidRPr="00A035D0">
        <w:t xml:space="preserve"> </w:t>
      </w:r>
      <w:r w:rsidR="0087402A" w:rsidRPr="00A035D0">
        <w:t>Standards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Employees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RA</w:t>
      </w:r>
      <w:r w:rsidR="00FE6B8B" w:rsidRPr="00A035D0">
        <w:t xml:space="preserve"> </w:t>
      </w:r>
      <w:r w:rsidR="0087402A" w:rsidRPr="00A035D0">
        <w:t>6713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(RRACCS)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red-tagging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and/or</w:t>
      </w:r>
      <w:r w:rsidR="00FE6B8B" w:rsidRPr="00A035D0">
        <w:t xml:space="preserve"> </w:t>
      </w:r>
      <w:r w:rsidR="0087402A" w:rsidRPr="00A035D0">
        <w:t>employees</w:t>
      </w:r>
      <w:r w:rsidR="00FE6B8B" w:rsidRPr="00A035D0">
        <w:t xml:space="preserve"> </w:t>
      </w:r>
      <w:r w:rsidR="0087402A" w:rsidRPr="00A035D0">
        <w:t>constitutes</w:t>
      </w:r>
      <w:r w:rsidR="00FE6B8B" w:rsidRPr="00A035D0">
        <w:t xml:space="preserve"> </w:t>
      </w:r>
      <w:r w:rsidR="0087402A" w:rsidRPr="00A035D0">
        <w:t>grave</w:t>
      </w:r>
      <w:r w:rsidR="00FE6B8B" w:rsidRPr="00A035D0">
        <w:t xml:space="preserve"> </w:t>
      </w:r>
      <w:r w:rsidR="0087402A" w:rsidRPr="00A035D0">
        <w:t>misconduct,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charges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Ethical</w:t>
      </w:r>
      <w:r w:rsidR="00FE6B8B" w:rsidRPr="00A035D0">
        <w:t xml:space="preserve"> </w:t>
      </w:r>
      <w:r w:rsidR="0087402A" w:rsidRPr="00A035D0">
        <w:t>Standards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Employees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RA</w:t>
      </w:r>
      <w:r w:rsidR="00FE6B8B" w:rsidRPr="00A035D0">
        <w:t xml:space="preserve"> </w:t>
      </w:r>
      <w:r w:rsidR="0087402A" w:rsidRPr="00A035D0">
        <w:t>6713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(RRACCS);</w:t>
      </w:r>
    </w:p>
    <w:p w14:paraId="77A3CC62" w14:textId="36671AC3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Civil</w:t>
      </w:r>
      <w:r w:rsidR="00FE6B8B" w:rsidRPr="00A035D0">
        <w:t xml:space="preserve"> </w:t>
      </w:r>
      <w:r w:rsidR="0087402A" w:rsidRPr="00A035D0">
        <w:t>actions,</w:t>
      </w:r>
      <w:r w:rsidR="00FE6B8B" w:rsidRPr="00A035D0">
        <w:t xml:space="preserve"> </w:t>
      </w:r>
      <w:r w:rsidR="0087402A" w:rsidRPr="00A035D0">
        <w:t>particularly</w:t>
      </w:r>
      <w:r w:rsidR="00FE6B8B" w:rsidRPr="00A035D0">
        <w:t xml:space="preserve"> </w:t>
      </w:r>
      <w:r w:rsidR="0087402A" w:rsidRPr="00A035D0">
        <w:t>indemnification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damages</w:t>
      </w:r>
      <w:r w:rsidR="00FE6B8B" w:rsidRPr="00A035D0">
        <w:t xml:space="preserve"> </w:t>
      </w:r>
      <w:r w:rsidR="0087402A" w:rsidRPr="00A035D0">
        <w:t>caused,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Articles</w:t>
      </w:r>
      <w:r w:rsidR="00FE6B8B" w:rsidRPr="00A035D0">
        <w:t xml:space="preserve"> </w:t>
      </w:r>
      <w:r w:rsidR="0087402A" w:rsidRPr="00A035D0">
        <w:t>19,</w:t>
      </w:r>
      <w:r w:rsidR="00FE6B8B" w:rsidRPr="00A035D0">
        <w:t xml:space="preserve"> </w:t>
      </w:r>
      <w:r w:rsidR="0087402A" w:rsidRPr="00A035D0">
        <w:t>21,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32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Code</w:t>
      </w:r>
      <w:r w:rsidR="00655519">
        <w:t>.</w:t>
      </w:r>
    </w:p>
    <w:p w14:paraId="2006FF9F" w14:textId="0BA790B5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addition,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rPr>
          <w:bCs/>
        </w:rPr>
        <w:t>judicial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remedies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t xml:space="preserve"> </w:t>
      </w:r>
      <w:r w:rsidR="0087402A" w:rsidRPr="00A035D0">
        <w:t>persons</w:t>
      </w:r>
      <w:r w:rsidR="00FE6B8B" w:rsidRPr="00A035D0">
        <w:t xml:space="preserve"> </w:t>
      </w:r>
      <w:r w:rsidR="0087402A" w:rsidRPr="00A035D0">
        <w:t>whose</w:t>
      </w:r>
      <w:r w:rsidR="00FE6B8B" w:rsidRPr="00A035D0">
        <w:t xml:space="preserve"> </w:t>
      </w:r>
      <w:r w:rsidR="0087402A" w:rsidRPr="00A035D0">
        <w:t>constitutional</w:t>
      </w:r>
      <w:r w:rsidR="00FE6B8B" w:rsidRPr="00A035D0">
        <w:t xml:space="preserve"> </w:t>
      </w:r>
      <w:r w:rsidR="0087402A" w:rsidRPr="00A035D0">
        <w:t>rights,</w:t>
      </w:r>
      <w:r w:rsidR="00FE6B8B" w:rsidRPr="00A035D0">
        <w:t xml:space="preserve"> </w:t>
      </w:r>
      <w:r w:rsidR="0087402A" w:rsidRPr="00A035D0">
        <w:t>particularly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liberty,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violated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agents.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following:</w:t>
      </w:r>
    </w:p>
    <w:p w14:paraId="65C0D3EE" w14:textId="268306C6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</w:rPr>
      </w:pPr>
      <w:r w:rsidRPr="00A035D0">
        <w:t>•</w:t>
      </w:r>
      <w:r w:rsidRPr="00A035D0">
        <w:tab/>
      </w:r>
      <w:r w:rsidR="0087402A" w:rsidRPr="00A035D0">
        <w:rPr>
          <w:b/>
        </w:rPr>
        <w:t>The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writ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of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habeas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corpus</w:t>
      </w:r>
      <w:r w:rsidR="00FE6B8B" w:rsidRPr="00A035D0">
        <w:t xml:space="preserve"> </w:t>
      </w:r>
      <w:r w:rsidR="0087402A" w:rsidRPr="00A035D0">
        <w:t>safeguards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arbitrary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action.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covers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illegal</w:t>
      </w:r>
      <w:r w:rsidR="00FE6B8B" w:rsidRPr="00A035D0">
        <w:t xml:space="preserve"> </w:t>
      </w:r>
      <w:r w:rsidR="0087402A" w:rsidRPr="00A035D0">
        <w:t>detention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deprived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his</w:t>
      </w:r>
      <w:r w:rsidR="00FE6B8B" w:rsidRPr="00A035D0">
        <w:t xml:space="preserve"> </w:t>
      </w:r>
      <w:r w:rsidR="0087402A" w:rsidRPr="00A035D0">
        <w:t>liberty.</w:t>
      </w:r>
    </w:p>
    <w:p w14:paraId="318F3C89" w14:textId="2821749A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</w:rPr>
      </w:pPr>
      <w:r w:rsidRPr="00A035D0">
        <w:t>•</w:t>
      </w:r>
      <w:r w:rsidRPr="00A035D0">
        <w:tab/>
      </w:r>
      <w:r w:rsidR="0087402A" w:rsidRPr="00A035D0">
        <w:rPr>
          <w:b/>
        </w:rPr>
        <w:t>The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writ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of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amparo</w:t>
      </w:r>
      <w:r w:rsidR="00FE6B8B" w:rsidRPr="00A035D0">
        <w:rPr>
          <w:b/>
        </w:rPr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promulgated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fundamental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beyond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scope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habeas</w:t>
      </w:r>
      <w:r w:rsidR="00FE6B8B" w:rsidRPr="00A035D0">
        <w:t xml:space="preserve"> </w:t>
      </w:r>
      <w:r w:rsidR="0087402A" w:rsidRPr="00A035D0">
        <w:t>corpus.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fact,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Rules,</w:t>
      </w:r>
      <w:r w:rsidR="00FE6B8B" w:rsidRPr="00A035D0">
        <w:t xml:space="preserve"> </w:t>
      </w:r>
      <w:r w:rsidR="0087402A" w:rsidRPr="00A035D0">
        <w:t>upon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Amparo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time</w:t>
      </w:r>
      <w:r w:rsidR="00FE6B8B" w:rsidRPr="00A035D0">
        <w:t xml:space="preserve"> </w:t>
      </w:r>
      <w:r w:rsidR="0087402A" w:rsidRPr="00A035D0">
        <w:t>before</w:t>
      </w:r>
      <w:r w:rsidR="00FE6B8B" w:rsidRPr="00A035D0">
        <w:t xml:space="preserve"> </w:t>
      </w:r>
      <w:r w:rsidR="0087402A" w:rsidRPr="00A035D0">
        <w:t>final</w:t>
      </w:r>
      <w:r w:rsidR="00FE6B8B" w:rsidRPr="00A035D0">
        <w:t xml:space="preserve"> </w:t>
      </w:r>
      <w:r w:rsidR="0087402A" w:rsidRPr="00A035D0">
        <w:t>judgment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rendered,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court,</w:t>
      </w:r>
      <w:r w:rsidR="00FE6B8B" w:rsidRPr="00A035D0">
        <w:t xml:space="preserve"> </w:t>
      </w:r>
      <w:r w:rsidR="0087402A" w:rsidRPr="00A035D0">
        <w:t>justice,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judge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grant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interim</w:t>
      </w:r>
      <w:r w:rsidR="00FE6B8B" w:rsidRPr="00A035D0">
        <w:t xml:space="preserve"> </w:t>
      </w:r>
      <w:r w:rsidR="0087402A" w:rsidRPr="00A035D0">
        <w:t>reliefs:</w:t>
      </w:r>
      <w:r w:rsidR="00FE6B8B" w:rsidRPr="00A035D0">
        <w:t xml:space="preserve"> </w:t>
      </w:r>
      <w:r w:rsidR="0087402A" w:rsidRPr="00A035D0">
        <w:t>(1)</w:t>
      </w:r>
      <w:r w:rsidR="00FE6B8B" w:rsidRPr="00A035D0">
        <w:t xml:space="preserve"> </w:t>
      </w:r>
      <w:r w:rsidR="0087402A" w:rsidRPr="00A035D0">
        <w:t>temporary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order;</w:t>
      </w:r>
      <w:r w:rsidR="00FE6B8B" w:rsidRPr="00A035D0">
        <w:t xml:space="preserve"> </w:t>
      </w:r>
      <w:r w:rsidR="0087402A" w:rsidRPr="00A035D0">
        <w:t>(2)</w:t>
      </w:r>
      <w:r w:rsidR="00FE6B8B" w:rsidRPr="00A035D0">
        <w:t xml:space="preserve"> </w:t>
      </w:r>
      <w:r w:rsidR="0087402A" w:rsidRPr="00A035D0">
        <w:t>inspection</w:t>
      </w:r>
      <w:r w:rsidR="00FE6B8B" w:rsidRPr="00A035D0">
        <w:t xml:space="preserve"> </w:t>
      </w:r>
      <w:r w:rsidR="0087402A" w:rsidRPr="00A035D0">
        <w:t>order;</w:t>
      </w:r>
      <w:r w:rsidR="00FE6B8B" w:rsidRPr="00A035D0">
        <w:t xml:space="preserve"> </w:t>
      </w:r>
      <w:r w:rsidR="0087402A" w:rsidRPr="00A035D0">
        <w:t>(3)</w:t>
      </w:r>
      <w:r w:rsidR="00FE6B8B" w:rsidRPr="00A035D0">
        <w:t xml:space="preserve"> </w:t>
      </w:r>
      <w:r w:rsidR="0087402A" w:rsidRPr="00A035D0">
        <w:t>production</w:t>
      </w:r>
      <w:r w:rsidR="00FE6B8B" w:rsidRPr="00A035D0">
        <w:t xml:space="preserve"> </w:t>
      </w:r>
      <w:r w:rsidR="0087402A" w:rsidRPr="00A035D0">
        <w:t>order;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(4)</w:t>
      </w:r>
      <w:r w:rsidR="00FE6B8B" w:rsidRPr="00A035D0">
        <w:t xml:space="preserve"> </w:t>
      </w:r>
      <w:r w:rsidR="0087402A" w:rsidRPr="00A035D0">
        <w:t>witness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order.</w:t>
      </w:r>
    </w:p>
    <w:p w14:paraId="76F7B75E" w14:textId="547BB026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</w:rPr>
      </w:pPr>
      <w:r w:rsidRPr="00A035D0">
        <w:t>•</w:t>
      </w:r>
      <w:r w:rsidRPr="00A035D0">
        <w:tab/>
      </w:r>
      <w:r w:rsidR="0087402A" w:rsidRPr="00A035D0">
        <w:rPr>
          <w:b/>
        </w:rPr>
        <w:t>writ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of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habeas</w:t>
      </w:r>
      <w:r w:rsidR="00FE6B8B" w:rsidRPr="00A035D0">
        <w:rPr>
          <w:b/>
        </w:rPr>
        <w:t xml:space="preserve"> </w:t>
      </w:r>
      <w:r w:rsidR="0087402A" w:rsidRPr="00A035D0">
        <w:rPr>
          <w:b/>
        </w:rPr>
        <w:t>data</w:t>
      </w:r>
      <w:r w:rsidR="00FE6B8B" w:rsidRPr="00A035D0">
        <w:rPr>
          <w:b/>
        </w:rPr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remedy</w:t>
      </w:r>
      <w:r w:rsidR="00FE6B8B" w:rsidRPr="00A035D0">
        <w:t xml:space="preserve"> </w:t>
      </w:r>
      <w:r w:rsidR="0087402A" w:rsidRPr="00A035D0">
        <w:t>available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whose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privacy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life,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violated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threatened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unlawful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omission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official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employee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private</w:t>
      </w:r>
      <w:r w:rsidR="00FE6B8B" w:rsidRPr="00A035D0">
        <w:t xml:space="preserve"> </w:t>
      </w:r>
      <w:r w:rsidR="0087402A" w:rsidRPr="00A035D0">
        <w:t>individual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entity</w:t>
      </w:r>
      <w:r w:rsidR="00FE6B8B" w:rsidRPr="00A035D0">
        <w:t xml:space="preserve"> </w:t>
      </w:r>
      <w:r w:rsidR="0087402A" w:rsidRPr="00A035D0">
        <w:t>engaged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gathering</w:t>
      </w:r>
      <w:r w:rsidR="00FE6B8B" w:rsidRPr="00A035D0">
        <w:t xml:space="preserve"> </w:t>
      </w:r>
      <w:r w:rsidR="0087402A" w:rsidRPr="00A035D0">
        <w:t>data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regarding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aggrieved</w:t>
      </w:r>
      <w:r w:rsidR="00FE6B8B" w:rsidRPr="00A035D0">
        <w:t xml:space="preserve"> </w:t>
      </w:r>
      <w:r w:rsidR="0087402A" w:rsidRPr="00A035D0">
        <w:t>party.</w:t>
      </w:r>
    </w:p>
    <w:p w14:paraId="54EB882F" w14:textId="47893D0B" w:rsidR="0087402A" w:rsidRPr="00A035D0" w:rsidRDefault="0087402A" w:rsidP="004D42E9">
      <w:pPr>
        <w:pStyle w:val="H56G"/>
      </w:pPr>
      <w:r w:rsidRPr="00A035D0">
        <w:tab/>
      </w:r>
      <w:r w:rsidRPr="00A035D0">
        <w:tab/>
        <w:t>Robust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functioning</w:t>
      </w:r>
      <w:r w:rsidR="00FE6B8B" w:rsidRPr="00A035D0">
        <w:t xml:space="preserve"> </w:t>
      </w:r>
      <w:r w:rsidRPr="00A035D0">
        <w:t>legal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judicial</w:t>
      </w:r>
      <w:r w:rsidR="00FE6B8B" w:rsidRPr="00A035D0">
        <w:t xml:space="preserve"> </w:t>
      </w:r>
      <w:r w:rsidRPr="00A035D0">
        <w:t>remedies</w:t>
      </w:r>
    </w:p>
    <w:p w14:paraId="6AD44ABD" w14:textId="2DF96A9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Report</w:t>
      </w:r>
      <w:r w:rsidR="0087402A" w:rsidRPr="00A035D0">
        <w:rPr>
          <w:rStyle w:val="FootnoteReference"/>
        </w:rPr>
        <w:footnoteReference w:id="49"/>
      </w:r>
      <w:r w:rsidR="00FE6B8B" w:rsidRPr="00A035D0">
        <w:t xml:space="preserve"> </w:t>
      </w:r>
      <w:r w:rsidR="0087402A" w:rsidRPr="00A035D0">
        <w:t>cited</w:t>
      </w:r>
      <w:r w:rsidR="00FE6B8B" w:rsidRPr="00A035D0">
        <w:t xml:space="preserve"> </w:t>
      </w:r>
      <w:r w:rsidR="0087402A" w:rsidRPr="00A035D0">
        <w:t>some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instances</w:t>
      </w:r>
      <w:r w:rsidR="00FE6B8B" w:rsidRPr="00A035D0">
        <w:t xml:space="preserve"> </w:t>
      </w:r>
      <w:r w:rsidR="0087402A" w:rsidRPr="00A035D0">
        <w:t>when</w:t>
      </w:r>
      <w:r w:rsidR="00FE6B8B" w:rsidRPr="00A035D0">
        <w:t xml:space="preserve"> </w:t>
      </w:r>
      <w:r w:rsidR="0087402A" w:rsidRPr="00A035D0">
        <w:t>parties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availed</w:t>
      </w:r>
      <w:r w:rsidR="00FE6B8B" w:rsidRPr="00A035D0">
        <w:t xml:space="preserve"> </w:t>
      </w:r>
      <w:r w:rsidR="0087402A" w:rsidRPr="00A035D0">
        <w:t>themselves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above-cited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judicial</w:t>
      </w:r>
      <w:r w:rsidR="00FE6B8B" w:rsidRPr="00A035D0">
        <w:t xml:space="preserve"> </w:t>
      </w:r>
      <w:r w:rsidR="0087402A" w:rsidRPr="00A035D0">
        <w:t>remedies</w:t>
      </w:r>
      <w:r w:rsidR="0087402A" w:rsidRPr="00A035D0">
        <w:rPr>
          <w:b/>
        </w:rPr>
        <w:t>,</w:t>
      </w:r>
      <w:r w:rsidR="00FE6B8B" w:rsidRPr="00A035D0">
        <w:rPr>
          <w:b/>
        </w:rPr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follows:</w:t>
      </w:r>
    </w:p>
    <w:p w14:paraId="4CF459AF" w14:textId="4058E942" w:rsidR="00FE6B8B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A035D0">
        <w:t>•</w:t>
      </w:r>
      <w:r w:rsidRPr="00A035D0"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4</w:t>
      </w:r>
      <w:r w:rsidR="00FE6B8B" w:rsidRPr="00A035D0">
        <w:t xml:space="preserve"> </w:t>
      </w:r>
      <w:r w:rsidR="0087402A" w:rsidRPr="00A035D0">
        <w:t>December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Karapatan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charges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ranking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NTF-ELCAC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violation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Sec.</w:t>
      </w:r>
      <w:r w:rsidR="00FE6B8B" w:rsidRPr="00A035D0">
        <w:t xml:space="preserve"> </w:t>
      </w:r>
      <w:r w:rsidR="0087402A" w:rsidRPr="00A035D0">
        <w:t>6(h)of</w:t>
      </w:r>
      <w:r w:rsidR="00FE6B8B" w:rsidRPr="00A035D0">
        <w:t xml:space="preserve"> </w:t>
      </w:r>
      <w:r w:rsidR="0087402A" w:rsidRPr="00A035D0">
        <w:t>R.A.9851.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complaints,</w:t>
      </w:r>
      <w:r w:rsidR="00FE6B8B" w:rsidRPr="00A035D0">
        <w:t xml:space="preserve"> </w:t>
      </w:r>
      <w:r w:rsidR="0087402A" w:rsidRPr="00A035D0">
        <w:t>they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“</w:t>
      </w:r>
      <w:r w:rsidR="0087402A" w:rsidRPr="00A035D0">
        <w:t>persistent,</w:t>
      </w:r>
      <w:r w:rsidR="00FE6B8B" w:rsidRPr="00A035D0">
        <w:t xml:space="preserve"> </w:t>
      </w:r>
      <w:r w:rsidR="0087402A" w:rsidRPr="00A035D0">
        <w:t>relentless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malicious</w:t>
      </w:r>
      <w:r w:rsidR="00FE6B8B" w:rsidRPr="00A035D0">
        <w:t xml:space="preserve"> </w:t>
      </w:r>
      <w:r w:rsidR="0087402A" w:rsidRPr="00A035D0">
        <w:t>red-tagging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vilification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basis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>”</w:t>
      </w:r>
      <w:r w:rsidR="00655519">
        <w:t>.</w:t>
      </w:r>
    </w:p>
    <w:p w14:paraId="69E9B3D8" w14:textId="5B0A973D" w:rsidR="0087402A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A035D0">
        <w:t>•</w:t>
      </w:r>
      <w:r w:rsidRPr="00A035D0">
        <w:tab/>
      </w:r>
      <w:r w:rsidR="0087402A" w:rsidRPr="00A035D0">
        <w:t>Bayan</w:t>
      </w:r>
      <w:r w:rsidR="00FE6B8B" w:rsidRPr="00A035D0">
        <w:t xml:space="preserve"> </w:t>
      </w:r>
      <w:r w:rsidR="0087402A" w:rsidRPr="00A035D0">
        <w:t>Muna</w:t>
      </w:r>
      <w:r w:rsidR="00FE6B8B" w:rsidRPr="00A035D0">
        <w:t xml:space="preserve"> </w:t>
      </w:r>
      <w:r w:rsidR="0087402A" w:rsidRPr="00A035D0">
        <w:t>Representative</w:t>
      </w:r>
      <w:r w:rsidR="00FE6B8B" w:rsidRPr="00A035D0">
        <w:t xml:space="preserve"> </w:t>
      </w:r>
      <w:r w:rsidR="0087402A" w:rsidRPr="00A035D0">
        <w:t>Carlos</w:t>
      </w:r>
      <w:r w:rsidR="00FE6B8B" w:rsidRPr="00A035D0">
        <w:t xml:space="preserve"> </w:t>
      </w:r>
      <w:r w:rsidR="0087402A" w:rsidRPr="00A035D0">
        <w:t>Zarate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complaint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Lt.</w:t>
      </w:r>
      <w:r w:rsidR="00FE6B8B" w:rsidRPr="00A035D0">
        <w:t xml:space="preserve"> </w:t>
      </w:r>
      <w:r w:rsidR="0087402A" w:rsidRPr="00A035D0">
        <w:t>Gen.</w:t>
      </w:r>
      <w:r w:rsidR="00FE6B8B" w:rsidRPr="00A035D0">
        <w:t xml:space="preserve"> </w:t>
      </w:r>
      <w:r w:rsidR="0087402A" w:rsidRPr="00A035D0">
        <w:t>Parlade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violation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R.A.</w:t>
      </w:r>
      <w:r w:rsidR="00FE6B8B" w:rsidRPr="00A035D0">
        <w:t xml:space="preserve"> </w:t>
      </w:r>
      <w:r w:rsidR="0087402A" w:rsidRPr="00A035D0">
        <w:t>3019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allegedly</w:t>
      </w:r>
      <w:r w:rsidR="00FE6B8B" w:rsidRPr="00A035D0">
        <w:t xml:space="preserve"> </w:t>
      </w:r>
      <w:r w:rsidR="0087402A" w:rsidRPr="00A035D0">
        <w:t>causing</w:t>
      </w:r>
      <w:r w:rsidR="00FE6B8B" w:rsidRPr="00A035D0">
        <w:t xml:space="preserve"> </w:t>
      </w:r>
      <w:r w:rsidR="0087402A" w:rsidRPr="00A035D0">
        <w:t>his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Bayan</w:t>
      </w:r>
      <w:r w:rsidR="00FE6B8B" w:rsidRPr="00A035D0">
        <w:t xml:space="preserve"> </w:t>
      </w:r>
      <w:r w:rsidR="0087402A" w:rsidRPr="00A035D0">
        <w:t>Muna</w:t>
      </w:r>
      <w:r w:rsidR="00FE6B8B" w:rsidRPr="00A035D0">
        <w:t xml:space="preserve"> </w:t>
      </w:r>
      <w:r w:rsidR="0087402A" w:rsidRPr="00A035D0">
        <w:t>undue</w:t>
      </w:r>
      <w:r w:rsidR="00FE6B8B" w:rsidRPr="00A035D0">
        <w:t xml:space="preserve"> </w:t>
      </w:r>
      <w:r w:rsidR="0087402A" w:rsidRPr="00A035D0">
        <w:t>injury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campaign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election</w:t>
      </w:r>
      <w:r w:rsidR="00FE6B8B" w:rsidRPr="00A035D0">
        <w:t xml:space="preserve"> </w:t>
      </w:r>
      <w:r w:rsidR="0087402A" w:rsidRPr="00A035D0">
        <w:t>period.</w:t>
      </w:r>
    </w:p>
    <w:p w14:paraId="01167500" w14:textId="1A6620F2" w:rsidR="00FE6B8B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A035D0">
        <w:t>•</w:t>
      </w:r>
      <w:r w:rsidRPr="00A035D0">
        <w:tab/>
      </w:r>
      <w:r w:rsidR="0087402A" w:rsidRPr="00A035D0">
        <w:t>On</w:t>
      </w:r>
      <w:r w:rsidR="00FE6B8B" w:rsidRPr="00A035D0">
        <w:t xml:space="preserve"> </w:t>
      </w:r>
      <w:r w:rsidR="0087402A" w:rsidRPr="00A035D0">
        <w:t>16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Kabataan</w:t>
      </w:r>
      <w:r w:rsidR="00FE6B8B" w:rsidRPr="00A035D0">
        <w:t xml:space="preserve"> </w:t>
      </w:r>
      <w:r w:rsidR="0087402A" w:rsidRPr="00A035D0">
        <w:t>Representative</w:t>
      </w:r>
      <w:r w:rsidR="00FE6B8B" w:rsidRPr="00A035D0">
        <w:t xml:space="preserve"> </w:t>
      </w:r>
      <w:r w:rsidR="0087402A" w:rsidRPr="00A035D0">
        <w:t>Sarah</w:t>
      </w:r>
      <w:r w:rsidR="00FE6B8B" w:rsidRPr="00A035D0">
        <w:t xml:space="preserve"> </w:t>
      </w:r>
      <w:r w:rsidR="0087402A" w:rsidRPr="00A035D0">
        <w:t>Elago,</w:t>
      </w:r>
      <w:r w:rsidR="00FE6B8B" w:rsidRPr="00A035D0">
        <w:t xml:space="preserve"> </w:t>
      </w:r>
      <w:r w:rsidR="0087402A" w:rsidRPr="00A035D0">
        <w:t>together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leaders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allied</w:t>
      </w:r>
      <w:r w:rsidR="00FE6B8B" w:rsidRPr="00A035D0">
        <w:t xml:space="preserve"> </w:t>
      </w:r>
      <w:r w:rsidR="0087402A" w:rsidRPr="00A035D0">
        <w:t>youth</w:t>
      </w:r>
      <w:r w:rsidR="00FE6B8B" w:rsidRPr="00A035D0">
        <w:t xml:space="preserve"> </w:t>
      </w:r>
      <w:r w:rsidR="0087402A" w:rsidRPr="00A035D0">
        <w:t>groups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complaint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violation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R.A.6713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ex-officio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NTF-ELCAC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grave</w:t>
      </w:r>
      <w:r w:rsidR="00FE6B8B" w:rsidRPr="00A035D0">
        <w:t xml:space="preserve"> </w:t>
      </w:r>
      <w:r w:rsidR="0087402A" w:rsidRPr="00A035D0">
        <w:t>misconduct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claims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her</w:t>
      </w:r>
      <w:r w:rsidR="00FE6B8B" w:rsidRPr="00A035D0">
        <w:t xml:space="preserve"> </w:t>
      </w:r>
      <w:r w:rsidR="0087402A" w:rsidRPr="00A035D0">
        <w:t>being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rebel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Kabataan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CPP</w:t>
      </w:r>
      <w:r w:rsidR="00FE6B8B" w:rsidRPr="00A035D0">
        <w:t xml:space="preserve"> </w:t>
      </w:r>
      <w:r w:rsidR="0087402A" w:rsidRPr="00A035D0">
        <w:t>front</w:t>
      </w:r>
      <w:r w:rsidR="00FE6B8B" w:rsidRPr="00A035D0">
        <w:t xml:space="preserve"> </w:t>
      </w:r>
      <w:r w:rsidR="0087402A" w:rsidRPr="00A035D0">
        <w:t>organization.</w:t>
      </w:r>
    </w:p>
    <w:p w14:paraId="0818031D" w14:textId="6E0A40D5" w:rsidR="00FE6B8B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A035D0">
        <w:t>•</w:t>
      </w:r>
      <w:r w:rsidRPr="00A035D0"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several</w:t>
      </w:r>
      <w:r w:rsidR="00FE6B8B" w:rsidRPr="00A035D0">
        <w:t xml:space="preserve"> </w:t>
      </w:r>
      <w:r w:rsidR="0087402A" w:rsidRPr="00A035D0">
        <w:t>instances,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granted</w:t>
      </w:r>
      <w:r w:rsidR="00FE6B8B" w:rsidRPr="00A035D0">
        <w:t xml:space="preserve"> </w:t>
      </w:r>
      <w:r w:rsidR="0087402A" w:rsidRPr="00A035D0">
        <w:t>petitions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rPr>
          <w:i/>
        </w:rPr>
        <w:t>writ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amparo</w:t>
      </w:r>
      <w:r w:rsidR="0087402A" w:rsidRPr="00A035D0">
        <w:t>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first</w:t>
      </w:r>
      <w:r w:rsidR="00FE6B8B" w:rsidRPr="00A035D0">
        <w:t xml:space="preserve"> </w:t>
      </w:r>
      <w:r w:rsidR="0087402A" w:rsidRPr="00A035D0">
        <w:t>person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benefit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amparo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Rowil</w:t>
      </w:r>
      <w:r w:rsidR="00FE6B8B" w:rsidRPr="00A035D0">
        <w:t xml:space="preserve"> </w:t>
      </w:r>
      <w:r w:rsidR="0087402A" w:rsidRPr="00A035D0">
        <w:t>Munasque,</w:t>
      </w:r>
      <w:r w:rsidR="00FE6B8B" w:rsidRPr="00A035D0">
        <w:t xml:space="preserve"> </w:t>
      </w:r>
      <w:r w:rsidR="0087402A" w:rsidRPr="00A035D0">
        <w:t>organizer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Bayan</w:t>
      </w:r>
      <w:r w:rsidR="00FE6B8B" w:rsidRPr="00A035D0">
        <w:t xml:space="preserve"> </w:t>
      </w:r>
      <w:r w:rsidR="0087402A" w:rsidRPr="00A035D0">
        <w:t>Muna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Mindanao.</w:t>
      </w:r>
      <w:r w:rsidR="00FE6B8B" w:rsidRPr="00A035D0">
        <w:t xml:space="preserve"> </w:t>
      </w:r>
      <w:r w:rsidR="0087402A" w:rsidRPr="00A035D0">
        <w:t>He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allegedly</w:t>
      </w:r>
      <w:r w:rsidR="00FE6B8B" w:rsidRPr="00A035D0">
        <w:t xml:space="preserve"> </w:t>
      </w:r>
      <w:r w:rsidR="0087402A" w:rsidRPr="00A035D0">
        <w:t>abducted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soldiers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day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amparo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first</w:t>
      </w:r>
      <w:r w:rsidR="00FE6B8B" w:rsidRPr="00A035D0">
        <w:t xml:space="preserve"> </w:t>
      </w:r>
      <w:r w:rsidR="0087402A" w:rsidRPr="00A035D0">
        <w:t>promulgated.</w:t>
      </w:r>
      <w:r w:rsidR="00FE6B8B" w:rsidRPr="00A035D0">
        <w:t xml:space="preserve"> </w:t>
      </w:r>
      <w:r w:rsidR="0087402A" w:rsidRPr="00A035D0">
        <w:t>He</w:t>
      </w:r>
      <w:r w:rsidR="00FE6B8B" w:rsidRPr="00A035D0">
        <w:t xml:space="preserve"> </w:t>
      </w:r>
      <w:r w:rsidR="0087402A" w:rsidRPr="00A035D0">
        <w:t>walked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free</w:t>
      </w:r>
      <w:r w:rsidR="00FE6B8B" w:rsidRPr="00A035D0">
        <w:t xml:space="preserve"> </w:t>
      </w:r>
      <w:r w:rsidR="0087402A" w:rsidRPr="00A035D0">
        <w:t>man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Pagadian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Trial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7</w:t>
      </w:r>
      <w:r w:rsidR="00FE6B8B" w:rsidRPr="00A035D0">
        <w:t xml:space="preserve"> </w:t>
      </w:r>
      <w:r w:rsidR="0087402A" w:rsidRPr="00A035D0">
        <w:t>November</w:t>
      </w:r>
      <w:r w:rsidR="00FE6B8B" w:rsidRPr="00A035D0">
        <w:t xml:space="preserve"> </w:t>
      </w:r>
      <w:r w:rsidR="0087402A" w:rsidRPr="00A035D0">
        <w:t>2007</w:t>
      </w:r>
      <w:r w:rsidR="00FE6B8B" w:rsidRPr="00A035D0">
        <w:t xml:space="preserve"> </w:t>
      </w:r>
      <w:r w:rsidR="0087402A" w:rsidRPr="00A035D0">
        <w:t>after</w:t>
      </w:r>
      <w:r w:rsidR="00FE6B8B" w:rsidRPr="00A035D0">
        <w:t xml:space="preserve"> </w:t>
      </w:r>
      <w:r w:rsidR="0087402A" w:rsidRPr="00A035D0">
        <w:t>his</w:t>
      </w:r>
      <w:r w:rsidR="00FE6B8B" w:rsidRPr="00A035D0">
        <w:t xml:space="preserve"> </w:t>
      </w:r>
      <w:r w:rsidR="0087402A" w:rsidRPr="00A035D0">
        <w:t>family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granted.</w:t>
      </w:r>
    </w:p>
    <w:p w14:paraId="4AC47400" w14:textId="5924A63C" w:rsidR="00FE6B8B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A035D0">
        <w:t>•</w:t>
      </w:r>
      <w:r w:rsidRPr="00A035D0"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Bautista</w:t>
      </w:r>
      <w:r w:rsidR="00FE6B8B" w:rsidRPr="00A035D0">
        <w:t xml:space="preserve"> </w:t>
      </w:r>
      <w:r w:rsidR="0087402A" w:rsidRPr="00A035D0">
        <w:t>vs.</w:t>
      </w:r>
      <w:r w:rsidR="00FE6B8B" w:rsidRPr="00A035D0">
        <w:t xml:space="preserve"> </w:t>
      </w:r>
      <w:r w:rsidR="0087402A" w:rsidRPr="00A035D0">
        <w:t>Dannug-Salucon</w:t>
      </w:r>
      <w:r w:rsidR="0087402A" w:rsidRPr="00A035D0">
        <w:rPr>
          <w:rStyle w:val="FootnoteReference"/>
        </w:rPr>
        <w:footnoteReference w:id="50"/>
      </w:r>
      <w:r w:rsidR="0087402A" w:rsidRPr="00A035D0">
        <w:t>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Supreme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affirmed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decision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Appeals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Atty.</w:t>
      </w:r>
      <w:r w:rsidR="00FE6B8B" w:rsidRPr="00A035D0">
        <w:t xml:space="preserve"> </w:t>
      </w:r>
      <w:r w:rsidR="0087402A" w:rsidRPr="00A035D0">
        <w:t>Dannug-Salucon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Union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Lawyers</w:t>
      </w:r>
      <w:r w:rsidR="00FE6B8B" w:rsidRPr="00A035D0">
        <w:t xml:space="preserve"> </w:t>
      </w:r>
      <w:r w:rsidR="0087402A" w:rsidRPr="00A035D0">
        <w:t>presented</w:t>
      </w:r>
      <w:r w:rsidR="00FE6B8B" w:rsidRPr="00A035D0">
        <w:t xml:space="preserve"> </w:t>
      </w:r>
      <w:r w:rsidR="0087402A" w:rsidRPr="00A035D0">
        <w:t>substantial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sufficient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justify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rPr>
          <w:i/>
        </w:rPr>
        <w:t>writ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amparo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rPr>
          <w:i/>
        </w:rPr>
        <w:t>writ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habeas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data.</w:t>
      </w:r>
    </w:p>
    <w:p w14:paraId="24100ED4" w14:textId="31530647" w:rsidR="00FE6B8B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  <w:rPr>
          <w:i/>
        </w:rPr>
      </w:pPr>
      <w:r w:rsidRPr="00A035D0">
        <w:lastRenderedPageBreak/>
        <w:t>•</w:t>
      </w:r>
      <w:r w:rsidRPr="00A035D0">
        <w:tab/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655519">
        <w:t>Bayan</w:t>
      </w:r>
      <w:r w:rsidR="00FE6B8B" w:rsidRPr="00655519">
        <w:t xml:space="preserve"> </w:t>
      </w:r>
      <w:r w:rsidR="0087402A" w:rsidRPr="00655519">
        <w:t>Muna</w:t>
      </w:r>
      <w:r w:rsidR="00FE6B8B" w:rsidRPr="00655519">
        <w:t xml:space="preserve"> </w:t>
      </w:r>
      <w:r w:rsidR="0087402A" w:rsidRPr="00655519">
        <w:t>Party-List</w:t>
      </w:r>
      <w:r w:rsidR="00FE6B8B" w:rsidRPr="00655519">
        <w:t xml:space="preserve"> </w:t>
      </w:r>
      <w:r w:rsidR="0087402A" w:rsidRPr="00655519">
        <w:t>vs.</w:t>
      </w:r>
      <w:r w:rsidR="00FE6B8B" w:rsidRPr="00655519">
        <w:t xml:space="preserve"> </w:t>
      </w:r>
      <w:r w:rsidR="0087402A" w:rsidRPr="00655519">
        <w:t>Aquino</w:t>
      </w:r>
      <w:r w:rsidR="0087402A" w:rsidRPr="00A035D0">
        <w:rPr>
          <w:rStyle w:val="FootnoteReference"/>
        </w:rPr>
        <w:footnoteReference w:id="51"/>
      </w:r>
      <w:r w:rsidR="00FE6B8B" w:rsidRPr="00A035D0">
        <w:t xml:space="preserve"> </w:t>
      </w:r>
      <w:r w:rsidR="0087402A" w:rsidRPr="00A035D0">
        <w:t>wherein</w:t>
      </w:r>
      <w:r w:rsidR="00FE6B8B" w:rsidRPr="00A035D0">
        <w:t xml:space="preserve"> </w:t>
      </w:r>
      <w:r w:rsidR="0087402A" w:rsidRPr="00A035D0">
        <w:t>petitions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rPr>
          <w:i/>
        </w:rPr>
        <w:t>writ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amparo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rPr>
          <w:i/>
        </w:rPr>
        <w:t>habeas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data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based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assertions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petitioners</w:t>
      </w:r>
      <w:r w:rsidR="0087402A" w:rsidRPr="00A035D0">
        <w:rPr>
          <w:rStyle w:val="FootnoteReference"/>
        </w:rPr>
        <w:footnoteReference w:id="52"/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wrongly</w:t>
      </w:r>
      <w:r w:rsidR="00FE6B8B" w:rsidRPr="00A035D0">
        <w:t xml:space="preserve"> </w:t>
      </w:r>
      <w:r w:rsidR="0087402A" w:rsidRPr="00A035D0">
        <w:t>tagged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military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police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‘‘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front</w:t>
      </w:r>
      <w:r w:rsidR="00FE6B8B" w:rsidRPr="00A035D0">
        <w:t xml:space="preserve"> </w:t>
      </w:r>
      <w:r w:rsidR="0087402A" w:rsidRPr="00A035D0">
        <w:t>organizations,</w:t>
      </w:r>
      <w:r w:rsidR="00FE6B8B" w:rsidRPr="00A035D0">
        <w:t xml:space="preserve">”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concluded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inclusion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“</w:t>
      </w:r>
      <w:r w:rsidR="0087402A" w:rsidRPr="00A035D0">
        <w:t>lists</w:t>
      </w:r>
      <w:r w:rsidR="00FE6B8B" w:rsidRPr="00A035D0">
        <w:t xml:space="preserve">”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threats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life,</w:t>
      </w:r>
      <w:r w:rsidR="00FE6B8B" w:rsidRPr="00A035D0">
        <w:t xml:space="preserve"> </w:t>
      </w:r>
      <w:r w:rsidR="0087402A" w:rsidRPr="00A035D0">
        <w:t>liberty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property</w:t>
      </w:r>
      <w:r w:rsidR="00FE6B8B" w:rsidRPr="00A035D0">
        <w:t xml:space="preserve"> </w:t>
      </w:r>
      <w:r w:rsidR="0087402A" w:rsidRPr="00A035D0">
        <w:t>warranting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writ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amparo.</w:t>
      </w:r>
    </w:p>
    <w:p w14:paraId="5E5A15FA" w14:textId="590509BA" w:rsidR="0087402A" w:rsidRPr="00A035D0" w:rsidRDefault="0099511E" w:rsidP="0099511E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  <w:rPr>
          <w:i/>
          <w:iCs/>
        </w:rPr>
      </w:pPr>
      <w:r w:rsidRPr="00A035D0">
        <w:rPr>
          <w:iCs/>
        </w:rPr>
        <w:t>•</w:t>
      </w:r>
      <w:r w:rsidRPr="00A035D0">
        <w:rPr>
          <w:iCs/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Supreme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denied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</w:t>
      </w:r>
      <w:r w:rsidR="0087402A" w:rsidRPr="00A035D0">
        <w:rPr>
          <w:rStyle w:val="FootnoteReference"/>
        </w:rPr>
        <w:footnoteReference w:id="53"/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Bayan</w:t>
      </w:r>
      <w:r w:rsidR="00FE6B8B" w:rsidRPr="00A035D0">
        <w:t xml:space="preserve"> </w:t>
      </w:r>
      <w:r w:rsidR="0087402A" w:rsidRPr="00A035D0">
        <w:t>Muna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failure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substantial</w:t>
      </w:r>
      <w:r w:rsidR="00FE6B8B" w:rsidRPr="00A035D0">
        <w:t xml:space="preserve"> </w:t>
      </w:r>
      <w:r w:rsidR="0087402A" w:rsidRPr="00A035D0">
        <w:t>evidence</w:t>
      </w:r>
      <w:r w:rsidR="0087402A" w:rsidRPr="00A035D0">
        <w:rPr>
          <w:rStyle w:val="FootnoteReference"/>
        </w:rPr>
        <w:footnoteReference w:id="54"/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prove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claims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actual</w:t>
      </w:r>
      <w:r w:rsidR="00FE6B8B" w:rsidRPr="00A035D0">
        <w:t xml:space="preserve"> </w:t>
      </w:r>
      <w:r w:rsidR="0087402A" w:rsidRPr="00A035D0">
        <w:t>threats</w:t>
      </w:r>
      <w:r w:rsidR="00FE6B8B" w:rsidRPr="00A035D0">
        <w:t xml:space="preserve"> </w:t>
      </w:r>
      <w:r w:rsidR="0087402A" w:rsidRPr="00A035D0">
        <w:t>resulting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alleged</w:t>
      </w:r>
      <w:r w:rsidR="00FE6B8B" w:rsidRPr="00A035D0">
        <w:t xml:space="preserve"> </w:t>
      </w:r>
      <w:r w:rsidR="0087402A" w:rsidRPr="00A035D0">
        <w:t>wrongful</w:t>
      </w:r>
      <w:r w:rsidR="00FE6B8B" w:rsidRPr="00A035D0">
        <w:t xml:space="preserve"> </w:t>
      </w:r>
      <w:r w:rsidR="0087402A" w:rsidRPr="00A035D0">
        <w:t>tagging.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said:</w:t>
      </w:r>
      <w:r w:rsidR="00FE6B8B" w:rsidRPr="00A035D0">
        <w:t xml:space="preserve"> “</w:t>
      </w:r>
      <w:r w:rsidR="0087402A"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writ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amparo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is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extraordinary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remedy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it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is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available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not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only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for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violations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life,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liberty,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security,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but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also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against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threatened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violations.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However,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not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all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threats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are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protected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Amparo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Rule.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Only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actual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threats,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may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established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from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all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facts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circumstances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case,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can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qualify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as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violation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that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may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addressed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under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Rule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on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Writ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Amparo.</w:t>
      </w:r>
      <w:r w:rsidR="00FE6B8B" w:rsidRPr="00655519">
        <w:t>”</w:t>
      </w:r>
    </w:p>
    <w:p w14:paraId="31C0412B" w14:textId="246F3305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Above-cited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demonstrate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robustly</w:t>
      </w:r>
      <w:r w:rsidR="00FE6B8B" w:rsidRPr="00A035D0">
        <w:t xml:space="preserve"> </w:t>
      </w:r>
      <w:r w:rsidR="0087402A" w:rsidRPr="00A035D0">
        <w:t>functioning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judicial</w:t>
      </w:r>
      <w:r w:rsidR="00FE6B8B" w:rsidRPr="00A035D0">
        <w:t xml:space="preserve"> </w:t>
      </w:r>
      <w:r w:rsidR="0087402A" w:rsidRPr="00A035D0">
        <w:t>remedies.</w:t>
      </w:r>
    </w:p>
    <w:p w14:paraId="368B666E" w14:textId="7B19B62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Many</w:t>
      </w:r>
      <w:r w:rsidR="00FE6B8B" w:rsidRPr="00A035D0">
        <w:t xml:space="preserve"> </w:t>
      </w:r>
      <w:r w:rsidR="0087402A" w:rsidRPr="00A035D0">
        <w:t>reprisal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found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rehashed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unsubstantiated.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issues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very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allegations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groups</w:t>
      </w:r>
      <w:r w:rsidR="00FE6B8B" w:rsidRPr="00A035D0">
        <w:t xml:space="preserve"> </w:t>
      </w:r>
      <w:r w:rsidR="0087402A" w:rsidRPr="00A035D0">
        <w:rPr>
          <w:i/>
        </w:rPr>
        <w:t>National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Union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Peoples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Lawyers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(NUPL),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Karapatan,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Rural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Missionaries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of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the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Philippines</w:t>
      </w:r>
      <w:r w:rsidR="00FE6B8B" w:rsidRPr="00A035D0">
        <w:rPr>
          <w:i/>
        </w:rPr>
        <w:t xml:space="preserve"> </w:t>
      </w:r>
      <w:r w:rsidR="0087402A" w:rsidRPr="00A035D0">
        <w:rPr>
          <w:i/>
        </w:rPr>
        <w:t>(RMP)</w:t>
      </w:r>
      <w:r w:rsidR="00FE6B8B" w:rsidRPr="00A035D0">
        <w:rPr>
          <w:i/>
        </w:rPr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rPr>
          <w:i/>
        </w:rPr>
        <w:t>Gabriela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Supreme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Writ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Amparo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Habeas</w:t>
      </w:r>
      <w:r w:rsidR="00FE6B8B" w:rsidRPr="00A035D0">
        <w:t xml:space="preserve"> </w:t>
      </w:r>
      <w:r w:rsidR="0087402A" w:rsidRPr="00A035D0">
        <w:t>Data,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Court</w:t>
      </w:r>
      <w:r w:rsidR="00FE6B8B" w:rsidRPr="00A035D0">
        <w:t xml:space="preserve"> </w:t>
      </w:r>
      <w:r w:rsidR="0087402A" w:rsidRPr="00A035D0">
        <w:t>ruled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Petitioners</w:t>
      </w:r>
      <w:r w:rsidR="00FE6B8B" w:rsidRPr="00A035D0">
        <w:t xml:space="preserve"> </w:t>
      </w:r>
      <w:r w:rsidR="0087402A" w:rsidRPr="00A035D0">
        <w:t>NUPL,</w:t>
      </w:r>
      <w:r w:rsidR="00FE6B8B" w:rsidRPr="00A035D0">
        <w:t xml:space="preserve"> </w:t>
      </w:r>
      <w:r w:rsidR="0087402A" w:rsidRPr="00A035D0">
        <w:t>Karapatan,</w:t>
      </w:r>
      <w:r w:rsidR="00FE6B8B" w:rsidRPr="00A035D0">
        <w:t xml:space="preserve"> </w:t>
      </w:r>
      <w:r w:rsidR="0087402A" w:rsidRPr="00A035D0">
        <w:t>RMP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Gabriela</w:t>
      </w:r>
      <w:r w:rsidR="00FE6B8B" w:rsidRPr="00A035D0">
        <w:t xml:space="preserve"> </w:t>
      </w:r>
      <w:r w:rsidR="0087402A" w:rsidRPr="00A035D0">
        <w:t>failed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present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existence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extrajudicial</w:t>
      </w:r>
      <w:r w:rsidR="00FE6B8B" w:rsidRPr="00A035D0">
        <w:t xml:space="preserve"> </w:t>
      </w:r>
      <w:r w:rsidR="0087402A" w:rsidRPr="00A035D0">
        <w:t>killings</w:t>
      </w:r>
      <w:r w:rsidR="00FE6B8B" w:rsidRPr="00A035D0">
        <w:t xml:space="preserve"> </w:t>
      </w:r>
      <w:r w:rsidR="0087402A" w:rsidRPr="00A035D0">
        <w:t>and/or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intimidation,</w:t>
      </w:r>
      <w:r w:rsidR="00FE6B8B" w:rsidRPr="00A035D0">
        <w:t xml:space="preserve"> </w:t>
      </w:r>
      <w:r w:rsidR="0087402A" w:rsidRPr="00A035D0">
        <w:t>reprisal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surveillance:</w:t>
      </w:r>
    </w:p>
    <w:p w14:paraId="4DD9810A" w14:textId="77777777" w:rsidR="00FE6B8B" w:rsidRPr="00A035D0" w:rsidRDefault="00FE6B8B" w:rsidP="004D42E9">
      <w:pPr>
        <w:pStyle w:val="SingleTxtG"/>
        <w:ind w:left="1701"/>
        <w:rPr>
          <w:i/>
          <w:iCs/>
        </w:rPr>
      </w:pPr>
      <w:r w:rsidRPr="00655519">
        <w:t>“</w:t>
      </w:r>
      <w:r w:rsidR="0087402A" w:rsidRPr="00A035D0">
        <w:rPr>
          <w:i/>
          <w:iCs/>
        </w:rPr>
        <w:t>First,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petitioners</w:t>
      </w:r>
      <w:r w:rsidRPr="00A035D0">
        <w:rPr>
          <w:i/>
          <w:iCs/>
        </w:rPr>
        <w:t xml:space="preserve">’ </w:t>
      </w:r>
      <w:r w:rsidR="0087402A" w:rsidRPr="00A035D0">
        <w:rPr>
          <w:i/>
          <w:iCs/>
        </w:rPr>
        <w:t>general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statements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that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some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incidents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extrajudicial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killings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enforced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disappearances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human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rights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workers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happened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during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present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administration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are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empty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averments.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case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briefs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attached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to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petition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are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self-serving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being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entirely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prepared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by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petitioners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their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organizations.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Verily,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petitioners</w:t>
      </w:r>
      <w:r w:rsidRPr="00A035D0">
        <w:rPr>
          <w:i/>
          <w:iCs/>
        </w:rPr>
        <w:t xml:space="preserve">’ </w:t>
      </w:r>
      <w:r w:rsidR="0087402A" w:rsidRPr="00A035D0">
        <w:rPr>
          <w:i/>
          <w:iCs/>
        </w:rPr>
        <w:t>bare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allegations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are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not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facts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do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not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have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probative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value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to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justify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issuance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extraordinary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writs.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broad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generalizations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of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alleged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threats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violations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border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on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the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contemptuous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and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do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not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deserve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any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judicial</w:t>
      </w:r>
      <w:r w:rsidRPr="00A035D0">
        <w:rPr>
          <w:i/>
          <w:iCs/>
        </w:rPr>
        <w:t xml:space="preserve"> </w:t>
      </w:r>
      <w:r w:rsidR="0087402A" w:rsidRPr="00A035D0">
        <w:rPr>
          <w:i/>
          <w:iCs/>
        </w:rPr>
        <w:t>action.</w:t>
      </w:r>
    </w:p>
    <w:p w14:paraId="022A21AB" w14:textId="77777777" w:rsidR="00FE6B8B" w:rsidRPr="00A035D0" w:rsidRDefault="0087402A" w:rsidP="004D42E9">
      <w:pPr>
        <w:pStyle w:val="SingleTxtG"/>
        <w:ind w:left="1701"/>
        <w:rPr>
          <w:i/>
          <w:iCs/>
        </w:rPr>
      </w:pPr>
      <w:r w:rsidRPr="00A035D0">
        <w:rPr>
          <w:i/>
          <w:iCs/>
        </w:rPr>
        <w:t>Second,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petitioners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merely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lumped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together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purported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violations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threats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against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individual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officers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members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absent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proof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were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committed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because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their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humanitarian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works.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Mere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membership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organizations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sectors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cannot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equate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actual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threat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justify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issuance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writ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amparo.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lumping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previous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present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experiences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petitioners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misleading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may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give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impression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that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their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life,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liberty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security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threatened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violated.</w:t>
      </w:r>
    </w:p>
    <w:p w14:paraId="6FD94FE1" w14:textId="2C382D2F" w:rsidR="0087402A" w:rsidRPr="00A035D0" w:rsidRDefault="0087402A" w:rsidP="004D42E9">
      <w:pPr>
        <w:pStyle w:val="SingleTxtG"/>
        <w:ind w:left="1701"/>
        <w:rPr>
          <w:i/>
          <w:iCs/>
        </w:rPr>
      </w:pP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petitioners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anchored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their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fear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trump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up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charges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against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them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justify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their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detention.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petitioners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submitted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online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news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articles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with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their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statements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accusing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government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illegal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arrests.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However,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filing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cases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cannot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characterized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unlawful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act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omission.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fact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remains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that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charges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against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petitioners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duly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filed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ruled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upon.</w:t>
      </w:r>
    </w:p>
    <w:p w14:paraId="7EDA500A" w14:textId="334FD3CD" w:rsidR="0087402A" w:rsidRPr="00A035D0" w:rsidRDefault="0087402A" w:rsidP="004D42E9">
      <w:pPr>
        <w:pStyle w:val="SingleTxtG"/>
        <w:ind w:left="1701"/>
        <w:rPr>
          <w:i/>
          <w:iCs/>
        </w:rPr>
      </w:pPr>
      <w:r w:rsidRPr="00A035D0">
        <w:rPr>
          <w:i/>
          <w:iCs/>
        </w:rPr>
        <w:t>On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final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note,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reiterate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that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rights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life,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liberty,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security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privacy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fundamental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rights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enshrined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constitution.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inviolable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under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bill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rights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must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protected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State.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rights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fall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within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protective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mantle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writs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amparo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habeas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data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which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designed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enforce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constitution.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remedies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ensure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that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no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offender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can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go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scot-free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merely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denying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his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involvement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breach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rights.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However,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writs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cannot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issued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amorphous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uncertain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grounds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lest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their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purpose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undermined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by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lastRenderedPageBreak/>
        <w:t>indiscriminate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filing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petitions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basis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unsubstantiated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allegations.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More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importantly,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government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involvement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violations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or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threats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against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these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rights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remains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an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indispensable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element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before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grant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privilege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of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the</w:t>
      </w:r>
      <w:r w:rsidR="00FE6B8B" w:rsidRPr="00A035D0">
        <w:rPr>
          <w:i/>
          <w:iCs/>
        </w:rPr>
        <w:t xml:space="preserve"> </w:t>
      </w:r>
      <w:r w:rsidRPr="00A035D0">
        <w:rPr>
          <w:i/>
          <w:iCs/>
        </w:rPr>
        <w:t>writs.</w:t>
      </w:r>
      <w:r w:rsidR="00FE6B8B" w:rsidRPr="00655519">
        <w:t>”</w:t>
      </w:r>
    </w:p>
    <w:p w14:paraId="183D7FA7" w14:textId="5FE8A548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currently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draft</w:t>
      </w:r>
      <w:r w:rsidR="00FE6B8B" w:rsidRPr="00A035D0">
        <w:t xml:space="preserve"> </w:t>
      </w:r>
      <w:r w:rsidR="0087402A" w:rsidRPr="00A035D0">
        <w:t>versions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Defenders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different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Congress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House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Representatives,</w:t>
      </w:r>
      <w:r w:rsidR="00FE6B8B" w:rsidRPr="00A035D0">
        <w:t xml:space="preserve"> </w:t>
      </w:r>
      <w:r w:rsidR="0087402A" w:rsidRPr="00A035D0">
        <w:t>they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following:</w:t>
      </w:r>
    </w:p>
    <w:p w14:paraId="0A56F26D" w14:textId="72870888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0015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Edcel</w:t>
      </w:r>
      <w:r w:rsidR="00FE6B8B" w:rsidRPr="00A035D0">
        <w:t xml:space="preserve"> </w:t>
      </w:r>
      <w:r w:rsidR="0087402A" w:rsidRPr="00A035D0">
        <w:t>C.</w:t>
      </w:r>
      <w:r w:rsidR="00FE6B8B" w:rsidRPr="00A035D0">
        <w:t xml:space="preserve"> </w:t>
      </w:r>
      <w:r w:rsidR="0087402A" w:rsidRPr="00A035D0">
        <w:t>Lagman</w:t>
      </w:r>
      <w:r w:rsidR="0087402A" w:rsidRPr="00A035D0">
        <w:rPr>
          <w:rStyle w:val="FootnoteReference"/>
        </w:rPr>
        <w:footnoteReference w:id="55"/>
      </w:r>
    </w:p>
    <w:p w14:paraId="449F0162" w14:textId="11C363FF" w:rsidR="0087402A" w:rsidRPr="00A035D0" w:rsidRDefault="004D42E9" w:rsidP="004D42E9">
      <w:pPr>
        <w:pStyle w:val="SingleTxtG"/>
        <w:rPr>
          <w:rStyle w:val="FootnoteReference"/>
        </w:rPr>
      </w:pPr>
      <w:r w:rsidRPr="00A035D0">
        <w:tab/>
      </w:r>
      <w:r w:rsidR="0087402A" w:rsidRPr="00A035D0">
        <w:t>2.</w:t>
      </w:r>
      <w:r w:rsidR="0087402A" w:rsidRPr="00A035D0">
        <w:tab/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0161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Jose</w:t>
      </w:r>
      <w:r w:rsidR="00FE6B8B" w:rsidRPr="00A035D0">
        <w:t xml:space="preserve"> </w:t>
      </w:r>
      <w:r w:rsidR="0087402A" w:rsidRPr="00A035D0">
        <w:t>Christopher</w:t>
      </w:r>
      <w:r w:rsidR="00FE6B8B" w:rsidRPr="00A035D0">
        <w:t xml:space="preserve"> </w:t>
      </w:r>
      <w:r w:rsidR="0087402A" w:rsidRPr="00A035D0">
        <w:t>Y.</w:t>
      </w:r>
      <w:r w:rsidR="00FE6B8B" w:rsidRPr="00A035D0">
        <w:t xml:space="preserve"> </w:t>
      </w:r>
      <w:r w:rsidR="0087402A" w:rsidRPr="00A035D0">
        <w:t>Belmonte</w:t>
      </w:r>
      <w:r w:rsidR="0087402A" w:rsidRPr="00A035D0">
        <w:rPr>
          <w:rStyle w:val="FootnoteReference"/>
        </w:rPr>
        <w:footnoteReference w:id="56"/>
      </w:r>
    </w:p>
    <w:p w14:paraId="1698FAD3" w14:textId="77777777" w:rsidR="00FE6B8B" w:rsidRPr="00A035D0" w:rsidRDefault="004D42E9" w:rsidP="004D42E9">
      <w:pPr>
        <w:pStyle w:val="SingleTxtG"/>
        <w:rPr>
          <w:rStyle w:val="FootnoteReference"/>
        </w:rPr>
      </w:pPr>
      <w:r w:rsidRPr="00A035D0">
        <w:tab/>
      </w:r>
      <w:r w:rsidR="0087402A" w:rsidRPr="00A035D0">
        <w:t>3.</w:t>
      </w:r>
      <w:r w:rsidR="0087402A" w:rsidRPr="00A035D0">
        <w:tab/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0240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Carlos</w:t>
      </w:r>
      <w:r w:rsidR="00FE6B8B" w:rsidRPr="00A035D0">
        <w:t xml:space="preserve"> </w:t>
      </w:r>
      <w:r w:rsidR="0087402A" w:rsidRPr="00A035D0">
        <w:t>T.</w:t>
      </w:r>
      <w:r w:rsidR="00FE6B8B" w:rsidRPr="00A035D0">
        <w:t xml:space="preserve"> </w:t>
      </w:r>
      <w:r w:rsidR="0087402A" w:rsidRPr="00A035D0">
        <w:t>Zarate</w:t>
      </w:r>
      <w:r w:rsidR="0087402A" w:rsidRPr="00A035D0">
        <w:rPr>
          <w:rStyle w:val="FootnoteReference"/>
        </w:rPr>
        <w:footnoteReference w:id="57"/>
      </w:r>
    </w:p>
    <w:p w14:paraId="468F4EEC" w14:textId="77777777" w:rsidR="00FE6B8B" w:rsidRPr="00A035D0" w:rsidRDefault="0087402A" w:rsidP="004D42E9">
      <w:pPr>
        <w:pStyle w:val="H1G"/>
      </w:pPr>
      <w:r w:rsidRPr="00A035D0">
        <w:tab/>
      </w:r>
      <w:r w:rsidRPr="00A035D0">
        <w:tab/>
        <w:t>Freedom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expression,</w:t>
      </w:r>
      <w:r w:rsidR="00FE6B8B" w:rsidRPr="00A035D0">
        <w:t xml:space="preserve"> </w:t>
      </w:r>
      <w:r w:rsidRPr="00A035D0">
        <w:t>association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assembly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19,</w:t>
      </w:r>
      <w:r w:rsidR="00FE6B8B" w:rsidRPr="00A035D0">
        <w:t xml:space="preserve"> </w:t>
      </w:r>
      <w:r w:rsidRPr="00A035D0">
        <w:t>20,</w:t>
      </w:r>
      <w:r w:rsidR="00FE6B8B" w:rsidRPr="00A035D0">
        <w:t xml:space="preserve"> </w:t>
      </w:r>
      <w:r w:rsidRPr="00A035D0">
        <w:t>21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22)</w:t>
      </w:r>
    </w:p>
    <w:p w14:paraId="09C8681F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22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3D070E14" w14:textId="64A9C49D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several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versions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Anti-False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Content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Bill,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House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Representatives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following:</w:t>
      </w:r>
    </w:p>
    <w:p w14:paraId="2D3ADCBA" w14:textId="684F15E0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(HB)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01324</w:t>
      </w:r>
      <w:r w:rsidR="0087402A" w:rsidRPr="00A035D0">
        <w:rPr>
          <w:rStyle w:val="FootnoteReference"/>
        </w:rPr>
        <w:footnoteReference w:id="58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Network</w:t>
      </w:r>
      <w:r w:rsidR="00FE6B8B" w:rsidRPr="00A035D0">
        <w:t xml:space="preserve"> </w:t>
      </w:r>
      <w:r w:rsidR="0087402A" w:rsidRPr="00A035D0">
        <w:t>Regulation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Jose</w:t>
      </w:r>
      <w:r w:rsidR="00FE6B8B" w:rsidRPr="00A035D0">
        <w:t xml:space="preserve"> </w:t>
      </w:r>
      <w:r w:rsidR="0087402A" w:rsidRPr="00A035D0">
        <w:t>Antonio</w:t>
      </w:r>
      <w:r w:rsidR="00FE6B8B" w:rsidRPr="00A035D0">
        <w:t xml:space="preserve"> </w:t>
      </w:r>
      <w:r w:rsidR="0087402A" w:rsidRPr="00A035D0">
        <w:t>Sy-Alvarado,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24</w:t>
      </w:r>
      <w:r w:rsidR="00FE6B8B" w:rsidRPr="00A035D0">
        <w:t xml:space="preserve"> </w:t>
      </w:r>
      <w:r w:rsidR="0087402A" w:rsidRPr="00A035D0">
        <w:t>2019;</w:t>
      </w:r>
    </w:p>
    <w:p w14:paraId="4632929A" w14:textId="442B65A7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02143</w:t>
      </w:r>
      <w:r w:rsidR="0087402A" w:rsidRPr="00A035D0">
        <w:rPr>
          <w:rStyle w:val="FootnoteReference"/>
        </w:rPr>
        <w:footnoteReference w:id="59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Penalizing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Forms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Fake/</w:t>
      </w:r>
      <w:r w:rsidR="00FE6B8B" w:rsidRPr="00A035D0">
        <w:t xml:space="preserve"> </w:t>
      </w:r>
      <w:r w:rsidR="0087402A" w:rsidRPr="00A035D0">
        <w:t>False</w:t>
      </w:r>
      <w:r w:rsidR="00FE6B8B" w:rsidRPr="00A035D0">
        <w:t xml:space="preserve"> </w:t>
      </w:r>
      <w:r w:rsidR="0087402A" w:rsidRPr="00A035D0">
        <w:t>News,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Purposes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Michael</w:t>
      </w:r>
      <w:r w:rsidR="00FE6B8B" w:rsidRPr="00A035D0">
        <w:t xml:space="preserve"> </w:t>
      </w:r>
      <w:r w:rsidR="0087402A" w:rsidRPr="00A035D0">
        <w:t>Romero,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29</w:t>
      </w:r>
      <w:r w:rsidR="00FE6B8B" w:rsidRPr="00A035D0">
        <w:t xml:space="preserve"> </w:t>
      </w:r>
      <w:r w:rsidR="0087402A" w:rsidRPr="00A035D0">
        <w:t>2019;</w:t>
      </w:r>
      <w:r w:rsidR="00FE6B8B" w:rsidRPr="00A035D0">
        <w:t xml:space="preserve"> </w:t>
      </w:r>
      <w:r w:rsidR="0087402A" w:rsidRPr="00A035D0">
        <w:t>and</w:t>
      </w:r>
    </w:p>
    <w:p w14:paraId="1D2EFF48" w14:textId="373305FB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3.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04390</w:t>
      </w:r>
      <w:r w:rsidR="0087402A" w:rsidRPr="00A035D0">
        <w:rPr>
          <w:rStyle w:val="FootnoteReference"/>
        </w:rPr>
        <w:footnoteReference w:id="60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Fake</w:t>
      </w:r>
      <w:r w:rsidR="00FE6B8B" w:rsidRPr="00A035D0">
        <w:t xml:space="preserve"> </w:t>
      </w:r>
      <w:r w:rsidR="0087402A" w:rsidRPr="00A035D0">
        <w:t>News</w:t>
      </w:r>
      <w:r w:rsidR="00FE6B8B" w:rsidRPr="00A035D0">
        <w:t xml:space="preserve"> </w:t>
      </w:r>
      <w:r w:rsidR="0087402A" w:rsidRPr="00A035D0">
        <w:t>Criminalization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Ed</w:t>
      </w:r>
      <w:r w:rsidR="00FE6B8B" w:rsidRPr="00A035D0">
        <w:t xml:space="preserve"> </w:t>
      </w:r>
      <w:r w:rsidR="0087402A" w:rsidRPr="00A035D0">
        <w:t>Christopher</w:t>
      </w:r>
      <w:r w:rsidR="00FE6B8B" w:rsidRPr="00A035D0">
        <w:t xml:space="preserve"> </w:t>
      </w:r>
      <w:r w:rsidR="0087402A" w:rsidRPr="00A035D0">
        <w:t>Go,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10</w:t>
      </w:r>
      <w:r w:rsidR="00FE6B8B" w:rsidRPr="00A035D0">
        <w:t xml:space="preserve"> </w:t>
      </w:r>
      <w:r w:rsidR="0087402A" w:rsidRPr="00A035D0">
        <w:t>September</w:t>
      </w:r>
      <w:r w:rsidR="00FE6B8B" w:rsidRPr="00A035D0">
        <w:t xml:space="preserve"> </w:t>
      </w:r>
      <w:r w:rsidR="0087402A" w:rsidRPr="00A035D0">
        <w:t>2019.</w:t>
      </w:r>
    </w:p>
    <w:p w14:paraId="2F041EC3" w14:textId="019C4FB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While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Senate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following:</w:t>
      </w:r>
    </w:p>
    <w:p w14:paraId="4C1CDBC2" w14:textId="48267ADF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Senate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(SB)</w:t>
      </w:r>
      <w:r w:rsidR="00FE6B8B" w:rsidRPr="00A035D0">
        <w:t xml:space="preserve"> </w:t>
      </w:r>
      <w:r w:rsidR="0087402A" w:rsidRPr="00A035D0">
        <w:t>SB</w:t>
      </w:r>
      <w:r w:rsidR="00FE6B8B" w:rsidRPr="00A035D0">
        <w:t xml:space="preserve"> </w:t>
      </w:r>
      <w:r w:rsidR="0087402A" w:rsidRPr="00A035D0">
        <w:t>1479</w:t>
      </w:r>
      <w:r w:rsidR="0087402A" w:rsidRPr="00A035D0">
        <w:rPr>
          <w:rStyle w:val="FootnoteReference"/>
        </w:rPr>
        <w:footnoteReference w:id="61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Anti-Fake</w:t>
      </w:r>
      <w:r w:rsidR="00FE6B8B" w:rsidRPr="00A035D0">
        <w:t xml:space="preserve"> </w:t>
      </w:r>
      <w:r w:rsidR="0087402A" w:rsidRPr="00A035D0">
        <w:t>News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Service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Sen.</w:t>
      </w:r>
      <w:r w:rsidR="00FE6B8B" w:rsidRPr="00A035D0">
        <w:t xml:space="preserve"> </w:t>
      </w:r>
      <w:r w:rsidR="0087402A" w:rsidRPr="00A035D0">
        <w:t>Grace</w:t>
      </w:r>
      <w:r w:rsidR="00FE6B8B" w:rsidRPr="00A035D0">
        <w:t xml:space="preserve"> </w:t>
      </w:r>
      <w:r w:rsidR="0087402A" w:rsidRPr="00A035D0">
        <w:t>Poe,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Service,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Reorganization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Professional</w:t>
      </w:r>
      <w:r w:rsidR="00FE6B8B" w:rsidRPr="00A035D0">
        <w:t xml:space="preserve"> </w:t>
      </w:r>
      <w:r w:rsidR="0087402A" w:rsidRPr="00A035D0">
        <w:t>Regulation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05</w:t>
      </w:r>
      <w:r w:rsidR="00FE6B8B" w:rsidRPr="00A035D0">
        <w:t xml:space="preserve"> </w:t>
      </w:r>
      <w:r w:rsidR="0087402A" w:rsidRPr="00A035D0">
        <w:t>May</w:t>
      </w:r>
      <w:r w:rsidR="00FE6B8B" w:rsidRPr="00A035D0">
        <w:t xml:space="preserve"> </w:t>
      </w:r>
      <w:r w:rsidR="0087402A" w:rsidRPr="00A035D0">
        <w:t>2020;</w:t>
      </w:r>
      <w:r w:rsidR="00FE6B8B" w:rsidRPr="00A035D0">
        <w:t xml:space="preserve"> </w:t>
      </w:r>
      <w:r w:rsidR="0087402A" w:rsidRPr="00A035D0">
        <w:t>and</w:t>
      </w:r>
    </w:p>
    <w:p w14:paraId="0A276ECE" w14:textId="0FAC4485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  <w:t>SB</w:t>
      </w:r>
      <w:r w:rsidR="00FE6B8B" w:rsidRPr="00A035D0">
        <w:t xml:space="preserve"> </w:t>
      </w:r>
      <w:r w:rsidR="0087402A" w:rsidRPr="00A035D0">
        <w:t>09</w:t>
      </w:r>
      <w:r w:rsidR="0087402A" w:rsidRPr="00A035D0">
        <w:rPr>
          <w:rStyle w:val="FootnoteReference"/>
        </w:rPr>
        <w:footnoteReference w:id="62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Anti-False</w:t>
      </w:r>
      <w:r w:rsidR="00FE6B8B" w:rsidRPr="00A035D0">
        <w:t xml:space="preserve"> </w:t>
      </w:r>
      <w:r w:rsidR="0087402A" w:rsidRPr="00A035D0">
        <w:t>Content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introduced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Senate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Vicente</w:t>
      </w:r>
      <w:r w:rsidR="00FE6B8B" w:rsidRPr="00A035D0">
        <w:t xml:space="preserve"> </w:t>
      </w:r>
      <w:r w:rsidR="0087402A" w:rsidRPr="00A035D0">
        <w:t>Sotto</w:t>
      </w:r>
      <w:r w:rsidR="00FE6B8B" w:rsidRPr="00A035D0">
        <w:t xml:space="preserve"> </w:t>
      </w:r>
      <w:r w:rsidR="0087402A" w:rsidRPr="00A035D0">
        <w:t>III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Mass</w:t>
      </w:r>
      <w:r w:rsidR="00FE6B8B" w:rsidRPr="00A035D0">
        <w:t xml:space="preserve"> </w:t>
      </w:r>
      <w:r w:rsidR="0087402A" w:rsidRPr="00A035D0">
        <w:t>Media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23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2019.</w:t>
      </w:r>
    </w:p>
    <w:p w14:paraId="5B813523" w14:textId="47CC3F1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State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respects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Parliamentarians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their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mandate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laws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Congress.</w:t>
      </w:r>
    </w:p>
    <w:p w14:paraId="6703B7D3" w14:textId="05F94B5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Covenant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does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advocate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promote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false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content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does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prohibit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inclusive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efforts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conduct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stakeholder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human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rights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dialogues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constituents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Parliament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and/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civic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space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regarding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false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content.</w:t>
      </w:r>
    </w:p>
    <w:p w14:paraId="4280BC5E" w14:textId="253539D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No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outlet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been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shut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down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since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2016.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date,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all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outlets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freely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airing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their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content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opinions.</w:t>
      </w:r>
    </w:p>
    <w:p w14:paraId="24E11435" w14:textId="22DD774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State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respects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Parliament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laws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awarding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privileges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franchises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radio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frequencies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bandwidths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conglomerates.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Covenant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human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rights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treaty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protection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mechanism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conglomerates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representing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themselves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media.</w:t>
      </w:r>
    </w:p>
    <w:p w14:paraId="7BC7CE63" w14:textId="77777777" w:rsidR="00FE6B8B" w:rsidRPr="00A035D0" w:rsidRDefault="0087402A" w:rsidP="004D42E9">
      <w:pPr>
        <w:pStyle w:val="H23G"/>
      </w:pPr>
      <w:r w:rsidRPr="00A035D0">
        <w:lastRenderedPageBreak/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23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06B895D" w14:textId="51A7867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following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updates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proposed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amendments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would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decriminalize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defamation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House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Representatives:</w:t>
      </w:r>
    </w:p>
    <w:p w14:paraId="08817BE5" w14:textId="5A19EB08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House</w:t>
      </w:r>
      <w:r w:rsidR="00FE6B8B" w:rsidRPr="00A035D0">
        <w:t xml:space="preserve"> </w:t>
      </w:r>
      <w:r w:rsidR="0087402A" w:rsidRPr="00A035D0">
        <w:t>Bill</w:t>
      </w:r>
      <w:r w:rsidR="00FE6B8B" w:rsidRPr="00A035D0">
        <w:t xml:space="preserve"> </w:t>
      </w:r>
      <w:r w:rsidR="0087402A" w:rsidRPr="00A035D0">
        <w:t>(HB)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HB</w:t>
      </w:r>
      <w:r w:rsidR="00FE6B8B" w:rsidRPr="00A035D0">
        <w:t xml:space="preserve"> </w:t>
      </w:r>
      <w:r w:rsidR="0087402A" w:rsidRPr="00A035D0">
        <w:t>00494</w:t>
      </w:r>
      <w:r w:rsidR="0087402A" w:rsidRPr="00A035D0">
        <w:rPr>
          <w:rStyle w:val="FootnoteReference"/>
        </w:rPr>
        <w:footnoteReference w:id="63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Providing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Venue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Libel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Journalist,</w:t>
      </w:r>
      <w:r w:rsidR="00FE6B8B" w:rsidRPr="00A035D0">
        <w:t xml:space="preserve"> </w:t>
      </w:r>
      <w:r w:rsidR="0087402A" w:rsidRPr="00A035D0">
        <w:t>Publication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Broadcast</w:t>
      </w:r>
      <w:r w:rsidR="00FE6B8B" w:rsidRPr="00A035D0">
        <w:t xml:space="preserve"> </w:t>
      </w:r>
      <w:r w:rsidR="0087402A" w:rsidRPr="00A035D0">
        <w:t>Stations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Raul</w:t>
      </w:r>
      <w:r w:rsidR="00FE6B8B" w:rsidRPr="00A035D0">
        <w:t xml:space="preserve"> </w:t>
      </w:r>
      <w:r w:rsidR="0087402A" w:rsidRPr="00A035D0">
        <w:t>Del</w:t>
      </w:r>
      <w:r w:rsidR="00FE6B8B" w:rsidRPr="00A035D0">
        <w:t xml:space="preserve"> </w:t>
      </w:r>
      <w:r w:rsidR="0087402A" w:rsidRPr="00A035D0">
        <w:t>Mar,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23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2019;</w:t>
      </w:r>
    </w:p>
    <w:p w14:paraId="6A7AC220" w14:textId="2DC94C3E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00860</w:t>
      </w:r>
      <w:r w:rsidR="0087402A" w:rsidRPr="00A035D0">
        <w:rPr>
          <w:rStyle w:val="FootnoteReference"/>
        </w:rPr>
        <w:footnoteReference w:id="64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Providing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Venue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Libel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Journalist,</w:t>
      </w:r>
      <w:r w:rsidR="00FE6B8B" w:rsidRPr="00A035D0">
        <w:t xml:space="preserve"> </w:t>
      </w:r>
      <w:r w:rsidR="0087402A" w:rsidRPr="00A035D0">
        <w:t>Publication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Broadcast</w:t>
      </w:r>
      <w:r w:rsidR="00FE6B8B" w:rsidRPr="00A035D0">
        <w:t xml:space="preserve"> </w:t>
      </w:r>
      <w:r w:rsidR="0087402A" w:rsidRPr="00A035D0">
        <w:t>Station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Ferdinand</w:t>
      </w:r>
      <w:r w:rsidR="00FE6B8B" w:rsidRPr="00A035D0">
        <w:t xml:space="preserve"> </w:t>
      </w:r>
      <w:r w:rsidR="0087402A" w:rsidRPr="00A035D0">
        <w:t>Hernandez,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23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2019;</w:t>
      </w:r>
    </w:p>
    <w:p w14:paraId="02763FD6" w14:textId="7828435A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3.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01835</w:t>
      </w:r>
      <w:r w:rsidR="0087402A" w:rsidRPr="00A035D0">
        <w:rPr>
          <w:rStyle w:val="FootnoteReference"/>
        </w:rPr>
        <w:footnoteReference w:id="65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Abolish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Penalty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Imprisonment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Libel</w:t>
      </w:r>
      <w:r w:rsidR="00FE6B8B" w:rsidRPr="00A035D0">
        <w:t xml:space="preserve"> </w:t>
      </w:r>
      <w:r w:rsidR="0087402A" w:rsidRPr="00A035D0">
        <w:t>Cases,</w:t>
      </w:r>
      <w:r w:rsidR="00FE6B8B" w:rsidRPr="00A035D0">
        <w:t xml:space="preserve"> </w:t>
      </w:r>
      <w:r w:rsidR="0087402A" w:rsidRPr="00A035D0">
        <w:t>Amending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Articles</w:t>
      </w:r>
      <w:r w:rsidR="00FE6B8B" w:rsidRPr="00A035D0">
        <w:t xml:space="preserve"> </w:t>
      </w:r>
      <w:r w:rsidR="0087402A" w:rsidRPr="00A035D0">
        <w:t>355,</w:t>
      </w:r>
      <w:r w:rsidR="00FE6B8B" w:rsidRPr="00A035D0">
        <w:t xml:space="preserve"> </w:t>
      </w:r>
      <w:r w:rsidR="0087402A" w:rsidRPr="00A035D0">
        <w:t>357,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360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3815,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Amended,</w:t>
      </w:r>
      <w:r w:rsidR="00FE6B8B" w:rsidRPr="00A035D0">
        <w:t xml:space="preserve"> </w:t>
      </w:r>
      <w:r w:rsidR="0087402A" w:rsidRPr="00A035D0">
        <w:t>Otherwise</w:t>
      </w:r>
      <w:r w:rsidR="00FE6B8B" w:rsidRPr="00A035D0">
        <w:t xml:space="preserve"> </w:t>
      </w:r>
      <w:r w:rsidR="0087402A" w:rsidRPr="00A035D0">
        <w:t>Known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Penal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Purposes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Rep.</w:t>
      </w:r>
      <w:r w:rsidR="00FE6B8B" w:rsidRPr="00A035D0">
        <w:t xml:space="preserve"> </w:t>
      </w:r>
      <w:r w:rsidR="0087402A" w:rsidRPr="00A035D0">
        <w:t>Rufus</w:t>
      </w:r>
      <w:r w:rsidR="00FE6B8B" w:rsidRPr="00A035D0">
        <w:t xml:space="preserve"> </w:t>
      </w:r>
      <w:r w:rsidR="0087402A" w:rsidRPr="00A035D0">
        <w:t>Rodriguez,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Laws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24</w:t>
      </w:r>
      <w:r w:rsidR="00FE6B8B" w:rsidRPr="00A035D0">
        <w:t xml:space="preserve"> </w:t>
      </w:r>
      <w:r w:rsidR="0087402A" w:rsidRPr="00A035D0">
        <w:t>July</w:t>
      </w:r>
      <w:r w:rsidR="00FE6B8B" w:rsidRPr="00A035D0">
        <w:t xml:space="preserve"> </w:t>
      </w:r>
      <w:r w:rsidR="0087402A" w:rsidRPr="00A035D0">
        <w:t>2019;</w:t>
      </w:r>
      <w:r w:rsidR="00FE6B8B" w:rsidRPr="00A035D0">
        <w:t xml:space="preserve"> </w:t>
      </w:r>
      <w:r w:rsidR="0087402A" w:rsidRPr="00A035D0">
        <w:t>and</w:t>
      </w:r>
    </w:p>
    <w:p w14:paraId="0D7BB209" w14:textId="0CC778EE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4.</w:t>
      </w:r>
      <w:r w:rsidR="0087402A" w:rsidRPr="00A035D0">
        <w:tab/>
        <w:t>HB</w:t>
      </w:r>
      <w:r w:rsidR="00FE6B8B" w:rsidRPr="00A035D0">
        <w:t xml:space="preserve"> </w:t>
      </w:r>
      <w:r w:rsidR="0087402A" w:rsidRPr="00A035D0">
        <w:t>3455</w:t>
      </w:r>
      <w:r w:rsidR="0087402A" w:rsidRPr="00A035D0">
        <w:rPr>
          <w:rStyle w:val="FootnoteReference"/>
        </w:rPr>
        <w:footnoteReference w:id="66"/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Decriminalizing</w:t>
      </w:r>
      <w:r w:rsidR="00FE6B8B" w:rsidRPr="00A035D0">
        <w:t xml:space="preserve"> </w:t>
      </w:r>
      <w:r w:rsidR="0087402A" w:rsidRPr="00A035D0">
        <w:t>Libel,</w:t>
      </w:r>
      <w:r w:rsidR="00FE6B8B" w:rsidRPr="00A035D0">
        <w:t xml:space="preserve"> </w:t>
      </w:r>
      <w:r w:rsidR="0087402A" w:rsidRPr="00A035D0">
        <w:t>Repealing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Articles</w:t>
      </w:r>
      <w:r w:rsidR="00FE6B8B" w:rsidRPr="00A035D0">
        <w:t xml:space="preserve"> </w:t>
      </w:r>
      <w:r w:rsidR="0087402A" w:rsidRPr="00A035D0">
        <w:t>353,</w:t>
      </w:r>
      <w:r w:rsidR="00FE6B8B" w:rsidRPr="00A035D0">
        <w:t xml:space="preserve"> </w:t>
      </w:r>
      <w:r w:rsidR="0087402A" w:rsidRPr="00A035D0">
        <w:t>354,</w:t>
      </w:r>
      <w:r w:rsidR="00FE6B8B" w:rsidRPr="00A035D0">
        <w:t xml:space="preserve"> </w:t>
      </w:r>
      <w:r w:rsidR="0087402A" w:rsidRPr="00A035D0">
        <w:t>355,</w:t>
      </w:r>
      <w:r w:rsidR="00FE6B8B" w:rsidRPr="00A035D0">
        <w:t xml:space="preserve"> </w:t>
      </w:r>
      <w:r w:rsidR="0087402A" w:rsidRPr="00A035D0">
        <w:t>356,</w:t>
      </w:r>
      <w:r w:rsidR="00FE6B8B" w:rsidRPr="00A035D0">
        <w:t xml:space="preserve"> </w:t>
      </w:r>
      <w:r w:rsidR="0087402A" w:rsidRPr="00A035D0">
        <w:t>357,</w:t>
      </w:r>
      <w:r w:rsidR="00FE6B8B" w:rsidRPr="00A035D0">
        <w:t xml:space="preserve"> </w:t>
      </w:r>
      <w:r w:rsidR="0087402A" w:rsidRPr="00A035D0">
        <w:t>360,</w:t>
      </w:r>
      <w:r w:rsidR="00FE6B8B" w:rsidRPr="00A035D0">
        <w:t xml:space="preserve"> </w:t>
      </w:r>
      <w:r w:rsidR="0087402A" w:rsidRPr="00A035D0">
        <w:t>361,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362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3815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Amended,</w:t>
      </w:r>
      <w:r w:rsidR="00FE6B8B" w:rsidRPr="00A035D0">
        <w:t xml:space="preserve"> </w:t>
      </w:r>
      <w:r w:rsidR="0087402A" w:rsidRPr="00A035D0">
        <w:t>Otherwise</w:t>
      </w:r>
      <w:r w:rsidR="00FE6B8B" w:rsidRPr="00A035D0">
        <w:t xml:space="preserve"> </w:t>
      </w:r>
      <w:r w:rsidR="0087402A" w:rsidRPr="00A035D0">
        <w:t>known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Revised</w:t>
      </w:r>
      <w:r w:rsidR="00FE6B8B" w:rsidRPr="00A035D0">
        <w:t xml:space="preserve"> </w:t>
      </w:r>
      <w:r w:rsidR="0087402A" w:rsidRPr="00A035D0">
        <w:t>Penal</w:t>
      </w:r>
      <w:r w:rsidR="00FE6B8B" w:rsidRPr="00A035D0">
        <w:t xml:space="preserve"> </w:t>
      </w:r>
      <w:r w:rsidR="0087402A" w:rsidRPr="00A035D0">
        <w:t>Code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Reps.</w:t>
      </w:r>
      <w:r w:rsidR="00FE6B8B" w:rsidRPr="00A035D0">
        <w:t xml:space="preserve"> </w:t>
      </w:r>
      <w:r w:rsidR="0087402A" w:rsidRPr="00A035D0">
        <w:t>Ferdinand</w:t>
      </w:r>
      <w:r w:rsidR="00FE6B8B" w:rsidRPr="00A035D0">
        <w:t xml:space="preserve"> </w:t>
      </w:r>
      <w:r w:rsidR="0087402A" w:rsidRPr="00A035D0">
        <w:t>Gaite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pending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Laws</w:t>
      </w:r>
      <w:r w:rsidR="00FE6B8B" w:rsidRPr="00A035D0">
        <w:t xml:space="preserve"> </w:t>
      </w:r>
      <w:r w:rsidR="0087402A" w:rsidRPr="00A035D0">
        <w:t>since</w:t>
      </w:r>
      <w:r w:rsidR="00FE6B8B" w:rsidRPr="00A035D0">
        <w:t xml:space="preserve"> </w:t>
      </w:r>
      <w:r w:rsidR="0087402A" w:rsidRPr="00A035D0">
        <w:t>07</w:t>
      </w:r>
      <w:r w:rsidR="00FE6B8B" w:rsidRPr="00A035D0">
        <w:t xml:space="preserve"> </w:t>
      </w:r>
      <w:r w:rsidR="0087402A" w:rsidRPr="00A035D0">
        <w:t>August</w:t>
      </w:r>
      <w:r w:rsidR="00FE6B8B" w:rsidRPr="00A035D0">
        <w:t xml:space="preserve"> </w:t>
      </w:r>
      <w:r w:rsidR="0087402A" w:rsidRPr="00A035D0">
        <w:t>2019.</w:t>
      </w:r>
    </w:p>
    <w:p w14:paraId="78725BD1" w14:textId="130F6BC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Defamation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laws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Philippines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human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rights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protection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mechanism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counter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impunity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media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conglomerates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publishing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derogatory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articles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against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private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citizens</w:t>
      </w:r>
      <w:r w:rsidR="00655519">
        <w:rPr>
          <w:bCs/>
        </w:rPr>
        <w:t>.</w:t>
      </w:r>
    </w:p>
    <w:p w14:paraId="712DADDF" w14:textId="52BC0B6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date,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record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person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detained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involving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criminal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charges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defamation.</w:t>
      </w:r>
    </w:p>
    <w:p w14:paraId="02D218B3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24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68B65E30" w14:textId="00742593" w:rsidR="0087402A" w:rsidRPr="00A035D0" w:rsidRDefault="0087402A" w:rsidP="004D42E9">
      <w:pPr>
        <w:pStyle w:val="H56G"/>
      </w:pPr>
      <w:r w:rsidRPr="00A035D0">
        <w:tab/>
        <w:t>(a)</w:t>
      </w:r>
      <w:r w:rsidRPr="00A035D0">
        <w:tab/>
        <w:t>Securities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Exchange</w:t>
      </w:r>
      <w:r w:rsidR="00FE6B8B" w:rsidRPr="00A035D0">
        <w:t xml:space="preserve"> </w:t>
      </w:r>
      <w:r w:rsidRPr="00A035D0">
        <w:t>Commission</w:t>
      </w:r>
      <w:r w:rsidR="00FE6B8B" w:rsidRPr="00A035D0">
        <w:t xml:space="preserve"> </w:t>
      </w:r>
      <w:r w:rsidRPr="00A035D0">
        <w:t>Memorandum</w:t>
      </w:r>
      <w:r w:rsidR="00FE6B8B" w:rsidRPr="00A035D0">
        <w:t xml:space="preserve"> </w:t>
      </w:r>
      <w:r w:rsidRPr="00A035D0">
        <w:t>Circular</w:t>
      </w:r>
      <w:r w:rsidR="00FE6B8B" w:rsidRPr="00A035D0">
        <w:t xml:space="preserve"> </w:t>
      </w:r>
      <w:r w:rsidRPr="00A035D0">
        <w:t>No.</w:t>
      </w:r>
      <w:r w:rsidR="00FE6B8B" w:rsidRPr="00A035D0">
        <w:t xml:space="preserve"> </w:t>
      </w:r>
      <w:r w:rsidRPr="00A035D0">
        <w:t>15,</w:t>
      </w:r>
      <w:r w:rsidR="00FE6B8B" w:rsidRPr="00A035D0">
        <w:t xml:space="preserve"> </w:t>
      </w:r>
      <w:r w:rsidRPr="00A035D0">
        <w:t>published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2018</w:t>
      </w:r>
      <w:r w:rsidRPr="00A035D0">
        <w:rPr>
          <w:rStyle w:val="FootnoteReference"/>
        </w:rPr>
        <w:footnoteReference w:id="67"/>
      </w:r>
    </w:p>
    <w:p w14:paraId="37483BD8" w14:textId="375854D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SEC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(MC)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25,</w:t>
      </w:r>
      <w:r w:rsidR="00FE6B8B" w:rsidRPr="00A035D0">
        <w:t xml:space="preserve"> </w:t>
      </w:r>
      <w:r w:rsidR="0087402A" w:rsidRPr="00A035D0">
        <w:t>s.</w:t>
      </w:r>
      <w:r w:rsidR="00FE6B8B" w:rsidRPr="00A035D0">
        <w:t xml:space="preserve"> </w:t>
      </w:r>
      <w:r w:rsidR="0087402A" w:rsidRPr="00A035D0">
        <w:t>2019,</w:t>
      </w:r>
      <w:r w:rsidR="0087402A" w:rsidRPr="00A035D0">
        <w:rPr>
          <w:rStyle w:val="FootnoteReference"/>
        </w:rPr>
        <w:footnoteReference w:id="68"/>
      </w:r>
      <w:r w:rsidR="00FE6B8B" w:rsidRPr="00A035D0">
        <w:t xml:space="preserve"> </w:t>
      </w:r>
      <w:r w:rsidR="0087402A" w:rsidRPr="00A035D0">
        <w:t>amending</w:t>
      </w:r>
      <w:r w:rsidR="00FE6B8B" w:rsidRPr="00A035D0">
        <w:t xml:space="preserve"> </w:t>
      </w:r>
      <w:r w:rsidR="0087402A" w:rsidRPr="00A035D0">
        <w:t>SEC</w:t>
      </w:r>
      <w:r w:rsidR="00FE6B8B" w:rsidRPr="00A035D0">
        <w:t xml:space="preserve"> </w:t>
      </w:r>
      <w:r w:rsidR="0087402A" w:rsidRPr="00A035D0">
        <w:t>MC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15,</w:t>
      </w:r>
      <w:r w:rsidR="00FE6B8B" w:rsidRPr="00A035D0">
        <w:t xml:space="preserve"> </w:t>
      </w:r>
      <w:r w:rsidR="0087402A" w:rsidRPr="00A035D0">
        <w:t>s.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(Guidelines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SEC-Registered</w:t>
      </w:r>
      <w:r w:rsidR="00FE6B8B" w:rsidRPr="00A035D0">
        <w:t xml:space="preserve"> </w:t>
      </w:r>
      <w:r w:rsidR="0087402A" w:rsidRPr="00A035D0">
        <w:t>Non-Profit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Money</w:t>
      </w:r>
      <w:r w:rsidR="00FE6B8B" w:rsidRPr="00A035D0">
        <w:t xml:space="preserve"> </w:t>
      </w:r>
      <w:r w:rsidR="0087402A" w:rsidRPr="00A035D0">
        <w:t>Laundering/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Financing</w:t>
      </w:r>
      <w:r w:rsidR="00FE6B8B" w:rsidRPr="00A035D0">
        <w:t xml:space="preserve"> </w:t>
      </w:r>
      <w:r w:rsidR="0087402A" w:rsidRPr="00A035D0">
        <w:t>Abuse),</w:t>
      </w:r>
      <w:r w:rsidR="00FE6B8B" w:rsidRPr="00A035D0">
        <w:t xml:space="preserve"> </w:t>
      </w:r>
      <w:r w:rsidR="0087402A" w:rsidRPr="00A035D0">
        <w:t>does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constrict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space.</w:t>
      </w:r>
      <w:r w:rsidR="00FE6B8B" w:rsidRPr="00A035D0">
        <w:t xml:space="preserve"> </w:t>
      </w:r>
      <w:r w:rsidR="0087402A" w:rsidRPr="00A035D0">
        <w:t>Rather,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promote</w:t>
      </w:r>
      <w:r w:rsidR="00FE6B8B" w:rsidRPr="00A035D0">
        <w:t xml:space="preserve"> </w:t>
      </w:r>
      <w:r w:rsidR="0087402A" w:rsidRPr="00A035D0">
        <w:t>accountability,</w:t>
      </w:r>
      <w:r w:rsidR="00FE6B8B" w:rsidRPr="00A035D0">
        <w:t xml:space="preserve"> </w:t>
      </w:r>
      <w:r w:rsidR="0087402A" w:rsidRPr="00A035D0">
        <w:t>integrity,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confidence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Sector.</w:t>
      </w:r>
    </w:p>
    <w:p w14:paraId="692C903A" w14:textId="6BD722A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Non-Profit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(NPO)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compliance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Financial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</w:t>
      </w:r>
      <w:r w:rsidR="00FE6B8B" w:rsidRPr="00A035D0">
        <w:t xml:space="preserve"> </w:t>
      </w:r>
      <w:r w:rsidR="0087402A" w:rsidRPr="00A035D0">
        <w:t>(FATF)</w:t>
      </w:r>
      <w:r w:rsidR="00FE6B8B" w:rsidRPr="00A035D0">
        <w:t xml:space="preserve"> </w:t>
      </w:r>
      <w:r w:rsidR="0087402A" w:rsidRPr="00A035D0">
        <w:t>Recommendation</w:t>
      </w:r>
      <w:r w:rsidR="00FE6B8B" w:rsidRPr="00A035D0">
        <w:t xml:space="preserve"> </w:t>
      </w:r>
      <w:r w:rsidR="0087402A" w:rsidRPr="00A035D0">
        <w:t>8,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sector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abuse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use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financing</w:t>
      </w:r>
      <w:r w:rsidR="00FE6B8B" w:rsidRPr="00A035D0">
        <w:t xml:space="preserve"> </w:t>
      </w:r>
      <w:r w:rsidR="0087402A" w:rsidRPr="00A035D0">
        <w:t>purposes.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identify</w:t>
      </w:r>
      <w:r w:rsidR="00FE6B8B" w:rsidRPr="00A035D0">
        <w:t xml:space="preserve"> </w:t>
      </w:r>
      <w:r w:rsidR="0087402A" w:rsidRPr="00A035D0">
        <w:t>NPOs</w:t>
      </w:r>
      <w:r w:rsidR="00FE6B8B" w:rsidRPr="00A035D0">
        <w:t xml:space="preserve"> </w:t>
      </w:r>
      <w:r w:rsidR="0087402A" w:rsidRPr="00A035D0">
        <w:t>vulnerable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financing</w:t>
      </w:r>
      <w:r w:rsidR="00FE6B8B" w:rsidRPr="00A035D0">
        <w:t xml:space="preserve"> </w:t>
      </w:r>
      <w:r w:rsidR="0087402A" w:rsidRPr="00A035D0">
        <w:t>(TF),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sustained</w:t>
      </w:r>
      <w:r w:rsidR="00FE6B8B" w:rsidRPr="00A035D0">
        <w:t xml:space="preserve"> </w:t>
      </w:r>
      <w:r w:rsidR="0087402A" w:rsidRPr="00A035D0">
        <w:t>outreach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those</w:t>
      </w:r>
      <w:r w:rsidR="00FE6B8B" w:rsidRPr="00A035D0">
        <w:t xml:space="preserve"> </w:t>
      </w:r>
      <w:r w:rsidR="0087402A" w:rsidRPr="00A035D0">
        <w:t>vulnerable</w:t>
      </w:r>
      <w:r w:rsidR="00FE6B8B" w:rsidRPr="00A035D0">
        <w:t xml:space="preserve"> </w:t>
      </w:r>
      <w:r w:rsidR="0087402A" w:rsidRPr="00A035D0">
        <w:t>NPOs,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</w:t>
      </w:r>
      <w:r w:rsidR="00FE6B8B" w:rsidRPr="00A035D0">
        <w:t xml:space="preserve"> </w:t>
      </w:r>
      <w:r w:rsidR="0087402A" w:rsidRPr="00A035D0">
        <w:t>targeted</w:t>
      </w:r>
      <w:r w:rsidR="00FE6B8B" w:rsidRPr="00A035D0">
        <w:t xml:space="preserve"> </w:t>
      </w:r>
      <w:r w:rsidR="0087402A" w:rsidRPr="00A035D0">
        <w:t>risk-based</w:t>
      </w:r>
      <w:r w:rsidR="00FE6B8B" w:rsidRPr="00A035D0">
        <w:t xml:space="preserve"> </w:t>
      </w:r>
      <w:r w:rsidR="0087402A" w:rsidRPr="00A035D0">
        <w:t>supervision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NPOs.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emphasizes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necessity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establishing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regulatory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SEC</w:t>
      </w:r>
      <w:r w:rsidR="00FE6B8B" w:rsidRPr="00A035D0">
        <w:t xml:space="preserve"> </w:t>
      </w:r>
      <w:r w:rsidR="0087402A" w:rsidRPr="00A035D0">
        <w:t>registered</w:t>
      </w:r>
      <w:r w:rsidR="00FE6B8B" w:rsidRPr="00A035D0">
        <w:t xml:space="preserve"> </w:t>
      </w:r>
      <w:r w:rsidR="0087402A" w:rsidRPr="00A035D0">
        <w:t>Non-Profit</w:t>
      </w:r>
      <w:r w:rsidR="00FE6B8B" w:rsidRPr="00A035D0">
        <w:t xml:space="preserve"> </w:t>
      </w:r>
      <w:r w:rsidR="0087402A" w:rsidRPr="00A035D0">
        <w:t>organizations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ML/TF</w:t>
      </w:r>
      <w:r w:rsidR="00FE6B8B" w:rsidRPr="00A035D0">
        <w:t xml:space="preserve"> </w:t>
      </w:r>
      <w:r w:rsidR="0087402A" w:rsidRPr="00A035D0">
        <w:t>abuse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mandate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uphold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ensuring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corporate</w:t>
      </w:r>
      <w:r w:rsidR="00FE6B8B" w:rsidRPr="00A035D0">
        <w:t xml:space="preserve"> </w:t>
      </w:r>
      <w:r w:rsidR="0087402A" w:rsidRPr="00A035D0">
        <w:t>entities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organized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misused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purposes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contrary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assist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Anti-Money</w:t>
      </w:r>
      <w:r w:rsidR="00FE6B8B" w:rsidRPr="00A035D0">
        <w:t xml:space="preserve"> </w:t>
      </w:r>
      <w:r w:rsidR="0087402A" w:rsidRPr="00A035D0">
        <w:t>Laundering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(AMLC)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Anti-Money</w:t>
      </w:r>
      <w:r w:rsidR="00FE6B8B" w:rsidRPr="00A035D0">
        <w:t xml:space="preserve"> </w:t>
      </w:r>
      <w:r w:rsidR="0087402A" w:rsidRPr="00A035D0">
        <w:t>Laundering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(AMLA),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amended.</w:t>
      </w:r>
    </w:p>
    <w:p w14:paraId="6DA5FB33" w14:textId="58F9379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noted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Mutual</w:t>
      </w:r>
      <w:r w:rsidR="00FE6B8B" w:rsidRPr="00A035D0">
        <w:t xml:space="preserve"> </w:t>
      </w:r>
      <w:r w:rsidR="0087402A" w:rsidRPr="00A035D0">
        <w:t>Evaluation</w:t>
      </w:r>
      <w:r w:rsidR="00FE6B8B" w:rsidRPr="00A035D0">
        <w:t xml:space="preserve"> </w:t>
      </w:r>
      <w:r w:rsidR="0087402A" w:rsidRPr="00A035D0">
        <w:t>Report</w:t>
      </w:r>
      <w:r w:rsidR="00FE6B8B" w:rsidRPr="00A035D0">
        <w:t xml:space="preserve"> </w:t>
      </w:r>
      <w:r w:rsidR="0087402A" w:rsidRPr="00A035D0">
        <w:t>(MER),</w:t>
      </w:r>
      <w:r w:rsidR="0087402A" w:rsidRPr="00A035D0">
        <w:rPr>
          <w:rStyle w:val="FootnoteReference"/>
        </w:rPr>
        <w:footnoteReference w:id="69"/>
      </w:r>
      <w:r w:rsidR="00FE6B8B" w:rsidRPr="00A035D0">
        <w:t xml:space="preserve"> </w:t>
      </w:r>
      <w:r w:rsidR="0087402A" w:rsidRPr="00A035D0">
        <w:t>52%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registered</w:t>
      </w:r>
      <w:r w:rsidR="00FE6B8B" w:rsidRPr="00A035D0">
        <w:t xml:space="preserve"> </w:t>
      </w:r>
      <w:r w:rsidR="0087402A" w:rsidRPr="00A035D0">
        <w:t>NPOs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clear</w:t>
      </w:r>
      <w:r w:rsidR="00FE6B8B" w:rsidRPr="00A035D0">
        <w:t xml:space="preserve"> </w:t>
      </w:r>
      <w:r w:rsidR="0087402A" w:rsidRPr="00A035D0">
        <w:t>classification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presents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composition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sector,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risk</w:t>
      </w:r>
      <w:r w:rsidR="00FE6B8B" w:rsidRPr="00A035D0">
        <w:t xml:space="preserve"> </w:t>
      </w:r>
      <w:r w:rsidR="0087402A" w:rsidRPr="00A035D0">
        <w:t>based</w:t>
      </w:r>
      <w:r w:rsidR="00FE6B8B" w:rsidRPr="00A035D0">
        <w:t xml:space="preserve"> </w:t>
      </w:r>
      <w:r w:rsidR="0087402A" w:rsidRPr="00A035D0">
        <w:t>supervision</w:t>
      </w:r>
      <w:r w:rsidR="00FE6B8B" w:rsidRPr="00A035D0">
        <w:t xml:space="preserve"> </w:t>
      </w:r>
      <w:r w:rsidR="0087402A" w:rsidRPr="00A035D0">
        <w:t>becomes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challenge.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cure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lastRenderedPageBreak/>
        <w:t>knowledge</w:t>
      </w:r>
      <w:r w:rsidR="00FE6B8B" w:rsidRPr="00A035D0">
        <w:t xml:space="preserve"> </w:t>
      </w:r>
      <w:r w:rsidR="0087402A" w:rsidRPr="00A035D0">
        <w:t>gap,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mandates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one-time</w:t>
      </w:r>
      <w:r w:rsidR="00FE6B8B" w:rsidRPr="00A035D0">
        <w:t xml:space="preserve"> </w:t>
      </w:r>
      <w:r w:rsidR="0087402A" w:rsidRPr="00A035D0">
        <w:t>mandatory</w:t>
      </w:r>
      <w:r w:rsidR="00FE6B8B" w:rsidRPr="00A035D0">
        <w:t xml:space="preserve"> </w:t>
      </w:r>
      <w:r w:rsidR="0087402A" w:rsidRPr="00A035D0">
        <w:t>disclosure</w:t>
      </w:r>
      <w:r w:rsidR="00FE6B8B" w:rsidRPr="00A035D0">
        <w:t xml:space="preserve"> </w:t>
      </w:r>
      <w:r w:rsidR="0087402A" w:rsidRPr="00A035D0">
        <w:t>form</w:t>
      </w:r>
      <w:r w:rsidR="00FE6B8B" w:rsidRPr="00A035D0">
        <w:t xml:space="preserve"> </w:t>
      </w:r>
      <w:r w:rsidR="0087402A" w:rsidRPr="00A035D0">
        <w:t>(MDF)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enable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SEC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properly</w:t>
      </w:r>
      <w:r w:rsidR="00FE6B8B" w:rsidRPr="00A035D0">
        <w:t xml:space="preserve"> </w:t>
      </w:r>
      <w:r w:rsidR="0087402A" w:rsidRPr="00A035D0">
        <w:t>classify</w:t>
      </w:r>
      <w:r w:rsidR="00FE6B8B" w:rsidRPr="00A035D0">
        <w:t xml:space="preserve"> </w:t>
      </w:r>
      <w:r w:rsidR="0087402A" w:rsidRPr="00A035D0">
        <w:t>NPOs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determine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risk</w:t>
      </w:r>
      <w:r w:rsidR="00FE6B8B" w:rsidRPr="00A035D0">
        <w:t xml:space="preserve"> </w:t>
      </w:r>
      <w:r w:rsidR="0087402A" w:rsidRPr="00A035D0">
        <w:t>rating.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enable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SEC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apply</w:t>
      </w:r>
      <w:r w:rsidR="00FE6B8B" w:rsidRPr="00A035D0">
        <w:t xml:space="preserve"> </w:t>
      </w:r>
      <w:r w:rsidR="0087402A" w:rsidRPr="00A035D0">
        <w:t>risk</w:t>
      </w:r>
      <w:r w:rsidR="00FE6B8B" w:rsidRPr="00A035D0">
        <w:t xml:space="preserve"> </w:t>
      </w:r>
      <w:r w:rsidR="0087402A" w:rsidRPr="00A035D0">
        <w:t>based</w:t>
      </w:r>
      <w:r w:rsidR="00FE6B8B" w:rsidRPr="00A035D0">
        <w:t xml:space="preserve"> </w:t>
      </w:r>
      <w:r w:rsidR="0087402A" w:rsidRPr="00A035D0">
        <w:t>supervision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monitoring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NPOs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risk.</w:t>
      </w:r>
    </w:p>
    <w:p w14:paraId="12B34507" w14:textId="74E0390A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provide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checklist-type</w:t>
      </w:r>
      <w:r w:rsidR="00FE6B8B" w:rsidRPr="00A035D0">
        <w:t xml:space="preserve"> </w:t>
      </w:r>
      <w:r w:rsidR="0087402A" w:rsidRPr="00A035D0">
        <w:t>MDF,</w:t>
      </w:r>
      <w:r w:rsidR="00FE6B8B" w:rsidRPr="00A035D0">
        <w:t xml:space="preserve"> </w:t>
      </w:r>
      <w:r w:rsidR="0087402A" w:rsidRPr="00A035D0">
        <w:t>based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requirements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FATF.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includes:</w:t>
      </w:r>
      <w:r w:rsidR="00FE6B8B" w:rsidRPr="00A035D0">
        <w:t xml:space="preserve"> </w:t>
      </w:r>
      <w:r w:rsidR="0087402A" w:rsidRPr="00A035D0">
        <w:t>a)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objectives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stated</w:t>
      </w:r>
      <w:r w:rsidR="00FE6B8B" w:rsidRPr="00A035D0">
        <w:t xml:space="preserve"> </w:t>
      </w:r>
      <w:r w:rsidR="0087402A" w:rsidRPr="00A035D0">
        <w:t>activities;</w:t>
      </w:r>
      <w:r w:rsidR="00FE6B8B" w:rsidRPr="00A035D0">
        <w:t xml:space="preserve"> </w:t>
      </w:r>
      <w:r w:rsidR="0087402A" w:rsidRPr="00A035D0">
        <w:t>b)</w:t>
      </w:r>
      <w:r w:rsidR="00FE6B8B" w:rsidRPr="00A035D0">
        <w:t xml:space="preserve"> </w:t>
      </w:r>
      <w:r w:rsidR="0087402A" w:rsidRPr="00A035D0">
        <w:t>identity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person(s)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own,</w:t>
      </w:r>
      <w:r w:rsidR="00FE6B8B" w:rsidRPr="00A035D0">
        <w:t xml:space="preserve"> </w:t>
      </w:r>
      <w:r w:rsidR="0087402A" w:rsidRPr="00A035D0">
        <w:t>control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direct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activities,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senior</w:t>
      </w:r>
      <w:r w:rsidR="00FE6B8B" w:rsidRPr="00A035D0">
        <w:t xml:space="preserve"> </w:t>
      </w:r>
      <w:r w:rsidR="0087402A" w:rsidRPr="00A035D0">
        <w:t>officers,</w:t>
      </w:r>
      <w:r w:rsidR="00FE6B8B" w:rsidRPr="00A035D0">
        <w:t xml:space="preserve"> </w:t>
      </w:r>
      <w:r w:rsidR="0087402A" w:rsidRPr="00A035D0">
        <w:t>board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trustees.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adopts</w:t>
      </w:r>
      <w:r w:rsidR="00FE6B8B" w:rsidRPr="00A035D0">
        <w:t xml:space="preserve"> </w:t>
      </w:r>
      <w:r w:rsidR="0087402A" w:rsidRPr="00A035D0">
        <w:t>best</w:t>
      </w:r>
      <w:r w:rsidR="00FE6B8B" w:rsidRPr="00A035D0">
        <w:t xml:space="preserve"> </w:t>
      </w:r>
      <w:r w:rsidR="0087402A" w:rsidRPr="00A035D0">
        <w:t>practices</w:t>
      </w:r>
      <w:r w:rsidR="00FE6B8B" w:rsidRPr="00A035D0">
        <w:t xml:space="preserve"> </w:t>
      </w:r>
      <w:r w:rsidR="0087402A" w:rsidRPr="00A035D0">
        <w:t>identified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FATF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protecting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sector,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annual</w:t>
      </w:r>
      <w:r w:rsidR="00FE6B8B" w:rsidRPr="00A035D0">
        <w:t xml:space="preserve"> </w:t>
      </w:r>
      <w:r w:rsidR="0087402A" w:rsidRPr="00A035D0">
        <w:t>financial</w:t>
      </w:r>
      <w:r w:rsidR="00FE6B8B" w:rsidRPr="00A035D0">
        <w:t xml:space="preserve"> </w:t>
      </w:r>
      <w:r w:rsidR="0087402A" w:rsidRPr="00A035D0">
        <w:t>statement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detailed</w:t>
      </w:r>
      <w:r w:rsidR="00FE6B8B" w:rsidRPr="00A035D0">
        <w:t xml:space="preserve"> </w:t>
      </w:r>
      <w:r w:rsidR="0087402A" w:rsidRPr="00A035D0">
        <w:t>breakdowns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incomes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expenditures;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controls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place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funds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fully</w:t>
      </w:r>
      <w:r w:rsidR="00FE6B8B" w:rsidRPr="00A035D0">
        <w:t xml:space="preserve"> </w:t>
      </w:r>
      <w:r w:rsidR="0087402A" w:rsidRPr="00A035D0">
        <w:t>accounted</w:t>
      </w:r>
      <w:r w:rsidR="00FE6B8B" w:rsidRPr="00A035D0">
        <w:t xml:space="preserve"> </w:t>
      </w:r>
      <w:r w:rsidR="0087402A" w:rsidRPr="00A035D0">
        <w:t>for,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spent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manner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consistent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objectives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stated</w:t>
      </w:r>
      <w:r w:rsidR="00FE6B8B" w:rsidRPr="00A035D0">
        <w:t xml:space="preserve"> </w:t>
      </w:r>
      <w:r w:rsidR="0087402A" w:rsidRPr="00A035D0">
        <w:t>activities;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take</w:t>
      </w:r>
      <w:r w:rsidR="00FE6B8B" w:rsidRPr="00A035D0">
        <w:t xml:space="preserve"> </w:t>
      </w:r>
      <w:r w:rsidR="0087402A" w:rsidRPr="00A035D0">
        <w:t>reasonable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confirm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identity,</w:t>
      </w:r>
      <w:r w:rsidR="00FE6B8B" w:rsidRPr="00A035D0">
        <w:t xml:space="preserve"> </w:t>
      </w:r>
      <w:r w:rsidR="0087402A" w:rsidRPr="00A035D0">
        <w:t>credentials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standing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beneficiaries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associate</w:t>
      </w:r>
      <w:r w:rsidR="00FE6B8B" w:rsidRPr="00A035D0">
        <w:t xml:space="preserve"> </w:t>
      </w:r>
      <w:r w:rsidR="0087402A" w:rsidRPr="00A035D0">
        <w:t>NPOs.</w:t>
      </w:r>
    </w:p>
    <w:p w14:paraId="690EB9C4" w14:textId="0719691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Guidelines</w:t>
      </w:r>
      <w:r w:rsidR="00FE6B8B" w:rsidRPr="00A035D0">
        <w:t xml:space="preserve"> </w:t>
      </w:r>
      <w:r w:rsidR="0087402A" w:rsidRPr="00A035D0">
        <w:t>further</w:t>
      </w:r>
      <w:r w:rsidR="00FE6B8B" w:rsidRPr="00A035D0">
        <w:t xml:space="preserve"> </w:t>
      </w:r>
      <w:r w:rsidR="0087402A" w:rsidRPr="00A035D0">
        <w:t>adopts</w:t>
      </w:r>
      <w:r w:rsidR="00FE6B8B" w:rsidRPr="00A035D0">
        <w:t xml:space="preserve"> </w:t>
      </w:r>
      <w:r w:rsidR="0087402A" w:rsidRPr="00A035D0">
        <w:t>policies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governance,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organizational</w:t>
      </w:r>
      <w:r w:rsidR="00FE6B8B" w:rsidRPr="00A035D0">
        <w:t xml:space="preserve"> </w:t>
      </w:r>
      <w:r w:rsidR="0087402A" w:rsidRPr="00A035D0">
        <w:t>integrity,</w:t>
      </w:r>
      <w:r w:rsidR="00FE6B8B" w:rsidRPr="00A035D0">
        <w:t xml:space="preserve"> </w:t>
      </w:r>
      <w:r w:rsidR="0087402A" w:rsidRPr="00A035D0">
        <w:t>partner</w:t>
      </w:r>
      <w:r w:rsidR="00FE6B8B" w:rsidRPr="00A035D0">
        <w:t xml:space="preserve"> </w:t>
      </w:r>
      <w:r w:rsidR="0087402A" w:rsidRPr="00A035D0">
        <w:t>relationships,</w:t>
      </w:r>
      <w:r w:rsidR="00FE6B8B" w:rsidRPr="00A035D0">
        <w:t xml:space="preserve"> </w:t>
      </w:r>
      <w:r w:rsidR="0087402A" w:rsidRPr="00A035D0">
        <w:t>financial</w:t>
      </w:r>
      <w:r w:rsidR="00FE6B8B" w:rsidRPr="00A035D0">
        <w:t xml:space="preserve"> </w:t>
      </w:r>
      <w:r w:rsidR="0087402A" w:rsidRPr="00A035D0">
        <w:t>accountability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transparency,</w:t>
      </w:r>
      <w:r w:rsidR="00FE6B8B" w:rsidRPr="00A035D0">
        <w:t xml:space="preserve"> </w:t>
      </w:r>
      <w:r w:rsidR="0087402A" w:rsidRPr="00A035D0">
        <w:t>record</w:t>
      </w:r>
      <w:r w:rsidR="00FE6B8B" w:rsidRPr="00A035D0">
        <w:t xml:space="preserve"> </w:t>
      </w:r>
      <w:r w:rsidR="0087402A" w:rsidRPr="00A035D0">
        <w:t>keeping,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monitoring.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preventive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NPO</w:t>
      </w:r>
      <w:r w:rsidR="00FE6B8B" w:rsidRPr="00A035D0">
        <w:t xml:space="preserve"> </w:t>
      </w:r>
      <w:r w:rsidR="0087402A" w:rsidRPr="00A035D0">
        <w:t>themselves</w:t>
      </w:r>
      <w:r w:rsidR="00FE6B8B" w:rsidRPr="00A035D0">
        <w:t xml:space="preserve"> </w:t>
      </w:r>
      <w:r w:rsidR="0087402A" w:rsidRPr="00A035D0">
        <w:t>should</w:t>
      </w:r>
      <w:r w:rsidR="00FE6B8B" w:rsidRPr="00A035D0">
        <w:t xml:space="preserve"> </w:t>
      </w:r>
      <w:r w:rsidR="0087402A" w:rsidRPr="00A035D0">
        <w:t>implement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NPOs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ML/TF</w:t>
      </w:r>
      <w:r w:rsidR="00FE6B8B" w:rsidRPr="00A035D0">
        <w:t xml:space="preserve"> </w:t>
      </w:r>
      <w:r w:rsidR="0087402A" w:rsidRPr="00A035D0">
        <w:t>abuse.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provides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sustained</w:t>
      </w:r>
      <w:r w:rsidR="00FE6B8B" w:rsidRPr="00A035D0">
        <w:t xml:space="preserve"> </w:t>
      </w:r>
      <w:r w:rsidR="0087402A" w:rsidRPr="00A035D0">
        <w:t>outreach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seminars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ML/TF</w:t>
      </w:r>
      <w:r w:rsidR="00FE6B8B" w:rsidRPr="00A035D0">
        <w:t xml:space="preserve"> </w:t>
      </w:r>
      <w:r w:rsidR="0087402A" w:rsidRPr="00A035D0">
        <w:t>issues,</w:t>
      </w:r>
      <w:r w:rsidR="00FE6B8B" w:rsidRPr="00A035D0">
        <w:t xml:space="preserve"> </w:t>
      </w:r>
      <w:r w:rsidR="0087402A" w:rsidRPr="00A035D0">
        <w:t>vulnerabilities,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risks,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well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practical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effective</w:t>
      </w:r>
      <w:r w:rsidR="00FE6B8B" w:rsidRPr="00A035D0">
        <w:t xml:space="preserve"> </w:t>
      </w:r>
      <w:r w:rsidR="0087402A" w:rsidRPr="00A035D0">
        <w:t>mitigation</w:t>
      </w:r>
      <w:r w:rsidR="00FE6B8B" w:rsidRPr="00A035D0">
        <w:t xml:space="preserve"> </w:t>
      </w:r>
      <w:r w:rsidR="0087402A" w:rsidRPr="00A035D0">
        <w:t>measures.</w:t>
      </w:r>
    </w:p>
    <w:p w14:paraId="74F97169" w14:textId="23441D01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SEC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15</w:t>
      </w:r>
      <w:r w:rsidR="00FE6B8B" w:rsidRPr="00A035D0">
        <w:t xml:space="preserve"> </w:t>
      </w:r>
      <w:r w:rsidR="0087402A" w:rsidRPr="00A035D0">
        <w:t>s.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protects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integrity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ever-present</w:t>
      </w:r>
      <w:r w:rsidR="00FE6B8B" w:rsidRPr="00A035D0">
        <w:t xml:space="preserve"> </w:t>
      </w:r>
      <w:r w:rsidR="0087402A" w:rsidRPr="00A035D0">
        <w:t>threat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fraud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embezzlement</w:t>
      </w:r>
      <w:r w:rsidR="00FE6B8B" w:rsidRPr="00A035D0">
        <w:t xml:space="preserve"> </w:t>
      </w:r>
      <w:r w:rsidR="0087402A" w:rsidRPr="00A035D0">
        <w:t>brought</w:t>
      </w:r>
      <w:r w:rsidR="00FE6B8B" w:rsidRPr="00A035D0">
        <w:t xml:space="preserve"> </w:t>
      </w:r>
      <w:r w:rsidR="0087402A" w:rsidRPr="00A035D0">
        <w:t>about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subversion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terrorism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mentioned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Security</w:t>
      </w:r>
      <w:r w:rsidR="00FE6B8B" w:rsidRPr="00A035D0">
        <w:t xml:space="preserve"> </w:t>
      </w:r>
      <w:r w:rsidR="0087402A" w:rsidRPr="00A035D0">
        <w:t>Council</w:t>
      </w:r>
      <w:r w:rsidR="00FE6B8B" w:rsidRPr="00A035D0">
        <w:t xml:space="preserve"> </w:t>
      </w:r>
      <w:r w:rsidR="0087402A" w:rsidRPr="00A035D0">
        <w:t>Resolutions;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last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Resolution</w:t>
      </w:r>
      <w:r w:rsidR="00FE6B8B" w:rsidRPr="00A035D0">
        <w:t xml:space="preserve"> </w:t>
      </w:r>
      <w:r w:rsidR="0087402A" w:rsidRPr="00A035D0">
        <w:t>2462</w:t>
      </w:r>
      <w:r w:rsidR="00FE6B8B" w:rsidRPr="00A035D0">
        <w:t xml:space="preserve"> </w:t>
      </w:r>
      <w:r w:rsidR="0087402A" w:rsidRPr="00A035D0">
        <w:t>(2019),</w:t>
      </w:r>
      <w:r w:rsidR="00FE6B8B" w:rsidRPr="00A035D0">
        <w:t xml:space="preserve"> </w:t>
      </w:r>
      <w:r w:rsidR="0087402A" w:rsidRPr="00A035D0">
        <w:t>relating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terror</w:t>
      </w:r>
      <w:r w:rsidR="00FE6B8B" w:rsidRPr="00A035D0">
        <w:t xml:space="preserve"> </w:t>
      </w:r>
      <w:r w:rsidR="0087402A" w:rsidRPr="00A035D0">
        <w:t>financing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front</w:t>
      </w:r>
      <w:r w:rsidR="00FE6B8B" w:rsidRPr="00A035D0">
        <w:t xml:space="preserve"> </w:t>
      </w:r>
      <w:r w:rsidR="0087402A" w:rsidRPr="00A035D0">
        <w:t>organizations.</w:t>
      </w:r>
    </w:p>
    <w:p w14:paraId="2080C7DA" w14:textId="435B5E7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MC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mere</w:t>
      </w:r>
      <w:r w:rsidR="00FE6B8B" w:rsidRPr="00A035D0">
        <w:t xml:space="preserve"> </w:t>
      </w:r>
      <w:r w:rsidR="0087402A" w:rsidRPr="00A035D0">
        <w:t>amendment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original</w:t>
      </w:r>
      <w:r w:rsidR="00FE6B8B" w:rsidRPr="00A035D0">
        <w:t xml:space="preserve"> </w:t>
      </w:r>
      <w:r w:rsidR="0087402A" w:rsidRPr="00A035D0">
        <w:t>Memorandum</w:t>
      </w:r>
      <w:r w:rsidR="00FE6B8B" w:rsidRPr="00A035D0">
        <w:t xml:space="preserve"> </w:t>
      </w:r>
      <w:r w:rsidR="0087402A" w:rsidRPr="00A035D0">
        <w:t>Circular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17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year</w:t>
      </w:r>
      <w:r w:rsidR="00FE6B8B" w:rsidRPr="00A035D0">
        <w:t xml:space="preserve"> </w:t>
      </w:r>
      <w:r w:rsidR="0087402A" w:rsidRPr="00A035D0">
        <w:t>earlier,</w:t>
      </w:r>
      <w:r w:rsidR="00FE6B8B" w:rsidRPr="00A035D0">
        <w:t xml:space="preserve"> </w:t>
      </w:r>
      <w:r w:rsidR="0087402A" w:rsidRPr="00A035D0">
        <w:t>2018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Revision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General</w:t>
      </w:r>
      <w:r w:rsidR="00FE6B8B" w:rsidRPr="00A035D0">
        <w:t xml:space="preserve"> </w:t>
      </w:r>
      <w:r w:rsidR="0087402A" w:rsidRPr="00A035D0">
        <w:t>Information</w:t>
      </w:r>
      <w:r w:rsidR="00FE6B8B" w:rsidRPr="00A035D0">
        <w:t xml:space="preserve"> </w:t>
      </w:r>
      <w:r w:rsidR="0087402A" w:rsidRPr="00A035D0">
        <w:t>Sheet</w:t>
      </w:r>
      <w:r w:rsidR="00FE6B8B" w:rsidRPr="00A035D0">
        <w:t xml:space="preserve"> </w:t>
      </w:r>
      <w:r w:rsidR="0087402A" w:rsidRPr="00A035D0">
        <w:t>(GIS)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beneficial</w:t>
      </w:r>
      <w:r w:rsidR="00FE6B8B" w:rsidRPr="00A035D0">
        <w:t xml:space="preserve"> </w:t>
      </w:r>
      <w:r w:rsidR="0087402A" w:rsidRPr="00A035D0">
        <w:t>ownership</w:t>
      </w:r>
      <w:r w:rsidR="00FE6B8B" w:rsidRPr="00A035D0">
        <w:t xml:space="preserve"> </w:t>
      </w:r>
      <w:r w:rsidR="0087402A" w:rsidRPr="00A035D0">
        <w:t>information.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provision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eight</w:t>
      </w:r>
      <w:r w:rsidR="00FE6B8B" w:rsidRPr="00A035D0">
        <w:t xml:space="preserve"> </w:t>
      </w:r>
      <w:r w:rsidR="0087402A" w:rsidRPr="00A035D0">
        <w:t>pages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MC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constricts</w:t>
      </w:r>
      <w:r w:rsidR="00FE6B8B" w:rsidRPr="00A035D0">
        <w:t xml:space="preserve"> </w:t>
      </w:r>
      <w:r w:rsidR="0087402A" w:rsidRPr="00A035D0">
        <w:t>civic</w:t>
      </w:r>
      <w:r w:rsidR="00FE6B8B" w:rsidRPr="00A035D0">
        <w:t xml:space="preserve"> </w:t>
      </w:r>
      <w:r w:rsidR="0087402A" w:rsidRPr="00A035D0">
        <w:t>space.</w:t>
      </w:r>
    </w:p>
    <w:p w14:paraId="077FAFAB" w14:textId="7F3C321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Further,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claims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“</w:t>
      </w:r>
      <w:r w:rsidR="0087402A" w:rsidRPr="00A035D0">
        <w:t>many</w:t>
      </w:r>
      <w:r w:rsidR="00FE6B8B" w:rsidRPr="00A035D0">
        <w:t xml:space="preserve"> </w:t>
      </w:r>
      <w:r w:rsidR="0087402A" w:rsidRPr="00A035D0">
        <w:t>CSOs</w:t>
      </w:r>
      <w:r w:rsidR="00FE6B8B" w:rsidRPr="00A035D0">
        <w:t xml:space="preserve">” </w:t>
      </w:r>
      <w:r w:rsidR="0087402A" w:rsidRPr="00A035D0">
        <w:t>must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assessed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context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thousands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CSOs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Philippines,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community-based</w:t>
      </w:r>
      <w:r w:rsidR="00FE6B8B" w:rsidRPr="00A035D0">
        <w:t xml:space="preserve"> </w:t>
      </w:r>
      <w:r w:rsidR="0087402A" w:rsidRPr="00A035D0">
        <w:t>groups,</w:t>
      </w:r>
      <w:r w:rsidR="00FE6B8B" w:rsidRPr="00A035D0">
        <w:t xml:space="preserve"> </w:t>
      </w:r>
      <w:r w:rsidR="0087402A" w:rsidRPr="00A035D0">
        <w:t>whose</w:t>
      </w:r>
      <w:r w:rsidR="00FE6B8B" w:rsidRPr="00A035D0">
        <w:t xml:space="preserve"> </w:t>
      </w:r>
      <w:r w:rsidR="0087402A" w:rsidRPr="00A035D0">
        <w:t>roles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public</w:t>
      </w:r>
      <w:r w:rsidR="00FE6B8B" w:rsidRPr="00A035D0">
        <w:t xml:space="preserve"> </w:t>
      </w:r>
      <w:r w:rsidR="0087402A" w:rsidRPr="00A035D0">
        <w:t>life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established,</w:t>
      </w:r>
      <w:r w:rsidR="00FE6B8B" w:rsidRPr="00A035D0">
        <w:t xml:space="preserve"> </w:t>
      </w:r>
      <w:r w:rsidR="0087402A" w:rsidRPr="00A035D0">
        <w:t>unhindered,</w:t>
      </w:r>
      <w:r w:rsidR="00FE6B8B" w:rsidRPr="00A035D0">
        <w:t xml:space="preserve"> </w:t>
      </w:r>
      <w:r w:rsidR="0087402A" w:rsidRPr="00A035D0">
        <w:t>constructive,</w:t>
      </w:r>
      <w:r w:rsidR="00FE6B8B" w:rsidRPr="00A035D0">
        <w:t xml:space="preserve"> </w:t>
      </w:r>
      <w:r w:rsidR="0087402A" w:rsidRPr="00A035D0">
        <w:t>peaceful,</w:t>
      </w:r>
      <w:r w:rsidR="00FE6B8B" w:rsidRPr="00A035D0">
        <w:t xml:space="preserve"> </w:t>
      </w:r>
      <w:r w:rsidR="0087402A" w:rsidRPr="00A035D0">
        <w:t>well-recognized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highly-valued.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101,000</w:t>
      </w:r>
      <w:r w:rsidR="00FE6B8B" w:rsidRPr="00A035D0">
        <w:t xml:space="preserve"> </w:t>
      </w:r>
      <w:r w:rsidR="0087402A" w:rsidRPr="00A035D0">
        <w:t>registered</w:t>
      </w:r>
      <w:r w:rsidR="00FE6B8B" w:rsidRPr="00A035D0">
        <w:t xml:space="preserve"> </w:t>
      </w:r>
      <w:r w:rsidR="0087402A" w:rsidRPr="00A035D0">
        <w:t>non-profit</w:t>
      </w:r>
      <w:r w:rsidR="00FE6B8B" w:rsidRPr="00A035D0">
        <w:t xml:space="preserve"> </w:t>
      </w:r>
      <w:r w:rsidR="0087402A" w:rsidRPr="00A035D0">
        <w:t>organizations</w:t>
      </w:r>
      <w:r w:rsidR="0087402A" w:rsidRPr="00A035D0">
        <w:rPr>
          <w:rStyle w:val="FootnoteReference"/>
        </w:rPr>
        <w:footnoteReference w:id="70"/>
      </w:r>
      <w:r w:rsidR="0087402A" w:rsidRPr="00A035D0">
        <w:t>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majority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valued</w:t>
      </w:r>
      <w:r w:rsidR="00FE6B8B" w:rsidRPr="00A035D0">
        <w:t xml:space="preserve"> </w:t>
      </w:r>
      <w:r w:rsidR="0087402A" w:rsidRPr="00A035D0">
        <w:t>partners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Filipino</w:t>
      </w:r>
      <w:r w:rsidR="00FE6B8B" w:rsidRPr="00A035D0">
        <w:t xml:space="preserve"> </w:t>
      </w:r>
      <w:r w:rsidR="0087402A" w:rsidRPr="00A035D0">
        <w:t>people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nation-building.</w:t>
      </w:r>
    </w:p>
    <w:p w14:paraId="7D21BFC7" w14:textId="28D77C32" w:rsidR="00FE6B8B" w:rsidRPr="00A035D0" w:rsidRDefault="0087402A" w:rsidP="004D42E9">
      <w:pPr>
        <w:pStyle w:val="H56G"/>
      </w:pPr>
      <w:r w:rsidRPr="00A035D0">
        <w:lastRenderedPageBreak/>
        <w:tab/>
        <w:t>(b)</w:t>
      </w:r>
      <w:r w:rsidRPr="00A035D0">
        <w:tab/>
        <w:t>Article</w:t>
      </w:r>
      <w:r w:rsidR="00FE6B8B" w:rsidRPr="00A035D0">
        <w:t xml:space="preserve"> </w:t>
      </w:r>
      <w:r w:rsidRPr="00A035D0">
        <w:t>21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Covenant</w:t>
      </w:r>
      <w:r w:rsidR="00FE6B8B" w:rsidRPr="00A035D0">
        <w:t xml:space="preserve"> </w:t>
      </w:r>
      <w:r w:rsidRPr="00A035D0">
        <w:t>emphasizes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rights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“</w:t>
      </w:r>
      <w:r w:rsidRPr="00A035D0">
        <w:t>peaceful</w:t>
      </w:r>
      <w:r w:rsidR="00FE6B8B" w:rsidRPr="00A035D0">
        <w:t xml:space="preserve">” </w:t>
      </w:r>
      <w:r w:rsidRPr="00A035D0">
        <w:t>assembly.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Department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Interior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Local</w:t>
      </w:r>
      <w:r w:rsidR="00FE6B8B" w:rsidRPr="00A035D0">
        <w:t xml:space="preserve"> </w:t>
      </w:r>
      <w:r w:rsidRPr="00A035D0">
        <w:t>Government</w:t>
      </w:r>
      <w:r w:rsidR="00FE6B8B" w:rsidRPr="00A035D0">
        <w:t xml:space="preserve"> </w:t>
      </w:r>
      <w:r w:rsidRPr="00A035D0">
        <w:t>(DILG)</w:t>
      </w:r>
      <w:r w:rsidR="00FE6B8B" w:rsidRPr="00A035D0">
        <w:t xml:space="preserve"> </w:t>
      </w:r>
      <w:r w:rsidRPr="00A035D0">
        <w:t>issued</w:t>
      </w:r>
      <w:r w:rsidR="00FE6B8B" w:rsidRPr="00A035D0">
        <w:t xml:space="preserve"> </w:t>
      </w:r>
      <w:r w:rsidRPr="00A035D0">
        <w:t>guidelines</w:t>
      </w:r>
      <w:r w:rsidR="00FE6B8B" w:rsidRPr="00A035D0">
        <w:t xml:space="preserve"> </w:t>
      </w:r>
      <w:r w:rsidRPr="00A035D0">
        <w:t>for</w:t>
      </w:r>
      <w:r w:rsidR="00FE6B8B" w:rsidRPr="00A035D0">
        <w:t xml:space="preserve"> </w:t>
      </w:r>
      <w:r w:rsidRPr="00A035D0">
        <w:t>local</w:t>
      </w:r>
      <w:r w:rsidR="00FE6B8B" w:rsidRPr="00A035D0">
        <w:t xml:space="preserve"> </w:t>
      </w:r>
      <w:r w:rsidRPr="00A035D0">
        <w:t>government</w:t>
      </w:r>
      <w:r w:rsidR="00FE6B8B" w:rsidRPr="00A035D0">
        <w:t xml:space="preserve"> </w:t>
      </w:r>
      <w:r w:rsidRPr="00A035D0">
        <w:t>units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their</w:t>
      </w:r>
      <w:r w:rsidR="00FE6B8B" w:rsidRPr="00A035D0">
        <w:t xml:space="preserve"> </w:t>
      </w:r>
      <w:r w:rsidRPr="00A035D0">
        <w:t>issuance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permits</w:t>
      </w:r>
      <w:r w:rsidR="00FE6B8B" w:rsidRPr="00A035D0">
        <w:t xml:space="preserve"> </w:t>
      </w:r>
      <w:r w:rsidRPr="00A035D0">
        <w:t>for</w:t>
      </w:r>
      <w:r w:rsidR="00FE6B8B" w:rsidRPr="00A035D0">
        <w:t xml:space="preserve"> </w:t>
      </w:r>
      <w:r w:rsidRPr="00A035D0">
        <w:t>rallies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comply</w:t>
      </w:r>
      <w:r w:rsidR="00FE6B8B" w:rsidRPr="00A035D0">
        <w:t xml:space="preserve"> </w:t>
      </w:r>
      <w:r w:rsidRPr="00A035D0">
        <w:t>with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Supreme</w:t>
      </w:r>
      <w:r w:rsidR="00FE6B8B" w:rsidRPr="00A035D0">
        <w:t xml:space="preserve"> </w:t>
      </w:r>
      <w:r w:rsidRPr="00A035D0">
        <w:t>Court</w:t>
      </w:r>
      <w:r w:rsidR="00FE6B8B" w:rsidRPr="00A035D0">
        <w:t xml:space="preserve"> </w:t>
      </w:r>
      <w:r w:rsidRPr="00A035D0">
        <w:t>ruling</w:t>
      </w:r>
      <w:r w:rsidRPr="00A035D0">
        <w:rPr>
          <w:rStyle w:val="FootnoteReference"/>
        </w:rPr>
        <w:footnoteReference w:id="71"/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ensure</w:t>
      </w:r>
      <w:r w:rsidR="00FE6B8B" w:rsidRPr="00A035D0">
        <w:t xml:space="preserve"> </w:t>
      </w:r>
      <w:r w:rsidRPr="00A035D0">
        <w:t>safety,</w:t>
      </w:r>
      <w:r w:rsidR="00FE6B8B" w:rsidRPr="00A035D0">
        <w:t xml:space="preserve"> </w:t>
      </w:r>
      <w:r w:rsidRPr="00A035D0">
        <w:t>peace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order</w:t>
      </w:r>
      <w:r w:rsidR="00FE6B8B" w:rsidRPr="00A035D0">
        <w:t xml:space="preserve"> </w:t>
      </w:r>
      <w:r w:rsidRPr="00A035D0">
        <w:t>during</w:t>
      </w:r>
      <w:r w:rsidR="00FE6B8B" w:rsidRPr="00A035D0">
        <w:t xml:space="preserve"> </w:t>
      </w:r>
      <w:r w:rsidRPr="00A035D0">
        <w:t>such</w:t>
      </w:r>
      <w:r w:rsidR="00FE6B8B" w:rsidRPr="00A035D0">
        <w:t xml:space="preserve"> </w:t>
      </w:r>
      <w:r w:rsidRPr="00A035D0">
        <w:t>activities</w:t>
      </w:r>
      <w:r w:rsidR="00FE6B8B" w:rsidRPr="00A035D0">
        <w:t xml:space="preserve"> </w:t>
      </w:r>
      <w:r w:rsidRPr="00A035D0">
        <w:t>like</w:t>
      </w:r>
      <w:r w:rsidR="00FE6B8B" w:rsidRPr="00A035D0">
        <w:t xml:space="preserve"> </w:t>
      </w:r>
      <w:r w:rsidRPr="00A035D0">
        <w:t>prohibiting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possession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bombs,</w:t>
      </w:r>
      <w:r w:rsidR="00FE6B8B" w:rsidRPr="00A035D0">
        <w:t xml:space="preserve"> </w:t>
      </w:r>
      <w:r w:rsidRPr="00A035D0">
        <w:t>firearms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deadly</w:t>
      </w:r>
      <w:r w:rsidR="00FE6B8B" w:rsidRPr="00A035D0">
        <w:t xml:space="preserve"> </w:t>
      </w:r>
      <w:r w:rsidRPr="00A035D0">
        <w:t>weapons</w:t>
      </w:r>
      <w:r w:rsidR="00FE6B8B" w:rsidRPr="00A035D0">
        <w:t xml:space="preserve"> </w:t>
      </w:r>
      <w:r w:rsidRPr="00A035D0">
        <w:t>during</w:t>
      </w:r>
      <w:r w:rsidR="00FE6B8B" w:rsidRPr="00A035D0">
        <w:t xml:space="preserve"> </w:t>
      </w:r>
      <w:r w:rsidRPr="00A035D0">
        <w:t>rallies,</w:t>
      </w:r>
      <w:r w:rsidR="00FE6B8B" w:rsidRPr="00A035D0">
        <w:t xml:space="preserve"> </w:t>
      </w:r>
      <w:r w:rsidRPr="00A035D0">
        <w:t>acts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burning</w:t>
      </w:r>
      <w:r w:rsidR="00FE6B8B" w:rsidRPr="00A035D0">
        <w:t xml:space="preserve"> </w:t>
      </w:r>
      <w:r w:rsidRPr="00A035D0">
        <w:t>or</w:t>
      </w:r>
      <w:r w:rsidR="00FE6B8B" w:rsidRPr="00A035D0">
        <w:t xml:space="preserve"> </w:t>
      </w:r>
      <w:r w:rsidRPr="00A035D0">
        <w:t>arson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other</w:t>
      </w:r>
      <w:r w:rsidR="00FE6B8B" w:rsidRPr="00A035D0">
        <w:t xml:space="preserve"> </w:t>
      </w:r>
      <w:r w:rsidRPr="00A035D0">
        <w:t>violent</w:t>
      </w:r>
      <w:r w:rsidR="00FE6B8B" w:rsidRPr="00A035D0">
        <w:t xml:space="preserve"> </w:t>
      </w:r>
      <w:r w:rsidRPr="00A035D0">
        <w:t>actions</w:t>
      </w:r>
      <w:r w:rsidR="00FE6B8B" w:rsidRPr="00A035D0">
        <w:t xml:space="preserve"> </w:t>
      </w:r>
      <w:r w:rsidRPr="00A035D0">
        <w:t>not</w:t>
      </w:r>
      <w:r w:rsidR="00FE6B8B" w:rsidRPr="00A035D0">
        <w:t xml:space="preserve"> </w:t>
      </w:r>
      <w:r w:rsidRPr="00A035D0">
        <w:t>covered</w:t>
      </w:r>
      <w:r w:rsidR="00FE6B8B" w:rsidRPr="00A035D0">
        <w:t xml:space="preserve"> </w:t>
      </w:r>
      <w:r w:rsidRPr="00A035D0">
        <w:t>as</w:t>
      </w:r>
      <w:r w:rsidR="00FE6B8B" w:rsidRPr="00A035D0">
        <w:t xml:space="preserve"> </w:t>
      </w:r>
      <w:r w:rsidRPr="00A035D0">
        <w:t>rights</w:t>
      </w:r>
      <w:r w:rsidR="00FE6B8B" w:rsidRPr="00A035D0">
        <w:t xml:space="preserve"> </w:t>
      </w:r>
      <w:r w:rsidRPr="00A035D0">
        <w:t>by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Covenant.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Guidelines</w:t>
      </w:r>
      <w:r w:rsidR="00FE6B8B" w:rsidRPr="00A035D0">
        <w:t xml:space="preserve"> </w:t>
      </w:r>
      <w:r w:rsidRPr="00A035D0">
        <w:t>apply</w:t>
      </w:r>
      <w:r w:rsidR="00FE6B8B" w:rsidRPr="00A035D0">
        <w:t xml:space="preserve"> </w:t>
      </w:r>
      <w:r w:rsidRPr="00A035D0">
        <w:t>both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participants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rallies</w:t>
      </w:r>
      <w:r w:rsidR="00FE6B8B" w:rsidRPr="00A035D0">
        <w:t xml:space="preserve"> </w:t>
      </w:r>
      <w:r w:rsidRPr="00A035D0">
        <w:t>as</w:t>
      </w:r>
      <w:r w:rsidR="00FE6B8B" w:rsidRPr="00A035D0">
        <w:t xml:space="preserve"> </w:t>
      </w:r>
      <w:r w:rsidRPr="00A035D0">
        <w:t>well</w:t>
      </w:r>
      <w:r w:rsidR="00FE6B8B" w:rsidRPr="00A035D0">
        <w:t xml:space="preserve"> </w:t>
      </w:r>
      <w:r w:rsidRPr="00A035D0">
        <w:t>as</w:t>
      </w:r>
      <w:r w:rsidR="00FE6B8B" w:rsidRPr="00A035D0">
        <w:t xml:space="preserve"> </w:t>
      </w:r>
      <w:r w:rsidRPr="00A035D0">
        <w:t>security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law</w:t>
      </w:r>
      <w:r w:rsidR="00FE6B8B" w:rsidRPr="00A035D0">
        <w:t xml:space="preserve"> </w:t>
      </w:r>
      <w:r w:rsidRPr="00A035D0">
        <w:t>enforcement</w:t>
      </w:r>
      <w:r w:rsidR="00FE6B8B" w:rsidRPr="00A035D0">
        <w:t xml:space="preserve"> </w:t>
      </w:r>
      <w:r w:rsidRPr="00A035D0">
        <w:t>officers</w:t>
      </w:r>
      <w:r w:rsidR="00FE6B8B" w:rsidRPr="00A035D0">
        <w:t xml:space="preserve"> </w:t>
      </w:r>
      <w:r w:rsidRPr="00A035D0">
        <w:t>alike</w:t>
      </w:r>
      <w:r w:rsidRPr="00A035D0">
        <w:rPr>
          <w:rStyle w:val="FootnoteReference"/>
        </w:rPr>
        <w:footnoteReference w:id="72"/>
      </w:r>
    </w:p>
    <w:p w14:paraId="62A9D82C" w14:textId="026BD046" w:rsidR="0087402A" w:rsidRPr="00A035D0" w:rsidRDefault="0087402A" w:rsidP="004D42E9">
      <w:pPr>
        <w:pStyle w:val="H56G"/>
      </w:pPr>
      <w:r w:rsidRPr="00A035D0">
        <w:tab/>
        <w:t>(c)</w:t>
      </w:r>
      <w:r w:rsidRPr="00A035D0">
        <w:tab/>
        <w:t>On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specialized</w:t>
      </w:r>
      <w:r w:rsidR="00FE6B8B" w:rsidRPr="00A035D0">
        <w:t xml:space="preserve"> </w:t>
      </w:r>
      <w:r w:rsidRPr="00A035D0">
        <w:t>labor</w:t>
      </w:r>
      <w:r w:rsidR="00FE6B8B" w:rsidRPr="00A035D0">
        <w:t xml:space="preserve"> </w:t>
      </w:r>
      <w:r w:rsidRPr="00A035D0">
        <w:t>concern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foreign</w:t>
      </w:r>
      <w:r w:rsidR="00FE6B8B" w:rsidRPr="00A035D0">
        <w:t xml:space="preserve"> </w:t>
      </w:r>
      <w:r w:rsidRPr="00A035D0">
        <w:t>workers,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Philippines</w:t>
      </w:r>
      <w:r w:rsidR="00FE6B8B" w:rsidRPr="00A035D0">
        <w:t xml:space="preserve"> </w:t>
      </w:r>
      <w:r w:rsidRPr="00A035D0">
        <w:t>is</w:t>
      </w:r>
      <w:r w:rsidR="00FE6B8B" w:rsidRPr="00A035D0">
        <w:t xml:space="preserve"> </w:t>
      </w:r>
      <w:r w:rsidRPr="00A035D0">
        <w:t>a</w:t>
      </w:r>
      <w:r w:rsidR="00FE6B8B" w:rsidRPr="00A035D0">
        <w:t xml:space="preserve"> </w:t>
      </w:r>
      <w:r w:rsidRPr="00A035D0">
        <w:t>compliant</w:t>
      </w:r>
      <w:r w:rsidR="00FE6B8B" w:rsidRPr="00A035D0">
        <w:t xml:space="preserve"> </w:t>
      </w:r>
      <w:r w:rsidRPr="00A035D0">
        <w:t>member</w:t>
      </w:r>
      <w:r w:rsidR="00FE6B8B" w:rsidRPr="00A035D0">
        <w:t xml:space="preserve"> </w:t>
      </w:r>
      <w:r w:rsidRPr="00A035D0">
        <w:t>State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all</w:t>
      </w:r>
      <w:r w:rsidR="00FE6B8B" w:rsidRPr="00A035D0">
        <w:t xml:space="preserve"> </w:t>
      </w:r>
      <w:r w:rsidRPr="00A035D0">
        <w:t>8</w:t>
      </w:r>
      <w:r w:rsidR="00FE6B8B" w:rsidRPr="00A035D0">
        <w:t xml:space="preserve"> </w:t>
      </w:r>
      <w:r w:rsidRPr="00A035D0">
        <w:t>UN</w:t>
      </w:r>
      <w:r w:rsidR="00FE6B8B" w:rsidRPr="00A035D0">
        <w:t xml:space="preserve"> </w:t>
      </w:r>
      <w:r w:rsidRPr="00A035D0">
        <w:t>International</w:t>
      </w:r>
      <w:r w:rsidR="00FE6B8B" w:rsidRPr="00A035D0">
        <w:t xml:space="preserve"> </w:t>
      </w:r>
      <w:r w:rsidRPr="00A035D0">
        <w:t>Labor</w:t>
      </w:r>
      <w:r w:rsidR="00FE6B8B" w:rsidRPr="00A035D0">
        <w:t xml:space="preserve"> </w:t>
      </w:r>
      <w:r w:rsidRPr="00A035D0">
        <w:t>Organizations</w:t>
      </w:r>
      <w:r w:rsidR="00FE6B8B" w:rsidRPr="00A035D0">
        <w:t xml:space="preserve">’ </w:t>
      </w:r>
      <w:r w:rsidRPr="00A035D0">
        <w:t>and</w:t>
      </w:r>
      <w:r w:rsidR="00FE6B8B" w:rsidRPr="00A035D0">
        <w:t xml:space="preserve"> </w:t>
      </w:r>
      <w:r w:rsidRPr="00A035D0">
        <w:t>has</w:t>
      </w:r>
      <w:r w:rsidR="00FE6B8B" w:rsidRPr="00A035D0">
        <w:t xml:space="preserve"> </w:t>
      </w:r>
      <w:r w:rsidRPr="00A035D0">
        <w:t>ratified</w:t>
      </w:r>
      <w:r w:rsidR="00FE6B8B" w:rsidRPr="00A035D0">
        <w:t xml:space="preserve"> </w:t>
      </w:r>
      <w:r w:rsidRPr="00A035D0">
        <w:t>38</w:t>
      </w:r>
      <w:r w:rsidR="00FE6B8B" w:rsidRPr="00A035D0">
        <w:t xml:space="preserve"> </w:t>
      </w:r>
      <w:r w:rsidRPr="00A035D0">
        <w:t>relevant</w:t>
      </w:r>
      <w:r w:rsidR="00FE6B8B" w:rsidRPr="00A035D0">
        <w:t xml:space="preserve"> </w:t>
      </w:r>
      <w:r w:rsidRPr="00A035D0">
        <w:t>conventions</w:t>
      </w:r>
      <w:r w:rsidRPr="00A035D0">
        <w:rPr>
          <w:rStyle w:val="FootnoteReference"/>
        </w:rPr>
        <w:footnoteReference w:id="73"/>
      </w:r>
      <w:r w:rsidRPr="00A035D0">
        <w:t>.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State</w:t>
      </w:r>
      <w:r w:rsidR="00FE6B8B" w:rsidRPr="00A035D0">
        <w:t xml:space="preserve"> </w:t>
      </w:r>
      <w:r w:rsidRPr="00A035D0">
        <w:t>adopts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widely</w:t>
      </w:r>
      <w:r w:rsidR="00FE6B8B" w:rsidRPr="00A035D0">
        <w:t xml:space="preserve"> </w:t>
      </w:r>
      <w:r w:rsidRPr="00A035D0">
        <w:t>accepted</w:t>
      </w:r>
      <w:r w:rsidR="00FE6B8B" w:rsidRPr="00A035D0">
        <w:t xml:space="preserve"> </w:t>
      </w:r>
      <w:r w:rsidRPr="00A035D0">
        <w:t>international</w:t>
      </w:r>
      <w:r w:rsidR="00FE6B8B" w:rsidRPr="00A035D0">
        <w:t xml:space="preserve"> </w:t>
      </w:r>
      <w:r w:rsidRPr="00A035D0">
        <w:t>Principle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Reciprocity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relation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foreign</w:t>
      </w:r>
      <w:r w:rsidR="00FE6B8B" w:rsidRPr="00A035D0">
        <w:t xml:space="preserve"> </w:t>
      </w:r>
      <w:r w:rsidRPr="00A035D0">
        <w:t>workers.</w:t>
      </w:r>
    </w:p>
    <w:p w14:paraId="7FB82DAB" w14:textId="77777777" w:rsidR="00FE6B8B" w:rsidRPr="00A035D0" w:rsidRDefault="0087402A" w:rsidP="004D42E9">
      <w:pPr>
        <w:pStyle w:val="H1G"/>
      </w:pPr>
      <w:r w:rsidRPr="00A035D0">
        <w:tab/>
      </w:r>
      <w:r w:rsidRPr="00A035D0">
        <w:tab/>
        <w:t>Right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take</w:t>
      </w:r>
      <w:r w:rsidR="00FE6B8B" w:rsidRPr="00A035D0">
        <w:t xml:space="preserve"> </w:t>
      </w:r>
      <w:r w:rsidRPr="00A035D0">
        <w:t>part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public</w:t>
      </w:r>
      <w:r w:rsidR="00FE6B8B" w:rsidRPr="00A035D0">
        <w:t xml:space="preserve"> </w:t>
      </w:r>
      <w:r w:rsidRPr="00A035D0">
        <w:t>life</w:t>
      </w:r>
      <w:r w:rsidR="00FE6B8B" w:rsidRPr="00A035D0">
        <w:t xml:space="preserve"> </w:t>
      </w:r>
      <w:r w:rsidRPr="00A035D0">
        <w:t>(art.</w:t>
      </w:r>
      <w:r w:rsidR="00FE6B8B" w:rsidRPr="00A035D0">
        <w:t xml:space="preserve"> </w:t>
      </w:r>
      <w:r w:rsidRPr="00A035D0">
        <w:t>25)</w:t>
      </w:r>
    </w:p>
    <w:p w14:paraId="09848202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25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260E62DE" w14:textId="597BD8E2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Senator</w:t>
      </w:r>
      <w:r w:rsidR="00FE6B8B" w:rsidRPr="00A035D0">
        <w:t xml:space="preserve"> </w:t>
      </w:r>
      <w:r w:rsidR="0087402A" w:rsidRPr="00A035D0">
        <w:t>Leila</w:t>
      </w:r>
      <w:r w:rsidR="00FE6B8B" w:rsidRPr="00A035D0">
        <w:t xml:space="preserve"> </w:t>
      </w:r>
      <w:r w:rsidR="0087402A" w:rsidRPr="00A035D0">
        <w:t>de</w:t>
      </w:r>
      <w:r w:rsidR="00FE6B8B" w:rsidRPr="00A035D0">
        <w:t xml:space="preserve"> </w:t>
      </w:r>
      <w:r w:rsidR="0087402A" w:rsidRPr="00A035D0">
        <w:t>Lima,</w:t>
      </w:r>
      <w:r w:rsidR="00FE6B8B" w:rsidRPr="00A035D0">
        <w:t xml:space="preserve"> </w:t>
      </w:r>
      <w:r w:rsidR="0087402A" w:rsidRPr="00A035D0">
        <w:t>Senator</w:t>
      </w:r>
      <w:r w:rsidR="00FE6B8B" w:rsidRPr="00A035D0">
        <w:t xml:space="preserve"> </w:t>
      </w:r>
      <w:r w:rsidR="0087402A" w:rsidRPr="00A035D0">
        <w:t>Antonio</w:t>
      </w:r>
      <w:r w:rsidR="00FE6B8B" w:rsidRPr="00A035D0">
        <w:t xml:space="preserve"> </w:t>
      </w:r>
      <w:r w:rsidR="0087402A" w:rsidRPr="00A035D0">
        <w:t>Trillanes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Vice-President</w:t>
      </w:r>
      <w:r w:rsidR="00FE6B8B" w:rsidRPr="00A035D0">
        <w:t xml:space="preserve"> </w:t>
      </w:r>
      <w:r w:rsidR="0087402A" w:rsidRPr="00A035D0">
        <w:t>Leni</w:t>
      </w:r>
      <w:r w:rsidR="00FE6B8B" w:rsidRPr="00A035D0">
        <w:t xml:space="preserve"> </w:t>
      </w:r>
      <w:r w:rsidR="0087402A" w:rsidRPr="00A035D0">
        <w:t>Robredo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high</w:t>
      </w:r>
      <w:r w:rsidR="00FE6B8B" w:rsidRPr="00A035D0">
        <w:t xml:space="preserve"> </w:t>
      </w:r>
      <w:r w:rsidR="0087402A" w:rsidRPr="00A035D0">
        <w:t>ranking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officials</w:t>
      </w:r>
      <w:r w:rsidR="00FE6B8B" w:rsidRPr="00A035D0">
        <w:t xml:space="preserve"> </w:t>
      </w:r>
      <w:r w:rsidR="0087402A" w:rsidRPr="00A035D0">
        <w:t>who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exercising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suffrage</w:t>
      </w:r>
      <w:r w:rsidR="00FE6B8B" w:rsidRPr="00A035D0">
        <w:t xml:space="preserve"> </w:t>
      </w:r>
      <w:r w:rsidR="0087402A" w:rsidRPr="00A035D0">
        <w:t>according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Covenant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certificates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candidacy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position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Senator</w:t>
      </w:r>
      <w:r w:rsidR="00FE6B8B" w:rsidRPr="00A035D0">
        <w:t xml:space="preserve"> </w:t>
      </w:r>
      <w:r w:rsidR="0087402A" w:rsidRPr="00A035D0">
        <w:t>(de</w:t>
      </w:r>
      <w:r w:rsidR="00FE6B8B" w:rsidRPr="00A035D0">
        <w:t xml:space="preserve"> </w:t>
      </w:r>
      <w:r w:rsidR="0087402A" w:rsidRPr="00A035D0">
        <w:t>Lima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Trillanes)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Vice-President</w:t>
      </w:r>
      <w:r w:rsidR="00FE6B8B" w:rsidRPr="00A035D0">
        <w:t xml:space="preserve"> </w:t>
      </w:r>
      <w:r w:rsidR="0087402A" w:rsidRPr="00A035D0">
        <w:t>Robredo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her</w:t>
      </w:r>
      <w:r w:rsidR="00FE6B8B" w:rsidRPr="00A035D0">
        <w:t xml:space="preserve"> </w:t>
      </w:r>
      <w:r w:rsidR="0087402A" w:rsidRPr="00A035D0">
        <w:t>certificate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candidacy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position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President</w:t>
      </w:r>
      <w:r w:rsidR="00671E75">
        <w:t>.</w:t>
      </w:r>
    </w:p>
    <w:p w14:paraId="4DFE6666" w14:textId="40AD755A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Victims/parties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initiated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proceedings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both</w:t>
      </w:r>
      <w:r w:rsidR="00FE6B8B" w:rsidRPr="00A035D0">
        <w:t xml:space="preserve"> </w:t>
      </w:r>
      <w:r w:rsidR="0087402A" w:rsidRPr="00A035D0">
        <w:t>Senator</w:t>
      </w:r>
      <w:r w:rsidR="00FE6B8B" w:rsidRPr="00A035D0">
        <w:t xml:space="preserve"> </w:t>
      </w:r>
      <w:r w:rsidR="0087402A" w:rsidRPr="00A035D0">
        <w:t>De</w:t>
      </w:r>
      <w:r w:rsidR="00FE6B8B" w:rsidRPr="00A035D0">
        <w:t xml:space="preserve"> </w:t>
      </w:r>
      <w:r w:rsidR="0087402A" w:rsidRPr="00A035D0">
        <w:t>Lima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Trillanes,</w:t>
      </w:r>
      <w:r w:rsidR="00FE6B8B" w:rsidRPr="00A035D0">
        <w:t xml:space="preserve"> </w:t>
      </w:r>
      <w:r w:rsidR="0087402A" w:rsidRPr="00A035D0">
        <w:t>According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Covenant,</w:t>
      </w:r>
      <w:r w:rsidR="00FE6B8B" w:rsidRPr="00A035D0">
        <w:t xml:space="preserve"> </w:t>
      </w:r>
      <w:r w:rsidR="0087402A" w:rsidRPr="00A035D0">
        <w:t>self-serving</w:t>
      </w:r>
      <w:r w:rsidR="00FE6B8B" w:rsidRPr="00A035D0">
        <w:t xml:space="preserve"> </w:t>
      </w:r>
      <w:r w:rsidR="0087402A" w:rsidRPr="00A035D0">
        <w:t>declarations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one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“</w:t>
      </w:r>
      <w:r w:rsidR="0087402A" w:rsidRPr="00A035D0">
        <w:t>opposition</w:t>
      </w:r>
      <w:r w:rsidR="00FE6B8B" w:rsidRPr="00A035D0">
        <w:t xml:space="preserve"> </w:t>
      </w:r>
      <w:r w:rsidR="0087402A" w:rsidRPr="00A035D0">
        <w:t>figure</w:t>
      </w:r>
      <w:r w:rsidR="00FE6B8B" w:rsidRPr="00A035D0">
        <w:t xml:space="preserve">” </w:t>
      </w:r>
      <w:r w:rsidR="0087402A" w:rsidRPr="00A035D0">
        <w:t>does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absolve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exempt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and/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criminal</w:t>
      </w:r>
      <w:r w:rsidR="00FE6B8B" w:rsidRPr="00A035D0">
        <w:t xml:space="preserve"> </w:t>
      </w:r>
      <w:r w:rsidR="0087402A" w:rsidRPr="00A035D0">
        <w:t>accountability.</w:t>
      </w:r>
      <w:r w:rsidR="00FE6B8B" w:rsidRPr="00A035D0">
        <w:t xml:space="preserve"> </w:t>
      </w:r>
      <w:r w:rsidR="0087402A" w:rsidRPr="00A035D0">
        <w:t>Especially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hold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accountable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high-ranking</w:t>
      </w:r>
      <w:r w:rsidR="00FE6B8B" w:rsidRPr="00A035D0">
        <w:t xml:space="preserve"> </w:t>
      </w:r>
      <w:r w:rsidR="0087402A" w:rsidRPr="00A035D0">
        <w:t>State</w:t>
      </w:r>
      <w:r w:rsidR="00FE6B8B" w:rsidRPr="00A035D0">
        <w:t xml:space="preserve"> </w:t>
      </w:r>
      <w:r w:rsidR="0087402A" w:rsidRPr="00A035D0">
        <w:t>actors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filed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accessing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justice</w:t>
      </w:r>
      <w:r w:rsidR="00FE6B8B" w:rsidRPr="00A035D0">
        <w:t xml:space="preserve"> </w:t>
      </w:r>
      <w:r w:rsidR="0087402A" w:rsidRPr="00A035D0">
        <w:t>mechanisms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hold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accountable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acts.</w:t>
      </w:r>
    </w:p>
    <w:p w14:paraId="33AB365D" w14:textId="41E671E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no</w:t>
      </w:r>
      <w:r w:rsidR="00FE6B8B" w:rsidRPr="00A035D0">
        <w:t xml:space="preserve"> </w:t>
      </w:r>
      <w:r w:rsidR="0087402A" w:rsidRPr="00A035D0">
        <w:t>known</w:t>
      </w:r>
      <w:r w:rsidR="00FE6B8B" w:rsidRPr="00A035D0">
        <w:t xml:space="preserve"> </w:t>
      </w:r>
      <w:r w:rsidR="0087402A" w:rsidRPr="00A035D0">
        <w:t>legal</w:t>
      </w:r>
      <w:r w:rsidR="00FE6B8B" w:rsidRPr="00A035D0">
        <w:t xml:space="preserve"> </w:t>
      </w:r>
      <w:r w:rsidR="0087402A" w:rsidRPr="00A035D0">
        <w:t>proceedings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Vice-President</w:t>
      </w:r>
      <w:r w:rsidR="00FE6B8B" w:rsidRPr="00A035D0">
        <w:t xml:space="preserve"> </w:t>
      </w:r>
      <w:r w:rsidR="0087402A" w:rsidRPr="00A035D0">
        <w:t>Robredo.</w:t>
      </w:r>
    </w:p>
    <w:p w14:paraId="4A51696C" w14:textId="110DDE7D" w:rsidR="0087402A" w:rsidRPr="00A035D0" w:rsidRDefault="0087402A" w:rsidP="004D42E9">
      <w:pPr>
        <w:pStyle w:val="H1G"/>
      </w:pPr>
      <w:r w:rsidRPr="00A035D0">
        <w:tab/>
      </w:r>
      <w:r w:rsidRPr="00A035D0">
        <w:tab/>
        <w:t>Judicial</w:t>
      </w:r>
      <w:r w:rsidR="00FE6B8B" w:rsidRPr="00A035D0">
        <w:t xml:space="preserve"> </w:t>
      </w:r>
      <w:r w:rsidRPr="00A035D0">
        <w:t>independence</w:t>
      </w:r>
      <w:r w:rsidR="00FE6B8B" w:rsidRPr="00A035D0">
        <w:t xml:space="preserve"> </w:t>
      </w:r>
      <w:r w:rsidRPr="00A035D0">
        <w:t>(art.</w:t>
      </w:r>
      <w:r w:rsidR="00FE6B8B" w:rsidRPr="00A035D0">
        <w:t xml:space="preserve"> </w:t>
      </w:r>
      <w:r w:rsidRPr="00A035D0">
        <w:t>14)</w:t>
      </w:r>
    </w:p>
    <w:p w14:paraId="7021CEC7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26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039F6E1" w14:textId="6480F29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206.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Atty.</w:t>
      </w:r>
      <w:r w:rsidR="00671E75">
        <w:rPr>
          <w:bCs/>
        </w:rPr>
        <w:t xml:space="preserve"> </w:t>
      </w:r>
      <w:r w:rsidR="0087402A" w:rsidRPr="00A035D0">
        <w:rPr>
          <w:bCs/>
        </w:rPr>
        <w:t>Maria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Lourdes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Sereno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ousted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through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majority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ruling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14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19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June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2018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Petition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  <w:i/>
        </w:rPr>
        <w:t>Quo</w:t>
      </w:r>
      <w:r w:rsidR="00FE6B8B" w:rsidRPr="00A035D0">
        <w:rPr>
          <w:bCs/>
          <w:i/>
        </w:rPr>
        <w:t xml:space="preserve"> </w:t>
      </w:r>
      <w:r w:rsidR="0087402A" w:rsidRPr="00A035D0">
        <w:rPr>
          <w:bCs/>
          <w:i/>
        </w:rPr>
        <w:t>Warranto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determining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disqualified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unlawfully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holding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exercising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functions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Chief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removal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exclusively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determined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from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two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other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co-equal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branches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Government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Parliament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Executive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branch.</w:t>
      </w:r>
      <w:r w:rsidR="0087402A" w:rsidRPr="00A035D0">
        <w:rPr>
          <w:rStyle w:val="FootnoteReference"/>
        </w:rPr>
        <w:footnoteReference w:id="74"/>
      </w:r>
    </w:p>
    <w:p w14:paraId="1AC0C698" w14:textId="7443B4E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Atty.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Sereno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given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opportunity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peers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defend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position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both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through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written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submissions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arguments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where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represented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counsel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own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choosing,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pursuant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dictates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fundamental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right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due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process.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Private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citizens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including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leaders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civil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society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groups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were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also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allowed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file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motions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intervention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echoing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Atty.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Sereno</w:t>
      </w:r>
      <w:r w:rsidR="00FE6B8B" w:rsidRPr="00A035D0">
        <w:rPr>
          <w:bCs/>
        </w:rPr>
        <w:t>’</w:t>
      </w:r>
      <w:r w:rsidR="0087402A" w:rsidRPr="00A035D0">
        <w:rPr>
          <w:bCs/>
        </w:rPr>
        <w:t>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own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position.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Ruling,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among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others,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matter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paramount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importance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public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sense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qualification,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eligibility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appointment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incumbent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Chief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highest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official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Judiciary,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being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scrutinized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quo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warranto,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ruled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Ms.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Sereno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failed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multiple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occasions,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file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Statements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Assets,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Liabilities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Networth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(SALNs)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which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critical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requirements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appointment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position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public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officials.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This,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lastRenderedPageBreak/>
        <w:t>along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other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instances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deliberate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omissions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caused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own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peers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believe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did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have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critical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qualification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proven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integrity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which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essential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criterion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even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early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during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nomination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stage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Voting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8-6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after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exhaustive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deliberations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painstakingly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borne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records,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granted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11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May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2018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quo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warranto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petition.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facts,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evidence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arguments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painstakingly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laid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out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full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text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decision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Justices</w:t>
      </w:r>
      <w:r w:rsidR="00FE6B8B" w:rsidRPr="00A035D0">
        <w:rPr>
          <w:bCs/>
        </w:rPr>
        <w:t xml:space="preserve">’ </w:t>
      </w:r>
      <w:r w:rsidR="0087402A" w:rsidRPr="00A035D0">
        <w:rPr>
          <w:bCs/>
        </w:rPr>
        <w:t>opinions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demonstrate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exercise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judicial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independence.</w:t>
      </w:r>
    </w:p>
    <w:p w14:paraId="708F792D" w14:textId="0B270DA9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Since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disqualification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from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office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2018,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following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three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Supreme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Court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Chief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have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served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completed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their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tenures:</w:t>
      </w:r>
    </w:p>
    <w:p w14:paraId="4B28A9E2" w14:textId="05DDF517" w:rsidR="0087402A" w:rsidRPr="00A035D0" w:rsidRDefault="004D42E9" w:rsidP="004D42E9">
      <w:pPr>
        <w:pStyle w:val="SingleTxtG"/>
        <w:rPr>
          <w:lang w:val="pt-PT"/>
        </w:rPr>
      </w:pPr>
      <w:r w:rsidRPr="00A035D0">
        <w:rPr>
          <w:lang w:val="pt-PT"/>
        </w:rPr>
        <w:tab/>
      </w:r>
      <w:r w:rsidR="0087402A" w:rsidRPr="00A035D0">
        <w:rPr>
          <w:lang w:val="pt-PT"/>
        </w:rPr>
        <w:t>1.</w:t>
      </w:r>
      <w:r w:rsidR="0087402A" w:rsidRPr="00A035D0">
        <w:rPr>
          <w:lang w:val="pt-PT"/>
        </w:rPr>
        <w:tab/>
        <w:t>Teresita</w:t>
      </w:r>
      <w:r w:rsidR="00FE6B8B" w:rsidRPr="00A035D0">
        <w:rPr>
          <w:lang w:val="pt-PT"/>
        </w:rPr>
        <w:t xml:space="preserve"> </w:t>
      </w:r>
      <w:r w:rsidR="0087402A" w:rsidRPr="00A035D0">
        <w:rPr>
          <w:lang w:val="pt-PT"/>
        </w:rPr>
        <w:t>Leonardo-de</w:t>
      </w:r>
      <w:r w:rsidR="00FE6B8B" w:rsidRPr="00A035D0">
        <w:rPr>
          <w:lang w:val="pt-PT"/>
        </w:rPr>
        <w:t xml:space="preserve"> </w:t>
      </w:r>
      <w:r w:rsidR="0087402A" w:rsidRPr="00A035D0">
        <w:rPr>
          <w:lang w:val="pt-PT"/>
        </w:rPr>
        <w:t>Castro</w:t>
      </w:r>
    </w:p>
    <w:p w14:paraId="720A2ABA" w14:textId="1BC26180" w:rsidR="0087402A" w:rsidRPr="00A035D0" w:rsidRDefault="004D42E9" w:rsidP="004D42E9">
      <w:pPr>
        <w:pStyle w:val="SingleTxtG"/>
        <w:rPr>
          <w:lang w:val="pt-PT"/>
        </w:rPr>
      </w:pPr>
      <w:r w:rsidRPr="00A035D0">
        <w:rPr>
          <w:lang w:val="pt-PT"/>
        </w:rPr>
        <w:tab/>
      </w:r>
      <w:r w:rsidR="0087402A" w:rsidRPr="00A035D0">
        <w:rPr>
          <w:lang w:val="pt-PT"/>
        </w:rPr>
        <w:t>2.</w:t>
      </w:r>
      <w:r w:rsidR="0087402A" w:rsidRPr="00A035D0">
        <w:rPr>
          <w:lang w:val="pt-PT"/>
        </w:rPr>
        <w:tab/>
        <w:t>Lucas</w:t>
      </w:r>
      <w:r w:rsidR="00FE6B8B" w:rsidRPr="00A035D0">
        <w:rPr>
          <w:lang w:val="pt-PT"/>
        </w:rPr>
        <w:t xml:space="preserve"> </w:t>
      </w:r>
      <w:r w:rsidR="0087402A" w:rsidRPr="00A035D0">
        <w:rPr>
          <w:lang w:val="pt-PT"/>
        </w:rPr>
        <w:t>Bersamin</w:t>
      </w:r>
    </w:p>
    <w:p w14:paraId="4F169BC1" w14:textId="77777777" w:rsidR="00FE6B8B" w:rsidRPr="00A035D0" w:rsidRDefault="004D42E9" w:rsidP="004D42E9">
      <w:pPr>
        <w:pStyle w:val="SingleTxtG"/>
      </w:pPr>
      <w:r w:rsidRPr="006D0054">
        <w:rPr>
          <w:lang w:val="es-ES"/>
        </w:rPr>
        <w:tab/>
      </w:r>
      <w:r w:rsidR="0087402A" w:rsidRPr="00A035D0">
        <w:t>3.</w:t>
      </w:r>
      <w:r w:rsidR="0087402A" w:rsidRPr="00A035D0">
        <w:tab/>
        <w:t>Diosdado</w:t>
      </w:r>
      <w:r w:rsidR="00FE6B8B" w:rsidRPr="00A035D0">
        <w:t xml:space="preserve"> </w:t>
      </w:r>
      <w:r w:rsidR="0087402A" w:rsidRPr="00A035D0">
        <w:t>Peralta</w:t>
      </w:r>
    </w:p>
    <w:p w14:paraId="1D9F05BA" w14:textId="77777777" w:rsidR="00FE6B8B" w:rsidRPr="00A035D0" w:rsidRDefault="0087402A" w:rsidP="004D42E9">
      <w:pPr>
        <w:pStyle w:val="H1G"/>
      </w:pPr>
      <w:r w:rsidRPr="00A035D0">
        <w:tab/>
      </w:r>
      <w:r w:rsidRPr="00A035D0">
        <w:tab/>
        <w:t>Rights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child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23,</w:t>
      </w:r>
      <w:r w:rsidR="00FE6B8B" w:rsidRPr="00A035D0">
        <w:t xml:space="preserve"> </w:t>
      </w:r>
      <w:r w:rsidRPr="00A035D0">
        <w:t>24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26)</w:t>
      </w:r>
    </w:p>
    <w:p w14:paraId="61B13776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27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130E6752" w14:textId="7D46408B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There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indication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that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State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intends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lower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minimum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age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criminal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responsibility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following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proposed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drafts:</w:t>
      </w:r>
    </w:p>
    <w:p w14:paraId="1CE16A0C" w14:textId="6EF9B94A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House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Bill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00270</w:t>
      </w:r>
      <w:r w:rsidR="0087402A" w:rsidRPr="00A035D0">
        <w:rPr>
          <w:rStyle w:val="FootnoteReference"/>
        </w:rPr>
        <w:footnoteReference w:id="75"/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Lowering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Minimum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Age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Criminal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Responsibility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Heinous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Crimes,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Amending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Purpose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Republic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9344,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Otherwise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Known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‘</w:t>
      </w:r>
      <w:r w:rsidR="0087402A" w:rsidRPr="00A035D0">
        <w:rPr>
          <w:bCs/>
        </w:rPr>
        <w:t>Juvenile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Welfare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2006</w:t>
      </w:r>
      <w:r w:rsidR="00FE6B8B" w:rsidRPr="00A035D0">
        <w:rPr>
          <w:bCs/>
        </w:rPr>
        <w:t xml:space="preserve">’ </w:t>
      </w:r>
      <w:r w:rsidR="0087402A" w:rsidRPr="00A035D0">
        <w:rPr>
          <w:bCs/>
        </w:rPr>
        <w:t>authored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Michael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Edgar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Aglipay,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Said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bill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pending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Committee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since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23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2019.</w:t>
      </w:r>
    </w:p>
    <w:p w14:paraId="1FB756D0" w14:textId="7E03B31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Similarly,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Senate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Bill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05</w:t>
      </w:r>
      <w:r w:rsidR="0087402A" w:rsidRPr="00A035D0">
        <w:rPr>
          <w:rStyle w:val="FootnoteReference"/>
        </w:rPr>
        <w:footnoteReference w:id="76"/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Lowering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Minimum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Age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Criminal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Responsibility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Amending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Purpose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Sections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6,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20-A,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20-B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22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Republic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No.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9344,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Amended,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otherwise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known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Juvenile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Welfare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2006,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Other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Purposes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introduced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Senate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President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Vicente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Sotto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III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pending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Committees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Justice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Human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Rights;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Women,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Children,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Family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Relations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Gender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Equality;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Finance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since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23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July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2019.</w:t>
      </w:r>
    </w:p>
    <w:p w14:paraId="454CB79F" w14:textId="5762A293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Inclusive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legislative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efforts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to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conduct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stakeholder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human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rights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dialogues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constituents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within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Parliament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and/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civic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space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regarding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lowering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minimum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age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criminal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responsibility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not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prohibited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under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Covenant.</w:t>
      </w:r>
    </w:p>
    <w:p w14:paraId="69D64B4D" w14:textId="2D9F67E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rPr>
          <w:bCs/>
        </w:rPr>
        <w:t>State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party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respects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independence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the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Parliament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in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legislating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laws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as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a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co-equal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of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branch</w:t>
      </w:r>
      <w:r w:rsidR="00FE6B8B" w:rsidRPr="00A035D0">
        <w:rPr>
          <w:bCs/>
        </w:rPr>
        <w:t xml:space="preserve"> </w:t>
      </w:r>
      <w:r w:rsidR="0087402A" w:rsidRPr="00A035D0">
        <w:rPr>
          <w:bCs/>
        </w:rPr>
        <w:t>government.</w:t>
      </w:r>
    </w:p>
    <w:p w14:paraId="7CA9C291" w14:textId="77777777" w:rsidR="00FE6B8B" w:rsidRPr="00A035D0" w:rsidRDefault="0087402A" w:rsidP="004D42E9">
      <w:pPr>
        <w:pStyle w:val="H1G"/>
      </w:pPr>
      <w:r w:rsidRPr="00A035D0">
        <w:tab/>
      </w:r>
      <w:r w:rsidRPr="00A035D0">
        <w:tab/>
        <w:t>Indigenous</w:t>
      </w:r>
      <w:r w:rsidR="00FE6B8B" w:rsidRPr="00A035D0">
        <w:t xml:space="preserve"> </w:t>
      </w:r>
      <w:r w:rsidRPr="00A035D0">
        <w:t>peoples</w:t>
      </w:r>
      <w:r w:rsidR="00FE6B8B" w:rsidRPr="00A035D0">
        <w:t xml:space="preserve"> </w:t>
      </w:r>
      <w:r w:rsidRPr="00A035D0">
        <w:t>(arts.</w:t>
      </w:r>
      <w:r w:rsidR="00FE6B8B" w:rsidRPr="00A035D0">
        <w:t xml:space="preserve"> </w:t>
      </w:r>
      <w:r w:rsidRPr="00A035D0">
        <w:t>2,</w:t>
      </w:r>
      <w:r w:rsidR="00FE6B8B" w:rsidRPr="00A035D0">
        <w:t xml:space="preserve"> </w:t>
      </w:r>
      <w:r w:rsidRPr="00A035D0">
        <w:t>25,</w:t>
      </w:r>
      <w:r w:rsidR="00FE6B8B" w:rsidRPr="00A035D0">
        <w:t xml:space="preserve"> </w:t>
      </w:r>
      <w:r w:rsidRPr="00A035D0">
        <w:t>26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27)</w:t>
      </w:r>
    </w:p>
    <w:p w14:paraId="0E6A95D7" w14:textId="77777777" w:rsidR="00FE6B8B" w:rsidRPr="00A035D0" w:rsidRDefault="0087402A" w:rsidP="004D42E9">
      <w:pPr>
        <w:pStyle w:val="H23G"/>
      </w:pPr>
      <w:r w:rsidRPr="00A035D0">
        <w:tab/>
      </w:r>
      <w:r w:rsidRPr="00A035D0">
        <w:tab/>
        <w:t>Reply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paragraph</w:t>
      </w:r>
      <w:r w:rsidR="00FE6B8B" w:rsidRPr="00A035D0">
        <w:t xml:space="preserve"> </w:t>
      </w:r>
      <w:r w:rsidRPr="00A035D0">
        <w:t>28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list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issues</w:t>
      </w:r>
    </w:p>
    <w:p w14:paraId="40E6A0AA" w14:textId="179A1D81" w:rsidR="0087402A" w:rsidRPr="00A035D0" w:rsidRDefault="0087402A" w:rsidP="004D42E9">
      <w:pPr>
        <w:pStyle w:val="H4G"/>
      </w:pPr>
      <w:r w:rsidRPr="00A035D0">
        <w:tab/>
        <w:t>(a)</w:t>
      </w:r>
      <w:r w:rsidRPr="00A035D0">
        <w:tab/>
        <w:t>Indigenous</w:t>
      </w:r>
      <w:r w:rsidR="00FE6B8B" w:rsidRPr="00A035D0">
        <w:t xml:space="preserve"> </w:t>
      </w:r>
      <w:r w:rsidRPr="00A035D0">
        <w:t>Peoples</w:t>
      </w:r>
      <w:r w:rsidR="00FE6B8B" w:rsidRPr="00A035D0">
        <w:t xml:space="preserve">’ </w:t>
      </w:r>
      <w:r w:rsidRPr="00A035D0">
        <w:t>Rights</w:t>
      </w:r>
      <w:r w:rsidR="00FE6B8B" w:rsidRPr="00A035D0">
        <w:t xml:space="preserve"> </w:t>
      </w:r>
      <w:r w:rsidRPr="00A035D0">
        <w:t>Act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1997</w:t>
      </w:r>
      <w:r w:rsidR="00FE6B8B" w:rsidRPr="00A035D0">
        <w:t xml:space="preserve"> </w:t>
      </w:r>
      <w:r w:rsidRPr="00A035D0">
        <w:t>(IPRA)</w:t>
      </w:r>
      <w:r w:rsidR="00FE6B8B" w:rsidRPr="00A035D0">
        <w:t xml:space="preserve"> </w:t>
      </w:r>
      <w:r w:rsidRPr="00A035D0">
        <w:t>Implementation</w:t>
      </w:r>
      <w:r w:rsidRPr="00A035D0">
        <w:rPr>
          <w:rStyle w:val="FootnoteReference"/>
          <w:i w:val="0"/>
          <w:iCs/>
        </w:rPr>
        <w:footnoteReference w:id="77"/>
      </w:r>
    </w:p>
    <w:p w14:paraId="5037B69F" w14:textId="733AB0D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first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Asia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one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few</w:t>
      </w:r>
      <w:r w:rsidR="00FE6B8B" w:rsidRPr="00A035D0">
        <w:t xml:space="preserve"> </w:t>
      </w:r>
      <w:r w:rsidR="0087402A" w:rsidRPr="00A035D0">
        <w:t>countries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world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legally</w:t>
      </w:r>
      <w:r w:rsidR="00FE6B8B" w:rsidRPr="00A035D0">
        <w:t xml:space="preserve"> </w:t>
      </w:r>
      <w:r w:rsidR="0087402A" w:rsidRPr="00A035D0">
        <w:t>recognize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(IPRA)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1997,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exemplary</w:t>
      </w:r>
      <w:r w:rsidR="00FE6B8B" w:rsidRPr="00A035D0">
        <w:t xml:space="preserve"> </w:t>
      </w:r>
      <w:r w:rsidR="0087402A" w:rsidRPr="00A035D0">
        <w:t>law</w:t>
      </w:r>
      <w:r w:rsidR="00FE6B8B" w:rsidRPr="00A035D0">
        <w:t xml:space="preserve"> </w:t>
      </w:r>
      <w:r w:rsidR="0087402A" w:rsidRPr="00A035D0">
        <w:t>focused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social</w:t>
      </w:r>
      <w:r w:rsidR="00FE6B8B" w:rsidRPr="00A035D0">
        <w:t xml:space="preserve"> </w:t>
      </w:r>
      <w:r w:rsidR="0087402A" w:rsidRPr="00A035D0">
        <w:t>justice,</w:t>
      </w:r>
      <w:r w:rsidR="00FE6B8B" w:rsidRPr="00A035D0">
        <w:t xml:space="preserve"> </w:t>
      </w:r>
      <w:r w:rsidR="0087402A" w:rsidRPr="00A035D0">
        <w:t>became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model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what</w:t>
      </w:r>
      <w:r w:rsidR="00FE6B8B" w:rsidRPr="00A035D0">
        <w:t xml:space="preserve"> </w:t>
      </w:r>
      <w:r w:rsidR="0087402A" w:rsidRPr="00A035D0">
        <w:t>ten</w:t>
      </w:r>
      <w:r w:rsidR="00FE6B8B" w:rsidRPr="00A035D0">
        <w:t xml:space="preserve"> </w:t>
      </w:r>
      <w:r w:rsidR="0087402A" w:rsidRPr="00A035D0">
        <w:t>years</w:t>
      </w:r>
      <w:r w:rsidR="00FE6B8B" w:rsidRPr="00A035D0">
        <w:t xml:space="preserve"> </w:t>
      </w:r>
      <w:r w:rsidR="0087402A" w:rsidRPr="00A035D0">
        <w:t>later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become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UN</w:t>
      </w:r>
      <w:r w:rsidR="00FE6B8B" w:rsidRPr="00A035D0">
        <w:t xml:space="preserve"> </w:t>
      </w:r>
      <w:r w:rsidR="0087402A" w:rsidRPr="00A035D0">
        <w:t>Declaration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Peoples.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award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Certificate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</w:t>
      </w:r>
      <w:r w:rsidR="00FE6B8B" w:rsidRPr="00A035D0">
        <w:t xml:space="preserve"> </w:t>
      </w:r>
      <w:r w:rsidR="0087402A" w:rsidRPr="00A035D0">
        <w:t>Title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1998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Tagbanua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cultural</w:t>
      </w:r>
      <w:r w:rsidR="00FE6B8B" w:rsidRPr="00A035D0">
        <w:t xml:space="preserve"> </w:t>
      </w:r>
      <w:r w:rsidR="0087402A" w:rsidRPr="00A035D0">
        <w:t>community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Coron</w:t>
      </w:r>
      <w:r w:rsidR="00FE6B8B" w:rsidRPr="00A035D0">
        <w:t xml:space="preserve"> </w:t>
      </w:r>
      <w:r w:rsidR="0087402A" w:rsidRPr="00A035D0">
        <w:t>Island,</w:t>
      </w:r>
      <w:r w:rsidR="00FE6B8B" w:rsidRPr="00A035D0">
        <w:t xml:space="preserve"> </w:t>
      </w:r>
      <w:r w:rsidR="0087402A" w:rsidRPr="00A035D0">
        <w:t>covering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22,000</w:t>
      </w:r>
      <w:r w:rsidR="00FE6B8B" w:rsidRPr="00A035D0">
        <w:t xml:space="preserve"> </w:t>
      </w:r>
      <w:r w:rsidR="0087402A" w:rsidRPr="00A035D0">
        <w:t>hectares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land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sea,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first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recognize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not</w:t>
      </w:r>
      <w:r w:rsidR="00FE6B8B" w:rsidRPr="00A035D0">
        <w:t xml:space="preserve"> </w:t>
      </w:r>
      <w:r w:rsidR="0087402A" w:rsidRPr="00A035D0">
        <w:t>only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land</w:t>
      </w:r>
      <w:r w:rsidR="00FE6B8B" w:rsidRPr="00A035D0">
        <w:t xml:space="preserve"> </w:t>
      </w:r>
      <w:r w:rsidR="0087402A" w:rsidRPr="00A035D0">
        <w:t>but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waters.</w:t>
      </w:r>
    </w:p>
    <w:p w14:paraId="43811024" w14:textId="584F3F4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215.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IPRA</w:t>
      </w:r>
      <w:r w:rsidR="00FE6B8B" w:rsidRPr="00A035D0">
        <w:t xml:space="preserve"> </w:t>
      </w:r>
      <w:r w:rsidR="0087402A" w:rsidRPr="00A035D0">
        <w:t>caters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14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peoples,</w:t>
      </w:r>
      <w:r w:rsidR="00FE6B8B" w:rsidRPr="00A035D0">
        <w:t xml:space="preserve"> </w:t>
      </w:r>
      <w:r w:rsidR="0087402A" w:rsidRPr="00A035D0">
        <w:t>comprising</w:t>
      </w:r>
      <w:r w:rsidR="00FE6B8B" w:rsidRPr="00A035D0">
        <w:t xml:space="preserve"> </w:t>
      </w:r>
      <w:r w:rsidR="0087402A" w:rsidRPr="00A035D0">
        <w:t>around</w:t>
      </w:r>
      <w:r w:rsidR="00FE6B8B" w:rsidRPr="00A035D0">
        <w:t xml:space="preserve"> </w:t>
      </w:r>
      <w:r w:rsidR="0087402A" w:rsidRPr="00A035D0">
        <w:t>13</w:t>
      </w:r>
      <w:r w:rsidR="00FE6B8B" w:rsidRPr="00A035D0">
        <w:t xml:space="preserve"> </w:t>
      </w:r>
      <w:r w:rsidR="0087402A" w:rsidRPr="00A035D0">
        <w:t>percent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total</w:t>
      </w:r>
      <w:r w:rsidR="00FE6B8B" w:rsidRPr="00A035D0">
        <w:t xml:space="preserve"> </w:t>
      </w:r>
      <w:r w:rsidR="0087402A" w:rsidRPr="00A035D0">
        <w:t>population.</w:t>
      </w:r>
    </w:p>
    <w:p w14:paraId="51E171DD" w14:textId="240E6BEE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NCIP,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primary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responsible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policies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IPs.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protection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traditional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practices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IPs,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Intellectual</w:t>
      </w:r>
      <w:r w:rsidR="00FE6B8B" w:rsidRPr="00A035D0">
        <w:t xml:space="preserve"> </w:t>
      </w:r>
      <w:r w:rsidR="0087402A" w:rsidRPr="00A035D0">
        <w:t>Property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(IPOPHL)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2016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01-2016</w:t>
      </w:r>
      <w:r w:rsidR="00FE6B8B" w:rsidRPr="00A035D0">
        <w:t xml:space="preserve"> </w:t>
      </w:r>
      <w:r w:rsidR="0087402A" w:rsidRPr="00A035D0">
        <w:t>(Rules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Regulations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Intellectual</w:t>
      </w:r>
      <w:r w:rsidR="00FE6B8B" w:rsidRPr="00A035D0">
        <w:t xml:space="preserve"> </w:t>
      </w:r>
      <w:r w:rsidR="0087402A" w:rsidRPr="00A035D0">
        <w:t>Property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Application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Registration</w:t>
      </w:r>
      <w:r w:rsidR="00FE6B8B" w:rsidRPr="00A035D0">
        <w:t xml:space="preserve"> </w:t>
      </w:r>
      <w:r w:rsidR="0087402A" w:rsidRPr="00A035D0">
        <w:t>Protecting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Knowledge</w:t>
      </w:r>
      <w:r w:rsidR="00FE6B8B" w:rsidRPr="00A035D0">
        <w:t xml:space="preserve"> </w:t>
      </w:r>
      <w:r w:rsidR="0087402A" w:rsidRPr="00A035D0">
        <w:t>Systems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Practices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(IPs)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Cultural</w:t>
      </w:r>
      <w:r w:rsidR="00FE6B8B" w:rsidRPr="00A035D0">
        <w:t xml:space="preserve"> </w:t>
      </w:r>
      <w:r w:rsidR="0087402A" w:rsidRPr="00A035D0">
        <w:t>Communities</w:t>
      </w:r>
      <w:r w:rsidR="00FE6B8B" w:rsidRPr="00A035D0">
        <w:t xml:space="preserve"> </w:t>
      </w:r>
      <w:r w:rsidR="0087402A" w:rsidRPr="00A035D0">
        <w:t>(ICCs).</w:t>
      </w:r>
    </w:p>
    <w:p w14:paraId="5CF99843" w14:textId="3BE38FBF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consistent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ensuring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recognition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steadfast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advancing</w:t>
      </w:r>
      <w:r w:rsidR="00FE6B8B" w:rsidRPr="00A035D0">
        <w:t xml:space="preserve"> </w:t>
      </w:r>
      <w:r w:rsidR="0087402A" w:rsidRPr="00A035D0">
        <w:t>said</w:t>
      </w:r>
      <w:r w:rsidR="00FE6B8B" w:rsidRPr="00A035D0">
        <w:t xml:space="preserve"> </w:t>
      </w:r>
      <w:r w:rsidR="0087402A" w:rsidRPr="00A035D0">
        <w:t>mandate.</w:t>
      </w:r>
    </w:p>
    <w:p w14:paraId="6E5319B4" w14:textId="4DA1310D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</w:t>
      </w:r>
      <w:r w:rsidR="008F4B85">
        <w:t xml:space="preserve"> </w:t>
      </w:r>
      <w:r w:rsidR="0087402A" w:rsidRPr="00A035D0">
        <w:t>date,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5.7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hectares,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about</w:t>
      </w:r>
      <w:r w:rsidR="00FE6B8B" w:rsidRPr="00A035D0">
        <w:t xml:space="preserve"> </w:t>
      </w:r>
      <w:r w:rsidR="0087402A" w:rsidRPr="00A035D0">
        <w:t>one-sixth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country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duly</w:t>
      </w:r>
      <w:r w:rsidR="00FE6B8B" w:rsidRPr="00A035D0">
        <w:t xml:space="preserve"> </w:t>
      </w:r>
      <w:r w:rsidR="0087402A" w:rsidRPr="00A035D0">
        <w:t>titled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name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processing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further</w:t>
      </w:r>
      <w:r w:rsidR="00FE6B8B" w:rsidRPr="00A035D0">
        <w:t xml:space="preserve"> </w:t>
      </w:r>
      <w:r w:rsidR="0087402A" w:rsidRPr="00A035D0">
        <w:t>titling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about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same</w:t>
      </w:r>
      <w:r w:rsidR="00FE6B8B" w:rsidRPr="00A035D0">
        <w:t xml:space="preserve"> </w:t>
      </w:r>
      <w:r w:rsidR="0087402A" w:rsidRPr="00A035D0">
        <w:t>number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land</w:t>
      </w:r>
      <w:r w:rsidR="00FE6B8B" w:rsidRPr="00A035D0">
        <w:t xml:space="preserve"> </w:t>
      </w:r>
      <w:r w:rsidR="0087402A" w:rsidRPr="00A035D0">
        <w:t>area.</w:t>
      </w:r>
    </w:p>
    <w:p w14:paraId="050E06A8" w14:textId="1A1C6025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NCIP,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exercise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quasi-judicial</w:t>
      </w:r>
      <w:r w:rsidR="00FE6B8B" w:rsidRPr="00A035D0">
        <w:t xml:space="preserve"> </w:t>
      </w:r>
      <w:r w:rsidR="0087402A" w:rsidRPr="00A035D0">
        <w:t>powers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acting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En</w:t>
      </w:r>
      <w:r w:rsidR="00FE6B8B" w:rsidRPr="00A035D0">
        <w:t xml:space="preserve"> </w:t>
      </w:r>
      <w:r w:rsidR="0087402A" w:rsidRPr="00A035D0">
        <w:t>Banc,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attended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acted</w:t>
      </w:r>
      <w:r w:rsidR="00FE6B8B" w:rsidRPr="00A035D0">
        <w:t xml:space="preserve"> </w:t>
      </w:r>
      <w:r w:rsidR="0087402A" w:rsidRPr="00A035D0">
        <w:t>upon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least</w:t>
      </w:r>
      <w:r w:rsidR="00FE6B8B" w:rsidRPr="00A035D0">
        <w:t xml:space="preserve"> </w:t>
      </w:r>
      <w:r w:rsidR="0087402A" w:rsidRPr="00A035D0">
        <w:t>192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year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alone.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present,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111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active</w:t>
      </w:r>
      <w:r w:rsidR="00FE6B8B" w:rsidRPr="00A035D0">
        <w:t xml:space="preserve"> </w:t>
      </w:r>
      <w:r w:rsidR="0087402A" w:rsidRPr="00A035D0">
        <w:t>docket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En</w:t>
      </w:r>
      <w:r w:rsidR="00FE6B8B" w:rsidRPr="00A035D0">
        <w:t xml:space="preserve"> </w:t>
      </w:r>
      <w:r w:rsidR="0087402A" w:rsidRPr="00A035D0">
        <w:t>Banc,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52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already</w:t>
      </w:r>
      <w:r w:rsidR="00FE6B8B" w:rsidRPr="00A035D0">
        <w:t xml:space="preserve"> </w:t>
      </w:r>
      <w:r w:rsidR="0087402A" w:rsidRPr="00A035D0">
        <w:t>ripe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resolution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remaining</w:t>
      </w:r>
      <w:r w:rsidR="00FE6B8B" w:rsidRPr="00A035D0">
        <w:t xml:space="preserve"> </w:t>
      </w:r>
      <w:r w:rsidR="0087402A" w:rsidRPr="00A035D0">
        <w:t>59</w:t>
      </w:r>
      <w:r w:rsidR="00FE6B8B" w:rsidRPr="00A035D0">
        <w:t xml:space="preserve"> </w:t>
      </w:r>
      <w:r w:rsidR="0087402A" w:rsidRPr="00A035D0">
        <w:t>cases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still</w:t>
      </w:r>
      <w:r w:rsidR="00FE6B8B" w:rsidRPr="00A035D0">
        <w:t xml:space="preserve"> </w:t>
      </w:r>
      <w:r w:rsidR="0087402A" w:rsidRPr="00A035D0">
        <w:t>undergoing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requisite</w:t>
      </w:r>
      <w:r w:rsidR="00FE6B8B" w:rsidRPr="00A035D0">
        <w:t xml:space="preserve"> </w:t>
      </w:r>
      <w:r w:rsidR="0087402A" w:rsidRPr="00A035D0">
        <w:t>proceedings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Rules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Procedure.</w:t>
      </w:r>
    </w:p>
    <w:p w14:paraId="0621FCAE" w14:textId="37FA585B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220.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continues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ensure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full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Free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Prior</w:t>
      </w:r>
      <w:r w:rsidR="00FE6B8B" w:rsidRPr="00A035D0">
        <w:t xml:space="preserve"> </w:t>
      </w:r>
      <w:r w:rsidR="0087402A" w:rsidRPr="00A035D0">
        <w:t>Informed</w:t>
      </w:r>
      <w:r w:rsidR="00FE6B8B" w:rsidRPr="00A035D0">
        <w:t xml:space="preserve"> </w:t>
      </w:r>
      <w:r w:rsidR="0087402A" w:rsidRPr="00A035D0">
        <w:t>Consent</w:t>
      </w:r>
      <w:r w:rsidR="00FE6B8B" w:rsidRPr="00A035D0">
        <w:t xml:space="preserve"> </w:t>
      </w:r>
      <w:r w:rsidR="0087402A" w:rsidRPr="00A035D0">
        <w:t>(FPIC)</w:t>
      </w:r>
      <w:r w:rsidR="00FE6B8B" w:rsidRPr="00A035D0">
        <w:t xml:space="preserve"> </w:t>
      </w:r>
      <w:r w:rsidR="0087402A" w:rsidRPr="00A035D0">
        <w:t>process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means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protect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interests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give</w:t>
      </w:r>
      <w:r w:rsidR="00FE6B8B" w:rsidRPr="00A035D0">
        <w:t xml:space="preserve"> </w:t>
      </w:r>
      <w:r w:rsidR="0087402A" w:rsidRPr="00A035D0">
        <w:t>them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voice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business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matters</w:t>
      </w:r>
      <w:r w:rsidR="00FE6B8B" w:rsidRPr="00A035D0">
        <w:t xml:space="preserve"> </w:t>
      </w:r>
      <w:r w:rsidR="0087402A" w:rsidRPr="00A035D0">
        <w:t>affecting</w:t>
      </w:r>
      <w:r w:rsidR="00FE6B8B" w:rsidRPr="00A035D0">
        <w:t xml:space="preserve"> </w:t>
      </w:r>
      <w:r w:rsidR="0087402A" w:rsidRPr="00A035D0">
        <w:t>them,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conduct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humble</w:t>
      </w:r>
      <w:r w:rsidR="00FE6B8B" w:rsidRPr="00A035D0">
        <w:t xml:space="preserve"> </w:t>
      </w:r>
      <w:r w:rsidR="0087402A" w:rsidRPr="00A035D0">
        <w:t>academic</w:t>
      </w:r>
      <w:r w:rsidR="00FE6B8B" w:rsidRPr="00A035D0">
        <w:t xml:space="preserve"> </w:t>
      </w:r>
      <w:r w:rsidR="0087402A" w:rsidRPr="00A035D0">
        <w:t>research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operation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large</w:t>
      </w:r>
      <w:r w:rsidR="00FE6B8B" w:rsidRPr="00A035D0">
        <w:t xml:space="preserve"> </w:t>
      </w:r>
      <w:r w:rsidR="0087402A" w:rsidRPr="00A035D0">
        <w:t>scale</w:t>
      </w:r>
      <w:r w:rsidR="00FE6B8B" w:rsidRPr="00A035D0">
        <w:t xml:space="preserve"> </w:t>
      </w:r>
      <w:r w:rsidR="0087402A" w:rsidRPr="00A035D0">
        <w:t>projects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extractive</w:t>
      </w:r>
      <w:r w:rsidR="00FE6B8B" w:rsidRPr="00A035D0">
        <w:t xml:space="preserve"> </w:t>
      </w:r>
      <w:r w:rsidR="0087402A" w:rsidRPr="00A035D0">
        <w:t>industries.</w:t>
      </w:r>
      <w:r w:rsidR="0087402A" w:rsidRPr="00A035D0">
        <w:rPr>
          <w:rStyle w:val="FootnoteReference"/>
        </w:rPr>
        <w:footnoteReference w:id="78"/>
      </w:r>
    </w:p>
    <w:p w14:paraId="60E741AD" w14:textId="1FFFEB8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221.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Launching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>–</w:t>
      </w:r>
      <w:r w:rsidR="0087402A" w:rsidRPr="00A035D0">
        <w:t>2024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Master</w:t>
      </w:r>
      <w:r w:rsidR="00FE6B8B" w:rsidRPr="00A035D0">
        <w:t xml:space="preserve"> </w:t>
      </w:r>
      <w:r w:rsidR="0087402A" w:rsidRPr="00A035D0">
        <w:t>Plan</w:t>
      </w:r>
      <w:r w:rsidR="00FE6B8B" w:rsidRPr="00A035D0">
        <w:t xml:space="preserve"> </w:t>
      </w:r>
      <w:r w:rsidR="0087402A" w:rsidRPr="00A035D0">
        <w:t>(IPMP)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November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participants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agencies,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funding</w:t>
      </w:r>
      <w:r w:rsidR="00FE6B8B" w:rsidRPr="00A035D0">
        <w:t xml:space="preserve"> </w:t>
      </w:r>
      <w:r w:rsidR="0087402A" w:rsidRPr="00A035D0">
        <w:t>partners,</w:t>
      </w:r>
      <w:r w:rsidR="00FE6B8B" w:rsidRPr="00A035D0">
        <w:t xml:space="preserve"> </w:t>
      </w:r>
      <w:r w:rsidR="0087402A" w:rsidRPr="00A035D0">
        <w:t>civil</w:t>
      </w:r>
      <w:r w:rsidR="00FE6B8B" w:rsidRPr="00A035D0">
        <w:t xml:space="preserve"> </w:t>
      </w:r>
      <w:r w:rsidR="0087402A" w:rsidRPr="00A035D0">
        <w:t>society</w:t>
      </w:r>
      <w:r w:rsidR="00FE6B8B" w:rsidRPr="00A035D0">
        <w:t xml:space="preserve"> </w:t>
      </w:r>
      <w:r w:rsidR="0087402A" w:rsidRPr="00A035D0">
        <w:t>organizations,</w:t>
      </w:r>
      <w:r w:rsidR="00FE6B8B" w:rsidRPr="00A035D0">
        <w:t xml:space="preserve"> </w:t>
      </w:r>
      <w:r w:rsidR="0087402A" w:rsidRPr="00A035D0">
        <w:t>legislators,</w:t>
      </w:r>
      <w:r w:rsidR="00FE6B8B" w:rsidRPr="00A035D0">
        <w:t xml:space="preserve"> </w:t>
      </w:r>
      <w:r w:rsidR="0087402A" w:rsidRPr="00A035D0">
        <w:t>diplomatic</w:t>
      </w:r>
      <w:r w:rsidR="00FE6B8B" w:rsidRPr="00A035D0">
        <w:t xml:space="preserve"> </w:t>
      </w:r>
      <w:r w:rsidR="0087402A" w:rsidRPr="00A035D0">
        <w:t>corps,</w:t>
      </w:r>
      <w:r w:rsidR="00FE6B8B" w:rsidRPr="00A035D0">
        <w:t xml:space="preserve"> </w:t>
      </w:r>
      <w:r w:rsidR="0087402A" w:rsidRPr="00A035D0">
        <w:t>academe,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representatives.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IPMP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supported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Php1</w:t>
      </w:r>
      <w:r w:rsidR="00FE6B8B" w:rsidRPr="00A035D0">
        <w:t xml:space="preserve"> </w:t>
      </w:r>
      <w:r w:rsidR="0087402A" w:rsidRPr="00A035D0">
        <w:t>billion</w:t>
      </w:r>
      <w:r w:rsidR="00FE6B8B" w:rsidRPr="00A035D0">
        <w:t xml:space="preserve"> </w:t>
      </w:r>
      <w:r w:rsidR="0087402A" w:rsidRPr="00A035D0">
        <w:t>(USD</w:t>
      </w:r>
      <w:r w:rsidR="00FE6B8B" w:rsidRPr="00A035D0">
        <w:t xml:space="preserve"> </w:t>
      </w:r>
      <w:r w:rsidR="0087402A" w:rsidRPr="00A035D0">
        <w:t>19.8</w:t>
      </w:r>
      <w:r w:rsidR="00FE6B8B" w:rsidRPr="00A035D0">
        <w:t xml:space="preserve"> </w:t>
      </w:r>
      <w:r w:rsidR="0087402A" w:rsidRPr="00A035D0">
        <w:t>million)</w:t>
      </w:r>
      <w:r w:rsidR="00FE6B8B" w:rsidRPr="00A035D0">
        <w:t xml:space="preserve"> </w:t>
      </w:r>
      <w:r w:rsidR="0087402A" w:rsidRPr="00A035D0">
        <w:t>funding</w:t>
      </w:r>
      <w:r w:rsidR="00FE6B8B" w:rsidRPr="00A035D0">
        <w:t xml:space="preserve"> </w:t>
      </w:r>
      <w:r w:rsidR="0087402A" w:rsidRPr="00A035D0">
        <w:t>allocation.</w:t>
      </w:r>
      <w:r w:rsidR="0087402A" w:rsidRPr="00A035D0">
        <w:rPr>
          <w:rStyle w:val="FootnoteReference"/>
        </w:rPr>
        <w:footnoteReference w:id="79"/>
      </w:r>
    </w:p>
    <w:p w14:paraId="5961F302" w14:textId="637F26C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IPRA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CADTs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formally</w:t>
      </w:r>
      <w:r w:rsidR="00FE6B8B" w:rsidRPr="00A035D0">
        <w:t xml:space="preserve"> </w:t>
      </w:r>
      <w:r w:rsidR="0087402A" w:rsidRPr="00A035D0">
        <w:t>recognize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possession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ownership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ICCs)/IPs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identified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delineated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accordance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Certificate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Land</w:t>
      </w:r>
      <w:r w:rsidR="00FE6B8B" w:rsidRPr="00A035D0">
        <w:t xml:space="preserve"> </w:t>
      </w:r>
      <w:r w:rsidR="0087402A" w:rsidRPr="00A035D0">
        <w:t>Titles</w:t>
      </w:r>
      <w:r w:rsidR="00FE6B8B" w:rsidRPr="00A035D0">
        <w:t xml:space="preserve"> </w:t>
      </w:r>
      <w:r w:rsidR="0087402A" w:rsidRPr="00A035D0">
        <w:t>(CALTs)</w:t>
      </w:r>
      <w:r w:rsidR="00FE6B8B" w:rsidRPr="00A035D0">
        <w:t xml:space="preserve"> </w:t>
      </w:r>
      <w:r w:rsidR="0087402A" w:rsidRPr="00A035D0">
        <w:t>formally</w:t>
      </w:r>
      <w:r w:rsidR="00FE6B8B" w:rsidRPr="00A035D0">
        <w:t xml:space="preserve"> </w:t>
      </w:r>
      <w:r w:rsidR="0087402A" w:rsidRPr="00A035D0">
        <w:t>recognize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lands.</w:t>
      </w:r>
    </w:p>
    <w:p w14:paraId="0C6083E2" w14:textId="3C7B5BD7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223.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December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247</w:t>
      </w:r>
      <w:r w:rsidR="00FE6B8B" w:rsidRPr="00A035D0">
        <w:t xml:space="preserve"> </w:t>
      </w:r>
      <w:r w:rsidR="0087402A" w:rsidRPr="00A035D0">
        <w:t>CADTs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equivalent</w:t>
      </w:r>
      <w:r w:rsidR="00FE6B8B" w:rsidRPr="00A035D0">
        <w:t xml:space="preserve"> </w:t>
      </w:r>
      <w:r w:rsidR="0087402A" w:rsidRPr="00A035D0">
        <w:t>area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5.74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hectares</w:t>
      </w:r>
      <w:r w:rsidR="00FE6B8B" w:rsidRPr="00A035D0">
        <w:t xml:space="preserve"> </w:t>
      </w:r>
      <w:r w:rsidR="0087402A" w:rsidRPr="00A035D0">
        <w:t>(land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water)</w:t>
      </w:r>
      <w:r w:rsidR="00FE6B8B" w:rsidRPr="00A035D0">
        <w:t xml:space="preserve"> </w:t>
      </w:r>
      <w:r w:rsidR="0087402A" w:rsidRPr="00A035D0">
        <w:t>covering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1.3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249</w:t>
      </w:r>
      <w:r w:rsidR="00FE6B8B" w:rsidRPr="00A035D0">
        <w:t xml:space="preserve"> </w:t>
      </w:r>
      <w:r w:rsidR="0087402A" w:rsidRPr="00A035D0">
        <w:t>CALTs</w:t>
      </w:r>
      <w:r w:rsidR="00FE6B8B" w:rsidRPr="00A035D0">
        <w:t xml:space="preserve"> </w:t>
      </w:r>
      <w:r w:rsidR="0087402A" w:rsidRPr="00A035D0">
        <w:t>equivalent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16,000</w:t>
      </w:r>
      <w:r w:rsidR="00FE6B8B" w:rsidRPr="00A035D0">
        <w:t xml:space="preserve"> </w:t>
      </w:r>
      <w:r w:rsidR="0087402A" w:rsidRPr="00A035D0">
        <w:t>hectares</w:t>
      </w:r>
      <w:r w:rsidR="00FE6B8B" w:rsidRPr="00A035D0">
        <w:t xml:space="preserve"> </w:t>
      </w:r>
      <w:r w:rsidR="0087402A" w:rsidRPr="00A035D0">
        <w:t>covering</w:t>
      </w:r>
      <w:r w:rsidR="00FE6B8B" w:rsidRPr="00A035D0">
        <w:t xml:space="preserve"> </w:t>
      </w:r>
      <w:r w:rsidR="0087402A" w:rsidRPr="00A035D0">
        <w:t>7,156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holders.</w:t>
      </w:r>
      <w:r w:rsidR="0087402A" w:rsidRPr="00A035D0">
        <w:rPr>
          <w:rStyle w:val="FootnoteReference"/>
        </w:rPr>
        <w:footnoteReference w:id="80"/>
      </w:r>
    </w:p>
    <w:p w14:paraId="2FB67003" w14:textId="569F689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several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taken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limited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funding.</w:t>
      </w:r>
      <w:r w:rsidR="00FE6B8B" w:rsidRPr="00A035D0">
        <w:t xml:space="preserve"> </w:t>
      </w:r>
      <w:r w:rsidR="0087402A" w:rsidRPr="00A035D0">
        <w:t>Some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primarily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1)</w:t>
      </w:r>
      <w:r w:rsidR="00FE6B8B" w:rsidRPr="00A035D0">
        <w:t xml:space="preserve"> </w:t>
      </w:r>
      <w:r w:rsidR="0087402A" w:rsidRPr="00A035D0">
        <w:t>setting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issues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priority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agenda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Rodrigo</w:t>
      </w:r>
      <w:r w:rsidR="00FE6B8B" w:rsidRPr="00A035D0">
        <w:t xml:space="preserve"> </w:t>
      </w:r>
      <w:r w:rsidR="0087402A" w:rsidRPr="00A035D0">
        <w:t>Duterte;</w:t>
      </w:r>
      <w:r w:rsidR="00FE6B8B" w:rsidRPr="00A035D0">
        <w:t xml:space="preserve"> </w:t>
      </w:r>
      <w:r w:rsidR="0087402A" w:rsidRPr="00A035D0">
        <w:t>2)</w:t>
      </w:r>
      <w:r w:rsidR="00FE6B8B" w:rsidRPr="00A035D0">
        <w:t xml:space="preserve"> </w:t>
      </w:r>
      <w:r w:rsidR="0087402A" w:rsidRPr="00A035D0">
        <w:t>institutionalizing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whole-of-nation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programming,</w:t>
      </w:r>
      <w:r w:rsidR="00FE6B8B" w:rsidRPr="00A035D0">
        <w:t xml:space="preserve"> </w:t>
      </w:r>
      <w:r w:rsidR="0087402A" w:rsidRPr="00A035D0">
        <w:t>planning,</w:t>
      </w:r>
      <w:r w:rsidR="00FE6B8B" w:rsidRPr="00A035D0">
        <w:t xml:space="preserve"> </w:t>
      </w:r>
      <w:r w:rsidR="0087402A" w:rsidRPr="00A035D0">
        <w:t>budgeting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implementation;</w:t>
      </w:r>
      <w:r w:rsidR="00FE6B8B" w:rsidRPr="00A035D0">
        <w:t xml:space="preserve"> </w:t>
      </w:r>
      <w:r w:rsidR="0087402A" w:rsidRPr="00A035D0">
        <w:t>3)</w:t>
      </w:r>
      <w:r w:rsidR="00FE6B8B" w:rsidRPr="00A035D0">
        <w:t xml:space="preserve"> </w:t>
      </w:r>
      <w:r w:rsidR="0087402A" w:rsidRPr="00A035D0">
        <w:t>lobbying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collaborating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major</w:t>
      </w:r>
      <w:r w:rsidR="00FE6B8B" w:rsidRPr="00A035D0">
        <w:t xml:space="preserve"> </w:t>
      </w:r>
      <w:r w:rsidR="0087402A" w:rsidRPr="00A035D0">
        <w:t>departments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additional</w:t>
      </w:r>
      <w:r w:rsidR="00FE6B8B" w:rsidRPr="00A035D0">
        <w:t xml:space="preserve"> </w:t>
      </w:r>
      <w:r w:rsidR="0087402A" w:rsidRPr="00A035D0">
        <w:t>fund</w:t>
      </w:r>
      <w:r w:rsidR="00FE6B8B" w:rsidRPr="00A035D0">
        <w:t xml:space="preserve"> </w:t>
      </w:r>
      <w:r w:rsidR="0087402A" w:rsidRPr="00A035D0">
        <w:t>allocation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staff</w:t>
      </w:r>
      <w:r w:rsidR="00FE6B8B" w:rsidRPr="00A035D0">
        <w:t xml:space="preserve"> </w:t>
      </w:r>
      <w:r w:rsidR="0087402A" w:rsidRPr="00A035D0">
        <w:t>complement.</w:t>
      </w:r>
    </w:p>
    <w:p w14:paraId="1AFF58E4" w14:textId="0455475D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Promulgation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Executive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(EO)</w:t>
      </w:r>
      <w:r w:rsidR="00FE6B8B" w:rsidRPr="00A035D0">
        <w:t xml:space="preserve"> </w:t>
      </w:r>
      <w:r w:rsidR="0087402A" w:rsidRPr="00A035D0">
        <w:t>70.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designated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one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Communist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(NTF-ELCAC)/Task</w:t>
      </w:r>
      <w:r w:rsidR="00FE6B8B" w:rsidRPr="00A035D0">
        <w:t xml:space="preserve"> </w:t>
      </w:r>
      <w:r w:rsidR="0087402A" w:rsidRPr="00A035D0">
        <w:t>Force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Duterte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Chairperson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geared</w:t>
      </w:r>
      <w:r w:rsidR="00FE6B8B" w:rsidRPr="00A035D0">
        <w:t xml:space="preserve"> </w:t>
      </w:r>
      <w:r w:rsidR="0087402A" w:rsidRPr="00A035D0">
        <w:t>towards</w:t>
      </w:r>
      <w:r w:rsidR="00FE6B8B" w:rsidRPr="00A035D0">
        <w:t xml:space="preserve"> </w:t>
      </w:r>
      <w:r w:rsidR="0087402A" w:rsidRPr="00A035D0">
        <w:t>attaining</w:t>
      </w:r>
      <w:r w:rsidR="00FE6B8B" w:rsidRPr="00A035D0">
        <w:t xml:space="preserve"> </w:t>
      </w:r>
      <w:r w:rsidR="0087402A" w:rsidRPr="00A035D0">
        <w:t>inclusive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sustainable</w:t>
      </w:r>
      <w:r w:rsidR="00FE6B8B" w:rsidRPr="00A035D0">
        <w:t xml:space="preserve"> </w:t>
      </w:r>
      <w:r w:rsidR="0087402A" w:rsidRPr="00A035D0">
        <w:t>peace.</w:t>
      </w:r>
    </w:p>
    <w:p w14:paraId="5152FFCE" w14:textId="6BD5CE3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Noted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situation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our</w:t>
      </w:r>
      <w:r w:rsidR="00FE6B8B" w:rsidRPr="00A035D0">
        <w:t xml:space="preserve"> </w:t>
      </w:r>
      <w:r w:rsidR="0087402A" w:rsidRPr="00A035D0">
        <w:t>ICCs/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whereby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conducive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CPP-NPA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 xml:space="preserve"> </w:t>
      </w:r>
      <w:r w:rsidR="0087402A" w:rsidRPr="00A035D0">
        <w:t>operations.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very</w:t>
      </w:r>
      <w:r w:rsidR="00FE6B8B" w:rsidRPr="00A035D0">
        <w:t xml:space="preserve"> </w:t>
      </w:r>
      <w:r w:rsidR="0087402A" w:rsidRPr="00A035D0">
        <w:t>remote</w:t>
      </w:r>
      <w:r w:rsidR="00FE6B8B" w:rsidRPr="00A035D0">
        <w:t xml:space="preserve"> </w:t>
      </w:r>
      <w:r w:rsidR="0087402A" w:rsidRPr="00A035D0">
        <w:t>areas,</w:t>
      </w:r>
      <w:r w:rsidR="00FE6B8B" w:rsidRPr="00A035D0">
        <w:t xml:space="preserve"> </w:t>
      </w:r>
      <w:r w:rsidR="0087402A" w:rsidRPr="00A035D0">
        <w:t>away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center,</w:t>
      </w:r>
      <w:r w:rsidR="00FE6B8B" w:rsidRPr="00A035D0">
        <w:t xml:space="preserve"> </w:t>
      </w:r>
      <w:r w:rsidR="0087402A" w:rsidRPr="00A035D0">
        <w:t>hard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reach,</w:t>
      </w:r>
      <w:r w:rsidR="00FE6B8B" w:rsidRPr="00A035D0">
        <w:t xml:space="preserve"> </w:t>
      </w:r>
      <w:r w:rsidR="0087402A" w:rsidRPr="00A035D0">
        <w:t>very</w:t>
      </w:r>
      <w:r w:rsidR="00FE6B8B" w:rsidRPr="00A035D0">
        <w:t xml:space="preserve"> </w:t>
      </w:r>
      <w:r w:rsidR="0087402A" w:rsidRPr="00A035D0">
        <w:t>vast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very</w:t>
      </w:r>
      <w:r w:rsidR="00FE6B8B" w:rsidRPr="00A035D0">
        <w:t xml:space="preserve"> </w:t>
      </w:r>
      <w:r w:rsidR="0087402A" w:rsidRPr="00A035D0">
        <w:t>much</w:t>
      </w:r>
      <w:r w:rsidR="00FE6B8B" w:rsidRPr="00A035D0">
        <w:t xml:space="preserve"> </w:t>
      </w:r>
      <w:r w:rsidR="0087402A" w:rsidRPr="00A035D0">
        <w:t>suited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activities,</w:t>
      </w:r>
      <w:r w:rsidR="00FE6B8B" w:rsidRPr="00A035D0">
        <w:t xml:space="preserve"> </w:t>
      </w:r>
      <w:r w:rsidR="0087402A" w:rsidRPr="00A035D0">
        <w:t>offering</w:t>
      </w:r>
      <w:r w:rsidR="00FE6B8B" w:rsidRPr="00A035D0">
        <w:t xml:space="preserve"> </w:t>
      </w:r>
      <w:r w:rsidR="0087402A" w:rsidRPr="00A035D0">
        <w:t>space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terrorist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recruitment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training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taking</w:t>
      </w:r>
      <w:r w:rsidR="00FE6B8B" w:rsidRPr="00A035D0">
        <w:t xml:space="preserve"> </w:t>
      </w:r>
      <w:r w:rsidR="0087402A" w:rsidRPr="00A035D0">
        <w:t>advantage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geographical</w:t>
      </w:r>
      <w:r w:rsidR="00FE6B8B" w:rsidRPr="00A035D0">
        <w:t xml:space="preserve"> </w:t>
      </w:r>
      <w:r w:rsidR="0087402A" w:rsidRPr="00A035D0">
        <w:t>vulnerabilities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ICCs/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living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areas.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forcibly</w:t>
      </w:r>
      <w:r w:rsidR="00FE6B8B" w:rsidRPr="00A035D0">
        <w:t xml:space="preserve"> </w:t>
      </w:r>
      <w:r w:rsidR="0087402A" w:rsidRPr="00A035D0">
        <w:t>recruited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lastRenderedPageBreak/>
        <w:t>become</w:t>
      </w:r>
      <w:r w:rsidR="00FE6B8B" w:rsidRPr="00A035D0">
        <w:t xml:space="preserve"> </w:t>
      </w:r>
      <w:r w:rsidR="0087402A" w:rsidRPr="00A035D0">
        <w:t>victims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terror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violent</w:t>
      </w:r>
      <w:r w:rsidR="00FE6B8B" w:rsidRPr="00A035D0">
        <w:t xml:space="preserve"> </w:t>
      </w:r>
      <w:r w:rsidR="0087402A" w:rsidRPr="00A035D0">
        <w:t>activities.</w:t>
      </w:r>
      <w:r w:rsidR="00FE6B8B" w:rsidRPr="00A035D0">
        <w:t xml:space="preserve"> </w:t>
      </w:r>
      <w:r w:rsidR="0087402A" w:rsidRPr="00A035D0">
        <w:t>ICCs/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given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added</w:t>
      </w:r>
      <w:r w:rsidR="00FE6B8B" w:rsidRPr="00A035D0">
        <w:t xml:space="preserve"> </w:t>
      </w:r>
      <w:r w:rsidR="0087402A" w:rsidRPr="00A035D0">
        <w:t>burden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having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terror</w:t>
      </w:r>
      <w:r w:rsidR="00FE6B8B" w:rsidRPr="00A035D0">
        <w:t xml:space="preserve"> </w:t>
      </w:r>
      <w:r w:rsidR="0087402A" w:rsidRPr="00A035D0">
        <w:t>group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fronts</w:t>
      </w:r>
      <w:r w:rsidR="00FE6B8B" w:rsidRPr="00A035D0">
        <w:t xml:space="preserve"> </w:t>
      </w:r>
      <w:r w:rsidR="0087402A" w:rsidRPr="00A035D0">
        <w:t>operate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domains,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results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obstructing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IPRA.</w:t>
      </w:r>
    </w:p>
    <w:p w14:paraId="27A2B860" w14:textId="514C012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Political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coupled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concrete</w:t>
      </w:r>
      <w:r w:rsidR="00FE6B8B" w:rsidRPr="00A035D0">
        <w:t xml:space="preserve"> </w:t>
      </w:r>
      <w:r w:rsidR="0087402A" w:rsidRPr="00A035D0">
        <w:t>direction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central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IPRA.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Duterte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responsive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supports</w:t>
      </w:r>
      <w:r w:rsidR="00FE6B8B" w:rsidRPr="00A035D0">
        <w:t xml:space="preserve"> </w:t>
      </w:r>
      <w:r w:rsidR="0087402A" w:rsidRPr="00A035D0">
        <w:t>IPRA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shall</w:t>
      </w:r>
      <w:r w:rsidR="00FE6B8B" w:rsidRPr="00A035D0">
        <w:t xml:space="preserve"> </w:t>
      </w:r>
      <w:r w:rsidR="0087402A" w:rsidRPr="00A035D0">
        <w:t>directly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50</w:t>
      </w:r>
      <w:r w:rsidR="00FE6B8B" w:rsidRPr="00A035D0">
        <w:t xml:space="preserve"> </w:t>
      </w:r>
      <w:r w:rsidR="0087402A" w:rsidRPr="00A035D0">
        <w:t>years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invasive</w:t>
      </w:r>
      <w:r w:rsidR="00FE6B8B" w:rsidRPr="00A035D0">
        <w:t xml:space="preserve"> </w:t>
      </w:r>
      <w:r w:rsidR="0087402A" w:rsidRPr="00A035D0">
        <w:t>violent</w:t>
      </w:r>
      <w:r w:rsidR="00FE6B8B" w:rsidRPr="00A035D0">
        <w:t xml:space="preserve"> </w:t>
      </w:r>
      <w:r w:rsidR="0087402A" w:rsidRPr="00A035D0">
        <w:t>extremism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left</w:t>
      </w:r>
      <w:r w:rsidR="00FE6B8B" w:rsidRPr="00A035D0">
        <w:t xml:space="preserve"> </w:t>
      </w:r>
      <w:r w:rsidR="0087402A" w:rsidRPr="00A035D0">
        <w:t>out</w:t>
      </w:r>
      <w:r w:rsidR="00FE6B8B" w:rsidRPr="00A035D0">
        <w:t xml:space="preserve"> </w:t>
      </w:r>
      <w:r w:rsidR="0087402A" w:rsidRPr="00A035D0">
        <w:t>ICCs/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development.</w:t>
      </w:r>
    </w:p>
    <w:p w14:paraId="5A275D9C" w14:textId="6FA613A1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each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13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active</w:t>
      </w:r>
      <w:r w:rsidR="00FE6B8B" w:rsidRPr="00A035D0">
        <w:t xml:space="preserve"> </w:t>
      </w:r>
      <w:r w:rsidR="0087402A" w:rsidRPr="00A035D0">
        <w:t>partners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task</w:t>
      </w:r>
      <w:r w:rsidR="00FE6B8B" w:rsidRPr="00A035D0">
        <w:t xml:space="preserve"> </w:t>
      </w:r>
      <w:r w:rsidR="0087402A" w:rsidRPr="00A035D0">
        <w:t>force</w:t>
      </w:r>
      <w:r w:rsidR="00FE6B8B" w:rsidRPr="00A035D0">
        <w:t xml:space="preserve"> </w:t>
      </w:r>
      <w:r w:rsidR="0087402A" w:rsidRPr="00A035D0">
        <w:t>have</w:t>
      </w:r>
      <w:r w:rsidR="00FE6B8B" w:rsidRPr="00A035D0">
        <w:t xml:space="preserve"> </w:t>
      </w:r>
      <w:r w:rsidR="0087402A" w:rsidRPr="00A035D0">
        <w:t>been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central</w:t>
      </w:r>
      <w:r w:rsidR="00FE6B8B" w:rsidRPr="00A035D0">
        <w:t xml:space="preserve"> </w:t>
      </w:r>
      <w:r w:rsidR="0087402A" w:rsidRPr="00A035D0">
        <w:t>measure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catalyzed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direct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inclusive</w:t>
      </w:r>
      <w:r w:rsidR="00FE6B8B" w:rsidRPr="00A035D0">
        <w:t xml:space="preserve"> </w:t>
      </w:r>
      <w:r w:rsidR="0087402A" w:rsidRPr="00A035D0">
        <w:t>mechanism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grave</w:t>
      </w:r>
      <w:r w:rsidR="00FE6B8B" w:rsidRPr="00A035D0">
        <w:t xml:space="preserve"> </w:t>
      </w:r>
      <w:r w:rsidR="0087402A" w:rsidRPr="00A035D0">
        <w:t>impediments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ICCs/</w:t>
      </w:r>
      <w:r w:rsidR="00FE6B8B" w:rsidRPr="00A035D0">
        <w:t xml:space="preserve"> </w:t>
      </w:r>
      <w:r w:rsidR="0087402A" w:rsidRPr="00A035D0">
        <w:t>IPs</w:t>
      </w:r>
      <w:r w:rsidR="00FE6B8B" w:rsidRPr="00A035D0">
        <w:t xml:space="preserve"> </w:t>
      </w:r>
      <w:r w:rsidR="0087402A" w:rsidRPr="00A035D0">
        <w:t>development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better</w:t>
      </w:r>
      <w:r w:rsidR="00FE6B8B" w:rsidRPr="00A035D0">
        <w:t xml:space="preserve"> </w:t>
      </w:r>
      <w:r w:rsidR="0087402A" w:rsidRPr="00A035D0">
        <w:t>addressed.</w:t>
      </w:r>
    </w:p>
    <w:p w14:paraId="17EE96CB" w14:textId="5F8E42D0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229.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Another</w:t>
      </w:r>
      <w:r w:rsidR="00FE6B8B" w:rsidRPr="00A035D0">
        <w:t xml:space="preserve"> </w:t>
      </w:r>
      <w:r w:rsidR="0087402A" w:rsidRPr="00A035D0">
        <w:t>measure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ensuring</w:t>
      </w:r>
      <w:r w:rsidR="00FE6B8B" w:rsidRPr="00A035D0">
        <w:t xml:space="preserve"> </w:t>
      </w:r>
      <w:r w:rsidR="0087402A" w:rsidRPr="00A035D0">
        <w:t>whole-of-nation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programming,</w:t>
      </w:r>
      <w:r w:rsidR="00FE6B8B" w:rsidRPr="00A035D0">
        <w:t xml:space="preserve"> </w:t>
      </w:r>
      <w:r w:rsidR="0087402A" w:rsidRPr="00A035D0">
        <w:t>planning,</w:t>
      </w:r>
      <w:r w:rsidR="00FE6B8B" w:rsidRPr="00A035D0">
        <w:t xml:space="preserve"> </w:t>
      </w:r>
      <w:r w:rsidR="0087402A" w:rsidRPr="00A035D0">
        <w:t>budgeting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implementation.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Plan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End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Conflict</w:t>
      </w:r>
      <w:r w:rsidR="00FE6B8B" w:rsidRPr="00A035D0">
        <w:t xml:space="preserve"> </w:t>
      </w:r>
      <w:r w:rsidR="0087402A" w:rsidRPr="00A035D0">
        <w:t>(NP-ELCAC),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issues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taken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lead</w:t>
      </w:r>
      <w:r w:rsidR="00FE6B8B" w:rsidRPr="00A035D0">
        <w:t xml:space="preserve"> </w:t>
      </w:r>
      <w:r w:rsidR="0087402A" w:rsidRPr="00A035D0">
        <w:t>concern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each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twelve</w:t>
      </w:r>
      <w:r w:rsidR="00FE6B8B" w:rsidRPr="00A035D0">
        <w:t xml:space="preserve"> </w:t>
      </w:r>
      <w:r w:rsidR="0087402A" w:rsidRPr="00A035D0">
        <w:t>(12)</w:t>
      </w:r>
      <w:r w:rsidR="00FE6B8B" w:rsidRPr="00A035D0">
        <w:t xml:space="preserve"> </w:t>
      </w:r>
      <w:r w:rsidR="0087402A" w:rsidRPr="00A035D0">
        <w:t>lines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(LOEs)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70.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such,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geared</w:t>
      </w:r>
      <w:r w:rsidR="00FE6B8B" w:rsidRPr="00A035D0">
        <w:t xml:space="preserve"> </w:t>
      </w:r>
      <w:r w:rsidR="0087402A" w:rsidRPr="00A035D0">
        <w:t>up</w:t>
      </w:r>
      <w:r w:rsidR="00FE6B8B" w:rsidRPr="00A035D0">
        <w:t xml:space="preserve"> </w:t>
      </w:r>
      <w:r w:rsidR="0087402A" w:rsidRPr="00A035D0">
        <w:t>itself</w:t>
      </w:r>
      <w:r w:rsidR="00FE6B8B" w:rsidRPr="00A035D0">
        <w:t xml:space="preserve"> </w:t>
      </w:r>
      <w:r w:rsidR="0087402A" w:rsidRPr="00A035D0">
        <w:t>towards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institutionalization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whole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nation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governance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programming,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NP-ELCAC.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towards</w:t>
      </w:r>
      <w:r w:rsidR="00FE6B8B" w:rsidRPr="00A035D0">
        <w:t xml:space="preserve"> </w:t>
      </w:r>
      <w:r w:rsidR="0087402A" w:rsidRPr="00A035D0">
        <w:t>enhancing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perform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mandate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following</w:t>
      </w:r>
      <w:r w:rsidR="00FE6B8B" w:rsidRPr="00A035D0">
        <w:t xml:space="preserve"> </w:t>
      </w:r>
      <w:r w:rsidR="0087402A" w:rsidRPr="00A035D0">
        <w:t>strategies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addressing</w:t>
      </w:r>
      <w:r w:rsidR="00FE6B8B" w:rsidRPr="00A035D0">
        <w:t xml:space="preserve"> </w:t>
      </w:r>
      <w:r w:rsidR="0087402A" w:rsidRPr="00A035D0">
        <w:t>issues</w:t>
      </w:r>
      <w:r w:rsidR="00FE6B8B" w:rsidRPr="00A035D0">
        <w:t xml:space="preserve"> </w:t>
      </w:r>
      <w:r w:rsidR="0087402A" w:rsidRPr="00A035D0">
        <w:t>affecting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ICCs/IPs,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wit:</w:t>
      </w:r>
    </w:p>
    <w:p w14:paraId="4DD3E4B2" w14:textId="333F2155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1.</w:t>
      </w:r>
      <w:r w:rsidR="0087402A" w:rsidRPr="00A035D0">
        <w:tab/>
        <w:t>Enhanced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Capacity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advocates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directly</w:t>
      </w:r>
      <w:r w:rsidR="00FE6B8B" w:rsidRPr="00A035D0">
        <w:t xml:space="preserve"> </w:t>
      </w:r>
      <w:r w:rsidR="0087402A" w:rsidRPr="00A035D0">
        <w:t>participating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implementation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70</w:t>
      </w:r>
      <w:r w:rsidR="00FE6B8B" w:rsidRPr="00A035D0">
        <w:t xml:space="preserve"> </w:t>
      </w:r>
      <w:r w:rsidR="0087402A" w:rsidRPr="00A035D0">
        <w:t>Lines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Efforts</w:t>
      </w:r>
      <w:r w:rsidR="00FE6B8B" w:rsidRPr="00A035D0">
        <w:t xml:space="preserve"> </w:t>
      </w:r>
      <w:r w:rsidR="0087402A" w:rsidRPr="00A035D0">
        <w:t>(LOE)</w:t>
      </w:r>
      <w:r w:rsidR="00FE6B8B" w:rsidRPr="00A035D0">
        <w:t xml:space="preserve"> </w:t>
      </w:r>
      <w:r w:rsidR="0087402A" w:rsidRPr="00A035D0">
        <w:t>framework;</w:t>
      </w:r>
    </w:p>
    <w:p w14:paraId="54F958A2" w14:textId="452118FB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2.</w:t>
      </w:r>
      <w:r w:rsidR="0087402A" w:rsidRPr="00A035D0">
        <w:tab/>
        <w:t>Level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agencies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establish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mechanism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can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used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part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supporting</w:t>
      </w:r>
      <w:r w:rsidR="00FE6B8B" w:rsidRPr="00A035D0">
        <w:t xml:space="preserve"> </w:t>
      </w:r>
      <w:r w:rsidR="0087402A" w:rsidRPr="00A035D0">
        <w:t>he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70</w:t>
      </w:r>
      <w:r w:rsidR="00FE6B8B" w:rsidRPr="00A035D0">
        <w:t xml:space="preserve"> </w:t>
      </w:r>
      <w:r w:rsidR="0087402A" w:rsidRPr="00A035D0">
        <w:t>LOE</w:t>
      </w:r>
      <w:r w:rsidR="00FE6B8B" w:rsidRPr="00A035D0">
        <w:t xml:space="preserve"> </w:t>
      </w:r>
      <w:r w:rsidR="0087402A" w:rsidRPr="00A035D0">
        <w:t>framework;</w:t>
      </w:r>
    </w:p>
    <w:p w14:paraId="3AC455DC" w14:textId="77777777" w:rsidR="00FE6B8B" w:rsidRPr="00A035D0" w:rsidRDefault="004D42E9" w:rsidP="004D42E9">
      <w:pPr>
        <w:pStyle w:val="SingleTxtG"/>
      </w:pPr>
      <w:r w:rsidRPr="00A035D0">
        <w:tab/>
      </w:r>
      <w:r w:rsidR="0087402A" w:rsidRPr="00A035D0">
        <w:t>3.</w:t>
      </w:r>
      <w:r w:rsidR="0087402A" w:rsidRPr="00A035D0">
        <w:tab/>
        <w:t>Provide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define</w:t>
      </w:r>
      <w:r w:rsidR="00FE6B8B" w:rsidRPr="00A035D0">
        <w:t xml:space="preserve"> </w:t>
      </w:r>
      <w:r w:rsidR="0087402A" w:rsidRPr="00A035D0">
        <w:t>its</w:t>
      </w:r>
      <w:r w:rsidR="00FE6B8B" w:rsidRPr="00A035D0">
        <w:t xml:space="preserve"> </w:t>
      </w:r>
      <w:r w:rsidR="0087402A" w:rsidRPr="00A035D0">
        <w:t>role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within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70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LOEs;</w:t>
      </w:r>
    </w:p>
    <w:p w14:paraId="6F3EFA30" w14:textId="371BA637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4.</w:t>
      </w:r>
      <w:r w:rsidR="0087402A" w:rsidRPr="00A035D0">
        <w:tab/>
        <w:t>Mainstream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EO</w:t>
      </w:r>
      <w:r w:rsidR="00FE6B8B" w:rsidRPr="00A035D0">
        <w:t xml:space="preserve"> </w:t>
      </w:r>
      <w:r w:rsidR="0087402A" w:rsidRPr="00A035D0">
        <w:t>70</w:t>
      </w:r>
      <w:r w:rsidR="00FE6B8B" w:rsidRPr="00A035D0">
        <w:t xml:space="preserve"> </w:t>
      </w:r>
      <w:r w:rsidR="0087402A" w:rsidRPr="00A035D0">
        <w:t>LOEs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perspective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National,</w:t>
      </w:r>
      <w:r w:rsidR="00FE6B8B" w:rsidRPr="00A035D0">
        <w:t xml:space="preserve"> </w:t>
      </w:r>
      <w:r w:rsidR="0087402A" w:rsidRPr="00A035D0">
        <w:t>Regional,</w:t>
      </w:r>
      <w:r w:rsidR="00FE6B8B" w:rsidRPr="00A035D0">
        <w:t xml:space="preserve"> </w:t>
      </w:r>
      <w:r w:rsidR="0087402A" w:rsidRPr="00A035D0">
        <w:t>Provincial,</w:t>
      </w:r>
      <w:r w:rsidR="00FE6B8B" w:rsidRPr="00A035D0">
        <w:t xml:space="preserve"> </w:t>
      </w:r>
      <w:r w:rsidR="0087402A" w:rsidRPr="00A035D0">
        <w:t>City/Municipal/</w:t>
      </w:r>
      <w:r w:rsidR="00FE6B8B" w:rsidRPr="00A035D0">
        <w:t xml:space="preserve"> </w:t>
      </w:r>
      <w:r w:rsidR="0087402A" w:rsidRPr="00A035D0">
        <w:t>Barangay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</w:t>
      </w:r>
      <w:r w:rsidR="00FE6B8B" w:rsidRPr="00A035D0">
        <w:t xml:space="preserve"> </w:t>
      </w:r>
      <w:r w:rsidR="0087402A" w:rsidRPr="00A035D0">
        <w:t>Joint</w:t>
      </w:r>
      <w:r w:rsidR="00FE6B8B" w:rsidRPr="00A035D0">
        <w:t xml:space="preserve"> </w:t>
      </w:r>
      <w:r w:rsidR="0087402A" w:rsidRPr="00A035D0">
        <w:t>Convergences;</w:t>
      </w:r>
      <w:r w:rsidR="00FE6B8B" w:rsidRPr="00A035D0">
        <w:t xml:space="preserve"> </w:t>
      </w:r>
      <w:r w:rsidR="0087402A" w:rsidRPr="00A035D0">
        <w:t>and</w:t>
      </w:r>
    </w:p>
    <w:p w14:paraId="5E10EF8F" w14:textId="1C70DDD9" w:rsidR="0087402A" w:rsidRPr="00A035D0" w:rsidRDefault="004D42E9" w:rsidP="004D42E9">
      <w:pPr>
        <w:pStyle w:val="SingleTxtG"/>
      </w:pPr>
      <w:r w:rsidRPr="00A035D0">
        <w:tab/>
      </w:r>
      <w:r w:rsidR="0087402A" w:rsidRPr="00A035D0">
        <w:t>5.</w:t>
      </w:r>
      <w:r w:rsidR="00FE6B8B" w:rsidRPr="00A035D0">
        <w:t xml:space="preserve"> </w:t>
      </w:r>
      <w:r w:rsidR="0087402A" w:rsidRPr="00A035D0">
        <w:tab/>
        <w:t>Increased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visibility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arena.</w:t>
      </w:r>
    </w:p>
    <w:p w14:paraId="4A4C6E0C" w14:textId="54691D1A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Further,</w:t>
      </w:r>
      <w:r w:rsidR="00FE6B8B" w:rsidRPr="00A035D0">
        <w:t xml:space="preserve"> </w:t>
      </w:r>
      <w:r w:rsidR="0087402A" w:rsidRPr="00A035D0">
        <w:t>given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first-hand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Duterte,</w:t>
      </w:r>
      <w:r w:rsidR="00FE6B8B" w:rsidRPr="00A035D0">
        <w:t xml:space="preserve"> </w:t>
      </w:r>
      <w:r w:rsidR="0087402A" w:rsidRPr="00A035D0">
        <w:t>proposing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lobbying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additional</w:t>
      </w:r>
      <w:r w:rsidR="00FE6B8B" w:rsidRPr="00A035D0">
        <w:t xml:space="preserve"> </w:t>
      </w:r>
      <w:r w:rsidR="0087402A" w:rsidRPr="00A035D0">
        <w:t>funding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Budget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(DBM)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key</w:t>
      </w:r>
      <w:r w:rsidR="00FE6B8B" w:rsidRPr="00A035D0">
        <w:t xml:space="preserve"> </w:t>
      </w:r>
      <w:r w:rsidR="0087402A" w:rsidRPr="00A035D0">
        <w:t>measure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IPRA</w:t>
      </w:r>
      <w:r w:rsidR="00FE6B8B" w:rsidRPr="00A035D0">
        <w:t xml:space="preserve"> </w:t>
      </w:r>
      <w:r w:rsidR="0087402A" w:rsidRPr="00A035D0">
        <w:t>implementation.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3rd</w:t>
      </w:r>
      <w:r w:rsidR="00FE6B8B" w:rsidRPr="00A035D0">
        <w:t xml:space="preserve"> </w:t>
      </w:r>
      <w:r w:rsidR="0087402A" w:rsidRPr="00A035D0">
        <w:t>Quarter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Fiscal</w:t>
      </w:r>
      <w:r w:rsidR="00FE6B8B" w:rsidRPr="00A035D0">
        <w:t xml:space="preserve"> </w:t>
      </w:r>
      <w:r w:rsidR="0087402A" w:rsidRPr="00A035D0">
        <w:t>Year</w:t>
      </w:r>
      <w:r w:rsidR="00FE6B8B" w:rsidRPr="00A035D0">
        <w:t xml:space="preserve"> </w:t>
      </w:r>
      <w:r w:rsidR="0087402A" w:rsidRPr="00A035D0">
        <w:t>FY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was</w:t>
      </w:r>
      <w:r w:rsidR="00FE6B8B" w:rsidRPr="00A035D0">
        <w:t xml:space="preserve"> </w:t>
      </w:r>
      <w:r w:rsidR="0087402A" w:rsidRPr="00A035D0">
        <w:t>able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receive</w:t>
      </w:r>
      <w:r w:rsidR="00FE6B8B" w:rsidRPr="00A035D0">
        <w:t xml:space="preserve"> </w:t>
      </w:r>
      <w:r w:rsidR="0087402A" w:rsidRPr="00A035D0">
        <w:t>Php23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special</w:t>
      </w:r>
      <w:r w:rsidR="00FE6B8B" w:rsidRPr="00A035D0">
        <w:t xml:space="preserve"> </w:t>
      </w:r>
      <w:r w:rsidR="0087402A" w:rsidRPr="00A035D0">
        <w:t>allotment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support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institutionalization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whole-of-nation</w:t>
      </w:r>
      <w:r w:rsidR="00FE6B8B" w:rsidRPr="00A035D0">
        <w:t xml:space="preserve"> </w:t>
      </w:r>
      <w:r w:rsidR="0087402A" w:rsidRPr="00A035D0">
        <w:t>approach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NP–ELCAC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attaining</w:t>
      </w:r>
      <w:r w:rsidR="00FE6B8B" w:rsidRPr="00A035D0">
        <w:t xml:space="preserve"> </w:t>
      </w:r>
      <w:r w:rsidR="0087402A" w:rsidRPr="00A035D0">
        <w:t>inclusive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sustained</w:t>
      </w:r>
      <w:r w:rsidR="00FE6B8B" w:rsidRPr="00A035D0">
        <w:t xml:space="preserve"> </w:t>
      </w:r>
      <w:r w:rsidR="0087402A" w:rsidRPr="00A035D0">
        <w:t>peace</w:t>
      </w:r>
      <w:r w:rsidR="00FE6B8B" w:rsidRPr="00A035D0">
        <w:t xml:space="preserve"> </w:t>
      </w:r>
      <w:r w:rsidR="0087402A" w:rsidRPr="00A035D0">
        <w:t>into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program</w:t>
      </w:r>
      <w:r w:rsidR="00FE6B8B" w:rsidRPr="00A035D0">
        <w:t xml:space="preserve"> </w:t>
      </w:r>
      <w:r w:rsidR="0087402A" w:rsidRPr="00A035D0">
        <w:t>activities</w:t>
      </w:r>
      <w:r w:rsidR="00FE6B8B" w:rsidRPr="00A035D0">
        <w:t xml:space="preserve"> </w:t>
      </w:r>
      <w:r w:rsidR="0087402A" w:rsidRPr="00A035D0">
        <w:t>projects</w:t>
      </w:r>
      <w:r w:rsidR="00FE6B8B" w:rsidRPr="00A035D0">
        <w:t xml:space="preserve"> </w:t>
      </w:r>
      <w:r w:rsidR="0087402A" w:rsidRPr="00A035D0">
        <w:t>(PAPs)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ICCs/IPs.</w:t>
      </w:r>
    </w:p>
    <w:p w14:paraId="6F0FBB8B" w14:textId="542617BA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231.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Together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at</w:t>
      </w:r>
      <w:r w:rsidR="00FE6B8B" w:rsidRPr="00A035D0">
        <w:t xml:space="preserve"> </w:t>
      </w:r>
      <w:r w:rsidR="0087402A" w:rsidRPr="00A035D0">
        <w:t>least</w:t>
      </w:r>
      <w:r w:rsidR="00FE6B8B" w:rsidRPr="00A035D0">
        <w:t xml:space="preserve"> </w:t>
      </w:r>
      <w:r w:rsidR="0087402A" w:rsidRPr="00A035D0">
        <w:t>5,000</w:t>
      </w:r>
      <w:r w:rsidR="00FE6B8B" w:rsidRPr="00A035D0">
        <w:t xml:space="preserve"> </w:t>
      </w:r>
      <w:r w:rsidR="0087402A" w:rsidRPr="00A035D0">
        <w:t>beneficiaries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included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than</w:t>
      </w:r>
      <w:r w:rsidR="00FE6B8B" w:rsidRPr="00A035D0">
        <w:t xml:space="preserve"> </w:t>
      </w:r>
      <w:r w:rsidR="0087402A" w:rsidRPr="00A035D0">
        <w:t>3,000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regions,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national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field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agencies,</w:t>
      </w:r>
      <w:r w:rsidR="00FE6B8B" w:rsidRPr="00A035D0">
        <w:t xml:space="preserve"> </w:t>
      </w:r>
      <w:r w:rsidR="0087402A" w:rsidRPr="00A035D0">
        <w:t>13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planning</w:t>
      </w:r>
      <w:r w:rsidR="00FE6B8B" w:rsidRPr="00A035D0">
        <w:t xml:space="preserve"> </w:t>
      </w:r>
      <w:r w:rsidR="0087402A" w:rsidRPr="00A035D0">
        <w:t>workshops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conducted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develop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agency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framework</w:t>
      </w:r>
      <w:r w:rsidR="00FE6B8B" w:rsidRPr="00A035D0">
        <w:t xml:space="preserve"> </w:t>
      </w:r>
      <w:r w:rsidR="0087402A" w:rsidRPr="00A035D0">
        <w:t>focusing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twelve</w:t>
      </w:r>
      <w:r w:rsidR="00FE6B8B" w:rsidRPr="00A035D0">
        <w:t xml:space="preserve"> </w:t>
      </w:r>
      <w:r w:rsidR="0087402A" w:rsidRPr="00A035D0">
        <w:t>strategies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NP-ELCAC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instruments</w:t>
      </w:r>
      <w:r w:rsidR="00FE6B8B" w:rsidRPr="00A035D0">
        <w:t xml:space="preserve"> </w:t>
      </w:r>
      <w:r w:rsidR="0087402A" w:rsidRPr="00A035D0">
        <w:t>towards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security.</w:t>
      </w:r>
      <w:r w:rsidR="00FE6B8B" w:rsidRPr="00A035D0">
        <w:t xml:space="preserve"> </w:t>
      </w:r>
      <w:r w:rsidR="0087402A" w:rsidRPr="00A035D0">
        <w:t>During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activities,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were</w:t>
      </w:r>
      <w:r w:rsidR="00FE6B8B" w:rsidRPr="00A035D0">
        <w:t xml:space="preserve"> </w:t>
      </w:r>
      <w:r w:rsidR="0087402A" w:rsidRPr="00A035D0">
        <w:t>13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Plan</w:t>
      </w:r>
      <w:r w:rsidR="00FE6B8B" w:rsidRPr="00A035D0">
        <w:t xml:space="preserve"> </w:t>
      </w:r>
      <w:r w:rsidR="0087402A" w:rsidRPr="00A035D0">
        <w:t>outputs</w:t>
      </w:r>
      <w:r w:rsidR="00FE6B8B" w:rsidRPr="00A035D0">
        <w:t xml:space="preserve"> </w:t>
      </w:r>
      <w:r w:rsidR="0087402A" w:rsidRPr="00A035D0">
        <w:t>developed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each</w:t>
      </w:r>
      <w:r w:rsidR="00FE6B8B" w:rsidRPr="00A035D0">
        <w:t xml:space="preserve"> </w:t>
      </w:r>
      <w:r w:rsidR="0087402A" w:rsidRPr="00A035D0">
        <w:t>region.</w:t>
      </w:r>
    </w:p>
    <w:p w14:paraId="519778AB" w14:textId="54F4F34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232.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Corollary,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Department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Budget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Management</w:t>
      </w:r>
      <w:r w:rsidR="00FE6B8B" w:rsidRPr="00A035D0">
        <w:t xml:space="preserve"> </w:t>
      </w:r>
      <w:r w:rsidR="0087402A" w:rsidRPr="00A035D0">
        <w:t>(DBM)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approved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creation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new</w:t>
      </w:r>
      <w:r w:rsidR="00FE6B8B" w:rsidRPr="00A035D0">
        <w:t xml:space="preserve"> </w:t>
      </w:r>
      <w:r w:rsidR="0087402A" w:rsidRPr="00A035D0">
        <w:t>offices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positions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field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central</w:t>
      </w:r>
      <w:r w:rsidR="00FE6B8B" w:rsidRPr="00A035D0">
        <w:t xml:space="preserve"> </w:t>
      </w:r>
      <w:r w:rsidR="0087402A" w:rsidRPr="00A035D0">
        <w:t>offices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enhance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meager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resource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NCIP.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FY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DBM</w:t>
      </w:r>
      <w:r w:rsidR="00FE6B8B" w:rsidRPr="00A035D0">
        <w:t xml:space="preserve"> </w:t>
      </w:r>
      <w:r w:rsidR="0087402A" w:rsidRPr="00A035D0">
        <w:t>approved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creation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4B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share</w:t>
      </w:r>
      <w:r w:rsidR="00FE6B8B" w:rsidRPr="00A035D0">
        <w:t xml:space="preserve"> </w:t>
      </w:r>
      <w:r w:rsidR="0087402A" w:rsidRPr="00A035D0">
        <w:t>responsibilities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current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Regional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4A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better</w:t>
      </w:r>
      <w:r w:rsidR="00FE6B8B" w:rsidRPr="00A035D0">
        <w:t xml:space="preserve"> </w:t>
      </w:r>
      <w:r w:rsidR="0087402A" w:rsidRPr="00A035D0">
        <w:t>delivery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services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entire</w:t>
      </w:r>
      <w:r w:rsidR="00FE6B8B" w:rsidRPr="00A035D0">
        <w:t xml:space="preserve"> </w:t>
      </w:r>
      <w:r w:rsidR="0087402A" w:rsidRPr="00A035D0">
        <w:t>region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ICCs/IPs.</w:t>
      </w:r>
      <w:r w:rsidR="00FE6B8B" w:rsidRPr="00A035D0">
        <w:t xml:space="preserve"> </w:t>
      </w:r>
      <w:r w:rsidR="0087402A" w:rsidRPr="00A035D0">
        <w:t>Then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April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DBM,</w:t>
      </w:r>
      <w:r w:rsidR="00FE6B8B" w:rsidRPr="00A035D0">
        <w:t xml:space="preserve"> </w:t>
      </w:r>
      <w:r w:rsidR="0087402A" w:rsidRPr="00A035D0">
        <w:t>pursuant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Notice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Staffing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Compensation</w:t>
      </w:r>
      <w:r w:rsidR="00FE6B8B" w:rsidRPr="00A035D0">
        <w:t xml:space="preserve"> </w:t>
      </w:r>
      <w:r w:rsidR="0087402A" w:rsidRPr="00A035D0">
        <w:t>Action</w:t>
      </w:r>
      <w:r w:rsidR="00FE6B8B" w:rsidRPr="00A035D0">
        <w:t xml:space="preserve"> </w:t>
      </w:r>
      <w:r w:rsidR="0087402A" w:rsidRPr="00A035D0">
        <w:t>(NOSCA)</w:t>
      </w:r>
      <w:r w:rsidR="00FE6B8B" w:rsidRPr="00A035D0">
        <w:t xml:space="preserve"> </w:t>
      </w:r>
      <w:r w:rsidR="0087402A" w:rsidRPr="00A035D0">
        <w:t>approved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April</w:t>
      </w:r>
      <w:r w:rsidR="00FE6B8B" w:rsidRPr="00A035D0">
        <w:t xml:space="preserve"> </w:t>
      </w:r>
      <w:r w:rsidR="0087402A" w:rsidRPr="00A035D0">
        <w:t>24,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creation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three</w:t>
      </w:r>
      <w:r w:rsidR="00FE6B8B" w:rsidRPr="00A035D0">
        <w:t xml:space="preserve"> </w:t>
      </w:r>
      <w:r w:rsidR="0087402A" w:rsidRPr="00A035D0">
        <w:t>(3)</w:t>
      </w:r>
      <w:r w:rsidR="00FE6B8B" w:rsidRPr="00A035D0">
        <w:t xml:space="preserve"> </w:t>
      </w:r>
      <w:r w:rsidR="0087402A" w:rsidRPr="00A035D0">
        <w:t>divisions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Central</w:t>
      </w:r>
      <w:r w:rsidR="00FE6B8B" w:rsidRPr="00A035D0">
        <w:t xml:space="preserve"> </w:t>
      </w:r>
      <w:r w:rsidR="0087402A" w:rsidRPr="00A035D0">
        <w:t>Office,</w:t>
      </w:r>
      <w:r w:rsidR="00FE6B8B" w:rsidRPr="00A035D0">
        <w:t xml:space="preserve"> </w:t>
      </w:r>
      <w:r w:rsidR="0087402A" w:rsidRPr="00A035D0">
        <w:t>two</w:t>
      </w:r>
      <w:r w:rsidR="00FE6B8B" w:rsidRPr="00A035D0">
        <w:t xml:space="preserve"> </w:t>
      </w:r>
      <w:r w:rsidR="0087402A" w:rsidRPr="00A035D0">
        <w:t>(2)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compose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proposed</w:t>
      </w:r>
      <w:r w:rsidR="00FE6B8B" w:rsidRPr="00A035D0">
        <w:t xml:space="preserve"> </w:t>
      </w:r>
      <w:r w:rsidR="0087402A" w:rsidRPr="00A035D0">
        <w:t>Foreign</w:t>
      </w:r>
      <w:r w:rsidR="00FE6B8B" w:rsidRPr="00A035D0">
        <w:t xml:space="preserve"> </w:t>
      </w:r>
      <w:r w:rsidR="0087402A" w:rsidRPr="00A035D0">
        <w:t>Assisted</w:t>
      </w:r>
      <w:r w:rsidR="00FE6B8B" w:rsidRPr="00A035D0">
        <w:t xml:space="preserve"> </w:t>
      </w:r>
      <w:r w:rsidR="0087402A" w:rsidRPr="00A035D0">
        <w:t>Programs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Relations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(FAPIRO)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currently</w:t>
      </w:r>
      <w:r w:rsidR="00FE6B8B" w:rsidRPr="00A035D0">
        <w:t xml:space="preserve"> </w:t>
      </w:r>
      <w:r w:rsidR="0087402A" w:rsidRPr="00A035D0">
        <w:t>favorably</w:t>
      </w:r>
      <w:r w:rsidR="00FE6B8B" w:rsidRPr="00A035D0">
        <w:t xml:space="preserve"> </w:t>
      </w:r>
      <w:r w:rsidR="0087402A" w:rsidRPr="00A035D0">
        <w:t>endorsed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President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approval.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move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approved</w:t>
      </w:r>
      <w:r w:rsidR="00FE6B8B" w:rsidRPr="00A035D0">
        <w:t xml:space="preserve"> </w:t>
      </w:r>
      <w:r w:rsidR="0087402A" w:rsidRPr="00A035D0">
        <w:t>twenty</w:t>
      </w:r>
      <w:r w:rsidR="00FE6B8B" w:rsidRPr="00A035D0">
        <w:t xml:space="preserve"> </w:t>
      </w:r>
      <w:r w:rsidR="0087402A" w:rsidRPr="00A035D0">
        <w:t>(20)</w:t>
      </w:r>
      <w:r w:rsidR="00FE6B8B" w:rsidRPr="00A035D0">
        <w:t xml:space="preserve"> </w:t>
      </w:r>
      <w:r w:rsidR="0087402A" w:rsidRPr="00A035D0">
        <w:t>various</w:t>
      </w:r>
      <w:r w:rsidR="00FE6B8B" w:rsidRPr="00A035D0">
        <w:t xml:space="preserve"> </w:t>
      </w:r>
      <w:r w:rsidR="0087402A" w:rsidRPr="00A035D0">
        <w:t>positions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ten</w:t>
      </w:r>
      <w:r w:rsidR="00FE6B8B" w:rsidRPr="00A035D0">
        <w:t xml:space="preserve"> </w:t>
      </w:r>
      <w:r w:rsidR="0087402A" w:rsidRPr="00A035D0">
        <w:t>(10)</w:t>
      </w:r>
      <w:r w:rsidR="00FE6B8B" w:rsidRPr="00A035D0">
        <w:t xml:space="preserve"> </w:t>
      </w:r>
      <w:r w:rsidR="0087402A" w:rsidRPr="00A035D0">
        <w:t>initial</w:t>
      </w:r>
      <w:r w:rsidR="00FE6B8B" w:rsidRPr="00A035D0">
        <w:t xml:space="preserve"> </w:t>
      </w:r>
      <w:r w:rsidR="0087402A" w:rsidRPr="00A035D0">
        <w:t>staff</w:t>
      </w:r>
      <w:r w:rsidR="00FE6B8B" w:rsidRPr="00A035D0">
        <w:t xml:space="preserve"> </w:t>
      </w:r>
      <w:r w:rsidR="0087402A" w:rsidRPr="00A035D0">
        <w:t>positions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two</w:t>
      </w:r>
      <w:r w:rsidR="00FE6B8B" w:rsidRPr="00A035D0">
        <w:t xml:space="preserve"> </w:t>
      </w:r>
      <w:r w:rsidR="0087402A" w:rsidRPr="00A035D0">
        <w:t>(2)</w:t>
      </w:r>
      <w:r w:rsidR="00FE6B8B" w:rsidRPr="00A035D0">
        <w:t xml:space="preserve"> </w:t>
      </w:r>
      <w:r w:rsidR="0087402A" w:rsidRPr="00A035D0">
        <w:t>newly</w:t>
      </w:r>
      <w:r w:rsidR="00FE6B8B" w:rsidRPr="00A035D0">
        <w:t xml:space="preserve"> </w:t>
      </w:r>
      <w:r w:rsidR="0087402A" w:rsidRPr="00A035D0">
        <w:t>created</w:t>
      </w:r>
      <w:r w:rsidR="00FE6B8B" w:rsidRPr="00A035D0">
        <w:t xml:space="preserve"> </w:t>
      </w:r>
      <w:r w:rsidR="0087402A" w:rsidRPr="00A035D0">
        <w:t>Central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divisions.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should</w:t>
      </w:r>
      <w:r w:rsidR="00FE6B8B" w:rsidRPr="00A035D0">
        <w:t xml:space="preserve"> </w:t>
      </w:r>
      <w:r w:rsidR="0087402A" w:rsidRPr="00A035D0">
        <w:t>be</w:t>
      </w:r>
      <w:r w:rsidR="00FE6B8B" w:rsidRPr="00A035D0">
        <w:t xml:space="preserve"> </w:t>
      </w:r>
      <w:r w:rsidR="0087402A" w:rsidRPr="00A035D0">
        <w:t>noted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current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personnel</w:t>
      </w:r>
      <w:r w:rsidR="00FE6B8B" w:rsidRPr="00A035D0">
        <w:t xml:space="preserve"> </w:t>
      </w:r>
      <w:r w:rsidR="0087402A" w:rsidRPr="00A035D0">
        <w:lastRenderedPageBreak/>
        <w:t>complement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1,500</w:t>
      </w:r>
      <w:r w:rsidR="00FE6B8B" w:rsidRPr="00A035D0">
        <w:t xml:space="preserve"> </w:t>
      </w:r>
      <w:r w:rsidR="0087402A" w:rsidRPr="00A035D0">
        <w:t>positions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nil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address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concerns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nation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16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ICCs/IPs.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milestone</w:t>
      </w:r>
      <w:r w:rsidR="00FE6B8B" w:rsidRPr="00A035D0">
        <w:t xml:space="preserve"> </w:t>
      </w:r>
      <w:r w:rsidR="0087402A" w:rsidRPr="00A035D0">
        <w:t>measures</w:t>
      </w:r>
      <w:r w:rsidR="00FE6B8B" w:rsidRPr="00A035D0">
        <w:t xml:space="preserve"> </w:t>
      </w:r>
      <w:r w:rsidR="0087402A" w:rsidRPr="00A035D0">
        <w:t>done,</w:t>
      </w:r>
      <w:r w:rsidR="00FE6B8B" w:rsidRPr="00A035D0">
        <w:t xml:space="preserve"> </w:t>
      </w:r>
      <w:r w:rsidR="0087402A" w:rsidRPr="00A035D0">
        <w:t>continuing</w:t>
      </w:r>
      <w:r w:rsidR="00FE6B8B" w:rsidRPr="00A035D0">
        <w:t xml:space="preserve"> </w:t>
      </w:r>
      <w:r w:rsidR="0087402A" w:rsidRPr="00A035D0">
        <w:t>this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sustaining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political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years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come</w:t>
      </w:r>
      <w:r w:rsidR="00FE6B8B" w:rsidRPr="00A035D0">
        <w:t xml:space="preserve"> </w:t>
      </w:r>
      <w:r w:rsidR="0087402A" w:rsidRPr="00A035D0">
        <w:t>will</w:t>
      </w:r>
      <w:r w:rsidR="00FE6B8B" w:rsidRPr="00A035D0">
        <w:t xml:space="preserve"> </w:t>
      </w:r>
      <w:r w:rsidR="0087402A" w:rsidRPr="00A035D0">
        <w:t>remain</w:t>
      </w:r>
      <w:r w:rsidR="00FE6B8B" w:rsidRPr="00A035D0">
        <w:t xml:space="preserve"> </w:t>
      </w:r>
      <w:r w:rsidR="0087402A" w:rsidRPr="00A035D0">
        <w:t>central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sustain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good</w:t>
      </w:r>
      <w:r w:rsidR="00FE6B8B" w:rsidRPr="00A035D0">
        <w:t xml:space="preserve"> </w:t>
      </w:r>
      <w:r w:rsidR="0087402A" w:rsidRPr="00A035D0">
        <w:t>experiences.</w:t>
      </w:r>
    </w:p>
    <w:p w14:paraId="1D0DD4DB" w14:textId="77777777" w:rsidR="00FE6B8B" w:rsidRPr="00A035D0" w:rsidRDefault="0087402A" w:rsidP="004D42E9">
      <w:pPr>
        <w:pStyle w:val="H4G"/>
      </w:pPr>
      <w:r w:rsidRPr="00A035D0">
        <w:tab/>
        <w:t>(b)</w:t>
      </w:r>
      <w:r w:rsidRPr="00A035D0">
        <w:tab/>
        <w:t>IP</w:t>
      </w:r>
      <w:r w:rsidR="00FE6B8B" w:rsidRPr="00A035D0">
        <w:t xml:space="preserve"> </w:t>
      </w:r>
      <w:r w:rsidRPr="00A035D0">
        <w:t>participation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public</w:t>
      </w:r>
      <w:r w:rsidR="00FE6B8B" w:rsidRPr="00A035D0">
        <w:t xml:space="preserve"> </w:t>
      </w:r>
      <w:r w:rsidRPr="00A035D0">
        <w:t>affairs,</w:t>
      </w:r>
      <w:r w:rsidR="00FE6B8B" w:rsidRPr="00A035D0">
        <w:t xml:space="preserve"> </w:t>
      </w:r>
      <w:r w:rsidRPr="00A035D0">
        <w:t>mandatory</w:t>
      </w:r>
      <w:r w:rsidR="00FE6B8B" w:rsidRPr="00A035D0">
        <w:t xml:space="preserve"> </w:t>
      </w:r>
      <w:r w:rsidRPr="00A035D0">
        <w:t>IP</w:t>
      </w:r>
      <w:r w:rsidR="00FE6B8B" w:rsidRPr="00A035D0">
        <w:t xml:space="preserve"> </w:t>
      </w:r>
      <w:r w:rsidRPr="00A035D0">
        <w:t>representative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all</w:t>
      </w:r>
      <w:r w:rsidR="00FE6B8B" w:rsidRPr="00A035D0">
        <w:t xml:space="preserve"> </w:t>
      </w:r>
      <w:r w:rsidRPr="00A035D0">
        <w:t>LGUs,</w:t>
      </w:r>
      <w:r w:rsidR="00FE6B8B" w:rsidRPr="00A035D0">
        <w:t xml:space="preserve"> </w:t>
      </w:r>
      <w:r w:rsidRPr="00A035D0">
        <w:t>including</w:t>
      </w:r>
      <w:r w:rsidR="00FE6B8B" w:rsidRPr="00A035D0">
        <w:t xml:space="preserve"> </w:t>
      </w:r>
      <w:r w:rsidRPr="00A035D0">
        <w:t>voting</w:t>
      </w:r>
      <w:r w:rsidR="00FE6B8B" w:rsidRPr="00A035D0">
        <w:t xml:space="preserve"> </w:t>
      </w:r>
      <w:r w:rsidRPr="00A035D0">
        <w:t>in</w:t>
      </w:r>
      <w:r w:rsidR="00FE6B8B" w:rsidRPr="00A035D0">
        <w:t xml:space="preserve"> </w:t>
      </w:r>
      <w:r w:rsidRPr="00A035D0">
        <w:t>2016</w:t>
      </w:r>
      <w:r w:rsidR="00FE6B8B" w:rsidRPr="00A035D0">
        <w:t xml:space="preserve"> </w:t>
      </w:r>
      <w:r w:rsidRPr="00A035D0">
        <w:t>elections</w:t>
      </w:r>
    </w:p>
    <w:p w14:paraId="4AD39046" w14:textId="4212593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233.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realized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Section</w:t>
      </w:r>
      <w:r w:rsidR="00FE6B8B" w:rsidRPr="00A035D0">
        <w:t xml:space="preserve"> </w:t>
      </w:r>
      <w:r w:rsidR="0087402A" w:rsidRPr="00A035D0">
        <w:t>16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Republic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8371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Right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(IPRA)</w:t>
      </w:r>
      <w:r w:rsidR="00FE6B8B" w:rsidRPr="00A035D0">
        <w:t xml:space="preserve"> </w:t>
      </w:r>
      <w:r w:rsidR="0087402A" w:rsidRPr="00A035D0">
        <w:t>which</w:t>
      </w:r>
      <w:r w:rsidR="00FE6B8B" w:rsidRPr="00A035D0">
        <w:t xml:space="preserve"> </w:t>
      </w:r>
      <w:r w:rsidR="0087402A" w:rsidRPr="00A035D0">
        <w:t>requires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’ </w:t>
      </w:r>
      <w:r w:rsidR="0087402A" w:rsidRPr="00A035D0">
        <w:t>representative,</w:t>
      </w:r>
      <w:r w:rsidR="00FE6B8B" w:rsidRPr="00A035D0">
        <w:t xml:space="preserve"> </w:t>
      </w:r>
      <w:r w:rsidR="0087402A" w:rsidRPr="00A035D0">
        <w:t>chosen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themselves,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every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legislative</w:t>
      </w:r>
      <w:r w:rsidR="00FE6B8B" w:rsidRPr="00A035D0">
        <w:t xml:space="preserve"> </w:t>
      </w:r>
      <w:r w:rsidR="0087402A" w:rsidRPr="00A035D0">
        <w:t>council,</w:t>
      </w:r>
      <w:r w:rsidR="00FE6B8B" w:rsidRPr="00A035D0">
        <w:t xml:space="preserve"> </w:t>
      </w:r>
      <w:r w:rsidR="0087402A" w:rsidRPr="00A035D0">
        <w:t>from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smallest</w:t>
      </w:r>
      <w:r w:rsidR="00FE6B8B" w:rsidRPr="00A035D0">
        <w:t xml:space="preserve"> </w:t>
      </w:r>
      <w:r w:rsidR="0087402A" w:rsidRPr="00A035D0">
        <w:t>political</w:t>
      </w:r>
      <w:r w:rsidR="00FE6B8B" w:rsidRPr="00A035D0">
        <w:t xml:space="preserve"> </w:t>
      </w:r>
      <w:r w:rsidR="0087402A" w:rsidRPr="00A035D0">
        <w:t>unit,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barangay,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municipal,</w:t>
      </w:r>
      <w:r w:rsidR="00FE6B8B" w:rsidRPr="00A035D0">
        <w:t xml:space="preserve"> </w:t>
      </w:r>
      <w:r w:rsidR="0087402A" w:rsidRPr="00A035D0">
        <w:t>provincial,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city</w:t>
      </w:r>
      <w:r w:rsidR="00FE6B8B" w:rsidRPr="00A035D0">
        <w:t xml:space="preserve"> </w:t>
      </w:r>
      <w:r w:rsidR="0087402A" w:rsidRPr="00A035D0">
        <w:t>legislative</w:t>
      </w:r>
      <w:r w:rsidR="00FE6B8B" w:rsidRPr="00A035D0">
        <w:t xml:space="preserve"> </w:t>
      </w:r>
      <w:r w:rsidR="0087402A" w:rsidRPr="00A035D0">
        <w:t>councils.</w:t>
      </w:r>
      <w:r w:rsidR="00FE6B8B" w:rsidRPr="00A035D0">
        <w:t xml:space="preserve"> </w:t>
      </w:r>
      <w:r w:rsidR="0087402A" w:rsidRPr="00A035D0">
        <w:t>Such</w:t>
      </w:r>
      <w:r w:rsidR="00FE6B8B" w:rsidRPr="00A035D0">
        <w:t xml:space="preserve"> </w:t>
      </w:r>
      <w:r w:rsidR="0087402A" w:rsidRPr="00A035D0">
        <w:t>representation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mandatory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policy-making</w:t>
      </w:r>
      <w:r w:rsidR="00FE6B8B" w:rsidRPr="00A035D0">
        <w:t xml:space="preserve"> </w:t>
      </w:r>
      <w:r w:rsidR="0087402A" w:rsidRPr="00A035D0">
        <w:t>bodies.</w:t>
      </w:r>
    </w:p>
    <w:p w14:paraId="703BB2D7" w14:textId="3453183C" w:rsidR="00FE6B8B" w:rsidRPr="00A035D0" w:rsidRDefault="004D42E9" w:rsidP="004D42E9">
      <w:pPr>
        <w:pStyle w:val="SingleTxtG"/>
        <w:rPr>
          <w:i/>
          <w:iCs/>
        </w:rPr>
      </w:pPr>
      <w:r w:rsidRPr="00A035D0">
        <w:rPr>
          <w:i/>
          <w:iCs/>
          <w:highlight w:val="white"/>
        </w:rPr>
        <w:tab/>
      </w:r>
      <w:r w:rsidR="00FE6B8B" w:rsidRPr="00A035D0">
        <w:rPr>
          <w:i/>
          <w:iCs/>
          <w:highlight w:val="white"/>
        </w:rPr>
        <w:t>“</w:t>
      </w:r>
      <w:r w:rsidR="0087402A" w:rsidRPr="00A035D0">
        <w:rPr>
          <w:i/>
          <w:iCs/>
          <w:highlight w:val="white"/>
        </w:rPr>
        <w:t>Sec.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16.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Right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to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Participate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Decision-Making.</w:t>
      </w:r>
      <w:r w:rsidR="00FE6B8B" w:rsidRPr="00A035D0">
        <w:rPr>
          <w:i/>
          <w:iCs/>
          <w:highlight w:val="white"/>
        </w:rPr>
        <w:t xml:space="preserve"> </w:t>
      </w:r>
      <w:r w:rsidR="008F4B85">
        <w:rPr>
          <w:i/>
          <w:iCs/>
          <w:highlight w:val="white"/>
        </w:rPr>
        <w:t>–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ICCs/IPs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have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right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to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participate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fully,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if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they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so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choose,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at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all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levels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of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decision-making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matters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which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may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affect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their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rights,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lives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and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destinies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through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procedures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determined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by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them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well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to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maintain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and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develop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their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own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indigenous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political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structures.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Consequently,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State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shall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ensure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that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the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ICCs/IPs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shall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be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given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mandatory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representation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in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policy-making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bodies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and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other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local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legislative</w:t>
      </w:r>
      <w:r w:rsidR="00FE6B8B" w:rsidRPr="00A035D0">
        <w:rPr>
          <w:i/>
          <w:iCs/>
          <w:highlight w:val="white"/>
        </w:rPr>
        <w:t xml:space="preserve"> </w:t>
      </w:r>
      <w:r w:rsidR="0087402A" w:rsidRPr="00A035D0">
        <w:rPr>
          <w:i/>
          <w:iCs/>
          <w:highlight w:val="white"/>
        </w:rPr>
        <w:t>councils.</w:t>
      </w:r>
      <w:r w:rsidR="00FE6B8B" w:rsidRPr="00A035D0">
        <w:rPr>
          <w:i/>
          <w:iCs/>
        </w:rPr>
        <w:t>”</w:t>
      </w:r>
    </w:p>
    <w:p w14:paraId="2F136E8D" w14:textId="57B7D279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234.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This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further</w:t>
      </w:r>
      <w:r w:rsidR="00FE6B8B" w:rsidRPr="00A035D0">
        <w:t xml:space="preserve"> </w:t>
      </w:r>
      <w:r w:rsidR="0087402A" w:rsidRPr="00A035D0">
        <w:t>strengthened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03,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14</w:t>
      </w:r>
      <w:r w:rsidR="00FE6B8B" w:rsidRPr="00A035D0">
        <w:t xml:space="preserve"> </w:t>
      </w:r>
      <w:r w:rsidR="0087402A" w:rsidRPr="00A035D0">
        <w:t>February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Mandatory</w:t>
      </w:r>
      <w:r w:rsidR="00FE6B8B" w:rsidRPr="00A035D0">
        <w:t xml:space="preserve"> </w:t>
      </w:r>
      <w:r w:rsidR="0087402A" w:rsidRPr="00A035D0">
        <w:t>Representation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local</w:t>
      </w:r>
      <w:r w:rsidR="00FE6B8B" w:rsidRPr="00A035D0">
        <w:t xml:space="preserve"> </w:t>
      </w:r>
      <w:r w:rsidR="0087402A" w:rsidRPr="00A035D0">
        <w:t>legislative</w:t>
      </w:r>
      <w:r w:rsidR="00FE6B8B" w:rsidRPr="00A035D0">
        <w:t xml:space="preserve"> </w:t>
      </w:r>
      <w:r w:rsidR="0087402A" w:rsidRPr="00A035D0">
        <w:t>councils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policy</w:t>
      </w:r>
      <w:r w:rsidR="00FE6B8B" w:rsidRPr="00A035D0">
        <w:t xml:space="preserve"> </w:t>
      </w:r>
      <w:r w:rsidR="0087402A" w:rsidRPr="00A035D0">
        <w:t>making-bodies</w:t>
      </w:r>
      <w:r w:rsidR="008F4B85">
        <w:t>.</w:t>
      </w:r>
    </w:p>
    <w:p w14:paraId="49E9F38F" w14:textId="40F02492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235.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2020,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around</w:t>
      </w:r>
      <w:r w:rsidR="00FE6B8B" w:rsidRPr="00A035D0">
        <w:t xml:space="preserve"> </w:t>
      </w:r>
      <w:r w:rsidR="0087402A" w:rsidRPr="00A035D0">
        <w:t>4,294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Peoples</w:t>
      </w:r>
      <w:r w:rsidR="00FE6B8B" w:rsidRPr="00A035D0">
        <w:t xml:space="preserve"> </w:t>
      </w:r>
      <w:r w:rsidR="0087402A" w:rsidRPr="00A035D0">
        <w:t>Mandatory</w:t>
      </w:r>
      <w:r w:rsidR="00FE6B8B" w:rsidRPr="00A035D0">
        <w:t xml:space="preserve"> </w:t>
      </w:r>
      <w:r w:rsidR="0087402A" w:rsidRPr="00A035D0">
        <w:t>Representatives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political</w:t>
      </w:r>
      <w:r w:rsidR="00FE6B8B" w:rsidRPr="00A035D0">
        <w:t xml:space="preserve"> </w:t>
      </w:r>
      <w:r w:rsidR="0087402A" w:rsidRPr="00A035D0">
        <w:t>structures</w:t>
      </w:r>
      <w:r w:rsidR="00FE6B8B" w:rsidRPr="00A035D0">
        <w:t xml:space="preserve"> </w:t>
      </w:r>
      <w:r w:rsidR="0087402A" w:rsidRPr="00A035D0">
        <w:t>nationwide.</w:t>
      </w:r>
    </w:p>
    <w:p w14:paraId="2F31A259" w14:textId="44AA9D1D" w:rsidR="0087402A" w:rsidRPr="00A035D0" w:rsidRDefault="0087402A" w:rsidP="004D42E9">
      <w:pPr>
        <w:pStyle w:val="H4G"/>
      </w:pPr>
      <w:r w:rsidRPr="00A035D0">
        <w:tab/>
        <w:t>(c)</w:t>
      </w:r>
      <w:r w:rsidRPr="00A035D0">
        <w:tab/>
        <w:t>Attacks</w:t>
      </w:r>
      <w:r w:rsidR="00FE6B8B" w:rsidRPr="00A035D0">
        <w:t xml:space="preserve"> </w:t>
      </w:r>
      <w:r w:rsidRPr="00A035D0">
        <w:t>of</w:t>
      </w:r>
      <w:r w:rsidR="00FE6B8B" w:rsidRPr="00A035D0">
        <w:t xml:space="preserve"> </w:t>
      </w:r>
      <w:r w:rsidRPr="00A035D0">
        <w:t>terror</w:t>
      </w:r>
      <w:r w:rsidR="00FE6B8B" w:rsidRPr="00A035D0">
        <w:t xml:space="preserve"> </w:t>
      </w:r>
      <w:r w:rsidRPr="00A035D0">
        <w:t>groups</w:t>
      </w:r>
      <w:r w:rsidR="00FE6B8B" w:rsidRPr="00A035D0">
        <w:t xml:space="preserve"> </w:t>
      </w:r>
      <w:r w:rsidRPr="00A035D0">
        <w:t>(CPP-NPA)</w:t>
      </w:r>
      <w:r w:rsidR="00FE6B8B" w:rsidRPr="00A035D0">
        <w:t xml:space="preserve"> </w:t>
      </w:r>
      <w:r w:rsidRPr="00A035D0">
        <w:t>against</w:t>
      </w:r>
      <w:r w:rsidR="00FE6B8B" w:rsidRPr="00A035D0">
        <w:t xml:space="preserve"> </w:t>
      </w:r>
      <w:r w:rsidRPr="00A035D0">
        <w:t>IPs</w:t>
      </w:r>
    </w:p>
    <w:p w14:paraId="1E2DEB4E" w14:textId="5A1DB686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236.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The</w:t>
      </w:r>
      <w:r w:rsidR="00FE6B8B" w:rsidRPr="00A035D0">
        <w:t xml:space="preserve"> </w:t>
      </w:r>
      <w:r w:rsidR="0087402A" w:rsidRPr="00A035D0">
        <w:t>Armed</w:t>
      </w:r>
      <w:r w:rsidR="00FE6B8B" w:rsidRPr="00A035D0">
        <w:t xml:space="preserve"> </w:t>
      </w:r>
      <w:r w:rsidR="0087402A" w:rsidRPr="00A035D0">
        <w:t>Forces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Philippines</w:t>
      </w:r>
      <w:r w:rsidR="00FE6B8B" w:rsidRPr="00A035D0">
        <w:t xml:space="preserve"> </w:t>
      </w:r>
      <w:r w:rsidR="0087402A" w:rsidRPr="00A035D0">
        <w:t>submitted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Inter-Agency</w:t>
      </w:r>
      <w:r w:rsidR="00FE6B8B" w:rsidRPr="00A035D0">
        <w:t xml:space="preserve"> </w:t>
      </w:r>
      <w:r w:rsidR="0087402A" w:rsidRPr="00A035D0">
        <w:t>Committee</w:t>
      </w:r>
      <w:r w:rsidR="00FE6B8B" w:rsidRPr="00A035D0">
        <w:t xml:space="preserve"> </w:t>
      </w:r>
      <w:r w:rsidR="0087402A" w:rsidRPr="00A035D0">
        <w:t>created</w:t>
      </w:r>
      <w:r w:rsidR="00FE6B8B" w:rsidRPr="00A035D0">
        <w:t xml:space="preserve"> </w:t>
      </w:r>
      <w:r w:rsidR="0087402A" w:rsidRPr="00A035D0">
        <w:t>under</w:t>
      </w:r>
      <w:r w:rsidR="00FE6B8B" w:rsidRPr="00A035D0">
        <w:t xml:space="preserve"> </w:t>
      </w:r>
      <w:r w:rsidR="0087402A" w:rsidRPr="00A035D0">
        <w:t>Administrative</w:t>
      </w:r>
      <w:r w:rsidR="00FE6B8B" w:rsidRPr="00A035D0">
        <w:t xml:space="preserve"> </w:t>
      </w:r>
      <w:r w:rsidR="0087402A" w:rsidRPr="00A035D0">
        <w:t>Order</w:t>
      </w:r>
      <w:r w:rsidR="00FE6B8B" w:rsidRPr="00A035D0">
        <w:t xml:space="preserve"> </w:t>
      </w:r>
      <w:r w:rsidR="0087402A" w:rsidRPr="00A035D0">
        <w:t>No.</w:t>
      </w:r>
      <w:r w:rsidR="00FE6B8B" w:rsidRPr="00A035D0">
        <w:t xml:space="preserve"> </w:t>
      </w:r>
      <w:r w:rsidR="0087402A" w:rsidRPr="00A035D0">
        <w:t>35</w:t>
      </w:r>
      <w:r w:rsidR="00FE6B8B" w:rsidRPr="00A035D0">
        <w:t xml:space="preserve"> </w:t>
      </w:r>
      <w:r w:rsidR="0087402A" w:rsidRPr="00A035D0">
        <w:t>(AO35)</w:t>
      </w:r>
      <w:r w:rsidR="00FE6B8B" w:rsidRPr="00A035D0">
        <w:t xml:space="preserve"> </w:t>
      </w:r>
      <w:r w:rsidR="0087402A" w:rsidRPr="00A035D0">
        <w:t>a</w:t>
      </w:r>
      <w:r w:rsidR="00FE6B8B" w:rsidRPr="00A035D0">
        <w:t xml:space="preserve"> </w:t>
      </w:r>
      <w:r w:rsidR="0087402A" w:rsidRPr="00A035D0">
        <w:t>list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1,506</w:t>
      </w:r>
      <w:r w:rsidR="00FE6B8B" w:rsidRPr="00A035D0">
        <w:t xml:space="preserve"> </w:t>
      </w:r>
      <w:r w:rsidR="0087402A" w:rsidRPr="00A035D0">
        <w:t>probable</w:t>
      </w:r>
      <w:r w:rsidR="00FE6B8B" w:rsidRPr="00A035D0">
        <w:t xml:space="preserve"> </w:t>
      </w:r>
      <w:r w:rsidR="0087402A" w:rsidRPr="00A035D0">
        <w:t>violations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R.A.</w:t>
      </w:r>
      <w:r w:rsidR="00FE6B8B" w:rsidRPr="00A035D0">
        <w:t xml:space="preserve"> </w:t>
      </w:r>
      <w:r w:rsidR="0087402A" w:rsidRPr="00A035D0">
        <w:t>9851</w:t>
      </w:r>
      <w:r w:rsidR="00FE6B8B" w:rsidRPr="00A035D0">
        <w:t xml:space="preserve"> </w:t>
      </w:r>
      <w:r w:rsidR="0087402A" w:rsidRPr="00A035D0">
        <w:t>(</w:t>
      </w:r>
      <w:r w:rsidR="00FE6B8B" w:rsidRPr="00A035D0">
        <w:t>“</w:t>
      </w:r>
      <w:r w:rsidR="0087402A" w:rsidRPr="00A035D0">
        <w:t>Philippine</w:t>
      </w:r>
      <w:r w:rsidR="00FE6B8B" w:rsidRPr="00A035D0">
        <w:t xml:space="preserve"> </w:t>
      </w:r>
      <w:r w:rsidR="0087402A" w:rsidRPr="00A035D0">
        <w:t>Act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Crimes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International</w:t>
      </w:r>
      <w:r w:rsidR="00FE6B8B" w:rsidRPr="00A035D0">
        <w:t xml:space="preserve"> </w:t>
      </w:r>
      <w:r w:rsidR="0087402A" w:rsidRPr="00A035D0">
        <w:t>Humanitarian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Genocide,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Other</w:t>
      </w:r>
      <w:r w:rsidR="00FE6B8B" w:rsidRPr="00A035D0">
        <w:t xml:space="preserve"> </w:t>
      </w:r>
      <w:r w:rsidR="0087402A" w:rsidRPr="00A035D0">
        <w:t>Crimes</w:t>
      </w:r>
      <w:r w:rsidR="00FE6B8B" w:rsidRPr="00A035D0">
        <w:t xml:space="preserve"> </w:t>
      </w:r>
      <w:r w:rsidR="0087402A" w:rsidRPr="00A035D0">
        <w:t>Against</w:t>
      </w:r>
      <w:r w:rsidR="00FE6B8B" w:rsidRPr="00A035D0">
        <w:t xml:space="preserve"> </w:t>
      </w:r>
      <w:r w:rsidR="0087402A" w:rsidRPr="00A035D0">
        <w:t>Humanity</w:t>
      </w:r>
      <w:r w:rsidR="00FE6B8B" w:rsidRPr="00A035D0">
        <w:t>”</w:t>
      </w:r>
      <w:r w:rsidR="0087402A" w:rsidRPr="00A035D0">
        <w:t>).</w:t>
      </w:r>
      <w:r w:rsidR="00FE6B8B" w:rsidRPr="00A035D0">
        <w:t xml:space="preserve"> </w:t>
      </w:r>
      <w:r w:rsidR="0087402A" w:rsidRPr="00A035D0">
        <w:t>289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these</w:t>
      </w:r>
      <w:r w:rsidR="00FE6B8B" w:rsidRPr="00A035D0">
        <w:t xml:space="preserve"> </w:t>
      </w:r>
      <w:r w:rsidR="0087402A" w:rsidRPr="00A035D0">
        <w:t>incidents</w:t>
      </w:r>
      <w:r w:rsidR="00FE6B8B" w:rsidRPr="00A035D0">
        <w:t xml:space="preserve"> </w:t>
      </w:r>
      <w:r w:rsidR="0087402A" w:rsidRPr="00A035D0">
        <w:t>involve</w:t>
      </w:r>
      <w:r w:rsidR="00FE6B8B" w:rsidRPr="00A035D0">
        <w:t xml:space="preserve"> </w:t>
      </w:r>
      <w:r w:rsidR="0087402A" w:rsidRPr="00A035D0">
        <w:t>willful</w:t>
      </w:r>
      <w:r w:rsidR="00FE6B8B" w:rsidRPr="00A035D0">
        <w:t xml:space="preserve"> </w:t>
      </w:r>
      <w:r w:rsidR="0087402A" w:rsidRPr="00A035D0">
        <w:t>killing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civilians</w:t>
      </w:r>
      <w:r w:rsidR="00FE6B8B" w:rsidRPr="00A035D0">
        <w:t xml:space="preserve"> </w:t>
      </w:r>
      <w:r w:rsidR="0087402A" w:rsidRPr="00A035D0">
        <w:t>that</w:t>
      </w:r>
      <w:r w:rsidR="00FE6B8B" w:rsidRPr="00A035D0">
        <w:t xml:space="preserve"> </w:t>
      </w:r>
      <w:r w:rsidR="0087402A" w:rsidRPr="00A035D0">
        <w:t>allegedly</w:t>
      </w:r>
      <w:r w:rsidR="00FE6B8B" w:rsidRPr="00A035D0">
        <w:t xml:space="preserve"> </w:t>
      </w:r>
      <w:r w:rsidR="0087402A" w:rsidRPr="00A035D0">
        <w:t>include</w:t>
      </w:r>
      <w:r w:rsidR="00FE6B8B" w:rsidRPr="00A035D0">
        <w:t xml:space="preserve"> </w:t>
      </w:r>
      <w:r w:rsidR="0087402A" w:rsidRPr="00A035D0">
        <w:t>members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indigenous</w:t>
      </w:r>
      <w:r w:rsidR="00FE6B8B" w:rsidRPr="00A035D0">
        <w:t xml:space="preserve"> </w:t>
      </w:r>
      <w:r w:rsidR="0087402A" w:rsidRPr="00A035D0">
        <w:t>groups.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AO35</w:t>
      </w:r>
      <w:r w:rsidR="00FE6B8B" w:rsidRPr="00A035D0">
        <w:t xml:space="preserve"> </w:t>
      </w:r>
      <w:r w:rsidR="0087402A" w:rsidRPr="00A035D0">
        <w:t>Technical</w:t>
      </w:r>
      <w:r w:rsidR="00FE6B8B" w:rsidRPr="00A035D0">
        <w:t xml:space="preserve"> </w:t>
      </w:r>
      <w:r w:rsidR="0087402A" w:rsidRPr="00A035D0">
        <w:t>Working</w:t>
      </w:r>
      <w:r w:rsidR="00FE6B8B" w:rsidRPr="00A035D0">
        <w:t xml:space="preserve"> </w:t>
      </w:r>
      <w:r w:rsidR="0087402A" w:rsidRPr="00A035D0">
        <w:t>Group,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active</w:t>
      </w:r>
      <w:r w:rsidR="00FE6B8B" w:rsidRPr="00A035D0">
        <w:t xml:space="preserve"> </w:t>
      </w:r>
      <w:r w:rsidR="0087402A" w:rsidRPr="00A035D0">
        <w:t>participation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Commission</w:t>
      </w:r>
      <w:r w:rsidR="00FE6B8B" w:rsidRPr="00A035D0">
        <w:t xml:space="preserve"> </w:t>
      </w:r>
      <w:r w:rsidR="0087402A" w:rsidRPr="00A035D0">
        <w:t>on</w:t>
      </w:r>
      <w:r w:rsidR="00FE6B8B" w:rsidRPr="00A035D0">
        <w:t xml:space="preserve"> </w:t>
      </w:r>
      <w:r w:rsidR="0087402A" w:rsidRPr="00A035D0">
        <w:t>Human</w:t>
      </w:r>
      <w:r w:rsidR="00FE6B8B" w:rsidRPr="00A035D0">
        <w:t xml:space="preserve"> </w:t>
      </w:r>
      <w:r w:rsidR="0087402A" w:rsidRPr="00A035D0">
        <w:t>Rights,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presently</w:t>
      </w:r>
      <w:r w:rsidR="00FE6B8B" w:rsidRPr="00A035D0">
        <w:t xml:space="preserve"> </w:t>
      </w:r>
      <w:r w:rsidR="0087402A" w:rsidRPr="00A035D0">
        <w:t>reviewing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incidents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purpose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filing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appropriate</w:t>
      </w:r>
      <w:r w:rsidR="00FE6B8B" w:rsidRPr="00A035D0">
        <w:t xml:space="preserve"> </w:t>
      </w:r>
      <w:r w:rsidR="0087402A" w:rsidRPr="00A035D0">
        <w:t>charges</w:t>
      </w:r>
      <w:r w:rsidR="00FE6B8B" w:rsidRPr="00A035D0">
        <w:t xml:space="preserve"> </w:t>
      </w:r>
      <w:r w:rsidR="0087402A" w:rsidRPr="00A035D0">
        <w:t>if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evidence</w:t>
      </w:r>
      <w:r w:rsidR="00FE6B8B" w:rsidRPr="00A035D0">
        <w:t xml:space="preserve"> </w:t>
      </w:r>
      <w:r w:rsidR="0087402A" w:rsidRPr="00A035D0">
        <w:t>warrants.</w:t>
      </w:r>
    </w:p>
    <w:p w14:paraId="62A8C0F0" w14:textId="64C99F6C" w:rsidR="0087402A" w:rsidRPr="00A035D0" w:rsidRDefault="0087402A" w:rsidP="004D42E9">
      <w:pPr>
        <w:pStyle w:val="H4G"/>
      </w:pPr>
      <w:r w:rsidRPr="00A035D0">
        <w:tab/>
        <w:t>(d)</w:t>
      </w:r>
      <w:r w:rsidRPr="00A035D0">
        <w:tab/>
        <w:t>Legal</w:t>
      </w:r>
      <w:r w:rsidR="00FE6B8B" w:rsidRPr="00A035D0">
        <w:t xml:space="preserve"> </w:t>
      </w:r>
      <w:r w:rsidRPr="00A035D0">
        <w:t>and</w:t>
      </w:r>
      <w:r w:rsidR="00FE6B8B" w:rsidRPr="00A035D0">
        <w:t xml:space="preserve"> </w:t>
      </w:r>
      <w:r w:rsidRPr="00A035D0">
        <w:t>policy</w:t>
      </w:r>
      <w:r w:rsidR="00FE6B8B" w:rsidRPr="00A035D0">
        <w:t xml:space="preserve"> </w:t>
      </w:r>
      <w:r w:rsidRPr="00A035D0">
        <w:t>provisions</w:t>
      </w:r>
      <w:r w:rsidR="00FE6B8B" w:rsidRPr="00A035D0">
        <w:t xml:space="preserve"> </w:t>
      </w:r>
      <w:r w:rsidRPr="00A035D0">
        <w:t>to</w:t>
      </w:r>
      <w:r w:rsidR="00FE6B8B" w:rsidRPr="00A035D0">
        <w:t xml:space="preserve"> </w:t>
      </w:r>
      <w:r w:rsidRPr="00A035D0">
        <w:t>ensure</w:t>
      </w:r>
      <w:r w:rsidR="00FE6B8B" w:rsidRPr="00A035D0">
        <w:t xml:space="preserve"> </w:t>
      </w:r>
      <w:r w:rsidRPr="00A035D0">
        <w:t>the</w:t>
      </w:r>
      <w:r w:rsidR="00FE6B8B" w:rsidRPr="00A035D0">
        <w:t xml:space="preserve"> </w:t>
      </w:r>
      <w:r w:rsidRPr="00A035D0">
        <w:t>land</w:t>
      </w:r>
      <w:r w:rsidR="00FE6B8B" w:rsidRPr="00A035D0">
        <w:t xml:space="preserve"> </w:t>
      </w:r>
      <w:r w:rsidRPr="00A035D0">
        <w:t>rights</w:t>
      </w:r>
    </w:p>
    <w:p w14:paraId="7EFE9A77" w14:textId="2CE7F7E4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237.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NCIP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identifies,</w:t>
      </w:r>
      <w:r w:rsidR="00FE6B8B" w:rsidRPr="00A035D0">
        <w:t xml:space="preserve"> </w:t>
      </w:r>
      <w:r w:rsidR="0087402A" w:rsidRPr="00A035D0">
        <w:t>delineates,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recognizes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lands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domains.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assists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protecting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integrity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all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issuance,</w:t>
      </w:r>
      <w:r w:rsidR="00FE6B8B" w:rsidRPr="00A035D0">
        <w:t xml:space="preserve"> </w:t>
      </w:r>
      <w:r w:rsidR="0087402A" w:rsidRPr="00A035D0">
        <w:t>upon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FPIC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ICCs/IPs,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certification</w:t>
      </w:r>
      <w:r w:rsidR="00FE6B8B" w:rsidRPr="00A035D0">
        <w:t xml:space="preserve"> </w:t>
      </w:r>
      <w:r w:rsidR="0087402A" w:rsidRPr="00A035D0">
        <w:t>prior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grant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any</w:t>
      </w:r>
      <w:r w:rsidR="00FE6B8B" w:rsidRPr="00A035D0">
        <w:t xml:space="preserve"> </w:t>
      </w:r>
      <w:r w:rsidR="0087402A" w:rsidRPr="00A035D0">
        <w:t>license,</w:t>
      </w:r>
      <w:r w:rsidR="00FE6B8B" w:rsidRPr="00A035D0">
        <w:t xml:space="preserve"> </w:t>
      </w:r>
      <w:r w:rsidR="0087402A" w:rsidRPr="00A035D0">
        <w:t>lease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permit</w:t>
      </w:r>
      <w:r w:rsidR="00FE6B8B" w:rsidRPr="00A035D0">
        <w:t xml:space="preserve"> </w:t>
      </w:r>
      <w:r w:rsidR="0087402A" w:rsidRPr="00A035D0">
        <w:t>for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projects</w:t>
      </w:r>
      <w:r w:rsidR="00FE6B8B" w:rsidRPr="00A035D0">
        <w:t xml:space="preserve"> </w:t>
      </w:r>
      <w:r w:rsidR="0087402A" w:rsidRPr="00A035D0">
        <w:t>involving</w:t>
      </w:r>
      <w:r w:rsidR="00FE6B8B" w:rsidRPr="00A035D0">
        <w:t xml:space="preserve"> </w:t>
      </w:r>
      <w:r w:rsidR="0087402A" w:rsidRPr="00A035D0">
        <w:t>natural</w:t>
      </w:r>
      <w:r w:rsidR="00FE6B8B" w:rsidRPr="00A035D0">
        <w:t xml:space="preserve"> </w:t>
      </w:r>
      <w:r w:rsidR="0087402A" w:rsidRPr="00A035D0">
        <w:t>resources.</w:t>
      </w:r>
    </w:p>
    <w:p w14:paraId="5E581011" w14:textId="73C6CE5F" w:rsidR="00FE6B8B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238.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Under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IPRA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CADTs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formally</w:t>
      </w:r>
      <w:r w:rsidR="00FE6B8B" w:rsidRPr="00A035D0">
        <w:t xml:space="preserve"> </w:t>
      </w:r>
      <w:r w:rsidR="0087402A" w:rsidRPr="00A035D0">
        <w:t>recognize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possession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ownership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ICCs/IPs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as</w:t>
      </w:r>
      <w:r w:rsidR="00FE6B8B" w:rsidRPr="00A035D0">
        <w:t xml:space="preserve"> </w:t>
      </w:r>
      <w:r w:rsidR="0087402A" w:rsidRPr="00A035D0">
        <w:t>identified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delineated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accordance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law,</w:t>
      </w:r>
      <w:r w:rsidR="00FE6B8B" w:rsidRPr="00A035D0">
        <w:t xml:space="preserve"> </w:t>
      </w:r>
      <w:r w:rsidR="0087402A" w:rsidRPr="00A035D0">
        <w:t>while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Certificate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Land</w:t>
      </w:r>
      <w:r w:rsidR="00FE6B8B" w:rsidRPr="00A035D0">
        <w:t xml:space="preserve"> </w:t>
      </w:r>
      <w:r w:rsidR="0087402A" w:rsidRPr="00A035D0">
        <w:t>Titles</w:t>
      </w:r>
      <w:r w:rsidR="00FE6B8B" w:rsidRPr="00A035D0">
        <w:t xml:space="preserve"> </w:t>
      </w:r>
      <w:r w:rsidR="0087402A" w:rsidRPr="00A035D0">
        <w:t>(CALTs)</w:t>
      </w:r>
      <w:r w:rsidR="00FE6B8B" w:rsidRPr="00A035D0">
        <w:t xml:space="preserve"> </w:t>
      </w:r>
      <w:r w:rsidR="0087402A" w:rsidRPr="00A035D0">
        <w:t>formally</w:t>
      </w:r>
      <w:r w:rsidR="00FE6B8B" w:rsidRPr="00A035D0">
        <w:t xml:space="preserve"> </w:t>
      </w:r>
      <w:r w:rsidR="0087402A" w:rsidRPr="00A035D0">
        <w:t>recognize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lands.</w:t>
      </w:r>
    </w:p>
    <w:p w14:paraId="1AA7B499" w14:textId="15AEF3AC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239.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December</w:t>
      </w:r>
      <w:r w:rsidR="00FE6B8B" w:rsidRPr="00A035D0">
        <w:t xml:space="preserve"> </w:t>
      </w:r>
      <w:r w:rsidR="0087402A" w:rsidRPr="00A035D0">
        <w:t>2019,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>’</w:t>
      </w:r>
      <w:r w:rsidR="0087402A" w:rsidRPr="00A035D0">
        <w:t>s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</w:t>
      </w:r>
      <w:r w:rsidR="00FE6B8B" w:rsidRPr="00A035D0">
        <w:t xml:space="preserve"> </w:t>
      </w:r>
      <w:r w:rsidR="0087402A" w:rsidRPr="00A035D0">
        <w:t>Office</w:t>
      </w:r>
      <w:r w:rsidR="00FE6B8B" w:rsidRPr="00A035D0">
        <w:t xml:space="preserve"> </w:t>
      </w:r>
      <w:r w:rsidR="0087402A" w:rsidRPr="00A035D0">
        <w:t>has</w:t>
      </w:r>
      <w:r w:rsidR="00FE6B8B" w:rsidRPr="00A035D0">
        <w:t xml:space="preserve"> </w:t>
      </w:r>
      <w:r w:rsidR="0087402A" w:rsidRPr="00A035D0">
        <w:t>issued</w:t>
      </w:r>
      <w:r w:rsidR="00FE6B8B" w:rsidRPr="00A035D0">
        <w:t xml:space="preserve"> </w:t>
      </w:r>
      <w:r w:rsidR="0087402A" w:rsidRPr="00A035D0">
        <w:t>247</w:t>
      </w:r>
      <w:r w:rsidR="00FE6B8B" w:rsidRPr="00A035D0">
        <w:t xml:space="preserve"> </w:t>
      </w:r>
      <w:r w:rsidR="0087402A" w:rsidRPr="00A035D0">
        <w:t>CADTs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equivalent</w:t>
      </w:r>
      <w:r w:rsidR="00FE6B8B" w:rsidRPr="00A035D0">
        <w:t xml:space="preserve"> </w:t>
      </w:r>
      <w:r w:rsidR="0087402A" w:rsidRPr="00A035D0">
        <w:t>area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5.74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hectares</w:t>
      </w:r>
      <w:r w:rsidR="00FE6B8B" w:rsidRPr="00A035D0">
        <w:t xml:space="preserve"> </w:t>
      </w:r>
      <w:r w:rsidR="0087402A" w:rsidRPr="00A035D0">
        <w:t>(land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water)</w:t>
      </w:r>
      <w:r w:rsidR="00FE6B8B" w:rsidRPr="00A035D0">
        <w:t xml:space="preserve"> </w:t>
      </w:r>
      <w:r w:rsidR="0087402A" w:rsidRPr="00A035D0">
        <w:t>covering</w:t>
      </w:r>
      <w:r w:rsidR="00FE6B8B" w:rsidRPr="00A035D0">
        <w:t xml:space="preserve"> </w:t>
      </w:r>
      <w:r w:rsidR="0087402A" w:rsidRPr="00A035D0">
        <w:t>over</w:t>
      </w:r>
      <w:r w:rsidR="00FE6B8B" w:rsidRPr="00A035D0">
        <w:t xml:space="preserve"> </w:t>
      </w:r>
      <w:r w:rsidR="0087402A" w:rsidRPr="00A035D0">
        <w:t>1.3</w:t>
      </w:r>
      <w:r w:rsidR="00FE6B8B" w:rsidRPr="00A035D0">
        <w:t xml:space="preserve"> </w:t>
      </w:r>
      <w:r w:rsidR="0087402A" w:rsidRPr="00A035D0">
        <w:t>million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holders,</w:t>
      </w:r>
      <w:r w:rsidR="00FE6B8B" w:rsidRPr="00A035D0">
        <w:t xml:space="preserve"> </w:t>
      </w:r>
      <w:r w:rsidR="0087402A" w:rsidRPr="00A035D0">
        <w:t>and</w:t>
      </w:r>
      <w:r w:rsidR="00FE6B8B" w:rsidRPr="00A035D0">
        <w:t xml:space="preserve"> </w:t>
      </w:r>
      <w:r w:rsidR="0087402A" w:rsidRPr="00A035D0">
        <w:t>249</w:t>
      </w:r>
      <w:r w:rsidR="00FE6B8B" w:rsidRPr="00A035D0">
        <w:t xml:space="preserve"> </w:t>
      </w:r>
      <w:r w:rsidR="0087402A" w:rsidRPr="00A035D0">
        <w:t>CALTs</w:t>
      </w:r>
      <w:r w:rsidR="00FE6B8B" w:rsidRPr="00A035D0">
        <w:t xml:space="preserve"> </w:t>
      </w:r>
      <w:r w:rsidR="0087402A" w:rsidRPr="00A035D0">
        <w:t>equivalent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16,000</w:t>
      </w:r>
      <w:r w:rsidR="00FE6B8B" w:rsidRPr="00A035D0">
        <w:t xml:space="preserve"> </w:t>
      </w:r>
      <w:r w:rsidR="0087402A" w:rsidRPr="00A035D0">
        <w:t>hectares</w:t>
      </w:r>
      <w:r w:rsidR="00FE6B8B" w:rsidRPr="00A035D0">
        <w:t xml:space="preserve"> </w:t>
      </w:r>
      <w:r w:rsidR="0087402A" w:rsidRPr="00A035D0">
        <w:t>covering</w:t>
      </w:r>
      <w:r w:rsidR="00FE6B8B" w:rsidRPr="00A035D0">
        <w:t xml:space="preserve"> </w:t>
      </w:r>
      <w:r w:rsidR="0087402A" w:rsidRPr="00A035D0">
        <w:t>7,156</w:t>
      </w:r>
      <w:r w:rsidR="00FE6B8B" w:rsidRPr="00A035D0">
        <w:t xml:space="preserve"> </w:t>
      </w:r>
      <w:r w:rsidR="0087402A" w:rsidRPr="00A035D0">
        <w:t>IP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holders.</w:t>
      </w:r>
      <w:r w:rsidR="0087402A" w:rsidRPr="00A035D0">
        <w:rPr>
          <w:rStyle w:val="FootnoteReference"/>
        </w:rPr>
        <w:footnoteReference w:id="81"/>
      </w:r>
    </w:p>
    <w:p w14:paraId="2EC80249" w14:textId="4BF1C8BE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240.</w:t>
      </w:r>
      <w:r w:rsidRPr="00A035D0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mentioned</w:t>
      </w:r>
      <w:r w:rsidR="00FE6B8B" w:rsidRPr="00A035D0">
        <w:t xml:space="preserve"> </w:t>
      </w:r>
      <w:r w:rsidR="0087402A" w:rsidRPr="00A035D0">
        <w:t>earlier,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Government</w:t>
      </w:r>
      <w:r w:rsidR="00FE6B8B" w:rsidRPr="00A035D0">
        <w:t xml:space="preserve"> </w:t>
      </w:r>
      <w:r w:rsidR="0087402A" w:rsidRPr="00A035D0">
        <w:t>through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recognizes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ownership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their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Domains/Ancestral</w:t>
      </w:r>
      <w:r w:rsidR="00FE6B8B" w:rsidRPr="00A035D0">
        <w:t xml:space="preserve"> </w:t>
      </w:r>
      <w:r w:rsidR="0087402A" w:rsidRPr="00A035D0">
        <w:t>Lands</w:t>
      </w:r>
      <w:r w:rsidR="00FE6B8B" w:rsidRPr="00A035D0">
        <w:t xml:space="preserve"> </w:t>
      </w:r>
      <w:r w:rsidR="0087402A" w:rsidRPr="00A035D0">
        <w:t>(ADs/ALs)</w:t>
      </w:r>
      <w:r w:rsidR="00FE6B8B" w:rsidRPr="00A035D0">
        <w:t xml:space="preserve"> </w:t>
      </w:r>
      <w:r w:rsidR="0087402A" w:rsidRPr="00A035D0">
        <w:t>by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issuance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CADTs/CALTs</w:t>
      </w:r>
      <w:r w:rsidR="00FE6B8B" w:rsidRPr="00A035D0">
        <w:t xml:space="preserve"> </w:t>
      </w:r>
      <w:r w:rsidR="0087402A" w:rsidRPr="00A035D0">
        <w:t>to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exclusion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others.</w:t>
      </w:r>
    </w:p>
    <w:p w14:paraId="4A0C86E8" w14:textId="147E4A36" w:rsidR="0087402A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As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2020</w:t>
      </w:r>
      <w:r w:rsidR="00FE6B8B" w:rsidRPr="00A035D0">
        <w:t xml:space="preserve"> </w:t>
      </w:r>
      <w:r w:rsidR="0087402A" w:rsidRPr="00A035D0">
        <w:t>there</w:t>
      </w:r>
      <w:r w:rsidR="00FE6B8B" w:rsidRPr="00A035D0">
        <w:t xml:space="preserve"> </w:t>
      </w:r>
      <w:r w:rsidR="0087402A" w:rsidRPr="00A035D0">
        <w:t>are</w:t>
      </w:r>
      <w:r w:rsidR="00FE6B8B" w:rsidRPr="00A035D0">
        <w:t xml:space="preserve"> </w:t>
      </w:r>
      <w:r w:rsidR="0087402A" w:rsidRPr="00A035D0">
        <w:t>247</w:t>
      </w:r>
      <w:r w:rsidR="00FE6B8B" w:rsidRPr="00A035D0">
        <w:t xml:space="preserve"> </w:t>
      </w:r>
      <w:r w:rsidR="0087402A" w:rsidRPr="00A035D0">
        <w:t>approved</w:t>
      </w:r>
      <w:r w:rsidR="00FE6B8B" w:rsidRPr="00A035D0">
        <w:t xml:space="preserve"> </w:t>
      </w:r>
      <w:r w:rsidR="0087402A" w:rsidRPr="00A035D0">
        <w:t>CADTs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5,741,388.7468</w:t>
      </w:r>
      <w:r w:rsidR="00FE6B8B" w:rsidRPr="00A035D0">
        <w:t xml:space="preserve"> </w:t>
      </w:r>
      <w:r w:rsidR="0087402A" w:rsidRPr="00A035D0">
        <w:t>has.</w:t>
      </w:r>
      <w:r w:rsidR="00FE6B8B" w:rsidRPr="00A035D0">
        <w:t xml:space="preserve"> </w:t>
      </w:r>
      <w:r w:rsidR="0087402A" w:rsidRPr="00A035D0">
        <w:t>including</w:t>
      </w:r>
      <w:r w:rsidR="00FE6B8B" w:rsidRPr="00A035D0">
        <w:t xml:space="preserve"> </w:t>
      </w:r>
      <w:r w:rsidR="0087402A" w:rsidRPr="00A035D0">
        <w:t>ancestral</w:t>
      </w:r>
      <w:r w:rsidR="00FE6B8B" w:rsidRPr="00A035D0">
        <w:t xml:space="preserve"> </w:t>
      </w:r>
      <w:r w:rsidR="0087402A" w:rsidRPr="00A035D0">
        <w:t>waters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1,319,176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holder.</w:t>
      </w:r>
      <w:r w:rsidR="00FE6B8B" w:rsidRPr="00A035D0">
        <w:t xml:space="preserve"> </w:t>
      </w:r>
      <w:r w:rsidR="0087402A" w:rsidRPr="00A035D0">
        <w:t>240</w:t>
      </w:r>
      <w:r w:rsidR="00FE6B8B" w:rsidRPr="00A035D0">
        <w:t xml:space="preserve"> </w:t>
      </w:r>
      <w:r w:rsidR="0087402A" w:rsidRPr="00A035D0">
        <w:t>ADs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less</w:t>
      </w:r>
      <w:r w:rsidR="00FE6B8B" w:rsidRPr="00A035D0">
        <w:t xml:space="preserve"> </w:t>
      </w:r>
      <w:r w:rsidR="0087402A" w:rsidRPr="00A035D0">
        <w:t>on-process</w:t>
      </w:r>
      <w:r w:rsidR="00FE6B8B" w:rsidRPr="00A035D0">
        <w:t xml:space="preserve"> </w:t>
      </w:r>
      <w:r w:rsidR="0087402A" w:rsidRPr="00A035D0">
        <w:t>AD</w:t>
      </w:r>
      <w:r w:rsidR="00FE6B8B" w:rsidRPr="00A035D0">
        <w:t xml:space="preserve"> </w:t>
      </w:r>
      <w:r w:rsidR="0087402A" w:rsidRPr="00A035D0">
        <w:lastRenderedPageBreak/>
        <w:t>areas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4.622,829.51</w:t>
      </w:r>
      <w:r w:rsidR="00FE6B8B" w:rsidRPr="00A035D0">
        <w:t xml:space="preserve"> </w:t>
      </w:r>
      <w:r w:rsidR="0087402A" w:rsidRPr="00A035D0">
        <w:t>has.</w:t>
      </w:r>
      <w:r w:rsidR="00FE6B8B" w:rsidRPr="00A035D0">
        <w:t xml:space="preserve"> </w:t>
      </w:r>
      <w:r w:rsidR="0087402A" w:rsidRPr="00A035D0">
        <w:t>466</w:t>
      </w:r>
      <w:r w:rsidR="00FE6B8B" w:rsidRPr="00A035D0">
        <w:t xml:space="preserve"> </w:t>
      </w:r>
      <w:r w:rsidR="0087402A" w:rsidRPr="00A035D0">
        <w:t>ADs</w:t>
      </w:r>
      <w:r w:rsidR="00FE6B8B" w:rsidRPr="00A035D0">
        <w:t xml:space="preserve"> </w:t>
      </w:r>
      <w:r w:rsidR="0087402A" w:rsidRPr="00A035D0">
        <w:t>more</w:t>
      </w:r>
      <w:r w:rsidR="00FE6B8B" w:rsidRPr="00A035D0">
        <w:t xml:space="preserve"> </w:t>
      </w:r>
      <w:r w:rsidR="0087402A" w:rsidRPr="00A035D0">
        <w:t>or</w:t>
      </w:r>
      <w:r w:rsidR="00FE6B8B" w:rsidRPr="00A035D0">
        <w:t xml:space="preserve"> </w:t>
      </w:r>
      <w:r w:rsidR="0087402A" w:rsidRPr="00A035D0">
        <w:t>less</w:t>
      </w:r>
      <w:r w:rsidR="00FE6B8B" w:rsidRPr="00A035D0">
        <w:t xml:space="preserve"> </w:t>
      </w:r>
      <w:r w:rsidR="0087402A" w:rsidRPr="00A035D0">
        <w:t>identified</w:t>
      </w:r>
      <w:r w:rsidR="00FE6B8B" w:rsidRPr="00A035D0">
        <w:t xml:space="preserve"> </w:t>
      </w:r>
      <w:r w:rsidR="0087402A" w:rsidRPr="00A035D0">
        <w:t>AD</w:t>
      </w:r>
      <w:r w:rsidR="00FE6B8B" w:rsidRPr="00A035D0">
        <w:t xml:space="preserve"> </w:t>
      </w:r>
      <w:r w:rsidR="0087402A" w:rsidRPr="00A035D0">
        <w:t>areas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4,095,361.17.</w:t>
      </w:r>
    </w:p>
    <w:p w14:paraId="40D4DC95" w14:textId="0C7F8E2F" w:rsidR="00FE6B8B" w:rsidRPr="00A035D0" w:rsidRDefault="0099511E" w:rsidP="0099511E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035D0">
        <w:t>•</w:t>
      </w:r>
      <w:r w:rsidRPr="00A035D0">
        <w:tab/>
      </w:r>
      <w:r w:rsidR="0087402A" w:rsidRPr="00A035D0">
        <w:t>For</w:t>
      </w:r>
      <w:r w:rsidR="00FE6B8B" w:rsidRPr="00A035D0">
        <w:t xml:space="preserve"> </w:t>
      </w:r>
      <w:r w:rsidR="0087402A" w:rsidRPr="00A035D0">
        <w:t>FY</w:t>
      </w:r>
      <w:r w:rsidR="00FE6B8B" w:rsidRPr="00A035D0">
        <w:t xml:space="preserve"> </w:t>
      </w:r>
      <w:r w:rsidR="0087402A" w:rsidRPr="00A035D0">
        <w:t>2019</w:t>
      </w:r>
      <w:r w:rsidR="00FE6B8B" w:rsidRPr="00A035D0">
        <w:t xml:space="preserve"> </w:t>
      </w:r>
      <w:r w:rsidR="0087402A" w:rsidRPr="00A035D0">
        <w:t>the</w:t>
      </w:r>
      <w:r w:rsidR="00FE6B8B" w:rsidRPr="00A035D0">
        <w:t xml:space="preserve"> </w:t>
      </w:r>
      <w:r w:rsidR="0087402A" w:rsidRPr="00A035D0">
        <w:t>NCIP</w:t>
      </w:r>
      <w:r w:rsidR="00FE6B8B" w:rsidRPr="00A035D0">
        <w:t xml:space="preserve"> </w:t>
      </w:r>
      <w:r w:rsidR="0087402A" w:rsidRPr="00A035D0">
        <w:t>Commission-En-Banc</w:t>
      </w:r>
      <w:r w:rsidR="00FE6B8B" w:rsidRPr="00A035D0">
        <w:t xml:space="preserve"> </w:t>
      </w:r>
      <w:r w:rsidR="0087402A" w:rsidRPr="00A035D0">
        <w:t>approved</w:t>
      </w:r>
      <w:r w:rsidR="00FE6B8B" w:rsidRPr="00A035D0">
        <w:t xml:space="preserve"> </w:t>
      </w:r>
      <w:r w:rsidR="0087402A" w:rsidRPr="00A035D0">
        <w:t>9</w:t>
      </w:r>
      <w:r w:rsidR="00FE6B8B" w:rsidRPr="00A035D0">
        <w:t xml:space="preserve"> </w:t>
      </w:r>
      <w:r w:rsidR="0087402A" w:rsidRPr="00A035D0">
        <w:t>CADTs</w:t>
      </w:r>
      <w:r w:rsidR="00FE6B8B" w:rsidRPr="00A035D0">
        <w:t xml:space="preserve"> </w:t>
      </w:r>
      <w:r w:rsidR="0087402A" w:rsidRPr="00A035D0">
        <w:t>containing</w:t>
      </w:r>
      <w:r w:rsidR="00FE6B8B" w:rsidRPr="00A035D0">
        <w:t xml:space="preserve"> </w:t>
      </w:r>
      <w:r w:rsidR="0087402A" w:rsidRPr="00A035D0">
        <w:t>an</w:t>
      </w:r>
      <w:r w:rsidR="00FE6B8B" w:rsidRPr="00A035D0">
        <w:t xml:space="preserve"> </w:t>
      </w:r>
      <w:r w:rsidR="0087402A" w:rsidRPr="00A035D0">
        <w:t>area</w:t>
      </w:r>
      <w:r w:rsidR="00FE6B8B" w:rsidRPr="00A035D0">
        <w:t xml:space="preserve"> </w:t>
      </w:r>
      <w:r w:rsidR="0087402A" w:rsidRPr="00A035D0">
        <w:t>of</w:t>
      </w:r>
      <w:r w:rsidR="00FE6B8B" w:rsidRPr="00A035D0">
        <w:t xml:space="preserve"> </w:t>
      </w:r>
      <w:r w:rsidR="0087402A" w:rsidRPr="00A035D0">
        <w:t>174,649.9509</w:t>
      </w:r>
      <w:r w:rsidR="00FE6B8B" w:rsidRPr="00A035D0">
        <w:t xml:space="preserve"> </w:t>
      </w:r>
      <w:r w:rsidR="0087402A" w:rsidRPr="00A035D0">
        <w:t>has.</w:t>
      </w:r>
      <w:r w:rsidR="00FE6B8B" w:rsidRPr="00A035D0">
        <w:t xml:space="preserve"> </w:t>
      </w:r>
      <w:r w:rsidR="0087402A" w:rsidRPr="00A035D0">
        <w:t>with</w:t>
      </w:r>
      <w:r w:rsidR="00FE6B8B" w:rsidRPr="00A035D0">
        <w:t xml:space="preserve"> </w:t>
      </w:r>
      <w:r w:rsidR="0087402A" w:rsidRPr="00A035D0">
        <w:t>42,130</w:t>
      </w:r>
      <w:r w:rsidR="00FE6B8B" w:rsidRPr="00A035D0">
        <w:t xml:space="preserve"> </w:t>
      </w:r>
      <w:r w:rsidR="0087402A" w:rsidRPr="00A035D0">
        <w:t>individual</w:t>
      </w:r>
      <w:r w:rsidR="00FE6B8B" w:rsidRPr="00A035D0">
        <w:t xml:space="preserve"> </w:t>
      </w:r>
      <w:r w:rsidR="0087402A" w:rsidRPr="00A035D0">
        <w:t>rights</w:t>
      </w:r>
      <w:r w:rsidR="00FE6B8B" w:rsidRPr="00A035D0">
        <w:t xml:space="preserve"> </w:t>
      </w:r>
      <w:r w:rsidR="0087402A" w:rsidRPr="00A035D0">
        <w:t>holders.</w:t>
      </w:r>
    </w:p>
    <w:p w14:paraId="695E7563" w14:textId="522C6730" w:rsidR="0087402A" w:rsidRPr="00A035D0" w:rsidRDefault="0099511E" w:rsidP="0099511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Style w:val="FootnoteReference"/>
        </w:rPr>
      </w:pP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241.</w:t>
      </w:r>
      <w:r w:rsidRPr="00A035D0">
        <w:rPr>
          <w:rStyle w:val="FootnoteReference"/>
          <w:vertAlign w:val="baseline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87402A" w:rsidRPr="00A035D0">
        <w:t>Legal</w:t>
      </w:r>
      <w:r w:rsidR="00FE6B8B" w:rsidRPr="00A035D0">
        <w:t xml:space="preserve"> </w:t>
      </w:r>
      <w:r w:rsidR="0087402A" w:rsidRPr="00A035D0">
        <w:t>assistance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also</w:t>
      </w:r>
      <w:r w:rsidR="00FE6B8B" w:rsidRPr="00A035D0">
        <w:t xml:space="preserve"> </w:t>
      </w:r>
      <w:r w:rsidR="0087402A" w:rsidRPr="00A035D0">
        <w:t>extended</w:t>
      </w:r>
      <w:r w:rsidR="00FE6B8B" w:rsidRPr="00A035D0">
        <w:t xml:space="preserve"> </w:t>
      </w:r>
      <w:r w:rsidR="0087402A" w:rsidRPr="00A035D0">
        <w:t>in</w:t>
      </w:r>
      <w:r w:rsidR="00FE6B8B" w:rsidRPr="00A035D0">
        <w:t xml:space="preserve"> </w:t>
      </w:r>
      <w:r w:rsidR="0087402A" w:rsidRPr="00A035D0">
        <w:t>instances</w:t>
      </w:r>
      <w:r w:rsidR="00FE6B8B" w:rsidRPr="00A035D0">
        <w:t xml:space="preserve"> </w:t>
      </w:r>
      <w:r w:rsidR="0087402A" w:rsidRPr="00A035D0">
        <w:t>where</w:t>
      </w:r>
      <w:r w:rsidR="00FE6B8B" w:rsidRPr="00A035D0">
        <w:t xml:space="preserve"> </w:t>
      </w:r>
      <w:r w:rsidR="0087402A" w:rsidRPr="00A035D0">
        <w:t>it</w:t>
      </w:r>
      <w:r w:rsidR="00FE6B8B" w:rsidRPr="00A035D0">
        <w:t xml:space="preserve"> </w:t>
      </w:r>
      <w:r w:rsidR="0087402A" w:rsidRPr="00A035D0">
        <w:t>is</w:t>
      </w:r>
      <w:r w:rsidR="00FE6B8B" w:rsidRPr="00A035D0">
        <w:t xml:space="preserve"> </w:t>
      </w:r>
      <w:r w:rsidR="0087402A" w:rsidRPr="00A035D0">
        <w:t>needed.</w:t>
      </w:r>
      <w:r w:rsidR="0087402A" w:rsidRPr="00A035D0">
        <w:rPr>
          <w:rStyle w:val="FootnoteReference"/>
        </w:rPr>
        <w:footnoteReference w:id="82"/>
      </w:r>
    </w:p>
    <w:p w14:paraId="3F9E3089" w14:textId="2D24D4B7" w:rsidR="004D42E9" w:rsidRPr="006D0054" w:rsidRDefault="005021E7" w:rsidP="005021E7">
      <w:pPr>
        <w:spacing w:before="240"/>
        <w:jc w:val="center"/>
        <w:rPr>
          <w:u w:val="single"/>
          <w:lang w:val="en-US"/>
        </w:rPr>
      </w:pPr>
      <w:r w:rsidRPr="006D0054">
        <w:rPr>
          <w:u w:val="single"/>
          <w:lang w:val="en-US"/>
        </w:rPr>
        <w:tab/>
      </w:r>
      <w:r w:rsidRPr="006D0054">
        <w:rPr>
          <w:u w:val="single"/>
          <w:lang w:val="en-US"/>
        </w:rPr>
        <w:tab/>
      </w:r>
      <w:r w:rsidRPr="006D0054">
        <w:rPr>
          <w:u w:val="single"/>
          <w:lang w:val="en-US"/>
        </w:rPr>
        <w:tab/>
      </w:r>
    </w:p>
    <w:sectPr w:rsidR="004D42E9" w:rsidRPr="006D0054" w:rsidSect="00472F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3B20" w14:textId="77777777" w:rsidR="00A47EAE" w:rsidRPr="00B903E5" w:rsidRDefault="00A47EAE" w:rsidP="00B903E5">
      <w:pPr>
        <w:pStyle w:val="Footer"/>
      </w:pPr>
    </w:p>
  </w:endnote>
  <w:endnote w:type="continuationSeparator" w:id="0">
    <w:p w14:paraId="06E5A877" w14:textId="77777777" w:rsidR="00A47EAE" w:rsidRPr="00B903E5" w:rsidRDefault="00A47EA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C83" w14:textId="01859A20" w:rsidR="00BF1AE5" w:rsidRDefault="00BF1AE5" w:rsidP="00BF1AE5">
    <w:pPr>
      <w:pStyle w:val="Footer"/>
      <w:tabs>
        <w:tab w:val="right" w:pos="9638"/>
      </w:tabs>
    </w:pPr>
    <w:r w:rsidRPr="00BF1AE5">
      <w:rPr>
        <w:b/>
        <w:bCs/>
        <w:sz w:val="18"/>
      </w:rPr>
      <w:fldChar w:fldCharType="begin"/>
    </w:r>
    <w:r w:rsidRPr="00BF1AE5">
      <w:rPr>
        <w:b/>
        <w:bCs/>
        <w:sz w:val="18"/>
      </w:rPr>
      <w:instrText xml:space="preserve"> PAGE  \* MERGEFORMAT </w:instrText>
    </w:r>
    <w:r w:rsidRPr="00BF1AE5">
      <w:rPr>
        <w:b/>
        <w:bCs/>
        <w:sz w:val="18"/>
      </w:rPr>
      <w:fldChar w:fldCharType="separate"/>
    </w:r>
    <w:r w:rsidR="008D4253">
      <w:rPr>
        <w:b/>
        <w:bCs/>
        <w:noProof/>
        <w:sz w:val="18"/>
      </w:rPr>
      <w:t>36</w:t>
    </w:r>
    <w:r w:rsidRPr="00BF1AE5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68E5" w14:textId="41D29BA8" w:rsidR="00BF1AE5" w:rsidRDefault="00BF1AE5" w:rsidP="00BF1AE5">
    <w:pPr>
      <w:pStyle w:val="Footer"/>
      <w:tabs>
        <w:tab w:val="right" w:pos="9638"/>
      </w:tabs>
    </w:pPr>
    <w:r>
      <w:tab/>
    </w:r>
    <w:r w:rsidRPr="00BF1AE5">
      <w:rPr>
        <w:b/>
        <w:bCs/>
        <w:sz w:val="18"/>
      </w:rPr>
      <w:fldChar w:fldCharType="begin"/>
    </w:r>
    <w:r w:rsidRPr="00BF1AE5">
      <w:rPr>
        <w:b/>
        <w:bCs/>
        <w:sz w:val="18"/>
      </w:rPr>
      <w:instrText xml:space="preserve"> PAGE  \* MERGEFORMAT </w:instrText>
    </w:r>
    <w:r w:rsidRPr="00BF1AE5">
      <w:rPr>
        <w:b/>
        <w:bCs/>
        <w:sz w:val="18"/>
      </w:rPr>
      <w:fldChar w:fldCharType="separate"/>
    </w:r>
    <w:r w:rsidR="008D4253">
      <w:rPr>
        <w:b/>
        <w:bCs/>
        <w:noProof/>
        <w:sz w:val="18"/>
      </w:rPr>
      <w:t>37</w:t>
    </w:r>
    <w:r w:rsidRPr="00BF1AE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74EC" w14:textId="1E40F24C" w:rsidR="0099511E" w:rsidRDefault="0099511E" w:rsidP="0099511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2DF036A" wp14:editId="0092E3F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C067B" w14:textId="0B8358D1" w:rsidR="0099511E" w:rsidRPr="0099511E" w:rsidRDefault="0099511E" w:rsidP="0099511E">
    <w:pPr>
      <w:pStyle w:val="Footer"/>
      <w:ind w:right="1134"/>
      <w:rPr>
        <w:sz w:val="20"/>
      </w:rPr>
    </w:pPr>
    <w:r>
      <w:rPr>
        <w:sz w:val="20"/>
      </w:rPr>
      <w:t>GE.22-04045(E)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F4FC1D" wp14:editId="692490B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5B38" w14:textId="77777777" w:rsidR="00A47EAE" w:rsidRPr="00B903E5" w:rsidRDefault="00A47EA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F7EFAFF" w14:textId="77777777" w:rsidR="00A47EAE" w:rsidRPr="00B903E5" w:rsidRDefault="00A47EA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9BE3D32" w14:textId="79E194B2" w:rsidR="00BF16DB" w:rsidRPr="006D0054" w:rsidRDefault="00BF16DB" w:rsidP="00602998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BF16D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The present document is being issued without formal editing</w:t>
      </w:r>
      <w:r>
        <w:rPr>
          <w:szCs w:val="18"/>
        </w:rPr>
        <w:t>.</w:t>
      </w:r>
    </w:p>
  </w:footnote>
  <w:footnote w:id="2">
    <w:p w14:paraId="0C42F100" w14:textId="4C572E61" w:rsidR="0087402A" w:rsidRPr="00FE6B8B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r w:rsidRPr="00FE6B8B">
        <w:t xml:space="preserve">4th UNCAT State Report, item </w:t>
      </w:r>
      <w:r w:rsidR="00A035D0">
        <w:t>No.</w:t>
      </w:r>
      <w:r w:rsidRPr="00FE6B8B">
        <w:t xml:space="preserve"> 10 (b) of page 13/ 71</w:t>
      </w:r>
      <w:r w:rsidR="00FE6B8B" w:rsidRPr="00FE6B8B">
        <w:t>.</w:t>
      </w:r>
    </w:p>
  </w:footnote>
  <w:footnote w:id="3">
    <w:p w14:paraId="7F243A7A" w14:textId="087550EC" w:rsidR="0087402A" w:rsidRDefault="0087402A" w:rsidP="00602998">
      <w:pPr>
        <w:pStyle w:val="FootnoteText"/>
      </w:pPr>
      <w:r w:rsidRPr="00FE6B8B">
        <w:tab/>
      </w:r>
      <w:r w:rsidRPr="00A035D0">
        <w:rPr>
          <w:rStyle w:val="FootnoteReference"/>
        </w:rPr>
        <w:footnoteRef/>
      </w:r>
      <w:r w:rsidRPr="00FE6B8B">
        <w:t xml:space="preserve"> </w:t>
      </w:r>
      <w:r w:rsidRPr="00FE6B8B">
        <w:tab/>
        <w:t>4th</w:t>
      </w:r>
      <w:r>
        <w:t xml:space="preserve"> UNCAT State Report, Item </w:t>
      </w:r>
      <w:r w:rsidR="00A035D0">
        <w:t>No.</w:t>
      </w:r>
      <w:r>
        <w:t xml:space="preserve"> 10 (a) page 13/ 71 and EU GEP+ Scorecard 2020, item </w:t>
      </w:r>
      <w:r w:rsidR="00A035D0">
        <w:t>No.</w:t>
      </w:r>
      <w:r>
        <w:t xml:space="preserve"> 3 (g) page 56/ 149</w:t>
      </w:r>
      <w:r w:rsidR="00FE6B8B">
        <w:t>.</w:t>
      </w:r>
    </w:p>
  </w:footnote>
  <w:footnote w:id="4">
    <w:p w14:paraId="2BE46457" w14:textId="3744FD85" w:rsidR="0087402A" w:rsidRPr="00FF64B0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https://op-proper.gov.ph/presidential-action-center/</w:t>
      </w:r>
      <w:r w:rsidR="00FE6B8B">
        <w:t>.</w:t>
      </w:r>
    </w:p>
  </w:footnote>
  <w:footnote w:id="5">
    <w:p w14:paraId="73EA278F" w14:textId="6CBE9F2C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file:///C:/Users/User/Desktop/2019%20Ombudsman%20Annual%20Report.pdf</w:t>
      </w:r>
      <w:r w:rsidR="00FE6B8B">
        <w:t>.</w:t>
      </w:r>
    </w:p>
  </w:footnote>
  <w:footnote w:id="6">
    <w:p w14:paraId="78FC7D80" w14:textId="02510D04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https://hrvvmemcom.gov.ph/hrvvmc_post/human-rights-victims-claims-board-hrvcb/</w:t>
      </w:r>
      <w:r w:rsidR="00A035D0">
        <w:t>.</w:t>
      </w:r>
    </w:p>
  </w:footnote>
  <w:footnote w:id="7">
    <w:p w14:paraId="09678EB7" w14:textId="7A6D10F1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r>
        <w:tab/>
        <w:t>Article IX, Section 1 of RA 11054</w:t>
      </w:r>
      <w:r w:rsidR="00A035D0">
        <w:t>.</w:t>
      </w:r>
    </w:p>
  </w:footnote>
  <w:footnote w:id="8">
    <w:p w14:paraId="64DAB5A8" w14:textId="6681FC81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 w:rsidRPr="00A035D0">
        <w:tab/>
      </w:r>
      <w:hyperlink r:id="rId1" w:history="1">
        <w:r w:rsidRPr="00A035D0">
          <w:rPr>
            <w:rStyle w:val="Hyperlink"/>
          </w:rPr>
          <w:t>https://www.congress.gov.ph/members/search.php?id=roman-g</w:t>
        </w:r>
      </w:hyperlink>
      <w:r w:rsidR="00A035D0" w:rsidRPr="00A035D0">
        <w:t>.</w:t>
      </w:r>
    </w:p>
  </w:footnote>
  <w:footnote w:id="9">
    <w:p w14:paraId="3577CA32" w14:textId="11BC997B" w:rsidR="0087402A" w:rsidRPr="00E3632E" w:rsidRDefault="0087402A" w:rsidP="00602998">
      <w:pPr>
        <w:pStyle w:val="FootnoteText"/>
        <w:rPr>
          <w:lang w:val="pt-PT"/>
        </w:rPr>
      </w:pPr>
      <w: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>EU GEP+ Scorecard 2020, Item 4 (a) page 65/ 149</w:t>
      </w:r>
      <w:r w:rsidR="00A035D0">
        <w:rPr>
          <w:lang w:val="pt-PT"/>
        </w:rPr>
        <w:t>.</w:t>
      </w:r>
    </w:p>
  </w:footnote>
  <w:footnote w:id="10">
    <w:p w14:paraId="729B7EED" w14:textId="1B11C281" w:rsidR="00A035D0" w:rsidRPr="00E3632E" w:rsidRDefault="0087402A" w:rsidP="00A035D0">
      <w:pPr>
        <w:pStyle w:val="FootnoteText"/>
        <w:rPr>
          <w:lang w:val="pt-PT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>EU GEP+ Scorecard 2020, Item 5 (e) page 79</w:t>
      </w:r>
      <w:r w:rsidR="00A035D0">
        <w:rPr>
          <w:lang w:val="pt-PT"/>
        </w:rPr>
        <w:t>–</w:t>
      </w:r>
      <w:r w:rsidRPr="00E3632E">
        <w:rPr>
          <w:lang w:val="pt-PT"/>
        </w:rPr>
        <w:t>84/ 149</w:t>
      </w:r>
      <w:r w:rsidR="00A035D0">
        <w:rPr>
          <w:lang w:val="pt-PT"/>
        </w:rPr>
        <w:t>.</w:t>
      </w:r>
    </w:p>
  </w:footnote>
  <w:footnote w:id="11">
    <w:p w14:paraId="1457F094" w14:textId="0D1D733A" w:rsidR="0087402A" w:rsidRDefault="0087402A" w:rsidP="00602998">
      <w:pPr>
        <w:pStyle w:val="FootnoteText"/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11 (b</w:t>
      </w:r>
      <w:r w:rsidR="00A035D0">
        <w:t>–</w:t>
      </w:r>
      <w:r>
        <w:t>c)</w:t>
      </w:r>
      <w:r w:rsidR="00A035D0">
        <w:t>.</w:t>
      </w:r>
    </w:p>
  </w:footnote>
  <w:footnote w:id="12">
    <w:p w14:paraId="0CB5113F" w14:textId="7438BD60" w:rsidR="0087402A" w:rsidRPr="00E3632E" w:rsidRDefault="0087402A" w:rsidP="00602998">
      <w:pPr>
        <w:pStyle w:val="FootnoteText"/>
        <w:rPr>
          <w:lang w:val="pt-PT"/>
        </w:rPr>
      </w:pPr>
      <w: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 xml:space="preserve">EU GEP+ Scorecard 2020, Item 4 (a) page 64/ 149, item </w:t>
      </w:r>
      <w:r w:rsidR="00A035D0">
        <w:rPr>
          <w:lang w:val="pt-PT"/>
        </w:rPr>
        <w:t>No.</w:t>
      </w:r>
      <w:r w:rsidRPr="00E3632E">
        <w:rPr>
          <w:lang w:val="pt-PT"/>
        </w:rPr>
        <w:t xml:space="preserve"> 4 (o)</w:t>
      </w:r>
      <w:r w:rsidR="00A035D0">
        <w:rPr>
          <w:lang w:val="pt-PT"/>
        </w:rPr>
        <w:t>.</w:t>
      </w:r>
    </w:p>
  </w:footnote>
  <w:footnote w:id="13">
    <w:p w14:paraId="19634933" w14:textId="2AB6396E" w:rsidR="0087402A" w:rsidRDefault="0087402A" w:rsidP="00602998">
      <w:pPr>
        <w:pStyle w:val="FootnoteText"/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6</w:t>
      </w:r>
      <w:r w:rsidR="00A035D0">
        <w:t>.</w:t>
      </w:r>
    </w:p>
  </w:footnote>
  <w:footnote w:id="14">
    <w:p w14:paraId="10FBDC8F" w14:textId="0B30B27B" w:rsidR="0087402A" w:rsidRPr="00A035D0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r w:rsidRPr="00A035D0">
        <w:t>https://pdea.gov.ph/2-uncategorised/279-realnumbersph</w:t>
      </w:r>
      <w:r w:rsidR="00A035D0" w:rsidRPr="00A035D0">
        <w:t>.</w:t>
      </w:r>
    </w:p>
  </w:footnote>
  <w:footnote w:id="15">
    <w:p w14:paraId="294901D0" w14:textId="649F6E6A" w:rsidR="0087402A" w:rsidRDefault="0087402A" w:rsidP="00602998">
      <w:pPr>
        <w:pStyle w:val="FootnoteText"/>
        <w:rPr>
          <w:sz w:val="20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6 (c)</w:t>
      </w:r>
      <w:r w:rsidR="006D7DE0">
        <w:t>.</w:t>
      </w:r>
    </w:p>
  </w:footnote>
  <w:footnote w:id="16">
    <w:p w14:paraId="70D75450" w14:textId="027393E0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7</w:t>
      </w:r>
      <w:r w:rsidR="006D7DE0">
        <w:t>.</w:t>
      </w:r>
    </w:p>
  </w:footnote>
  <w:footnote w:id="17">
    <w:p w14:paraId="0FCA7368" w14:textId="461D3E96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6 (a)</w:t>
      </w:r>
      <w:r w:rsidR="006D7DE0">
        <w:t>.</w:t>
      </w:r>
    </w:p>
  </w:footnote>
  <w:footnote w:id="18">
    <w:p w14:paraId="64BA1773" w14:textId="1A3CCAE6" w:rsidR="0087402A" w:rsidRDefault="0087402A" w:rsidP="00602998">
      <w:pPr>
        <w:pStyle w:val="FootnoteText"/>
        <w:rPr>
          <w:sz w:val="20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7</w:t>
      </w:r>
      <w:r w:rsidR="006D7DE0">
        <w:t>.</w:t>
      </w:r>
    </w:p>
  </w:footnote>
  <w:footnote w:id="19">
    <w:p w14:paraId="5222793B" w14:textId="01672C03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Climate Change Commission: 2019 Accomplishment Report.</w:t>
      </w:r>
      <w:r w:rsidR="00A035D0">
        <w:t xml:space="preserve"> </w:t>
      </w:r>
      <w:r>
        <w:t>https://climate.gov.ph/public/ckfinder/userfiles/files/Knowledge/AR/2019%20Accomplishment%20Report.pdf</w:t>
      </w:r>
      <w:r w:rsidR="00A035D0">
        <w:t>.</w:t>
      </w:r>
    </w:p>
  </w:footnote>
  <w:footnote w:id="20">
    <w:p w14:paraId="0F91C033" w14:textId="2FCD96C8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19 (a)</w:t>
      </w:r>
      <w:r w:rsidR="00A035D0">
        <w:t>.</w:t>
      </w:r>
    </w:p>
  </w:footnote>
  <w:footnote w:id="21">
    <w:p w14:paraId="6587305A" w14:textId="0DA43997" w:rsidR="0087402A" w:rsidRDefault="0087402A" w:rsidP="00602998">
      <w:pPr>
        <w:pStyle w:val="FootnoteText"/>
        <w:rPr>
          <w:sz w:val="20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28</w:t>
      </w:r>
      <w:r w:rsidR="00A035D0">
        <w:t>.</w:t>
      </w:r>
    </w:p>
  </w:footnote>
  <w:footnote w:id="22">
    <w:p w14:paraId="0E56E602" w14:textId="29CA5B6D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19</w:t>
      </w:r>
      <w:r w:rsidR="00A035D0">
        <w:t>.</w:t>
      </w:r>
    </w:p>
  </w:footnote>
  <w:footnote w:id="23">
    <w:p w14:paraId="36C29120" w14:textId="53221AB2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24</w:t>
      </w:r>
      <w:r w:rsidR="00A035D0">
        <w:t>.</w:t>
      </w:r>
    </w:p>
  </w:footnote>
  <w:footnote w:id="24">
    <w:p w14:paraId="61464D84" w14:textId="5E66FE0C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EU GEP+ Scorecard 2020, Item 6 (a) page 105</w:t>
      </w:r>
      <w:r w:rsidR="00A035D0">
        <w:t>–</w:t>
      </w:r>
      <w:r>
        <w:t>106/ 149</w:t>
      </w:r>
      <w:r w:rsidR="00A035D0">
        <w:t>.</w:t>
      </w:r>
    </w:p>
  </w:footnote>
  <w:footnote w:id="25">
    <w:p w14:paraId="6118B970" w14:textId="302CF4F7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The Philippine Human Rights Situationer 2020</w:t>
      </w:r>
      <w:r w:rsidR="00A035D0">
        <w:t>.</w:t>
      </w:r>
    </w:p>
  </w:footnote>
  <w:footnote w:id="26">
    <w:p w14:paraId="0C8EDA87" w14:textId="47BE8311" w:rsidR="0087402A" w:rsidRPr="00E3632E" w:rsidRDefault="0087402A" w:rsidP="00602998">
      <w:pPr>
        <w:pStyle w:val="FootnoteText"/>
        <w:rPr>
          <w:lang w:val="pt-PT"/>
        </w:rPr>
      </w:pPr>
      <w: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</w:r>
      <w:r w:rsidRPr="00E3632E">
        <w:rPr>
          <w:lang w:val="pt-PT"/>
        </w:rPr>
        <w:tab/>
        <w:t>Supra</w:t>
      </w:r>
      <w:r w:rsidR="00A035D0">
        <w:rPr>
          <w:lang w:val="pt-PT"/>
        </w:rPr>
        <w:t>.</w:t>
      </w:r>
    </w:p>
  </w:footnote>
  <w:footnote w:id="27">
    <w:p w14:paraId="5F62228A" w14:textId="72B70D1F" w:rsidR="0087402A" w:rsidRPr="00E3632E" w:rsidRDefault="0087402A" w:rsidP="00602998">
      <w:pPr>
        <w:pStyle w:val="FootnoteText"/>
        <w:rPr>
          <w:lang w:val="pt-PT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>Supra</w:t>
      </w:r>
      <w:r w:rsidR="00A035D0">
        <w:rPr>
          <w:lang w:val="pt-PT"/>
        </w:rPr>
        <w:t>.</w:t>
      </w:r>
    </w:p>
  </w:footnote>
  <w:footnote w:id="28">
    <w:p w14:paraId="52D3FC7F" w14:textId="776C1794" w:rsidR="0087402A" w:rsidRPr="00E3632E" w:rsidRDefault="0087402A" w:rsidP="00602998">
      <w:pPr>
        <w:pStyle w:val="FootnoteText"/>
        <w:rPr>
          <w:lang w:val="pt-PT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>Supra</w:t>
      </w:r>
      <w:r w:rsidR="00A035D0">
        <w:rPr>
          <w:lang w:val="pt-PT"/>
        </w:rPr>
        <w:t>.</w:t>
      </w:r>
    </w:p>
  </w:footnote>
  <w:footnote w:id="29">
    <w:p w14:paraId="298A7159" w14:textId="08D18839" w:rsidR="0087402A" w:rsidRPr="00E3632E" w:rsidRDefault="0087402A" w:rsidP="00602998">
      <w:pPr>
        <w:pStyle w:val="FootnoteText"/>
        <w:rPr>
          <w:lang w:val="pt-PT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>Supra</w:t>
      </w:r>
      <w:r w:rsidR="00A035D0">
        <w:rPr>
          <w:lang w:val="pt-PT"/>
        </w:rPr>
        <w:t>.</w:t>
      </w:r>
    </w:p>
  </w:footnote>
  <w:footnote w:id="30">
    <w:p w14:paraId="3F2B3BAC" w14:textId="6963A522" w:rsidR="0087402A" w:rsidRPr="00E3632E" w:rsidRDefault="0087402A" w:rsidP="00602998">
      <w:pPr>
        <w:pStyle w:val="FootnoteText"/>
        <w:rPr>
          <w:lang w:val="pt-PT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>Supra</w:t>
      </w:r>
      <w:r w:rsidR="00A035D0">
        <w:rPr>
          <w:lang w:val="pt-PT"/>
        </w:rPr>
        <w:t>.</w:t>
      </w:r>
    </w:p>
  </w:footnote>
  <w:footnote w:id="31">
    <w:p w14:paraId="789D153D" w14:textId="2EC2EC8F" w:rsidR="0087402A" w:rsidRPr="00E3632E" w:rsidRDefault="0087402A" w:rsidP="00602998">
      <w:pPr>
        <w:pStyle w:val="FootnoteText"/>
        <w:rPr>
          <w:lang w:val="pt-PT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 w:rsidRPr="00E3632E">
        <w:rPr>
          <w:lang w:val="pt-PT"/>
        </w:rPr>
        <w:t xml:space="preserve"> </w:t>
      </w:r>
      <w:r w:rsidRPr="00E3632E">
        <w:rPr>
          <w:lang w:val="pt-PT"/>
        </w:rPr>
        <w:tab/>
        <w:t xml:space="preserve">4th UNCAT State Report, item </w:t>
      </w:r>
      <w:r w:rsidR="00A035D0">
        <w:rPr>
          <w:lang w:val="pt-PT"/>
        </w:rPr>
        <w:t>No.</w:t>
      </w:r>
      <w:r w:rsidRPr="00E3632E">
        <w:rPr>
          <w:lang w:val="pt-PT"/>
        </w:rPr>
        <w:t xml:space="preserve"> 23</w:t>
      </w:r>
      <w:r w:rsidR="00A035D0">
        <w:rPr>
          <w:lang w:val="pt-PT"/>
        </w:rPr>
        <w:t>.</w:t>
      </w:r>
    </w:p>
  </w:footnote>
  <w:footnote w:id="32">
    <w:p w14:paraId="3D44CA9C" w14:textId="06F9F050" w:rsidR="0087402A" w:rsidRDefault="0087402A" w:rsidP="00602998">
      <w:pPr>
        <w:pStyle w:val="FootnoteText"/>
        <w:rPr>
          <w:sz w:val="20"/>
        </w:rPr>
      </w:pPr>
      <w:r w:rsidRPr="00E3632E">
        <w:rPr>
          <w:lang w:val="pt-PT"/>
        </w:rP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23 (c)</w:t>
      </w:r>
      <w:r w:rsidR="00A035D0">
        <w:t>.</w:t>
      </w:r>
    </w:p>
  </w:footnote>
  <w:footnote w:id="33">
    <w:p w14:paraId="131D897B" w14:textId="3D84CFAE" w:rsidR="0087402A" w:rsidRPr="006720AF" w:rsidRDefault="0087402A" w:rsidP="00602998">
      <w:pPr>
        <w:pStyle w:val="FootnoteText"/>
        <w:rPr>
          <w:lang w:val="en-US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Dangerous Drugs Board (DDB) Resolution </w:t>
      </w:r>
      <w:r w:rsidR="00A035D0">
        <w:rPr>
          <w:lang w:val="en-US"/>
        </w:rPr>
        <w:t>No.</w:t>
      </w:r>
      <w:r>
        <w:rPr>
          <w:lang w:val="en-US"/>
        </w:rPr>
        <w:t xml:space="preserve"> 7 s. 2019</w:t>
      </w:r>
      <w:r w:rsidR="00A035D0">
        <w:rPr>
          <w:lang w:val="en-US"/>
        </w:rPr>
        <w:t>.</w:t>
      </w:r>
    </w:p>
  </w:footnote>
  <w:footnote w:id="34">
    <w:p w14:paraId="6F30001C" w14:textId="2B201CE8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ab/>
        <w:t xml:space="preserve">4th UNCAT State Report, item </w:t>
      </w:r>
      <w:r w:rsidR="00A035D0">
        <w:t>No.</w:t>
      </w:r>
      <w:r>
        <w:t xml:space="preserve"> 22 (a)</w:t>
      </w:r>
      <w:r w:rsidR="00A035D0">
        <w:t>.</w:t>
      </w:r>
    </w:p>
  </w:footnote>
  <w:footnote w:id="35">
    <w:p w14:paraId="1F811681" w14:textId="0A01A9D4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22 (c)</w:t>
      </w:r>
      <w:r w:rsidR="00A035D0">
        <w:t>.</w:t>
      </w:r>
    </w:p>
  </w:footnote>
  <w:footnote w:id="36">
    <w:p w14:paraId="36490EBB" w14:textId="7CDCF0AB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3</w:t>
      </w:r>
      <w:r w:rsidR="00A035D0">
        <w:t>.</w:t>
      </w:r>
    </w:p>
  </w:footnote>
  <w:footnote w:id="37">
    <w:p w14:paraId="2BC6FACB" w14:textId="7262C81E" w:rsidR="0087402A" w:rsidRDefault="0087402A" w:rsidP="00602998">
      <w:pPr>
        <w:pStyle w:val="FootnoteText"/>
        <w:rPr>
          <w:sz w:val="20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4th UNCAT State Report, item </w:t>
      </w:r>
      <w:r w:rsidR="00A035D0">
        <w:t>No.</w:t>
      </w:r>
      <w:r>
        <w:t xml:space="preserve"> 13</w:t>
      </w:r>
      <w:r w:rsidR="00602998">
        <w:t>.</w:t>
      </w:r>
    </w:p>
  </w:footnote>
  <w:footnote w:id="38">
    <w:p w14:paraId="0B9015F1" w14:textId="77777777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For data on TIP cases, please refer to the Labour Scorecard.</w:t>
      </w:r>
    </w:p>
  </w:footnote>
  <w:footnote w:id="39">
    <w:p w14:paraId="31A66A03" w14:textId="256171EB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EU GEP+ Scorecard 2020, Item 5 (g) page 91</w:t>
      </w:r>
      <w:r w:rsidR="00A035D0">
        <w:t>–</w:t>
      </w:r>
      <w:r>
        <w:t>93/ 149</w:t>
      </w:r>
      <w:r w:rsidR="00B71BF0">
        <w:t>.</w:t>
      </w:r>
    </w:p>
  </w:footnote>
  <w:footnote w:id="40">
    <w:p w14:paraId="583DB60D" w14:textId="16B7F2B7" w:rsidR="0087402A" w:rsidRPr="00A035D0" w:rsidRDefault="0087402A" w:rsidP="00A035D0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Individuals and </w:t>
      </w:r>
      <w:r w:rsidRPr="00A035D0">
        <w:t>Entities Designated by the State Department under Executive Order 13224 Page 17/ 19, list specifically identifies its founder Jose Maria Sison.</w:t>
      </w:r>
    </w:p>
  </w:footnote>
  <w:footnote w:id="41">
    <w:p w14:paraId="527DFD11" w14:textId="29E706F6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Mindanao Indigenous Peoples Council of Elders (MIPCEL) and the Mindanao Indigenous Peoples Youth Organization (MIPYO)</w:t>
      </w:r>
      <w:r w:rsidR="00A035D0">
        <w:t>.</w:t>
      </w:r>
    </w:p>
  </w:footnote>
  <w:footnote w:id="42">
    <w:p w14:paraId="4662680A" w14:textId="7AC54C59" w:rsidR="0087402A" w:rsidRPr="00602998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 w:rsidRPr="005021E7">
          <w:rPr>
            <w:rStyle w:val="Hyperlink"/>
          </w:rPr>
          <w:tab/>
          <w:t>https://www.congress.gov.ph/legisdocs/basic_18/HB03418.pdf</w:t>
        </w:r>
      </w:hyperlink>
      <w:r w:rsidR="00A035D0">
        <w:t>.</w:t>
      </w:r>
    </w:p>
  </w:footnote>
  <w:footnote w:id="43">
    <w:p w14:paraId="483E32EE" w14:textId="7308FE8C" w:rsidR="0087402A" w:rsidRPr="00602998" w:rsidRDefault="0087402A" w:rsidP="00602998">
      <w:pPr>
        <w:pStyle w:val="FootnoteText"/>
      </w:pPr>
      <w:r w:rsidRPr="00602998">
        <w:tab/>
      </w:r>
      <w:r w:rsidRPr="00A035D0">
        <w:rPr>
          <w:rStyle w:val="FootnoteReference"/>
        </w:rPr>
        <w:footnoteRef/>
      </w:r>
      <w:r w:rsidRPr="00602998">
        <w:t xml:space="preserve"> </w:t>
      </w:r>
      <w:r w:rsidRPr="00602998">
        <w:tab/>
      </w:r>
      <w:hyperlink r:id="rId3" w:history="1">
        <w:r w:rsidRPr="005021E7">
          <w:rPr>
            <w:rStyle w:val="Hyperlink"/>
          </w:rPr>
          <w:t>https://www.congress.gov.ph/legisdocs/basic_18/HB03543.pdf</w:t>
        </w:r>
      </w:hyperlink>
      <w:r w:rsidR="00A035D0">
        <w:t>.</w:t>
      </w:r>
    </w:p>
  </w:footnote>
  <w:footnote w:id="44">
    <w:p w14:paraId="1534B280" w14:textId="201E7161" w:rsidR="0087402A" w:rsidRPr="00602998" w:rsidRDefault="0087402A" w:rsidP="00602998">
      <w:pPr>
        <w:pStyle w:val="FootnoteText"/>
      </w:pPr>
      <w:r w:rsidRPr="00602998">
        <w:tab/>
      </w:r>
      <w:r w:rsidRPr="00A035D0">
        <w:rPr>
          <w:rStyle w:val="FootnoteReference"/>
        </w:rPr>
        <w:footnoteRef/>
      </w:r>
      <w:r w:rsidRPr="00602998">
        <w:t xml:space="preserve"> </w:t>
      </w:r>
      <w:r w:rsidRPr="00602998">
        <w:tab/>
      </w:r>
      <w:r w:rsidRPr="00602998">
        <w:tab/>
      </w:r>
      <w:hyperlink r:id="rId4" w:history="1">
        <w:r w:rsidRPr="005021E7">
          <w:rPr>
            <w:rStyle w:val="Hyperlink"/>
          </w:rPr>
          <w:t>https://www.congress.gov.ph/legisdocs/basic_18/HB07503.pdf</w:t>
        </w:r>
      </w:hyperlink>
      <w:r w:rsidR="00A035D0">
        <w:t>.</w:t>
      </w:r>
    </w:p>
  </w:footnote>
  <w:footnote w:id="45">
    <w:p w14:paraId="21B08A68" w14:textId="4A85EC12" w:rsidR="0087402A" w:rsidRDefault="0087402A" w:rsidP="00602998">
      <w:pPr>
        <w:pStyle w:val="FootnoteText"/>
      </w:pPr>
      <w:r w:rsidRPr="00602998">
        <w:tab/>
      </w:r>
      <w:r w:rsidRPr="00A035D0">
        <w:rPr>
          <w:rStyle w:val="FootnoteReference"/>
        </w:rPr>
        <w:footnoteRef/>
      </w:r>
      <w:r w:rsidRPr="00602998">
        <w:t xml:space="preserve"> </w:t>
      </w:r>
      <w:r w:rsidRPr="00602998">
        <w:tab/>
      </w:r>
      <w:hyperlink r:id="rId5" w:history="1">
        <w:r w:rsidRPr="005021E7">
          <w:rPr>
            <w:rStyle w:val="Hyperlink"/>
          </w:rPr>
          <w:tab/>
          <w:t>https://www.congress.gov.ph/legisdocs/third_18/HBT9925.pdf</w:t>
        </w:r>
      </w:hyperlink>
      <w:r w:rsidR="00A035D0">
        <w:t>.</w:t>
      </w:r>
    </w:p>
  </w:footnote>
  <w:footnote w:id="46">
    <w:p w14:paraId="0CBA6A36" w14:textId="7624209C" w:rsidR="0087402A" w:rsidRPr="00602998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 w:rsidRPr="00602998">
        <w:tab/>
      </w:r>
      <w:hyperlink r:id="rId6" w:history="1">
        <w:r w:rsidRPr="005021E7">
          <w:rPr>
            <w:rStyle w:val="Hyperlink"/>
          </w:rPr>
          <w:t>https://legacy.senate.gov.ph/lisdata/3248429337!.pdf</w:t>
        </w:r>
      </w:hyperlink>
      <w:r w:rsidR="00A035D0">
        <w:t>.</w:t>
      </w:r>
    </w:p>
  </w:footnote>
  <w:footnote w:id="47">
    <w:p w14:paraId="66895675" w14:textId="4BEE0DA7" w:rsidR="0087402A" w:rsidRPr="00602998" w:rsidRDefault="0087402A" w:rsidP="00602998">
      <w:pPr>
        <w:pStyle w:val="FootnoteText"/>
      </w:pPr>
      <w:r w:rsidRPr="00602998">
        <w:tab/>
      </w:r>
      <w:r w:rsidRPr="00A035D0">
        <w:rPr>
          <w:rStyle w:val="FootnoteReference"/>
        </w:rPr>
        <w:footnoteRef/>
      </w:r>
      <w:r w:rsidRPr="00602998">
        <w:t xml:space="preserve"> </w:t>
      </w:r>
      <w:r w:rsidRPr="00602998">
        <w:tab/>
      </w:r>
      <w:hyperlink r:id="rId7" w:history="1">
        <w:r w:rsidRPr="005021E7">
          <w:rPr>
            <w:rStyle w:val="Hyperlink"/>
          </w:rPr>
          <w:t>https://legacy.senate.gov.ph/lisdata/3619732607!.pdf</w:t>
        </w:r>
      </w:hyperlink>
      <w:r w:rsidR="00A035D0">
        <w:t>.</w:t>
      </w:r>
    </w:p>
  </w:footnote>
  <w:footnote w:id="48">
    <w:p w14:paraId="3DC6B33A" w14:textId="0BF4DA2C" w:rsidR="0087402A" w:rsidRDefault="0087402A" w:rsidP="00602998">
      <w:pPr>
        <w:pStyle w:val="FootnoteText"/>
        <w:rPr>
          <w:sz w:val="16"/>
          <w:szCs w:val="16"/>
        </w:rPr>
      </w:pPr>
      <w:r w:rsidRPr="00602998">
        <w:tab/>
      </w:r>
      <w:r w:rsidRPr="00A035D0">
        <w:rPr>
          <w:rStyle w:val="FootnoteReference"/>
        </w:rPr>
        <w:footnoteRef/>
      </w:r>
      <w:r w:rsidRPr="00602998">
        <w:tab/>
      </w:r>
      <w:r w:rsidRPr="005021E7">
        <w:t>https://legacy.senate.gov.ph/lisdata/3646232883!.pdf</w:t>
      </w:r>
      <w:r w:rsidR="00A035D0">
        <w:t>.</w:t>
      </w:r>
    </w:p>
  </w:footnote>
  <w:footnote w:id="49">
    <w:p w14:paraId="0AD6810E" w14:textId="49168322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hyperlink r:id="rId8" w:history="1">
        <w:r w:rsidRPr="005021E7">
          <w:rPr>
            <w:rStyle w:val="Hyperlink"/>
          </w:rPr>
          <w:tab/>
        </w:r>
        <w:r w:rsidRPr="005021E7">
          <w:rPr>
            <w:rStyle w:val="Hyperlink"/>
          </w:rPr>
          <w:tab/>
          <w:t>https://legacy.senate.gov.ph/lisdata/3455831378!.pdf</w:t>
        </w:r>
      </w:hyperlink>
      <w:r w:rsidR="005021E7">
        <w:t>.</w:t>
      </w:r>
    </w:p>
  </w:footnote>
  <w:footnote w:id="50">
    <w:p w14:paraId="6221A66A" w14:textId="55EE96FD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G.R. </w:t>
      </w:r>
      <w:r w:rsidR="00A035D0">
        <w:t>No.</w:t>
      </w:r>
      <w:r>
        <w:t xml:space="preserve"> 221862, 23 January 2018</w:t>
      </w:r>
      <w:r w:rsidR="005021E7">
        <w:t>.</w:t>
      </w:r>
    </w:p>
  </w:footnote>
  <w:footnote w:id="51">
    <w:p w14:paraId="3FFA106B" w14:textId="3D234618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G.R. </w:t>
      </w:r>
      <w:r w:rsidR="00A035D0">
        <w:t>No.</w:t>
      </w:r>
      <w:r>
        <w:t xml:space="preserve"> 220028, 10 November 2015</w:t>
      </w:r>
      <w:r w:rsidR="005021E7">
        <w:t>.</w:t>
      </w:r>
    </w:p>
  </w:footnote>
  <w:footnote w:id="52">
    <w:p w14:paraId="77549F87" w14:textId="781A00EF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The Petition for a Writ of Amparo and for a Writ of Habeas Data were filed by the petitioners which include Bayan Muna Party-List Rep. Carlos Zarate, Gabriela Women</w:t>
      </w:r>
      <w:r w:rsidR="00FE6B8B">
        <w:t>’</w:t>
      </w:r>
      <w:r>
        <w:t>s Party Rep. Emerenciana de Jesus, and former Anakpawis Party-List Rep. Rafael Mariano, among many others.</w:t>
      </w:r>
    </w:p>
  </w:footnote>
  <w:footnote w:id="53">
    <w:p w14:paraId="0478E2E7" w14:textId="0E7654DB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Bayan Muna Party-List et al vs. Aquino, G.R. </w:t>
      </w:r>
      <w:r w:rsidR="00A035D0">
        <w:t>No.</w:t>
      </w:r>
      <w:r>
        <w:t xml:space="preserve"> 220028, dated 10 November 2015.</w:t>
      </w:r>
    </w:p>
  </w:footnote>
  <w:footnote w:id="54">
    <w:p w14:paraId="2CA557EA" w14:textId="3EF0822E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Sec. 17 Burden of Proof and Standard of Diligence Required</w:t>
      </w:r>
      <w:r w:rsidR="008F4B85">
        <w:t xml:space="preserve"> –</w:t>
      </w:r>
      <w:r>
        <w:t xml:space="preserve"> The parties shall establish their claims by substantial evidence. xxx</w:t>
      </w:r>
      <w:r w:rsidR="005021E7">
        <w:t>.</w:t>
      </w:r>
    </w:p>
  </w:footnote>
  <w:footnote w:id="55">
    <w:p w14:paraId="5E2A74FD" w14:textId="3C350C71" w:rsidR="0087402A" w:rsidRPr="004D42E9" w:rsidRDefault="0087402A" w:rsidP="004D42E9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r w:rsidRPr="004D42E9">
        <w:tab/>
      </w:r>
      <w:hyperlink r:id="rId9" w:history="1">
        <w:r w:rsidRPr="005021E7">
          <w:rPr>
            <w:rStyle w:val="Hyperlink"/>
          </w:rPr>
          <w:t>https://www.congress.gov.ph/legisdocs/basic_18/HB00015.pdf</w:t>
        </w:r>
      </w:hyperlink>
      <w:r w:rsidR="005021E7">
        <w:t>.</w:t>
      </w:r>
    </w:p>
  </w:footnote>
  <w:footnote w:id="56">
    <w:p w14:paraId="1DD6E49B" w14:textId="6D9410A0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hyperlink r:id="rId10" w:history="1">
        <w:r w:rsidRPr="005021E7">
          <w:rPr>
            <w:rStyle w:val="Hyperlink"/>
          </w:rPr>
          <w:t>https://www.congress.gov.ph/legisdocs/basic_18/HB00161.pdf</w:t>
        </w:r>
      </w:hyperlink>
      <w:r w:rsidR="005021E7">
        <w:t>.</w:t>
      </w:r>
    </w:p>
  </w:footnote>
  <w:footnote w:id="57">
    <w:p w14:paraId="580CC7DA" w14:textId="183BF8E0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hyperlink r:id="rId11" w:history="1">
        <w:r w:rsidRPr="005021E7">
          <w:rPr>
            <w:rStyle w:val="Hyperlink"/>
          </w:rPr>
          <w:tab/>
          <w:t>https://www.congress.gov.ph/legisdocs/basic_18/HB00240.pdf</w:t>
        </w:r>
      </w:hyperlink>
      <w:r w:rsidR="005021E7">
        <w:t>.</w:t>
      </w:r>
    </w:p>
  </w:footnote>
  <w:footnote w:id="58">
    <w:p w14:paraId="7D5BE336" w14:textId="6BAE0410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hyperlink r:id="rId12" w:history="1">
        <w:r w:rsidRPr="005021E7">
          <w:rPr>
            <w:rStyle w:val="Hyperlink"/>
          </w:rPr>
          <w:t>https://www.congress.gov.ph/legisdocs/basic_18/HB01324.pdf</w:t>
        </w:r>
      </w:hyperlink>
      <w:r w:rsidR="005021E7">
        <w:t>.</w:t>
      </w:r>
    </w:p>
  </w:footnote>
  <w:footnote w:id="59">
    <w:p w14:paraId="492899D5" w14:textId="7333FA2B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hyperlink r:id="rId13" w:history="1">
        <w:r w:rsidRPr="005021E7">
          <w:rPr>
            <w:rStyle w:val="Hyperlink"/>
          </w:rPr>
          <w:tab/>
          <w:t>https://www.congress.gov.ph/legisdocs/basic_18/HB02143.pdf</w:t>
        </w:r>
      </w:hyperlink>
      <w:r w:rsidR="005021E7">
        <w:t>.</w:t>
      </w:r>
    </w:p>
  </w:footnote>
  <w:footnote w:id="60">
    <w:p w14:paraId="35A26D1A" w14:textId="292ED314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hyperlink r:id="rId14" w:history="1">
        <w:r w:rsidRPr="005021E7">
          <w:rPr>
            <w:rStyle w:val="Hyperlink"/>
          </w:rPr>
          <w:t>https://www.congress.gov.ph/legisdocs/basic_18/HB04390.pdf</w:t>
        </w:r>
      </w:hyperlink>
      <w:r w:rsidR="005021E7">
        <w:t>.</w:t>
      </w:r>
    </w:p>
  </w:footnote>
  <w:footnote w:id="61">
    <w:p w14:paraId="3340476D" w14:textId="223BF554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r w:rsidRPr="004D42E9">
        <w:tab/>
      </w:r>
      <w:hyperlink r:id="rId15" w:history="1">
        <w:r w:rsidRPr="005021E7">
          <w:rPr>
            <w:rStyle w:val="Hyperlink"/>
          </w:rPr>
          <w:t>https://legacy.senate.gov.ph/lisdata/3266929538!.pdf</w:t>
        </w:r>
      </w:hyperlink>
      <w:r w:rsidR="005021E7">
        <w:t>.</w:t>
      </w:r>
    </w:p>
  </w:footnote>
  <w:footnote w:id="62">
    <w:p w14:paraId="4400F74A" w14:textId="7633DC39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r w:rsidRPr="004D42E9">
        <w:tab/>
      </w:r>
      <w:hyperlink r:id="rId16" w:history="1">
        <w:r w:rsidRPr="005021E7">
          <w:rPr>
            <w:rStyle w:val="Hyperlink"/>
          </w:rPr>
          <w:t>https://legacy.senate.gov.ph/lisdata/3022527054!.pdf</w:t>
        </w:r>
      </w:hyperlink>
      <w:r w:rsidR="005021E7">
        <w:t>.</w:t>
      </w:r>
    </w:p>
  </w:footnote>
  <w:footnote w:id="63">
    <w:p w14:paraId="741BB1CA" w14:textId="5BD8B91E" w:rsidR="0087402A" w:rsidRDefault="0087402A" w:rsidP="0060299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ab/>
      </w:r>
      <w:r w:rsidRPr="00A035D0"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hyperlink r:id="rId17" w:history="1">
        <w:r w:rsidRPr="005021E7">
          <w:rPr>
            <w:rStyle w:val="Hyperlink"/>
          </w:rPr>
          <w:t>https://www.congress.gov.ph/legisdocs/basic_18/HB00494.pdf</w:t>
        </w:r>
      </w:hyperlink>
      <w:r w:rsidR="005021E7">
        <w:rPr>
          <w:sz w:val="16"/>
          <w:szCs w:val="16"/>
        </w:rPr>
        <w:t>.</w:t>
      </w:r>
    </w:p>
  </w:footnote>
  <w:footnote w:id="64">
    <w:p w14:paraId="65807F67" w14:textId="4EB214C5" w:rsidR="0087402A" w:rsidRDefault="0087402A" w:rsidP="0060299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ab/>
      </w:r>
      <w:r w:rsidRPr="00A035D0"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hyperlink r:id="rId18" w:history="1">
        <w:r w:rsidRPr="005021E7">
          <w:rPr>
            <w:rStyle w:val="Hyperlink"/>
          </w:rPr>
          <w:t>https://www.congress.gov.ph/legisdocs/basic_18/HB00860.pdf</w:t>
        </w:r>
      </w:hyperlink>
      <w:r w:rsidR="005021E7">
        <w:rPr>
          <w:sz w:val="16"/>
          <w:szCs w:val="16"/>
        </w:rPr>
        <w:t>.</w:t>
      </w:r>
    </w:p>
  </w:footnote>
  <w:footnote w:id="65">
    <w:p w14:paraId="0DA4775A" w14:textId="0BD6F1D8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hyperlink r:id="rId19" w:history="1">
        <w:r w:rsidRPr="005021E7">
          <w:rPr>
            <w:rStyle w:val="Hyperlink"/>
          </w:rPr>
          <w:tab/>
          <w:t>https://www.congress.gov.ph/legisdocs/basic_18/HB01835.pdf</w:t>
        </w:r>
      </w:hyperlink>
      <w:r w:rsidR="005021E7">
        <w:rPr>
          <w:sz w:val="16"/>
          <w:szCs w:val="16"/>
        </w:rPr>
        <w:t>.</w:t>
      </w:r>
    </w:p>
  </w:footnote>
  <w:footnote w:id="66">
    <w:p w14:paraId="79835E81" w14:textId="2AE27C54" w:rsidR="0087402A" w:rsidRDefault="0087402A" w:rsidP="0060299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ab/>
      </w:r>
      <w:r w:rsidRPr="00A035D0"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hyperlink r:id="rId20" w:history="1">
        <w:r w:rsidRPr="005021E7">
          <w:rPr>
            <w:rStyle w:val="Hyperlink"/>
          </w:rPr>
          <w:t>https://www.congress.gov.ph/legisdocs/basic_18/HB03455.pdf</w:t>
        </w:r>
      </w:hyperlink>
      <w:r w:rsidR="005021E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67">
    <w:p w14:paraId="3FCD7E83" w14:textId="1D469887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EU GEP+ Scorecard 2020, Item 3 (d) page 44</w:t>
      </w:r>
      <w:r w:rsidR="005021E7">
        <w:t>–</w:t>
      </w:r>
      <w:r>
        <w:t>46/ 149</w:t>
      </w:r>
      <w:r w:rsidR="005021E7">
        <w:t>.</w:t>
      </w:r>
    </w:p>
  </w:footnote>
  <w:footnote w:id="68">
    <w:p w14:paraId="497B46F9" w14:textId="4C071DA2" w:rsidR="0087402A" w:rsidRDefault="0087402A" w:rsidP="00602998">
      <w:pPr>
        <w:pStyle w:val="FootnoteText"/>
        <w:rPr>
          <w:color w:val="000000"/>
          <w:sz w:val="16"/>
          <w:szCs w:val="16"/>
        </w:rPr>
      </w:pPr>
      <w:r>
        <w:tab/>
      </w:r>
      <w:r w:rsidRPr="00A035D0">
        <w:rPr>
          <w:rStyle w:val="FootnoteReference"/>
        </w:rPr>
        <w:footnoteRef/>
      </w:r>
      <w:r>
        <w:tab/>
      </w:r>
      <w:hyperlink r:id="rId21" w:history="1">
        <w:r w:rsidRPr="005021E7">
          <w:rPr>
            <w:rStyle w:val="Hyperlink"/>
          </w:rPr>
          <w:t>https://www.sec.gov.ph/mc-2019/mc-no-25-s-2019-2019-guidelines-for-the-protection-of-sec-registered-non-profit-organizations-from-money-laundering-and-terrorist-financing-abuse-2019-npo-guidelines/</w:t>
        </w:r>
      </w:hyperlink>
      <w:r w:rsidR="005021E7">
        <w:rPr>
          <w:sz w:val="16"/>
          <w:szCs w:val="16"/>
        </w:rPr>
        <w:t>.</w:t>
      </w:r>
    </w:p>
  </w:footnote>
  <w:footnote w:id="69">
    <w:p w14:paraId="195EA111" w14:textId="25288F77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Adopted by the Asia Pacific Group on Money Laundering (APG) on 22 August 2019 and published on 24 October 2019. http://www.fatf-gafi.org/media/fatf/documents/reports/mer-fsrb/APG-Mutual-Evaluation-Report-Philippines.pdf</w:t>
      </w:r>
      <w:r w:rsidR="005021E7">
        <w:t>.</w:t>
      </w:r>
    </w:p>
  </w:footnote>
  <w:footnote w:id="70">
    <w:p w14:paraId="5E55BE26" w14:textId="593520AD" w:rsidR="0087402A" w:rsidRPr="004D42E9" w:rsidRDefault="0087402A" w:rsidP="004D42E9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The Philippine Human </w:t>
      </w:r>
      <w:r w:rsidRPr="004D42E9">
        <w:t xml:space="preserve">Rights Situationer </w:t>
      </w:r>
      <w:r w:rsidR="008F4B85">
        <w:t>–</w:t>
      </w:r>
      <w:r w:rsidRPr="004D42E9">
        <w:t xml:space="preserve"> May 2020, Executive Summary, page iii.</w:t>
      </w:r>
    </w:p>
  </w:footnote>
  <w:footnote w:id="71">
    <w:p w14:paraId="1A6CA1C2" w14:textId="4808B408" w:rsidR="0087402A" w:rsidRPr="004D42E9" w:rsidRDefault="0087402A" w:rsidP="005021E7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6D0054">
        <w:rPr>
          <w:lang w:val="es-ES"/>
        </w:rPr>
        <w:t xml:space="preserve"> </w:t>
      </w:r>
      <w:r w:rsidRPr="006D0054">
        <w:rPr>
          <w:lang w:val="es-ES"/>
        </w:rPr>
        <w:tab/>
        <w:t xml:space="preserve">Primicias vs. Fuguso G.R. </w:t>
      </w:r>
      <w:r w:rsidR="00A035D0" w:rsidRPr="006D0054">
        <w:rPr>
          <w:lang w:val="es-ES"/>
        </w:rPr>
        <w:t>No.</w:t>
      </w:r>
      <w:r w:rsidRPr="006D0054">
        <w:rPr>
          <w:lang w:val="es-ES"/>
        </w:rPr>
        <w:t xml:space="preserve"> </w:t>
      </w:r>
      <w:r w:rsidRPr="004D42E9">
        <w:t>L-1800</w:t>
      </w:r>
      <w:r w:rsidR="005021E7">
        <w:t>.</w:t>
      </w:r>
    </w:p>
  </w:footnote>
  <w:footnote w:id="72">
    <w:p w14:paraId="54863CCF" w14:textId="10EF6B21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  <w:t>Department of the Interior and Local Government (DILG) Memorandum Circular 2019-35</w:t>
      </w:r>
      <w:r w:rsidR="005021E7">
        <w:t>.</w:t>
      </w:r>
    </w:p>
  </w:footnote>
  <w:footnote w:id="73">
    <w:p w14:paraId="3CD7A6EB" w14:textId="4BED8AC2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  <w:t>https://www.ilo.org/dyn/normlex/en/f?p=NORMLEXPUB:11200:0::NO::P11200_COUNTRY_ID:102970</w:t>
      </w:r>
      <w:r w:rsidR="005021E7">
        <w:t>.</w:t>
      </w:r>
    </w:p>
  </w:footnote>
  <w:footnote w:id="74">
    <w:p w14:paraId="382B576B" w14:textId="5BD00602" w:rsidR="0087402A" w:rsidRPr="004D42E9" w:rsidRDefault="0087402A" w:rsidP="004D42E9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</w:r>
      <w:hyperlink r:id="rId22" w:history="1">
        <w:r w:rsidRPr="005021E7">
          <w:rPr>
            <w:rStyle w:val="Hyperlink"/>
          </w:rPr>
          <w:tab/>
          <w:t>https://elibrary.judiciary.gov.ph/thebookshelf/showdocs/1/64003</w:t>
        </w:r>
      </w:hyperlink>
      <w:r w:rsidR="004D42E9">
        <w:t>.</w:t>
      </w:r>
    </w:p>
  </w:footnote>
  <w:footnote w:id="75">
    <w:p w14:paraId="71C579BC" w14:textId="07B2B978" w:rsidR="0087402A" w:rsidRPr="004D42E9" w:rsidRDefault="0087402A" w:rsidP="004D42E9">
      <w:pPr>
        <w:pStyle w:val="FootnoteText"/>
      </w:pPr>
      <w:r w:rsidRPr="004D42E9">
        <w:tab/>
      </w:r>
      <w:r w:rsidRPr="00A035D0">
        <w:rPr>
          <w:rStyle w:val="FootnoteReference"/>
        </w:rPr>
        <w:footnoteRef/>
      </w:r>
      <w:r w:rsidRPr="004D42E9">
        <w:t xml:space="preserve"> </w:t>
      </w:r>
      <w:r w:rsidRPr="004D42E9">
        <w:tab/>
      </w:r>
      <w:hyperlink r:id="rId23" w:history="1">
        <w:r w:rsidRPr="005021E7">
          <w:rPr>
            <w:rStyle w:val="Hyperlink"/>
          </w:rPr>
          <w:t>https://www.congress.gov.ph/legisdocs/basic_18/HB00270.pdf</w:t>
        </w:r>
      </w:hyperlink>
      <w:r w:rsidR="004D42E9">
        <w:t>.</w:t>
      </w:r>
    </w:p>
  </w:footnote>
  <w:footnote w:id="76">
    <w:p w14:paraId="3FDC27A5" w14:textId="5507D0D1" w:rsidR="0087402A" w:rsidRDefault="0087402A" w:rsidP="00602998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ab/>
      </w:r>
      <w:r w:rsidRPr="00A035D0">
        <w:rPr>
          <w:rStyle w:val="FootnoteReference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hyperlink r:id="rId24" w:history="1">
        <w:r w:rsidRPr="005021E7">
          <w:rPr>
            <w:rStyle w:val="Hyperlink"/>
          </w:rPr>
          <w:t>https://legacy.senate.gov.ph/lisdata/3022127049!.pdf</w:t>
        </w:r>
      </w:hyperlink>
      <w:r w:rsidR="005021E7">
        <w:rPr>
          <w:sz w:val="16"/>
          <w:szCs w:val="16"/>
        </w:rPr>
        <w:t>.</w:t>
      </w:r>
    </w:p>
  </w:footnote>
  <w:footnote w:id="77">
    <w:p w14:paraId="7BE9B2A4" w14:textId="5C26F513" w:rsidR="0087402A" w:rsidRDefault="0087402A" w:rsidP="005021E7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EU GEP+ Scorecard 2020, Item 2 (b) page 6</w:t>
      </w:r>
      <w:r w:rsidR="005021E7">
        <w:t>–</w:t>
      </w:r>
      <w:r>
        <w:t>10/ 149</w:t>
      </w:r>
      <w:r w:rsidR="005021E7">
        <w:t>.</w:t>
      </w:r>
    </w:p>
  </w:footnote>
  <w:footnote w:id="78">
    <w:p w14:paraId="4F772547" w14:textId="1AA59736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The Philippines Human Rights Situationer </w:t>
      </w:r>
      <w:r w:rsidR="008F4B85">
        <w:t>–</w:t>
      </w:r>
      <w:r>
        <w:t xml:space="preserve"> May 2020, pages 70</w:t>
      </w:r>
      <w:r w:rsidR="005021E7">
        <w:t>–</w:t>
      </w:r>
      <w:r>
        <w:t>71</w:t>
      </w:r>
      <w:r w:rsidR="005021E7">
        <w:t>.</w:t>
      </w:r>
    </w:p>
  </w:footnote>
  <w:footnote w:id="79">
    <w:p w14:paraId="28DDFD9F" w14:textId="6171C805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The Philippines Human Rights Situationer </w:t>
      </w:r>
      <w:r w:rsidR="008F4B85">
        <w:t>–</w:t>
      </w:r>
      <w:r>
        <w:t xml:space="preserve"> May 2020, page 73</w:t>
      </w:r>
      <w:r w:rsidR="005021E7">
        <w:t>.</w:t>
      </w:r>
    </w:p>
  </w:footnote>
  <w:footnote w:id="80">
    <w:p w14:paraId="675774A8" w14:textId="337665E8" w:rsidR="0087402A" w:rsidRDefault="0087402A" w:rsidP="00602998">
      <w:pPr>
        <w:pStyle w:val="FootnoteText"/>
        <w:rPr>
          <w:color w:val="000000"/>
          <w:sz w:val="16"/>
          <w:szCs w:val="16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 xml:space="preserve">The Philippines Human Rights Situationer </w:t>
      </w:r>
      <w:r w:rsidR="008F4B85">
        <w:t>–</w:t>
      </w:r>
      <w:r>
        <w:t xml:space="preserve"> May 2020, page 71</w:t>
      </w:r>
      <w:r w:rsidR="005021E7">
        <w:t>.</w:t>
      </w:r>
    </w:p>
  </w:footnote>
  <w:footnote w:id="81">
    <w:p w14:paraId="21233E34" w14:textId="3663CAB8" w:rsidR="0087402A" w:rsidRDefault="0087402A" w:rsidP="00602998">
      <w:pPr>
        <w:pStyle w:val="FootnoteText"/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The Philippines Human Rights Situationer, May 2020, page 69</w:t>
      </w:r>
      <w:r w:rsidR="005021E7">
        <w:t>.</w:t>
      </w:r>
    </w:p>
  </w:footnote>
  <w:footnote w:id="82">
    <w:p w14:paraId="60161D51" w14:textId="2E0D320F" w:rsidR="0087402A" w:rsidRDefault="0087402A" w:rsidP="00602998">
      <w:pPr>
        <w:pStyle w:val="FootnoteText"/>
        <w:rPr>
          <w:color w:val="000000"/>
          <w:sz w:val="16"/>
          <w:szCs w:val="16"/>
        </w:rPr>
      </w:pPr>
      <w:r>
        <w:tab/>
      </w:r>
      <w:r w:rsidRPr="00A035D0">
        <w:rPr>
          <w:rStyle w:val="FootnoteReference"/>
        </w:rPr>
        <w:footnoteRef/>
      </w:r>
      <w:r>
        <w:t xml:space="preserve"> </w:t>
      </w:r>
      <w:r>
        <w:tab/>
        <w:t>EU GEP+ Scorecard 2020, Item 2 (g) page 22</w:t>
      </w:r>
      <w:r w:rsidR="008F4B85">
        <w:t>–</w:t>
      </w:r>
      <w:r>
        <w:t>23/ 149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7968" w14:textId="77777777" w:rsidR="00BF1AE5" w:rsidRDefault="00BF1AE5" w:rsidP="00BF1AE5">
    <w:pPr>
      <w:pStyle w:val="Header"/>
    </w:pPr>
    <w:r>
      <w:t>CCPR/C/PHL/RQ/5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E3B5" w14:textId="77777777" w:rsidR="00BF1AE5" w:rsidRDefault="00BF1AE5" w:rsidP="00BF1AE5">
    <w:pPr>
      <w:pStyle w:val="Header"/>
      <w:jc w:val="right"/>
    </w:pPr>
    <w:r>
      <w:t>CCPR/C/PHL/RQ/5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AD9A94F8"/>
    <w:lvl w:ilvl="0" w:tplc="843800AC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AE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B4550"/>
    <w:rsid w:val="00461253"/>
    <w:rsid w:val="00472FED"/>
    <w:rsid w:val="004D42E9"/>
    <w:rsid w:val="005021E7"/>
    <w:rsid w:val="005042C2"/>
    <w:rsid w:val="005D65FD"/>
    <w:rsid w:val="00602998"/>
    <w:rsid w:val="00655519"/>
    <w:rsid w:val="00671529"/>
    <w:rsid w:val="00671E75"/>
    <w:rsid w:val="006D0054"/>
    <w:rsid w:val="006D7DE0"/>
    <w:rsid w:val="007268F9"/>
    <w:rsid w:val="007327A0"/>
    <w:rsid w:val="007459FE"/>
    <w:rsid w:val="007C52B0"/>
    <w:rsid w:val="00817E57"/>
    <w:rsid w:val="008350CC"/>
    <w:rsid w:val="0087402A"/>
    <w:rsid w:val="00892361"/>
    <w:rsid w:val="008D3450"/>
    <w:rsid w:val="008D4253"/>
    <w:rsid w:val="008E2D49"/>
    <w:rsid w:val="008F4B85"/>
    <w:rsid w:val="009411B4"/>
    <w:rsid w:val="009814F0"/>
    <w:rsid w:val="0099511E"/>
    <w:rsid w:val="009D0139"/>
    <w:rsid w:val="009F5CDC"/>
    <w:rsid w:val="00A035D0"/>
    <w:rsid w:val="00A23459"/>
    <w:rsid w:val="00A47EAE"/>
    <w:rsid w:val="00A775CF"/>
    <w:rsid w:val="00B06045"/>
    <w:rsid w:val="00B53AA5"/>
    <w:rsid w:val="00B71BF0"/>
    <w:rsid w:val="00B903E5"/>
    <w:rsid w:val="00BF16DB"/>
    <w:rsid w:val="00BF1AE5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  <w:rsid w:val="00FE6B8B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09B69D"/>
  <w15:docId w15:val="{849F01AE-B4CF-4E36-AA87-4A1F610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D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4"/>
      </w:numPr>
    </w:pPr>
  </w:style>
  <w:style w:type="numbering" w:styleId="1ai">
    <w:name w:val="Outline List 1"/>
    <w:basedOn w:val="NoList"/>
    <w:semiHidden/>
    <w:rsid w:val="007268F9"/>
    <w:pPr>
      <w:numPr>
        <w:numId w:val="5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35D0"/>
    <w:rPr>
      <w:color w:val="0000FF" w:themeColor="hyperlink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5D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undocs.org/en/A/73/907-S/2019/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docs.org/en/CCPR/C/PHL/Q/5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gusta.devos\Downloads\%09%09https:\legacy.senate.gov.ph\lisdata\3455831378!.pdf" TargetMode="External"/><Relationship Id="rId13" Type="http://schemas.openxmlformats.org/officeDocument/2006/relationships/hyperlink" Target="file:///C:\Users\augusta.devos\Downloads\%09https:\www.congress.gov.ph\legisdocs\basic_18\HB02143.pdf" TargetMode="External"/><Relationship Id="rId18" Type="http://schemas.openxmlformats.org/officeDocument/2006/relationships/hyperlink" Target="https://www.congress.gov.ph/legisdocs/basic_18/HB00860.pdf" TargetMode="External"/><Relationship Id="rId3" Type="http://schemas.openxmlformats.org/officeDocument/2006/relationships/hyperlink" Target="https://www.congress.gov.ph/legisdocs/basic_18/HB03543.pdf" TargetMode="External"/><Relationship Id="rId21" Type="http://schemas.openxmlformats.org/officeDocument/2006/relationships/hyperlink" Target="https://www.sec.gov.ph/mc-2019/mc-no-25-s-2019-2019-guidelines-for-the-protection-of-sec-registered-non-profit-organizations-from-money-laundering-and-terrorist-financing-abuse-2019-npo-guidelines/" TargetMode="External"/><Relationship Id="rId7" Type="http://schemas.openxmlformats.org/officeDocument/2006/relationships/hyperlink" Target="https://legacy.senate.gov.ph/lisdata/3619732607!.pdf" TargetMode="External"/><Relationship Id="rId12" Type="http://schemas.openxmlformats.org/officeDocument/2006/relationships/hyperlink" Target="https://www.congress.gov.ph/legisdocs/basic_18/HB01324.pdf" TargetMode="External"/><Relationship Id="rId17" Type="http://schemas.openxmlformats.org/officeDocument/2006/relationships/hyperlink" Target="https://www.congress.gov.ph/legisdocs/basic_18/HB00494.pdf" TargetMode="External"/><Relationship Id="rId2" Type="http://schemas.openxmlformats.org/officeDocument/2006/relationships/hyperlink" Target="file:///C:\Users\augusta.devos\Downloads\%09https:\www.congress.gov.ph\legisdocs\basic_18\HB03418.pdf" TargetMode="External"/><Relationship Id="rId16" Type="http://schemas.openxmlformats.org/officeDocument/2006/relationships/hyperlink" Target="https://legacy.senate.gov.ph/lisdata/3022527054!.pdf" TargetMode="External"/><Relationship Id="rId20" Type="http://schemas.openxmlformats.org/officeDocument/2006/relationships/hyperlink" Target="https://www.congress.gov.ph/legisdocs/basic_18/HB03455.pdf" TargetMode="External"/><Relationship Id="rId1" Type="http://schemas.openxmlformats.org/officeDocument/2006/relationships/hyperlink" Target="https://www.congress.gov.ph/members/search.php?id=roman-g" TargetMode="External"/><Relationship Id="rId6" Type="http://schemas.openxmlformats.org/officeDocument/2006/relationships/hyperlink" Target="https://legacy.senate.gov.ph/lisdata/3248429337!.pdf" TargetMode="External"/><Relationship Id="rId11" Type="http://schemas.openxmlformats.org/officeDocument/2006/relationships/hyperlink" Target="file:///C:\Users\augusta.devos\Downloads\%09https:\www.congress.gov.ph\legisdocs\basic_18\HB00240.pdf" TargetMode="External"/><Relationship Id="rId24" Type="http://schemas.openxmlformats.org/officeDocument/2006/relationships/hyperlink" Target="https://legacy.senate.gov.ph/lisdata/3022127049!.pdf" TargetMode="External"/><Relationship Id="rId5" Type="http://schemas.openxmlformats.org/officeDocument/2006/relationships/hyperlink" Target="file:///C:\Users\augusta.devos\Downloads\%09https:\www.congress.gov.ph\legisdocs\third_18\HBT9925.pdf" TargetMode="External"/><Relationship Id="rId15" Type="http://schemas.openxmlformats.org/officeDocument/2006/relationships/hyperlink" Target="https://legacy.senate.gov.ph/lisdata/3266929538!.pdf" TargetMode="External"/><Relationship Id="rId23" Type="http://schemas.openxmlformats.org/officeDocument/2006/relationships/hyperlink" Target="https://www.congress.gov.ph/legisdocs/basic_18/HB00270.pdf" TargetMode="External"/><Relationship Id="rId10" Type="http://schemas.openxmlformats.org/officeDocument/2006/relationships/hyperlink" Target="https://www.congress.gov.ph/legisdocs/basic_18/HB00161.pdf" TargetMode="External"/><Relationship Id="rId19" Type="http://schemas.openxmlformats.org/officeDocument/2006/relationships/hyperlink" Target="file:///C:\Users\augusta.devos\Downloads\%09https:\www.congress.gov.ph\legisdocs\basic_18\HB01835.pdf" TargetMode="External"/><Relationship Id="rId4" Type="http://schemas.openxmlformats.org/officeDocument/2006/relationships/hyperlink" Target="https://www.congress.gov.ph/legisdocs/basic_18/HB07503.pdf" TargetMode="External"/><Relationship Id="rId9" Type="http://schemas.openxmlformats.org/officeDocument/2006/relationships/hyperlink" Target="https://www.congress.gov.ph/legisdocs/basic_18/HB00015.pdf" TargetMode="External"/><Relationship Id="rId14" Type="http://schemas.openxmlformats.org/officeDocument/2006/relationships/hyperlink" Target="https://www.congress.gov.ph/legisdocs/basic_18/HB04390.pdf" TargetMode="External"/><Relationship Id="rId22" Type="http://schemas.openxmlformats.org/officeDocument/2006/relationships/hyperlink" Target="file:///C:\Users\augusta.devos\Downloads\%09https:\elibrary.judiciary.gov.ph\thebookshelf\showdocs\1\640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05AC-4FE0-4A91-B7C1-09EBDA3C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37</Pages>
  <Words>18409</Words>
  <Characters>102092</Characters>
  <Application>Microsoft Office Word</Application>
  <DocSecurity>0</DocSecurity>
  <Lines>1627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CCPR/C/PHL/RQ/5</vt:lpstr>
    </vt:vector>
  </TitlesOfParts>
  <Company>DCM</Company>
  <LinksUpToDate>false</LinksUpToDate>
  <CharactersWithSpaces>120346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CCPR/C/PHL/RQ/5</dc:title>
  <dc:subject>2204045</dc:subject>
  <dc:creator>Brigoli</dc:creator>
  <cp:keywords/>
  <dc:description/>
  <cp:lastModifiedBy>Edna Kay</cp:lastModifiedBy>
  <cp:revision>2</cp:revision>
  <dcterms:created xsi:type="dcterms:W3CDTF">2022-03-18T15:34:00Z</dcterms:created>
  <dcterms:modified xsi:type="dcterms:W3CDTF">2022-03-18T15:34:00Z</dcterms:modified>
</cp:coreProperties>
</file>