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0B1C50C0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B381FA7" w14:textId="77777777" w:rsidR="002D5AAC" w:rsidRDefault="002D5AAC" w:rsidP="009B6A7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03230D08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2B7AAB2" w14:textId="7E8244CC" w:rsidR="002D5AAC" w:rsidRDefault="009B6A75" w:rsidP="009B6A75">
            <w:pPr>
              <w:jc w:val="right"/>
            </w:pPr>
            <w:r w:rsidRPr="00FA0062">
              <w:rPr>
                <w:sz w:val="40"/>
              </w:rPr>
              <w:t>CCPR</w:t>
            </w:r>
            <w:r w:rsidRPr="00FA0062">
              <w:t>/C/PHL/CO/5</w:t>
            </w:r>
          </w:p>
        </w:tc>
      </w:tr>
      <w:tr w:rsidR="002D5AAC" w:rsidRPr="001F1F21" w14:paraId="49D81FED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529750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7572400" wp14:editId="450CFC2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83AF6D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2DD2A05" w14:textId="77777777" w:rsidR="002D5AAC" w:rsidRPr="00D80808" w:rsidRDefault="009B6A75" w:rsidP="00BC3629">
            <w:pPr>
              <w:spacing w:before="240"/>
              <w:rPr>
                <w:lang w:val="en-US"/>
              </w:rPr>
            </w:pPr>
            <w:r w:rsidRPr="00D80808">
              <w:rPr>
                <w:lang w:val="en-US"/>
              </w:rPr>
              <w:t>Distr.: General</w:t>
            </w:r>
          </w:p>
          <w:p w14:paraId="5CB4A547" w14:textId="4BE937E7" w:rsidR="009B6A75" w:rsidRPr="001F1F21" w:rsidRDefault="00D80808" w:rsidP="009B6A75">
            <w:pPr>
              <w:spacing w:line="240" w:lineRule="exact"/>
              <w:rPr>
                <w:lang w:val="en-US"/>
              </w:rPr>
            </w:pPr>
            <w:r w:rsidRPr="00D80808">
              <w:rPr>
                <w:lang w:val="en-US"/>
              </w:rPr>
              <w:t>3</w:t>
            </w:r>
            <w:r w:rsidRPr="001F1F21">
              <w:rPr>
                <w:lang w:val="en-US"/>
              </w:rPr>
              <w:t>0 November 2022</w:t>
            </w:r>
          </w:p>
          <w:p w14:paraId="0686C64B" w14:textId="77777777" w:rsidR="009B6A75" w:rsidRPr="00D80808" w:rsidRDefault="009B6A75" w:rsidP="009B6A75">
            <w:pPr>
              <w:spacing w:line="240" w:lineRule="exact"/>
              <w:rPr>
                <w:lang w:val="en-US"/>
              </w:rPr>
            </w:pPr>
            <w:r w:rsidRPr="00D80808">
              <w:rPr>
                <w:lang w:val="en-US"/>
              </w:rPr>
              <w:t>Russian</w:t>
            </w:r>
          </w:p>
          <w:p w14:paraId="1DEDE0DC" w14:textId="5A467335" w:rsidR="009B6A75" w:rsidRPr="00D80808" w:rsidRDefault="009B6A75" w:rsidP="009B6A75">
            <w:pPr>
              <w:spacing w:line="240" w:lineRule="exact"/>
              <w:rPr>
                <w:lang w:val="en-US"/>
              </w:rPr>
            </w:pPr>
            <w:r w:rsidRPr="00D80808">
              <w:rPr>
                <w:lang w:val="en-US"/>
              </w:rPr>
              <w:t>Original: English</w:t>
            </w:r>
          </w:p>
        </w:tc>
      </w:tr>
    </w:tbl>
    <w:p w14:paraId="092FF097" w14:textId="77777777" w:rsidR="009B6A75" w:rsidRPr="009B6A75" w:rsidRDefault="009B6A75" w:rsidP="009B6A75">
      <w:pPr>
        <w:spacing w:before="120"/>
        <w:rPr>
          <w:b/>
          <w:sz w:val="24"/>
          <w:szCs w:val="24"/>
        </w:rPr>
      </w:pPr>
      <w:r w:rsidRPr="009B6A75">
        <w:rPr>
          <w:b/>
          <w:bCs/>
          <w:sz w:val="24"/>
          <w:szCs w:val="24"/>
        </w:rPr>
        <w:t>Комитет по правам человека</w:t>
      </w:r>
    </w:p>
    <w:p w14:paraId="0F2D92B9" w14:textId="77777777" w:rsidR="009B6A75" w:rsidRPr="00E9116B" w:rsidRDefault="009B6A75" w:rsidP="009B6A75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пятому периодическому докладу Филиппин</w:t>
      </w:r>
      <w:r w:rsidRPr="00624A03">
        <w:rPr>
          <w:rStyle w:val="aa"/>
          <w:b w:val="0"/>
          <w:bCs/>
          <w:sz w:val="20"/>
          <w:szCs w:val="22"/>
          <w:vertAlign w:val="baseline"/>
        </w:rPr>
        <w:footnoteReference w:customMarkFollows="1" w:id="1"/>
        <w:t>*</w:t>
      </w:r>
    </w:p>
    <w:p w14:paraId="626269B8" w14:textId="1449646F" w:rsidR="009B6A75" w:rsidRPr="00E9116B" w:rsidRDefault="009B6A75" w:rsidP="009B6A75">
      <w:pPr>
        <w:pStyle w:val="SingleTxtG"/>
      </w:pPr>
      <w:bookmarkStart w:id="0" w:name="_Hlk102133385"/>
      <w:r>
        <w:t>1.</w:t>
      </w:r>
      <w:r>
        <w:tab/>
        <w:t>Комитет рассмотрел пятый периодический доклад Филиппин</w:t>
      </w:r>
      <w:r w:rsidRPr="00330D0B">
        <w:rPr>
          <w:rStyle w:val="aa"/>
        </w:rPr>
        <w:footnoteReference w:id="2"/>
      </w:r>
      <w:r>
        <w:t xml:space="preserve"> на своих </w:t>
      </w:r>
      <w:r w:rsidR="00B37A50">
        <w:br/>
      </w:r>
      <w:r>
        <w:t>3919-м и 3920-м заседаниях</w:t>
      </w:r>
      <w:r w:rsidRPr="00330D0B">
        <w:rPr>
          <w:rStyle w:val="aa"/>
        </w:rPr>
        <w:footnoteReference w:id="3"/>
      </w:r>
      <w:r>
        <w:t>, состоявшихся 10 и 11 октября 2022</w:t>
      </w:r>
      <w:r w:rsidR="00B37A50">
        <w:t> год</w:t>
      </w:r>
      <w:r>
        <w:t xml:space="preserve">а. На своем </w:t>
      </w:r>
      <w:r w:rsidR="00B37A50">
        <w:br/>
      </w:r>
      <w:r>
        <w:t>3944-м заседании, состоявшемся 28 октября 2022</w:t>
      </w:r>
      <w:r w:rsidR="00B37A50">
        <w:t> год</w:t>
      </w:r>
      <w:r>
        <w:t>а, он принял настоящие заключительные замечания.</w:t>
      </w:r>
    </w:p>
    <w:p w14:paraId="747E9F9E" w14:textId="77777777" w:rsidR="009B6A75" w:rsidRPr="00E9116B" w:rsidRDefault="009B6A75" w:rsidP="009B6A75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Введение</w:t>
      </w:r>
      <w:bookmarkEnd w:id="0"/>
    </w:p>
    <w:p w14:paraId="38BE6031" w14:textId="77777777" w:rsidR="009B6A75" w:rsidRPr="00E9116B" w:rsidRDefault="009B6A75" w:rsidP="009B6A75">
      <w:pPr>
        <w:pStyle w:val="SingleTxtG"/>
      </w:pPr>
      <w:r>
        <w:t>2.</w:t>
      </w:r>
      <w:r>
        <w:tab/>
        <w:t>Комитет приветствует представление пятого периодического доклада Филиппин и содержащуюся в нем информацию. Он высоко оценивает возможность возобновить конструктивный диалог с высокопоставленной делегацией государства-участника относительно мер, принятых в течение отчетного периода для осуществления положений Пакта. Комитет также выражает благодарность государству-участнику за его письменные ответы</w:t>
      </w:r>
      <w:r w:rsidRPr="00330D0B">
        <w:rPr>
          <w:rStyle w:val="aa"/>
        </w:rPr>
        <w:footnoteReference w:id="4"/>
      </w:r>
      <w:r>
        <w:t xml:space="preserve"> на перечень вопросов</w:t>
      </w:r>
      <w:r w:rsidRPr="00330D0B">
        <w:rPr>
          <w:rStyle w:val="aa"/>
        </w:rPr>
        <w:footnoteReference w:id="5"/>
      </w:r>
      <w:r>
        <w:t>, которые были дополнены устными ответами членов делегации, а также за представленную ему в письменном виде дополнительную информацию.</w:t>
      </w:r>
    </w:p>
    <w:p w14:paraId="7A7D11F0" w14:textId="77777777" w:rsidR="009B6A75" w:rsidRPr="00E9116B" w:rsidRDefault="009B6A75" w:rsidP="009B6A75">
      <w:pPr>
        <w:pStyle w:val="H1G"/>
        <w:rPr>
          <w:rFonts w:eastAsiaTheme="minorEastAsia"/>
        </w:rPr>
      </w:pPr>
      <w:r>
        <w:rPr>
          <w:bCs/>
        </w:rPr>
        <w:tab/>
        <w:t>B.</w:t>
      </w:r>
      <w:r>
        <w:tab/>
      </w:r>
      <w:r>
        <w:rPr>
          <w:bCs/>
        </w:rPr>
        <w:t>Позитивные аспекты</w:t>
      </w:r>
    </w:p>
    <w:p w14:paraId="2B2611BC" w14:textId="77777777" w:rsidR="009B6A75" w:rsidRPr="00E9116B" w:rsidRDefault="009B6A75" w:rsidP="009B6A75">
      <w:pPr>
        <w:pStyle w:val="SingleTxtG"/>
      </w:pPr>
      <w:r>
        <w:t>3.</w:t>
      </w:r>
      <w:r>
        <w:tab/>
        <w:t>Комитет приветствует следующие законодательные и политические меры, принятые государством-участником:</w:t>
      </w:r>
    </w:p>
    <w:p w14:paraId="6E832259" w14:textId="53F744F1" w:rsidR="009B6A75" w:rsidRPr="00E9116B" w:rsidRDefault="009B6A75" w:rsidP="00B37A50">
      <w:pPr>
        <w:pStyle w:val="SingleTxtG"/>
        <w:ind w:firstLine="567"/>
      </w:pPr>
      <w:r>
        <w:t>a)</w:t>
      </w:r>
      <w:r>
        <w:tab/>
        <w:t>Закон о запрете практики детских браков (Республиканский закон №</w:t>
      </w:r>
      <w:r w:rsidR="00624A03">
        <w:rPr>
          <w:lang w:val="fr-CH"/>
        </w:rPr>
        <w:t> </w:t>
      </w:r>
      <w:r>
        <w:t>11596), в 2021</w:t>
      </w:r>
      <w:r w:rsidR="00B37A50">
        <w:t> год</w:t>
      </w:r>
      <w:r>
        <w:t>у;</w:t>
      </w:r>
    </w:p>
    <w:p w14:paraId="37C9B45B" w14:textId="34FD65C4" w:rsidR="009B6A75" w:rsidRPr="00E9116B" w:rsidRDefault="009B6A75" w:rsidP="00B37A50">
      <w:pPr>
        <w:pStyle w:val="SingleTxtG"/>
        <w:ind w:firstLine="567"/>
      </w:pPr>
      <w:r>
        <w:t>b)</w:t>
      </w:r>
      <w:r>
        <w:tab/>
        <w:t>Закон о борьбе с дискриминацией по возрасту при трудоустройстве (Республиканский закон № 10911), в 2016</w:t>
      </w:r>
      <w:r w:rsidR="00B37A50">
        <w:t> год</w:t>
      </w:r>
      <w:r>
        <w:t>у;</w:t>
      </w:r>
    </w:p>
    <w:p w14:paraId="5018E2FF" w14:textId="48187164" w:rsidR="009B6A75" w:rsidRPr="00E9116B" w:rsidRDefault="009B6A75" w:rsidP="00B37A50">
      <w:pPr>
        <w:pStyle w:val="SingleTxtG"/>
        <w:ind w:firstLine="567"/>
      </w:pPr>
      <w:r>
        <w:t>c)</w:t>
      </w:r>
      <w:r>
        <w:tab/>
        <w:t>Закон о борьбе с буллингом (Республиканский закон № 10627), в 2013</w:t>
      </w:r>
      <w:r w:rsidR="00B37A50">
        <w:t> год</w:t>
      </w:r>
      <w:r>
        <w:t>у;</w:t>
      </w:r>
    </w:p>
    <w:p w14:paraId="65C9259A" w14:textId="0C3E3289" w:rsidR="009B6A75" w:rsidRPr="00E9116B" w:rsidRDefault="009B6A75" w:rsidP="00B37A50">
      <w:pPr>
        <w:pStyle w:val="SingleTxtG"/>
        <w:ind w:firstLine="567"/>
      </w:pPr>
      <w:r>
        <w:t>d)</w:t>
      </w:r>
      <w:r>
        <w:tab/>
        <w:t>Закон о признании жертв нарушений прав человека и возмещении им ущерба (Республиканский закон № 10368), в 2013</w:t>
      </w:r>
      <w:r w:rsidR="00B37A50">
        <w:t> год</w:t>
      </w:r>
      <w:r>
        <w:t>у.</w:t>
      </w:r>
    </w:p>
    <w:p w14:paraId="70B48465" w14:textId="3DCECF59" w:rsidR="009B6A75" w:rsidRPr="00E9116B" w:rsidRDefault="009B6A75" w:rsidP="009B6A75">
      <w:pPr>
        <w:pStyle w:val="SingleTxtG"/>
        <w:rPr>
          <w:color w:val="000000" w:themeColor="text1"/>
        </w:rPr>
      </w:pPr>
      <w:r>
        <w:t>4.</w:t>
      </w:r>
      <w:r>
        <w:tab/>
        <w:t>Комитет также приветствует ратификацию государством-участником Конвенции о сокращении безгражданства в 2022</w:t>
      </w:r>
      <w:r w:rsidR="00B37A50">
        <w:t> год</w:t>
      </w:r>
      <w:r>
        <w:t>у.</w:t>
      </w:r>
    </w:p>
    <w:p w14:paraId="584815C5" w14:textId="4DF1E08C" w:rsidR="009B6A75" w:rsidRPr="00E9116B" w:rsidRDefault="009B6A75" w:rsidP="009B6A75">
      <w:pPr>
        <w:pStyle w:val="H1G"/>
      </w:pPr>
      <w:r>
        <w:rPr>
          <w:bCs/>
        </w:rPr>
        <w:lastRenderedPageBreak/>
        <w:tab/>
        <w:t>C.</w:t>
      </w:r>
      <w:r>
        <w:tab/>
      </w:r>
      <w:r>
        <w:rPr>
          <w:bCs/>
        </w:rPr>
        <w:t>Основные вопросы, вызывающие обеспокоенность, и</w:t>
      </w:r>
      <w:r w:rsidR="00CB402F">
        <w:rPr>
          <w:bCs/>
        </w:rPr>
        <w:t> </w:t>
      </w:r>
      <w:r>
        <w:rPr>
          <w:bCs/>
        </w:rPr>
        <w:t>рекомендации</w:t>
      </w:r>
    </w:p>
    <w:p w14:paraId="607802CD" w14:textId="77777777" w:rsidR="009B6A75" w:rsidRPr="00E9116B" w:rsidRDefault="009B6A75" w:rsidP="009B6A75">
      <w:pPr>
        <w:pStyle w:val="H23G"/>
        <w:rPr>
          <w:bdr w:val="none" w:sz="0" w:space="0" w:color="auto" w:frame="1"/>
        </w:rPr>
      </w:pPr>
      <w:r>
        <w:tab/>
      </w:r>
      <w:r>
        <w:tab/>
      </w:r>
      <w:r>
        <w:rPr>
          <w:bCs/>
        </w:rPr>
        <w:t>Осуществление Пакта и Факультативного протокола к нему</w:t>
      </w:r>
    </w:p>
    <w:p w14:paraId="77106350" w14:textId="1BEE389C" w:rsidR="009B6A75" w:rsidRPr="00E9116B" w:rsidRDefault="009B6A75" w:rsidP="009B6A75">
      <w:pPr>
        <w:pStyle w:val="SingleTxtG"/>
        <w:rPr>
          <w:b/>
          <w:bdr w:val="none" w:sz="0" w:space="0" w:color="auto" w:frame="1"/>
        </w:rPr>
      </w:pPr>
      <w:r>
        <w:t>5.</w:t>
      </w:r>
      <w:r>
        <w:tab/>
        <w:t>Комитет сожалеет об отсутствии информации о выполнении Соображений, принятых в соответствии с Факультативным протоколом к Пакту, и конкретной процедуры выполнения этих Соображений в государстве-участнике. Принимая к сведению информацию о Национальном плане действий в области прав человека (2018</w:t>
      </w:r>
      <w:r w:rsidR="00CB402F">
        <w:t>–</w:t>
      </w:r>
      <w:r>
        <w:t>2022</w:t>
      </w:r>
      <w:r w:rsidR="00B37A50">
        <w:t> год</w:t>
      </w:r>
      <w:r>
        <w:t>ы) и Совместной с Организацией Объединенных Наций программе по правам человека (2021</w:t>
      </w:r>
      <w:r w:rsidR="00CB402F">
        <w:t>–</w:t>
      </w:r>
      <w:r>
        <w:t>2024</w:t>
      </w:r>
      <w:r w:rsidR="00B37A50">
        <w:t> год</w:t>
      </w:r>
      <w:r>
        <w:t>ы), представленную делегацией государства-участника, Комитет сожалеет, что не было представлено достаточной информации о содержании Плана действий (статья 2).</w:t>
      </w:r>
    </w:p>
    <w:p w14:paraId="4ABEE308" w14:textId="4D997B58" w:rsidR="009B6A75" w:rsidRPr="00E9116B" w:rsidRDefault="009B6A75" w:rsidP="009B6A75">
      <w:pPr>
        <w:pStyle w:val="SingleTxtG"/>
        <w:rPr>
          <w:b/>
          <w:bCs/>
          <w:bdr w:val="none" w:sz="0" w:space="0" w:color="auto" w:frame="1"/>
        </w:rPr>
      </w:pPr>
      <w:r>
        <w:t>6.</w:t>
      </w:r>
      <w:r>
        <w:tab/>
      </w:r>
      <w:r>
        <w:rPr>
          <w:b/>
          <w:bCs/>
        </w:rPr>
        <w:t>Государству-участнику следует в полной мере выполнить Соображения Комитета и тем самым обеспечить доступ к эффективным средствам правовой защиты в случае нарушений Пакта.</w:t>
      </w:r>
      <w:r>
        <w:t xml:space="preserve"> </w:t>
      </w:r>
      <w:r>
        <w:rPr>
          <w:b/>
          <w:bCs/>
        </w:rPr>
        <w:t>Ему следует активизировать свои усилия по выполнению Соображений Комитета, в том числе через секретариат Президентского комитета по правам человека.</w:t>
      </w:r>
      <w:r>
        <w:t xml:space="preserve"> </w:t>
      </w:r>
      <w:r>
        <w:rPr>
          <w:b/>
          <w:bCs/>
        </w:rPr>
        <w:t>Кроме того, ему следует активизировать усилия по оценке выполнения Национального плана действий в области прав человека с использованием показателей в области прав человека, а также разработать и принять следующий план при конструктивном участии Комиссии по правам человека и организаций гражданского общества.</w:t>
      </w:r>
      <w:r>
        <w:t xml:space="preserve"> </w:t>
      </w:r>
      <w:r>
        <w:rPr>
          <w:b/>
          <w:bCs/>
        </w:rPr>
        <w:t xml:space="preserve">Ему также следует продолжать вносить эффективный вклад в реализацию Совместной с Организацией Объединенных Наций  программы по правам человека </w:t>
      </w:r>
      <w:r w:rsidR="00CB402F">
        <w:rPr>
          <w:b/>
          <w:bCs/>
        </w:rPr>
        <w:br/>
      </w:r>
      <w:r>
        <w:rPr>
          <w:b/>
          <w:bCs/>
        </w:rPr>
        <w:t>(2021</w:t>
      </w:r>
      <w:r w:rsidR="00CB402F">
        <w:rPr>
          <w:b/>
          <w:bCs/>
        </w:rPr>
        <w:t>–</w:t>
      </w:r>
      <w:r>
        <w:rPr>
          <w:b/>
          <w:bCs/>
        </w:rPr>
        <w:t>2024</w:t>
      </w:r>
      <w:r w:rsidR="00B37A50">
        <w:rPr>
          <w:b/>
          <w:bCs/>
        </w:rPr>
        <w:t> год</w:t>
      </w:r>
      <w:r>
        <w:rPr>
          <w:b/>
          <w:bCs/>
        </w:rPr>
        <w:t>ы) в сотрудничестве с соответствующими заинтересованными сторонами, включая страновую группу Организации Объединенных Наций на Филиппинах и Комиссию по правам человека.</w:t>
      </w:r>
    </w:p>
    <w:p w14:paraId="18188433" w14:textId="77777777" w:rsidR="009B6A75" w:rsidRPr="00E9116B" w:rsidRDefault="009B6A75" w:rsidP="009B6A75">
      <w:pPr>
        <w:pStyle w:val="H23G"/>
        <w:spacing w:before="0"/>
        <w:ind w:left="1138" w:right="1138" w:hanging="1138"/>
        <w:jc w:val="both"/>
      </w:pPr>
      <w:r>
        <w:tab/>
      </w:r>
      <w:r>
        <w:tab/>
      </w:r>
      <w:r>
        <w:rPr>
          <w:bCs/>
        </w:rPr>
        <w:t>Национальное правозащитное учреждение</w:t>
      </w:r>
    </w:p>
    <w:p w14:paraId="7F944747" w14:textId="6D637CAE" w:rsidR="009B6A75" w:rsidRPr="00E9116B" w:rsidRDefault="009B6A75" w:rsidP="009B6A75">
      <w:pPr>
        <w:pStyle w:val="SingleTxtG"/>
      </w:pPr>
      <w:r>
        <w:t>7.</w:t>
      </w:r>
      <w:r>
        <w:tab/>
        <w:t>Комитет приветствует дальнейшую аккредитацию Комиссии по правам человека со статусом А Глобальным альянсом национальных правозащитных учреждений и увеличение бюджета, выделенного Комиссии в период с 2016 по 2020</w:t>
      </w:r>
      <w:r w:rsidR="00B37A50">
        <w:t> год</w:t>
      </w:r>
      <w:r>
        <w:t>. Тем не менее он по-прежнему обеспокоен значительной задержкой в принятии законопроектов, касающихся устава Комиссии, которые направлены на укрепление и расширение ее мандата и полномочий, а также утверждениями о преследовании и запугивании членов Комиссии. Он также выражает сожаление в связи сообщениями о том, что не все должности членов Комиссии заполнены, поскольку это может препятствовать полноценной работе Комиссии (статья 2).</w:t>
      </w:r>
    </w:p>
    <w:p w14:paraId="767F7C2E" w14:textId="1CB3196C" w:rsidR="009B6A75" w:rsidRPr="00E9116B" w:rsidRDefault="009B6A75" w:rsidP="009B6A75">
      <w:pPr>
        <w:pStyle w:val="SingleTxtG"/>
        <w:rPr>
          <w:b/>
          <w:bdr w:val="none" w:sz="0" w:space="0" w:color="auto" w:frame="1"/>
        </w:rPr>
      </w:pPr>
      <w:r>
        <w:t>8.</w:t>
      </w:r>
      <w:r>
        <w:tab/>
      </w:r>
      <w:r>
        <w:rPr>
          <w:b/>
          <w:bCs/>
        </w:rPr>
        <w:t>Государству-участнику следует обеспечить незамедлительное принятие законопроектов, касающихся устава Комиссии, и дальнейшее полное соответствие Комиссии принципам, касающимся статуса национальных учреждений, занимающихся поощрением и защитой прав человека (Парижские принципы).</w:t>
      </w:r>
      <w:r>
        <w:t xml:space="preserve"> </w:t>
      </w:r>
      <w:r>
        <w:rPr>
          <w:b/>
          <w:bCs/>
        </w:rPr>
        <w:t>Ему следует предоставить Комиссии достаточные людские и финансовые ресурсы для независимого выполнения ею своего мандата во всех частях страны.</w:t>
      </w:r>
      <w:r>
        <w:t xml:space="preserve"> </w:t>
      </w:r>
      <w:r>
        <w:rPr>
          <w:b/>
          <w:bCs/>
        </w:rPr>
        <w:t>Государству-участнику следует также принять конкретные меры для обеспечения эффективной защиты членов от преследований и запугивания и предоставить возмещение тем, чьи права нарушены.</w:t>
      </w:r>
      <w:r>
        <w:t xml:space="preserve"> </w:t>
      </w:r>
      <w:r>
        <w:rPr>
          <w:b/>
          <w:bCs/>
        </w:rPr>
        <w:t>Кроме того, ему следует ускорить процесс поиска и назначения новых членов Комиссии, обладающих признанной компетентностью и соответствующим опытом в области защиты и поощрения прав человека.</w:t>
      </w:r>
    </w:p>
    <w:p w14:paraId="13CBE7A0" w14:textId="77777777" w:rsidR="009B6A75" w:rsidRPr="00E9116B" w:rsidRDefault="009B6A75" w:rsidP="009B6A75">
      <w:pPr>
        <w:pStyle w:val="H23G"/>
        <w:spacing w:before="0"/>
        <w:ind w:left="1138" w:right="1138" w:hanging="1138"/>
        <w:jc w:val="both"/>
      </w:pPr>
      <w:r>
        <w:tab/>
      </w:r>
      <w:r>
        <w:tab/>
      </w:r>
      <w:r>
        <w:rPr>
          <w:bCs/>
        </w:rPr>
        <w:t>Антикоррупционные меры</w:t>
      </w:r>
    </w:p>
    <w:p w14:paraId="1081A2CB" w14:textId="19030258" w:rsidR="009B6A75" w:rsidRPr="00E9116B" w:rsidRDefault="009B6A75" w:rsidP="009B6A75">
      <w:pPr>
        <w:pStyle w:val="SingleTxtG"/>
      </w:pPr>
      <w:r>
        <w:t>9.</w:t>
      </w:r>
      <w:r>
        <w:tab/>
        <w:t>Отмечая усилия государства-участника по борьбе с коррупцией, такие как создание Президентской антикоррупционной комиссии в 2017</w:t>
      </w:r>
      <w:r w:rsidR="00B37A50">
        <w:t> год</w:t>
      </w:r>
      <w:r>
        <w:t xml:space="preserve">у и </w:t>
      </w:r>
      <w:r w:rsidR="00B37A50">
        <w:t>«</w:t>
      </w:r>
      <w:r>
        <w:t>горячей линии</w:t>
      </w:r>
      <w:r w:rsidR="00B37A50">
        <w:t>»</w:t>
      </w:r>
      <w:r>
        <w:t xml:space="preserve"> для жалоб граждан, Комитет по-прежнему обеспокоен сообщениями о том, что коррупция, как и ранее, имеет широкое распространение и усилилась в контексте ответных мер государства на пандемию коронавирусной болезни (COVID-19). Он</w:t>
      </w:r>
      <w:r w:rsidR="00D13B16">
        <w:t> </w:t>
      </w:r>
      <w:r>
        <w:t>обеспокоен сообщениями о том, что органы, рассматривающие утверждения о коррупции, включая Управление омбудсмена, не имеют достаточных финансовых и технических ресурсов для расследования всех таких утверждений (статьи 2 и 25).</w:t>
      </w:r>
    </w:p>
    <w:p w14:paraId="584F0C07" w14:textId="77777777" w:rsidR="009B6A75" w:rsidRPr="00E9116B" w:rsidRDefault="009B6A75" w:rsidP="009B6A75">
      <w:pPr>
        <w:pStyle w:val="SingleTxtG"/>
        <w:rPr>
          <w:b/>
        </w:rPr>
      </w:pPr>
      <w:r>
        <w:t>10.</w:t>
      </w:r>
      <w:r>
        <w:tab/>
      </w:r>
      <w:r>
        <w:rPr>
          <w:b/>
          <w:bCs/>
        </w:rPr>
        <w:t>Государству-участнику следует активизировать свои усилия для предотвращения и искоренения коррупции и безнаказанности на всех уровнях.</w:t>
      </w:r>
      <w:r>
        <w:t xml:space="preserve"> </w:t>
      </w:r>
      <w:r>
        <w:rPr>
          <w:b/>
          <w:bCs/>
        </w:rPr>
        <w:t>Ему следует обеспечить, чтобы все утверждения о коррупции, в том числе в связи с государственными закупками, оперативно, независимо и тщательно расследовались, чтобы виновные должным образом привлекались к ответственности и наказывались, а жертвы получали полное возмещение ущерба.</w:t>
      </w:r>
      <w:r>
        <w:t xml:space="preserve"> </w:t>
      </w:r>
      <w:r>
        <w:rPr>
          <w:b/>
          <w:bCs/>
        </w:rPr>
        <w:t>С этой целью ему следует немедленно предоставить достаточные людские, технические и финансовые ресурсы своим антикоррупционным органам, включая Управление омбудсмена, с тем чтобы они могли эффективным и независимым образом выполнять свои мандаты.</w:t>
      </w:r>
    </w:p>
    <w:p w14:paraId="6B8D50EA" w14:textId="77777777" w:rsidR="009B6A75" w:rsidRPr="00E9116B" w:rsidRDefault="009B6A75" w:rsidP="009B6A75">
      <w:pPr>
        <w:pStyle w:val="H23G"/>
        <w:spacing w:before="0"/>
        <w:ind w:left="1138" w:right="1138" w:hanging="1138"/>
        <w:jc w:val="both"/>
      </w:pPr>
      <w:r>
        <w:tab/>
      </w:r>
      <w:r>
        <w:tab/>
      </w:r>
      <w:r>
        <w:rPr>
          <w:bCs/>
        </w:rPr>
        <w:t>Борьба с безнаказанностью и ранее совершенными нарушениями прав человека</w:t>
      </w:r>
    </w:p>
    <w:p w14:paraId="27662230" w14:textId="73845A6F" w:rsidR="009B6A75" w:rsidRPr="00E9116B" w:rsidRDefault="009B6A75" w:rsidP="009B6A75">
      <w:pPr>
        <w:pStyle w:val="SingleTxtG"/>
      </w:pPr>
      <w:r>
        <w:t>11.</w:t>
      </w:r>
      <w:r>
        <w:tab/>
        <w:t>Отмечая вынесение в декабре 2019</w:t>
      </w:r>
      <w:r w:rsidR="00B37A50">
        <w:t> год</w:t>
      </w:r>
      <w:r>
        <w:t>а обвинительных приговоров некоторым из виновных в массовой расправе в Магинданао в 2009</w:t>
      </w:r>
      <w:r w:rsidR="00B37A50">
        <w:t> год</w:t>
      </w:r>
      <w:r>
        <w:t>у, в ходе которой были убиты 58 человек, Комитет выражает сожаление по поводу значительной задержки в привлечении этих лиц к ответственности и большого числа подозреваемых, которые еще не арестованы, что вызывает обеспокоенность по поводу безопасности тех, кто добивается правосудия. Отмечая также принятие Закона о признании жертв нарушений прав человека и возмещении им ущерба 2013</w:t>
      </w:r>
      <w:r w:rsidR="00B37A50">
        <w:t> год</w:t>
      </w:r>
      <w:r>
        <w:t>а, в соответствии с которым был создан Совет по рассмотрению исков жертв нарушений прав человека, у</w:t>
      </w:r>
      <w:r w:rsidR="00D13B16">
        <w:t> </w:t>
      </w:r>
      <w:r>
        <w:t>него по-прежнему сохраняется обеспокоенность относительно достаточности и охвата такой компенсации. Принимая к сведению информацию государства-участника о законопроекте о создании региональной комиссии по правосудию переходного пер</w:t>
      </w:r>
      <w:r w:rsidR="00F579AB">
        <w:t>и</w:t>
      </w:r>
      <w:r>
        <w:t>ода и примирению для Автономного региона Бангсаморо в мусульманском Минданао, он сожалеет, что государство-участник еще не создало национальную комиссию по правосудию переходного периода и примирению для Бангсаморо, как это было рекомендовано Комиссией по правосудию переходного периода и примирению в ее докладе за 2016</w:t>
      </w:r>
      <w:r w:rsidR="00B37A50">
        <w:t> год</w:t>
      </w:r>
      <w:r>
        <w:t xml:space="preserve"> (статьи 6</w:t>
      </w:r>
      <w:r w:rsidR="00F579AB">
        <w:t>–</w:t>
      </w:r>
      <w:r>
        <w:t>7, 9, 14 и 26).</w:t>
      </w:r>
    </w:p>
    <w:p w14:paraId="143A449C" w14:textId="77777777" w:rsidR="009B6A75" w:rsidRPr="00E9116B" w:rsidRDefault="009B6A75" w:rsidP="009B6A75">
      <w:pPr>
        <w:pStyle w:val="SingleTxtG"/>
        <w:rPr>
          <w:b/>
        </w:rPr>
      </w:pPr>
      <w:r>
        <w:t>12.</w:t>
      </w:r>
      <w:r>
        <w:tab/>
      </w:r>
      <w:r>
        <w:rPr>
          <w:b/>
          <w:bCs/>
        </w:rPr>
        <w:t>Государству-участнику следует своевременно расследовать все зарегистрированные случаи нарушений прав человека в прошлом и обеспечить, чтобы правонарушители были привлечены к ответственности, чтобы назначенные наказания были соразмерны тяжести совершенного преступления и чтобы жертвы или члены их семей получили полное возмещение ущерба, включая адекватную компенсацию, а также другие юридические, медицинские, психологические и реабилитационные услуги.</w:t>
      </w:r>
      <w:r>
        <w:t xml:space="preserve"> </w:t>
      </w:r>
      <w:r>
        <w:rPr>
          <w:b/>
          <w:bCs/>
        </w:rPr>
        <w:t>Ему следует обеспечить, чтобы все жертвы прошлых нарушений прав человека имели адекватный доступ к программам компенсации, в том числе в соответствии с Законом о признании жертв нарушений прав человека и возмещении им ущерба, и чтобы жертвы и их родственники, добивающиеся справедливости и возмещения ущерба, были защищены от запугивания и преследования.</w:t>
      </w:r>
      <w:r>
        <w:t xml:space="preserve"> </w:t>
      </w:r>
      <w:r>
        <w:rPr>
          <w:b/>
          <w:bCs/>
        </w:rPr>
        <w:t>Ему также следует ускорить создание национального механизма правосудия переходного периода и примирения для Бангсаморо, соответствующего международному праву и международным стандартам.</w:t>
      </w:r>
    </w:p>
    <w:p w14:paraId="1A66DEDA" w14:textId="77777777" w:rsidR="009B6A75" w:rsidRPr="00E9116B" w:rsidRDefault="009B6A75" w:rsidP="009B6A75">
      <w:pPr>
        <w:pStyle w:val="H23G"/>
        <w:spacing w:before="0"/>
        <w:ind w:left="1138" w:right="1138" w:hanging="1138"/>
        <w:jc w:val="both"/>
      </w:pPr>
      <w:r>
        <w:tab/>
      </w:r>
      <w:r>
        <w:tab/>
      </w:r>
      <w:r>
        <w:rPr>
          <w:bCs/>
        </w:rPr>
        <w:t>Меры по борьбе с терроризмом</w:t>
      </w:r>
    </w:p>
    <w:p w14:paraId="7780244A" w14:textId="52BCF2D4" w:rsidR="009B6A75" w:rsidRPr="00E9116B" w:rsidRDefault="009B6A75" w:rsidP="009B6A75">
      <w:pPr>
        <w:pStyle w:val="SingleTxtG"/>
      </w:pPr>
      <w:r>
        <w:t>13.</w:t>
      </w:r>
      <w:r>
        <w:tab/>
        <w:t>Комитет обеспокоен Законом о борьбе с терроризмом 2020</w:t>
      </w:r>
      <w:r w:rsidR="00B37A50">
        <w:t> год</w:t>
      </w:r>
      <w:r>
        <w:t>а, в частности в связи с:</w:t>
      </w:r>
    </w:p>
    <w:p w14:paraId="09FD1596" w14:textId="77777777" w:rsidR="009B6A75" w:rsidRPr="00E9116B" w:rsidRDefault="009B6A75" w:rsidP="00B37A50">
      <w:pPr>
        <w:pStyle w:val="SingleTxtG"/>
        <w:ind w:firstLine="567"/>
      </w:pPr>
      <w:r>
        <w:t>a)</w:t>
      </w:r>
      <w:r>
        <w:tab/>
        <w:t>сообщениями о непроведении существенных консультаций при принятии этого закона;</w:t>
      </w:r>
    </w:p>
    <w:p w14:paraId="4D31C1C8" w14:textId="77777777" w:rsidR="009B6A75" w:rsidRPr="00E9116B" w:rsidRDefault="009B6A75" w:rsidP="00B37A50">
      <w:pPr>
        <w:pStyle w:val="SingleTxtG"/>
        <w:ind w:firstLine="567"/>
      </w:pPr>
      <w:r>
        <w:t>b)</w:t>
      </w:r>
      <w:r>
        <w:tab/>
        <w:t>чрезмерно широкими и расплывчатыми определениями терроризма, содержащимися в этом законе;</w:t>
      </w:r>
    </w:p>
    <w:p w14:paraId="08E3E888" w14:textId="77777777" w:rsidR="009B6A75" w:rsidRPr="00E9116B" w:rsidRDefault="009B6A75" w:rsidP="00B37A50">
      <w:pPr>
        <w:pStyle w:val="SingleTxtG"/>
        <w:ind w:firstLine="567"/>
      </w:pPr>
      <w:r>
        <w:t>c)</w:t>
      </w:r>
      <w:r>
        <w:tab/>
        <w:t>арестами без ордера и длительным содержанием под стражей до 24 дней лиц, подозреваемых в терроризме, без предъявления обвинения;</w:t>
      </w:r>
    </w:p>
    <w:p w14:paraId="2A5C58D6" w14:textId="77777777" w:rsidR="009B6A75" w:rsidRPr="00E9116B" w:rsidRDefault="009B6A75" w:rsidP="00B37A50">
      <w:pPr>
        <w:pStyle w:val="SingleTxtG"/>
        <w:ind w:firstLine="567"/>
      </w:pPr>
      <w:r>
        <w:t>d)</w:t>
      </w:r>
      <w:r>
        <w:tab/>
        <w:t>чрезмерными полномочиями, предоставленными Антитеррористическому совету, которые позволяют ему собирать и публиковать личные данные лиц, подозреваемых в терроризме, без судебного надзора, а также вести наблюдение за этими лицами без их ведома;</w:t>
      </w:r>
    </w:p>
    <w:p w14:paraId="33C8E2C2" w14:textId="3FD0A5D5" w:rsidR="009B6A75" w:rsidRPr="00E9116B" w:rsidRDefault="009B6A75" w:rsidP="00B37A50">
      <w:pPr>
        <w:pStyle w:val="SingleTxtG"/>
        <w:ind w:firstLine="567"/>
        <w:rPr>
          <w:bCs/>
        </w:rPr>
      </w:pPr>
      <w:r>
        <w:t>e)</w:t>
      </w:r>
      <w:r>
        <w:tab/>
        <w:t xml:space="preserve">использованием этого закона для узаконивания преследования критиков правительства, правозащитников и журналистов, в том числе путем занесения неугодных в </w:t>
      </w:r>
      <w:r w:rsidR="00B37A50">
        <w:t>«</w:t>
      </w:r>
      <w:r>
        <w:t>красные списки</w:t>
      </w:r>
      <w:r w:rsidR="00B37A50">
        <w:t>»</w:t>
      </w:r>
      <w:r>
        <w:t>, и последующего сдерживающего воздействия на свободу выражения мнений, мирных собраний и ассоциации (статьи 4, 17, 19, 21 и 22).</w:t>
      </w:r>
    </w:p>
    <w:p w14:paraId="3CAFFE39" w14:textId="77777777" w:rsidR="009B6A75" w:rsidRPr="00E9116B" w:rsidRDefault="009B6A75" w:rsidP="009B6A75">
      <w:pPr>
        <w:pStyle w:val="SingleTxtG"/>
        <w:rPr>
          <w:b/>
        </w:rPr>
      </w:pPr>
      <w:r>
        <w:t>14.</w:t>
      </w:r>
      <w:r>
        <w:tab/>
      </w:r>
      <w:r>
        <w:rPr>
          <w:b/>
          <w:bCs/>
        </w:rPr>
        <w:t>Государству-участнику следует:</w:t>
      </w:r>
    </w:p>
    <w:p w14:paraId="46B8B111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a)</w:t>
      </w:r>
      <w:r w:rsidRPr="00B37A50">
        <w:rPr>
          <w:b/>
          <w:bCs/>
        </w:rPr>
        <w:tab/>
        <w:t>пересмотреть и изменить Закон о борьбе с терроризмом, в частности его статьи 25 и 29, с целью приведения его в полное соответствие с Пактом и принципами правовой определенности, предсказуемости и пропорциональности. При этом ему следует обеспечить процесс консультаций с участием соответствующих заинтересованных сторон, включая Комиссию по правам человека и организации гражданского общества;</w:t>
      </w:r>
    </w:p>
    <w:p w14:paraId="366DA348" w14:textId="03BD058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b)</w:t>
      </w:r>
      <w:r w:rsidRPr="00B37A50">
        <w:rPr>
          <w:b/>
          <w:bCs/>
        </w:rPr>
        <w:tab/>
        <w:t>обеспечить, чтобы лицам, подозреваемым или обвиняемым в совершении террористических актов или связанных с ними преступлений, в</w:t>
      </w:r>
      <w:r w:rsidR="00E2174A">
        <w:rPr>
          <w:b/>
          <w:bCs/>
        </w:rPr>
        <w:t> </w:t>
      </w:r>
      <w:r w:rsidRPr="00B37A50">
        <w:rPr>
          <w:b/>
          <w:bCs/>
        </w:rPr>
        <w:t>законодательстве и на практике предоставлялись все надлежащие правовые гарантии, в частности право быть информированными о предъявленных им обвинениях, быть незамедлительно доставленными к судье и иметь доступ к адвокату в соответствии со статьей 9 Пакта и замечанием общего порядка № 35 (2014) Комитета о свободе и безопасности личности;</w:t>
      </w:r>
    </w:p>
    <w:p w14:paraId="271DCD49" w14:textId="159F5030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c)</w:t>
      </w:r>
      <w:r w:rsidRPr="00B37A50">
        <w:rPr>
          <w:b/>
          <w:bCs/>
        </w:rPr>
        <w:tab/>
        <w:t>содействовать независимому, эффективному и регулярному мониторингу без предварительного уведомления и на неконтрольной основе, в</w:t>
      </w:r>
      <w:r w:rsidR="00E2174A">
        <w:rPr>
          <w:b/>
          <w:bCs/>
        </w:rPr>
        <w:t> </w:t>
      </w:r>
      <w:r w:rsidRPr="00B37A50">
        <w:rPr>
          <w:b/>
          <w:bCs/>
        </w:rPr>
        <w:t>том числе Комиссией по правам человека, всех мест содержания под стражей, в</w:t>
      </w:r>
      <w:r w:rsidR="00E2174A">
        <w:rPr>
          <w:b/>
          <w:bCs/>
        </w:rPr>
        <w:t> </w:t>
      </w:r>
      <w:r w:rsidRPr="00B37A50">
        <w:rPr>
          <w:b/>
          <w:bCs/>
        </w:rPr>
        <w:t>которых содержатся лица в соответствии с Законом о борьбе с терроризмом;</w:t>
      </w:r>
    </w:p>
    <w:p w14:paraId="3D5931FA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d)</w:t>
      </w:r>
      <w:r w:rsidRPr="00B37A50">
        <w:rPr>
          <w:b/>
          <w:bCs/>
        </w:rPr>
        <w:tab/>
        <w:t>обеспечить, чтобы любое вмешательство в право на неприкосновенность частной жизни, в том числе путем публикации личных данных лиц, подозреваемых в террористических актах, и деятельности по наблюдению, требовало предварительного разрешения суда и подлежало эффективному, регулярному и независимому надзору, и чтобы затронутые лица, по возможности, уведомлялись о деятельности по наблюдению и перехвату информации, объектом которой они являются, и имели доступ к эффективным средствам правовой защиты в случаях злоупотребления;</w:t>
      </w:r>
    </w:p>
    <w:p w14:paraId="21DF1019" w14:textId="77777777" w:rsidR="009B6A75" w:rsidRPr="00E9116B" w:rsidRDefault="009B6A75" w:rsidP="00B37A50">
      <w:pPr>
        <w:pStyle w:val="SingleTxtG"/>
        <w:ind w:firstLine="567"/>
        <w:rPr>
          <w:b/>
        </w:rPr>
      </w:pPr>
      <w:r w:rsidRPr="00B37A50">
        <w:rPr>
          <w:b/>
          <w:bCs/>
        </w:rPr>
        <w:t>e)</w:t>
      </w:r>
      <w:r w:rsidRPr="00B37A50">
        <w:rPr>
          <w:b/>
          <w:bCs/>
        </w:rPr>
        <w:tab/>
        <w:t>воздерживаться от использования контртеррористического законодательства для ограничения и подавления свободы слова, собраний и ассоциации критиков правительства, правозащитников и журналистов</w:t>
      </w:r>
      <w:r>
        <w:rPr>
          <w:b/>
          <w:bCs/>
        </w:rPr>
        <w:t>.</w:t>
      </w:r>
    </w:p>
    <w:p w14:paraId="0579657A" w14:textId="77777777" w:rsidR="009B6A75" w:rsidRPr="00E9116B" w:rsidRDefault="009B6A75" w:rsidP="009B6A75">
      <w:pPr>
        <w:pStyle w:val="H23G"/>
        <w:spacing w:before="0"/>
        <w:ind w:left="1138" w:right="1138" w:hanging="1138"/>
        <w:jc w:val="both"/>
      </w:pPr>
      <w:r>
        <w:tab/>
      </w:r>
      <w:r>
        <w:tab/>
      </w:r>
      <w:r>
        <w:rPr>
          <w:bCs/>
        </w:rPr>
        <w:t>Недискриминация</w:t>
      </w:r>
    </w:p>
    <w:p w14:paraId="1D36BD5C" w14:textId="36940B76" w:rsidR="009B6A75" w:rsidRPr="00E9116B" w:rsidRDefault="009B6A75" w:rsidP="009B6A75">
      <w:pPr>
        <w:pStyle w:val="SingleTxtG"/>
      </w:pPr>
      <w:r>
        <w:t>15.</w:t>
      </w:r>
      <w:r>
        <w:tab/>
        <w:t>Комитет принимает к сведению несколько антидискриминационных законопроектов, находящихся на разных стадиях рассмотрения в государстве-участнике, включая комплексные антидискриминационные законопроекты и законопроекты о борьбе с дискриминацией по признаку расы, этнической принадлежности, религии, сексуальной ориентации, гендерной идентичности и самовыражения и половых признаков. Однако он по-прежнему обеспокоен задержкой в принятии этих законопроектов и продолжающими поступать сообщениями о дискриминационной практике и дискриминационном отношении к людям с инвалидностью, лесбиянкам, геям, бисексуальным и трансгендерным людям, мусульманам и коренным народам. В частности, он обеспокоен сообщениями о жизненных ситу</w:t>
      </w:r>
      <w:r w:rsidR="00E2174A">
        <w:t>а</w:t>
      </w:r>
      <w:r>
        <w:t xml:space="preserve">циях людей с инвалидностью, в том числе детей с психосоциальной инвалидностью, и стигме, с которой они сталкиваются, положением о </w:t>
      </w:r>
      <w:r w:rsidR="00B37A50">
        <w:t>«</w:t>
      </w:r>
      <w:r>
        <w:t>серьезном скандале</w:t>
      </w:r>
      <w:r w:rsidR="00B37A50">
        <w:t>»</w:t>
      </w:r>
      <w:r>
        <w:t xml:space="preserve"> в пересмотренном Уголовном кодексе, которое позволяет подвергать лесбиянок, геев, бисексуаладьных и трансгендерных людей преследованиям и вымогательствам со стороны полиции, стереотипами, насаждаемыми государственными служащими, связывающими мусульман с терроризмом, дискриминацией молодых мусульман в сфере занятости и дискриминацией коренных народов в доступе к здравоохранению, образованию и социальным услугам </w:t>
      </w:r>
      <w:r w:rsidR="00E2174A">
        <w:br/>
      </w:r>
      <w:r>
        <w:t>(статьи 2 и 26).</w:t>
      </w:r>
    </w:p>
    <w:p w14:paraId="580B2333" w14:textId="77777777" w:rsidR="009B6A75" w:rsidRPr="00E9116B" w:rsidRDefault="009B6A75" w:rsidP="009B6A75">
      <w:pPr>
        <w:pStyle w:val="SingleTxtG"/>
        <w:rPr>
          <w:b/>
        </w:rPr>
      </w:pPr>
      <w:r>
        <w:t>16.</w:t>
      </w:r>
      <w:r>
        <w:tab/>
      </w:r>
      <w:r>
        <w:rPr>
          <w:b/>
          <w:bCs/>
        </w:rPr>
        <w:t>Государству-участнику следует:</w:t>
      </w:r>
    </w:p>
    <w:p w14:paraId="3E523EE2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a)</w:t>
      </w:r>
      <w:r w:rsidRPr="00B37A50">
        <w:rPr>
          <w:b/>
          <w:bCs/>
        </w:rPr>
        <w:tab/>
        <w:t>принять всеобъемлющее законодательство, запрещающее дискриминацию, в том числе множественную, прямую и косвенную, во всех сферах, как в государственном, так и в частном секторах, и по всем признакам, запрещенным Пактом, и обеспечить доступ к эффективным и надлежащим средствам правовой защиты для жертв дискриминации;</w:t>
      </w:r>
    </w:p>
    <w:p w14:paraId="74433865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b)</w:t>
      </w:r>
      <w:r w:rsidRPr="00B37A50">
        <w:rPr>
          <w:b/>
          <w:bCs/>
        </w:rPr>
        <w:tab/>
        <w:t>принять эффективные меры по борьбе со стереотипами и негативным отношением к лицам по признаку инвалидности, сексуальной ориентации и гендерной идентичности и этнической принадлежности;</w:t>
      </w:r>
    </w:p>
    <w:p w14:paraId="51D761CB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c)</w:t>
      </w:r>
      <w:r w:rsidRPr="00B37A50">
        <w:rPr>
          <w:b/>
          <w:bCs/>
        </w:rPr>
        <w:tab/>
        <w:t>обеспечить, чтобы все акты дискриминации и насилия в отношении лиц с ограниченными возможностями, лесбиянок, геев, бисексуальных и трансгендерных людей, членов групп меньшинств и коренных народов оперативно и эффективно расследовались, виновные привлекались к ответственности, а жертвам предоставлялось возмещение.</w:t>
      </w:r>
    </w:p>
    <w:p w14:paraId="4ECF8030" w14:textId="77777777" w:rsidR="009B6A75" w:rsidRPr="00E9116B" w:rsidRDefault="009B6A75" w:rsidP="009B6A75">
      <w:pPr>
        <w:pStyle w:val="H23G"/>
      </w:pPr>
      <w:r>
        <w:tab/>
      </w:r>
      <w:r>
        <w:tab/>
      </w:r>
      <w:r>
        <w:rPr>
          <w:bCs/>
        </w:rPr>
        <w:t>Гендерное равенство</w:t>
      </w:r>
    </w:p>
    <w:p w14:paraId="09758A4E" w14:textId="5B6A341A" w:rsidR="009B6A75" w:rsidRPr="00E9116B" w:rsidRDefault="009B6A75" w:rsidP="009B6A75">
      <w:pPr>
        <w:pStyle w:val="SingleTxtG"/>
      </w:pPr>
      <w:r>
        <w:t>17.</w:t>
      </w:r>
      <w:r>
        <w:tab/>
        <w:t>Отмечая рост представленности женщин в государственном секторе, Комитет сожалеет об общем низком уровне их представленности в политической и общественной жизни, в частности на руководящих должностях, и об отсутствии обновленных данных по этому вопросу. Он обеспокоен сообщениями о том, что с 2016</w:t>
      </w:r>
      <w:r w:rsidR="00B37A50">
        <w:t> год</w:t>
      </w:r>
      <w:r>
        <w:t>а несколько женщин, в основном критиков предыдущей администрации, были произвольно смещены со своих судебных и выборных должностей, в то время как мужчины-критики избежали наказания (статьи 2</w:t>
      </w:r>
      <w:r w:rsidR="004268E4">
        <w:t>–</w:t>
      </w:r>
      <w:r>
        <w:t>3 и 25</w:t>
      </w:r>
      <w:r w:rsidR="004268E4">
        <w:t>–</w:t>
      </w:r>
      <w:r>
        <w:t>26).</w:t>
      </w:r>
    </w:p>
    <w:p w14:paraId="7D479625" w14:textId="67930D17" w:rsidR="009B6A75" w:rsidRPr="00E9116B" w:rsidRDefault="009B6A75" w:rsidP="009B6A75">
      <w:pPr>
        <w:pStyle w:val="SingleTxtG"/>
        <w:rPr>
          <w:b/>
        </w:rPr>
      </w:pPr>
      <w:r>
        <w:t>18.</w:t>
      </w:r>
      <w:r>
        <w:tab/>
      </w:r>
      <w:r>
        <w:rPr>
          <w:b/>
          <w:bCs/>
        </w:rPr>
        <w:t>Государству-участнику следует активизировать свои усилия по обеспечению гендерного равенства в законодательстве и на практике.</w:t>
      </w:r>
      <w:r>
        <w:t xml:space="preserve"> </w:t>
      </w:r>
      <w:r>
        <w:rPr>
          <w:b/>
          <w:bCs/>
        </w:rPr>
        <w:t>В</w:t>
      </w:r>
      <w:r w:rsidR="004268E4">
        <w:rPr>
          <w:b/>
          <w:bCs/>
        </w:rPr>
        <w:t> </w:t>
      </w:r>
      <w:r>
        <w:rPr>
          <w:b/>
          <w:bCs/>
        </w:rPr>
        <w:t>частности, ему следует:</w:t>
      </w:r>
    </w:p>
    <w:p w14:paraId="3E57F20B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a)</w:t>
      </w:r>
      <w:r w:rsidRPr="00B37A50">
        <w:rPr>
          <w:b/>
          <w:bCs/>
        </w:rPr>
        <w:tab/>
        <w:t>Увеличить представительство женщин на руководящих должностях на всех уровнях исполнительной, законодательной и судебной ветвей власти, а также в частном секторе;</w:t>
      </w:r>
    </w:p>
    <w:p w14:paraId="4EED595A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b)</w:t>
      </w:r>
      <w:r w:rsidRPr="00B37A50">
        <w:rPr>
          <w:b/>
          <w:bCs/>
        </w:rPr>
        <w:tab/>
        <w:t>покончить с гендерными стереотипами о роли и обязанностях женщин и мужчин в семье и обществе;</w:t>
      </w:r>
    </w:p>
    <w:p w14:paraId="0289A4DF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c)</w:t>
      </w:r>
      <w:r w:rsidRPr="00B37A50">
        <w:rPr>
          <w:b/>
          <w:bCs/>
        </w:rPr>
        <w:tab/>
        <w:t>воздерживаться от любого дискриминационного отношения к женщинам, занимающим руководящие и директивные должности.</w:t>
      </w:r>
    </w:p>
    <w:p w14:paraId="7586A3F3" w14:textId="77777777" w:rsidR="009B6A75" w:rsidRPr="00E9116B" w:rsidRDefault="009B6A75" w:rsidP="009B6A75">
      <w:pPr>
        <w:pStyle w:val="H23G"/>
      </w:pPr>
      <w:r>
        <w:tab/>
      </w:r>
      <w:r>
        <w:tab/>
      </w:r>
      <w:r>
        <w:rPr>
          <w:bCs/>
        </w:rPr>
        <w:t>Насилие в отношении женщин, включая семейно-бытовое насилие</w:t>
      </w:r>
    </w:p>
    <w:p w14:paraId="494C902C" w14:textId="25F0E3FE" w:rsidR="009B6A75" w:rsidRPr="00E9116B" w:rsidRDefault="009B6A75" w:rsidP="009B6A75">
      <w:pPr>
        <w:pStyle w:val="SingleTxtG"/>
      </w:pPr>
      <w:r>
        <w:t>19.</w:t>
      </w:r>
      <w:r>
        <w:tab/>
        <w:t>Отмечая усилия государства-участника по активизации применения Закона о борьбе с насилием в отношении женщин и их детей 2004</w:t>
      </w:r>
      <w:r w:rsidR="00B37A50">
        <w:t> год</w:t>
      </w:r>
      <w:r>
        <w:t>а и повышению осведомленности в этой области, Комитет по-прежнему обеспокоен отсутствием информации о воздействии этих мер и постоянным занижением числа случаев насилия в отношении женщин, что отчасти объясняется неспособностью властей привлечь виновных к ответственности. Он обеспокоен информацией о том, что значительное снижение числа зарегистрированных случаев насилия в отношении женщин в 2020</w:t>
      </w:r>
      <w:r w:rsidR="00B37A50">
        <w:t> год</w:t>
      </w:r>
      <w:r>
        <w:t>у может указывать на дополнительные препятствия для подачи соответствующих заявлений во время пандемии COVID-19. Отмечая законопроекты, направленные на легализацию разводов, Комитет вновь заявляет о своей обеспокоенности</w:t>
      </w:r>
      <w:r w:rsidRPr="00330D0B">
        <w:rPr>
          <w:rStyle w:val="aa"/>
        </w:rPr>
        <w:footnoteReference w:id="6"/>
      </w:r>
      <w:r>
        <w:t xml:space="preserve"> тем, что отсутствие законодательства, предусматривающего развод, возможно, вынуждает жертв семейно-бытового насилия оставаться в насильственных взаимоотношениях (статьи 2, 3, 6, 7 и 26).</w:t>
      </w:r>
    </w:p>
    <w:p w14:paraId="1943D24F" w14:textId="77777777" w:rsidR="009B6A75" w:rsidRPr="00E9116B" w:rsidRDefault="009B6A75" w:rsidP="004268E4">
      <w:pPr>
        <w:pStyle w:val="SingleTxtG"/>
        <w:pageBreakBefore/>
        <w:rPr>
          <w:b/>
        </w:rPr>
      </w:pPr>
      <w:r>
        <w:t>20.</w:t>
      </w:r>
      <w:r>
        <w:tab/>
      </w:r>
      <w:r>
        <w:rPr>
          <w:b/>
          <w:bCs/>
        </w:rPr>
        <w:t>Государству-участнику следует активизировать его усилия в целях:</w:t>
      </w:r>
    </w:p>
    <w:p w14:paraId="59E7F0DF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a)</w:t>
      </w:r>
      <w:r w:rsidRPr="00B37A50">
        <w:rPr>
          <w:b/>
          <w:bCs/>
        </w:rPr>
        <w:tab/>
        <w:t>поощрения направления заявлений о случаях насилия в отношении женщин, в том числе путем обеспечения того, чтобы все женщины имели доступ к различным формам направления заявлений и информации о своих правах и имеющихся средствах правовой защиты, а также путем решения проблем, связанных с отношением общества к направлению заявлений;</w:t>
      </w:r>
    </w:p>
    <w:p w14:paraId="3210827D" w14:textId="04BDB673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b)</w:t>
      </w:r>
      <w:r w:rsidRPr="00B37A50">
        <w:rPr>
          <w:b/>
          <w:bCs/>
        </w:rPr>
        <w:tab/>
        <w:t>расследования всех заявлений о насилии в отношении женщин, включая семейно-бытовое насилие, преследования и, в случае признания виновными, наказания правонарушителей соразмерно тяжести совер</w:t>
      </w:r>
      <w:r w:rsidR="005D3F76">
        <w:rPr>
          <w:b/>
          <w:bCs/>
        </w:rPr>
        <w:t>ш</w:t>
      </w:r>
      <w:r w:rsidRPr="00B37A50">
        <w:rPr>
          <w:b/>
          <w:bCs/>
        </w:rPr>
        <w:t>енных деяний, а также предоставления жертвам полного возмещения ущерба и средств защиты, включая доступ к приютам, обеспеченным надлежащими ресурсами;</w:t>
      </w:r>
    </w:p>
    <w:p w14:paraId="3E6AC955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c)</w:t>
      </w:r>
      <w:r w:rsidRPr="00B37A50">
        <w:rPr>
          <w:b/>
          <w:bCs/>
        </w:rPr>
        <w:tab/>
        <w:t>обеспечения соответствующей подготовки государственных служащих, включая судей, адвокатов, прокуроров и сотрудников правоохранительных органов, рассматривающих дела о насилии в отношении женщин, включая семейно-бытовое насилие;</w:t>
      </w:r>
    </w:p>
    <w:p w14:paraId="21BA8624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d)</w:t>
      </w:r>
      <w:r w:rsidRPr="00B37A50">
        <w:rPr>
          <w:b/>
          <w:bCs/>
        </w:rPr>
        <w:tab/>
        <w:t>принятия целенаправленных мер по защите женщин и детей от семейно-бытового насилия, в частности во время чрезвычайных ситуаций, таких как пандемия COVID-19;</w:t>
      </w:r>
    </w:p>
    <w:p w14:paraId="0BB8D8C4" w14:textId="24713E66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e)</w:t>
      </w:r>
      <w:r w:rsidRPr="00B37A50">
        <w:rPr>
          <w:b/>
          <w:bCs/>
        </w:rPr>
        <w:tab/>
        <w:t>ускоренного принятия законодательства, легализующего развод, с</w:t>
      </w:r>
      <w:r w:rsidR="00177EC3">
        <w:rPr>
          <w:b/>
          <w:bCs/>
        </w:rPr>
        <w:t> </w:t>
      </w:r>
      <w:r w:rsidRPr="00B37A50">
        <w:rPr>
          <w:b/>
          <w:bCs/>
        </w:rPr>
        <w:t>целью защиты жертв семейно-бытового насилия в соответствии с предыдущей рекомендацией Комитета</w:t>
      </w:r>
      <w:r w:rsidRPr="00177EC3">
        <w:rPr>
          <w:rStyle w:val="aa"/>
        </w:rPr>
        <w:footnoteReference w:id="7"/>
      </w:r>
      <w:r w:rsidRPr="00B37A50">
        <w:rPr>
          <w:b/>
          <w:bCs/>
        </w:rPr>
        <w:t>.</w:t>
      </w:r>
    </w:p>
    <w:p w14:paraId="4D6087D5" w14:textId="77777777" w:rsidR="009B6A75" w:rsidRPr="00E9116B" w:rsidRDefault="009B6A75" w:rsidP="009B6A75">
      <w:pPr>
        <w:pStyle w:val="H23G"/>
      </w:pPr>
      <w:r>
        <w:tab/>
      </w:r>
      <w:r>
        <w:tab/>
      </w:r>
      <w:r>
        <w:rPr>
          <w:bCs/>
        </w:rPr>
        <w:t>Добровольное прерывание беременности и репродуктивные права</w:t>
      </w:r>
    </w:p>
    <w:p w14:paraId="0B47CBCD" w14:textId="64C61AE7" w:rsidR="009B6A75" w:rsidRPr="00E9116B" w:rsidRDefault="009B6A75" w:rsidP="009B6A75">
      <w:pPr>
        <w:pStyle w:val="SingleTxtG"/>
      </w:pPr>
      <w:r>
        <w:t>21.</w:t>
      </w:r>
      <w:r>
        <w:tab/>
        <w:t>Комитет принимает к сведению усилия государства-участника по снижению числа небезопасных абортов и уровня материнской смертности, в том числе путем проведения обзоров летальных случаев среди матерей и интеграции планирования семьи в другие программы в области здравоохранения. Тем не менее он вновь заявляет о своей прежней обеспокоенности</w:t>
      </w:r>
      <w:r w:rsidR="00B556E9" w:rsidRPr="00330D0B">
        <w:rPr>
          <w:rStyle w:val="aa"/>
        </w:rPr>
        <w:footnoteReference w:id="8"/>
      </w:r>
      <w:r>
        <w:t xml:space="preserve"> тем, что в государстве-участнике аборты остаются криминализированными, в результате чего женщины вынуждены обращаться за подпольными услугами по прерыванию беременности, которые ставят под угрозу их жизнь и здоровье. Он обеспокоен сообщениями о преследовании женщин и девочек, делающих или желающих сделать аборт, а также о рутинном допросе и записи сотрудниками больниц тех, кто обращается за медицинской помощью после аборта. Он с обеспокоенностью отмечает информацию о недостаточном количестве учреждений первичной медико-санитарной помощи и значительном увеличении косвенной акушерской смертности во время пандемии COVID-19, что отчасти объясняется отсутствием необходимого потенциала здравоохранения. Он также с озабоченностью отмечает большое количество нежелательных беременностей, особенно среди девочек-подростков (статьи 2, 3, 6 и 17).</w:t>
      </w:r>
    </w:p>
    <w:p w14:paraId="5C622DA5" w14:textId="77777777" w:rsidR="009B6A75" w:rsidRPr="00E9116B" w:rsidRDefault="009B6A75" w:rsidP="009B6A75">
      <w:pPr>
        <w:pStyle w:val="SingleTxtG"/>
        <w:rPr>
          <w:b/>
        </w:rPr>
      </w:pPr>
      <w:r>
        <w:t>22.</w:t>
      </w:r>
      <w:r>
        <w:tab/>
      </w:r>
      <w:r>
        <w:rPr>
          <w:b/>
          <w:bCs/>
        </w:rPr>
        <w:t>С учетом предыдущих рекомендаций Комитета</w:t>
      </w:r>
      <w:r w:rsidRPr="00330D0B">
        <w:rPr>
          <w:rStyle w:val="aa"/>
        </w:rPr>
        <w:footnoteReference w:id="9"/>
      </w:r>
      <w:r>
        <w:rPr>
          <w:b/>
          <w:bCs/>
        </w:rPr>
        <w:t xml:space="preserve"> и пункта 8 замечания общего порядка № 36 (2018) Комитета о праве на жизнь, государству-участнику следует:</w:t>
      </w:r>
    </w:p>
    <w:p w14:paraId="3D7DF94B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a)</w:t>
      </w:r>
      <w:r w:rsidRPr="00B37A50">
        <w:rPr>
          <w:b/>
          <w:bCs/>
        </w:rPr>
        <w:tab/>
        <w:t>изменить свое законодательство, чтобы обеспечить безопасный, законный и эффективный доступ к аборту в тех случаях, когда жизнь и здоровье беременной женщины или девочки находятся под угрозой или когда донашивание плода причинит беременной женщине или девочке сильную боль или страдание, особенно в тех случаях, когда беременность наступила в результате изнасилования или инцеста или когда плод нежизнеспособен;</w:t>
      </w:r>
    </w:p>
    <w:p w14:paraId="24D190BC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b)</w:t>
      </w:r>
      <w:r w:rsidRPr="00B37A50">
        <w:rPr>
          <w:b/>
          <w:bCs/>
        </w:rPr>
        <w:tab/>
        <w:t>отменить уголовные наказания, налагаемые на женщин и девочек, делающих аборты, и на медицинских работников, которые помогают им в этом;</w:t>
      </w:r>
    </w:p>
    <w:p w14:paraId="16AA31A6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c)</w:t>
      </w:r>
      <w:r w:rsidRPr="00B37A50">
        <w:rPr>
          <w:b/>
          <w:bCs/>
        </w:rPr>
        <w:tab/>
        <w:t>расширить предоставление услуг по охране сексуального и репродуктивного здоровья, включая медицинскую помощь после аборта при любых обстоятельствах, на конфиденциальной основе, в частности, для сельских женщин, женщин, живущих в бедности, женщин с ограниченными возможностями и женщин из этнических или религиозных меньшинств;</w:t>
      </w:r>
    </w:p>
    <w:p w14:paraId="1A3F6D5F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d)</w:t>
      </w:r>
      <w:r w:rsidRPr="00B37A50">
        <w:rPr>
          <w:b/>
          <w:bCs/>
        </w:rPr>
        <w:tab/>
        <w:t>продолжать разрабатывать и осуществлять на всей территории страны комплексные программы по просвещению в области сексуального и репродуктивного здоровья, в том числе с целью предотвращения нежелательной беременности и стигматизации женщин и девочек, прибегающих к аборту, а также по профилактике инфекций, передаваемых половым путем.</w:t>
      </w:r>
    </w:p>
    <w:p w14:paraId="0E53949B" w14:textId="77777777" w:rsidR="009B6A75" w:rsidRPr="00E9116B" w:rsidRDefault="009B6A75" w:rsidP="009B6A75">
      <w:pPr>
        <w:pStyle w:val="H23G"/>
      </w:pPr>
      <w:r>
        <w:tab/>
      </w:r>
      <w:r>
        <w:tab/>
      </w:r>
      <w:r>
        <w:rPr>
          <w:bCs/>
        </w:rPr>
        <w:t>Изменение климата и деградация окружающей среды</w:t>
      </w:r>
    </w:p>
    <w:p w14:paraId="3778AF8A" w14:textId="2A2C3493" w:rsidR="009B6A75" w:rsidRPr="00E9116B" w:rsidRDefault="009B6A75" w:rsidP="009B6A75">
      <w:pPr>
        <w:pStyle w:val="SingleTxtG"/>
        <w:rPr>
          <w:bCs/>
          <w:bdr w:val="none" w:sz="0" w:space="0" w:color="auto" w:frame="1"/>
        </w:rPr>
      </w:pPr>
      <w:r>
        <w:t>23.</w:t>
      </w:r>
      <w:r>
        <w:tab/>
        <w:t>Комитет высоко оценивает усилия государства-участника по решению проблем изменения климата и деградации окружающей среды, включая принятие Национальной рамочной стратегии в области изменения климата на 2010</w:t>
      </w:r>
      <w:r w:rsidR="00B556E9">
        <w:t>–</w:t>
      </w:r>
      <w:r>
        <w:t>2022</w:t>
      </w:r>
      <w:r w:rsidR="00B37A50">
        <w:t> год</w:t>
      </w:r>
      <w:r>
        <w:t>ы, Национального плана действий в области изменения климата на 2011</w:t>
      </w:r>
      <w:r w:rsidR="00B556E9">
        <w:t>–</w:t>
      </w:r>
      <w:r>
        <w:t>2028</w:t>
      </w:r>
      <w:r w:rsidR="00B37A50">
        <w:t> год</w:t>
      </w:r>
      <w:r>
        <w:t>ы и Национальной рамочной программы управления климатическими рисками в 2019</w:t>
      </w:r>
      <w:r w:rsidR="00B37A50">
        <w:t> год</w:t>
      </w:r>
      <w:r>
        <w:t>у. Отмечая приверженность государства-участника осуществлению мер по смягчению последствий изменения климата, Комитет сожалеет об отсутствии конкретной информации о принятых или планируемых мерах по выполнению рекомендаций Комиссии по правам человека, содержащихся в докладе об итогах национального расследования по вопросам изменения климата 2022</w:t>
      </w:r>
      <w:r w:rsidR="00B37A50">
        <w:t> год</w:t>
      </w:r>
      <w:r>
        <w:t>а, касающихся воздействия изменения климата на права человека и роли предприятий (статья 6).</w:t>
      </w:r>
    </w:p>
    <w:p w14:paraId="2BF30193" w14:textId="77777777" w:rsidR="009B6A75" w:rsidRPr="00E9116B" w:rsidRDefault="009B6A75" w:rsidP="009B6A75">
      <w:pPr>
        <w:pStyle w:val="SingleTxtG"/>
        <w:rPr>
          <w:b/>
          <w:bCs/>
          <w:bdr w:val="none" w:sz="0" w:space="0" w:color="auto" w:frame="1"/>
        </w:rPr>
      </w:pPr>
      <w:r>
        <w:t>24.</w:t>
      </w:r>
      <w:r>
        <w:tab/>
      </w:r>
      <w:r>
        <w:rPr>
          <w:b/>
          <w:bCs/>
        </w:rPr>
        <w:t>Ссылаясь на свое замечание общего порядка № 36 (2018) о праве на жизнь, Комитет рекомендует государству-участнику:</w:t>
      </w:r>
    </w:p>
    <w:p w14:paraId="24901FF9" w14:textId="2B4292C7" w:rsidR="009B6A75" w:rsidRPr="00B37A50" w:rsidRDefault="009B6A75" w:rsidP="00B37A50">
      <w:pPr>
        <w:pStyle w:val="SingleTxtG"/>
        <w:ind w:firstLine="567"/>
        <w:rPr>
          <w:b/>
          <w:bCs/>
          <w:bdr w:val="none" w:sz="0" w:space="0" w:color="auto" w:frame="1"/>
        </w:rPr>
      </w:pPr>
      <w:r w:rsidRPr="00B37A50">
        <w:rPr>
          <w:b/>
          <w:bCs/>
        </w:rPr>
        <w:t>a)</w:t>
      </w:r>
      <w:r w:rsidRPr="00B37A50">
        <w:rPr>
          <w:b/>
          <w:bCs/>
        </w:rPr>
        <w:tab/>
        <w:t>укреплять правовую базу в области изменения климата, в том числе путем выполнения рекомендаций Комиссии по правам человека, содержащихся в докладе об итогах национального расследования по вопросам изменения климата, таких как принятие законов, налагающих юридическую ответственность за нарушения прав человека, связанные с деятельностью корпораций или деловых кругов;</w:t>
      </w:r>
    </w:p>
    <w:p w14:paraId="48275671" w14:textId="77777777" w:rsidR="009B6A75" w:rsidRPr="00B37A50" w:rsidRDefault="009B6A75" w:rsidP="00B37A50">
      <w:pPr>
        <w:pStyle w:val="SingleTxtG"/>
        <w:ind w:firstLine="567"/>
        <w:rPr>
          <w:b/>
          <w:bCs/>
          <w:bdr w:val="none" w:sz="0" w:space="0" w:color="auto" w:frame="1"/>
        </w:rPr>
      </w:pPr>
      <w:r w:rsidRPr="00B37A50">
        <w:rPr>
          <w:b/>
          <w:bCs/>
        </w:rPr>
        <w:t>b)</w:t>
      </w:r>
      <w:r w:rsidRPr="00B37A50">
        <w:rPr>
          <w:b/>
          <w:bCs/>
        </w:rPr>
        <w:tab/>
        <w:t>обеспечить, чтобы все проекты, влияющие на устойчивое развитие и устойчивость к изменению климата, разрабатывались на основе значимых консультаций с затронутым населением, включая коренные народы, и с их участием.</w:t>
      </w:r>
    </w:p>
    <w:p w14:paraId="282C15BA" w14:textId="77777777" w:rsidR="009B6A75" w:rsidRPr="00E9116B" w:rsidRDefault="009B6A75" w:rsidP="009B6A75">
      <w:pPr>
        <w:pStyle w:val="H23G"/>
        <w:rPr>
          <w:bdr w:val="none" w:sz="0" w:space="0" w:color="auto" w:frame="1"/>
        </w:rPr>
      </w:pPr>
      <w:r>
        <w:tab/>
      </w:r>
      <w:r>
        <w:tab/>
      </w:r>
      <w:r>
        <w:rPr>
          <w:bCs/>
        </w:rPr>
        <w:t>Смертная казнь</w:t>
      </w:r>
    </w:p>
    <w:p w14:paraId="3E4A50E5" w14:textId="4E8906D1" w:rsidR="009B6A75" w:rsidRPr="00E9116B" w:rsidRDefault="009B6A75" w:rsidP="009B6A75">
      <w:pPr>
        <w:pStyle w:val="SingleTxtG"/>
        <w:rPr>
          <w:bCs/>
          <w:bdr w:val="none" w:sz="0" w:space="0" w:color="auto" w:frame="1"/>
        </w:rPr>
      </w:pPr>
      <w:r>
        <w:t>25.</w:t>
      </w:r>
      <w:r>
        <w:tab/>
        <w:t xml:space="preserve">Комитет обеспокоен тем, что в государстве-участнике было предпринято несколько законодательных попыток вновь ввести смертную казнь. Он также обеспокоен предложением о вынесении смертного приговора за совершение преступлений, включая преступления, связанные с наркотиками, которые не соответствуют порогу </w:t>
      </w:r>
      <w:r w:rsidR="00B37A50">
        <w:t>«</w:t>
      </w:r>
      <w:r>
        <w:t>наиболее тяжких преступлений</w:t>
      </w:r>
      <w:r w:rsidR="00B37A50">
        <w:t>»</w:t>
      </w:r>
      <w:r>
        <w:t xml:space="preserve"> по смыслу пункта 2 статьи</w:t>
      </w:r>
      <w:r w:rsidR="00916212">
        <w:t> </w:t>
      </w:r>
      <w:r>
        <w:t>6 Пакта (статья 6).</w:t>
      </w:r>
    </w:p>
    <w:p w14:paraId="440E303E" w14:textId="77777777" w:rsidR="009B6A75" w:rsidRPr="00E9116B" w:rsidRDefault="009B6A75" w:rsidP="009B6A75">
      <w:pPr>
        <w:pStyle w:val="SingleTxtG"/>
        <w:rPr>
          <w:b/>
          <w:bCs/>
          <w:bdr w:val="none" w:sz="0" w:space="0" w:color="auto" w:frame="1"/>
        </w:rPr>
      </w:pPr>
      <w:r>
        <w:t>26.</w:t>
      </w:r>
      <w:r>
        <w:tab/>
      </w:r>
      <w:r>
        <w:rPr>
          <w:b/>
          <w:bCs/>
        </w:rPr>
        <w:t>Комитет напоминает о своем замечании общего порядка № 36 (2018) о праве на жизнь, в котором он подтвердил, что государства-участники, отменившие смертную казнь, не имеют права вновь вводить ее</w:t>
      </w:r>
      <w:r w:rsidRPr="00330D0B">
        <w:rPr>
          <w:rStyle w:val="aa"/>
        </w:rPr>
        <w:footnoteReference w:id="10"/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>Поэтому государству-участнику следует прекратить любые попытки вновь ввести смертную казнь в полном соответствии со своими обязательствами по статье 6 Пакта и в качестве государства-участника второго Факультативного протокола к Пакту, направленного на отмену смертной казни.</w:t>
      </w:r>
    </w:p>
    <w:p w14:paraId="6F5D8633" w14:textId="77777777" w:rsidR="009B6A75" w:rsidRPr="00E9116B" w:rsidRDefault="009B6A75" w:rsidP="009B6A75">
      <w:pPr>
        <w:pStyle w:val="H23G"/>
        <w:spacing w:before="0"/>
        <w:ind w:left="1138" w:right="1138" w:hanging="1138"/>
        <w:jc w:val="both"/>
      </w:pPr>
      <w:r>
        <w:tab/>
      </w:r>
      <w:r>
        <w:tab/>
      </w:r>
      <w:r>
        <w:rPr>
          <w:bCs/>
        </w:rPr>
        <w:t>Внесудебные казни</w:t>
      </w:r>
    </w:p>
    <w:p w14:paraId="71F23DE6" w14:textId="62C428C7" w:rsidR="009B6A75" w:rsidRPr="00E9116B" w:rsidRDefault="009B6A75" w:rsidP="009B6A75">
      <w:pPr>
        <w:pStyle w:val="SingleTxtG"/>
      </w:pPr>
      <w:r>
        <w:t>27.</w:t>
      </w:r>
      <w:r>
        <w:tab/>
        <w:t>Несмотря на отрицания государства-участника, Комитет обеспокоен сообщениями о чрезвычайно большом количестве внесудебных казней, в частности в контексте проводимых правительством кампаний по борьбе с нелегальным оборотом наркотиков, и о грубых нарушениях прав человека, связанных с этими убийствами, причем большинство жертв составляют молодые мужчины из бедных и маргинализированных общин, которые обеспечивают свои семьи. Он особенно обеспокоен следующим: a) сообщениями о том, что высокопоставленные чиновники, включая бывшего президента, подстрекают к насилию и внесудебным расправам над подозреваемыми в совершении преступлений, связанных с наркотиками; b)</w:t>
      </w:r>
      <w:r w:rsidR="00916212">
        <w:t> </w:t>
      </w:r>
      <w:r>
        <w:t xml:space="preserve">занесением в </w:t>
      </w:r>
      <w:r w:rsidR="00B37A50">
        <w:t>«</w:t>
      </w:r>
      <w:r>
        <w:t>списки наркоконтроля</w:t>
      </w:r>
      <w:r w:rsidR="00B37A50">
        <w:t>»</w:t>
      </w:r>
      <w:r>
        <w:t xml:space="preserve"> подозреваемых в причастности к обороту наркотиков на основе непроверенной информации и посещениями домов во внесудебном порядке (</w:t>
      </w:r>
      <w:r w:rsidR="00B37A50">
        <w:t>«</w:t>
      </w:r>
      <w:r>
        <w:t>План Тоханг</w:t>
      </w:r>
      <w:r w:rsidR="00B37A50">
        <w:t>»</w:t>
      </w:r>
      <w:r>
        <w:t xml:space="preserve">), осуществляемыми властями на основе этих списков с целью убедить подозреваемых правонарушителей сдаться, которые часто сопровождаются угрозами и запугиванием и приводят, как представляется, к недобровольному включению таких лиц в программы лечения; c) убийствами детей как </w:t>
      </w:r>
      <w:r w:rsidR="00B37A50">
        <w:t>«</w:t>
      </w:r>
      <w:r>
        <w:t>сопутствующих потерь</w:t>
      </w:r>
      <w:r w:rsidR="00B37A50">
        <w:t>»</w:t>
      </w:r>
      <w:r>
        <w:t xml:space="preserve"> во время облав на членов их семей и тяжелыми последствиями таких действий для детей жертв и детей</w:t>
      </w:r>
      <w:r w:rsidR="00916212">
        <w:t xml:space="preserve"> — </w:t>
      </w:r>
      <w:r>
        <w:t>свидетелей внесудебных казней; d) продолжающейся неспособностью властей оперативно, эффективно и независимо расследовать внесудебные убийства и привлекать виновных к ответственности; и e) запугиванием и преследованием родственников жертв, добивающихся правосудия, а также слежкой за ними. Комитет отмечает отказ государства-участника сотрудничать с международными правозащитными механизмами и продолжающееся расследование Международным уголовным судом этих внесудебных казней (статья 6).</w:t>
      </w:r>
    </w:p>
    <w:p w14:paraId="753D85A1" w14:textId="77777777" w:rsidR="009B6A75" w:rsidRPr="00E9116B" w:rsidRDefault="009B6A75" w:rsidP="009B6A75">
      <w:pPr>
        <w:pStyle w:val="SingleTxtG"/>
        <w:rPr>
          <w:b/>
        </w:rPr>
      </w:pPr>
      <w:r>
        <w:t>28.</w:t>
      </w:r>
      <w:r>
        <w:tab/>
      </w:r>
      <w:r>
        <w:rPr>
          <w:b/>
          <w:bCs/>
        </w:rPr>
        <w:t>Комитет настоятельно призывает государство-участник положить конец внесудебным казням подозреваемых в совершении преступлений и употреблении наркотиков.</w:t>
      </w:r>
      <w:r>
        <w:t xml:space="preserve"> </w:t>
      </w:r>
      <w:r>
        <w:rPr>
          <w:b/>
          <w:bCs/>
        </w:rPr>
        <w:t>При этом ему следует:</w:t>
      </w:r>
    </w:p>
    <w:p w14:paraId="543C730A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a)</w:t>
      </w:r>
      <w:r w:rsidRPr="00B37A50">
        <w:rPr>
          <w:b/>
          <w:bCs/>
        </w:rPr>
        <w:tab/>
        <w:t>предпринять шаги по замене исключительно карательного подхода к борьбе с наркотиками на подход, полностью соответствующий Пакту;</w:t>
      </w:r>
    </w:p>
    <w:p w14:paraId="2E1622B9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b)</w:t>
      </w:r>
      <w:r w:rsidRPr="00B37A50">
        <w:rPr>
          <w:b/>
          <w:bCs/>
        </w:rPr>
        <w:tab/>
        <w:t>обеспечить, чтобы высокопоставленные чиновники воздерживались от подстрекательства к насилию и внесудебным казням, особенно в отношении подозреваемых в употреблении наркотиков или торговле ими;</w:t>
      </w:r>
    </w:p>
    <w:p w14:paraId="223ECFC0" w14:textId="7E0E771A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c)</w:t>
      </w:r>
      <w:r w:rsidRPr="00B37A50">
        <w:rPr>
          <w:b/>
          <w:bCs/>
        </w:rPr>
        <w:tab/>
        <w:t xml:space="preserve">отменить занесение в </w:t>
      </w:r>
      <w:r w:rsidR="00B37A50" w:rsidRPr="00B37A50">
        <w:rPr>
          <w:b/>
          <w:bCs/>
        </w:rPr>
        <w:t>«</w:t>
      </w:r>
      <w:r w:rsidRPr="00B37A50">
        <w:rPr>
          <w:b/>
          <w:bCs/>
        </w:rPr>
        <w:t>списки наркоконтроля</w:t>
      </w:r>
      <w:r w:rsidR="00B37A50" w:rsidRPr="00B37A50">
        <w:rPr>
          <w:b/>
          <w:bCs/>
        </w:rPr>
        <w:t>»</w:t>
      </w:r>
      <w:r w:rsidRPr="00B37A50">
        <w:rPr>
          <w:b/>
          <w:bCs/>
        </w:rPr>
        <w:t xml:space="preserve"> подозреваемых в причастности к обороту наркотиков и практику </w:t>
      </w:r>
      <w:r w:rsidR="00B37A50" w:rsidRPr="00B37A50">
        <w:rPr>
          <w:b/>
          <w:bCs/>
        </w:rPr>
        <w:t>«</w:t>
      </w:r>
      <w:r w:rsidRPr="00B37A50">
        <w:rPr>
          <w:b/>
          <w:bCs/>
        </w:rPr>
        <w:t>Плана Тоханг</w:t>
      </w:r>
      <w:r w:rsidR="00B37A50" w:rsidRPr="00B37A50">
        <w:rPr>
          <w:b/>
          <w:bCs/>
        </w:rPr>
        <w:t>»</w:t>
      </w:r>
      <w:r w:rsidRPr="00B37A50">
        <w:rPr>
          <w:b/>
          <w:bCs/>
        </w:rPr>
        <w:t>, в том числе путем отмены циркуляра командования № 16 и постановлений № 3 и 4 Совета от 2016</w:t>
      </w:r>
      <w:r w:rsidR="00B37A50" w:rsidRPr="00B37A50">
        <w:rPr>
          <w:b/>
          <w:bCs/>
        </w:rPr>
        <w:t> год</w:t>
      </w:r>
      <w:r w:rsidRPr="00B37A50">
        <w:rPr>
          <w:b/>
          <w:bCs/>
        </w:rPr>
        <w:t>а;</w:t>
      </w:r>
    </w:p>
    <w:p w14:paraId="5EB4C999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d)</w:t>
      </w:r>
      <w:r w:rsidRPr="00B37A50">
        <w:rPr>
          <w:b/>
          <w:bCs/>
        </w:rPr>
        <w:tab/>
        <w:t>удвоить усилия по оперативному, независимому и тщательному расследованию всех утверждений о внесудебных казнях и привлечению виновных, включая сотрудников правоохранительных органов, к ответственности;</w:t>
      </w:r>
    </w:p>
    <w:p w14:paraId="58A6CC0C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e)</w:t>
      </w:r>
      <w:r w:rsidRPr="00B37A50">
        <w:rPr>
          <w:b/>
          <w:bCs/>
        </w:rPr>
        <w:tab/>
        <w:t>активизировать усилия по обеспечению подотчетности, в том числе путем создания независимого механизма подотчетности, располагающего достаточными ресурсами для рассмотрения всех заявлений о внесудебных казнях, а также сбора и публикации последовательных, дезагрегированных данных по таким заявлениям;</w:t>
      </w:r>
    </w:p>
    <w:p w14:paraId="11EEBD8E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f)</w:t>
      </w:r>
      <w:r w:rsidRPr="00B37A50">
        <w:rPr>
          <w:b/>
          <w:bCs/>
        </w:rPr>
        <w:tab/>
        <w:t>предоставить жертвам и их родственникам полное возмещение ущерба, включая компенсацию и соответствующие услуги по поддержке, такие как психологические и реабилитационные услуги и другие услуги, разработанные с учетом особых потребностей детей, пострадавших от кампании по борьбе с незаконным оборотом наркотиков;</w:t>
      </w:r>
    </w:p>
    <w:p w14:paraId="0EEAB839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g)</w:t>
      </w:r>
      <w:r w:rsidRPr="00B37A50">
        <w:rPr>
          <w:b/>
          <w:bCs/>
        </w:rPr>
        <w:tab/>
        <w:t>воздерживаться от любых актов преследования и запугивания в отношении тех, кто добивается справедливости для жертв внесудебных убийств, и обеспечить им доступ к правосудию и возмещению ущерба;</w:t>
      </w:r>
    </w:p>
    <w:p w14:paraId="5DAA08B2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h)</w:t>
      </w:r>
      <w:r w:rsidRPr="00B37A50">
        <w:rPr>
          <w:b/>
          <w:bCs/>
        </w:rPr>
        <w:tab/>
        <w:t>обеспечить для сотрудников правоохранительных органов регулярную и надлежащую подготовку по вопросам применения силы на базе Основных принципов применения силы и огнестрельного оружия должностными лицами по поддержанию правопорядка и Руководящих указаний Организации Объединенных Наций по вопросу о менее смертоносном оружии в правоохранительной деятельности;</w:t>
      </w:r>
    </w:p>
    <w:p w14:paraId="5F1C7206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i)</w:t>
      </w:r>
      <w:r w:rsidRPr="00B37A50">
        <w:rPr>
          <w:b/>
          <w:bCs/>
        </w:rPr>
        <w:tab/>
        <w:t>укреплять сотрудничество с международными правозащитными механизмами и Международным уголовным судом в рамках проводимых им текущих расследований.</w:t>
      </w:r>
    </w:p>
    <w:p w14:paraId="614F3675" w14:textId="776B991C" w:rsidR="009B6A75" w:rsidRPr="00E9116B" w:rsidRDefault="009B6A75" w:rsidP="009B6A75">
      <w:pPr>
        <w:pStyle w:val="H23G"/>
      </w:pPr>
      <w:r>
        <w:tab/>
      </w:r>
      <w:r>
        <w:tab/>
      </w:r>
      <w:r>
        <w:tab/>
      </w:r>
      <w:r>
        <w:rPr>
          <w:bCs/>
        </w:rPr>
        <w:t>Запрет на применение пыток и другого жестокого, бесчеловечного или</w:t>
      </w:r>
      <w:r w:rsidR="00C3317A">
        <w:rPr>
          <w:bCs/>
        </w:rPr>
        <w:t> </w:t>
      </w:r>
      <w:r>
        <w:rPr>
          <w:bCs/>
        </w:rPr>
        <w:t>унижающего достоинство обращения</w:t>
      </w:r>
    </w:p>
    <w:p w14:paraId="36E8FE05" w14:textId="64129FBD" w:rsidR="009B6A75" w:rsidRPr="00E9116B" w:rsidRDefault="009B6A75" w:rsidP="009B6A75">
      <w:pPr>
        <w:pStyle w:val="SingleTxtG"/>
      </w:pPr>
      <w:r>
        <w:t>29.</w:t>
      </w:r>
      <w:r>
        <w:tab/>
        <w:t>Отмечая меры, принятые для предотвращения пыток и неправомерного обращения, включая учебные программы по правам человека для сотрудников полиции и персонала тюрем, Комитет обеспокоен сообщениями о широко распространенной практике пыток и неправомерного обращения в местах содержания под стражей, в том числе в полицейских участках, при этом в соответствии с Законом о борьбе с пытками 2009</w:t>
      </w:r>
      <w:r w:rsidR="00B37A50">
        <w:t> год</w:t>
      </w:r>
      <w:r>
        <w:t>а был вынесен только один обвинительный приговор. Принимая к сведению информацию государства-участника об инспекции, проводимой сотрудниками филиппинской национальной полиции, он сожалеет об отсутствии конкретной информации о создании какого-либо независимого механизма мониторинга всех мест содержания под стражей (статьи 2 и 7).</w:t>
      </w:r>
    </w:p>
    <w:p w14:paraId="2365E5A7" w14:textId="77777777" w:rsidR="009B6A75" w:rsidRPr="00E9116B" w:rsidRDefault="009B6A75" w:rsidP="009B6A75">
      <w:pPr>
        <w:pStyle w:val="SingleTxtG"/>
        <w:rPr>
          <w:b/>
        </w:rPr>
      </w:pPr>
      <w:r>
        <w:t>30.</w:t>
      </w:r>
      <w:r>
        <w:tab/>
      </w:r>
      <w:r>
        <w:rPr>
          <w:b/>
          <w:bCs/>
        </w:rPr>
        <w:t>Государству-участнику следует принять меры по искоренению пыток и жестокого обращения.</w:t>
      </w:r>
      <w:r>
        <w:t xml:space="preserve"> </w:t>
      </w:r>
      <w:r>
        <w:rPr>
          <w:b/>
          <w:bCs/>
        </w:rPr>
        <w:t>В частности, ему следует:</w:t>
      </w:r>
    </w:p>
    <w:p w14:paraId="1727F75C" w14:textId="4B495942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a)</w:t>
      </w:r>
      <w:r w:rsidRPr="00B37A50">
        <w:rPr>
          <w:b/>
          <w:bCs/>
        </w:rPr>
        <w:tab/>
        <w:t>cоздать независимое учреждение, тако</w:t>
      </w:r>
      <w:r w:rsidR="008946BC">
        <w:rPr>
          <w:b/>
          <w:bCs/>
        </w:rPr>
        <w:t>е</w:t>
      </w:r>
      <w:r w:rsidRPr="00B37A50">
        <w:rPr>
          <w:b/>
          <w:bCs/>
        </w:rPr>
        <w:t xml:space="preserve"> как национальный превентивный механизм в соответствии с Факультативным протоколом к Конвенции против пыток и других жестоких, бесчеловечных или унижающих достоинство видов обращения и наказания, уполномоченный проводить посещения и мониторинг мест лишения свободы, и обеспечить, чтобы все такие места подвергались независимому, эффективному и регулярному мониторингу и инспекции без предварительного уведомления и какого-либо контроля;</w:t>
      </w:r>
    </w:p>
    <w:p w14:paraId="73494708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b)</w:t>
      </w:r>
      <w:r w:rsidRPr="00B37A50">
        <w:rPr>
          <w:b/>
          <w:bCs/>
        </w:rPr>
        <w:tab/>
        <w:t>повысить независимость, беспристрастность и эффективность существующих следственных органов, включая механизм, предусмотренный Административным приказом № 35, путем, в частности, выделения достаточных людских и финансовых ресурсов для обеспечения быстрого, независимого и эффективного расследования всех случаев пыток и жестокого обращения, судебного преследования и наказания всех виновных и предоставления эффективных средств правовой защиты жертвам. Ему также следует гарантировать защиту заявителей от репрессий;</w:t>
      </w:r>
    </w:p>
    <w:p w14:paraId="5D36EA1A" w14:textId="5E11552B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c)</w:t>
      </w:r>
      <w:r w:rsidRPr="00B37A50">
        <w:rPr>
          <w:b/>
          <w:bCs/>
        </w:rPr>
        <w:tab/>
        <w:t>продолжать свои усилия по проведению регулярной подготовки судей, прокуроров, адвокатов, сотрудников служб безопасности и сотрудников правоохранительных органов в области прав человека, в том числе по Руководству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протокол).</w:t>
      </w:r>
    </w:p>
    <w:p w14:paraId="1EBFCC60" w14:textId="77777777" w:rsidR="009B6A75" w:rsidRPr="00E9116B" w:rsidRDefault="009B6A75" w:rsidP="009B6A75">
      <w:pPr>
        <w:pStyle w:val="H23G"/>
        <w:spacing w:before="0"/>
        <w:ind w:left="1138" w:right="1138" w:hanging="1138"/>
        <w:jc w:val="both"/>
      </w:pPr>
      <w:r>
        <w:tab/>
      </w:r>
      <w:r>
        <w:tab/>
      </w:r>
      <w:r>
        <w:rPr>
          <w:bCs/>
        </w:rPr>
        <w:t>Условия содержания под стражей</w:t>
      </w:r>
    </w:p>
    <w:p w14:paraId="3F104C0D" w14:textId="202B10D8" w:rsidR="009B6A75" w:rsidRPr="00E9116B" w:rsidRDefault="009B6A75" w:rsidP="009B6A75">
      <w:pPr>
        <w:pStyle w:val="SingleTxtG"/>
      </w:pPr>
      <w:r>
        <w:t>31.</w:t>
      </w:r>
      <w:r>
        <w:tab/>
        <w:t>Отмечая усилия государства-участника по увеличению вместимости и улучшению условий содержания в местах лишения свободы, Комитет по-прежнему обеспокоен серьезной переполненностью, которая усугубляется притоком лиц, арестованных в рамках кампании по борьбе с незаконным оборотом наркотиков. Он</w:t>
      </w:r>
      <w:r w:rsidR="008B7FE8">
        <w:t> </w:t>
      </w:r>
      <w:r>
        <w:t>также обеспокоен сообщениями об отсутствии надлежащего доступа к пище и чистой воде в местах заключения и многочисленными вспышками заболевания COVID-19 в сочетании с недостаточным доступом заключенных к медицинскому лечению и тестированию. Отмечая, что циркуляр Управления по делам тюрем и пенитенциарной системы от июня 2021</w:t>
      </w:r>
      <w:r w:rsidR="00B37A50">
        <w:t> год</w:t>
      </w:r>
      <w:r>
        <w:t>а предусматривает предоставление дородового и послеродового ухода, он сожалеет об отсутствии информации о реализации таких мер (статьи 7 и 10).</w:t>
      </w:r>
    </w:p>
    <w:p w14:paraId="6F426C01" w14:textId="77777777" w:rsidR="009B6A75" w:rsidRPr="00E9116B" w:rsidRDefault="009B6A75" w:rsidP="009B6A75">
      <w:pPr>
        <w:pStyle w:val="SingleTxtG"/>
      </w:pPr>
      <w:r>
        <w:t>32.</w:t>
      </w:r>
      <w:r>
        <w:tab/>
      </w:r>
      <w:r>
        <w:rPr>
          <w:b/>
          <w:bCs/>
        </w:rPr>
        <w:t>Государству-участнику следует активизировать усилия для обеспечения того, чтобы условия содержания под стражей полностью соответствовали применимым международным правозащитным нормам, включая Минимальные стандартные правила обращения с заключенными Организации Объединенных Наций (Правила Нельсона Манделы).</w:t>
      </w:r>
      <w:r>
        <w:t xml:space="preserve"> </w:t>
      </w:r>
      <w:r>
        <w:rPr>
          <w:b/>
          <w:bCs/>
        </w:rPr>
        <w:t>Ему, в частности, следует:</w:t>
      </w:r>
    </w:p>
    <w:p w14:paraId="62366809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a)</w:t>
      </w:r>
      <w:r w:rsidRPr="00B37A50">
        <w:rPr>
          <w:b/>
          <w:bCs/>
        </w:rPr>
        <w:tab/>
        <w:t>принять незамедлительные меры по значительному уменьшению переполненности тюрем и полицейских изоляторов, в том числе путем более широкого применения мер, не связанных с лишением свободы, в качестве альтернативы тюремному заключению, как указано в Минимальных стандартных правилах Организации Объединенных Наций в отношении мер, не связанных с тюремным заключением (Токийские правила);</w:t>
      </w:r>
    </w:p>
    <w:p w14:paraId="5C41FCE8" w14:textId="278AB48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b)</w:t>
      </w:r>
      <w:r w:rsidRPr="00B37A50">
        <w:rPr>
          <w:b/>
          <w:bCs/>
        </w:rPr>
        <w:tab/>
        <w:t>активизировать усилия по улучшению условий содержания и обеспечению достаточного доступа к пище, чистой воде и медицинскому обслуживанию для лиц, содержащихся во всех местах лишения свободы, в</w:t>
      </w:r>
      <w:r w:rsidR="008B7FE8">
        <w:rPr>
          <w:b/>
          <w:bCs/>
        </w:rPr>
        <w:t> </w:t>
      </w:r>
      <w:r w:rsidRPr="00B37A50">
        <w:rPr>
          <w:b/>
          <w:bCs/>
        </w:rPr>
        <w:t>частности в местах заключения, где были выявлены вспышки инфекционных заболеваний, таких как COVID-19;</w:t>
      </w:r>
    </w:p>
    <w:p w14:paraId="6A902FBD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c)</w:t>
      </w:r>
      <w:r w:rsidRPr="00B37A50">
        <w:rPr>
          <w:b/>
          <w:bCs/>
        </w:rPr>
        <w:tab/>
        <w:t>обеспечить, чтобы женщины-заключенные, в частности беременные или имеющие детей, имели достаточный доступ к медицинскому обслуживанию и другим необходимым услугам, отвечающим их особым потребностям.</w:t>
      </w:r>
    </w:p>
    <w:p w14:paraId="38844F3C" w14:textId="77777777" w:rsidR="009B6A75" w:rsidRPr="00E9116B" w:rsidRDefault="009B6A75" w:rsidP="009B6A75">
      <w:pPr>
        <w:pStyle w:val="H23G"/>
        <w:spacing w:before="0"/>
        <w:ind w:left="1138" w:right="1138" w:hanging="1138"/>
        <w:jc w:val="both"/>
      </w:pPr>
      <w:r>
        <w:tab/>
      </w:r>
      <w:r>
        <w:tab/>
      </w:r>
      <w:r>
        <w:rPr>
          <w:bCs/>
        </w:rPr>
        <w:t>Свобода и личная неприкосновенность</w:t>
      </w:r>
    </w:p>
    <w:p w14:paraId="46E08803" w14:textId="0F3C6986" w:rsidR="009B6A75" w:rsidRPr="00E9116B" w:rsidRDefault="009B6A75" w:rsidP="009B6A75">
      <w:pPr>
        <w:pStyle w:val="SingleTxtG"/>
      </w:pPr>
      <w:r>
        <w:t>33.</w:t>
      </w:r>
      <w:r>
        <w:tab/>
        <w:t xml:space="preserve">Комитет обеспокоен сообщениями о том, что задержанные лица не всегда пользуются на практике всеми основными правовыми гарантиями с самого начала их задержания, включая право быть информированными о предъявляемых им обвинениях, иметь незамедлительный доступ к адвокату и врачу по своему выбору, уведомить выбранное ими лицо о своем задержании и быть незамедлительно доставленными к судье. Он также обеспокоен сообщениями о широком применении длительного предварительного заключения, в том числе в делах о преступлениях, связанных с наркотиками, и отсутствием статистических данных о лицах, содержащихся в предварительном заключении. Он выражает свою обеспокоенность тем, что лица, впервые осужденные за преступление, связанное с наркотиками, наказываются сроками реабилитации или тюремного заключения, что вынуждает их делать выбор в пользу реабилитации, что лица, помещенные в реабилитационные центры, включая тех, кто сдается в рамках </w:t>
      </w:r>
      <w:r w:rsidR="00B37A50">
        <w:t>«</w:t>
      </w:r>
      <w:r>
        <w:t>Плана Тоханг</w:t>
      </w:r>
      <w:r w:rsidR="00B37A50">
        <w:t>»</w:t>
      </w:r>
      <w:r>
        <w:t xml:space="preserve">, по сообщениям, подвергаются жестокому обращению, одиночному заключению, принудительному труду и психологическому насилию, и что механизмы надзора отсутствуют </w:t>
      </w:r>
      <w:r w:rsidR="008B7FE8">
        <w:br/>
      </w:r>
      <w:r>
        <w:t>(статьи 9 и 14).</w:t>
      </w:r>
    </w:p>
    <w:p w14:paraId="2ECEC56A" w14:textId="77777777" w:rsidR="009B6A75" w:rsidRPr="00E9116B" w:rsidRDefault="009B6A75" w:rsidP="009B6A75">
      <w:pPr>
        <w:pStyle w:val="SingleTxtG"/>
        <w:rPr>
          <w:b/>
        </w:rPr>
      </w:pPr>
      <w:r>
        <w:t>34.</w:t>
      </w:r>
      <w:r>
        <w:tab/>
      </w:r>
      <w:r>
        <w:rPr>
          <w:b/>
          <w:bCs/>
        </w:rPr>
        <w:t>Государству-участнику следует принять эффективные меры, с тем чтобы обеспечить всем содержащимся под стражей лицам возможность пользоваться на практике всеми основными правовыми и процессуальными гарантиями с самого начала их заключения под стражу.</w:t>
      </w:r>
      <w:r>
        <w:t xml:space="preserve"> </w:t>
      </w:r>
      <w:r>
        <w:rPr>
          <w:b/>
          <w:bCs/>
        </w:rPr>
        <w:t>В частности, ему следует:</w:t>
      </w:r>
    </w:p>
    <w:p w14:paraId="4D7843AE" w14:textId="54E6F07E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a)</w:t>
      </w:r>
      <w:r w:rsidRPr="00B37A50">
        <w:rPr>
          <w:b/>
          <w:bCs/>
        </w:rPr>
        <w:tab/>
        <w:t>пересмотреть и изменить свое законодательство, включая соответствующие положения Уголовно-процессуальных правил 2000</w:t>
      </w:r>
      <w:r w:rsidR="00B37A50" w:rsidRPr="00B37A50">
        <w:rPr>
          <w:b/>
          <w:bCs/>
        </w:rPr>
        <w:t> год</w:t>
      </w:r>
      <w:r w:rsidRPr="00B37A50">
        <w:rPr>
          <w:b/>
          <w:bCs/>
        </w:rPr>
        <w:t>а, чтобы гарантировать задержанным право незамедлительно связаться с членом семьи или любым другим лицом по их выбору, иметь быстрый и конфиденциальный доступ к квалифицированному и независимому адвокату или, при необходимости, к бесплатной юридической помощи в соответствии с Основными принципами, касающимися роли юристов, иметь доступ к медицинскому освидетельствованию независимым врачом и быть незамедлительно доставленными в компетентный, независимый и беспристрастный суд в течение максимум 48 часов;</w:t>
      </w:r>
    </w:p>
    <w:p w14:paraId="19C951B1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b)</w:t>
      </w:r>
      <w:r w:rsidRPr="00B37A50">
        <w:rPr>
          <w:b/>
          <w:bCs/>
        </w:rPr>
        <w:tab/>
        <w:t>сократить применение меры заключения под стражу до суда, обеспечив более широкое использование мер пресечения, не связанных с лишением свободы, как это предусмотрено новым Уголовно-процессуальным кодексом и Токийскими правилами, и обеспечить, чтобы никто не содержался под стражей до суда дольше, чем это предписано законом;</w:t>
      </w:r>
    </w:p>
    <w:p w14:paraId="5B4FA0DB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c)</w:t>
      </w:r>
      <w:r w:rsidRPr="00B37A50">
        <w:rPr>
          <w:b/>
          <w:bCs/>
        </w:rPr>
        <w:tab/>
        <w:t>обеспечить и усилить судебный надзор за государственными программами лечения наркозависимости с целью предотвращения и запрещения произвольных задержаний, а также обеспечить регулярный, независимый и эффективный мониторинг, в том числе Комиссией по правам человека, реабилитационных центров, в которых содержатся наркопреступники.</w:t>
      </w:r>
    </w:p>
    <w:p w14:paraId="18DADC2F" w14:textId="77777777" w:rsidR="009B6A75" w:rsidRPr="00E9116B" w:rsidRDefault="009B6A75" w:rsidP="009B6A75">
      <w:pPr>
        <w:pStyle w:val="H23G"/>
      </w:pPr>
      <w:r>
        <w:tab/>
      </w:r>
      <w:r>
        <w:tab/>
      </w:r>
      <w:r>
        <w:rPr>
          <w:bCs/>
        </w:rPr>
        <w:t>Ликвидация рабства, принудительного труда и торговли людьми</w:t>
      </w:r>
    </w:p>
    <w:p w14:paraId="1F3DBCC3" w14:textId="20C45665" w:rsidR="009B6A75" w:rsidRPr="00E9116B" w:rsidRDefault="009B6A75" w:rsidP="009B6A75">
      <w:pPr>
        <w:pStyle w:val="SingleTxtG"/>
      </w:pPr>
      <w:r>
        <w:t>35.</w:t>
      </w:r>
      <w:r>
        <w:tab/>
        <w:t>Отмечая шаги, предпринятые для борьбы с торговлей людьми, включая деятельность Межучрежденческого совета по борьбе с торговлей людьми, Комитет обеспокоен увеличением числа случаев сексуальной эксплуатации детей через Интернет, особенно в период пандемии COVID-19, и низкими показателями отчетности, расследования, судебного преследования и осуждения в этих случаях, в</w:t>
      </w:r>
      <w:r w:rsidR="00F553C8">
        <w:t> </w:t>
      </w:r>
      <w:r>
        <w:t>том числе с участием государственных должностных лиц. Он с озабоченностью отмечает недостаточное предоставление специализированных услуг по защите и помощи детям, ставшим жертвами сексуального насилия и эксплуатации (статьи 2, 7, 8 и 24).</w:t>
      </w:r>
    </w:p>
    <w:p w14:paraId="1E7F3578" w14:textId="77777777" w:rsidR="009B6A75" w:rsidRPr="00E9116B" w:rsidRDefault="009B6A75" w:rsidP="009B6A75">
      <w:pPr>
        <w:pStyle w:val="SingleTxtG"/>
      </w:pPr>
      <w:r>
        <w:t>36.</w:t>
      </w:r>
      <w:r>
        <w:tab/>
      </w:r>
      <w:r>
        <w:rPr>
          <w:b/>
          <w:bCs/>
        </w:rPr>
        <w:t>Государству-участнику следует активизировать свои усилия по эффективному предотвращению торговли людьми и всех форм эксплуатации детей, включая сексуальную эксплуатацию и надругательства в Интернете и борьбе с ними, в частности, путем:</w:t>
      </w:r>
    </w:p>
    <w:p w14:paraId="11331204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a)</w:t>
      </w:r>
      <w:r w:rsidRPr="00B37A50">
        <w:rPr>
          <w:b/>
          <w:bCs/>
        </w:rPr>
        <w:tab/>
        <w:t>обеспечения эффективного выявления жертв торговли людьми и всех форм эксплуатации детей, включая проверку групп, находящихся в уязвимом положении, таких как дети, живущие в бедности;</w:t>
      </w:r>
    </w:p>
    <w:p w14:paraId="6F46D9A0" w14:textId="71DDD625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b)</w:t>
      </w:r>
      <w:r w:rsidRPr="00B37A50">
        <w:rPr>
          <w:b/>
          <w:bCs/>
        </w:rPr>
        <w:tab/>
        <w:t>оперативного, тщательного и независимого расследования случаев торговли людьми, в том числе с участием государственных должностных лиц, и</w:t>
      </w:r>
      <w:r w:rsidR="00F553C8">
        <w:rPr>
          <w:b/>
          <w:bCs/>
        </w:rPr>
        <w:t> </w:t>
      </w:r>
      <w:r w:rsidRPr="00B37A50">
        <w:rPr>
          <w:b/>
          <w:bCs/>
        </w:rPr>
        <w:t>сексуальной эксплуатации детей и привлечения виновных к ответственности;</w:t>
      </w:r>
    </w:p>
    <w:p w14:paraId="0C17B57B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c)</w:t>
      </w:r>
      <w:r w:rsidRPr="00B37A50">
        <w:rPr>
          <w:b/>
          <w:bCs/>
        </w:rPr>
        <w:tab/>
        <w:t>предоставления жертвам полного возмещения ущерба, включая реабилитацию и адекватную компенсацию, а также доступа к эффективным средствам защиты и услугам помощи, принимая во внимание возраст, особые потребности и уязвимость детей-жертв.</w:t>
      </w:r>
    </w:p>
    <w:p w14:paraId="0499E7F5" w14:textId="77777777" w:rsidR="009B6A75" w:rsidRPr="00E9116B" w:rsidRDefault="009B6A75" w:rsidP="009B6A75">
      <w:pPr>
        <w:pStyle w:val="H23G"/>
        <w:spacing w:before="0"/>
        <w:ind w:left="1138" w:right="1138" w:hanging="1138"/>
        <w:jc w:val="both"/>
      </w:pPr>
      <w:r>
        <w:tab/>
      </w:r>
      <w:r>
        <w:tab/>
      </w:r>
      <w:r>
        <w:rPr>
          <w:bCs/>
        </w:rPr>
        <w:t>Независимость судебных органов и справедливые судебные процессы</w:t>
      </w:r>
    </w:p>
    <w:p w14:paraId="1F64654B" w14:textId="77777777" w:rsidR="009B6A75" w:rsidRPr="00E9116B" w:rsidRDefault="009B6A75" w:rsidP="009B6A75">
      <w:pPr>
        <w:pStyle w:val="SingleTxtG"/>
      </w:pPr>
      <w:r>
        <w:t>37.</w:t>
      </w:r>
      <w:r>
        <w:tab/>
        <w:t>Комитет обеспокоен продолжающими поступать сообщениями о запугивании и убийствах представителей судебной системы и репрессиях против них. Принимая к сведению информацию государства-участника о разбирательстве quo warranto по данному вопросу, Комитет обеспокоен тем, что увольнение Председателя Верховного суда Марии Лурдес Серено, которое произошло через два дня после публичных угроз в ее адрес со стороны бывшего президента, оказало сдерживающее воздействие на других судей и других представителей судебной власти, что серьезно подрывает независимость этой ветви власти. Кроме того, он обеспокоен большим количеством публичных угроз в адрес судей и адвокатов, в частности тех, кто выражал инакомыслие, их запугиванием и насильственными нападениями на них, включая убийства, а также задержкой в привлечении виновных к ответственности (статья 14).</w:t>
      </w:r>
    </w:p>
    <w:p w14:paraId="698EA611" w14:textId="77777777" w:rsidR="009B6A75" w:rsidRPr="00E9116B" w:rsidRDefault="009B6A75" w:rsidP="009B6A75">
      <w:pPr>
        <w:pStyle w:val="SingleTxtG"/>
        <w:rPr>
          <w:b/>
        </w:rPr>
      </w:pPr>
      <w:r>
        <w:t>38.</w:t>
      </w:r>
      <w:r>
        <w:tab/>
      </w:r>
      <w:r>
        <w:rPr>
          <w:b/>
          <w:bCs/>
        </w:rPr>
        <w:t>Государству-участнику следует принять все необходимые меры с целью:</w:t>
      </w:r>
    </w:p>
    <w:p w14:paraId="2085C061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a)</w:t>
      </w:r>
      <w:r w:rsidRPr="00B37A50">
        <w:rPr>
          <w:b/>
          <w:bCs/>
        </w:rPr>
        <w:tab/>
        <w:t>обеспечить полную независимость и беспристрастность судебной системы и прокуратуры и гарантировать им свободу действий без какого-либо необоснованного давления или вмешательства со стороны исполнительной и законодательной власти. При этом ему следует обеспечить, чтобы процедуры отбора, назначения, приостановления исполнения обязанностей, отстранения от должности и дисциплинарного взыскания судей и прокуроров соответствовали Пакту и соответствующим международным стандартам, включая Основные принципы независимости судебных органов и Руководящие принципы, касающиеся роли лиц, осуществляющих судебное преследование;</w:t>
      </w:r>
    </w:p>
    <w:p w14:paraId="463219C9" w14:textId="0AA64592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b)</w:t>
      </w:r>
      <w:r w:rsidRPr="00B37A50">
        <w:rPr>
          <w:b/>
          <w:bCs/>
        </w:rPr>
        <w:tab/>
        <w:t>активизировать усилия по защите судей, прокуроров и адвокатов от публичных угроз, запугивания, преследования и насилия, включая убийства, и</w:t>
      </w:r>
      <w:r w:rsidR="00F553C8">
        <w:rPr>
          <w:b/>
          <w:bCs/>
        </w:rPr>
        <w:t> </w:t>
      </w:r>
      <w:r w:rsidRPr="00B37A50">
        <w:rPr>
          <w:b/>
          <w:bCs/>
        </w:rPr>
        <w:t>обеспечить, чтобы все нарушения оперативно, тщательно, независимо и беспристрастно расследовались, чтобы виновные привлекались к ответственности, а жертвы получали комплексное возмещение ущерба.</w:t>
      </w:r>
    </w:p>
    <w:p w14:paraId="0B1417FA" w14:textId="77777777" w:rsidR="009B6A75" w:rsidRPr="00E9116B" w:rsidRDefault="009B6A75" w:rsidP="009B6A75">
      <w:pPr>
        <w:pStyle w:val="H23G"/>
      </w:pPr>
      <w:r>
        <w:tab/>
      </w:r>
      <w:r>
        <w:tab/>
      </w:r>
      <w:r>
        <w:rPr>
          <w:bCs/>
        </w:rPr>
        <w:t>Внутренне перемещенные лица</w:t>
      </w:r>
    </w:p>
    <w:p w14:paraId="1CE89123" w14:textId="3EBFA015" w:rsidR="009B6A75" w:rsidRPr="00E9116B" w:rsidRDefault="009B6A75" w:rsidP="009B6A75">
      <w:pPr>
        <w:pStyle w:val="SingleTxtG"/>
      </w:pPr>
      <w:r>
        <w:t>39.</w:t>
      </w:r>
      <w:r>
        <w:tab/>
        <w:t>Отмечая выделение государством-участником значительных финансовых средств на восстановление земель перемещенных лиц и оказание им поддержки и помощи, Комитет по-прежнему обеспокоен сообщениями о том, что с членами пострадавших общин не проводятся консультации в процессе принятия решений, связанных с планами восстановления, в том числе в отношении предлагаемого военного лагеря в Марави. Он обеспокоен сообщениями о том, что в то время, когда перемещенные жители Марави продолжают жить во временных убежищах, приоритет отдается крупномасштабным инфраструктурным проектам. Он с обеспокоенностью отмечает сообщения о медленных темпах предоставления жертвам осады Марави в 2017</w:t>
      </w:r>
      <w:r w:rsidR="00B37A50">
        <w:t> год</w:t>
      </w:r>
      <w:r>
        <w:t xml:space="preserve">у эффективных средств правовой защиты. Комитет с сожалением принимает к сведению сообщения о неизбирательных военных операциях против гражданского населения в контексте продолжающегося конфликта, которые приведут к дальнейшему перемещению населения и нарушениям прав человека (статьи 2, 7, </w:t>
      </w:r>
      <w:r w:rsidR="00F553C8">
        <w:br/>
      </w:r>
      <w:r>
        <w:t>12 и</w:t>
      </w:r>
      <w:r w:rsidR="00F553C8">
        <w:t> </w:t>
      </w:r>
      <w:r>
        <w:t>26).</w:t>
      </w:r>
    </w:p>
    <w:p w14:paraId="2114B1DA" w14:textId="77777777" w:rsidR="009B6A75" w:rsidRPr="00E9116B" w:rsidRDefault="009B6A75" w:rsidP="009B6A75">
      <w:pPr>
        <w:pStyle w:val="SingleTxtG"/>
        <w:rPr>
          <w:b/>
        </w:rPr>
      </w:pPr>
      <w:r>
        <w:t>40.</w:t>
      </w:r>
      <w:r>
        <w:tab/>
      </w:r>
      <w:r>
        <w:rPr>
          <w:b/>
          <w:bCs/>
        </w:rPr>
        <w:t>Государству-участнику следует:</w:t>
      </w:r>
    </w:p>
    <w:p w14:paraId="31F7AC46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a)</w:t>
      </w:r>
      <w:r w:rsidRPr="00B37A50">
        <w:rPr>
          <w:b/>
          <w:bCs/>
        </w:rPr>
        <w:tab/>
        <w:t>ускорить усилия по обеспечению долгосрочных решений, таких как достаточное жилище, для внутренне перемещенных лиц, в консультации с ними и согласно соответствующим международным стандартам, включая Пакт и Руководящие принципы по вопросу о перемещении лиц внутри страны;</w:t>
      </w:r>
    </w:p>
    <w:p w14:paraId="0598B620" w14:textId="589AC4F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b)</w:t>
      </w:r>
      <w:r w:rsidRPr="00B37A50">
        <w:rPr>
          <w:b/>
          <w:bCs/>
        </w:rPr>
        <w:tab/>
        <w:t>ускорить начало деятельности компенсационного совета Марави, созданного в соответствии с Законом о компенсации жертвам осады Марави (2022</w:t>
      </w:r>
      <w:r w:rsidR="00B37A50" w:rsidRPr="00B37A50">
        <w:rPr>
          <w:b/>
          <w:bCs/>
        </w:rPr>
        <w:t> год</w:t>
      </w:r>
      <w:r w:rsidRPr="00B37A50">
        <w:rPr>
          <w:b/>
          <w:bCs/>
        </w:rPr>
        <w:t>), с целью предоставления жертвам эффективных средств правовой защиты, включая адекватную компенсацию;</w:t>
      </w:r>
    </w:p>
    <w:p w14:paraId="4E8FA20C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c)</w:t>
      </w:r>
      <w:r w:rsidRPr="00B37A50">
        <w:rPr>
          <w:b/>
          <w:bCs/>
        </w:rPr>
        <w:tab/>
        <w:t>воздерживаться от неизбирательных военных операций с целью предотвращения внутренних перемещений и других нарушений прав человека.</w:t>
      </w:r>
    </w:p>
    <w:p w14:paraId="77487794" w14:textId="77777777" w:rsidR="009B6A75" w:rsidRPr="00E9116B" w:rsidRDefault="009B6A75" w:rsidP="009B6A75">
      <w:pPr>
        <w:pStyle w:val="H23G"/>
        <w:spacing w:before="0"/>
        <w:ind w:left="1138" w:right="1138" w:hanging="1138"/>
        <w:jc w:val="both"/>
      </w:pPr>
      <w:r>
        <w:tab/>
      </w:r>
      <w:r>
        <w:tab/>
      </w:r>
      <w:r>
        <w:rPr>
          <w:bCs/>
        </w:rPr>
        <w:t>Право на неприкосновенность частной жизни</w:t>
      </w:r>
    </w:p>
    <w:p w14:paraId="32206513" w14:textId="44B0B099" w:rsidR="009B6A75" w:rsidRPr="00E9116B" w:rsidRDefault="009B6A75" w:rsidP="009B6A75">
      <w:pPr>
        <w:pStyle w:val="SingleTxtG"/>
        <w:rPr>
          <w:bCs/>
        </w:rPr>
      </w:pPr>
      <w:r>
        <w:t>41.</w:t>
      </w:r>
      <w:r>
        <w:tab/>
        <w:t>Хотя государство-участник указало, что вся информация, полученная в ходе его кампаний по борьбе с незаконным оборотом наркотиков, рассматривается при строжайшем соблюдении конфиденциальности, Комитет обеспокоен отсутствием четкой информации о любых доступных средствах правовой защиты, таких как механизм подачи жалоб, созданный в соответствии с Законом о конфиденциальности данных 2012</w:t>
      </w:r>
      <w:r w:rsidR="00B37A50">
        <w:t> год</w:t>
      </w:r>
      <w:r>
        <w:t>а, для лиц, включенных в списки наркоконтроля. Принимая к сведению информацию, представленную делегацией государства-участника о проблемах в области здравоохранения, Комитет по-прежнему обеспокоен обязательным тестированием на наркотики учителей и учащихся в школах, которое требуется в соответствии с приказом Департамента образования № 40 от 2017</w:t>
      </w:r>
      <w:r w:rsidR="00B37A50">
        <w:t> год</w:t>
      </w:r>
      <w:r>
        <w:t>а (статья 17).</w:t>
      </w:r>
    </w:p>
    <w:p w14:paraId="1FD24A91" w14:textId="77777777" w:rsidR="009B6A75" w:rsidRPr="00E9116B" w:rsidRDefault="009B6A75" w:rsidP="009B6A75">
      <w:pPr>
        <w:pStyle w:val="SingleTxtG"/>
        <w:rPr>
          <w:b/>
        </w:rPr>
      </w:pPr>
      <w:r>
        <w:t>42.</w:t>
      </w:r>
      <w:r>
        <w:tab/>
      </w:r>
      <w:r>
        <w:rPr>
          <w:b/>
          <w:bCs/>
        </w:rPr>
        <w:t>Государству-участнику следует обеспечить, чтобы все виды хранения данных и доступа к ним, а также любое произвольное и незаконное вмешательство в частную жизнь, в том числе в контексте проводимой правительством кампании по борьбе с незаконным оборотом наркотиков, полностью соответствовали Пакту, в частности его статье 17.</w:t>
      </w:r>
      <w:r>
        <w:t xml:space="preserve"> </w:t>
      </w:r>
      <w:r>
        <w:rPr>
          <w:b/>
          <w:bCs/>
        </w:rPr>
        <w:t>Такие действия должны соответствовать принципам законности, соразмерности и необходимости и производиться только с санкции суда.</w:t>
      </w:r>
      <w:r>
        <w:t xml:space="preserve"> </w:t>
      </w:r>
      <w:r>
        <w:rPr>
          <w:b/>
          <w:bCs/>
        </w:rPr>
        <w:t>Государству-участнику следует обеспечить быстрое, независимое и эффективное расследование всех случаев злоупотреблений и предоставить жертвам доступ к эффективным средствам правовой защиты.</w:t>
      </w:r>
    </w:p>
    <w:p w14:paraId="61836D26" w14:textId="77777777" w:rsidR="009B6A75" w:rsidRPr="00E9116B" w:rsidRDefault="009B6A75" w:rsidP="009B6A75">
      <w:pPr>
        <w:pStyle w:val="H23G"/>
        <w:spacing w:before="0"/>
        <w:ind w:left="1138" w:right="1138" w:hanging="1138"/>
        <w:jc w:val="both"/>
      </w:pPr>
      <w:r>
        <w:tab/>
      </w:r>
      <w:r>
        <w:tab/>
      </w:r>
      <w:r>
        <w:rPr>
          <w:bCs/>
        </w:rPr>
        <w:t>Свобода выражения мнений</w:t>
      </w:r>
    </w:p>
    <w:p w14:paraId="09FF27CB" w14:textId="57205C87" w:rsidR="009B6A75" w:rsidRPr="00E9116B" w:rsidRDefault="009B6A75" w:rsidP="009B6A75">
      <w:pPr>
        <w:pStyle w:val="SingleTxtG"/>
        <w:ind w:left="1138"/>
      </w:pPr>
      <w:r>
        <w:t>43.</w:t>
      </w:r>
      <w:r>
        <w:tab/>
        <w:t>Комитет обеспокоен непрекращающимися нарушениями свободы выражения мнений в государстве-участнике. Его особенно тревожат сообщения об ограничении свободы прессы, включая следующие: a) закрытие отделений СМИ, например отказ от продления франшизы Эй-би-си/Cи-би-эн в июле 2020</w:t>
      </w:r>
      <w:r w:rsidR="00B37A50">
        <w:t> год</w:t>
      </w:r>
      <w:r>
        <w:t xml:space="preserve">а и отзыв свидетельства о регистрации </w:t>
      </w:r>
      <w:r w:rsidR="00B37A50">
        <w:t>«</w:t>
      </w:r>
      <w:r>
        <w:t>Рэпплер</w:t>
      </w:r>
      <w:r w:rsidR="00B37A50">
        <w:t>»</w:t>
      </w:r>
      <w:r>
        <w:t xml:space="preserve"> в июне 2022</w:t>
      </w:r>
      <w:r w:rsidR="00B37A50">
        <w:t> год</w:t>
      </w:r>
      <w:r>
        <w:t xml:space="preserve">а; b) распространенное использование уголовных и гражданских судебных исков против журналистов и СМИ, в том числе против лауреата Нобелевской премии мира Марии Рессы, ее новостного сайта </w:t>
      </w:r>
      <w:r w:rsidR="00B37A50">
        <w:t>«</w:t>
      </w:r>
      <w:r>
        <w:t>Рэпплер</w:t>
      </w:r>
      <w:r w:rsidR="00B37A50">
        <w:t>»</w:t>
      </w:r>
      <w:r>
        <w:t xml:space="preserve"> и журналистов </w:t>
      </w:r>
      <w:r w:rsidR="00B37A50">
        <w:t>«</w:t>
      </w:r>
      <w:r>
        <w:t>Рэпплер</w:t>
      </w:r>
      <w:r w:rsidR="00B37A50">
        <w:t>»</w:t>
      </w:r>
      <w:r>
        <w:t>; с) широко распространенное преследование и запугивание журналистов; и d) кибератаки, в том числе спонсируемые государством, на независимые СМИ, что серьезно нарушает их работу. Он обеспокоен многочисленными сообщениями о безнаказанных убийствах журналистов, в том числе радиожурналиста Персиваля Мабасы. Он также обеспокоен возможностью ограничения свободы выражения мнений в соответствии с законопроектом 2019</w:t>
      </w:r>
      <w:r w:rsidR="00B37A50">
        <w:t> год</w:t>
      </w:r>
      <w:r>
        <w:t xml:space="preserve">а о борьбе с ложным содержанием, который использует неопределенный стандарт </w:t>
      </w:r>
      <w:r w:rsidR="00B37A50">
        <w:t>«</w:t>
      </w:r>
      <w:r>
        <w:t>разумного пред</w:t>
      </w:r>
      <w:r w:rsidR="0008605C">
        <w:t>п</w:t>
      </w:r>
      <w:r>
        <w:t>оложения</w:t>
      </w:r>
      <w:r w:rsidR="00B37A50">
        <w:t>»</w:t>
      </w:r>
      <w:r>
        <w:t xml:space="preserve"> для определения ложного содержания и уполномочивает Управление по борьбе с киберпреступностью Министерства юстиции изменять или удалять информацию с веб-сайта на </w:t>
      </w:r>
      <w:r w:rsidR="00B37A50">
        <w:t>«</w:t>
      </w:r>
      <w:r>
        <w:t>веских и достаточных основаниях</w:t>
      </w:r>
      <w:r w:rsidR="00B37A50">
        <w:t>»</w:t>
      </w:r>
      <w:r>
        <w:t xml:space="preserve"> без каких-либо гарантий. Кроме того, он вновь выражает свою озабоченность</w:t>
      </w:r>
      <w:r w:rsidRPr="00330D0B">
        <w:rPr>
          <w:rStyle w:val="aa"/>
        </w:rPr>
        <w:footnoteReference w:id="11"/>
      </w:r>
      <w:r>
        <w:t xml:space="preserve"> по поводу продолжающейся криминализации диффамации в соответствии с пересмотренным Уголовным кодексом и клеветы в соответствии с Законом о предотвращении киберпреступлений 2012</w:t>
      </w:r>
      <w:r w:rsidR="00B37A50">
        <w:t> год</w:t>
      </w:r>
      <w:r>
        <w:t>а, который часто используется против журналистов, правозащитников, активистов и критиков правительства для подавления инакомыслия (статья 19).</w:t>
      </w:r>
    </w:p>
    <w:p w14:paraId="1CA65A2F" w14:textId="77777777" w:rsidR="009B6A75" w:rsidRPr="00E9116B" w:rsidRDefault="009B6A75" w:rsidP="009B6A75">
      <w:pPr>
        <w:pStyle w:val="SingleTxtG"/>
        <w:rPr>
          <w:b/>
        </w:rPr>
      </w:pPr>
      <w:r>
        <w:t>44.</w:t>
      </w:r>
      <w:r>
        <w:tab/>
      </w:r>
      <w:r>
        <w:rPr>
          <w:b/>
          <w:bCs/>
        </w:rPr>
        <w:t>Государству-участнику следует принять незамедлительные меры для обеспечения того, чтобы каждый человек мог свободно осуществлять право на свободу выражения мнений в соответствии со статьей 19 Пакта и замечанием общего порядка № 34 (2011) Комитета о свободе мнений и их свободного выражения и чтобы любые ограничения на осуществление свободы выражения мнений соответствовали строгим требованиям пункта 3 статьи 19 Пакта.</w:t>
      </w:r>
      <w:r>
        <w:t xml:space="preserve"> </w:t>
      </w:r>
      <w:r>
        <w:rPr>
          <w:b/>
          <w:bCs/>
        </w:rPr>
        <w:t>При этом государству-участнику следует:</w:t>
      </w:r>
    </w:p>
    <w:p w14:paraId="34DE82D5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a)</w:t>
      </w:r>
      <w:r w:rsidRPr="00B37A50">
        <w:rPr>
          <w:b/>
          <w:bCs/>
        </w:rPr>
        <w:tab/>
        <w:t>воздерживаться от уголовного преследования и лишения свободы журналистов, работников СМИ и других представителей гражданского общества в качестве средства сдерживания или воспрепятствования осуществлению ими права на свободное выражение мнений;</w:t>
      </w:r>
    </w:p>
    <w:p w14:paraId="574E0356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b)</w:t>
      </w:r>
      <w:r w:rsidRPr="00B37A50">
        <w:rPr>
          <w:b/>
          <w:bCs/>
        </w:rPr>
        <w:tab/>
        <w:t>эффективно предотвращать акты преследования, запугивания и нападений на журналистов, работников СМИ, правозащитников и других представителей гражданского общества, чтобы обеспечить им возможность свободно выполнять свою работу, не опасаясь насилия или репрессий;</w:t>
      </w:r>
    </w:p>
    <w:p w14:paraId="66E2F1E7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c)</w:t>
      </w:r>
      <w:r w:rsidRPr="00B37A50">
        <w:rPr>
          <w:b/>
          <w:bCs/>
        </w:rPr>
        <w:tab/>
        <w:t>проводить оперативные, эффективные и беспристрастные расследования по заявлениям об угрозах или насилии в отношении журналистов, работников СМИ и других субъектов гражданского общества, а также о кибератаках на СМИ, привлекать виновных к ответственности и предоставлять жертвам эффективные средства правовой защиты, включая адекватную компенсацию;</w:t>
      </w:r>
    </w:p>
    <w:p w14:paraId="2B6707D5" w14:textId="6941420D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d)</w:t>
      </w:r>
      <w:r w:rsidRPr="00B37A50">
        <w:rPr>
          <w:b/>
          <w:bCs/>
        </w:rPr>
        <w:tab/>
        <w:t>пересмотреть и привести в соответствие со статьей 19 Пакта законопроект о борьбе с ложным содержанием 2019</w:t>
      </w:r>
      <w:r w:rsidR="00B37A50" w:rsidRPr="00B37A50">
        <w:rPr>
          <w:b/>
          <w:bCs/>
        </w:rPr>
        <w:t> год</w:t>
      </w:r>
      <w:r w:rsidRPr="00B37A50">
        <w:rPr>
          <w:b/>
          <w:bCs/>
        </w:rPr>
        <w:t>а и другие законопроекты, касающиеся ложной информации;</w:t>
      </w:r>
    </w:p>
    <w:p w14:paraId="2AA432D9" w14:textId="33F1121C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e)</w:t>
      </w:r>
      <w:r w:rsidRPr="00B37A50">
        <w:rPr>
          <w:b/>
          <w:bCs/>
        </w:rPr>
        <w:tab/>
        <w:t xml:space="preserve">декриминализировать диффамацию, </w:t>
      </w:r>
      <w:r w:rsidR="00AD0665" w:rsidRPr="00B37A50">
        <w:rPr>
          <w:b/>
          <w:bCs/>
        </w:rPr>
        <w:t>памятуя</w:t>
      </w:r>
      <w:r w:rsidRPr="00B37A50">
        <w:rPr>
          <w:b/>
          <w:bCs/>
        </w:rPr>
        <w:t xml:space="preserve"> о том, что тюремное заключение никогда не является подходящим наказанием за диффамацию.</w:t>
      </w:r>
    </w:p>
    <w:p w14:paraId="783F78B5" w14:textId="77777777" w:rsidR="009B6A75" w:rsidRPr="00E9116B" w:rsidRDefault="009B6A75" w:rsidP="009B6A75">
      <w:pPr>
        <w:pStyle w:val="H23G"/>
      </w:pPr>
      <w:r>
        <w:tab/>
      </w:r>
      <w:r>
        <w:tab/>
      </w:r>
      <w:r>
        <w:rPr>
          <w:bCs/>
        </w:rPr>
        <w:t>Правозащитники</w:t>
      </w:r>
    </w:p>
    <w:p w14:paraId="3606BBB4" w14:textId="4EAD4DA8" w:rsidR="009B6A75" w:rsidRPr="00E9116B" w:rsidRDefault="009B6A75" w:rsidP="009B6A75">
      <w:pPr>
        <w:pStyle w:val="SingleTxtG"/>
      </w:pPr>
      <w:r>
        <w:t>45.</w:t>
      </w:r>
      <w:r>
        <w:tab/>
        <w:t xml:space="preserve">Комитет обеспокоен сообщениями об усилении репрессий, в том числе в контексте проводимых правительством операций по борьбе с терроризмом и незаконным оборотом наркотиков, в отношении правозащитников, активистов и других представителей гражданского общества с целью воспрепятствовать осуществлению ими своей законной деятельности. Он также обеспокоен сообщениями о занесении в </w:t>
      </w:r>
      <w:r w:rsidR="00B37A50">
        <w:t>«</w:t>
      </w:r>
      <w:r>
        <w:t>красные списки</w:t>
      </w:r>
      <w:r w:rsidR="00B37A50">
        <w:t>»</w:t>
      </w:r>
      <w:r>
        <w:t xml:space="preserve"> правозащитников, активистов и других субъектов гражданского общества, что дополнительно подвергает их угрозам убийством, запугиванию, нападениям, произвольным арестам и задержаниям, насильственным исчезновениям и внесудебным убийствам (статьи 2, 6, 9, 19, 21 и 22).</w:t>
      </w:r>
    </w:p>
    <w:p w14:paraId="3B5BBD49" w14:textId="77777777" w:rsidR="009B6A75" w:rsidRPr="00E9116B" w:rsidRDefault="009B6A75" w:rsidP="009B6A75">
      <w:pPr>
        <w:pStyle w:val="SingleTxtG"/>
        <w:keepNext/>
        <w:keepLines/>
        <w:rPr>
          <w:b/>
        </w:rPr>
      </w:pPr>
      <w:r>
        <w:t>46.</w:t>
      </w:r>
      <w:r>
        <w:tab/>
      </w:r>
      <w:r>
        <w:rPr>
          <w:b/>
          <w:bCs/>
        </w:rPr>
        <w:t>Государству-участнику следует:</w:t>
      </w:r>
    </w:p>
    <w:p w14:paraId="49796BA4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a)</w:t>
      </w:r>
      <w:r w:rsidRPr="00B37A50">
        <w:rPr>
          <w:b/>
          <w:bCs/>
        </w:rPr>
        <w:tab/>
        <w:t>принять незамедлительные меры для обеспечения защиты правозащитников, активистов и других представителей гражданского общества, чтобы они могли осуществлять и поощрять права человека в безопасной обстановке;</w:t>
      </w:r>
    </w:p>
    <w:p w14:paraId="52234F6A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b)</w:t>
      </w:r>
      <w:r w:rsidRPr="00B37A50">
        <w:rPr>
          <w:b/>
          <w:bCs/>
        </w:rPr>
        <w:tab/>
        <w:t>рассмотреть возможность безотлагательного принятия законопроекта о правозащитниках;</w:t>
      </w:r>
    </w:p>
    <w:p w14:paraId="2FAA715F" w14:textId="7D98A52E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c)</w:t>
      </w:r>
      <w:r w:rsidRPr="00B37A50">
        <w:rPr>
          <w:b/>
          <w:bCs/>
        </w:rPr>
        <w:tab/>
        <w:t xml:space="preserve">прекратить составление </w:t>
      </w:r>
      <w:r w:rsidR="00B37A50" w:rsidRPr="00B37A50">
        <w:rPr>
          <w:b/>
          <w:bCs/>
        </w:rPr>
        <w:t>«</w:t>
      </w:r>
      <w:r w:rsidRPr="00B37A50">
        <w:rPr>
          <w:b/>
          <w:bCs/>
        </w:rPr>
        <w:t>красных списков</w:t>
      </w:r>
      <w:r w:rsidR="00B37A50" w:rsidRPr="00B37A50">
        <w:rPr>
          <w:b/>
          <w:bCs/>
        </w:rPr>
        <w:t>»</w:t>
      </w:r>
      <w:r w:rsidRPr="00B37A50">
        <w:rPr>
          <w:b/>
          <w:bCs/>
        </w:rPr>
        <w:t xml:space="preserve"> в отношении правозащитников, активистов и других представителей гражданского общества;</w:t>
      </w:r>
    </w:p>
    <w:p w14:paraId="38CC1783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d)</w:t>
      </w:r>
      <w:r w:rsidRPr="00B37A50">
        <w:rPr>
          <w:b/>
          <w:bCs/>
        </w:rPr>
        <w:tab/>
        <w:t>оперативно, независимо и эффективно расследовать все нарушения прав человека, совершенные в отношении правозащитников, активистов и других субъектов гражданского общества, привлекая виновных к ответственности и предоставляя жертвам возмещение, включая адекватную компенсацию.</w:t>
      </w:r>
    </w:p>
    <w:p w14:paraId="08AED9CE" w14:textId="77777777" w:rsidR="009B6A75" w:rsidRPr="00E9116B" w:rsidRDefault="009B6A75" w:rsidP="009B6A75">
      <w:pPr>
        <w:pStyle w:val="H23G"/>
        <w:spacing w:before="0"/>
        <w:ind w:left="1138" w:right="1138" w:hanging="1138"/>
        <w:jc w:val="both"/>
      </w:pPr>
      <w:r>
        <w:tab/>
      </w:r>
      <w:r>
        <w:tab/>
      </w:r>
      <w:r>
        <w:rPr>
          <w:bCs/>
        </w:rPr>
        <w:t>Право на мирные собрания и свободу ассоциации</w:t>
      </w:r>
    </w:p>
    <w:p w14:paraId="36E665D0" w14:textId="134A1525" w:rsidR="009B6A75" w:rsidRPr="00E9116B" w:rsidRDefault="009B6A75" w:rsidP="009B6A75">
      <w:pPr>
        <w:pStyle w:val="SingleTxtG"/>
        <w:rPr>
          <w:b/>
        </w:rPr>
      </w:pPr>
      <w:r>
        <w:t>47.</w:t>
      </w:r>
      <w:r>
        <w:tab/>
        <w:t>Комитет обеспокоен сообщениями о том, что циркуляр № 15 Комиссии по ценным бумагам и биржам от 2018</w:t>
      </w:r>
      <w:r w:rsidR="00B37A50">
        <w:t> год</w:t>
      </w:r>
      <w:r>
        <w:t>а с поправками, внесенными циркуляром № 25 от 2019</w:t>
      </w:r>
      <w:r w:rsidR="00B37A50">
        <w:t> год</w:t>
      </w:r>
      <w:r>
        <w:t>а, ограничивает свободу ассоциации, устанавливая обременительные требования к отчетности некоммерческих организаций и разрешая слежку за правозащитниками. Особую озабоченность у него вызывают сообщения о том, что государственное информационное агентство ложно обвинило некоторые правозащитные организации в несоблюдении требований Комиссии по ценным бумагам и биржам, что выглядит как попытка дискредитировать эти организации. Он</w:t>
      </w:r>
      <w:r w:rsidR="00DE289A">
        <w:t> </w:t>
      </w:r>
      <w:r>
        <w:t xml:space="preserve">обеспокоен заявлениями об угрозах в адрес профсоюзных активистов, их преследовании, профилировании и убийствах, а также о вмешательстве сил безопасности в профсоюзные собрания. Он также обеспокоен чрезмерным применением силы при разгоне забастовок, в том числе против работников компаний </w:t>
      </w:r>
      <w:r w:rsidR="00B37A50">
        <w:t>«</w:t>
      </w:r>
      <w:r>
        <w:t>Сумитомо корпорэйшн</w:t>
      </w:r>
      <w:r w:rsidR="00B37A50">
        <w:t>»</w:t>
      </w:r>
      <w:r>
        <w:t xml:space="preserve"> и </w:t>
      </w:r>
      <w:r w:rsidR="00B37A50">
        <w:t>«</w:t>
      </w:r>
      <w:r>
        <w:t>НутриЭйша</w:t>
      </w:r>
      <w:r w:rsidR="00B37A50">
        <w:t>»</w:t>
      </w:r>
      <w:r>
        <w:t xml:space="preserve">, что привело к ранениям, </w:t>
      </w:r>
      <w:r w:rsidR="00DE289A">
        <w:br/>
      </w:r>
      <w:r>
        <w:t xml:space="preserve">гибели и произвольным арестам и задержаниям людей. Он сожалеет об </w:t>
      </w:r>
      <w:r w:rsidR="00DE289A">
        <w:br/>
      </w:r>
      <w:r>
        <w:t xml:space="preserve">отсутствии эффективных расследований и судебного преследования в этих случаях </w:t>
      </w:r>
      <w:r w:rsidR="00DE289A">
        <w:br/>
      </w:r>
      <w:r>
        <w:t>(статьи 21 и 22).</w:t>
      </w:r>
    </w:p>
    <w:p w14:paraId="3FDCBC52" w14:textId="77777777" w:rsidR="009B6A75" w:rsidRPr="00E9116B" w:rsidRDefault="009B6A75" w:rsidP="009B6A75">
      <w:pPr>
        <w:pStyle w:val="SingleTxtG"/>
        <w:rPr>
          <w:b/>
        </w:rPr>
      </w:pPr>
      <w:r>
        <w:t>48.</w:t>
      </w:r>
      <w:r>
        <w:tab/>
      </w:r>
      <w:r>
        <w:rPr>
          <w:b/>
          <w:bCs/>
        </w:rPr>
        <w:t>Государству-участнику следует:</w:t>
      </w:r>
    </w:p>
    <w:p w14:paraId="123174E0" w14:textId="61D135CD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a)</w:t>
      </w:r>
      <w:r w:rsidRPr="00B37A50">
        <w:rPr>
          <w:b/>
          <w:bCs/>
        </w:rPr>
        <w:tab/>
        <w:t>пересмотреть и изменить циркуляр Комиссии по ценным бумагам и биржам № 15 от 2018</w:t>
      </w:r>
      <w:r w:rsidR="00B37A50" w:rsidRPr="00B37A50">
        <w:rPr>
          <w:b/>
          <w:bCs/>
        </w:rPr>
        <w:t> год</w:t>
      </w:r>
      <w:r w:rsidRPr="00B37A50">
        <w:rPr>
          <w:b/>
          <w:bCs/>
        </w:rPr>
        <w:t>а с целью обеспечения уважения свободы ассоциации в соответствии со статьей 22 Пакта;</w:t>
      </w:r>
    </w:p>
    <w:p w14:paraId="0E5D7C1C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b)</w:t>
      </w:r>
      <w:r w:rsidRPr="00B37A50">
        <w:rPr>
          <w:b/>
          <w:bCs/>
        </w:rPr>
        <w:tab/>
        <w:t>воздерживаться от репрессий, преследований и запугивания профсоюзных активистов и нападений на них, обеспечить расследование таких актов, преследование и наказание виновных и усилить эффективную защиту профсоюзных активистов;</w:t>
      </w:r>
    </w:p>
    <w:p w14:paraId="336F03A2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c)</w:t>
      </w:r>
      <w:r w:rsidRPr="00B37A50">
        <w:rPr>
          <w:b/>
          <w:bCs/>
        </w:rPr>
        <w:tab/>
        <w:t>предотвращать и искоренять чрезмерное применение силы сотрудниками правоохранительных органов, в том числе путем обеспечения соответствующей подготовки, в соответствии с замечанием общего порядка № 37 (2020) Комитета о праве на мирные собрания, Основными принципами применения силы и огнестрельного оружия должностными лицами по поддержанию правопорядка и Руководящими указаниями Организации Объединенных Наций по вопросу о менее смертоносном оружии в правоохранительной деятельности;</w:t>
      </w:r>
    </w:p>
    <w:p w14:paraId="44EB1FF0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d)</w:t>
      </w:r>
      <w:r w:rsidRPr="00B37A50">
        <w:rPr>
          <w:b/>
          <w:bCs/>
        </w:rPr>
        <w:tab/>
        <w:t>обеспечить, чтобы утверждения о чрезмерном применении силы во время мирных собраний, включая забастовки рабочих, расследовались быстро, тщательно и беспристрастно, чтобы предполагаемые виновные привлекались к ответственности и, в случае признания их виновными, подвергались наказанию, а потерпевшие получали возмещение.</w:t>
      </w:r>
    </w:p>
    <w:p w14:paraId="0B351BF9" w14:textId="77777777" w:rsidR="009B6A75" w:rsidRPr="00E9116B" w:rsidRDefault="009B6A75" w:rsidP="009B6A75">
      <w:pPr>
        <w:pStyle w:val="H23G"/>
      </w:pPr>
      <w:r>
        <w:tab/>
      </w:r>
      <w:r>
        <w:tab/>
      </w:r>
      <w:r>
        <w:rPr>
          <w:bCs/>
        </w:rPr>
        <w:t>Участие в общественной жизни</w:t>
      </w:r>
    </w:p>
    <w:p w14:paraId="0F7ED482" w14:textId="42188667" w:rsidR="009B6A75" w:rsidRPr="00E9116B" w:rsidRDefault="009B6A75" w:rsidP="009B6A75">
      <w:pPr>
        <w:pStyle w:val="SingleTxtG"/>
      </w:pPr>
      <w:r>
        <w:t>49.</w:t>
      </w:r>
      <w:r>
        <w:tab/>
        <w:t>Комитет обеспокоен сообщениями о чрезвычайно длительном предварительном заключении с 2017</w:t>
      </w:r>
      <w:r w:rsidR="00B37A50">
        <w:t> год</w:t>
      </w:r>
      <w:r>
        <w:t>а бывшего сенатора Лейлы де Лимы и о политически мотивированных обвинениях, таких как мятеж и подстрекательство, выдвинутых против представителей оппозиции, таких как бывший сенатор Антонио Трильянес и бывший вице-президент Лени Робредо (статьи 9, 10 и 25).</w:t>
      </w:r>
    </w:p>
    <w:p w14:paraId="0FAB49C9" w14:textId="77777777" w:rsidR="009B6A75" w:rsidRPr="00E9116B" w:rsidRDefault="009B6A75" w:rsidP="009B6A75">
      <w:pPr>
        <w:pStyle w:val="SingleTxtG"/>
        <w:rPr>
          <w:b/>
        </w:rPr>
      </w:pPr>
      <w:r>
        <w:t>50.</w:t>
      </w:r>
      <w:r>
        <w:tab/>
      </w:r>
      <w:r>
        <w:rPr>
          <w:b/>
          <w:bCs/>
        </w:rPr>
        <w:t>Государству-участнику следует воздержаться от использования уголовного законодательства в качестве инструмента для преследования, запугивания и отстранения представителей оппозиции от полноценного участия в общественной жизни и избирательных процессах.</w:t>
      </w:r>
      <w:r>
        <w:t xml:space="preserve"> </w:t>
      </w:r>
      <w:r>
        <w:rPr>
          <w:b/>
          <w:bCs/>
        </w:rPr>
        <w:t>Ему следует предпринять необходимые шаги для прекращения длительного предварительного заключения бывшего сенатора Лейлы де Лимы, в том числе путем освобождения ее под залог, и обеспечить, чтобы суд над ней и над другими представителями оппозиции проходил без задержек и с соблюдением процессуальных прав.</w:t>
      </w:r>
    </w:p>
    <w:p w14:paraId="393A4D3B" w14:textId="77777777" w:rsidR="009B6A75" w:rsidRPr="00E9116B" w:rsidRDefault="009B6A75" w:rsidP="009B6A75">
      <w:pPr>
        <w:pStyle w:val="H23G"/>
        <w:spacing w:before="0"/>
        <w:ind w:left="1138" w:right="1138" w:hanging="1138"/>
        <w:jc w:val="both"/>
      </w:pPr>
      <w:r>
        <w:tab/>
      </w:r>
      <w:r>
        <w:tab/>
      </w:r>
      <w:r>
        <w:rPr>
          <w:bCs/>
        </w:rPr>
        <w:t>Права коренных народов</w:t>
      </w:r>
    </w:p>
    <w:p w14:paraId="0CB1A688" w14:textId="01ACECD2" w:rsidR="009B6A75" w:rsidRPr="00E9116B" w:rsidRDefault="009B6A75" w:rsidP="009B6A75">
      <w:pPr>
        <w:pStyle w:val="SingleTxtG"/>
      </w:pPr>
      <w:r>
        <w:t>51.</w:t>
      </w:r>
      <w:r>
        <w:tab/>
        <w:t>Отмечая усилия государства-участника по признанию и поощрению прав коренных народов, в том числе посредством Закона о правах коренных народов 1997</w:t>
      </w:r>
      <w:r w:rsidR="00B37A50">
        <w:t> год</w:t>
      </w:r>
      <w:r>
        <w:t>а, Комитет по-прежнему обеспокоен недостатками в реализации существующей правовой базы и правовых гарантий. В частности, он обеспокоен сообщениями о значительно низких показателях юридического признания земель в качестве владений коренных народов, перераспределением Департаментом аграрной реформы земель коренных народов в пользу поселенцев, не являющихся представителями коренных народов, без согласия последних, чрезмерным влиянием экономических и политических сил на национальную политику развития, а также обманом, угрозами, применением силы и насилия с летальным исходом в процессе получения свободного, предварительного и осознанного согласия на реализацию проектов развития. Он также обеспокоен нападениями на представителей коренных народов, проживающих в районах, затронутых конфликтом, и их убийствами на основании их предполагаемой принадлежности к армии или Новой народной армии. Он с озабоченностью отмечает сообщения о милитаризации школ коренных народов, преследованиях учителей и нападениях на них, а также о закрытии 54 школ коренных народов в Минданао за якобы преподавание насильственного экстремизма. Он</w:t>
      </w:r>
      <w:r w:rsidR="00FD46B1">
        <w:t> </w:t>
      </w:r>
      <w:r>
        <w:t>обеспокоен многочисленными сообщениями об убийствах защитников земельных и экологических прав, включая убийство девяти активистов за права коренных народов Тумандок в ходе совместной полицейской и военной операции в декабре 2020</w:t>
      </w:r>
      <w:r w:rsidR="00B37A50">
        <w:t> год</w:t>
      </w:r>
      <w:r>
        <w:t>а, лидера племени дату Виктора Даньяна в декабре 2017</w:t>
      </w:r>
      <w:r w:rsidR="00B37A50">
        <w:t> год</w:t>
      </w:r>
      <w:r>
        <w:t>а и сторонника земельной реформы Норы Апике неизвестными нападавшими в марте 2020</w:t>
      </w:r>
      <w:r w:rsidR="00B37A50">
        <w:t> год</w:t>
      </w:r>
      <w:r>
        <w:t>а (статьи 2, 6, 14 и 27).</w:t>
      </w:r>
    </w:p>
    <w:p w14:paraId="164E5792" w14:textId="77777777" w:rsidR="009B6A75" w:rsidRPr="00E9116B" w:rsidRDefault="009B6A75" w:rsidP="009B6A75">
      <w:pPr>
        <w:pStyle w:val="SingleTxtG"/>
      </w:pPr>
      <w:r>
        <w:t>52.</w:t>
      </w:r>
      <w:r>
        <w:tab/>
      </w:r>
      <w:r>
        <w:rPr>
          <w:b/>
          <w:bCs/>
        </w:rPr>
        <w:t>Государству-участнику следует активизировать усилия, с тем чтобы:</w:t>
      </w:r>
    </w:p>
    <w:p w14:paraId="56823D4D" w14:textId="6AC61008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a)</w:t>
      </w:r>
      <w:r w:rsidRPr="00B37A50">
        <w:rPr>
          <w:b/>
          <w:bCs/>
        </w:rPr>
        <w:tab/>
        <w:t>полностью осуществить Закон о правах коренных народов от 1997</w:t>
      </w:r>
      <w:r w:rsidR="00B37A50" w:rsidRPr="00B37A50">
        <w:rPr>
          <w:b/>
          <w:bCs/>
        </w:rPr>
        <w:t> год</w:t>
      </w:r>
      <w:r w:rsidRPr="00B37A50">
        <w:rPr>
          <w:b/>
          <w:bCs/>
        </w:rPr>
        <w:t>а, в частности его положения о принципе свободного, предварительного и осознанного согласия;</w:t>
      </w:r>
    </w:p>
    <w:p w14:paraId="5D7694D4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b)</w:t>
      </w:r>
      <w:r w:rsidRPr="00B37A50">
        <w:rPr>
          <w:b/>
          <w:bCs/>
        </w:rPr>
        <w:tab/>
        <w:t>облегчить юридический процесс предоставления права собственности на земли предков, в том числе путем разработки и внедрения упрощенной процедуры;</w:t>
      </w:r>
    </w:p>
    <w:p w14:paraId="29386B66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c)</w:t>
      </w:r>
      <w:r w:rsidRPr="00B37A50">
        <w:rPr>
          <w:b/>
          <w:bCs/>
        </w:rPr>
        <w:tab/>
        <w:t>обеспечить проведение полных и значимых консультаций с коренными народами с целью получения их свободного, предварительного и осознанного согласия до принятия или применения любых мер, которые могут повлиять на их права, в том числе при выдаче разрешения на проекты в области развития, и обеспечить проведение консультаций с коренными народами до принятия любого нормативного документа, касающегося таких консультаций;</w:t>
      </w:r>
    </w:p>
    <w:p w14:paraId="747CEE7C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d)</w:t>
      </w:r>
      <w:r w:rsidRPr="00B37A50">
        <w:rPr>
          <w:b/>
          <w:bCs/>
        </w:rPr>
        <w:tab/>
        <w:t>обеспечить в законодательстве и на практике, чтобы коренные народы, затронутые проектами в области развития, имели адекватный доступ к справедливому и равному распределению выгод;</w:t>
      </w:r>
    </w:p>
    <w:p w14:paraId="77D6015B" w14:textId="77777777" w:rsidR="009B6A75" w:rsidRPr="00B37A50" w:rsidRDefault="009B6A75" w:rsidP="00B37A50">
      <w:pPr>
        <w:pStyle w:val="SingleTxtG"/>
        <w:ind w:firstLine="567"/>
        <w:rPr>
          <w:b/>
          <w:bCs/>
        </w:rPr>
      </w:pPr>
      <w:r w:rsidRPr="00B37A50">
        <w:rPr>
          <w:b/>
          <w:bCs/>
        </w:rPr>
        <w:t>e)</w:t>
      </w:r>
      <w:r w:rsidRPr="00B37A50">
        <w:rPr>
          <w:b/>
          <w:bCs/>
        </w:rPr>
        <w:tab/>
        <w:t>обеспечить, чтобы по случаям преследования, запугивания и насилия в отношении коренных народов и правозащитников из числа коренных народов, а также их убийства оперативно, тщательно, независимо и беспристрастно проводились расследования, чтобы виновные привлекались к ответственности и чтобы жертвы имели доступ к полному возмещению ущерба.</w:t>
      </w:r>
    </w:p>
    <w:p w14:paraId="67FEF911" w14:textId="77777777" w:rsidR="009B6A75" w:rsidRPr="00E9116B" w:rsidRDefault="009B6A75" w:rsidP="009B6A75">
      <w:pPr>
        <w:pStyle w:val="H1G"/>
        <w:rPr>
          <w:rFonts w:eastAsiaTheme="minorEastAsia"/>
        </w:rPr>
      </w:pPr>
      <w:r>
        <w:rPr>
          <w:bCs/>
        </w:rPr>
        <w:tab/>
        <w:t>D.</w:t>
      </w:r>
      <w:r>
        <w:tab/>
      </w:r>
      <w:r>
        <w:tab/>
      </w:r>
      <w:r>
        <w:rPr>
          <w:bCs/>
        </w:rPr>
        <w:t>Распространение информации и последующая деятельность</w:t>
      </w:r>
    </w:p>
    <w:p w14:paraId="3BA5E881" w14:textId="77777777" w:rsidR="009B6A75" w:rsidRPr="00E9116B" w:rsidRDefault="009B6A75" w:rsidP="009B6A75">
      <w:pPr>
        <w:pStyle w:val="SingleTxtG"/>
        <w:rPr>
          <w:b/>
          <w:bCs/>
        </w:rPr>
      </w:pPr>
      <w:r>
        <w:t>53.</w:t>
      </w:r>
      <w:r>
        <w:tab/>
      </w:r>
      <w:r>
        <w:rPr>
          <w:b/>
          <w:bCs/>
        </w:rPr>
        <w:t>Государству-участнику следует обеспечить широкое распространение Пакта, обоих Факультативных протоколов к нему, своего пятого периодического доклада и настоящих заключительных замечаний с целью повышения уровня осведомленности о закрепленных в Пакте правах среди представителей судебных, законодательных и административных органов, гражданского общества и действующих в стране неправительственных организаций, а также широкой общественности.</w:t>
      </w:r>
      <w:r>
        <w:t xml:space="preserve"> </w:t>
      </w:r>
      <w:r>
        <w:rPr>
          <w:b/>
          <w:bCs/>
        </w:rPr>
        <w:t>Государству-участнику следует обеспечить перевод периодического доклада и настоящих заключительных замечаний на другой официальный язык государства-участника.</w:t>
      </w:r>
    </w:p>
    <w:p w14:paraId="66D562D8" w14:textId="7580DFE2" w:rsidR="009B6A75" w:rsidRPr="00E9116B" w:rsidRDefault="009B6A75" w:rsidP="009B6A75">
      <w:pPr>
        <w:pStyle w:val="SingleTxtG"/>
        <w:rPr>
          <w:b/>
          <w:bCs/>
        </w:rPr>
      </w:pPr>
      <w:r>
        <w:t>54.</w:t>
      </w:r>
      <w:r>
        <w:tab/>
      </w:r>
      <w:r>
        <w:rPr>
          <w:b/>
          <w:bCs/>
        </w:rPr>
        <w:t>В соответствии с пунктом 1 правила 75 правил процедуры Комитета государству-участнику предлагается представить к 4 ноября 2025</w:t>
      </w:r>
      <w:r w:rsidR="00B37A50">
        <w:rPr>
          <w:b/>
          <w:bCs/>
        </w:rPr>
        <w:t> год</w:t>
      </w:r>
      <w:r>
        <w:rPr>
          <w:b/>
          <w:bCs/>
        </w:rPr>
        <w:t xml:space="preserve">а информацию об осуществлении рекомендаций, вынесенных Комитетом в пунктах 28 (внесудебные казни), 32 (условия содержания под стражей) </w:t>
      </w:r>
      <w:r w:rsidR="005517C1">
        <w:rPr>
          <w:b/>
          <w:bCs/>
        </w:rPr>
        <w:br/>
      </w:r>
      <w:r>
        <w:rPr>
          <w:b/>
          <w:bCs/>
        </w:rPr>
        <w:t>и 44 (свобода выражения мнений) выше.</w:t>
      </w:r>
    </w:p>
    <w:p w14:paraId="233DEB56" w14:textId="22AFAE9B" w:rsidR="009B6A75" w:rsidRPr="00E9116B" w:rsidRDefault="009B6A75" w:rsidP="009B6A75">
      <w:pPr>
        <w:pStyle w:val="SingleTxtG"/>
        <w:rPr>
          <w:b/>
          <w:bCs/>
        </w:rPr>
      </w:pPr>
      <w:r>
        <w:t>55.</w:t>
      </w:r>
      <w:r>
        <w:tab/>
      </w:r>
      <w:r>
        <w:rPr>
          <w:b/>
          <w:bCs/>
        </w:rPr>
        <w:t>В соответствии с прогнозируемым циклом обзора Комитета государство-участник получит в 2028</w:t>
      </w:r>
      <w:r w:rsidR="00B37A50">
        <w:rPr>
          <w:b/>
          <w:bCs/>
        </w:rPr>
        <w:t> год</w:t>
      </w:r>
      <w:r>
        <w:rPr>
          <w:b/>
          <w:bCs/>
        </w:rPr>
        <w:t>у перечень вопросов Комитета до представления доклада и должно будет представить в течение одного</w:t>
      </w:r>
      <w:r w:rsidR="00B37A50">
        <w:rPr>
          <w:b/>
          <w:bCs/>
        </w:rPr>
        <w:t> год</w:t>
      </w:r>
      <w:r>
        <w:rPr>
          <w:b/>
          <w:bCs/>
        </w:rPr>
        <w:t>а свои ответы, которые и будут составлять его шестой периодический доклад.</w:t>
      </w:r>
      <w:r>
        <w:t xml:space="preserve"> </w:t>
      </w:r>
      <w:r>
        <w:rPr>
          <w:b/>
          <w:bCs/>
        </w:rPr>
        <w:t>Комитет также просит государство-участник при подготовке своего доклада провести широкие консультации с представителями гражданского общества и действующих в стране неправительственных организаций.</w:t>
      </w:r>
      <w:r>
        <w:t xml:space="preserve"> </w:t>
      </w:r>
      <w:r>
        <w:rPr>
          <w:b/>
          <w:bCs/>
        </w:rPr>
        <w:t>В соответствии с резолюцией 68/268 Генеральной Ассамблеи объем доклада не должен превышать 21</w:t>
      </w:r>
      <w:r w:rsidR="00FA0062">
        <w:rPr>
          <w:b/>
          <w:bCs/>
        </w:rPr>
        <w:t> </w:t>
      </w:r>
      <w:r>
        <w:rPr>
          <w:b/>
          <w:bCs/>
        </w:rPr>
        <w:t>200 слов.</w:t>
      </w:r>
      <w:r>
        <w:t xml:space="preserve"> </w:t>
      </w:r>
      <w:r>
        <w:rPr>
          <w:b/>
          <w:bCs/>
        </w:rPr>
        <w:t>Следующий конструктивный диалог с государством-участником состоится в Женеве в 2030</w:t>
      </w:r>
      <w:r w:rsidR="00B37A50">
        <w:rPr>
          <w:b/>
          <w:bCs/>
        </w:rPr>
        <w:t> год</w:t>
      </w:r>
      <w:r>
        <w:rPr>
          <w:b/>
          <w:bCs/>
        </w:rPr>
        <w:t>у.</w:t>
      </w:r>
    </w:p>
    <w:p w14:paraId="7814612A" w14:textId="6D5A780B" w:rsidR="00381C24" w:rsidRPr="00BC18B2" w:rsidRDefault="009B6A75" w:rsidP="009B6A75">
      <w:pPr>
        <w:jc w:val="center"/>
      </w:pPr>
      <w:r w:rsidRPr="00E9116B">
        <w:rPr>
          <w:u w:val="single"/>
        </w:rPr>
        <w:tab/>
      </w:r>
      <w:r w:rsidRPr="00E9116B">
        <w:rPr>
          <w:u w:val="single"/>
        </w:rPr>
        <w:tab/>
      </w:r>
      <w:r w:rsidRPr="00E9116B">
        <w:rPr>
          <w:u w:val="single"/>
        </w:rPr>
        <w:tab/>
      </w:r>
    </w:p>
    <w:sectPr w:rsidR="00381C24" w:rsidRPr="00BC18B2" w:rsidSect="009B6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3A75" w14:textId="77777777" w:rsidR="00784A53" w:rsidRPr="00A312BC" w:rsidRDefault="00784A53" w:rsidP="00A312BC"/>
  </w:endnote>
  <w:endnote w:type="continuationSeparator" w:id="0">
    <w:p w14:paraId="76797CD8" w14:textId="77777777" w:rsidR="00784A53" w:rsidRPr="00A312BC" w:rsidRDefault="00784A5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CF6D" w14:textId="161A9BDF" w:rsidR="009B6A75" w:rsidRPr="009B6A75" w:rsidRDefault="009B6A75">
    <w:pPr>
      <w:pStyle w:val="a8"/>
    </w:pPr>
    <w:r w:rsidRPr="009B6A75">
      <w:rPr>
        <w:b/>
        <w:sz w:val="18"/>
      </w:rPr>
      <w:fldChar w:fldCharType="begin"/>
    </w:r>
    <w:r w:rsidRPr="009B6A75">
      <w:rPr>
        <w:b/>
        <w:sz w:val="18"/>
      </w:rPr>
      <w:instrText xml:space="preserve"> PAGE  \* MERGEFORMAT </w:instrText>
    </w:r>
    <w:r w:rsidRPr="009B6A75">
      <w:rPr>
        <w:b/>
        <w:sz w:val="18"/>
      </w:rPr>
      <w:fldChar w:fldCharType="separate"/>
    </w:r>
    <w:r w:rsidRPr="009B6A75">
      <w:rPr>
        <w:b/>
        <w:noProof/>
        <w:sz w:val="18"/>
      </w:rPr>
      <w:t>2</w:t>
    </w:r>
    <w:r w:rsidRPr="009B6A75">
      <w:rPr>
        <w:b/>
        <w:sz w:val="18"/>
      </w:rPr>
      <w:fldChar w:fldCharType="end"/>
    </w:r>
    <w:r>
      <w:rPr>
        <w:b/>
        <w:sz w:val="18"/>
      </w:rPr>
      <w:tab/>
    </w:r>
    <w:r>
      <w:t>GE.22-25778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F769" w14:textId="33C0556D" w:rsidR="009B6A75" w:rsidRPr="009B6A75" w:rsidRDefault="009B6A75" w:rsidP="009B6A75">
    <w:pPr>
      <w:pStyle w:val="a8"/>
      <w:tabs>
        <w:tab w:val="clear" w:pos="9639"/>
        <w:tab w:val="right" w:pos="9638"/>
      </w:tabs>
      <w:rPr>
        <w:b/>
        <w:sz w:val="18"/>
      </w:rPr>
    </w:pPr>
    <w:r>
      <w:t>GE.22-25778</w:t>
    </w:r>
    <w:r>
      <w:tab/>
    </w:r>
    <w:r w:rsidRPr="009B6A75">
      <w:rPr>
        <w:b/>
        <w:sz w:val="18"/>
      </w:rPr>
      <w:fldChar w:fldCharType="begin"/>
    </w:r>
    <w:r w:rsidRPr="009B6A75">
      <w:rPr>
        <w:b/>
        <w:sz w:val="18"/>
      </w:rPr>
      <w:instrText xml:space="preserve"> PAGE  \* MERGEFORMAT </w:instrText>
    </w:r>
    <w:r w:rsidRPr="009B6A75">
      <w:rPr>
        <w:b/>
        <w:sz w:val="18"/>
      </w:rPr>
      <w:fldChar w:fldCharType="separate"/>
    </w:r>
    <w:r w:rsidRPr="009B6A75">
      <w:rPr>
        <w:b/>
        <w:noProof/>
        <w:sz w:val="18"/>
      </w:rPr>
      <w:t>3</w:t>
    </w:r>
    <w:r w:rsidRPr="009B6A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8B3A" w14:textId="39B65524" w:rsidR="00042B72" w:rsidRPr="009B6A75" w:rsidRDefault="009B6A75" w:rsidP="009B6A75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EB13FDF" wp14:editId="6CB8AFF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22-25778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379E576" wp14:editId="30393E6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260123  090323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4115" w14:textId="77777777" w:rsidR="00784A53" w:rsidRPr="001075E9" w:rsidRDefault="00784A5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D3ABF7" w14:textId="77777777" w:rsidR="00784A53" w:rsidRDefault="00784A5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9722761" w14:textId="45B2AFA6" w:rsidR="009B6A75" w:rsidRPr="00E9116B" w:rsidRDefault="009B6A75" w:rsidP="009B6A75">
      <w:pPr>
        <w:pStyle w:val="ad"/>
      </w:pPr>
      <w:r>
        <w:tab/>
      </w:r>
      <w:r w:rsidRPr="00624A03">
        <w:rPr>
          <w:sz w:val="20"/>
        </w:rPr>
        <w:t>*</w:t>
      </w:r>
      <w:r>
        <w:tab/>
        <w:t xml:space="preserve">Приняты Комитетом на его </w:t>
      </w:r>
      <w:r w:rsidR="00624A03">
        <w:t>сто тридцать шестой</w:t>
      </w:r>
      <w:r>
        <w:t xml:space="preserve"> сессии (10 октября </w:t>
      </w:r>
      <w:r w:rsidR="00624A03">
        <w:t>—</w:t>
      </w:r>
      <w:r>
        <w:t xml:space="preserve"> 4 ноября 2022</w:t>
      </w:r>
      <w:r w:rsidR="00B37A50">
        <w:t> год</w:t>
      </w:r>
      <w:r>
        <w:t>а).</w:t>
      </w:r>
    </w:p>
  </w:footnote>
  <w:footnote w:id="2">
    <w:p w14:paraId="2B5DB2DE" w14:textId="5A2CBC9D" w:rsidR="009B6A75" w:rsidRPr="00E9116B" w:rsidRDefault="009B6A75" w:rsidP="009B6A75">
      <w:pPr>
        <w:pStyle w:val="ad"/>
        <w:widowControl w:val="0"/>
        <w:tabs>
          <w:tab w:val="clear" w:pos="1021"/>
          <w:tab w:val="right" w:pos="1020"/>
        </w:tabs>
      </w:pPr>
      <w:r>
        <w:tab/>
      </w:r>
      <w:r w:rsidRPr="00330D0B">
        <w:rPr>
          <w:rStyle w:val="aa"/>
        </w:rPr>
        <w:footnoteRef/>
      </w:r>
      <w:r>
        <w:tab/>
      </w:r>
      <w:hyperlink r:id="rId1" w:history="1">
        <w:r w:rsidRPr="00FA0062">
          <w:rPr>
            <w:rStyle w:val="af1"/>
          </w:rPr>
          <w:t>CCPR/C/PHL/5</w:t>
        </w:r>
      </w:hyperlink>
      <w:r>
        <w:t>.</w:t>
      </w:r>
    </w:p>
  </w:footnote>
  <w:footnote w:id="3">
    <w:p w14:paraId="44A3C797" w14:textId="224BAD00" w:rsidR="009B6A75" w:rsidRPr="00E9116B" w:rsidRDefault="009B6A75" w:rsidP="009B6A75">
      <w:pPr>
        <w:pStyle w:val="ad"/>
        <w:widowControl w:val="0"/>
        <w:tabs>
          <w:tab w:val="clear" w:pos="1021"/>
          <w:tab w:val="right" w:pos="1020"/>
        </w:tabs>
      </w:pPr>
      <w:r>
        <w:tab/>
      </w:r>
      <w:r w:rsidRPr="00330D0B">
        <w:rPr>
          <w:rStyle w:val="aa"/>
        </w:rPr>
        <w:footnoteRef/>
      </w:r>
      <w:r>
        <w:tab/>
        <w:t xml:space="preserve">См. </w:t>
      </w:r>
      <w:hyperlink r:id="rId2" w:history="1">
        <w:r w:rsidRPr="00FA0062">
          <w:rPr>
            <w:rStyle w:val="af1"/>
          </w:rPr>
          <w:t>CCPR/C/SR.3919</w:t>
        </w:r>
      </w:hyperlink>
      <w:r>
        <w:t xml:space="preserve"> и </w:t>
      </w:r>
      <w:hyperlink r:id="rId3" w:history="1">
        <w:r w:rsidRPr="00FA0062">
          <w:rPr>
            <w:rStyle w:val="af1"/>
          </w:rPr>
          <w:t>CCPR/C/SR.3920</w:t>
        </w:r>
      </w:hyperlink>
      <w:r>
        <w:t>.</w:t>
      </w:r>
    </w:p>
  </w:footnote>
  <w:footnote w:id="4">
    <w:p w14:paraId="5A2CB6A2" w14:textId="04C7F88E" w:rsidR="009B6A75" w:rsidRPr="009B6A75" w:rsidRDefault="009B6A75" w:rsidP="009B6A75">
      <w:pPr>
        <w:pStyle w:val="ad"/>
        <w:rPr>
          <w:lang w:val="fr-CH"/>
        </w:rPr>
      </w:pPr>
      <w:r>
        <w:tab/>
      </w:r>
      <w:r w:rsidRPr="00330D0B">
        <w:rPr>
          <w:rStyle w:val="aa"/>
        </w:rPr>
        <w:footnoteRef/>
      </w:r>
      <w:r w:rsidRPr="009B6A75">
        <w:rPr>
          <w:lang w:val="fr-CH"/>
        </w:rPr>
        <w:tab/>
      </w:r>
      <w:r w:rsidR="00472502">
        <w:fldChar w:fldCharType="begin"/>
      </w:r>
      <w:r w:rsidR="00472502" w:rsidRPr="001F1F21">
        <w:rPr>
          <w:lang w:val="fr-CH"/>
        </w:rPr>
        <w:instrText xml:space="preserve"> HYPERLINK "http://undocs.org/en/CCPR/C/PHL/RQ/5" </w:instrText>
      </w:r>
      <w:r w:rsidR="00472502">
        <w:fldChar w:fldCharType="separate"/>
      </w:r>
      <w:r w:rsidR="00FA0062" w:rsidRPr="004E2094">
        <w:rPr>
          <w:rStyle w:val="af1"/>
          <w:lang w:val="fr-CH"/>
        </w:rPr>
        <w:t>CCPR/C/PHL/RQ/5</w:t>
      </w:r>
      <w:r w:rsidR="00472502">
        <w:rPr>
          <w:rStyle w:val="af1"/>
          <w:lang w:val="fr-CH"/>
        </w:rPr>
        <w:fldChar w:fldCharType="end"/>
      </w:r>
      <w:r w:rsidRPr="009B6A75">
        <w:rPr>
          <w:lang w:val="fr-CH"/>
        </w:rPr>
        <w:t>.</w:t>
      </w:r>
    </w:p>
  </w:footnote>
  <w:footnote w:id="5">
    <w:p w14:paraId="00674956" w14:textId="5841396D" w:rsidR="009B6A75" w:rsidRPr="009B6A75" w:rsidRDefault="009B6A75" w:rsidP="009B6A75">
      <w:pPr>
        <w:pStyle w:val="ad"/>
        <w:rPr>
          <w:lang w:val="fr-CH"/>
        </w:rPr>
      </w:pPr>
      <w:r w:rsidRPr="009B6A75">
        <w:rPr>
          <w:lang w:val="fr-CH"/>
        </w:rPr>
        <w:tab/>
      </w:r>
      <w:r w:rsidRPr="00330D0B">
        <w:rPr>
          <w:rStyle w:val="aa"/>
        </w:rPr>
        <w:footnoteRef/>
      </w:r>
      <w:r w:rsidRPr="009B6A75">
        <w:rPr>
          <w:lang w:val="fr-CH"/>
        </w:rPr>
        <w:tab/>
      </w:r>
      <w:r w:rsidR="00472502">
        <w:fldChar w:fldCharType="begin"/>
      </w:r>
      <w:r w:rsidR="00472502" w:rsidRPr="001F1F21">
        <w:rPr>
          <w:lang w:val="fr-CH"/>
        </w:rPr>
        <w:instrText xml:space="preserve"> HYPERLINK "http://undocs.org/en/CCPR/C/PHL/Q/5" </w:instrText>
      </w:r>
      <w:r w:rsidR="00472502">
        <w:fldChar w:fldCharType="separate"/>
      </w:r>
      <w:r w:rsidR="00FA0062" w:rsidRPr="004E2094">
        <w:rPr>
          <w:rStyle w:val="af1"/>
          <w:lang w:val="fr-CH"/>
        </w:rPr>
        <w:t>CCPR/C/PHL/Q/5</w:t>
      </w:r>
      <w:r w:rsidR="00472502">
        <w:rPr>
          <w:rStyle w:val="af1"/>
          <w:lang w:val="fr-CH"/>
        </w:rPr>
        <w:fldChar w:fldCharType="end"/>
      </w:r>
      <w:r w:rsidRPr="009B6A75">
        <w:rPr>
          <w:lang w:val="fr-CH"/>
        </w:rPr>
        <w:t>.</w:t>
      </w:r>
    </w:p>
  </w:footnote>
  <w:footnote w:id="6">
    <w:p w14:paraId="15750B9C" w14:textId="27668197" w:rsidR="009B6A75" w:rsidRPr="009B6A75" w:rsidRDefault="009B6A75" w:rsidP="009B6A75">
      <w:pPr>
        <w:pStyle w:val="ad"/>
        <w:rPr>
          <w:lang w:val="en-US"/>
        </w:rPr>
      </w:pPr>
      <w:r w:rsidRPr="009B6A75">
        <w:rPr>
          <w:lang w:val="fr-CH"/>
        </w:rPr>
        <w:tab/>
      </w:r>
      <w:r w:rsidRPr="00330D0B">
        <w:rPr>
          <w:rStyle w:val="aa"/>
        </w:rPr>
        <w:footnoteRef/>
      </w:r>
      <w:r w:rsidRPr="00E9116B">
        <w:rPr>
          <w:lang w:val="en-US"/>
        </w:rPr>
        <w:tab/>
      </w:r>
      <w:r w:rsidR="00472502">
        <w:fldChar w:fldCharType="begin"/>
      </w:r>
      <w:r w:rsidR="00472502" w:rsidRPr="00FA290C">
        <w:rPr>
          <w:lang w:val="en-US"/>
        </w:rPr>
        <w:instrText xml:space="preserve"> HYPERLINK "http://undocs.org/ru/CCPR/C/PHL/CO/4" </w:instrText>
      </w:r>
      <w:r w:rsidR="00472502">
        <w:fldChar w:fldCharType="separate"/>
      </w:r>
      <w:r w:rsidRPr="00FA0062">
        <w:rPr>
          <w:rStyle w:val="af1"/>
          <w:lang w:val="en-US"/>
        </w:rPr>
        <w:t>CCPR/C/PHL/CO/4</w:t>
      </w:r>
      <w:r w:rsidR="00472502">
        <w:rPr>
          <w:rStyle w:val="af1"/>
          <w:lang w:val="en-US"/>
        </w:rPr>
        <w:fldChar w:fldCharType="end"/>
      </w:r>
      <w:r w:rsidRPr="00E9116B">
        <w:rPr>
          <w:lang w:val="en-US"/>
        </w:rPr>
        <w:t xml:space="preserve">, </w:t>
      </w:r>
      <w:r>
        <w:t>п</w:t>
      </w:r>
      <w:r w:rsidRPr="00E9116B">
        <w:rPr>
          <w:lang w:val="en-US"/>
        </w:rPr>
        <w:t>. 12.</w:t>
      </w:r>
    </w:p>
  </w:footnote>
  <w:footnote w:id="7">
    <w:p w14:paraId="464B2F52" w14:textId="77777777" w:rsidR="009B6A75" w:rsidRPr="00E9116B" w:rsidRDefault="009B6A75" w:rsidP="009B6A75">
      <w:pPr>
        <w:pStyle w:val="ad"/>
      </w:pPr>
      <w:r w:rsidRPr="00E9116B">
        <w:rPr>
          <w:lang w:val="en-US"/>
        </w:rPr>
        <w:tab/>
      </w:r>
      <w:r w:rsidRPr="00330D0B">
        <w:rPr>
          <w:rStyle w:val="aa"/>
        </w:rPr>
        <w:footnoteRef/>
      </w:r>
      <w:r>
        <w:tab/>
        <w:t>Там же.</w:t>
      </w:r>
    </w:p>
  </w:footnote>
  <w:footnote w:id="8">
    <w:p w14:paraId="1F02F333" w14:textId="77777777" w:rsidR="00B556E9" w:rsidRPr="00E9116B" w:rsidRDefault="00B556E9" w:rsidP="00B556E9">
      <w:pPr>
        <w:pStyle w:val="ad"/>
      </w:pPr>
      <w:r w:rsidRPr="003C0CCF">
        <w:tab/>
      </w:r>
      <w:r w:rsidRPr="00330D0B">
        <w:rPr>
          <w:rStyle w:val="aa"/>
        </w:rPr>
        <w:footnoteRef/>
      </w:r>
      <w:r>
        <w:tab/>
        <w:t>Там же, п. 13.</w:t>
      </w:r>
    </w:p>
  </w:footnote>
  <w:footnote w:id="9">
    <w:p w14:paraId="74D659D1" w14:textId="77777777" w:rsidR="009B6A75" w:rsidRPr="00E9116B" w:rsidRDefault="009B6A75" w:rsidP="009B6A75">
      <w:pPr>
        <w:pStyle w:val="ad"/>
      </w:pPr>
      <w:r w:rsidRPr="003C0CCF">
        <w:tab/>
      </w:r>
      <w:r w:rsidRPr="00330D0B">
        <w:rPr>
          <w:rStyle w:val="aa"/>
        </w:rPr>
        <w:footnoteRef/>
      </w:r>
      <w:r>
        <w:tab/>
        <w:t>Там же.</w:t>
      </w:r>
    </w:p>
  </w:footnote>
  <w:footnote w:id="10">
    <w:p w14:paraId="5E40A015" w14:textId="77777777" w:rsidR="009B6A75" w:rsidRPr="00E9116B" w:rsidRDefault="009B6A75" w:rsidP="009B6A75">
      <w:pPr>
        <w:pStyle w:val="ad"/>
      </w:pPr>
      <w:r w:rsidRPr="003C0CCF">
        <w:tab/>
      </w:r>
      <w:r w:rsidRPr="00330D0B">
        <w:rPr>
          <w:rStyle w:val="aa"/>
        </w:rPr>
        <w:footnoteRef/>
      </w:r>
      <w:r>
        <w:tab/>
        <w:t>П. 34.</w:t>
      </w:r>
    </w:p>
  </w:footnote>
  <w:footnote w:id="11">
    <w:p w14:paraId="704A3AE4" w14:textId="2BCA1129" w:rsidR="009B6A75" w:rsidRPr="00FA0062" w:rsidRDefault="009B6A75" w:rsidP="009B6A75">
      <w:pPr>
        <w:pStyle w:val="ad"/>
        <w:rPr>
          <w:lang w:val="en-US"/>
        </w:rPr>
      </w:pPr>
      <w:r w:rsidRPr="003C0CCF">
        <w:tab/>
      </w:r>
      <w:r w:rsidRPr="00330D0B">
        <w:rPr>
          <w:rStyle w:val="aa"/>
        </w:rPr>
        <w:footnoteRef/>
      </w:r>
      <w:r w:rsidRPr="00FA0062">
        <w:rPr>
          <w:lang w:val="en-US"/>
        </w:rPr>
        <w:tab/>
      </w:r>
      <w:r w:rsidR="00472502">
        <w:fldChar w:fldCharType="begin"/>
      </w:r>
      <w:r w:rsidR="00472502" w:rsidRPr="00FA290C">
        <w:rPr>
          <w:lang w:val="en-US"/>
        </w:rPr>
        <w:instrText xml:space="preserve"> HYPERLINK "http://undocs.org/ru/CCPR/C/PHL/CO/4" </w:instrText>
      </w:r>
      <w:r w:rsidR="00472502">
        <w:fldChar w:fldCharType="separate"/>
      </w:r>
      <w:r w:rsidRPr="00FA0062">
        <w:rPr>
          <w:rStyle w:val="af1"/>
          <w:lang w:val="en-US"/>
        </w:rPr>
        <w:t>CCPR/C/PHL/CO/4</w:t>
      </w:r>
      <w:r w:rsidR="00472502">
        <w:rPr>
          <w:rStyle w:val="af1"/>
          <w:lang w:val="en-US"/>
        </w:rPr>
        <w:fldChar w:fldCharType="end"/>
      </w:r>
      <w:r w:rsidRPr="00FA0062">
        <w:rPr>
          <w:lang w:val="en-US"/>
        </w:rPr>
        <w:t xml:space="preserve">, </w:t>
      </w:r>
      <w:r>
        <w:t>п</w:t>
      </w:r>
      <w:r w:rsidRPr="00FA0062">
        <w:rPr>
          <w:lang w:val="en-US"/>
        </w:rPr>
        <w:t>. 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1FB9" w14:textId="7D028114" w:rsidR="009B6A75" w:rsidRPr="009B6A75" w:rsidRDefault="0047250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CCPR/C/PHL/CO/5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EED3" w14:textId="0CE051A8" w:rsidR="009B6A75" w:rsidRPr="009B6A75" w:rsidRDefault="00472502" w:rsidP="009B6A7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CCPR/C/PHL/CO/5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5E1C" w14:textId="77777777" w:rsidR="009B6A75" w:rsidRDefault="009B6A75" w:rsidP="009B6A7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65097151">
    <w:abstractNumId w:val="16"/>
  </w:num>
  <w:num w:numId="2" w16cid:durableId="1548448456">
    <w:abstractNumId w:val="11"/>
  </w:num>
  <w:num w:numId="3" w16cid:durableId="416635231">
    <w:abstractNumId w:val="10"/>
  </w:num>
  <w:num w:numId="4" w16cid:durableId="1413042514">
    <w:abstractNumId w:val="17"/>
  </w:num>
  <w:num w:numId="5" w16cid:durableId="1050301616">
    <w:abstractNumId w:val="13"/>
  </w:num>
  <w:num w:numId="6" w16cid:durableId="1437746445">
    <w:abstractNumId w:val="8"/>
  </w:num>
  <w:num w:numId="7" w16cid:durableId="1004405122">
    <w:abstractNumId w:val="3"/>
  </w:num>
  <w:num w:numId="8" w16cid:durableId="1297565802">
    <w:abstractNumId w:val="2"/>
  </w:num>
  <w:num w:numId="9" w16cid:durableId="1602180560">
    <w:abstractNumId w:val="1"/>
  </w:num>
  <w:num w:numId="10" w16cid:durableId="4943948">
    <w:abstractNumId w:val="0"/>
  </w:num>
  <w:num w:numId="11" w16cid:durableId="1904294308">
    <w:abstractNumId w:val="9"/>
  </w:num>
  <w:num w:numId="12" w16cid:durableId="103888641">
    <w:abstractNumId w:val="7"/>
  </w:num>
  <w:num w:numId="13" w16cid:durableId="1686056250">
    <w:abstractNumId w:val="6"/>
  </w:num>
  <w:num w:numId="14" w16cid:durableId="1402826110">
    <w:abstractNumId w:val="5"/>
  </w:num>
  <w:num w:numId="15" w16cid:durableId="700470215">
    <w:abstractNumId w:val="4"/>
  </w:num>
  <w:num w:numId="16" w16cid:durableId="945962074">
    <w:abstractNumId w:val="15"/>
  </w:num>
  <w:num w:numId="17" w16cid:durableId="1733691582">
    <w:abstractNumId w:val="12"/>
  </w:num>
  <w:num w:numId="18" w16cid:durableId="1626348781">
    <w:abstractNumId w:val="14"/>
  </w:num>
  <w:num w:numId="19" w16cid:durableId="111291040">
    <w:abstractNumId w:val="15"/>
  </w:num>
  <w:num w:numId="20" w16cid:durableId="1559129178">
    <w:abstractNumId w:val="12"/>
  </w:num>
  <w:num w:numId="21" w16cid:durableId="131125130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53"/>
    <w:rsid w:val="00033EE1"/>
    <w:rsid w:val="000358F2"/>
    <w:rsid w:val="00042B72"/>
    <w:rsid w:val="000558BD"/>
    <w:rsid w:val="0008605C"/>
    <w:rsid w:val="000B57E7"/>
    <w:rsid w:val="000B6373"/>
    <w:rsid w:val="000F09DF"/>
    <w:rsid w:val="000F61B2"/>
    <w:rsid w:val="001075E9"/>
    <w:rsid w:val="00177EC3"/>
    <w:rsid w:val="00180183"/>
    <w:rsid w:val="0018024D"/>
    <w:rsid w:val="0018649F"/>
    <w:rsid w:val="00196389"/>
    <w:rsid w:val="001B3EF6"/>
    <w:rsid w:val="001C7A89"/>
    <w:rsid w:val="001F1F21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268E4"/>
    <w:rsid w:val="00452493"/>
    <w:rsid w:val="00454E07"/>
    <w:rsid w:val="00472502"/>
    <w:rsid w:val="00472C5C"/>
    <w:rsid w:val="004969B2"/>
    <w:rsid w:val="0050108D"/>
    <w:rsid w:val="00513081"/>
    <w:rsid w:val="00517901"/>
    <w:rsid w:val="00526683"/>
    <w:rsid w:val="005517C1"/>
    <w:rsid w:val="005709E0"/>
    <w:rsid w:val="00572E19"/>
    <w:rsid w:val="005961C8"/>
    <w:rsid w:val="005D3F76"/>
    <w:rsid w:val="005D7914"/>
    <w:rsid w:val="005E2B41"/>
    <w:rsid w:val="005F0B42"/>
    <w:rsid w:val="005F1294"/>
    <w:rsid w:val="00624A03"/>
    <w:rsid w:val="00666B97"/>
    <w:rsid w:val="00681A10"/>
    <w:rsid w:val="006A1ED8"/>
    <w:rsid w:val="006C2031"/>
    <w:rsid w:val="006D461A"/>
    <w:rsid w:val="006F35EE"/>
    <w:rsid w:val="007021FF"/>
    <w:rsid w:val="00702338"/>
    <w:rsid w:val="00712895"/>
    <w:rsid w:val="0075523D"/>
    <w:rsid w:val="00757357"/>
    <w:rsid w:val="00784A53"/>
    <w:rsid w:val="00787D3A"/>
    <w:rsid w:val="00791B9D"/>
    <w:rsid w:val="007E7F41"/>
    <w:rsid w:val="00825F8D"/>
    <w:rsid w:val="00834B71"/>
    <w:rsid w:val="0086445C"/>
    <w:rsid w:val="00894693"/>
    <w:rsid w:val="008946BC"/>
    <w:rsid w:val="008A08D7"/>
    <w:rsid w:val="008B6909"/>
    <w:rsid w:val="008B7FE8"/>
    <w:rsid w:val="00906890"/>
    <w:rsid w:val="00911BE4"/>
    <w:rsid w:val="00916212"/>
    <w:rsid w:val="00931A71"/>
    <w:rsid w:val="00951972"/>
    <w:rsid w:val="009608F3"/>
    <w:rsid w:val="009918E2"/>
    <w:rsid w:val="009A24AC"/>
    <w:rsid w:val="009B6A75"/>
    <w:rsid w:val="009D21FD"/>
    <w:rsid w:val="00A14DA8"/>
    <w:rsid w:val="00A312BC"/>
    <w:rsid w:val="00A34D07"/>
    <w:rsid w:val="00A84021"/>
    <w:rsid w:val="00A84D35"/>
    <w:rsid w:val="00A917B3"/>
    <w:rsid w:val="00AB4B51"/>
    <w:rsid w:val="00AD0665"/>
    <w:rsid w:val="00AD6F87"/>
    <w:rsid w:val="00B10CC7"/>
    <w:rsid w:val="00B136DB"/>
    <w:rsid w:val="00B37A50"/>
    <w:rsid w:val="00B539E7"/>
    <w:rsid w:val="00B556E9"/>
    <w:rsid w:val="00B55FD1"/>
    <w:rsid w:val="00B62458"/>
    <w:rsid w:val="00BC18B2"/>
    <w:rsid w:val="00BC3629"/>
    <w:rsid w:val="00BD33EE"/>
    <w:rsid w:val="00BF1A04"/>
    <w:rsid w:val="00C0177C"/>
    <w:rsid w:val="00C106D6"/>
    <w:rsid w:val="00C3317A"/>
    <w:rsid w:val="00C46D5A"/>
    <w:rsid w:val="00C60F0C"/>
    <w:rsid w:val="00C805C9"/>
    <w:rsid w:val="00C92939"/>
    <w:rsid w:val="00CA1679"/>
    <w:rsid w:val="00CB151C"/>
    <w:rsid w:val="00CB402F"/>
    <w:rsid w:val="00CE5A1A"/>
    <w:rsid w:val="00CF55F6"/>
    <w:rsid w:val="00D13B16"/>
    <w:rsid w:val="00D15F8B"/>
    <w:rsid w:val="00D33D63"/>
    <w:rsid w:val="00D80808"/>
    <w:rsid w:val="00D855ED"/>
    <w:rsid w:val="00D90028"/>
    <w:rsid w:val="00D90138"/>
    <w:rsid w:val="00D9090B"/>
    <w:rsid w:val="00DD78D1"/>
    <w:rsid w:val="00DE289A"/>
    <w:rsid w:val="00DE32CD"/>
    <w:rsid w:val="00DF71B9"/>
    <w:rsid w:val="00E005F7"/>
    <w:rsid w:val="00E06BEE"/>
    <w:rsid w:val="00E2174A"/>
    <w:rsid w:val="00E46656"/>
    <w:rsid w:val="00E73F76"/>
    <w:rsid w:val="00EA2C9F"/>
    <w:rsid w:val="00EA420E"/>
    <w:rsid w:val="00ED0BDA"/>
    <w:rsid w:val="00EF1360"/>
    <w:rsid w:val="00EF3220"/>
    <w:rsid w:val="00F43903"/>
    <w:rsid w:val="00F553C8"/>
    <w:rsid w:val="00F579AB"/>
    <w:rsid w:val="00F94155"/>
    <w:rsid w:val="00F9783F"/>
    <w:rsid w:val="00FA0062"/>
    <w:rsid w:val="00FA290C"/>
    <w:rsid w:val="00FC636C"/>
    <w:rsid w:val="00FD2EF7"/>
    <w:rsid w:val="00FD46B1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49F44"/>
  <w15:docId w15:val="{F955DF89-112A-4196-B2D4-649DE13A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9B6A75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FA0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en/CCPR/C/SR.3920" TargetMode="External"/><Relationship Id="rId2" Type="http://schemas.openxmlformats.org/officeDocument/2006/relationships/hyperlink" Target="http://undocs.org/en/CCPR/C/SR.3919" TargetMode="External"/><Relationship Id="rId1" Type="http://schemas.openxmlformats.org/officeDocument/2006/relationships/hyperlink" Target="http://undocs.org/en/CCPR/C/PHL/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16</Pages>
  <Words>6598</Words>
  <Characters>45924</Characters>
  <Application>Microsoft Office Word</Application>
  <DocSecurity>0</DocSecurity>
  <Lines>820</Lines>
  <Paragraphs>190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8" baseType="lpstr">
      <vt:lpstr>CCPR/C/PHL/CO/5</vt:lpstr>
      <vt:lpstr>    Заключительные замечания по пятому периодическому докладу Филиппин*</vt:lpstr>
      <vt:lpstr>        A.	Введение</vt:lpstr>
      <vt:lpstr>        B.	Позитивные аспекты</vt:lpstr>
      <vt:lpstr>        C.	Основные вопросы, вызывающие обеспокоенность, и рекомендации</vt:lpstr>
      <vt:lpstr>        D.		Распространение информации и последующая деятельность</vt:lpstr>
      <vt:lpstr>A/</vt:lpstr>
      <vt:lpstr>A/</vt:lpstr>
    </vt:vector>
  </TitlesOfParts>
  <Company>DCM</Company>
  <LinksUpToDate>false</LinksUpToDate>
  <CharactersWithSpaces>52332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CCPR/C/PHL/CO/5</dc:title>
  <dc:subject/>
  <dc:creator>Olga OVTCHINNIKOVA</dc:creator>
  <cp:keywords/>
  <cp:lastModifiedBy>Olga Ovchinnikova</cp:lastModifiedBy>
  <cp:revision>3</cp:revision>
  <cp:lastPrinted>2023-03-09T10:16:00Z</cp:lastPrinted>
  <dcterms:created xsi:type="dcterms:W3CDTF">2023-03-09T10:16:00Z</dcterms:created>
  <dcterms:modified xsi:type="dcterms:W3CDTF">2023-03-09T10:16:00Z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