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CB2441">
        <w:trPr>
          <w:trHeight w:hRule="exact" w:val="851"/>
        </w:trPr>
        <w:tc>
          <w:tcPr>
            <w:tcW w:w="1276" w:type="dxa"/>
            <w:vAlign w:val="bottom"/>
          </w:tcPr>
          <w:p w:rsidR="00CB2441" w:rsidRDefault="00CB2441">
            <w:pPr>
              <w:spacing w:after="80"/>
              <w:rPr>
                <w:b/>
              </w:rPr>
            </w:pPr>
          </w:p>
        </w:tc>
        <w:tc>
          <w:tcPr>
            <w:tcW w:w="1985" w:type="dxa"/>
            <w:vAlign w:val="bottom"/>
          </w:tcPr>
          <w:p w:rsidR="00CB2441" w:rsidRDefault="00CB2441">
            <w:pPr>
              <w:spacing w:after="80" w:line="300" w:lineRule="exact"/>
              <w:rPr>
                <w:lang w:val="es-ES"/>
              </w:rPr>
            </w:pPr>
            <w:r>
              <w:rPr>
                <w:sz w:val="28"/>
                <w:szCs w:val="28"/>
                <w:lang w:val="es-ES"/>
              </w:rPr>
              <w:t>Naciones Unidas</w:t>
            </w:r>
          </w:p>
        </w:tc>
        <w:tc>
          <w:tcPr>
            <w:tcW w:w="6378" w:type="dxa"/>
            <w:gridSpan w:val="2"/>
            <w:vAlign w:val="bottom"/>
          </w:tcPr>
          <w:p w:rsidR="00CB2441" w:rsidRDefault="00CB2441">
            <w:pPr>
              <w:spacing w:after="20"/>
              <w:jc w:val="right"/>
              <w:rPr>
                <w:lang w:val="es-ES"/>
              </w:rPr>
            </w:pPr>
            <w:r>
              <w:rPr>
                <w:sz w:val="40"/>
                <w:lang w:val="es-ES"/>
              </w:rPr>
              <w:t>CRC</w:t>
            </w:r>
            <w:r>
              <w:rPr>
                <w:sz w:val="20"/>
                <w:lang w:val="es-ES"/>
              </w:rPr>
              <w:t>/C/SR.1425*</w:t>
            </w:r>
          </w:p>
        </w:tc>
      </w:tr>
      <w:tr w:rsidR="00CB2441">
        <w:trPr>
          <w:cantSplit/>
          <w:trHeight w:hRule="exact" w:val="2835"/>
        </w:trPr>
        <w:tc>
          <w:tcPr>
            <w:tcW w:w="1276" w:type="dxa"/>
          </w:tcPr>
          <w:p w:rsidR="00CB2441" w:rsidRDefault="00CB244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Pr>
          <w:p w:rsidR="00CB2441" w:rsidRDefault="00CB2441">
            <w:pPr>
              <w:spacing w:before="120" w:line="380" w:lineRule="exact"/>
              <w:rPr>
                <w:sz w:val="34"/>
                <w:lang w:val="es-ES"/>
              </w:rPr>
            </w:pPr>
            <w:r>
              <w:rPr>
                <w:b/>
                <w:sz w:val="34"/>
                <w:szCs w:val="40"/>
                <w:lang w:val="es-ES"/>
              </w:rPr>
              <w:t>Convención sobre los</w:t>
            </w:r>
            <w:r>
              <w:rPr>
                <w:b/>
                <w:sz w:val="34"/>
                <w:szCs w:val="40"/>
                <w:lang w:val="es-ES"/>
              </w:rPr>
              <w:br/>
              <w:t xml:space="preserve">Derechos del </w:t>
            </w:r>
            <w:r>
              <w:rPr>
                <w:b/>
                <w:bCs/>
                <w:sz w:val="34"/>
                <w:szCs w:val="34"/>
                <w:lang w:val="es-ES_tradnl"/>
              </w:rPr>
              <w:t>Niño</w:t>
            </w:r>
          </w:p>
        </w:tc>
        <w:tc>
          <w:tcPr>
            <w:tcW w:w="2835" w:type="dxa"/>
          </w:tcPr>
          <w:p w:rsidR="00CB2441" w:rsidRDefault="00CB2441">
            <w:pPr>
              <w:spacing w:after="0" w:line="220" w:lineRule="atLeast"/>
              <w:rPr>
                <w:sz w:val="20"/>
                <w:lang w:val="es-ES_tradnl"/>
              </w:rPr>
            </w:pPr>
          </w:p>
          <w:p w:rsidR="00CB2441" w:rsidRDefault="00CB2441">
            <w:pPr>
              <w:spacing w:after="0" w:line="220" w:lineRule="atLeast"/>
              <w:rPr>
                <w:sz w:val="20"/>
                <w:lang w:val="es-ES_tradnl"/>
              </w:rPr>
            </w:pPr>
            <w:r>
              <w:rPr>
                <w:sz w:val="20"/>
                <w:lang w:val="es-ES_tradnl"/>
              </w:rPr>
              <w:t>Distr. general</w:t>
            </w:r>
          </w:p>
          <w:p w:rsidR="00CB2441" w:rsidRDefault="009E314C">
            <w:pPr>
              <w:spacing w:after="0" w:line="220" w:lineRule="atLeast"/>
              <w:rPr>
                <w:sz w:val="20"/>
                <w:lang w:val="es-ES_tradnl"/>
              </w:rPr>
            </w:pPr>
            <w:r>
              <w:rPr>
                <w:sz w:val="20"/>
                <w:lang w:val="es-ES_tradnl"/>
              </w:rPr>
              <w:t>5 de junio</w:t>
            </w:r>
            <w:r w:rsidR="00CB2441">
              <w:rPr>
                <w:sz w:val="20"/>
                <w:lang w:val="es-ES_tradnl"/>
              </w:rPr>
              <w:t xml:space="preserve"> de 2010</w:t>
            </w:r>
          </w:p>
          <w:p w:rsidR="00CB2441" w:rsidRDefault="00CB2441">
            <w:pPr>
              <w:spacing w:after="0" w:line="220" w:lineRule="atLeast"/>
              <w:rPr>
                <w:sz w:val="20"/>
                <w:lang w:val="es-ES_tradnl"/>
              </w:rPr>
            </w:pPr>
            <w:r>
              <w:rPr>
                <w:sz w:val="20"/>
                <w:lang w:val="es-ES_tradnl"/>
              </w:rPr>
              <w:t>Español</w:t>
            </w:r>
          </w:p>
          <w:p w:rsidR="00CB2441" w:rsidRDefault="00CB2441">
            <w:pPr>
              <w:spacing w:after="0" w:line="220" w:lineRule="atLeast"/>
              <w:rPr>
                <w:lang w:val="es-ES"/>
              </w:rPr>
            </w:pPr>
            <w:r>
              <w:rPr>
                <w:sz w:val="20"/>
                <w:lang w:val="es-ES_tradnl"/>
              </w:rPr>
              <w:t>Original: inglés</w:t>
            </w:r>
          </w:p>
        </w:tc>
      </w:tr>
    </w:tbl>
    <w:p w:rsidR="00CB2441" w:rsidRDefault="00CB2441">
      <w:pPr>
        <w:pStyle w:val="Caption"/>
      </w:pPr>
      <w:r>
        <w:t>Comité de los Derechos del Niño</w:t>
      </w:r>
    </w:p>
    <w:p w:rsidR="00CB2441" w:rsidRDefault="00CB2441">
      <w:pPr>
        <w:spacing w:after="120"/>
        <w:rPr>
          <w:b/>
          <w:bCs/>
          <w:sz w:val="20"/>
          <w:lang w:val="es-ES_tradnl"/>
        </w:rPr>
      </w:pPr>
      <w:r>
        <w:rPr>
          <w:b/>
          <w:bCs/>
          <w:sz w:val="20"/>
          <w:lang w:val="es-ES_tradnl"/>
        </w:rPr>
        <w:t>51º período de sesiones</w:t>
      </w:r>
    </w:p>
    <w:p w:rsidR="00CB2441" w:rsidRDefault="00CB2441">
      <w:pPr>
        <w:spacing w:after="120" w:line="240" w:lineRule="atLeast"/>
        <w:rPr>
          <w:sz w:val="20"/>
          <w:lang w:val="es-ES_tradnl"/>
        </w:rPr>
      </w:pPr>
      <w:r>
        <w:rPr>
          <w:b/>
          <w:bCs/>
          <w:sz w:val="20"/>
          <w:lang w:val="es-ES_tradnl"/>
        </w:rPr>
        <w:t>Acta resumida de la segunda parte (pública)** de la 1425ª sesión</w:t>
      </w:r>
      <w:r>
        <w:rPr>
          <w:sz w:val="20"/>
          <w:lang w:val="es-ES_tradnl"/>
        </w:rPr>
        <w:br/>
        <w:t>Celebrada en el Palais Wilson, Ginebra, el viernes 12 de junio de 2009, a las 10</w:t>
      </w:r>
      <w:r w:rsidR="006A5C5E">
        <w:rPr>
          <w:sz w:val="20"/>
          <w:lang w:val="es-ES_tradnl"/>
        </w:rPr>
        <w:t> horas</w:t>
      </w:r>
    </w:p>
    <w:p w:rsidR="00CB2441" w:rsidRPr="004D3998" w:rsidRDefault="004D3998" w:rsidP="004D3998">
      <w:pPr>
        <w:tabs>
          <w:tab w:val="right" w:pos="992"/>
          <w:tab w:val="left" w:pos="1134"/>
          <w:tab w:val="right" w:pos="8505"/>
        </w:tabs>
        <w:spacing w:after="0" w:line="240" w:lineRule="atLeast"/>
        <w:rPr>
          <w:i/>
          <w:iCs/>
          <w:sz w:val="20"/>
          <w:lang w:val="es-ES_tradnl"/>
        </w:rPr>
      </w:pPr>
      <w:r>
        <w:rPr>
          <w:i/>
          <w:iCs/>
          <w:sz w:val="20"/>
          <w:lang w:val="es-ES_tradnl"/>
        </w:rPr>
        <w:tab/>
      </w:r>
      <w:r w:rsidR="00CB2441">
        <w:rPr>
          <w:i/>
          <w:iCs/>
          <w:sz w:val="20"/>
          <w:lang w:val="es-ES_tradnl"/>
        </w:rPr>
        <w:t>Presidenta:</w:t>
      </w:r>
      <w:r w:rsidR="00CB2441" w:rsidRPr="004D3998">
        <w:rPr>
          <w:i/>
          <w:iCs/>
          <w:sz w:val="20"/>
          <w:lang w:val="es-ES_tradnl"/>
        </w:rPr>
        <w:tab/>
      </w:r>
      <w:r w:rsidR="00CB2441" w:rsidRPr="004D3998">
        <w:rPr>
          <w:sz w:val="20"/>
          <w:lang w:val="es-ES_tradnl"/>
        </w:rPr>
        <w:t>Sra. Lee</w:t>
      </w:r>
    </w:p>
    <w:p w:rsidR="00CB2441" w:rsidRDefault="00CB2441">
      <w:pPr>
        <w:spacing w:before="360" w:line="300" w:lineRule="exact"/>
        <w:rPr>
          <w:sz w:val="28"/>
          <w:lang w:val="es-ES_tradnl"/>
        </w:rPr>
      </w:pPr>
      <w:r>
        <w:rPr>
          <w:sz w:val="28"/>
          <w:lang w:val="es-ES_tradnl"/>
        </w:rPr>
        <w:t>Sumario</w:t>
      </w:r>
    </w:p>
    <w:p w:rsidR="00CB2441" w:rsidRDefault="00840E58" w:rsidP="00AF131A">
      <w:pPr>
        <w:spacing w:after="120"/>
        <w:ind w:left="1134" w:right="1134"/>
        <w:rPr>
          <w:sz w:val="20"/>
          <w:lang w:val="es-ES_tradnl"/>
        </w:rPr>
      </w:pPr>
      <w:r>
        <w:rPr>
          <w:sz w:val="20"/>
          <w:lang w:val="es-ES_tradnl"/>
        </w:rPr>
        <w:t xml:space="preserve">Aprobación </w:t>
      </w:r>
      <w:r w:rsidR="00CB2441">
        <w:rPr>
          <w:sz w:val="20"/>
          <w:lang w:val="es-ES_tradnl"/>
        </w:rPr>
        <w:t xml:space="preserve">del informe del Comité sobre </w:t>
      </w:r>
      <w:r w:rsidR="00AF131A">
        <w:rPr>
          <w:sz w:val="20"/>
          <w:lang w:val="es-ES_tradnl"/>
        </w:rPr>
        <w:t xml:space="preserve">su </w:t>
      </w:r>
      <w:r w:rsidR="00CB2441">
        <w:rPr>
          <w:sz w:val="20"/>
          <w:lang w:val="es-ES_tradnl"/>
        </w:rPr>
        <w:t>51º período de sesiones</w:t>
      </w:r>
    </w:p>
    <w:p w:rsidR="00CB2441" w:rsidRDefault="00CB2441">
      <w:pPr>
        <w:ind w:left="1701" w:right="1134"/>
        <w:rPr>
          <w:i/>
          <w:iCs/>
          <w:sz w:val="20"/>
          <w:lang w:val="es-ES_tradnl"/>
        </w:rPr>
      </w:pPr>
      <w:r>
        <w:rPr>
          <w:i/>
          <w:iCs/>
          <w:sz w:val="20"/>
          <w:lang w:val="es-ES_tradnl"/>
        </w:rPr>
        <w:t>Clausura del período de sesiones</w:t>
      </w:r>
    </w:p>
    <w:p w:rsidR="00CB2441" w:rsidRDefault="00CB2441">
      <w:pPr>
        <w:spacing w:after="0" w:line="240" w:lineRule="atLeast"/>
        <w:ind w:left="1134" w:right="1134"/>
        <w:jc w:val="both"/>
        <w:rPr>
          <w:i/>
          <w:iCs/>
          <w:sz w:val="20"/>
          <w:lang w:val="es-ES_tradnl"/>
        </w:rPr>
      </w:pPr>
      <w:r>
        <w:rPr>
          <w:lang w:val="es-ES_tradnl"/>
        </w:rPr>
        <w:br w:type="page"/>
      </w:r>
      <w:r>
        <w:rPr>
          <w:i/>
          <w:iCs/>
          <w:sz w:val="20"/>
          <w:lang w:val="es-ES_tradnl"/>
        </w:rPr>
        <w:t>Se declara abierta la segunda parte (pública) de la sesión a las 12.40</w:t>
      </w:r>
      <w:r w:rsidR="006A5C5E">
        <w:rPr>
          <w:i/>
          <w:iCs/>
          <w:sz w:val="20"/>
          <w:lang w:val="es-ES_tradnl"/>
        </w:rPr>
        <w:t> horas</w:t>
      </w:r>
      <w:r>
        <w:rPr>
          <w:i/>
          <w:iCs/>
          <w:sz w:val="20"/>
          <w:lang w:val="es-ES_tradnl"/>
        </w:rPr>
        <w:t>.</w:t>
      </w:r>
    </w:p>
    <w:p w:rsidR="00CB2441" w:rsidRDefault="00AF131A" w:rsidP="00AF131A">
      <w:pPr>
        <w:adjustRightInd w:val="0"/>
        <w:snapToGrid w:val="0"/>
        <w:spacing w:before="240" w:after="120" w:line="240" w:lineRule="exact"/>
        <w:ind w:left="1134" w:right="1134"/>
        <w:jc w:val="both"/>
        <w:rPr>
          <w:b/>
          <w:bCs/>
          <w:sz w:val="20"/>
          <w:lang w:val="es-ES_tradnl"/>
        </w:rPr>
      </w:pPr>
      <w:r>
        <w:rPr>
          <w:b/>
          <w:bCs/>
          <w:sz w:val="20"/>
          <w:lang w:val="es-ES_tradnl"/>
        </w:rPr>
        <w:t xml:space="preserve">Aprobación </w:t>
      </w:r>
      <w:r w:rsidR="00CB2441">
        <w:rPr>
          <w:b/>
          <w:bCs/>
          <w:sz w:val="20"/>
          <w:lang w:val="es-ES_tradnl"/>
        </w:rPr>
        <w:t>del informe del Comité sobre su 51º período de sesiones (CRC/C/51/3)</w:t>
      </w:r>
    </w:p>
    <w:p w:rsidR="00CB2441" w:rsidRDefault="00CB2441" w:rsidP="00D146C1">
      <w:pPr>
        <w:pStyle w:val="ParaNo"/>
        <w:tabs>
          <w:tab w:val="clear" w:pos="360"/>
          <w:tab w:val="clear" w:pos="737"/>
        </w:tabs>
        <w:spacing w:after="120" w:line="240" w:lineRule="atLeast"/>
        <w:ind w:left="1134" w:right="1134" w:firstLine="0"/>
        <w:jc w:val="both"/>
        <w:rPr>
          <w:sz w:val="20"/>
          <w:lang w:val="es-ES_tradnl"/>
        </w:rPr>
      </w:pPr>
      <w:r>
        <w:rPr>
          <w:sz w:val="20"/>
          <w:lang w:val="es-ES_tradnl"/>
        </w:rPr>
        <w:t xml:space="preserve">La </w:t>
      </w:r>
      <w:r>
        <w:rPr>
          <w:b/>
          <w:bCs/>
          <w:sz w:val="20"/>
          <w:lang w:val="es-ES_tradnl"/>
        </w:rPr>
        <w:t>Presidenta</w:t>
      </w:r>
      <w:r>
        <w:rPr>
          <w:sz w:val="20"/>
          <w:lang w:val="es-ES_tradnl"/>
        </w:rPr>
        <w:t xml:space="preserve"> dice que al Comité le ha complacido dar la bienvenida a seis nuevos miembros en su 51º período de sesiones. El Comité examin</w:t>
      </w:r>
      <w:r w:rsidR="00D146C1">
        <w:rPr>
          <w:sz w:val="20"/>
          <w:lang w:val="es-ES_tradnl"/>
        </w:rPr>
        <w:t>ó</w:t>
      </w:r>
      <w:r w:rsidR="00AF131A">
        <w:rPr>
          <w:sz w:val="20"/>
          <w:lang w:val="es-ES_tradnl"/>
        </w:rPr>
        <w:t xml:space="preserve"> </w:t>
      </w:r>
      <w:r>
        <w:rPr>
          <w:sz w:val="20"/>
          <w:lang w:val="es-ES_tradnl"/>
        </w:rPr>
        <w:t xml:space="preserve">seis informes periódicos (Bangladesh, Francia, Mauritania, Níger, Rumania y Suecia) presentados en virtud del </w:t>
      </w:r>
      <w:r w:rsidR="000A720E">
        <w:rPr>
          <w:sz w:val="20"/>
          <w:lang w:val="es-ES_tradnl"/>
        </w:rPr>
        <w:t>artículo </w:t>
      </w:r>
      <w:r>
        <w:rPr>
          <w:sz w:val="20"/>
          <w:lang w:val="es-ES_tradnl"/>
        </w:rPr>
        <w:t xml:space="preserve">44 de la Convención, y los informes iniciales de Eslovenia y Omán presentados en virtud del </w:t>
      </w:r>
      <w:r w:rsidR="000A720E">
        <w:rPr>
          <w:sz w:val="20"/>
          <w:lang w:val="es-ES_tradnl"/>
        </w:rPr>
        <w:t>artículo </w:t>
      </w:r>
      <w:r>
        <w:rPr>
          <w:sz w:val="20"/>
          <w:lang w:val="es-ES_tradnl"/>
        </w:rPr>
        <w:t xml:space="preserve">8 del Protocolo Facultativo relativo a la participación de niños en los conflictos armados y del </w:t>
      </w:r>
      <w:r w:rsidR="000A720E">
        <w:rPr>
          <w:sz w:val="20"/>
          <w:lang w:val="es-ES_tradnl"/>
        </w:rPr>
        <w:t>artículo </w:t>
      </w:r>
      <w:r>
        <w:rPr>
          <w:sz w:val="20"/>
          <w:lang w:val="es-ES_tradnl"/>
        </w:rPr>
        <w:t>12 del Protocolo Facultativo relativo a la venta de niños, la prostitución infantil y la utilización de niños en la pornografía. El Comité ha adoptado observaciones finales con respecto</w:t>
      </w:r>
      <w:r w:rsidR="00AF131A">
        <w:rPr>
          <w:sz w:val="20"/>
          <w:lang w:val="es-ES_tradnl"/>
        </w:rPr>
        <w:t xml:space="preserve"> a todos los informes</w:t>
      </w:r>
      <w:r>
        <w:rPr>
          <w:sz w:val="20"/>
          <w:lang w:val="es-ES_tradnl"/>
        </w:rPr>
        <w:t xml:space="preserve"> examinado</w:t>
      </w:r>
      <w:r w:rsidR="00AF131A">
        <w:rPr>
          <w:sz w:val="20"/>
          <w:lang w:val="es-ES_tradnl"/>
        </w:rPr>
        <w:t>s</w:t>
      </w:r>
      <w:r>
        <w:rPr>
          <w:sz w:val="20"/>
          <w:lang w:val="es-ES_tradnl"/>
        </w:rPr>
        <w:t>.</w:t>
      </w:r>
    </w:p>
    <w:p w:rsidR="00CB2441" w:rsidRDefault="00CB2441" w:rsidP="00057FC8">
      <w:pPr>
        <w:pStyle w:val="ParaNo"/>
        <w:tabs>
          <w:tab w:val="clear" w:pos="360"/>
          <w:tab w:val="clear" w:pos="737"/>
        </w:tabs>
        <w:spacing w:after="120" w:line="240" w:lineRule="atLeast"/>
        <w:ind w:left="1134" w:right="1134" w:firstLine="0"/>
        <w:jc w:val="both"/>
        <w:rPr>
          <w:sz w:val="20"/>
          <w:lang w:val="es-ES_tradnl"/>
        </w:rPr>
      </w:pPr>
      <w:r>
        <w:rPr>
          <w:sz w:val="20"/>
          <w:lang w:val="es-ES_tradnl"/>
        </w:rPr>
        <w:t xml:space="preserve">Asimismo, el Comité ha </w:t>
      </w:r>
      <w:r w:rsidR="00057FC8">
        <w:rPr>
          <w:sz w:val="20"/>
          <w:lang w:val="es-ES_tradnl"/>
        </w:rPr>
        <w:t>aprobado</w:t>
      </w:r>
      <w:r>
        <w:rPr>
          <w:sz w:val="20"/>
          <w:lang w:val="es-ES_tradnl"/>
        </w:rPr>
        <w:t xml:space="preserve"> la Observación general</w:t>
      </w:r>
      <w:r w:rsidR="00AF131A">
        <w:rPr>
          <w:sz w:val="20"/>
          <w:lang w:val="es-ES_tradnl"/>
        </w:rPr>
        <w:t xml:space="preserve"> Nº </w:t>
      </w:r>
      <w:r>
        <w:rPr>
          <w:sz w:val="20"/>
          <w:lang w:val="es-ES_tradnl"/>
        </w:rPr>
        <w:t xml:space="preserve">12 sobre el derecho del niño a ser escuchado, que debe contribuir al desarrollo </w:t>
      </w:r>
      <w:r w:rsidR="00057FC8">
        <w:rPr>
          <w:sz w:val="20"/>
          <w:lang w:val="es-ES_tradnl"/>
        </w:rPr>
        <w:t xml:space="preserve">de </w:t>
      </w:r>
      <w:r>
        <w:rPr>
          <w:sz w:val="20"/>
          <w:lang w:val="es-ES_tradnl"/>
        </w:rPr>
        <w:t>una cultura que promueva la participación de los niños en todos los asuntos que les afecten.</w:t>
      </w:r>
    </w:p>
    <w:p w:rsidR="00CB2441" w:rsidRDefault="00CB2441" w:rsidP="00D661E2">
      <w:pPr>
        <w:pStyle w:val="ParaNo"/>
        <w:tabs>
          <w:tab w:val="clear" w:pos="360"/>
          <w:tab w:val="clear" w:pos="737"/>
        </w:tabs>
        <w:spacing w:after="120" w:line="240" w:lineRule="atLeast"/>
        <w:ind w:left="1134" w:right="1134" w:firstLine="0"/>
        <w:jc w:val="both"/>
        <w:rPr>
          <w:sz w:val="20"/>
          <w:lang w:val="es-ES_tradnl"/>
        </w:rPr>
      </w:pPr>
      <w:r>
        <w:rPr>
          <w:sz w:val="20"/>
          <w:lang w:val="es-ES_tradnl"/>
        </w:rPr>
        <w:t xml:space="preserve">Durante el período de sesiones, un grupo convocado por la Misión Permanente de Eslovaquia </w:t>
      </w:r>
      <w:r w:rsidR="00E35EC3">
        <w:rPr>
          <w:sz w:val="20"/>
          <w:lang w:val="es-ES_tradnl"/>
        </w:rPr>
        <w:t>invit</w:t>
      </w:r>
      <w:r w:rsidR="00D661E2">
        <w:rPr>
          <w:sz w:val="20"/>
          <w:lang w:val="es-ES_tradnl"/>
        </w:rPr>
        <w:t>ó</w:t>
      </w:r>
      <w:r>
        <w:rPr>
          <w:sz w:val="20"/>
          <w:lang w:val="es-ES_tradnl"/>
        </w:rPr>
        <w:t xml:space="preserve"> al Comité con el fin de examinar la posibilidad de establecer un procedimiento de comunicaciones en el marco de la Convención. El Comité ha expresado su apoyo a la propuesta de establecimiento de un mecanismo de denuncias individuales. Se espera que, en su próximo período de sesiones, el Consejo de Derechos Humanos establezca un grupo de trabajo de composición abierta para dar efecto a esa propuesta.</w:t>
      </w:r>
    </w:p>
    <w:p w:rsidR="00CB2441" w:rsidRDefault="00CB2441" w:rsidP="0058381E">
      <w:pPr>
        <w:pStyle w:val="ParaNo"/>
        <w:tabs>
          <w:tab w:val="clear" w:pos="360"/>
          <w:tab w:val="clear" w:pos="737"/>
        </w:tabs>
        <w:spacing w:after="120" w:line="240" w:lineRule="atLeast"/>
        <w:ind w:left="1134" w:right="1134" w:firstLine="0"/>
        <w:jc w:val="both"/>
        <w:rPr>
          <w:sz w:val="20"/>
          <w:lang w:val="es-ES_tradnl"/>
        </w:rPr>
      </w:pPr>
      <w:r>
        <w:rPr>
          <w:sz w:val="20"/>
          <w:lang w:val="es-ES_tradnl"/>
        </w:rPr>
        <w:t>El Comité ha aprobado el orden del día y el programa para la conmemoración del vigésimo aniversario de la Convención los días 8 y 9 de octubre de 2009 y ha enviado invitaciones para ese evento, cuyo lema será "Dignidad, Desarrollo y Diálogo".</w:t>
      </w:r>
    </w:p>
    <w:p w:rsidR="00CB2441" w:rsidRDefault="00CB2441" w:rsidP="00580A69">
      <w:pPr>
        <w:pStyle w:val="ParaNo"/>
        <w:tabs>
          <w:tab w:val="clear" w:pos="360"/>
          <w:tab w:val="clear" w:pos="737"/>
        </w:tabs>
        <w:spacing w:after="120" w:line="240" w:lineRule="atLeast"/>
        <w:ind w:left="1134" w:right="1134" w:firstLine="0"/>
        <w:jc w:val="both"/>
        <w:rPr>
          <w:sz w:val="20"/>
          <w:lang w:val="es-ES_tradnl"/>
        </w:rPr>
      </w:pPr>
      <w:r>
        <w:rPr>
          <w:sz w:val="20"/>
          <w:lang w:val="es-ES_tradnl"/>
        </w:rPr>
        <w:t xml:space="preserve">El </w:t>
      </w:r>
      <w:r w:rsidR="00E35EC3">
        <w:rPr>
          <w:b/>
          <w:bCs/>
          <w:sz w:val="20"/>
          <w:lang w:val="es-ES_tradnl"/>
        </w:rPr>
        <w:t>Sr. </w:t>
      </w:r>
      <w:r>
        <w:rPr>
          <w:b/>
          <w:bCs/>
          <w:sz w:val="20"/>
          <w:lang w:val="es-ES_tradnl"/>
        </w:rPr>
        <w:t xml:space="preserve">Krappmann </w:t>
      </w:r>
      <w:r>
        <w:rPr>
          <w:sz w:val="20"/>
          <w:lang w:val="es-ES_tradnl"/>
        </w:rPr>
        <w:t>dice que uno de los eventos previstos para la conmemoración del vigésimo aniversario de la Convención es una conferencia que organizará la Alianza Internacional Save the Children a fin de examinar la manera de promover en mayor medida la justiciabilidad de las disposiciones de la Convención. Durante el período de sesiones</w:t>
      </w:r>
      <w:r w:rsidR="0058381E">
        <w:rPr>
          <w:sz w:val="20"/>
          <w:lang w:val="es-ES_tradnl"/>
        </w:rPr>
        <w:t xml:space="preserve"> </w:t>
      </w:r>
      <w:r>
        <w:rPr>
          <w:sz w:val="20"/>
          <w:lang w:val="es-ES_tradnl"/>
        </w:rPr>
        <w:t xml:space="preserve">se </w:t>
      </w:r>
      <w:r w:rsidR="0058381E">
        <w:rPr>
          <w:sz w:val="20"/>
          <w:lang w:val="es-ES_tradnl"/>
        </w:rPr>
        <w:t>inform</w:t>
      </w:r>
      <w:r w:rsidR="00580A69">
        <w:rPr>
          <w:sz w:val="20"/>
          <w:lang w:val="es-ES_tradnl"/>
        </w:rPr>
        <w:t>ó</w:t>
      </w:r>
      <w:r>
        <w:rPr>
          <w:sz w:val="20"/>
          <w:lang w:val="es-ES_tradnl"/>
        </w:rPr>
        <w:t xml:space="preserve"> al Comité sobre los preparativos de ese evento. </w:t>
      </w:r>
    </w:p>
    <w:p w:rsidR="00CB2441" w:rsidRDefault="00CB2441" w:rsidP="00D146C1">
      <w:pPr>
        <w:pStyle w:val="ParaNo"/>
        <w:tabs>
          <w:tab w:val="clear" w:pos="360"/>
          <w:tab w:val="clear" w:pos="737"/>
        </w:tabs>
        <w:spacing w:after="120" w:line="240" w:lineRule="atLeast"/>
        <w:ind w:left="1134" w:right="1134" w:firstLine="0"/>
        <w:jc w:val="both"/>
        <w:rPr>
          <w:sz w:val="20"/>
          <w:lang w:val="es-ES_tradnl"/>
        </w:rPr>
      </w:pPr>
      <w:r>
        <w:rPr>
          <w:sz w:val="20"/>
          <w:lang w:val="es-ES_tradnl"/>
        </w:rPr>
        <w:t>El grupo del Comité</w:t>
      </w:r>
      <w:r w:rsidR="0058381E">
        <w:rPr>
          <w:sz w:val="20"/>
          <w:lang w:val="es-ES_tradnl"/>
        </w:rPr>
        <w:t xml:space="preserve"> sobre</w:t>
      </w:r>
      <w:r>
        <w:rPr>
          <w:sz w:val="20"/>
          <w:lang w:val="es-ES_tradnl"/>
        </w:rPr>
        <w:t xml:space="preserve"> la cooperación </w:t>
      </w:r>
      <w:r w:rsidR="0058381E">
        <w:rPr>
          <w:sz w:val="20"/>
          <w:lang w:val="es-ES_tradnl"/>
        </w:rPr>
        <w:t xml:space="preserve">con </w:t>
      </w:r>
      <w:r>
        <w:rPr>
          <w:sz w:val="20"/>
          <w:lang w:val="es-ES_tradnl"/>
        </w:rPr>
        <w:t>el Comité africano de expertos sobre los derechos y el bienestar del niño</w:t>
      </w:r>
      <w:r w:rsidR="0058381E">
        <w:rPr>
          <w:sz w:val="20"/>
          <w:lang w:val="es-ES_tradnl"/>
        </w:rPr>
        <w:t xml:space="preserve"> </w:t>
      </w:r>
      <w:r>
        <w:rPr>
          <w:sz w:val="20"/>
          <w:lang w:val="es-ES_tradnl"/>
        </w:rPr>
        <w:t>mant</w:t>
      </w:r>
      <w:r w:rsidR="0058381E">
        <w:rPr>
          <w:sz w:val="20"/>
          <w:lang w:val="es-ES_tradnl"/>
        </w:rPr>
        <w:t>uv</w:t>
      </w:r>
      <w:r w:rsidR="00D146C1">
        <w:rPr>
          <w:sz w:val="20"/>
          <w:lang w:val="es-ES_tradnl"/>
        </w:rPr>
        <w:t xml:space="preserve">o </w:t>
      </w:r>
      <w:r>
        <w:rPr>
          <w:sz w:val="20"/>
          <w:lang w:val="es-ES_tradnl"/>
        </w:rPr>
        <w:t xml:space="preserve">una reunión con el Secretario de ese Comité a fin de examinar la experiencia de ambos órganos en la vigilancia de la aplicación de los derechos del niño. Se </w:t>
      </w:r>
      <w:r w:rsidR="0058381E">
        <w:rPr>
          <w:sz w:val="20"/>
          <w:lang w:val="es-ES_tradnl"/>
        </w:rPr>
        <w:t>acordó</w:t>
      </w:r>
      <w:r>
        <w:rPr>
          <w:sz w:val="20"/>
          <w:lang w:val="es-ES_tradnl"/>
        </w:rPr>
        <w:t xml:space="preserve"> manten</w:t>
      </w:r>
      <w:r w:rsidR="00580A69">
        <w:rPr>
          <w:sz w:val="20"/>
          <w:lang w:val="es-ES_tradnl"/>
        </w:rPr>
        <w:t>er</w:t>
      </w:r>
      <w:r>
        <w:rPr>
          <w:sz w:val="20"/>
          <w:lang w:val="es-ES_tradnl"/>
        </w:rPr>
        <w:t xml:space="preserve"> reuniones regulares y establecer un grupo de trabajo sobre servicios conjuntos de vigilancia, investigación y asesoramiento.</w:t>
      </w:r>
    </w:p>
    <w:p w:rsidR="00CB2441" w:rsidRDefault="00CB2441" w:rsidP="00E86FA5">
      <w:pPr>
        <w:pStyle w:val="ParaNo"/>
        <w:tabs>
          <w:tab w:val="clear" w:pos="360"/>
          <w:tab w:val="clear" w:pos="737"/>
        </w:tabs>
        <w:spacing w:after="120" w:line="240" w:lineRule="atLeast"/>
        <w:ind w:left="1134" w:right="1134" w:firstLine="0"/>
        <w:jc w:val="both"/>
        <w:rPr>
          <w:sz w:val="20"/>
          <w:lang w:val="es-ES_tradnl"/>
        </w:rPr>
      </w:pPr>
      <w:r>
        <w:rPr>
          <w:sz w:val="20"/>
          <w:lang w:val="es-ES_tradnl"/>
        </w:rPr>
        <w:t>El Comité no sólo ha particip</w:t>
      </w:r>
      <w:r w:rsidR="00580A69">
        <w:rPr>
          <w:sz w:val="20"/>
          <w:lang w:val="es-ES_tradnl"/>
        </w:rPr>
        <w:t xml:space="preserve">ó </w:t>
      </w:r>
      <w:r>
        <w:rPr>
          <w:sz w:val="20"/>
          <w:lang w:val="es-ES_tradnl"/>
        </w:rPr>
        <w:t xml:space="preserve">en el debate </w:t>
      </w:r>
      <w:r w:rsidR="00580A69">
        <w:rPr>
          <w:sz w:val="20"/>
          <w:lang w:val="es-ES_tradnl"/>
        </w:rPr>
        <w:t>celebrado</w:t>
      </w:r>
      <w:r>
        <w:rPr>
          <w:sz w:val="20"/>
          <w:lang w:val="es-ES_tradnl"/>
        </w:rPr>
        <w:t xml:space="preserve"> por el grupo con respecto a los procedimientos de comunicaciones, sino que también se reuni</w:t>
      </w:r>
      <w:r w:rsidR="00E86FA5">
        <w:rPr>
          <w:sz w:val="20"/>
          <w:lang w:val="es-ES_tradnl"/>
        </w:rPr>
        <w:t xml:space="preserve">ó </w:t>
      </w:r>
      <w:r>
        <w:rPr>
          <w:sz w:val="20"/>
          <w:lang w:val="es-ES_tradnl"/>
        </w:rPr>
        <w:t>con el comité ejecutivo de un grupo de organizaciones no gubernamentales (ONG) que promueven el establecimiento de un mecanismo de comunicaciones. Junto con este último grupo examin</w:t>
      </w:r>
      <w:r w:rsidR="00E86FA5">
        <w:rPr>
          <w:sz w:val="20"/>
          <w:lang w:val="es-ES_tradnl"/>
        </w:rPr>
        <w:t>ó</w:t>
      </w:r>
      <w:r>
        <w:rPr>
          <w:sz w:val="20"/>
          <w:lang w:val="es-ES_tradnl"/>
        </w:rPr>
        <w:t xml:space="preserve"> la mejor manera en que sus organizaciones </w:t>
      </w:r>
      <w:r w:rsidR="00E86FA5">
        <w:rPr>
          <w:sz w:val="20"/>
          <w:lang w:val="es-ES_tradnl"/>
        </w:rPr>
        <w:t>podrían</w:t>
      </w:r>
      <w:r>
        <w:rPr>
          <w:sz w:val="20"/>
          <w:lang w:val="es-ES_tradnl"/>
        </w:rPr>
        <w:t xml:space="preserve"> ayudar al Comité a proseguir su labor en esa esfera. La Misión Permanente de Polonia también organiz</w:t>
      </w:r>
      <w:r w:rsidR="00E86FA5">
        <w:rPr>
          <w:sz w:val="20"/>
          <w:lang w:val="es-ES_tradnl"/>
        </w:rPr>
        <w:t xml:space="preserve">ó </w:t>
      </w:r>
      <w:r>
        <w:rPr>
          <w:sz w:val="20"/>
          <w:lang w:val="es-ES_tradnl"/>
        </w:rPr>
        <w:t xml:space="preserve">un evento en honor del </w:t>
      </w:r>
      <w:r w:rsidR="00E35EC3">
        <w:rPr>
          <w:sz w:val="20"/>
          <w:lang w:val="es-ES_tradnl"/>
        </w:rPr>
        <w:t>Sr. </w:t>
      </w:r>
      <w:r>
        <w:rPr>
          <w:sz w:val="20"/>
          <w:lang w:val="es-ES_tradnl"/>
        </w:rPr>
        <w:t>Janusz Korczak, precursor de la idea de adoptar una convención sobre los derechos del niño.</w:t>
      </w:r>
    </w:p>
    <w:p w:rsidR="00CB2441" w:rsidRDefault="00CB2441" w:rsidP="00E86FA5">
      <w:pPr>
        <w:pStyle w:val="ParaNo"/>
        <w:tabs>
          <w:tab w:val="clear" w:pos="360"/>
          <w:tab w:val="clear" w:pos="737"/>
        </w:tabs>
        <w:spacing w:after="120" w:line="240" w:lineRule="atLeast"/>
        <w:ind w:left="1134" w:right="1134" w:firstLine="0"/>
        <w:jc w:val="both"/>
        <w:rPr>
          <w:sz w:val="20"/>
          <w:lang w:val="es-ES_tradnl"/>
        </w:rPr>
      </w:pPr>
      <w:r>
        <w:rPr>
          <w:sz w:val="20"/>
          <w:lang w:val="es-ES_tradnl"/>
        </w:rPr>
        <w:t>Los miembros del Comité mant</w:t>
      </w:r>
      <w:r w:rsidR="00E86FA5">
        <w:rPr>
          <w:sz w:val="20"/>
          <w:lang w:val="es-ES_tradnl"/>
        </w:rPr>
        <w:t xml:space="preserve">uvieron </w:t>
      </w:r>
      <w:r>
        <w:rPr>
          <w:sz w:val="20"/>
          <w:lang w:val="es-ES_tradnl"/>
        </w:rPr>
        <w:t xml:space="preserve">reuniones con representantes de los órganos de las Naciones Unidas, los Estados partes y las organizaciones encargadas de velar por los derechos de los niños, y también </w:t>
      </w:r>
      <w:r w:rsidR="00E86FA5">
        <w:rPr>
          <w:sz w:val="20"/>
          <w:lang w:val="es-ES_tradnl"/>
        </w:rPr>
        <w:t>facilitaron</w:t>
      </w:r>
      <w:r>
        <w:rPr>
          <w:sz w:val="20"/>
          <w:lang w:val="es-ES_tradnl"/>
        </w:rPr>
        <w:t xml:space="preserve"> </w:t>
      </w:r>
      <w:r w:rsidR="00E86FA5">
        <w:rPr>
          <w:sz w:val="20"/>
          <w:lang w:val="es-ES_tradnl"/>
        </w:rPr>
        <w:t xml:space="preserve">información </w:t>
      </w:r>
      <w:r>
        <w:rPr>
          <w:sz w:val="20"/>
          <w:lang w:val="es-ES_tradnl"/>
        </w:rPr>
        <w:t xml:space="preserve">a cinco grupos de estudiantes invitados. </w:t>
      </w:r>
    </w:p>
    <w:p w:rsidR="00CB2441" w:rsidRDefault="00CB2441" w:rsidP="00792C0B">
      <w:pPr>
        <w:pStyle w:val="ParaNo"/>
        <w:tabs>
          <w:tab w:val="clear" w:pos="360"/>
          <w:tab w:val="clear" w:pos="737"/>
        </w:tabs>
        <w:spacing w:after="120" w:line="240" w:lineRule="atLeast"/>
        <w:ind w:left="1134" w:right="1134" w:firstLine="0"/>
        <w:jc w:val="both"/>
        <w:rPr>
          <w:sz w:val="20"/>
          <w:lang w:val="es-ES_tradnl"/>
        </w:rPr>
      </w:pPr>
      <w:r>
        <w:rPr>
          <w:sz w:val="20"/>
          <w:lang w:val="es-ES_tradnl"/>
        </w:rPr>
        <w:t xml:space="preserve">Durante la próxima semana los miembros del Comité se reunirán con el Representante Especial del Secretario General de las Naciones Unidas sobre la Violencia contra los Niños, recientemente designado; mantendrán un debate de jornada completa con representantes de alto nivel del UNICEF a fin de fortalecer la cooperación y se prepararán para el diálogo que mantendrán con los Estados partes durante el 52º período de sesiones. </w:t>
      </w:r>
    </w:p>
    <w:p w:rsidR="00CB2441" w:rsidRDefault="00CB2441" w:rsidP="00792C0B">
      <w:pPr>
        <w:pStyle w:val="ParaNo"/>
        <w:tabs>
          <w:tab w:val="clear" w:pos="360"/>
          <w:tab w:val="clear" w:pos="737"/>
        </w:tabs>
        <w:spacing w:after="120" w:line="240" w:lineRule="atLeast"/>
        <w:ind w:left="1134" w:right="1134" w:firstLine="0"/>
        <w:jc w:val="both"/>
        <w:rPr>
          <w:sz w:val="20"/>
          <w:lang w:val="es-ES_tradnl"/>
        </w:rPr>
      </w:pPr>
      <w:r>
        <w:rPr>
          <w:sz w:val="20"/>
          <w:lang w:val="es-ES_tradnl"/>
        </w:rPr>
        <w:t xml:space="preserve">La </w:t>
      </w:r>
      <w:r>
        <w:rPr>
          <w:b/>
          <w:bCs/>
          <w:sz w:val="20"/>
          <w:lang w:val="es-ES_tradnl"/>
        </w:rPr>
        <w:t xml:space="preserve">Presidenta </w:t>
      </w:r>
      <w:r>
        <w:rPr>
          <w:sz w:val="20"/>
          <w:lang w:val="es-ES_tradnl"/>
        </w:rPr>
        <w:t xml:space="preserve">dice que, al no haber objeciones, entiende que el Comité desea </w:t>
      </w:r>
      <w:r w:rsidR="00792C0B">
        <w:rPr>
          <w:sz w:val="20"/>
          <w:lang w:val="es-ES_tradnl"/>
        </w:rPr>
        <w:t>aprobar</w:t>
      </w:r>
      <w:r>
        <w:rPr>
          <w:sz w:val="20"/>
          <w:lang w:val="es-ES_tradnl"/>
        </w:rPr>
        <w:t xml:space="preserve"> el informe sobre su 51º período de sesiones (CRC/C/51/3).</w:t>
      </w:r>
    </w:p>
    <w:p w:rsidR="00CB2441" w:rsidRDefault="00CB2441">
      <w:pPr>
        <w:pStyle w:val="ParaNo"/>
        <w:tabs>
          <w:tab w:val="clear" w:pos="360"/>
          <w:tab w:val="clear" w:pos="737"/>
        </w:tabs>
        <w:spacing w:after="0" w:line="240" w:lineRule="atLeast"/>
        <w:ind w:left="1134" w:right="1134" w:firstLine="0"/>
        <w:jc w:val="both"/>
        <w:rPr>
          <w:sz w:val="20"/>
          <w:u w:val="single"/>
          <w:lang w:val="es-ES_tradnl"/>
        </w:rPr>
      </w:pPr>
      <w:r>
        <w:rPr>
          <w:i/>
          <w:iCs/>
          <w:sz w:val="20"/>
          <w:lang w:val="es-ES_tradnl"/>
        </w:rPr>
        <w:t>Así queda acordado</w:t>
      </w:r>
      <w:r>
        <w:rPr>
          <w:sz w:val="20"/>
          <w:lang w:val="es-ES_tradnl"/>
        </w:rPr>
        <w:t>.</w:t>
      </w:r>
    </w:p>
    <w:p w:rsidR="00CB2441" w:rsidRDefault="00CB2441">
      <w:pPr>
        <w:adjustRightInd w:val="0"/>
        <w:snapToGrid w:val="0"/>
        <w:spacing w:before="240" w:after="120" w:line="240" w:lineRule="atLeast"/>
        <w:ind w:left="1134" w:right="1134"/>
        <w:jc w:val="both"/>
        <w:rPr>
          <w:b/>
          <w:bCs/>
          <w:sz w:val="20"/>
          <w:lang w:val="es-ES_tradnl"/>
        </w:rPr>
      </w:pPr>
      <w:r>
        <w:rPr>
          <w:b/>
          <w:bCs/>
          <w:sz w:val="20"/>
          <w:lang w:val="es-ES_tradnl"/>
        </w:rPr>
        <w:t>Clausura del período de sesiones</w:t>
      </w:r>
    </w:p>
    <w:p w:rsidR="00CB2441" w:rsidRDefault="00CB2441">
      <w:pPr>
        <w:pStyle w:val="ParaNo"/>
        <w:tabs>
          <w:tab w:val="clear" w:pos="360"/>
          <w:tab w:val="clear" w:pos="737"/>
        </w:tabs>
        <w:spacing w:after="120" w:line="240" w:lineRule="atLeast"/>
        <w:ind w:left="1134" w:right="1134" w:firstLine="0"/>
        <w:jc w:val="both"/>
        <w:rPr>
          <w:sz w:val="20"/>
          <w:lang w:val="es-ES_tradnl"/>
        </w:rPr>
      </w:pPr>
      <w:r>
        <w:rPr>
          <w:sz w:val="20"/>
          <w:lang w:val="es-ES_tradnl"/>
        </w:rPr>
        <w:t xml:space="preserve">La </w:t>
      </w:r>
      <w:r>
        <w:rPr>
          <w:b/>
          <w:bCs/>
          <w:sz w:val="20"/>
          <w:lang w:val="es-ES_tradnl"/>
        </w:rPr>
        <w:t xml:space="preserve">Presidenta </w:t>
      </w:r>
      <w:r>
        <w:rPr>
          <w:sz w:val="20"/>
          <w:lang w:val="es-ES_tradnl"/>
        </w:rPr>
        <w:t xml:space="preserve">declara clausurado el 51º período de sesiones del Comité de los Derechos del Niño. </w:t>
      </w:r>
    </w:p>
    <w:p w:rsidR="00CB2441" w:rsidRDefault="00CB2441">
      <w:pPr>
        <w:adjustRightInd w:val="0"/>
        <w:snapToGrid w:val="0"/>
        <w:spacing w:after="120" w:line="240" w:lineRule="atLeast"/>
        <w:ind w:left="1134" w:right="1134"/>
        <w:jc w:val="both"/>
        <w:rPr>
          <w:i/>
          <w:iCs/>
          <w:sz w:val="20"/>
          <w:lang w:val="es-ES_tradnl"/>
        </w:rPr>
      </w:pPr>
      <w:r>
        <w:rPr>
          <w:i/>
          <w:iCs/>
          <w:sz w:val="20"/>
          <w:lang w:val="es-ES_tradnl"/>
        </w:rPr>
        <w:t>Se levanta la sesión a las 12.55</w:t>
      </w:r>
      <w:r w:rsidR="006A5C5E">
        <w:rPr>
          <w:i/>
          <w:iCs/>
          <w:sz w:val="20"/>
          <w:lang w:val="es-ES_tradnl"/>
        </w:rPr>
        <w:t> horas</w:t>
      </w:r>
      <w:r>
        <w:rPr>
          <w:i/>
          <w:iCs/>
          <w:sz w:val="20"/>
          <w:lang w:val="es-ES_tradnl"/>
        </w:rPr>
        <w:t>.</w:t>
      </w:r>
    </w:p>
    <w:p w:rsidR="00CB2441" w:rsidRDefault="00CB2441">
      <w:pPr>
        <w:jc w:val="center"/>
      </w:pPr>
      <w:r>
        <w:t>-----</w:t>
      </w:r>
    </w:p>
    <w:sectPr w:rsidR="00CB244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89" w:rsidRDefault="00002789">
      <w:pPr>
        <w:pStyle w:val="Footer"/>
      </w:pPr>
    </w:p>
  </w:endnote>
  <w:endnote w:type="continuationSeparator" w:id="0">
    <w:p w:rsidR="00002789" w:rsidRDefault="00002789">
      <w:pPr>
        <w:spacing w:after="0"/>
      </w:pPr>
    </w:p>
  </w:endnote>
  <w:endnote w:type="continuationNotice" w:id="1">
    <w:p w:rsidR="00002789" w:rsidRDefault="000027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41" w:rsidRDefault="00CB2441">
    <w:pPr>
      <w:pStyle w:val="Footer"/>
      <w:tabs>
        <w:tab w:val="clear" w:pos="4320"/>
        <w:tab w:val="clear" w:pos="8640"/>
        <w:tab w:val="right" w:pos="9639"/>
      </w:tabs>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9E314C">
      <w:rPr>
        <w:rStyle w:val="PageNumber"/>
        <w:b/>
        <w:bCs/>
        <w:noProof/>
        <w:sz w:val="18"/>
      </w:rPr>
      <w:t>2</w:t>
    </w:r>
    <w:r>
      <w:rPr>
        <w:rStyle w:val="PageNumber"/>
        <w:b/>
        <w:bCs/>
        <w:sz w:val="18"/>
      </w:rPr>
      <w:fldChar w:fldCharType="end"/>
    </w:r>
    <w:r>
      <w:rPr>
        <w:rStyle w:val="PageNumber"/>
        <w:b/>
        <w:bCs/>
        <w:sz w:val="18"/>
      </w:rPr>
      <w:tab/>
    </w:r>
    <w:r>
      <w:rPr>
        <w:sz w:val="16"/>
      </w:rPr>
      <w:t>GE.09-42939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41" w:rsidRDefault="00CB2441">
    <w:pPr>
      <w:pStyle w:val="Footer"/>
      <w:tabs>
        <w:tab w:val="clear" w:pos="4320"/>
        <w:tab w:val="clear" w:pos="8640"/>
        <w:tab w:val="right" w:pos="9639"/>
      </w:tabs>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9E314C">
      <w:rPr>
        <w:rStyle w:val="PageNumber"/>
        <w:b/>
        <w:bCs/>
        <w:noProof/>
        <w:sz w:val="18"/>
      </w:rPr>
      <w:t>3</w:t>
    </w:r>
    <w:r>
      <w:rPr>
        <w:rStyle w:val="PageNumber"/>
        <w:b/>
        <w:bCs/>
        <w:sz w:val="18"/>
      </w:rPr>
      <w:fldChar w:fldCharType="end"/>
    </w:r>
    <w:r>
      <w:rPr>
        <w:rStyle w:val="PageNumber"/>
        <w:b/>
        <w:bCs/>
        <w:sz w:val="18"/>
      </w:rPr>
      <w:tab/>
    </w:r>
    <w:r>
      <w:rPr>
        <w:sz w:val="16"/>
      </w:rPr>
      <w:t>GE.09-42939  (EXT)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41" w:rsidRDefault="00CB2441">
    <w:pPr>
      <w:tabs>
        <w:tab w:val="right" w:pos="2155"/>
      </w:tabs>
      <w:spacing w:after="80"/>
      <w:ind w:left="1021"/>
      <w:rPr>
        <w:u w:val="single"/>
      </w:rPr>
    </w:pPr>
    <w:r>
      <w:rPr>
        <w:u w:val="single"/>
      </w:rPr>
      <w:tab/>
    </w:r>
  </w:p>
  <w:p w:rsidR="00CB2441" w:rsidRDefault="00CB2441">
    <w:pPr>
      <w:tabs>
        <w:tab w:val="right" w:pos="1021"/>
      </w:tabs>
      <w:spacing w:after="0" w:line="220" w:lineRule="exact"/>
      <w:ind w:left="1134" w:right="1134" w:hanging="1134"/>
      <w:rPr>
        <w:sz w:val="18"/>
        <w:lang w:val="es-ES"/>
      </w:rPr>
    </w:pPr>
    <w:r>
      <w:rPr>
        <w:sz w:val="20"/>
        <w:lang w:val="es-ES_tradnl"/>
      </w:rPr>
      <w:tab/>
      <w:t>*</w:t>
    </w:r>
    <w:r>
      <w:rPr>
        <w:sz w:val="20"/>
        <w:lang w:val="es-ES_tradnl"/>
      </w:rPr>
      <w:tab/>
    </w:r>
    <w:r>
      <w:rPr>
        <w:sz w:val="18"/>
        <w:lang w:val="es-ES_tradnl"/>
      </w:rPr>
      <w:t>No se levantaron actas resumidas de las sesiones 1421</w:t>
    </w:r>
    <w:r>
      <w:rPr>
        <w:sz w:val="18"/>
        <w:vertAlign w:val="superscript"/>
        <w:lang w:val="es-ES_tradnl"/>
      </w:rPr>
      <w:t>a</w:t>
    </w:r>
    <w:r>
      <w:rPr>
        <w:sz w:val="18"/>
        <w:lang w:val="es-ES_tradnl"/>
      </w:rPr>
      <w:t xml:space="preserve"> a 1424</w:t>
    </w:r>
    <w:r>
      <w:rPr>
        <w:sz w:val="18"/>
        <w:vertAlign w:val="superscript"/>
        <w:lang w:val="es-ES_tradnl"/>
      </w:rPr>
      <w:t>a</w:t>
    </w:r>
    <w:r>
      <w:rPr>
        <w:sz w:val="18"/>
        <w:lang w:val="es-ES_tradnl"/>
      </w:rPr>
      <w:t>.</w:t>
    </w:r>
  </w:p>
  <w:p w:rsidR="00CB2441" w:rsidRPr="00840E58" w:rsidRDefault="00CB2441">
    <w:pPr>
      <w:pStyle w:val="FootnoteText"/>
      <w:pBdr>
        <w:bottom w:val="single" w:sz="4" w:space="1" w:color="auto"/>
      </w:pBdr>
      <w:spacing w:after="0"/>
      <w:rPr>
        <w:lang w:val="es-ES_tradnl"/>
      </w:rPr>
    </w:pPr>
    <w:r>
      <w:rPr>
        <w:sz w:val="18"/>
        <w:lang w:val="es-ES"/>
      </w:rPr>
      <w:tab/>
    </w:r>
    <w:r>
      <w:rPr>
        <w:sz w:val="20"/>
        <w:lang w:val="es-ES_tradnl"/>
      </w:rPr>
      <w:t>**</w:t>
    </w:r>
    <w:r>
      <w:rPr>
        <w:sz w:val="20"/>
        <w:lang w:val="es-ES_tradnl"/>
      </w:rPr>
      <w:tab/>
    </w:r>
    <w:r>
      <w:rPr>
        <w:sz w:val="18"/>
        <w:lang w:val="es-ES_tradnl"/>
      </w:rPr>
      <w:t>No se levantó acta resumida de la primera parte (privada) de la sesión.</w:t>
    </w:r>
    <w:r w:rsidRPr="00840E58">
      <w:rPr>
        <w:lang w:val="es-ES_tradnl"/>
      </w:rPr>
      <w:t xml:space="preserve"> </w:t>
    </w:r>
  </w:p>
  <w:p w:rsidR="00CB2441" w:rsidRPr="00840E58" w:rsidRDefault="00CB2441">
    <w:pPr>
      <w:pStyle w:val="FootnoteText"/>
      <w:pBdr>
        <w:bottom w:val="single" w:sz="4" w:space="1" w:color="auto"/>
      </w:pBdr>
      <w:spacing w:after="0"/>
      <w:rPr>
        <w:sz w:val="12"/>
        <w:lang w:val="es-ES_tradnl"/>
      </w:rPr>
    </w:pPr>
  </w:p>
  <w:p w:rsidR="00CB2441" w:rsidRDefault="00CB2441">
    <w:pPr>
      <w:pStyle w:val="FootnoteText"/>
      <w:spacing w:after="120" w:line="220" w:lineRule="atLeast"/>
      <w:ind w:left="1134" w:right="1134"/>
      <w:rPr>
        <w:sz w:val="18"/>
        <w:lang w:val="es-ES"/>
      </w:rPr>
    </w:pPr>
    <w:r>
      <w:rPr>
        <w:sz w:val="18"/>
        <w:lang w:val="es-ES"/>
      </w:rPr>
      <w:t>La presente acta podrá ser objeto de correcciones.</w:t>
    </w:r>
  </w:p>
  <w:p w:rsidR="00CB2441" w:rsidRDefault="00CB2441">
    <w:pPr>
      <w:pStyle w:val="FootnoteText"/>
      <w:spacing w:after="120" w:line="220" w:lineRule="atLeast"/>
      <w:ind w:left="1134" w:right="1134"/>
      <w:rPr>
        <w:sz w:val="18"/>
        <w:lang w:val="es-ES"/>
      </w:rPr>
    </w:pPr>
    <w:r>
      <w:rPr>
        <w:sz w:val="18"/>
        <w:lang w:val="es-ES"/>
      </w:rPr>
      <w:t>Las correcciones deberán redactarse en uno de los idiomas de trabajo. Deberán presentarse en forma de memorando, incorporarse en un ejemplar del acta y enviarse</w:t>
    </w:r>
    <w:r>
      <w:rPr>
        <w:i/>
        <w:sz w:val="18"/>
        <w:lang w:val="es-ES"/>
      </w:rPr>
      <w:t>, dentro del plazo de una semana a partir de la fecha del presente documento</w:t>
    </w:r>
    <w:r>
      <w:rPr>
        <w:sz w:val="18"/>
        <w:lang w:val="es-ES"/>
      </w:rPr>
      <w:t>, a la Sección de Edición de los Documentos Oficiales, oficina E.4108, Palacio de las Naciones, Ginebra.</w:t>
    </w:r>
  </w:p>
  <w:p w:rsidR="00CB2441" w:rsidRDefault="00CB2441">
    <w:pPr>
      <w:pStyle w:val="FootnoteText"/>
      <w:spacing w:after="600" w:line="220" w:lineRule="exact"/>
      <w:ind w:left="1134" w:right="1134"/>
      <w:rPr>
        <w:sz w:val="18"/>
        <w:lang w:val="es-ES"/>
      </w:rPr>
    </w:pPr>
    <w:r>
      <w:rPr>
        <w:sz w:val="18"/>
        <w:lang w:val="es-ES"/>
      </w:rPr>
      <w:t>Las correcciones que se introduzcan en las actas de las sesiones públicas del Comité se reunirán en un documento único que se publicará poco después del período de sesiones.</w:t>
    </w:r>
  </w:p>
  <w:p w:rsidR="00CB2441" w:rsidRDefault="00CB2441">
    <w:pPr>
      <w:pStyle w:val="Foote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37.1pt;width:85.5pt;height:18pt;z-index:1;mso-position-vertical-relative:page" wrapcoords="18189 0 0 9900 -189 12600 -189 17100 758 19800 19516 19800 20274 19800 21032 14400 21600 14400 21600 8100 20653 0 18189 0">
          <v:imagedata r:id="rId1" o:title="recycle_Spanish"/>
          <w10:wrap anchory="page"/>
          <w10:anchorlock/>
        </v:shape>
      </w:pict>
    </w:r>
    <w:r>
      <w:rPr>
        <w:sz w:val="20"/>
      </w:rPr>
      <w:t>GE.09-42939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89" w:rsidRDefault="00002789">
      <w:pPr>
        <w:spacing w:after="0"/>
      </w:pPr>
      <w:r>
        <w:separator/>
      </w:r>
    </w:p>
  </w:footnote>
  <w:footnote w:type="continuationSeparator" w:id="0">
    <w:p w:rsidR="00002789" w:rsidRDefault="00002789">
      <w:pPr>
        <w:spacing w:after="0"/>
        <w:rPr>
          <w:u w:val="single"/>
        </w:rPr>
      </w:pPr>
      <w:r>
        <w:rPr>
          <w:u w:val="single"/>
        </w:rPr>
        <w:tab/>
      </w:r>
      <w:r>
        <w:rPr>
          <w:u w:val="single"/>
        </w:rPr>
        <w:tab/>
      </w:r>
      <w:r>
        <w:rPr>
          <w:u w:val="single"/>
        </w:rPr>
        <w:tab/>
      </w:r>
      <w:r>
        <w:rPr>
          <w:u w:val="single"/>
        </w:rPr>
        <w:tab/>
      </w:r>
    </w:p>
  </w:footnote>
  <w:footnote w:type="continuationNotice" w:id="1">
    <w:p w:rsidR="00002789" w:rsidRDefault="0000278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41" w:rsidRDefault="00CB2441">
    <w:pPr>
      <w:pStyle w:val="Header"/>
      <w:pBdr>
        <w:bottom w:val="single" w:sz="4" w:space="4" w:color="auto"/>
      </w:pBdr>
      <w:spacing w:after="0"/>
      <w:rPr>
        <w:b/>
        <w:bCs/>
        <w:sz w:val="18"/>
      </w:rPr>
    </w:pPr>
    <w:r>
      <w:rPr>
        <w:b/>
        <w:bCs/>
        <w:noProof/>
        <w:sz w:val="18"/>
      </w:rPr>
      <w:t>CRC/C/SR.1425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41" w:rsidRDefault="00CB2441">
    <w:pPr>
      <w:pStyle w:val="Header"/>
      <w:pBdr>
        <w:bottom w:val="single" w:sz="4" w:space="4" w:color="auto"/>
      </w:pBdr>
      <w:spacing w:after="0"/>
      <w:jc w:val="right"/>
      <w:rPr>
        <w:b/>
        <w:bCs/>
        <w:sz w:val="18"/>
      </w:rPr>
    </w:pPr>
    <w:r>
      <w:rPr>
        <w:b/>
        <w:bCs/>
        <w:noProof/>
        <w:sz w:val="18"/>
      </w:rPr>
      <w:t>CRC/C/SR.1425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3CB6628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E72D2"/>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71BCF"/>
    <w:multiLevelType w:val="hybridMultilevel"/>
    <w:tmpl w:val="275A1682"/>
    <w:lvl w:ilvl="0" w:tplc="41DE5E26">
      <w:start w:val="1"/>
      <w:numFmt w:val="bullet"/>
      <w:pStyle w:val="Heading5"/>
      <w:lvlText w:val=""/>
      <w:lvlJc w:val="left"/>
      <w:pPr>
        <w:ind w:left="851"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B3F49C6"/>
    <w:multiLevelType w:val="multilevel"/>
    <w:tmpl w:val="8BCC9B00"/>
    <w:lvl w:ilvl="0">
      <w:start w:val="1"/>
      <w:numFmt w:val="lowerRoman"/>
      <w:pStyle w:val="Normal"/>
      <w:lvlText w:val="(%1)"/>
      <w:lvlJc w:val="right"/>
      <w:pPr>
        <w:tabs>
          <w:tab w:val="num" w:pos="2160"/>
        </w:tabs>
        <w:ind w:left="2160" w:hanging="51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A7890"/>
    <w:multiLevelType w:val="hybridMultilevel"/>
    <w:tmpl w:val="151405B6"/>
    <w:lvl w:ilvl="0" w:tplc="E230D148">
      <w:start w:val="1"/>
      <w:numFmt w:val="bullet"/>
      <w:pStyle w:val="Heading9"/>
      <w:lvlText w:val=""/>
      <w:lvlJc w:val="left"/>
      <w:pPr>
        <w:ind w:left="851"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6255761"/>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B061AB"/>
    <w:multiLevelType w:val="multilevel"/>
    <w:tmpl w:val="66CAD4CC"/>
    <w:lvl w:ilvl="0">
      <w:start w:val="1"/>
      <w:numFmt w:val="decimal"/>
      <w:pStyle w:val="Heading1"/>
      <w:lvlText w:val="%1."/>
      <w:lvlJc w:val="left"/>
      <w:pPr>
        <w:tabs>
          <w:tab w:val="num" w:pos="360"/>
        </w:tabs>
        <w:ind w:left="-1" w:firstLine="1"/>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221049"/>
    <w:multiLevelType w:val="multilevel"/>
    <w:tmpl w:val="04D4B0C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9F3657"/>
    <w:multiLevelType w:val="multilevel"/>
    <w:tmpl w:val="2AB2508E"/>
    <w:lvl w:ilvl="0">
      <w:start w:val="1"/>
      <w:numFmt w:val="decimal"/>
      <w:lvlText w:val="%1."/>
      <w:lvlJc w:val="left"/>
      <w:pPr>
        <w:tabs>
          <w:tab w:val="num" w:pos="360"/>
        </w:tabs>
        <w:ind w:left="-1" w:firstLine="1"/>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A2598"/>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D15DFE"/>
    <w:multiLevelType w:val="multilevel"/>
    <w:tmpl w:val="475E6D3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CA643D"/>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F349BD"/>
    <w:multiLevelType w:val="multilevel"/>
    <w:tmpl w:val="D8DC1A62"/>
    <w:lvl w:ilvl="0">
      <w:start w:val="1"/>
      <w:numFmt w:val="lowerRoman"/>
      <w:pStyle w:val="Normal"/>
      <w:lvlText w:val="(%1)"/>
      <w:lvlJc w:val="right"/>
      <w:pPr>
        <w:tabs>
          <w:tab w:val="num" w:pos="1440"/>
        </w:tabs>
        <w:ind w:left="1440" w:hanging="589"/>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BF6B58"/>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E58"/>
    <w:rsid w:val="00002789"/>
    <w:rsid w:val="00042AC3"/>
    <w:rsid w:val="00057FC8"/>
    <w:rsid w:val="000A720E"/>
    <w:rsid w:val="004D3998"/>
    <w:rsid w:val="00580A69"/>
    <w:rsid w:val="0058381E"/>
    <w:rsid w:val="006A5C5E"/>
    <w:rsid w:val="00792C0B"/>
    <w:rsid w:val="00840E58"/>
    <w:rsid w:val="009E314C"/>
    <w:rsid w:val="00AF131A"/>
    <w:rsid w:val="00CB2441"/>
    <w:rsid w:val="00D146C1"/>
    <w:rsid w:val="00D661E2"/>
    <w:rsid w:val="00E35EC3"/>
    <w:rsid w:val="00E86F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napToGrid w:val="0"/>
      <w:sz w:val="24"/>
      <w:szCs w:val="24"/>
      <w:lang w:val="en-GB"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aliases w:val="3_G"/>
    <w:basedOn w:val="Normal"/>
    <w:next w:val="Normal"/>
    <w:semiHidden/>
    <w:pPr>
      <w:tabs>
        <w:tab w:val="center" w:pos="4320"/>
        <w:tab w:val="right" w:pos="8640"/>
      </w:tabs>
      <w:spacing w:after="0"/>
    </w:pPr>
  </w:style>
  <w:style w:type="paragraph" w:customStyle="1" w:styleId="Rom1">
    <w:name w:val="Rom1"/>
    <w:basedOn w:val="Normal"/>
    <w:pPr>
      <w:numPr>
        <w:numId w:val="22"/>
      </w:numPr>
      <w:ind w:left="1135" w:hanging="284"/>
    </w:pPr>
  </w:style>
  <w:style w:type="paragraph" w:customStyle="1" w:styleId="Rom2">
    <w:name w:val="Rom2"/>
    <w:basedOn w:val="Normal"/>
    <w:pPr>
      <w:numPr>
        <w:numId w:val="23"/>
      </w:numPr>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bCs/>
      <w:vertAlign w:val="superscript"/>
    </w:rPr>
  </w:style>
  <w:style w:type="paragraph" w:styleId="FootnoteText">
    <w:name w:val="footnote text"/>
    <w:aliases w:val="5_G"/>
    <w:basedOn w:val="Normal"/>
    <w:semiHidden/>
  </w:style>
  <w:style w:type="character" w:styleId="PageNumber">
    <w:name w:val="page number"/>
    <w:basedOn w:val="DefaultParagraphFont"/>
    <w:semiHidden/>
  </w:style>
  <w:style w:type="paragraph" w:customStyle="1" w:styleId="Bullet">
    <w:name w:val="Bullet"/>
    <w:basedOn w:val="Normal"/>
    <w:pPr>
      <w:numPr>
        <w:numId w:val="24"/>
      </w:numPr>
    </w:p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styleId="BodyTextIndent">
    <w:name w:val="Body Text Indent"/>
    <w:basedOn w:val="Normal"/>
    <w:semiHidden/>
    <w:pPr>
      <w:spacing w:after="120"/>
      <w:ind w:left="283"/>
    </w:pPr>
  </w:style>
  <w:style w:type="paragraph" w:customStyle="1" w:styleId="Dash">
    <w:name w:val="Dash"/>
    <w:basedOn w:val="Normal"/>
    <w:pPr>
      <w:numPr>
        <w:numId w:val="25"/>
      </w:numPr>
      <w:adjustRightInd w:val="0"/>
      <w:snapToGrid w:val="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Caption">
    <w:name w:val="caption"/>
    <w:basedOn w:val="Normal"/>
    <w:next w:val="Normal"/>
    <w:qFormat/>
    <w:pPr>
      <w:spacing w:before="120" w:after="0"/>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3</Pages>
  <Words>732</Words>
  <Characters>4028</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0942937</vt:lpstr>
    </vt:vector>
  </TitlesOfParts>
  <Company>ONU</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0942937</dc:title>
  <dc:subject/>
  <dc:creator>Christine Fanelli</dc:creator>
  <cp:keywords>CRC/C/SR.1425</cp:keywords>
  <dc:description>final</dc:description>
  <cp:lastModifiedBy>Christine FANELLI</cp:lastModifiedBy>
  <cp:revision>18</cp:revision>
  <cp:lastPrinted>2009-06-22T15:16:00Z</cp:lastPrinted>
  <dcterms:created xsi:type="dcterms:W3CDTF">2010-06-01T16:14:00Z</dcterms:created>
  <dcterms:modified xsi:type="dcterms:W3CDTF">2010-06-03T09:42:00Z</dcterms:modified>
</cp:coreProperties>
</file>